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1B934" w14:textId="5CA4D39E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D576A">
        <w:rPr>
          <w:sz w:val="28"/>
        </w:rPr>
        <w:t>1525-0012</w:t>
      </w:r>
      <w:r>
        <w:rPr>
          <w:sz w:val="28"/>
        </w:rPr>
        <w:t>)</w:t>
      </w:r>
    </w:p>
    <w:p w14:paraId="2AFABF5B" w14:textId="72889327" w:rsidR="00E50293" w:rsidRPr="009239AA" w:rsidRDefault="00E1629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929ADA9" wp14:editId="3EF7ED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BD6744B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82B9F">
        <w:t>FY</w:t>
      </w:r>
      <w:r w:rsidR="00E2473B">
        <w:t>20</w:t>
      </w:r>
      <w:r w:rsidR="004D103F">
        <w:t>20</w:t>
      </w:r>
      <w:r w:rsidR="00E2473B">
        <w:t xml:space="preserve"> Focus Groups</w:t>
      </w:r>
    </w:p>
    <w:p w14:paraId="708BDA20" w14:textId="77777777" w:rsidR="005E714A" w:rsidRDefault="005E714A"/>
    <w:p w14:paraId="403BF62F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7604CF4" w14:textId="77777777" w:rsidR="001B0AAA" w:rsidRDefault="001B0AAA"/>
    <w:p w14:paraId="24750B5A" w14:textId="2CD21B04" w:rsidR="00E2473B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This request is for OMB clearance for the United States Mint’s ongoing core focus groups, which are designed to develop an in-depth understanding of various topics </w:t>
      </w:r>
      <w:r>
        <w:rPr>
          <w:rFonts w:ascii="Arial" w:hAnsi="Arial" w:cs="Arial"/>
          <w:sz w:val="22"/>
          <w:szCs w:val="22"/>
        </w:rPr>
        <w:t xml:space="preserve">that </w:t>
      </w:r>
      <w:r w:rsidRPr="00E37CD9">
        <w:rPr>
          <w:rFonts w:ascii="Arial" w:hAnsi="Arial" w:cs="Arial"/>
          <w:sz w:val="22"/>
          <w:szCs w:val="22"/>
        </w:rPr>
        <w:t xml:space="preserve">will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to inform decisions on a range of product and service related issues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This research was conducted </w:t>
      </w:r>
      <w:r>
        <w:rPr>
          <w:rFonts w:ascii="Arial" w:hAnsi="Arial" w:cs="Arial"/>
          <w:sz w:val="22"/>
          <w:szCs w:val="22"/>
        </w:rPr>
        <w:t>in Fiscal Year 201</w:t>
      </w:r>
      <w:r w:rsidR="004D103F">
        <w:rPr>
          <w:rFonts w:ascii="Arial" w:hAnsi="Arial" w:cs="Arial"/>
          <w:sz w:val="22"/>
          <w:szCs w:val="22"/>
        </w:rPr>
        <w:t>9</w:t>
      </w:r>
      <w:r w:rsidR="00495C7F">
        <w:rPr>
          <w:rFonts w:ascii="Arial" w:hAnsi="Arial" w:cs="Arial"/>
          <w:sz w:val="22"/>
          <w:szCs w:val="22"/>
        </w:rPr>
        <w:t>.</w:t>
      </w:r>
    </w:p>
    <w:p w14:paraId="394145F3" w14:textId="77777777" w:rsidR="00E2473B" w:rsidRPr="00E37CD9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18255558" w14:textId="4647DBA4" w:rsidR="00E2473B" w:rsidRPr="00E37CD9" w:rsidRDefault="00E2473B" w:rsidP="00E2473B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 regular basis, to evaluate current United States Mint products, services, and marketing activities; as well as to obtain feedback and reactions before changing or introducing new products, services, or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 information gathered from these focus-group sessions will provide guidance and direction for improving customer satisfaction with products and services in F</w:t>
      </w:r>
      <w:r>
        <w:rPr>
          <w:rFonts w:ascii="Arial" w:hAnsi="Arial" w:cs="Arial"/>
          <w:sz w:val="22"/>
          <w:szCs w:val="22"/>
        </w:rPr>
        <w:t xml:space="preserve">iscal </w:t>
      </w:r>
      <w:r w:rsidRPr="00E37CD9">
        <w:rPr>
          <w:rFonts w:ascii="Arial" w:hAnsi="Arial" w:cs="Arial"/>
          <w:sz w:val="22"/>
          <w:szCs w:val="22"/>
        </w:rPr>
        <w:t>Y</w:t>
      </w:r>
      <w:r w:rsidR="009E78C7">
        <w:rPr>
          <w:rFonts w:ascii="Arial" w:hAnsi="Arial" w:cs="Arial"/>
          <w:sz w:val="22"/>
          <w:szCs w:val="22"/>
        </w:rPr>
        <w:t xml:space="preserve">ear </w:t>
      </w:r>
      <w:r w:rsidR="009E78C7" w:rsidRPr="00B1095D">
        <w:rPr>
          <w:rFonts w:ascii="Arial" w:hAnsi="Arial" w:cs="Arial"/>
          <w:sz w:val="22"/>
          <w:szCs w:val="22"/>
        </w:rPr>
        <w:t>20</w:t>
      </w:r>
      <w:r w:rsidR="004D103F" w:rsidRPr="00B1095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to</w:t>
      </w:r>
      <w:r w:rsidRPr="00E37CD9">
        <w:rPr>
          <w:rFonts w:ascii="Arial" w:hAnsi="Arial" w:cs="Arial"/>
          <w:sz w:val="22"/>
          <w:szCs w:val="22"/>
        </w:rPr>
        <w:t xml:space="preserve"> help us better understand and serve the needs of non-customers expressing an interest in our products, and help ensure we carry out our mandate effectively and efficiently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B47D12E" w14:textId="77777777"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</w:p>
    <w:p w14:paraId="3D30C51A" w14:textId="77777777"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Part of the United States Mint’s mission is to produce and sell collectible coin products to the American public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Executive Order No</w:t>
      </w:r>
      <w:r>
        <w:rPr>
          <w:rFonts w:ascii="Arial" w:hAnsi="Arial" w:cs="Arial"/>
          <w:sz w:val="22"/>
          <w:szCs w:val="22"/>
        </w:rPr>
        <w:t xml:space="preserve">. </w:t>
      </w:r>
      <w:r w:rsidRPr="00E37CD9">
        <w:rPr>
          <w:rFonts w:ascii="Arial" w:hAnsi="Arial" w:cs="Arial"/>
          <w:sz w:val="22"/>
          <w:szCs w:val="22"/>
        </w:rPr>
        <w:t>12862 (September 1993), titled “Setting Customer Service Standards,” establishes a mandate for the government to ensure the kind and quality of services offered are aligned with those the public wants (Section 1b)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To effectively accomplish these goals, the United States Mint utilizes a combination of accepted research methods that shed light on the awareness, satisfaction and preferences among the public as they relate to collectible coin products and services</w:t>
      </w:r>
      <w:r>
        <w:rPr>
          <w:rFonts w:ascii="Arial" w:hAnsi="Arial" w:cs="Arial"/>
          <w:sz w:val="22"/>
          <w:szCs w:val="22"/>
        </w:rPr>
        <w:t>.  Conducting f</w:t>
      </w:r>
      <w:r w:rsidRPr="00E37CD9">
        <w:rPr>
          <w:rFonts w:ascii="Arial" w:hAnsi="Arial" w:cs="Arial"/>
          <w:sz w:val="22"/>
          <w:szCs w:val="22"/>
        </w:rPr>
        <w:t xml:space="preserve">ocus groups </w:t>
      </w:r>
      <w:r>
        <w:rPr>
          <w:rFonts w:ascii="Arial" w:hAnsi="Arial" w:cs="Arial"/>
          <w:sz w:val="22"/>
          <w:szCs w:val="22"/>
        </w:rPr>
        <w:t>in order to receive customer feedback is</w:t>
      </w:r>
      <w:r w:rsidRPr="00E37CD9">
        <w:rPr>
          <w:rFonts w:ascii="Arial" w:hAnsi="Arial" w:cs="Arial"/>
          <w:sz w:val="22"/>
          <w:szCs w:val="22"/>
        </w:rPr>
        <w:t xml:space="preserve"> one element of this research p</w:t>
      </w:r>
      <w:r>
        <w:rPr>
          <w:rFonts w:ascii="Arial" w:hAnsi="Arial" w:cs="Arial"/>
          <w:sz w:val="22"/>
          <w:szCs w:val="22"/>
        </w:rPr>
        <w:t>roject</w:t>
      </w:r>
      <w:r w:rsidRPr="00E37CD9">
        <w:rPr>
          <w:rFonts w:ascii="Arial" w:hAnsi="Arial" w:cs="Arial"/>
          <w:sz w:val="22"/>
          <w:szCs w:val="22"/>
        </w:rPr>
        <w:t>.</w:t>
      </w:r>
    </w:p>
    <w:p w14:paraId="130645CC" w14:textId="77777777"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</w:p>
    <w:p w14:paraId="72B0644B" w14:textId="77777777" w:rsidR="00E2473B" w:rsidRPr="00E37CD9" w:rsidRDefault="00E2473B" w:rsidP="00E2473B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</w:t>
      </w:r>
      <w:r w:rsidR="00082B9F">
        <w:rPr>
          <w:rFonts w:ascii="Arial" w:hAnsi="Arial" w:cs="Arial"/>
          <w:sz w:val="22"/>
          <w:szCs w:val="22"/>
        </w:rPr>
        <w:t xml:space="preserve"> attract new customers and </w:t>
      </w:r>
      <w:r w:rsidRPr="00B54DE0">
        <w:rPr>
          <w:rFonts w:ascii="Arial" w:hAnsi="Arial" w:cs="Arial"/>
          <w:sz w:val="22"/>
          <w:szCs w:val="22"/>
        </w:rPr>
        <w:t>maintain service levels that satisfy</w:t>
      </w:r>
      <w:r w:rsidR="00082B9F">
        <w:rPr>
          <w:rFonts w:ascii="Arial" w:hAnsi="Arial" w:cs="Arial"/>
          <w:sz w:val="22"/>
          <w:szCs w:val="22"/>
        </w:rPr>
        <w:t xml:space="preserve"> current </w:t>
      </w:r>
      <w:r w:rsidRPr="00B54DE0">
        <w:rPr>
          <w:rFonts w:ascii="Arial" w:hAnsi="Arial" w:cs="Arial"/>
          <w:sz w:val="22"/>
          <w:szCs w:val="22"/>
        </w:rPr>
        <w:t>customers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7404927F" w14:textId="77777777" w:rsidR="00C8488C" w:rsidRDefault="00C8488C"/>
    <w:p w14:paraId="6E74F8B6" w14:textId="77777777" w:rsidR="00E2473B" w:rsidRDefault="00434E33" w:rsidP="00E2473B">
      <w:pPr>
        <w:pStyle w:val="Header"/>
        <w:tabs>
          <w:tab w:val="clear" w:pos="4320"/>
          <w:tab w:val="clear" w:pos="8640"/>
          <w:tab w:val="center" w:pos="4680"/>
        </w:tabs>
        <w:rPr>
          <w:rFonts w:ascii="Arial" w:hAnsi="Arial" w:cs="Arial"/>
          <w:sz w:val="22"/>
          <w:szCs w:val="22"/>
        </w:rPr>
      </w:pPr>
      <w:r w:rsidRPr="00434E33">
        <w:rPr>
          <w:b/>
        </w:rPr>
        <w:t>DESCRIPTION OF RESPONDENTS</w:t>
      </w:r>
      <w:r>
        <w:t xml:space="preserve">: </w:t>
      </w:r>
      <w:r w:rsidR="00E2473B">
        <w:tab/>
      </w:r>
      <w:r w:rsidR="00E2473B">
        <w:rPr>
          <w:rFonts w:ascii="Arial" w:hAnsi="Arial" w:cs="Arial"/>
          <w:sz w:val="22"/>
          <w:szCs w:val="22"/>
        </w:rPr>
        <w:br/>
      </w:r>
    </w:p>
    <w:p w14:paraId="18765196" w14:textId="77777777" w:rsidR="00434E33" w:rsidRPr="00434E33" w:rsidRDefault="00E2473B" w:rsidP="00E2473B">
      <w:pPr>
        <w:pStyle w:val="Header"/>
        <w:tabs>
          <w:tab w:val="clear" w:pos="4320"/>
          <w:tab w:val="clear" w:pos="8640"/>
          <w:tab w:val="center" w:pos="4680"/>
        </w:tabs>
        <w:rPr>
          <w:i/>
          <w:snapToGrid/>
        </w:rPr>
      </w:pPr>
      <w:r>
        <w:rPr>
          <w:rFonts w:ascii="Arial" w:hAnsi="Arial" w:cs="Arial"/>
          <w:sz w:val="22"/>
          <w:szCs w:val="22"/>
        </w:rPr>
        <w:t xml:space="preserve">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14:paraId="0E249786" w14:textId="77777777" w:rsidR="00434E33" w:rsidRDefault="00434E33"/>
    <w:p w14:paraId="2CD5B3B7" w14:textId="77777777" w:rsidR="00E26329" w:rsidRDefault="00E26329">
      <w:pPr>
        <w:rPr>
          <w:b/>
        </w:rPr>
      </w:pPr>
    </w:p>
    <w:p w14:paraId="1D5C4AA0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8A7991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0A9E831" w14:textId="27B252E3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D103F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13D86F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5070033B" w14:textId="7F229B43" w:rsid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E2473B">
        <w:rPr>
          <w:bCs/>
          <w:sz w:val="24"/>
        </w:rPr>
        <w:t>X</w:t>
      </w:r>
      <w:r w:rsidR="00E2473B" w:rsidRPr="00F06866">
        <w:rPr>
          <w:bCs/>
          <w:sz w:val="24"/>
        </w:rPr>
        <w:t>]</w:t>
      </w:r>
      <w:r w:rsidR="00E2473B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438C32D" w14:textId="77777777" w:rsidR="00E2473B" w:rsidRPr="00E2473B" w:rsidRDefault="00E2473B" w:rsidP="0096108F">
      <w:pPr>
        <w:pStyle w:val="BodyTextIndent"/>
        <w:tabs>
          <w:tab w:val="left" w:pos="360"/>
        </w:tabs>
        <w:ind w:left="0"/>
        <w:rPr>
          <w:rFonts w:ascii="Arial" w:hAnsi="Arial" w:cs="Arial"/>
          <w:sz w:val="22"/>
          <w:szCs w:val="22"/>
        </w:rPr>
      </w:pPr>
    </w:p>
    <w:p w14:paraId="40A47FE5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CB596C" w14:textId="77777777" w:rsidR="00CA2650" w:rsidRDefault="00441434">
      <w:pPr>
        <w:rPr>
          <w:b/>
        </w:rPr>
      </w:pPr>
      <w:r>
        <w:rPr>
          <w:b/>
        </w:rPr>
        <w:lastRenderedPageBreak/>
        <w:t>C</w:t>
      </w:r>
      <w:r w:rsidR="009C13B9">
        <w:rPr>
          <w:b/>
        </w:rPr>
        <w:t>ERTIFICATION:</w:t>
      </w:r>
    </w:p>
    <w:p w14:paraId="713246EB" w14:textId="77777777" w:rsidR="00441434" w:rsidRDefault="00441434">
      <w:pPr>
        <w:rPr>
          <w:sz w:val="16"/>
          <w:szCs w:val="16"/>
        </w:rPr>
      </w:pPr>
    </w:p>
    <w:p w14:paraId="30D7988A" w14:textId="77777777" w:rsidR="008101A5" w:rsidRPr="009C13B9" w:rsidRDefault="008101A5" w:rsidP="008101A5">
      <w:r>
        <w:t xml:space="preserve">I certify the following to be true: </w:t>
      </w:r>
    </w:p>
    <w:p w14:paraId="5A03B79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BA6939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079C8A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126C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CE2FEA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B50451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176E622" w14:textId="77777777" w:rsidR="009C13B9" w:rsidRDefault="009C13B9" w:rsidP="009C13B9"/>
    <w:p w14:paraId="74D0006B" w14:textId="52981E9F" w:rsidR="004118ED" w:rsidRDefault="004118ED" w:rsidP="004118ED">
      <w:pPr>
        <w:ind w:firstLine="720"/>
      </w:pPr>
      <w:r>
        <w:t xml:space="preserve">Contact </w:t>
      </w:r>
      <w:r w:rsidR="00E2473B">
        <w:t>Name</w:t>
      </w:r>
      <w:r>
        <w:t>s:</w:t>
      </w:r>
    </w:p>
    <w:p w14:paraId="0B1C9169" w14:textId="77777777" w:rsidR="004118ED" w:rsidRDefault="004118ED" w:rsidP="004118ED">
      <w:pPr>
        <w:ind w:firstLine="720"/>
      </w:pPr>
    </w:p>
    <w:p w14:paraId="036AAAB0" w14:textId="6AAD0819" w:rsidR="004118ED" w:rsidRDefault="004118ED" w:rsidP="004118ED">
      <w:pPr>
        <w:ind w:firstLine="720"/>
      </w:pPr>
      <w:r w:rsidRPr="004118ED">
        <w:t xml:space="preserve"> </w:t>
      </w:r>
      <w:r>
        <w:t xml:space="preserve">Leslie Schwager </w:t>
      </w:r>
      <w:r>
        <w:br/>
        <w:t xml:space="preserve">            202-354-7291</w:t>
      </w:r>
    </w:p>
    <w:p w14:paraId="2AFB021E" w14:textId="77777777" w:rsidR="004118ED" w:rsidRDefault="004118ED" w:rsidP="004118ED">
      <w:r>
        <w:tab/>
      </w:r>
      <w:hyperlink r:id="rId9" w:history="1">
        <w:r w:rsidRPr="005970ED">
          <w:rPr>
            <w:rStyle w:val="Hyperlink"/>
          </w:rPr>
          <w:t>Leslie.schwager@usmint.treas.gov</w:t>
        </w:r>
      </w:hyperlink>
      <w:r w:rsidR="00E2473B">
        <w:t xml:space="preserve"> </w:t>
      </w:r>
    </w:p>
    <w:p w14:paraId="1031988D" w14:textId="77777777" w:rsidR="004118ED" w:rsidRDefault="004118ED" w:rsidP="004118ED"/>
    <w:p w14:paraId="5967867C" w14:textId="7A8D0CD1" w:rsidR="007C4888" w:rsidRDefault="007C4888" w:rsidP="004118ED">
      <w:pPr>
        <w:ind w:firstLine="720"/>
      </w:pPr>
      <w:r>
        <w:t>Manoj Pillai</w:t>
      </w:r>
    </w:p>
    <w:p w14:paraId="739F1E9B" w14:textId="77777777" w:rsidR="007C4888" w:rsidRDefault="007C4888" w:rsidP="007C4888">
      <w:pPr>
        <w:ind w:firstLine="720"/>
      </w:pPr>
      <w:r>
        <w:t>202-354-7255</w:t>
      </w:r>
    </w:p>
    <w:p w14:paraId="39426556" w14:textId="376C67C9" w:rsidR="00E2473B" w:rsidRDefault="00BC6DED" w:rsidP="00E80C60">
      <w:pPr>
        <w:ind w:firstLine="720"/>
      </w:pPr>
      <w:hyperlink r:id="rId10" w:history="1">
        <w:r w:rsidR="00FF5C89" w:rsidRPr="006B58AD">
          <w:rPr>
            <w:rStyle w:val="Hyperlink"/>
          </w:rPr>
          <w:t>Manoj.pillai@usmint.treas.gov</w:t>
        </w:r>
      </w:hyperlink>
    </w:p>
    <w:p w14:paraId="3977BC61" w14:textId="77777777" w:rsidR="00FF5C89" w:rsidRDefault="00FF5C89" w:rsidP="00E80C60">
      <w:pPr>
        <w:ind w:firstLine="720"/>
      </w:pPr>
    </w:p>
    <w:p w14:paraId="4336652A" w14:textId="77777777" w:rsidR="009C13B9" w:rsidRDefault="009C13B9" w:rsidP="009C13B9">
      <w:pPr>
        <w:pStyle w:val="ListParagraph"/>
        <w:ind w:left="360"/>
      </w:pPr>
    </w:p>
    <w:p w14:paraId="18D3DCB1" w14:textId="77777777" w:rsidR="009C13B9" w:rsidRDefault="009C13B9" w:rsidP="009C13B9">
      <w:r>
        <w:t>To assist review, please provide answers to the following question:</w:t>
      </w:r>
    </w:p>
    <w:p w14:paraId="12C64360" w14:textId="77777777" w:rsidR="009C13B9" w:rsidRDefault="009C13B9" w:rsidP="009C13B9">
      <w:pPr>
        <w:pStyle w:val="ListParagraph"/>
        <w:ind w:left="360"/>
      </w:pPr>
    </w:p>
    <w:p w14:paraId="5B1381E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66A83EF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D068D">
        <w:t>X</w:t>
      </w:r>
      <w:r w:rsidR="009239AA">
        <w:t xml:space="preserve">]  No </w:t>
      </w:r>
    </w:p>
    <w:p w14:paraId="0F54309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3D068D">
        <w:t>X</w:t>
      </w:r>
      <w:r w:rsidR="009239AA">
        <w:t xml:space="preserve"> ] No</w:t>
      </w:r>
      <w:r w:rsidR="00C86E91">
        <w:t xml:space="preserve">   </w:t>
      </w:r>
    </w:p>
    <w:p w14:paraId="2BD885EB" w14:textId="77777777" w:rsidR="00C86E91" w:rsidRPr="00E2473B" w:rsidRDefault="00C86E91" w:rsidP="00C86E91">
      <w:pPr>
        <w:pStyle w:val="ListParagraph"/>
        <w:numPr>
          <w:ilvl w:val="0"/>
          <w:numId w:val="18"/>
        </w:numPr>
      </w:pPr>
      <w:r w:rsidRPr="00E2473B">
        <w:t xml:space="preserve">If </w:t>
      </w:r>
      <w:r w:rsidR="002B34CD" w:rsidRPr="00E2473B">
        <w:t>Yes</w:t>
      </w:r>
      <w:r w:rsidRPr="00E2473B">
        <w:t>, has a</w:t>
      </w:r>
      <w:r w:rsidR="002B34CD" w:rsidRPr="00E2473B">
        <w:t>n up-to-date</w:t>
      </w:r>
      <w:r w:rsidRPr="00E2473B">
        <w:t xml:space="preserve"> System o</w:t>
      </w:r>
      <w:r w:rsidR="002B34CD" w:rsidRPr="00E2473B">
        <w:t>f</w:t>
      </w:r>
      <w:r w:rsidRPr="00E2473B">
        <w:t xml:space="preserve"> Records Notice</w:t>
      </w:r>
      <w:r w:rsidR="002B34CD" w:rsidRPr="00E2473B">
        <w:t xml:space="preserve"> (SORN)</w:t>
      </w:r>
      <w:r w:rsidRPr="00E2473B">
        <w:t xml:space="preserve"> been published?  [  ] Yes  [  ] No</w:t>
      </w:r>
    </w:p>
    <w:p w14:paraId="2C964E48" w14:textId="77777777" w:rsidR="00CF6542" w:rsidRDefault="00CF6542" w:rsidP="00C86E91">
      <w:pPr>
        <w:pStyle w:val="ListParagraph"/>
        <w:ind w:left="0"/>
        <w:rPr>
          <w:b/>
        </w:rPr>
      </w:pPr>
    </w:p>
    <w:p w14:paraId="1D45E5B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F0E00B8" w14:textId="769CDFDE" w:rsidR="00C86E91" w:rsidRDefault="00C86E91">
      <w:r>
        <w:t xml:space="preserve">Is an incentive (e.g., money or reimbursement of expenses, token of appreciation) provided to participants?  [ </w:t>
      </w:r>
      <w:r w:rsidR="00E2473B">
        <w:t>X</w:t>
      </w:r>
      <w:r>
        <w:t xml:space="preserve"> ] Yes [ ] No  </w:t>
      </w:r>
    </w:p>
    <w:p w14:paraId="01A0BB0C" w14:textId="33269C81" w:rsidR="004118ED" w:rsidRDefault="004118ED">
      <w:pPr>
        <w:rPr>
          <w:b/>
        </w:rPr>
      </w:pPr>
      <w:r>
        <w:t>Each participant will receive a gift card for his/hers participation</w:t>
      </w:r>
    </w:p>
    <w:p w14:paraId="173E6EA2" w14:textId="77777777" w:rsidR="00C86E91" w:rsidRDefault="00C86E91">
      <w:pPr>
        <w:rPr>
          <w:b/>
        </w:rPr>
      </w:pPr>
    </w:p>
    <w:p w14:paraId="512703E2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0CCD66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97"/>
        <w:gridCol w:w="1643"/>
        <w:gridCol w:w="1003"/>
      </w:tblGrid>
      <w:tr w:rsidR="00EF2095" w14:paraId="03B0A8C4" w14:textId="77777777" w:rsidTr="00E80C60">
        <w:trPr>
          <w:trHeight w:val="274"/>
        </w:trPr>
        <w:tc>
          <w:tcPr>
            <w:tcW w:w="5418" w:type="dxa"/>
          </w:tcPr>
          <w:p w14:paraId="2D4B384B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97" w:type="dxa"/>
          </w:tcPr>
          <w:p w14:paraId="39BB522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43" w:type="dxa"/>
          </w:tcPr>
          <w:p w14:paraId="624BE295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1440595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6F39B34C" w14:textId="77777777" w:rsidTr="00E80C60">
        <w:trPr>
          <w:trHeight w:val="274"/>
        </w:trPr>
        <w:tc>
          <w:tcPr>
            <w:tcW w:w="5418" w:type="dxa"/>
          </w:tcPr>
          <w:p w14:paraId="2B471D3A" w14:textId="77777777" w:rsidR="006832D9" w:rsidRDefault="002D0806" w:rsidP="00843796">
            <w:r>
              <w:t>United States Mint customers and non-customers</w:t>
            </w:r>
          </w:p>
        </w:tc>
        <w:tc>
          <w:tcPr>
            <w:tcW w:w="1597" w:type="dxa"/>
          </w:tcPr>
          <w:p w14:paraId="6239127C" w14:textId="3CA82E75" w:rsidR="006832D9" w:rsidRDefault="00E80C60" w:rsidP="00843796">
            <w:r>
              <w:t>720</w:t>
            </w:r>
          </w:p>
        </w:tc>
        <w:tc>
          <w:tcPr>
            <w:tcW w:w="1643" w:type="dxa"/>
          </w:tcPr>
          <w:p w14:paraId="428705C6" w14:textId="38AFA270" w:rsidR="006832D9" w:rsidRDefault="00E80C60" w:rsidP="00843796">
            <w:r>
              <w:t xml:space="preserve">120 minutes </w:t>
            </w:r>
          </w:p>
        </w:tc>
        <w:tc>
          <w:tcPr>
            <w:tcW w:w="1003" w:type="dxa"/>
          </w:tcPr>
          <w:p w14:paraId="50F557E4" w14:textId="62A24F24" w:rsidR="006832D9" w:rsidRDefault="002D0806" w:rsidP="00843796">
            <w:r>
              <w:t>1,</w:t>
            </w:r>
            <w:r w:rsidR="00DB5838">
              <w:t xml:space="preserve">440 </w:t>
            </w:r>
            <w:r>
              <w:t>hours</w:t>
            </w:r>
          </w:p>
        </w:tc>
      </w:tr>
      <w:tr w:rsidR="002D0806" w14:paraId="30D8D3CD" w14:textId="77777777" w:rsidTr="00E80C60">
        <w:trPr>
          <w:trHeight w:val="274"/>
        </w:trPr>
        <w:tc>
          <w:tcPr>
            <w:tcW w:w="5418" w:type="dxa"/>
          </w:tcPr>
          <w:p w14:paraId="13A052EA" w14:textId="77777777" w:rsidR="002D0806" w:rsidRDefault="002D0806" w:rsidP="00843796"/>
        </w:tc>
        <w:tc>
          <w:tcPr>
            <w:tcW w:w="1597" w:type="dxa"/>
          </w:tcPr>
          <w:p w14:paraId="0899887E" w14:textId="77777777" w:rsidR="002D0806" w:rsidRDefault="002D0806" w:rsidP="00843796"/>
        </w:tc>
        <w:tc>
          <w:tcPr>
            <w:tcW w:w="1643" w:type="dxa"/>
          </w:tcPr>
          <w:p w14:paraId="05160712" w14:textId="77777777" w:rsidR="002D0806" w:rsidRDefault="002D0806" w:rsidP="00843796"/>
        </w:tc>
        <w:tc>
          <w:tcPr>
            <w:tcW w:w="1003" w:type="dxa"/>
          </w:tcPr>
          <w:p w14:paraId="3919E0FB" w14:textId="77777777" w:rsidR="002D0806" w:rsidRDefault="002D0806" w:rsidP="00843796"/>
        </w:tc>
      </w:tr>
      <w:tr w:rsidR="00EF2095" w14:paraId="7156A130" w14:textId="77777777" w:rsidTr="00E80C60">
        <w:trPr>
          <w:trHeight w:val="289"/>
        </w:trPr>
        <w:tc>
          <w:tcPr>
            <w:tcW w:w="5418" w:type="dxa"/>
          </w:tcPr>
          <w:p w14:paraId="0942386B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4C7B0549" w14:textId="5FDD0FAD" w:rsidR="007C4888" w:rsidRDefault="00DB5838" w:rsidP="00843796">
            <w:r>
              <w:t>720</w:t>
            </w:r>
            <w:r w:rsidR="002D0806" w:rsidRPr="002D0806">
              <w:t xml:space="preserve"> </w:t>
            </w:r>
          </w:p>
          <w:p w14:paraId="2686A600" w14:textId="77777777" w:rsidR="006832D9" w:rsidRPr="002D0806" w:rsidRDefault="002D0806" w:rsidP="00843796">
            <w:r w:rsidRPr="002D0806">
              <w:t>respondents</w:t>
            </w:r>
          </w:p>
        </w:tc>
        <w:tc>
          <w:tcPr>
            <w:tcW w:w="1643" w:type="dxa"/>
          </w:tcPr>
          <w:p w14:paraId="169B17BB" w14:textId="3C249F8B" w:rsidR="006832D9" w:rsidRDefault="00E80C60" w:rsidP="00843796">
            <w:r>
              <w:t>86,400 minutes</w:t>
            </w:r>
          </w:p>
        </w:tc>
        <w:tc>
          <w:tcPr>
            <w:tcW w:w="1003" w:type="dxa"/>
          </w:tcPr>
          <w:p w14:paraId="56EA3095" w14:textId="6FD3FD62" w:rsidR="006832D9" w:rsidRPr="002D0806" w:rsidRDefault="002D0806" w:rsidP="00843796">
            <w:r w:rsidRPr="002D0806">
              <w:t>1,</w:t>
            </w:r>
            <w:r w:rsidR="00DB5838">
              <w:t>440</w:t>
            </w:r>
            <w:r w:rsidRPr="002D0806">
              <w:t xml:space="preserve"> hours</w:t>
            </w:r>
          </w:p>
        </w:tc>
      </w:tr>
    </w:tbl>
    <w:p w14:paraId="23729F35" w14:textId="77777777" w:rsidR="00F3170F" w:rsidRDefault="00F3170F" w:rsidP="00F3170F"/>
    <w:p w14:paraId="7F5275F6" w14:textId="2FFBD857" w:rsidR="005E714A" w:rsidRPr="007C4888" w:rsidRDefault="001C39F7">
      <w:pPr>
        <w:rPr>
          <w:b/>
          <w:color w:val="000000" w:themeColor="text1"/>
        </w:rPr>
      </w:pPr>
      <w:r w:rsidRPr="00B1095D">
        <w:rPr>
          <w:b/>
          <w:color w:val="000000" w:themeColor="text1"/>
        </w:rPr>
        <w:t xml:space="preserve">FEDERAL </w:t>
      </w:r>
      <w:r w:rsidR="009F5923" w:rsidRPr="00B1095D">
        <w:rPr>
          <w:b/>
          <w:color w:val="000000" w:themeColor="text1"/>
        </w:rPr>
        <w:t>COST</w:t>
      </w:r>
      <w:r w:rsidR="00F06866" w:rsidRPr="00B1095D">
        <w:rPr>
          <w:b/>
          <w:color w:val="000000" w:themeColor="text1"/>
        </w:rPr>
        <w:t>:</w:t>
      </w:r>
      <w:r w:rsidR="00895229" w:rsidRPr="00B1095D">
        <w:rPr>
          <w:b/>
          <w:color w:val="000000" w:themeColor="text1"/>
        </w:rPr>
        <w:t xml:space="preserve"> </w:t>
      </w:r>
      <w:r w:rsidR="00C86E91" w:rsidRPr="00B1095D">
        <w:rPr>
          <w:b/>
          <w:color w:val="000000" w:themeColor="text1"/>
        </w:rPr>
        <w:t xml:space="preserve"> </w:t>
      </w:r>
      <w:r w:rsidR="00C86E91" w:rsidRPr="00B1095D">
        <w:rPr>
          <w:color w:val="000000" w:themeColor="text1"/>
        </w:rPr>
        <w:t>The estimated annual cost</w:t>
      </w:r>
      <w:r w:rsidR="00E2473B" w:rsidRPr="00B1095D">
        <w:rPr>
          <w:color w:val="000000" w:themeColor="text1"/>
        </w:rPr>
        <w:t xml:space="preserve"> to the Federal government </w:t>
      </w:r>
      <w:r w:rsidR="009E78C7" w:rsidRPr="00B1095D">
        <w:rPr>
          <w:color w:val="000000" w:themeColor="text1"/>
        </w:rPr>
        <w:t>is $</w:t>
      </w:r>
      <w:r w:rsidR="007A5C8A" w:rsidRPr="00B1095D">
        <w:rPr>
          <w:color w:val="000000" w:themeColor="text1"/>
        </w:rPr>
        <w:t>7</w:t>
      </w:r>
      <w:r w:rsidR="009502AC">
        <w:rPr>
          <w:color w:val="000000" w:themeColor="text1"/>
        </w:rPr>
        <w:t>97</w:t>
      </w:r>
      <w:r w:rsidR="009E78C7" w:rsidRPr="00B1095D">
        <w:rPr>
          <w:color w:val="000000" w:themeColor="text1"/>
        </w:rPr>
        <w:t>,</w:t>
      </w:r>
      <w:r w:rsidR="007A5C8A" w:rsidRPr="00B1095D">
        <w:rPr>
          <w:color w:val="000000" w:themeColor="text1"/>
        </w:rPr>
        <w:t>0</w:t>
      </w:r>
      <w:r w:rsidR="009E78C7" w:rsidRPr="00B1095D">
        <w:rPr>
          <w:color w:val="000000" w:themeColor="text1"/>
        </w:rPr>
        <w:t>00</w:t>
      </w:r>
      <w:r w:rsidR="00FF5C89">
        <w:rPr>
          <w:color w:val="000000" w:themeColor="text1"/>
        </w:rPr>
        <w:t>.</w:t>
      </w:r>
    </w:p>
    <w:p w14:paraId="19846A09" w14:textId="77777777" w:rsidR="00ED6492" w:rsidRDefault="00ED6492">
      <w:pPr>
        <w:rPr>
          <w:b/>
          <w:bCs/>
          <w:u w:val="single"/>
        </w:rPr>
      </w:pPr>
    </w:p>
    <w:p w14:paraId="07E4A4EE" w14:textId="6239FE20"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6997E0C7" w14:textId="77777777" w:rsidR="0069403B" w:rsidRDefault="0069403B" w:rsidP="00F06866">
      <w:pPr>
        <w:rPr>
          <w:b/>
        </w:rPr>
      </w:pPr>
    </w:p>
    <w:p w14:paraId="0297137B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78D2F959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B06AAE">
        <w:t>x</w:t>
      </w:r>
      <w:r>
        <w:t xml:space="preserve"> ] Yes</w:t>
      </w:r>
      <w:r>
        <w:tab/>
        <w:t>[ ] No</w:t>
      </w:r>
    </w:p>
    <w:p w14:paraId="50B4B6DB" w14:textId="77777777" w:rsidR="00636621" w:rsidRDefault="00636621" w:rsidP="00636621">
      <w:pPr>
        <w:pStyle w:val="ListParagraph"/>
      </w:pPr>
    </w:p>
    <w:p w14:paraId="3FD7D323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5CBCEEA" w14:textId="77777777" w:rsidR="00A403BB" w:rsidRDefault="00A403BB" w:rsidP="00A403BB">
      <w:pPr>
        <w:pStyle w:val="ListParagraph"/>
      </w:pPr>
    </w:p>
    <w:p w14:paraId="06CDC1C0" w14:textId="1376FC67" w:rsidR="00082B9F" w:rsidRDefault="00082B9F" w:rsidP="00082B9F">
      <w:pPr>
        <w:rPr>
          <w:rFonts w:ascii="Arial" w:hAnsi="Arial" w:cs="Arial"/>
          <w:sz w:val="22"/>
          <w:szCs w:val="22"/>
        </w:rPr>
      </w:pPr>
      <w:r w:rsidRPr="00DD7552">
        <w:rPr>
          <w:rFonts w:ascii="Arial" w:hAnsi="Arial" w:cs="Arial"/>
          <w:sz w:val="22"/>
          <w:szCs w:val="22"/>
        </w:rPr>
        <w:t xml:space="preserve">A total of </w:t>
      </w:r>
      <w:r w:rsidR="007A5C8A">
        <w:rPr>
          <w:rFonts w:ascii="Arial" w:hAnsi="Arial" w:cs="Arial"/>
          <w:sz w:val="22"/>
          <w:szCs w:val="22"/>
        </w:rPr>
        <w:t>80</w:t>
      </w:r>
      <w:r w:rsidRPr="00DD7552">
        <w:rPr>
          <w:rFonts w:ascii="Arial" w:hAnsi="Arial" w:cs="Arial"/>
          <w:sz w:val="22"/>
          <w:szCs w:val="22"/>
        </w:rPr>
        <w:t xml:space="preserve"> focus groups will be conducted in </w:t>
      </w:r>
      <w:r w:rsidR="007A5C8A">
        <w:rPr>
          <w:rFonts w:ascii="Arial" w:hAnsi="Arial" w:cs="Arial"/>
          <w:sz w:val="22"/>
          <w:szCs w:val="22"/>
        </w:rPr>
        <w:t>20</w:t>
      </w:r>
      <w:r w:rsidRPr="00DD7552">
        <w:rPr>
          <w:rFonts w:ascii="Arial" w:hAnsi="Arial" w:cs="Arial"/>
          <w:sz w:val="22"/>
          <w:szCs w:val="22"/>
        </w:rPr>
        <w:t xml:space="preserve"> cities (4 focus groups p</w:t>
      </w:r>
      <w:r w:rsidR="00F46DF5">
        <w:rPr>
          <w:rFonts w:ascii="Arial" w:hAnsi="Arial" w:cs="Arial"/>
          <w:sz w:val="22"/>
          <w:szCs w:val="22"/>
        </w:rPr>
        <w:t>er location), with</w:t>
      </w:r>
      <w:r w:rsidRPr="00DD7552">
        <w:rPr>
          <w:rFonts w:ascii="Arial" w:hAnsi="Arial" w:cs="Arial"/>
          <w:sz w:val="22"/>
          <w:szCs w:val="22"/>
        </w:rPr>
        <w:t xml:space="preserve"> </w:t>
      </w:r>
      <w:r w:rsidR="00E30919">
        <w:rPr>
          <w:rFonts w:ascii="Arial" w:hAnsi="Arial" w:cs="Arial"/>
          <w:sz w:val="22"/>
          <w:szCs w:val="22"/>
        </w:rPr>
        <w:t>9</w:t>
      </w:r>
      <w:r w:rsidRPr="00DD7552">
        <w:rPr>
          <w:rFonts w:ascii="Arial" w:hAnsi="Arial" w:cs="Arial"/>
          <w:sz w:val="22"/>
          <w:szCs w:val="22"/>
        </w:rPr>
        <w:t xml:space="preserve"> participants per group</w:t>
      </w:r>
      <w:r w:rsidR="00F46DF5">
        <w:rPr>
          <w:rFonts w:ascii="Arial" w:hAnsi="Arial" w:cs="Arial"/>
          <w:sz w:val="22"/>
          <w:szCs w:val="22"/>
        </w:rPr>
        <w:t xml:space="preserve"> with </w:t>
      </w:r>
      <w:r w:rsidR="00E80C60">
        <w:rPr>
          <w:rFonts w:ascii="Arial" w:hAnsi="Arial" w:cs="Arial"/>
          <w:sz w:val="22"/>
          <w:szCs w:val="22"/>
        </w:rPr>
        <w:t>a total of 720 respondents</w:t>
      </w:r>
      <w:r w:rsidRPr="00E37CD9">
        <w:rPr>
          <w:rFonts w:ascii="Arial" w:hAnsi="Arial" w:cs="Arial"/>
          <w:sz w:val="22"/>
          <w:szCs w:val="22"/>
        </w:rPr>
        <w:t xml:space="preserve"> – which will include a combination of customers and non-customers</w:t>
      </w:r>
      <w:r>
        <w:rPr>
          <w:rFonts w:ascii="Arial" w:hAnsi="Arial" w:cs="Arial"/>
          <w:sz w:val="22"/>
          <w:szCs w:val="22"/>
        </w:rPr>
        <w:t xml:space="preserve">.  Screeners will be utilized to help </w:t>
      </w:r>
      <w:r w:rsidRPr="007F4401">
        <w:rPr>
          <w:rFonts w:ascii="Arial" w:hAnsi="Arial" w:cs="Arial"/>
          <w:sz w:val="22"/>
          <w:szCs w:val="22"/>
        </w:rPr>
        <w:t>recruit and select respondents for focus groups or depth interviews.</w:t>
      </w:r>
      <w:r>
        <w:rPr>
          <w:rFonts w:ascii="Arial" w:hAnsi="Arial" w:cs="Arial"/>
          <w:sz w:val="22"/>
          <w:szCs w:val="22"/>
        </w:rPr>
        <w:t xml:space="preserve">  Lists of p</w:t>
      </w:r>
      <w:r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Customer groups are typically segmented based on annual spending on U</w:t>
      </w:r>
      <w:r>
        <w:rPr>
          <w:rFonts w:ascii="Arial" w:hAnsi="Arial" w:cs="Arial"/>
          <w:sz w:val="22"/>
          <w:szCs w:val="22"/>
        </w:rPr>
        <w:t xml:space="preserve">nited </w:t>
      </w:r>
      <w:r w:rsidRPr="00E37CD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tates </w:t>
      </w:r>
      <w:r w:rsidRPr="00E37CD9">
        <w:rPr>
          <w:rFonts w:ascii="Arial" w:hAnsi="Arial" w:cs="Arial"/>
          <w:sz w:val="22"/>
          <w:szCs w:val="22"/>
        </w:rPr>
        <w:t>Mint products (e.g., high and low spend) and/or tenure levels depending on the research objectives</w:t>
      </w:r>
      <w:r>
        <w:rPr>
          <w:rFonts w:ascii="Arial" w:hAnsi="Arial" w:cs="Arial"/>
          <w:sz w:val="22"/>
          <w:szCs w:val="22"/>
        </w:rPr>
        <w:t>. Customers fitting the segmentation criteria are selected for recruitment at random until a maximum number of participants are reached.  Also, d</w:t>
      </w:r>
      <w:r w:rsidRPr="00E37CD9">
        <w:rPr>
          <w:rFonts w:ascii="Arial" w:hAnsi="Arial" w:cs="Arial"/>
          <w:sz w:val="22"/>
          <w:szCs w:val="22"/>
        </w:rPr>
        <w:t>epending on research objectives, different segments of non-customers interested in collecting or gifting coin products are recruited from local lists</w:t>
      </w:r>
      <w:r>
        <w:rPr>
          <w:rFonts w:ascii="Arial" w:hAnsi="Arial" w:cs="Arial"/>
          <w:sz w:val="22"/>
          <w:szCs w:val="22"/>
        </w:rPr>
        <w:t xml:space="preserve"> and are selected for recruitment at random until a maximum number of participants are reached.     </w:t>
      </w:r>
    </w:p>
    <w:p w14:paraId="1E8E94F4" w14:textId="77777777"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</w:p>
    <w:p w14:paraId="5EF522F0" w14:textId="77777777"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>
        <w:rPr>
          <w:rFonts w:ascii="Arial" w:hAnsi="Arial" w:cs="Arial"/>
          <w:sz w:val="22"/>
          <w:szCs w:val="22"/>
        </w:rPr>
        <w:t xml:space="preserve">.  A </w:t>
      </w:r>
      <w:r w:rsidRPr="007F4401">
        <w:rPr>
          <w:rFonts w:ascii="Arial" w:hAnsi="Arial" w:cs="Arial"/>
          <w:sz w:val="22"/>
          <w:szCs w:val="22"/>
        </w:rPr>
        <w:t xml:space="preserve">discussion guide </w:t>
      </w:r>
      <w:r>
        <w:rPr>
          <w:rFonts w:ascii="Arial" w:hAnsi="Arial" w:cs="Arial"/>
          <w:sz w:val="22"/>
          <w:szCs w:val="22"/>
        </w:rPr>
        <w:t xml:space="preserve">will be utilized and serves as </w:t>
      </w:r>
      <w:r w:rsidRPr="007F4401">
        <w:rPr>
          <w:rFonts w:ascii="Arial" w:hAnsi="Arial" w:cs="Arial"/>
          <w:sz w:val="22"/>
          <w:szCs w:val="22"/>
        </w:rPr>
        <w:t xml:space="preserve">an outline, prepared in advance for </w:t>
      </w:r>
      <w:r>
        <w:rPr>
          <w:rFonts w:ascii="Arial" w:hAnsi="Arial" w:cs="Arial"/>
          <w:sz w:val="22"/>
          <w:szCs w:val="22"/>
        </w:rPr>
        <w:t>the</w:t>
      </w:r>
      <w:r w:rsidRPr="007F4401">
        <w:rPr>
          <w:rFonts w:ascii="Arial" w:hAnsi="Arial" w:cs="Arial"/>
          <w:sz w:val="22"/>
          <w:szCs w:val="22"/>
        </w:rPr>
        <w:t xml:space="preserve"> respondents, that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covers the topics and issues to be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explored. The guide is designed with the overall research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questions in mind and is constructed to ensure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that topics covered in the focus groups relate</w:t>
      </w:r>
      <w:r>
        <w:rPr>
          <w:rFonts w:ascii="Arial" w:hAnsi="Arial" w:cs="Arial"/>
          <w:sz w:val="22"/>
          <w:szCs w:val="22"/>
        </w:rPr>
        <w:t xml:space="preserve"> </w:t>
      </w:r>
      <w:r w:rsidRPr="007F4401">
        <w:rPr>
          <w:rFonts w:ascii="Arial" w:hAnsi="Arial" w:cs="Arial"/>
          <w:sz w:val="22"/>
          <w:szCs w:val="22"/>
        </w:rPr>
        <w:t>to these research objectives</w:t>
      </w:r>
      <w:r>
        <w:rPr>
          <w:rFonts w:ascii="Arial" w:hAnsi="Arial" w:cs="Arial"/>
          <w:sz w:val="22"/>
          <w:szCs w:val="22"/>
        </w:rPr>
        <w:t>.  T</w:t>
      </w:r>
      <w:r w:rsidRPr="00E37CD9">
        <w:rPr>
          <w:rFonts w:ascii="Arial" w:hAnsi="Arial" w:cs="Arial"/>
          <w:sz w:val="22"/>
          <w:szCs w:val="22"/>
        </w:rPr>
        <w:t>he groups typically involve both structured and free flowing discussion exploring specific topics of interest related to our products and marketing activities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Materials are frequently provided to participants to facilitate feedback on the topic at hand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7D4A4A45" w14:textId="77777777"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</w:p>
    <w:p w14:paraId="2610274A" w14:textId="77777777" w:rsidR="00082B9F" w:rsidRPr="00E37CD9" w:rsidRDefault="00082B9F" w:rsidP="00082B9F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Reports clearly indicate that the collected information is not generalizable and that it should be </w:t>
      </w:r>
      <w:r>
        <w:rPr>
          <w:rFonts w:ascii="Arial" w:hAnsi="Arial" w:cs="Arial"/>
          <w:sz w:val="22"/>
          <w:szCs w:val="22"/>
        </w:rPr>
        <w:t>used</w:t>
      </w:r>
      <w:r w:rsidRPr="00E37CD9">
        <w:rPr>
          <w:rFonts w:ascii="Arial" w:hAnsi="Arial" w:cs="Arial"/>
          <w:sz w:val="22"/>
          <w:szCs w:val="22"/>
        </w:rPr>
        <w:t xml:space="preserve"> solely </w:t>
      </w:r>
      <w:r>
        <w:rPr>
          <w:rFonts w:ascii="Arial" w:hAnsi="Arial" w:cs="Arial"/>
          <w:sz w:val="22"/>
          <w:szCs w:val="22"/>
        </w:rPr>
        <w:t>to</w:t>
      </w:r>
      <w:r w:rsidRPr="00E37CD9">
        <w:rPr>
          <w:rFonts w:ascii="Arial" w:hAnsi="Arial" w:cs="Arial"/>
          <w:sz w:val="22"/>
          <w:szCs w:val="22"/>
        </w:rPr>
        <w:t xml:space="preserve"> provid</w:t>
      </w:r>
      <w:r>
        <w:rPr>
          <w:rFonts w:ascii="Arial" w:hAnsi="Arial" w:cs="Arial"/>
          <w:sz w:val="22"/>
          <w:szCs w:val="22"/>
        </w:rPr>
        <w:t>e</w:t>
      </w:r>
      <w:r w:rsidRPr="00E37CD9">
        <w:rPr>
          <w:rFonts w:ascii="Arial" w:hAnsi="Arial" w:cs="Arial"/>
          <w:sz w:val="22"/>
          <w:szCs w:val="22"/>
        </w:rPr>
        <w:t xml:space="preserve"> directional insights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provide deep insights into underlying </w:t>
      </w:r>
      <w:r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 and are frequently used both to help explain observable trends and to provide direction for applied research topics</w:t>
      </w:r>
      <w:r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They are an important tool used by the </w:t>
      </w:r>
      <w:r w:rsidRPr="002A3E9E">
        <w:rPr>
          <w:rFonts w:ascii="Arial" w:hAnsi="Arial" w:cs="Arial"/>
          <w:sz w:val="22"/>
          <w:szCs w:val="22"/>
        </w:rPr>
        <w:t xml:space="preserve">Numismatic and Bullion Directorate </w:t>
      </w:r>
      <w:r w:rsidRPr="00E37CD9">
        <w:rPr>
          <w:rFonts w:ascii="Arial" w:hAnsi="Arial" w:cs="Arial"/>
          <w:sz w:val="22"/>
          <w:szCs w:val="22"/>
        </w:rPr>
        <w:t>to help develop and plan changes to products, policies and marketing activities.</w:t>
      </w:r>
    </w:p>
    <w:p w14:paraId="54BFFCDA" w14:textId="77777777" w:rsidR="00A403BB" w:rsidRDefault="00A403BB" w:rsidP="00A403BB"/>
    <w:p w14:paraId="1D17C3B6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33BBCDD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6D3CDAD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46863E43" w14:textId="77777777" w:rsidR="001B0AAA" w:rsidRDefault="00A403BB" w:rsidP="001B0AAA">
      <w:pPr>
        <w:ind w:left="720"/>
      </w:pPr>
      <w:r>
        <w:t>[] Telephone</w:t>
      </w:r>
      <w:r>
        <w:tab/>
      </w:r>
    </w:p>
    <w:p w14:paraId="270F7712" w14:textId="77777777" w:rsidR="001B0AAA" w:rsidRDefault="00A403BB" w:rsidP="001B0AAA">
      <w:pPr>
        <w:ind w:left="720"/>
      </w:pPr>
      <w:r>
        <w:t>[</w:t>
      </w:r>
      <w:r w:rsidR="00082B9F">
        <w:t>X</w:t>
      </w:r>
      <w:r>
        <w:t xml:space="preserve"> ] In-person</w:t>
      </w:r>
      <w:r>
        <w:tab/>
      </w:r>
    </w:p>
    <w:p w14:paraId="1757A224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7F4063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79E2161" w14:textId="77777777" w:rsidR="00082B9F" w:rsidRDefault="00082B9F" w:rsidP="001B0AAA">
      <w:pPr>
        <w:ind w:left="720"/>
      </w:pPr>
    </w:p>
    <w:p w14:paraId="587333B8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</w:t>
      </w:r>
      <w:r w:rsidR="00082B9F">
        <w:t>be used?  [X</w:t>
      </w:r>
      <w:r>
        <w:t>] Yes [  ] No</w:t>
      </w:r>
    </w:p>
    <w:p w14:paraId="5693FD7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0670E14F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38043F4" w14:textId="77777777"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5ABBC094" w14:textId="77777777" w:rsidR="00F24CFC" w:rsidRDefault="00E1629E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56C889" wp14:editId="445800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5FC951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6FD7DEE8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14:paraId="478F4EC3" w14:textId="77777777" w:rsidR="00F24CFC" w:rsidRPr="00CF6542" w:rsidRDefault="00F24CFC" w:rsidP="00F24CFC">
      <w:pPr>
        <w:rPr>
          <w:sz w:val="20"/>
          <w:szCs w:val="20"/>
        </w:rPr>
      </w:pPr>
    </w:p>
    <w:p w14:paraId="5FCD58A5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63CE888F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559AEE5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5C972B9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2E70BDCA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14:paraId="362DB81D" w14:textId="77777777"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14:paraId="12FD0030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EFCE823" w14:textId="77777777" w:rsidR="00F24CFC" w:rsidRDefault="00F24CFC" w:rsidP="00F24CFC">
      <w:pPr>
        <w:rPr>
          <w:sz w:val="16"/>
          <w:szCs w:val="16"/>
        </w:rPr>
      </w:pPr>
    </w:p>
    <w:p w14:paraId="1762511F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14:paraId="31CED3E6" w14:textId="77777777" w:rsidR="008F50D4" w:rsidRPr="00CF6542" w:rsidRDefault="008F50D4" w:rsidP="00F24CFC">
      <w:pPr>
        <w:rPr>
          <w:sz w:val="20"/>
          <w:szCs w:val="20"/>
        </w:rPr>
      </w:pPr>
    </w:p>
    <w:p w14:paraId="66A3FCE3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3C29849B" w14:textId="77777777" w:rsidR="00F24CFC" w:rsidRDefault="00F24CFC" w:rsidP="00F24CFC">
      <w:pPr>
        <w:rPr>
          <w:b/>
        </w:rPr>
      </w:pPr>
    </w:p>
    <w:p w14:paraId="1FD0F69E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2E91C9BD" w14:textId="443E83B6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FF5C89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14:paraId="29F5364C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F30C4E5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4CFE6360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14:paraId="56374013" w14:textId="77777777" w:rsidR="00F24CFC" w:rsidRPr="006832D9" w:rsidRDefault="00F24CFC" w:rsidP="00F24CFC">
      <w:pPr>
        <w:keepNext/>
        <w:keepLines/>
        <w:rPr>
          <w:b/>
        </w:rPr>
      </w:pPr>
    </w:p>
    <w:p w14:paraId="20A20FD1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04458285" w14:textId="77777777"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14:paraId="79ACE7A1" w14:textId="781BE478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793EF7FB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7FBC58FB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77AE9EAD" w14:textId="77777777" w:rsidR="00F24CFC" w:rsidRPr="00CF6542" w:rsidRDefault="00F24CFC" w:rsidP="00F24CFC">
      <w:pPr>
        <w:rPr>
          <w:b/>
          <w:sz w:val="20"/>
          <w:szCs w:val="20"/>
        </w:rPr>
      </w:pPr>
    </w:p>
    <w:p w14:paraId="010A38AE" w14:textId="77777777"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14:paraId="002D18FF" w14:textId="77777777" w:rsidR="00F24CFC" w:rsidRDefault="00F24CFC" w:rsidP="00F24CFC">
      <w:pPr>
        <w:pStyle w:val="ListParagraph"/>
        <w:ind w:left="360"/>
      </w:pPr>
    </w:p>
    <w:p w14:paraId="5D24A170" w14:textId="77C14069" w:rsidR="00F24CFC" w:rsidRPr="00F24CFC" w:rsidRDefault="00FF5C89" w:rsidP="00F24CFC">
      <w:pPr>
        <w:rPr>
          <w:b/>
        </w:rPr>
      </w:pPr>
      <w:r>
        <w:rPr>
          <w:b/>
        </w:rPr>
        <w:t>A</w:t>
      </w:r>
      <w:r w:rsidR="00F24CFC" w:rsidRPr="00F24CFC">
        <w:rPr>
          <w:b/>
        </w:rPr>
        <w:t>ll instruments, instructions, and scripts are submitted with the request.</w:t>
      </w:r>
    </w:p>
    <w:p w14:paraId="615230DE" w14:textId="77777777"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74A82" w14:textId="77777777" w:rsidR="00D47A8E" w:rsidRDefault="00D47A8E">
      <w:r>
        <w:separator/>
      </w:r>
    </w:p>
  </w:endnote>
  <w:endnote w:type="continuationSeparator" w:id="0">
    <w:p w14:paraId="22B61379" w14:textId="77777777" w:rsidR="00D47A8E" w:rsidRDefault="00D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B23CA" w14:textId="2AE2951B" w:rsidR="00E30919" w:rsidRDefault="00E3091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6DE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51D2DA" w14:textId="77777777" w:rsidR="00D47A8E" w:rsidRDefault="00D47A8E">
      <w:r>
        <w:separator/>
      </w:r>
    </w:p>
  </w:footnote>
  <w:footnote w:type="continuationSeparator" w:id="0">
    <w:p w14:paraId="169A52A3" w14:textId="77777777" w:rsidR="00D47A8E" w:rsidRDefault="00D47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1971"/>
    <w:rsid w:val="00067329"/>
    <w:rsid w:val="00070F29"/>
    <w:rsid w:val="00082B9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3E03"/>
    <w:rsid w:val="0024521E"/>
    <w:rsid w:val="00263C3D"/>
    <w:rsid w:val="00274D0B"/>
    <w:rsid w:val="002B052D"/>
    <w:rsid w:val="002B34CD"/>
    <w:rsid w:val="002B3C95"/>
    <w:rsid w:val="002D0806"/>
    <w:rsid w:val="002D0B92"/>
    <w:rsid w:val="00315F16"/>
    <w:rsid w:val="003D068D"/>
    <w:rsid w:val="003D5BBE"/>
    <w:rsid w:val="003E0F65"/>
    <w:rsid w:val="003E3C61"/>
    <w:rsid w:val="003F1C5B"/>
    <w:rsid w:val="004118ED"/>
    <w:rsid w:val="00434E33"/>
    <w:rsid w:val="00441434"/>
    <w:rsid w:val="0045264C"/>
    <w:rsid w:val="0045433B"/>
    <w:rsid w:val="004876EC"/>
    <w:rsid w:val="00495C7F"/>
    <w:rsid w:val="004D103F"/>
    <w:rsid w:val="004D6E14"/>
    <w:rsid w:val="005009B0"/>
    <w:rsid w:val="00595E19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54115"/>
    <w:rsid w:val="007A5C8A"/>
    <w:rsid w:val="007C488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02AC"/>
    <w:rsid w:val="00955A71"/>
    <w:rsid w:val="0096108F"/>
    <w:rsid w:val="009C13B9"/>
    <w:rsid w:val="009D01A2"/>
    <w:rsid w:val="009E78C7"/>
    <w:rsid w:val="009F5923"/>
    <w:rsid w:val="00A403BB"/>
    <w:rsid w:val="00A674DF"/>
    <w:rsid w:val="00A83AA6"/>
    <w:rsid w:val="00A934D6"/>
    <w:rsid w:val="00AC6416"/>
    <w:rsid w:val="00AE1809"/>
    <w:rsid w:val="00B06AAE"/>
    <w:rsid w:val="00B1095D"/>
    <w:rsid w:val="00B80D76"/>
    <w:rsid w:val="00BA2105"/>
    <w:rsid w:val="00BA7E06"/>
    <w:rsid w:val="00BB43B5"/>
    <w:rsid w:val="00BB6219"/>
    <w:rsid w:val="00BC6DED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D576A"/>
    <w:rsid w:val="00CF6542"/>
    <w:rsid w:val="00D24698"/>
    <w:rsid w:val="00D47A8E"/>
    <w:rsid w:val="00D6383F"/>
    <w:rsid w:val="00DB5838"/>
    <w:rsid w:val="00DB59D0"/>
    <w:rsid w:val="00DC33D3"/>
    <w:rsid w:val="00E1629E"/>
    <w:rsid w:val="00E2473B"/>
    <w:rsid w:val="00E26329"/>
    <w:rsid w:val="00E30919"/>
    <w:rsid w:val="00E40B50"/>
    <w:rsid w:val="00E50293"/>
    <w:rsid w:val="00E65FFC"/>
    <w:rsid w:val="00E744EA"/>
    <w:rsid w:val="00E80951"/>
    <w:rsid w:val="00E80C60"/>
    <w:rsid w:val="00E86CC6"/>
    <w:rsid w:val="00EB56B3"/>
    <w:rsid w:val="00ED6492"/>
    <w:rsid w:val="00EF2095"/>
    <w:rsid w:val="00F06866"/>
    <w:rsid w:val="00F15956"/>
    <w:rsid w:val="00F24CFC"/>
    <w:rsid w:val="00F3170F"/>
    <w:rsid w:val="00F46DF5"/>
    <w:rsid w:val="00F976B0"/>
    <w:rsid w:val="00FA6DE7"/>
    <w:rsid w:val="00FC0A8E"/>
    <w:rsid w:val="00FE2FA6"/>
    <w:rsid w:val="00FE3DF2"/>
    <w:rsid w:val="00FF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6D4A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E24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noj.pillai@usmint.trea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eslie.schwager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6C9EF-5DA9-4407-B696-125682C6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Pillai, Manoj</dc:creator>
  <cp:keywords/>
  <cp:lastModifiedBy>SYSTEM</cp:lastModifiedBy>
  <cp:revision>2</cp:revision>
  <cp:lastPrinted>2018-06-18T17:43:00Z</cp:lastPrinted>
  <dcterms:created xsi:type="dcterms:W3CDTF">2020-01-16T21:31:00Z</dcterms:created>
  <dcterms:modified xsi:type="dcterms:W3CDTF">2020-01-16T21:31:00Z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