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71A4" w:rsidR="00466B49" w:rsidP="00466B49" w:rsidRDefault="00466B49" w14:paraId="6A232F5D" w14:textId="77777777">
      <w:pPr>
        <w:jc w:val="center"/>
        <w:rPr>
          <w:rFonts w:ascii="Tahoma" w:hAnsi="Tahoma" w:cs="Tahoma"/>
          <w:b/>
          <w:bCs/>
          <w:iCs/>
          <w:sz w:val="22"/>
          <w:szCs w:val="22"/>
        </w:rPr>
      </w:pPr>
      <w:r w:rsidRPr="00F971A4">
        <w:rPr>
          <w:rFonts w:ascii="Tahoma" w:hAnsi="Tahoma" w:cs="Tahoma"/>
          <w:b/>
          <w:bCs/>
          <w:iCs/>
          <w:sz w:val="22"/>
          <w:szCs w:val="22"/>
        </w:rPr>
        <w:t>PART A – JUSTIFICATION</w:t>
      </w:r>
    </w:p>
    <w:p w:rsidRPr="00504B59" w:rsidR="00C37CD8" w:rsidP="00466B49" w:rsidRDefault="00C37CD8" w14:paraId="0244FAE1" w14:textId="77777777">
      <w:pPr>
        <w:jc w:val="center"/>
        <w:rPr>
          <w:rFonts w:ascii="Tahoma" w:hAnsi="Tahoma" w:cs="Tahoma"/>
          <w:b/>
          <w:bCs/>
          <w:i/>
          <w:iCs/>
          <w:color w:val="33CCCC"/>
          <w:sz w:val="22"/>
          <w:szCs w:val="22"/>
          <w:u w:val="single"/>
        </w:rPr>
      </w:pPr>
    </w:p>
    <w:p w:rsidR="003A5DE5" w:rsidP="00466B49" w:rsidRDefault="003A5DE5" w14:paraId="2B593486" w14:textId="77777777">
      <w:pPr>
        <w:ind w:left="-360" w:right="-360"/>
        <w:jc w:val="center"/>
        <w:rPr>
          <w:rFonts w:ascii="Arial" w:hAnsi="Arial" w:cs="Arial"/>
          <w:b/>
          <w:bCs/>
          <w:u w:val="single"/>
        </w:rPr>
      </w:pPr>
      <w:r>
        <w:rPr>
          <w:rFonts w:ascii="Arial" w:hAnsi="Arial" w:cs="Arial"/>
          <w:b/>
          <w:bCs/>
          <w:u w:val="single"/>
        </w:rPr>
        <w:t xml:space="preserve">Supporting Statement </w:t>
      </w:r>
    </w:p>
    <w:p w:rsidRPr="00F971A4" w:rsidR="00C37CD8" w:rsidP="00466B49" w:rsidRDefault="00C37CD8" w14:paraId="1840C7A9" w14:textId="263C9883">
      <w:pPr>
        <w:ind w:left="-360" w:right="-360"/>
        <w:jc w:val="center"/>
        <w:rPr>
          <w:rFonts w:ascii="Arial" w:hAnsi="Arial" w:cs="Arial"/>
          <w:u w:val="single"/>
        </w:rPr>
      </w:pPr>
      <w:r w:rsidRPr="00F971A4">
        <w:rPr>
          <w:rFonts w:ascii="Arial" w:hAnsi="Arial" w:cs="Arial"/>
          <w:b/>
          <w:bCs/>
          <w:u w:val="single"/>
        </w:rPr>
        <w:t xml:space="preserve">OMB </w:t>
      </w:r>
      <w:r w:rsidRPr="00F971A4" w:rsidR="00BC5EF3">
        <w:rPr>
          <w:rFonts w:ascii="Arial" w:hAnsi="Arial" w:cs="Arial"/>
          <w:b/>
          <w:bCs/>
          <w:u w:val="single"/>
        </w:rPr>
        <w:t>15</w:t>
      </w:r>
      <w:r w:rsidRPr="00F971A4" w:rsidR="00C21752">
        <w:rPr>
          <w:rFonts w:ascii="Arial" w:hAnsi="Arial" w:cs="Arial"/>
          <w:b/>
          <w:bCs/>
          <w:u w:val="single"/>
        </w:rPr>
        <w:t>30</w:t>
      </w:r>
      <w:r w:rsidRPr="00F971A4">
        <w:rPr>
          <w:rFonts w:ascii="Arial" w:hAnsi="Arial" w:cs="Arial"/>
          <w:b/>
          <w:bCs/>
          <w:u w:val="single"/>
        </w:rPr>
        <w:t>-</w:t>
      </w:r>
      <w:r w:rsidRPr="00F971A4" w:rsidR="00C21752">
        <w:rPr>
          <w:rFonts w:ascii="Arial" w:hAnsi="Arial" w:cs="Arial"/>
          <w:b/>
          <w:bCs/>
          <w:u w:val="single"/>
        </w:rPr>
        <w:t>NEW</w:t>
      </w:r>
    </w:p>
    <w:p w:rsidRPr="00F971A4" w:rsidR="008C325F" w:rsidP="00466B49" w:rsidRDefault="00C21752" w14:paraId="083853BF" w14:textId="56E24DBE">
      <w:pPr>
        <w:ind w:left="-360" w:right="-360"/>
        <w:jc w:val="center"/>
        <w:rPr>
          <w:rFonts w:ascii="Arial" w:hAnsi="Arial" w:cs="Arial"/>
        </w:rPr>
      </w:pPr>
      <w:r w:rsidRPr="00F971A4">
        <w:rPr>
          <w:rFonts w:ascii="Arial" w:hAnsi="Arial" w:cs="Arial"/>
        </w:rPr>
        <w:t>Complementary Reinsurers and Alien Reinsurers</w:t>
      </w:r>
    </w:p>
    <w:p w:rsidR="00EC10FF" w:rsidP="00BC5EF3" w:rsidRDefault="00EC10FF" w14:paraId="73F186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112BA" w:rsidP="00BC5EF3" w:rsidRDefault="00EC10FF" w14:paraId="13BFCF3C" w14:textId="77777777">
      <w:pPr>
        <w:numPr>
          <w:ilvl w:val="0"/>
          <w:numId w:val="20"/>
        </w:numPr>
        <w:tabs>
          <w:tab w:val="clear" w:pos="720"/>
          <w:tab w:val="left" w:pos="540"/>
        </w:tabs>
        <w:ind w:left="0" w:firstLine="0"/>
        <w:rPr>
          <w:rFonts w:ascii="Arial" w:hAnsi="Arial" w:cs="Arial"/>
          <w:b/>
          <w:bCs/>
          <w:sz w:val="22"/>
          <w:szCs w:val="22"/>
        </w:rPr>
      </w:pPr>
      <w:r w:rsidRPr="008112BA">
        <w:rPr>
          <w:rFonts w:ascii="Arial" w:hAnsi="Arial" w:cs="Arial"/>
          <w:b/>
          <w:bCs/>
          <w:sz w:val="22"/>
          <w:szCs w:val="22"/>
        </w:rPr>
        <w:t>Justification</w:t>
      </w:r>
    </w:p>
    <w:p w:rsidRPr="008112BA" w:rsidR="008112BA" w:rsidP="00BC5EF3" w:rsidRDefault="008112BA" w14:paraId="407DE22D" w14:textId="77777777">
      <w:pPr>
        <w:tabs>
          <w:tab w:val="left" w:pos="540"/>
        </w:tabs>
        <w:rPr>
          <w:rFonts w:ascii="Arial" w:hAnsi="Arial" w:cs="Arial"/>
          <w:b/>
          <w:bCs/>
          <w:sz w:val="22"/>
          <w:szCs w:val="22"/>
        </w:rPr>
      </w:pPr>
    </w:p>
    <w:p w:rsidR="00432C2B" w:rsidP="00BC5EF3" w:rsidRDefault="00432C2B" w14:paraId="385AA6B9"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Pr>
          <w:rFonts w:ascii="Arial" w:hAnsi="Arial" w:cs="Arial"/>
          <w:sz w:val="22"/>
          <w:szCs w:val="22"/>
        </w:rPr>
        <w:t>Circumstances Making the Collection of Information Necessary.</w:t>
      </w:r>
    </w:p>
    <w:p w:rsidRPr="00F971A4" w:rsidR="00501075" w:rsidP="00057316" w:rsidRDefault="00A47861" w14:paraId="5B90AB92" w14:textId="1F04CF0C">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rFonts w:ascii="Arial" w:hAnsi="Arial" w:cs="Arial"/>
          <w:b w:val="0"/>
          <w:bCs w:val="0"/>
          <w:sz w:val="22"/>
          <w:szCs w:val="22"/>
        </w:rPr>
      </w:pPr>
      <w:r w:rsidRPr="00F971A4">
        <w:rPr>
          <w:rFonts w:ascii="Arial" w:hAnsi="Arial" w:cs="Arial"/>
          <w:b w:val="0"/>
          <w:bCs w:val="0"/>
          <w:sz w:val="22"/>
          <w:szCs w:val="22"/>
        </w:rPr>
        <w:t xml:space="preserve">Proposed changes to </w:t>
      </w:r>
      <w:r w:rsidRPr="00F971A4" w:rsidR="004D01B7">
        <w:rPr>
          <w:rFonts w:ascii="Arial" w:hAnsi="Arial" w:cs="Arial"/>
          <w:b w:val="0"/>
          <w:bCs w:val="0"/>
          <w:sz w:val="22"/>
          <w:szCs w:val="22"/>
        </w:rPr>
        <w:t xml:space="preserve">31 CFR, </w:t>
      </w:r>
      <w:r w:rsidRPr="00F971A4">
        <w:rPr>
          <w:rFonts w:ascii="Arial" w:hAnsi="Arial" w:cs="Arial"/>
          <w:b w:val="0"/>
          <w:bCs w:val="0"/>
          <w:sz w:val="22"/>
          <w:szCs w:val="22"/>
        </w:rPr>
        <w:t xml:space="preserve">Part 223 add two new categories of companies that can receive recognition from Treasury as a </w:t>
      </w:r>
      <w:r w:rsidRPr="00F971A4" w:rsidR="002D096D">
        <w:rPr>
          <w:rFonts w:ascii="Arial" w:hAnsi="Arial" w:cs="Arial"/>
          <w:b w:val="0"/>
          <w:bCs w:val="0"/>
          <w:sz w:val="22"/>
          <w:szCs w:val="22"/>
        </w:rPr>
        <w:t xml:space="preserve">complementary reinsurer or alien reinsurer and create a new collection of information. The collection of information </w:t>
      </w:r>
      <w:r w:rsidRPr="00F971A4" w:rsidR="004D01B7">
        <w:rPr>
          <w:rFonts w:ascii="Arial" w:hAnsi="Arial" w:cs="Arial"/>
          <w:b w:val="0"/>
          <w:bCs w:val="0"/>
          <w:sz w:val="22"/>
          <w:szCs w:val="22"/>
        </w:rPr>
        <w:t>will be</w:t>
      </w:r>
      <w:r w:rsidRPr="00F971A4" w:rsidR="002D096D">
        <w:rPr>
          <w:rFonts w:ascii="Arial" w:hAnsi="Arial" w:cs="Arial"/>
          <w:b w:val="0"/>
          <w:bCs w:val="0"/>
          <w:sz w:val="22"/>
          <w:szCs w:val="22"/>
        </w:rPr>
        <w:t xml:space="preserve"> necessary </w:t>
      </w:r>
      <w:r w:rsidRPr="00F971A4" w:rsidR="0092143A">
        <w:rPr>
          <w:rFonts w:ascii="Arial" w:hAnsi="Arial" w:cs="Arial"/>
          <w:b w:val="0"/>
          <w:bCs w:val="0"/>
          <w:sz w:val="22"/>
          <w:szCs w:val="22"/>
        </w:rPr>
        <w:t>when a company</w:t>
      </w:r>
      <w:r w:rsidRPr="00F971A4" w:rsidR="0092143A">
        <w:t xml:space="preserve"> </w:t>
      </w:r>
      <w:r w:rsidRPr="00F971A4" w:rsidR="0092143A">
        <w:rPr>
          <w:rFonts w:ascii="Arial" w:hAnsi="Arial" w:cs="Arial"/>
          <w:b w:val="0"/>
          <w:bCs w:val="0"/>
          <w:sz w:val="22"/>
          <w:szCs w:val="22"/>
        </w:rPr>
        <w:t xml:space="preserve">applies for recognition by Treasury as a complementary or alien reinsurer or annual renewal of such recognition. </w:t>
      </w:r>
    </w:p>
    <w:p w:rsidRPr="00F971A4" w:rsidR="00501075" w:rsidP="00057316" w:rsidRDefault="00501075" w14:paraId="7B5C8D71"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rFonts w:ascii="Arial" w:hAnsi="Arial" w:cs="Arial"/>
          <w:b w:val="0"/>
          <w:bCs w:val="0"/>
          <w:sz w:val="22"/>
          <w:szCs w:val="22"/>
        </w:rPr>
      </w:pPr>
      <w:bookmarkStart w:name="_Hlk83636197" w:id="0"/>
      <w:r w:rsidRPr="00F971A4">
        <w:rPr>
          <w:rFonts w:ascii="Arial" w:hAnsi="Arial" w:cs="Arial"/>
          <w:b w:val="0"/>
          <w:bCs w:val="0"/>
          <w:sz w:val="22"/>
          <w:szCs w:val="22"/>
        </w:rPr>
        <w:t>Companies applying for initial recognition as a complementary reinsurer will submit to Treasury all information provided by the company or by the supervisory authority of the company’s domiciliary jurisdiction to any U.S. state regulator in the two most recently completed calendar years. For renewal of such recognition, companies will submit all semi-annual and annual filing information provided by the company or by the supervisory authority of the company’s domiciliary jurisdiction to any U.S. state regulator in the most recently completed calendar year.</w:t>
      </w:r>
    </w:p>
    <w:p w:rsidRPr="00F971A4" w:rsidR="00093847" w:rsidP="00057316" w:rsidRDefault="00501075" w14:paraId="1D188C25" w14:textId="5840A0EA">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rFonts w:ascii="Arial" w:hAnsi="Arial" w:cs="Arial"/>
          <w:b w:val="0"/>
          <w:bCs w:val="0"/>
          <w:sz w:val="22"/>
          <w:szCs w:val="22"/>
        </w:rPr>
      </w:pPr>
      <w:bookmarkStart w:name="_Hlk83636291" w:id="1"/>
      <w:bookmarkEnd w:id="0"/>
      <w:r w:rsidRPr="00F971A4">
        <w:rPr>
          <w:rFonts w:ascii="Arial" w:hAnsi="Arial" w:cs="Arial"/>
          <w:b w:val="0"/>
          <w:bCs w:val="0"/>
          <w:sz w:val="22"/>
          <w:szCs w:val="22"/>
        </w:rPr>
        <w:t xml:space="preserve">Companies applying for initial recognition as an alien reinsurer will submit to Treasury </w:t>
      </w:r>
      <w:r w:rsidR="003356D6">
        <w:rPr>
          <w:rFonts w:ascii="Arial" w:hAnsi="Arial" w:cs="Arial"/>
          <w:b w:val="0"/>
          <w:bCs w:val="0"/>
          <w:sz w:val="22"/>
          <w:szCs w:val="22"/>
        </w:rPr>
        <w:t xml:space="preserve">all information </w:t>
      </w:r>
      <w:r w:rsidRPr="00F971A4">
        <w:rPr>
          <w:rFonts w:ascii="Arial" w:hAnsi="Arial" w:cs="Arial"/>
          <w:b w:val="0"/>
          <w:bCs w:val="0"/>
          <w:sz w:val="22"/>
          <w:szCs w:val="22"/>
        </w:rPr>
        <w:t xml:space="preserve">provided to any U.S. state regulator in the two most recently completed calendar years. For renewal of such recognition, companies will submit </w:t>
      </w:r>
      <w:r w:rsidRPr="00F971A4" w:rsidR="00D142CE">
        <w:rPr>
          <w:rFonts w:ascii="Arial" w:hAnsi="Arial" w:cs="Arial"/>
          <w:b w:val="0"/>
          <w:bCs w:val="0"/>
          <w:sz w:val="22"/>
          <w:szCs w:val="22"/>
        </w:rPr>
        <w:t>all annual filing information provided to any U.S. state regulator in the most recently completed calendar year</w:t>
      </w:r>
      <w:bookmarkEnd w:id="1"/>
      <w:r w:rsidRPr="00F971A4" w:rsidR="00D142CE">
        <w:rPr>
          <w:rFonts w:ascii="Arial" w:hAnsi="Arial" w:cs="Arial"/>
          <w:b w:val="0"/>
          <w:bCs w:val="0"/>
          <w:sz w:val="22"/>
          <w:szCs w:val="22"/>
        </w:rPr>
        <w:t xml:space="preserve">. </w:t>
      </w:r>
      <w:r w:rsidRPr="00F971A4" w:rsidR="0092143A">
        <w:rPr>
          <w:rFonts w:ascii="Arial" w:hAnsi="Arial" w:cs="Arial"/>
          <w:b w:val="0"/>
          <w:bCs w:val="0"/>
          <w:sz w:val="22"/>
          <w:szCs w:val="22"/>
        </w:rPr>
        <w:t xml:space="preserve"> </w:t>
      </w:r>
    </w:p>
    <w:p w:rsidR="00603DC3" w:rsidP="00057316" w:rsidRDefault="0092143A" w14:paraId="707E854D" w14:textId="375F75FB">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rFonts w:ascii="Arial" w:hAnsi="Arial" w:cs="Arial"/>
          <w:b w:val="0"/>
          <w:bCs w:val="0"/>
          <w:sz w:val="22"/>
          <w:szCs w:val="22"/>
        </w:rPr>
      </w:pPr>
      <w:r w:rsidRPr="00F971A4">
        <w:rPr>
          <w:rFonts w:ascii="Arial" w:hAnsi="Arial" w:cs="Arial"/>
          <w:b w:val="0"/>
          <w:bCs w:val="0"/>
          <w:sz w:val="22"/>
          <w:szCs w:val="22"/>
        </w:rPr>
        <w:t xml:space="preserve">The Secretary of the Treasury has been given authority pursuant to 31 USC 9304 – 9308 to certify insurance companies wishing to write </w:t>
      </w:r>
      <w:r w:rsidRPr="00F971A4" w:rsidR="002A2857">
        <w:rPr>
          <w:rFonts w:ascii="Arial" w:hAnsi="Arial" w:cs="Arial"/>
          <w:b w:val="0"/>
          <w:bCs w:val="0"/>
          <w:sz w:val="22"/>
          <w:szCs w:val="22"/>
        </w:rPr>
        <w:t xml:space="preserve">or reinsure </w:t>
      </w:r>
      <w:r w:rsidRPr="00F971A4">
        <w:rPr>
          <w:rFonts w:ascii="Arial" w:hAnsi="Arial" w:cs="Arial"/>
          <w:b w:val="0"/>
          <w:bCs w:val="0"/>
          <w:sz w:val="22"/>
          <w:szCs w:val="22"/>
        </w:rPr>
        <w:t>Federal surety bonds. The authority has been further codified at 31 CFR, Part 223. Section 223.</w:t>
      </w:r>
      <w:r w:rsidRPr="00F971A4" w:rsidR="002A2857">
        <w:rPr>
          <w:rFonts w:ascii="Arial" w:hAnsi="Arial" w:cs="Arial"/>
          <w:b w:val="0"/>
          <w:bCs w:val="0"/>
          <w:sz w:val="22"/>
          <w:szCs w:val="22"/>
        </w:rPr>
        <w:t>2</w:t>
      </w:r>
      <w:r w:rsidRPr="00F971A4">
        <w:rPr>
          <w:rFonts w:ascii="Arial" w:hAnsi="Arial" w:cs="Arial"/>
          <w:b w:val="0"/>
          <w:bCs w:val="0"/>
          <w:sz w:val="22"/>
          <w:szCs w:val="22"/>
        </w:rPr>
        <w:t xml:space="preserve"> specifies guidelines applicable to companies seeking certification while Section 223.12 specifies requirements applicable to companies seeking recognition as a</w:t>
      </w:r>
      <w:r w:rsidR="005702A4">
        <w:rPr>
          <w:rFonts w:ascii="Arial" w:hAnsi="Arial" w:cs="Arial"/>
          <w:b w:val="0"/>
          <w:bCs w:val="0"/>
          <w:sz w:val="22"/>
          <w:szCs w:val="22"/>
        </w:rPr>
        <w:t xml:space="preserve"> </w:t>
      </w:r>
      <w:r w:rsidRPr="00F971A4" w:rsidR="00093847">
        <w:rPr>
          <w:rFonts w:ascii="Arial" w:hAnsi="Arial" w:cs="Arial"/>
          <w:b w:val="0"/>
          <w:bCs w:val="0"/>
          <w:sz w:val="22"/>
          <w:szCs w:val="22"/>
        </w:rPr>
        <w:t>r</w:t>
      </w:r>
      <w:r w:rsidRPr="00F971A4">
        <w:rPr>
          <w:rFonts w:ascii="Arial" w:hAnsi="Arial" w:cs="Arial"/>
          <w:b w:val="0"/>
          <w:bCs w:val="0"/>
          <w:sz w:val="22"/>
          <w:szCs w:val="22"/>
        </w:rPr>
        <w:t>einsurer</w:t>
      </w:r>
      <w:r w:rsidRPr="00F971A4" w:rsidR="00093847">
        <w:t xml:space="preserve"> </w:t>
      </w:r>
      <w:r w:rsidRPr="00A40061" w:rsidR="005702A4">
        <w:rPr>
          <w:b w:val="0"/>
          <w:bCs w:val="0"/>
        </w:rPr>
        <w:t>and sections 223.12(i) and 223.12(j) specify</w:t>
      </w:r>
      <w:r w:rsidR="005702A4">
        <w:t xml:space="preserve"> </w:t>
      </w:r>
      <w:r w:rsidRPr="00F971A4" w:rsidR="00093847">
        <w:rPr>
          <w:rFonts w:ascii="Arial" w:hAnsi="Arial" w:cs="Arial"/>
          <w:b w:val="0"/>
          <w:bCs w:val="0"/>
          <w:sz w:val="22"/>
          <w:szCs w:val="22"/>
        </w:rPr>
        <w:t xml:space="preserve">requirements applicable to companies seeking recognition as a complementary </w:t>
      </w:r>
      <w:r w:rsidR="005702A4">
        <w:rPr>
          <w:rFonts w:ascii="Arial" w:hAnsi="Arial" w:cs="Arial"/>
          <w:b w:val="0"/>
          <w:bCs w:val="0"/>
          <w:sz w:val="22"/>
          <w:szCs w:val="22"/>
        </w:rPr>
        <w:t>and</w:t>
      </w:r>
      <w:r w:rsidRPr="00F971A4" w:rsidR="00093847">
        <w:rPr>
          <w:rFonts w:ascii="Arial" w:hAnsi="Arial" w:cs="Arial"/>
          <w:b w:val="0"/>
          <w:bCs w:val="0"/>
          <w:sz w:val="22"/>
          <w:szCs w:val="22"/>
        </w:rPr>
        <w:t xml:space="preserve"> alien reinsurer</w:t>
      </w:r>
      <w:r w:rsidR="005702A4">
        <w:rPr>
          <w:rFonts w:ascii="Arial" w:hAnsi="Arial" w:cs="Arial"/>
          <w:b w:val="0"/>
          <w:bCs w:val="0"/>
          <w:sz w:val="22"/>
          <w:szCs w:val="22"/>
        </w:rPr>
        <w:t xml:space="preserve"> respectively</w:t>
      </w:r>
      <w:r w:rsidRPr="00F971A4" w:rsidR="00093847">
        <w:rPr>
          <w:rFonts w:ascii="Arial" w:hAnsi="Arial" w:cs="Arial"/>
          <w:b w:val="0"/>
          <w:bCs w:val="0"/>
          <w:sz w:val="22"/>
          <w:szCs w:val="22"/>
        </w:rPr>
        <w:t xml:space="preserve">. </w:t>
      </w:r>
    </w:p>
    <w:p w:rsidRPr="00F971A4" w:rsidR="00F971A4" w:rsidP="005E6B19" w:rsidRDefault="00F971A4" w14:paraId="5E3585B3"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0"/>
        <w:rPr>
          <w:rFonts w:ascii="Arial" w:hAnsi="Arial" w:cs="Arial"/>
          <w:b w:val="0"/>
          <w:bCs w:val="0"/>
          <w:sz w:val="22"/>
          <w:szCs w:val="22"/>
        </w:rPr>
      </w:pPr>
    </w:p>
    <w:p w:rsidR="00432C2B" w:rsidP="000356B0" w:rsidRDefault="00432C2B" w14:paraId="701C4783"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Pr>
          <w:rFonts w:ascii="Arial" w:hAnsi="Arial" w:cs="Arial"/>
          <w:sz w:val="22"/>
          <w:szCs w:val="22"/>
        </w:rPr>
        <w:t>Purpose and Use of the Information Collection.</w:t>
      </w:r>
    </w:p>
    <w:p w:rsidR="00BE2CE5" w:rsidP="00057316" w:rsidRDefault="00CB6471" w14:paraId="4006A96F" w14:textId="667F06A2">
      <w:pPr>
        <w:pStyle w:val="smindent"/>
        <w:tabs>
          <w:tab w:val="left" w:pos="540"/>
        </w:tabs>
        <w:spacing w:before="120" w:beforeAutospacing="0" w:after="120" w:afterAutospacing="0"/>
        <w:ind w:left="540"/>
        <w:rPr>
          <w:rFonts w:ascii="Arial" w:hAnsi="Arial" w:cs="Arial"/>
          <w:bCs/>
          <w:color w:val="3366FF"/>
          <w:sz w:val="20"/>
          <w:szCs w:val="20"/>
        </w:rPr>
      </w:pPr>
      <w:r w:rsidRPr="00F971A4">
        <w:rPr>
          <w:rFonts w:ascii="Arial" w:hAnsi="Arial" w:cs="Arial"/>
          <w:sz w:val="22"/>
          <w:szCs w:val="22"/>
          <w:lang w:val="en"/>
        </w:rPr>
        <w:t xml:space="preserve">The information is used by the Bureau of the Fiscal Service, Surety Bond Branch (SBB) to determine if the applicant company meets the requirements for recognition as a complementary reinsurer or alien reinsurer as outlined in § 223.12 of the revised regulations and in supplemental guidance published by Treasury on its website. </w:t>
      </w:r>
    </w:p>
    <w:p w:rsidR="005E6B19" w:rsidP="005E6B19" w:rsidRDefault="005E6B19" w14:paraId="322E716B" w14:textId="3AC1EB11">
      <w:pPr>
        <w:pStyle w:val="smindent"/>
        <w:tabs>
          <w:tab w:val="left" w:pos="540"/>
        </w:tabs>
        <w:spacing w:before="120" w:beforeAutospacing="0" w:after="120" w:afterAutospacing="0"/>
        <w:ind w:left="540"/>
        <w:rPr>
          <w:rFonts w:ascii="Arial" w:hAnsi="Arial" w:cs="Arial"/>
          <w:bCs/>
          <w:color w:val="3366FF"/>
          <w:sz w:val="20"/>
          <w:szCs w:val="20"/>
        </w:rPr>
      </w:pPr>
    </w:p>
    <w:p w:rsidRPr="005E6B19" w:rsidR="005E6B19" w:rsidP="00057316" w:rsidRDefault="005E6B19" w14:paraId="3C63B2CF" w14:textId="77777777">
      <w:pPr>
        <w:pStyle w:val="smindent"/>
        <w:tabs>
          <w:tab w:val="left" w:pos="540"/>
        </w:tabs>
        <w:spacing w:before="120" w:beforeAutospacing="0" w:after="120" w:afterAutospacing="0"/>
        <w:rPr>
          <w:rFonts w:ascii="Arial" w:hAnsi="Arial" w:cs="Arial"/>
          <w:bCs/>
          <w:color w:val="3366FF"/>
          <w:sz w:val="20"/>
          <w:szCs w:val="20"/>
        </w:rPr>
      </w:pPr>
    </w:p>
    <w:p w:rsidR="00432C2B" w:rsidP="00BC5EF3" w:rsidRDefault="00432C2B" w14:paraId="3E8C15E4" w14:textId="77777777">
      <w:pPr>
        <w:numPr>
          <w:ilvl w:val="0"/>
          <w:numId w:val="10"/>
        </w:numPr>
        <w:tabs>
          <w:tab w:val="clear" w:pos="360"/>
          <w:tab w:val="left" w:pos="540"/>
        </w:tabs>
        <w:spacing w:before="120" w:after="120"/>
        <w:ind w:left="540" w:hanging="540"/>
        <w:rPr>
          <w:rFonts w:ascii="Arial" w:hAnsi="Arial" w:cs="Arial"/>
          <w:b/>
          <w:bCs/>
          <w:sz w:val="22"/>
          <w:szCs w:val="22"/>
        </w:rPr>
      </w:pPr>
      <w:r>
        <w:rPr>
          <w:rFonts w:ascii="Arial" w:hAnsi="Arial" w:cs="Arial"/>
          <w:b/>
          <w:bCs/>
          <w:sz w:val="22"/>
          <w:szCs w:val="22"/>
        </w:rPr>
        <w:lastRenderedPageBreak/>
        <w:t>Consideration Given to Information Technology.</w:t>
      </w:r>
    </w:p>
    <w:p w:rsidR="00933A37" w:rsidP="00057316" w:rsidRDefault="00D142CE" w14:paraId="47AD797F" w14:textId="71247B32">
      <w:pPr>
        <w:tabs>
          <w:tab w:val="left" w:pos="540"/>
        </w:tabs>
        <w:spacing w:before="120" w:after="120"/>
        <w:ind w:left="540"/>
        <w:rPr>
          <w:rFonts w:ascii="Arial" w:hAnsi="Arial" w:cs="Arial"/>
          <w:color w:val="3366FF"/>
          <w:sz w:val="22"/>
          <w:szCs w:val="22"/>
        </w:rPr>
      </w:pPr>
      <w:r w:rsidRPr="00F971A4">
        <w:rPr>
          <w:rFonts w:ascii="Arial" w:hAnsi="Arial" w:cs="Arial"/>
          <w:sz w:val="22"/>
          <w:szCs w:val="22"/>
        </w:rPr>
        <w:t xml:space="preserve">The information </w:t>
      </w:r>
      <w:r w:rsidRPr="00F971A4" w:rsidR="00933A37">
        <w:rPr>
          <w:rFonts w:ascii="Arial" w:hAnsi="Arial" w:cs="Arial"/>
          <w:sz w:val="22"/>
          <w:szCs w:val="22"/>
        </w:rPr>
        <w:t>for complementary and alien reinsurer</w:t>
      </w:r>
      <w:r w:rsidR="00F971A4">
        <w:rPr>
          <w:rFonts w:ascii="Arial" w:hAnsi="Arial" w:cs="Arial"/>
          <w:sz w:val="22"/>
          <w:szCs w:val="22"/>
        </w:rPr>
        <w:t>s</w:t>
      </w:r>
      <w:r w:rsidRPr="00F971A4" w:rsidR="00933A37">
        <w:rPr>
          <w:rFonts w:ascii="Arial" w:hAnsi="Arial" w:cs="Arial"/>
          <w:sz w:val="22"/>
          <w:szCs w:val="22"/>
        </w:rPr>
        <w:t xml:space="preserve"> describ</w:t>
      </w:r>
      <w:r w:rsidRPr="00F971A4">
        <w:rPr>
          <w:rFonts w:ascii="Arial" w:hAnsi="Arial" w:cs="Arial"/>
          <w:sz w:val="22"/>
          <w:szCs w:val="22"/>
        </w:rPr>
        <w:t>ed in question 1</w:t>
      </w:r>
      <w:r w:rsidRPr="00F971A4" w:rsidR="00933A37">
        <w:rPr>
          <w:rFonts w:ascii="Arial" w:hAnsi="Arial" w:cs="Arial"/>
          <w:sz w:val="22"/>
          <w:szCs w:val="22"/>
        </w:rPr>
        <w:t xml:space="preserve"> is</w:t>
      </w:r>
      <w:r w:rsidRPr="00F971A4" w:rsidR="00933A37">
        <w:t xml:space="preserve"> </w:t>
      </w:r>
      <w:r w:rsidRPr="00F971A4" w:rsidR="00933A37">
        <w:rPr>
          <w:rFonts w:ascii="Arial" w:hAnsi="Arial" w:cs="Arial"/>
          <w:sz w:val="22"/>
          <w:szCs w:val="22"/>
        </w:rPr>
        <w:t>the same information provided</w:t>
      </w:r>
      <w:r w:rsidRPr="00F971A4" w:rsidR="0072371E">
        <w:rPr>
          <w:rFonts w:ascii="Arial" w:hAnsi="Arial" w:cs="Arial"/>
          <w:sz w:val="22"/>
          <w:szCs w:val="22"/>
        </w:rPr>
        <w:t xml:space="preserve"> to</w:t>
      </w:r>
      <w:r w:rsidRPr="00F971A4" w:rsidR="00933A37">
        <w:t xml:space="preserve"> </w:t>
      </w:r>
      <w:r w:rsidRPr="00F971A4" w:rsidR="00933A37">
        <w:rPr>
          <w:rFonts w:ascii="Arial" w:hAnsi="Arial" w:cs="Arial"/>
          <w:sz w:val="22"/>
          <w:szCs w:val="22"/>
        </w:rPr>
        <w:t>the supervisory authority of the company’s domiciliary jurisdiction, or to any U.S. state regulator. Therefore, most of the information requested is readily available and submitted to SBB in electronic form via email. Whenever possible, SBB attempts to convert as many reporting functions as economically feasible from a paper base to an electronic or automated system. An online payment portal is also provided for payment of application fees</w:t>
      </w:r>
      <w:r w:rsidR="00933A37">
        <w:rPr>
          <w:rFonts w:ascii="Arial" w:hAnsi="Arial" w:cs="Arial"/>
          <w:color w:val="3366FF"/>
          <w:sz w:val="22"/>
          <w:szCs w:val="22"/>
        </w:rPr>
        <w:t>.</w:t>
      </w:r>
    </w:p>
    <w:p w:rsidR="00CB6471" w:rsidP="00200A74" w:rsidRDefault="00CB6471" w14:paraId="0B0C0D08" w14:textId="77777777">
      <w:pPr>
        <w:tabs>
          <w:tab w:val="left" w:pos="540"/>
        </w:tabs>
        <w:spacing w:before="120" w:after="120"/>
        <w:ind w:left="540" w:hanging="540"/>
        <w:jc w:val="both"/>
        <w:rPr>
          <w:color w:val="000000"/>
          <w:lang w:val="en"/>
        </w:rPr>
      </w:pPr>
    </w:p>
    <w:p w:rsidRPr="005E6B19" w:rsidR="005E6B19" w:rsidP="005E6B19" w:rsidRDefault="00432C2B" w14:paraId="0EABD60A" w14:textId="7634690F">
      <w:pPr>
        <w:numPr>
          <w:ilvl w:val="0"/>
          <w:numId w:val="10"/>
        </w:numPr>
        <w:tabs>
          <w:tab w:val="clear" w:pos="360"/>
          <w:tab w:val="num" w:pos="540"/>
        </w:tabs>
        <w:spacing w:before="120" w:after="120"/>
        <w:ind w:left="540" w:hanging="540"/>
        <w:jc w:val="both"/>
        <w:rPr>
          <w:rFonts w:ascii="Arial" w:hAnsi="Arial" w:cs="Arial"/>
          <w:b/>
          <w:bCs/>
          <w:sz w:val="22"/>
          <w:szCs w:val="22"/>
        </w:rPr>
      </w:pPr>
      <w:r>
        <w:rPr>
          <w:rFonts w:ascii="Arial" w:hAnsi="Arial" w:cs="Arial"/>
          <w:b/>
          <w:bCs/>
          <w:sz w:val="22"/>
          <w:szCs w:val="22"/>
        </w:rPr>
        <w:t>Duplication of Information.</w:t>
      </w:r>
    </w:p>
    <w:p w:rsidRPr="00F971A4" w:rsidR="0006665A" w:rsidP="00057316" w:rsidRDefault="00AB2B87" w14:paraId="2BFCCAA2" w14:textId="57CF7B8D">
      <w:pPr>
        <w:tabs>
          <w:tab w:val="left" w:pos="540"/>
        </w:tabs>
        <w:spacing w:before="120" w:after="120"/>
        <w:ind w:left="540"/>
      </w:pPr>
      <w:r w:rsidRPr="00F971A4">
        <w:rPr>
          <w:rFonts w:ascii="Arial" w:hAnsi="Arial" w:cs="Arial"/>
          <w:sz w:val="22"/>
          <w:szCs w:val="22"/>
        </w:rPr>
        <w:t xml:space="preserve">No information of this type is known to be accumulated elsewhere in the Federal Government.  </w:t>
      </w:r>
      <w:r w:rsidRPr="00F971A4" w:rsidR="0072371E">
        <w:rPr>
          <w:rFonts w:ascii="Arial" w:hAnsi="Arial" w:cs="Arial"/>
          <w:sz w:val="22"/>
          <w:szCs w:val="22"/>
        </w:rPr>
        <w:t>Even though</w:t>
      </w:r>
      <w:r w:rsidRPr="00F971A4">
        <w:rPr>
          <w:rFonts w:ascii="Arial" w:hAnsi="Arial" w:cs="Arial"/>
          <w:sz w:val="22"/>
          <w:szCs w:val="22"/>
        </w:rPr>
        <w:t xml:space="preserve"> </w:t>
      </w:r>
      <w:r w:rsidRPr="00F971A4" w:rsidR="0072371E">
        <w:rPr>
          <w:rFonts w:ascii="Arial" w:hAnsi="Arial" w:cs="Arial"/>
          <w:sz w:val="22"/>
          <w:szCs w:val="22"/>
        </w:rPr>
        <w:t xml:space="preserve">the same information is provided to the supervisory authority of the company’s domiciliary jurisdiction, or to any U.S. state regulator, SBB uses the information </w:t>
      </w:r>
      <w:r w:rsidRPr="00F971A4" w:rsidR="0072371E">
        <w:rPr>
          <w:rFonts w:ascii="Arial" w:hAnsi="Arial" w:cs="Arial"/>
          <w:sz w:val="22"/>
          <w:szCs w:val="22"/>
          <w:lang w:val="en"/>
        </w:rPr>
        <w:t>to determine if the applicant company meets the requirements for recognition as a complementary reinsurer or alien reinsurer</w:t>
      </w:r>
      <w:r w:rsidRPr="00F971A4" w:rsidR="00A973D5">
        <w:rPr>
          <w:rFonts w:ascii="Arial" w:hAnsi="Arial" w:cs="Arial"/>
          <w:sz w:val="22"/>
          <w:szCs w:val="22"/>
        </w:rPr>
        <w:t>.</w:t>
      </w:r>
    </w:p>
    <w:p w:rsidR="002A72F3" w:rsidP="00F971A4" w:rsidRDefault="002A72F3" w14:paraId="6DCCB935" w14:textId="77777777">
      <w:pPr>
        <w:tabs>
          <w:tab w:val="left" w:pos="540"/>
        </w:tabs>
        <w:spacing w:before="120" w:after="120"/>
        <w:jc w:val="both"/>
        <w:rPr>
          <w:rFonts w:ascii="Arial" w:hAnsi="Arial" w:cs="Arial"/>
          <w:color w:val="3366FF"/>
          <w:sz w:val="22"/>
          <w:szCs w:val="22"/>
        </w:rPr>
      </w:pPr>
    </w:p>
    <w:p w:rsidRPr="005E6B19" w:rsidR="005E6B19" w:rsidP="005E6B19" w:rsidRDefault="00432C2B" w14:paraId="29B7BF58" w14:textId="434859B7">
      <w:pPr>
        <w:numPr>
          <w:ilvl w:val="0"/>
          <w:numId w:val="10"/>
        </w:numPr>
        <w:tabs>
          <w:tab w:val="left" w:pos="540"/>
        </w:tabs>
        <w:spacing w:before="120" w:after="120"/>
        <w:jc w:val="both"/>
        <w:rPr>
          <w:rFonts w:ascii="Arial" w:hAnsi="Arial" w:cs="Arial"/>
          <w:b/>
          <w:bCs/>
          <w:sz w:val="22"/>
          <w:szCs w:val="22"/>
        </w:rPr>
      </w:pPr>
      <w:r>
        <w:rPr>
          <w:rFonts w:ascii="Arial" w:hAnsi="Arial" w:cs="Arial"/>
          <w:b/>
          <w:color w:val="000000"/>
          <w:sz w:val="22"/>
          <w:szCs w:val="22"/>
        </w:rPr>
        <w:t>Reducing the Burden on Small Enti</w:t>
      </w:r>
      <w:r>
        <w:rPr>
          <w:rFonts w:ascii="Arial" w:hAnsi="Arial" w:cs="Arial"/>
          <w:b/>
          <w:bCs/>
          <w:sz w:val="22"/>
          <w:szCs w:val="22"/>
        </w:rPr>
        <w:t xml:space="preserve">ties. </w:t>
      </w:r>
    </w:p>
    <w:p w:rsidR="00890057" w:rsidP="00057316" w:rsidRDefault="004A3729" w14:paraId="36B00761" w14:textId="78207B48">
      <w:pPr>
        <w:tabs>
          <w:tab w:val="left" w:pos="540"/>
        </w:tabs>
        <w:spacing w:before="120" w:after="120"/>
        <w:ind w:left="540"/>
        <w:rPr>
          <w:rFonts w:ascii="Arial" w:hAnsi="Arial" w:cs="Arial"/>
          <w:sz w:val="22"/>
          <w:szCs w:val="22"/>
        </w:rPr>
      </w:pPr>
      <w:r w:rsidRPr="00F971A4">
        <w:rPr>
          <w:rFonts w:ascii="Arial" w:hAnsi="Arial" w:cs="Arial"/>
          <w:sz w:val="22"/>
          <w:szCs w:val="22"/>
        </w:rPr>
        <w:t xml:space="preserve">As indicated in item 3, insurance companies submit essentially identical information </w:t>
      </w:r>
      <w:r w:rsidRPr="00F971A4" w:rsidR="00A973D5">
        <w:rPr>
          <w:rFonts w:ascii="Arial" w:hAnsi="Arial" w:cs="Arial"/>
          <w:sz w:val="22"/>
          <w:szCs w:val="22"/>
        </w:rPr>
        <w:t xml:space="preserve">to the supervisory authority of the company’s domiciliary jurisdiction, or to any U.S. state regulator </w:t>
      </w:r>
      <w:r w:rsidRPr="00F971A4">
        <w:rPr>
          <w:rFonts w:ascii="Arial" w:hAnsi="Arial" w:cs="Arial"/>
          <w:sz w:val="22"/>
          <w:szCs w:val="22"/>
        </w:rPr>
        <w:t>license, thus minimizing the burden for small companies.  Most of the information requested is readily available and does not adversely impact small businesses or other small entities.</w:t>
      </w:r>
    </w:p>
    <w:p w:rsidRPr="00F971A4" w:rsidR="00F971A4" w:rsidP="004A3729" w:rsidRDefault="00F971A4" w14:paraId="5608FC81" w14:textId="77777777">
      <w:pPr>
        <w:tabs>
          <w:tab w:val="left" w:pos="540"/>
        </w:tabs>
        <w:spacing w:before="120" w:after="120"/>
        <w:ind w:left="540" w:hanging="540"/>
        <w:jc w:val="both"/>
        <w:rPr>
          <w:rFonts w:ascii="Arial" w:hAnsi="Arial" w:cs="Arial"/>
          <w:sz w:val="22"/>
          <w:szCs w:val="22"/>
        </w:rPr>
      </w:pPr>
    </w:p>
    <w:p w:rsidRPr="005E6B19" w:rsidR="005E6B19" w:rsidP="005E6B19" w:rsidRDefault="00432C2B" w14:paraId="20CAE152" w14:textId="71A6EB24">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Consequences of Not Conducting Collection.</w:t>
      </w:r>
    </w:p>
    <w:p w:rsidR="00890057" w:rsidP="00057316" w:rsidRDefault="00A973D5" w14:paraId="145098A1" w14:textId="1F97226E">
      <w:pPr>
        <w:tabs>
          <w:tab w:val="left" w:pos="540"/>
        </w:tabs>
        <w:spacing w:before="120" w:after="120"/>
        <w:ind w:left="540"/>
        <w:rPr>
          <w:rFonts w:ascii="Arial" w:hAnsi="Arial" w:cs="Arial"/>
          <w:color w:val="3366FF"/>
          <w:sz w:val="22"/>
          <w:szCs w:val="22"/>
        </w:rPr>
      </w:pPr>
      <w:r w:rsidRPr="00F971A4">
        <w:rPr>
          <w:rFonts w:ascii="Arial" w:hAnsi="Arial" w:cs="Arial"/>
          <w:sz w:val="22"/>
          <w:szCs w:val="22"/>
        </w:rPr>
        <w:t>The application process is a one-time occurrence per applicant followed by an annual renewal.</w:t>
      </w:r>
      <w:r w:rsidR="005E6B19">
        <w:rPr>
          <w:rFonts w:ascii="Arial" w:hAnsi="Arial" w:cs="Arial"/>
          <w:sz w:val="22"/>
          <w:szCs w:val="22"/>
        </w:rPr>
        <w:t xml:space="preserve"> This information is necessary for the Surety Bonds Branch to recognize two types of reinsurers in the Surety Bonds Program. Failure to collect the information will not allow the program to meet the program modernization goal of adding two new types of reinsurers to the program and support the Bilateral Agreement Between the United States of America and European Union on Prudential Measures Regarding Insurance and Reinsurance as well as the Bilateral Agreement with the United Kingdom commonly called the Covered Agreements.</w:t>
      </w:r>
    </w:p>
    <w:p w:rsidRPr="00F971A4" w:rsidR="00F971A4" w:rsidP="00BC5EF3" w:rsidRDefault="00F971A4" w14:paraId="0824D09A" w14:textId="77777777">
      <w:pPr>
        <w:tabs>
          <w:tab w:val="left" w:pos="540"/>
        </w:tabs>
        <w:spacing w:before="120" w:after="120"/>
        <w:ind w:left="540"/>
        <w:rPr>
          <w:rFonts w:ascii="Arial" w:hAnsi="Arial" w:cs="Arial"/>
          <w:color w:val="3366FF"/>
          <w:sz w:val="22"/>
          <w:szCs w:val="22"/>
        </w:rPr>
      </w:pPr>
    </w:p>
    <w:p w:rsidR="00432C2B" w:rsidP="00432C2B" w:rsidRDefault="00432C2B" w14:paraId="72FC19BF" w14:textId="77777777">
      <w:pPr>
        <w:numPr>
          <w:ilvl w:val="0"/>
          <w:numId w:val="10"/>
        </w:numPr>
        <w:tabs>
          <w:tab w:val="clear" w:pos="360"/>
          <w:tab w:val="num" w:pos="540"/>
        </w:tabs>
        <w:spacing w:before="120" w:after="120"/>
        <w:ind w:left="540" w:hanging="540"/>
        <w:rPr>
          <w:rFonts w:ascii="Arial" w:hAnsi="Arial" w:cs="Arial"/>
          <w:b/>
          <w:bCs/>
          <w:sz w:val="22"/>
          <w:szCs w:val="22"/>
        </w:rPr>
      </w:pPr>
      <w:r>
        <w:rPr>
          <w:rFonts w:ascii="Arial" w:hAnsi="Arial" w:cs="Arial"/>
          <w:b/>
          <w:bCs/>
          <w:sz w:val="22"/>
          <w:szCs w:val="22"/>
        </w:rPr>
        <w:t>Special Circumstances.</w:t>
      </w:r>
    </w:p>
    <w:p w:rsidR="003D1ABD" w:rsidP="00057316" w:rsidRDefault="003D1ABD" w14:paraId="44772123" w14:textId="0F609208">
      <w:pPr>
        <w:tabs>
          <w:tab w:val="left" w:pos="540"/>
        </w:tabs>
        <w:spacing w:before="120" w:after="120"/>
        <w:ind w:left="540"/>
        <w:rPr>
          <w:rFonts w:ascii="Arial" w:hAnsi="Arial" w:cs="Arial"/>
          <w:sz w:val="22"/>
          <w:szCs w:val="22"/>
        </w:rPr>
      </w:pPr>
      <w:r w:rsidRPr="00BC550A">
        <w:rPr>
          <w:rFonts w:ascii="Arial" w:hAnsi="Arial" w:cs="Arial"/>
          <w:sz w:val="22"/>
          <w:szCs w:val="22"/>
        </w:rPr>
        <w:t>There are no special circumstances.  The collection of information is conducted in a manner consistent with the guidelines in 5 CFR 1320.6.</w:t>
      </w:r>
    </w:p>
    <w:p w:rsidR="005E6B19" w:rsidP="00F8418A" w:rsidRDefault="005E6B19" w14:paraId="06CEF9AD" w14:textId="788E5D87">
      <w:pPr>
        <w:tabs>
          <w:tab w:val="left" w:pos="540"/>
        </w:tabs>
        <w:spacing w:before="120" w:after="120"/>
        <w:ind w:left="540"/>
        <w:rPr>
          <w:rFonts w:ascii="Arial" w:hAnsi="Arial" w:cs="Arial"/>
          <w:sz w:val="22"/>
          <w:szCs w:val="22"/>
        </w:rPr>
      </w:pPr>
    </w:p>
    <w:p w:rsidRPr="00BC550A" w:rsidR="005E6B19" w:rsidP="00F8418A" w:rsidRDefault="005E6B19" w14:paraId="08A6F5F0" w14:textId="77777777">
      <w:pPr>
        <w:tabs>
          <w:tab w:val="left" w:pos="540"/>
        </w:tabs>
        <w:spacing w:before="120" w:after="120"/>
        <w:ind w:left="540"/>
        <w:rPr>
          <w:rFonts w:ascii="Arial" w:hAnsi="Arial" w:cs="Arial"/>
          <w:sz w:val="22"/>
          <w:szCs w:val="22"/>
        </w:rPr>
      </w:pPr>
    </w:p>
    <w:p w:rsidRPr="005E6B19" w:rsidR="005E6B19" w:rsidP="005E6B19" w:rsidRDefault="00432C2B" w14:paraId="450AB710" w14:textId="29C4A8D9">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Consultations with Persons Outside the Agency.</w:t>
      </w:r>
    </w:p>
    <w:p w:rsidR="00F971A4" w:rsidP="00057316" w:rsidRDefault="003C64EB" w14:paraId="6BA62617" w14:textId="4D4D213D">
      <w:pPr>
        <w:tabs>
          <w:tab w:val="left" w:pos="540"/>
        </w:tabs>
        <w:spacing w:before="120" w:after="120"/>
        <w:ind w:left="547"/>
        <w:rPr>
          <w:rFonts w:ascii="Arial" w:hAnsi="Arial" w:cs="Arial"/>
          <w:sz w:val="22"/>
          <w:szCs w:val="22"/>
        </w:rPr>
      </w:pPr>
      <w:r w:rsidRPr="00F971A4">
        <w:rPr>
          <w:rFonts w:ascii="Arial" w:hAnsi="Arial" w:cs="Arial"/>
          <w:sz w:val="22"/>
          <w:szCs w:val="22"/>
        </w:rPr>
        <w:t>The proposed rule amendments provide for a 60-day period</w:t>
      </w:r>
      <w:r w:rsidRPr="00F971A4" w:rsidR="004A10FD">
        <w:rPr>
          <w:rFonts w:ascii="Arial" w:hAnsi="Arial" w:cs="Arial"/>
          <w:sz w:val="22"/>
          <w:szCs w:val="22"/>
        </w:rPr>
        <w:t xml:space="preserve"> for the public to comment on the information collection.</w:t>
      </w:r>
      <w:r w:rsidRPr="00F971A4">
        <w:rPr>
          <w:rFonts w:ascii="Arial" w:hAnsi="Arial" w:cs="Arial"/>
          <w:sz w:val="22"/>
          <w:szCs w:val="22"/>
        </w:rPr>
        <w:t xml:space="preserve"> Comments that are received will be summarized and addressed in any final rulemaking.</w:t>
      </w:r>
    </w:p>
    <w:p w:rsidR="00F971A4" w:rsidP="00057316" w:rsidRDefault="00B23155" w14:paraId="6D1E927A" w14:textId="77777777">
      <w:pPr>
        <w:tabs>
          <w:tab w:val="left" w:pos="540"/>
        </w:tabs>
        <w:spacing w:before="120" w:after="120"/>
        <w:ind w:left="547"/>
        <w:rPr>
          <w:rFonts w:ascii="Arial" w:hAnsi="Arial" w:cs="Arial"/>
          <w:sz w:val="22"/>
          <w:szCs w:val="22"/>
        </w:rPr>
      </w:pPr>
      <w:r w:rsidRPr="00F971A4">
        <w:rPr>
          <w:rFonts w:ascii="Arial" w:hAnsi="Arial" w:cs="Arial"/>
          <w:sz w:val="22"/>
          <w:szCs w:val="22"/>
        </w:rPr>
        <w:t xml:space="preserve">Treasury published a Request for Information (RFI) on December 30, 2019.   The RFI sought input from the public on a variety of topics relating to Treasury’s evaluation of surety companies, as well as the operations of the corporate federal surety bond program.  These topics included, among other things, Treasury’s financial analysis methodology, its rules regarding credit for reinsurance, and the documentation it requires to perform its review.  The RFI closed for comments on February 13, 2020.  The comments received informed, in part, Treasury’s decision to develop and propose this rulemaking.  </w:t>
      </w:r>
    </w:p>
    <w:p w:rsidRPr="00F971A4" w:rsidR="00B23155" w:rsidP="00057316" w:rsidRDefault="00B23155" w14:paraId="1F1E25CF" w14:textId="6A80E002">
      <w:pPr>
        <w:tabs>
          <w:tab w:val="left" w:pos="540"/>
        </w:tabs>
        <w:spacing w:before="120" w:after="120"/>
        <w:ind w:left="547"/>
        <w:rPr>
          <w:rFonts w:ascii="Arial" w:hAnsi="Arial" w:cs="Arial"/>
          <w:sz w:val="22"/>
          <w:szCs w:val="22"/>
        </w:rPr>
      </w:pPr>
      <w:r w:rsidRPr="00F971A4">
        <w:rPr>
          <w:rFonts w:ascii="Arial" w:hAnsi="Arial" w:cs="Arial"/>
          <w:sz w:val="22"/>
          <w:szCs w:val="22"/>
        </w:rPr>
        <w:t>The Bureau of the Fiscal Service coordinated closely with Treasury’s Federal Insurance Office in developing both the RFI and the proposed regulations.</w:t>
      </w:r>
    </w:p>
    <w:p w:rsidRPr="00BC550A" w:rsidR="002D277C" w:rsidP="00BC5EF3" w:rsidRDefault="002D277C" w14:paraId="6D7EBE9A" w14:textId="48E645C9">
      <w:pPr>
        <w:tabs>
          <w:tab w:val="left" w:pos="540"/>
        </w:tabs>
        <w:spacing w:before="120" w:after="120"/>
        <w:ind w:left="547"/>
        <w:rPr>
          <w:rFonts w:ascii="Arial" w:hAnsi="Arial" w:cs="Arial"/>
          <w:color w:val="3366FF"/>
          <w:sz w:val="22"/>
          <w:szCs w:val="22"/>
        </w:rPr>
      </w:pPr>
    </w:p>
    <w:p w:rsidR="00432C2B" w:rsidP="00432C2B" w:rsidRDefault="00432C2B" w14:paraId="3263022C"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Payment or Gift.</w:t>
      </w:r>
    </w:p>
    <w:p w:rsidR="00890057" w:rsidP="00C80AA3" w:rsidRDefault="00432C2B" w14:paraId="62BE9759" w14:textId="00C36FA8">
      <w:pPr>
        <w:tabs>
          <w:tab w:val="left" w:pos="540"/>
        </w:tabs>
        <w:spacing w:before="120" w:after="120"/>
        <w:ind w:left="540" w:hanging="540"/>
        <w:rPr>
          <w:rFonts w:ascii="Arial" w:hAnsi="Arial" w:cs="Arial"/>
          <w:sz w:val="22"/>
          <w:szCs w:val="22"/>
        </w:rPr>
      </w:pPr>
      <w:r>
        <w:rPr>
          <w:rFonts w:ascii="Arial" w:hAnsi="Arial" w:cs="Arial"/>
          <w:bCs/>
          <w:color w:val="3366CC"/>
          <w:sz w:val="22"/>
          <w:szCs w:val="22"/>
        </w:rPr>
        <w:tab/>
      </w:r>
      <w:r w:rsidRPr="00F971A4" w:rsidR="002E3463">
        <w:rPr>
          <w:rFonts w:ascii="Arial" w:hAnsi="Arial" w:cs="Arial"/>
          <w:sz w:val="22"/>
          <w:szCs w:val="22"/>
        </w:rPr>
        <w:t>There are no payments or gifts made to respondents.</w:t>
      </w:r>
    </w:p>
    <w:p w:rsidR="00F971A4" w:rsidP="00C80AA3" w:rsidRDefault="00F971A4" w14:paraId="3D30AFA3" w14:textId="77777777">
      <w:pPr>
        <w:tabs>
          <w:tab w:val="left" w:pos="540"/>
        </w:tabs>
        <w:spacing w:before="120" w:after="120"/>
        <w:ind w:left="540" w:hanging="540"/>
        <w:rPr>
          <w:rFonts w:ascii="Arial" w:hAnsi="Arial" w:cs="Arial"/>
          <w:color w:val="3366FF"/>
          <w:sz w:val="22"/>
          <w:szCs w:val="22"/>
        </w:rPr>
      </w:pPr>
    </w:p>
    <w:p w:rsidR="00432C2B" w:rsidP="00432C2B" w:rsidRDefault="00432C2B" w14:paraId="44C10BEC"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Confidentiality.</w:t>
      </w:r>
    </w:p>
    <w:p w:rsidR="00890057" w:rsidP="00432C2B" w:rsidRDefault="00432C2B" w14:paraId="64EBF57C" w14:textId="39F8F0E0">
      <w:pPr>
        <w:tabs>
          <w:tab w:val="left" w:pos="540"/>
        </w:tabs>
        <w:spacing w:before="120" w:after="120"/>
        <w:ind w:left="540" w:hanging="540"/>
        <w:rPr>
          <w:rFonts w:ascii="Arial" w:hAnsi="Arial" w:cs="Arial"/>
          <w:sz w:val="22"/>
          <w:szCs w:val="22"/>
        </w:rPr>
      </w:pPr>
      <w:r>
        <w:rPr>
          <w:rFonts w:ascii="Arial" w:hAnsi="Arial" w:cs="Arial"/>
          <w:b/>
          <w:bCs/>
          <w:sz w:val="22"/>
          <w:szCs w:val="22"/>
        </w:rPr>
        <w:tab/>
      </w:r>
      <w:r w:rsidRPr="00F971A4" w:rsidR="002E3463">
        <w:rPr>
          <w:rFonts w:ascii="Arial" w:hAnsi="Arial" w:cs="Arial"/>
          <w:sz w:val="22"/>
          <w:szCs w:val="22"/>
        </w:rPr>
        <w:t>Aside from protections contained in the Privacy Act, there is no guarantee of confidentiality.</w:t>
      </w:r>
    </w:p>
    <w:p w:rsidR="00F971A4" w:rsidP="00432C2B" w:rsidRDefault="00F971A4" w14:paraId="219A9FFB" w14:textId="77777777">
      <w:pPr>
        <w:tabs>
          <w:tab w:val="left" w:pos="540"/>
        </w:tabs>
        <w:spacing w:before="120" w:after="120"/>
        <w:ind w:left="540" w:hanging="540"/>
        <w:rPr>
          <w:rFonts w:ascii="Arial" w:hAnsi="Arial" w:cs="Arial"/>
          <w:color w:val="3366FF"/>
          <w:sz w:val="22"/>
          <w:szCs w:val="22"/>
        </w:rPr>
      </w:pPr>
    </w:p>
    <w:p w:rsidR="00432C2B" w:rsidP="00432C2B" w:rsidRDefault="00432C2B" w14:paraId="4B358B4F"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Questions of a Sensitive Nature.</w:t>
      </w:r>
    </w:p>
    <w:p w:rsidRPr="00513619" w:rsidR="002E3463" w:rsidP="00057316" w:rsidRDefault="00432C2B" w14:paraId="56F98D1E" w14:textId="4950D170">
      <w:pPr>
        <w:tabs>
          <w:tab w:val="left" w:pos="540"/>
        </w:tabs>
        <w:spacing w:before="120" w:after="120"/>
        <w:ind w:left="540" w:hanging="540"/>
        <w:rPr>
          <w:rFonts w:ascii="Arial" w:hAnsi="Arial" w:cs="Arial"/>
          <w:sz w:val="22"/>
          <w:szCs w:val="22"/>
        </w:rPr>
      </w:pPr>
      <w:r>
        <w:rPr>
          <w:rFonts w:ascii="Arial" w:hAnsi="Arial" w:cs="Arial"/>
          <w:bCs/>
          <w:color w:val="3366CC"/>
          <w:sz w:val="22"/>
          <w:szCs w:val="22"/>
        </w:rPr>
        <w:tab/>
      </w:r>
      <w:r w:rsidRPr="00513619" w:rsidR="002E3463">
        <w:rPr>
          <w:rFonts w:ascii="Arial" w:hAnsi="Arial" w:cs="Arial"/>
          <w:bCs/>
          <w:sz w:val="22"/>
          <w:szCs w:val="22"/>
        </w:rPr>
        <w:t xml:space="preserve">The information collected is necessary to determine if the </w:t>
      </w:r>
      <w:r w:rsidRPr="00513619" w:rsidR="002E3463">
        <w:rPr>
          <w:rFonts w:ascii="Arial" w:hAnsi="Arial" w:cs="Arial"/>
          <w:sz w:val="22"/>
          <w:szCs w:val="22"/>
        </w:rPr>
        <w:t>applicant company is financially solvent and otherwise able to keep and perform any contracts of surety it may make with the Federal Government.</w:t>
      </w:r>
    </w:p>
    <w:p w:rsidRPr="00513619" w:rsidR="002E3463" w:rsidP="00057316" w:rsidRDefault="002E3463" w14:paraId="3EA7890C" w14:textId="77777777">
      <w:pPr>
        <w:ind w:left="630"/>
        <w:rPr>
          <w:rFonts w:ascii="Arial" w:hAnsi="Arial" w:cs="Arial"/>
          <w:sz w:val="22"/>
          <w:szCs w:val="22"/>
        </w:rPr>
      </w:pPr>
    </w:p>
    <w:p w:rsidRPr="00513619" w:rsidR="002E3463" w:rsidP="00057316" w:rsidRDefault="002E3463" w14:paraId="3C416056" w14:textId="77777777">
      <w:pPr>
        <w:ind w:left="630"/>
        <w:rPr>
          <w:rFonts w:ascii="Arial" w:hAnsi="Arial" w:cs="Arial"/>
          <w:bCs/>
          <w:sz w:val="22"/>
          <w:szCs w:val="22"/>
        </w:rPr>
      </w:pPr>
      <w:r w:rsidRPr="00513619">
        <w:rPr>
          <w:rFonts w:ascii="Arial" w:hAnsi="Arial" w:cs="Arial"/>
          <w:sz w:val="22"/>
          <w:szCs w:val="22"/>
        </w:rPr>
        <w:t>The Bureau of the Fiscal Service conducts a Privacy Impact Assessment (PIA) on information systems collecting personally identifiable information from the public. We do PIAs to ensure that:</w:t>
      </w:r>
    </w:p>
    <w:p w:rsidRPr="00513619" w:rsidR="002E3463" w:rsidP="00057316" w:rsidRDefault="002E3463" w14:paraId="331987F4" w14:textId="77777777">
      <w:pPr>
        <w:widowControl/>
        <w:numPr>
          <w:ilvl w:val="0"/>
          <w:numId w:val="35"/>
        </w:numPr>
        <w:autoSpaceDE/>
        <w:autoSpaceDN/>
        <w:adjustRightInd/>
        <w:spacing w:after="100" w:afterAutospacing="1"/>
        <w:rPr>
          <w:rFonts w:ascii="Arial" w:hAnsi="Arial" w:cs="Arial"/>
          <w:sz w:val="22"/>
          <w:szCs w:val="22"/>
        </w:rPr>
      </w:pPr>
      <w:r w:rsidRPr="00513619">
        <w:rPr>
          <w:rFonts w:ascii="Arial" w:hAnsi="Arial" w:cs="Arial"/>
          <w:sz w:val="22"/>
          <w:szCs w:val="22"/>
        </w:rPr>
        <w:t>we tell the public the information that we collect about them,</w:t>
      </w:r>
    </w:p>
    <w:p w:rsidRPr="00513619" w:rsidR="002E3463" w:rsidP="00057316" w:rsidRDefault="002E3463" w14:paraId="758164C5" w14:textId="77777777">
      <w:pPr>
        <w:widowControl/>
        <w:numPr>
          <w:ilvl w:val="0"/>
          <w:numId w:val="35"/>
        </w:numPr>
        <w:autoSpaceDE/>
        <w:autoSpaceDN/>
        <w:adjustRightInd/>
        <w:spacing w:before="100" w:beforeAutospacing="1" w:after="100" w:afterAutospacing="1"/>
        <w:rPr>
          <w:rFonts w:ascii="Arial" w:hAnsi="Arial" w:cs="Arial"/>
          <w:sz w:val="22"/>
          <w:szCs w:val="22"/>
        </w:rPr>
      </w:pPr>
      <w:r w:rsidRPr="00513619">
        <w:rPr>
          <w:rFonts w:ascii="Arial" w:hAnsi="Arial" w:cs="Arial"/>
          <w:sz w:val="22"/>
          <w:szCs w:val="22"/>
        </w:rPr>
        <w:t>we adequately address impacts these systems have on personal privacy,</w:t>
      </w:r>
    </w:p>
    <w:p w:rsidRPr="00513619" w:rsidR="002E3463" w:rsidP="00057316" w:rsidRDefault="002E3463" w14:paraId="0003BE33" w14:textId="77777777">
      <w:pPr>
        <w:widowControl/>
        <w:numPr>
          <w:ilvl w:val="0"/>
          <w:numId w:val="35"/>
        </w:numPr>
        <w:autoSpaceDE/>
        <w:autoSpaceDN/>
        <w:adjustRightInd/>
        <w:spacing w:before="100" w:beforeAutospacing="1" w:after="100" w:afterAutospacing="1"/>
        <w:rPr>
          <w:rFonts w:ascii="Arial" w:hAnsi="Arial" w:cs="Arial"/>
          <w:sz w:val="22"/>
          <w:szCs w:val="22"/>
        </w:rPr>
      </w:pPr>
      <w:r w:rsidRPr="00513619">
        <w:rPr>
          <w:rFonts w:ascii="Arial" w:hAnsi="Arial" w:cs="Arial"/>
          <w:sz w:val="22"/>
          <w:szCs w:val="22"/>
        </w:rPr>
        <w:t>we collect only enough personal information to administer our programs, and no more</w:t>
      </w:r>
    </w:p>
    <w:p w:rsidRPr="00513619" w:rsidR="002E3463" w:rsidP="00057316" w:rsidRDefault="002E3463" w14:paraId="2AA45BE8" w14:textId="77777777">
      <w:pPr>
        <w:spacing w:before="100" w:beforeAutospacing="1" w:after="100" w:afterAutospacing="1"/>
        <w:ind w:left="630"/>
        <w:rPr>
          <w:rFonts w:ascii="Arial" w:hAnsi="Arial" w:cs="Arial"/>
          <w:sz w:val="22"/>
          <w:szCs w:val="22"/>
        </w:rPr>
      </w:pPr>
      <w:r w:rsidRPr="00513619">
        <w:rPr>
          <w:rFonts w:ascii="Arial" w:hAnsi="Arial" w:cs="Arial"/>
          <w:sz w:val="22"/>
          <w:szCs w:val="22"/>
        </w:rPr>
        <w:t>Also, PIAs confirm that we use the information for the purpose intended; that the information remains timely and accurate; that it is protected while we have it, and we hold it only for as long as we need it.</w:t>
      </w:r>
    </w:p>
    <w:p w:rsidRPr="00513619" w:rsidR="001E2556" w:rsidP="00057316" w:rsidRDefault="002E3463" w14:paraId="20D56D40" w14:textId="5D939DCC">
      <w:pPr>
        <w:spacing w:before="100" w:beforeAutospacing="1" w:after="100" w:afterAutospacing="1"/>
        <w:ind w:left="630"/>
        <w:rPr>
          <w:rFonts w:ascii="Arial" w:hAnsi="Arial" w:cs="Arial"/>
          <w:sz w:val="22"/>
          <w:szCs w:val="22"/>
        </w:rPr>
      </w:pPr>
      <w:r w:rsidRPr="00513619">
        <w:rPr>
          <w:rFonts w:ascii="Arial" w:hAnsi="Arial" w:cs="Arial"/>
          <w:sz w:val="22"/>
          <w:szCs w:val="22"/>
        </w:rPr>
        <w:lastRenderedPageBreak/>
        <w:t xml:space="preserve">The administration of the Surety Bond Program is included in the PIA for Surety Information Management System (SIMS IV) available at </w:t>
      </w:r>
      <w:hyperlink w:history="1" r:id="rId11">
        <w:r w:rsidRPr="00513619" w:rsidR="00F62646">
          <w:rPr>
            <w:rStyle w:val="Hyperlink"/>
            <w:rFonts w:ascii="Arial" w:hAnsi="Arial" w:cs="Arial"/>
            <w:color w:val="auto"/>
            <w:sz w:val="22"/>
            <w:szCs w:val="22"/>
          </w:rPr>
          <w:t>https://www.fiscal.treasury.gov/files/pia/sims-iv-pclia.pdf</w:t>
        </w:r>
      </w:hyperlink>
    </w:p>
    <w:p w:rsidRPr="00F62646" w:rsidR="00F62646" w:rsidP="00F62646" w:rsidRDefault="00F62646" w14:paraId="4462B269" w14:textId="77777777">
      <w:pPr>
        <w:spacing w:before="100" w:beforeAutospacing="1" w:after="100" w:afterAutospacing="1"/>
        <w:ind w:firstLine="720"/>
      </w:pPr>
    </w:p>
    <w:p w:rsidRPr="00912184" w:rsidR="0016434F" w:rsidP="00912184" w:rsidRDefault="00432C2B" w14:paraId="68B54EBF" w14:textId="64AD5729">
      <w:pPr>
        <w:numPr>
          <w:ilvl w:val="0"/>
          <w:numId w:val="10"/>
        </w:numPr>
        <w:tabs>
          <w:tab w:val="clear" w:pos="360"/>
          <w:tab w:val="left" w:pos="540"/>
        </w:tabs>
        <w:spacing w:before="120" w:after="120"/>
        <w:ind w:left="540" w:hanging="540"/>
        <w:jc w:val="both"/>
        <w:rPr>
          <w:rFonts w:ascii="Arial" w:hAnsi="Arial" w:cs="Arial"/>
          <w:b/>
          <w:color w:val="000000"/>
          <w:sz w:val="22"/>
          <w:szCs w:val="22"/>
        </w:rPr>
      </w:pPr>
      <w:r w:rsidRPr="00432C2B">
        <w:rPr>
          <w:rFonts w:ascii="Arial" w:hAnsi="Arial" w:cs="Arial"/>
          <w:b/>
          <w:color w:val="000000"/>
          <w:sz w:val="22"/>
          <w:szCs w:val="22"/>
        </w:rPr>
        <w:t>Burden of Information Collection.</w:t>
      </w:r>
      <w:r w:rsidRPr="0016434F" w:rsidR="0016434F">
        <w:t xml:space="preserve"> </w:t>
      </w:r>
    </w:p>
    <w:p w:rsidR="0016434F" w:rsidP="008E6725" w:rsidRDefault="0016434F" w14:paraId="6726120C" w14:textId="77777777">
      <w:pPr>
        <w:tabs>
          <w:tab w:val="left" w:pos="900"/>
        </w:tabs>
        <w:ind w:left="900"/>
        <w:jc w:val="both"/>
      </w:pPr>
    </w:p>
    <w:p w:rsidRPr="00513619" w:rsidR="0016434F" w:rsidP="00057316" w:rsidRDefault="0016434F" w14:paraId="731FCEB7" w14:textId="2766C196">
      <w:pPr>
        <w:pStyle w:val="ListParagraph"/>
        <w:numPr>
          <w:ilvl w:val="0"/>
          <w:numId w:val="34"/>
        </w:numPr>
        <w:tabs>
          <w:tab w:val="left" w:pos="900"/>
        </w:tabs>
        <w:rPr>
          <w:rFonts w:ascii="Arial" w:hAnsi="Arial" w:cs="Arial"/>
          <w:bCs/>
          <w:sz w:val="22"/>
          <w:szCs w:val="22"/>
        </w:rPr>
      </w:pPr>
      <w:r w:rsidRPr="00513619">
        <w:rPr>
          <w:rFonts w:ascii="Arial" w:hAnsi="Arial" w:cs="Arial"/>
          <w:bCs/>
          <w:sz w:val="22"/>
          <w:szCs w:val="22"/>
        </w:rPr>
        <w:t xml:space="preserve">The annual burden hour estimate is 400 hours per year. An initial response of 100 applicants is estimated for the first year with a time </w:t>
      </w:r>
      <w:r w:rsidRPr="00513619" w:rsidR="00751035">
        <w:rPr>
          <w:rFonts w:ascii="Arial" w:hAnsi="Arial" w:cs="Arial"/>
          <w:bCs/>
          <w:sz w:val="22"/>
          <w:szCs w:val="22"/>
        </w:rPr>
        <w:t xml:space="preserve">of 4 hours </w:t>
      </w:r>
      <w:r w:rsidRPr="00513619">
        <w:rPr>
          <w:rFonts w:ascii="Arial" w:hAnsi="Arial" w:cs="Arial"/>
          <w:bCs/>
          <w:sz w:val="22"/>
          <w:szCs w:val="22"/>
        </w:rPr>
        <w:t>per response</w:t>
      </w:r>
      <w:r w:rsidRPr="00513619" w:rsidR="00751035">
        <w:rPr>
          <w:rFonts w:ascii="Arial" w:hAnsi="Arial" w:cs="Arial"/>
          <w:bCs/>
          <w:sz w:val="22"/>
          <w:szCs w:val="22"/>
        </w:rPr>
        <w:t>.</w:t>
      </w:r>
      <w:r w:rsidRPr="00513619">
        <w:rPr>
          <w:rFonts w:ascii="Arial" w:hAnsi="Arial" w:cs="Arial"/>
          <w:bCs/>
          <w:sz w:val="22"/>
          <w:szCs w:val="22"/>
        </w:rPr>
        <w:t xml:space="preserve"> A significant drop in new applicants is anticipated after the first couple of years but an estimate of 150-200 renewal</w:t>
      </w:r>
      <w:r w:rsidRPr="00513619" w:rsidR="004E0CD3">
        <w:rPr>
          <w:rFonts w:ascii="Arial" w:hAnsi="Arial" w:cs="Arial"/>
          <w:bCs/>
          <w:sz w:val="22"/>
          <w:szCs w:val="22"/>
        </w:rPr>
        <w:t>s is expected with a</w:t>
      </w:r>
      <w:r w:rsidR="005E6B19">
        <w:rPr>
          <w:rFonts w:ascii="Arial" w:hAnsi="Arial" w:cs="Arial"/>
          <w:bCs/>
          <w:sz w:val="22"/>
          <w:szCs w:val="22"/>
        </w:rPr>
        <w:t>n estimated</w:t>
      </w:r>
      <w:r w:rsidRPr="00513619" w:rsidR="004E0CD3">
        <w:rPr>
          <w:rFonts w:ascii="Arial" w:hAnsi="Arial" w:cs="Arial"/>
          <w:bCs/>
          <w:sz w:val="22"/>
          <w:szCs w:val="22"/>
        </w:rPr>
        <w:t xml:space="preserve"> time</w:t>
      </w:r>
      <w:r w:rsidR="005E6B19">
        <w:rPr>
          <w:rFonts w:ascii="Arial" w:hAnsi="Arial" w:cs="Arial"/>
          <w:bCs/>
          <w:sz w:val="22"/>
          <w:szCs w:val="22"/>
        </w:rPr>
        <w:t xml:space="preserve"> </w:t>
      </w:r>
      <w:r w:rsidRPr="00513619" w:rsidR="004E0CD3">
        <w:rPr>
          <w:rFonts w:ascii="Arial" w:hAnsi="Arial" w:cs="Arial"/>
          <w:bCs/>
          <w:sz w:val="22"/>
          <w:szCs w:val="22"/>
        </w:rPr>
        <w:t>of</w:t>
      </w:r>
      <w:r w:rsidRPr="00513619">
        <w:rPr>
          <w:rFonts w:ascii="Arial" w:hAnsi="Arial" w:cs="Arial"/>
          <w:bCs/>
          <w:sz w:val="22"/>
          <w:szCs w:val="22"/>
        </w:rPr>
        <w:t xml:space="preserve"> 2 hours</w:t>
      </w:r>
      <w:r w:rsidRPr="00513619" w:rsidR="004E0CD3">
        <w:rPr>
          <w:rFonts w:ascii="Arial" w:hAnsi="Arial" w:cs="Arial"/>
          <w:bCs/>
          <w:sz w:val="22"/>
          <w:szCs w:val="22"/>
        </w:rPr>
        <w:t xml:space="preserve"> per response. </w:t>
      </w:r>
      <w:r w:rsidRPr="00513619" w:rsidR="009453E0">
        <w:rPr>
          <w:rFonts w:ascii="Arial" w:hAnsi="Arial" w:cs="Arial"/>
          <w:bCs/>
          <w:sz w:val="22"/>
          <w:szCs w:val="22"/>
        </w:rPr>
        <w:t xml:space="preserve">The table below illustrates the </w:t>
      </w:r>
      <w:r w:rsidRPr="00513619" w:rsidR="00A27CF7">
        <w:rPr>
          <w:rFonts w:ascii="Arial" w:hAnsi="Arial" w:cs="Arial"/>
          <w:bCs/>
          <w:sz w:val="22"/>
          <w:szCs w:val="22"/>
        </w:rPr>
        <w:t>relationship of new applications and renewals that is expected</w:t>
      </w:r>
      <w:r w:rsidR="00513619">
        <w:rPr>
          <w:rFonts w:ascii="Arial" w:hAnsi="Arial" w:cs="Arial"/>
          <w:bCs/>
          <w:sz w:val="22"/>
          <w:szCs w:val="22"/>
        </w:rPr>
        <w:t xml:space="preserve"> for the first three years and will be used for comparison in future renewal requests for the assigned OMB number</w:t>
      </w:r>
      <w:r w:rsidRPr="00513619" w:rsidR="00A27CF7">
        <w:rPr>
          <w:rFonts w:ascii="Arial" w:hAnsi="Arial" w:cs="Arial"/>
          <w:bCs/>
          <w:sz w:val="22"/>
          <w:szCs w:val="22"/>
        </w:rPr>
        <w:t>.</w:t>
      </w:r>
    </w:p>
    <w:p w:rsidRPr="00513619" w:rsidR="004E0CD3" w:rsidP="004E0CD3" w:rsidRDefault="004E0CD3" w14:paraId="5A66E70C" w14:textId="77777777">
      <w:pPr>
        <w:tabs>
          <w:tab w:val="left" w:pos="900"/>
        </w:tabs>
        <w:ind w:left="900"/>
        <w:jc w:val="both"/>
        <w:rPr>
          <w:rFonts w:ascii="Arial" w:hAnsi="Arial" w:cs="Arial"/>
          <w:bCs/>
          <w:sz w:val="22"/>
          <w:szCs w:val="22"/>
        </w:rPr>
      </w:pPr>
    </w:p>
    <w:tbl>
      <w:tblPr>
        <w:tblStyle w:val="TableGrid"/>
        <w:tblW w:w="0" w:type="auto"/>
        <w:tblInd w:w="1345" w:type="dxa"/>
        <w:tblLook w:val="04A0" w:firstRow="1" w:lastRow="0" w:firstColumn="1" w:lastColumn="0" w:noHBand="0" w:noVBand="1"/>
      </w:tblPr>
      <w:tblGrid>
        <w:gridCol w:w="1618"/>
        <w:gridCol w:w="2154"/>
        <w:gridCol w:w="2129"/>
        <w:gridCol w:w="2104"/>
      </w:tblGrid>
      <w:tr w:rsidRPr="00513619" w:rsidR="00513619" w:rsidTr="00513619" w14:paraId="225C17BA" w14:textId="77777777">
        <w:tc>
          <w:tcPr>
            <w:tcW w:w="1618" w:type="dxa"/>
          </w:tcPr>
          <w:p w:rsidRPr="00513619" w:rsidR="004E0CD3" w:rsidP="004E0CD3" w:rsidRDefault="004E0CD3" w14:paraId="666C86B2" w14:textId="77777777">
            <w:pPr>
              <w:tabs>
                <w:tab w:val="left" w:pos="900"/>
              </w:tabs>
              <w:jc w:val="both"/>
              <w:rPr>
                <w:rFonts w:ascii="Arial" w:hAnsi="Arial" w:cs="Arial"/>
                <w:bCs/>
                <w:sz w:val="22"/>
                <w:szCs w:val="22"/>
              </w:rPr>
            </w:pPr>
          </w:p>
        </w:tc>
        <w:tc>
          <w:tcPr>
            <w:tcW w:w="2154" w:type="dxa"/>
          </w:tcPr>
          <w:p w:rsidRPr="00513619" w:rsidR="004E0CD3" w:rsidP="004E0CD3" w:rsidRDefault="004E0CD3" w14:paraId="6C785146" w14:textId="7726EA90">
            <w:pPr>
              <w:tabs>
                <w:tab w:val="left" w:pos="900"/>
              </w:tabs>
              <w:jc w:val="both"/>
              <w:rPr>
                <w:rFonts w:ascii="Arial" w:hAnsi="Arial" w:cs="Arial"/>
                <w:bCs/>
                <w:sz w:val="22"/>
                <w:szCs w:val="22"/>
              </w:rPr>
            </w:pPr>
            <w:r w:rsidRPr="00513619">
              <w:rPr>
                <w:rFonts w:ascii="Arial" w:hAnsi="Arial" w:cs="Arial"/>
                <w:bCs/>
                <w:sz w:val="22"/>
                <w:szCs w:val="22"/>
              </w:rPr>
              <w:t>Applicants (4 hours)</w:t>
            </w:r>
          </w:p>
        </w:tc>
        <w:tc>
          <w:tcPr>
            <w:tcW w:w="2129" w:type="dxa"/>
          </w:tcPr>
          <w:p w:rsidRPr="00513619" w:rsidR="004E0CD3" w:rsidP="004E0CD3" w:rsidRDefault="004E0CD3" w14:paraId="5ED2D8DF" w14:textId="30DD8423">
            <w:pPr>
              <w:tabs>
                <w:tab w:val="left" w:pos="900"/>
              </w:tabs>
              <w:jc w:val="both"/>
              <w:rPr>
                <w:rFonts w:ascii="Arial" w:hAnsi="Arial" w:cs="Arial"/>
                <w:bCs/>
                <w:sz w:val="22"/>
                <w:szCs w:val="22"/>
              </w:rPr>
            </w:pPr>
            <w:r w:rsidRPr="00513619">
              <w:rPr>
                <w:rFonts w:ascii="Arial" w:hAnsi="Arial" w:cs="Arial"/>
                <w:bCs/>
                <w:sz w:val="22"/>
                <w:szCs w:val="22"/>
              </w:rPr>
              <w:t>Renewal (2 hours)</w:t>
            </w:r>
          </w:p>
        </w:tc>
        <w:tc>
          <w:tcPr>
            <w:tcW w:w="2104" w:type="dxa"/>
          </w:tcPr>
          <w:p w:rsidRPr="00513619" w:rsidR="004E0CD3" w:rsidP="004E0CD3" w:rsidRDefault="004E0CD3" w14:paraId="59D6D952" w14:textId="1252AFEE">
            <w:pPr>
              <w:tabs>
                <w:tab w:val="left" w:pos="900"/>
              </w:tabs>
              <w:jc w:val="both"/>
              <w:rPr>
                <w:rFonts w:ascii="Arial" w:hAnsi="Arial" w:cs="Arial"/>
                <w:bCs/>
                <w:sz w:val="22"/>
                <w:szCs w:val="22"/>
              </w:rPr>
            </w:pPr>
            <w:r w:rsidRPr="00513619">
              <w:rPr>
                <w:rFonts w:ascii="Arial" w:hAnsi="Arial" w:cs="Arial"/>
                <w:bCs/>
                <w:sz w:val="22"/>
                <w:szCs w:val="22"/>
              </w:rPr>
              <w:t>Total Burden</w:t>
            </w:r>
          </w:p>
        </w:tc>
      </w:tr>
      <w:tr w:rsidRPr="00513619" w:rsidR="00513619" w:rsidTr="00513619" w14:paraId="734BD43A" w14:textId="77777777">
        <w:tc>
          <w:tcPr>
            <w:tcW w:w="1618" w:type="dxa"/>
          </w:tcPr>
          <w:p w:rsidRPr="00513619" w:rsidR="004E0CD3" w:rsidP="004E0CD3" w:rsidRDefault="004E0CD3" w14:paraId="4206F47D" w14:textId="3DFB8634">
            <w:pPr>
              <w:tabs>
                <w:tab w:val="left" w:pos="900"/>
              </w:tabs>
              <w:jc w:val="both"/>
              <w:rPr>
                <w:rFonts w:ascii="Arial" w:hAnsi="Arial" w:cs="Arial"/>
                <w:bCs/>
                <w:sz w:val="22"/>
                <w:szCs w:val="22"/>
              </w:rPr>
            </w:pPr>
            <w:r w:rsidRPr="00513619">
              <w:rPr>
                <w:rFonts w:ascii="Arial" w:hAnsi="Arial" w:cs="Arial"/>
                <w:bCs/>
                <w:sz w:val="22"/>
                <w:szCs w:val="22"/>
              </w:rPr>
              <w:t>Year 1</w:t>
            </w:r>
          </w:p>
        </w:tc>
        <w:tc>
          <w:tcPr>
            <w:tcW w:w="2154" w:type="dxa"/>
          </w:tcPr>
          <w:p w:rsidRPr="00513619" w:rsidR="004E0CD3" w:rsidP="004E0CD3" w:rsidRDefault="004E0CD3" w14:paraId="1FDE48E9" w14:textId="08490971">
            <w:pPr>
              <w:tabs>
                <w:tab w:val="left" w:pos="900"/>
              </w:tabs>
              <w:jc w:val="both"/>
              <w:rPr>
                <w:rFonts w:ascii="Arial" w:hAnsi="Arial" w:cs="Arial"/>
                <w:bCs/>
                <w:sz w:val="22"/>
                <w:szCs w:val="22"/>
              </w:rPr>
            </w:pPr>
            <w:r w:rsidRPr="00513619">
              <w:rPr>
                <w:rFonts w:ascii="Arial" w:hAnsi="Arial" w:cs="Arial"/>
                <w:bCs/>
                <w:sz w:val="22"/>
                <w:szCs w:val="22"/>
              </w:rPr>
              <w:t>100</w:t>
            </w:r>
          </w:p>
        </w:tc>
        <w:tc>
          <w:tcPr>
            <w:tcW w:w="2129" w:type="dxa"/>
          </w:tcPr>
          <w:p w:rsidRPr="00513619" w:rsidR="004E0CD3" w:rsidP="004E0CD3" w:rsidRDefault="004E0CD3" w14:paraId="2D9FE2E5" w14:textId="02F3EFC6">
            <w:pPr>
              <w:tabs>
                <w:tab w:val="left" w:pos="900"/>
              </w:tabs>
              <w:jc w:val="both"/>
              <w:rPr>
                <w:rFonts w:ascii="Arial" w:hAnsi="Arial" w:cs="Arial"/>
                <w:bCs/>
                <w:sz w:val="22"/>
                <w:szCs w:val="22"/>
              </w:rPr>
            </w:pPr>
            <w:r w:rsidRPr="00513619">
              <w:rPr>
                <w:rFonts w:ascii="Arial" w:hAnsi="Arial" w:cs="Arial"/>
                <w:bCs/>
                <w:sz w:val="22"/>
                <w:szCs w:val="22"/>
              </w:rPr>
              <w:t>0</w:t>
            </w:r>
          </w:p>
        </w:tc>
        <w:tc>
          <w:tcPr>
            <w:tcW w:w="2104" w:type="dxa"/>
          </w:tcPr>
          <w:p w:rsidRPr="00513619" w:rsidR="004E0CD3" w:rsidP="004E0CD3" w:rsidRDefault="004E0CD3" w14:paraId="69D03345" w14:textId="344CF4F7">
            <w:pPr>
              <w:tabs>
                <w:tab w:val="left" w:pos="900"/>
              </w:tabs>
              <w:jc w:val="both"/>
              <w:rPr>
                <w:rFonts w:ascii="Arial" w:hAnsi="Arial" w:cs="Arial"/>
                <w:bCs/>
                <w:sz w:val="22"/>
                <w:szCs w:val="22"/>
              </w:rPr>
            </w:pPr>
            <w:r w:rsidRPr="00513619">
              <w:rPr>
                <w:rFonts w:ascii="Arial" w:hAnsi="Arial" w:cs="Arial"/>
                <w:bCs/>
                <w:sz w:val="22"/>
                <w:szCs w:val="22"/>
              </w:rPr>
              <w:t>400</w:t>
            </w:r>
          </w:p>
        </w:tc>
      </w:tr>
      <w:tr w:rsidRPr="00513619" w:rsidR="00513619" w:rsidTr="002C20A9" w14:paraId="0432616D" w14:textId="77777777">
        <w:trPr>
          <w:trHeight w:val="50"/>
        </w:trPr>
        <w:tc>
          <w:tcPr>
            <w:tcW w:w="1618" w:type="dxa"/>
          </w:tcPr>
          <w:p w:rsidRPr="00513619" w:rsidR="004E0CD3" w:rsidP="004E0CD3" w:rsidRDefault="004E0CD3" w14:paraId="3F19A011" w14:textId="0E7046A4">
            <w:pPr>
              <w:tabs>
                <w:tab w:val="left" w:pos="900"/>
              </w:tabs>
              <w:jc w:val="both"/>
              <w:rPr>
                <w:rFonts w:ascii="Arial" w:hAnsi="Arial" w:cs="Arial"/>
                <w:bCs/>
                <w:sz w:val="22"/>
                <w:szCs w:val="22"/>
              </w:rPr>
            </w:pPr>
            <w:r w:rsidRPr="00513619">
              <w:rPr>
                <w:rFonts w:ascii="Arial" w:hAnsi="Arial" w:cs="Arial"/>
                <w:bCs/>
                <w:sz w:val="22"/>
                <w:szCs w:val="22"/>
              </w:rPr>
              <w:t>Year 2</w:t>
            </w:r>
          </w:p>
        </w:tc>
        <w:tc>
          <w:tcPr>
            <w:tcW w:w="2154" w:type="dxa"/>
          </w:tcPr>
          <w:p w:rsidRPr="00513619" w:rsidR="004E0CD3" w:rsidP="004E0CD3" w:rsidRDefault="004E0CD3" w14:paraId="551E94B3" w14:textId="01B6D7A5">
            <w:pPr>
              <w:tabs>
                <w:tab w:val="left" w:pos="900"/>
              </w:tabs>
              <w:jc w:val="both"/>
              <w:rPr>
                <w:rFonts w:ascii="Arial" w:hAnsi="Arial" w:cs="Arial"/>
                <w:bCs/>
                <w:sz w:val="22"/>
                <w:szCs w:val="22"/>
              </w:rPr>
            </w:pPr>
            <w:r w:rsidRPr="00513619">
              <w:rPr>
                <w:rFonts w:ascii="Arial" w:hAnsi="Arial" w:cs="Arial"/>
                <w:bCs/>
                <w:sz w:val="22"/>
                <w:szCs w:val="22"/>
              </w:rPr>
              <w:t>55</w:t>
            </w:r>
          </w:p>
        </w:tc>
        <w:tc>
          <w:tcPr>
            <w:tcW w:w="2129" w:type="dxa"/>
          </w:tcPr>
          <w:p w:rsidRPr="00513619" w:rsidR="004E0CD3" w:rsidP="004E0CD3" w:rsidRDefault="004E0CD3" w14:paraId="113B7FC8" w14:textId="7B5E4AEE">
            <w:pPr>
              <w:tabs>
                <w:tab w:val="left" w:pos="900"/>
              </w:tabs>
              <w:jc w:val="both"/>
              <w:rPr>
                <w:rFonts w:ascii="Arial" w:hAnsi="Arial" w:cs="Arial"/>
                <w:bCs/>
                <w:sz w:val="22"/>
                <w:szCs w:val="22"/>
              </w:rPr>
            </w:pPr>
            <w:r w:rsidRPr="00513619">
              <w:rPr>
                <w:rFonts w:ascii="Arial" w:hAnsi="Arial" w:cs="Arial"/>
                <w:bCs/>
                <w:sz w:val="22"/>
                <w:szCs w:val="22"/>
              </w:rPr>
              <w:t>80</w:t>
            </w:r>
          </w:p>
        </w:tc>
        <w:tc>
          <w:tcPr>
            <w:tcW w:w="2104" w:type="dxa"/>
          </w:tcPr>
          <w:p w:rsidRPr="00513619" w:rsidR="004E0CD3" w:rsidP="004E0CD3" w:rsidRDefault="004E0CD3" w14:paraId="32A1CC96" w14:textId="6E8BF7BD">
            <w:pPr>
              <w:tabs>
                <w:tab w:val="left" w:pos="900"/>
              </w:tabs>
              <w:jc w:val="both"/>
              <w:rPr>
                <w:rFonts w:ascii="Arial" w:hAnsi="Arial" w:cs="Arial"/>
                <w:bCs/>
                <w:sz w:val="22"/>
                <w:szCs w:val="22"/>
              </w:rPr>
            </w:pPr>
            <w:r w:rsidRPr="00513619">
              <w:rPr>
                <w:rFonts w:ascii="Arial" w:hAnsi="Arial" w:cs="Arial"/>
                <w:bCs/>
                <w:sz w:val="22"/>
                <w:szCs w:val="22"/>
              </w:rPr>
              <w:t>380</w:t>
            </w:r>
          </w:p>
        </w:tc>
      </w:tr>
      <w:tr w:rsidRPr="00513619" w:rsidR="00513619" w:rsidTr="00513619" w14:paraId="71D45D50" w14:textId="77777777">
        <w:tc>
          <w:tcPr>
            <w:tcW w:w="1618" w:type="dxa"/>
          </w:tcPr>
          <w:p w:rsidRPr="00513619" w:rsidR="004E0CD3" w:rsidP="004E0CD3" w:rsidRDefault="004E0CD3" w14:paraId="1BD0384A" w14:textId="0EC1ADF5">
            <w:pPr>
              <w:tabs>
                <w:tab w:val="left" w:pos="900"/>
              </w:tabs>
              <w:jc w:val="both"/>
              <w:rPr>
                <w:rFonts w:ascii="Arial" w:hAnsi="Arial" w:cs="Arial"/>
                <w:bCs/>
                <w:sz w:val="22"/>
                <w:szCs w:val="22"/>
              </w:rPr>
            </w:pPr>
            <w:r w:rsidRPr="00513619">
              <w:rPr>
                <w:rFonts w:ascii="Arial" w:hAnsi="Arial" w:cs="Arial"/>
                <w:bCs/>
                <w:sz w:val="22"/>
                <w:szCs w:val="22"/>
              </w:rPr>
              <w:t>Year 3</w:t>
            </w:r>
          </w:p>
        </w:tc>
        <w:tc>
          <w:tcPr>
            <w:tcW w:w="2154" w:type="dxa"/>
          </w:tcPr>
          <w:p w:rsidRPr="00513619" w:rsidR="004E0CD3" w:rsidP="004E0CD3" w:rsidRDefault="004E0CD3" w14:paraId="1E0C305F" w14:textId="4632AB44">
            <w:pPr>
              <w:tabs>
                <w:tab w:val="left" w:pos="900"/>
              </w:tabs>
              <w:jc w:val="both"/>
              <w:rPr>
                <w:rFonts w:ascii="Arial" w:hAnsi="Arial" w:cs="Arial"/>
                <w:bCs/>
                <w:sz w:val="22"/>
                <w:szCs w:val="22"/>
              </w:rPr>
            </w:pPr>
            <w:r w:rsidRPr="00513619">
              <w:rPr>
                <w:rFonts w:ascii="Arial" w:hAnsi="Arial" w:cs="Arial"/>
                <w:bCs/>
                <w:sz w:val="22"/>
                <w:szCs w:val="22"/>
              </w:rPr>
              <w:t>30</w:t>
            </w:r>
          </w:p>
        </w:tc>
        <w:tc>
          <w:tcPr>
            <w:tcW w:w="2129" w:type="dxa"/>
          </w:tcPr>
          <w:p w:rsidRPr="00513619" w:rsidR="004E0CD3" w:rsidP="004E0CD3" w:rsidRDefault="004E0CD3" w14:paraId="54A87CE9" w14:textId="4F277795">
            <w:pPr>
              <w:tabs>
                <w:tab w:val="left" w:pos="900"/>
              </w:tabs>
              <w:jc w:val="both"/>
              <w:rPr>
                <w:rFonts w:ascii="Arial" w:hAnsi="Arial" w:cs="Arial"/>
                <w:bCs/>
                <w:sz w:val="22"/>
                <w:szCs w:val="22"/>
              </w:rPr>
            </w:pPr>
            <w:r w:rsidRPr="00513619">
              <w:rPr>
                <w:rFonts w:ascii="Arial" w:hAnsi="Arial" w:cs="Arial"/>
                <w:bCs/>
                <w:sz w:val="22"/>
                <w:szCs w:val="22"/>
              </w:rPr>
              <w:t>1</w:t>
            </w:r>
            <w:r w:rsidR="0052265B">
              <w:rPr>
                <w:rFonts w:ascii="Arial" w:hAnsi="Arial" w:cs="Arial"/>
                <w:bCs/>
                <w:sz w:val="22"/>
                <w:szCs w:val="22"/>
              </w:rPr>
              <w:t>4</w:t>
            </w:r>
            <w:r w:rsidRPr="00513619">
              <w:rPr>
                <w:rFonts w:ascii="Arial" w:hAnsi="Arial" w:cs="Arial"/>
                <w:bCs/>
                <w:sz w:val="22"/>
                <w:szCs w:val="22"/>
              </w:rPr>
              <w:t>0</w:t>
            </w:r>
          </w:p>
        </w:tc>
        <w:tc>
          <w:tcPr>
            <w:tcW w:w="2104" w:type="dxa"/>
          </w:tcPr>
          <w:p w:rsidRPr="00513619" w:rsidR="004E0CD3" w:rsidP="004E0CD3" w:rsidRDefault="004E0CD3" w14:paraId="5ECCCCA9" w14:textId="43FFC6ED">
            <w:pPr>
              <w:tabs>
                <w:tab w:val="left" w:pos="900"/>
              </w:tabs>
              <w:jc w:val="both"/>
              <w:rPr>
                <w:rFonts w:ascii="Arial" w:hAnsi="Arial" w:cs="Arial"/>
                <w:bCs/>
                <w:sz w:val="22"/>
                <w:szCs w:val="22"/>
              </w:rPr>
            </w:pPr>
            <w:r w:rsidRPr="00513619">
              <w:rPr>
                <w:rFonts w:ascii="Arial" w:hAnsi="Arial" w:cs="Arial"/>
                <w:bCs/>
                <w:sz w:val="22"/>
                <w:szCs w:val="22"/>
              </w:rPr>
              <w:t>4</w:t>
            </w:r>
            <w:r w:rsidR="0052265B">
              <w:rPr>
                <w:rFonts w:ascii="Arial" w:hAnsi="Arial" w:cs="Arial"/>
                <w:bCs/>
                <w:sz w:val="22"/>
                <w:szCs w:val="22"/>
              </w:rPr>
              <w:t>0</w:t>
            </w:r>
            <w:r w:rsidRPr="00513619">
              <w:rPr>
                <w:rFonts w:ascii="Arial" w:hAnsi="Arial" w:cs="Arial"/>
                <w:bCs/>
                <w:sz w:val="22"/>
                <w:szCs w:val="22"/>
              </w:rPr>
              <w:t>0</w:t>
            </w:r>
          </w:p>
        </w:tc>
      </w:tr>
    </w:tbl>
    <w:p w:rsidRPr="00513619" w:rsidR="008E6725" w:rsidP="009453E0" w:rsidRDefault="008E6725" w14:paraId="29069D8A" w14:textId="03A42146">
      <w:pPr>
        <w:tabs>
          <w:tab w:val="left" w:pos="900"/>
        </w:tabs>
        <w:jc w:val="both"/>
        <w:rPr>
          <w:rFonts w:ascii="Arial" w:hAnsi="Arial" w:cs="Arial"/>
          <w:bCs/>
          <w:sz w:val="22"/>
          <w:szCs w:val="22"/>
        </w:rPr>
      </w:pPr>
    </w:p>
    <w:p w:rsidRPr="00513619" w:rsidR="00D83C3E" w:rsidP="00057316" w:rsidRDefault="00D83C3E" w14:paraId="0A10F94E" w14:textId="7B76E599">
      <w:pPr>
        <w:pStyle w:val="ListParagraph"/>
        <w:numPr>
          <w:ilvl w:val="0"/>
          <w:numId w:val="34"/>
        </w:numPr>
        <w:rPr>
          <w:rFonts w:ascii="Arial" w:hAnsi="Arial" w:cs="Arial"/>
          <w:sz w:val="22"/>
          <w:szCs w:val="22"/>
        </w:rPr>
      </w:pPr>
      <w:r w:rsidRPr="00513619">
        <w:rPr>
          <w:rFonts w:ascii="Arial" w:hAnsi="Arial" w:cs="Arial"/>
          <w:sz w:val="22"/>
          <w:szCs w:val="22"/>
        </w:rPr>
        <w:t>The estimate of the annualized hour burden cost to responding companies processing the information, assuming the information is computer generated and mailed to the SBB should be about $35.00 per hour based on rates supplied by responding companies.  Therefore, a reasonable estimate for all 400 responding companies would be $14,000 (400 hours X $35.00/hour).</w:t>
      </w:r>
    </w:p>
    <w:p w:rsidRPr="008E6725" w:rsidR="00D83C3E" w:rsidP="009453E0" w:rsidRDefault="00D83C3E" w14:paraId="4A9D27E9" w14:textId="77777777">
      <w:pPr>
        <w:tabs>
          <w:tab w:val="left" w:pos="900"/>
        </w:tabs>
        <w:jc w:val="both"/>
        <w:rPr>
          <w:rFonts w:ascii="Arial" w:hAnsi="Arial" w:cs="Arial"/>
          <w:bCs/>
          <w:color w:val="3366CC"/>
          <w:sz w:val="22"/>
          <w:szCs w:val="22"/>
        </w:rPr>
      </w:pPr>
    </w:p>
    <w:tbl>
      <w:tblPr>
        <w:tblW w:w="11631" w:type="dxa"/>
        <w:jc w:val="center"/>
        <w:tblLook w:val="04A0" w:firstRow="1" w:lastRow="0" w:firstColumn="1" w:lastColumn="0" w:noHBand="0" w:noVBand="1"/>
      </w:tblPr>
      <w:tblGrid>
        <w:gridCol w:w="2275"/>
        <w:gridCol w:w="1775"/>
        <w:gridCol w:w="1391"/>
        <w:gridCol w:w="1391"/>
        <w:gridCol w:w="1170"/>
        <w:gridCol w:w="1553"/>
        <w:gridCol w:w="2076"/>
      </w:tblGrid>
      <w:tr w:rsidRPr="00EF2363" w:rsidR="00F902A0" w:rsidTr="00C2713A" w14:paraId="44D035A5" w14:textId="77777777">
        <w:trPr>
          <w:trHeight w:val="1110"/>
          <w:jc w:val="center"/>
        </w:trPr>
        <w:tc>
          <w:tcPr>
            <w:tcW w:w="2275"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6C4606" w:rsidR="00F902A0" w:rsidP="00C2713A" w:rsidRDefault="00F902A0" w14:paraId="36C4FDCE" w14:textId="77777777">
            <w:pPr>
              <w:jc w:val="center"/>
              <w:rPr>
                <w:b/>
                <w:bCs/>
                <w:color w:val="000000"/>
              </w:rPr>
            </w:pPr>
            <w:bookmarkStart w:name="RANGE!A1:G18" w:id="2"/>
            <w:r w:rsidRPr="006C4606">
              <w:rPr>
                <w:b/>
                <w:bCs/>
                <w:color w:val="000000"/>
              </w:rPr>
              <w:t>Reporting</w:t>
            </w:r>
            <w:bookmarkEnd w:id="2"/>
          </w:p>
        </w:tc>
        <w:tc>
          <w:tcPr>
            <w:tcW w:w="1775" w:type="dxa"/>
            <w:tcBorders>
              <w:top w:val="single" w:color="auto" w:sz="8" w:space="0"/>
              <w:left w:val="nil"/>
              <w:bottom w:val="single" w:color="auto" w:sz="8" w:space="0"/>
              <w:right w:val="single" w:color="auto" w:sz="8" w:space="0"/>
            </w:tcBorders>
            <w:shd w:val="clear" w:color="000000" w:fill="FFFFFF"/>
            <w:vAlign w:val="center"/>
            <w:hideMark/>
          </w:tcPr>
          <w:p w:rsidRPr="006C4606" w:rsidR="00F902A0" w:rsidP="00C2713A" w:rsidRDefault="00F902A0" w14:paraId="3E49A25A" w14:textId="77777777">
            <w:pPr>
              <w:jc w:val="center"/>
              <w:rPr>
                <w:color w:val="000000"/>
              </w:rPr>
            </w:pPr>
            <w:r w:rsidRPr="006C4606">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902A0" w:rsidP="00C2713A" w:rsidRDefault="00F902A0" w14:paraId="29E61A5B" w14:textId="77777777">
            <w:pPr>
              <w:jc w:val="center"/>
              <w:rPr>
                <w:color w:val="000000"/>
              </w:rPr>
            </w:pPr>
            <w:r w:rsidRPr="006C4606">
              <w:rPr>
                <w:color w:val="000000"/>
              </w:rPr>
              <w:t># Responses Per Respondent</w:t>
            </w:r>
          </w:p>
          <w:p w:rsidRPr="006C4606" w:rsidR="00F902A0" w:rsidP="00C2713A" w:rsidRDefault="00F902A0" w14:paraId="7B8DEFB8" w14:textId="77777777">
            <w:pPr>
              <w:jc w:val="center"/>
              <w:rPr>
                <w:color w:val="000000"/>
              </w:rPr>
            </w:pP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902A0" w:rsidP="00C2713A" w:rsidRDefault="00F902A0" w14:paraId="0F325DCF" w14:textId="77777777">
            <w:pPr>
              <w:jc w:val="center"/>
              <w:rPr>
                <w:color w:val="000000"/>
              </w:rPr>
            </w:pPr>
            <w:r w:rsidRPr="006C4606">
              <w:rPr>
                <w:color w:val="000000"/>
              </w:rPr>
              <w:t>Total annual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6C4606" w:rsidR="00F902A0" w:rsidP="00C2713A" w:rsidRDefault="00F902A0" w14:paraId="1A457A56" w14:textId="77777777">
            <w:pPr>
              <w:jc w:val="center"/>
              <w:rPr>
                <w:color w:val="000000"/>
              </w:rPr>
            </w:pPr>
            <w:r w:rsidRPr="006C4606">
              <w:rPr>
                <w:color w:val="000000"/>
              </w:rPr>
              <w:t>Hours per response</w:t>
            </w:r>
          </w:p>
        </w:tc>
        <w:tc>
          <w:tcPr>
            <w:tcW w:w="1553" w:type="dxa"/>
            <w:tcBorders>
              <w:top w:val="single" w:color="auto" w:sz="8" w:space="0"/>
              <w:left w:val="nil"/>
              <w:bottom w:val="single" w:color="auto" w:sz="8" w:space="0"/>
              <w:right w:val="single" w:color="auto" w:sz="8" w:space="0"/>
            </w:tcBorders>
            <w:shd w:val="clear" w:color="000000" w:fill="FFFFFF"/>
            <w:vAlign w:val="center"/>
            <w:hideMark/>
          </w:tcPr>
          <w:p w:rsidRPr="006C4606" w:rsidR="00F902A0" w:rsidP="00C2713A" w:rsidRDefault="00F902A0" w14:paraId="7672E831" w14:textId="77777777">
            <w:pPr>
              <w:jc w:val="center"/>
              <w:rPr>
                <w:color w:val="000000"/>
              </w:rPr>
            </w:pPr>
            <w:r w:rsidRPr="006C4606">
              <w:rPr>
                <w:color w:val="000000"/>
              </w:rPr>
              <w:t>Total Burden in Hours</w:t>
            </w:r>
          </w:p>
        </w:tc>
        <w:tc>
          <w:tcPr>
            <w:tcW w:w="2076" w:type="dxa"/>
            <w:tcBorders>
              <w:top w:val="single" w:color="auto" w:sz="8" w:space="0"/>
              <w:left w:val="nil"/>
              <w:bottom w:val="single" w:color="auto" w:sz="8" w:space="0"/>
              <w:right w:val="single" w:color="auto" w:sz="8" w:space="0"/>
            </w:tcBorders>
            <w:shd w:val="clear" w:color="000000" w:fill="FFFFFF"/>
            <w:vAlign w:val="center"/>
            <w:hideMark/>
          </w:tcPr>
          <w:p w:rsidRPr="006C4606" w:rsidR="00F902A0" w:rsidP="00C2713A" w:rsidRDefault="00F902A0" w14:paraId="31428D6C" w14:textId="77777777">
            <w:pPr>
              <w:jc w:val="center"/>
              <w:rPr>
                <w:color w:val="000000"/>
              </w:rPr>
            </w:pPr>
            <w:r w:rsidRPr="006C4606">
              <w:rPr>
                <w:color w:val="000000"/>
              </w:rPr>
              <w:t>Cost to Respondent</w:t>
            </w:r>
          </w:p>
          <w:p w:rsidRPr="006C4606" w:rsidR="00F902A0" w:rsidP="00C2713A" w:rsidRDefault="00F902A0" w14:paraId="6138382E" w14:textId="59A9DC9E">
            <w:pPr>
              <w:jc w:val="center"/>
              <w:rPr>
                <w:color w:val="000000"/>
              </w:rPr>
            </w:pPr>
            <w:r w:rsidRPr="006C4606">
              <w:rPr>
                <w:color w:val="000000"/>
              </w:rPr>
              <w:t>($</w:t>
            </w:r>
            <w:r w:rsidR="00563778">
              <w:rPr>
                <w:color w:val="000000"/>
              </w:rPr>
              <w:t>35</w:t>
            </w:r>
            <w:r w:rsidRPr="006C4606">
              <w:rPr>
                <w:color w:val="000000"/>
              </w:rPr>
              <w:t xml:space="preserve"> per hour*)</w:t>
            </w:r>
          </w:p>
        </w:tc>
      </w:tr>
      <w:tr w:rsidRPr="00EF2363" w:rsidR="00F902A0" w:rsidTr="00C2713A" w14:paraId="236FB77C" w14:textId="77777777">
        <w:trPr>
          <w:trHeight w:val="5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F902A0" w:rsidP="00C2713A" w:rsidRDefault="00F902A0" w14:paraId="02A6DB3A" w14:textId="508E2420">
            <w:pPr>
              <w:jc w:val="center"/>
              <w:rPr>
                <w:color w:val="000000"/>
              </w:rPr>
            </w:pPr>
            <w:r>
              <w:rPr>
                <w:color w:val="000000"/>
              </w:rPr>
              <w:t>Initial Application</w:t>
            </w:r>
          </w:p>
        </w:tc>
        <w:tc>
          <w:tcPr>
            <w:tcW w:w="1775" w:type="dxa"/>
            <w:tcBorders>
              <w:top w:val="nil"/>
              <w:left w:val="nil"/>
              <w:bottom w:val="single" w:color="auto" w:sz="8" w:space="0"/>
              <w:right w:val="single" w:color="auto" w:sz="8" w:space="0"/>
            </w:tcBorders>
            <w:shd w:val="clear" w:color="000000" w:fill="FFFFFF"/>
            <w:vAlign w:val="center"/>
          </w:tcPr>
          <w:p w:rsidRPr="006C4606" w:rsidR="00F902A0" w:rsidP="00C2713A" w:rsidRDefault="00F902A0" w14:paraId="56350334" w14:textId="5CA19899">
            <w:pPr>
              <w:jc w:val="center"/>
              <w:rPr>
                <w:color w:val="000000"/>
              </w:rPr>
            </w:pPr>
            <w:r>
              <w:rPr>
                <w:color w:val="000000"/>
              </w:rPr>
              <w:t>62</w:t>
            </w:r>
          </w:p>
        </w:tc>
        <w:tc>
          <w:tcPr>
            <w:tcW w:w="1391"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F902A0" w14:paraId="4AC8D881" w14:textId="77777777">
            <w:pPr>
              <w:jc w:val="center"/>
              <w:rPr>
                <w:color w:val="000000"/>
              </w:rPr>
            </w:pPr>
            <w:r>
              <w:rPr>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F902A0" w14:paraId="1626ABF3" w14:textId="3FCC27AA">
            <w:pPr>
              <w:jc w:val="center"/>
              <w:rPr>
                <w:color w:val="000000"/>
              </w:rPr>
            </w:pPr>
            <w:r>
              <w:rPr>
                <w:color w:val="000000"/>
              </w:rPr>
              <w:t>62</w:t>
            </w:r>
          </w:p>
        </w:tc>
        <w:tc>
          <w:tcPr>
            <w:tcW w:w="1170"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F902A0" w14:paraId="649F5002" w14:textId="1365EF03">
            <w:pPr>
              <w:jc w:val="center"/>
              <w:rPr>
                <w:color w:val="000000"/>
              </w:rPr>
            </w:pPr>
            <w:r>
              <w:rPr>
                <w:color w:val="000000"/>
              </w:rPr>
              <w:t>4</w:t>
            </w:r>
          </w:p>
        </w:tc>
        <w:tc>
          <w:tcPr>
            <w:tcW w:w="1553"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563778" w14:paraId="4ECD488C" w14:textId="2230B0CF">
            <w:pPr>
              <w:jc w:val="center"/>
              <w:rPr>
                <w:color w:val="000000"/>
              </w:rPr>
            </w:pPr>
            <w:r>
              <w:rPr>
                <w:color w:val="000000"/>
              </w:rPr>
              <w:t>248</w:t>
            </w:r>
          </w:p>
        </w:tc>
        <w:tc>
          <w:tcPr>
            <w:tcW w:w="2076"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F902A0" w14:paraId="34650B4F" w14:textId="2CBA2301">
            <w:pPr>
              <w:jc w:val="center"/>
              <w:rPr>
                <w:color w:val="000000"/>
              </w:rPr>
            </w:pPr>
            <w:r>
              <w:rPr>
                <w:color w:val="000000"/>
              </w:rPr>
              <w:t>$</w:t>
            </w:r>
            <w:r w:rsidR="00563778">
              <w:rPr>
                <w:color w:val="000000"/>
              </w:rPr>
              <w:t>8,680</w:t>
            </w:r>
          </w:p>
        </w:tc>
      </w:tr>
      <w:tr w:rsidRPr="00EF2363" w:rsidR="00F902A0" w:rsidTr="00C2713A" w14:paraId="54176F85" w14:textId="77777777">
        <w:trPr>
          <w:trHeight w:val="8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F902A0" w:rsidP="00C2713A" w:rsidRDefault="00F902A0" w14:paraId="0FDEC519" w14:textId="27FF58E3">
            <w:pPr>
              <w:jc w:val="center"/>
              <w:rPr>
                <w:color w:val="000000"/>
              </w:rPr>
            </w:pPr>
            <w:r>
              <w:rPr>
                <w:color w:val="000000"/>
              </w:rPr>
              <w:t>Annual Renewal</w:t>
            </w:r>
          </w:p>
        </w:tc>
        <w:tc>
          <w:tcPr>
            <w:tcW w:w="1775"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3C669A" w14:paraId="703C1AA2" w14:textId="2704593C">
            <w:pPr>
              <w:jc w:val="center"/>
              <w:rPr>
                <w:color w:val="000000"/>
              </w:rPr>
            </w:pPr>
            <w:r>
              <w:rPr>
                <w:color w:val="000000"/>
              </w:rPr>
              <w:t>80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3C669A" w14:paraId="4CD6AECA" w14:textId="6CE0260A">
            <w:pPr>
              <w:jc w:val="center"/>
              <w:rPr>
                <w:color w:val="000000"/>
              </w:rPr>
            </w:pPr>
            <w:r>
              <w:rPr>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3C669A" w14:paraId="62FC51A0" w14:textId="673489A0">
            <w:pPr>
              <w:jc w:val="center"/>
              <w:rPr>
                <w:color w:val="000000"/>
              </w:rPr>
            </w:pPr>
            <w:r>
              <w:rPr>
                <w:color w:val="000000"/>
              </w:rPr>
              <w:t>80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3C669A" w14:paraId="04D44397" w14:textId="6590A0C1">
            <w:pPr>
              <w:jc w:val="center"/>
              <w:rPr>
                <w:color w:val="000000"/>
              </w:rPr>
            </w:pPr>
            <w:r>
              <w:rPr>
                <w:color w:val="000000"/>
              </w:rPr>
              <w:t>2</w:t>
            </w:r>
          </w:p>
        </w:tc>
        <w:tc>
          <w:tcPr>
            <w:tcW w:w="1553"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3C669A" w14:paraId="5E31B0E0" w14:textId="4816C596">
            <w:pPr>
              <w:jc w:val="center"/>
              <w:rPr>
                <w:color w:val="000000"/>
              </w:rPr>
            </w:pPr>
            <w:r>
              <w:rPr>
                <w:color w:val="000000"/>
              </w:rPr>
              <w:t>160</w:t>
            </w:r>
          </w:p>
        </w:tc>
        <w:tc>
          <w:tcPr>
            <w:tcW w:w="2076" w:type="dxa"/>
            <w:tcBorders>
              <w:top w:val="nil"/>
              <w:left w:val="nil"/>
              <w:bottom w:val="single" w:color="auto" w:sz="8" w:space="0"/>
              <w:right w:val="single" w:color="auto" w:sz="8" w:space="0"/>
            </w:tcBorders>
            <w:shd w:val="clear" w:color="000000" w:fill="FFFFFF"/>
            <w:noWrap/>
            <w:vAlign w:val="center"/>
          </w:tcPr>
          <w:p w:rsidRPr="006C4606" w:rsidR="00F902A0" w:rsidP="00C2713A" w:rsidRDefault="003C669A" w14:paraId="335B63FB" w14:textId="7A3997EF">
            <w:pPr>
              <w:jc w:val="center"/>
              <w:rPr>
                <w:color w:val="000000"/>
              </w:rPr>
            </w:pPr>
            <w:r>
              <w:rPr>
                <w:color w:val="000000"/>
              </w:rPr>
              <w:t>$5,600</w:t>
            </w:r>
          </w:p>
        </w:tc>
      </w:tr>
      <w:tr w:rsidRPr="00EF2363" w:rsidR="00F902A0" w:rsidTr="00C2713A" w14:paraId="1844CD39" w14:textId="77777777">
        <w:trPr>
          <w:trHeight w:val="692"/>
          <w:jc w:val="center"/>
        </w:trPr>
        <w:tc>
          <w:tcPr>
            <w:tcW w:w="22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F902A0" w:rsidP="00C2713A" w:rsidRDefault="00F902A0" w14:paraId="7A35E32E" w14:textId="77777777">
            <w:pPr>
              <w:jc w:val="center"/>
              <w:rPr>
                <w:b/>
                <w:bCs/>
                <w:color w:val="000000"/>
              </w:rPr>
            </w:pPr>
            <w:r w:rsidRPr="006C4606">
              <w:rPr>
                <w:b/>
                <w:bCs/>
                <w:color w:val="000000"/>
              </w:rPr>
              <w:t>TOTAL</w:t>
            </w:r>
          </w:p>
        </w:tc>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F902A0" w:rsidP="00C2713A" w:rsidRDefault="003C669A" w14:paraId="00595CAB" w14:textId="51431B44">
            <w:pPr>
              <w:jc w:val="center"/>
              <w:rPr>
                <w:b/>
                <w:color w:val="000000"/>
              </w:rPr>
            </w:pPr>
            <w:r>
              <w:rPr>
                <w:b/>
                <w:color w:val="000000"/>
              </w:rPr>
              <w:t>142</w:t>
            </w:r>
          </w:p>
        </w:tc>
        <w:tc>
          <w:tcPr>
            <w:tcW w:w="139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F902A0" w:rsidP="00C2713A" w:rsidRDefault="00F902A0" w14:paraId="7F44B075" w14:textId="77777777">
            <w:pPr>
              <w:jc w:val="center"/>
              <w:rPr>
                <w:b/>
                <w:color w:val="000000"/>
              </w:rPr>
            </w:pP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F902A0" w:rsidP="00C2713A" w:rsidRDefault="003C669A" w14:paraId="09327C62" w14:textId="5769D022">
            <w:pPr>
              <w:jc w:val="center"/>
              <w:rPr>
                <w:b/>
                <w:color w:val="000000"/>
              </w:rPr>
            </w:pPr>
            <w:r>
              <w:rPr>
                <w:b/>
                <w:color w:val="000000"/>
              </w:rPr>
              <w:t>142</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F902A0" w:rsidP="00C2713A" w:rsidRDefault="00F902A0" w14:paraId="70DA7179" w14:textId="77777777">
            <w:pPr>
              <w:jc w:val="center"/>
              <w:rPr>
                <w:b/>
                <w:color w:val="000000"/>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F902A0" w:rsidP="00C2713A" w:rsidRDefault="003C669A" w14:paraId="07401FCE" w14:textId="07730A0A">
            <w:pPr>
              <w:jc w:val="center"/>
              <w:rPr>
                <w:b/>
                <w:color w:val="000000"/>
              </w:rPr>
            </w:pPr>
            <w:r>
              <w:rPr>
                <w:b/>
                <w:color w:val="000000"/>
              </w:rPr>
              <w:t>408</w:t>
            </w:r>
          </w:p>
        </w:tc>
        <w:tc>
          <w:tcPr>
            <w:tcW w:w="2076"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F902A0" w:rsidP="00C2713A" w:rsidRDefault="003C669A" w14:paraId="4210C43A" w14:textId="096D78A8">
            <w:pPr>
              <w:jc w:val="center"/>
              <w:rPr>
                <w:b/>
                <w:color w:val="000000"/>
              </w:rPr>
            </w:pPr>
            <w:r>
              <w:rPr>
                <w:b/>
                <w:color w:val="000000"/>
              </w:rPr>
              <w:t>$14,280</w:t>
            </w:r>
          </w:p>
        </w:tc>
      </w:tr>
    </w:tbl>
    <w:p w:rsidRPr="00432C2B" w:rsidR="008E6725" w:rsidP="008E6725" w:rsidRDefault="008E6725" w14:paraId="5BA947CC" w14:textId="77777777">
      <w:pPr>
        <w:tabs>
          <w:tab w:val="left" w:pos="900"/>
        </w:tabs>
        <w:jc w:val="both"/>
        <w:rPr>
          <w:rFonts w:ascii="Arial" w:hAnsi="Arial" w:cs="Arial"/>
          <w:bCs/>
          <w:color w:val="3366CC"/>
          <w:sz w:val="22"/>
          <w:szCs w:val="22"/>
        </w:rPr>
      </w:pPr>
    </w:p>
    <w:p w:rsidR="00F064FD" w:rsidP="00432C2B" w:rsidRDefault="00F064FD" w14:paraId="1F86A249" w14:textId="77777777">
      <w:pPr>
        <w:pStyle w:val="BodyTextIndent"/>
        <w:tabs>
          <w:tab w:val="clear" w:pos="0"/>
          <w:tab w:val="left" w:pos="540"/>
          <w:tab w:val="left" w:pos="810"/>
        </w:tabs>
        <w:ind w:left="540" w:hanging="540"/>
        <w:rPr>
          <w:rFonts w:ascii="Arial" w:hAnsi="Arial" w:cs="Arial"/>
          <w:sz w:val="22"/>
          <w:szCs w:val="22"/>
        </w:rPr>
      </w:pPr>
    </w:p>
    <w:p w:rsidR="00F8418A" w:rsidP="00F8418A" w:rsidRDefault="00F8418A" w14:paraId="0B0C91DB" w14:textId="77777777">
      <w:pPr>
        <w:pStyle w:val="BodyTextIndent"/>
        <w:numPr>
          <w:ilvl w:val="0"/>
          <w:numId w:val="10"/>
        </w:numPr>
        <w:tabs>
          <w:tab w:val="clear" w:pos="0"/>
          <w:tab w:val="clear" w:pos="36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rFonts w:ascii="Arial" w:hAnsi="Arial" w:cs="Arial"/>
          <w:b/>
          <w:bCs/>
          <w:sz w:val="22"/>
          <w:szCs w:val="22"/>
        </w:rPr>
      </w:pPr>
      <w:r>
        <w:rPr>
          <w:rFonts w:ascii="Arial" w:hAnsi="Arial" w:cs="Arial"/>
          <w:b/>
          <w:bCs/>
          <w:sz w:val="22"/>
          <w:szCs w:val="22"/>
        </w:rPr>
        <w:t>Annual Cost to Respondents.</w:t>
      </w:r>
    </w:p>
    <w:p w:rsidRPr="00F8418A" w:rsidR="00EC10FF" w:rsidP="00057316" w:rsidRDefault="00054ED0" w14:paraId="301D7568" w14:textId="7676069D">
      <w:pPr>
        <w:tabs>
          <w:tab w:val="left" w:pos="540"/>
        </w:tabs>
        <w:spacing w:before="120" w:after="120"/>
        <w:ind w:left="540"/>
        <w:rPr>
          <w:rFonts w:ascii="Arial" w:hAnsi="Arial" w:cs="Arial"/>
          <w:color w:val="3366FF"/>
          <w:sz w:val="22"/>
          <w:szCs w:val="22"/>
        </w:rPr>
      </w:pPr>
      <w:r w:rsidRPr="00513619">
        <w:rPr>
          <w:rFonts w:ascii="Arial" w:hAnsi="Arial" w:cs="Arial"/>
          <w:sz w:val="22"/>
          <w:szCs w:val="22"/>
        </w:rPr>
        <w:t>There are no other costs to respondents other than the applicable application fee (</w:t>
      </w:r>
      <w:r w:rsidRPr="00513619" w:rsidR="00513619">
        <w:rPr>
          <w:rFonts w:ascii="Arial" w:hAnsi="Arial" w:cs="Arial"/>
          <w:sz w:val="22"/>
          <w:szCs w:val="22"/>
        </w:rPr>
        <w:t>I</w:t>
      </w:r>
      <w:r w:rsidRPr="00513619">
        <w:rPr>
          <w:rFonts w:ascii="Arial" w:hAnsi="Arial" w:cs="Arial"/>
          <w:sz w:val="22"/>
          <w:szCs w:val="22"/>
        </w:rPr>
        <w:t>tem 14).  The information requested is of a general nature and is already maintained by the companies in their normal business practices.  Therefore, there are no capital or start-up costs; nor are there operational or maintenance costs associated with this information collection.</w:t>
      </w:r>
    </w:p>
    <w:p w:rsidRPr="00513619" w:rsidR="00171FB0" w:rsidP="00513619" w:rsidRDefault="00171FB0" w14:paraId="5B1A17C2" w14:textId="0B32766D">
      <w:r>
        <w:t xml:space="preserve"> </w:t>
      </w:r>
    </w:p>
    <w:p w:rsidR="00F8418A" w:rsidP="00F8418A" w:rsidRDefault="00F8418A" w14:paraId="7EF90F7B" w14:textId="77777777">
      <w:pPr>
        <w:numPr>
          <w:ilvl w:val="0"/>
          <w:numId w:val="31"/>
        </w:numPr>
        <w:tabs>
          <w:tab w:val="clear" w:pos="720"/>
          <w:tab w:val="left" w:pos="540"/>
        </w:tabs>
        <w:spacing w:before="120" w:after="120"/>
        <w:ind w:left="540" w:hanging="540"/>
        <w:rPr>
          <w:rFonts w:ascii="Arial" w:hAnsi="Arial" w:cs="Arial"/>
          <w:b/>
          <w:bCs/>
          <w:sz w:val="22"/>
          <w:szCs w:val="22"/>
        </w:rPr>
      </w:pPr>
      <w:r>
        <w:rPr>
          <w:rFonts w:ascii="Arial" w:hAnsi="Arial" w:cs="Arial"/>
          <w:b/>
          <w:bCs/>
          <w:sz w:val="22"/>
          <w:szCs w:val="22"/>
        </w:rPr>
        <w:lastRenderedPageBreak/>
        <w:t>Cost to the Federal Government.</w:t>
      </w:r>
    </w:p>
    <w:p w:rsidR="00EC10FF" w:rsidP="00057316" w:rsidRDefault="00054ED0" w14:paraId="65995412" w14:textId="75F8BCAB">
      <w:pPr>
        <w:spacing w:before="120" w:after="120"/>
        <w:ind w:left="540"/>
        <w:rPr>
          <w:rFonts w:ascii="Arial" w:hAnsi="Arial" w:cs="Arial"/>
          <w:color w:val="3366FF"/>
          <w:sz w:val="22"/>
          <w:szCs w:val="22"/>
        </w:rPr>
      </w:pPr>
      <w:r w:rsidRPr="00513619">
        <w:rPr>
          <w:rFonts w:ascii="Arial" w:hAnsi="Arial" w:cs="Arial"/>
          <w:sz w:val="22"/>
          <w:szCs w:val="22"/>
        </w:rPr>
        <w:t xml:space="preserve">Applicant companies </w:t>
      </w:r>
      <w:r w:rsidR="006715A5">
        <w:rPr>
          <w:rFonts w:ascii="Arial" w:hAnsi="Arial" w:cs="Arial"/>
          <w:sz w:val="22"/>
          <w:szCs w:val="22"/>
        </w:rPr>
        <w:t xml:space="preserve">will </w:t>
      </w:r>
      <w:r w:rsidRPr="00513619">
        <w:rPr>
          <w:rFonts w:ascii="Arial" w:hAnsi="Arial" w:cs="Arial"/>
          <w:sz w:val="22"/>
          <w:szCs w:val="22"/>
        </w:rPr>
        <w:t>pay fees of $3,275 for initial recognition as a reinsurer, and $2,325 for annual renewal</w:t>
      </w:r>
      <w:r w:rsidR="006715A5">
        <w:rPr>
          <w:rFonts w:ascii="Arial" w:hAnsi="Arial" w:cs="Arial"/>
          <w:sz w:val="22"/>
          <w:szCs w:val="22"/>
        </w:rPr>
        <w:t xml:space="preserve">. These fees reflect those currently collected from Admitted </w:t>
      </w:r>
      <w:proofErr w:type="gramStart"/>
      <w:r w:rsidR="006715A5">
        <w:rPr>
          <w:rFonts w:ascii="Arial" w:hAnsi="Arial" w:cs="Arial"/>
          <w:sz w:val="22"/>
          <w:szCs w:val="22"/>
        </w:rPr>
        <w:t>Reinsurers,</w:t>
      </w:r>
      <w:proofErr w:type="gramEnd"/>
      <w:r w:rsidR="006715A5">
        <w:rPr>
          <w:rFonts w:ascii="Arial" w:hAnsi="Arial" w:cs="Arial"/>
          <w:sz w:val="22"/>
          <w:szCs w:val="22"/>
        </w:rPr>
        <w:t xml:space="preserve"> however they have not been updated or changed since 2011. </w:t>
      </w:r>
      <w:r w:rsidR="00B86E60">
        <w:rPr>
          <w:rFonts w:ascii="Arial" w:hAnsi="Arial" w:cs="Arial"/>
          <w:sz w:val="22"/>
          <w:szCs w:val="22"/>
        </w:rPr>
        <w:t>The estimated program costs in CY2022 are $2,800,107 while the fees collected are anticipated to cover $1,946,700 of that amount</w:t>
      </w:r>
      <w:r w:rsidR="00212FEA">
        <w:rPr>
          <w:rFonts w:ascii="Arial" w:hAnsi="Arial" w:cs="Arial"/>
          <w:sz w:val="22"/>
          <w:szCs w:val="22"/>
        </w:rPr>
        <w:t>.</w:t>
      </w:r>
      <w:r w:rsidR="00B86E60">
        <w:rPr>
          <w:rFonts w:ascii="Arial" w:hAnsi="Arial" w:cs="Arial"/>
          <w:sz w:val="22"/>
          <w:szCs w:val="22"/>
        </w:rPr>
        <w:t xml:space="preserve"> </w:t>
      </w:r>
      <w:r w:rsidR="006715A5">
        <w:rPr>
          <w:rFonts w:ascii="Arial" w:hAnsi="Arial" w:cs="Arial"/>
          <w:sz w:val="22"/>
          <w:szCs w:val="22"/>
        </w:rPr>
        <w:t xml:space="preserve">An examination of the fees </w:t>
      </w:r>
      <w:r w:rsidR="00B2267F">
        <w:rPr>
          <w:rFonts w:ascii="Arial" w:hAnsi="Arial" w:cs="Arial"/>
          <w:sz w:val="22"/>
          <w:szCs w:val="22"/>
        </w:rPr>
        <w:t xml:space="preserve">collected </w:t>
      </w:r>
      <w:r w:rsidR="006715A5">
        <w:rPr>
          <w:rFonts w:ascii="Arial" w:hAnsi="Arial" w:cs="Arial"/>
          <w:sz w:val="22"/>
          <w:szCs w:val="22"/>
        </w:rPr>
        <w:t xml:space="preserve">in </w:t>
      </w:r>
      <w:r w:rsidR="00B2267F">
        <w:rPr>
          <w:rFonts w:ascii="Arial" w:hAnsi="Arial" w:cs="Arial"/>
          <w:sz w:val="22"/>
          <w:szCs w:val="22"/>
        </w:rPr>
        <w:t>recent years</w:t>
      </w:r>
      <w:r w:rsidR="00E96DA3">
        <w:rPr>
          <w:rFonts w:ascii="Arial" w:hAnsi="Arial" w:cs="Arial"/>
          <w:sz w:val="22"/>
          <w:szCs w:val="22"/>
        </w:rPr>
        <w:t xml:space="preserve"> supports a multiple year initiative to increase fees for all categories of applicants to </w:t>
      </w:r>
      <w:proofErr w:type="gramStart"/>
      <w:r w:rsidR="00E96DA3">
        <w:rPr>
          <w:rFonts w:ascii="Arial" w:hAnsi="Arial" w:cs="Arial"/>
          <w:sz w:val="22"/>
          <w:szCs w:val="22"/>
        </w:rPr>
        <w:t>more closely align with annual program operating costs</w:t>
      </w:r>
      <w:proofErr w:type="gramEnd"/>
      <w:r w:rsidR="00E96DA3">
        <w:rPr>
          <w:rFonts w:ascii="Arial" w:hAnsi="Arial" w:cs="Arial"/>
          <w:sz w:val="22"/>
          <w:szCs w:val="22"/>
        </w:rPr>
        <w:t>.</w:t>
      </w:r>
      <w:r w:rsidRPr="00513619">
        <w:rPr>
          <w:rFonts w:ascii="Arial" w:hAnsi="Arial" w:cs="Arial"/>
          <w:sz w:val="22"/>
          <w:szCs w:val="22"/>
        </w:rPr>
        <w:t xml:space="preserve"> All components, such as personnel costs, paperwork, overhead, etc., have been considered in the determination of the applicable fees.  The fees represent the approximate overall costs to the Government for processing the</w:t>
      </w:r>
      <w:r w:rsidR="00513619">
        <w:rPr>
          <w:rFonts w:ascii="Arial" w:hAnsi="Arial" w:cs="Arial"/>
          <w:sz w:val="22"/>
          <w:szCs w:val="22"/>
        </w:rPr>
        <w:t xml:space="preserve"> </w:t>
      </w:r>
      <w:r w:rsidRPr="00513619">
        <w:rPr>
          <w:rFonts w:ascii="Arial" w:hAnsi="Arial" w:cs="Arial"/>
          <w:sz w:val="22"/>
          <w:szCs w:val="22"/>
        </w:rPr>
        <w:t>particular application</w:t>
      </w:r>
      <w:r w:rsidR="00513619">
        <w:rPr>
          <w:rFonts w:ascii="Arial" w:hAnsi="Arial" w:cs="Arial"/>
          <w:sz w:val="22"/>
          <w:szCs w:val="22"/>
        </w:rPr>
        <w:t>.</w:t>
      </w:r>
    </w:p>
    <w:p w:rsidRPr="00F8418A" w:rsidR="00CB24FE" w:rsidP="00F8418A" w:rsidRDefault="00CB24FE" w14:paraId="66C22F22" w14:textId="77777777">
      <w:pPr>
        <w:spacing w:before="120" w:after="120"/>
        <w:ind w:left="540"/>
        <w:jc w:val="both"/>
        <w:rPr>
          <w:rFonts w:ascii="Arial" w:hAnsi="Arial" w:cs="Arial"/>
          <w:color w:val="3366FF"/>
          <w:sz w:val="22"/>
          <w:szCs w:val="22"/>
        </w:rPr>
      </w:pPr>
    </w:p>
    <w:p w:rsidRPr="00912184" w:rsidR="00912184" w:rsidP="00912184" w:rsidRDefault="00F8418A" w14:paraId="674898DC" w14:textId="3797BF6B">
      <w:pPr>
        <w:numPr>
          <w:ilvl w:val="0"/>
          <w:numId w:val="31"/>
        </w:numPr>
        <w:tabs>
          <w:tab w:val="clear" w:pos="720"/>
          <w:tab w:val="left" w:pos="540"/>
        </w:tabs>
        <w:spacing w:before="120" w:after="120"/>
        <w:ind w:left="540" w:hanging="540"/>
        <w:rPr>
          <w:rFonts w:ascii="Arial" w:hAnsi="Arial" w:cs="Arial"/>
          <w:b/>
          <w:bCs/>
          <w:sz w:val="22"/>
          <w:szCs w:val="22"/>
        </w:rPr>
      </w:pPr>
      <w:r>
        <w:rPr>
          <w:rFonts w:ascii="Arial" w:hAnsi="Arial" w:cs="Arial"/>
          <w:b/>
          <w:bCs/>
          <w:sz w:val="22"/>
          <w:szCs w:val="22"/>
        </w:rPr>
        <w:t>Reason for Change.</w:t>
      </w:r>
    </w:p>
    <w:p w:rsidR="00EC10FF" w:rsidP="00466B49" w:rsidRDefault="00790BC2" w14:paraId="0908DD9C" w14:textId="3231464C">
      <w:pPr>
        <w:spacing w:before="120" w:after="120"/>
        <w:ind w:left="540"/>
        <w:jc w:val="both"/>
        <w:rPr>
          <w:rFonts w:ascii="Arial" w:hAnsi="Arial" w:cs="Arial"/>
          <w:sz w:val="22"/>
          <w:szCs w:val="22"/>
        </w:rPr>
      </w:pPr>
      <w:r w:rsidRPr="00513619">
        <w:rPr>
          <w:rFonts w:ascii="Arial" w:hAnsi="Arial" w:cs="Arial"/>
          <w:sz w:val="22"/>
          <w:szCs w:val="22"/>
        </w:rPr>
        <w:t>This is a new collection.</w:t>
      </w:r>
    </w:p>
    <w:p w:rsidR="00513619" w:rsidP="00466B49" w:rsidRDefault="00513619" w14:paraId="336BDF93" w14:textId="77777777">
      <w:pPr>
        <w:spacing w:before="120" w:after="120"/>
        <w:ind w:left="540"/>
        <w:jc w:val="both"/>
        <w:rPr>
          <w:rFonts w:ascii="Arial" w:hAnsi="Arial" w:cs="Arial"/>
          <w:color w:val="3366FF"/>
          <w:sz w:val="22"/>
          <w:szCs w:val="22"/>
        </w:rPr>
      </w:pPr>
    </w:p>
    <w:p w:rsidR="00F8418A" w:rsidP="00F8418A" w:rsidRDefault="00F8418A" w14:paraId="342A4D30" w14:textId="77777777">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 xml:space="preserve">Tabulation of Results, Schedule, Analysis Plans.  </w:t>
      </w:r>
    </w:p>
    <w:p w:rsidR="00EC10FF" w:rsidP="00057316" w:rsidRDefault="00790BC2" w14:paraId="439A0227" w14:textId="041093C8">
      <w:pPr>
        <w:spacing w:before="120" w:after="120"/>
        <w:ind w:left="540"/>
        <w:rPr>
          <w:rFonts w:ascii="Arial" w:hAnsi="Arial" w:cs="Arial"/>
          <w:color w:val="3366FF"/>
          <w:sz w:val="22"/>
          <w:szCs w:val="22"/>
        </w:rPr>
      </w:pPr>
      <w:r w:rsidRPr="00513619">
        <w:rPr>
          <w:rFonts w:ascii="Arial" w:hAnsi="Arial" w:cs="Arial"/>
          <w:sz w:val="22"/>
          <w:szCs w:val="22"/>
        </w:rPr>
        <w:t>No complex analytical techniques are used in collecting this information. The results of the collection of this information will not be published for statistical use.</w:t>
      </w:r>
    </w:p>
    <w:p w:rsidR="00F8418A" w:rsidP="006E1A4A" w:rsidRDefault="00F8418A" w14:paraId="06517321" w14:textId="77777777">
      <w:pPr>
        <w:numPr>
          <w:ilvl w:val="0"/>
          <w:numId w:val="31"/>
        </w:numPr>
        <w:tabs>
          <w:tab w:val="left" w:pos="540"/>
        </w:tabs>
        <w:spacing w:before="120" w:after="120"/>
        <w:ind w:left="540" w:hanging="450"/>
        <w:jc w:val="both"/>
        <w:rPr>
          <w:rFonts w:ascii="Arial" w:hAnsi="Arial" w:cs="Arial"/>
          <w:b/>
          <w:bCs/>
          <w:sz w:val="22"/>
          <w:szCs w:val="22"/>
        </w:rPr>
      </w:pPr>
      <w:r>
        <w:rPr>
          <w:rFonts w:ascii="Arial" w:hAnsi="Arial" w:cs="Arial"/>
          <w:b/>
          <w:bCs/>
          <w:sz w:val="22"/>
          <w:szCs w:val="22"/>
        </w:rPr>
        <w:t>Display of OMB Approval Date.</w:t>
      </w:r>
    </w:p>
    <w:p w:rsidRPr="00912184" w:rsidR="00513619" w:rsidP="00912184" w:rsidRDefault="00850CCA" w14:paraId="38AFCCC7" w14:textId="76ADD534">
      <w:pPr>
        <w:spacing w:before="120" w:after="120"/>
        <w:ind w:left="540" w:right="720"/>
        <w:rPr>
          <w:rFonts w:ascii="Arial" w:hAnsi="Arial" w:cs="Arial"/>
          <w:sz w:val="22"/>
          <w:szCs w:val="22"/>
        </w:rPr>
      </w:pPr>
      <w:r w:rsidRPr="00513619">
        <w:rPr>
          <w:rFonts w:ascii="Arial" w:hAnsi="Arial" w:cs="Arial"/>
          <w:sz w:val="22"/>
          <w:szCs w:val="22"/>
        </w:rPr>
        <w:t xml:space="preserve">The </w:t>
      </w:r>
      <w:r w:rsidRPr="00513619" w:rsidR="00404DD9">
        <w:rPr>
          <w:rFonts w:ascii="Arial" w:hAnsi="Arial" w:cs="Arial"/>
          <w:sz w:val="22"/>
          <w:szCs w:val="22"/>
        </w:rPr>
        <w:t>bureau</w:t>
      </w:r>
      <w:r w:rsidRPr="00513619">
        <w:rPr>
          <w:rFonts w:ascii="Arial" w:hAnsi="Arial" w:cs="Arial"/>
          <w:sz w:val="22"/>
          <w:szCs w:val="22"/>
        </w:rPr>
        <w:t xml:space="preserve"> plans to display the expiration date for OMB approval of the information</w:t>
      </w:r>
      <w:r w:rsidRPr="00513619" w:rsidR="006E1A4A">
        <w:rPr>
          <w:rFonts w:ascii="Arial" w:hAnsi="Arial" w:cs="Arial"/>
          <w:sz w:val="22"/>
          <w:szCs w:val="22"/>
        </w:rPr>
        <w:t xml:space="preserve"> collection on all instruments.</w:t>
      </w:r>
    </w:p>
    <w:p w:rsidR="00F8418A" w:rsidP="00F8418A" w:rsidRDefault="00F8418A" w14:paraId="762D7FD8" w14:textId="77777777">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Exceptions to Certification for Paperwork Reduction Act Submission.</w:t>
      </w:r>
    </w:p>
    <w:p w:rsidRPr="00057316" w:rsidR="00850CCA" w:rsidP="00057316" w:rsidRDefault="006E1A4A" w14:paraId="2E6EFDB0" w14:textId="2452A6C5">
      <w:pPr>
        <w:ind w:firstLine="540"/>
        <w:rPr>
          <w:rFonts w:ascii="Arial" w:hAnsi="Arial" w:cs="Arial"/>
          <w:color w:val="3366FF"/>
          <w:sz w:val="22"/>
          <w:szCs w:val="22"/>
        </w:rPr>
      </w:pPr>
      <w:r w:rsidRPr="00513619">
        <w:rPr>
          <w:rFonts w:ascii="Arial" w:hAnsi="Arial" w:cs="Arial"/>
          <w:sz w:val="22"/>
          <w:szCs w:val="22"/>
        </w:rPr>
        <w:t>There are no exceptions to the certification statement.</w:t>
      </w:r>
    </w:p>
    <w:sectPr w:rsidRPr="00057316" w:rsidR="00850CCA" w:rsidSect="00F8418A">
      <w:footerReference w:type="default" r:id="rId12"/>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B786" w14:textId="77777777" w:rsidR="00EF38CF" w:rsidRDefault="00EF38CF">
      <w:r>
        <w:separator/>
      </w:r>
    </w:p>
  </w:endnote>
  <w:endnote w:type="continuationSeparator" w:id="0">
    <w:p w14:paraId="545F255C" w14:textId="77777777" w:rsidR="00EF38CF" w:rsidRDefault="00EF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9C6D" w14:textId="77777777"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8604D2">
      <w:rPr>
        <w:rFonts w:ascii="Arial Narrow" w:hAnsi="Arial Narrow" w:cs="Arial"/>
        <w:noProof/>
        <w:sz w:val="20"/>
        <w:szCs w:val="20"/>
      </w:rPr>
      <w:t>10</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B63F" w14:textId="77777777" w:rsidR="00EF38CF" w:rsidRDefault="00EF38CF">
      <w:r>
        <w:separator/>
      </w:r>
    </w:p>
  </w:footnote>
  <w:footnote w:type="continuationSeparator" w:id="0">
    <w:p w14:paraId="24FAB649" w14:textId="77777777" w:rsidR="00EF38CF" w:rsidRDefault="00EF3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4957D7F"/>
    <w:multiLevelType w:val="hybridMultilevel"/>
    <w:tmpl w:val="33443E14"/>
    <w:lvl w:ilvl="0" w:tplc="49802FD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4"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0"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DA432A"/>
    <w:multiLevelType w:val="multilevel"/>
    <w:tmpl w:val="B7D279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7"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4"/>
  </w:num>
  <w:num w:numId="7">
    <w:abstractNumId w:val="37"/>
  </w:num>
  <w:num w:numId="8">
    <w:abstractNumId w:val="36"/>
  </w:num>
  <w:num w:numId="9">
    <w:abstractNumId w:val="26"/>
  </w:num>
  <w:num w:numId="10">
    <w:abstractNumId w:val="17"/>
  </w:num>
  <w:num w:numId="11">
    <w:abstractNumId w:val="21"/>
  </w:num>
  <w:num w:numId="12">
    <w:abstractNumId w:val="46"/>
  </w:num>
  <w:num w:numId="13">
    <w:abstractNumId w:val="45"/>
  </w:num>
  <w:num w:numId="14">
    <w:abstractNumId w:val="35"/>
  </w:num>
  <w:num w:numId="15">
    <w:abstractNumId w:val="22"/>
  </w:num>
  <w:num w:numId="16">
    <w:abstractNumId w:val="40"/>
  </w:num>
  <w:num w:numId="17">
    <w:abstractNumId w:val="25"/>
  </w:num>
  <w:num w:numId="18">
    <w:abstractNumId w:val="44"/>
  </w:num>
  <w:num w:numId="19">
    <w:abstractNumId w:val="39"/>
  </w:num>
  <w:num w:numId="20">
    <w:abstractNumId w:val="27"/>
  </w:num>
  <w:num w:numId="21">
    <w:abstractNumId w:val="47"/>
  </w:num>
  <w:num w:numId="22">
    <w:abstractNumId w:val="31"/>
  </w:num>
  <w:num w:numId="23">
    <w:abstractNumId w:val="18"/>
  </w:num>
  <w:num w:numId="24">
    <w:abstractNumId w:val="43"/>
  </w:num>
  <w:num w:numId="25">
    <w:abstractNumId w:val="32"/>
  </w:num>
  <w:num w:numId="26">
    <w:abstractNumId w:val="28"/>
  </w:num>
  <w:num w:numId="27">
    <w:abstractNumId w:val="41"/>
  </w:num>
  <w:num w:numId="28">
    <w:abstractNumId w:val="38"/>
  </w:num>
  <w:num w:numId="29">
    <w:abstractNumId w:val="30"/>
  </w:num>
  <w:num w:numId="30">
    <w:abstractNumId w:val="20"/>
  </w:num>
  <w:num w:numId="31">
    <w:abstractNumId w:val="19"/>
  </w:num>
  <w:num w:numId="32">
    <w:abstractNumId w:val="34"/>
  </w:num>
  <w:num w:numId="33">
    <w:abstractNumId w:val="23"/>
  </w:num>
  <w:num w:numId="34">
    <w:abstractNumId w:val="29"/>
  </w:num>
  <w:num w:numId="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356B0"/>
    <w:rsid w:val="00052C24"/>
    <w:rsid w:val="00054ED0"/>
    <w:rsid w:val="00057316"/>
    <w:rsid w:val="00063823"/>
    <w:rsid w:val="00064E0F"/>
    <w:rsid w:val="0006665A"/>
    <w:rsid w:val="00076BA1"/>
    <w:rsid w:val="00093847"/>
    <w:rsid w:val="000F4DC6"/>
    <w:rsid w:val="000F7D65"/>
    <w:rsid w:val="00145E6F"/>
    <w:rsid w:val="0016434F"/>
    <w:rsid w:val="00171FB0"/>
    <w:rsid w:val="00197F9A"/>
    <w:rsid w:val="001C0C09"/>
    <w:rsid w:val="001E2556"/>
    <w:rsid w:val="001F3AB3"/>
    <w:rsid w:val="00200A74"/>
    <w:rsid w:val="00212FEA"/>
    <w:rsid w:val="00250FFD"/>
    <w:rsid w:val="002776CD"/>
    <w:rsid w:val="002A2857"/>
    <w:rsid w:val="002A72F3"/>
    <w:rsid w:val="002C20A9"/>
    <w:rsid w:val="002D096D"/>
    <w:rsid w:val="002D277C"/>
    <w:rsid w:val="002D6743"/>
    <w:rsid w:val="002E3463"/>
    <w:rsid w:val="00307630"/>
    <w:rsid w:val="003356D6"/>
    <w:rsid w:val="003A5DE5"/>
    <w:rsid w:val="003C64EB"/>
    <w:rsid w:val="003C669A"/>
    <w:rsid w:val="003D1ABD"/>
    <w:rsid w:val="003E743E"/>
    <w:rsid w:val="00404DD9"/>
    <w:rsid w:val="00406892"/>
    <w:rsid w:val="00427A81"/>
    <w:rsid w:val="00432C2B"/>
    <w:rsid w:val="00440383"/>
    <w:rsid w:val="00462F67"/>
    <w:rsid w:val="00466B49"/>
    <w:rsid w:val="0049254F"/>
    <w:rsid w:val="004A10FD"/>
    <w:rsid w:val="004A213E"/>
    <w:rsid w:val="004A3729"/>
    <w:rsid w:val="004C68D1"/>
    <w:rsid w:val="004D01B7"/>
    <w:rsid w:val="004D39A0"/>
    <w:rsid w:val="004D5A38"/>
    <w:rsid w:val="004E0CD3"/>
    <w:rsid w:val="00501075"/>
    <w:rsid w:val="00504B59"/>
    <w:rsid w:val="00513619"/>
    <w:rsid w:val="0052265B"/>
    <w:rsid w:val="00561B09"/>
    <w:rsid w:val="00563778"/>
    <w:rsid w:val="00565B3C"/>
    <w:rsid w:val="005702A4"/>
    <w:rsid w:val="005829ED"/>
    <w:rsid w:val="00585CCA"/>
    <w:rsid w:val="005979B4"/>
    <w:rsid w:val="005B3164"/>
    <w:rsid w:val="005E1A1D"/>
    <w:rsid w:val="005E6B19"/>
    <w:rsid w:val="00603DC3"/>
    <w:rsid w:val="006445A9"/>
    <w:rsid w:val="006715A5"/>
    <w:rsid w:val="006A3393"/>
    <w:rsid w:val="006A529C"/>
    <w:rsid w:val="006B455B"/>
    <w:rsid w:val="006E1A4A"/>
    <w:rsid w:val="00701599"/>
    <w:rsid w:val="00710A2D"/>
    <w:rsid w:val="00721339"/>
    <w:rsid w:val="0072371E"/>
    <w:rsid w:val="00723757"/>
    <w:rsid w:val="007369BD"/>
    <w:rsid w:val="00751035"/>
    <w:rsid w:val="00772076"/>
    <w:rsid w:val="00790BC2"/>
    <w:rsid w:val="008112BA"/>
    <w:rsid w:val="00840F39"/>
    <w:rsid w:val="00850CCA"/>
    <w:rsid w:val="008604D2"/>
    <w:rsid w:val="00862A24"/>
    <w:rsid w:val="00890057"/>
    <w:rsid w:val="008A2CE2"/>
    <w:rsid w:val="008C2FE9"/>
    <w:rsid w:val="008C325F"/>
    <w:rsid w:val="008C65F9"/>
    <w:rsid w:val="008E4EB3"/>
    <w:rsid w:val="008E6725"/>
    <w:rsid w:val="008F27F5"/>
    <w:rsid w:val="00912184"/>
    <w:rsid w:val="00917427"/>
    <w:rsid w:val="0092143A"/>
    <w:rsid w:val="00933A37"/>
    <w:rsid w:val="009453E0"/>
    <w:rsid w:val="00965EF1"/>
    <w:rsid w:val="00991A15"/>
    <w:rsid w:val="009A769F"/>
    <w:rsid w:val="00A27CF7"/>
    <w:rsid w:val="00A325A6"/>
    <w:rsid w:val="00A40061"/>
    <w:rsid w:val="00A47861"/>
    <w:rsid w:val="00A555A9"/>
    <w:rsid w:val="00A55BB2"/>
    <w:rsid w:val="00A56739"/>
    <w:rsid w:val="00A5675F"/>
    <w:rsid w:val="00A57A6F"/>
    <w:rsid w:val="00A9180D"/>
    <w:rsid w:val="00A973D5"/>
    <w:rsid w:val="00AA65AC"/>
    <w:rsid w:val="00AB2B87"/>
    <w:rsid w:val="00AD3CB7"/>
    <w:rsid w:val="00B11179"/>
    <w:rsid w:val="00B12439"/>
    <w:rsid w:val="00B22415"/>
    <w:rsid w:val="00B2267F"/>
    <w:rsid w:val="00B23155"/>
    <w:rsid w:val="00B408C7"/>
    <w:rsid w:val="00B53CC2"/>
    <w:rsid w:val="00B60FF9"/>
    <w:rsid w:val="00B8366D"/>
    <w:rsid w:val="00B86E60"/>
    <w:rsid w:val="00BC550A"/>
    <w:rsid w:val="00BC5EF3"/>
    <w:rsid w:val="00BE0092"/>
    <w:rsid w:val="00BE2CE5"/>
    <w:rsid w:val="00BF0E8A"/>
    <w:rsid w:val="00BF116B"/>
    <w:rsid w:val="00BF370D"/>
    <w:rsid w:val="00C115F5"/>
    <w:rsid w:val="00C145DE"/>
    <w:rsid w:val="00C16988"/>
    <w:rsid w:val="00C21752"/>
    <w:rsid w:val="00C230FB"/>
    <w:rsid w:val="00C319AB"/>
    <w:rsid w:val="00C37CD8"/>
    <w:rsid w:val="00C43EA7"/>
    <w:rsid w:val="00C658C0"/>
    <w:rsid w:val="00C7479E"/>
    <w:rsid w:val="00C80AA3"/>
    <w:rsid w:val="00CB0A80"/>
    <w:rsid w:val="00CB24FE"/>
    <w:rsid w:val="00CB6471"/>
    <w:rsid w:val="00CC47FD"/>
    <w:rsid w:val="00CC579B"/>
    <w:rsid w:val="00CE3842"/>
    <w:rsid w:val="00D07FF8"/>
    <w:rsid w:val="00D142CE"/>
    <w:rsid w:val="00D25FB6"/>
    <w:rsid w:val="00D3061C"/>
    <w:rsid w:val="00D41497"/>
    <w:rsid w:val="00D83C3E"/>
    <w:rsid w:val="00D95AFC"/>
    <w:rsid w:val="00DB2651"/>
    <w:rsid w:val="00E42A28"/>
    <w:rsid w:val="00E96DA3"/>
    <w:rsid w:val="00EA4C2A"/>
    <w:rsid w:val="00EA6C45"/>
    <w:rsid w:val="00EC10FF"/>
    <w:rsid w:val="00EF38CF"/>
    <w:rsid w:val="00F064FD"/>
    <w:rsid w:val="00F62646"/>
    <w:rsid w:val="00F736E2"/>
    <w:rsid w:val="00F758A6"/>
    <w:rsid w:val="00F76B83"/>
    <w:rsid w:val="00F8418A"/>
    <w:rsid w:val="00F902A0"/>
    <w:rsid w:val="00F91E42"/>
    <w:rsid w:val="00F971A4"/>
    <w:rsid w:val="00FB252E"/>
    <w:rsid w:val="00FB75BE"/>
    <w:rsid w:val="00FF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1E6462"/>
  <w15:chartTrackingRefBased/>
  <w15:docId w15:val="{1200837B-9879-488F-8832-8E49D985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styleId="UnresolvedMention">
    <w:name w:val="Unresolved Mention"/>
    <w:basedOn w:val="DefaultParagraphFont"/>
    <w:uiPriority w:val="99"/>
    <w:semiHidden/>
    <w:unhideWhenUsed/>
    <w:rsid w:val="00F62646"/>
    <w:rPr>
      <w:color w:val="605E5C"/>
      <w:shd w:val="clear" w:color="auto" w:fill="E1DFDD"/>
    </w:rPr>
  </w:style>
  <w:style w:type="character" w:customStyle="1" w:styleId="CommentTextChar">
    <w:name w:val="Comment Text Char"/>
    <w:basedOn w:val="DefaultParagraphFont"/>
    <w:link w:val="CommentText"/>
    <w:semiHidden/>
    <w:rsid w:val="00171FB0"/>
  </w:style>
  <w:style w:type="paragraph" w:styleId="ListParagraph">
    <w:name w:val="List Paragraph"/>
    <w:basedOn w:val="Normal"/>
    <w:uiPriority w:val="34"/>
    <w:qFormat/>
    <w:rsid w:val="00D95AFC"/>
    <w:pPr>
      <w:ind w:left="720"/>
      <w:contextualSpacing/>
    </w:pPr>
  </w:style>
  <w:style w:type="character" w:styleId="FollowedHyperlink">
    <w:name w:val="FollowedHyperlink"/>
    <w:basedOn w:val="DefaultParagraphFont"/>
    <w:rsid w:val="002C20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05949">
      <w:bodyDiv w:val="1"/>
      <w:marLeft w:val="0"/>
      <w:marRight w:val="0"/>
      <w:marTop w:val="0"/>
      <w:marBottom w:val="0"/>
      <w:divBdr>
        <w:top w:val="none" w:sz="0" w:space="0" w:color="auto"/>
        <w:left w:val="none" w:sz="0" w:space="0" w:color="auto"/>
        <w:bottom w:val="none" w:sz="0" w:space="0" w:color="auto"/>
        <w:right w:val="none" w:sz="0" w:space="0" w:color="auto"/>
      </w:divBdr>
    </w:div>
    <w:div w:id="1013535945">
      <w:bodyDiv w:val="1"/>
      <w:marLeft w:val="0"/>
      <w:marRight w:val="0"/>
      <w:marTop w:val="0"/>
      <w:marBottom w:val="0"/>
      <w:divBdr>
        <w:top w:val="none" w:sz="0" w:space="0" w:color="auto"/>
        <w:left w:val="none" w:sz="0" w:space="0" w:color="auto"/>
        <w:bottom w:val="none" w:sz="0" w:space="0" w:color="auto"/>
        <w:right w:val="none" w:sz="0" w:space="0" w:color="auto"/>
      </w:divBdr>
    </w:div>
    <w:div w:id="12441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scal.treasury.gov/files/pia/sims-iv-pcli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F3F26D2CDE024397572385AEE95D13" ma:contentTypeVersion="0" ma:contentTypeDescription="Create a new document." ma:contentTypeScope="" ma:versionID="c3089e2e373f072136ca404861b5279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2.xml><?xml version="1.0" encoding="utf-8"?>
<ds:datastoreItem xmlns:ds="http://schemas.openxmlformats.org/officeDocument/2006/customXml" ds:itemID="{B0C39AAC-4A1F-46B1-B9EE-CC6137BEA2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4.xml><?xml version="1.0" encoding="utf-8"?>
<ds:datastoreItem xmlns:ds="http://schemas.openxmlformats.org/officeDocument/2006/customXml" ds:itemID="{B8B5EFF0-AC2D-42D3-BCAB-923DB2AE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1530</Words>
  <Characters>8601</Characters>
  <Application>Microsoft Office Word</Application>
  <DocSecurity>0</DocSecurity>
  <Lines>226</Lines>
  <Paragraphs>113</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10018</CharactersWithSpaces>
  <SharedDoc>false</SharedDoc>
  <HLinks>
    <vt:vector size="6" baseType="variant">
      <vt:variant>
        <vt:i4>3080203</vt:i4>
      </vt:variant>
      <vt:variant>
        <vt:i4>0</vt:i4>
      </vt:variant>
      <vt:variant>
        <vt:i4>0</vt:i4>
      </vt:variant>
      <vt:variant>
        <vt:i4>5</vt:i4>
      </vt:variant>
      <vt:variant>
        <vt:lpwstr>http://www.whitehouse.gov/sites/default/files/omb/assets/omb/inforeg/pmc_survey_guidance_2006.pdf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Bruce A. Sharp</cp:lastModifiedBy>
  <cp:revision>3</cp:revision>
  <cp:lastPrinted>2011-09-13T11:00:00Z</cp:lastPrinted>
  <dcterms:created xsi:type="dcterms:W3CDTF">2022-01-19T15:55:00Z</dcterms:created>
  <dcterms:modified xsi:type="dcterms:W3CDTF">2022-01-19T15:57:00Z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https://thegreen.treas.gov/do/ptr/optr/treasuryrecords/PRA-NEW/_layouts/15/DocIdRedir.aspx?ID=DOPTR-1309503630-31, DOPTR-1309503630-31</vt:lpwstr>
  </property>
  <property fmtid="{D5CDD505-2E9C-101B-9397-08002B2CF9AE}" pid="5" name="display_urn:schemas-microsoft-com:office:office#Editor">
    <vt:lpwstr>Vetrano, Caroline (Contractor)</vt:lpwstr>
  </property>
  <property fmtid="{D5CDD505-2E9C-101B-9397-08002B2CF9AE}" pid="6" name="Order">
    <vt:lpwstr>200.000000000000</vt:lpwstr>
  </property>
  <property fmtid="{D5CDD505-2E9C-101B-9397-08002B2CF9AE}" pid="7" name="TemplateUrl">
    <vt:lpwstr/>
  </property>
  <property fmtid="{D5CDD505-2E9C-101B-9397-08002B2CF9AE}" pid="8" name="display_urn:schemas-microsoft-com:office:office#Author">
    <vt:lpwstr>Vetrano, Caroline (Contractor)</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