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D42EB" w:rsidR="00FD0BBF" w:rsidP="004618BF" w:rsidRDefault="00366578" w14:paraId="11E83559" w14:textId="77777777">
      <w:pPr>
        <w:pStyle w:val="Title"/>
        <w:rPr>
          <w:caps/>
          <w:sz w:val="24"/>
          <w:szCs w:val="24"/>
        </w:rPr>
      </w:pPr>
      <w:r w:rsidRPr="00CD42EB">
        <w:rPr>
          <w:caps/>
          <w:sz w:val="24"/>
          <w:szCs w:val="24"/>
        </w:rPr>
        <w:t>S</w:t>
      </w:r>
      <w:r w:rsidRPr="00CD42EB" w:rsidR="005C7CE9">
        <w:rPr>
          <w:caps/>
          <w:sz w:val="24"/>
          <w:szCs w:val="24"/>
        </w:rPr>
        <w:t>upporting Statement</w:t>
      </w:r>
    </w:p>
    <w:p w:rsidRPr="00CD42EB" w:rsidR="00DB6F72" w:rsidP="00DB6F72" w:rsidRDefault="00953580" w14:paraId="14535826" w14:textId="77777777">
      <w:pPr>
        <w:pStyle w:val="Title"/>
        <w:rPr>
          <w:sz w:val="24"/>
          <w:szCs w:val="24"/>
        </w:rPr>
      </w:pPr>
      <w:r w:rsidRPr="00CD42EB">
        <w:rPr>
          <w:sz w:val="24"/>
          <w:szCs w:val="24"/>
        </w:rPr>
        <w:t>OMB No. 15</w:t>
      </w:r>
      <w:r w:rsidR="00267688">
        <w:rPr>
          <w:sz w:val="24"/>
          <w:szCs w:val="24"/>
        </w:rPr>
        <w:t>3</w:t>
      </w:r>
      <w:r w:rsidRPr="00CD42EB">
        <w:rPr>
          <w:sz w:val="24"/>
          <w:szCs w:val="24"/>
        </w:rPr>
        <w:t>0-</w:t>
      </w:r>
      <w:r w:rsidR="004C5E6B">
        <w:rPr>
          <w:sz w:val="24"/>
          <w:szCs w:val="24"/>
        </w:rPr>
        <w:t>00</w:t>
      </w:r>
      <w:r w:rsidR="00267688">
        <w:rPr>
          <w:sz w:val="24"/>
          <w:szCs w:val="24"/>
        </w:rPr>
        <w:t>19</w:t>
      </w:r>
    </w:p>
    <w:p w:rsidR="004618BF" w:rsidP="00DB6F72" w:rsidRDefault="00410FBD" w14:paraId="5C6961DA" w14:textId="77777777">
      <w:pPr>
        <w:pStyle w:val="Title"/>
        <w:rPr>
          <w:sz w:val="24"/>
          <w:szCs w:val="24"/>
        </w:rPr>
      </w:pPr>
      <w:r>
        <w:rPr>
          <w:sz w:val="24"/>
          <w:szCs w:val="24"/>
        </w:rPr>
        <w:t>Request for Payment of Federal Benefit by Check</w:t>
      </w:r>
      <w:r w:rsidR="004618BF">
        <w:rPr>
          <w:sz w:val="24"/>
          <w:szCs w:val="24"/>
        </w:rPr>
        <w:t xml:space="preserve"> </w:t>
      </w:r>
    </w:p>
    <w:p w:rsidR="00366578" w:rsidP="00DB6F72" w:rsidRDefault="004618BF" w14:paraId="51DBBCF0" w14:textId="77777777">
      <w:pPr>
        <w:pStyle w:val="Title"/>
        <w:rPr>
          <w:sz w:val="24"/>
          <w:szCs w:val="24"/>
        </w:rPr>
      </w:pPr>
      <w:r>
        <w:rPr>
          <w:sz w:val="24"/>
          <w:szCs w:val="24"/>
        </w:rPr>
        <w:t>(FS Form 1201W</w:t>
      </w:r>
      <w:r w:rsidR="00935039">
        <w:rPr>
          <w:sz w:val="24"/>
          <w:szCs w:val="24"/>
        </w:rPr>
        <w:t xml:space="preserve"> &amp; FS 1201W-DFAS</w:t>
      </w:r>
      <w:r>
        <w:rPr>
          <w:sz w:val="24"/>
          <w:szCs w:val="24"/>
        </w:rPr>
        <w:t>)</w:t>
      </w:r>
    </w:p>
    <w:p w:rsidRPr="00CD42EB" w:rsidR="00366578" w:rsidRDefault="00366578" w14:paraId="75EC2DBC" w14:textId="77777777">
      <w:pPr>
        <w:rPr>
          <w:b/>
          <w:sz w:val="24"/>
          <w:szCs w:val="24"/>
        </w:rPr>
      </w:pPr>
    </w:p>
    <w:p w:rsidRPr="00CD42EB" w:rsidR="00366578" w:rsidRDefault="00366578" w14:paraId="00A36A61" w14:textId="77777777">
      <w:pPr>
        <w:numPr>
          <w:ilvl w:val="0"/>
          <w:numId w:val="1"/>
        </w:numPr>
        <w:rPr>
          <w:b/>
          <w:sz w:val="24"/>
          <w:szCs w:val="24"/>
          <w:u w:val="single"/>
        </w:rPr>
      </w:pPr>
      <w:r w:rsidRPr="00CD42EB">
        <w:rPr>
          <w:b/>
          <w:sz w:val="24"/>
          <w:szCs w:val="24"/>
          <w:u w:val="single"/>
        </w:rPr>
        <w:t>Justifications.</w:t>
      </w:r>
    </w:p>
    <w:p w:rsidRPr="00CD42EB" w:rsidR="00366578" w:rsidRDefault="00366578" w14:paraId="1834C011" w14:textId="77777777">
      <w:pPr>
        <w:rPr>
          <w:b/>
          <w:sz w:val="24"/>
          <w:szCs w:val="24"/>
          <w:u w:val="single"/>
        </w:rPr>
      </w:pPr>
    </w:p>
    <w:p w:rsidRPr="00CD42EB" w:rsidR="00C10CAA" w:rsidP="00286EEF" w:rsidRDefault="00C10CAA" w14:paraId="3AB901D4" w14:textId="77777777">
      <w:pPr>
        <w:numPr>
          <w:ilvl w:val="0"/>
          <w:numId w:val="6"/>
        </w:numPr>
        <w:tabs>
          <w:tab w:val="left" w:pos="720"/>
        </w:tabs>
        <w:ind w:hanging="720"/>
        <w:rPr>
          <w:sz w:val="24"/>
          <w:szCs w:val="24"/>
        </w:rPr>
      </w:pPr>
      <w:r w:rsidRPr="00CD42EB">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CD42EB">
        <w:rPr>
          <w:sz w:val="24"/>
          <w:szCs w:val="24"/>
        </w:rPr>
        <w:t xml:space="preserve"> </w:t>
      </w:r>
    </w:p>
    <w:p w:rsidRPr="00CD42EB" w:rsidR="00C10CAA" w:rsidP="00286EEF" w:rsidRDefault="00C10CAA" w14:paraId="6687E317" w14:textId="77777777">
      <w:pPr>
        <w:tabs>
          <w:tab w:val="left" w:pos="720"/>
        </w:tabs>
        <w:ind w:left="720" w:hanging="720"/>
        <w:rPr>
          <w:b/>
          <w:sz w:val="24"/>
          <w:szCs w:val="24"/>
          <w:u w:val="single"/>
        </w:rPr>
      </w:pPr>
    </w:p>
    <w:p w:rsidR="00286EEF" w:rsidP="00286EEF" w:rsidRDefault="004618BF" w14:paraId="061FCD04" w14:textId="77777777">
      <w:pPr>
        <w:tabs>
          <w:tab w:val="left" w:pos="720"/>
        </w:tabs>
        <w:ind w:left="720" w:hanging="720"/>
        <w:rPr>
          <w:sz w:val="24"/>
          <w:szCs w:val="24"/>
        </w:rPr>
      </w:pPr>
      <w:r>
        <w:rPr>
          <w:sz w:val="24"/>
          <w:szCs w:val="24"/>
        </w:rPr>
        <w:tab/>
      </w:r>
      <w:r w:rsidRPr="00CD42EB" w:rsidR="00287C73">
        <w:rPr>
          <w:sz w:val="24"/>
          <w:szCs w:val="24"/>
        </w:rPr>
        <w:t xml:space="preserve">The Debt Collection Improvement Act of 1996 requires that all Federal non-tax payments be made electronically. </w:t>
      </w:r>
      <w:r w:rsidR="00D671AC">
        <w:rPr>
          <w:sz w:val="24"/>
          <w:szCs w:val="24"/>
        </w:rPr>
        <w:t xml:space="preserve"> </w:t>
      </w:r>
      <w:r w:rsidRPr="00CD42EB" w:rsidR="00287C73">
        <w:rPr>
          <w:sz w:val="24"/>
          <w:szCs w:val="24"/>
        </w:rPr>
        <w:t>On December 22, 2010, Treasury issued a regulation at 31 CFR Part 208 that require</w:t>
      </w:r>
      <w:r w:rsidRPr="00CD42EB" w:rsidR="00931B77">
        <w:rPr>
          <w:sz w:val="24"/>
          <w:szCs w:val="24"/>
        </w:rPr>
        <w:t>s</w:t>
      </w:r>
      <w:r w:rsidRPr="00CD42EB" w:rsidR="00287C73">
        <w:rPr>
          <w:sz w:val="24"/>
          <w:szCs w:val="24"/>
        </w:rPr>
        <w:t xml:space="preserve"> that all non-tax payments be made electronically, subject to limited waivers. </w:t>
      </w:r>
      <w:r w:rsidR="00935039">
        <w:rPr>
          <w:sz w:val="24"/>
          <w:szCs w:val="24"/>
        </w:rPr>
        <w:t xml:space="preserve"> </w:t>
      </w:r>
      <w:r w:rsidRPr="00CD42EB" w:rsidR="00287C73">
        <w:rPr>
          <w:sz w:val="24"/>
          <w:szCs w:val="24"/>
        </w:rPr>
        <w:t xml:space="preserve">Specifically, individuals with a mental impairment and/or </w:t>
      </w:r>
      <w:r w:rsidRPr="00CD42EB" w:rsidR="00931B77">
        <w:rPr>
          <w:sz w:val="24"/>
          <w:szCs w:val="24"/>
        </w:rPr>
        <w:t xml:space="preserve">who </w:t>
      </w:r>
      <w:r w:rsidRPr="00CD42EB" w:rsidR="00287C73">
        <w:rPr>
          <w:sz w:val="24"/>
          <w:szCs w:val="24"/>
        </w:rPr>
        <w:t xml:space="preserve">live in a remote geographic location that does not support the use of EFT may continue to receive payment by check. </w:t>
      </w:r>
      <w:r w:rsidR="00D671AC">
        <w:rPr>
          <w:sz w:val="24"/>
          <w:szCs w:val="24"/>
        </w:rPr>
        <w:t xml:space="preserve"> </w:t>
      </w:r>
      <w:r w:rsidRPr="00CD42EB" w:rsidR="00287C73">
        <w:rPr>
          <w:sz w:val="24"/>
          <w:szCs w:val="24"/>
        </w:rPr>
        <w:t xml:space="preserve">However, 31 CFR Part 208 requires individuals requesting one of these waiver conditions to submit a written justification that is notarized. </w:t>
      </w:r>
      <w:r w:rsidR="00935039">
        <w:rPr>
          <w:sz w:val="24"/>
          <w:szCs w:val="24"/>
        </w:rPr>
        <w:t xml:space="preserve"> </w:t>
      </w:r>
      <w:r w:rsidR="00286EEF">
        <w:rPr>
          <w:sz w:val="24"/>
          <w:szCs w:val="24"/>
        </w:rPr>
        <w:t xml:space="preserve">The notary requirement was later removed because it proved to be difficult for some recipients to obtain.  </w:t>
      </w:r>
      <w:r w:rsidR="001E7702">
        <w:rPr>
          <w:sz w:val="24"/>
          <w:szCs w:val="24"/>
        </w:rPr>
        <w:t xml:space="preserve">Form FS 1201W was created </w:t>
      </w:r>
      <w:r w:rsidRPr="00CD42EB" w:rsidR="00287C73">
        <w:rPr>
          <w:sz w:val="24"/>
          <w:szCs w:val="24"/>
        </w:rPr>
        <w:t>to assist individuals with this submission</w:t>
      </w:r>
      <w:r w:rsidR="00ED08AB">
        <w:rPr>
          <w:sz w:val="24"/>
          <w:szCs w:val="24"/>
        </w:rPr>
        <w:t>.</w:t>
      </w:r>
      <w:r w:rsidRPr="00CD42EB" w:rsidR="00287C73">
        <w:rPr>
          <w:sz w:val="24"/>
          <w:szCs w:val="24"/>
        </w:rPr>
        <w:t xml:space="preserve"> </w:t>
      </w:r>
    </w:p>
    <w:p w:rsidR="00286EEF" w:rsidP="00286EEF" w:rsidRDefault="00286EEF" w14:paraId="0D08B5E6" w14:textId="77777777">
      <w:pPr>
        <w:tabs>
          <w:tab w:val="left" w:pos="540"/>
        </w:tabs>
        <w:ind w:left="540" w:hanging="540"/>
        <w:rPr>
          <w:sz w:val="24"/>
          <w:szCs w:val="24"/>
        </w:rPr>
      </w:pPr>
    </w:p>
    <w:p w:rsidRPr="00CD42EB" w:rsidR="00935039" w:rsidP="00286EEF" w:rsidRDefault="00286EEF" w14:paraId="2236E8D0" w14:textId="77777777">
      <w:pPr>
        <w:ind w:left="720"/>
        <w:rPr>
          <w:sz w:val="24"/>
          <w:szCs w:val="24"/>
        </w:rPr>
      </w:pPr>
      <w:r w:rsidRPr="00286EEF">
        <w:rPr>
          <w:sz w:val="24"/>
          <w:szCs w:val="24"/>
        </w:rPr>
        <w:t>The Defense Finance and Accounting Service (</w:t>
      </w:r>
      <w:r w:rsidRPr="00286EEF">
        <w:rPr>
          <w:rFonts w:eastAsia="Calibri"/>
          <w:sz w:val="24"/>
          <w:szCs w:val="24"/>
        </w:rPr>
        <w:t>DFAS)</w:t>
      </w:r>
      <w:r w:rsidR="007851F6">
        <w:rPr>
          <w:rFonts w:eastAsia="Calibri"/>
          <w:sz w:val="24"/>
          <w:szCs w:val="24"/>
        </w:rPr>
        <w:t>, Department of Defense,</w:t>
      </w:r>
      <w:r w:rsidRPr="00286EEF">
        <w:rPr>
          <w:rFonts w:eastAsia="Calibri"/>
          <w:sz w:val="24"/>
          <w:szCs w:val="24"/>
        </w:rPr>
        <w:t xml:space="preserve"> has asked Treasury to assist them in reviewing and approving or rejecting requests by their recipients of a military benefit to continue receiving payment by check.  Fiscal Service will offer DFAS users the FS 1201W-DFAS, which is the same as the FS-1201W except for a few modifications to accommodate military benefits recipients.  </w:t>
      </w:r>
    </w:p>
    <w:p w:rsidRPr="00CD42EB" w:rsidR="00366578" w:rsidP="004618BF" w:rsidRDefault="00366578" w14:paraId="2F8E2624" w14:textId="77777777">
      <w:pPr>
        <w:tabs>
          <w:tab w:val="left" w:pos="540"/>
        </w:tabs>
        <w:ind w:left="540" w:hanging="540"/>
        <w:rPr>
          <w:sz w:val="24"/>
          <w:szCs w:val="24"/>
        </w:rPr>
      </w:pPr>
    </w:p>
    <w:p w:rsidRPr="00CD42EB" w:rsidR="00C10CAA" w:rsidP="00286EEF" w:rsidRDefault="00C10CAA" w14:paraId="7B59FDDA" w14:textId="77777777">
      <w:pPr>
        <w:numPr>
          <w:ilvl w:val="0"/>
          <w:numId w:val="6"/>
        </w:numPr>
        <w:tabs>
          <w:tab w:val="left" w:pos="720"/>
        </w:tabs>
        <w:ind w:hanging="720"/>
        <w:rPr>
          <w:sz w:val="24"/>
          <w:szCs w:val="24"/>
        </w:rPr>
      </w:pPr>
      <w:r w:rsidRPr="00CD42EB">
        <w:rPr>
          <w:b/>
          <w:sz w:val="24"/>
          <w:szCs w:val="24"/>
        </w:rPr>
        <w:t>Indicate how, by whom, and for what purpose the information is to be used.  Except for a new collection, indicate the actual use the agency has made of the information received from the current collection</w:t>
      </w:r>
      <w:r w:rsidRPr="00CD42EB">
        <w:rPr>
          <w:sz w:val="24"/>
          <w:szCs w:val="24"/>
        </w:rPr>
        <w:t xml:space="preserve">. </w:t>
      </w:r>
    </w:p>
    <w:p w:rsidRPr="00CD42EB" w:rsidR="00C10CAA" w:rsidP="00286EEF" w:rsidRDefault="00C10CAA" w14:paraId="466C9F0A" w14:textId="77777777">
      <w:pPr>
        <w:tabs>
          <w:tab w:val="left" w:pos="720"/>
        </w:tabs>
        <w:ind w:left="720" w:hanging="720"/>
        <w:rPr>
          <w:sz w:val="24"/>
          <w:szCs w:val="24"/>
        </w:rPr>
      </w:pPr>
    </w:p>
    <w:p w:rsidRPr="00CD42EB" w:rsidR="00287C73" w:rsidP="00286EEF" w:rsidRDefault="004618BF" w14:paraId="501E0C70" w14:textId="77777777">
      <w:pPr>
        <w:tabs>
          <w:tab w:val="left" w:pos="720"/>
        </w:tabs>
        <w:ind w:left="720" w:hanging="720"/>
        <w:rPr>
          <w:sz w:val="24"/>
          <w:szCs w:val="24"/>
        </w:rPr>
      </w:pPr>
      <w:r>
        <w:rPr>
          <w:sz w:val="24"/>
          <w:szCs w:val="24"/>
        </w:rPr>
        <w:tab/>
      </w:r>
      <w:r w:rsidRPr="00CD42EB" w:rsidR="00287C73">
        <w:rPr>
          <w:sz w:val="24"/>
          <w:szCs w:val="24"/>
        </w:rPr>
        <w:t xml:space="preserve">Treasury’s fiscal agent, the Federal Reserve Bank of Dallas, operates the EFT waiver process on Treasury’s behalf. </w:t>
      </w:r>
      <w:r w:rsidR="00D671AC">
        <w:rPr>
          <w:sz w:val="24"/>
          <w:szCs w:val="24"/>
        </w:rPr>
        <w:t xml:space="preserve"> </w:t>
      </w:r>
      <w:r w:rsidRPr="00CD42EB" w:rsidR="00F26537">
        <w:rPr>
          <w:sz w:val="24"/>
          <w:szCs w:val="24"/>
        </w:rPr>
        <w:t xml:space="preserve">This office will receive and review these waiver request forms to ensure that they are completed properly and include a valid justification for a waiver from the EFT requirement, as outlined in 31 CFR Part 208. </w:t>
      </w:r>
      <w:r w:rsidR="00D671AC">
        <w:rPr>
          <w:sz w:val="24"/>
          <w:szCs w:val="24"/>
        </w:rPr>
        <w:t xml:space="preserve"> </w:t>
      </w:r>
      <w:r w:rsidRPr="00CD42EB" w:rsidR="00F26537">
        <w:rPr>
          <w:sz w:val="24"/>
          <w:szCs w:val="24"/>
        </w:rPr>
        <w:t xml:space="preserve">If the waiver is accepted, the Dallas representative will </w:t>
      </w:r>
      <w:r w:rsidRPr="00CD42EB" w:rsidR="00301FE2">
        <w:rPr>
          <w:sz w:val="24"/>
          <w:szCs w:val="24"/>
        </w:rPr>
        <w:t>reflect this</w:t>
      </w:r>
      <w:r w:rsidRPr="00CD42EB" w:rsidR="00F26537">
        <w:rPr>
          <w:sz w:val="24"/>
          <w:szCs w:val="24"/>
        </w:rPr>
        <w:t xml:space="preserve"> </w:t>
      </w:r>
      <w:r w:rsidRPr="00CD42EB" w:rsidR="00301FE2">
        <w:rPr>
          <w:sz w:val="24"/>
          <w:szCs w:val="24"/>
        </w:rPr>
        <w:t xml:space="preserve">in their waiver database so the recipient can continue to receive payment by check.  </w:t>
      </w:r>
    </w:p>
    <w:p w:rsidRPr="00CD42EB" w:rsidR="00366578" w:rsidP="00286EEF" w:rsidRDefault="00366578" w14:paraId="2BCFFB4E" w14:textId="77777777">
      <w:pPr>
        <w:tabs>
          <w:tab w:val="left" w:pos="720"/>
        </w:tabs>
        <w:ind w:left="720" w:hanging="720"/>
        <w:rPr>
          <w:sz w:val="24"/>
          <w:szCs w:val="24"/>
        </w:rPr>
      </w:pPr>
    </w:p>
    <w:p w:rsidRPr="00160D6D" w:rsidR="00C10CAA" w:rsidP="00786DE8" w:rsidRDefault="00DD0E73" w14:paraId="64E8B846" w14:textId="77777777">
      <w:pPr>
        <w:numPr>
          <w:ilvl w:val="0"/>
          <w:numId w:val="6"/>
        </w:numPr>
        <w:tabs>
          <w:tab w:val="left" w:pos="720"/>
        </w:tabs>
        <w:ind w:hanging="720"/>
        <w:rPr>
          <w:b/>
          <w:sz w:val="24"/>
          <w:szCs w:val="24"/>
        </w:rPr>
      </w:pPr>
      <w:r w:rsidRPr="00160D6D">
        <w:rPr>
          <w:b/>
          <w:bCs/>
          <w:sz w:val="24"/>
          <w:szCs w:val="24"/>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r w:rsidRPr="00160D6D" w:rsidR="00C10CAA">
        <w:rPr>
          <w:b/>
          <w:sz w:val="24"/>
          <w:szCs w:val="24"/>
        </w:rPr>
        <w:t xml:space="preserve"> </w:t>
      </w:r>
    </w:p>
    <w:p w:rsidRPr="00160D6D" w:rsidR="00C10CAA" w:rsidP="00786DE8" w:rsidRDefault="00C10CAA" w14:paraId="4EF24692" w14:textId="77777777">
      <w:pPr>
        <w:tabs>
          <w:tab w:val="left" w:pos="720"/>
        </w:tabs>
        <w:ind w:left="720" w:hanging="720"/>
        <w:rPr>
          <w:sz w:val="24"/>
          <w:szCs w:val="24"/>
        </w:rPr>
      </w:pPr>
    </w:p>
    <w:p w:rsidRPr="00160D6D" w:rsidR="00301FE2" w:rsidP="00786DE8" w:rsidRDefault="004618BF" w14:paraId="3F8A3385" w14:textId="77777777">
      <w:pPr>
        <w:tabs>
          <w:tab w:val="left" w:pos="720"/>
        </w:tabs>
        <w:ind w:left="720" w:hanging="720"/>
        <w:rPr>
          <w:sz w:val="24"/>
          <w:szCs w:val="24"/>
        </w:rPr>
      </w:pPr>
      <w:r w:rsidRPr="00160D6D">
        <w:rPr>
          <w:sz w:val="24"/>
          <w:szCs w:val="24"/>
        </w:rPr>
        <w:tab/>
      </w:r>
      <w:r w:rsidRPr="00160D6D" w:rsidR="00DD0E73">
        <w:rPr>
          <w:sz w:val="24"/>
          <w:szCs w:val="24"/>
        </w:rPr>
        <w:t>The form</w:t>
      </w:r>
      <w:r w:rsidRPr="00160D6D" w:rsidR="00226343">
        <w:rPr>
          <w:sz w:val="24"/>
          <w:szCs w:val="24"/>
        </w:rPr>
        <w:t>s</w:t>
      </w:r>
      <w:r w:rsidRPr="00160D6D" w:rsidR="00DD0E73">
        <w:rPr>
          <w:sz w:val="24"/>
          <w:szCs w:val="24"/>
        </w:rPr>
        <w:t xml:space="preserve"> </w:t>
      </w:r>
      <w:r w:rsidRPr="00160D6D" w:rsidR="00226343">
        <w:rPr>
          <w:sz w:val="24"/>
          <w:szCs w:val="24"/>
        </w:rPr>
        <w:t>are</w:t>
      </w:r>
      <w:r w:rsidRPr="00160D6D" w:rsidR="00DD0E73">
        <w:rPr>
          <w:sz w:val="24"/>
          <w:szCs w:val="24"/>
        </w:rPr>
        <w:t xml:space="preserve"> available from the Bureau of the Fiscal Service and also on the Internet as a fill-in PDF form</w:t>
      </w:r>
      <w:r w:rsidRPr="00160D6D" w:rsidR="00226343">
        <w:rPr>
          <w:sz w:val="24"/>
          <w:szCs w:val="24"/>
        </w:rPr>
        <w:t xml:space="preserve">, </w:t>
      </w:r>
      <w:r w:rsidRPr="00160D6D" w:rsidR="00A23066">
        <w:rPr>
          <w:sz w:val="24"/>
          <w:szCs w:val="24"/>
        </w:rPr>
        <w:t>b</w:t>
      </w:r>
      <w:r w:rsidRPr="00160D6D" w:rsidR="00226343">
        <w:rPr>
          <w:sz w:val="24"/>
          <w:szCs w:val="24"/>
        </w:rPr>
        <w:t>ut</w:t>
      </w:r>
      <w:r w:rsidRPr="00160D6D" w:rsidR="00A23066">
        <w:rPr>
          <w:sz w:val="24"/>
          <w:szCs w:val="24"/>
        </w:rPr>
        <w:t xml:space="preserve"> </w:t>
      </w:r>
      <w:r w:rsidRPr="00160D6D" w:rsidR="00ED08AB">
        <w:rPr>
          <w:sz w:val="24"/>
          <w:szCs w:val="24"/>
        </w:rPr>
        <w:t>o</w:t>
      </w:r>
      <w:r w:rsidRPr="00160D6D" w:rsidR="00301FE2">
        <w:rPr>
          <w:sz w:val="24"/>
          <w:szCs w:val="24"/>
        </w:rPr>
        <w:t xml:space="preserve">nly paper forms may </w:t>
      </w:r>
      <w:r w:rsidRPr="00160D6D" w:rsidR="00ED08AB">
        <w:rPr>
          <w:sz w:val="24"/>
          <w:szCs w:val="24"/>
        </w:rPr>
        <w:t>accepted</w:t>
      </w:r>
      <w:r w:rsidRPr="00160D6D" w:rsidR="00301FE2">
        <w:rPr>
          <w:sz w:val="24"/>
          <w:szCs w:val="24"/>
        </w:rPr>
        <w:t xml:space="preserve"> in this process. </w:t>
      </w:r>
      <w:r w:rsidRPr="00160D6D" w:rsidR="00931B77">
        <w:rPr>
          <w:sz w:val="24"/>
          <w:szCs w:val="24"/>
        </w:rPr>
        <w:t xml:space="preserve"> </w:t>
      </w:r>
    </w:p>
    <w:p w:rsidRPr="00CD42EB" w:rsidR="00C10CAA" w:rsidP="00786DE8" w:rsidRDefault="000E0EDD" w14:paraId="33E73F0C" w14:textId="77777777">
      <w:pPr>
        <w:numPr>
          <w:ilvl w:val="0"/>
          <w:numId w:val="6"/>
        </w:numPr>
        <w:tabs>
          <w:tab w:val="left" w:pos="720"/>
        </w:tabs>
        <w:ind w:hanging="720"/>
        <w:rPr>
          <w:b/>
          <w:sz w:val="24"/>
          <w:szCs w:val="24"/>
        </w:rPr>
      </w:pPr>
      <w:r>
        <w:rPr>
          <w:b/>
          <w:sz w:val="24"/>
          <w:szCs w:val="24"/>
        </w:rPr>
        <w:br w:type="page"/>
      </w:r>
      <w:r w:rsidRPr="00CD42EB" w:rsidR="00C10CAA">
        <w:rPr>
          <w:b/>
          <w:sz w:val="24"/>
          <w:szCs w:val="24"/>
        </w:rPr>
        <w:lastRenderedPageBreak/>
        <w:t xml:space="preserve">Describe efforts to identify duplication.  Show specifically why any similar information already available cannot be used or modified for use for the purposes described in Item 2 above. </w:t>
      </w:r>
    </w:p>
    <w:p w:rsidRPr="00CD42EB" w:rsidR="00C10CAA" w:rsidP="00786DE8" w:rsidRDefault="00C10CAA" w14:paraId="496A7F02" w14:textId="77777777">
      <w:pPr>
        <w:tabs>
          <w:tab w:val="left" w:pos="720"/>
        </w:tabs>
        <w:ind w:left="720" w:hanging="720"/>
        <w:rPr>
          <w:sz w:val="24"/>
          <w:szCs w:val="24"/>
        </w:rPr>
      </w:pPr>
    </w:p>
    <w:p w:rsidRPr="00160D6D" w:rsidR="00301FE2" w:rsidP="00786DE8" w:rsidRDefault="004618BF" w14:paraId="15974CCA" w14:textId="77777777">
      <w:pPr>
        <w:tabs>
          <w:tab w:val="left" w:pos="720"/>
        </w:tabs>
        <w:ind w:left="720" w:hanging="720"/>
        <w:rPr>
          <w:sz w:val="24"/>
          <w:szCs w:val="24"/>
        </w:rPr>
      </w:pPr>
      <w:r>
        <w:rPr>
          <w:sz w:val="24"/>
          <w:szCs w:val="24"/>
        </w:rPr>
        <w:tab/>
      </w:r>
      <w:r w:rsidRPr="00160D6D" w:rsidR="00AD373A">
        <w:rPr>
          <w:sz w:val="24"/>
          <w:szCs w:val="24"/>
        </w:rPr>
        <w:t xml:space="preserve">The information is collected for a single purpose when it is necessary for </w:t>
      </w:r>
      <w:r w:rsidRPr="00160D6D" w:rsidR="00301FE2">
        <w:rPr>
          <w:sz w:val="24"/>
          <w:szCs w:val="24"/>
        </w:rPr>
        <w:t xml:space="preserve">an individual to substantiate in writing why they cannot receive payment by EFT. </w:t>
      </w:r>
      <w:r w:rsidRPr="00160D6D" w:rsidR="00AD373A">
        <w:rPr>
          <w:sz w:val="24"/>
          <w:szCs w:val="24"/>
        </w:rPr>
        <w:t>No other federal governmental agency collects this type of information, therefore, no duplication exists.</w:t>
      </w:r>
    </w:p>
    <w:p w:rsidRPr="00CD42EB" w:rsidR="00366578" w:rsidP="00786DE8" w:rsidRDefault="00366578" w14:paraId="6869ABC9" w14:textId="77777777">
      <w:pPr>
        <w:tabs>
          <w:tab w:val="left" w:pos="720"/>
        </w:tabs>
        <w:ind w:left="720" w:hanging="720"/>
        <w:rPr>
          <w:sz w:val="24"/>
          <w:szCs w:val="24"/>
        </w:rPr>
      </w:pPr>
    </w:p>
    <w:p w:rsidRPr="00CD42EB" w:rsidR="00C10CAA" w:rsidP="00786DE8" w:rsidRDefault="004618BF" w14:paraId="38F02605" w14:textId="77777777">
      <w:pPr>
        <w:numPr>
          <w:ilvl w:val="0"/>
          <w:numId w:val="6"/>
        </w:numPr>
        <w:tabs>
          <w:tab w:val="left" w:pos="720"/>
        </w:tabs>
        <w:ind w:hanging="720"/>
        <w:rPr>
          <w:b/>
          <w:sz w:val="24"/>
          <w:szCs w:val="24"/>
        </w:rPr>
      </w:pPr>
      <w:r>
        <w:rPr>
          <w:b/>
          <w:sz w:val="24"/>
          <w:szCs w:val="24"/>
        </w:rPr>
        <w:t>I</w:t>
      </w:r>
      <w:r w:rsidRPr="00CD42EB" w:rsidR="00C10CAA">
        <w:rPr>
          <w:b/>
          <w:sz w:val="24"/>
          <w:szCs w:val="24"/>
        </w:rPr>
        <w:t>f the collection of information impacts small businesses or other small entities (Item 5 o</w:t>
      </w:r>
      <w:r w:rsidRPr="00CD42EB" w:rsidR="009F0DA8">
        <w:rPr>
          <w:b/>
          <w:sz w:val="24"/>
          <w:szCs w:val="24"/>
        </w:rPr>
        <w:t>f</w:t>
      </w:r>
      <w:r w:rsidRPr="00CD42EB" w:rsidR="00C10CAA">
        <w:rPr>
          <w:b/>
          <w:sz w:val="24"/>
          <w:szCs w:val="24"/>
        </w:rPr>
        <w:t xml:space="preserve"> OMB Form 83-I), describe any methods used to minimize burden.</w:t>
      </w:r>
    </w:p>
    <w:p w:rsidRPr="00CD42EB" w:rsidR="009F0DA8" w:rsidP="00786DE8" w:rsidRDefault="009F0DA8" w14:paraId="6FEF6C26" w14:textId="77777777">
      <w:pPr>
        <w:tabs>
          <w:tab w:val="left" w:pos="720"/>
        </w:tabs>
        <w:ind w:left="720" w:hanging="720"/>
        <w:rPr>
          <w:sz w:val="24"/>
          <w:szCs w:val="24"/>
        </w:rPr>
      </w:pPr>
    </w:p>
    <w:p w:rsidRPr="00CD42EB" w:rsidR="00301FE2" w:rsidP="00786DE8" w:rsidRDefault="004618BF" w14:paraId="4F14E1F1" w14:textId="77777777">
      <w:pPr>
        <w:tabs>
          <w:tab w:val="left" w:pos="720"/>
        </w:tabs>
        <w:ind w:left="720" w:hanging="720"/>
        <w:rPr>
          <w:sz w:val="24"/>
          <w:szCs w:val="24"/>
        </w:rPr>
      </w:pPr>
      <w:r>
        <w:rPr>
          <w:sz w:val="24"/>
          <w:szCs w:val="24"/>
        </w:rPr>
        <w:tab/>
      </w:r>
      <w:r w:rsidRPr="00CD42EB" w:rsidR="00931B77">
        <w:rPr>
          <w:sz w:val="24"/>
          <w:szCs w:val="24"/>
        </w:rPr>
        <w:t>Only individuals may request a waiver and therefore the collection of information applies only to individuals, not to small businesses or other small entities.</w:t>
      </w:r>
    </w:p>
    <w:p w:rsidRPr="00CD42EB" w:rsidR="009F0DA8" w:rsidP="00786DE8" w:rsidRDefault="009F0DA8" w14:paraId="6F2CC95E" w14:textId="77777777">
      <w:pPr>
        <w:tabs>
          <w:tab w:val="left" w:pos="720"/>
        </w:tabs>
        <w:ind w:left="720" w:hanging="720"/>
        <w:rPr>
          <w:b/>
          <w:sz w:val="24"/>
          <w:szCs w:val="24"/>
        </w:rPr>
      </w:pPr>
    </w:p>
    <w:p w:rsidRPr="00CD42EB" w:rsidR="00C10CAA" w:rsidP="00786DE8" w:rsidRDefault="00C10CAA" w14:paraId="24360DCA" w14:textId="77777777">
      <w:pPr>
        <w:numPr>
          <w:ilvl w:val="0"/>
          <w:numId w:val="6"/>
        </w:numPr>
        <w:tabs>
          <w:tab w:val="left" w:pos="720"/>
        </w:tabs>
        <w:ind w:hanging="720"/>
        <w:rPr>
          <w:b/>
          <w:sz w:val="24"/>
          <w:szCs w:val="24"/>
        </w:rPr>
      </w:pPr>
      <w:r w:rsidRPr="00CD42EB">
        <w:rPr>
          <w:b/>
          <w:sz w:val="24"/>
          <w:szCs w:val="24"/>
        </w:rPr>
        <w:t>Describe the consequence to Federal program or policy activities if the collection is not conducted or is conducted less frequently, as well as any technical or legal obstacles to reducing burden.</w:t>
      </w:r>
    </w:p>
    <w:p w:rsidRPr="00CD42EB" w:rsidR="00C10CAA" w:rsidP="00786DE8" w:rsidRDefault="00C10CAA" w14:paraId="48BBD4ED" w14:textId="77777777">
      <w:pPr>
        <w:tabs>
          <w:tab w:val="left" w:pos="720"/>
        </w:tabs>
        <w:ind w:left="720" w:hanging="720"/>
        <w:rPr>
          <w:sz w:val="24"/>
          <w:szCs w:val="24"/>
        </w:rPr>
      </w:pPr>
    </w:p>
    <w:p w:rsidRPr="00CD42EB" w:rsidR="00366578" w:rsidP="00786DE8" w:rsidRDefault="004618BF" w14:paraId="68E45A11" w14:textId="77777777">
      <w:pPr>
        <w:tabs>
          <w:tab w:val="left" w:pos="720"/>
        </w:tabs>
        <w:ind w:left="720" w:hanging="720"/>
        <w:rPr>
          <w:sz w:val="24"/>
          <w:szCs w:val="24"/>
        </w:rPr>
      </w:pPr>
      <w:r>
        <w:rPr>
          <w:sz w:val="24"/>
          <w:szCs w:val="24"/>
        </w:rPr>
        <w:tab/>
      </w:r>
      <w:r w:rsidRPr="00CD42EB" w:rsidR="00301FE2">
        <w:rPr>
          <w:sz w:val="24"/>
          <w:szCs w:val="24"/>
        </w:rPr>
        <w:t>Failure to collect this information w</w:t>
      </w:r>
      <w:r w:rsidRPr="00CD42EB" w:rsidR="00931B77">
        <w:rPr>
          <w:sz w:val="24"/>
          <w:szCs w:val="24"/>
        </w:rPr>
        <w:t>ould</w:t>
      </w:r>
      <w:r w:rsidRPr="00CD42EB" w:rsidR="00301FE2">
        <w:rPr>
          <w:sz w:val="24"/>
          <w:szCs w:val="24"/>
        </w:rPr>
        <w:t xml:space="preserve"> </w:t>
      </w:r>
      <w:r w:rsidRPr="00CD42EB" w:rsidR="00931B77">
        <w:rPr>
          <w:sz w:val="24"/>
          <w:szCs w:val="24"/>
        </w:rPr>
        <w:t xml:space="preserve">violate the requirements of 31 CFR Part 208 and prevent individuals from exercising their right under the regulation to obtain a waiver from the EFT requirement.  </w:t>
      </w:r>
    </w:p>
    <w:p w:rsidRPr="00CD42EB" w:rsidR="00301FE2" w:rsidP="00786DE8" w:rsidRDefault="00301FE2" w14:paraId="1B603371" w14:textId="77777777">
      <w:pPr>
        <w:tabs>
          <w:tab w:val="left" w:pos="720"/>
        </w:tabs>
        <w:ind w:left="720" w:hanging="720"/>
        <w:rPr>
          <w:sz w:val="24"/>
          <w:szCs w:val="24"/>
        </w:rPr>
      </w:pPr>
    </w:p>
    <w:p w:rsidRPr="00CD42EB" w:rsidR="00C10CAA" w:rsidP="00786DE8" w:rsidRDefault="00AD373A" w14:paraId="54A233CA" w14:textId="77777777">
      <w:pPr>
        <w:numPr>
          <w:ilvl w:val="0"/>
          <w:numId w:val="6"/>
        </w:numPr>
        <w:tabs>
          <w:tab w:val="left" w:pos="720"/>
        </w:tabs>
        <w:ind w:hanging="720"/>
        <w:rPr>
          <w:b/>
          <w:sz w:val="24"/>
          <w:szCs w:val="24"/>
        </w:rPr>
      </w:pPr>
      <w:r>
        <w:rPr>
          <w:b/>
          <w:sz w:val="24"/>
          <w:szCs w:val="24"/>
        </w:rPr>
        <w:t>I</w:t>
      </w:r>
      <w:r w:rsidRPr="00160D6D">
        <w:rPr>
          <w:b/>
          <w:sz w:val="24"/>
          <w:szCs w:val="24"/>
        </w:rPr>
        <w:t xml:space="preserve">s </w:t>
      </w:r>
      <w:r w:rsidRPr="00160D6D">
        <w:rPr>
          <w:b/>
          <w:bCs/>
          <w:sz w:val="24"/>
          <w:szCs w:val="24"/>
        </w:rPr>
        <w:t>this collection of information conducted in a manner consistent with the guidelines of 5 CFR 1320.6?</w:t>
      </w:r>
    </w:p>
    <w:p w:rsidRPr="00CD42EB" w:rsidR="00C10CAA" w:rsidP="00786DE8" w:rsidRDefault="00C10CAA" w14:paraId="6DA9BFFF" w14:textId="77777777">
      <w:pPr>
        <w:tabs>
          <w:tab w:val="left" w:pos="720"/>
        </w:tabs>
        <w:ind w:left="720" w:hanging="720"/>
        <w:rPr>
          <w:sz w:val="24"/>
          <w:szCs w:val="24"/>
        </w:rPr>
      </w:pPr>
    </w:p>
    <w:p w:rsidR="00366578" w:rsidP="00786DE8" w:rsidRDefault="004618BF" w14:paraId="7FE56F2A" w14:textId="2ACA3278">
      <w:pPr>
        <w:tabs>
          <w:tab w:val="left" w:pos="720"/>
        </w:tabs>
        <w:ind w:left="720" w:hanging="720"/>
        <w:rPr>
          <w:sz w:val="24"/>
          <w:szCs w:val="24"/>
        </w:rPr>
      </w:pPr>
      <w:r>
        <w:rPr>
          <w:sz w:val="24"/>
          <w:szCs w:val="24"/>
        </w:rPr>
        <w:tab/>
      </w:r>
      <w:r w:rsidRPr="007851F6" w:rsidR="007851F6">
        <w:rPr>
          <w:sz w:val="24"/>
          <w:szCs w:val="24"/>
        </w:rPr>
        <w:t xml:space="preserve">There are no special circumstances.  </w:t>
      </w:r>
      <w:r w:rsidRPr="00363FAD" w:rsidR="00363FAD">
        <w:rPr>
          <w:sz w:val="24"/>
          <w:szCs w:val="24"/>
        </w:rPr>
        <w:t>The collection of information is conducted in a manner consistent with the guidelines in 5 CFR 1320.6.</w:t>
      </w:r>
    </w:p>
    <w:p w:rsidRPr="00CD42EB" w:rsidR="00363FAD" w:rsidP="00786DE8" w:rsidRDefault="00363FAD" w14:paraId="29FEF76B" w14:textId="77777777">
      <w:pPr>
        <w:tabs>
          <w:tab w:val="left" w:pos="720"/>
        </w:tabs>
        <w:ind w:left="720" w:hanging="720"/>
        <w:rPr>
          <w:sz w:val="24"/>
          <w:szCs w:val="24"/>
        </w:rPr>
      </w:pPr>
    </w:p>
    <w:p w:rsidRPr="00160D6D" w:rsidR="00C10CAA" w:rsidP="00786DE8" w:rsidRDefault="00A632BC" w14:paraId="1FE68835" w14:textId="77777777">
      <w:pPr>
        <w:numPr>
          <w:ilvl w:val="0"/>
          <w:numId w:val="6"/>
        </w:numPr>
        <w:tabs>
          <w:tab w:val="left" w:pos="720"/>
        </w:tabs>
        <w:ind w:hanging="720"/>
        <w:rPr>
          <w:b/>
          <w:sz w:val="24"/>
          <w:szCs w:val="24"/>
        </w:rPr>
      </w:pPr>
      <w:r w:rsidRPr="00160D6D">
        <w:rPr>
          <w:b/>
          <w:bCs/>
          <w:sz w:val="24"/>
          <w:szCs w:val="24"/>
        </w:rPr>
        <w:t>What effort was made to notify the general public about this collection of information?</w:t>
      </w:r>
    </w:p>
    <w:p w:rsidR="00C10CAA" w:rsidP="00786DE8" w:rsidRDefault="00C10CAA" w14:paraId="6A042D19" w14:textId="77777777">
      <w:pPr>
        <w:tabs>
          <w:tab w:val="left" w:pos="720"/>
        </w:tabs>
        <w:ind w:left="720" w:hanging="720"/>
        <w:rPr>
          <w:sz w:val="24"/>
          <w:szCs w:val="24"/>
        </w:rPr>
      </w:pPr>
    </w:p>
    <w:p w:rsidRPr="00CD42EB" w:rsidR="004618BF" w:rsidP="00160D6D" w:rsidRDefault="00D64CE8" w14:paraId="3D42FBBD" w14:textId="2356758B">
      <w:pPr>
        <w:tabs>
          <w:tab w:val="left" w:pos="720"/>
        </w:tabs>
        <w:ind w:left="720"/>
        <w:rPr>
          <w:sz w:val="24"/>
          <w:szCs w:val="24"/>
        </w:rPr>
      </w:pPr>
      <w:r>
        <w:rPr>
          <w:sz w:val="24"/>
          <w:szCs w:val="24"/>
        </w:rPr>
        <w:t>The Bureau published a</w:t>
      </w:r>
      <w:r w:rsidR="004618BF">
        <w:rPr>
          <w:sz w:val="24"/>
          <w:szCs w:val="24"/>
        </w:rPr>
        <w:t xml:space="preserve"> 60-day notice in the </w:t>
      </w:r>
      <w:r w:rsidRPr="004618BF" w:rsidR="004618BF">
        <w:rPr>
          <w:i/>
          <w:sz w:val="24"/>
          <w:szCs w:val="24"/>
        </w:rPr>
        <w:t>Federal Register</w:t>
      </w:r>
      <w:r w:rsidR="004618BF">
        <w:rPr>
          <w:sz w:val="24"/>
          <w:szCs w:val="24"/>
        </w:rPr>
        <w:t xml:space="preserve"> </w:t>
      </w:r>
      <w:r w:rsidR="00B96E72">
        <w:rPr>
          <w:sz w:val="24"/>
          <w:szCs w:val="24"/>
        </w:rPr>
        <w:t xml:space="preserve">on </w:t>
      </w:r>
      <w:r w:rsidR="00E05F27">
        <w:rPr>
          <w:sz w:val="24"/>
          <w:szCs w:val="24"/>
        </w:rPr>
        <w:t>August 16, 2021</w:t>
      </w:r>
      <w:r w:rsidR="00A632BC">
        <w:rPr>
          <w:sz w:val="24"/>
          <w:szCs w:val="24"/>
        </w:rPr>
        <w:t>, Volume 8</w:t>
      </w:r>
      <w:r w:rsidR="00E05F27">
        <w:rPr>
          <w:sz w:val="24"/>
          <w:szCs w:val="24"/>
        </w:rPr>
        <w:t>6</w:t>
      </w:r>
      <w:r w:rsidR="00A632BC">
        <w:rPr>
          <w:sz w:val="24"/>
          <w:szCs w:val="24"/>
        </w:rPr>
        <w:t xml:space="preserve">, Page </w:t>
      </w:r>
      <w:r w:rsidR="00E05F27">
        <w:rPr>
          <w:sz w:val="24"/>
          <w:szCs w:val="24"/>
        </w:rPr>
        <w:t>45819</w:t>
      </w:r>
      <w:r w:rsidR="00A632BC">
        <w:rPr>
          <w:sz w:val="24"/>
          <w:szCs w:val="24"/>
        </w:rPr>
        <w:t xml:space="preserve"> to </w:t>
      </w:r>
      <w:r w:rsidR="004618BF">
        <w:rPr>
          <w:sz w:val="24"/>
          <w:szCs w:val="24"/>
        </w:rPr>
        <w:t>solicit comments from the public on th</w:t>
      </w:r>
      <w:r>
        <w:rPr>
          <w:sz w:val="24"/>
          <w:szCs w:val="24"/>
        </w:rPr>
        <w:t xml:space="preserve">e extension of this </w:t>
      </w:r>
      <w:r w:rsidR="004618BF">
        <w:rPr>
          <w:sz w:val="24"/>
          <w:szCs w:val="24"/>
        </w:rPr>
        <w:t>collection of information; no comments were received.</w:t>
      </w:r>
    </w:p>
    <w:p w:rsidR="008B3101" w:rsidP="00786DE8" w:rsidRDefault="008B3101" w14:paraId="4DC04B77" w14:textId="77777777">
      <w:pPr>
        <w:tabs>
          <w:tab w:val="left" w:pos="720"/>
        </w:tabs>
        <w:ind w:left="720" w:hanging="720"/>
        <w:rPr>
          <w:sz w:val="24"/>
          <w:szCs w:val="24"/>
        </w:rPr>
      </w:pPr>
    </w:p>
    <w:p w:rsidRPr="00CD42EB" w:rsidR="00C10CAA" w:rsidP="00786DE8" w:rsidRDefault="00C10CAA" w14:paraId="651BEAD8" w14:textId="77777777">
      <w:pPr>
        <w:numPr>
          <w:ilvl w:val="0"/>
          <w:numId w:val="6"/>
        </w:numPr>
        <w:tabs>
          <w:tab w:val="left" w:pos="720"/>
        </w:tabs>
        <w:ind w:hanging="720"/>
        <w:rPr>
          <w:b/>
          <w:sz w:val="24"/>
          <w:szCs w:val="24"/>
        </w:rPr>
      </w:pPr>
      <w:r w:rsidRPr="00CD42EB">
        <w:rPr>
          <w:b/>
          <w:sz w:val="24"/>
          <w:szCs w:val="24"/>
        </w:rPr>
        <w:t xml:space="preserve">Explain any decision to provide any payment or gift to respondents, other than reenumeration of contractors or grantees. </w:t>
      </w:r>
    </w:p>
    <w:p w:rsidRPr="00CD42EB" w:rsidR="00C10CAA" w:rsidP="00786DE8" w:rsidRDefault="00C10CAA" w14:paraId="7B0D5FC5" w14:textId="77777777">
      <w:pPr>
        <w:tabs>
          <w:tab w:val="left" w:pos="720"/>
        </w:tabs>
        <w:ind w:left="720" w:hanging="720"/>
        <w:rPr>
          <w:sz w:val="24"/>
          <w:szCs w:val="24"/>
        </w:rPr>
      </w:pPr>
    </w:p>
    <w:p w:rsidRPr="00160D6D" w:rsidR="00A632BC" w:rsidP="00A632BC" w:rsidRDefault="004618BF" w14:paraId="4B1FF9B5" w14:textId="77777777">
      <w:pPr>
        <w:ind w:left="360"/>
        <w:rPr>
          <w:bCs/>
          <w:sz w:val="24"/>
          <w:szCs w:val="24"/>
        </w:rPr>
      </w:pPr>
      <w:r>
        <w:rPr>
          <w:sz w:val="24"/>
          <w:szCs w:val="24"/>
        </w:rPr>
        <w:tab/>
      </w:r>
      <w:r w:rsidRPr="00160D6D" w:rsidR="00A632BC">
        <w:rPr>
          <w:sz w:val="24"/>
          <w:szCs w:val="24"/>
        </w:rPr>
        <w:t>There are no payments or gifts made to respondents.</w:t>
      </w:r>
    </w:p>
    <w:p w:rsidRPr="00CD42EB" w:rsidR="00366578" w:rsidP="00160D6D" w:rsidRDefault="00366578" w14:paraId="24BB7962" w14:textId="77777777">
      <w:pPr>
        <w:tabs>
          <w:tab w:val="left" w:pos="720"/>
        </w:tabs>
        <w:rPr>
          <w:sz w:val="24"/>
          <w:szCs w:val="24"/>
          <w:u w:val="single"/>
        </w:rPr>
      </w:pPr>
    </w:p>
    <w:p w:rsidRPr="00CD42EB" w:rsidR="00C10CAA" w:rsidP="00786DE8" w:rsidRDefault="00C10CAA" w14:paraId="472C7C44" w14:textId="77777777">
      <w:pPr>
        <w:numPr>
          <w:ilvl w:val="0"/>
          <w:numId w:val="6"/>
        </w:numPr>
        <w:tabs>
          <w:tab w:val="left" w:pos="720"/>
        </w:tabs>
        <w:ind w:hanging="720"/>
        <w:rPr>
          <w:b/>
          <w:sz w:val="24"/>
          <w:szCs w:val="24"/>
        </w:rPr>
      </w:pPr>
      <w:r w:rsidRPr="00CD42EB">
        <w:rPr>
          <w:b/>
          <w:sz w:val="24"/>
          <w:szCs w:val="24"/>
        </w:rPr>
        <w:t xml:space="preserve">Describe any assurance of confidentiality provided to respondents and the basis for the assurance in statute, regulation, or agency policy. </w:t>
      </w:r>
    </w:p>
    <w:p w:rsidRPr="00CD42EB" w:rsidR="004618BF" w:rsidP="00786DE8" w:rsidRDefault="004618BF" w14:paraId="10A82A7A" w14:textId="77777777">
      <w:pPr>
        <w:tabs>
          <w:tab w:val="left" w:pos="720"/>
        </w:tabs>
        <w:ind w:left="720" w:hanging="720"/>
        <w:rPr>
          <w:b/>
          <w:sz w:val="24"/>
          <w:szCs w:val="24"/>
        </w:rPr>
      </w:pPr>
    </w:p>
    <w:p w:rsidRPr="00160D6D" w:rsidR="00A632BC" w:rsidP="00160D6D" w:rsidRDefault="00A632BC" w14:paraId="1E7241C5" w14:textId="77777777">
      <w:pPr>
        <w:ind w:left="720"/>
        <w:rPr>
          <w:b/>
          <w:bCs/>
          <w:sz w:val="24"/>
          <w:szCs w:val="24"/>
        </w:rPr>
      </w:pPr>
      <w:r w:rsidRPr="00160D6D">
        <w:rPr>
          <w:sz w:val="24"/>
          <w:szCs w:val="24"/>
        </w:rPr>
        <w:t>Aside from protections contained in the Privacy Act, there is no guarantee of confidentiality.</w:t>
      </w:r>
    </w:p>
    <w:p w:rsidR="00A632BC" w:rsidP="004C5E6B" w:rsidRDefault="00A632BC" w14:paraId="2051E5EE" w14:textId="77777777">
      <w:pPr>
        <w:ind w:left="720"/>
        <w:rPr>
          <w:sz w:val="24"/>
          <w:szCs w:val="24"/>
        </w:rPr>
      </w:pPr>
    </w:p>
    <w:p w:rsidRPr="005B1731" w:rsidR="00063896" w:rsidP="00063896" w:rsidRDefault="00063896" w14:paraId="00EE9A41" w14:textId="77777777">
      <w:pPr>
        <w:ind w:left="720"/>
        <w:rPr>
          <w:rFonts w:eastAsia="Calibri"/>
        </w:rPr>
      </w:pPr>
    </w:p>
    <w:p w:rsidRPr="00CD42EB" w:rsidR="00C10CAA" w:rsidP="00786DE8" w:rsidRDefault="00C10CAA" w14:paraId="5CA06B54" w14:textId="77777777">
      <w:pPr>
        <w:numPr>
          <w:ilvl w:val="0"/>
          <w:numId w:val="6"/>
        </w:numPr>
        <w:tabs>
          <w:tab w:val="left" w:pos="720"/>
        </w:tabs>
        <w:ind w:hanging="720"/>
        <w:rPr>
          <w:sz w:val="24"/>
          <w:szCs w:val="24"/>
        </w:rPr>
      </w:pPr>
      <w:r w:rsidRPr="00CD42EB">
        <w:rPr>
          <w:b/>
          <w:sz w:val="24"/>
          <w:szCs w:val="24"/>
        </w:rPr>
        <w:lastRenderedPageBreak/>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CD42EB" w:rsidR="00C10CAA" w:rsidP="00786DE8" w:rsidRDefault="00C10CAA" w14:paraId="11426CCE" w14:textId="77777777">
      <w:pPr>
        <w:tabs>
          <w:tab w:val="left" w:pos="720"/>
        </w:tabs>
        <w:ind w:left="720" w:hanging="720"/>
        <w:rPr>
          <w:sz w:val="24"/>
          <w:szCs w:val="24"/>
        </w:rPr>
      </w:pPr>
    </w:p>
    <w:p w:rsidR="0008154F" w:rsidP="00786DE8" w:rsidRDefault="004618BF" w14:paraId="3C54E05F" w14:textId="77777777">
      <w:pPr>
        <w:tabs>
          <w:tab w:val="left" w:pos="720"/>
        </w:tabs>
        <w:ind w:left="720" w:hanging="720"/>
        <w:rPr>
          <w:sz w:val="24"/>
          <w:szCs w:val="24"/>
        </w:rPr>
      </w:pPr>
      <w:r>
        <w:rPr>
          <w:sz w:val="24"/>
          <w:szCs w:val="24"/>
        </w:rPr>
        <w:tab/>
      </w:r>
      <w:r w:rsidRPr="00CD42EB" w:rsidR="0008154F">
        <w:rPr>
          <w:sz w:val="24"/>
          <w:szCs w:val="24"/>
        </w:rPr>
        <w:t xml:space="preserve">Individuals requesting a waiver from the EFT requirement due to a mental impairment must explain how the mental impairment necessitates receipt of their payments by paper check. </w:t>
      </w:r>
      <w:r w:rsidR="00D671AC">
        <w:rPr>
          <w:sz w:val="24"/>
          <w:szCs w:val="24"/>
        </w:rPr>
        <w:t xml:space="preserve"> </w:t>
      </w:r>
      <w:r w:rsidRPr="00CD42EB" w:rsidR="0008154F">
        <w:rPr>
          <w:sz w:val="24"/>
          <w:szCs w:val="24"/>
        </w:rPr>
        <w:t xml:space="preserve">This information will only be used to validate that a waiver is necessary and the information will not be disclosed to any other parties. </w:t>
      </w:r>
    </w:p>
    <w:p w:rsidR="001B04E2" w:rsidP="00786DE8" w:rsidRDefault="001B04E2" w14:paraId="1F306592" w14:textId="77777777">
      <w:pPr>
        <w:tabs>
          <w:tab w:val="left" w:pos="720"/>
        </w:tabs>
        <w:ind w:left="720" w:hanging="720"/>
        <w:rPr>
          <w:sz w:val="24"/>
          <w:szCs w:val="24"/>
        </w:rPr>
      </w:pPr>
    </w:p>
    <w:p w:rsidRPr="00CD42EB" w:rsidR="001B04E2" w:rsidP="000A0DE0" w:rsidRDefault="00F27AEE" w14:paraId="2BCB4408" w14:textId="4570FC53">
      <w:pPr>
        <w:ind w:left="720"/>
        <w:rPr>
          <w:sz w:val="24"/>
          <w:szCs w:val="24"/>
        </w:rPr>
      </w:pPr>
      <w:r w:rsidRPr="00F27AEE">
        <w:rPr>
          <w:sz w:val="24"/>
          <w:szCs w:val="24"/>
        </w:rPr>
        <w:t>An applicable System of Records Notice for this information was published February 27, 2020. System of Records Name: Treasury/Fiscal Service .0</w:t>
      </w:r>
      <w:r>
        <w:rPr>
          <w:sz w:val="24"/>
          <w:szCs w:val="24"/>
        </w:rPr>
        <w:t>07</w:t>
      </w:r>
      <w:r w:rsidR="000A0DE0">
        <w:rPr>
          <w:sz w:val="24"/>
          <w:szCs w:val="24"/>
        </w:rPr>
        <w:t xml:space="preserve">, </w:t>
      </w:r>
      <w:r w:rsidRPr="004C5E6B" w:rsidR="000A0DE0">
        <w:rPr>
          <w:sz w:val="24"/>
          <w:szCs w:val="24"/>
        </w:rPr>
        <w:t>“</w:t>
      </w:r>
      <w:r w:rsidRPr="004C5E6B" w:rsidR="000A0DE0">
        <w:rPr>
          <w:rFonts w:eastAsia="Calibri"/>
          <w:bCs/>
          <w:color w:val="000000"/>
          <w:sz w:val="24"/>
          <w:szCs w:val="24"/>
        </w:rPr>
        <w:t>Direct Deposit Enrollment Records</w:t>
      </w:r>
      <w:r w:rsidRPr="004C5E6B" w:rsidR="000A0DE0">
        <w:rPr>
          <w:sz w:val="24"/>
          <w:szCs w:val="24"/>
        </w:rPr>
        <w:t>”</w:t>
      </w:r>
      <w:r w:rsidR="000A0DE0">
        <w:rPr>
          <w:sz w:val="24"/>
          <w:szCs w:val="24"/>
        </w:rPr>
        <w:t xml:space="preserve">.  </w:t>
      </w:r>
      <w:r w:rsidRPr="000A0DE0" w:rsidR="000A0DE0">
        <w:rPr>
          <w:sz w:val="24"/>
          <w:szCs w:val="24"/>
        </w:rPr>
        <w:t>The privacy impact assessment (PIA) conducted for this collection of information can be found at https://www.fiscal.treasury.gov/files/pia/pps-pclia2.pdf</w:t>
      </w:r>
    </w:p>
    <w:p w:rsidRPr="00CD42EB" w:rsidR="00C10CAA" w:rsidP="00786DE8" w:rsidRDefault="00C10CAA" w14:paraId="2FFDADF1" w14:textId="77777777">
      <w:pPr>
        <w:tabs>
          <w:tab w:val="left" w:pos="720"/>
        </w:tabs>
        <w:ind w:left="720" w:hanging="720"/>
        <w:rPr>
          <w:sz w:val="24"/>
          <w:szCs w:val="24"/>
        </w:rPr>
      </w:pPr>
    </w:p>
    <w:p w:rsidRPr="00CD42EB" w:rsidR="00C10CAA" w:rsidP="00786DE8" w:rsidRDefault="00C10CAA" w14:paraId="3206B185" w14:textId="77777777">
      <w:pPr>
        <w:numPr>
          <w:ilvl w:val="0"/>
          <w:numId w:val="6"/>
        </w:numPr>
        <w:tabs>
          <w:tab w:val="left" w:pos="720"/>
        </w:tabs>
        <w:ind w:hanging="720"/>
        <w:rPr>
          <w:b/>
          <w:sz w:val="24"/>
          <w:szCs w:val="24"/>
        </w:rPr>
      </w:pPr>
      <w:r w:rsidRPr="00CD42EB">
        <w:rPr>
          <w:b/>
          <w:sz w:val="24"/>
          <w:szCs w:val="24"/>
        </w:rPr>
        <w:t>Provide estimates of the hour burden of the collection of information.  The statement should:  *indicate the number of respondents, frequency of response, annual hour burden; and an explanation of how the burden was estimated.</w:t>
      </w:r>
    </w:p>
    <w:p w:rsidRPr="00CD42EB" w:rsidR="00C10CAA" w:rsidP="00786DE8" w:rsidRDefault="00C10CAA" w14:paraId="45D51348" w14:textId="77777777">
      <w:pPr>
        <w:tabs>
          <w:tab w:val="left" w:pos="720"/>
        </w:tabs>
        <w:ind w:left="720" w:hanging="720"/>
        <w:rPr>
          <w:sz w:val="24"/>
          <w:szCs w:val="24"/>
        </w:rPr>
      </w:pPr>
    </w:p>
    <w:p w:rsidR="0008154F" w:rsidP="00786DE8" w:rsidRDefault="004618BF" w14:paraId="1A519470" w14:textId="77777777">
      <w:pPr>
        <w:tabs>
          <w:tab w:val="left" w:pos="720"/>
        </w:tabs>
        <w:ind w:left="720" w:hanging="720"/>
        <w:rPr>
          <w:sz w:val="24"/>
          <w:szCs w:val="24"/>
        </w:rPr>
      </w:pPr>
      <w:r>
        <w:rPr>
          <w:sz w:val="24"/>
          <w:szCs w:val="24"/>
        </w:rPr>
        <w:tab/>
      </w:r>
      <w:r w:rsidR="004C5E6B">
        <w:rPr>
          <w:sz w:val="24"/>
          <w:szCs w:val="24"/>
        </w:rPr>
        <w:t>It</w:t>
      </w:r>
      <w:r w:rsidRPr="00CD42EB" w:rsidR="00AB2906">
        <w:rPr>
          <w:sz w:val="24"/>
          <w:szCs w:val="24"/>
        </w:rPr>
        <w:t xml:space="preserve"> is estimated that </w:t>
      </w:r>
      <w:r w:rsidR="007839D3">
        <w:rPr>
          <w:sz w:val="24"/>
          <w:szCs w:val="24"/>
        </w:rPr>
        <w:t>3,</w:t>
      </w:r>
      <w:r w:rsidR="00A92FA9">
        <w:rPr>
          <w:sz w:val="24"/>
          <w:szCs w:val="24"/>
        </w:rPr>
        <w:t>250</w:t>
      </w:r>
      <w:r w:rsidRPr="00CD42EB" w:rsidR="00A92FA9">
        <w:rPr>
          <w:sz w:val="24"/>
          <w:szCs w:val="24"/>
        </w:rPr>
        <w:t xml:space="preserve"> </w:t>
      </w:r>
      <w:r w:rsidRPr="00CD42EB" w:rsidR="00AB2906">
        <w:rPr>
          <w:sz w:val="24"/>
          <w:szCs w:val="24"/>
        </w:rPr>
        <w:t xml:space="preserve">recipients will apply for a waiver from the EFT requirement. </w:t>
      </w:r>
      <w:r w:rsidR="00390445">
        <w:rPr>
          <w:sz w:val="24"/>
          <w:szCs w:val="24"/>
        </w:rPr>
        <w:t xml:space="preserve"> </w:t>
      </w:r>
      <w:r w:rsidRPr="00CD42EB" w:rsidR="00AB2906">
        <w:rPr>
          <w:sz w:val="24"/>
          <w:szCs w:val="24"/>
        </w:rPr>
        <w:t xml:space="preserve">They will only need to complete the waiver response one time, unless the form is incomplete and has to be returned to the recipient. </w:t>
      </w:r>
      <w:r w:rsidR="00390445">
        <w:rPr>
          <w:sz w:val="24"/>
          <w:szCs w:val="24"/>
        </w:rPr>
        <w:t xml:space="preserve"> </w:t>
      </w:r>
      <w:r w:rsidRPr="00CD42EB" w:rsidR="00AB2906">
        <w:rPr>
          <w:sz w:val="24"/>
          <w:szCs w:val="24"/>
        </w:rPr>
        <w:t xml:space="preserve">The estimated annual burden </w:t>
      </w:r>
      <w:r w:rsidRPr="00CD42EB" w:rsidR="007F7C94">
        <w:rPr>
          <w:sz w:val="24"/>
          <w:szCs w:val="24"/>
        </w:rPr>
        <w:t xml:space="preserve">hours are </w:t>
      </w:r>
      <w:r w:rsidR="00A92FA9">
        <w:rPr>
          <w:sz w:val="24"/>
          <w:szCs w:val="24"/>
        </w:rPr>
        <w:t>1,083</w:t>
      </w:r>
      <w:r w:rsidRPr="00CD42EB" w:rsidR="007F7C94">
        <w:rPr>
          <w:sz w:val="24"/>
          <w:szCs w:val="24"/>
        </w:rPr>
        <w:t xml:space="preserve"> (</w:t>
      </w:r>
      <w:r w:rsidR="00A92FA9">
        <w:rPr>
          <w:sz w:val="24"/>
          <w:szCs w:val="24"/>
        </w:rPr>
        <w:t>20 minutes</w:t>
      </w:r>
      <w:r w:rsidRPr="00CD42EB" w:rsidR="007F7C94">
        <w:rPr>
          <w:sz w:val="24"/>
          <w:szCs w:val="24"/>
        </w:rPr>
        <w:t xml:space="preserve"> per form).  </w:t>
      </w:r>
      <w:r w:rsidRPr="00CD42EB" w:rsidR="00AB2906">
        <w:rPr>
          <w:sz w:val="24"/>
          <w:szCs w:val="24"/>
        </w:rPr>
        <w:t xml:space="preserve"> </w:t>
      </w:r>
    </w:p>
    <w:p w:rsidR="00390445" w:rsidP="00786DE8" w:rsidRDefault="00390445" w14:paraId="46B85A03" w14:textId="77777777">
      <w:pPr>
        <w:tabs>
          <w:tab w:val="left" w:pos="540"/>
          <w:tab w:val="left" w:pos="720"/>
        </w:tabs>
        <w:ind w:left="540" w:hanging="720"/>
        <w:rPr>
          <w:sz w:val="24"/>
          <w:szCs w:val="24"/>
        </w:rPr>
      </w:pPr>
    </w:p>
    <w:tbl>
      <w:tblPr>
        <w:tblW w:w="8537"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86"/>
        <w:gridCol w:w="1392"/>
        <w:gridCol w:w="1332"/>
        <w:gridCol w:w="1440"/>
        <w:gridCol w:w="1332"/>
        <w:gridCol w:w="1355"/>
      </w:tblGrid>
      <w:tr w:rsidRPr="00655A86" w:rsidR="005B1731" w:rsidTr="005B1731" w14:paraId="79FD5144" w14:textId="77777777">
        <w:tc>
          <w:tcPr>
            <w:tcW w:w="1686" w:type="dxa"/>
            <w:tcBorders>
              <w:top w:val="nil"/>
              <w:left w:val="nil"/>
              <w:bottom w:val="single" w:color="auto" w:sz="4" w:space="0"/>
              <w:right w:val="single" w:color="auto" w:sz="4" w:space="0"/>
            </w:tcBorders>
          </w:tcPr>
          <w:p w:rsidRPr="00A92FA9" w:rsidR="00A92FA9" w:rsidP="00786DE8" w:rsidRDefault="00A92FA9" w14:paraId="29621050" w14:textId="77777777">
            <w:pPr>
              <w:jc w:val="center"/>
              <w:rPr>
                <w:rFonts w:ascii="Arial" w:hAnsi="Arial" w:cs="Arial"/>
              </w:rPr>
            </w:pPr>
          </w:p>
        </w:tc>
        <w:tc>
          <w:tcPr>
            <w:tcW w:w="1392" w:type="dxa"/>
            <w:tcBorders>
              <w:left w:val="single" w:color="auto" w:sz="4" w:space="0"/>
            </w:tcBorders>
            <w:shd w:val="clear" w:color="auto" w:fill="auto"/>
            <w:vAlign w:val="center"/>
          </w:tcPr>
          <w:p w:rsidRPr="00A92FA9" w:rsidR="00A92FA9" w:rsidP="00786DE8" w:rsidRDefault="00A92FA9" w14:paraId="3218A421" w14:textId="77777777">
            <w:pPr>
              <w:jc w:val="center"/>
              <w:rPr>
                <w:rFonts w:ascii="Arial Narrow" w:hAnsi="Arial Narrow" w:cs="Arial"/>
              </w:rPr>
            </w:pPr>
            <w:r w:rsidRPr="00A92FA9">
              <w:rPr>
                <w:rFonts w:ascii="Arial Narrow" w:hAnsi="Arial Narrow" w:cs="Arial"/>
              </w:rPr>
              <w:t># Respondents</w:t>
            </w:r>
          </w:p>
        </w:tc>
        <w:tc>
          <w:tcPr>
            <w:tcW w:w="1332" w:type="dxa"/>
            <w:shd w:val="clear" w:color="auto" w:fill="auto"/>
            <w:vAlign w:val="center"/>
          </w:tcPr>
          <w:p w:rsidRPr="00A92FA9" w:rsidR="00A92FA9" w:rsidP="00786DE8" w:rsidRDefault="00A92FA9" w14:paraId="765D625F" w14:textId="77777777">
            <w:pPr>
              <w:jc w:val="center"/>
              <w:rPr>
                <w:rFonts w:ascii="Arial Narrow" w:hAnsi="Arial Narrow" w:cs="Arial"/>
              </w:rPr>
            </w:pPr>
            <w:r w:rsidRPr="00A92FA9">
              <w:rPr>
                <w:rFonts w:ascii="Arial Narrow" w:hAnsi="Arial Narrow" w:cs="Arial"/>
              </w:rPr>
              <w:t># Responses Per Respondent</w:t>
            </w:r>
          </w:p>
        </w:tc>
        <w:tc>
          <w:tcPr>
            <w:tcW w:w="1440" w:type="dxa"/>
            <w:shd w:val="clear" w:color="auto" w:fill="auto"/>
            <w:vAlign w:val="center"/>
          </w:tcPr>
          <w:p w:rsidRPr="00A92FA9" w:rsidR="00A92FA9" w:rsidP="00786DE8" w:rsidRDefault="00A92FA9" w14:paraId="7793D54A" w14:textId="77777777">
            <w:pPr>
              <w:jc w:val="center"/>
              <w:rPr>
                <w:rFonts w:ascii="Arial Narrow" w:hAnsi="Arial Narrow" w:cs="Arial"/>
              </w:rPr>
            </w:pPr>
            <w:r w:rsidRPr="00A92FA9">
              <w:rPr>
                <w:rFonts w:ascii="Arial Narrow" w:hAnsi="Arial Narrow" w:cs="Arial"/>
              </w:rPr>
              <w:t>Annual Responses</w:t>
            </w:r>
          </w:p>
        </w:tc>
        <w:tc>
          <w:tcPr>
            <w:tcW w:w="1332" w:type="dxa"/>
            <w:shd w:val="clear" w:color="auto" w:fill="auto"/>
            <w:vAlign w:val="center"/>
          </w:tcPr>
          <w:p w:rsidRPr="00A92FA9" w:rsidR="00A92FA9" w:rsidP="00786DE8" w:rsidRDefault="00A92FA9" w14:paraId="7D6A5E9B" w14:textId="77777777">
            <w:pPr>
              <w:jc w:val="center"/>
              <w:rPr>
                <w:rFonts w:ascii="Arial Narrow" w:hAnsi="Arial Narrow" w:cs="Arial"/>
              </w:rPr>
            </w:pPr>
            <w:r w:rsidRPr="00A92FA9">
              <w:rPr>
                <w:rFonts w:ascii="Arial Narrow" w:hAnsi="Arial Narrow" w:cs="Arial"/>
              </w:rPr>
              <w:t>Hours Per Response</w:t>
            </w:r>
          </w:p>
        </w:tc>
        <w:tc>
          <w:tcPr>
            <w:tcW w:w="1355" w:type="dxa"/>
            <w:shd w:val="clear" w:color="auto" w:fill="auto"/>
            <w:vAlign w:val="center"/>
          </w:tcPr>
          <w:p w:rsidRPr="00A92FA9" w:rsidR="00A92FA9" w:rsidP="00786DE8" w:rsidRDefault="00A92FA9" w14:paraId="74BC61B5" w14:textId="77777777">
            <w:pPr>
              <w:jc w:val="center"/>
              <w:rPr>
                <w:rFonts w:ascii="Arial Narrow" w:hAnsi="Arial Narrow" w:cs="Arial"/>
              </w:rPr>
            </w:pPr>
            <w:r w:rsidRPr="00A92FA9">
              <w:rPr>
                <w:rFonts w:ascii="Arial Narrow" w:hAnsi="Arial Narrow" w:cs="Arial"/>
              </w:rPr>
              <w:t>Total Burden</w:t>
            </w:r>
          </w:p>
        </w:tc>
      </w:tr>
      <w:tr w:rsidRPr="00655A86" w:rsidR="00A92FA9" w:rsidTr="005B1731" w14:paraId="48D60B8F" w14:textId="77777777">
        <w:trPr>
          <w:trHeight w:val="467"/>
        </w:trPr>
        <w:tc>
          <w:tcPr>
            <w:tcW w:w="1686" w:type="dxa"/>
            <w:tcBorders>
              <w:top w:val="single" w:color="auto" w:sz="4" w:space="0"/>
            </w:tcBorders>
            <w:vAlign w:val="center"/>
          </w:tcPr>
          <w:p w:rsidRPr="00A92FA9" w:rsidR="00A92FA9" w:rsidP="00786DE8" w:rsidRDefault="00A92FA9" w14:paraId="062388EE" w14:textId="77777777">
            <w:pPr>
              <w:rPr>
                <w:rFonts w:ascii="Arial" w:hAnsi="Arial" w:cs="Arial"/>
              </w:rPr>
            </w:pPr>
            <w:r w:rsidRPr="00A92FA9">
              <w:rPr>
                <w:rFonts w:ascii="Arial" w:hAnsi="Arial" w:cs="Arial"/>
              </w:rPr>
              <w:t>1201W</w:t>
            </w:r>
          </w:p>
        </w:tc>
        <w:tc>
          <w:tcPr>
            <w:tcW w:w="1392" w:type="dxa"/>
            <w:shd w:val="clear" w:color="auto" w:fill="auto"/>
            <w:vAlign w:val="center"/>
          </w:tcPr>
          <w:p w:rsidRPr="00A92FA9" w:rsidR="00A92FA9" w:rsidP="00786DE8" w:rsidRDefault="00A92FA9" w14:paraId="1C48C33E" w14:textId="77777777">
            <w:pPr>
              <w:ind w:hanging="720"/>
              <w:jc w:val="right"/>
              <w:rPr>
                <w:rFonts w:ascii="Arial" w:hAnsi="Arial" w:cs="Arial"/>
              </w:rPr>
            </w:pPr>
            <w:r w:rsidRPr="00A92FA9">
              <w:rPr>
                <w:rFonts w:ascii="Arial" w:hAnsi="Arial" w:cs="Arial"/>
              </w:rPr>
              <w:t>2</w:t>
            </w:r>
            <w:r>
              <w:rPr>
                <w:rFonts w:ascii="Arial" w:hAnsi="Arial" w:cs="Arial"/>
              </w:rPr>
              <w:t>,</w:t>
            </w:r>
            <w:r w:rsidRPr="00A92FA9">
              <w:rPr>
                <w:rFonts w:ascii="Arial" w:hAnsi="Arial" w:cs="Arial"/>
              </w:rPr>
              <w:t>790</w:t>
            </w:r>
          </w:p>
        </w:tc>
        <w:tc>
          <w:tcPr>
            <w:tcW w:w="1332" w:type="dxa"/>
            <w:shd w:val="clear" w:color="auto" w:fill="auto"/>
            <w:vAlign w:val="center"/>
          </w:tcPr>
          <w:p w:rsidRPr="00A92FA9" w:rsidR="00A92FA9" w:rsidP="00786DE8" w:rsidRDefault="00A92FA9" w14:paraId="2E76DE84" w14:textId="77777777">
            <w:pPr>
              <w:ind w:hanging="720"/>
              <w:jc w:val="right"/>
              <w:rPr>
                <w:rFonts w:ascii="Arial" w:hAnsi="Arial" w:cs="Arial"/>
              </w:rPr>
            </w:pPr>
            <w:r w:rsidRPr="00A92FA9">
              <w:rPr>
                <w:rFonts w:ascii="Arial" w:hAnsi="Arial" w:cs="Arial"/>
              </w:rPr>
              <w:t>1</w:t>
            </w:r>
          </w:p>
        </w:tc>
        <w:tc>
          <w:tcPr>
            <w:tcW w:w="1440" w:type="dxa"/>
            <w:shd w:val="clear" w:color="auto" w:fill="auto"/>
            <w:vAlign w:val="center"/>
          </w:tcPr>
          <w:p w:rsidRPr="00A92FA9" w:rsidR="00A92FA9" w:rsidP="00786DE8" w:rsidRDefault="00A92FA9" w14:paraId="21434240" w14:textId="77777777">
            <w:pPr>
              <w:jc w:val="right"/>
              <w:rPr>
                <w:rFonts w:ascii="Arial" w:hAnsi="Arial" w:cs="Arial"/>
              </w:rPr>
            </w:pPr>
            <w:r w:rsidRPr="00A92FA9">
              <w:rPr>
                <w:rFonts w:ascii="Arial" w:hAnsi="Arial" w:cs="Arial"/>
              </w:rPr>
              <w:t>2</w:t>
            </w:r>
            <w:r>
              <w:rPr>
                <w:rFonts w:ascii="Arial" w:hAnsi="Arial" w:cs="Arial"/>
              </w:rPr>
              <w:t>,</w:t>
            </w:r>
            <w:r w:rsidRPr="00A92FA9">
              <w:rPr>
                <w:rFonts w:ascii="Arial" w:hAnsi="Arial" w:cs="Arial"/>
              </w:rPr>
              <w:t>790</w:t>
            </w:r>
          </w:p>
        </w:tc>
        <w:tc>
          <w:tcPr>
            <w:tcW w:w="1332" w:type="dxa"/>
            <w:shd w:val="clear" w:color="auto" w:fill="auto"/>
            <w:vAlign w:val="center"/>
          </w:tcPr>
          <w:p w:rsidRPr="00A92FA9" w:rsidR="00A92FA9" w:rsidP="00786DE8" w:rsidRDefault="00A92FA9" w14:paraId="2C5151FD" w14:textId="77777777">
            <w:pPr>
              <w:jc w:val="right"/>
              <w:rPr>
                <w:rFonts w:ascii="Arial" w:hAnsi="Arial" w:cs="Arial"/>
              </w:rPr>
            </w:pPr>
            <w:r w:rsidRPr="00A92FA9">
              <w:rPr>
                <w:rFonts w:ascii="Arial" w:hAnsi="Arial" w:cs="Arial"/>
              </w:rPr>
              <w:t>.33</w:t>
            </w:r>
          </w:p>
        </w:tc>
        <w:tc>
          <w:tcPr>
            <w:tcW w:w="1355" w:type="dxa"/>
            <w:shd w:val="clear" w:color="auto" w:fill="auto"/>
            <w:vAlign w:val="center"/>
          </w:tcPr>
          <w:p w:rsidRPr="00A92FA9" w:rsidR="00A92FA9" w:rsidP="00786DE8" w:rsidRDefault="00A92FA9" w14:paraId="46C32E5A" w14:textId="77777777">
            <w:pPr>
              <w:tabs>
                <w:tab w:val="decimal" w:pos="972"/>
              </w:tabs>
              <w:rPr>
                <w:rFonts w:ascii="Arial" w:hAnsi="Arial" w:cs="Arial"/>
              </w:rPr>
            </w:pPr>
            <w:r w:rsidRPr="00A92FA9">
              <w:rPr>
                <w:rFonts w:ascii="Arial" w:hAnsi="Arial" w:cs="Arial"/>
              </w:rPr>
              <w:t>930</w:t>
            </w:r>
          </w:p>
        </w:tc>
      </w:tr>
      <w:tr w:rsidRPr="00655A86" w:rsidR="00A92FA9" w:rsidTr="005B1731" w14:paraId="4A5E03D9" w14:textId="77777777">
        <w:trPr>
          <w:trHeight w:val="467"/>
        </w:trPr>
        <w:tc>
          <w:tcPr>
            <w:tcW w:w="1686" w:type="dxa"/>
            <w:vAlign w:val="center"/>
          </w:tcPr>
          <w:p w:rsidRPr="00A92FA9" w:rsidR="00A92FA9" w:rsidP="00786DE8" w:rsidRDefault="00A92FA9" w14:paraId="5686571F" w14:textId="77777777">
            <w:pPr>
              <w:rPr>
                <w:rFonts w:ascii="Arial" w:hAnsi="Arial" w:cs="Arial"/>
              </w:rPr>
            </w:pPr>
            <w:r w:rsidRPr="00A92FA9">
              <w:rPr>
                <w:rFonts w:ascii="Arial" w:hAnsi="Arial" w:cs="Arial"/>
              </w:rPr>
              <w:t>1201W (SP)</w:t>
            </w:r>
          </w:p>
        </w:tc>
        <w:tc>
          <w:tcPr>
            <w:tcW w:w="1392" w:type="dxa"/>
            <w:shd w:val="clear" w:color="auto" w:fill="auto"/>
            <w:vAlign w:val="center"/>
          </w:tcPr>
          <w:p w:rsidRPr="00A92FA9" w:rsidR="00A92FA9" w:rsidP="00786DE8" w:rsidRDefault="00A92FA9" w14:paraId="7AC928DC" w14:textId="77777777">
            <w:pPr>
              <w:ind w:hanging="720"/>
              <w:jc w:val="right"/>
              <w:rPr>
                <w:rFonts w:ascii="Arial" w:hAnsi="Arial" w:cs="Arial"/>
              </w:rPr>
            </w:pPr>
            <w:r w:rsidRPr="00A92FA9">
              <w:rPr>
                <w:rFonts w:ascii="Arial" w:hAnsi="Arial" w:cs="Arial"/>
              </w:rPr>
              <w:t>210</w:t>
            </w:r>
          </w:p>
        </w:tc>
        <w:tc>
          <w:tcPr>
            <w:tcW w:w="1332" w:type="dxa"/>
            <w:shd w:val="clear" w:color="auto" w:fill="auto"/>
            <w:vAlign w:val="center"/>
          </w:tcPr>
          <w:p w:rsidRPr="00A92FA9" w:rsidR="00A92FA9" w:rsidP="00786DE8" w:rsidRDefault="00A92FA9" w14:paraId="12316FA5" w14:textId="77777777">
            <w:pPr>
              <w:ind w:hanging="720"/>
              <w:jc w:val="right"/>
              <w:rPr>
                <w:rFonts w:ascii="Arial" w:hAnsi="Arial" w:cs="Arial"/>
              </w:rPr>
            </w:pPr>
            <w:r w:rsidRPr="00A92FA9">
              <w:rPr>
                <w:rFonts w:ascii="Arial" w:hAnsi="Arial" w:cs="Arial"/>
              </w:rPr>
              <w:t>1</w:t>
            </w:r>
          </w:p>
        </w:tc>
        <w:tc>
          <w:tcPr>
            <w:tcW w:w="1440" w:type="dxa"/>
            <w:shd w:val="clear" w:color="auto" w:fill="auto"/>
            <w:vAlign w:val="center"/>
          </w:tcPr>
          <w:p w:rsidRPr="00A92FA9" w:rsidR="00A92FA9" w:rsidP="00786DE8" w:rsidRDefault="00A92FA9" w14:paraId="0D94B9D4" w14:textId="77777777">
            <w:pPr>
              <w:jc w:val="right"/>
              <w:rPr>
                <w:rFonts w:ascii="Arial" w:hAnsi="Arial" w:cs="Arial"/>
              </w:rPr>
            </w:pPr>
            <w:r w:rsidRPr="00A92FA9">
              <w:rPr>
                <w:rFonts w:ascii="Arial" w:hAnsi="Arial" w:cs="Arial"/>
              </w:rPr>
              <w:t>210</w:t>
            </w:r>
          </w:p>
        </w:tc>
        <w:tc>
          <w:tcPr>
            <w:tcW w:w="1332" w:type="dxa"/>
            <w:shd w:val="clear" w:color="auto" w:fill="auto"/>
            <w:vAlign w:val="center"/>
          </w:tcPr>
          <w:p w:rsidRPr="00A92FA9" w:rsidR="00A92FA9" w:rsidP="00786DE8" w:rsidRDefault="00A92FA9" w14:paraId="1DA9A5ED" w14:textId="77777777">
            <w:pPr>
              <w:jc w:val="right"/>
              <w:rPr>
                <w:rFonts w:ascii="Arial" w:hAnsi="Arial" w:cs="Arial"/>
              </w:rPr>
            </w:pPr>
            <w:r w:rsidRPr="00A92FA9">
              <w:rPr>
                <w:rFonts w:ascii="Arial" w:hAnsi="Arial" w:cs="Arial"/>
              </w:rPr>
              <w:t>.33</w:t>
            </w:r>
          </w:p>
        </w:tc>
        <w:tc>
          <w:tcPr>
            <w:tcW w:w="1355" w:type="dxa"/>
            <w:shd w:val="clear" w:color="auto" w:fill="auto"/>
            <w:vAlign w:val="center"/>
          </w:tcPr>
          <w:p w:rsidRPr="00A92FA9" w:rsidR="00A92FA9" w:rsidP="00786DE8" w:rsidRDefault="00A92FA9" w14:paraId="104F3983" w14:textId="77777777">
            <w:pPr>
              <w:tabs>
                <w:tab w:val="decimal" w:pos="972"/>
              </w:tabs>
              <w:rPr>
                <w:rFonts w:ascii="Arial" w:hAnsi="Arial" w:cs="Arial"/>
              </w:rPr>
            </w:pPr>
            <w:r w:rsidRPr="00A92FA9">
              <w:rPr>
                <w:rFonts w:ascii="Arial" w:hAnsi="Arial" w:cs="Arial"/>
              </w:rPr>
              <w:t>70</w:t>
            </w:r>
          </w:p>
        </w:tc>
      </w:tr>
      <w:tr w:rsidRPr="00655A86" w:rsidR="00A92FA9" w:rsidTr="005B1731" w14:paraId="642D2F55" w14:textId="77777777">
        <w:trPr>
          <w:trHeight w:val="467"/>
        </w:trPr>
        <w:tc>
          <w:tcPr>
            <w:tcW w:w="1686" w:type="dxa"/>
            <w:vAlign w:val="center"/>
          </w:tcPr>
          <w:p w:rsidRPr="00A92FA9" w:rsidR="00A92FA9" w:rsidP="00786DE8" w:rsidRDefault="00A92FA9" w14:paraId="13C66A96" w14:textId="77777777">
            <w:pPr>
              <w:rPr>
                <w:rFonts w:ascii="Arial" w:hAnsi="Arial" w:cs="Arial"/>
              </w:rPr>
            </w:pPr>
            <w:r w:rsidRPr="00A92FA9">
              <w:rPr>
                <w:rFonts w:ascii="Arial" w:hAnsi="Arial" w:cs="Arial"/>
              </w:rPr>
              <w:t>1201W-DFAS</w:t>
            </w:r>
          </w:p>
        </w:tc>
        <w:tc>
          <w:tcPr>
            <w:tcW w:w="1392" w:type="dxa"/>
            <w:shd w:val="clear" w:color="auto" w:fill="auto"/>
            <w:vAlign w:val="center"/>
          </w:tcPr>
          <w:p w:rsidRPr="00A92FA9" w:rsidR="00A92FA9" w:rsidP="00786DE8" w:rsidRDefault="00A92FA9" w14:paraId="3DF3AC4C" w14:textId="77777777">
            <w:pPr>
              <w:ind w:hanging="720"/>
              <w:jc w:val="right"/>
              <w:rPr>
                <w:rFonts w:ascii="Arial" w:hAnsi="Arial" w:cs="Arial"/>
              </w:rPr>
            </w:pPr>
            <w:r w:rsidRPr="00A92FA9">
              <w:rPr>
                <w:rFonts w:ascii="Arial" w:hAnsi="Arial" w:cs="Arial"/>
              </w:rPr>
              <w:t>250</w:t>
            </w:r>
          </w:p>
        </w:tc>
        <w:tc>
          <w:tcPr>
            <w:tcW w:w="1332" w:type="dxa"/>
            <w:shd w:val="clear" w:color="auto" w:fill="auto"/>
            <w:vAlign w:val="center"/>
          </w:tcPr>
          <w:p w:rsidRPr="00A92FA9" w:rsidR="00A92FA9" w:rsidP="00786DE8" w:rsidRDefault="00A92FA9" w14:paraId="4825B51A" w14:textId="77777777">
            <w:pPr>
              <w:ind w:hanging="720"/>
              <w:jc w:val="right"/>
              <w:rPr>
                <w:rFonts w:ascii="Arial" w:hAnsi="Arial" w:cs="Arial"/>
              </w:rPr>
            </w:pPr>
            <w:r w:rsidRPr="00A92FA9">
              <w:rPr>
                <w:rFonts w:ascii="Arial" w:hAnsi="Arial" w:cs="Arial"/>
              </w:rPr>
              <w:t>1</w:t>
            </w:r>
          </w:p>
        </w:tc>
        <w:tc>
          <w:tcPr>
            <w:tcW w:w="1440" w:type="dxa"/>
            <w:shd w:val="clear" w:color="auto" w:fill="auto"/>
            <w:vAlign w:val="center"/>
          </w:tcPr>
          <w:p w:rsidRPr="00A92FA9" w:rsidR="00A92FA9" w:rsidP="00786DE8" w:rsidRDefault="00A92FA9" w14:paraId="69A189F3" w14:textId="77777777">
            <w:pPr>
              <w:jc w:val="right"/>
              <w:rPr>
                <w:rFonts w:ascii="Arial" w:hAnsi="Arial" w:cs="Arial"/>
              </w:rPr>
            </w:pPr>
            <w:r w:rsidRPr="00A92FA9">
              <w:rPr>
                <w:rFonts w:ascii="Arial" w:hAnsi="Arial" w:cs="Arial"/>
              </w:rPr>
              <w:t>250</w:t>
            </w:r>
          </w:p>
        </w:tc>
        <w:tc>
          <w:tcPr>
            <w:tcW w:w="1332" w:type="dxa"/>
            <w:shd w:val="clear" w:color="auto" w:fill="auto"/>
            <w:vAlign w:val="center"/>
          </w:tcPr>
          <w:p w:rsidRPr="00A92FA9" w:rsidR="00A92FA9" w:rsidP="00786DE8" w:rsidRDefault="00A92FA9" w14:paraId="75361181" w14:textId="77777777">
            <w:pPr>
              <w:jc w:val="right"/>
              <w:rPr>
                <w:rFonts w:ascii="Arial" w:hAnsi="Arial" w:cs="Arial"/>
              </w:rPr>
            </w:pPr>
            <w:r w:rsidRPr="00A92FA9">
              <w:rPr>
                <w:rFonts w:ascii="Arial" w:hAnsi="Arial" w:cs="Arial"/>
              </w:rPr>
              <w:t>.33</w:t>
            </w:r>
          </w:p>
        </w:tc>
        <w:tc>
          <w:tcPr>
            <w:tcW w:w="1355" w:type="dxa"/>
            <w:shd w:val="clear" w:color="auto" w:fill="auto"/>
            <w:vAlign w:val="center"/>
          </w:tcPr>
          <w:p w:rsidRPr="00A92FA9" w:rsidR="00A92FA9" w:rsidP="00786DE8" w:rsidRDefault="00A92FA9" w14:paraId="364A8716" w14:textId="77777777">
            <w:pPr>
              <w:tabs>
                <w:tab w:val="decimal" w:pos="972"/>
              </w:tabs>
              <w:rPr>
                <w:rFonts w:ascii="Arial" w:hAnsi="Arial" w:cs="Arial"/>
              </w:rPr>
            </w:pPr>
            <w:r w:rsidRPr="00A92FA9">
              <w:rPr>
                <w:rFonts w:ascii="Arial" w:hAnsi="Arial" w:cs="Arial"/>
              </w:rPr>
              <w:t>82.5</w:t>
            </w:r>
          </w:p>
        </w:tc>
      </w:tr>
      <w:tr w:rsidRPr="00655A86" w:rsidR="00A92FA9" w:rsidTr="005B1731" w14:paraId="2DFD676B" w14:textId="77777777">
        <w:trPr>
          <w:trHeight w:val="467"/>
        </w:trPr>
        <w:tc>
          <w:tcPr>
            <w:tcW w:w="1686" w:type="dxa"/>
            <w:vAlign w:val="center"/>
          </w:tcPr>
          <w:p w:rsidRPr="00A92FA9" w:rsidR="00A92FA9" w:rsidP="00786DE8" w:rsidRDefault="00A92FA9" w14:paraId="347DAFA3" w14:textId="77777777">
            <w:pPr>
              <w:jc w:val="right"/>
              <w:rPr>
                <w:rFonts w:ascii="Arial" w:hAnsi="Arial" w:cs="Arial"/>
              </w:rPr>
            </w:pPr>
            <w:r>
              <w:rPr>
                <w:rFonts w:ascii="Arial" w:hAnsi="Arial" w:cs="Arial"/>
              </w:rPr>
              <w:t>TOTAL</w:t>
            </w:r>
          </w:p>
        </w:tc>
        <w:tc>
          <w:tcPr>
            <w:tcW w:w="1392" w:type="dxa"/>
            <w:shd w:val="clear" w:color="auto" w:fill="auto"/>
            <w:vAlign w:val="center"/>
          </w:tcPr>
          <w:p w:rsidRPr="00A92FA9" w:rsidR="00A92FA9" w:rsidP="00786DE8" w:rsidRDefault="00A92FA9" w14:paraId="54C7DF4C" w14:textId="77777777">
            <w:pPr>
              <w:ind w:hanging="720"/>
              <w:jc w:val="right"/>
              <w:rPr>
                <w:rFonts w:ascii="Arial" w:hAnsi="Arial" w:cs="Arial"/>
              </w:rPr>
            </w:pPr>
            <w:r w:rsidRPr="00A92FA9">
              <w:rPr>
                <w:rFonts w:ascii="Arial" w:hAnsi="Arial" w:cs="Arial"/>
              </w:rPr>
              <w:t>3,250</w:t>
            </w:r>
          </w:p>
        </w:tc>
        <w:tc>
          <w:tcPr>
            <w:tcW w:w="1332" w:type="dxa"/>
            <w:shd w:val="clear" w:color="auto" w:fill="auto"/>
            <w:vAlign w:val="center"/>
          </w:tcPr>
          <w:p w:rsidRPr="00A92FA9" w:rsidR="00A92FA9" w:rsidP="00786DE8" w:rsidRDefault="00A92FA9" w14:paraId="12CE53B5" w14:textId="77777777">
            <w:pPr>
              <w:ind w:hanging="720"/>
              <w:jc w:val="right"/>
              <w:rPr>
                <w:rFonts w:ascii="Arial" w:hAnsi="Arial" w:cs="Arial"/>
              </w:rPr>
            </w:pPr>
            <w:r w:rsidRPr="00A92FA9">
              <w:rPr>
                <w:rFonts w:ascii="Arial" w:hAnsi="Arial" w:cs="Arial"/>
              </w:rPr>
              <w:t>1</w:t>
            </w:r>
          </w:p>
        </w:tc>
        <w:tc>
          <w:tcPr>
            <w:tcW w:w="1440" w:type="dxa"/>
            <w:shd w:val="clear" w:color="auto" w:fill="auto"/>
            <w:vAlign w:val="center"/>
          </w:tcPr>
          <w:p w:rsidRPr="00A92FA9" w:rsidR="00A92FA9" w:rsidP="00786DE8" w:rsidRDefault="00A92FA9" w14:paraId="106E0C37" w14:textId="77777777">
            <w:pPr>
              <w:jc w:val="right"/>
              <w:rPr>
                <w:rFonts w:ascii="Arial" w:hAnsi="Arial" w:cs="Arial"/>
              </w:rPr>
            </w:pPr>
            <w:r w:rsidRPr="00A92FA9">
              <w:rPr>
                <w:rFonts w:ascii="Arial" w:hAnsi="Arial" w:cs="Arial"/>
              </w:rPr>
              <w:t>3,250</w:t>
            </w:r>
          </w:p>
        </w:tc>
        <w:tc>
          <w:tcPr>
            <w:tcW w:w="1332" w:type="dxa"/>
            <w:shd w:val="clear" w:color="auto" w:fill="auto"/>
            <w:vAlign w:val="center"/>
          </w:tcPr>
          <w:p w:rsidRPr="00A92FA9" w:rsidR="00A92FA9" w:rsidP="00786DE8" w:rsidRDefault="00A92FA9" w14:paraId="68D75C11" w14:textId="77777777">
            <w:pPr>
              <w:jc w:val="right"/>
              <w:rPr>
                <w:rFonts w:ascii="Arial" w:hAnsi="Arial" w:cs="Arial"/>
              </w:rPr>
            </w:pPr>
            <w:r w:rsidRPr="00A92FA9">
              <w:rPr>
                <w:rFonts w:ascii="Arial" w:hAnsi="Arial" w:cs="Arial"/>
              </w:rPr>
              <w:t>.33</w:t>
            </w:r>
          </w:p>
        </w:tc>
        <w:tc>
          <w:tcPr>
            <w:tcW w:w="1355" w:type="dxa"/>
            <w:shd w:val="clear" w:color="auto" w:fill="auto"/>
            <w:vAlign w:val="center"/>
          </w:tcPr>
          <w:p w:rsidRPr="00A92FA9" w:rsidR="00A92FA9" w:rsidP="00786DE8" w:rsidRDefault="00A92FA9" w14:paraId="28F3D9F5" w14:textId="77777777">
            <w:pPr>
              <w:tabs>
                <w:tab w:val="decimal" w:pos="972"/>
              </w:tabs>
              <w:rPr>
                <w:rFonts w:ascii="Arial" w:hAnsi="Arial" w:cs="Arial"/>
              </w:rPr>
            </w:pPr>
            <w:r w:rsidRPr="00A92FA9">
              <w:rPr>
                <w:rFonts w:ascii="Arial" w:hAnsi="Arial" w:cs="Arial"/>
              </w:rPr>
              <w:t>1,082.5</w:t>
            </w:r>
          </w:p>
        </w:tc>
      </w:tr>
    </w:tbl>
    <w:p w:rsidRPr="00CD42EB" w:rsidR="00390445" w:rsidP="00786DE8" w:rsidRDefault="00390445" w14:paraId="6D753E6C" w14:textId="77777777">
      <w:pPr>
        <w:tabs>
          <w:tab w:val="left" w:pos="540"/>
          <w:tab w:val="left" w:pos="720"/>
        </w:tabs>
        <w:ind w:left="540" w:hanging="720"/>
        <w:rPr>
          <w:sz w:val="24"/>
          <w:szCs w:val="24"/>
        </w:rPr>
      </w:pPr>
    </w:p>
    <w:p w:rsidRPr="00CD42EB" w:rsidR="00953580" w:rsidP="00786DE8" w:rsidRDefault="00953580" w14:paraId="45E8AB2C" w14:textId="77777777">
      <w:pPr>
        <w:numPr>
          <w:ilvl w:val="0"/>
          <w:numId w:val="6"/>
        </w:numPr>
        <w:tabs>
          <w:tab w:val="left" w:pos="720"/>
        </w:tabs>
        <w:ind w:hanging="720"/>
        <w:rPr>
          <w:sz w:val="24"/>
          <w:szCs w:val="24"/>
        </w:rPr>
      </w:pPr>
      <w:r w:rsidRPr="00CD42EB">
        <w:rPr>
          <w:b/>
          <w:sz w:val="24"/>
          <w:szCs w:val="24"/>
        </w:rPr>
        <w:t xml:space="preserve">Provide an estimate for the total annual cost burden to respondents or recordkeepers resulting from the collection of information.  </w:t>
      </w:r>
    </w:p>
    <w:p w:rsidRPr="00CD42EB" w:rsidR="00366578" w:rsidP="00786DE8" w:rsidRDefault="00366578" w14:paraId="09FB8D3B" w14:textId="77777777">
      <w:pPr>
        <w:tabs>
          <w:tab w:val="left" w:pos="720"/>
        </w:tabs>
        <w:ind w:left="720" w:hanging="720"/>
        <w:rPr>
          <w:sz w:val="24"/>
          <w:szCs w:val="24"/>
        </w:rPr>
      </w:pPr>
    </w:p>
    <w:p w:rsidRPr="00CD42EB" w:rsidR="00366578" w:rsidP="00160D6D" w:rsidRDefault="004618BF" w14:paraId="1265C689" w14:textId="61DAEA63">
      <w:pPr>
        <w:tabs>
          <w:tab w:val="left" w:pos="720"/>
        </w:tabs>
        <w:ind w:left="720" w:hanging="720"/>
        <w:rPr>
          <w:sz w:val="24"/>
          <w:szCs w:val="24"/>
        </w:rPr>
      </w:pPr>
      <w:r>
        <w:rPr>
          <w:sz w:val="24"/>
          <w:szCs w:val="24"/>
        </w:rPr>
        <w:tab/>
      </w:r>
      <w:r w:rsidRPr="00CD42EB" w:rsidR="00F92F7C">
        <w:rPr>
          <w:sz w:val="24"/>
          <w:szCs w:val="24"/>
        </w:rPr>
        <w:t>It will cost the recipients $</w:t>
      </w:r>
      <w:r w:rsidR="00F92F7C">
        <w:rPr>
          <w:sz w:val="24"/>
          <w:szCs w:val="24"/>
        </w:rPr>
        <w:t>1,</w:t>
      </w:r>
      <w:r w:rsidR="00F92F7C">
        <w:rPr>
          <w:sz w:val="24"/>
          <w:szCs w:val="24"/>
        </w:rPr>
        <w:t>885</w:t>
      </w:r>
      <w:r w:rsidRPr="00CD42EB" w:rsidR="00F92F7C">
        <w:rPr>
          <w:sz w:val="24"/>
          <w:szCs w:val="24"/>
        </w:rPr>
        <w:t xml:space="preserve"> in postage ($.</w:t>
      </w:r>
      <w:r w:rsidR="00F92F7C">
        <w:rPr>
          <w:sz w:val="24"/>
          <w:szCs w:val="24"/>
        </w:rPr>
        <w:t>58</w:t>
      </w:r>
      <w:r w:rsidRPr="00CD42EB" w:rsidR="00F92F7C">
        <w:rPr>
          <w:sz w:val="24"/>
          <w:szCs w:val="24"/>
        </w:rPr>
        <w:t xml:space="preserve"> each) to mail the completed forms to the waiver center in Dallas. </w:t>
      </w:r>
      <w:r w:rsidR="00F92F7C">
        <w:rPr>
          <w:sz w:val="24"/>
          <w:szCs w:val="24"/>
        </w:rPr>
        <w:t xml:space="preserve"> </w:t>
      </w:r>
    </w:p>
    <w:p w:rsidRPr="00CD42EB" w:rsidR="00953580" w:rsidP="00786DE8" w:rsidRDefault="004C5E6B" w14:paraId="657E2ECA" w14:textId="53A80978">
      <w:pPr>
        <w:numPr>
          <w:ilvl w:val="0"/>
          <w:numId w:val="6"/>
        </w:numPr>
        <w:tabs>
          <w:tab w:val="left" w:pos="720"/>
        </w:tabs>
        <w:ind w:hanging="720"/>
        <w:rPr>
          <w:b/>
          <w:sz w:val="24"/>
          <w:szCs w:val="24"/>
        </w:rPr>
      </w:pPr>
      <w:r>
        <w:rPr>
          <w:b/>
          <w:sz w:val="24"/>
          <w:szCs w:val="24"/>
        </w:rPr>
        <w:br w:type="page"/>
      </w:r>
      <w:r w:rsidR="00732E85">
        <w:rPr>
          <w:b/>
          <w:sz w:val="24"/>
          <w:szCs w:val="24"/>
        </w:rPr>
        <w:lastRenderedPageBreak/>
        <w:t>`</w:t>
      </w:r>
      <w:r w:rsidRPr="00CD42EB" w:rsidR="00953580">
        <w:rPr>
          <w:b/>
          <w:sz w:val="24"/>
          <w:szCs w:val="24"/>
        </w:rPr>
        <w:t xml:space="preserve">Provide estimates of annualized costs to the Federal government.  </w:t>
      </w:r>
    </w:p>
    <w:p w:rsidRPr="00CD42EB" w:rsidR="00953580" w:rsidP="00786DE8" w:rsidRDefault="00953580" w14:paraId="34D5DDFD" w14:textId="77777777">
      <w:pPr>
        <w:tabs>
          <w:tab w:val="left" w:pos="720"/>
        </w:tabs>
        <w:ind w:left="720" w:hanging="720"/>
        <w:rPr>
          <w:sz w:val="24"/>
          <w:szCs w:val="24"/>
        </w:rPr>
      </w:pPr>
    </w:p>
    <w:p w:rsidRPr="00CD42EB" w:rsidR="00147E85" w:rsidP="00786DE8" w:rsidRDefault="004618BF" w14:paraId="0BB20E40" w14:textId="3AC16FF4">
      <w:pPr>
        <w:tabs>
          <w:tab w:val="left" w:pos="720"/>
        </w:tabs>
        <w:ind w:left="720" w:hanging="720"/>
        <w:rPr>
          <w:sz w:val="24"/>
          <w:szCs w:val="24"/>
        </w:rPr>
      </w:pPr>
      <w:r>
        <w:rPr>
          <w:sz w:val="24"/>
          <w:szCs w:val="24"/>
        </w:rPr>
        <w:tab/>
      </w:r>
      <w:r w:rsidRPr="00CD42EB" w:rsidR="00147E85">
        <w:rPr>
          <w:sz w:val="24"/>
          <w:szCs w:val="24"/>
        </w:rPr>
        <w:t xml:space="preserve">The costs to administer the waiver process are </w:t>
      </w:r>
      <w:r w:rsidRPr="00CD42EB" w:rsidR="001253FE">
        <w:rPr>
          <w:sz w:val="24"/>
          <w:szCs w:val="24"/>
        </w:rPr>
        <w:t>included in Treasury’s overall reimbursement to the Federal Reserve Bank as a fiscal agent t</w:t>
      </w:r>
      <w:r w:rsidR="00390445">
        <w:rPr>
          <w:sz w:val="24"/>
          <w:szCs w:val="24"/>
        </w:rPr>
        <w:t xml:space="preserve">o operate the Go Direct program is </w:t>
      </w:r>
      <w:r w:rsidRPr="00CD42EB" w:rsidR="00390445">
        <w:rPr>
          <w:sz w:val="24"/>
          <w:szCs w:val="24"/>
        </w:rPr>
        <w:t>$</w:t>
      </w:r>
      <w:r w:rsidR="00390445">
        <w:rPr>
          <w:sz w:val="24"/>
          <w:szCs w:val="24"/>
        </w:rPr>
        <w:t>1</w:t>
      </w:r>
      <w:r w:rsidR="005B1731">
        <w:rPr>
          <w:sz w:val="24"/>
          <w:szCs w:val="24"/>
        </w:rPr>
        <w:t>,</w:t>
      </w:r>
      <w:r w:rsidR="00041A58">
        <w:rPr>
          <w:sz w:val="24"/>
          <w:szCs w:val="24"/>
        </w:rPr>
        <w:t xml:space="preserve">788 </w:t>
      </w:r>
      <w:r w:rsidRPr="00CD42EB" w:rsidR="00390445">
        <w:rPr>
          <w:sz w:val="24"/>
          <w:szCs w:val="24"/>
        </w:rPr>
        <w:t>in postage.</w:t>
      </w:r>
    </w:p>
    <w:p w:rsidRPr="00CD42EB" w:rsidR="00366578" w:rsidP="00786DE8" w:rsidRDefault="00366578" w14:paraId="48D970D6" w14:textId="77777777">
      <w:pPr>
        <w:tabs>
          <w:tab w:val="left" w:pos="720"/>
        </w:tabs>
        <w:ind w:left="720" w:hanging="720"/>
        <w:rPr>
          <w:sz w:val="24"/>
          <w:szCs w:val="24"/>
        </w:rPr>
      </w:pPr>
    </w:p>
    <w:p w:rsidRPr="00CD42EB" w:rsidR="00953580" w:rsidP="00786DE8" w:rsidRDefault="00953580" w14:paraId="58CA9570" w14:textId="77777777">
      <w:pPr>
        <w:numPr>
          <w:ilvl w:val="0"/>
          <w:numId w:val="6"/>
        </w:numPr>
        <w:tabs>
          <w:tab w:val="left" w:pos="720"/>
        </w:tabs>
        <w:ind w:hanging="720"/>
        <w:rPr>
          <w:b/>
          <w:sz w:val="24"/>
          <w:szCs w:val="24"/>
        </w:rPr>
      </w:pPr>
      <w:r w:rsidRPr="00CD42EB">
        <w:rPr>
          <w:b/>
          <w:sz w:val="24"/>
          <w:szCs w:val="24"/>
        </w:rPr>
        <w:t xml:space="preserve">Explain the reasons for any program changes or adjustments. </w:t>
      </w:r>
    </w:p>
    <w:p w:rsidR="00366578" w:rsidP="00786DE8" w:rsidRDefault="00366578" w14:paraId="6ED3BF67" w14:textId="77777777">
      <w:pPr>
        <w:tabs>
          <w:tab w:val="left" w:pos="720"/>
        </w:tabs>
        <w:ind w:left="720" w:hanging="540"/>
        <w:rPr>
          <w:sz w:val="24"/>
          <w:szCs w:val="24"/>
        </w:rPr>
      </w:pPr>
    </w:p>
    <w:p w:rsidRPr="00160D6D" w:rsidR="00786DE8" w:rsidP="00786DE8" w:rsidRDefault="00160D6D" w14:paraId="4C62CAD4" w14:textId="3DE8D7C3">
      <w:pPr>
        <w:tabs>
          <w:tab w:val="left" w:pos="720"/>
        </w:tabs>
        <w:ind w:left="720"/>
        <w:rPr>
          <w:rFonts w:eastAsia="Calibri"/>
          <w:sz w:val="24"/>
          <w:szCs w:val="24"/>
        </w:rPr>
      </w:pPr>
      <w:r w:rsidRPr="00160D6D">
        <w:rPr>
          <w:sz w:val="24"/>
          <w:szCs w:val="24"/>
        </w:rPr>
        <w:t xml:space="preserve">No changes or adjustments </w:t>
      </w:r>
      <w:r w:rsidR="00EE590C">
        <w:rPr>
          <w:sz w:val="24"/>
          <w:szCs w:val="24"/>
        </w:rPr>
        <w:t xml:space="preserve">to the burden </w:t>
      </w:r>
      <w:r w:rsidRPr="00160D6D">
        <w:rPr>
          <w:sz w:val="24"/>
          <w:szCs w:val="24"/>
        </w:rPr>
        <w:t>are reported for this renewal</w:t>
      </w:r>
      <w:r w:rsidRPr="00160D6D" w:rsidR="005B1731">
        <w:rPr>
          <w:rFonts w:eastAsia="Calibri"/>
          <w:sz w:val="24"/>
          <w:szCs w:val="24"/>
        </w:rPr>
        <w:t>.</w:t>
      </w:r>
      <w:r w:rsidRPr="00160D6D" w:rsidR="00786DE8">
        <w:rPr>
          <w:rFonts w:eastAsia="Calibri"/>
          <w:sz w:val="24"/>
          <w:szCs w:val="24"/>
        </w:rPr>
        <w:t xml:space="preserve"> </w:t>
      </w:r>
      <w:r w:rsidR="00EE590C">
        <w:rPr>
          <w:rFonts w:eastAsia="Calibri"/>
          <w:sz w:val="24"/>
          <w:szCs w:val="24"/>
        </w:rPr>
        <w:t>Postage costs have been updated to reflect current rates.</w:t>
      </w:r>
    </w:p>
    <w:p w:rsidRPr="00CD42EB" w:rsidR="004618BF" w:rsidP="00786DE8" w:rsidRDefault="004618BF" w14:paraId="050BFCF6" w14:textId="77777777">
      <w:pPr>
        <w:tabs>
          <w:tab w:val="left" w:pos="540"/>
        </w:tabs>
        <w:ind w:left="720" w:hanging="540"/>
        <w:rPr>
          <w:sz w:val="24"/>
          <w:szCs w:val="24"/>
        </w:rPr>
      </w:pPr>
    </w:p>
    <w:p w:rsidRPr="00CD42EB" w:rsidR="00953580" w:rsidP="005B1731" w:rsidRDefault="00953580" w14:paraId="37F429F5" w14:textId="77777777">
      <w:pPr>
        <w:numPr>
          <w:ilvl w:val="0"/>
          <w:numId w:val="6"/>
        </w:numPr>
        <w:ind w:hanging="720"/>
        <w:rPr>
          <w:b/>
          <w:sz w:val="24"/>
          <w:szCs w:val="24"/>
        </w:rPr>
      </w:pPr>
      <w:r w:rsidRPr="00CD42EB">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CD42EB" w:rsidR="00953580" w:rsidP="005B1731" w:rsidRDefault="00953580" w14:paraId="2CFA6583" w14:textId="77777777">
      <w:pPr>
        <w:tabs>
          <w:tab w:val="left" w:pos="720"/>
        </w:tabs>
        <w:ind w:left="720" w:hanging="720"/>
        <w:rPr>
          <w:sz w:val="24"/>
          <w:szCs w:val="24"/>
        </w:rPr>
      </w:pPr>
    </w:p>
    <w:p w:rsidRPr="00160D6D" w:rsidR="001253FE" w:rsidP="00160D6D" w:rsidRDefault="004618BF" w14:paraId="1D150D56" w14:textId="77777777">
      <w:pPr>
        <w:widowControl w:val="0"/>
        <w:tabs>
          <w:tab w:val="left" w:pos="720"/>
          <w:tab w:val="left" w:pos="3780"/>
          <w:tab w:val="left" w:pos="6030"/>
        </w:tabs>
        <w:suppressAutoHyphens/>
        <w:autoSpaceDE w:val="0"/>
        <w:autoSpaceDN w:val="0"/>
        <w:adjustRightInd w:val="0"/>
        <w:spacing w:line="240" w:lineRule="atLeast"/>
        <w:ind w:left="360"/>
        <w:rPr>
          <w:sz w:val="24"/>
          <w:szCs w:val="24"/>
        </w:rPr>
      </w:pPr>
      <w:r>
        <w:rPr>
          <w:sz w:val="24"/>
          <w:szCs w:val="24"/>
        </w:rPr>
        <w:tab/>
      </w:r>
      <w:r w:rsidRPr="00160D6D" w:rsidR="00160D6D">
        <w:rPr>
          <w:sz w:val="24"/>
          <w:szCs w:val="24"/>
        </w:rPr>
        <w:t>The results of the collection of this information will not be published for statistical use</w:t>
      </w:r>
      <w:r w:rsidRPr="00160D6D" w:rsidR="001253FE">
        <w:rPr>
          <w:sz w:val="24"/>
          <w:szCs w:val="24"/>
        </w:rPr>
        <w:t xml:space="preserve">. </w:t>
      </w:r>
    </w:p>
    <w:p w:rsidRPr="00CD42EB" w:rsidR="00366578" w:rsidP="004618BF" w:rsidRDefault="00366578" w14:paraId="4BAD5F4D" w14:textId="77777777">
      <w:pPr>
        <w:tabs>
          <w:tab w:val="left" w:pos="540"/>
        </w:tabs>
        <w:ind w:left="540" w:hanging="540"/>
        <w:rPr>
          <w:sz w:val="24"/>
          <w:szCs w:val="24"/>
        </w:rPr>
      </w:pPr>
    </w:p>
    <w:p w:rsidRPr="00CD42EB" w:rsidR="00953580" w:rsidP="005B1731" w:rsidRDefault="00953580" w14:paraId="552DFC9D" w14:textId="77777777">
      <w:pPr>
        <w:numPr>
          <w:ilvl w:val="0"/>
          <w:numId w:val="6"/>
        </w:numPr>
        <w:tabs>
          <w:tab w:val="left" w:pos="720"/>
        </w:tabs>
        <w:ind w:hanging="720"/>
        <w:rPr>
          <w:b/>
          <w:sz w:val="24"/>
          <w:szCs w:val="24"/>
        </w:rPr>
      </w:pPr>
      <w:r w:rsidRPr="00CD42EB">
        <w:rPr>
          <w:b/>
          <w:sz w:val="24"/>
          <w:szCs w:val="24"/>
        </w:rPr>
        <w:t>If seeking approval to not display the expiration date for OMB approval of the information collection, explain the reasons that display would be inappropriate.</w:t>
      </w:r>
    </w:p>
    <w:p w:rsidRPr="00CD42EB" w:rsidR="00953580" w:rsidP="005B1731" w:rsidRDefault="00953580" w14:paraId="60410599" w14:textId="77777777">
      <w:pPr>
        <w:tabs>
          <w:tab w:val="left" w:pos="720"/>
        </w:tabs>
        <w:ind w:left="720" w:hanging="720"/>
        <w:rPr>
          <w:sz w:val="24"/>
          <w:szCs w:val="24"/>
        </w:rPr>
      </w:pPr>
      <w:r w:rsidRPr="00CD42EB">
        <w:rPr>
          <w:sz w:val="24"/>
          <w:szCs w:val="24"/>
        </w:rPr>
        <w:t xml:space="preserve"> </w:t>
      </w:r>
    </w:p>
    <w:p w:rsidRPr="00CD42EB" w:rsidR="001253FE" w:rsidP="005B1731" w:rsidRDefault="005B1731" w14:paraId="3980B45F" w14:textId="77777777">
      <w:pPr>
        <w:tabs>
          <w:tab w:val="left" w:pos="720"/>
        </w:tabs>
        <w:ind w:left="720" w:hanging="720"/>
        <w:rPr>
          <w:sz w:val="24"/>
          <w:szCs w:val="24"/>
        </w:rPr>
      </w:pPr>
      <w:r>
        <w:rPr>
          <w:sz w:val="24"/>
          <w:szCs w:val="24"/>
        </w:rPr>
        <w:tab/>
      </w:r>
      <w:r w:rsidR="00D671AC">
        <w:rPr>
          <w:sz w:val="24"/>
          <w:szCs w:val="24"/>
        </w:rPr>
        <w:t>We are seeking approval not to display the expiration date of the OMB approval.  Identifying this date may cause confusion with the respondent on when form must be submitted to the bureau for consideration; as well as multiple printings of the form may reflect conflicting dates if older stock is retained for distribution.</w:t>
      </w:r>
    </w:p>
    <w:p w:rsidRPr="00CD42EB" w:rsidR="00366578" w:rsidP="005B1731" w:rsidRDefault="00366578" w14:paraId="199468AC" w14:textId="77777777">
      <w:pPr>
        <w:tabs>
          <w:tab w:val="left" w:pos="720"/>
        </w:tabs>
        <w:ind w:left="720" w:hanging="720"/>
        <w:rPr>
          <w:sz w:val="24"/>
          <w:szCs w:val="24"/>
        </w:rPr>
      </w:pPr>
    </w:p>
    <w:p w:rsidRPr="00CD42EB" w:rsidR="00953580" w:rsidP="005B1731" w:rsidRDefault="00953580" w14:paraId="6D803EE3" w14:textId="77777777">
      <w:pPr>
        <w:numPr>
          <w:ilvl w:val="0"/>
          <w:numId w:val="6"/>
        </w:numPr>
        <w:tabs>
          <w:tab w:val="left" w:pos="720"/>
        </w:tabs>
        <w:ind w:hanging="720"/>
        <w:rPr>
          <w:b/>
          <w:sz w:val="24"/>
          <w:szCs w:val="24"/>
        </w:rPr>
      </w:pPr>
      <w:r w:rsidRPr="00CD42EB">
        <w:rPr>
          <w:b/>
          <w:sz w:val="24"/>
          <w:szCs w:val="24"/>
        </w:rPr>
        <w:t>Explain each exception to the certification statement.</w:t>
      </w:r>
    </w:p>
    <w:p w:rsidR="00390445" w:rsidP="005B1731" w:rsidRDefault="00390445" w14:paraId="6BF97157" w14:textId="77777777">
      <w:pPr>
        <w:tabs>
          <w:tab w:val="left" w:pos="720"/>
        </w:tabs>
        <w:ind w:left="720" w:hanging="720"/>
        <w:rPr>
          <w:sz w:val="24"/>
          <w:szCs w:val="24"/>
        </w:rPr>
      </w:pPr>
    </w:p>
    <w:p w:rsidRPr="00160D6D" w:rsidR="00160D6D" w:rsidP="00160D6D" w:rsidRDefault="00390445" w14:paraId="5B7DFF94" w14:textId="77777777">
      <w:pPr>
        <w:ind w:left="360"/>
        <w:rPr>
          <w:b/>
          <w:bCs/>
          <w:sz w:val="24"/>
          <w:szCs w:val="24"/>
        </w:rPr>
      </w:pPr>
      <w:r>
        <w:rPr>
          <w:sz w:val="24"/>
          <w:szCs w:val="24"/>
        </w:rPr>
        <w:tab/>
      </w:r>
      <w:r w:rsidRPr="00160D6D" w:rsidR="00160D6D">
        <w:rPr>
          <w:bCs/>
          <w:sz w:val="24"/>
          <w:szCs w:val="24"/>
        </w:rPr>
        <w:t>There are no exceptions to the certification statement.</w:t>
      </w:r>
    </w:p>
    <w:p w:rsidRPr="00CD42EB" w:rsidR="009D2A7E" w:rsidP="005B1731" w:rsidRDefault="009D2A7E" w14:paraId="0BC2BD0A" w14:textId="77777777">
      <w:pPr>
        <w:tabs>
          <w:tab w:val="left" w:pos="720"/>
        </w:tabs>
        <w:ind w:left="720" w:hanging="720"/>
        <w:rPr>
          <w:sz w:val="24"/>
          <w:szCs w:val="24"/>
        </w:rPr>
      </w:pPr>
    </w:p>
    <w:p w:rsidR="00366578" w:rsidP="004618BF" w:rsidRDefault="00366578" w14:paraId="48DAEE2B" w14:textId="77777777">
      <w:pPr>
        <w:tabs>
          <w:tab w:val="left" w:pos="540"/>
        </w:tabs>
        <w:ind w:left="540" w:hanging="540"/>
        <w:rPr>
          <w:sz w:val="24"/>
          <w:szCs w:val="24"/>
        </w:rPr>
      </w:pPr>
    </w:p>
    <w:p w:rsidRPr="00CD42EB" w:rsidR="005B1731" w:rsidP="004618BF" w:rsidRDefault="005B1731" w14:paraId="11EFB0AE" w14:textId="77777777">
      <w:pPr>
        <w:tabs>
          <w:tab w:val="left" w:pos="540"/>
        </w:tabs>
        <w:ind w:left="540" w:hanging="540"/>
        <w:rPr>
          <w:sz w:val="24"/>
          <w:szCs w:val="24"/>
        </w:rPr>
      </w:pPr>
    </w:p>
    <w:p w:rsidRPr="00CD42EB" w:rsidR="00953580" w:rsidP="004618BF" w:rsidRDefault="00953580" w14:paraId="3359BA82" w14:textId="77777777">
      <w:pPr>
        <w:tabs>
          <w:tab w:val="left" w:pos="540"/>
        </w:tabs>
        <w:ind w:left="540" w:hanging="540"/>
        <w:rPr>
          <w:sz w:val="24"/>
          <w:szCs w:val="24"/>
        </w:rPr>
      </w:pPr>
      <w:r w:rsidRPr="00CD42EB">
        <w:rPr>
          <w:b/>
          <w:sz w:val="24"/>
          <w:szCs w:val="24"/>
        </w:rPr>
        <w:t xml:space="preserve">B.  </w:t>
      </w:r>
      <w:r w:rsidRPr="00CD42EB">
        <w:rPr>
          <w:b/>
          <w:sz w:val="24"/>
          <w:szCs w:val="24"/>
          <w:u w:val="single"/>
        </w:rPr>
        <w:t>Collections of Information Employing Statistical Methods</w:t>
      </w:r>
      <w:r w:rsidRPr="00CD42EB">
        <w:rPr>
          <w:b/>
          <w:sz w:val="24"/>
          <w:szCs w:val="24"/>
        </w:rPr>
        <w:t xml:space="preserve"> </w:t>
      </w:r>
    </w:p>
    <w:p w:rsidRPr="00CD42EB" w:rsidR="00953580" w:rsidP="004618BF" w:rsidRDefault="00953580" w14:paraId="1454E904" w14:textId="77777777">
      <w:pPr>
        <w:tabs>
          <w:tab w:val="left" w:pos="540"/>
        </w:tabs>
        <w:ind w:left="540" w:hanging="540"/>
        <w:rPr>
          <w:b/>
          <w:sz w:val="24"/>
          <w:szCs w:val="24"/>
        </w:rPr>
      </w:pPr>
    </w:p>
    <w:p w:rsidRPr="00410FBD" w:rsidR="009D2A7E" w:rsidP="004618BF" w:rsidRDefault="009D2A7E" w14:paraId="187C057D" w14:textId="77777777">
      <w:pPr>
        <w:tabs>
          <w:tab w:val="left" w:pos="540"/>
        </w:tabs>
        <w:ind w:left="540" w:hanging="540"/>
      </w:pPr>
      <w:r w:rsidRPr="00410FBD">
        <w:rPr>
          <w:sz w:val="24"/>
          <w:szCs w:val="24"/>
        </w:rPr>
        <w:t>No statistical methods are being employed for this collection of in</w:t>
      </w:r>
      <w:r w:rsidRPr="000E0EDD">
        <w:rPr>
          <w:sz w:val="24"/>
          <w:szCs w:val="24"/>
        </w:rPr>
        <w:t>formation.</w:t>
      </w:r>
      <w:r w:rsidRPr="00410FBD">
        <w:t xml:space="preserve"> </w:t>
      </w:r>
    </w:p>
    <w:sectPr w:rsidRPr="00410FBD" w:rsidR="009D2A7E" w:rsidSect="004618BF">
      <w:footerReference w:type="default" r:id="rId7"/>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CBECEC" w14:textId="77777777" w:rsidR="00361CE1" w:rsidRDefault="00361CE1" w:rsidP="004618BF">
      <w:r>
        <w:separator/>
      </w:r>
    </w:p>
  </w:endnote>
  <w:endnote w:type="continuationSeparator" w:id="0">
    <w:p w14:paraId="37BEC4DC" w14:textId="77777777" w:rsidR="00361CE1" w:rsidRDefault="00361CE1" w:rsidP="00461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A3DF9" w14:textId="77777777" w:rsidR="004618BF" w:rsidRPr="00D671AC" w:rsidRDefault="004618BF">
    <w:pPr>
      <w:pStyle w:val="Footer"/>
      <w:jc w:val="right"/>
      <w:rPr>
        <w:sz w:val="24"/>
        <w:szCs w:val="24"/>
      </w:rPr>
    </w:pPr>
    <w:r w:rsidRPr="00D671AC">
      <w:rPr>
        <w:sz w:val="24"/>
        <w:szCs w:val="24"/>
      </w:rPr>
      <w:fldChar w:fldCharType="begin"/>
    </w:r>
    <w:r w:rsidRPr="00D671AC">
      <w:rPr>
        <w:sz w:val="24"/>
        <w:szCs w:val="24"/>
      </w:rPr>
      <w:instrText xml:space="preserve"> PAGE   \* MERGEFORMAT </w:instrText>
    </w:r>
    <w:r w:rsidRPr="00D671AC">
      <w:rPr>
        <w:sz w:val="24"/>
        <w:szCs w:val="24"/>
      </w:rPr>
      <w:fldChar w:fldCharType="separate"/>
    </w:r>
    <w:r w:rsidR="00A45EED">
      <w:rPr>
        <w:noProof/>
        <w:sz w:val="24"/>
        <w:szCs w:val="24"/>
      </w:rPr>
      <w:t>3</w:t>
    </w:r>
    <w:r w:rsidRPr="00D671AC">
      <w:rPr>
        <w:noProof/>
        <w:sz w:val="24"/>
        <w:szCs w:val="24"/>
      </w:rPr>
      <w:fldChar w:fldCharType="end"/>
    </w:r>
  </w:p>
  <w:p w14:paraId="4CC82E0E" w14:textId="77777777" w:rsidR="004618BF" w:rsidRDefault="00461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EB4760" w14:textId="77777777" w:rsidR="00361CE1" w:rsidRDefault="00361CE1" w:rsidP="004618BF">
      <w:r>
        <w:separator/>
      </w:r>
    </w:p>
  </w:footnote>
  <w:footnote w:type="continuationSeparator" w:id="0">
    <w:p w14:paraId="1192AA2C" w14:textId="77777777" w:rsidR="00361CE1" w:rsidRDefault="00361CE1" w:rsidP="004618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40B9C"/>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1" w15:restartNumberingAfterBreak="0">
    <w:nsid w:val="075A30C4"/>
    <w:multiLevelType w:val="singleLevel"/>
    <w:tmpl w:val="F81C1700"/>
    <w:lvl w:ilvl="0">
      <w:start w:val="1"/>
      <w:numFmt w:val="decimal"/>
      <w:lvlText w:val="%1."/>
      <w:lvlJc w:val="left"/>
      <w:pPr>
        <w:tabs>
          <w:tab w:val="num" w:pos="720"/>
        </w:tabs>
        <w:ind w:left="720" w:hanging="360"/>
      </w:pPr>
      <w:rPr>
        <w:rFonts w:hint="default"/>
      </w:rPr>
    </w:lvl>
  </w:abstractNum>
  <w:abstractNum w:abstractNumId="2" w15:restartNumberingAfterBreak="0">
    <w:nsid w:val="2A8A291F"/>
    <w:multiLevelType w:val="hybridMultilevel"/>
    <w:tmpl w:val="282EC3BE"/>
    <w:lvl w:ilvl="0" w:tplc="9C54B3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F635E4"/>
    <w:multiLevelType w:val="hybridMultilevel"/>
    <w:tmpl w:val="217AD0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9F0523"/>
    <w:multiLevelType w:val="singleLevel"/>
    <w:tmpl w:val="A1AA8A80"/>
    <w:lvl w:ilvl="0">
      <w:start w:val="1"/>
      <w:numFmt w:val="upperLetter"/>
      <w:lvlText w:val="%1."/>
      <w:lvlJc w:val="left"/>
      <w:pPr>
        <w:tabs>
          <w:tab w:val="num" w:pos="720"/>
        </w:tabs>
        <w:ind w:left="720" w:hanging="360"/>
      </w:pPr>
      <w:rPr>
        <w:rFonts w:hint="default"/>
        <w:b/>
      </w:rPr>
    </w:lvl>
  </w:abstractNum>
  <w:abstractNum w:abstractNumId="5" w15:restartNumberingAfterBreak="0">
    <w:nsid w:val="7A393A62"/>
    <w:multiLevelType w:val="singleLevel"/>
    <w:tmpl w:val="E8F46264"/>
    <w:lvl w:ilvl="0">
      <w:start w:val="1"/>
      <w:numFmt w:val="upperLetter"/>
      <w:lvlText w:val="(%1)"/>
      <w:lvlJc w:val="left"/>
      <w:pPr>
        <w:tabs>
          <w:tab w:val="num" w:pos="1800"/>
        </w:tabs>
        <w:ind w:left="1800" w:hanging="360"/>
      </w:pPr>
      <w:rPr>
        <w:rFonts w:hint="default"/>
      </w:r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24B"/>
    <w:rsid w:val="00014F4F"/>
    <w:rsid w:val="00041A58"/>
    <w:rsid w:val="00063896"/>
    <w:rsid w:val="0008154F"/>
    <w:rsid w:val="000A0DE0"/>
    <w:rsid w:val="000E0EDD"/>
    <w:rsid w:val="001152DE"/>
    <w:rsid w:val="001253FE"/>
    <w:rsid w:val="00147E85"/>
    <w:rsid w:val="00160D6D"/>
    <w:rsid w:val="0018536D"/>
    <w:rsid w:val="00192F50"/>
    <w:rsid w:val="001A5052"/>
    <w:rsid w:val="001B04E2"/>
    <w:rsid w:val="001E7702"/>
    <w:rsid w:val="00222AD5"/>
    <w:rsid w:val="00226343"/>
    <w:rsid w:val="00267688"/>
    <w:rsid w:val="00286EEF"/>
    <w:rsid w:val="00287C73"/>
    <w:rsid w:val="002B3282"/>
    <w:rsid w:val="002C41A4"/>
    <w:rsid w:val="00301FE2"/>
    <w:rsid w:val="0030724B"/>
    <w:rsid w:val="00330BFC"/>
    <w:rsid w:val="00360930"/>
    <w:rsid w:val="00361CE1"/>
    <w:rsid w:val="00361E70"/>
    <w:rsid w:val="00363FAD"/>
    <w:rsid w:val="00366578"/>
    <w:rsid w:val="00390445"/>
    <w:rsid w:val="003B738C"/>
    <w:rsid w:val="003E2AF3"/>
    <w:rsid w:val="00410FBD"/>
    <w:rsid w:val="00425290"/>
    <w:rsid w:val="00447835"/>
    <w:rsid w:val="00455926"/>
    <w:rsid w:val="004618BF"/>
    <w:rsid w:val="00487133"/>
    <w:rsid w:val="004A16EE"/>
    <w:rsid w:val="004C1C3A"/>
    <w:rsid w:val="004C5E6B"/>
    <w:rsid w:val="00515805"/>
    <w:rsid w:val="005B1731"/>
    <w:rsid w:val="005C7CE9"/>
    <w:rsid w:val="00604F46"/>
    <w:rsid w:val="00643EF0"/>
    <w:rsid w:val="00655A86"/>
    <w:rsid w:val="0067371B"/>
    <w:rsid w:val="006B4CEA"/>
    <w:rsid w:val="00732240"/>
    <w:rsid w:val="00732E85"/>
    <w:rsid w:val="00775D6B"/>
    <w:rsid w:val="007839D3"/>
    <w:rsid w:val="007851F6"/>
    <w:rsid w:val="00786DE8"/>
    <w:rsid w:val="007F7C94"/>
    <w:rsid w:val="00845E84"/>
    <w:rsid w:val="008511B0"/>
    <w:rsid w:val="008B3101"/>
    <w:rsid w:val="008D1221"/>
    <w:rsid w:val="008D1717"/>
    <w:rsid w:val="00931B77"/>
    <w:rsid w:val="00935039"/>
    <w:rsid w:val="00953580"/>
    <w:rsid w:val="00973DB9"/>
    <w:rsid w:val="009D2A7E"/>
    <w:rsid w:val="009F0DA8"/>
    <w:rsid w:val="00A23066"/>
    <w:rsid w:val="00A45EED"/>
    <w:rsid w:val="00A57AC8"/>
    <w:rsid w:val="00A632BC"/>
    <w:rsid w:val="00A92FA9"/>
    <w:rsid w:val="00AA7175"/>
    <w:rsid w:val="00AB2906"/>
    <w:rsid w:val="00AD373A"/>
    <w:rsid w:val="00B96E72"/>
    <w:rsid w:val="00BA56AD"/>
    <w:rsid w:val="00C10CAA"/>
    <w:rsid w:val="00C21791"/>
    <w:rsid w:val="00C33C68"/>
    <w:rsid w:val="00CA3ADD"/>
    <w:rsid w:val="00CD42EB"/>
    <w:rsid w:val="00D0698A"/>
    <w:rsid w:val="00D262E5"/>
    <w:rsid w:val="00D64CE8"/>
    <w:rsid w:val="00D671AC"/>
    <w:rsid w:val="00DB6F72"/>
    <w:rsid w:val="00DD0E73"/>
    <w:rsid w:val="00E05F27"/>
    <w:rsid w:val="00E205BD"/>
    <w:rsid w:val="00E753F4"/>
    <w:rsid w:val="00EA5D67"/>
    <w:rsid w:val="00EA65A8"/>
    <w:rsid w:val="00ED040B"/>
    <w:rsid w:val="00ED08AB"/>
    <w:rsid w:val="00EE590C"/>
    <w:rsid w:val="00F02590"/>
    <w:rsid w:val="00F26537"/>
    <w:rsid w:val="00F27AEE"/>
    <w:rsid w:val="00F351C7"/>
    <w:rsid w:val="00F357BD"/>
    <w:rsid w:val="00F51535"/>
    <w:rsid w:val="00F92F7C"/>
    <w:rsid w:val="00FD0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A1C55B"/>
  <w15:chartTrackingRefBased/>
  <w15:docId w15:val="{C52BF6C1-1B8F-4DEF-AC81-3E79DAFC0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rPr>
      <w:b/>
    </w:rPr>
  </w:style>
  <w:style w:type="paragraph" w:styleId="BodyTextIndent">
    <w:name w:val="Body Text Indent"/>
    <w:basedOn w:val="Normal"/>
    <w:pPr>
      <w:ind w:left="360"/>
    </w:pPr>
  </w:style>
  <w:style w:type="character" w:styleId="CommentReference">
    <w:name w:val="annotation reference"/>
    <w:semiHidden/>
    <w:rsid w:val="00AB2906"/>
    <w:rPr>
      <w:sz w:val="16"/>
      <w:szCs w:val="16"/>
    </w:rPr>
  </w:style>
  <w:style w:type="paragraph" w:styleId="CommentText">
    <w:name w:val="annotation text"/>
    <w:basedOn w:val="Normal"/>
    <w:semiHidden/>
    <w:rsid w:val="00AB2906"/>
  </w:style>
  <w:style w:type="paragraph" w:styleId="CommentSubject">
    <w:name w:val="annotation subject"/>
    <w:basedOn w:val="CommentText"/>
    <w:next w:val="CommentText"/>
    <w:semiHidden/>
    <w:rsid w:val="00AB2906"/>
    <w:rPr>
      <w:b/>
      <w:bCs/>
    </w:rPr>
  </w:style>
  <w:style w:type="paragraph" w:styleId="BalloonText">
    <w:name w:val="Balloon Text"/>
    <w:basedOn w:val="Normal"/>
    <w:semiHidden/>
    <w:rsid w:val="00AB2906"/>
    <w:rPr>
      <w:rFonts w:ascii="Tahoma" w:hAnsi="Tahoma" w:cs="Tahoma"/>
      <w:sz w:val="16"/>
      <w:szCs w:val="16"/>
    </w:rPr>
  </w:style>
  <w:style w:type="paragraph" w:styleId="Header">
    <w:name w:val="header"/>
    <w:basedOn w:val="Normal"/>
    <w:link w:val="HeaderChar"/>
    <w:rsid w:val="004618BF"/>
    <w:pPr>
      <w:tabs>
        <w:tab w:val="center" w:pos="4680"/>
        <w:tab w:val="right" w:pos="9360"/>
      </w:tabs>
    </w:pPr>
  </w:style>
  <w:style w:type="character" w:customStyle="1" w:styleId="HeaderChar">
    <w:name w:val="Header Char"/>
    <w:basedOn w:val="DefaultParagraphFont"/>
    <w:link w:val="Header"/>
    <w:rsid w:val="004618BF"/>
  </w:style>
  <w:style w:type="paragraph" w:styleId="Footer">
    <w:name w:val="footer"/>
    <w:basedOn w:val="Normal"/>
    <w:link w:val="FooterChar"/>
    <w:uiPriority w:val="99"/>
    <w:rsid w:val="004618BF"/>
    <w:pPr>
      <w:tabs>
        <w:tab w:val="center" w:pos="4680"/>
        <w:tab w:val="right" w:pos="9360"/>
      </w:tabs>
    </w:pPr>
  </w:style>
  <w:style w:type="character" w:customStyle="1" w:styleId="FooterChar">
    <w:name w:val="Footer Char"/>
    <w:basedOn w:val="DefaultParagraphFont"/>
    <w:link w:val="Footer"/>
    <w:uiPriority w:val="99"/>
    <w:rsid w:val="004618BF"/>
  </w:style>
  <w:style w:type="table" w:styleId="TableGrid">
    <w:name w:val="Table Grid"/>
    <w:basedOn w:val="TableNormal"/>
    <w:rsid w:val="00390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B1731"/>
    <w:rPr>
      <w:color w:val="0000FF"/>
      <w:u w:val="single"/>
    </w:rPr>
  </w:style>
  <w:style w:type="character" w:styleId="UnresolvedMention">
    <w:name w:val="Unresolved Mention"/>
    <w:uiPriority w:val="99"/>
    <w:semiHidden/>
    <w:unhideWhenUsed/>
    <w:rsid w:val="00063896"/>
    <w:rPr>
      <w:color w:val="808080"/>
      <w:shd w:val="clear" w:color="auto" w:fill="E6E6E6"/>
    </w:rPr>
  </w:style>
  <w:style w:type="character" w:styleId="FollowedHyperlink">
    <w:name w:val="FollowedHyperlink"/>
    <w:basedOn w:val="DefaultParagraphFont"/>
    <w:rsid w:val="000A0D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1343</Words>
  <Characters>7341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FMS</Company>
  <LinksUpToDate>false</LinksUpToDate>
  <CharactersWithSpaces>8667</CharactersWithSpaces>
  <SharedDoc>false</SharedDoc>
  <HLinks>
    <vt:vector size="6" baseType="variant">
      <vt:variant>
        <vt:i4>7274528</vt:i4>
      </vt:variant>
      <vt:variant>
        <vt:i4>0</vt:i4>
      </vt:variant>
      <vt:variant>
        <vt:i4>0</vt:i4>
      </vt:variant>
      <vt:variant>
        <vt:i4>5</vt:i4>
      </vt:variant>
      <vt:variant>
        <vt:lpwstr>https://www.fiscal.treasury.gov/fsreports/rpt/fspia/PPSPIA.pdf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cbrice</dc:creator>
  <cp:keywords/>
  <cp:lastModifiedBy>Clark, Spencer</cp:lastModifiedBy>
  <cp:revision>3</cp:revision>
  <cp:lastPrinted>2015-07-21T18:48:00Z</cp:lastPrinted>
  <dcterms:created xsi:type="dcterms:W3CDTF">2021-12-27T17:04:00Z</dcterms:created>
  <dcterms:modified xsi:type="dcterms:W3CDTF">2021-12-27T17:05:00Z</dcterms:modified>
</cp:coreProperties>
</file>