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278D9" w:rsidR="00321C69" w:rsidP="008865EF" w:rsidRDefault="00721EB2" w14:paraId="75B38EB4" w14:textId="77777777">
      <w:pPr>
        <w:tabs>
          <w:tab w:val="center" w:pos="4680"/>
        </w:tabs>
        <w:jc w:val="center"/>
        <w:rPr>
          <w:rFonts w:ascii="Arial" w:hAnsi="Arial" w:cs="Arial"/>
          <w:b/>
          <w:bCs/>
        </w:rPr>
      </w:pPr>
      <w:r w:rsidRPr="00E278D9">
        <w:rPr>
          <w:rFonts w:ascii="Arial" w:hAnsi="Arial" w:cs="Arial"/>
          <w:b/>
          <w:bCs/>
        </w:rPr>
        <w:t>SUPPORTING STATEMENT</w:t>
      </w:r>
    </w:p>
    <w:p w:rsidRPr="00E278D9" w:rsidR="00E826F2" w:rsidP="00321C69" w:rsidRDefault="00E826F2" w14:paraId="04767B71" w14:textId="77777777">
      <w:pPr>
        <w:jc w:val="center"/>
        <w:rPr>
          <w:rFonts w:ascii="Arial" w:hAnsi="Arial" w:cs="Arial"/>
          <w:b/>
          <w:bCs/>
        </w:rPr>
      </w:pPr>
      <w:r w:rsidRPr="00E278D9">
        <w:rPr>
          <w:rFonts w:ascii="Arial" w:hAnsi="Arial" w:cs="Arial"/>
          <w:b/>
          <w:bCs/>
        </w:rPr>
        <w:t>Internal Revenue Service</w:t>
      </w:r>
    </w:p>
    <w:p w:rsidR="004F6ECA" w:rsidP="00321C69" w:rsidRDefault="00E94418" w14:paraId="7124E40E" w14:textId="7653A0C9">
      <w:pPr>
        <w:jc w:val="center"/>
        <w:rPr>
          <w:rFonts w:ascii="Arial" w:hAnsi="Arial" w:cs="Arial"/>
          <w:bCs/>
        </w:rPr>
      </w:pPr>
      <w:r>
        <w:rPr>
          <w:rFonts w:ascii="Arial" w:hAnsi="Arial" w:cs="Arial"/>
          <w:bCs/>
        </w:rPr>
        <w:t>Provisional Foreign Tax Credit Agreement</w:t>
      </w:r>
    </w:p>
    <w:p w:rsidRPr="00E278D9" w:rsidR="00721EB2" w:rsidP="00321C69" w:rsidRDefault="00321C69" w14:paraId="195EFE60" w14:textId="48B2EBA9">
      <w:pPr>
        <w:jc w:val="center"/>
        <w:rPr>
          <w:rFonts w:ascii="Arial" w:hAnsi="Arial" w:cs="Arial"/>
          <w:b/>
          <w:bCs/>
        </w:rPr>
      </w:pPr>
      <w:r w:rsidRPr="00E278D9">
        <w:rPr>
          <w:rFonts w:ascii="Arial" w:hAnsi="Arial" w:cs="Arial"/>
          <w:bCs/>
        </w:rPr>
        <w:t>OMB #</w:t>
      </w:r>
      <w:r w:rsidRPr="00E278D9">
        <w:rPr>
          <w:rFonts w:ascii="Arial" w:hAnsi="Arial" w:cs="Arial"/>
          <w:b/>
          <w:bCs/>
        </w:rPr>
        <w:t xml:space="preserve"> 1545-</w:t>
      </w:r>
      <w:r w:rsidR="00255828">
        <w:rPr>
          <w:rFonts w:ascii="Arial" w:hAnsi="Arial" w:cs="Arial"/>
          <w:b/>
          <w:bCs/>
        </w:rPr>
        <w:t>2296</w:t>
      </w:r>
    </w:p>
    <w:p w:rsidRPr="00E278D9" w:rsidR="00721EB2" w:rsidRDefault="00721EB2" w14:paraId="6C5156CE" w14:textId="77777777">
      <w:pPr>
        <w:rPr>
          <w:rFonts w:ascii="Arial" w:hAnsi="Arial" w:cs="Arial"/>
          <w:b/>
          <w:bCs/>
        </w:rPr>
      </w:pPr>
    </w:p>
    <w:p w:rsidRPr="00E278D9" w:rsidR="00721EB2" w:rsidRDefault="00721EB2" w14:paraId="077C03F1" w14:textId="77777777">
      <w:pPr>
        <w:pStyle w:val="Level1"/>
        <w:tabs>
          <w:tab w:val="left" w:pos="-1440"/>
          <w:tab w:val="num" w:pos="720"/>
        </w:tabs>
        <w:rPr>
          <w:rFonts w:ascii="Arial" w:hAnsi="Arial" w:cs="Arial"/>
          <w:b/>
        </w:rPr>
      </w:pPr>
      <w:r w:rsidRPr="00E278D9">
        <w:rPr>
          <w:rFonts w:ascii="Arial" w:hAnsi="Arial" w:cs="Arial"/>
          <w:b/>
          <w:u w:val="single"/>
        </w:rPr>
        <w:t>CIRCUMSTANCES NECESSITATING COLLECTION OF INFORMATION</w:t>
      </w:r>
    </w:p>
    <w:p w:rsidRPr="00E278D9" w:rsidR="00721EB2" w:rsidRDefault="00721EB2" w14:paraId="3BAFE5A1" w14:textId="77777777">
      <w:pPr>
        <w:rPr>
          <w:rFonts w:ascii="Arial" w:hAnsi="Arial" w:cs="Arial"/>
          <w:b/>
        </w:rPr>
      </w:pPr>
    </w:p>
    <w:p w:rsidR="00017F27" w:rsidP="00A87EC0" w:rsidRDefault="00E94418" w14:paraId="1D72C502" w14:textId="3F2901CB">
      <w:pPr>
        <w:ind w:left="720"/>
        <w:rPr>
          <w:rFonts w:ascii="Arial" w:hAnsi="Arial" w:cs="Arial"/>
        </w:rPr>
      </w:pPr>
      <w:r>
        <w:rPr>
          <w:rFonts w:ascii="Arial" w:hAnsi="Arial" w:cs="Arial"/>
        </w:rPr>
        <w:t>Section</w:t>
      </w:r>
      <w:r w:rsidR="00017F27">
        <w:rPr>
          <w:rFonts w:ascii="Arial" w:hAnsi="Arial" w:cs="Arial"/>
        </w:rPr>
        <w:t>s</w:t>
      </w:r>
      <w:r>
        <w:rPr>
          <w:rFonts w:ascii="Arial" w:hAnsi="Arial" w:cs="Arial"/>
        </w:rPr>
        <w:t xml:space="preserve"> 901</w:t>
      </w:r>
      <w:r w:rsidR="00017F27">
        <w:rPr>
          <w:rFonts w:ascii="Arial" w:hAnsi="Arial" w:cs="Arial"/>
        </w:rPr>
        <w:t xml:space="preserve"> and 905</w:t>
      </w:r>
      <w:r>
        <w:rPr>
          <w:rFonts w:ascii="Arial" w:hAnsi="Arial" w:cs="Arial"/>
        </w:rPr>
        <w:t xml:space="preserve"> allow a taxpayer to claim a foreign tax credit for foreign income taxes paid or accrued in a taxable year, depending on taxpayer’s method of accounting for such taxes.  </w:t>
      </w:r>
      <w:r w:rsidR="00017F27">
        <w:rPr>
          <w:rFonts w:ascii="Arial" w:hAnsi="Arial" w:cs="Arial"/>
        </w:rPr>
        <w:t>However, r</w:t>
      </w:r>
      <w:r w:rsidRPr="00017F27" w:rsidR="00017F27">
        <w:rPr>
          <w:rFonts w:ascii="Arial" w:hAnsi="Arial" w:cs="Arial"/>
        </w:rPr>
        <w:t xml:space="preserve">egardless of the year in which the credit is </w:t>
      </w:r>
      <w:r w:rsidR="00017F27">
        <w:rPr>
          <w:rFonts w:ascii="Arial" w:hAnsi="Arial" w:cs="Arial"/>
        </w:rPr>
        <w:t>allowed</w:t>
      </w:r>
      <w:r w:rsidRPr="00017F27" w:rsidR="00017F27">
        <w:rPr>
          <w:rFonts w:ascii="Arial" w:hAnsi="Arial" w:cs="Arial"/>
        </w:rPr>
        <w:t xml:space="preserve"> </w:t>
      </w:r>
      <w:r w:rsidR="00017F27">
        <w:rPr>
          <w:rFonts w:ascii="Arial" w:hAnsi="Arial" w:cs="Arial"/>
        </w:rPr>
        <w:t>based</w:t>
      </w:r>
      <w:r w:rsidRPr="00017F27" w:rsidR="00017F27">
        <w:rPr>
          <w:rFonts w:ascii="Arial" w:hAnsi="Arial" w:cs="Arial"/>
        </w:rPr>
        <w:t xml:space="preserve"> </w:t>
      </w:r>
      <w:r w:rsidR="00017F27">
        <w:rPr>
          <w:rFonts w:ascii="Arial" w:hAnsi="Arial" w:cs="Arial"/>
        </w:rPr>
        <w:t>on</w:t>
      </w:r>
      <w:r w:rsidRPr="00017F27" w:rsidR="00017F27">
        <w:rPr>
          <w:rFonts w:ascii="Arial" w:hAnsi="Arial" w:cs="Arial"/>
        </w:rPr>
        <w:t xml:space="preserve"> taxpayer’s method of accounting, the foreign tax credit is allowed only to the extent the foreign income taxes are ultimately both owed and </w:t>
      </w:r>
      <w:proofErr w:type="gramStart"/>
      <w:r w:rsidRPr="00017F27" w:rsidR="00017F27">
        <w:rPr>
          <w:rFonts w:ascii="Arial" w:hAnsi="Arial" w:cs="Arial"/>
        </w:rPr>
        <w:t>actually remitted</w:t>
      </w:r>
      <w:proofErr w:type="gramEnd"/>
      <w:r w:rsidRPr="00017F27" w:rsidR="00017F27">
        <w:rPr>
          <w:rFonts w:ascii="Arial" w:hAnsi="Arial" w:cs="Arial"/>
        </w:rPr>
        <w:t xml:space="preserve"> to the foreign country</w:t>
      </w:r>
      <w:r w:rsidR="000060CB">
        <w:rPr>
          <w:rFonts w:ascii="Arial" w:hAnsi="Arial" w:cs="Arial"/>
        </w:rPr>
        <w:t xml:space="preserve">. </w:t>
      </w:r>
      <w:r w:rsidRPr="00017F27" w:rsidR="00017F27">
        <w:rPr>
          <w:rFonts w:ascii="Arial" w:hAnsi="Arial" w:cs="Arial"/>
        </w:rPr>
        <w:t xml:space="preserve"> </w:t>
      </w:r>
      <w:r w:rsidR="00017F27">
        <w:rPr>
          <w:rFonts w:ascii="Arial" w:hAnsi="Arial" w:cs="Arial"/>
        </w:rPr>
        <w:t xml:space="preserve">For accrual method </w:t>
      </w:r>
      <w:r w:rsidR="000060CB">
        <w:rPr>
          <w:rFonts w:ascii="Arial" w:hAnsi="Arial" w:cs="Arial"/>
        </w:rPr>
        <w:t>taxpayers</w:t>
      </w:r>
      <w:r w:rsidR="00017F27">
        <w:rPr>
          <w:rFonts w:ascii="Arial" w:hAnsi="Arial" w:cs="Arial"/>
        </w:rPr>
        <w:t>, s</w:t>
      </w:r>
      <w:r w:rsidRPr="00292F5D" w:rsidR="00292F5D">
        <w:rPr>
          <w:rFonts w:ascii="Arial" w:hAnsi="Arial" w:cs="Arial"/>
        </w:rPr>
        <w:t>ection 461(f)</w:t>
      </w:r>
      <w:r w:rsidR="00292F5D">
        <w:rPr>
          <w:rFonts w:ascii="Arial" w:hAnsi="Arial" w:cs="Arial"/>
        </w:rPr>
        <w:t xml:space="preserve"> (flush language), </w:t>
      </w:r>
      <w:r w:rsidRPr="00292F5D" w:rsidR="00292F5D">
        <w:rPr>
          <w:rFonts w:ascii="Arial" w:hAnsi="Arial" w:cs="Arial"/>
        </w:rPr>
        <w:t>§1.461-2(a)(2)(i)</w:t>
      </w:r>
      <w:r w:rsidR="00292F5D">
        <w:rPr>
          <w:rFonts w:ascii="Arial" w:hAnsi="Arial" w:cs="Arial"/>
        </w:rPr>
        <w:t xml:space="preserve">, and </w:t>
      </w:r>
      <w:r w:rsidRPr="00292F5D" w:rsidR="00292F5D">
        <w:rPr>
          <w:rFonts w:ascii="Arial" w:hAnsi="Arial" w:cs="Arial"/>
        </w:rPr>
        <w:t xml:space="preserve">§1.905-1(d)(3) </w:t>
      </w:r>
      <w:r>
        <w:rPr>
          <w:rFonts w:ascii="Arial" w:hAnsi="Arial" w:cs="Arial"/>
        </w:rPr>
        <w:t>provide that</w:t>
      </w:r>
      <w:r w:rsidR="00393C50">
        <w:rPr>
          <w:rFonts w:ascii="Arial" w:hAnsi="Arial" w:cs="Arial"/>
        </w:rPr>
        <w:t xml:space="preserve"> a </w:t>
      </w:r>
      <w:r w:rsidR="00292F5D">
        <w:rPr>
          <w:rFonts w:ascii="Arial" w:hAnsi="Arial" w:cs="Arial"/>
        </w:rPr>
        <w:t xml:space="preserve">foreign income tax </w:t>
      </w:r>
      <w:r w:rsidR="00017F27">
        <w:rPr>
          <w:rFonts w:ascii="Arial" w:hAnsi="Arial" w:cs="Arial"/>
        </w:rPr>
        <w:t xml:space="preserve">liability </w:t>
      </w:r>
      <w:r w:rsidR="00292F5D">
        <w:rPr>
          <w:rFonts w:ascii="Arial" w:hAnsi="Arial" w:cs="Arial"/>
        </w:rPr>
        <w:t xml:space="preserve">that is contested does not accrue and is not creditable until the contest is resolved.  </w:t>
      </w:r>
      <w:r w:rsidR="00017F27">
        <w:rPr>
          <w:rFonts w:ascii="Arial" w:hAnsi="Arial" w:cs="Arial"/>
        </w:rPr>
        <w:t xml:space="preserve">For cash method taxpayers, a foreign income tax liability that is contested is not a reasonable approximation of the taxpayer’s final foreign income tax liability and, thus, under §1.901-2(e)(2)(i), is not considered an amount of tax paid for purposes of section 901 until the contest is resolved. </w:t>
      </w:r>
    </w:p>
    <w:p w:rsidR="00017F27" w:rsidP="00A87EC0" w:rsidRDefault="00017F27" w14:paraId="32BFE50A" w14:textId="77777777">
      <w:pPr>
        <w:ind w:left="720"/>
        <w:rPr>
          <w:rFonts w:ascii="Arial" w:hAnsi="Arial" w:cs="Arial"/>
        </w:rPr>
      </w:pPr>
    </w:p>
    <w:p w:rsidRPr="00292F5D" w:rsidR="00A87EC0" w:rsidP="00A87EC0" w:rsidRDefault="00292F5D" w14:paraId="433C0593" w14:textId="6181EFC8">
      <w:pPr>
        <w:ind w:left="720"/>
        <w:rPr>
          <w:rFonts w:ascii="Arial" w:hAnsi="Arial" w:cs="Arial"/>
        </w:rPr>
      </w:pPr>
      <w:r>
        <w:rPr>
          <w:rFonts w:ascii="Arial" w:hAnsi="Arial" w:cs="Arial"/>
        </w:rPr>
        <w:t xml:space="preserve">However, </w:t>
      </w:r>
      <w:r w:rsidR="000060CB">
        <w:rPr>
          <w:rFonts w:ascii="Arial" w:hAnsi="Arial" w:cs="Arial"/>
        </w:rPr>
        <w:t>§</w:t>
      </w:r>
      <w:r w:rsidRPr="00292F5D">
        <w:rPr>
          <w:rFonts w:ascii="Arial" w:hAnsi="Arial" w:cs="Arial"/>
        </w:rPr>
        <w:t>§</w:t>
      </w:r>
      <w:r w:rsidR="000060CB">
        <w:rPr>
          <w:rFonts w:ascii="Arial" w:hAnsi="Arial" w:cs="Arial"/>
        </w:rPr>
        <w:t xml:space="preserve">1.905-1(c)(3) and </w:t>
      </w:r>
      <w:r w:rsidRPr="00292F5D">
        <w:rPr>
          <w:rFonts w:ascii="Arial" w:hAnsi="Arial" w:cs="Arial"/>
        </w:rPr>
        <w:t>1.905-1(d)(</w:t>
      </w:r>
      <w:r>
        <w:rPr>
          <w:rFonts w:ascii="Arial" w:hAnsi="Arial" w:cs="Arial"/>
        </w:rPr>
        <w:t xml:space="preserve">4) </w:t>
      </w:r>
      <w:r w:rsidR="009E0690">
        <w:rPr>
          <w:rFonts w:ascii="Arial" w:hAnsi="Arial" w:cs="Arial"/>
        </w:rPr>
        <w:t>allow</w:t>
      </w:r>
      <w:r>
        <w:rPr>
          <w:rFonts w:ascii="Arial" w:hAnsi="Arial" w:cs="Arial"/>
        </w:rPr>
        <w:t xml:space="preserve"> taxpayers to make an election to claim a provisional foreign tax credit for </w:t>
      </w:r>
      <w:r w:rsidR="000060CB">
        <w:rPr>
          <w:rFonts w:ascii="Arial" w:hAnsi="Arial" w:cs="Arial"/>
        </w:rPr>
        <w:t xml:space="preserve">a </w:t>
      </w:r>
      <w:r>
        <w:rPr>
          <w:rFonts w:ascii="Arial" w:hAnsi="Arial" w:cs="Arial"/>
        </w:rPr>
        <w:t>contested</w:t>
      </w:r>
      <w:r w:rsidR="000060CB">
        <w:rPr>
          <w:rFonts w:ascii="Arial" w:hAnsi="Arial" w:cs="Arial"/>
        </w:rPr>
        <w:t xml:space="preserve"> foreign income tax liability</w:t>
      </w:r>
      <w:r>
        <w:rPr>
          <w:rFonts w:ascii="Arial" w:hAnsi="Arial" w:cs="Arial"/>
        </w:rPr>
        <w:t xml:space="preserve"> to the extent that the taxpayer has </w:t>
      </w:r>
      <w:r w:rsidR="000060CB">
        <w:rPr>
          <w:rFonts w:ascii="Arial" w:hAnsi="Arial" w:cs="Arial"/>
        </w:rPr>
        <w:t xml:space="preserve">remitted </w:t>
      </w:r>
      <w:r>
        <w:rPr>
          <w:rFonts w:ascii="Arial" w:hAnsi="Arial" w:cs="Arial"/>
        </w:rPr>
        <w:t xml:space="preserve">the contested tax to the foreign country.  As a condition for making </w:t>
      </w:r>
      <w:r w:rsidR="00FC7B44">
        <w:rPr>
          <w:rFonts w:ascii="Arial" w:hAnsi="Arial" w:cs="Arial"/>
        </w:rPr>
        <w:t xml:space="preserve">this </w:t>
      </w:r>
      <w:r>
        <w:rPr>
          <w:rFonts w:ascii="Arial" w:hAnsi="Arial" w:cs="Arial"/>
        </w:rPr>
        <w:t xml:space="preserve">election, the taxpayer must enter into a provisional foreign tax credit agreement, in which the taxpayer </w:t>
      </w:r>
      <w:r w:rsidR="009E0690">
        <w:rPr>
          <w:rFonts w:ascii="Arial" w:hAnsi="Arial" w:cs="Arial"/>
        </w:rPr>
        <w:t>gives the IRS</w:t>
      </w:r>
      <w:r>
        <w:rPr>
          <w:rFonts w:ascii="Arial" w:hAnsi="Arial" w:cs="Arial"/>
        </w:rPr>
        <w:t xml:space="preserve"> information regarding the contested </w:t>
      </w:r>
      <w:r w:rsidR="000060CB">
        <w:rPr>
          <w:rFonts w:ascii="Arial" w:hAnsi="Arial" w:cs="Arial"/>
        </w:rPr>
        <w:t xml:space="preserve">foreign income </w:t>
      </w:r>
      <w:r>
        <w:rPr>
          <w:rFonts w:ascii="Arial" w:hAnsi="Arial" w:cs="Arial"/>
        </w:rPr>
        <w:t>tax</w:t>
      </w:r>
      <w:r w:rsidR="000060CB">
        <w:rPr>
          <w:rFonts w:ascii="Arial" w:hAnsi="Arial" w:cs="Arial"/>
        </w:rPr>
        <w:t xml:space="preserve"> liability</w:t>
      </w:r>
      <w:r w:rsidR="00FC7B44">
        <w:rPr>
          <w:rFonts w:ascii="Arial" w:hAnsi="Arial" w:cs="Arial"/>
        </w:rPr>
        <w:t xml:space="preserve"> and</w:t>
      </w:r>
      <w:r>
        <w:rPr>
          <w:rFonts w:ascii="Arial" w:hAnsi="Arial" w:cs="Arial"/>
        </w:rPr>
        <w:t xml:space="preserve"> agree</w:t>
      </w:r>
      <w:r w:rsidR="00FC7B44">
        <w:rPr>
          <w:rFonts w:ascii="Arial" w:hAnsi="Arial" w:cs="Arial"/>
        </w:rPr>
        <w:t xml:space="preserve">s to comply with the conditions of the election, including </w:t>
      </w:r>
      <w:r w:rsidR="000060CB">
        <w:rPr>
          <w:rFonts w:ascii="Arial" w:hAnsi="Arial" w:cs="Arial"/>
        </w:rPr>
        <w:t xml:space="preserve">agreeing not to assert the statute of limitations on assessment as a defense to </w:t>
      </w:r>
      <w:r w:rsidR="00FC7B44">
        <w:rPr>
          <w:rFonts w:ascii="Arial" w:hAnsi="Arial" w:cs="Arial"/>
        </w:rPr>
        <w:t xml:space="preserve">assessment </w:t>
      </w:r>
      <w:r w:rsidR="000060CB">
        <w:rPr>
          <w:rFonts w:ascii="Arial" w:hAnsi="Arial" w:cs="Arial"/>
        </w:rPr>
        <w:t xml:space="preserve">of taxes and interest </w:t>
      </w:r>
      <w:r w:rsidR="00FC7B44">
        <w:rPr>
          <w:rFonts w:ascii="Arial" w:hAnsi="Arial" w:cs="Arial"/>
        </w:rPr>
        <w:t>by the IRS with respect to the contested tax for a period of three years from the year in which taxpayer notifies the IRS of the resolution of the contest</w:t>
      </w:r>
      <w:r>
        <w:rPr>
          <w:rFonts w:ascii="Arial" w:hAnsi="Arial" w:cs="Arial"/>
        </w:rPr>
        <w:t xml:space="preserve">. See </w:t>
      </w:r>
      <w:r w:rsidRPr="00292F5D">
        <w:rPr>
          <w:rFonts w:ascii="Arial" w:hAnsi="Arial" w:cs="Arial"/>
        </w:rPr>
        <w:t>§1.905-1(d)(</w:t>
      </w:r>
      <w:r>
        <w:rPr>
          <w:rFonts w:ascii="Arial" w:hAnsi="Arial" w:cs="Arial"/>
        </w:rPr>
        <w:t xml:space="preserve">4)(ii).  </w:t>
      </w:r>
    </w:p>
    <w:p w:rsidRPr="00E278D9" w:rsidR="00E94418" w:rsidP="00A87EC0" w:rsidRDefault="00E94418" w14:paraId="65DFF6EB" w14:textId="77777777">
      <w:pPr>
        <w:ind w:left="720"/>
        <w:rPr>
          <w:rFonts w:ascii="Arial" w:hAnsi="Arial" w:cs="Arial"/>
        </w:rPr>
      </w:pPr>
    </w:p>
    <w:p w:rsidRPr="00E278D9" w:rsidR="00721EB2" w:rsidRDefault="00721EB2" w14:paraId="5C72D949" w14:textId="77777777">
      <w:pPr>
        <w:pStyle w:val="Level1"/>
        <w:tabs>
          <w:tab w:val="left" w:pos="-1440"/>
          <w:tab w:val="num" w:pos="720"/>
        </w:tabs>
        <w:rPr>
          <w:rFonts w:ascii="Arial" w:hAnsi="Arial" w:cs="Arial"/>
          <w:b/>
        </w:rPr>
      </w:pPr>
      <w:r w:rsidRPr="00E278D9">
        <w:rPr>
          <w:rFonts w:ascii="Arial" w:hAnsi="Arial" w:cs="Arial"/>
          <w:b/>
          <w:u w:val="single"/>
        </w:rPr>
        <w:t>USE OF DATA</w:t>
      </w:r>
      <w:r w:rsidRPr="00E278D9">
        <w:rPr>
          <w:rFonts w:ascii="Arial" w:hAnsi="Arial" w:cs="Arial"/>
          <w:b/>
        </w:rPr>
        <w:t xml:space="preserve">              </w:t>
      </w:r>
    </w:p>
    <w:p w:rsidRPr="00E278D9" w:rsidR="00721EB2" w:rsidRDefault="00D417E0" w14:paraId="3D06A940" w14:textId="1E42AD17">
      <w:pPr>
        <w:rPr>
          <w:rFonts w:ascii="Arial" w:hAnsi="Arial" w:cs="Arial"/>
        </w:rPr>
      </w:pPr>
      <w:r w:rsidRPr="00E278D9">
        <w:rPr>
          <w:rFonts w:ascii="Arial" w:hAnsi="Arial" w:cs="Arial"/>
        </w:rPr>
        <w:t xml:space="preserve"> </w:t>
      </w:r>
    </w:p>
    <w:p w:rsidR="00215660" w:rsidP="00A87EC0" w:rsidRDefault="00FC7B44" w14:paraId="76CFF256" w14:textId="20745181">
      <w:pPr>
        <w:ind w:left="720"/>
        <w:rPr>
          <w:rFonts w:ascii="Arial" w:hAnsi="Arial" w:cs="Arial"/>
        </w:rPr>
      </w:pPr>
      <w:r>
        <w:rPr>
          <w:rFonts w:ascii="Arial" w:hAnsi="Arial" w:cs="Arial"/>
        </w:rPr>
        <w:t>The data will be used by the IRS t</w:t>
      </w:r>
      <w:r w:rsidR="00193AAD">
        <w:rPr>
          <w:rFonts w:ascii="Arial" w:hAnsi="Arial" w:cs="Arial"/>
        </w:rPr>
        <w:t>o audit</w:t>
      </w:r>
      <w:r>
        <w:rPr>
          <w:rFonts w:ascii="Arial" w:hAnsi="Arial" w:cs="Arial"/>
        </w:rPr>
        <w:t xml:space="preserve"> whether a contested foreign income tax for which taxpayer has claimed a </w:t>
      </w:r>
      <w:r w:rsidR="009E0690">
        <w:rPr>
          <w:rFonts w:ascii="Arial" w:hAnsi="Arial" w:cs="Arial"/>
        </w:rPr>
        <w:t xml:space="preserve">provisional foreign tax credit </w:t>
      </w:r>
      <w:r>
        <w:rPr>
          <w:rFonts w:ascii="Arial" w:hAnsi="Arial" w:cs="Arial"/>
        </w:rPr>
        <w:t xml:space="preserve">is ultimately creditable.  In particular, the IRS will monitor and assess whether </w:t>
      </w:r>
      <w:r w:rsidRPr="00FC7B44">
        <w:rPr>
          <w:rFonts w:ascii="Arial" w:hAnsi="Arial" w:cs="Arial"/>
        </w:rPr>
        <w:t xml:space="preserve">taxpayer </w:t>
      </w:r>
      <w:r w:rsidR="00193AAD">
        <w:rPr>
          <w:rFonts w:ascii="Arial" w:hAnsi="Arial" w:cs="Arial"/>
        </w:rPr>
        <w:t>meets</w:t>
      </w:r>
      <w:r>
        <w:rPr>
          <w:rFonts w:ascii="Arial" w:hAnsi="Arial" w:cs="Arial"/>
        </w:rPr>
        <w:t xml:space="preserve"> the requirement</w:t>
      </w:r>
      <w:r w:rsidRPr="00FC7B44">
        <w:rPr>
          <w:rFonts w:ascii="Arial" w:hAnsi="Arial" w:cs="Arial"/>
        </w:rPr>
        <w:t xml:space="preserve"> to exhaust all effective and practical remedies to minimize its foreign income tax liability</w:t>
      </w:r>
      <w:r>
        <w:rPr>
          <w:rFonts w:ascii="Arial" w:hAnsi="Arial" w:cs="Arial"/>
        </w:rPr>
        <w:t xml:space="preserve"> </w:t>
      </w:r>
      <w:r w:rsidR="00193AAD">
        <w:rPr>
          <w:rFonts w:ascii="Arial" w:hAnsi="Arial" w:cs="Arial"/>
        </w:rPr>
        <w:t>with respect to the contested tax.</w:t>
      </w:r>
    </w:p>
    <w:p w:rsidR="00FC7B44" w:rsidP="00A87EC0" w:rsidRDefault="00FC7B44" w14:paraId="65F4EE00" w14:textId="77777777">
      <w:pPr>
        <w:ind w:left="720"/>
        <w:rPr>
          <w:rFonts w:ascii="Arial" w:hAnsi="Arial" w:cs="Arial"/>
        </w:rPr>
      </w:pPr>
    </w:p>
    <w:p w:rsidRPr="00E278D9" w:rsidR="001F4C31" w:rsidP="00E94418" w:rsidRDefault="001F4C31" w14:paraId="31A131AD" w14:textId="77777777">
      <w:pPr>
        <w:rPr>
          <w:rFonts w:ascii="Arial" w:hAnsi="Arial" w:cs="Arial"/>
        </w:rPr>
        <w:sectPr w:rsidRPr="00E278D9" w:rsidR="001F4C3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1440" w:footer="1440" w:gutter="0"/>
          <w:cols w:space="720"/>
          <w:noEndnote/>
        </w:sectPr>
      </w:pPr>
    </w:p>
    <w:p w:rsidRPr="00E278D9" w:rsidR="00721EB2" w:rsidP="0026031B" w:rsidRDefault="00721EB2" w14:paraId="41497984" w14:textId="77777777">
      <w:pPr>
        <w:pStyle w:val="Level1"/>
        <w:tabs>
          <w:tab w:val="left" w:pos="-1440"/>
        </w:tabs>
        <w:rPr>
          <w:rFonts w:ascii="Arial" w:hAnsi="Arial" w:cs="Arial"/>
          <w:b/>
        </w:rPr>
      </w:pPr>
      <w:r w:rsidRPr="00E278D9">
        <w:rPr>
          <w:rFonts w:ascii="Arial" w:hAnsi="Arial" w:cs="Arial"/>
          <w:b/>
          <w:u w:val="single"/>
        </w:rPr>
        <w:t>USE OF IMPROVED INFORMATION TECHNOLOGY TO REDUCE BURDEN</w:t>
      </w:r>
    </w:p>
    <w:p w:rsidRPr="00E278D9" w:rsidR="00721EB2" w:rsidRDefault="00721EB2" w14:paraId="3AC78CD4" w14:textId="77777777">
      <w:pPr>
        <w:rPr>
          <w:rFonts w:ascii="Arial" w:hAnsi="Arial" w:cs="Arial"/>
          <w:b/>
        </w:rPr>
      </w:pPr>
    </w:p>
    <w:p w:rsidRPr="00E278D9" w:rsidR="00721EB2" w:rsidRDefault="009E0690" w14:paraId="14726C9F" w14:textId="17BCC26F">
      <w:pPr>
        <w:ind w:left="720"/>
        <w:rPr>
          <w:rFonts w:ascii="Arial" w:hAnsi="Arial" w:cs="Arial"/>
        </w:rPr>
      </w:pPr>
      <w:r>
        <w:rPr>
          <w:rFonts w:ascii="Arial" w:hAnsi="Arial" w:cs="Arial"/>
        </w:rPr>
        <w:t xml:space="preserve">The </w:t>
      </w:r>
      <w:r w:rsidRPr="00193AAD" w:rsidR="00193AAD">
        <w:rPr>
          <w:rFonts w:ascii="Arial" w:hAnsi="Arial" w:cs="Arial"/>
        </w:rPr>
        <w:t>IRS intends to offer electronic filing to the extent it is practicable</w:t>
      </w:r>
      <w:r w:rsidR="00193AAD">
        <w:rPr>
          <w:rFonts w:ascii="Arial" w:hAnsi="Arial" w:cs="Arial"/>
        </w:rPr>
        <w:t>.</w:t>
      </w:r>
      <w:r w:rsidR="00CD0DF1">
        <w:rPr>
          <w:rFonts w:ascii="Arial" w:hAnsi="Arial" w:cs="Arial"/>
        </w:rPr>
        <w:t xml:space="preserve"> </w:t>
      </w:r>
    </w:p>
    <w:p w:rsidRPr="00E278D9" w:rsidR="00321C69" w:rsidRDefault="00321C69" w14:paraId="04BDCDCE" w14:textId="77777777">
      <w:pPr>
        <w:rPr>
          <w:rFonts w:ascii="Arial" w:hAnsi="Arial" w:cs="Arial"/>
        </w:rPr>
      </w:pPr>
    </w:p>
    <w:p w:rsidRPr="00E278D9" w:rsidR="00721EB2" w:rsidRDefault="00721EB2" w14:paraId="008D1A9A" w14:textId="77777777">
      <w:pPr>
        <w:pStyle w:val="Level1"/>
        <w:tabs>
          <w:tab w:val="left" w:pos="-1440"/>
          <w:tab w:val="num" w:pos="720"/>
        </w:tabs>
        <w:rPr>
          <w:rFonts w:ascii="Arial" w:hAnsi="Arial" w:cs="Arial"/>
          <w:b/>
        </w:rPr>
      </w:pPr>
      <w:r w:rsidRPr="00E278D9">
        <w:rPr>
          <w:rFonts w:ascii="Arial" w:hAnsi="Arial" w:cs="Arial"/>
          <w:b/>
          <w:u w:val="single"/>
        </w:rPr>
        <w:lastRenderedPageBreak/>
        <w:t>EFFORTS TO IDENTIFY DUPLICATION</w:t>
      </w:r>
    </w:p>
    <w:p w:rsidRPr="00E278D9" w:rsidR="00721EB2" w:rsidRDefault="00721EB2" w14:paraId="4042335A" w14:textId="77777777">
      <w:pPr>
        <w:rPr>
          <w:rFonts w:ascii="Arial" w:hAnsi="Arial" w:cs="Arial"/>
        </w:rPr>
      </w:pPr>
    </w:p>
    <w:p w:rsidRPr="00E278D9" w:rsidR="00721EB2" w:rsidRDefault="00E826F2" w14:paraId="46B8E062" w14:textId="77777777">
      <w:pPr>
        <w:ind w:left="720"/>
        <w:rPr>
          <w:rFonts w:ascii="Arial" w:hAnsi="Arial" w:cs="Arial"/>
        </w:rPr>
      </w:pPr>
      <w:r w:rsidRPr="00E278D9">
        <w:rPr>
          <w:rFonts w:ascii="Arial" w:hAnsi="Arial" w:cs="Arial"/>
        </w:rPr>
        <w:t>The information obtained through this collection is unique and is not already available for use or adaptation from another source</w:t>
      </w:r>
      <w:r w:rsidRPr="00E278D9" w:rsidR="00721EB2">
        <w:rPr>
          <w:rFonts w:ascii="Arial" w:hAnsi="Arial" w:cs="Arial"/>
        </w:rPr>
        <w:t xml:space="preserve">.  </w:t>
      </w:r>
    </w:p>
    <w:p w:rsidRPr="00E278D9" w:rsidR="00DA0570" w:rsidRDefault="00DA0570" w14:paraId="3D61F69F" w14:textId="77777777">
      <w:pPr>
        <w:rPr>
          <w:rFonts w:ascii="Arial" w:hAnsi="Arial" w:cs="Arial"/>
        </w:rPr>
      </w:pPr>
    </w:p>
    <w:p w:rsidRPr="00E278D9" w:rsidR="00721EB2" w:rsidRDefault="00721EB2" w14:paraId="2EEB2680" w14:textId="77777777">
      <w:pPr>
        <w:pStyle w:val="Level1"/>
        <w:tabs>
          <w:tab w:val="left" w:pos="-1440"/>
          <w:tab w:val="num" w:pos="720"/>
        </w:tabs>
        <w:rPr>
          <w:rFonts w:ascii="Arial" w:hAnsi="Arial" w:cs="Arial"/>
          <w:b/>
        </w:rPr>
      </w:pPr>
      <w:r w:rsidRPr="00E278D9">
        <w:rPr>
          <w:rFonts w:ascii="Arial" w:hAnsi="Arial" w:cs="Arial"/>
          <w:b/>
          <w:u w:val="single"/>
        </w:rPr>
        <w:t>METHODS TO MINIMIZE BURDEN ON SMALL BUSINESSES OR OTHER</w:t>
      </w:r>
      <w:r w:rsidRPr="00E278D9">
        <w:rPr>
          <w:rFonts w:ascii="Arial" w:hAnsi="Arial" w:cs="Arial"/>
          <w:b/>
        </w:rPr>
        <w:t xml:space="preserve"> </w:t>
      </w:r>
      <w:r w:rsidRPr="00E278D9">
        <w:rPr>
          <w:rFonts w:ascii="Arial" w:hAnsi="Arial" w:cs="Arial"/>
          <w:b/>
          <w:u w:val="single"/>
        </w:rPr>
        <w:t>SMALL ENTITIES</w:t>
      </w:r>
    </w:p>
    <w:p w:rsidRPr="00E278D9" w:rsidR="00721EB2" w:rsidRDefault="00721EB2" w14:paraId="0E30C842" w14:textId="77777777">
      <w:pPr>
        <w:rPr>
          <w:rFonts w:ascii="Arial" w:hAnsi="Arial" w:cs="Arial"/>
          <w:b/>
        </w:rPr>
      </w:pPr>
    </w:p>
    <w:p w:rsidRPr="00481D2D" w:rsidR="00481D2D" w:rsidP="004B2B1F" w:rsidRDefault="00481D2D" w14:paraId="47250965" w14:textId="7C8C2050">
      <w:pPr>
        <w:ind w:left="720"/>
        <w:rPr>
          <w:rFonts w:ascii="Arial" w:hAnsi="Arial" w:cs="Arial"/>
        </w:rPr>
      </w:pPr>
      <w:r>
        <w:rPr>
          <w:rFonts w:ascii="Arial" w:hAnsi="Arial" w:cs="Arial"/>
        </w:rPr>
        <w:t>This collection of information is not expected to have a significant economic impact on a substantial number of small entities. The collection of information affect</w:t>
      </w:r>
      <w:r w:rsidR="00193AAD">
        <w:rPr>
          <w:rFonts w:ascii="Arial" w:hAnsi="Arial" w:cs="Arial"/>
        </w:rPr>
        <w:t>s</w:t>
      </w:r>
      <w:r>
        <w:rPr>
          <w:rFonts w:ascii="Arial" w:hAnsi="Arial" w:cs="Arial"/>
        </w:rPr>
        <w:t xml:space="preserve"> U.S. persons that have foreign operations</w:t>
      </w:r>
      <w:r w:rsidR="009E0690">
        <w:rPr>
          <w:rFonts w:ascii="Arial" w:hAnsi="Arial" w:cs="Arial"/>
        </w:rPr>
        <w:t xml:space="preserve">, </w:t>
      </w:r>
      <w:r>
        <w:rPr>
          <w:rFonts w:ascii="Arial" w:hAnsi="Arial" w:cs="Arial"/>
        </w:rPr>
        <w:t>incur foreign income taxes</w:t>
      </w:r>
      <w:r w:rsidR="009E0690">
        <w:rPr>
          <w:rFonts w:ascii="Arial" w:hAnsi="Arial" w:cs="Arial"/>
        </w:rPr>
        <w:t>, and disputes the foreign income tax liability with the foreign country</w:t>
      </w:r>
      <w:r w:rsidR="00193AAD">
        <w:rPr>
          <w:rFonts w:ascii="Arial" w:hAnsi="Arial" w:cs="Arial"/>
        </w:rPr>
        <w:t>.</w:t>
      </w:r>
      <w:r w:rsidR="004A0203">
        <w:rPr>
          <w:rFonts w:ascii="Arial" w:hAnsi="Arial" w:cs="Arial"/>
        </w:rPr>
        <w:t xml:space="preserve"> This collection of information only applies if the taxpayer elects to claim a provisional foreign tax credit for contested foreign income taxes. </w:t>
      </w:r>
      <w:r w:rsidR="00781E7A">
        <w:rPr>
          <w:rFonts w:ascii="Arial" w:hAnsi="Arial" w:cs="Arial"/>
        </w:rPr>
        <w:t xml:space="preserve"> </w:t>
      </w:r>
    </w:p>
    <w:p w:rsidRPr="00E278D9" w:rsidR="004B2B1F" w:rsidP="004B2B1F" w:rsidRDefault="004B2B1F" w14:paraId="3E66CCC5" w14:textId="77777777">
      <w:pPr>
        <w:rPr>
          <w:rFonts w:ascii="Arial" w:hAnsi="Arial" w:cs="Arial"/>
        </w:rPr>
      </w:pPr>
    </w:p>
    <w:p w:rsidRPr="00E278D9" w:rsidR="00721EB2" w:rsidRDefault="00721EB2" w14:paraId="163F7D2F" w14:textId="77777777">
      <w:pPr>
        <w:pStyle w:val="Level1"/>
        <w:tabs>
          <w:tab w:val="left" w:pos="-1440"/>
          <w:tab w:val="num" w:pos="720"/>
        </w:tabs>
        <w:rPr>
          <w:rFonts w:ascii="Arial" w:hAnsi="Arial" w:cs="Arial"/>
          <w:b/>
        </w:rPr>
      </w:pPr>
      <w:r w:rsidRPr="00E278D9">
        <w:rPr>
          <w:rFonts w:ascii="Arial" w:hAnsi="Arial" w:cs="Arial"/>
          <w:b/>
          <w:u w:val="single"/>
        </w:rPr>
        <w:t>CONSEQUENCES OF LESS FREQUENT COLLECTION ON FEDERAL PROGRAMS OR POLICY ACTIVITIES</w:t>
      </w:r>
    </w:p>
    <w:p w:rsidRPr="00E278D9" w:rsidR="00721EB2" w:rsidRDefault="00721EB2" w14:paraId="1CB22EDC" w14:textId="77777777">
      <w:pPr>
        <w:rPr>
          <w:rFonts w:ascii="Arial" w:hAnsi="Arial" w:cs="Arial"/>
        </w:rPr>
      </w:pPr>
    </w:p>
    <w:p w:rsidRPr="00E278D9" w:rsidR="00721EB2" w:rsidRDefault="00646A2A" w14:paraId="7ABC6148" w14:textId="34A625BF">
      <w:pPr>
        <w:ind w:left="720"/>
        <w:rPr>
          <w:rFonts w:ascii="Arial" w:hAnsi="Arial" w:cs="Arial"/>
        </w:rPr>
      </w:pPr>
      <w:r w:rsidRPr="00E278D9">
        <w:rPr>
          <w:rFonts w:ascii="Arial" w:hAnsi="Arial" w:cs="Arial"/>
        </w:rPr>
        <w:t>A less frequent collection of</w:t>
      </w:r>
      <w:r w:rsidRPr="00E278D9" w:rsidR="0065166D">
        <w:rPr>
          <w:rFonts w:ascii="Arial" w:hAnsi="Arial" w:cs="Arial"/>
        </w:rPr>
        <w:t xml:space="preserve"> the information will prevent </w:t>
      </w:r>
      <w:r w:rsidRPr="00E278D9">
        <w:rPr>
          <w:rFonts w:ascii="Arial" w:hAnsi="Arial" w:cs="Arial"/>
        </w:rPr>
        <w:t xml:space="preserve">the IRS from being able to determine the </w:t>
      </w:r>
      <w:r w:rsidRPr="00E278D9" w:rsidR="0065166D">
        <w:rPr>
          <w:rFonts w:ascii="Arial" w:hAnsi="Arial" w:cs="Arial"/>
        </w:rPr>
        <w:t>taxpayer</w:t>
      </w:r>
      <w:r w:rsidRPr="00E278D9">
        <w:rPr>
          <w:rFonts w:ascii="Arial" w:hAnsi="Arial" w:cs="Arial"/>
        </w:rPr>
        <w:t>’</w:t>
      </w:r>
      <w:r w:rsidRPr="00E278D9" w:rsidR="0065166D">
        <w:rPr>
          <w:rFonts w:ascii="Arial" w:hAnsi="Arial" w:cs="Arial"/>
        </w:rPr>
        <w:t>s compl</w:t>
      </w:r>
      <w:r w:rsidRPr="00E278D9">
        <w:rPr>
          <w:rFonts w:ascii="Arial" w:hAnsi="Arial" w:cs="Arial"/>
        </w:rPr>
        <w:t>iance</w:t>
      </w:r>
      <w:r w:rsidRPr="00E278D9" w:rsidR="0065166D">
        <w:rPr>
          <w:rFonts w:ascii="Arial" w:hAnsi="Arial" w:cs="Arial"/>
        </w:rPr>
        <w:t xml:space="preserve"> and/or reporting with the requirements </w:t>
      </w:r>
      <w:r w:rsidR="00781E7A">
        <w:rPr>
          <w:rFonts w:ascii="Arial" w:hAnsi="Arial" w:cs="Arial"/>
        </w:rPr>
        <w:t>in sectio</w:t>
      </w:r>
      <w:r w:rsidR="009E0690">
        <w:rPr>
          <w:rFonts w:ascii="Arial" w:hAnsi="Arial" w:cs="Arial"/>
        </w:rPr>
        <w:t xml:space="preserve">ns 901 and 905 </w:t>
      </w:r>
      <w:r w:rsidR="00781E7A">
        <w:rPr>
          <w:rFonts w:ascii="Arial" w:hAnsi="Arial" w:cs="Arial"/>
        </w:rPr>
        <w:t>of the Code, and</w:t>
      </w:r>
      <w:r w:rsidRPr="00E278D9">
        <w:rPr>
          <w:rFonts w:ascii="Arial" w:hAnsi="Arial" w:cs="Arial"/>
        </w:rPr>
        <w:t xml:space="preserve"> thereby </w:t>
      </w:r>
      <w:r w:rsidRPr="00E278D9" w:rsidR="00781E7A">
        <w:rPr>
          <w:rFonts w:ascii="Arial" w:hAnsi="Arial" w:cs="Arial"/>
        </w:rPr>
        <w:t>causing</w:t>
      </w:r>
      <w:r w:rsidRPr="00E278D9">
        <w:rPr>
          <w:rFonts w:ascii="Arial" w:hAnsi="Arial" w:cs="Arial"/>
        </w:rPr>
        <w:t xml:space="preserve"> the inability of the IRS to meet its mission</w:t>
      </w:r>
      <w:r w:rsidRPr="00E278D9" w:rsidR="00721EB2">
        <w:rPr>
          <w:rFonts w:ascii="Arial" w:hAnsi="Arial" w:cs="Arial"/>
        </w:rPr>
        <w:t>.</w:t>
      </w:r>
    </w:p>
    <w:p w:rsidRPr="00E278D9" w:rsidR="00721EB2" w:rsidRDefault="00721EB2" w14:paraId="27ED07EC" w14:textId="77777777">
      <w:pPr>
        <w:rPr>
          <w:rFonts w:ascii="Arial" w:hAnsi="Arial" w:cs="Arial"/>
        </w:rPr>
      </w:pPr>
    </w:p>
    <w:p w:rsidRPr="00E278D9" w:rsidR="00721EB2" w:rsidRDefault="00721EB2" w14:paraId="4B55B53C" w14:textId="77777777">
      <w:pPr>
        <w:pStyle w:val="Level1"/>
        <w:tabs>
          <w:tab w:val="left" w:pos="-1440"/>
          <w:tab w:val="num" w:pos="720"/>
        </w:tabs>
        <w:rPr>
          <w:rFonts w:ascii="Arial" w:hAnsi="Arial" w:cs="Arial"/>
          <w:b/>
        </w:rPr>
      </w:pPr>
      <w:r w:rsidRPr="00E278D9">
        <w:rPr>
          <w:rFonts w:ascii="Arial" w:hAnsi="Arial" w:cs="Arial"/>
          <w:b/>
          <w:u w:val="single"/>
        </w:rPr>
        <w:t>SPECIAL CIRCUMSTANCES REQUIRING DATA COLLECTION TO BE</w:t>
      </w:r>
      <w:r w:rsidRPr="00E278D9">
        <w:rPr>
          <w:rFonts w:ascii="Arial" w:hAnsi="Arial" w:cs="Arial"/>
          <w:b/>
        </w:rPr>
        <w:t xml:space="preserve">     </w:t>
      </w:r>
      <w:r w:rsidRPr="00E278D9">
        <w:rPr>
          <w:rFonts w:ascii="Arial" w:hAnsi="Arial" w:cs="Arial"/>
          <w:b/>
          <w:u w:val="single"/>
        </w:rPr>
        <w:t>INCONSISTENT WITH GUIDELINES IN 5 CFR 1320.5(d)(2)</w:t>
      </w:r>
    </w:p>
    <w:p w:rsidRPr="00E278D9" w:rsidR="00721EB2" w:rsidRDefault="00721EB2" w14:paraId="3216AA18" w14:textId="77777777">
      <w:pPr>
        <w:rPr>
          <w:rFonts w:ascii="Arial" w:hAnsi="Arial" w:cs="Arial"/>
        </w:rPr>
      </w:pPr>
    </w:p>
    <w:p w:rsidRPr="00E278D9" w:rsidR="00721EB2" w:rsidRDefault="0065166D" w14:paraId="2A8838C1" w14:textId="77777777">
      <w:pPr>
        <w:ind w:left="720"/>
        <w:rPr>
          <w:rFonts w:ascii="Arial" w:hAnsi="Arial" w:cs="Arial"/>
        </w:rPr>
      </w:pPr>
      <w:r w:rsidRPr="00E278D9">
        <w:rPr>
          <w:rFonts w:ascii="Arial" w:hAnsi="Arial" w:cs="Arial"/>
        </w:rPr>
        <w:t>There are no special circumstances requiring data collection to be inconsistent with Guidelines in 5 CFR 1320.5(d)(2)</w:t>
      </w:r>
      <w:r w:rsidRPr="00E278D9" w:rsidR="00721EB2">
        <w:rPr>
          <w:rFonts w:ascii="Arial" w:hAnsi="Arial" w:cs="Arial"/>
        </w:rPr>
        <w:t>.</w:t>
      </w:r>
    </w:p>
    <w:p w:rsidRPr="00E278D9" w:rsidR="00721EB2" w:rsidRDefault="00721EB2" w14:paraId="46F61C61" w14:textId="77777777">
      <w:pPr>
        <w:rPr>
          <w:rFonts w:ascii="Arial" w:hAnsi="Arial" w:cs="Arial"/>
        </w:rPr>
      </w:pPr>
    </w:p>
    <w:p w:rsidRPr="00E278D9" w:rsidR="00721EB2" w:rsidRDefault="00721EB2" w14:paraId="6AAB8E07" w14:textId="77777777">
      <w:pPr>
        <w:pStyle w:val="Level1"/>
        <w:tabs>
          <w:tab w:val="left" w:pos="-1440"/>
          <w:tab w:val="num" w:pos="720"/>
        </w:tabs>
        <w:rPr>
          <w:rFonts w:ascii="Arial" w:hAnsi="Arial" w:cs="Arial"/>
          <w:b/>
        </w:rPr>
      </w:pPr>
      <w:r w:rsidRPr="00E278D9">
        <w:rPr>
          <w:rFonts w:ascii="Arial" w:hAnsi="Arial" w:cs="Arial"/>
          <w:b/>
          <w:u w:val="single"/>
        </w:rPr>
        <w:t>CONSULTATION WITH INDIVIDUALS OUTSIDE OF THE AGENCY ON</w:t>
      </w:r>
      <w:r w:rsidRPr="00E278D9">
        <w:rPr>
          <w:rFonts w:ascii="Arial" w:hAnsi="Arial" w:cs="Arial"/>
          <w:b/>
        </w:rPr>
        <w:t xml:space="preserve">     </w:t>
      </w:r>
      <w:r w:rsidRPr="00E278D9">
        <w:rPr>
          <w:rFonts w:ascii="Arial" w:hAnsi="Arial" w:cs="Arial"/>
          <w:b/>
          <w:u w:val="single"/>
        </w:rPr>
        <w:t>AVAILABILITY OF DATA, FREQUENCY OF COLLECTION, CLARITY OF INSTRUCTIONS AND FORMS, AND DATA ELEMENTS</w:t>
      </w:r>
    </w:p>
    <w:p w:rsidRPr="00E278D9" w:rsidR="00721EB2" w:rsidRDefault="00721EB2" w14:paraId="527485BF" w14:textId="77777777">
      <w:pPr>
        <w:rPr>
          <w:rFonts w:ascii="Arial" w:hAnsi="Arial" w:cs="Arial"/>
        </w:rPr>
      </w:pPr>
    </w:p>
    <w:p w:rsidRPr="00E278D9" w:rsidR="00721EB2" w:rsidP="00AF00F5" w:rsidRDefault="00AF00F5" w14:paraId="229E4427" w14:textId="5936097B">
      <w:pPr>
        <w:ind w:left="720"/>
        <w:rPr>
          <w:rFonts w:ascii="Arial" w:hAnsi="Arial" w:cs="Arial"/>
        </w:rPr>
      </w:pPr>
      <w:r w:rsidRPr="00AF00F5">
        <w:rPr>
          <w:rFonts w:ascii="Arial" w:hAnsi="Arial" w:cs="Arial"/>
        </w:rPr>
        <w:t>The proposed regulations (</w:t>
      </w:r>
      <w:r w:rsidR="00781E7A">
        <w:rPr>
          <w:rFonts w:ascii="Arial" w:hAnsi="Arial" w:cs="Arial"/>
        </w:rPr>
        <w:t>REG-101657-20</w:t>
      </w:r>
      <w:r w:rsidRPr="00AF00F5">
        <w:rPr>
          <w:rFonts w:ascii="Arial" w:hAnsi="Arial" w:cs="Arial"/>
        </w:rPr>
        <w:t>)</w:t>
      </w:r>
      <w:r w:rsidR="00781E7A">
        <w:rPr>
          <w:rFonts w:ascii="Arial" w:hAnsi="Arial" w:cs="Arial"/>
        </w:rPr>
        <w:t xml:space="preserve"> </w:t>
      </w:r>
      <w:r w:rsidR="00D260CA">
        <w:rPr>
          <w:rFonts w:ascii="Arial" w:hAnsi="Arial" w:cs="Arial"/>
        </w:rPr>
        <w:t>published on November 12, 2020 (</w:t>
      </w:r>
      <w:r w:rsidRPr="00D260CA" w:rsidR="00D260CA">
        <w:rPr>
          <w:rFonts w:ascii="Arial" w:hAnsi="Arial" w:cs="Arial"/>
        </w:rPr>
        <w:t>85 FR 72078)</w:t>
      </w:r>
      <w:r w:rsidR="00D260CA">
        <w:rPr>
          <w:rFonts w:ascii="Arial" w:hAnsi="Arial" w:cs="Arial"/>
        </w:rPr>
        <w:t xml:space="preserve"> </w:t>
      </w:r>
      <w:r w:rsidR="001E1A4F">
        <w:rPr>
          <w:rFonts w:ascii="Arial" w:hAnsi="Arial" w:cs="Arial"/>
        </w:rPr>
        <w:t>contained</w:t>
      </w:r>
      <w:r w:rsidR="00781E7A">
        <w:rPr>
          <w:rFonts w:ascii="Arial" w:hAnsi="Arial" w:cs="Arial"/>
        </w:rPr>
        <w:t xml:space="preserve"> a request for comment</w:t>
      </w:r>
      <w:r w:rsidR="00AC0ABB">
        <w:rPr>
          <w:rFonts w:ascii="Arial" w:hAnsi="Arial" w:cs="Arial"/>
        </w:rPr>
        <w:t xml:space="preserve">, including specifically with respect to this collection of information. </w:t>
      </w:r>
      <w:r w:rsidR="00BE4AFB">
        <w:rPr>
          <w:rFonts w:ascii="Arial" w:hAnsi="Arial" w:cs="Arial"/>
        </w:rPr>
        <w:t xml:space="preserve"> No comments were received. </w:t>
      </w:r>
    </w:p>
    <w:p w:rsidR="00721EB2" w:rsidRDefault="00721EB2" w14:paraId="7F68AF4B" w14:textId="77777777">
      <w:pPr>
        <w:rPr>
          <w:rFonts w:ascii="Arial" w:hAnsi="Arial" w:cs="Arial"/>
        </w:rPr>
      </w:pPr>
    </w:p>
    <w:p w:rsidRPr="00E278D9" w:rsidR="00C71D1B" w:rsidRDefault="00C71D1B" w14:paraId="2CA962DD" w14:textId="44C61D8E">
      <w:pPr>
        <w:rPr>
          <w:rFonts w:ascii="Arial" w:hAnsi="Arial" w:cs="Arial"/>
        </w:rPr>
        <w:sectPr w:rsidRPr="00E278D9" w:rsidR="00C71D1B" w:rsidSect="00F847BC">
          <w:headerReference w:type="default" r:id="rId17"/>
          <w:type w:val="continuous"/>
          <w:pgSz w:w="12240" w:h="15840"/>
          <w:pgMar w:top="1440" w:right="1440" w:bottom="1260" w:left="1440" w:header="1440" w:footer="1440" w:gutter="0"/>
          <w:cols w:space="720"/>
          <w:noEndnote/>
        </w:sectPr>
      </w:pPr>
    </w:p>
    <w:p w:rsidRPr="00E278D9" w:rsidR="00721EB2" w:rsidRDefault="00721EB2" w14:paraId="794271D4" w14:textId="77777777">
      <w:pPr>
        <w:pStyle w:val="Level1"/>
        <w:tabs>
          <w:tab w:val="left" w:pos="-1440"/>
          <w:tab w:val="num" w:pos="720"/>
        </w:tabs>
        <w:rPr>
          <w:rFonts w:ascii="Arial" w:hAnsi="Arial" w:cs="Arial"/>
          <w:b/>
        </w:rPr>
      </w:pPr>
      <w:r w:rsidRPr="00E278D9">
        <w:rPr>
          <w:rFonts w:ascii="Arial" w:hAnsi="Arial" w:cs="Arial"/>
          <w:b/>
          <w:u w:val="single"/>
        </w:rPr>
        <w:t>EXPLANATION OF DECISION TO PROVIDE ANY PAYMENT OR GIFT TO</w:t>
      </w:r>
      <w:r w:rsidRPr="00E278D9">
        <w:rPr>
          <w:rFonts w:ascii="Arial" w:hAnsi="Arial" w:cs="Arial"/>
          <w:b/>
        </w:rPr>
        <w:t xml:space="preserve">   </w:t>
      </w:r>
      <w:r w:rsidRPr="00E278D9">
        <w:rPr>
          <w:rFonts w:ascii="Arial" w:hAnsi="Arial" w:cs="Arial"/>
          <w:b/>
          <w:u w:val="single"/>
        </w:rPr>
        <w:t>RESPONDENTS</w:t>
      </w:r>
    </w:p>
    <w:p w:rsidRPr="00E278D9" w:rsidR="00721EB2" w:rsidRDefault="00721EB2" w14:paraId="0515BF0A" w14:textId="77777777">
      <w:pPr>
        <w:rPr>
          <w:rFonts w:ascii="Arial" w:hAnsi="Arial" w:cs="Arial"/>
          <w:b/>
        </w:rPr>
      </w:pPr>
    </w:p>
    <w:p w:rsidRPr="00E278D9" w:rsidR="002D1FE5" w:rsidP="00266ABE" w:rsidRDefault="0065166D" w14:paraId="1EBEA7FD" w14:textId="6ED08655">
      <w:pPr>
        <w:ind w:left="720"/>
        <w:rPr>
          <w:rFonts w:ascii="Arial" w:hAnsi="Arial" w:cs="Arial"/>
        </w:rPr>
      </w:pPr>
      <w:r w:rsidRPr="00E278D9">
        <w:rPr>
          <w:rFonts w:ascii="Arial" w:hAnsi="Arial" w:cs="Arial"/>
        </w:rPr>
        <w:t>No payment or gift has been provided to any respondents</w:t>
      </w:r>
      <w:r w:rsidRPr="00E278D9" w:rsidR="00721EB2">
        <w:rPr>
          <w:rFonts w:ascii="Arial" w:hAnsi="Arial" w:cs="Arial"/>
        </w:rPr>
        <w:t>.</w:t>
      </w:r>
    </w:p>
    <w:p w:rsidRPr="00E278D9" w:rsidR="00321C69" w:rsidRDefault="00321C69" w14:paraId="198AEEB5" w14:textId="77777777">
      <w:pPr>
        <w:rPr>
          <w:rFonts w:ascii="Arial" w:hAnsi="Arial" w:cs="Arial"/>
        </w:rPr>
      </w:pPr>
    </w:p>
    <w:p w:rsidRPr="00E278D9" w:rsidR="00721EB2" w:rsidRDefault="00721EB2" w14:paraId="01F44CAE" w14:textId="77777777">
      <w:pPr>
        <w:pStyle w:val="Level1"/>
        <w:tabs>
          <w:tab w:val="left" w:pos="-1440"/>
          <w:tab w:val="num" w:pos="720"/>
        </w:tabs>
        <w:rPr>
          <w:rFonts w:ascii="Arial" w:hAnsi="Arial" w:cs="Arial"/>
          <w:b/>
        </w:rPr>
      </w:pPr>
      <w:r w:rsidRPr="00E278D9">
        <w:rPr>
          <w:rFonts w:ascii="Arial" w:hAnsi="Arial" w:cs="Arial"/>
          <w:b/>
          <w:u w:val="single"/>
        </w:rPr>
        <w:t>ASSURANCE OF CONFIDENTIALITY OF RESPONSES</w:t>
      </w:r>
    </w:p>
    <w:p w:rsidRPr="00E278D9" w:rsidR="00721EB2" w:rsidRDefault="00721EB2" w14:paraId="142E6829" w14:textId="77777777">
      <w:pPr>
        <w:rPr>
          <w:rFonts w:ascii="Arial" w:hAnsi="Arial" w:cs="Arial"/>
          <w:b/>
        </w:rPr>
      </w:pPr>
    </w:p>
    <w:p w:rsidRPr="00E278D9" w:rsidR="00721EB2" w:rsidRDefault="00721EB2" w14:paraId="535EA22C" w14:textId="77777777">
      <w:pPr>
        <w:ind w:left="720"/>
        <w:rPr>
          <w:rFonts w:ascii="Arial" w:hAnsi="Arial" w:cs="Arial"/>
        </w:rPr>
      </w:pPr>
      <w:r w:rsidRPr="00E278D9">
        <w:rPr>
          <w:rFonts w:ascii="Arial" w:hAnsi="Arial" w:cs="Arial"/>
        </w:rPr>
        <w:t>Generally, tax returns and tax return information are confidential as required by 26 USC 6103.</w:t>
      </w:r>
    </w:p>
    <w:p w:rsidRPr="00E278D9" w:rsidR="00721EB2" w:rsidRDefault="00721EB2" w14:paraId="70804215" w14:textId="77777777">
      <w:pPr>
        <w:rPr>
          <w:rFonts w:ascii="Arial" w:hAnsi="Arial" w:cs="Arial"/>
        </w:rPr>
      </w:pPr>
    </w:p>
    <w:p w:rsidRPr="00E278D9" w:rsidR="00721EB2" w:rsidRDefault="00721EB2" w14:paraId="03740024" w14:textId="77777777">
      <w:pPr>
        <w:pStyle w:val="Level1"/>
        <w:tabs>
          <w:tab w:val="left" w:pos="-1440"/>
          <w:tab w:val="num" w:pos="720"/>
        </w:tabs>
        <w:rPr>
          <w:rFonts w:ascii="Arial" w:hAnsi="Arial" w:cs="Arial"/>
          <w:b/>
          <w:u w:val="single"/>
        </w:rPr>
      </w:pPr>
      <w:r w:rsidRPr="00E278D9">
        <w:rPr>
          <w:rFonts w:ascii="Arial" w:hAnsi="Arial" w:cs="Arial"/>
          <w:b/>
          <w:u w:val="single"/>
        </w:rPr>
        <w:t>JUSTIFICATION OF SENSITIVE QUESTIONS</w:t>
      </w:r>
    </w:p>
    <w:p w:rsidRPr="00E278D9" w:rsidR="008B0691" w:rsidP="00781E7A" w:rsidRDefault="008B0691" w14:paraId="291EE4CB" w14:textId="77777777">
      <w:pPr>
        <w:rPr>
          <w:rFonts w:ascii="Arial" w:hAnsi="Arial" w:cs="Arial"/>
          <w:u w:val="single"/>
        </w:rPr>
      </w:pPr>
    </w:p>
    <w:p w:rsidRPr="00E278D9" w:rsidR="008B0691" w:rsidP="008B0691" w:rsidRDefault="008B0691" w14:paraId="213C0E33" w14:textId="77777777">
      <w:pPr>
        <w:ind w:left="720"/>
        <w:rPr>
          <w:rFonts w:ascii="Arial" w:hAnsi="Arial" w:cs="Arial"/>
          <w:u w:val="single"/>
        </w:rPr>
      </w:pPr>
      <w:r w:rsidRPr="00E278D9">
        <w:rPr>
          <w:rFonts w:ascii="Arial" w:hAnsi="Arial" w:cs="Arial"/>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E278D9" w:rsidR="00721EB2" w:rsidRDefault="00721EB2" w14:paraId="65C6BCFD" w14:textId="77777777">
      <w:pPr>
        <w:rPr>
          <w:rFonts w:ascii="Arial" w:hAnsi="Arial" w:cs="Arial"/>
        </w:rPr>
      </w:pPr>
    </w:p>
    <w:p w:rsidRPr="00E278D9" w:rsidR="00721EB2" w:rsidRDefault="00721EB2" w14:paraId="144D2196" w14:textId="77777777">
      <w:pPr>
        <w:pStyle w:val="Level1"/>
        <w:tabs>
          <w:tab w:val="left" w:pos="-1440"/>
          <w:tab w:val="num" w:pos="720"/>
        </w:tabs>
        <w:rPr>
          <w:rFonts w:ascii="Arial" w:hAnsi="Arial" w:cs="Arial"/>
          <w:b/>
          <w:u w:val="single"/>
        </w:rPr>
      </w:pPr>
      <w:r w:rsidRPr="00E278D9">
        <w:rPr>
          <w:rFonts w:ascii="Arial" w:hAnsi="Arial" w:cs="Arial"/>
          <w:b/>
          <w:u w:val="single"/>
        </w:rPr>
        <w:t>ESTIMATED BURDEN OF INFORMATION COLLECTION</w:t>
      </w:r>
    </w:p>
    <w:p w:rsidR="00F9091F" w:rsidP="004D6752" w:rsidRDefault="00F9091F" w14:paraId="37D3C550" w14:textId="5245620E">
      <w:pPr>
        <w:rPr>
          <w:rFonts w:ascii="Arial" w:hAnsi="Arial" w:cs="Arial"/>
        </w:rPr>
      </w:pPr>
    </w:p>
    <w:p w:rsidRPr="003175A8" w:rsidR="003175A8" w:rsidP="003175A8" w:rsidRDefault="003175A8" w14:paraId="64CF7E80" w14:textId="20272100">
      <w:pPr>
        <w:pStyle w:val="SupportingStatementSTANDARD"/>
        <w:ind w:left="1440"/>
        <w:rPr>
          <w:rFonts w:ascii="Arial" w:hAnsi="Arial" w:cs="Arial"/>
        </w:rPr>
      </w:pPr>
      <w:r w:rsidRPr="003175A8">
        <w:rPr>
          <w:rFonts w:ascii="Arial" w:hAnsi="Arial" w:cs="Arial"/>
        </w:rPr>
        <w:t xml:space="preserve">Estimated total annual reporting burden: </w:t>
      </w:r>
      <w:r w:rsidR="001627AD">
        <w:rPr>
          <w:rFonts w:ascii="Arial" w:hAnsi="Arial" w:cs="Arial"/>
        </w:rPr>
        <w:t>22,8</w:t>
      </w:r>
      <w:r w:rsidRPr="003175A8">
        <w:rPr>
          <w:rFonts w:ascii="Arial" w:hAnsi="Arial" w:cs="Arial"/>
        </w:rPr>
        <w:t>00 hours</w:t>
      </w:r>
    </w:p>
    <w:p w:rsidRPr="003175A8" w:rsidR="003175A8" w:rsidP="003175A8" w:rsidRDefault="003175A8" w14:paraId="0734E280" w14:textId="2F7E5080">
      <w:pPr>
        <w:pStyle w:val="SupportingStatementSTANDARD"/>
        <w:ind w:left="1440"/>
        <w:rPr>
          <w:rFonts w:ascii="Arial" w:hAnsi="Arial" w:cs="Arial"/>
        </w:rPr>
      </w:pPr>
      <w:r w:rsidRPr="003175A8">
        <w:rPr>
          <w:rFonts w:ascii="Arial" w:hAnsi="Arial" w:cs="Arial"/>
        </w:rPr>
        <w:t>Estimated average annual burden per respondent: 2 hours</w:t>
      </w:r>
    </w:p>
    <w:p w:rsidRPr="003175A8" w:rsidR="003175A8" w:rsidP="003175A8" w:rsidRDefault="003175A8" w14:paraId="12E1EE7E" w14:textId="1829C934">
      <w:pPr>
        <w:pStyle w:val="SupportingStatementSTANDARD"/>
        <w:ind w:left="1440"/>
        <w:rPr>
          <w:rFonts w:ascii="Arial" w:hAnsi="Arial" w:cs="Arial"/>
        </w:rPr>
      </w:pPr>
      <w:r w:rsidRPr="003175A8">
        <w:rPr>
          <w:rFonts w:ascii="Arial" w:hAnsi="Arial" w:cs="Arial"/>
        </w:rPr>
        <w:t xml:space="preserve">Estimated number of respondents: </w:t>
      </w:r>
      <w:r w:rsidR="001627AD">
        <w:rPr>
          <w:rFonts w:ascii="Arial" w:hAnsi="Arial" w:cs="Arial"/>
        </w:rPr>
        <w:t>11,4</w:t>
      </w:r>
      <w:r w:rsidRPr="003175A8">
        <w:rPr>
          <w:rFonts w:ascii="Arial" w:hAnsi="Arial" w:cs="Arial"/>
        </w:rPr>
        <w:t xml:space="preserve">00 </w:t>
      </w:r>
    </w:p>
    <w:p w:rsidR="0065166D" w:rsidP="003175A8" w:rsidRDefault="003175A8" w14:paraId="3B128875" w14:textId="7B85DC14">
      <w:pPr>
        <w:pStyle w:val="SupportingStatementSTANDARD"/>
        <w:ind w:firstLine="0"/>
        <w:rPr>
          <w:rFonts w:ascii="Arial" w:hAnsi="Arial" w:cs="Arial"/>
        </w:rPr>
      </w:pPr>
      <w:r w:rsidRPr="003175A8">
        <w:rPr>
          <w:rFonts w:ascii="Arial" w:hAnsi="Arial" w:cs="Arial"/>
        </w:rPr>
        <w:t>Estimated frequency of responses: annually</w:t>
      </w:r>
    </w:p>
    <w:p w:rsidRPr="00E278D9" w:rsidR="000A304F" w:rsidP="003175A8" w:rsidRDefault="000A304F" w14:paraId="5958DCEE" w14:textId="77777777">
      <w:pPr>
        <w:pStyle w:val="SupportingStatementSTANDARD"/>
        <w:ind w:firstLine="0"/>
        <w:rPr>
          <w:rFonts w:ascii="Arial" w:hAnsi="Arial" w:cs="Arial"/>
        </w:rPr>
      </w:pP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76"/>
        <w:gridCol w:w="1737"/>
        <w:gridCol w:w="1603"/>
        <w:gridCol w:w="1545"/>
        <w:gridCol w:w="1364"/>
        <w:gridCol w:w="1205"/>
      </w:tblGrid>
      <w:tr w:rsidRPr="00E278D9" w:rsidR="0065166D" w:rsidTr="00DA7699" w14:paraId="30576779" w14:textId="77777777">
        <w:tc>
          <w:tcPr>
            <w:tcW w:w="1174" w:type="dxa"/>
            <w:shd w:val="clear" w:color="auto" w:fill="auto"/>
            <w:vAlign w:val="center"/>
          </w:tcPr>
          <w:p w:rsidRPr="00E278D9" w:rsidR="0065166D" w:rsidP="00606FDF" w:rsidRDefault="0065166D" w14:paraId="5109B92F" w14:textId="77777777">
            <w:pPr>
              <w:pStyle w:val="SupportingStatementSTANDARD"/>
              <w:ind w:left="0" w:firstLine="0"/>
              <w:jc w:val="center"/>
              <w:rPr>
                <w:rFonts w:ascii="Arial" w:hAnsi="Arial" w:cs="Arial"/>
                <w:b/>
                <w:bCs/>
              </w:rPr>
            </w:pPr>
            <w:r w:rsidRPr="00E278D9">
              <w:rPr>
                <w:rFonts w:ascii="Arial" w:hAnsi="Arial" w:cs="Arial"/>
                <w:b/>
                <w:bCs/>
              </w:rPr>
              <w:t>Section</w:t>
            </w:r>
          </w:p>
        </w:tc>
        <w:tc>
          <w:tcPr>
            <w:tcW w:w="1733" w:type="dxa"/>
            <w:shd w:val="clear" w:color="auto" w:fill="auto"/>
            <w:vAlign w:val="center"/>
          </w:tcPr>
          <w:p w:rsidRPr="00E278D9" w:rsidR="0065166D" w:rsidP="00606FDF" w:rsidRDefault="0065166D" w14:paraId="7D122141" w14:textId="77777777">
            <w:pPr>
              <w:pStyle w:val="SupportingStatementSTANDARD"/>
              <w:ind w:left="0" w:firstLine="0"/>
              <w:jc w:val="center"/>
              <w:rPr>
                <w:rFonts w:ascii="Arial" w:hAnsi="Arial" w:cs="Arial"/>
                <w:b/>
                <w:bCs/>
              </w:rPr>
            </w:pPr>
            <w:r w:rsidRPr="00E278D9">
              <w:rPr>
                <w:rFonts w:ascii="Arial" w:hAnsi="Arial" w:cs="Arial"/>
                <w:b/>
                <w:bCs/>
              </w:rPr>
              <w:t># Respondents</w:t>
            </w:r>
          </w:p>
        </w:tc>
        <w:tc>
          <w:tcPr>
            <w:tcW w:w="1599" w:type="dxa"/>
            <w:shd w:val="clear" w:color="auto" w:fill="auto"/>
            <w:vAlign w:val="center"/>
          </w:tcPr>
          <w:p w:rsidRPr="00E278D9" w:rsidR="0065166D" w:rsidP="00606FDF" w:rsidRDefault="0065166D" w14:paraId="3B92AB02" w14:textId="77777777">
            <w:pPr>
              <w:pStyle w:val="SupportingStatementSTANDARD"/>
              <w:ind w:left="0" w:firstLine="0"/>
              <w:jc w:val="center"/>
              <w:rPr>
                <w:rFonts w:ascii="Arial" w:hAnsi="Arial" w:cs="Arial"/>
                <w:b/>
                <w:bCs/>
              </w:rPr>
            </w:pPr>
            <w:r w:rsidRPr="00E278D9">
              <w:rPr>
                <w:rFonts w:ascii="Arial" w:hAnsi="Arial" w:cs="Arial"/>
                <w:b/>
                <w:bCs/>
              </w:rPr>
              <w:t># Responses Per Respondent</w:t>
            </w:r>
          </w:p>
        </w:tc>
        <w:tc>
          <w:tcPr>
            <w:tcW w:w="1548" w:type="dxa"/>
            <w:shd w:val="clear" w:color="auto" w:fill="auto"/>
            <w:vAlign w:val="center"/>
          </w:tcPr>
          <w:p w:rsidRPr="00E278D9" w:rsidR="0065166D" w:rsidP="00606FDF" w:rsidRDefault="0065166D" w14:paraId="04B730E4" w14:textId="77777777">
            <w:pPr>
              <w:pStyle w:val="SupportingStatementSTANDARD"/>
              <w:ind w:left="0" w:firstLine="0"/>
              <w:jc w:val="center"/>
              <w:rPr>
                <w:rFonts w:ascii="Arial" w:hAnsi="Arial" w:cs="Arial"/>
                <w:b/>
                <w:bCs/>
              </w:rPr>
            </w:pPr>
            <w:r w:rsidRPr="00E278D9">
              <w:rPr>
                <w:rFonts w:ascii="Arial" w:hAnsi="Arial" w:cs="Arial"/>
                <w:b/>
                <w:bCs/>
              </w:rPr>
              <w:t># Annual Responses</w:t>
            </w:r>
          </w:p>
        </w:tc>
        <w:tc>
          <w:tcPr>
            <w:tcW w:w="1361" w:type="dxa"/>
            <w:shd w:val="clear" w:color="auto" w:fill="auto"/>
            <w:vAlign w:val="center"/>
          </w:tcPr>
          <w:p w:rsidRPr="00E278D9" w:rsidR="0065166D" w:rsidP="00606FDF" w:rsidRDefault="0065166D" w14:paraId="02DB410C" w14:textId="77777777">
            <w:pPr>
              <w:pStyle w:val="SupportingStatementSTANDARD"/>
              <w:ind w:left="0" w:firstLine="0"/>
              <w:jc w:val="center"/>
              <w:rPr>
                <w:rFonts w:ascii="Arial" w:hAnsi="Arial" w:cs="Arial"/>
                <w:b/>
                <w:bCs/>
              </w:rPr>
            </w:pPr>
            <w:r w:rsidRPr="00E278D9">
              <w:rPr>
                <w:rFonts w:ascii="Arial" w:hAnsi="Arial" w:cs="Arial"/>
                <w:b/>
                <w:bCs/>
              </w:rPr>
              <w:t>Hours Per Response</w:t>
            </w:r>
          </w:p>
        </w:tc>
        <w:tc>
          <w:tcPr>
            <w:tcW w:w="1215" w:type="dxa"/>
            <w:shd w:val="clear" w:color="auto" w:fill="auto"/>
            <w:vAlign w:val="center"/>
          </w:tcPr>
          <w:p w:rsidRPr="00E278D9" w:rsidR="0065166D" w:rsidP="00606FDF" w:rsidRDefault="0065166D" w14:paraId="305B0EE6" w14:textId="77777777">
            <w:pPr>
              <w:pStyle w:val="SupportingStatementSTANDARD"/>
              <w:ind w:left="0" w:firstLine="0"/>
              <w:jc w:val="center"/>
              <w:rPr>
                <w:rFonts w:ascii="Arial" w:hAnsi="Arial" w:cs="Arial"/>
                <w:b/>
                <w:bCs/>
              </w:rPr>
            </w:pPr>
            <w:r w:rsidRPr="00E278D9">
              <w:rPr>
                <w:rFonts w:ascii="Arial" w:hAnsi="Arial" w:cs="Arial"/>
                <w:b/>
                <w:bCs/>
              </w:rPr>
              <w:t>Total Annual Burden</w:t>
            </w:r>
          </w:p>
        </w:tc>
      </w:tr>
      <w:tr w:rsidRPr="00E278D9" w:rsidR="0065166D" w:rsidTr="00DA7699" w14:paraId="0E75F01C" w14:textId="77777777">
        <w:tc>
          <w:tcPr>
            <w:tcW w:w="1174" w:type="dxa"/>
            <w:shd w:val="clear" w:color="auto" w:fill="auto"/>
            <w:vAlign w:val="center"/>
          </w:tcPr>
          <w:p w:rsidRPr="00E278D9" w:rsidR="0065166D" w:rsidP="0065166D" w:rsidRDefault="00F9091F" w14:paraId="2429563D" w14:textId="1C6187DE">
            <w:pPr>
              <w:pStyle w:val="SupportingStatementSTANDARD"/>
              <w:ind w:left="0" w:firstLine="0"/>
              <w:rPr>
                <w:rFonts w:ascii="Arial" w:hAnsi="Arial" w:cs="Arial"/>
              </w:rPr>
            </w:pPr>
            <w:r>
              <w:rPr>
                <w:rFonts w:ascii="Arial" w:hAnsi="Arial" w:cs="Arial"/>
              </w:rPr>
              <w:t xml:space="preserve">IRC </w:t>
            </w:r>
            <w:r w:rsidR="00600D99">
              <w:rPr>
                <w:rFonts w:ascii="Arial" w:hAnsi="Arial" w:cs="Arial"/>
              </w:rPr>
              <w:t>901/905</w:t>
            </w:r>
          </w:p>
        </w:tc>
        <w:tc>
          <w:tcPr>
            <w:tcW w:w="1733" w:type="dxa"/>
            <w:shd w:val="clear" w:color="auto" w:fill="auto"/>
            <w:vAlign w:val="center"/>
          </w:tcPr>
          <w:p w:rsidRPr="00E278D9" w:rsidR="0065166D" w:rsidP="00606FDF" w:rsidRDefault="001E1A4F" w14:paraId="60DE2E5C" w14:textId="16189F51">
            <w:pPr>
              <w:pStyle w:val="SupportingStatementSTANDARD"/>
              <w:ind w:left="0" w:firstLine="0"/>
              <w:jc w:val="center"/>
              <w:rPr>
                <w:rFonts w:ascii="Arial" w:hAnsi="Arial" w:cs="Arial"/>
              </w:rPr>
            </w:pPr>
            <w:r w:rsidRPr="001E1A4F">
              <w:rPr>
                <w:rFonts w:ascii="Arial" w:hAnsi="Arial" w:cs="Arial"/>
              </w:rPr>
              <w:t>11,400</w:t>
            </w:r>
          </w:p>
        </w:tc>
        <w:tc>
          <w:tcPr>
            <w:tcW w:w="1599" w:type="dxa"/>
            <w:shd w:val="clear" w:color="auto" w:fill="auto"/>
            <w:vAlign w:val="center"/>
          </w:tcPr>
          <w:p w:rsidRPr="00E278D9" w:rsidR="0065166D" w:rsidP="00606FDF" w:rsidRDefault="005D79B9" w14:paraId="46A57536" w14:textId="77777777">
            <w:pPr>
              <w:pStyle w:val="SupportingStatementSTANDARD"/>
              <w:ind w:left="0" w:firstLine="0"/>
              <w:jc w:val="center"/>
              <w:rPr>
                <w:rFonts w:ascii="Arial" w:hAnsi="Arial" w:cs="Arial"/>
              </w:rPr>
            </w:pPr>
            <w:r w:rsidRPr="00E278D9">
              <w:rPr>
                <w:rFonts w:ascii="Arial" w:hAnsi="Arial" w:cs="Arial"/>
              </w:rPr>
              <w:t>1</w:t>
            </w:r>
          </w:p>
        </w:tc>
        <w:tc>
          <w:tcPr>
            <w:tcW w:w="1548" w:type="dxa"/>
            <w:shd w:val="clear" w:color="auto" w:fill="auto"/>
            <w:vAlign w:val="center"/>
          </w:tcPr>
          <w:p w:rsidRPr="00E278D9" w:rsidR="0065166D" w:rsidP="00606FDF" w:rsidRDefault="001E1A4F" w14:paraId="548E60C6" w14:textId="4DCA60E5">
            <w:pPr>
              <w:pStyle w:val="SupportingStatementSTANDARD"/>
              <w:ind w:left="0" w:firstLine="0"/>
              <w:jc w:val="center"/>
              <w:rPr>
                <w:rFonts w:ascii="Arial" w:hAnsi="Arial" w:cs="Arial"/>
              </w:rPr>
            </w:pPr>
            <w:r w:rsidRPr="001E1A4F">
              <w:rPr>
                <w:rFonts w:ascii="Arial" w:hAnsi="Arial" w:cs="Arial"/>
              </w:rPr>
              <w:t>11,400</w:t>
            </w:r>
          </w:p>
        </w:tc>
        <w:tc>
          <w:tcPr>
            <w:tcW w:w="1361" w:type="dxa"/>
            <w:shd w:val="clear" w:color="auto" w:fill="auto"/>
            <w:vAlign w:val="center"/>
          </w:tcPr>
          <w:p w:rsidRPr="00E278D9" w:rsidR="0065166D" w:rsidP="00606FDF" w:rsidRDefault="00286862" w14:paraId="752362B2" w14:textId="330AB180">
            <w:pPr>
              <w:pStyle w:val="SupportingStatementSTANDARD"/>
              <w:ind w:left="0" w:firstLine="0"/>
              <w:jc w:val="center"/>
              <w:rPr>
                <w:rFonts w:ascii="Arial" w:hAnsi="Arial" w:cs="Arial"/>
              </w:rPr>
            </w:pPr>
            <w:r>
              <w:rPr>
                <w:rFonts w:ascii="Arial" w:hAnsi="Arial" w:cs="Arial"/>
              </w:rPr>
              <w:t>2</w:t>
            </w:r>
          </w:p>
        </w:tc>
        <w:tc>
          <w:tcPr>
            <w:tcW w:w="1215" w:type="dxa"/>
            <w:shd w:val="clear" w:color="auto" w:fill="auto"/>
            <w:vAlign w:val="center"/>
          </w:tcPr>
          <w:p w:rsidRPr="00E278D9" w:rsidR="0065166D" w:rsidP="00606FDF" w:rsidRDefault="001E1A4F" w14:paraId="698E2D8A" w14:textId="776A1721">
            <w:pPr>
              <w:pStyle w:val="SupportingStatementSTANDARD"/>
              <w:ind w:left="0" w:firstLine="0"/>
              <w:jc w:val="center"/>
              <w:rPr>
                <w:rFonts w:ascii="Arial" w:hAnsi="Arial" w:cs="Arial"/>
              </w:rPr>
            </w:pPr>
            <w:r>
              <w:rPr>
                <w:rFonts w:ascii="Arial" w:hAnsi="Arial" w:cs="Arial"/>
              </w:rPr>
              <w:t>22</w:t>
            </w:r>
            <w:r w:rsidR="00600D99">
              <w:rPr>
                <w:rFonts w:ascii="Arial" w:hAnsi="Arial" w:cs="Arial"/>
              </w:rPr>
              <w:t>,</w:t>
            </w:r>
            <w:r>
              <w:rPr>
                <w:rFonts w:ascii="Arial" w:hAnsi="Arial" w:cs="Arial"/>
              </w:rPr>
              <w:t>8</w:t>
            </w:r>
            <w:r w:rsidR="00600D99">
              <w:rPr>
                <w:rFonts w:ascii="Arial" w:hAnsi="Arial" w:cs="Arial"/>
              </w:rPr>
              <w:t>00</w:t>
            </w:r>
          </w:p>
        </w:tc>
      </w:tr>
      <w:tr w:rsidRPr="00E278D9" w:rsidR="0065166D" w:rsidTr="00DA7699" w14:paraId="087F8BB5" w14:textId="77777777">
        <w:tc>
          <w:tcPr>
            <w:tcW w:w="1174" w:type="dxa"/>
            <w:shd w:val="clear" w:color="auto" w:fill="auto"/>
            <w:vAlign w:val="center"/>
          </w:tcPr>
          <w:p w:rsidRPr="00E278D9" w:rsidR="0065166D" w:rsidP="0065166D" w:rsidRDefault="0065166D" w14:paraId="5D892801" w14:textId="70796678">
            <w:pPr>
              <w:pStyle w:val="SupportingStatementSTANDARD"/>
              <w:ind w:left="0" w:firstLine="0"/>
              <w:rPr>
                <w:rFonts w:ascii="Arial" w:hAnsi="Arial" w:cs="Arial"/>
              </w:rPr>
            </w:pPr>
          </w:p>
        </w:tc>
        <w:tc>
          <w:tcPr>
            <w:tcW w:w="1733" w:type="dxa"/>
            <w:shd w:val="clear" w:color="auto" w:fill="auto"/>
            <w:vAlign w:val="center"/>
          </w:tcPr>
          <w:p w:rsidRPr="00E278D9" w:rsidR="0065166D" w:rsidP="00606FDF" w:rsidRDefault="0065166D" w14:paraId="71D0934A" w14:textId="34E7A38F">
            <w:pPr>
              <w:pStyle w:val="SupportingStatementSTANDARD"/>
              <w:ind w:left="0" w:firstLine="0"/>
              <w:jc w:val="center"/>
              <w:rPr>
                <w:rFonts w:ascii="Arial" w:hAnsi="Arial" w:cs="Arial"/>
              </w:rPr>
            </w:pPr>
          </w:p>
        </w:tc>
        <w:tc>
          <w:tcPr>
            <w:tcW w:w="1599" w:type="dxa"/>
            <w:shd w:val="clear" w:color="auto" w:fill="auto"/>
            <w:vAlign w:val="center"/>
          </w:tcPr>
          <w:p w:rsidRPr="00E278D9" w:rsidR="0065166D" w:rsidP="00606FDF" w:rsidRDefault="0065166D" w14:paraId="69AF716C" w14:textId="781E13B9">
            <w:pPr>
              <w:pStyle w:val="SupportingStatementSTANDARD"/>
              <w:ind w:left="0" w:firstLine="0"/>
              <w:jc w:val="center"/>
              <w:rPr>
                <w:rFonts w:ascii="Arial" w:hAnsi="Arial" w:cs="Arial"/>
              </w:rPr>
            </w:pPr>
          </w:p>
        </w:tc>
        <w:tc>
          <w:tcPr>
            <w:tcW w:w="1548" w:type="dxa"/>
            <w:shd w:val="clear" w:color="auto" w:fill="auto"/>
            <w:vAlign w:val="center"/>
          </w:tcPr>
          <w:p w:rsidRPr="00E278D9" w:rsidR="0065166D" w:rsidP="00606FDF" w:rsidRDefault="0065166D" w14:paraId="0A9F19AC" w14:textId="27B57A35">
            <w:pPr>
              <w:pStyle w:val="SupportingStatementSTANDARD"/>
              <w:ind w:left="0" w:firstLine="0"/>
              <w:jc w:val="center"/>
              <w:rPr>
                <w:rFonts w:ascii="Arial" w:hAnsi="Arial" w:cs="Arial"/>
              </w:rPr>
            </w:pPr>
          </w:p>
        </w:tc>
        <w:tc>
          <w:tcPr>
            <w:tcW w:w="1361" w:type="dxa"/>
            <w:shd w:val="clear" w:color="auto" w:fill="auto"/>
            <w:vAlign w:val="center"/>
          </w:tcPr>
          <w:p w:rsidRPr="00E278D9" w:rsidR="0065166D" w:rsidP="00606FDF" w:rsidRDefault="0065166D" w14:paraId="14A8A25F" w14:textId="69D19106">
            <w:pPr>
              <w:pStyle w:val="SupportingStatementSTANDARD"/>
              <w:ind w:left="0" w:firstLine="0"/>
              <w:jc w:val="center"/>
              <w:rPr>
                <w:rFonts w:ascii="Arial" w:hAnsi="Arial" w:cs="Arial"/>
              </w:rPr>
            </w:pPr>
          </w:p>
        </w:tc>
        <w:tc>
          <w:tcPr>
            <w:tcW w:w="1215" w:type="dxa"/>
            <w:shd w:val="clear" w:color="auto" w:fill="auto"/>
            <w:vAlign w:val="center"/>
          </w:tcPr>
          <w:p w:rsidRPr="00E278D9" w:rsidR="0065166D" w:rsidP="00606FDF" w:rsidRDefault="0065166D" w14:paraId="2469C38C" w14:textId="743D2C18">
            <w:pPr>
              <w:pStyle w:val="SupportingStatementSTANDARD"/>
              <w:ind w:left="0" w:firstLine="0"/>
              <w:jc w:val="center"/>
              <w:rPr>
                <w:rFonts w:ascii="Arial" w:hAnsi="Arial" w:cs="Arial"/>
              </w:rPr>
            </w:pPr>
          </w:p>
        </w:tc>
      </w:tr>
      <w:tr w:rsidRPr="00E278D9" w:rsidR="008739D6" w:rsidTr="00DA7699" w14:paraId="67F49491" w14:textId="77777777">
        <w:trPr>
          <w:trHeight w:val="557"/>
        </w:trPr>
        <w:tc>
          <w:tcPr>
            <w:tcW w:w="1174" w:type="dxa"/>
            <w:shd w:val="clear" w:color="auto" w:fill="auto"/>
            <w:vAlign w:val="center"/>
          </w:tcPr>
          <w:p w:rsidRPr="00E278D9" w:rsidR="008739D6" w:rsidP="00606FDF" w:rsidRDefault="008739D6" w14:paraId="411D53B2" w14:textId="77777777">
            <w:pPr>
              <w:pStyle w:val="SupportingStatementSTANDARD"/>
              <w:ind w:left="0" w:firstLine="0"/>
              <w:rPr>
                <w:rFonts w:ascii="Arial" w:hAnsi="Arial" w:cs="Arial"/>
                <w:b/>
                <w:bCs/>
              </w:rPr>
            </w:pPr>
            <w:r w:rsidRPr="00E278D9">
              <w:rPr>
                <w:rFonts w:ascii="Arial" w:hAnsi="Arial" w:cs="Arial"/>
                <w:b/>
                <w:bCs/>
              </w:rPr>
              <w:t>TOTALS</w:t>
            </w:r>
          </w:p>
        </w:tc>
        <w:tc>
          <w:tcPr>
            <w:tcW w:w="1733" w:type="dxa"/>
            <w:shd w:val="clear" w:color="auto" w:fill="auto"/>
            <w:vAlign w:val="center"/>
          </w:tcPr>
          <w:p w:rsidRPr="00E278D9" w:rsidR="008739D6" w:rsidP="00606FDF" w:rsidRDefault="001E1A4F" w14:paraId="1D20A6FD" w14:textId="49A4AE95">
            <w:pPr>
              <w:pStyle w:val="SupportingStatementSTANDARD"/>
              <w:ind w:left="0" w:firstLine="0"/>
              <w:jc w:val="center"/>
              <w:rPr>
                <w:rFonts w:ascii="Arial" w:hAnsi="Arial" w:cs="Arial"/>
                <w:b/>
                <w:bCs/>
              </w:rPr>
            </w:pPr>
            <w:r w:rsidRPr="001E1A4F">
              <w:rPr>
                <w:rFonts w:ascii="Arial" w:hAnsi="Arial" w:cs="Arial"/>
              </w:rPr>
              <w:t>11,400</w:t>
            </w:r>
          </w:p>
        </w:tc>
        <w:tc>
          <w:tcPr>
            <w:tcW w:w="1599" w:type="dxa"/>
            <w:shd w:val="clear" w:color="auto" w:fill="auto"/>
            <w:vAlign w:val="center"/>
          </w:tcPr>
          <w:p w:rsidRPr="00E278D9" w:rsidR="008739D6" w:rsidP="00606FDF" w:rsidRDefault="008739D6" w14:paraId="08B2EACA" w14:textId="77777777">
            <w:pPr>
              <w:pStyle w:val="SupportingStatementSTANDARD"/>
              <w:ind w:left="0" w:firstLine="0"/>
              <w:jc w:val="center"/>
              <w:rPr>
                <w:rFonts w:ascii="Arial" w:hAnsi="Arial" w:cs="Arial"/>
                <w:b/>
                <w:bCs/>
              </w:rPr>
            </w:pPr>
          </w:p>
        </w:tc>
        <w:tc>
          <w:tcPr>
            <w:tcW w:w="1548" w:type="dxa"/>
            <w:shd w:val="clear" w:color="auto" w:fill="auto"/>
            <w:vAlign w:val="center"/>
          </w:tcPr>
          <w:p w:rsidRPr="00E278D9" w:rsidR="008739D6" w:rsidP="00606FDF" w:rsidRDefault="001E1A4F" w14:paraId="52E607AC" w14:textId="67F41811">
            <w:pPr>
              <w:pStyle w:val="SupportingStatementSTANDARD"/>
              <w:ind w:left="0" w:firstLine="0"/>
              <w:jc w:val="center"/>
              <w:rPr>
                <w:rFonts w:ascii="Arial" w:hAnsi="Arial" w:cs="Arial"/>
                <w:b/>
                <w:bCs/>
              </w:rPr>
            </w:pPr>
            <w:r w:rsidRPr="001E1A4F">
              <w:rPr>
                <w:rFonts w:ascii="Arial" w:hAnsi="Arial" w:cs="Arial"/>
              </w:rPr>
              <w:t>11,400</w:t>
            </w:r>
          </w:p>
        </w:tc>
        <w:tc>
          <w:tcPr>
            <w:tcW w:w="1361" w:type="dxa"/>
            <w:shd w:val="clear" w:color="auto" w:fill="auto"/>
            <w:vAlign w:val="center"/>
          </w:tcPr>
          <w:p w:rsidRPr="00E278D9" w:rsidR="008739D6" w:rsidP="00606FDF" w:rsidRDefault="008739D6" w14:paraId="5DC1257A" w14:textId="77777777">
            <w:pPr>
              <w:pStyle w:val="SupportingStatementSTANDARD"/>
              <w:ind w:left="0" w:firstLine="0"/>
              <w:jc w:val="center"/>
              <w:rPr>
                <w:rFonts w:ascii="Arial" w:hAnsi="Arial" w:cs="Arial"/>
              </w:rPr>
            </w:pPr>
          </w:p>
        </w:tc>
        <w:tc>
          <w:tcPr>
            <w:tcW w:w="1215" w:type="dxa"/>
            <w:shd w:val="clear" w:color="auto" w:fill="auto"/>
            <w:vAlign w:val="center"/>
          </w:tcPr>
          <w:p w:rsidRPr="00E278D9" w:rsidR="008739D6" w:rsidP="00606FDF" w:rsidRDefault="001E1A4F" w14:paraId="55C7AAE9" w14:textId="3C06360A">
            <w:pPr>
              <w:pStyle w:val="SupportingStatementSTANDARD"/>
              <w:ind w:left="0" w:firstLine="0"/>
              <w:jc w:val="center"/>
              <w:rPr>
                <w:rFonts w:ascii="Arial" w:hAnsi="Arial" w:cs="Arial"/>
                <w:b/>
                <w:bCs/>
              </w:rPr>
            </w:pPr>
            <w:r>
              <w:rPr>
                <w:rFonts w:ascii="Arial" w:hAnsi="Arial" w:cs="Arial"/>
              </w:rPr>
              <w:t>22,800</w:t>
            </w:r>
          </w:p>
        </w:tc>
      </w:tr>
    </w:tbl>
    <w:p w:rsidRPr="00E278D9" w:rsidR="0065166D" w:rsidP="0065166D" w:rsidRDefault="0065166D" w14:paraId="2CF47C68" w14:textId="77777777">
      <w:pPr>
        <w:pStyle w:val="SupportingStatementSTANDARD"/>
        <w:rPr>
          <w:rFonts w:ascii="Arial" w:hAnsi="Arial" w:cs="Arial"/>
        </w:rPr>
      </w:pPr>
    </w:p>
    <w:p w:rsidRPr="00E278D9" w:rsidR="0065166D" w:rsidP="00D5785F" w:rsidRDefault="0065166D" w14:paraId="6CB0274D" w14:textId="77777777">
      <w:pPr>
        <w:pStyle w:val="Level1"/>
        <w:numPr>
          <w:ilvl w:val="0"/>
          <w:numId w:val="0"/>
        </w:numPr>
        <w:tabs>
          <w:tab w:val="left" w:pos="-1440"/>
        </w:tabs>
        <w:rPr>
          <w:rFonts w:ascii="Arial" w:hAnsi="Arial" w:cs="Arial"/>
          <w:b/>
          <w:u w:val="single"/>
        </w:rPr>
      </w:pPr>
    </w:p>
    <w:p w:rsidRPr="00E278D9" w:rsidR="00721EB2" w:rsidP="00D5785F" w:rsidRDefault="00721EB2" w14:paraId="3CE0A84A" w14:textId="77777777">
      <w:pPr>
        <w:pStyle w:val="Level1"/>
        <w:tabs>
          <w:tab w:val="left" w:pos="-1440"/>
        </w:tabs>
        <w:rPr>
          <w:rFonts w:ascii="Arial" w:hAnsi="Arial" w:cs="Arial"/>
          <w:b/>
        </w:rPr>
      </w:pPr>
      <w:r w:rsidRPr="00E278D9">
        <w:rPr>
          <w:rFonts w:ascii="Arial" w:hAnsi="Arial" w:cs="Arial"/>
          <w:b/>
          <w:u w:val="single"/>
        </w:rPr>
        <w:t>ESTIMATED TOTAL ANNUAL COST BURDEN TO RESPONDENTS</w:t>
      </w:r>
    </w:p>
    <w:p w:rsidRPr="00AF00F5" w:rsidR="00AF00F5" w:rsidP="00600D99" w:rsidRDefault="00AF00F5" w14:paraId="33017B31" w14:textId="77777777">
      <w:pPr>
        <w:rPr>
          <w:rFonts w:ascii="Arial" w:hAnsi="Arial" w:cs="Arial"/>
        </w:rPr>
      </w:pPr>
    </w:p>
    <w:p w:rsidR="00721EB2" w:rsidP="00600D99" w:rsidRDefault="00632F03" w14:paraId="3B33747F" w14:textId="4768BFF7">
      <w:pPr>
        <w:ind w:left="720"/>
        <w:rPr>
          <w:rFonts w:ascii="Arial" w:hAnsi="Arial" w:cs="Arial"/>
        </w:rPr>
      </w:pPr>
      <w:r w:rsidRPr="00632F03">
        <w:rPr>
          <w:rFonts w:ascii="Arial" w:hAnsi="Arial" w:cs="Arial"/>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E278D9" w:rsidR="00600D99" w:rsidP="00600D99" w:rsidRDefault="00600D99" w14:paraId="7BDC9B8B" w14:textId="77777777">
      <w:pPr>
        <w:ind w:left="720"/>
        <w:rPr>
          <w:rFonts w:ascii="Arial" w:hAnsi="Arial" w:cs="Arial"/>
        </w:rPr>
      </w:pPr>
    </w:p>
    <w:p w:rsidRPr="00E278D9" w:rsidR="00721EB2" w:rsidRDefault="00721EB2" w14:paraId="4008F03F" w14:textId="77777777">
      <w:pPr>
        <w:pStyle w:val="Level1"/>
        <w:tabs>
          <w:tab w:val="left" w:pos="-1440"/>
          <w:tab w:val="num" w:pos="720"/>
        </w:tabs>
        <w:rPr>
          <w:rFonts w:ascii="Arial" w:hAnsi="Arial" w:cs="Arial"/>
          <w:b/>
        </w:rPr>
      </w:pPr>
      <w:r w:rsidRPr="00E278D9">
        <w:rPr>
          <w:rFonts w:ascii="Arial" w:hAnsi="Arial" w:cs="Arial"/>
          <w:b/>
          <w:u w:val="single"/>
        </w:rPr>
        <w:t>ESTIMATED ANNUALIZED COST TO THE FEDERAL GOVERNMENT</w:t>
      </w:r>
    </w:p>
    <w:p w:rsidRPr="00E278D9" w:rsidR="00721EB2" w:rsidRDefault="00721EB2" w14:paraId="31F57EFF" w14:textId="77777777">
      <w:pPr>
        <w:rPr>
          <w:rFonts w:ascii="Arial" w:hAnsi="Arial" w:cs="Arial"/>
          <w:b/>
        </w:rPr>
      </w:pPr>
    </w:p>
    <w:p w:rsidR="0023406D" w:rsidP="00600D99" w:rsidRDefault="00632F03" w14:paraId="0BA0CEAF" w14:textId="4ECD994B">
      <w:pPr>
        <w:ind w:left="720"/>
        <w:rPr>
          <w:rFonts w:ascii="Arial" w:hAnsi="Arial" w:cs="Arial"/>
        </w:rPr>
      </w:pPr>
      <w:r w:rsidRPr="00632F03">
        <w:rPr>
          <w:rFonts w:ascii="Arial" w:hAnsi="Arial" w:cs="Arial"/>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E278D9" w:rsidR="00600D99" w:rsidP="0023406D" w:rsidRDefault="00600D99" w14:paraId="09C878CB" w14:textId="77777777">
      <w:pPr>
        <w:rPr>
          <w:rFonts w:ascii="Arial" w:hAnsi="Arial" w:cs="Arial"/>
        </w:rPr>
      </w:pPr>
    </w:p>
    <w:p w:rsidRPr="00E278D9" w:rsidR="00721EB2" w:rsidRDefault="00721EB2" w14:paraId="3325CCCB" w14:textId="77777777">
      <w:pPr>
        <w:pStyle w:val="Level1"/>
        <w:tabs>
          <w:tab w:val="left" w:pos="-1440"/>
          <w:tab w:val="num" w:pos="720"/>
        </w:tabs>
        <w:rPr>
          <w:rFonts w:ascii="Arial" w:hAnsi="Arial" w:cs="Arial"/>
          <w:b/>
        </w:rPr>
      </w:pPr>
      <w:r w:rsidRPr="00E278D9">
        <w:rPr>
          <w:rFonts w:ascii="Arial" w:hAnsi="Arial" w:cs="Arial"/>
          <w:b/>
          <w:u w:val="single"/>
        </w:rPr>
        <w:t>REASONS FOR CHANGE IN BURDEN</w:t>
      </w:r>
    </w:p>
    <w:p w:rsidRPr="00E278D9" w:rsidR="00721EB2" w:rsidRDefault="00721EB2" w14:paraId="4C2E4A95" w14:textId="77777777">
      <w:pPr>
        <w:rPr>
          <w:rFonts w:ascii="Arial" w:hAnsi="Arial" w:cs="Arial"/>
          <w:b/>
        </w:rPr>
      </w:pPr>
    </w:p>
    <w:p w:rsidR="00D260CA" w:rsidP="00473C1E" w:rsidRDefault="00D260CA" w14:paraId="552E5DB5" w14:textId="77777777">
      <w:pPr>
        <w:pStyle w:val="NormalWeb"/>
        <w:shd w:val="clear" w:color="auto" w:fill="FFFFFF"/>
        <w:spacing w:before="0" w:beforeAutospacing="0" w:after="0" w:afterAutospacing="0"/>
        <w:ind w:left="720"/>
        <w:rPr>
          <w:rFonts w:ascii="Arial" w:hAnsi="Arial" w:cs="Arial"/>
        </w:rPr>
      </w:pPr>
      <w:r w:rsidRPr="00D260CA">
        <w:rPr>
          <w:rFonts w:ascii="Arial" w:hAnsi="Arial" w:cs="Arial"/>
        </w:rPr>
        <w:t>This is a request for a new OMB control number for collections of information in new regulations that are not on existing IRS forms. The number of potentially affected taxpayers increased relative to the burden estimate in the proposed regulations because the final regulations expand the availability of the election to taxpayers claiming foreign tax credits on the cash basis.</w:t>
      </w:r>
    </w:p>
    <w:p w:rsidR="00D260CA" w:rsidP="00473C1E" w:rsidRDefault="00D260CA" w14:paraId="0E6310FE" w14:textId="77777777">
      <w:pPr>
        <w:pStyle w:val="NormalWeb"/>
        <w:shd w:val="clear" w:color="auto" w:fill="FFFFFF"/>
        <w:spacing w:before="0" w:beforeAutospacing="0" w:after="0" w:afterAutospacing="0"/>
        <w:ind w:left="720"/>
        <w:rPr>
          <w:rFonts w:ascii="Arial" w:hAnsi="Arial" w:cs="Arial"/>
        </w:rPr>
      </w:pPr>
    </w:p>
    <w:p w:rsidR="00473C1E" w:rsidP="00473C1E" w:rsidRDefault="00473C1E" w14:paraId="6C535120" w14:textId="66CE2B61">
      <w:pPr>
        <w:pStyle w:val="NormalWeb"/>
        <w:shd w:val="clear" w:color="auto" w:fill="FFFFFF"/>
        <w:spacing w:before="0" w:beforeAutospacing="0" w:after="0" w:afterAutospacing="0"/>
        <w:ind w:left="720"/>
        <w:rPr>
          <w:rFonts w:ascii="Arial" w:hAnsi="Arial" w:cs="Arial"/>
          <w:color w:val="000000"/>
        </w:rPr>
      </w:pPr>
      <w:r w:rsidRPr="00473C1E">
        <w:rPr>
          <w:rFonts w:ascii="Arial" w:hAnsi="Arial" w:cs="Arial"/>
          <w:color w:val="000000"/>
        </w:rPr>
        <w:t xml:space="preserve">Annual Responses and Burden with Changes: </w:t>
      </w:r>
    </w:p>
    <w:p w:rsidR="000A304F" w:rsidP="00473C1E" w:rsidRDefault="000A304F" w14:paraId="4AB5265F" w14:textId="77777777">
      <w:pPr>
        <w:pStyle w:val="NormalWeb"/>
        <w:shd w:val="clear" w:color="auto" w:fill="FFFFFF"/>
        <w:spacing w:before="0" w:beforeAutospacing="0" w:after="0" w:afterAutospacing="0"/>
        <w:ind w:left="720"/>
        <w:rPr>
          <w:rFonts w:ascii="Arial" w:hAnsi="Arial" w:cs="Arial"/>
          <w:color w:val="000000"/>
        </w:rPr>
      </w:pPr>
    </w:p>
    <w:tbl>
      <w:tblPr>
        <w:tblStyle w:val="TableGrid"/>
        <w:tblW w:w="10800" w:type="dxa"/>
        <w:tblInd w:w="-545" w:type="dxa"/>
        <w:tblLook w:val="04A0" w:firstRow="1" w:lastRow="0" w:firstColumn="1" w:lastColumn="0" w:noHBand="0" w:noVBand="1"/>
      </w:tblPr>
      <w:tblGrid>
        <w:gridCol w:w="1728"/>
        <w:gridCol w:w="1694"/>
        <w:gridCol w:w="1249"/>
        <w:gridCol w:w="1275"/>
        <w:gridCol w:w="1467"/>
        <w:gridCol w:w="1256"/>
        <w:gridCol w:w="2131"/>
      </w:tblGrid>
      <w:tr w:rsidRPr="003C1E30" w:rsidR="00473C1E" w:rsidTr="005C0478" w14:paraId="2B68AAE0" w14:textId="77777777">
        <w:tc>
          <w:tcPr>
            <w:tcW w:w="1728" w:type="dxa"/>
          </w:tcPr>
          <w:p w:rsidRPr="003C1E30" w:rsidR="00473C1E" w:rsidP="005C0478" w:rsidRDefault="00473C1E" w14:paraId="535C2BCA" w14:textId="77777777">
            <w:pPr>
              <w:tabs>
                <w:tab w:val="left" w:pos="1545"/>
              </w:tabs>
              <w:rPr>
                <w:rFonts w:ascii="Arial Narrow" w:hAnsi="Arial Narrow" w:cstheme="minorHAnsi"/>
                <w:sz w:val="18"/>
                <w:szCs w:val="18"/>
              </w:rPr>
            </w:pPr>
          </w:p>
        </w:tc>
        <w:tc>
          <w:tcPr>
            <w:tcW w:w="1694" w:type="dxa"/>
          </w:tcPr>
          <w:p w:rsidRPr="003C1E30" w:rsidR="00473C1E" w:rsidP="005C0478" w:rsidRDefault="00473C1E" w14:paraId="1208C545" w14:textId="77777777">
            <w:pPr>
              <w:tabs>
                <w:tab w:val="left" w:pos="1545"/>
              </w:tabs>
              <w:rPr>
                <w:rFonts w:ascii="Arial Narrow" w:hAnsi="Arial Narrow" w:cstheme="minorHAnsi"/>
                <w:b/>
                <w:bCs/>
                <w:color w:val="000000"/>
                <w:sz w:val="18"/>
                <w:szCs w:val="18"/>
              </w:rPr>
            </w:pPr>
            <w:r w:rsidRPr="003C1E30">
              <w:rPr>
                <w:rFonts w:ascii="Arial Narrow" w:hAnsi="Arial Narrow" w:cstheme="minorHAnsi"/>
                <w:b/>
                <w:bCs/>
                <w:color w:val="000000"/>
                <w:sz w:val="18"/>
                <w:szCs w:val="18"/>
              </w:rPr>
              <w:t xml:space="preserve"> FY 202</w:t>
            </w:r>
            <w:r>
              <w:rPr>
                <w:rFonts w:ascii="Arial Narrow" w:hAnsi="Arial Narrow" w:cstheme="minorHAnsi"/>
                <w:b/>
                <w:bCs/>
                <w:color w:val="000000"/>
                <w:sz w:val="18"/>
                <w:szCs w:val="18"/>
              </w:rPr>
              <w:t>1</w:t>
            </w:r>
          </w:p>
          <w:p w:rsidRPr="003C1E30" w:rsidR="00473C1E" w:rsidP="005C0478" w:rsidRDefault="00473C1E" w14:paraId="75849638" w14:textId="77777777">
            <w:pPr>
              <w:tabs>
                <w:tab w:val="left" w:pos="1545"/>
              </w:tabs>
              <w:rPr>
                <w:rFonts w:ascii="Arial Narrow" w:hAnsi="Arial Narrow" w:cstheme="minorHAnsi"/>
                <w:b/>
                <w:bCs/>
                <w:color w:val="000000"/>
                <w:sz w:val="18"/>
                <w:szCs w:val="18"/>
              </w:rPr>
            </w:pPr>
          </w:p>
          <w:p w:rsidRPr="003C1E30" w:rsidR="00473C1E" w:rsidP="005C0478" w:rsidRDefault="00473C1E" w14:paraId="7A83DE59" w14:textId="77777777">
            <w:pPr>
              <w:tabs>
                <w:tab w:val="left" w:pos="1545"/>
              </w:tabs>
              <w:rPr>
                <w:rFonts w:ascii="Arial Narrow" w:hAnsi="Arial Narrow" w:cstheme="minorHAnsi"/>
                <w:sz w:val="18"/>
                <w:szCs w:val="18"/>
              </w:rPr>
            </w:pPr>
            <w:r w:rsidRPr="003C1E30">
              <w:rPr>
                <w:rFonts w:ascii="Arial Narrow" w:hAnsi="Arial Narrow" w:cstheme="minorHAnsi"/>
                <w:b/>
                <w:bCs/>
                <w:color w:val="000000"/>
                <w:sz w:val="18"/>
                <w:szCs w:val="18"/>
              </w:rPr>
              <w:t>Requested</w:t>
            </w:r>
          </w:p>
        </w:tc>
        <w:tc>
          <w:tcPr>
            <w:tcW w:w="1249" w:type="dxa"/>
          </w:tcPr>
          <w:p w:rsidRPr="003C1E30" w:rsidR="00473C1E" w:rsidP="005C0478" w:rsidRDefault="00473C1E" w14:paraId="2FF5EDDA" w14:textId="77777777">
            <w:pPr>
              <w:tabs>
                <w:tab w:val="left" w:pos="1545"/>
              </w:tabs>
              <w:rPr>
                <w:rFonts w:ascii="Arial Narrow" w:hAnsi="Arial Narrow" w:cstheme="minorHAnsi"/>
                <w:sz w:val="18"/>
                <w:szCs w:val="18"/>
              </w:rPr>
            </w:pPr>
            <w:r w:rsidRPr="003C1E30">
              <w:rPr>
                <w:rFonts w:ascii="Arial Narrow" w:hAnsi="Arial Narrow" w:cstheme="minorHAnsi"/>
                <w:b/>
                <w:bCs/>
                <w:color w:val="000000"/>
                <w:sz w:val="18"/>
                <w:szCs w:val="18"/>
              </w:rPr>
              <w:t>Program Change Due to New Statute</w:t>
            </w:r>
          </w:p>
        </w:tc>
        <w:tc>
          <w:tcPr>
            <w:tcW w:w="1275" w:type="dxa"/>
          </w:tcPr>
          <w:p w:rsidRPr="003C1E30" w:rsidR="00473C1E" w:rsidP="005C0478" w:rsidRDefault="00473C1E" w14:paraId="08B27EDE" w14:textId="77777777">
            <w:pPr>
              <w:tabs>
                <w:tab w:val="left" w:pos="1545"/>
              </w:tabs>
              <w:rPr>
                <w:rFonts w:ascii="Arial Narrow" w:hAnsi="Arial Narrow" w:cstheme="minorHAnsi"/>
                <w:sz w:val="18"/>
                <w:szCs w:val="18"/>
              </w:rPr>
            </w:pPr>
            <w:r w:rsidRPr="003C1E30">
              <w:rPr>
                <w:rFonts w:ascii="Arial Narrow" w:hAnsi="Arial Narrow" w:cstheme="minorHAnsi"/>
                <w:b/>
                <w:bCs/>
                <w:color w:val="000000"/>
                <w:sz w:val="18"/>
                <w:szCs w:val="18"/>
              </w:rPr>
              <w:t>Program Change Due to Agency Discretion</w:t>
            </w:r>
          </w:p>
        </w:tc>
        <w:tc>
          <w:tcPr>
            <w:tcW w:w="1467" w:type="dxa"/>
          </w:tcPr>
          <w:p w:rsidRPr="003C1E30" w:rsidR="00473C1E" w:rsidP="005C0478" w:rsidRDefault="00473C1E" w14:paraId="42B9C6BE" w14:textId="77777777">
            <w:pPr>
              <w:tabs>
                <w:tab w:val="left" w:pos="1545"/>
              </w:tabs>
              <w:rPr>
                <w:rFonts w:ascii="Arial Narrow" w:hAnsi="Arial Narrow" w:cstheme="minorHAnsi"/>
                <w:sz w:val="18"/>
                <w:szCs w:val="18"/>
              </w:rPr>
            </w:pPr>
            <w:r w:rsidRPr="003C1E30">
              <w:rPr>
                <w:rFonts w:ascii="Arial Narrow" w:hAnsi="Arial Narrow" w:cstheme="minorHAnsi"/>
                <w:b/>
                <w:bCs/>
                <w:color w:val="000000"/>
                <w:sz w:val="18"/>
                <w:szCs w:val="18"/>
              </w:rPr>
              <w:t>Change Due to Adjustment in Agency Estimate</w:t>
            </w:r>
          </w:p>
        </w:tc>
        <w:tc>
          <w:tcPr>
            <w:tcW w:w="1256" w:type="dxa"/>
          </w:tcPr>
          <w:p w:rsidRPr="003C1E30" w:rsidR="00473C1E" w:rsidP="005C0478" w:rsidRDefault="00473C1E" w14:paraId="6C0A346C" w14:textId="77777777">
            <w:pPr>
              <w:tabs>
                <w:tab w:val="left" w:pos="1545"/>
              </w:tabs>
              <w:rPr>
                <w:rFonts w:ascii="Arial Narrow" w:hAnsi="Arial Narrow" w:cstheme="minorHAnsi"/>
                <w:sz w:val="18"/>
                <w:szCs w:val="18"/>
              </w:rPr>
            </w:pPr>
            <w:r w:rsidRPr="003C1E30">
              <w:rPr>
                <w:rFonts w:ascii="Arial Narrow" w:hAnsi="Arial Narrow" w:cstheme="minorHAnsi"/>
                <w:b/>
                <w:bCs/>
                <w:color w:val="000000"/>
                <w:sz w:val="18"/>
                <w:szCs w:val="18"/>
              </w:rPr>
              <w:t>Change Due to Potential Violation of the PRA</w:t>
            </w:r>
          </w:p>
        </w:tc>
        <w:tc>
          <w:tcPr>
            <w:tcW w:w="2131" w:type="dxa"/>
          </w:tcPr>
          <w:p w:rsidRPr="00A81717" w:rsidR="00473C1E" w:rsidP="005C0478" w:rsidRDefault="00473C1E" w14:paraId="5E8A056C" w14:textId="77777777">
            <w:pPr>
              <w:tabs>
                <w:tab w:val="left" w:pos="1545"/>
              </w:tabs>
              <w:rPr>
                <w:rFonts w:ascii="Arial Narrow" w:hAnsi="Arial Narrow" w:cstheme="minorHAnsi"/>
                <w:b/>
                <w:bCs/>
                <w:sz w:val="18"/>
                <w:szCs w:val="18"/>
              </w:rPr>
            </w:pPr>
            <w:r w:rsidRPr="00A81717">
              <w:rPr>
                <w:rFonts w:ascii="Arial Narrow" w:hAnsi="Arial Narrow" w:cstheme="minorHAnsi"/>
                <w:b/>
                <w:bCs/>
                <w:sz w:val="18"/>
                <w:szCs w:val="18"/>
              </w:rPr>
              <w:t>FY 2020</w:t>
            </w:r>
          </w:p>
          <w:p w:rsidRPr="003C1E30" w:rsidR="00473C1E" w:rsidP="005C0478" w:rsidRDefault="00473C1E" w14:paraId="6FFEF98A" w14:textId="77777777">
            <w:pPr>
              <w:tabs>
                <w:tab w:val="left" w:pos="1545"/>
              </w:tabs>
              <w:rPr>
                <w:rFonts w:ascii="Arial Narrow" w:hAnsi="Arial Narrow" w:cstheme="minorHAnsi"/>
                <w:sz w:val="18"/>
                <w:szCs w:val="18"/>
              </w:rPr>
            </w:pPr>
            <w:r w:rsidRPr="003C1E30">
              <w:rPr>
                <w:rFonts w:ascii="Arial Narrow" w:hAnsi="Arial Narrow" w:cstheme="minorHAnsi"/>
                <w:b/>
                <w:bCs/>
                <w:color w:val="000000"/>
                <w:sz w:val="18"/>
                <w:szCs w:val="18"/>
              </w:rPr>
              <w:t>Previously Approved</w:t>
            </w:r>
          </w:p>
          <w:p w:rsidRPr="003C1E30" w:rsidR="00473C1E" w:rsidP="005C0478" w:rsidRDefault="00473C1E" w14:paraId="23B82642" w14:textId="77777777">
            <w:pPr>
              <w:tabs>
                <w:tab w:val="left" w:pos="1545"/>
              </w:tabs>
              <w:rPr>
                <w:rFonts w:ascii="Arial Narrow" w:hAnsi="Arial Narrow" w:cstheme="minorHAnsi"/>
                <w:sz w:val="18"/>
                <w:szCs w:val="18"/>
              </w:rPr>
            </w:pPr>
          </w:p>
          <w:p w:rsidRPr="003C1E30" w:rsidR="00473C1E" w:rsidP="005C0478" w:rsidRDefault="00473C1E" w14:paraId="6AA08705" w14:textId="77777777">
            <w:pPr>
              <w:tabs>
                <w:tab w:val="left" w:pos="1545"/>
              </w:tabs>
              <w:rPr>
                <w:rFonts w:ascii="Arial Narrow" w:hAnsi="Arial Narrow" w:cstheme="minorHAnsi"/>
                <w:sz w:val="18"/>
                <w:szCs w:val="18"/>
              </w:rPr>
            </w:pPr>
          </w:p>
        </w:tc>
      </w:tr>
      <w:tr w:rsidRPr="003C1E30" w:rsidR="00473C1E" w:rsidTr="005C0478" w14:paraId="5502AD75" w14:textId="77777777">
        <w:tc>
          <w:tcPr>
            <w:tcW w:w="1728" w:type="dxa"/>
          </w:tcPr>
          <w:p w:rsidRPr="003C1E30" w:rsidR="00473C1E" w:rsidP="005C0478" w:rsidRDefault="00473C1E" w14:paraId="697027F8" w14:textId="77777777">
            <w:pPr>
              <w:tabs>
                <w:tab w:val="left" w:pos="1545"/>
              </w:tabs>
              <w:rPr>
                <w:rFonts w:ascii="Arial Narrow" w:hAnsi="Arial Narrow" w:cstheme="minorHAnsi"/>
                <w:sz w:val="18"/>
                <w:szCs w:val="18"/>
              </w:rPr>
            </w:pPr>
            <w:r w:rsidRPr="003C1E30">
              <w:rPr>
                <w:rFonts w:ascii="Arial Narrow" w:hAnsi="Arial Narrow" w:cstheme="minorHAnsi"/>
                <w:sz w:val="18"/>
                <w:szCs w:val="18"/>
              </w:rPr>
              <w:t xml:space="preserve">Annual Number </w:t>
            </w:r>
            <w:r w:rsidRPr="003C1E30">
              <w:rPr>
                <w:rFonts w:ascii="Arial Narrow" w:hAnsi="Arial Narrow" w:cstheme="minorHAnsi"/>
                <w:color w:val="000000"/>
                <w:sz w:val="18"/>
                <w:szCs w:val="18"/>
              </w:rPr>
              <w:t>of Responses for this IC</w:t>
            </w:r>
          </w:p>
        </w:tc>
        <w:tc>
          <w:tcPr>
            <w:tcW w:w="1694" w:type="dxa"/>
          </w:tcPr>
          <w:p w:rsidRPr="003C1E30" w:rsidR="00473C1E" w:rsidP="005C0478" w:rsidRDefault="00473C1E" w14:paraId="0EBA31B5" w14:textId="77777777">
            <w:pPr>
              <w:tabs>
                <w:tab w:val="left" w:pos="1545"/>
              </w:tabs>
              <w:jc w:val="center"/>
              <w:rPr>
                <w:rFonts w:ascii="Arial Narrow" w:hAnsi="Arial Narrow" w:cstheme="minorHAnsi"/>
                <w:sz w:val="18"/>
                <w:szCs w:val="18"/>
              </w:rPr>
            </w:pPr>
          </w:p>
          <w:p w:rsidRPr="003C1E30" w:rsidR="00473C1E" w:rsidP="005C0478" w:rsidRDefault="00581F75" w14:paraId="1811B3B7" w14:textId="5A45A8D3">
            <w:pPr>
              <w:tabs>
                <w:tab w:val="left" w:pos="1545"/>
              </w:tabs>
              <w:jc w:val="center"/>
              <w:rPr>
                <w:rFonts w:ascii="Arial Narrow" w:hAnsi="Arial Narrow" w:cstheme="minorHAnsi"/>
                <w:sz w:val="18"/>
                <w:szCs w:val="18"/>
              </w:rPr>
            </w:pPr>
            <w:r w:rsidRPr="00581F75">
              <w:rPr>
                <w:rFonts w:ascii="Arial Narrow" w:hAnsi="Arial Narrow" w:cstheme="minorHAnsi"/>
                <w:sz w:val="18"/>
                <w:szCs w:val="18"/>
              </w:rPr>
              <w:t>11,400</w:t>
            </w:r>
          </w:p>
        </w:tc>
        <w:tc>
          <w:tcPr>
            <w:tcW w:w="1249" w:type="dxa"/>
          </w:tcPr>
          <w:p w:rsidRPr="003C1E30" w:rsidR="00473C1E" w:rsidP="005C0478" w:rsidRDefault="00473C1E" w14:paraId="7A28277A" w14:textId="77777777">
            <w:pPr>
              <w:tabs>
                <w:tab w:val="left" w:pos="1545"/>
              </w:tabs>
              <w:jc w:val="center"/>
              <w:rPr>
                <w:rFonts w:ascii="Arial Narrow" w:hAnsi="Arial Narrow" w:cstheme="minorHAnsi"/>
                <w:sz w:val="18"/>
                <w:szCs w:val="18"/>
              </w:rPr>
            </w:pPr>
          </w:p>
          <w:p w:rsidRPr="003C1E30" w:rsidR="00473C1E" w:rsidP="005C0478" w:rsidRDefault="00581F75" w14:paraId="717F75C5" w14:textId="438D40AF">
            <w:pPr>
              <w:tabs>
                <w:tab w:val="left" w:pos="1545"/>
              </w:tabs>
              <w:jc w:val="center"/>
              <w:rPr>
                <w:rFonts w:ascii="Arial Narrow" w:hAnsi="Arial Narrow" w:cstheme="minorHAnsi"/>
                <w:sz w:val="18"/>
                <w:szCs w:val="18"/>
              </w:rPr>
            </w:pPr>
            <w:r w:rsidRPr="00581F75">
              <w:rPr>
                <w:rFonts w:ascii="Arial Narrow" w:hAnsi="Arial Narrow" w:cstheme="minorHAnsi"/>
                <w:sz w:val="18"/>
                <w:szCs w:val="18"/>
              </w:rPr>
              <w:t>11,400</w:t>
            </w:r>
          </w:p>
        </w:tc>
        <w:tc>
          <w:tcPr>
            <w:tcW w:w="1275" w:type="dxa"/>
          </w:tcPr>
          <w:p w:rsidRPr="003C1E30" w:rsidR="00473C1E" w:rsidP="005C0478" w:rsidRDefault="00473C1E" w14:paraId="41D5E98C" w14:textId="77777777">
            <w:pPr>
              <w:tabs>
                <w:tab w:val="left" w:pos="1545"/>
              </w:tabs>
              <w:jc w:val="center"/>
              <w:rPr>
                <w:rFonts w:ascii="Arial Narrow" w:hAnsi="Arial Narrow" w:cstheme="minorHAnsi"/>
                <w:sz w:val="18"/>
                <w:szCs w:val="18"/>
              </w:rPr>
            </w:pPr>
          </w:p>
          <w:p w:rsidRPr="003C1E30" w:rsidR="00473C1E" w:rsidP="005C0478" w:rsidRDefault="00473C1E" w14:paraId="466D77C0" w14:textId="4A059AA8">
            <w:pPr>
              <w:tabs>
                <w:tab w:val="left" w:pos="1545"/>
              </w:tabs>
              <w:jc w:val="center"/>
              <w:rPr>
                <w:rFonts w:ascii="Arial Narrow" w:hAnsi="Arial Narrow" w:cstheme="minorHAnsi"/>
                <w:sz w:val="18"/>
                <w:szCs w:val="18"/>
              </w:rPr>
            </w:pPr>
            <w:r>
              <w:rPr>
                <w:rFonts w:ascii="Arial Narrow" w:hAnsi="Arial Narrow" w:cstheme="minorHAnsi"/>
                <w:sz w:val="18"/>
                <w:szCs w:val="18"/>
              </w:rPr>
              <w:t>0</w:t>
            </w:r>
          </w:p>
        </w:tc>
        <w:tc>
          <w:tcPr>
            <w:tcW w:w="1467" w:type="dxa"/>
          </w:tcPr>
          <w:p w:rsidRPr="003C1E30" w:rsidR="00473C1E" w:rsidP="005C0478" w:rsidRDefault="00473C1E" w14:paraId="7097DD0F" w14:textId="77777777">
            <w:pPr>
              <w:tabs>
                <w:tab w:val="left" w:pos="1545"/>
              </w:tabs>
              <w:jc w:val="center"/>
              <w:rPr>
                <w:rFonts w:ascii="Arial Narrow" w:hAnsi="Arial Narrow" w:cstheme="minorHAnsi"/>
                <w:sz w:val="18"/>
                <w:szCs w:val="18"/>
              </w:rPr>
            </w:pPr>
          </w:p>
          <w:p w:rsidRPr="003C1E30" w:rsidR="00473C1E" w:rsidP="005C0478" w:rsidRDefault="00473C1E" w14:paraId="0D088043" w14:textId="77777777">
            <w:pPr>
              <w:tabs>
                <w:tab w:val="left" w:pos="1545"/>
              </w:tabs>
              <w:jc w:val="center"/>
              <w:rPr>
                <w:rFonts w:ascii="Arial Narrow" w:hAnsi="Arial Narrow" w:cstheme="minorHAnsi"/>
                <w:sz w:val="18"/>
                <w:szCs w:val="18"/>
              </w:rPr>
            </w:pPr>
            <w:r w:rsidRPr="003C1E30">
              <w:rPr>
                <w:rFonts w:ascii="Arial Narrow" w:hAnsi="Arial Narrow" w:cstheme="minorHAnsi"/>
                <w:sz w:val="18"/>
                <w:szCs w:val="18"/>
              </w:rPr>
              <w:t>0</w:t>
            </w:r>
          </w:p>
        </w:tc>
        <w:tc>
          <w:tcPr>
            <w:tcW w:w="1256" w:type="dxa"/>
          </w:tcPr>
          <w:p w:rsidRPr="003C1E30" w:rsidR="00473C1E" w:rsidP="005C0478" w:rsidRDefault="00473C1E" w14:paraId="1A2D4EE7" w14:textId="77777777">
            <w:pPr>
              <w:tabs>
                <w:tab w:val="left" w:pos="1545"/>
              </w:tabs>
              <w:jc w:val="center"/>
              <w:rPr>
                <w:rFonts w:ascii="Arial Narrow" w:hAnsi="Arial Narrow" w:cstheme="minorHAnsi"/>
                <w:sz w:val="18"/>
                <w:szCs w:val="18"/>
              </w:rPr>
            </w:pPr>
          </w:p>
          <w:p w:rsidRPr="003C1E30" w:rsidR="00473C1E" w:rsidP="005C0478" w:rsidRDefault="00473C1E" w14:paraId="5738AF1C" w14:textId="77777777">
            <w:pPr>
              <w:tabs>
                <w:tab w:val="left" w:pos="1545"/>
              </w:tabs>
              <w:jc w:val="center"/>
              <w:rPr>
                <w:rFonts w:ascii="Arial Narrow" w:hAnsi="Arial Narrow" w:cstheme="minorHAnsi"/>
                <w:sz w:val="18"/>
                <w:szCs w:val="18"/>
              </w:rPr>
            </w:pPr>
            <w:r w:rsidRPr="003C1E30">
              <w:rPr>
                <w:rFonts w:ascii="Arial Narrow" w:hAnsi="Arial Narrow" w:cstheme="minorHAnsi"/>
                <w:sz w:val="18"/>
                <w:szCs w:val="18"/>
              </w:rPr>
              <w:t>0</w:t>
            </w:r>
          </w:p>
        </w:tc>
        <w:tc>
          <w:tcPr>
            <w:tcW w:w="2131" w:type="dxa"/>
          </w:tcPr>
          <w:p w:rsidRPr="003C1E30" w:rsidR="00473C1E" w:rsidP="005C0478" w:rsidRDefault="00473C1E" w14:paraId="34A2B20B" w14:textId="77777777">
            <w:pPr>
              <w:tabs>
                <w:tab w:val="left" w:pos="1545"/>
              </w:tabs>
              <w:jc w:val="center"/>
              <w:rPr>
                <w:rFonts w:ascii="Arial Narrow" w:hAnsi="Arial Narrow" w:cstheme="minorHAnsi"/>
                <w:sz w:val="18"/>
                <w:szCs w:val="18"/>
              </w:rPr>
            </w:pPr>
          </w:p>
          <w:p w:rsidRPr="003C1E30" w:rsidR="00473C1E" w:rsidP="005C0478" w:rsidRDefault="00473C1E" w14:paraId="609526E9" w14:textId="77777777">
            <w:pPr>
              <w:tabs>
                <w:tab w:val="left" w:pos="1545"/>
              </w:tabs>
              <w:jc w:val="center"/>
              <w:rPr>
                <w:rFonts w:ascii="Arial Narrow" w:hAnsi="Arial Narrow" w:cstheme="minorHAnsi"/>
                <w:sz w:val="18"/>
                <w:szCs w:val="18"/>
              </w:rPr>
            </w:pPr>
            <w:r>
              <w:rPr>
                <w:rFonts w:ascii="Arial Narrow" w:hAnsi="Arial Narrow" w:cstheme="minorHAnsi"/>
                <w:sz w:val="18"/>
                <w:szCs w:val="18"/>
              </w:rPr>
              <w:t>0</w:t>
            </w:r>
          </w:p>
        </w:tc>
      </w:tr>
      <w:tr w:rsidRPr="003C1E30" w:rsidR="00473C1E" w:rsidTr="005C0478" w14:paraId="00CE9A1E" w14:textId="77777777">
        <w:tc>
          <w:tcPr>
            <w:tcW w:w="1728" w:type="dxa"/>
          </w:tcPr>
          <w:p w:rsidRPr="003C1E30" w:rsidR="00473C1E" w:rsidP="005C0478" w:rsidRDefault="00473C1E" w14:paraId="62C54229" w14:textId="77777777">
            <w:pPr>
              <w:tabs>
                <w:tab w:val="left" w:pos="1545"/>
              </w:tabs>
              <w:rPr>
                <w:rFonts w:ascii="Arial Narrow" w:hAnsi="Arial Narrow" w:cstheme="minorHAnsi"/>
                <w:sz w:val="18"/>
                <w:szCs w:val="18"/>
              </w:rPr>
            </w:pPr>
            <w:r w:rsidRPr="003C1E30">
              <w:rPr>
                <w:rFonts w:ascii="Arial Narrow" w:hAnsi="Arial Narrow" w:cstheme="minorHAnsi"/>
                <w:color w:val="000000"/>
                <w:sz w:val="18"/>
                <w:szCs w:val="18"/>
              </w:rPr>
              <w:t>Annual IC Time Burden (Hour)</w:t>
            </w:r>
          </w:p>
        </w:tc>
        <w:tc>
          <w:tcPr>
            <w:tcW w:w="1694" w:type="dxa"/>
          </w:tcPr>
          <w:p w:rsidRPr="003C1E30" w:rsidR="00473C1E" w:rsidP="005C0478" w:rsidRDefault="00473C1E" w14:paraId="448804DF" w14:textId="77777777">
            <w:pPr>
              <w:tabs>
                <w:tab w:val="left" w:pos="1545"/>
              </w:tabs>
              <w:jc w:val="center"/>
              <w:rPr>
                <w:rFonts w:ascii="Arial Narrow" w:hAnsi="Arial Narrow" w:cstheme="minorHAnsi"/>
                <w:sz w:val="18"/>
                <w:szCs w:val="18"/>
              </w:rPr>
            </w:pPr>
          </w:p>
          <w:p w:rsidRPr="003C1E30" w:rsidR="00473C1E" w:rsidP="005C0478" w:rsidRDefault="00581F75" w14:paraId="312FC105" w14:textId="3D6A8B0F">
            <w:pPr>
              <w:tabs>
                <w:tab w:val="left" w:pos="1545"/>
              </w:tabs>
              <w:jc w:val="center"/>
              <w:rPr>
                <w:rFonts w:ascii="Arial Narrow" w:hAnsi="Arial Narrow" w:cstheme="minorHAnsi"/>
                <w:sz w:val="18"/>
                <w:szCs w:val="18"/>
              </w:rPr>
            </w:pPr>
            <w:r w:rsidRPr="00581F75">
              <w:rPr>
                <w:rFonts w:ascii="Arial Narrow" w:hAnsi="Arial Narrow" w:cstheme="minorHAnsi"/>
                <w:sz w:val="18"/>
                <w:szCs w:val="18"/>
              </w:rPr>
              <w:t>22,800</w:t>
            </w:r>
          </w:p>
        </w:tc>
        <w:tc>
          <w:tcPr>
            <w:tcW w:w="1249" w:type="dxa"/>
          </w:tcPr>
          <w:p w:rsidRPr="003C1E30" w:rsidR="00473C1E" w:rsidP="005C0478" w:rsidRDefault="00473C1E" w14:paraId="100CA6C6" w14:textId="77777777">
            <w:pPr>
              <w:tabs>
                <w:tab w:val="left" w:pos="1545"/>
              </w:tabs>
              <w:jc w:val="center"/>
              <w:rPr>
                <w:rFonts w:ascii="Arial Narrow" w:hAnsi="Arial Narrow" w:cstheme="minorHAnsi"/>
                <w:sz w:val="18"/>
                <w:szCs w:val="18"/>
              </w:rPr>
            </w:pPr>
          </w:p>
          <w:p w:rsidRPr="003C1E30" w:rsidR="00473C1E" w:rsidP="005C0478" w:rsidRDefault="00581F75" w14:paraId="5066B81F" w14:textId="57D4B4D7">
            <w:pPr>
              <w:tabs>
                <w:tab w:val="left" w:pos="1545"/>
              </w:tabs>
              <w:jc w:val="center"/>
              <w:rPr>
                <w:rFonts w:ascii="Arial Narrow" w:hAnsi="Arial Narrow" w:cstheme="minorHAnsi"/>
                <w:sz w:val="18"/>
                <w:szCs w:val="18"/>
              </w:rPr>
            </w:pPr>
            <w:r w:rsidRPr="00581F75">
              <w:rPr>
                <w:rFonts w:ascii="Arial Narrow" w:hAnsi="Arial Narrow" w:cstheme="minorHAnsi"/>
                <w:sz w:val="18"/>
                <w:szCs w:val="18"/>
              </w:rPr>
              <w:t>22,800</w:t>
            </w:r>
          </w:p>
        </w:tc>
        <w:tc>
          <w:tcPr>
            <w:tcW w:w="1275" w:type="dxa"/>
          </w:tcPr>
          <w:p w:rsidRPr="003C1E30" w:rsidR="00473C1E" w:rsidP="005C0478" w:rsidRDefault="00473C1E" w14:paraId="0FB24DF6" w14:textId="77777777">
            <w:pPr>
              <w:tabs>
                <w:tab w:val="left" w:pos="1545"/>
              </w:tabs>
              <w:jc w:val="center"/>
              <w:rPr>
                <w:rFonts w:ascii="Arial Narrow" w:hAnsi="Arial Narrow" w:cstheme="minorHAnsi"/>
                <w:sz w:val="18"/>
                <w:szCs w:val="18"/>
              </w:rPr>
            </w:pPr>
          </w:p>
          <w:p w:rsidRPr="003C1E30" w:rsidR="00473C1E" w:rsidP="005C0478" w:rsidRDefault="00473C1E" w14:paraId="4665A1E5" w14:textId="571F1E08">
            <w:pPr>
              <w:tabs>
                <w:tab w:val="left" w:pos="1545"/>
              </w:tabs>
              <w:jc w:val="center"/>
              <w:rPr>
                <w:rFonts w:ascii="Arial Narrow" w:hAnsi="Arial Narrow" w:cstheme="minorHAnsi"/>
                <w:sz w:val="18"/>
                <w:szCs w:val="18"/>
              </w:rPr>
            </w:pPr>
            <w:r>
              <w:rPr>
                <w:rFonts w:ascii="Arial Narrow" w:hAnsi="Arial Narrow" w:cstheme="minorHAnsi"/>
                <w:sz w:val="18"/>
                <w:szCs w:val="18"/>
              </w:rPr>
              <w:t>0</w:t>
            </w:r>
          </w:p>
        </w:tc>
        <w:tc>
          <w:tcPr>
            <w:tcW w:w="1467" w:type="dxa"/>
          </w:tcPr>
          <w:p w:rsidRPr="003C1E30" w:rsidR="00473C1E" w:rsidP="005C0478" w:rsidRDefault="00473C1E" w14:paraId="4400ABA1" w14:textId="77777777">
            <w:pPr>
              <w:tabs>
                <w:tab w:val="left" w:pos="1545"/>
              </w:tabs>
              <w:jc w:val="center"/>
              <w:rPr>
                <w:rFonts w:ascii="Arial Narrow" w:hAnsi="Arial Narrow" w:cstheme="minorHAnsi"/>
                <w:sz w:val="18"/>
                <w:szCs w:val="18"/>
              </w:rPr>
            </w:pPr>
          </w:p>
          <w:p w:rsidRPr="003C1E30" w:rsidR="00473C1E" w:rsidP="005C0478" w:rsidRDefault="00473C1E" w14:paraId="68C5065E" w14:textId="77777777">
            <w:pPr>
              <w:tabs>
                <w:tab w:val="left" w:pos="1545"/>
              </w:tabs>
              <w:jc w:val="center"/>
              <w:rPr>
                <w:rFonts w:ascii="Arial Narrow" w:hAnsi="Arial Narrow" w:cstheme="minorHAnsi"/>
                <w:sz w:val="18"/>
                <w:szCs w:val="18"/>
              </w:rPr>
            </w:pPr>
            <w:r w:rsidRPr="003C1E30">
              <w:rPr>
                <w:rFonts w:ascii="Arial Narrow" w:hAnsi="Arial Narrow" w:cstheme="minorHAnsi"/>
                <w:sz w:val="18"/>
                <w:szCs w:val="18"/>
              </w:rPr>
              <w:t>0</w:t>
            </w:r>
          </w:p>
        </w:tc>
        <w:tc>
          <w:tcPr>
            <w:tcW w:w="1256" w:type="dxa"/>
          </w:tcPr>
          <w:p w:rsidRPr="003C1E30" w:rsidR="00473C1E" w:rsidP="005C0478" w:rsidRDefault="00473C1E" w14:paraId="69923DE8" w14:textId="77777777">
            <w:pPr>
              <w:tabs>
                <w:tab w:val="left" w:pos="1545"/>
              </w:tabs>
              <w:jc w:val="center"/>
              <w:rPr>
                <w:rFonts w:ascii="Arial Narrow" w:hAnsi="Arial Narrow" w:cstheme="minorHAnsi"/>
                <w:sz w:val="18"/>
                <w:szCs w:val="18"/>
              </w:rPr>
            </w:pPr>
          </w:p>
          <w:p w:rsidRPr="003C1E30" w:rsidR="00473C1E" w:rsidP="005C0478" w:rsidRDefault="00473C1E" w14:paraId="2A5DCD7E" w14:textId="77777777">
            <w:pPr>
              <w:tabs>
                <w:tab w:val="left" w:pos="1545"/>
              </w:tabs>
              <w:jc w:val="center"/>
              <w:rPr>
                <w:rFonts w:ascii="Arial Narrow" w:hAnsi="Arial Narrow" w:cstheme="minorHAnsi"/>
                <w:sz w:val="18"/>
                <w:szCs w:val="18"/>
              </w:rPr>
            </w:pPr>
            <w:r w:rsidRPr="003C1E30">
              <w:rPr>
                <w:rFonts w:ascii="Arial Narrow" w:hAnsi="Arial Narrow" w:cstheme="minorHAnsi"/>
                <w:sz w:val="18"/>
                <w:szCs w:val="18"/>
              </w:rPr>
              <w:t>0</w:t>
            </w:r>
          </w:p>
        </w:tc>
        <w:tc>
          <w:tcPr>
            <w:tcW w:w="2131" w:type="dxa"/>
          </w:tcPr>
          <w:p w:rsidRPr="003C1E30" w:rsidR="00473C1E" w:rsidP="005C0478" w:rsidRDefault="00473C1E" w14:paraId="6BA116F0" w14:textId="77777777">
            <w:pPr>
              <w:tabs>
                <w:tab w:val="left" w:pos="1545"/>
              </w:tabs>
              <w:jc w:val="center"/>
              <w:rPr>
                <w:rFonts w:ascii="Arial Narrow" w:hAnsi="Arial Narrow" w:cstheme="minorHAnsi"/>
                <w:sz w:val="18"/>
                <w:szCs w:val="18"/>
              </w:rPr>
            </w:pPr>
          </w:p>
          <w:p w:rsidRPr="003C1E30" w:rsidR="00473C1E" w:rsidP="005C0478" w:rsidRDefault="00473C1E" w14:paraId="1DF9EFEC" w14:textId="77777777">
            <w:pPr>
              <w:tabs>
                <w:tab w:val="left" w:pos="1545"/>
              </w:tabs>
              <w:jc w:val="center"/>
              <w:rPr>
                <w:rFonts w:ascii="Arial Narrow" w:hAnsi="Arial Narrow" w:cstheme="minorHAnsi"/>
                <w:sz w:val="18"/>
                <w:szCs w:val="18"/>
              </w:rPr>
            </w:pPr>
            <w:r>
              <w:rPr>
                <w:rFonts w:ascii="Arial Narrow" w:hAnsi="Arial Narrow" w:cstheme="minorHAnsi"/>
                <w:sz w:val="18"/>
                <w:szCs w:val="18"/>
              </w:rPr>
              <w:t>0</w:t>
            </w:r>
          </w:p>
          <w:p w:rsidRPr="003C1E30" w:rsidR="00473C1E" w:rsidP="005C0478" w:rsidRDefault="00473C1E" w14:paraId="1875F898" w14:textId="77777777">
            <w:pPr>
              <w:tabs>
                <w:tab w:val="left" w:pos="1545"/>
              </w:tabs>
              <w:jc w:val="center"/>
              <w:rPr>
                <w:rFonts w:ascii="Arial Narrow" w:hAnsi="Arial Narrow" w:cstheme="minorHAnsi"/>
                <w:sz w:val="18"/>
                <w:szCs w:val="18"/>
              </w:rPr>
            </w:pPr>
          </w:p>
        </w:tc>
      </w:tr>
    </w:tbl>
    <w:p w:rsidR="00473C1E" w:rsidP="00473C1E" w:rsidRDefault="00473C1E" w14:paraId="64F87F53" w14:textId="2C39892A">
      <w:pPr>
        <w:ind w:left="720"/>
        <w:rPr>
          <w:rFonts w:ascii="Arial" w:hAnsi="Arial" w:cs="Arial"/>
        </w:rPr>
      </w:pPr>
    </w:p>
    <w:p w:rsidRPr="00E278D9" w:rsidR="006874A7" w:rsidRDefault="006874A7" w14:paraId="4A431B37" w14:textId="77777777">
      <w:pPr>
        <w:rPr>
          <w:rFonts w:ascii="Arial" w:hAnsi="Arial" w:cs="Arial"/>
        </w:rPr>
      </w:pPr>
    </w:p>
    <w:p w:rsidRPr="00E278D9" w:rsidR="00721EB2" w:rsidRDefault="00721EB2" w14:paraId="7A3BA781" w14:textId="77777777">
      <w:pPr>
        <w:pStyle w:val="Level1"/>
        <w:tabs>
          <w:tab w:val="left" w:pos="-1440"/>
          <w:tab w:val="num" w:pos="720"/>
        </w:tabs>
        <w:rPr>
          <w:rFonts w:ascii="Arial" w:hAnsi="Arial" w:cs="Arial"/>
          <w:b/>
        </w:rPr>
      </w:pPr>
      <w:r w:rsidRPr="00E278D9">
        <w:rPr>
          <w:rFonts w:ascii="Arial" w:hAnsi="Arial" w:cs="Arial"/>
          <w:b/>
          <w:u w:val="single"/>
        </w:rPr>
        <w:t>PLANS FOR TABULATION, STATISTICAL ANALYSIS AND PUBLICATION</w:t>
      </w:r>
    </w:p>
    <w:p w:rsidRPr="00E278D9" w:rsidR="00721EB2" w:rsidRDefault="00721EB2" w14:paraId="5D95FF04" w14:textId="77777777">
      <w:pPr>
        <w:rPr>
          <w:rFonts w:ascii="Arial" w:hAnsi="Arial" w:cs="Arial"/>
          <w:b/>
        </w:rPr>
      </w:pPr>
    </w:p>
    <w:p w:rsidRPr="00E278D9" w:rsidR="00721EB2" w:rsidRDefault="0065166D" w14:paraId="5E651FBB" w14:textId="540B089B">
      <w:pPr>
        <w:ind w:left="720"/>
        <w:rPr>
          <w:rFonts w:ascii="Arial" w:hAnsi="Arial" w:cs="Arial"/>
        </w:rPr>
      </w:pPr>
      <w:r w:rsidRPr="00E278D9">
        <w:rPr>
          <w:rFonts w:ascii="Arial" w:hAnsi="Arial" w:cs="Arial"/>
        </w:rPr>
        <w:t>There are no plans for tabulation, statistical analysis</w:t>
      </w:r>
      <w:r w:rsidR="0074104A">
        <w:rPr>
          <w:rFonts w:ascii="Arial" w:hAnsi="Arial" w:cs="Arial"/>
        </w:rPr>
        <w:t>,</w:t>
      </w:r>
      <w:r w:rsidRPr="00E278D9">
        <w:rPr>
          <w:rFonts w:ascii="Arial" w:hAnsi="Arial" w:cs="Arial"/>
        </w:rPr>
        <w:t xml:space="preserve"> and publication</w:t>
      </w:r>
      <w:r w:rsidRPr="00E278D9" w:rsidR="00721EB2">
        <w:rPr>
          <w:rFonts w:ascii="Arial" w:hAnsi="Arial" w:cs="Arial"/>
        </w:rPr>
        <w:t>.</w:t>
      </w:r>
    </w:p>
    <w:p w:rsidRPr="00E278D9" w:rsidR="00721EB2" w:rsidRDefault="00721EB2" w14:paraId="687F3C9F" w14:textId="77777777">
      <w:pPr>
        <w:rPr>
          <w:rFonts w:ascii="Arial" w:hAnsi="Arial" w:cs="Arial"/>
        </w:rPr>
      </w:pPr>
    </w:p>
    <w:p w:rsidRPr="00E278D9" w:rsidR="00721EB2" w:rsidRDefault="00721EB2" w14:paraId="74458AFB" w14:textId="77777777">
      <w:pPr>
        <w:pStyle w:val="Level1"/>
        <w:tabs>
          <w:tab w:val="left" w:pos="-1440"/>
          <w:tab w:val="num" w:pos="720"/>
        </w:tabs>
        <w:rPr>
          <w:rFonts w:ascii="Arial" w:hAnsi="Arial" w:cs="Arial"/>
          <w:b/>
        </w:rPr>
      </w:pPr>
      <w:r w:rsidRPr="00E278D9">
        <w:rPr>
          <w:rFonts w:ascii="Arial" w:hAnsi="Arial" w:cs="Arial"/>
          <w:b/>
          <w:u w:val="single"/>
        </w:rPr>
        <w:t>REASONS WHY DISPLAYING THE OMB EXPIRATION DATE IS</w:t>
      </w:r>
      <w:r w:rsidRPr="00E278D9">
        <w:rPr>
          <w:rFonts w:ascii="Arial" w:hAnsi="Arial" w:cs="Arial"/>
          <w:b/>
        </w:rPr>
        <w:t xml:space="preserve">      </w:t>
      </w:r>
      <w:r w:rsidRPr="00E278D9">
        <w:rPr>
          <w:rFonts w:ascii="Arial" w:hAnsi="Arial" w:cs="Arial"/>
          <w:b/>
          <w:u w:val="single"/>
        </w:rPr>
        <w:t>INAPPROPRIATE</w:t>
      </w:r>
    </w:p>
    <w:p w:rsidRPr="00E278D9" w:rsidR="00721EB2" w:rsidRDefault="00721EB2" w14:paraId="2AF1BC9D" w14:textId="77777777">
      <w:pPr>
        <w:rPr>
          <w:rFonts w:ascii="Arial" w:hAnsi="Arial" w:cs="Arial"/>
        </w:rPr>
      </w:pPr>
    </w:p>
    <w:p w:rsidRPr="00E278D9" w:rsidR="00721EB2" w:rsidRDefault="00632F03" w14:paraId="16DDAF93" w14:textId="6D51E094">
      <w:pPr>
        <w:ind w:left="720"/>
        <w:rPr>
          <w:rFonts w:ascii="Arial" w:hAnsi="Arial" w:cs="Arial"/>
        </w:rPr>
      </w:pPr>
      <w:r>
        <w:rPr>
          <w:rFonts w:ascii="Arial" w:hAnsi="Arial" w:cs="Arial"/>
        </w:rPr>
        <w:t>The agency</w:t>
      </w:r>
      <w:r w:rsidRPr="00E278D9" w:rsidR="00721EB2">
        <w:rPr>
          <w:rFonts w:ascii="Arial" w:hAnsi="Arial" w:cs="Arial"/>
        </w:rPr>
        <w:t xml:space="preserve"> believe</w:t>
      </w:r>
      <w:r>
        <w:rPr>
          <w:rFonts w:ascii="Arial" w:hAnsi="Arial" w:cs="Arial"/>
        </w:rPr>
        <w:t>s</w:t>
      </w:r>
      <w:r w:rsidRPr="00E278D9" w:rsidR="00721EB2">
        <w:rPr>
          <w:rFonts w:ascii="Arial" w:hAnsi="Arial" w:cs="Arial"/>
        </w:rPr>
        <w:t xml:space="preserve">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p>
    <w:p w:rsidRPr="00E278D9" w:rsidR="00721EB2" w:rsidRDefault="00721EB2" w14:paraId="51A55A64" w14:textId="77777777">
      <w:pPr>
        <w:rPr>
          <w:rFonts w:ascii="Arial" w:hAnsi="Arial" w:cs="Arial"/>
        </w:rPr>
      </w:pPr>
    </w:p>
    <w:p w:rsidRPr="00E278D9" w:rsidR="00721EB2" w:rsidRDefault="00721EB2" w14:paraId="4F898CD0" w14:textId="77777777">
      <w:pPr>
        <w:pStyle w:val="Level1"/>
        <w:tabs>
          <w:tab w:val="left" w:pos="-1440"/>
          <w:tab w:val="num" w:pos="720"/>
        </w:tabs>
        <w:rPr>
          <w:rFonts w:ascii="Arial" w:hAnsi="Arial" w:cs="Arial"/>
          <w:b/>
        </w:rPr>
      </w:pPr>
      <w:r w:rsidRPr="00E278D9">
        <w:rPr>
          <w:rFonts w:ascii="Arial" w:hAnsi="Arial" w:cs="Arial"/>
          <w:b/>
          <w:u w:val="single"/>
        </w:rPr>
        <w:t>EXCEPTIONS TO THE CERTIFICATION STATEMENT</w:t>
      </w:r>
    </w:p>
    <w:p w:rsidRPr="00E278D9" w:rsidR="00721EB2" w:rsidRDefault="00721EB2" w14:paraId="6AEBE346" w14:textId="77777777">
      <w:pPr>
        <w:rPr>
          <w:rFonts w:ascii="Arial" w:hAnsi="Arial" w:cs="Arial"/>
        </w:rPr>
      </w:pPr>
    </w:p>
    <w:p w:rsidRPr="00E278D9" w:rsidR="00721EB2" w:rsidRDefault="0065166D" w14:paraId="767ADADB" w14:textId="77777777">
      <w:pPr>
        <w:ind w:left="720"/>
        <w:rPr>
          <w:rFonts w:ascii="Arial" w:hAnsi="Arial" w:cs="Arial"/>
        </w:rPr>
      </w:pPr>
      <w:r w:rsidRPr="00E278D9">
        <w:rPr>
          <w:rFonts w:ascii="Arial" w:hAnsi="Arial" w:cs="Arial"/>
        </w:rPr>
        <w:t>There are no exceptions to the certification statement</w:t>
      </w:r>
      <w:r w:rsidRPr="00E278D9" w:rsidR="00721EB2">
        <w:rPr>
          <w:rFonts w:ascii="Arial" w:hAnsi="Arial" w:cs="Arial"/>
        </w:rPr>
        <w:t>.</w:t>
      </w:r>
    </w:p>
    <w:p w:rsidRPr="00E278D9" w:rsidR="00721EB2" w:rsidRDefault="00721EB2" w14:paraId="622AE916" w14:textId="77777777">
      <w:pPr>
        <w:rPr>
          <w:rFonts w:ascii="Arial" w:hAnsi="Arial" w:cs="Arial"/>
        </w:rPr>
      </w:pPr>
    </w:p>
    <w:p w:rsidRPr="00E278D9" w:rsidR="00721EB2" w:rsidRDefault="00721EB2" w14:paraId="233CCFA1" w14:textId="1365C660">
      <w:pPr>
        <w:rPr>
          <w:rFonts w:ascii="Arial" w:hAnsi="Arial" w:cs="Arial"/>
        </w:rPr>
      </w:pPr>
      <w:r w:rsidRPr="00E278D9">
        <w:rPr>
          <w:rFonts w:ascii="Arial" w:hAnsi="Arial" w:cs="Arial"/>
          <w:b/>
          <w:u w:val="single"/>
        </w:rPr>
        <w:t>Note</w:t>
      </w:r>
      <w:r w:rsidRPr="00E278D9">
        <w:rPr>
          <w:rFonts w:ascii="Arial" w:hAnsi="Arial" w:cs="Arial"/>
          <w:u w:val="single"/>
        </w:rPr>
        <w:t>:</w:t>
      </w:r>
      <w:r w:rsidRPr="00E278D9">
        <w:rPr>
          <w:rFonts w:ascii="Arial" w:hAnsi="Arial" w:cs="Arial"/>
        </w:rPr>
        <w:t xml:space="preserve">   The following paragraph applies to </w:t>
      </w:r>
      <w:r w:rsidRPr="00E278D9" w:rsidR="006874A7">
        <w:rPr>
          <w:rFonts w:ascii="Arial" w:hAnsi="Arial" w:cs="Arial"/>
        </w:rPr>
        <w:t>all</w:t>
      </w:r>
      <w:r w:rsidRPr="00E278D9">
        <w:rPr>
          <w:rFonts w:ascii="Arial" w:hAnsi="Arial" w:cs="Arial"/>
        </w:rPr>
        <w:t xml:space="preserve"> the collections of information in this submission:</w:t>
      </w:r>
    </w:p>
    <w:p w:rsidRPr="00E278D9" w:rsidR="00721EB2" w:rsidRDefault="00721EB2" w14:paraId="6EF616C5" w14:textId="77777777">
      <w:pPr>
        <w:rPr>
          <w:rFonts w:ascii="Arial" w:hAnsi="Arial" w:cs="Arial"/>
        </w:rPr>
      </w:pPr>
    </w:p>
    <w:p w:rsidRPr="00E278D9" w:rsidR="00721EB2" w:rsidP="0065166D" w:rsidRDefault="00721EB2" w14:paraId="71D4881D" w14:textId="13796948">
      <w:pPr>
        <w:ind w:firstLine="720"/>
        <w:rPr>
          <w:rFonts w:ascii="Arial" w:hAnsi="Arial" w:cs="Arial"/>
        </w:rPr>
      </w:pPr>
      <w:r w:rsidRPr="00E278D9">
        <w:rPr>
          <w:rFonts w:ascii="Arial" w:hAnsi="Arial" w:cs="Arial"/>
        </w:rPr>
        <w:t xml:space="preserve">An agency may not conduct or sponsor, and a person is not required to respond to, a collection of information unless the collection of information displays a valid OMB control number.  Books or records relating to a collection of information must be </w:t>
      </w:r>
      <w:r w:rsidRPr="00E278D9">
        <w:rPr>
          <w:rFonts w:ascii="Arial" w:hAnsi="Arial" w:cs="Arial"/>
        </w:rPr>
        <w:lastRenderedPageBreak/>
        <w:t xml:space="preserve">retained </w:t>
      </w:r>
      <w:r w:rsidRPr="00E278D9" w:rsidR="006874A7">
        <w:rPr>
          <w:rFonts w:ascii="Arial" w:hAnsi="Arial" w:cs="Arial"/>
        </w:rPr>
        <w:t>if</w:t>
      </w:r>
      <w:r w:rsidRPr="00E278D9">
        <w:rPr>
          <w:rFonts w:ascii="Arial" w:hAnsi="Arial" w:cs="Arial"/>
        </w:rPr>
        <w:t xml:space="preserve"> their contents may become material in the administration of any internal revenue law.  Generally, tax returns and tax return information are confidential, as required by 26 U.S.C. 6103.</w:t>
      </w:r>
    </w:p>
    <w:sectPr w:rsidRPr="00E278D9" w:rsidR="00721EB2" w:rsidSect="00721EB2">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898662" w14:textId="77777777" w:rsidR="005C0478" w:rsidRDefault="005C0478">
      <w:r>
        <w:separator/>
      </w:r>
    </w:p>
  </w:endnote>
  <w:endnote w:type="continuationSeparator" w:id="0">
    <w:p w14:paraId="5FFDB47B" w14:textId="77777777" w:rsidR="005C0478" w:rsidRDefault="005C0478">
      <w:r>
        <w:continuationSeparator/>
      </w:r>
    </w:p>
  </w:endnote>
  <w:endnote w:type="continuationNotice" w:id="1">
    <w:p w14:paraId="63D761B6" w14:textId="77777777" w:rsidR="005C0478" w:rsidRDefault="005C04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14646" w14:textId="77777777" w:rsidR="005C0478" w:rsidRDefault="005C04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6B8E9" w14:textId="77777777" w:rsidR="005C0478" w:rsidRDefault="005C04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A295C4" w14:textId="77777777" w:rsidR="005C0478" w:rsidRDefault="005C04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7189C1" w14:textId="77777777" w:rsidR="005C0478" w:rsidRDefault="005C0478">
      <w:r>
        <w:separator/>
      </w:r>
    </w:p>
  </w:footnote>
  <w:footnote w:type="continuationSeparator" w:id="0">
    <w:p w14:paraId="3BCF5EE6" w14:textId="77777777" w:rsidR="005C0478" w:rsidRDefault="005C0478">
      <w:r>
        <w:continuationSeparator/>
      </w:r>
    </w:p>
  </w:footnote>
  <w:footnote w:type="continuationNotice" w:id="1">
    <w:p w14:paraId="3B2AC387" w14:textId="77777777" w:rsidR="005C0478" w:rsidRDefault="005C04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8BFEA" w14:textId="77777777" w:rsidR="005C0478" w:rsidRDefault="005C04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A3892" w14:textId="77777777" w:rsidR="005C0478" w:rsidRDefault="005C04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83B570" w14:textId="77777777" w:rsidR="005C0478" w:rsidRDefault="005C047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56A81" w14:textId="185DA495" w:rsidR="005C0478" w:rsidRDefault="005C0478">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Pr>
        <w:rFonts w:cs="Courier"/>
        <w:b/>
        <w:bCs/>
        <w:noProof/>
      </w:rPr>
      <w:t>2</w:t>
    </w:r>
    <w:r>
      <w:rPr>
        <w:rFonts w:cs="Courier"/>
        <w:b/>
        <w:bCs/>
      </w:rPr>
      <w:fldChar w:fldCharType="end"/>
    </w:r>
  </w:p>
  <w:p w14:paraId="62D3C8C1" w14:textId="77777777" w:rsidR="005C0478" w:rsidRDefault="005C0478"/>
  <w:p w14:paraId="71C9718C" w14:textId="77777777" w:rsidR="005C0478" w:rsidRDefault="005C0478">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EB2"/>
    <w:rsid w:val="000009A0"/>
    <w:rsid w:val="000060CB"/>
    <w:rsid w:val="000166A1"/>
    <w:rsid w:val="00017F27"/>
    <w:rsid w:val="00034D63"/>
    <w:rsid w:val="00046CD2"/>
    <w:rsid w:val="000528AC"/>
    <w:rsid w:val="00093FAA"/>
    <w:rsid w:val="000A304F"/>
    <w:rsid w:val="000A30F1"/>
    <w:rsid w:val="00142482"/>
    <w:rsid w:val="001627AD"/>
    <w:rsid w:val="00193AAD"/>
    <w:rsid w:val="001E1A4F"/>
    <w:rsid w:val="001F4C31"/>
    <w:rsid w:val="002063B0"/>
    <w:rsid w:val="00213D26"/>
    <w:rsid w:val="00215660"/>
    <w:rsid w:val="00216BB3"/>
    <w:rsid w:val="0023406D"/>
    <w:rsid w:val="00255828"/>
    <w:rsid w:val="0026031B"/>
    <w:rsid w:val="00265F38"/>
    <w:rsid w:val="00266ABE"/>
    <w:rsid w:val="00286862"/>
    <w:rsid w:val="00292F5D"/>
    <w:rsid w:val="002B70CA"/>
    <w:rsid w:val="002D1FE5"/>
    <w:rsid w:val="002D5BEC"/>
    <w:rsid w:val="002F445A"/>
    <w:rsid w:val="00311BA0"/>
    <w:rsid w:val="003175A8"/>
    <w:rsid w:val="00321C69"/>
    <w:rsid w:val="00352ED3"/>
    <w:rsid w:val="003531A4"/>
    <w:rsid w:val="00374AA6"/>
    <w:rsid w:val="00375697"/>
    <w:rsid w:val="00393C50"/>
    <w:rsid w:val="00395DBD"/>
    <w:rsid w:val="003B188E"/>
    <w:rsid w:val="003E7F8E"/>
    <w:rsid w:val="004150D2"/>
    <w:rsid w:val="00437DDC"/>
    <w:rsid w:val="00473C1E"/>
    <w:rsid w:val="00481D2D"/>
    <w:rsid w:val="004A0203"/>
    <w:rsid w:val="004A3987"/>
    <w:rsid w:val="004A7933"/>
    <w:rsid w:val="004B2B1F"/>
    <w:rsid w:val="004D6752"/>
    <w:rsid w:val="004F18E9"/>
    <w:rsid w:val="004F6B01"/>
    <w:rsid w:val="004F6ECA"/>
    <w:rsid w:val="005104A1"/>
    <w:rsid w:val="00552756"/>
    <w:rsid w:val="00557814"/>
    <w:rsid w:val="0057048C"/>
    <w:rsid w:val="00581F75"/>
    <w:rsid w:val="0058773A"/>
    <w:rsid w:val="005C0478"/>
    <w:rsid w:val="005C1E39"/>
    <w:rsid w:val="005C642C"/>
    <w:rsid w:val="005D2ED7"/>
    <w:rsid w:val="005D79B9"/>
    <w:rsid w:val="00600D99"/>
    <w:rsid w:val="00606FDF"/>
    <w:rsid w:val="00632F03"/>
    <w:rsid w:val="00646A2A"/>
    <w:rsid w:val="0065166D"/>
    <w:rsid w:val="00686ACC"/>
    <w:rsid w:val="006874A7"/>
    <w:rsid w:val="006B39D8"/>
    <w:rsid w:val="006C3B48"/>
    <w:rsid w:val="00721EB2"/>
    <w:rsid w:val="00731517"/>
    <w:rsid w:val="0074104A"/>
    <w:rsid w:val="00781E7A"/>
    <w:rsid w:val="007952A8"/>
    <w:rsid w:val="007D0E0A"/>
    <w:rsid w:val="007D23AB"/>
    <w:rsid w:val="007D4484"/>
    <w:rsid w:val="007F2A0B"/>
    <w:rsid w:val="0083422F"/>
    <w:rsid w:val="00872382"/>
    <w:rsid w:val="008739D6"/>
    <w:rsid w:val="008808EF"/>
    <w:rsid w:val="0088486B"/>
    <w:rsid w:val="008865EF"/>
    <w:rsid w:val="00892B37"/>
    <w:rsid w:val="008979C3"/>
    <w:rsid w:val="008B0691"/>
    <w:rsid w:val="008B07F5"/>
    <w:rsid w:val="008B64E3"/>
    <w:rsid w:val="008D5CE7"/>
    <w:rsid w:val="008E0DBB"/>
    <w:rsid w:val="008E4370"/>
    <w:rsid w:val="0091714D"/>
    <w:rsid w:val="009513D0"/>
    <w:rsid w:val="009557E7"/>
    <w:rsid w:val="00963358"/>
    <w:rsid w:val="0096410E"/>
    <w:rsid w:val="009A0AA3"/>
    <w:rsid w:val="009A127C"/>
    <w:rsid w:val="009A36B3"/>
    <w:rsid w:val="009E0690"/>
    <w:rsid w:val="009E3755"/>
    <w:rsid w:val="00A57DBE"/>
    <w:rsid w:val="00A8115C"/>
    <w:rsid w:val="00A87EC0"/>
    <w:rsid w:val="00A9081B"/>
    <w:rsid w:val="00AA316B"/>
    <w:rsid w:val="00AC0ABB"/>
    <w:rsid w:val="00AD023C"/>
    <w:rsid w:val="00AF00F5"/>
    <w:rsid w:val="00B33FB6"/>
    <w:rsid w:val="00B52522"/>
    <w:rsid w:val="00B645EA"/>
    <w:rsid w:val="00BA15C0"/>
    <w:rsid w:val="00BA67A2"/>
    <w:rsid w:val="00BE396A"/>
    <w:rsid w:val="00BE4AFB"/>
    <w:rsid w:val="00C71D1B"/>
    <w:rsid w:val="00CB63F4"/>
    <w:rsid w:val="00CD0DF1"/>
    <w:rsid w:val="00CD6722"/>
    <w:rsid w:val="00D260CA"/>
    <w:rsid w:val="00D417E0"/>
    <w:rsid w:val="00D5785F"/>
    <w:rsid w:val="00D857B6"/>
    <w:rsid w:val="00D96EFD"/>
    <w:rsid w:val="00DA0570"/>
    <w:rsid w:val="00DA7699"/>
    <w:rsid w:val="00DE7577"/>
    <w:rsid w:val="00E0707B"/>
    <w:rsid w:val="00E148AF"/>
    <w:rsid w:val="00E278D9"/>
    <w:rsid w:val="00E5553E"/>
    <w:rsid w:val="00E70582"/>
    <w:rsid w:val="00E826F2"/>
    <w:rsid w:val="00E94418"/>
    <w:rsid w:val="00EF4C4B"/>
    <w:rsid w:val="00F10D7C"/>
    <w:rsid w:val="00F41AFD"/>
    <w:rsid w:val="00F436F6"/>
    <w:rsid w:val="00F7678B"/>
    <w:rsid w:val="00F81AC2"/>
    <w:rsid w:val="00F847BC"/>
    <w:rsid w:val="00F9091F"/>
    <w:rsid w:val="00F92157"/>
    <w:rsid w:val="00FC39C4"/>
    <w:rsid w:val="00FC7B44"/>
    <w:rsid w:val="00FD0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oNotEmbedSmartTags/>
  <w:decimalSymbol w:val="."/>
  <w:listSeparator w:val=","/>
  <w14:docId w14:val="3FEA4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customStyle="1" w:styleId="SupportingStatementSTANDARD">
    <w:name w:val="Supporting Statement STANDARD"/>
    <w:basedOn w:val="Normal"/>
    <w:link w:val="SupportingStatementSTANDARDChar"/>
    <w:qFormat/>
    <w:rsid w:val="0065166D"/>
    <w:pPr>
      <w:tabs>
        <w:tab w:val="left" w:pos="720"/>
      </w:tabs>
      <w:ind w:left="720" w:hanging="720"/>
    </w:pPr>
    <w:rPr>
      <w:rFonts w:ascii="Times New Roman" w:hAnsi="Times New Roman"/>
    </w:rPr>
  </w:style>
  <w:style w:type="character" w:customStyle="1" w:styleId="SupportingStatementSTANDARDChar">
    <w:name w:val="Supporting Statement STANDARD Char"/>
    <w:link w:val="SupportingStatementSTANDARD"/>
    <w:rsid w:val="0065166D"/>
    <w:rPr>
      <w:sz w:val="24"/>
      <w:szCs w:val="24"/>
    </w:rPr>
  </w:style>
  <w:style w:type="character" w:styleId="CommentReference">
    <w:name w:val="annotation reference"/>
    <w:basedOn w:val="DefaultParagraphFont"/>
    <w:rsid w:val="00A8115C"/>
    <w:rPr>
      <w:sz w:val="16"/>
      <w:szCs w:val="16"/>
    </w:rPr>
  </w:style>
  <w:style w:type="paragraph" w:styleId="CommentText">
    <w:name w:val="annotation text"/>
    <w:basedOn w:val="Normal"/>
    <w:link w:val="CommentTextChar"/>
    <w:rsid w:val="00A8115C"/>
    <w:rPr>
      <w:sz w:val="20"/>
      <w:szCs w:val="20"/>
    </w:rPr>
  </w:style>
  <w:style w:type="character" w:customStyle="1" w:styleId="CommentTextChar">
    <w:name w:val="Comment Text Char"/>
    <w:basedOn w:val="DefaultParagraphFont"/>
    <w:link w:val="CommentText"/>
    <w:rsid w:val="00A8115C"/>
    <w:rPr>
      <w:rFonts w:ascii="Courier" w:hAnsi="Courier"/>
    </w:rPr>
  </w:style>
  <w:style w:type="paragraph" w:styleId="CommentSubject">
    <w:name w:val="annotation subject"/>
    <w:basedOn w:val="CommentText"/>
    <w:next w:val="CommentText"/>
    <w:link w:val="CommentSubjectChar"/>
    <w:rsid w:val="00A8115C"/>
    <w:rPr>
      <w:b/>
      <w:bCs/>
    </w:rPr>
  </w:style>
  <w:style w:type="character" w:customStyle="1" w:styleId="CommentSubjectChar">
    <w:name w:val="Comment Subject Char"/>
    <w:basedOn w:val="CommentTextChar"/>
    <w:link w:val="CommentSubject"/>
    <w:rsid w:val="00A8115C"/>
    <w:rPr>
      <w:rFonts w:ascii="Courier" w:hAnsi="Courier"/>
      <w:b/>
      <w:bCs/>
    </w:rPr>
  </w:style>
  <w:style w:type="paragraph" w:styleId="BalloonText">
    <w:name w:val="Balloon Text"/>
    <w:basedOn w:val="Normal"/>
    <w:link w:val="BalloonTextChar"/>
    <w:rsid w:val="00A8115C"/>
    <w:rPr>
      <w:rFonts w:ascii="Tahoma" w:hAnsi="Tahoma" w:cs="Tahoma"/>
      <w:sz w:val="16"/>
      <w:szCs w:val="16"/>
    </w:rPr>
  </w:style>
  <w:style w:type="character" w:customStyle="1" w:styleId="BalloonTextChar">
    <w:name w:val="Balloon Text Char"/>
    <w:basedOn w:val="DefaultParagraphFont"/>
    <w:link w:val="BalloonText"/>
    <w:rsid w:val="00A8115C"/>
    <w:rPr>
      <w:rFonts w:ascii="Tahoma" w:hAnsi="Tahoma" w:cs="Tahoma"/>
      <w:sz w:val="16"/>
      <w:szCs w:val="16"/>
    </w:rPr>
  </w:style>
  <w:style w:type="paragraph" w:styleId="Header">
    <w:name w:val="header"/>
    <w:basedOn w:val="Normal"/>
    <w:link w:val="HeaderChar"/>
    <w:unhideWhenUsed/>
    <w:rsid w:val="00034D63"/>
    <w:pPr>
      <w:tabs>
        <w:tab w:val="center" w:pos="4680"/>
        <w:tab w:val="right" w:pos="9360"/>
      </w:tabs>
    </w:pPr>
  </w:style>
  <w:style w:type="character" w:customStyle="1" w:styleId="HeaderChar">
    <w:name w:val="Header Char"/>
    <w:basedOn w:val="DefaultParagraphFont"/>
    <w:link w:val="Header"/>
    <w:rsid w:val="00034D63"/>
    <w:rPr>
      <w:rFonts w:ascii="Courier" w:hAnsi="Courier"/>
      <w:sz w:val="24"/>
      <w:szCs w:val="24"/>
    </w:rPr>
  </w:style>
  <w:style w:type="paragraph" w:styleId="Footer">
    <w:name w:val="footer"/>
    <w:basedOn w:val="Normal"/>
    <w:link w:val="FooterChar"/>
    <w:unhideWhenUsed/>
    <w:rsid w:val="00034D63"/>
    <w:pPr>
      <w:tabs>
        <w:tab w:val="center" w:pos="4680"/>
        <w:tab w:val="right" w:pos="9360"/>
      </w:tabs>
    </w:pPr>
  </w:style>
  <w:style w:type="character" w:customStyle="1" w:styleId="FooterChar">
    <w:name w:val="Footer Char"/>
    <w:basedOn w:val="DefaultParagraphFont"/>
    <w:link w:val="Footer"/>
    <w:rsid w:val="00034D63"/>
    <w:rPr>
      <w:rFonts w:ascii="Courier" w:hAnsi="Courier"/>
      <w:sz w:val="24"/>
      <w:szCs w:val="24"/>
    </w:rPr>
  </w:style>
  <w:style w:type="character" w:styleId="Hyperlink">
    <w:name w:val="Hyperlink"/>
    <w:basedOn w:val="DefaultParagraphFont"/>
    <w:unhideWhenUsed/>
    <w:rsid w:val="008B0691"/>
    <w:rPr>
      <w:color w:val="0000FF" w:themeColor="hyperlink"/>
      <w:u w:val="single"/>
    </w:rPr>
  </w:style>
  <w:style w:type="character" w:customStyle="1" w:styleId="UnresolvedMention1">
    <w:name w:val="Unresolved Mention1"/>
    <w:basedOn w:val="DefaultParagraphFont"/>
    <w:uiPriority w:val="99"/>
    <w:semiHidden/>
    <w:unhideWhenUsed/>
    <w:rsid w:val="008B0691"/>
    <w:rPr>
      <w:color w:val="808080"/>
      <w:shd w:val="clear" w:color="auto" w:fill="E6E6E6"/>
    </w:rPr>
  </w:style>
  <w:style w:type="table" w:styleId="TableGrid">
    <w:name w:val="Table Grid"/>
    <w:basedOn w:val="TableNormal"/>
    <w:uiPriority w:val="39"/>
    <w:rsid w:val="00473C1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73C1E"/>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8774556">
      <w:bodyDiv w:val="1"/>
      <w:marLeft w:val="0"/>
      <w:marRight w:val="0"/>
      <w:marTop w:val="0"/>
      <w:marBottom w:val="0"/>
      <w:divBdr>
        <w:top w:val="none" w:sz="0" w:space="0" w:color="auto"/>
        <w:left w:val="none" w:sz="0" w:space="0" w:color="auto"/>
        <w:bottom w:val="none" w:sz="0" w:space="0" w:color="auto"/>
        <w:right w:val="none" w:sz="0" w:space="0" w:color="auto"/>
      </w:divBdr>
      <w:divsChild>
        <w:div w:id="408357023">
          <w:marLeft w:val="0"/>
          <w:marRight w:val="0"/>
          <w:marTop w:val="0"/>
          <w:marBottom w:val="0"/>
          <w:divBdr>
            <w:top w:val="none" w:sz="0" w:space="0" w:color="auto"/>
            <w:left w:val="none" w:sz="0" w:space="0" w:color="auto"/>
            <w:bottom w:val="none" w:sz="0" w:space="0" w:color="auto"/>
            <w:right w:val="none" w:sz="0" w:space="0" w:color="auto"/>
          </w:divBdr>
          <w:divsChild>
            <w:div w:id="880172409">
              <w:marLeft w:val="0"/>
              <w:marRight w:val="0"/>
              <w:marTop w:val="0"/>
              <w:marBottom w:val="0"/>
              <w:divBdr>
                <w:top w:val="single" w:sz="6" w:space="11" w:color="FCFCFC"/>
                <w:left w:val="single" w:sz="6" w:space="11" w:color="ECECEC"/>
                <w:bottom w:val="single" w:sz="6" w:space="4" w:color="ECECEC"/>
                <w:right w:val="single" w:sz="6" w:space="11" w:color="ECECEC"/>
              </w:divBdr>
              <w:divsChild>
                <w:div w:id="63826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BCFAC81438D246A5F32168D26E67FE" ma:contentTypeVersion="1" ma:contentTypeDescription="Create a new document." ma:contentTypeScope="" ma:versionID="8c88651b22a1cfe826f0c4afa7770936">
  <xsd:schema xmlns:xsd="http://www.w3.org/2001/XMLSchema" xmlns:xs="http://www.w3.org/2001/XMLSchema" xmlns:p="http://schemas.microsoft.com/office/2006/metadata/properties" xmlns:ns2="0c90f812-2072-4f21-8f53-fdb457fcaa19" targetNamespace="http://schemas.microsoft.com/office/2006/metadata/properties" ma:root="true" ma:fieldsID="061383b1c2f0e166bb3defa7adcfd7f8" ns2:_="">
    <xsd:import namespace="0c90f812-2072-4f21-8f53-fdb457fcaa1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0f812-2072-4f21-8f53-fdb457fcaa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070A7-39CE-4C5D-B653-1080D1EE6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0f812-2072-4f21-8f53-fdb457fcaa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44901B-3635-4476-B5FB-3D7E8E5B3AFB}">
  <ds:schemaRefs>
    <ds:schemaRef ds:uri="http://schemas.microsoft.com/sharepoint/v3/contenttype/forms"/>
  </ds:schemaRefs>
</ds:datastoreItem>
</file>

<file path=customXml/itemProps3.xml><?xml version="1.0" encoding="utf-8"?>
<ds:datastoreItem xmlns:ds="http://schemas.openxmlformats.org/officeDocument/2006/customXml" ds:itemID="{2EB95778-94C9-4E4D-8338-A0E30B925C1E}">
  <ds:schemaRefs>
    <ds:schemaRef ds:uri="http://purl.org/dc/elements/1.1/"/>
    <ds:schemaRef ds:uri="http://schemas.microsoft.com/office/2006/metadata/properties"/>
    <ds:schemaRef ds:uri="http://purl.org/dc/terms/"/>
    <ds:schemaRef ds:uri="http://schemas.openxmlformats.org/package/2006/metadata/core-properties"/>
    <ds:schemaRef ds:uri="0c90f812-2072-4f21-8f53-fdb457fcaa19"/>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1E0C7C29-9FD2-44E3-8620-C280990CE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1218</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2022-01-04T20:30:00Z</dcterms:created>
  <dcterms:modified xsi:type="dcterms:W3CDTF">2022-01-04T20:30:00Z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0x010100F4BCFAC81438D246A5F32168D26E67FE</vt:lpwstr>
  </property>
</Properties>
</file>