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246006AD" w14:textId="77777777">
      <w:pPr>
        <w:ind w:left="-90"/>
        <w:jc w:val="center"/>
        <w:rPr>
          <w:b/>
          <w:bCs/>
        </w:rPr>
      </w:pPr>
      <w:r w:rsidRPr="00702B07">
        <w:rPr>
          <w:b/>
          <w:bCs/>
        </w:rPr>
        <w:t>SUPPORTING STATEMENT</w:t>
      </w:r>
    </w:p>
    <w:p w:rsidRPr="00702B07" w:rsidR="00BE5210" w:rsidP="00695940" w:rsidRDefault="00BE5210" w14:paraId="12ECD538" w14:textId="77777777">
      <w:pPr>
        <w:ind w:left="-90"/>
        <w:jc w:val="center"/>
        <w:rPr>
          <w:bCs/>
        </w:rPr>
      </w:pPr>
      <w:r w:rsidRPr="00702B07">
        <w:rPr>
          <w:bCs/>
        </w:rPr>
        <w:t>Internal Revenue Service</w:t>
      </w:r>
    </w:p>
    <w:p w:rsidR="009570E5" w:rsidP="000004CA" w:rsidRDefault="0011589C" w14:paraId="22BC8BEE" w14:textId="77777777">
      <w:pPr>
        <w:ind w:left="-90"/>
        <w:jc w:val="center"/>
        <w:rPr>
          <w:bCs/>
        </w:rPr>
      </w:pPr>
      <w:r>
        <w:rPr>
          <w:bCs/>
        </w:rPr>
        <w:t>Taxable Fuel; registration</w:t>
      </w:r>
      <w:r w:rsidR="00BF4DBE">
        <w:rPr>
          <w:bCs/>
        </w:rPr>
        <w:t xml:space="preserve"> </w:t>
      </w:r>
    </w:p>
    <w:p w:rsidRPr="00702B07" w:rsidR="00636B94" w:rsidP="000004CA" w:rsidRDefault="00636B94" w14:paraId="3650E0FC"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727D4B">
        <w:rPr>
          <w:b/>
          <w:bCs/>
        </w:rPr>
        <w:t>0725</w:t>
      </w:r>
    </w:p>
    <w:p w:rsidRPr="00702B07" w:rsidR="00C573C8" w:rsidP="00BE5210" w:rsidRDefault="00C573C8" w14:paraId="57D3EDE0" w14:textId="77777777">
      <w:pPr>
        <w:ind w:left="-90"/>
      </w:pPr>
      <w:r w:rsidRPr="00702B07">
        <w:t xml:space="preserve">                           </w:t>
      </w:r>
    </w:p>
    <w:p w:rsidRPr="00702B07" w:rsidR="00C573C8" w:rsidP="00AA539A" w:rsidRDefault="00C573C8" w14:paraId="78598B67"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1E45F73D" w14:textId="77777777">
      <w:pPr>
        <w:ind w:left="-72" w:right="-72"/>
      </w:pPr>
    </w:p>
    <w:p w:rsidR="007B53E7" w:rsidP="000712EC" w:rsidRDefault="00A40FE8" w14:paraId="7D2AACB5" w14:textId="77777777">
      <w:pPr>
        <w:ind w:left="360" w:right="-72"/>
        <w:rPr>
          <w:lang w:val="en"/>
        </w:rPr>
      </w:pPr>
      <w:r w:rsidRPr="00A40FE8">
        <w:rPr>
          <w:lang w:val="en"/>
        </w:rPr>
        <w:t>Generally, federal excise taxes are imposed on taxable fuels, (i.e., gasoline, kerosene, and diesel), when removed from a taxable fuel terminal. Federal law provides a fuel excise tax exemption for the sale of any liquid used as a fuel in a motor vehicle, motorboat, or aircraft for the exclusive use of any state, or any political subdivision of a governmental entity, or the District of Columbia. This fuel excise tax exemption does not include Leaking Underground Storage Tank (LUST) tax.</w:t>
      </w:r>
    </w:p>
    <w:p w:rsidR="007B53E7" w:rsidP="000712EC" w:rsidRDefault="007B53E7" w14:paraId="69309BE1" w14:textId="77777777">
      <w:pPr>
        <w:ind w:left="360" w:right="-72"/>
        <w:rPr>
          <w:lang w:val="en"/>
        </w:rPr>
      </w:pPr>
    </w:p>
    <w:p w:rsidR="007B53E7" w:rsidP="000712EC" w:rsidRDefault="007B53E7" w14:paraId="08D8F7F5" w14:textId="77777777">
      <w:pPr>
        <w:ind w:left="360" w:right="-72"/>
        <w:rPr>
          <w:lang w:val="en"/>
        </w:rPr>
      </w:pPr>
      <w:r w:rsidRPr="007B53E7">
        <w:rPr>
          <w:lang w:val="en"/>
        </w:rPr>
        <w:t>In general, a fuel distributor (ultimate vendor) sells taxable fuel tax-free to a governmental entity and submits a claim for refund of the fuel excise tax, if they paid federal excise tax on the fuel, have not collected the federal excise tax from the governmental entity, and are registered under Internal Revenue Code section 4101.</w:t>
      </w:r>
    </w:p>
    <w:p w:rsidR="005E2F8E" w:rsidP="000712EC" w:rsidRDefault="005E2F8E" w14:paraId="06AD3717" w14:textId="77777777">
      <w:pPr>
        <w:ind w:left="360" w:right="-72"/>
        <w:rPr>
          <w:lang w:val="en"/>
        </w:rPr>
      </w:pPr>
    </w:p>
    <w:p w:rsidR="0011589C" w:rsidP="000712EC" w:rsidRDefault="0011589C" w14:paraId="3E2732F7" w14:textId="77777777">
      <w:pPr>
        <w:ind w:left="360" w:right="-72"/>
        <w:rPr>
          <w:lang w:val="en"/>
        </w:rPr>
      </w:pPr>
      <w:r>
        <w:rPr>
          <w:lang w:val="en"/>
        </w:rPr>
        <w:t xml:space="preserve">26 CFR 48.4101-1 </w:t>
      </w:r>
      <w:r w:rsidRPr="0011589C">
        <w:rPr>
          <w:lang w:val="en"/>
        </w:rPr>
        <w:t>provides rules relating to registration under section 4101 for purposes of the federal excise</w:t>
      </w:r>
      <w:r>
        <w:rPr>
          <w:lang w:val="en"/>
        </w:rPr>
        <w:t xml:space="preserve"> </w:t>
      </w:r>
      <w:r w:rsidRPr="0011589C">
        <w:rPr>
          <w:lang w:val="en"/>
        </w:rPr>
        <w:t>tax on taxable fuel imposed by sections 4041(a)(1) and 4081 and the credit or payment allowed to certain ultimate vendors of</w:t>
      </w:r>
      <w:r>
        <w:rPr>
          <w:lang w:val="en"/>
        </w:rPr>
        <w:t xml:space="preserve"> </w:t>
      </w:r>
      <w:r w:rsidRPr="0011589C">
        <w:rPr>
          <w:lang w:val="en"/>
        </w:rPr>
        <w:t>diesel fuel and kerosene under section 6427.</w:t>
      </w:r>
    </w:p>
    <w:p w:rsidR="00F95410" w:rsidP="000712EC" w:rsidRDefault="00F95410" w14:paraId="00DAFDC2" w14:textId="77777777">
      <w:pPr>
        <w:ind w:left="360" w:right="-72"/>
        <w:rPr>
          <w:lang w:val="en"/>
        </w:rPr>
      </w:pPr>
    </w:p>
    <w:p w:rsidR="000712EC" w:rsidP="000712EC" w:rsidRDefault="005E2F8E" w14:paraId="6C45AEA6" w14:textId="77777777">
      <w:pPr>
        <w:ind w:left="360" w:right="-72"/>
        <w:rPr>
          <w:lang w:val="en"/>
        </w:rPr>
      </w:pPr>
      <w:r>
        <w:rPr>
          <w:lang w:val="en"/>
        </w:rPr>
        <w:t>Form 928</w:t>
      </w:r>
      <w:r w:rsidRPr="005E2F8E">
        <w:rPr>
          <w:lang w:val="en"/>
        </w:rPr>
        <w:t xml:space="preserve"> must be completed by any person required by the Internal Revenue Service to post bond as a condition of registration, or to retain its existing registration, on Form 637, Application for Registration, (For Certain Excise Tax Activities), for purposes of the excise tax imposed on gasoline, diesel fuel or kerosene.</w:t>
      </w:r>
    </w:p>
    <w:p w:rsidR="005E2F8E" w:rsidP="000712EC" w:rsidRDefault="005E2F8E" w14:paraId="484A18D5" w14:textId="77777777">
      <w:pPr>
        <w:ind w:left="360" w:right="-72"/>
        <w:rPr>
          <w:lang w:val="en"/>
        </w:rPr>
      </w:pPr>
    </w:p>
    <w:p w:rsidRPr="00702B07" w:rsidR="00C573C8" w:rsidP="00AA539A" w:rsidRDefault="00C573C8" w14:paraId="5DA7726D"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7BDDB1A3" w14:textId="77777777"/>
    <w:p w:rsidR="009E0FD0" w:rsidP="009E0FD0" w:rsidRDefault="00DE7D8D" w14:paraId="02F4A597" w14:textId="77777777">
      <w:pPr>
        <w:ind w:left="360" w:right="-72"/>
      </w:pPr>
      <w:r w:rsidRPr="00DE7D8D">
        <w:t xml:space="preserve">The information will be used to administer and </w:t>
      </w:r>
      <w:r w:rsidR="009E0FD0">
        <w:t xml:space="preserve">verify the </w:t>
      </w:r>
      <w:r w:rsidRPr="00727D4B" w:rsidR="00727D4B">
        <w:t xml:space="preserve">registration under section 4101(a).  The form is used by surety companies listed in Circular 570 to post a bond under section 4101(b) </w:t>
      </w:r>
      <w:r w:rsidRPr="00727D4B" w:rsidR="000F6C55">
        <w:t>for</w:t>
      </w:r>
      <w:r w:rsidRPr="00727D4B" w:rsidR="00727D4B">
        <w:t xml:space="preserve"> the tax imposed under section 4081 of the Internal Revenue Code.</w:t>
      </w:r>
    </w:p>
    <w:p w:rsidRPr="00702B07" w:rsidR="00727D4B" w:rsidP="009E0FD0" w:rsidRDefault="00727D4B" w14:paraId="7E815091" w14:textId="77777777">
      <w:pPr>
        <w:ind w:left="360" w:right="-72"/>
      </w:pPr>
    </w:p>
    <w:p w:rsidRPr="00702B07" w:rsidR="00C573C8" w:rsidP="00AA539A" w:rsidRDefault="00C573C8" w14:paraId="41FCCC28"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1A30E04B" w14:textId="77777777">
      <w:pPr>
        <w:ind w:left="-72" w:right="-72"/>
      </w:pPr>
    </w:p>
    <w:p w:rsidRPr="00702B07" w:rsidR="00C573C8" w:rsidP="0033329E" w:rsidRDefault="000F6C55" w14:paraId="601954D7" w14:textId="77777777">
      <w:pPr>
        <w:ind w:left="360" w:right="-72" w:hanging="18"/>
      </w:pPr>
      <w:r w:rsidRPr="000F6C55">
        <w:t>There are no plans to provide electronic filing because electronic filing is not appropriate for the collection of information in this submission. IRS intends to offer electronic filing to the extent it is practicable however in this case it isn’t practicable because of the evaluative nature of the determination</w:t>
      </w:r>
      <w:r w:rsidRPr="00702B07" w:rsidR="00C573C8">
        <w:t>.</w:t>
      </w:r>
    </w:p>
    <w:p w:rsidRPr="00702B07" w:rsidR="00C573C8" w:rsidRDefault="00C573C8" w14:paraId="46D8B3C4" w14:textId="77777777">
      <w:pPr>
        <w:ind w:left="-72" w:right="-72"/>
      </w:pPr>
    </w:p>
    <w:p w:rsidRPr="00702B07" w:rsidR="00C573C8" w:rsidP="00AA539A" w:rsidRDefault="00C573C8" w14:paraId="0275431E" w14:textId="77777777">
      <w:pPr>
        <w:ind w:right="-72"/>
        <w:rPr>
          <w:bCs/>
        </w:rPr>
      </w:pPr>
      <w:r w:rsidRPr="00702B07">
        <w:rPr>
          <w:bCs/>
        </w:rPr>
        <w:t xml:space="preserve">4.   </w:t>
      </w:r>
      <w:r w:rsidRPr="00702B07">
        <w:rPr>
          <w:bCs/>
          <w:u w:val="single"/>
        </w:rPr>
        <w:t>EFFORTS TO IDENTIFY DUPLICATION</w:t>
      </w:r>
    </w:p>
    <w:p w:rsidRPr="00702B07" w:rsidR="00C573C8" w:rsidRDefault="00C573C8" w14:paraId="679C925D" w14:textId="77777777">
      <w:pPr>
        <w:ind w:left="-72" w:right="-72"/>
      </w:pPr>
    </w:p>
    <w:p w:rsidR="00C573C8" w:rsidP="0033329E" w:rsidRDefault="000F6C55" w14:paraId="7CA7EA07" w14:textId="77777777">
      <w:pPr>
        <w:ind w:left="360" w:right="-72"/>
      </w:pPr>
      <w:r w:rsidRPr="000F6C55">
        <w:t>The information obtained through this collection is unique and is not already available for use or adaptation from another source</w:t>
      </w:r>
      <w:r w:rsidRPr="00702B07" w:rsidR="00C573C8">
        <w:t xml:space="preserve">.  </w:t>
      </w:r>
    </w:p>
    <w:p w:rsidR="00F95410" w:rsidP="0033329E" w:rsidRDefault="00F95410" w14:paraId="50CA0321" w14:textId="77777777">
      <w:pPr>
        <w:ind w:left="360" w:right="-72"/>
      </w:pPr>
    </w:p>
    <w:p w:rsidRPr="00702B07" w:rsidR="00F95410" w:rsidP="0033329E" w:rsidRDefault="00F95410" w14:paraId="70E6FB1A" w14:textId="77777777">
      <w:pPr>
        <w:ind w:left="360" w:right="-72"/>
      </w:pPr>
    </w:p>
    <w:p w:rsidRPr="00702B07" w:rsidR="00C573C8" w:rsidRDefault="00C573C8" w14:paraId="683C06C9" w14:textId="77777777">
      <w:pPr>
        <w:ind w:left="-72" w:right="-72"/>
      </w:pPr>
    </w:p>
    <w:p w:rsidRPr="00702B07" w:rsidR="00C573C8" w:rsidP="00AA539A" w:rsidRDefault="00C573C8" w14:paraId="61DD2E0D"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7D3C8B2D" w14:textId="77777777">
      <w:pPr>
        <w:ind w:left="-72" w:right="-72"/>
      </w:pPr>
    </w:p>
    <w:p w:rsidR="005E2F8E" w:rsidP="0033329E" w:rsidRDefault="000F6C55" w14:paraId="16B4311D" w14:textId="77777777">
      <w:pPr>
        <w:ind w:left="360" w:right="-72"/>
      </w:pPr>
      <w:r w:rsidRPr="000F6C55">
        <w:t>There is minimal to no burden on small businesses or entities by this collection due to the inapplicability of the authorizing statute to this type of entity</w:t>
      </w:r>
      <w:r w:rsidRPr="00695D49" w:rsidR="00695D49">
        <w:t>.</w:t>
      </w:r>
    </w:p>
    <w:p w:rsidR="00695D49" w:rsidP="0033329E" w:rsidRDefault="00695D49" w14:paraId="19CCF171" w14:textId="77777777">
      <w:pPr>
        <w:ind w:left="360" w:right="-72"/>
      </w:pPr>
    </w:p>
    <w:p w:rsidRPr="00702B07" w:rsidR="00C573C8" w:rsidP="00AA539A" w:rsidRDefault="00C573C8" w14:paraId="66572F99"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39C9FF96" w14:textId="77777777">
      <w:pPr>
        <w:ind w:left="-72" w:right="-72"/>
      </w:pPr>
    </w:p>
    <w:p w:rsidRPr="00227732" w:rsidR="00227732" w:rsidP="00227732" w:rsidRDefault="005E2F8E" w14:paraId="155EF2C3" w14:textId="77777777">
      <w:pPr>
        <w:ind w:left="360" w:right="-72"/>
        <w:rPr>
          <w:lang w:val="en"/>
        </w:rPr>
      </w:pPr>
      <w:r w:rsidRPr="005E2F8E">
        <w:rPr>
          <w:lang w:val="en"/>
        </w:rPr>
        <w:t xml:space="preserve">The information will be used to administer and verify the registration under section 4101(a).  </w:t>
      </w:r>
      <w:r w:rsidRPr="00227732" w:rsidR="00227732">
        <w:rPr>
          <w:lang w:val="en"/>
        </w:rPr>
        <w:t>Under section 48.4101–1, the IRS will register an applicant for registration only if, among other conditions, the applicant has adequate financial resources to pay its expected fuel</w:t>
      </w:r>
    </w:p>
    <w:p w:rsidRPr="00227732" w:rsidR="00227732" w:rsidP="00227732" w:rsidRDefault="00227732" w14:paraId="7693F170" w14:textId="77777777">
      <w:pPr>
        <w:ind w:left="360" w:right="-72"/>
        <w:rPr>
          <w:lang w:val="en"/>
        </w:rPr>
      </w:pPr>
      <w:r w:rsidRPr="00227732">
        <w:rPr>
          <w:lang w:val="en"/>
        </w:rPr>
        <w:t xml:space="preserve">tax liability. To make this determination, </w:t>
      </w:r>
      <w:r>
        <w:rPr>
          <w:lang w:val="en"/>
        </w:rPr>
        <w:t xml:space="preserve">section </w:t>
      </w:r>
      <w:r w:rsidRPr="00227732">
        <w:rPr>
          <w:lang w:val="en"/>
        </w:rPr>
        <w:t>48.4101–1(f)(4)(ii)(B) instructs the IRS</w:t>
      </w:r>
    </w:p>
    <w:p w:rsidR="001A5F9F" w:rsidP="00227732" w:rsidRDefault="00227732" w14:paraId="24A24449" w14:textId="77777777">
      <w:pPr>
        <w:ind w:left="360" w:right="-72"/>
        <w:rPr>
          <w:lang w:val="en"/>
        </w:rPr>
      </w:pPr>
      <w:r w:rsidRPr="00227732">
        <w:rPr>
          <w:lang w:val="en"/>
        </w:rPr>
        <w:t>to look to the applicant’s financial information.</w:t>
      </w:r>
    </w:p>
    <w:p w:rsidRPr="00D85B57" w:rsidR="00094F6C" w:rsidP="00E312D9" w:rsidRDefault="00094F6C" w14:paraId="00225BE5" w14:textId="77777777">
      <w:pPr>
        <w:ind w:left="360" w:right="-72"/>
        <w:rPr>
          <w:strike/>
        </w:rPr>
      </w:pPr>
    </w:p>
    <w:p w:rsidR="003F2C5D" w:rsidP="00727D4B" w:rsidRDefault="007453AC" w14:paraId="412C1C95" w14:textId="77777777">
      <w:pPr>
        <w:ind w:left="360" w:right="-72"/>
      </w:pPr>
      <w:r>
        <w:t>F</w:t>
      </w:r>
      <w:r w:rsidRPr="00895AED" w:rsidR="00895AED">
        <w:t xml:space="preserve">ailure to </w:t>
      </w:r>
      <w:r>
        <w:t xml:space="preserve">collect and retain the information outlined </w:t>
      </w:r>
      <w:r w:rsidR="00727D4B">
        <w:t>would consist of decreased amount of taxes collected by the Service, inaccurate and untimely filing of tax returns, and an increase in tax violations.</w:t>
      </w:r>
    </w:p>
    <w:p w:rsidRPr="00702B07" w:rsidR="00727D4B" w:rsidP="00727D4B" w:rsidRDefault="00727D4B" w14:paraId="54516967" w14:textId="77777777">
      <w:pPr>
        <w:ind w:left="360" w:right="-72"/>
      </w:pPr>
    </w:p>
    <w:p w:rsidRPr="00702B07" w:rsidR="00C573C8" w:rsidP="00AA539A" w:rsidRDefault="00AA539A" w14:paraId="52458483"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4FF9653D" w14:textId="77777777">
      <w:pPr>
        <w:ind w:left="-72" w:right="-72" w:firstLine="7920"/>
      </w:pPr>
    </w:p>
    <w:p w:rsidR="00C573C8" w:rsidP="00E47B4F" w:rsidRDefault="00E47B4F" w14:paraId="2DADB239"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7B9AFF1C" w14:textId="77777777">
      <w:pPr>
        <w:ind w:left="360" w:right="-72" w:hanging="18"/>
      </w:pPr>
    </w:p>
    <w:p w:rsidRPr="00702B07" w:rsidR="00C573C8" w:rsidP="00AA539A" w:rsidRDefault="00C573C8" w14:paraId="0439BD2D"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361B1F52" w14:textId="77777777">
      <w:pPr>
        <w:ind w:left="-72" w:right="-72"/>
      </w:pPr>
    </w:p>
    <w:p w:rsidRPr="00702B07" w:rsidR="00C573C8" w:rsidRDefault="00C573C8" w14:paraId="498D5A90" w14:textId="77777777">
      <w:pPr>
        <w:ind w:left="-72" w:right="-72"/>
        <w:sectPr w:rsidRPr="00702B07" w:rsidR="00C573C8">
          <w:pgSz w:w="12240" w:h="15840"/>
          <w:pgMar w:top="1368" w:right="1440" w:bottom="1368" w:left="1440" w:header="1368" w:footer="1368" w:gutter="0"/>
          <w:cols w:space="720"/>
          <w:noEndnote/>
        </w:sectPr>
      </w:pPr>
    </w:p>
    <w:p w:rsidRPr="00727D4B" w:rsidR="00727D4B" w:rsidP="00727D4B" w:rsidRDefault="00727D4B" w14:paraId="4ED834FB" w14:textId="77777777">
      <w:pPr>
        <w:ind w:left="450"/>
      </w:pPr>
      <w:r w:rsidRPr="00727D4B">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928. </w:t>
      </w:r>
    </w:p>
    <w:p w:rsidRPr="00702B07" w:rsidR="0018180A" w:rsidP="00727D4B" w:rsidRDefault="0018180A" w14:paraId="577565E3" w14:textId="77777777">
      <w:pPr>
        <w:ind w:left="450"/>
      </w:pPr>
    </w:p>
    <w:p w:rsidR="00145362" w:rsidP="00D33035" w:rsidRDefault="00C573C8" w14:paraId="4DD29419" w14:textId="5A6FC0F9">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EC27C7">
        <w:t xml:space="preserve">August </w:t>
      </w:r>
      <w:r w:rsidR="00B77A86">
        <w:t>24</w:t>
      </w:r>
      <w:r w:rsidR="004F281F">
        <w:t>, 20</w:t>
      </w:r>
      <w:r w:rsidR="00EC27C7">
        <w:t>21</w:t>
      </w:r>
      <w:r w:rsidR="004F281F">
        <w:t>,</w:t>
      </w:r>
      <w:r w:rsidRPr="00702B07" w:rsidR="00A84CA1">
        <w:t xml:space="preserve"> (</w:t>
      </w:r>
      <w:r w:rsidR="003F2C5D">
        <w:t>8</w:t>
      </w:r>
      <w:r w:rsidR="00EC27C7">
        <w:t>6</w:t>
      </w:r>
      <w:r w:rsidRPr="00702B07" w:rsidR="00A84CA1">
        <w:t xml:space="preserve"> FR </w:t>
      </w:r>
      <w:r w:rsidR="00B77A86">
        <w:t>47368</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Pr="00702B07" w:rsidR="00C573C8" w:rsidP="00D33035" w:rsidRDefault="00C573C8" w14:paraId="22886CBC" w14:textId="77777777">
      <w:pPr>
        <w:ind w:left="450"/>
      </w:pPr>
      <w:r w:rsidRPr="00702B07">
        <w:t xml:space="preserve">  </w:t>
      </w:r>
    </w:p>
    <w:p w:rsidRPr="00702B07" w:rsidR="00C573C8" w:rsidP="00AA539A" w:rsidRDefault="00C573C8" w14:paraId="66C0201E"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739D0519" w14:textId="77777777"/>
    <w:p w:rsidR="00C573C8" w:rsidP="000F6C55" w:rsidRDefault="00D85B57" w14:paraId="69D986FE" w14:textId="77777777">
      <w:pPr>
        <w:ind w:left="360"/>
      </w:pPr>
      <w:r w:rsidRPr="00D85B57">
        <w:t>There are no special circumstances requiring data collection to be inconsistent with Guidelines in 5 CFR 1320.5(d)(2)</w:t>
      </w:r>
      <w:r w:rsidRPr="00702B07" w:rsidR="00C573C8">
        <w:t>.</w:t>
      </w:r>
    </w:p>
    <w:p w:rsidR="00EC27C7" w:rsidP="000F6C55" w:rsidRDefault="00EC27C7" w14:paraId="591CA24D" w14:textId="77777777">
      <w:pPr>
        <w:ind w:left="360"/>
      </w:pPr>
    </w:p>
    <w:p w:rsidRPr="00702B07" w:rsidR="00EC27C7" w:rsidP="000F6C55" w:rsidRDefault="00EC27C7" w14:paraId="3A8B509F" w14:textId="77777777">
      <w:pPr>
        <w:ind w:left="360"/>
      </w:pPr>
    </w:p>
    <w:p w:rsidRPr="00702B07" w:rsidR="00C573C8" w:rsidRDefault="00C573C8" w14:paraId="0DA0A5C7" w14:textId="77777777">
      <w:pPr>
        <w:rPr>
          <w:bCs/>
        </w:rPr>
      </w:pPr>
      <w:r w:rsidRPr="00702B07">
        <w:rPr>
          <w:bCs/>
        </w:rPr>
        <w:lastRenderedPageBreak/>
        <w:t xml:space="preserve">10.  </w:t>
      </w:r>
      <w:r w:rsidRPr="00702B07">
        <w:rPr>
          <w:bCs/>
          <w:u w:val="single"/>
        </w:rPr>
        <w:t>ASSURANCE OF CONFIDENTIALITY OF RESPONSES</w:t>
      </w:r>
    </w:p>
    <w:p w:rsidRPr="00702B07" w:rsidR="00C573C8" w:rsidRDefault="00C573C8" w14:paraId="670477BE" w14:textId="77777777"/>
    <w:p w:rsidRPr="00702B07" w:rsidR="00C573C8" w:rsidP="00D33035" w:rsidRDefault="00C573C8" w14:paraId="3172938F" w14:textId="77777777">
      <w:pPr>
        <w:ind w:left="450"/>
      </w:pPr>
      <w:r w:rsidRPr="00702B07">
        <w:t>Generally, tax returns and tax return information are confidential as required by 26 USC 6103.</w:t>
      </w:r>
    </w:p>
    <w:p w:rsidRPr="00702B07" w:rsidR="00C573C8" w:rsidRDefault="00C573C8" w14:paraId="13939F22" w14:textId="77777777">
      <w:r w:rsidRPr="00702B07">
        <w:t xml:space="preserve">     </w:t>
      </w:r>
    </w:p>
    <w:p w:rsidRPr="00702B07" w:rsidR="00C573C8" w:rsidRDefault="00C573C8" w14:paraId="214C8816"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100D7854" w14:textId="77777777">
      <w:pPr>
        <w:rPr>
          <w:u w:val="single"/>
        </w:rPr>
      </w:pPr>
    </w:p>
    <w:p w:rsidRPr="00C85FC1" w:rsidR="00C85FC1" w:rsidP="00C85FC1" w:rsidRDefault="00C85FC1" w14:paraId="6FCDFB2A"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4C29737E" w14:textId="77777777">
      <w:pPr>
        <w:ind w:left="450"/>
      </w:pPr>
    </w:p>
    <w:p w:rsidRPr="00C85FC1" w:rsidR="00C85FC1" w:rsidP="00C85FC1" w:rsidRDefault="00C85FC1" w14:paraId="6D407EB7"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5E4A196E" w14:textId="77777777"/>
    <w:p w:rsidRPr="00702B07" w:rsidR="00C573C8" w:rsidRDefault="00C573C8" w14:paraId="5BBE80FA" w14:textId="77777777">
      <w:pPr>
        <w:rPr>
          <w:bCs/>
          <w:u w:val="single"/>
        </w:rPr>
      </w:pPr>
      <w:r w:rsidRPr="00702B07">
        <w:rPr>
          <w:bCs/>
        </w:rPr>
        <w:t xml:space="preserve">12.  </w:t>
      </w:r>
      <w:r w:rsidRPr="00702B07">
        <w:rPr>
          <w:bCs/>
          <w:u w:val="single"/>
        </w:rPr>
        <w:t>ESTIMATED BURDEN OF INFORMATION COLLECTION</w:t>
      </w:r>
    </w:p>
    <w:p w:rsidR="00C573C8" w:rsidRDefault="00C573C8" w14:paraId="3666E5DD" w14:textId="77777777">
      <w:pPr>
        <w:rPr>
          <w:u w:val="single"/>
        </w:rPr>
      </w:pPr>
    </w:p>
    <w:p w:rsidRPr="00116770" w:rsidR="00116770" w:rsidP="00116770" w:rsidRDefault="00116770" w14:paraId="248D3078" w14:textId="77777777">
      <w:pPr>
        <w:ind w:left="450"/>
      </w:pPr>
      <w:r w:rsidRPr="00116770">
        <w:t>Under</w:t>
      </w:r>
      <w:r>
        <w:t xml:space="preserve"> </w:t>
      </w:r>
      <w:r w:rsidR="00227732">
        <w:t xml:space="preserve">section </w:t>
      </w:r>
      <w:r w:rsidRPr="00116770">
        <w:t>48.4101–1, the IRS will register an applicant</w:t>
      </w:r>
      <w:r w:rsidR="00227732">
        <w:t xml:space="preserve"> </w:t>
      </w:r>
      <w:r w:rsidRPr="00116770">
        <w:t>for registration only if, among other</w:t>
      </w:r>
      <w:r w:rsidR="00227732">
        <w:t xml:space="preserve"> </w:t>
      </w:r>
      <w:r w:rsidRPr="00116770">
        <w:t>conditions, the applicant has adequate financial</w:t>
      </w:r>
      <w:r w:rsidR="00227732">
        <w:t xml:space="preserve"> </w:t>
      </w:r>
      <w:r w:rsidRPr="00116770">
        <w:t>resources to pay its expected fuel</w:t>
      </w:r>
    </w:p>
    <w:p w:rsidRPr="00116770" w:rsidR="00116770" w:rsidP="00116770" w:rsidRDefault="00116770" w14:paraId="5789359F" w14:textId="060A34E9">
      <w:pPr>
        <w:ind w:left="450"/>
      </w:pPr>
      <w:r w:rsidRPr="00116770">
        <w:t>tax liability. To make this determination,</w:t>
      </w:r>
      <w:r w:rsidR="00227732">
        <w:t xml:space="preserve"> </w:t>
      </w:r>
      <w:r w:rsidR="00B77A86">
        <w:t xml:space="preserve">section </w:t>
      </w:r>
      <w:r w:rsidRPr="00116770">
        <w:t>48.4101–1(f)(4)(ii)(B) instructs the IRS</w:t>
      </w:r>
    </w:p>
    <w:p w:rsidRPr="00116770" w:rsidR="006E0A4D" w:rsidP="00116770" w:rsidRDefault="00116770" w14:paraId="45DB0049" w14:textId="77777777">
      <w:pPr>
        <w:ind w:left="450"/>
      </w:pPr>
      <w:r w:rsidRPr="00116770">
        <w:t>to look to the applicant’s financial information</w:t>
      </w:r>
      <w:r w:rsidRPr="00116770" w:rsidR="006E0A4D">
        <w:t>.</w:t>
      </w:r>
    </w:p>
    <w:p w:rsidRPr="00702B07" w:rsidR="006E0A4D" w:rsidRDefault="006E0A4D" w14:paraId="7DA6BD18" w14:textId="77777777">
      <w:pPr>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621"/>
        <w:gridCol w:w="1206"/>
        <w:gridCol w:w="1467"/>
        <w:gridCol w:w="1255"/>
        <w:gridCol w:w="1415"/>
      </w:tblGrid>
      <w:tr w:rsidRPr="0075193A" w:rsidR="00D85B57" w:rsidTr="003B7275" w14:paraId="5F062A8A" w14:textId="77777777">
        <w:tc>
          <w:tcPr>
            <w:tcW w:w="1168"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0B133FD" w14:textId="77777777">
            <w:pPr>
              <w:keepNext/>
              <w:keepLines/>
              <w:numPr>
                <w:ilvl w:val="12"/>
                <w:numId w:val="0"/>
              </w:numPr>
              <w:jc w:val="center"/>
              <w:rPr>
                <w:b/>
              </w:rPr>
            </w:pPr>
            <w:r w:rsidRPr="0075193A">
              <w:rPr>
                <w:b/>
              </w:rPr>
              <w:t>OMB Collection</w:t>
            </w:r>
          </w:p>
        </w:tc>
        <w:tc>
          <w:tcPr>
            <w:tcW w:w="1644"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2924248A" w14:textId="77777777">
            <w:pPr>
              <w:keepNext/>
              <w:keepLines/>
              <w:numPr>
                <w:ilvl w:val="12"/>
                <w:numId w:val="0"/>
              </w:numPr>
              <w:jc w:val="center"/>
              <w:rPr>
                <w:b/>
              </w:rPr>
            </w:pPr>
            <w:r w:rsidRPr="0075193A">
              <w:rPr>
                <w:b/>
              </w:rPr>
              <w:t>Authority</w:t>
            </w:r>
          </w:p>
        </w:tc>
        <w:tc>
          <w:tcPr>
            <w:tcW w:w="1230"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A9A7B60" w14:textId="77777777">
            <w:pPr>
              <w:keepNext/>
              <w:keepLines/>
              <w:numPr>
                <w:ilvl w:val="12"/>
                <w:numId w:val="0"/>
              </w:numPr>
              <w:jc w:val="center"/>
              <w:rPr>
                <w:b/>
              </w:rPr>
            </w:pPr>
            <w:r w:rsidRPr="0075193A">
              <w:rPr>
                <w:b/>
              </w:rPr>
              <w:t>Form</w:t>
            </w:r>
          </w:p>
        </w:tc>
        <w:tc>
          <w:tcPr>
            <w:tcW w:w="1478"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37C14E3" w14:textId="77777777">
            <w:pPr>
              <w:keepNext/>
              <w:keepLines/>
              <w:numPr>
                <w:ilvl w:val="12"/>
                <w:numId w:val="0"/>
              </w:numPr>
              <w:jc w:val="center"/>
              <w:rPr>
                <w:b/>
              </w:rPr>
            </w:pPr>
            <w:r w:rsidRPr="0075193A">
              <w:rPr>
                <w:b/>
              </w:rPr>
              <w:t>Annual Responses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A3A2621" w14:textId="77777777">
            <w:pPr>
              <w:keepNext/>
              <w:keepLines/>
              <w:numPr>
                <w:ilvl w:val="12"/>
                <w:numId w:val="0"/>
              </w:numPr>
              <w:jc w:val="center"/>
              <w:rPr>
                <w:b/>
              </w:rPr>
            </w:pPr>
            <w:r w:rsidRPr="0075193A">
              <w:rPr>
                <w:b/>
              </w:rPr>
              <w:t>Hours per Response</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3D57569" w14:textId="77777777">
            <w:pPr>
              <w:keepNext/>
              <w:keepLines/>
              <w:numPr>
                <w:ilvl w:val="12"/>
                <w:numId w:val="0"/>
              </w:numPr>
              <w:jc w:val="center"/>
              <w:rPr>
                <w:b/>
              </w:rPr>
            </w:pPr>
            <w:r w:rsidRPr="0075193A">
              <w:rPr>
                <w:b/>
              </w:rPr>
              <w:t>Total Burden</w:t>
            </w:r>
          </w:p>
        </w:tc>
      </w:tr>
      <w:tr w:rsidRPr="0075193A" w:rsidR="00D85B57" w:rsidTr="006E0A4D" w14:paraId="6ACF7135" w14:textId="77777777">
        <w:tc>
          <w:tcPr>
            <w:tcW w:w="1168" w:type="dxa"/>
            <w:tcBorders>
              <w:top w:val="single" w:color="auto" w:sz="4" w:space="0"/>
              <w:left w:val="single" w:color="auto" w:sz="4" w:space="0"/>
              <w:bottom w:val="single" w:color="auto" w:sz="4" w:space="0"/>
              <w:right w:val="single" w:color="auto" w:sz="4" w:space="0"/>
            </w:tcBorders>
          </w:tcPr>
          <w:p w:rsidRPr="0075193A" w:rsidR="00D85B57" w:rsidP="00D85B57" w:rsidRDefault="00D85B57" w14:paraId="0A9AD178" w14:textId="77777777">
            <w:pPr>
              <w:keepNext/>
              <w:keepLines/>
              <w:numPr>
                <w:ilvl w:val="12"/>
                <w:numId w:val="0"/>
              </w:numPr>
              <w:jc w:val="center"/>
            </w:pPr>
          </w:p>
        </w:tc>
        <w:tc>
          <w:tcPr>
            <w:tcW w:w="1644" w:type="dxa"/>
            <w:tcBorders>
              <w:top w:val="single" w:color="auto" w:sz="4" w:space="0"/>
              <w:left w:val="single" w:color="auto" w:sz="4" w:space="0"/>
              <w:bottom w:val="single" w:color="auto" w:sz="4" w:space="0"/>
              <w:right w:val="single" w:color="auto" w:sz="4" w:space="0"/>
            </w:tcBorders>
            <w:vAlign w:val="bottom"/>
          </w:tcPr>
          <w:p w:rsidRPr="0075193A" w:rsidR="00D85B57" w:rsidP="00B03E6E" w:rsidRDefault="00D85B57" w14:paraId="70629A32" w14:textId="77777777">
            <w:pPr>
              <w:keepNext/>
              <w:keepLines/>
              <w:numPr>
                <w:ilvl w:val="12"/>
                <w:numId w:val="0"/>
              </w:numPr>
              <w:jc w:val="center"/>
            </w:pPr>
          </w:p>
        </w:tc>
        <w:tc>
          <w:tcPr>
            <w:tcW w:w="1230"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11C25372" w14:textId="77777777">
            <w:pPr>
              <w:keepNext/>
              <w:keepLines/>
              <w:numPr>
                <w:ilvl w:val="12"/>
                <w:numId w:val="0"/>
              </w:numPr>
              <w:jc w:val="center"/>
            </w:pPr>
          </w:p>
        </w:tc>
        <w:tc>
          <w:tcPr>
            <w:tcW w:w="1478"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670809D0" w14:textId="77777777">
            <w:pPr>
              <w:keepNext/>
              <w:keepLines/>
              <w:numPr>
                <w:ilvl w:val="12"/>
                <w:numId w:val="0"/>
              </w:numPr>
              <w:jc w:val="center"/>
            </w:pPr>
          </w:p>
        </w:tc>
        <w:tc>
          <w:tcPr>
            <w:tcW w:w="1260"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3A6D62C1" w14:textId="77777777">
            <w:pPr>
              <w:keepNext/>
              <w:keepLines/>
              <w:numPr>
                <w:ilvl w:val="12"/>
                <w:numId w:val="0"/>
              </w:num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11725910" w14:textId="77777777">
            <w:pPr>
              <w:keepNext/>
              <w:keepLines/>
              <w:numPr>
                <w:ilvl w:val="12"/>
                <w:numId w:val="0"/>
              </w:numPr>
              <w:jc w:val="center"/>
            </w:pPr>
          </w:p>
        </w:tc>
      </w:tr>
      <w:tr w:rsidRPr="0075193A" w:rsidR="00007D7B" w:rsidTr="003B7275" w14:paraId="56C6AA62" w14:textId="77777777">
        <w:tc>
          <w:tcPr>
            <w:tcW w:w="1168" w:type="dxa"/>
            <w:tcBorders>
              <w:top w:val="single" w:color="auto" w:sz="4" w:space="0"/>
              <w:left w:val="single" w:color="auto" w:sz="4" w:space="0"/>
              <w:bottom w:val="single" w:color="auto" w:sz="4" w:space="0"/>
              <w:right w:val="single" w:color="auto" w:sz="4" w:space="0"/>
            </w:tcBorders>
          </w:tcPr>
          <w:p w:rsidRPr="0075193A" w:rsidR="00007D7B" w:rsidP="003B7275" w:rsidRDefault="00007D7B" w14:paraId="3336F983" w14:textId="77777777">
            <w:pPr>
              <w:keepNext/>
              <w:keepLines/>
              <w:numPr>
                <w:ilvl w:val="12"/>
                <w:numId w:val="0"/>
              </w:numPr>
              <w:jc w:val="center"/>
            </w:pPr>
            <w:r>
              <w:t>1545-</w:t>
            </w:r>
            <w:r w:rsidR="00727D4B">
              <w:t>0725</w:t>
            </w:r>
          </w:p>
        </w:tc>
        <w:tc>
          <w:tcPr>
            <w:tcW w:w="1644" w:type="dxa"/>
            <w:tcBorders>
              <w:top w:val="single" w:color="auto" w:sz="4" w:space="0"/>
              <w:left w:val="single" w:color="auto" w:sz="4" w:space="0"/>
              <w:bottom w:val="single" w:color="auto" w:sz="4" w:space="0"/>
              <w:right w:val="single" w:color="auto" w:sz="4" w:space="0"/>
            </w:tcBorders>
            <w:vAlign w:val="bottom"/>
          </w:tcPr>
          <w:p w:rsidRPr="00F95410" w:rsidR="00007D7B" w:rsidP="00D85B57" w:rsidRDefault="00F95410" w14:paraId="5F0EE8C9" w14:textId="77777777">
            <w:pPr>
              <w:keepNext/>
              <w:keepLines/>
              <w:numPr>
                <w:ilvl w:val="12"/>
                <w:numId w:val="0"/>
              </w:numPr>
              <w:jc w:val="center"/>
            </w:pPr>
            <w:r w:rsidRPr="00F95410">
              <w:t>48</w:t>
            </w:r>
            <w:r>
              <w:t>.4101-1</w:t>
            </w:r>
          </w:p>
        </w:tc>
        <w:tc>
          <w:tcPr>
            <w:tcW w:w="1230" w:type="dxa"/>
            <w:tcBorders>
              <w:top w:val="single" w:color="auto" w:sz="4" w:space="0"/>
              <w:left w:val="single" w:color="auto" w:sz="4" w:space="0"/>
              <w:bottom w:val="single" w:color="auto" w:sz="4" w:space="0"/>
              <w:right w:val="single" w:color="auto" w:sz="4" w:space="0"/>
            </w:tcBorders>
            <w:vAlign w:val="bottom"/>
          </w:tcPr>
          <w:p w:rsidR="00007D7B" w:rsidP="003B7275" w:rsidRDefault="00727D4B" w14:paraId="5A054AD3" w14:textId="77777777">
            <w:pPr>
              <w:keepNext/>
              <w:keepLines/>
              <w:numPr>
                <w:ilvl w:val="12"/>
                <w:numId w:val="0"/>
              </w:numPr>
              <w:jc w:val="center"/>
            </w:pPr>
            <w:r>
              <w:t>92</w:t>
            </w:r>
            <w:r w:rsidR="00CA7B3F">
              <w:t>8</w:t>
            </w:r>
          </w:p>
        </w:tc>
        <w:tc>
          <w:tcPr>
            <w:tcW w:w="1478" w:type="dxa"/>
            <w:tcBorders>
              <w:top w:val="single" w:color="auto" w:sz="4" w:space="0"/>
              <w:left w:val="single" w:color="auto" w:sz="4" w:space="0"/>
              <w:bottom w:val="single" w:color="auto" w:sz="4" w:space="0"/>
              <w:right w:val="single" w:color="auto" w:sz="4" w:space="0"/>
            </w:tcBorders>
            <w:vAlign w:val="bottom"/>
          </w:tcPr>
          <w:p w:rsidR="00007D7B" w:rsidP="003B7275" w:rsidRDefault="00727D4B" w14:paraId="18145865" w14:textId="77777777">
            <w:pPr>
              <w:keepNext/>
              <w:keepLines/>
              <w:numPr>
                <w:ilvl w:val="12"/>
                <w:numId w:val="0"/>
              </w:numPr>
              <w:jc w:val="center"/>
            </w:pPr>
            <w:r>
              <w:t>5</w:t>
            </w:r>
            <w:r w:rsidR="004F281F">
              <w:t>00</w:t>
            </w:r>
          </w:p>
        </w:tc>
        <w:tc>
          <w:tcPr>
            <w:tcW w:w="1260" w:type="dxa"/>
            <w:tcBorders>
              <w:top w:val="single" w:color="auto" w:sz="4" w:space="0"/>
              <w:left w:val="single" w:color="auto" w:sz="4" w:space="0"/>
              <w:bottom w:val="single" w:color="auto" w:sz="4" w:space="0"/>
              <w:right w:val="single" w:color="auto" w:sz="4" w:space="0"/>
            </w:tcBorders>
            <w:vAlign w:val="bottom"/>
          </w:tcPr>
          <w:p w:rsidR="00007D7B" w:rsidP="003B7275" w:rsidRDefault="00727D4B" w14:paraId="5F8FE911" w14:textId="77777777">
            <w:pPr>
              <w:keepNext/>
              <w:keepLines/>
              <w:numPr>
                <w:ilvl w:val="12"/>
                <w:numId w:val="0"/>
              </w:numPr>
              <w:jc w:val="center"/>
            </w:pPr>
            <w:r>
              <w:t>2.56</w:t>
            </w:r>
          </w:p>
        </w:tc>
        <w:tc>
          <w:tcPr>
            <w:tcW w:w="1440" w:type="dxa"/>
            <w:tcBorders>
              <w:top w:val="single" w:color="auto" w:sz="4" w:space="0"/>
              <w:left w:val="single" w:color="auto" w:sz="4" w:space="0"/>
              <w:bottom w:val="single" w:color="auto" w:sz="4" w:space="0"/>
              <w:right w:val="single" w:color="auto" w:sz="4" w:space="0"/>
            </w:tcBorders>
            <w:vAlign w:val="bottom"/>
          </w:tcPr>
          <w:p w:rsidR="00007D7B" w:rsidP="003B7275" w:rsidRDefault="00727D4B" w14:paraId="2EED0ADE" w14:textId="77777777">
            <w:pPr>
              <w:keepNext/>
              <w:keepLines/>
              <w:numPr>
                <w:ilvl w:val="12"/>
                <w:numId w:val="0"/>
              </w:numPr>
              <w:jc w:val="center"/>
            </w:pPr>
            <w:r>
              <w:t>1,28</w:t>
            </w:r>
            <w:r w:rsidR="00F54DAA">
              <w:t>0</w:t>
            </w:r>
          </w:p>
        </w:tc>
      </w:tr>
      <w:tr w:rsidRPr="0075193A" w:rsidR="00D85B57" w:rsidTr="003B7275" w14:paraId="12144659" w14:textId="77777777">
        <w:tc>
          <w:tcPr>
            <w:tcW w:w="1168"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1E83533C" w14:textId="77777777">
            <w:pPr>
              <w:keepNext/>
              <w:keepLines/>
              <w:numPr>
                <w:ilvl w:val="12"/>
                <w:numId w:val="0"/>
              </w:numPr>
              <w:jc w:val="center"/>
              <w:rPr>
                <w:b/>
              </w:rPr>
            </w:pPr>
          </w:p>
        </w:tc>
        <w:tc>
          <w:tcPr>
            <w:tcW w:w="1644"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2F1CF246" w14:textId="77777777">
            <w:pPr>
              <w:keepNext/>
              <w:keepLines/>
              <w:numPr>
                <w:ilvl w:val="12"/>
                <w:numId w:val="0"/>
              </w:numPr>
              <w:jc w:val="center"/>
              <w:rPr>
                <w:b/>
              </w:rPr>
            </w:pPr>
            <w:r w:rsidRPr="0075193A">
              <w:rPr>
                <w:b/>
              </w:rPr>
              <w:t>IRS TOTAL</w:t>
            </w:r>
          </w:p>
        </w:tc>
        <w:tc>
          <w:tcPr>
            <w:tcW w:w="1230"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04873A3B" w14:textId="77777777">
            <w:pPr>
              <w:keepNext/>
              <w:keepLines/>
              <w:numPr>
                <w:ilvl w:val="12"/>
                <w:numId w:val="0"/>
              </w:numPr>
              <w:jc w:val="center"/>
              <w:rPr>
                <w:b/>
              </w:rPr>
            </w:pPr>
          </w:p>
        </w:tc>
        <w:tc>
          <w:tcPr>
            <w:tcW w:w="1478"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727D4B" w14:paraId="52D191E5" w14:textId="77777777">
            <w:pPr>
              <w:keepNext/>
              <w:keepLines/>
              <w:numPr>
                <w:ilvl w:val="12"/>
                <w:numId w:val="0"/>
              </w:numPr>
              <w:jc w:val="center"/>
              <w:rPr>
                <w:b/>
              </w:rPr>
            </w:pPr>
            <w:r>
              <w:rPr>
                <w:b/>
              </w:rPr>
              <w:t>5</w:t>
            </w:r>
            <w:r w:rsidR="006E0A4D">
              <w:rPr>
                <w:b/>
              </w:rPr>
              <w:t>00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CD6DB54" w14:textId="77777777">
            <w:pPr>
              <w:keepNext/>
              <w:keepLines/>
              <w:numPr>
                <w:ilvl w:val="12"/>
                <w:numId w:val="0"/>
              </w:numPr>
              <w:jc w:val="center"/>
              <w:rPr>
                <w:b/>
              </w:rPr>
            </w:pPr>
          </w:p>
        </w:tc>
        <w:tc>
          <w:tcPr>
            <w:tcW w:w="1440"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CA4C8D" w14:paraId="69A8F6E3" w14:textId="77777777">
            <w:pPr>
              <w:keepNext/>
              <w:keepLines/>
              <w:numPr>
                <w:ilvl w:val="12"/>
                <w:numId w:val="0"/>
              </w:numPr>
              <w:jc w:val="center"/>
              <w:rPr>
                <w:b/>
              </w:rPr>
            </w:pPr>
            <w:r>
              <w:rPr>
                <w:b/>
              </w:rPr>
              <w:t>1,280</w:t>
            </w:r>
          </w:p>
        </w:tc>
      </w:tr>
    </w:tbl>
    <w:p w:rsidR="00C573C8" w:rsidRDefault="00C573C8" w14:paraId="2EDB7CAE" w14:textId="77777777">
      <w:r w:rsidRPr="00702B07">
        <w:t xml:space="preserve">  </w:t>
      </w:r>
    </w:p>
    <w:p w:rsidR="00DD4327" w:rsidP="00DD4327" w:rsidRDefault="00DD4327" w14:paraId="354AE977" w14:textId="77777777">
      <w:pPr>
        <w:pStyle w:val="SupportingStatementSTANDARD"/>
        <w:ind w:firstLine="0"/>
      </w:pPr>
      <w:r>
        <w:t>Please continue to assign OMB number 1545-</w:t>
      </w:r>
      <w:r w:rsidR="00CA7B3F">
        <w:t>0725</w:t>
      </w:r>
      <w:r>
        <w:t xml:space="preserve"> to these regulations.</w:t>
      </w:r>
    </w:p>
    <w:p w:rsidR="00DD4327" w:rsidP="00DD4327" w:rsidRDefault="00DD4327" w14:paraId="15EB544C" w14:textId="77777777">
      <w:pPr>
        <w:pStyle w:val="SupportingStatementSTANDARD"/>
        <w:ind w:firstLine="0"/>
      </w:pPr>
    </w:p>
    <w:p w:rsidRPr="00F95410" w:rsidR="00792586" w:rsidP="00DD4327" w:rsidRDefault="00F95410" w14:paraId="000DA7D4" w14:textId="77777777">
      <w:pPr>
        <w:pStyle w:val="SupportingStatementSTANDARD"/>
        <w:ind w:firstLine="0"/>
      </w:pPr>
      <w:r w:rsidRPr="00F95410">
        <w:t>48.4101-1</w:t>
      </w:r>
    </w:p>
    <w:p w:rsidRPr="00702B07" w:rsidR="00007D7B" w:rsidRDefault="00007D7B" w14:paraId="26EC16AE" w14:textId="77777777"/>
    <w:p w:rsidRPr="00702B07" w:rsidR="00C573C8" w:rsidRDefault="00C573C8" w14:paraId="4A2EE090"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0369C324" w14:textId="77777777"/>
    <w:p w:rsidRPr="00CA0309" w:rsidR="005C2031" w:rsidP="00CA0309" w:rsidRDefault="005C2031" w14:paraId="0B6FF2DB" w14:textId="77777777">
      <w:pPr>
        <w:pStyle w:val="SupportingStatementSTANDARD"/>
        <w:ind w:firstLine="0"/>
      </w:pPr>
      <w:bookmarkStart w:name="_Hlk504654439" w:id="0"/>
      <w:r w:rsidRPr="00CA0309">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0"/>
    <w:p w:rsidRPr="00702B07" w:rsidR="000F6C55" w:rsidRDefault="000F6C55" w14:paraId="60C46691" w14:textId="77777777"/>
    <w:p w:rsidRPr="00702B07" w:rsidR="00C573C8" w:rsidRDefault="00C573C8" w14:paraId="699FAC8E"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2DABA24C" w14:textId="77777777"/>
    <w:p w:rsidRPr="00702B07" w:rsidR="00C573C8" w:rsidP="00D33035" w:rsidRDefault="00C573C8" w14:paraId="2C7E07DD" w14:textId="77777777">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Pr="004F281F" w:rsidR="004F281F">
        <w:t>2,350</w:t>
      </w:r>
      <w:r w:rsidRPr="00702B07">
        <w:t>.</w:t>
      </w:r>
    </w:p>
    <w:p w:rsidRPr="00702B07" w:rsidR="00153A01" w:rsidRDefault="00153A01" w14:paraId="7A008359" w14:textId="77777777"/>
    <w:p w:rsidRPr="00702B07" w:rsidR="00C573C8" w:rsidRDefault="00C573C8" w14:paraId="00BBD3EA" w14:textId="77777777">
      <w:r w:rsidRPr="00702B07">
        <w:rPr>
          <w:bCs/>
        </w:rPr>
        <w:t xml:space="preserve">15.  </w:t>
      </w:r>
      <w:r w:rsidRPr="00702B07">
        <w:rPr>
          <w:bCs/>
          <w:u w:val="single"/>
        </w:rPr>
        <w:t>REASONS FOR CHANGE IN BURDEN</w:t>
      </w:r>
    </w:p>
    <w:p w:rsidRPr="00702B07" w:rsidR="00C573C8" w:rsidRDefault="00C573C8" w14:paraId="40BD5EBF" w14:textId="77777777">
      <w:pPr>
        <w:ind w:left="720" w:hanging="720"/>
        <w:rPr>
          <w:bCs/>
        </w:rPr>
      </w:pPr>
      <w:r w:rsidRPr="00702B07">
        <w:t xml:space="preserve">    </w:t>
      </w:r>
    </w:p>
    <w:p w:rsidR="003F2C5D" w:rsidP="00D33035" w:rsidRDefault="003F2C5D" w14:paraId="3BE89BB5" w14:textId="77777777">
      <w:pPr>
        <w:ind w:left="450"/>
      </w:pPr>
      <w:r>
        <w:t>T</w:t>
      </w:r>
      <w:r w:rsidRPr="00702B07" w:rsidR="00C573C8">
        <w:t xml:space="preserve">here are no changes being made to </w:t>
      </w:r>
      <w:r w:rsidR="00153A01">
        <w:t>the burden previously approved.</w:t>
      </w:r>
      <w:r w:rsidRPr="00702B07" w:rsidR="00CC6C32">
        <w:t xml:space="preserve">  </w:t>
      </w:r>
    </w:p>
    <w:p w:rsidR="003F2C5D" w:rsidP="00CC6C32" w:rsidRDefault="003F2C5D" w14:paraId="65AA3748" w14:textId="77777777">
      <w:pPr>
        <w:ind w:left="720"/>
      </w:pPr>
    </w:p>
    <w:p w:rsidRPr="00702B07" w:rsidR="00C573C8" w:rsidP="00D33035" w:rsidRDefault="00E3396B" w14:paraId="4E17BEC4" w14:textId="77777777">
      <w:pPr>
        <w:ind w:left="450"/>
      </w:pPr>
      <w:r w:rsidRPr="00702B07">
        <w:t>T</w:t>
      </w:r>
      <w:r w:rsidRPr="00702B07" w:rsidR="00C573C8">
        <w:t>his submission is being made for renewal purposes.</w:t>
      </w:r>
    </w:p>
    <w:p w:rsidRPr="00702B07" w:rsidR="00C573C8" w:rsidRDefault="00C573C8" w14:paraId="7FFE3779" w14:textId="77777777">
      <w:pPr>
        <w:rPr>
          <w:bCs/>
        </w:rPr>
      </w:pPr>
    </w:p>
    <w:p w:rsidRPr="00702B07" w:rsidR="00C573C8" w:rsidRDefault="00C573C8" w14:paraId="56A307BB" w14:textId="77777777">
      <w:r w:rsidRPr="00702B07">
        <w:rPr>
          <w:bCs/>
        </w:rPr>
        <w:t xml:space="preserve">16.  </w:t>
      </w:r>
      <w:r w:rsidRPr="00702B07">
        <w:rPr>
          <w:bCs/>
          <w:u w:val="single"/>
        </w:rPr>
        <w:t>PLANS FOR TABULATION, STATISTICAL ANALYSIS AND PUBLICATION</w:t>
      </w:r>
    </w:p>
    <w:p w:rsidRPr="00702B07" w:rsidR="00C573C8" w:rsidRDefault="00C573C8" w14:paraId="476C64A1" w14:textId="77777777"/>
    <w:p w:rsidRPr="00702B07" w:rsidR="00C573C8" w:rsidP="00D33035" w:rsidRDefault="003F2C5D" w14:paraId="245D4A35" w14:textId="77777777">
      <w:pPr>
        <w:ind w:left="450"/>
      </w:pPr>
      <w:r w:rsidRPr="003F2C5D">
        <w:t>There are no plans for tabulation, statistical analysis and publication</w:t>
      </w:r>
      <w:r w:rsidRPr="00702B07" w:rsidR="00C573C8">
        <w:t>.</w:t>
      </w:r>
    </w:p>
    <w:p w:rsidRPr="00702B07" w:rsidR="00C573C8" w:rsidRDefault="00C573C8" w14:paraId="29F4A54D" w14:textId="77777777">
      <w:pPr>
        <w:rPr>
          <w:bCs/>
        </w:rPr>
      </w:pPr>
    </w:p>
    <w:p w:rsidRPr="00702B07" w:rsidR="00C573C8" w:rsidP="00AA539A" w:rsidRDefault="00C573C8" w14:paraId="297650D8"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3B082817" w14:textId="77777777"/>
    <w:p w:rsidRPr="00702B07" w:rsidR="00C573C8" w:rsidP="00D33035" w:rsidRDefault="002F697C" w14:paraId="42F6C7FB" w14:textId="77777777">
      <w:pPr>
        <w:ind w:left="450"/>
      </w:pPr>
      <w:r>
        <w:t xml:space="preserve">IRS </w:t>
      </w:r>
      <w:r w:rsidRPr="004F281F" w:rsidR="004F281F">
        <w:t>believe</w:t>
      </w:r>
      <w:r>
        <w:t>s</w:t>
      </w:r>
      <w:r w:rsidRPr="004F281F" w:rsidR="004F281F">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r w:rsidRPr="00702B07" w:rsidR="00C573C8">
        <w:t>.</w:t>
      </w:r>
    </w:p>
    <w:p w:rsidRPr="00702B07" w:rsidR="00C573C8" w:rsidRDefault="00C573C8" w14:paraId="1062C8EB" w14:textId="77777777">
      <w:pPr>
        <w:rPr>
          <w:bCs/>
        </w:rPr>
      </w:pPr>
    </w:p>
    <w:p w:rsidR="00C573C8" w:rsidRDefault="00C573C8" w14:paraId="38C2A5F4"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1E655F87" w14:textId="77777777"/>
    <w:p w:rsidRPr="00702B07" w:rsidR="00C573C8" w:rsidP="006642C2" w:rsidRDefault="006642C2" w14:paraId="320E885F"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7292858B" w14:textId="77777777"/>
    <w:p w:rsidRPr="00702B07" w:rsidR="00C573C8" w:rsidP="006642C2" w:rsidRDefault="00C573C8" w14:paraId="7A1A07F3"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53AFE931" w14:textId="77777777"/>
    <w:p w:rsidRPr="00702B07" w:rsidR="00C573C8" w:rsidP="006642C2" w:rsidRDefault="00C573C8" w14:paraId="1E91D6A4"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5BE42340" w14:textId="77777777"/>
    <w:p w:rsidR="00702B07" w:rsidRDefault="00702B07" w14:paraId="5A2927A3" w14:textId="77777777">
      <w:pPr>
        <w:ind w:firstLine="720"/>
      </w:pPr>
    </w:p>
    <w:p w:rsidR="00702B07" w:rsidRDefault="00702B07" w14:paraId="77E28CCD" w14:textId="77777777">
      <w:pPr>
        <w:ind w:firstLine="720"/>
      </w:pPr>
    </w:p>
    <w:p w:rsidR="003F2C5D" w:rsidRDefault="003F2C5D" w14:paraId="49408697" w14:textId="77777777">
      <w:pPr>
        <w:ind w:firstLine="720"/>
      </w:pPr>
    </w:p>
    <w:sectPr w:rsidR="003F2C5D"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04CA"/>
    <w:rsid w:val="00007D7B"/>
    <w:rsid w:val="000712EC"/>
    <w:rsid w:val="0009423B"/>
    <w:rsid w:val="00094F6C"/>
    <w:rsid w:val="000A1B91"/>
    <w:rsid w:val="000A2988"/>
    <w:rsid w:val="000F6C55"/>
    <w:rsid w:val="0011589C"/>
    <w:rsid w:val="00116770"/>
    <w:rsid w:val="00145362"/>
    <w:rsid w:val="00153A01"/>
    <w:rsid w:val="0018180A"/>
    <w:rsid w:val="001A5F9F"/>
    <w:rsid w:val="00204931"/>
    <w:rsid w:val="0021244F"/>
    <w:rsid w:val="00222F8C"/>
    <w:rsid w:val="00227732"/>
    <w:rsid w:val="0024297E"/>
    <w:rsid w:val="0028041B"/>
    <w:rsid w:val="002F697C"/>
    <w:rsid w:val="002F69D6"/>
    <w:rsid w:val="0033329E"/>
    <w:rsid w:val="003B5334"/>
    <w:rsid w:val="003B5891"/>
    <w:rsid w:val="003B7275"/>
    <w:rsid w:val="003D5C39"/>
    <w:rsid w:val="003F2C5D"/>
    <w:rsid w:val="00427EF7"/>
    <w:rsid w:val="00460F0B"/>
    <w:rsid w:val="00480FF5"/>
    <w:rsid w:val="004E06B1"/>
    <w:rsid w:val="004E4007"/>
    <w:rsid w:val="004F281F"/>
    <w:rsid w:val="00513764"/>
    <w:rsid w:val="005238E8"/>
    <w:rsid w:val="00576081"/>
    <w:rsid w:val="005853BC"/>
    <w:rsid w:val="00591B4A"/>
    <w:rsid w:val="005C2031"/>
    <w:rsid w:val="005E2F8E"/>
    <w:rsid w:val="006149C7"/>
    <w:rsid w:val="00636B94"/>
    <w:rsid w:val="006642C2"/>
    <w:rsid w:val="00695940"/>
    <w:rsid w:val="00695D49"/>
    <w:rsid w:val="006C101B"/>
    <w:rsid w:val="006E0A4D"/>
    <w:rsid w:val="00702B07"/>
    <w:rsid w:val="00727D4B"/>
    <w:rsid w:val="007453AC"/>
    <w:rsid w:val="007811F7"/>
    <w:rsid w:val="00792586"/>
    <w:rsid w:val="007B53E7"/>
    <w:rsid w:val="008676ED"/>
    <w:rsid w:val="008708F6"/>
    <w:rsid w:val="00895AED"/>
    <w:rsid w:val="00910116"/>
    <w:rsid w:val="00923919"/>
    <w:rsid w:val="009570E5"/>
    <w:rsid w:val="00957F20"/>
    <w:rsid w:val="0096082C"/>
    <w:rsid w:val="009C6B4D"/>
    <w:rsid w:val="009E0FD0"/>
    <w:rsid w:val="00A00E60"/>
    <w:rsid w:val="00A34C7C"/>
    <w:rsid w:val="00A40FE8"/>
    <w:rsid w:val="00A50F06"/>
    <w:rsid w:val="00A84CA1"/>
    <w:rsid w:val="00A91E00"/>
    <w:rsid w:val="00AA539A"/>
    <w:rsid w:val="00B03E6E"/>
    <w:rsid w:val="00B54DC7"/>
    <w:rsid w:val="00B73C86"/>
    <w:rsid w:val="00B77265"/>
    <w:rsid w:val="00B77A86"/>
    <w:rsid w:val="00B81690"/>
    <w:rsid w:val="00BC2563"/>
    <w:rsid w:val="00BE2174"/>
    <w:rsid w:val="00BE5210"/>
    <w:rsid w:val="00BF3A51"/>
    <w:rsid w:val="00BF4DBE"/>
    <w:rsid w:val="00C358CE"/>
    <w:rsid w:val="00C417F4"/>
    <w:rsid w:val="00C53DF5"/>
    <w:rsid w:val="00C573C8"/>
    <w:rsid w:val="00C8357C"/>
    <w:rsid w:val="00C85FC1"/>
    <w:rsid w:val="00CA0309"/>
    <w:rsid w:val="00CA4C8D"/>
    <w:rsid w:val="00CA7B3F"/>
    <w:rsid w:val="00CC6C32"/>
    <w:rsid w:val="00CD6147"/>
    <w:rsid w:val="00CE5344"/>
    <w:rsid w:val="00CF20D2"/>
    <w:rsid w:val="00D05E8B"/>
    <w:rsid w:val="00D33035"/>
    <w:rsid w:val="00D7151C"/>
    <w:rsid w:val="00D84A35"/>
    <w:rsid w:val="00D85B57"/>
    <w:rsid w:val="00DD4327"/>
    <w:rsid w:val="00DE7D8D"/>
    <w:rsid w:val="00E312D9"/>
    <w:rsid w:val="00E3396B"/>
    <w:rsid w:val="00E47B4F"/>
    <w:rsid w:val="00E56009"/>
    <w:rsid w:val="00E86D28"/>
    <w:rsid w:val="00EC27C7"/>
    <w:rsid w:val="00F2351F"/>
    <w:rsid w:val="00F54DAA"/>
    <w:rsid w:val="00F9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AD1E21"/>
  <w15:chartTrackingRefBased/>
  <w15:docId w15:val="{E8EBBE35-E935-4730-B20A-8AD29B20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57F20"/>
    <w:rPr>
      <w:rFonts w:ascii="Segoe UI" w:hAnsi="Segoe UI" w:cs="Segoe UI"/>
      <w:sz w:val="18"/>
      <w:szCs w:val="18"/>
    </w:rPr>
  </w:style>
  <w:style w:type="character" w:customStyle="1" w:styleId="BalloonTextChar">
    <w:name w:val="Balloon Text Char"/>
    <w:link w:val="BalloonText"/>
    <w:rsid w:val="00957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8086</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Durbala R Joseph</cp:lastModifiedBy>
  <cp:revision>3</cp:revision>
  <cp:lastPrinted>2005-05-18T14:13:00Z</cp:lastPrinted>
  <dcterms:created xsi:type="dcterms:W3CDTF">2021-08-05T16:44:00Z</dcterms:created>
  <dcterms:modified xsi:type="dcterms:W3CDTF">2021-10-25T15:14:00Z</dcterms:modified>
</cp:coreProperties>
</file>