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085F" w:rsidR="0023085F" w:rsidRDefault="000B6330" w14:paraId="666F0800" w14:textId="77777777">
      <w:pPr>
        <w:tabs>
          <w:tab w:val="center" w:pos="4680"/>
        </w:tabs>
        <w:rPr>
          <w:rFonts w:ascii="Times New Roman" w:hAnsi="Times New Roman"/>
          <w:b/>
          <w:bCs/>
        </w:rPr>
      </w:pPr>
      <w:r w:rsidRPr="00852671">
        <w:rPr>
          <w:rFonts w:ascii="Calibri" w:hAnsi="Calibri" w:cs="Shruti"/>
          <w:sz w:val="22"/>
          <w:szCs w:val="22"/>
        </w:rPr>
        <w:tab/>
      </w:r>
      <w:r w:rsidRPr="0023085F" w:rsidR="0023085F">
        <w:rPr>
          <w:rFonts w:ascii="Times New Roman" w:hAnsi="Times New Roman"/>
          <w:b/>
          <w:bCs/>
        </w:rPr>
        <w:t xml:space="preserve">SUPPORTING STATEMENT </w:t>
      </w:r>
    </w:p>
    <w:p w:rsidR="0023085F" w:rsidP="0023085F" w:rsidRDefault="001B0514" w14:paraId="4C92CE34" w14:textId="77777777">
      <w:pPr>
        <w:tabs>
          <w:tab w:val="center" w:pos="4680"/>
        </w:tabs>
        <w:jc w:val="center"/>
        <w:rPr>
          <w:rFonts w:ascii="Times New Roman" w:hAnsi="Times New Roman"/>
        </w:rPr>
      </w:pPr>
      <w:r w:rsidRPr="009F0CB5">
        <w:rPr>
          <w:rFonts w:ascii="Times New Roman" w:hAnsi="Times New Roman"/>
        </w:rPr>
        <w:t>Internal Revenue Service</w:t>
      </w:r>
      <w:r w:rsidRPr="009F0CB5">
        <w:rPr>
          <w:rFonts w:ascii="Times New Roman" w:hAnsi="Times New Roman"/>
        </w:rPr>
        <w:tab/>
      </w:r>
    </w:p>
    <w:p w:rsidRPr="006B5CC7" w:rsidR="006B5CC7" w:rsidP="006B5CC7" w:rsidRDefault="006B5CC7" w14:paraId="1D84F9E3" w14:textId="635E3A34">
      <w:pPr>
        <w:tabs>
          <w:tab w:val="center" w:pos="4680"/>
        </w:tabs>
        <w:jc w:val="center"/>
        <w:rPr>
          <w:rFonts w:ascii="Times New Roman" w:hAnsi="Times New Roman"/>
        </w:rPr>
      </w:pPr>
      <w:r w:rsidRPr="006B5CC7">
        <w:rPr>
          <w:rFonts w:ascii="Times New Roman" w:hAnsi="Times New Roman"/>
        </w:rPr>
        <w:t>Limitations on Passive Activity</w:t>
      </w:r>
      <w:r>
        <w:rPr>
          <w:rFonts w:ascii="Times New Roman" w:hAnsi="Times New Roman"/>
        </w:rPr>
        <w:t xml:space="preserve"> </w:t>
      </w:r>
      <w:r w:rsidRPr="006B5CC7">
        <w:rPr>
          <w:rFonts w:ascii="Times New Roman" w:hAnsi="Times New Roman"/>
        </w:rPr>
        <w:t>Losses and Credits—</w:t>
      </w:r>
    </w:p>
    <w:p w:rsidR="006B5CC7" w:rsidP="006B5CC7" w:rsidRDefault="006B5CC7" w14:paraId="0F5E2FE0" w14:textId="77777777">
      <w:pPr>
        <w:tabs>
          <w:tab w:val="center" w:pos="4680"/>
        </w:tabs>
        <w:jc w:val="center"/>
        <w:rPr>
          <w:rFonts w:ascii="Times New Roman" w:hAnsi="Times New Roman"/>
        </w:rPr>
      </w:pPr>
      <w:r w:rsidRPr="006B5CC7">
        <w:rPr>
          <w:rFonts w:ascii="Times New Roman" w:hAnsi="Times New Roman"/>
        </w:rPr>
        <w:t>Treatment of Self-charged</w:t>
      </w:r>
      <w:r>
        <w:rPr>
          <w:rFonts w:ascii="Times New Roman" w:hAnsi="Times New Roman"/>
        </w:rPr>
        <w:t xml:space="preserve"> </w:t>
      </w:r>
      <w:r w:rsidRPr="006B5CC7">
        <w:rPr>
          <w:rFonts w:ascii="Times New Roman" w:hAnsi="Times New Roman"/>
        </w:rPr>
        <w:t>Items of Income and Expense</w:t>
      </w:r>
    </w:p>
    <w:p w:rsidRPr="009F0CB5" w:rsidR="000B6330" w:rsidP="006B5CC7" w:rsidRDefault="009F0CB5" w14:paraId="33F5B9A5" w14:textId="4603E4A2">
      <w:pPr>
        <w:tabs>
          <w:tab w:val="center" w:pos="4680"/>
        </w:tabs>
        <w:jc w:val="center"/>
        <w:rPr>
          <w:rFonts w:ascii="Times New Roman" w:hAnsi="Times New Roman"/>
        </w:rPr>
      </w:pPr>
      <w:r w:rsidRPr="009F0CB5">
        <w:rPr>
          <w:rFonts w:ascii="Times New Roman" w:hAnsi="Times New Roman"/>
        </w:rPr>
        <w:t xml:space="preserve">OMB# </w:t>
      </w:r>
      <w:r w:rsidRPr="0023085F">
        <w:rPr>
          <w:rFonts w:ascii="Times New Roman" w:hAnsi="Times New Roman"/>
          <w:b/>
          <w:bCs/>
        </w:rPr>
        <w:t>1545-</w:t>
      </w:r>
      <w:r w:rsidR="006B5CC7">
        <w:rPr>
          <w:rFonts w:ascii="Times New Roman" w:hAnsi="Times New Roman"/>
          <w:b/>
          <w:bCs/>
        </w:rPr>
        <w:t>1244</w:t>
      </w:r>
    </w:p>
    <w:p w:rsidRPr="009F0CB5" w:rsidR="000B6330" w:rsidRDefault="000B6330" w14:paraId="74DFAE41" w14:textId="77777777">
      <w:pPr>
        <w:rPr>
          <w:rFonts w:ascii="Times New Roman" w:hAnsi="Times New Roman"/>
        </w:rPr>
      </w:pPr>
    </w:p>
    <w:p w:rsidRPr="009F0CB5" w:rsidR="000B6330" w:rsidRDefault="000B6330" w14:paraId="442CE01C" w14:textId="77777777">
      <w:pPr>
        <w:tabs>
          <w:tab w:val="left" w:pos="-1440"/>
        </w:tabs>
        <w:ind w:left="720" w:hanging="720"/>
        <w:rPr>
          <w:rFonts w:ascii="Times New Roman" w:hAnsi="Times New Roman"/>
        </w:rPr>
      </w:pPr>
      <w:r w:rsidRPr="009F0CB5">
        <w:rPr>
          <w:rFonts w:ascii="Times New Roman" w:hAnsi="Times New Roman"/>
        </w:rPr>
        <w:t>1.</w:t>
      </w:r>
      <w:r w:rsidRPr="009F0CB5">
        <w:rPr>
          <w:rFonts w:ascii="Times New Roman" w:hAnsi="Times New Roman"/>
        </w:rPr>
        <w:tab/>
      </w:r>
      <w:r w:rsidRPr="009F0CB5">
        <w:rPr>
          <w:rFonts w:ascii="Times New Roman" w:hAnsi="Times New Roman"/>
          <w:u w:val="single"/>
        </w:rPr>
        <w:t>CIRCUMSTANCES NECESSITATING COLLECTION OF INFORMATION</w:t>
      </w:r>
    </w:p>
    <w:p w:rsidRPr="009F0CB5" w:rsidR="000B6330" w:rsidRDefault="000B6330" w14:paraId="089E6C9D" w14:textId="77777777">
      <w:pPr>
        <w:rPr>
          <w:rFonts w:ascii="Times New Roman" w:hAnsi="Times New Roman"/>
        </w:rPr>
      </w:pPr>
    </w:p>
    <w:p w:rsidRPr="006B5CC7" w:rsidR="006B5CC7" w:rsidP="006B5CC7" w:rsidRDefault="006B5CC7" w14:paraId="6151054C" w14:textId="4D59CFE7">
      <w:pPr>
        <w:ind w:left="720"/>
        <w:rPr>
          <w:rFonts w:ascii="Times New Roman" w:hAnsi="Times New Roman"/>
        </w:rPr>
      </w:pPr>
      <w:r w:rsidRPr="006B5CC7">
        <w:rPr>
          <w:rFonts w:ascii="Times New Roman" w:hAnsi="Times New Roman"/>
        </w:rPr>
        <w:t>Section 469(a)(1)(A) of the Internal Revenue</w:t>
      </w:r>
      <w:r>
        <w:rPr>
          <w:rFonts w:ascii="Times New Roman" w:hAnsi="Times New Roman"/>
        </w:rPr>
        <w:t xml:space="preserve"> </w:t>
      </w:r>
      <w:r w:rsidRPr="006B5CC7">
        <w:rPr>
          <w:rFonts w:ascii="Times New Roman" w:hAnsi="Times New Roman"/>
        </w:rPr>
        <w:t>Code (Code) provides that if aggregate</w:t>
      </w:r>
    </w:p>
    <w:p w:rsidRPr="009F0CB5" w:rsidR="000B6330" w:rsidP="006B5CC7" w:rsidRDefault="006B5CC7" w14:paraId="40B97FBA" w14:textId="3DE967F1">
      <w:pPr>
        <w:ind w:left="720"/>
        <w:rPr>
          <w:rFonts w:ascii="Times New Roman" w:hAnsi="Times New Roman"/>
        </w:rPr>
      </w:pPr>
      <w:r w:rsidRPr="006B5CC7">
        <w:rPr>
          <w:rFonts w:ascii="Times New Roman" w:hAnsi="Times New Roman"/>
        </w:rPr>
        <w:t>losses from passive activities exceed</w:t>
      </w:r>
      <w:r>
        <w:rPr>
          <w:rFonts w:ascii="Times New Roman" w:hAnsi="Times New Roman"/>
        </w:rPr>
        <w:t xml:space="preserve"> </w:t>
      </w:r>
      <w:r w:rsidRPr="006B5CC7">
        <w:rPr>
          <w:rFonts w:ascii="Times New Roman" w:hAnsi="Times New Roman"/>
        </w:rPr>
        <w:t>aggregate income from passive activities for</w:t>
      </w:r>
      <w:r>
        <w:rPr>
          <w:rFonts w:ascii="Times New Roman" w:hAnsi="Times New Roman"/>
        </w:rPr>
        <w:t xml:space="preserve"> </w:t>
      </w:r>
      <w:r w:rsidRPr="006B5CC7">
        <w:rPr>
          <w:rFonts w:ascii="Times New Roman" w:hAnsi="Times New Roman"/>
        </w:rPr>
        <w:t>the taxable year, the excess losses are not</w:t>
      </w:r>
      <w:r>
        <w:rPr>
          <w:rFonts w:ascii="Times New Roman" w:hAnsi="Times New Roman"/>
        </w:rPr>
        <w:t xml:space="preserve"> </w:t>
      </w:r>
      <w:r w:rsidRPr="006B5CC7">
        <w:rPr>
          <w:rFonts w:ascii="Times New Roman" w:hAnsi="Times New Roman"/>
        </w:rPr>
        <w:t>allowable for that taxable year</w:t>
      </w:r>
      <w:r w:rsidRPr="009F0CB5" w:rsidR="000B6330">
        <w:rPr>
          <w:rFonts w:ascii="Times New Roman" w:hAnsi="Times New Roman"/>
        </w:rPr>
        <w:t xml:space="preserve">. </w:t>
      </w:r>
    </w:p>
    <w:p w:rsidRPr="009F0CB5" w:rsidR="000B6330" w:rsidRDefault="000B6330" w14:paraId="2765E15B" w14:textId="77777777">
      <w:pPr>
        <w:rPr>
          <w:rFonts w:ascii="Times New Roman" w:hAnsi="Times New Roman"/>
        </w:rPr>
      </w:pPr>
    </w:p>
    <w:p w:rsidRPr="006B5CC7" w:rsidR="006B5CC7" w:rsidP="006B5CC7" w:rsidRDefault="00140C82" w14:paraId="0AA6AD51" w14:textId="6732AB7F">
      <w:pPr>
        <w:ind w:left="720"/>
        <w:rPr>
          <w:rFonts w:ascii="Times New Roman" w:hAnsi="Times New Roman"/>
        </w:rPr>
      </w:pPr>
      <w:r>
        <w:rPr>
          <w:rFonts w:ascii="Times New Roman" w:hAnsi="Times New Roman"/>
        </w:rPr>
        <w:t xml:space="preserve">TD </w:t>
      </w:r>
      <w:r w:rsidR="006B5CC7">
        <w:rPr>
          <w:rFonts w:ascii="Times New Roman" w:hAnsi="Times New Roman"/>
        </w:rPr>
        <w:t>9013</w:t>
      </w:r>
      <w:r>
        <w:rPr>
          <w:rFonts w:ascii="Times New Roman" w:hAnsi="Times New Roman"/>
        </w:rPr>
        <w:t xml:space="preserve">, </w:t>
      </w:r>
      <w:r w:rsidRPr="00140C82">
        <w:rPr>
          <w:rFonts w:ascii="Times New Roman" w:hAnsi="Times New Roman"/>
        </w:rPr>
        <w:t xml:space="preserve">published August </w:t>
      </w:r>
      <w:r w:rsidR="006B5CC7">
        <w:rPr>
          <w:rFonts w:ascii="Times New Roman" w:hAnsi="Times New Roman"/>
        </w:rPr>
        <w:t>21</w:t>
      </w:r>
      <w:r w:rsidRPr="00140C82">
        <w:rPr>
          <w:rFonts w:ascii="Times New Roman" w:hAnsi="Times New Roman"/>
        </w:rPr>
        <w:t>, 200</w:t>
      </w:r>
      <w:r w:rsidR="006B5CC7">
        <w:rPr>
          <w:rFonts w:ascii="Times New Roman" w:hAnsi="Times New Roman"/>
        </w:rPr>
        <w:t>2</w:t>
      </w:r>
      <w:r w:rsidRPr="00140C82">
        <w:rPr>
          <w:rFonts w:ascii="Times New Roman" w:hAnsi="Times New Roman"/>
        </w:rPr>
        <w:t xml:space="preserve"> </w:t>
      </w:r>
      <w:r>
        <w:rPr>
          <w:rFonts w:ascii="Times New Roman" w:hAnsi="Times New Roman"/>
        </w:rPr>
        <w:t>(</w:t>
      </w:r>
      <w:r w:rsidRPr="00140C82">
        <w:rPr>
          <w:rFonts w:ascii="Times New Roman" w:hAnsi="Times New Roman"/>
        </w:rPr>
        <w:t>6</w:t>
      </w:r>
      <w:r w:rsidR="006B5CC7">
        <w:rPr>
          <w:rFonts w:ascii="Times New Roman" w:hAnsi="Times New Roman"/>
        </w:rPr>
        <w:t>7</w:t>
      </w:r>
      <w:r w:rsidRPr="00140C82">
        <w:rPr>
          <w:rFonts w:ascii="Times New Roman" w:hAnsi="Times New Roman"/>
        </w:rPr>
        <w:t xml:space="preserve"> F.R. </w:t>
      </w:r>
      <w:r w:rsidR="006B5CC7">
        <w:rPr>
          <w:rFonts w:ascii="Times New Roman" w:hAnsi="Times New Roman"/>
        </w:rPr>
        <w:t>54087</w:t>
      </w:r>
      <w:r>
        <w:rPr>
          <w:rFonts w:ascii="Times New Roman" w:hAnsi="Times New Roman"/>
        </w:rPr>
        <w:t xml:space="preserve">), </w:t>
      </w:r>
      <w:r w:rsidRPr="006B5CC7" w:rsidR="006B5CC7">
        <w:rPr>
          <w:rFonts w:ascii="Times New Roman" w:hAnsi="Times New Roman"/>
        </w:rPr>
        <w:t>provide</w:t>
      </w:r>
      <w:r w:rsidR="006B5CC7">
        <w:rPr>
          <w:rFonts w:ascii="Times New Roman" w:hAnsi="Times New Roman"/>
        </w:rPr>
        <w:t xml:space="preserve"> </w:t>
      </w:r>
      <w:r w:rsidRPr="006B5CC7" w:rsidR="006B5CC7">
        <w:rPr>
          <w:rFonts w:ascii="Times New Roman" w:hAnsi="Times New Roman"/>
        </w:rPr>
        <w:t>guidance on the treatment of self-charged</w:t>
      </w:r>
      <w:r w:rsidR="006B5CC7">
        <w:rPr>
          <w:rFonts w:ascii="Times New Roman" w:hAnsi="Times New Roman"/>
        </w:rPr>
        <w:t xml:space="preserve"> </w:t>
      </w:r>
      <w:r w:rsidRPr="006B5CC7" w:rsidR="006B5CC7">
        <w:rPr>
          <w:rFonts w:ascii="Times New Roman" w:hAnsi="Times New Roman"/>
        </w:rPr>
        <w:t>items of income and expense under section</w:t>
      </w:r>
      <w:r w:rsidR="006B5CC7">
        <w:rPr>
          <w:rFonts w:ascii="Times New Roman" w:hAnsi="Times New Roman"/>
        </w:rPr>
        <w:t xml:space="preserve"> </w:t>
      </w:r>
      <w:r w:rsidRPr="006B5CC7" w:rsidR="006B5CC7">
        <w:rPr>
          <w:rFonts w:ascii="Times New Roman" w:hAnsi="Times New Roman"/>
        </w:rPr>
        <w:t>469. The regulations recharacterize a</w:t>
      </w:r>
      <w:r w:rsidR="006B5CC7">
        <w:rPr>
          <w:rFonts w:ascii="Times New Roman" w:hAnsi="Times New Roman"/>
        </w:rPr>
        <w:t xml:space="preserve"> </w:t>
      </w:r>
      <w:r w:rsidRPr="006B5CC7" w:rsidR="006B5CC7">
        <w:rPr>
          <w:rFonts w:ascii="Times New Roman" w:hAnsi="Times New Roman"/>
        </w:rPr>
        <w:t>percentage of certain portfolio income and</w:t>
      </w:r>
      <w:r w:rsidR="006B5CC7">
        <w:rPr>
          <w:rFonts w:ascii="Times New Roman" w:hAnsi="Times New Roman"/>
        </w:rPr>
        <w:t xml:space="preserve"> </w:t>
      </w:r>
      <w:r w:rsidRPr="006B5CC7" w:rsidR="006B5CC7">
        <w:rPr>
          <w:rFonts w:ascii="Times New Roman" w:hAnsi="Times New Roman"/>
        </w:rPr>
        <w:t>expense as passive income and expense</w:t>
      </w:r>
      <w:r w:rsidR="006B5CC7">
        <w:rPr>
          <w:rFonts w:ascii="Times New Roman" w:hAnsi="Times New Roman"/>
        </w:rPr>
        <w:t xml:space="preserve"> </w:t>
      </w:r>
      <w:r w:rsidRPr="006B5CC7" w:rsidR="006B5CC7">
        <w:rPr>
          <w:rFonts w:ascii="Times New Roman" w:hAnsi="Times New Roman"/>
        </w:rPr>
        <w:t>(self-charged items) when a taxpayer engages</w:t>
      </w:r>
      <w:r w:rsidR="006B5CC7">
        <w:rPr>
          <w:rFonts w:ascii="Times New Roman" w:hAnsi="Times New Roman"/>
        </w:rPr>
        <w:t xml:space="preserve"> </w:t>
      </w:r>
      <w:r w:rsidRPr="006B5CC7" w:rsidR="006B5CC7">
        <w:rPr>
          <w:rFonts w:ascii="Times New Roman" w:hAnsi="Times New Roman"/>
        </w:rPr>
        <w:t>in a lending transaction with a partnership</w:t>
      </w:r>
      <w:r w:rsidR="006B5CC7">
        <w:rPr>
          <w:rFonts w:ascii="Times New Roman" w:hAnsi="Times New Roman"/>
        </w:rPr>
        <w:t xml:space="preserve"> </w:t>
      </w:r>
      <w:r w:rsidRPr="006B5CC7" w:rsidR="006B5CC7">
        <w:rPr>
          <w:rFonts w:ascii="Times New Roman" w:hAnsi="Times New Roman"/>
        </w:rPr>
        <w:t>or an S corporation (passthrough</w:t>
      </w:r>
      <w:r w:rsidR="006B5CC7">
        <w:rPr>
          <w:rFonts w:ascii="Times New Roman" w:hAnsi="Times New Roman"/>
        </w:rPr>
        <w:t xml:space="preserve"> </w:t>
      </w:r>
      <w:r w:rsidRPr="006B5CC7" w:rsidR="006B5CC7">
        <w:rPr>
          <w:rFonts w:ascii="Times New Roman" w:hAnsi="Times New Roman"/>
        </w:rPr>
        <w:t>entity) in which the taxpayer owns a direct</w:t>
      </w:r>
    </w:p>
    <w:p w:rsidR="000B6330" w:rsidP="006B5CC7" w:rsidRDefault="006B5CC7" w14:paraId="154305C7" w14:textId="4541ADF5">
      <w:pPr>
        <w:ind w:left="720"/>
        <w:rPr>
          <w:rFonts w:ascii="Times New Roman" w:hAnsi="Times New Roman"/>
        </w:rPr>
      </w:pPr>
      <w:r w:rsidRPr="006B5CC7">
        <w:rPr>
          <w:rFonts w:ascii="Times New Roman" w:hAnsi="Times New Roman"/>
        </w:rPr>
        <w:t>or indirect interest and the loan proceeds</w:t>
      </w:r>
      <w:r>
        <w:rPr>
          <w:rFonts w:ascii="Times New Roman" w:hAnsi="Times New Roman"/>
        </w:rPr>
        <w:t xml:space="preserve"> </w:t>
      </w:r>
      <w:r w:rsidRPr="006B5CC7">
        <w:rPr>
          <w:rFonts w:ascii="Times New Roman" w:hAnsi="Times New Roman"/>
        </w:rPr>
        <w:t>are used in a passive activity. Similar</w:t>
      </w:r>
      <w:r>
        <w:rPr>
          <w:rFonts w:ascii="Times New Roman" w:hAnsi="Times New Roman"/>
        </w:rPr>
        <w:t xml:space="preserve"> </w:t>
      </w:r>
      <w:r w:rsidRPr="006B5CC7">
        <w:rPr>
          <w:rFonts w:ascii="Times New Roman" w:hAnsi="Times New Roman"/>
        </w:rPr>
        <w:t>rules apply to lending transactions between</w:t>
      </w:r>
      <w:r>
        <w:rPr>
          <w:rFonts w:ascii="Times New Roman" w:hAnsi="Times New Roman"/>
        </w:rPr>
        <w:t xml:space="preserve"> </w:t>
      </w:r>
      <w:r w:rsidRPr="006B5CC7">
        <w:rPr>
          <w:rFonts w:ascii="Times New Roman" w:hAnsi="Times New Roman"/>
        </w:rPr>
        <w:t>two identically owned passthrough entities.</w:t>
      </w:r>
      <w:r>
        <w:rPr>
          <w:rFonts w:ascii="Times New Roman" w:hAnsi="Times New Roman"/>
        </w:rPr>
        <w:t xml:space="preserve">  </w:t>
      </w:r>
      <w:r w:rsidRPr="006B5CC7">
        <w:rPr>
          <w:rFonts w:ascii="Times New Roman" w:hAnsi="Times New Roman"/>
        </w:rPr>
        <w:t>These final regulations affect taxpayers</w:t>
      </w:r>
      <w:r>
        <w:rPr>
          <w:rFonts w:ascii="Times New Roman" w:hAnsi="Times New Roman"/>
        </w:rPr>
        <w:t xml:space="preserve"> </w:t>
      </w:r>
      <w:r w:rsidRPr="006B5CC7">
        <w:rPr>
          <w:rFonts w:ascii="Times New Roman" w:hAnsi="Times New Roman"/>
        </w:rPr>
        <w:t>subject to the limitations on passive</w:t>
      </w:r>
      <w:r>
        <w:rPr>
          <w:rFonts w:ascii="Times New Roman" w:hAnsi="Times New Roman"/>
        </w:rPr>
        <w:t xml:space="preserve"> </w:t>
      </w:r>
      <w:r w:rsidRPr="006B5CC7">
        <w:rPr>
          <w:rFonts w:ascii="Times New Roman" w:hAnsi="Times New Roman"/>
        </w:rPr>
        <w:t>activity losses and credits</w:t>
      </w:r>
      <w:r w:rsidRPr="00140C82" w:rsidR="00140C82">
        <w:rPr>
          <w:rFonts w:ascii="Times New Roman" w:hAnsi="Times New Roman"/>
        </w:rPr>
        <w:t xml:space="preserve">. </w:t>
      </w:r>
    </w:p>
    <w:p w:rsidR="007C2F81" w:rsidP="006B5CC7" w:rsidRDefault="007C2F81" w14:paraId="03BB74F0" w14:textId="4981C200">
      <w:pPr>
        <w:ind w:left="720"/>
        <w:rPr>
          <w:rFonts w:ascii="Times New Roman" w:hAnsi="Times New Roman"/>
        </w:rPr>
      </w:pPr>
    </w:p>
    <w:p w:rsidRPr="009F0CB5" w:rsidR="007C2F81" w:rsidP="006B5CC7" w:rsidRDefault="007C2F81" w14:paraId="11FC574A" w14:textId="24DBA94E">
      <w:pPr>
        <w:ind w:left="720"/>
        <w:rPr>
          <w:rFonts w:ascii="Times New Roman" w:hAnsi="Times New Roman"/>
        </w:rPr>
      </w:pPr>
      <w:r>
        <w:rPr>
          <w:rFonts w:ascii="Times New Roman" w:hAnsi="Times New Roman"/>
        </w:rPr>
        <w:t>Regulation s</w:t>
      </w:r>
      <w:r w:rsidRPr="007C2F81">
        <w:rPr>
          <w:rFonts w:ascii="Times New Roman" w:hAnsi="Times New Roman"/>
        </w:rPr>
        <w:t>ection 1.469</w:t>
      </w:r>
      <w:r>
        <w:rPr>
          <w:rFonts w:ascii="Times New Roman" w:hAnsi="Times New Roman"/>
        </w:rPr>
        <w:t>-</w:t>
      </w:r>
      <w:r w:rsidRPr="007C2F81">
        <w:rPr>
          <w:rFonts w:ascii="Times New Roman" w:hAnsi="Times New Roman"/>
        </w:rPr>
        <w:t>7(</w:t>
      </w:r>
      <w:r>
        <w:rPr>
          <w:rFonts w:ascii="Times New Roman" w:hAnsi="Times New Roman"/>
        </w:rPr>
        <w:t>g</w:t>
      </w:r>
      <w:r w:rsidRPr="007C2F81">
        <w:rPr>
          <w:rFonts w:ascii="Times New Roman" w:hAnsi="Times New Roman"/>
        </w:rPr>
        <w:t>) permits entities to elect to avoid application of section 1.469</w:t>
      </w:r>
      <w:r w:rsidR="00EB4918">
        <w:rPr>
          <w:rFonts w:ascii="Times New Roman" w:hAnsi="Times New Roman"/>
        </w:rPr>
        <w:t>-</w:t>
      </w:r>
      <w:r w:rsidRPr="007C2F81">
        <w:rPr>
          <w:rFonts w:ascii="Times New Roman" w:hAnsi="Times New Roman"/>
        </w:rPr>
        <w:t>7 in the event the passthrough entity chooses to not have the income from lending transactions with owners of interests in the entity recharacterized as passive activity gross income.</w:t>
      </w:r>
    </w:p>
    <w:p w:rsidRPr="009F0CB5" w:rsidR="000B6330" w:rsidRDefault="000B6330" w14:paraId="47415E09" w14:textId="77777777">
      <w:pPr>
        <w:rPr>
          <w:rFonts w:ascii="Times New Roman" w:hAnsi="Times New Roman"/>
        </w:rPr>
      </w:pPr>
    </w:p>
    <w:p w:rsidRPr="009F0CB5" w:rsidR="000B6330" w:rsidRDefault="000B6330" w14:paraId="31C168B2" w14:textId="77777777">
      <w:pPr>
        <w:tabs>
          <w:tab w:val="left" w:pos="-1440"/>
        </w:tabs>
        <w:ind w:left="720" w:hanging="720"/>
        <w:rPr>
          <w:rFonts w:ascii="Times New Roman" w:hAnsi="Times New Roman"/>
        </w:rPr>
      </w:pPr>
      <w:r w:rsidRPr="009F0CB5">
        <w:rPr>
          <w:rFonts w:ascii="Times New Roman" w:hAnsi="Times New Roman"/>
        </w:rPr>
        <w:t>2.</w:t>
      </w:r>
      <w:r w:rsidRPr="009F0CB5">
        <w:rPr>
          <w:rFonts w:ascii="Times New Roman" w:hAnsi="Times New Roman"/>
        </w:rPr>
        <w:tab/>
      </w:r>
      <w:r w:rsidRPr="009F0CB5">
        <w:rPr>
          <w:rFonts w:ascii="Times New Roman" w:hAnsi="Times New Roman"/>
          <w:u w:val="single"/>
        </w:rPr>
        <w:t>USE OF DATA</w:t>
      </w:r>
      <w:r w:rsidRPr="009F0CB5">
        <w:rPr>
          <w:rFonts w:ascii="Times New Roman" w:hAnsi="Times New Roman"/>
        </w:rPr>
        <w:t xml:space="preserve">              </w:t>
      </w:r>
    </w:p>
    <w:p w:rsidRPr="009F0CB5" w:rsidR="000B6330" w:rsidRDefault="000B6330" w14:paraId="63DA3DF1" w14:textId="77777777">
      <w:pPr>
        <w:rPr>
          <w:rFonts w:ascii="Times New Roman" w:hAnsi="Times New Roman"/>
        </w:rPr>
      </w:pPr>
    </w:p>
    <w:p w:rsidRPr="00682D2B" w:rsidR="000B6330" w:rsidP="00682D2B" w:rsidRDefault="00682D2B" w14:paraId="4CA70352" w14:textId="52725863">
      <w:pPr>
        <w:ind w:left="720"/>
        <w:rPr>
          <w:rFonts w:ascii="Times New Roman" w:hAnsi="Times New Roman"/>
        </w:rPr>
      </w:pPr>
      <w:r w:rsidRPr="00682D2B">
        <w:rPr>
          <w:rFonts w:ascii="Times New Roman" w:hAnsi="Times New Roman"/>
        </w:rPr>
        <w:t>Responses to this collection of information are required to obtain the benefit of self-charged treatment of income and expense under section 469.  The Internal Revenue Service will use this information to determine whether the entity has made a proper timely election and to determine that taxpayers are complying with the election in the taxable year of the election and subsequent taxable years.</w:t>
      </w:r>
    </w:p>
    <w:p w:rsidR="00063D00" w:rsidRDefault="00063D00" w14:paraId="49D8F828" w14:textId="77777777">
      <w:pPr>
        <w:ind w:left="720"/>
        <w:rPr>
          <w:rFonts w:ascii="Times New Roman" w:hAnsi="Times New Roman"/>
        </w:rPr>
      </w:pPr>
    </w:p>
    <w:p w:rsidRPr="009F0CB5" w:rsidR="00682D2B" w:rsidRDefault="00682D2B" w14:paraId="3E374F4F" w14:textId="1FC0FDE5">
      <w:pPr>
        <w:ind w:left="720"/>
        <w:rPr>
          <w:rFonts w:ascii="Times New Roman" w:hAnsi="Times New Roman"/>
        </w:rPr>
        <w:sectPr w:rsidRPr="009F0CB5" w:rsidR="00682D2B">
          <w:pgSz w:w="12240" w:h="15840"/>
          <w:pgMar w:top="1440" w:right="1440" w:bottom="1440" w:left="1440" w:header="1440" w:footer="1440" w:gutter="0"/>
          <w:cols w:space="720"/>
          <w:noEndnote/>
        </w:sectPr>
      </w:pPr>
    </w:p>
    <w:p w:rsidRPr="009F0CB5" w:rsidR="000B6330" w:rsidRDefault="000B6330" w14:paraId="6AEA6077" w14:textId="77777777">
      <w:pPr>
        <w:tabs>
          <w:tab w:val="left" w:pos="-1440"/>
        </w:tabs>
        <w:ind w:left="720" w:hanging="720"/>
        <w:rPr>
          <w:rFonts w:ascii="Times New Roman" w:hAnsi="Times New Roman"/>
        </w:rPr>
      </w:pPr>
      <w:r w:rsidRPr="009F0CB5">
        <w:rPr>
          <w:rFonts w:ascii="Times New Roman" w:hAnsi="Times New Roman"/>
        </w:rPr>
        <w:t>3.</w:t>
      </w:r>
      <w:r w:rsidRPr="009F0CB5">
        <w:rPr>
          <w:rFonts w:ascii="Times New Roman" w:hAnsi="Times New Roman"/>
        </w:rPr>
        <w:tab/>
      </w:r>
      <w:r w:rsidRPr="009F0CB5">
        <w:rPr>
          <w:rFonts w:ascii="Times New Roman" w:hAnsi="Times New Roman"/>
          <w:u w:val="single"/>
        </w:rPr>
        <w:t>USE OF IMPROVED INFORMATION TECHNOLOGY TO REDUCE BURDEN</w:t>
      </w:r>
    </w:p>
    <w:p w:rsidRPr="009F0CB5" w:rsidR="000B6330" w:rsidRDefault="000B6330" w14:paraId="3C839C1C" w14:textId="77777777">
      <w:pPr>
        <w:rPr>
          <w:rFonts w:ascii="Times New Roman" w:hAnsi="Times New Roman"/>
        </w:rPr>
      </w:pPr>
    </w:p>
    <w:p w:rsidRPr="009F0CB5" w:rsidR="000B6330" w:rsidRDefault="00962AEC" w14:paraId="2008A0C9" w14:textId="77777777">
      <w:pPr>
        <w:ind w:left="720"/>
        <w:rPr>
          <w:rFonts w:ascii="Times New Roman" w:hAnsi="Times New Roman"/>
        </w:rPr>
      </w:pPr>
      <w:bookmarkStart w:name="_Hlk504984057" w:id="0"/>
      <w:r w:rsidRPr="00962AEC">
        <w:rPr>
          <w:rFonts w:ascii="Times New Roman" w:hAnsi="Times New Roman"/>
        </w:rPr>
        <w:t>IRS Publications, Regulations, Notices and Letters are to be electronically enabled on an as practicable basis in accordance with the IRS Reform and Restructuring Act of 1998.</w:t>
      </w:r>
      <w:r>
        <w:rPr>
          <w:rFonts w:ascii="Times New Roman" w:hAnsi="Times New Roman"/>
        </w:rPr>
        <w:t xml:space="preserve">  </w:t>
      </w:r>
      <w:r w:rsidRPr="009F0CB5" w:rsidR="000B6330">
        <w:rPr>
          <w:rFonts w:ascii="Times New Roman" w:hAnsi="Times New Roman"/>
        </w:rPr>
        <w:t>There are no plans to provide electronic filing because electronic filing is not appropriate for the collection of information in this submission</w:t>
      </w:r>
      <w:r w:rsidRPr="009F0CB5" w:rsidR="00AD5EF7">
        <w:rPr>
          <w:rFonts w:ascii="Times New Roman" w:hAnsi="Times New Roman"/>
        </w:rPr>
        <w:t xml:space="preserve"> due to the requirement to attach the document of record</w:t>
      </w:r>
      <w:r w:rsidRPr="009F0CB5" w:rsidR="000B6330">
        <w:rPr>
          <w:rFonts w:ascii="Times New Roman" w:hAnsi="Times New Roman"/>
        </w:rPr>
        <w:t>.</w:t>
      </w:r>
    </w:p>
    <w:bookmarkEnd w:id="0"/>
    <w:p w:rsidRPr="009F0CB5" w:rsidR="000B6330" w:rsidRDefault="000B6330" w14:paraId="060D04DB" w14:textId="77777777">
      <w:pPr>
        <w:rPr>
          <w:rFonts w:ascii="Times New Roman" w:hAnsi="Times New Roman"/>
        </w:rPr>
      </w:pPr>
    </w:p>
    <w:p w:rsidRPr="009F0CB5" w:rsidR="000B6330" w:rsidRDefault="000B6330" w14:paraId="3C800420" w14:textId="77777777">
      <w:pPr>
        <w:tabs>
          <w:tab w:val="left" w:pos="-1440"/>
        </w:tabs>
        <w:ind w:left="720" w:hanging="720"/>
        <w:rPr>
          <w:rFonts w:ascii="Times New Roman" w:hAnsi="Times New Roman"/>
        </w:rPr>
      </w:pPr>
      <w:r w:rsidRPr="009F0CB5">
        <w:rPr>
          <w:rFonts w:ascii="Times New Roman" w:hAnsi="Times New Roman"/>
        </w:rPr>
        <w:t>4.</w:t>
      </w:r>
      <w:r w:rsidRPr="009F0CB5">
        <w:rPr>
          <w:rFonts w:ascii="Times New Roman" w:hAnsi="Times New Roman"/>
        </w:rPr>
        <w:tab/>
      </w:r>
      <w:r w:rsidRPr="009F0CB5">
        <w:rPr>
          <w:rFonts w:ascii="Times New Roman" w:hAnsi="Times New Roman"/>
          <w:u w:val="single"/>
        </w:rPr>
        <w:t>EFFORTS TO IDENTIFY DUPLICATION</w:t>
      </w:r>
    </w:p>
    <w:p w:rsidRPr="009F0CB5" w:rsidR="000B6330" w:rsidRDefault="000B6330" w14:paraId="162B0CCE" w14:textId="77777777">
      <w:pPr>
        <w:rPr>
          <w:rFonts w:ascii="Times New Roman" w:hAnsi="Times New Roman"/>
        </w:rPr>
      </w:pPr>
    </w:p>
    <w:p w:rsidRPr="009F0CB5" w:rsidR="001B0514" w:rsidRDefault="001B0514" w14:paraId="0C96F1C3" w14:textId="77777777">
      <w:pPr>
        <w:ind w:left="720"/>
        <w:rPr>
          <w:rFonts w:ascii="Times New Roman" w:hAnsi="Times New Roman"/>
          <w:iCs/>
        </w:rPr>
      </w:pPr>
      <w:r w:rsidRPr="009F0CB5">
        <w:rPr>
          <w:rFonts w:ascii="Times New Roman" w:hAnsi="Times New Roman"/>
          <w:iCs/>
        </w:rPr>
        <w:t xml:space="preserve">The information obtained through this collection is unique and is not already available for </w:t>
      </w:r>
      <w:r w:rsidRPr="009F0CB5">
        <w:rPr>
          <w:rFonts w:ascii="Times New Roman" w:hAnsi="Times New Roman"/>
          <w:iCs/>
        </w:rPr>
        <w:lastRenderedPageBreak/>
        <w:t>use or adaptation from another source.</w:t>
      </w:r>
    </w:p>
    <w:p w:rsidRPr="009F0CB5" w:rsidR="000B6330" w:rsidP="00140C82" w:rsidRDefault="001B0514" w14:paraId="15C57ECA"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549DC0A8" w14:textId="77777777">
      <w:pPr>
        <w:tabs>
          <w:tab w:val="left" w:pos="-1440"/>
        </w:tabs>
        <w:ind w:left="720" w:hanging="720"/>
        <w:rPr>
          <w:rFonts w:ascii="Times New Roman" w:hAnsi="Times New Roman"/>
        </w:rPr>
      </w:pPr>
      <w:r w:rsidRPr="009F0CB5">
        <w:rPr>
          <w:rFonts w:ascii="Times New Roman" w:hAnsi="Times New Roman"/>
        </w:rPr>
        <w:t>5.</w:t>
      </w:r>
      <w:r w:rsidRPr="009F0CB5">
        <w:rPr>
          <w:rFonts w:ascii="Times New Roman" w:hAnsi="Times New Roman"/>
        </w:rPr>
        <w:tab/>
      </w:r>
      <w:r w:rsidRPr="009F0CB5">
        <w:rPr>
          <w:rFonts w:ascii="Times New Roman" w:hAnsi="Times New Roman"/>
          <w:u w:val="single"/>
        </w:rPr>
        <w:t>METHODS TO MINIMIZE BURDEN ON SMALL BUSINESSES OR OTHER</w:t>
      </w:r>
      <w:r w:rsidRPr="009F0CB5" w:rsidR="00AD5EF7">
        <w:rPr>
          <w:rFonts w:ascii="Times New Roman" w:hAnsi="Times New Roman"/>
          <w:u w:val="single"/>
        </w:rPr>
        <w:t xml:space="preserve"> </w:t>
      </w:r>
      <w:r w:rsidRPr="009F0CB5">
        <w:rPr>
          <w:rFonts w:ascii="Times New Roman" w:hAnsi="Times New Roman"/>
          <w:u w:val="single"/>
        </w:rPr>
        <w:t>SMALL ENTITIES</w:t>
      </w:r>
    </w:p>
    <w:p w:rsidRPr="009F0CB5" w:rsidR="000B6330" w:rsidRDefault="000B6330" w14:paraId="42F4CC7D" w14:textId="77777777">
      <w:pPr>
        <w:rPr>
          <w:rFonts w:ascii="Times New Roman" w:hAnsi="Times New Roman"/>
        </w:rPr>
      </w:pPr>
    </w:p>
    <w:p w:rsidRPr="009F0CB5" w:rsidR="000B6330" w:rsidP="00962AEC" w:rsidRDefault="00962AEC" w14:paraId="4455C0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Pr="009F0CB5" w:rsidR="000B6330" w:rsidRDefault="000B6330" w14:paraId="28D95AC4" w14:textId="77777777">
      <w:pPr>
        <w:rPr>
          <w:rFonts w:ascii="Times New Roman" w:hAnsi="Times New Roman"/>
        </w:rPr>
      </w:pPr>
    </w:p>
    <w:p w:rsidRPr="009F0CB5" w:rsidR="000B6330" w:rsidRDefault="000B6330" w14:paraId="357BD52A" w14:textId="77777777">
      <w:pPr>
        <w:tabs>
          <w:tab w:val="left" w:pos="-1440"/>
        </w:tabs>
        <w:ind w:left="720" w:hanging="720"/>
        <w:rPr>
          <w:rFonts w:ascii="Times New Roman" w:hAnsi="Times New Roman"/>
        </w:rPr>
      </w:pPr>
      <w:r w:rsidRPr="009F0CB5">
        <w:rPr>
          <w:rFonts w:ascii="Times New Roman" w:hAnsi="Times New Roman"/>
        </w:rPr>
        <w:t>6.</w:t>
      </w:r>
      <w:r w:rsidRPr="009F0CB5">
        <w:rPr>
          <w:rFonts w:ascii="Times New Roman" w:hAnsi="Times New Roman"/>
        </w:rPr>
        <w:tab/>
      </w:r>
      <w:r w:rsidRPr="009F0CB5">
        <w:rPr>
          <w:rFonts w:ascii="Times New Roman" w:hAnsi="Times New Roman"/>
          <w:u w:val="single"/>
        </w:rPr>
        <w:t>CONSEQUENCES OF LESS FREQUENT COLLECTION ON FEDERAL PROGRAMS OR POLICY ACTIVITIES</w:t>
      </w:r>
    </w:p>
    <w:p w:rsidRPr="009F0CB5" w:rsidR="000B6330" w:rsidRDefault="000B6330" w14:paraId="6AAD7C6E" w14:textId="77777777">
      <w:pPr>
        <w:rPr>
          <w:rFonts w:ascii="Times New Roman" w:hAnsi="Times New Roman"/>
        </w:rPr>
      </w:pPr>
    </w:p>
    <w:p w:rsidRPr="009F0CB5" w:rsidR="000B6330" w:rsidP="001B0514" w:rsidRDefault="001B0514" w14:paraId="1C8B6F70" w14:textId="0936C821">
      <w:pPr>
        <w:ind w:left="720"/>
        <w:rPr>
          <w:rFonts w:ascii="Times New Roman" w:hAnsi="Times New Roman"/>
        </w:rPr>
      </w:pPr>
      <w:r w:rsidRPr="009F0CB5">
        <w:rPr>
          <w:rFonts w:ascii="Times New Roman" w:hAnsi="Times New Roman"/>
        </w:rPr>
        <w:t xml:space="preserve">Taxpayers </w:t>
      </w:r>
      <w:r w:rsidR="00682D2B">
        <w:rPr>
          <w:rFonts w:ascii="Times New Roman" w:hAnsi="Times New Roman"/>
        </w:rPr>
        <w:t xml:space="preserve">may </w:t>
      </w:r>
      <w:r w:rsidRPr="009F0CB5">
        <w:rPr>
          <w:rFonts w:ascii="Times New Roman" w:hAnsi="Times New Roman"/>
        </w:rPr>
        <w:t xml:space="preserve">request </w:t>
      </w:r>
      <w:r w:rsidR="00682D2B">
        <w:rPr>
          <w:rFonts w:ascii="Times New Roman" w:hAnsi="Times New Roman"/>
        </w:rPr>
        <w:t>t</w:t>
      </w:r>
      <w:r w:rsidRPr="007C2F81" w:rsidR="00682D2B">
        <w:rPr>
          <w:rFonts w:ascii="Times New Roman" w:hAnsi="Times New Roman"/>
        </w:rPr>
        <w:t xml:space="preserve">o elect to avoid application of section </w:t>
      </w:r>
      <w:r w:rsidRPr="00682D2B" w:rsidR="00682D2B">
        <w:rPr>
          <w:rFonts w:ascii="Times New Roman" w:hAnsi="Times New Roman"/>
        </w:rPr>
        <w:t>469</w:t>
      </w:r>
      <w:r w:rsidRPr="009F0CB5">
        <w:rPr>
          <w:rFonts w:ascii="Times New Roman" w:hAnsi="Times New Roman"/>
        </w:rPr>
        <w:t>. A less frequent collection would prevent the taxpayer from applying this benefit</w:t>
      </w:r>
      <w:r w:rsidRPr="009F0CB5" w:rsidR="00AD5EF7">
        <w:rPr>
          <w:rFonts w:ascii="Times New Roman" w:hAnsi="Times New Roman"/>
        </w:rPr>
        <w:t xml:space="preserve"> and hinder the IRS from meeting its mission</w:t>
      </w:r>
      <w:r w:rsidRPr="009F0CB5">
        <w:rPr>
          <w:rFonts w:ascii="Times New Roman" w:hAnsi="Times New Roman"/>
        </w:rPr>
        <w:t>.</w:t>
      </w:r>
    </w:p>
    <w:p w:rsidRPr="009F0CB5" w:rsidR="000B6330" w:rsidRDefault="000B6330" w14:paraId="2C3EEF9C" w14:textId="77777777">
      <w:pPr>
        <w:rPr>
          <w:rFonts w:ascii="Times New Roman" w:hAnsi="Times New Roman"/>
        </w:rPr>
      </w:pPr>
    </w:p>
    <w:p w:rsidRPr="009F0CB5" w:rsidR="000B6330" w:rsidRDefault="000B6330" w14:paraId="057AF7EF" w14:textId="77777777">
      <w:pPr>
        <w:tabs>
          <w:tab w:val="left" w:pos="-1440"/>
        </w:tabs>
        <w:ind w:left="720" w:hanging="720"/>
        <w:rPr>
          <w:rFonts w:ascii="Times New Roman" w:hAnsi="Times New Roman"/>
        </w:rPr>
      </w:pPr>
      <w:r w:rsidRPr="009F0CB5">
        <w:rPr>
          <w:rFonts w:ascii="Times New Roman" w:hAnsi="Times New Roman"/>
        </w:rPr>
        <w:t>7.</w:t>
      </w:r>
      <w:r w:rsidRPr="009F0CB5">
        <w:rPr>
          <w:rFonts w:ascii="Times New Roman" w:hAnsi="Times New Roman"/>
        </w:rPr>
        <w:tab/>
      </w:r>
      <w:r w:rsidRPr="009F0CB5">
        <w:rPr>
          <w:rFonts w:ascii="Times New Roman" w:hAnsi="Times New Roman"/>
          <w:u w:val="single"/>
        </w:rPr>
        <w:t>SPECIAL CIRCUMSTANCES REQUIRING DATA COLLECTION TO BE</w:t>
      </w:r>
      <w:r w:rsidRPr="009F0CB5" w:rsidR="00AD5EF7">
        <w:rPr>
          <w:rFonts w:ascii="Times New Roman" w:hAnsi="Times New Roman"/>
          <w:u w:val="single"/>
        </w:rPr>
        <w:t xml:space="preserve"> </w:t>
      </w:r>
      <w:r w:rsidRPr="009F0CB5">
        <w:rPr>
          <w:rFonts w:ascii="Times New Roman" w:hAnsi="Times New Roman"/>
          <w:u w:val="single"/>
        </w:rPr>
        <w:t>INCONSISTENT WITH GUIDELINES IN 5 CFR 1320.5(d)(2)</w:t>
      </w:r>
    </w:p>
    <w:p w:rsidRPr="009F0CB5" w:rsidR="000B6330" w:rsidRDefault="000B6330" w14:paraId="59865182" w14:textId="77777777">
      <w:pPr>
        <w:rPr>
          <w:rFonts w:ascii="Times New Roman" w:hAnsi="Times New Roman"/>
        </w:rPr>
      </w:pPr>
    </w:p>
    <w:p w:rsidRPr="009F0CB5" w:rsidR="000B6330" w:rsidP="00140C82" w:rsidRDefault="001B0514" w14:paraId="10F1BF39"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Pr="009F0CB5" w:rsidR="000B6330" w:rsidRDefault="000B6330" w14:paraId="25419CC4" w14:textId="77777777">
      <w:pPr>
        <w:rPr>
          <w:rFonts w:ascii="Times New Roman" w:hAnsi="Times New Roman"/>
        </w:rPr>
      </w:pPr>
    </w:p>
    <w:p w:rsidRPr="009F0CB5" w:rsidR="000B6330" w:rsidRDefault="000B6330" w14:paraId="6127C160" w14:textId="77777777">
      <w:pPr>
        <w:tabs>
          <w:tab w:val="left" w:pos="-1440"/>
        </w:tabs>
        <w:ind w:left="720" w:hanging="720"/>
        <w:rPr>
          <w:rFonts w:ascii="Times New Roman" w:hAnsi="Times New Roman"/>
        </w:rPr>
      </w:pPr>
      <w:r w:rsidRPr="009F0CB5">
        <w:rPr>
          <w:rFonts w:ascii="Times New Roman" w:hAnsi="Times New Roman"/>
        </w:rPr>
        <w:t>8.</w:t>
      </w:r>
      <w:r w:rsidRPr="009F0CB5">
        <w:rPr>
          <w:rFonts w:ascii="Times New Roman" w:hAnsi="Times New Roman"/>
        </w:rPr>
        <w:tab/>
      </w:r>
      <w:r w:rsidRPr="009F0CB5">
        <w:rPr>
          <w:rFonts w:ascii="Times New Roman" w:hAnsi="Times New Roman"/>
          <w:u w:val="single"/>
        </w:rPr>
        <w:t>CONSULTATION WITH INDIVIDUALS OUTSIDE OF THE AGENCY ON</w:t>
      </w:r>
      <w:r w:rsidRPr="009F0CB5" w:rsidR="00AD5EF7">
        <w:rPr>
          <w:rFonts w:ascii="Times New Roman" w:hAnsi="Times New Roman"/>
          <w:u w:val="single"/>
        </w:rPr>
        <w:t xml:space="preserve"> </w:t>
      </w:r>
      <w:r w:rsidRPr="009F0CB5">
        <w:rPr>
          <w:rFonts w:ascii="Times New Roman" w:hAnsi="Times New Roman"/>
          <w:u w:val="single"/>
        </w:rPr>
        <w:t>AVAILABILITY OF DATA, FREQUENCY OF COLLECTION, CLARITY OF INSTRUCTIONS AND FORMS, AND DATA ELEMENTS</w:t>
      </w:r>
    </w:p>
    <w:p w:rsidRPr="009F0CB5" w:rsidR="000B6330" w:rsidRDefault="000B6330" w14:paraId="4D32663A" w14:textId="77777777">
      <w:pPr>
        <w:rPr>
          <w:rFonts w:ascii="Times New Roman" w:hAnsi="Times New Roman"/>
        </w:rPr>
      </w:pPr>
    </w:p>
    <w:p w:rsidRPr="00962AEC" w:rsidR="00962AEC" w:rsidP="00962AEC" w:rsidRDefault="00962AEC" w14:paraId="21889D8F" w14:textId="77777777">
      <w:pPr>
        <w:ind w:left="720"/>
        <w:rPr>
          <w:rFonts w:ascii="Times New Roman" w:hAnsi="Times New Roman"/>
        </w:rPr>
      </w:pPr>
      <w:r w:rsidRPr="00962AEC">
        <w:rPr>
          <w:rFonts w:ascii="Times New Roman" w:hAnsi="Times New Roman"/>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these regulations.   </w:t>
      </w:r>
    </w:p>
    <w:p w:rsidRPr="00962AEC" w:rsidR="00962AEC" w:rsidP="00962AEC" w:rsidRDefault="00962AEC" w14:paraId="11112C4D" w14:textId="77777777">
      <w:pPr>
        <w:ind w:left="720"/>
        <w:rPr>
          <w:rFonts w:ascii="Times New Roman" w:hAnsi="Times New Roman"/>
        </w:rPr>
      </w:pPr>
    </w:p>
    <w:p w:rsidR="00140C82" w:rsidP="00682D2B" w:rsidRDefault="00962AEC" w14:paraId="593ED4FC" w14:textId="1252AE0C">
      <w:pPr>
        <w:ind w:left="720"/>
        <w:rPr>
          <w:rFonts w:ascii="Times New Roman" w:hAnsi="Times New Roman"/>
        </w:rPr>
      </w:pPr>
      <w:r w:rsidRPr="00962AEC">
        <w:rPr>
          <w:rFonts w:ascii="Times New Roman" w:hAnsi="Times New Roman"/>
        </w:rPr>
        <w:t xml:space="preserve">In response to the Federal Register notice dated </w:t>
      </w:r>
      <w:r w:rsidR="00682D2B">
        <w:rPr>
          <w:rFonts w:ascii="Times New Roman" w:hAnsi="Times New Roman"/>
        </w:rPr>
        <w:t xml:space="preserve">August </w:t>
      </w:r>
      <w:r w:rsidR="005328DF">
        <w:rPr>
          <w:rFonts w:ascii="Times New Roman" w:hAnsi="Times New Roman"/>
        </w:rPr>
        <w:t>24</w:t>
      </w:r>
      <w:r w:rsidR="00682D2B">
        <w:rPr>
          <w:rFonts w:ascii="Times New Roman" w:hAnsi="Times New Roman"/>
        </w:rPr>
        <w:t>,</w:t>
      </w:r>
      <w:r w:rsidRPr="00962AEC">
        <w:rPr>
          <w:rFonts w:ascii="Times New Roman" w:hAnsi="Times New Roman"/>
        </w:rPr>
        <w:t xml:space="preserve"> (</w:t>
      </w:r>
      <w:r w:rsidR="00682D2B">
        <w:rPr>
          <w:rFonts w:ascii="Times New Roman" w:hAnsi="Times New Roman"/>
        </w:rPr>
        <w:t>86</w:t>
      </w:r>
      <w:r w:rsidRPr="00962AEC">
        <w:rPr>
          <w:rFonts w:ascii="Times New Roman" w:hAnsi="Times New Roman"/>
        </w:rPr>
        <w:t xml:space="preserve"> FR </w:t>
      </w:r>
      <w:r w:rsidR="005328DF">
        <w:rPr>
          <w:rFonts w:ascii="Times New Roman" w:hAnsi="Times New Roman"/>
        </w:rPr>
        <w:t>47369</w:t>
      </w:r>
      <w:r w:rsidRPr="00962AEC">
        <w:rPr>
          <w:rFonts w:ascii="Times New Roman" w:hAnsi="Times New Roman"/>
        </w:rPr>
        <w:t>), we received no comments during the comment period regarding this guidance</w:t>
      </w:r>
      <w:r w:rsidRPr="009F0CB5" w:rsidR="0032747C">
        <w:rPr>
          <w:rFonts w:ascii="Times New Roman" w:hAnsi="Times New Roman"/>
        </w:rPr>
        <w:t xml:space="preserve">.   </w:t>
      </w:r>
    </w:p>
    <w:p w:rsidRPr="009F0CB5" w:rsidR="00140C82" w:rsidRDefault="00140C82" w14:paraId="5A7DB085" w14:textId="77777777">
      <w:pPr>
        <w:rPr>
          <w:rFonts w:ascii="Times New Roman" w:hAnsi="Times New Roman"/>
        </w:rPr>
      </w:pPr>
    </w:p>
    <w:p w:rsidRPr="009F0CB5" w:rsidR="000B6330" w:rsidRDefault="000B6330" w14:paraId="22E9CA84" w14:textId="77777777">
      <w:pPr>
        <w:tabs>
          <w:tab w:val="left" w:pos="-1440"/>
        </w:tabs>
        <w:ind w:left="720" w:hanging="720"/>
        <w:rPr>
          <w:rFonts w:ascii="Times New Roman" w:hAnsi="Times New Roman"/>
        </w:rPr>
      </w:pPr>
      <w:r w:rsidRPr="009F0CB5">
        <w:rPr>
          <w:rFonts w:ascii="Times New Roman" w:hAnsi="Times New Roman"/>
        </w:rPr>
        <w:t>9.</w:t>
      </w:r>
      <w:r w:rsidRPr="009F0CB5">
        <w:rPr>
          <w:rFonts w:ascii="Times New Roman" w:hAnsi="Times New Roman"/>
        </w:rPr>
        <w:tab/>
      </w:r>
      <w:r w:rsidRPr="009F0CB5">
        <w:rPr>
          <w:rFonts w:ascii="Times New Roman" w:hAnsi="Times New Roman"/>
          <w:u w:val="single"/>
        </w:rPr>
        <w:t>EXPLANATION OF DECISION TO PROVIDE ANY PAYMENT OR GIFT TO</w:t>
      </w:r>
      <w:r w:rsidRPr="009F0CB5" w:rsidR="00AD5EF7">
        <w:rPr>
          <w:rFonts w:ascii="Times New Roman" w:hAnsi="Times New Roman"/>
          <w:u w:val="single"/>
        </w:rPr>
        <w:t xml:space="preserve"> </w:t>
      </w:r>
      <w:r w:rsidRPr="009F0CB5">
        <w:rPr>
          <w:rFonts w:ascii="Times New Roman" w:hAnsi="Times New Roman"/>
          <w:u w:val="single"/>
        </w:rPr>
        <w:t>RESPONDENTS</w:t>
      </w:r>
    </w:p>
    <w:p w:rsidRPr="009F0CB5" w:rsidR="000B6330" w:rsidRDefault="000B6330" w14:paraId="7E0AE884" w14:textId="77777777">
      <w:pPr>
        <w:rPr>
          <w:rFonts w:ascii="Times New Roman" w:hAnsi="Times New Roman"/>
        </w:rPr>
      </w:pPr>
    </w:p>
    <w:p w:rsidRPr="009F0CB5" w:rsidR="0032747C" w:rsidRDefault="00962AEC" w14:paraId="0387037F" w14:textId="77777777">
      <w:pPr>
        <w:ind w:left="720"/>
        <w:rPr>
          <w:rFonts w:ascii="Times New Roman" w:hAnsi="Times New Roman"/>
        </w:rPr>
      </w:pPr>
      <w:r w:rsidRPr="00962AEC">
        <w:rPr>
          <w:rFonts w:ascii="Times New Roman" w:hAnsi="Times New Roman"/>
        </w:rPr>
        <w:t>There are no special circumstances requiring data collection to be inconsistent with Guidelines in 5 CFR 1320.5(d)(2).</w:t>
      </w:r>
    </w:p>
    <w:p w:rsidRPr="009F0CB5" w:rsidR="000B6330" w:rsidRDefault="000B6330" w14:paraId="6D9DD635" w14:textId="77777777">
      <w:pPr>
        <w:rPr>
          <w:rFonts w:ascii="Times New Roman" w:hAnsi="Times New Roman"/>
        </w:rPr>
      </w:pPr>
    </w:p>
    <w:p w:rsidRPr="009F0CB5" w:rsidR="000B6330" w:rsidRDefault="000B6330" w14:paraId="5B2F9C7F" w14:textId="77777777">
      <w:pPr>
        <w:rPr>
          <w:rFonts w:ascii="Times New Roman" w:hAnsi="Times New Roman"/>
        </w:rPr>
      </w:pPr>
      <w:r w:rsidRPr="009F0CB5">
        <w:rPr>
          <w:rFonts w:ascii="Times New Roman" w:hAnsi="Times New Roman"/>
        </w:rPr>
        <w:t>10.</w:t>
      </w:r>
      <w:r w:rsidRPr="009F0CB5">
        <w:rPr>
          <w:rFonts w:ascii="Times New Roman" w:hAnsi="Times New Roman"/>
        </w:rPr>
        <w:tab/>
      </w:r>
      <w:r w:rsidRPr="009F0CB5">
        <w:rPr>
          <w:rFonts w:ascii="Times New Roman" w:hAnsi="Times New Roman"/>
          <w:u w:val="single"/>
        </w:rPr>
        <w:t>ASSURANCE OF CONFIDENTIALITY OF RESPONSES</w:t>
      </w:r>
    </w:p>
    <w:p w:rsidRPr="009F0CB5" w:rsidR="000B6330" w:rsidRDefault="000B6330" w14:paraId="4C93AE0B" w14:textId="77777777">
      <w:pPr>
        <w:rPr>
          <w:rFonts w:ascii="Times New Roman" w:hAnsi="Times New Roman"/>
        </w:rPr>
      </w:pPr>
    </w:p>
    <w:p w:rsidRPr="009F0CB5" w:rsidR="000B6330" w:rsidRDefault="000B6330" w14:paraId="5888CA24" w14:textId="77777777">
      <w:pPr>
        <w:ind w:left="720"/>
        <w:rPr>
          <w:rFonts w:ascii="Times New Roman" w:hAnsi="Times New Roman"/>
        </w:rPr>
      </w:pPr>
      <w:r w:rsidRPr="009F0CB5">
        <w:rPr>
          <w:rFonts w:ascii="Times New Roman" w:hAnsi="Times New Roman"/>
        </w:rPr>
        <w:t>Generally, tax returns and tax return information are confidential as required by 26USC 6103.</w:t>
      </w:r>
    </w:p>
    <w:p w:rsidRPr="009F0CB5" w:rsidR="000B6330" w:rsidRDefault="000B6330" w14:paraId="12BFA15F" w14:textId="77777777">
      <w:pPr>
        <w:rPr>
          <w:rFonts w:ascii="Times New Roman" w:hAnsi="Times New Roman"/>
        </w:rPr>
      </w:pPr>
    </w:p>
    <w:p w:rsidRPr="009F0CB5" w:rsidR="000B6330" w:rsidRDefault="000B6330" w14:paraId="5C9E6844" w14:textId="77777777">
      <w:pPr>
        <w:rPr>
          <w:rFonts w:ascii="Times New Roman" w:hAnsi="Times New Roman"/>
        </w:rPr>
        <w:sectPr w:rsidRPr="009F0CB5" w:rsidR="000B6330">
          <w:headerReference w:type="default" r:id="rId6"/>
          <w:type w:val="continuous"/>
          <w:pgSz w:w="12240" w:h="15840"/>
          <w:pgMar w:top="1440" w:right="1440" w:bottom="1440" w:left="1440" w:header="1440" w:footer="1440" w:gutter="0"/>
          <w:cols w:space="720"/>
          <w:noEndnote/>
        </w:sectPr>
      </w:pPr>
    </w:p>
    <w:p w:rsidRPr="009F0CB5" w:rsidR="000B6330" w:rsidRDefault="000B6330" w14:paraId="4412DFBB" w14:textId="77777777">
      <w:pPr>
        <w:tabs>
          <w:tab w:val="left" w:pos="-1440"/>
        </w:tabs>
        <w:ind w:left="720" w:hanging="720"/>
        <w:rPr>
          <w:rFonts w:ascii="Times New Roman" w:hAnsi="Times New Roman"/>
          <w:u w:val="single"/>
        </w:rPr>
      </w:pPr>
      <w:r w:rsidRPr="009F0CB5">
        <w:rPr>
          <w:rFonts w:ascii="Times New Roman" w:hAnsi="Times New Roman"/>
        </w:rPr>
        <w:lastRenderedPageBreak/>
        <w:t>11.</w:t>
      </w:r>
      <w:r w:rsidRPr="009F0CB5">
        <w:rPr>
          <w:rFonts w:ascii="Times New Roman" w:hAnsi="Times New Roman"/>
        </w:rPr>
        <w:tab/>
      </w:r>
      <w:r w:rsidRPr="009F0CB5">
        <w:rPr>
          <w:rFonts w:ascii="Times New Roman" w:hAnsi="Times New Roman"/>
          <w:u w:val="single"/>
        </w:rPr>
        <w:t>JUSTIFICATION OF SENSITIVE QUESTIONS</w:t>
      </w:r>
    </w:p>
    <w:p w:rsidRPr="009F0CB5" w:rsidR="000B6330" w:rsidRDefault="000B6330" w14:paraId="231DD969" w14:textId="77777777">
      <w:pPr>
        <w:rPr>
          <w:rFonts w:ascii="Times New Roman" w:hAnsi="Times New Roman"/>
          <w:u w:val="single"/>
        </w:rPr>
      </w:pPr>
    </w:p>
    <w:p w:rsidRPr="009F0CB5" w:rsidR="000B6330" w:rsidRDefault="00AD5EF7" w14:paraId="4B2A47C4" w14:textId="77777777">
      <w:pPr>
        <w:ind w:left="720"/>
        <w:rPr>
          <w:rFonts w:ascii="Times New Roman" w:hAnsi="Times New Roman"/>
        </w:rPr>
      </w:pPr>
      <w:r w:rsidRPr="009F0CB5">
        <w:rPr>
          <w:rFonts w:ascii="Times New Roman" w:hAnsi="Times New Roman"/>
        </w:rPr>
        <w:t>There is no sensitive personally identifiable information (PII) in this collection.</w:t>
      </w:r>
    </w:p>
    <w:p w:rsidRPr="009F0CB5" w:rsidR="000B6330" w:rsidRDefault="000B6330" w14:paraId="30101401" w14:textId="77777777">
      <w:pPr>
        <w:rPr>
          <w:rFonts w:ascii="Times New Roman" w:hAnsi="Times New Roman"/>
        </w:rPr>
      </w:pPr>
    </w:p>
    <w:p w:rsidRPr="009F0CB5" w:rsidR="000B6330" w:rsidRDefault="000B6330" w14:paraId="73DC301E" w14:textId="77777777">
      <w:pPr>
        <w:tabs>
          <w:tab w:val="left" w:pos="-1440"/>
        </w:tabs>
        <w:ind w:left="720" w:hanging="720"/>
        <w:rPr>
          <w:rFonts w:ascii="Times New Roman" w:hAnsi="Times New Roman"/>
          <w:u w:val="single"/>
        </w:rPr>
      </w:pPr>
      <w:r w:rsidRPr="009F0CB5">
        <w:rPr>
          <w:rFonts w:ascii="Times New Roman" w:hAnsi="Times New Roman"/>
        </w:rPr>
        <w:t>12.</w:t>
      </w:r>
      <w:r w:rsidRPr="009F0CB5">
        <w:rPr>
          <w:rFonts w:ascii="Times New Roman" w:hAnsi="Times New Roman"/>
        </w:rPr>
        <w:tab/>
      </w:r>
      <w:r w:rsidRPr="009F0CB5">
        <w:rPr>
          <w:rFonts w:ascii="Times New Roman" w:hAnsi="Times New Roman"/>
          <w:u w:val="single"/>
        </w:rPr>
        <w:t>ESTIMATED BURDEN OF INFORMATION COLLECTION</w:t>
      </w:r>
    </w:p>
    <w:p w:rsidRPr="009F0CB5" w:rsidR="000B6330" w:rsidRDefault="000B6330" w14:paraId="612EF338" w14:textId="77777777">
      <w:pPr>
        <w:rPr>
          <w:rFonts w:ascii="Times New Roman" w:hAnsi="Times New Roman"/>
          <w:u w:val="single"/>
        </w:rPr>
      </w:pPr>
    </w:p>
    <w:p w:rsidR="000B6330" w:rsidP="0092401A" w:rsidRDefault="004C685B" w14:paraId="6135A327" w14:textId="3325C287">
      <w:pPr>
        <w:ind w:left="720"/>
        <w:rPr>
          <w:rFonts w:ascii="Times New Roman" w:hAnsi="Times New Roman"/>
        </w:rPr>
      </w:pPr>
      <w:r w:rsidRPr="004C685B">
        <w:rPr>
          <w:rFonts w:ascii="Times New Roman" w:hAnsi="Times New Roman"/>
        </w:rPr>
        <w:t>The collection of information in this regulation is in section 1.469</w:t>
      </w:r>
      <w:r>
        <w:rPr>
          <w:rFonts w:ascii="Times New Roman" w:hAnsi="Times New Roman"/>
        </w:rPr>
        <w:t>-</w:t>
      </w:r>
      <w:r w:rsidRPr="004C685B">
        <w:rPr>
          <w:rFonts w:ascii="Times New Roman" w:hAnsi="Times New Roman"/>
        </w:rPr>
        <w:t>7(</w:t>
      </w:r>
      <w:r>
        <w:rPr>
          <w:rFonts w:ascii="Times New Roman" w:hAnsi="Times New Roman"/>
        </w:rPr>
        <w:t>g</w:t>
      </w:r>
      <w:r w:rsidRPr="004C685B">
        <w:rPr>
          <w:rFonts w:ascii="Times New Roman" w:hAnsi="Times New Roman"/>
        </w:rPr>
        <w:t xml:space="preserve">). This information is required by the Internal Revenue Service to determine which passthrough entities elect to avoid application of this regulation. We estimate that approximately 50,000 </w:t>
      </w:r>
      <w:r>
        <w:rPr>
          <w:rFonts w:ascii="Times New Roman" w:hAnsi="Times New Roman"/>
        </w:rPr>
        <w:t>p</w:t>
      </w:r>
      <w:r w:rsidRPr="004C685B">
        <w:rPr>
          <w:rFonts w:ascii="Times New Roman" w:hAnsi="Times New Roman"/>
        </w:rPr>
        <w:t>assthrough entities will be eligible to make the election described in section 1.469</w:t>
      </w:r>
      <w:r>
        <w:rPr>
          <w:rFonts w:ascii="Times New Roman" w:hAnsi="Times New Roman"/>
        </w:rPr>
        <w:t>-</w:t>
      </w:r>
      <w:r w:rsidRPr="004C685B">
        <w:rPr>
          <w:rFonts w:ascii="Times New Roman" w:hAnsi="Times New Roman"/>
        </w:rPr>
        <w:t>7(</w:t>
      </w:r>
      <w:r>
        <w:rPr>
          <w:rFonts w:ascii="Times New Roman" w:hAnsi="Times New Roman"/>
        </w:rPr>
        <w:t>g</w:t>
      </w:r>
      <w:r w:rsidRPr="004C685B">
        <w:rPr>
          <w:rFonts w:ascii="Times New Roman" w:hAnsi="Times New Roman"/>
        </w:rPr>
        <w:t>). We estimate that elections will be made with respect to 1,000 of such entities, with a total annual burden of approximately 100 hours</w:t>
      </w:r>
      <w:r w:rsidRPr="0092401A" w:rsidR="0092401A">
        <w:rPr>
          <w:rFonts w:ascii="Times New Roman" w:hAnsi="Times New Roman"/>
        </w:rPr>
        <w:t>.</w:t>
      </w:r>
      <w:r>
        <w:rPr>
          <w:rFonts w:ascii="Times New Roman" w:hAnsi="Times New Roman"/>
        </w:rPr>
        <w:t xml:space="preserve">  </w:t>
      </w:r>
    </w:p>
    <w:p w:rsidR="004C685B" w:rsidP="0092401A" w:rsidRDefault="004C685B" w14:paraId="4AA47568" w14:textId="77777777">
      <w:pPr>
        <w:ind w:left="720"/>
        <w:rPr>
          <w:rFonts w:ascii="Times New Roman" w:hAnsi="Times New Roman"/>
        </w:rPr>
      </w:pPr>
    </w:p>
    <w:p w:rsidRPr="009F0CB5" w:rsidR="0092401A" w:rsidRDefault="0092401A" w14:paraId="0708C2CB" w14:textId="77777777">
      <w:pPr>
        <w:tabs>
          <w:tab w:val="left" w:pos="-1440"/>
        </w:tabs>
        <w:ind w:left="720" w:hanging="720"/>
        <w:rPr>
          <w:rFonts w:ascii="Times New Roman" w:hAnsi="Times New Roman"/>
        </w:rPr>
      </w:pPr>
    </w:p>
    <w:tbl>
      <w:tblPr>
        <w:tblW w:w="0" w:type="auto"/>
        <w:tblBorders>
          <w:insideH w:val="single" w:color="FFFFFF" w:sz="18" w:space="0"/>
          <w:insideV w:val="single" w:color="FFFFFF" w:sz="18" w:space="0"/>
        </w:tblBorders>
        <w:tblLook w:val="04A0" w:firstRow="1" w:lastRow="0" w:firstColumn="1" w:lastColumn="0" w:noHBand="0" w:noVBand="1"/>
      </w:tblPr>
      <w:tblGrid>
        <w:gridCol w:w="2394"/>
        <w:gridCol w:w="2394"/>
        <w:gridCol w:w="2394"/>
        <w:gridCol w:w="2394"/>
      </w:tblGrid>
      <w:tr w:rsidRPr="009F0CB5" w:rsidR="00D87B61" w:rsidTr="00EC02EA" w14:paraId="489B79E0" w14:textId="77777777">
        <w:tc>
          <w:tcPr>
            <w:tcW w:w="2394" w:type="dxa"/>
            <w:shd w:val="pct20" w:color="000000" w:fill="FFFFFF"/>
          </w:tcPr>
          <w:p w:rsidRPr="009F0CB5" w:rsidR="00D87B61" w:rsidP="00EC02EA" w:rsidRDefault="00D87B61" w14:paraId="76259A91" w14:textId="77777777">
            <w:pPr>
              <w:tabs>
                <w:tab w:val="left" w:pos="-1440"/>
              </w:tabs>
              <w:rPr>
                <w:rFonts w:ascii="Times New Roman" w:hAnsi="Times New Roman"/>
                <w:b/>
                <w:bCs/>
              </w:rPr>
            </w:pPr>
          </w:p>
        </w:tc>
        <w:tc>
          <w:tcPr>
            <w:tcW w:w="2394" w:type="dxa"/>
            <w:shd w:val="pct20" w:color="000000" w:fill="FFFFFF"/>
          </w:tcPr>
          <w:p w:rsidRPr="009F0CB5" w:rsidR="00D87B61" w:rsidP="00EC02EA" w:rsidRDefault="00D87B61" w14:paraId="1BA7AF0E" w14:textId="77777777">
            <w:pPr>
              <w:tabs>
                <w:tab w:val="left" w:pos="-1440"/>
              </w:tabs>
              <w:rPr>
                <w:rFonts w:ascii="Times New Roman" w:hAnsi="Times New Roman"/>
                <w:b/>
                <w:bCs/>
              </w:rPr>
            </w:pPr>
            <w:r w:rsidRPr="009F0CB5">
              <w:rPr>
                <w:rFonts w:ascii="Times New Roman" w:hAnsi="Times New Roman"/>
                <w:b/>
                <w:bCs/>
              </w:rPr>
              <w:t>Total Responses</w:t>
            </w:r>
          </w:p>
        </w:tc>
        <w:tc>
          <w:tcPr>
            <w:tcW w:w="2394" w:type="dxa"/>
            <w:shd w:val="pct20" w:color="000000" w:fill="FFFFFF"/>
          </w:tcPr>
          <w:p w:rsidRPr="009F0CB5" w:rsidR="00D87B61" w:rsidP="00EC02EA" w:rsidRDefault="00D87B61" w14:paraId="0AF361AA" w14:textId="77777777">
            <w:pPr>
              <w:tabs>
                <w:tab w:val="left" w:pos="-1440"/>
              </w:tabs>
              <w:rPr>
                <w:rFonts w:ascii="Times New Roman" w:hAnsi="Times New Roman"/>
                <w:b/>
                <w:bCs/>
              </w:rPr>
            </w:pPr>
            <w:r w:rsidRPr="009F0CB5">
              <w:rPr>
                <w:rFonts w:ascii="Times New Roman" w:hAnsi="Times New Roman"/>
                <w:b/>
                <w:bCs/>
              </w:rPr>
              <w:t>Hours per responses</w:t>
            </w:r>
          </w:p>
        </w:tc>
        <w:tc>
          <w:tcPr>
            <w:tcW w:w="2394" w:type="dxa"/>
            <w:shd w:val="pct20" w:color="000000" w:fill="FFFFFF"/>
          </w:tcPr>
          <w:p w:rsidRPr="009F0CB5" w:rsidR="00D87B61" w:rsidP="00EC02EA" w:rsidRDefault="00D87B61" w14:paraId="35F6655D" w14:textId="77777777">
            <w:pPr>
              <w:tabs>
                <w:tab w:val="left" w:pos="-1440"/>
              </w:tabs>
              <w:rPr>
                <w:rFonts w:ascii="Times New Roman" w:hAnsi="Times New Roman"/>
                <w:b/>
                <w:bCs/>
              </w:rPr>
            </w:pPr>
            <w:r w:rsidRPr="009F0CB5">
              <w:rPr>
                <w:rFonts w:ascii="Times New Roman" w:hAnsi="Times New Roman"/>
                <w:b/>
                <w:bCs/>
              </w:rPr>
              <w:t>Total burden hours</w:t>
            </w:r>
          </w:p>
        </w:tc>
      </w:tr>
      <w:tr w:rsidRPr="009F0CB5" w:rsidR="00D87B61" w:rsidTr="00EC02EA" w14:paraId="68211DCE" w14:textId="77777777">
        <w:tc>
          <w:tcPr>
            <w:tcW w:w="2394" w:type="dxa"/>
            <w:shd w:val="pct5" w:color="000000" w:fill="FFFFFF"/>
          </w:tcPr>
          <w:p w:rsidRPr="0092401A" w:rsidR="00D87B61" w:rsidP="00EC02EA" w:rsidRDefault="004C685B" w14:paraId="0F9F5F18" w14:textId="569BA5F5">
            <w:pPr>
              <w:tabs>
                <w:tab w:val="left" w:pos="-1440"/>
              </w:tabs>
              <w:rPr>
                <w:rFonts w:ascii="Times New Roman" w:hAnsi="Times New Roman"/>
              </w:rPr>
            </w:pPr>
            <w:r>
              <w:rPr>
                <w:rFonts w:ascii="Times New Roman" w:hAnsi="Times New Roman"/>
              </w:rPr>
              <w:t>1.469-7(g)</w:t>
            </w:r>
          </w:p>
        </w:tc>
        <w:tc>
          <w:tcPr>
            <w:tcW w:w="2394" w:type="dxa"/>
            <w:shd w:val="pct5" w:color="000000" w:fill="FFFFFF"/>
          </w:tcPr>
          <w:p w:rsidRPr="0092401A" w:rsidR="00D87B61" w:rsidP="00EC02EA" w:rsidRDefault="004C685B" w14:paraId="700FD197" w14:textId="102671D6">
            <w:pPr>
              <w:tabs>
                <w:tab w:val="left" w:pos="-1440"/>
              </w:tabs>
              <w:rPr>
                <w:rFonts w:ascii="Times New Roman" w:hAnsi="Times New Roman"/>
              </w:rPr>
            </w:pPr>
            <w:r>
              <w:rPr>
                <w:rFonts w:ascii="Times New Roman" w:hAnsi="Times New Roman"/>
              </w:rPr>
              <w:t>1,000</w:t>
            </w:r>
          </w:p>
        </w:tc>
        <w:tc>
          <w:tcPr>
            <w:tcW w:w="2394" w:type="dxa"/>
            <w:shd w:val="pct5" w:color="000000" w:fill="FFFFFF"/>
          </w:tcPr>
          <w:p w:rsidRPr="0092401A" w:rsidR="00D87B61" w:rsidP="00EC02EA" w:rsidRDefault="004C685B" w14:paraId="29E87EB3" w14:textId="398A857F">
            <w:pPr>
              <w:tabs>
                <w:tab w:val="left" w:pos="-1440"/>
              </w:tabs>
              <w:rPr>
                <w:rFonts w:ascii="Times New Roman" w:hAnsi="Times New Roman"/>
              </w:rPr>
            </w:pPr>
            <w:r>
              <w:rPr>
                <w:rFonts w:ascii="Times New Roman" w:hAnsi="Times New Roman"/>
              </w:rPr>
              <w:t>.1</w:t>
            </w:r>
          </w:p>
        </w:tc>
        <w:tc>
          <w:tcPr>
            <w:tcW w:w="2394" w:type="dxa"/>
            <w:shd w:val="pct5" w:color="000000" w:fill="FFFFFF"/>
          </w:tcPr>
          <w:p w:rsidRPr="0092401A" w:rsidR="00D87B61" w:rsidP="00EC02EA" w:rsidRDefault="00D87B61" w14:paraId="575161C8" w14:textId="77777777">
            <w:pPr>
              <w:tabs>
                <w:tab w:val="left" w:pos="-1440"/>
              </w:tabs>
              <w:rPr>
                <w:rFonts w:ascii="Times New Roman" w:hAnsi="Times New Roman"/>
              </w:rPr>
            </w:pPr>
            <w:r w:rsidRPr="0092401A">
              <w:rPr>
                <w:rFonts w:ascii="Times New Roman" w:hAnsi="Times New Roman"/>
              </w:rPr>
              <w:t>100</w:t>
            </w:r>
          </w:p>
        </w:tc>
      </w:tr>
      <w:tr w:rsidRPr="009F0CB5" w:rsidR="00D87B61" w:rsidTr="00EC02EA" w14:paraId="56F67CB5" w14:textId="77777777">
        <w:tc>
          <w:tcPr>
            <w:tcW w:w="2394" w:type="dxa"/>
            <w:shd w:val="pct20" w:color="000000" w:fill="FFFFFF"/>
          </w:tcPr>
          <w:p w:rsidRPr="0092401A" w:rsidR="00D87B61" w:rsidP="00EC02EA" w:rsidRDefault="00D87B61" w14:paraId="5981541B" w14:textId="72279361">
            <w:pPr>
              <w:tabs>
                <w:tab w:val="left" w:pos="-1440"/>
              </w:tabs>
              <w:rPr>
                <w:rFonts w:ascii="Times New Roman" w:hAnsi="Times New Roman"/>
              </w:rPr>
            </w:pPr>
          </w:p>
        </w:tc>
        <w:tc>
          <w:tcPr>
            <w:tcW w:w="2394" w:type="dxa"/>
            <w:shd w:val="pct20" w:color="000000" w:fill="FFFFFF"/>
          </w:tcPr>
          <w:p w:rsidRPr="0092401A" w:rsidR="00D87B61" w:rsidP="00EC02EA" w:rsidRDefault="00D87B61" w14:paraId="51847BB4" w14:textId="4E2164DF">
            <w:pPr>
              <w:tabs>
                <w:tab w:val="left" w:pos="-1440"/>
              </w:tabs>
              <w:rPr>
                <w:rFonts w:ascii="Times New Roman" w:hAnsi="Times New Roman"/>
              </w:rPr>
            </w:pPr>
          </w:p>
        </w:tc>
        <w:tc>
          <w:tcPr>
            <w:tcW w:w="2394" w:type="dxa"/>
            <w:shd w:val="pct20" w:color="000000" w:fill="FFFFFF"/>
          </w:tcPr>
          <w:p w:rsidRPr="0092401A" w:rsidR="00D87B61" w:rsidP="00EC02EA" w:rsidRDefault="00D87B61" w14:paraId="628A97CF" w14:textId="5A9CD843">
            <w:pPr>
              <w:tabs>
                <w:tab w:val="left" w:pos="-1440"/>
              </w:tabs>
              <w:rPr>
                <w:rFonts w:ascii="Times New Roman" w:hAnsi="Times New Roman"/>
              </w:rPr>
            </w:pPr>
          </w:p>
        </w:tc>
        <w:tc>
          <w:tcPr>
            <w:tcW w:w="2394" w:type="dxa"/>
            <w:shd w:val="pct20" w:color="000000" w:fill="FFFFFF"/>
          </w:tcPr>
          <w:p w:rsidRPr="0092401A" w:rsidR="00D87B61" w:rsidP="00EC02EA" w:rsidRDefault="00D87B61" w14:paraId="79EEBDDB" w14:textId="2C3A7B67">
            <w:pPr>
              <w:tabs>
                <w:tab w:val="left" w:pos="-1440"/>
              </w:tabs>
              <w:rPr>
                <w:rFonts w:ascii="Times New Roman" w:hAnsi="Times New Roman"/>
              </w:rPr>
            </w:pPr>
          </w:p>
        </w:tc>
      </w:tr>
      <w:tr w:rsidRPr="009F0CB5" w:rsidR="00D87B61" w:rsidTr="00EC02EA" w14:paraId="36407278" w14:textId="77777777">
        <w:tc>
          <w:tcPr>
            <w:tcW w:w="2394" w:type="dxa"/>
            <w:shd w:val="pct5" w:color="000000" w:fill="FFFFFF"/>
          </w:tcPr>
          <w:p w:rsidRPr="0092401A" w:rsidR="00D87B61" w:rsidP="00EC02EA" w:rsidRDefault="0092401A" w14:paraId="491B1939" w14:textId="77777777">
            <w:pPr>
              <w:tabs>
                <w:tab w:val="left" w:pos="-1440"/>
              </w:tabs>
              <w:rPr>
                <w:rFonts w:ascii="Times New Roman" w:hAnsi="Times New Roman"/>
                <w:b/>
                <w:bCs/>
              </w:rPr>
            </w:pPr>
            <w:r w:rsidRPr="0092401A">
              <w:rPr>
                <w:rFonts w:ascii="Times New Roman" w:hAnsi="Times New Roman"/>
                <w:b/>
                <w:bCs/>
              </w:rPr>
              <w:t>Totals</w:t>
            </w:r>
          </w:p>
        </w:tc>
        <w:tc>
          <w:tcPr>
            <w:tcW w:w="2394" w:type="dxa"/>
            <w:shd w:val="pct5" w:color="000000" w:fill="FFFFFF"/>
          </w:tcPr>
          <w:p w:rsidRPr="0092401A" w:rsidR="00D87B61" w:rsidP="00EC02EA" w:rsidRDefault="00D87B61" w14:paraId="2FA38802" w14:textId="7CB533A3">
            <w:pPr>
              <w:tabs>
                <w:tab w:val="left" w:pos="-1440"/>
              </w:tabs>
              <w:rPr>
                <w:rFonts w:ascii="Times New Roman" w:hAnsi="Times New Roman"/>
                <w:b/>
                <w:bCs/>
              </w:rPr>
            </w:pPr>
            <w:r w:rsidRPr="0092401A">
              <w:rPr>
                <w:rFonts w:ascii="Times New Roman" w:hAnsi="Times New Roman"/>
                <w:b/>
                <w:bCs/>
              </w:rPr>
              <w:t>1</w:t>
            </w:r>
            <w:r w:rsidR="004C685B">
              <w:rPr>
                <w:rFonts w:ascii="Times New Roman" w:hAnsi="Times New Roman"/>
                <w:b/>
                <w:bCs/>
              </w:rPr>
              <w:t>,000</w:t>
            </w:r>
          </w:p>
        </w:tc>
        <w:tc>
          <w:tcPr>
            <w:tcW w:w="2394" w:type="dxa"/>
            <w:shd w:val="pct5" w:color="000000" w:fill="FFFFFF"/>
          </w:tcPr>
          <w:p w:rsidRPr="0092401A" w:rsidR="00D87B61" w:rsidP="00EC02EA" w:rsidRDefault="00D87B61" w14:paraId="2FA58893" w14:textId="77777777">
            <w:pPr>
              <w:tabs>
                <w:tab w:val="left" w:pos="-1440"/>
              </w:tabs>
              <w:rPr>
                <w:rFonts w:ascii="Times New Roman" w:hAnsi="Times New Roman"/>
                <w:b/>
                <w:bCs/>
              </w:rPr>
            </w:pPr>
          </w:p>
        </w:tc>
        <w:tc>
          <w:tcPr>
            <w:tcW w:w="2394" w:type="dxa"/>
            <w:shd w:val="pct5" w:color="000000" w:fill="FFFFFF"/>
          </w:tcPr>
          <w:p w:rsidRPr="0092401A" w:rsidR="00D87B61" w:rsidP="00EC02EA" w:rsidRDefault="004C685B" w14:paraId="7C752CB1" w14:textId="7E8EDE4E">
            <w:pPr>
              <w:tabs>
                <w:tab w:val="left" w:pos="-1440"/>
              </w:tabs>
              <w:rPr>
                <w:rFonts w:ascii="Times New Roman" w:hAnsi="Times New Roman"/>
                <w:b/>
                <w:bCs/>
              </w:rPr>
            </w:pPr>
            <w:r>
              <w:rPr>
                <w:rFonts w:ascii="Times New Roman" w:hAnsi="Times New Roman"/>
                <w:b/>
                <w:bCs/>
              </w:rPr>
              <w:t>100</w:t>
            </w:r>
            <w:r w:rsidRPr="0092401A" w:rsidR="00D87B61">
              <w:rPr>
                <w:rFonts w:ascii="Times New Roman" w:hAnsi="Times New Roman"/>
                <w:b/>
                <w:bCs/>
              </w:rPr>
              <w:t xml:space="preserve"> hrs.</w:t>
            </w:r>
          </w:p>
        </w:tc>
      </w:tr>
    </w:tbl>
    <w:p w:rsidRPr="009F0CB5" w:rsidR="00D87B61" w:rsidRDefault="00D87B61" w14:paraId="61743C49" w14:textId="77777777">
      <w:pPr>
        <w:tabs>
          <w:tab w:val="left" w:pos="-1440"/>
        </w:tabs>
        <w:ind w:left="720" w:hanging="720"/>
        <w:rPr>
          <w:rFonts w:ascii="Times New Roman" w:hAnsi="Times New Roman"/>
        </w:rPr>
      </w:pPr>
    </w:p>
    <w:p w:rsidRPr="00962AEC" w:rsidR="00962AEC" w:rsidP="00962AEC" w:rsidRDefault="00962AEC" w14:paraId="43399C6E" w14:textId="5814BA4D">
      <w:pPr>
        <w:ind w:left="720"/>
        <w:rPr>
          <w:rFonts w:ascii="Times New Roman" w:hAnsi="Times New Roman"/>
        </w:rPr>
      </w:pPr>
      <w:r w:rsidRPr="00962AEC">
        <w:rPr>
          <w:rFonts w:ascii="Times New Roman" w:hAnsi="Times New Roman"/>
        </w:rPr>
        <w:t>Please continue to assign OMB number 1545-</w:t>
      </w:r>
      <w:r w:rsidR="004C685B">
        <w:rPr>
          <w:rFonts w:ascii="Times New Roman" w:hAnsi="Times New Roman"/>
        </w:rPr>
        <w:t>1244</w:t>
      </w:r>
      <w:r w:rsidRPr="00962AEC">
        <w:rPr>
          <w:rFonts w:ascii="Times New Roman" w:hAnsi="Times New Roman"/>
        </w:rPr>
        <w:t xml:space="preserve"> to these regulations.</w:t>
      </w:r>
    </w:p>
    <w:p w:rsidRPr="00962AEC" w:rsidR="00962AEC" w:rsidP="00962AEC" w:rsidRDefault="00962AEC" w14:paraId="1432EE9F" w14:textId="77777777">
      <w:pPr>
        <w:ind w:left="720"/>
        <w:rPr>
          <w:rFonts w:ascii="Times New Roman" w:hAnsi="Times New Roman"/>
        </w:rPr>
      </w:pPr>
    </w:p>
    <w:p w:rsidRPr="009F0CB5" w:rsidR="00962AEC" w:rsidP="004C685B" w:rsidRDefault="00962AEC" w14:paraId="6CBE6BD2" w14:textId="4840977B">
      <w:pPr>
        <w:ind w:left="720"/>
        <w:rPr>
          <w:rFonts w:ascii="Times New Roman" w:hAnsi="Times New Roman"/>
        </w:rPr>
      </w:pPr>
      <w:r>
        <w:rPr>
          <w:rFonts w:ascii="Times New Roman" w:hAnsi="Times New Roman"/>
        </w:rPr>
        <w:t>1.</w:t>
      </w:r>
      <w:r w:rsidR="004C685B">
        <w:rPr>
          <w:rFonts w:ascii="Times New Roman" w:hAnsi="Times New Roman"/>
        </w:rPr>
        <w:t>469-7</w:t>
      </w:r>
    </w:p>
    <w:p w:rsidRPr="009F0CB5" w:rsidR="000B6330" w:rsidRDefault="000B6330" w14:paraId="603B38B2" w14:textId="77777777">
      <w:pPr>
        <w:rPr>
          <w:rFonts w:ascii="Times New Roman" w:hAnsi="Times New Roman"/>
        </w:rPr>
      </w:pPr>
      <w:r w:rsidRPr="009F0CB5">
        <w:rPr>
          <w:rFonts w:ascii="Times New Roman" w:hAnsi="Times New Roman"/>
        </w:rPr>
        <w:t xml:space="preserve">      </w:t>
      </w:r>
    </w:p>
    <w:p w:rsidRPr="009F0CB5" w:rsidR="000B6330" w:rsidRDefault="000B6330" w14:paraId="5AFAEF23" w14:textId="77777777">
      <w:pPr>
        <w:tabs>
          <w:tab w:val="left" w:pos="-1440"/>
        </w:tabs>
        <w:ind w:left="720" w:hanging="720"/>
        <w:rPr>
          <w:rFonts w:ascii="Times New Roman" w:hAnsi="Times New Roman"/>
        </w:rPr>
      </w:pPr>
      <w:r w:rsidRPr="009F0CB5">
        <w:rPr>
          <w:rFonts w:ascii="Times New Roman" w:hAnsi="Times New Roman"/>
        </w:rPr>
        <w:t>13.</w:t>
      </w:r>
      <w:r w:rsidRPr="009F0CB5">
        <w:rPr>
          <w:rFonts w:ascii="Times New Roman" w:hAnsi="Times New Roman"/>
        </w:rPr>
        <w:tab/>
        <w:t xml:space="preserve"> </w:t>
      </w:r>
      <w:r w:rsidRPr="009F0CB5">
        <w:rPr>
          <w:rFonts w:ascii="Times New Roman" w:hAnsi="Times New Roman"/>
          <w:u w:val="single"/>
        </w:rPr>
        <w:t>ESTIMATED TOTAL ANNUAL COST BURDEN TO RESPONDENTS</w:t>
      </w:r>
    </w:p>
    <w:p w:rsidRPr="009F0CB5" w:rsidR="000B6330" w:rsidRDefault="000B6330" w14:paraId="67B4EFD3" w14:textId="77777777">
      <w:pPr>
        <w:rPr>
          <w:rFonts w:ascii="Times New Roman" w:hAnsi="Times New Roman"/>
        </w:rPr>
      </w:pPr>
    </w:p>
    <w:p w:rsidRPr="009F0CB5" w:rsidR="000B6330" w:rsidRDefault="000B6330" w14:paraId="236150E3" w14:textId="77777777">
      <w:pPr>
        <w:rPr>
          <w:rFonts w:ascii="Times New Roman" w:hAnsi="Times New Roman"/>
        </w:rPr>
        <w:sectPr w:rsidRPr="009F0CB5" w:rsidR="000B6330">
          <w:type w:val="continuous"/>
          <w:pgSz w:w="12240" w:h="15840"/>
          <w:pgMar w:top="1440" w:right="1440" w:bottom="1440" w:left="1440" w:header="1440" w:footer="1440" w:gutter="0"/>
          <w:cols w:space="720"/>
          <w:noEndnote/>
        </w:sectPr>
      </w:pPr>
    </w:p>
    <w:p w:rsidRPr="009F0CB5" w:rsidR="001B0514" w:rsidP="00EC02EA" w:rsidRDefault="001B0514" w14:paraId="6768E922" w14:textId="77777777">
      <w:pPr>
        <w:ind w:left="720"/>
        <w:rPr>
          <w:rFonts w:ascii="Times New Roman" w:hAnsi="Times New Roman"/>
        </w:rPr>
      </w:pPr>
      <w:bookmarkStart w:name="_Hlk497979402" w:id="1"/>
      <w:r w:rsidRPr="009F0CB5">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Pr="009F0CB5" w:rsidR="00B0485F" w:rsidRDefault="001B0514" w14:paraId="3EC4A0EF"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185EB3AA" w14:textId="77777777">
      <w:pPr>
        <w:rPr>
          <w:rFonts w:ascii="Times New Roman" w:hAnsi="Times New Roman"/>
        </w:rPr>
      </w:pPr>
    </w:p>
    <w:p w:rsidRPr="009F0CB5" w:rsidR="000B6330" w:rsidRDefault="000B6330" w14:paraId="041F3523" w14:textId="77777777">
      <w:pPr>
        <w:tabs>
          <w:tab w:val="left" w:pos="-1440"/>
        </w:tabs>
        <w:ind w:left="720" w:hanging="720"/>
        <w:rPr>
          <w:rFonts w:ascii="Times New Roman" w:hAnsi="Times New Roman"/>
        </w:rPr>
      </w:pPr>
      <w:r w:rsidRPr="009F0CB5">
        <w:rPr>
          <w:rFonts w:ascii="Times New Roman" w:hAnsi="Times New Roman"/>
        </w:rPr>
        <w:t>14.</w:t>
      </w:r>
      <w:r w:rsidRPr="009F0CB5">
        <w:rPr>
          <w:rFonts w:ascii="Times New Roman" w:hAnsi="Times New Roman"/>
        </w:rPr>
        <w:tab/>
      </w:r>
      <w:r w:rsidRPr="009F0CB5">
        <w:rPr>
          <w:rFonts w:ascii="Times New Roman" w:hAnsi="Times New Roman"/>
          <w:u w:val="single"/>
        </w:rPr>
        <w:t>ESTIMATED ANNUALIZED COST TO THE FEDERAL GOVERNMENT</w:t>
      </w:r>
    </w:p>
    <w:p w:rsidRPr="009F0CB5" w:rsidR="000B6330" w:rsidRDefault="000B6330" w14:paraId="3C4631EB" w14:textId="77777777">
      <w:pPr>
        <w:rPr>
          <w:rFonts w:ascii="Times New Roman" w:hAnsi="Times New Roman"/>
        </w:rPr>
      </w:pPr>
    </w:p>
    <w:p w:rsidRPr="009F0CB5" w:rsidR="00D87B61" w:rsidP="00D87B61" w:rsidRDefault="00962AEC" w14:paraId="6BF5D2AB" w14:textId="77777777">
      <w:pPr>
        <w:ind w:left="720"/>
        <w:rPr>
          <w:rFonts w:ascii="Times New Roman" w:hAnsi="Times New Roman"/>
        </w:rPr>
      </w:pPr>
      <w:r w:rsidRPr="00962AEC">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governmental cost to be nominal</w:t>
      </w:r>
      <w:r w:rsidRPr="009F0CB5" w:rsidR="00D87B61">
        <w:rPr>
          <w:rFonts w:ascii="Times New Roman" w:hAnsi="Times New Roman"/>
        </w:rPr>
        <w:t>.</w:t>
      </w:r>
    </w:p>
    <w:p w:rsidRPr="009F0CB5" w:rsidR="00D87B61" w:rsidP="00D87B61" w:rsidRDefault="00D87B61" w14:paraId="509FE334" w14:textId="77777777">
      <w:pPr>
        <w:ind w:left="720"/>
        <w:rPr>
          <w:rFonts w:ascii="Times New Roman" w:hAnsi="Times New Roman"/>
        </w:rPr>
      </w:pPr>
      <w:r w:rsidRPr="009F0CB5">
        <w:rPr>
          <w:rFonts w:ascii="Times New Roman" w:hAnsi="Times New Roman"/>
        </w:rPr>
        <w:t xml:space="preserve"> </w:t>
      </w:r>
    </w:p>
    <w:p w:rsidRPr="009F0CB5" w:rsidR="000B6330" w:rsidRDefault="000B6330" w14:paraId="20DC301D" w14:textId="77777777">
      <w:pPr>
        <w:tabs>
          <w:tab w:val="left" w:pos="-1440"/>
        </w:tabs>
        <w:ind w:left="720" w:hanging="720"/>
        <w:rPr>
          <w:rFonts w:ascii="Times New Roman" w:hAnsi="Times New Roman"/>
        </w:rPr>
      </w:pPr>
      <w:r w:rsidRPr="009F0CB5">
        <w:rPr>
          <w:rFonts w:ascii="Times New Roman" w:hAnsi="Times New Roman"/>
        </w:rPr>
        <w:t>15.</w:t>
      </w:r>
      <w:r w:rsidRPr="009F0CB5">
        <w:rPr>
          <w:rFonts w:ascii="Times New Roman" w:hAnsi="Times New Roman"/>
        </w:rPr>
        <w:tab/>
      </w:r>
      <w:r w:rsidRPr="009F0CB5">
        <w:rPr>
          <w:rFonts w:ascii="Times New Roman" w:hAnsi="Times New Roman"/>
          <w:u w:val="single"/>
        </w:rPr>
        <w:t>REASONS FOR CHANGE IN BURDEN</w:t>
      </w:r>
    </w:p>
    <w:p w:rsidRPr="009F0CB5" w:rsidR="000B6330" w:rsidRDefault="000B6330" w14:paraId="3A2E836E" w14:textId="77777777">
      <w:pPr>
        <w:rPr>
          <w:rFonts w:ascii="Times New Roman" w:hAnsi="Times New Roman"/>
        </w:rPr>
      </w:pPr>
    </w:p>
    <w:p w:rsidRPr="009F0CB5" w:rsidR="003260E2" w:rsidP="00962AEC" w:rsidRDefault="003260E2" w14:paraId="2574E3F6" w14:textId="77777777">
      <w:pPr>
        <w:ind w:left="720"/>
        <w:rPr>
          <w:rFonts w:ascii="Times New Roman" w:hAnsi="Times New Roman"/>
        </w:rPr>
      </w:pPr>
      <w:r w:rsidRPr="009F0CB5">
        <w:rPr>
          <w:rFonts w:ascii="Times New Roman" w:hAnsi="Times New Roman"/>
        </w:rPr>
        <w:t>There is no change in the paperwork burden previously approved by OMB</w:t>
      </w:r>
      <w:r w:rsidRPr="009F0CB5" w:rsidR="000B6330">
        <w:rPr>
          <w:rFonts w:ascii="Times New Roman" w:hAnsi="Times New Roman"/>
        </w:rPr>
        <w:t>.</w:t>
      </w:r>
      <w:r w:rsidRPr="009F0CB5" w:rsidR="00484576">
        <w:rPr>
          <w:rFonts w:ascii="Times New Roman" w:hAnsi="Times New Roman"/>
        </w:rPr>
        <w:t xml:space="preserve"> </w:t>
      </w:r>
      <w:r w:rsidRPr="009F0CB5">
        <w:rPr>
          <w:rFonts w:ascii="Times New Roman" w:hAnsi="Times New Roman"/>
        </w:rPr>
        <w:t>We are making this submission to renew the OMB approval.</w:t>
      </w:r>
    </w:p>
    <w:p w:rsidRPr="009F0CB5" w:rsidR="000B6330" w:rsidRDefault="000B6330" w14:paraId="105A1568" w14:textId="77777777">
      <w:pPr>
        <w:rPr>
          <w:rFonts w:ascii="Times New Roman" w:hAnsi="Times New Roman"/>
        </w:rPr>
      </w:pPr>
    </w:p>
    <w:p w:rsidRPr="009F0CB5" w:rsidR="000B6330" w:rsidRDefault="000B6330" w14:paraId="6AF403BB" w14:textId="77777777">
      <w:pPr>
        <w:tabs>
          <w:tab w:val="left" w:pos="-1440"/>
        </w:tabs>
        <w:ind w:left="720" w:hanging="720"/>
        <w:rPr>
          <w:rFonts w:ascii="Times New Roman" w:hAnsi="Times New Roman"/>
        </w:rPr>
      </w:pPr>
      <w:r w:rsidRPr="009F0CB5">
        <w:rPr>
          <w:rFonts w:ascii="Times New Roman" w:hAnsi="Times New Roman"/>
        </w:rPr>
        <w:lastRenderedPageBreak/>
        <w:t>16.</w:t>
      </w:r>
      <w:r w:rsidRPr="009F0CB5">
        <w:rPr>
          <w:rFonts w:ascii="Times New Roman" w:hAnsi="Times New Roman"/>
        </w:rPr>
        <w:tab/>
      </w:r>
      <w:r w:rsidRPr="009F0CB5">
        <w:rPr>
          <w:rFonts w:ascii="Times New Roman" w:hAnsi="Times New Roman"/>
          <w:u w:val="single"/>
        </w:rPr>
        <w:t>PLANS FOR TABULATION, STATISTICAL ANALYSIS AND PUBLICATION</w:t>
      </w:r>
    </w:p>
    <w:p w:rsidRPr="009F0CB5" w:rsidR="000B6330" w:rsidRDefault="000B6330" w14:paraId="2E400BAE" w14:textId="77777777">
      <w:pPr>
        <w:rPr>
          <w:rFonts w:ascii="Times New Roman" w:hAnsi="Times New Roman"/>
        </w:rPr>
      </w:pPr>
    </w:p>
    <w:p w:rsidRPr="009F0CB5" w:rsidR="00D87B61" w:rsidP="00D87B61" w:rsidRDefault="00D87B61" w14:paraId="6A0CD7AB" w14:textId="77777777">
      <w:pPr>
        <w:ind w:left="720"/>
        <w:rPr>
          <w:rFonts w:ascii="Times New Roman" w:hAnsi="Times New Roman"/>
        </w:rPr>
      </w:pPr>
      <w:r w:rsidRPr="009F0CB5">
        <w:rPr>
          <w:rFonts w:ascii="Times New Roman" w:hAnsi="Times New Roman"/>
        </w:rPr>
        <w:t xml:space="preserve">There are no plans for tabulation, statistical </w:t>
      </w:r>
      <w:proofErr w:type="gramStart"/>
      <w:r w:rsidRPr="009F0CB5">
        <w:rPr>
          <w:rFonts w:ascii="Times New Roman" w:hAnsi="Times New Roman"/>
        </w:rPr>
        <w:t>analysis</w:t>
      </w:r>
      <w:proofErr w:type="gramEnd"/>
      <w:r w:rsidRPr="009F0CB5">
        <w:rPr>
          <w:rFonts w:ascii="Times New Roman" w:hAnsi="Times New Roman"/>
        </w:rPr>
        <w:t xml:space="preserve"> and publication. </w:t>
      </w:r>
    </w:p>
    <w:p w:rsidRPr="009F0CB5" w:rsidR="000B6330" w:rsidP="004C685B" w:rsidRDefault="00D87B61" w14:paraId="59DAF27D" w14:textId="2A6FCC39">
      <w:pPr>
        <w:ind w:left="720"/>
        <w:rPr>
          <w:rFonts w:ascii="Times New Roman" w:hAnsi="Times New Roman"/>
        </w:rPr>
      </w:pPr>
      <w:r w:rsidRPr="009F0CB5">
        <w:rPr>
          <w:rFonts w:ascii="Times New Roman" w:hAnsi="Times New Roman"/>
        </w:rPr>
        <w:t xml:space="preserve"> </w:t>
      </w:r>
    </w:p>
    <w:p w:rsidRPr="009F0CB5" w:rsidR="000B6330" w:rsidRDefault="000B6330" w14:paraId="3F957B81" w14:textId="77777777">
      <w:pPr>
        <w:tabs>
          <w:tab w:val="left" w:pos="-1440"/>
        </w:tabs>
        <w:ind w:left="720" w:hanging="720"/>
        <w:rPr>
          <w:rFonts w:ascii="Times New Roman" w:hAnsi="Times New Roman"/>
        </w:rPr>
      </w:pPr>
      <w:r w:rsidRPr="009F0CB5">
        <w:rPr>
          <w:rFonts w:ascii="Times New Roman" w:hAnsi="Times New Roman"/>
        </w:rPr>
        <w:t>17.</w:t>
      </w:r>
      <w:r w:rsidRPr="009F0CB5">
        <w:rPr>
          <w:rFonts w:ascii="Times New Roman" w:hAnsi="Times New Roman"/>
        </w:rPr>
        <w:tab/>
      </w:r>
      <w:r w:rsidRPr="009F0CB5">
        <w:rPr>
          <w:rFonts w:ascii="Times New Roman" w:hAnsi="Times New Roman"/>
          <w:u w:val="single"/>
        </w:rPr>
        <w:t>REASONS WHY DISPLAYING THE OMB EXPIRATION DATE IS</w:t>
      </w:r>
      <w:r w:rsidR="00962AEC">
        <w:rPr>
          <w:rFonts w:ascii="Times New Roman" w:hAnsi="Times New Roman"/>
          <w:u w:val="single"/>
        </w:rPr>
        <w:t xml:space="preserve"> </w:t>
      </w:r>
      <w:r w:rsidRPr="009F0CB5">
        <w:rPr>
          <w:rFonts w:ascii="Times New Roman" w:hAnsi="Times New Roman"/>
          <w:u w:val="single"/>
        </w:rPr>
        <w:t>INAPPROPRIATE</w:t>
      </w:r>
    </w:p>
    <w:p w:rsidRPr="009F0CB5" w:rsidR="000B6330" w:rsidRDefault="000B6330" w14:paraId="64AFD263" w14:textId="77777777">
      <w:pPr>
        <w:rPr>
          <w:rFonts w:ascii="Times New Roman" w:hAnsi="Times New Roman"/>
        </w:rPr>
      </w:pPr>
    </w:p>
    <w:p w:rsidRPr="009F0CB5" w:rsidR="000B6330" w:rsidRDefault="00AD5EF7" w14:paraId="48270797" w14:textId="77777777">
      <w:pPr>
        <w:ind w:left="720"/>
        <w:rPr>
          <w:rFonts w:ascii="Times New Roman" w:hAnsi="Times New Roman"/>
        </w:rPr>
      </w:pPr>
      <w:r w:rsidRPr="009F0CB5">
        <w:rPr>
          <w:rFonts w:ascii="Times New Roman" w:hAnsi="Times New Roman"/>
        </w:rPr>
        <w:t xml:space="preserve">IRS </w:t>
      </w:r>
      <w:r w:rsidRPr="009F0CB5" w:rsidR="000B6330">
        <w:rPr>
          <w:rFonts w:ascii="Times New Roman" w:hAnsi="Times New Roman"/>
        </w:rPr>
        <w:t>believe</w:t>
      </w:r>
      <w:r w:rsidRPr="009F0CB5">
        <w:rPr>
          <w:rFonts w:ascii="Times New Roman" w:hAnsi="Times New Roman"/>
        </w:rPr>
        <w:t>s</w:t>
      </w:r>
      <w:r w:rsidRPr="009F0CB5" w:rsidR="000B6330">
        <w:rPr>
          <w:rFonts w:ascii="Times New Roman" w:hAnsi="Times New Roman"/>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9F0CB5" w:rsidR="000B6330" w:rsidRDefault="000B6330" w14:paraId="1C5B0DB7" w14:textId="77777777">
      <w:pPr>
        <w:rPr>
          <w:rFonts w:ascii="Times New Roman" w:hAnsi="Times New Roman"/>
        </w:rPr>
      </w:pPr>
    </w:p>
    <w:p w:rsidRPr="009F0CB5" w:rsidR="000B6330" w:rsidRDefault="000B6330" w14:paraId="6C29E17F" w14:textId="77777777">
      <w:pPr>
        <w:tabs>
          <w:tab w:val="left" w:pos="-1440"/>
        </w:tabs>
        <w:ind w:left="720" w:hanging="720"/>
        <w:rPr>
          <w:rFonts w:ascii="Times New Roman" w:hAnsi="Times New Roman"/>
        </w:rPr>
      </w:pPr>
      <w:r w:rsidRPr="009F0CB5">
        <w:rPr>
          <w:rFonts w:ascii="Times New Roman" w:hAnsi="Times New Roman"/>
        </w:rPr>
        <w:t>18.</w:t>
      </w:r>
      <w:r w:rsidRPr="009F0CB5">
        <w:rPr>
          <w:rFonts w:ascii="Times New Roman" w:hAnsi="Times New Roman"/>
        </w:rPr>
        <w:tab/>
      </w:r>
      <w:r w:rsidRPr="009F0CB5">
        <w:rPr>
          <w:rFonts w:ascii="Times New Roman" w:hAnsi="Times New Roman"/>
          <w:u w:val="single"/>
        </w:rPr>
        <w:t>EXCEPTIONS TO THE CERTIFICATION STATEMENT</w:t>
      </w:r>
    </w:p>
    <w:p w:rsidRPr="009F0CB5" w:rsidR="000B6330" w:rsidRDefault="000B6330" w14:paraId="1DBCB1EF" w14:textId="77777777">
      <w:pPr>
        <w:rPr>
          <w:rFonts w:ascii="Times New Roman" w:hAnsi="Times New Roman"/>
        </w:rPr>
      </w:pPr>
    </w:p>
    <w:p w:rsidRPr="009F0CB5" w:rsidR="000B6330" w:rsidRDefault="00D87B61" w14:paraId="6B02EDC5" w14:textId="77777777">
      <w:pPr>
        <w:ind w:left="720"/>
        <w:rPr>
          <w:rFonts w:ascii="Times New Roman" w:hAnsi="Times New Roman"/>
        </w:rPr>
      </w:pPr>
      <w:r w:rsidRPr="009F0CB5">
        <w:rPr>
          <w:rFonts w:ascii="Times New Roman" w:hAnsi="Times New Roman"/>
        </w:rPr>
        <w:t>There are no exceptions</w:t>
      </w:r>
      <w:r w:rsidRPr="009F0CB5" w:rsidR="000B6330">
        <w:rPr>
          <w:rFonts w:ascii="Times New Roman" w:hAnsi="Times New Roman"/>
        </w:rPr>
        <w:t>.</w:t>
      </w:r>
    </w:p>
    <w:p w:rsidRPr="009F0CB5" w:rsidR="000B6330" w:rsidRDefault="000B6330" w14:paraId="6A689780" w14:textId="77777777">
      <w:pPr>
        <w:rPr>
          <w:rFonts w:ascii="Times New Roman" w:hAnsi="Times New Roman"/>
        </w:rPr>
      </w:pPr>
    </w:p>
    <w:p w:rsidRPr="009F0CB5" w:rsidR="000B6330" w:rsidRDefault="000B6330" w14:paraId="4988E9EF" w14:textId="77777777">
      <w:pPr>
        <w:rPr>
          <w:rFonts w:ascii="Times New Roman" w:hAnsi="Times New Roman"/>
        </w:rPr>
      </w:pPr>
      <w:r w:rsidRPr="009F0CB5">
        <w:rPr>
          <w:rFonts w:ascii="Times New Roman" w:hAnsi="Times New Roman"/>
          <w:b/>
          <w:bCs/>
          <w:u w:val="single"/>
        </w:rPr>
        <w:t>Note:</w:t>
      </w:r>
      <w:r w:rsidRPr="009F0CB5">
        <w:rPr>
          <w:rFonts w:ascii="Times New Roman" w:hAnsi="Times New Roman"/>
          <w:b/>
          <w:bCs/>
        </w:rPr>
        <w:t xml:space="preserve"> </w:t>
      </w:r>
      <w:r w:rsidRPr="009F0CB5">
        <w:rPr>
          <w:rFonts w:ascii="Times New Roman" w:hAnsi="Times New Roman"/>
        </w:rPr>
        <w:t xml:space="preserve">  The following paragraph applies to </w:t>
      </w:r>
      <w:proofErr w:type="gramStart"/>
      <w:r w:rsidRPr="009F0CB5">
        <w:rPr>
          <w:rFonts w:ascii="Times New Roman" w:hAnsi="Times New Roman"/>
        </w:rPr>
        <w:t>all of</w:t>
      </w:r>
      <w:proofErr w:type="gramEnd"/>
      <w:r w:rsidRPr="009F0CB5">
        <w:rPr>
          <w:rFonts w:ascii="Times New Roman" w:hAnsi="Times New Roman"/>
        </w:rPr>
        <w:t xml:space="preserve"> the collections of information in this submission:</w:t>
      </w:r>
    </w:p>
    <w:p w:rsidRPr="009F0CB5" w:rsidR="000B6330" w:rsidRDefault="000B6330" w14:paraId="248346E6" w14:textId="77777777">
      <w:pPr>
        <w:rPr>
          <w:rFonts w:ascii="Times New Roman" w:hAnsi="Times New Roman"/>
        </w:rPr>
      </w:pPr>
    </w:p>
    <w:p w:rsidRPr="009F0CB5" w:rsidR="000B6330" w:rsidRDefault="000B6330" w14:paraId="5B43AD8F" w14:textId="77777777">
      <w:pPr>
        <w:ind w:firstLine="720"/>
        <w:rPr>
          <w:rFonts w:ascii="Times New Roman" w:hAnsi="Times New Roman"/>
        </w:rPr>
      </w:pPr>
      <w:r w:rsidRPr="009F0CB5">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9F0CB5">
        <w:rPr>
          <w:rFonts w:ascii="Times New Roman" w:hAnsi="Times New Roman"/>
        </w:rPr>
        <w:t>as long as</w:t>
      </w:r>
      <w:proofErr w:type="gramEnd"/>
      <w:r w:rsidRPr="009F0CB5">
        <w:rPr>
          <w:rFonts w:ascii="Times New Roman" w:hAnsi="Times New Roman"/>
        </w:rPr>
        <w:t xml:space="preserve"> their contents may become material in the administration of any internal revenue law.  Generally, tax returns and tax return information are confidential, as required by 26 U.S.C. 6103.</w:t>
      </w:r>
    </w:p>
    <w:p w:rsidRPr="00852671" w:rsidR="000B6330" w:rsidRDefault="000B6330" w14:paraId="4E663624" w14:textId="77777777">
      <w:pPr>
        <w:rPr>
          <w:rFonts w:ascii="Calibri" w:hAnsi="Calibri" w:cs="Courier New"/>
          <w:sz w:val="22"/>
          <w:szCs w:val="22"/>
        </w:rPr>
      </w:pPr>
    </w:p>
    <w:p w:rsidRPr="00852671" w:rsidR="000B6330" w:rsidRDefault="000B6330" w14:paraId="4237F232" w14:textId="77777777">
      <w:pPr>
        <w:rPr>
          <w:rFonts w:ascii="Calibri" w:hAnsi="Calibri" w:cs="Shruti"/>
          <w:sz w:val="22"/>
          <w:szCs w:val="22"/>
        </w:rPr>
      </w:pPr>
    </w:p>
    <w:sectPr w:rsidRPr="00852671" w:rsidR="000B6330" w:rsidSect="000B633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2B1E2" w14:textId="77777777" w:rsidR="008268FD" w:rsidRDefault="008268FD">
      <w:r>
        <w:separator/>
      </w:r>
    </w:p>
  </w:endnote>
  <w:endnote w:type="continuationSeparator" w:id="0">
    <w:p w14:paraId="6A367F36" w14:textId="77777777" w:rsidR="008268FD" w:rsidRDefault="0082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35050" w14:textId="77777777" w:rsidR="008268FD" w:rsidRDefault="008268FD">
      <w:r>
        <w:separator/>
      </w:r>
    </w:p>
  </w:footnote>
  <w:footnote w:type="continuationSeparator" w:id="0">
    <w:p w14:paraId="08361DDB" w14:textId="77777777" w:rsidR="008268FD" w:rsidRDefault="0082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55297" w14:textId="77777777" w:rsidR="00B0485F" w:rsidRDefault="00B0485F">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7251AD">
      <w:rPr>
        <w:rFonts w:cs="Courier"/>
        <w:noProof/>
      </w:rPr>
      <w:t>2</w:t>
    </w:r>
    <w:r>
      <w:rPr>
        <w:rFonts w:cs="Courier"/>
      </w:rPr>
      <w:fldChar w:fldCharType="end"/>
    </w:r>
  </w:p>
  <w:p w14:paraId="7CCE62E3" w14:textId="77777777" w:rsidR="00B0485F" w:rsidRDefault="00B0485F"/>
  <w:p w14:paraId="14B49E5F" w14:textId="77777777" w:rsidR="00B0485F" w:rsidRDefault="00B0485F">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6330"/>
    <w:rsid w:val="00035123"/>
    <w:rsid w:val="00063D00"/>
    <w:rsid w:val="000B6330"/>
    <w:rsid w:val="000C1D42"/>
    <w:rsid w:val="00132E90"/>
    <w:rsid w:val="00140C82"/>
    <w:rsid w:val="001761A2"/>
    <w:rsid w:val="001B0514"/>
    <w:rsid w:val="0023085F"/>
    <w:rsid w:val="00233386"/>
    <w:rsid w:val="00271437"/>
    <w:rsid w:val="0027270E"/>
    <w:rsid w:val="003260E2"/>
    <w:rsid w:val="0032747C"/>
    <w:rsid w:val="003C34BB"/>
    <w:rsid w:val="00400A6F"/>
    <w:rsid w:val="00423C8F"/>
    <w:rsid w:val="00484576"/>
    <w:rsid w:val="00490784"/>
    <w:rsid w:val="004C685B"/>
    <w:rsid w:val="005328DF"/>
    <w:rsid w:val="00555E43"/>
    <w:rsid w:val="005814A2"/>
    <w:rsid w:val="00682D2B"/>
    <w:rsid w:val="006B5CC7"/>
    <w:rsid w:val="007251AD"/>
    <w:rsid w:val="00735D2F"/>
    <w:rsid w:val="007960A0"/>
    <w:rsid w:val="007C2F81"/>
    <w:rsid w:val="008268FD"/>
    <w:rsid w:val="00852671"/>
    <w:rsid w:val="00874A30"/>
    <w:rsid w:val="0092401A"/>
    <w:rsid w:val="00962AEC"/>
    <w:rsid w:val="009A0830"/>
    <w:rsid w:val="009E3E50"/>
    <w:rsid w:val="009F0CB5"/>
    <w:rsid w:val="00A14273"/>
    <w:rsid w:val="00AA5388"/>
    <w:rsid w:val="00AB2F73"/>
    <w:rsid w:val="00AB68A3"/>
    <w:rsid w:val="00AD5EF7"/>
    <w:rsid w:val="00AE0454"/>
    <w:rsid w:val="00B0485F"/>
    <w:rsid w:val="00B608B3"/>
    <w:rsid w:val="00CA66AB"/>
    <w:rsid w:val="00D064B3"/>
    <w:rsid w:val="00D87B61"/>
    <w:rsid w:val="00E136DA"/>
    <w:rsid w:val="00E2289B"/>
    <w:rsid w:val="00EB4918"/>
    <w:rsid w:val="00EC02EA"/>
    <w:rsid w:val="00F2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Durbala R Joseph</cp:lastModifiedBy>
  <cp:revision>7</cp:revision>
  <cp:lastPrinted>2005-08-19T14:51:00Z</cp:lastPrinted>
  <dcterms:created xsi:type="dcterms:W3CDTF">2021-02-09T17:34:00Z</dcterms:created>
  <dcterms:modified xsi:type="dcterms:W3CDTF">2021-10-25T18:18:00Z</dcterms:modified>
</cp:coreProperties>
</file>