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75FB" w:rsidR="000B1A00" w:rsidP="00094026" w:rsidRDefault="000B1A00" w14:paraId="3C1D916D" w14:textId="77777777">
      <w:pPr>
        <w:jc w:val="center"/>
        <w:rPr>
          <w:rFonts w:ascii="Arial" w:hAnsi="Arial" w:cs="Arial"/>
          <w:b/>
        </w:rPr>
      </w:pPr>
      <w:r w:rsidRPr="00DD75FB">
        <w:rPr>
          <w:rFonts w:ascii="Arial" w:hAnsi="Arial" w:cs="Arial"/>
          <w:b/>
        </w:rPr>
        <w:t>SUPPORTING STATEMENT</w:t>
      </w:r>
    </w:p>
    <w:p w:rsidRPr="00DD75FB" w:rsidR="006B5BFC" w:rsidP="006B5BFC" w:rsidRDefault="006B5BFC" w14:paraId="5560D7CA" w14:textId="77777777">
      <w:pPr>
        <w:tabs>
          <w:tab w:val="center" w:pos="4680"/>
        </w:tabs>
        <w:jc w:val="center"/>
        <w:rPr>
          <w:rFonts w:ascii="Arial" w:hAnsi="Arial" w:cs="Arial"/>
          <w:bCs/>
        </w:rPr>
      </w:pPr>
      <w:r w:rsidRPr="00DD75FB">
        <w:rPr>
          <w:rFonts w:ascii="Arial" w:hAnsi="Arial" w:cs="Arial"/>
          <w:bCs/>
        </w:rPr>
        <w:t>Internal Revenue Service</w:t>
      </w:r>
    </w:p>
    <w:p w:rsidRPr="00DD75FB" w:rsidR="006B5BFC" w:rsidP="00094026" w:rsidRDefault="006B5BFC" w14:paraId="7F434E60" w14:textId="7D9C437D">
      <w:pPr>
        <w:jc w:val="center"/>
        <w:rPr>
          <w:rFonts w:ascii="Arial" w:hAnsi="Arial" w:cs="Arial"/>
          <w:bCs/>
        </w:rPr>
      </w:pPr>
      <w:r w:rsidRPr="00DD75FB">
        <w:rPr>
          <w:rFonts w:ascii="Arial" w:hAnsi="Arial" w:cs="Arial"/>
          <w:bCs/>
        </w:rPr>
        <w:t>Statement of Specified Foreign Financial Assets</w:t>
      </w:r>
    </w:p>
    <w:p w:rsidRPr="00DD75FB" w:rsidR="000B1A00" w:rsidP="00DD75FB" w:rsidRDefault="00094026" w14:paraId="5422AB97" w14:textId="26D3F481">
      <w:pPr>
        <w:jc w:val="center"/>
        <w:rPr>
          <w:rFonts w:ascii="Arial" w:hAnsi="Arial" w:cs="Arial"/>
          <w:bCs/>
        </w:rPr>
      </w:pPr>
      <w:r w:rsidRPr="00DD75FB">
        <w:rPr>
          <w:rFonts w:ascii="Arial" w:hAnsi="Arial" w:cs="Arial"/>
          <w:bCs/>
        </w:rPr>
        <w:t>OMB</w:t>
      </w:r>
      <w:r w:rsidRPr="00DD75FB" w:rsidR="00F90551">
        <w:rPr>
          <w:rFonts w:ascii="Arial" w:hAnsi="Arial" w:cs="Arial"/>
          <w:bCs/>
        </w:rPr>
        <w:t>#</w:t>
      </w:r>
      <w:r w:rsidR="001A61B2">
        <w:rPr>
          <w:rFonts w:ascii="Arial" w:hAnsi="Arial" w:cs="Arial"/>
          <w:bCs/>
        </w:rPr>
        <w:t xml:space="preserve"> </w:t>
      </w:r>
      <w:r w:rsidRPr="00DD75FB">
        <w:rPr>
          <w:rFonts w:ascii="Arial" w:hAnsi="Arial" w:cs="Arial"/>
          <w:b/>
        </w:rPr>
        <w:t>1545-2195</w:t>
      </w:r>
    </w:p>
    <w:p w:rsidRPr="00DD75FB" w:rsidR="000B1A00" w:rsidRDefault="000B1A00" w14:paraId="511D9D4A" w14:textId="77777777">
      <w:pPr>
        <w:rPr>
          <w:rFonts w:ascii="Arial" w:hAnsi="Arial" w:cs="Arial"/>
          <w:b/>
          <w:bCs/>
        </w:rPr>
      </w:pPr>
    </w:p>
    <w:p w:rsidRPr="00DD75FB" w:rsidR="000B1A00" w:rsidP="00094026" w:rsidRDefault="000B1A00" w14:paraId="78280D20" w14:textId="77777777">
      <w:pPr>
        <w:pStyle w:val="Level1"/>
        <w:rPr>
          <w:rFonts w:ascii="Arial" w:hAnsi="Arial" w:cs="Arial"/>
        </w:rPr>
      </w:pPr>
      <w:r w:rsidRPr="00DD75FB">
        <w:rPr>
          <w:rFonts w:ascii="Arial" w:hAnsi="Arial" w:cs="Arial"/>
          <w:u w:val="single"/>
        </w:rPr>
        <w:t>CIRCUMSTANCES NECESSITATING COLLECTION OF INFORMATION</w:t>
      </w:r>
    </w:p>
    <w:p w:rsidRPr="00DD75FB" w:rsidR="00E832FF" w:rsidP="00094026" w:rsidRDefault="00E832FF" w14:paraId="338C7E62" w14:textId="77777777">
      <w:pPr>
        <w:pStyle w:val="Level1"/>
        <w:numPr>
          <w:ilvl w:val="0"/>
          <w:numId w:val="0"/>
        </w:numPr>
        <w:ind w:left="720"/>
        <w:rPr>
          <w:rFonts w:ascii="Arial" w:hAnsi="Arial" w:cs="Arial"/>
        </w:rPr>
      </w:pPr>
    </w:p>
    <w:p w:rsidR="000B1A00" w:rsidP="00E832FF" w:rsidRDefault="001A61B2" w14:paraId="2FD955E3" w14:textId="3F7214D1">
      <w:pPr>
        <w:ind w:left="720"/>
        <w:rPr>
          <w:rFonts w:ascii="Arial" w:hAnsi="Arial" w:cs="Arial"/>
        </w:rPr>
      </w:pPr>
      <w:r w:rsidRPr="001A61B2">
        <w:rPr>
          <w:rFonts w:ascii="Arial" w:hAnsi="Arial" w:cs="Arial"/>
        </w:rPr>
        <w:t xml:space="preserve">Form 8938 was developed to comply with </w:t>
      </w:r>
      <w:r w:rsidR="006A7CC4">
        <w:rPr>
          <w:rFonts w:ascii="Arial" w:hAnsi="Arial" w:cs="Arial"/>
        </w:rPr>
        <w:t xml:space="preserve">the Internal Revenue Code </w:t>
      </w:r>
      <w:r w:rsidRPr="001A61B2">
        <w:rPr>
          <w:rFonts w:ascii="Arial" w:hAnsi="Arial" w:cs="Arial"/>
        </w:rPr>
        <w:t>section 6038D to Report Foreign Financial Assets</w:t>
      </w:r>
      <w:r w:rsidRPr="00DD75FB" w:rsidR="00AC1441">
        <w:rPr>
          <w:rFonts w:ascii="Arial" w:hAnsi="Arial" w:cs="Arial"/>
        </w:rPr>
        <w:t>.</w:t>
      </w:r>
    </w:p>
    <w:p w:rsidR="001A61B2" w:rsidP="00E832FF" w:rsidRDefault="001A61B2" w14:paraId="20564E8C" w14:textId="2A1026E1">
      <w:pPr>
        <w:ind w:left="720"/>
        <w:rPr>
          <w:rFonts w:ascii="Arial" w:hAnsi="Arial" w:cs="Arial"/>
        </w:rPr>
      </w:pPr>
    </w:p>
    <w:p w:rsidRPr="001A61B2" w:rsidR="001A61B2" w:rsidP="001A61B2" w:rsidRDefault="001A61B2" w14:paraId="63D7C823" w14:textId="237DBEF7">
      <w:pPr>
        <w:ind w:left="720"/>
        <w:rPr>
          <w:rFonts w:ascii="Arial" w:hAnsi="Arial" w:cs="Arial"/>
        </w:rPr>
      </w:pPr>
      <w:r>
        <w:rPr>
          <w:rFonts w:ascii="Arial" w:hAnsi="Arial" w:cs="Arial"/>
        </w:rPr>
        <w:t xml:space="preserve">Taxpayers use </w:t>
      </w:r>
      <w:r w:rsidRPr="001A61B2">
        <w:rPr>
          <w:rFonts w:ascii="Arial" w:hAnsi="Arial" w:cs="Arial"/>
        </w:rPr>
        <w:t>Form 8938 to report specified</w:t>
      </w:r>
      <w:r>
        <w:rPr>
          <w:rFonts w:ascii="Arial" w:hAnsi="Arial" w:cs="Arial"/>
        </w:rPr>
        <w:t xml:space="preserve"> </w:t>
      </w:r>
      <w:r w:rsidRPr="001A61B2">
        <w:rPr>
          <w:rFonts w:ascii="Arial" w:hAnsi="Arial" w:cs="Arial"/>
        </w:rPr>
        <w:t>foreign financial assets if the total value</w:t>
      </w:r>
      <w:r>
        <w:rPr>
          <w:rFonts w:ascii="Arial" w:hAnsi="Arial" w:cs="Arial"/>
        </w:rPr>
        <w:t xml:space="preserve"> </w:t>
      </w:r>
      <w:r w:rsidRPr="001A61B2">
        <w:rPr>
          <w:rFonts w:ascii="Arial" w:hAnsi="Arial" w:cs="Arial"/>
        </w:rPr>
        <w:t>of all the specified foreign financial</w:t>
      </w:r>
      <w:r>
        <w:rPr>
          <w:rFonts w:ascii="Arial" w:hAnsi="Arial" w:cs="Arial"/>
        </w:rPr>
        <w:t xml:space="preserve"> </w:t>
      </w:r>
      <w:r w:rsidRPr="001A61B2">
        <w:rPr>
          <w:rFonts w:ascii="Arial" w:hAnsi="Arial" w:cs="Arial"/>
        </w:rPr>
        <w:t xml:space="preserve">assets in which </w:t>
      </w:r>
      <w:r>
        <w:rPr>
          <w:rFonts w:ascii="Arial" w:hAnsi="Arial" w:cs="Arial"/>
        </w:rPr>
        <w:t>they</w:t>
      </w:r>
      <w:r w:rsidRPr="001A61B2">
        <w:rPr>
          <w:rFonts w:ascii="Arial" w:hAnsi="Arial" w:cs="Arial"/>
        </w:rPr>
        <w:t xml:space="preserve"> have an interest is</w:t>
      </w:r>
    </w:p>
    <w:p w:rsidRPr="00DD75FB" w:rsidR="001A61B2" w:rsidP="001A61B2" w:rsidRDefault="001A61B2" w14:paraId="48B04D4B" w14:textId="55E5E133">
      <w:pPr>
        <w:ind w:left="720"/>
        <w:rPr>
          <w:rFonts w:ascii="Arial" w:hAnsi="Arial" w:cs="Arial"/>
        </w:rPr>
      </w:pPr>
      <w:r w:rsidRPr="001A61B2">
        <w:rPr>
          <w:rFonts w:ascii="Arial" w:hAnsi="Arial" w:cs="Arial"/>
        </w:rPr>
        <w:t>more than the appropriate reporting</w:t>
      </w:r>
      <w:r>
        <w:rPr>
          <w:rFonts w:ascii="Arial" w:hAnsi="Arial" w:cs="Arial"/>
        </w:rPr>
        <w:t xml:space="preserve"> </w:t>
      </w:r>
      <w:r w:rsidRPr="001A61B2">
        <w:rPr>
          <w:rFonts w:ascii="Arial" w:hAnsi="Arial" w:cs="Arial"/>
        </w:rPr>
        <w:t>threshold.</w:t>
      </w:r>
      <w:r>
        <w:rPr>
          <w:rFonts w:ascii="Arial" w:hAnsi="Arial" w:cs="Arial"/>
        </w:rPr>
        <w:t xml:space="preserve"> </w:t>
      </w:r>
    </w:p>
    <w:p w:rsidRPr="00DD75FB" w:rsidR="00C05E7A" w:rsidP="00094026" w:rsidRDefault="00C05E7A" w14:paraId="3FC0A89A" w14:textId="77777777">
      <w:pPr>
        <w:pStyle w:val="PlainText"/>
        <w:widowControl w:val="0"/>
        <w:rPr>
          <w:rFonts w:ascii="Arial" w:hAnsi="Arial" w:cs="Arial"/>
          <w:sz w:val="24"/>
          <w:szCs w:val="24"/>
        </w:rPr>
      </w:pPr>
    </w:p>
    <w:p w:rsidRPr="00DD75FB" w:rsidR="000B1A00" w:rsidRDefault="000B1A00" w14:paraId="5D10EC31" w14:textId="77777777">
      <w:pPr>
        <w:pStyle w:val="Level1"/>
        <w:tabs>
          <w:tab w:val="left" w:pos="-1440"/>
          <w:tab w:val="num" w:pos="720"/>
        </w:tabs>
        <w:rPr>
          <w:rFonts w:ascii="Arial" w:hAnsi="Arial" w:cs="Arial"/>
        </w:rPr>
      </w:pPr>
      <w:r w:rsidRPr="00DD75FB">
        <w:rPr>
          <w:rFonts w:ascii="Arial" w:hAnsi="Arial" w:cs="Arial"/>
          <w:u w:val="single"/>
        </w:rPr>
        <w:t>USE OF DATA</w:t>
      </w:r>
    </w:p>
    <w:p w:rsidRPr="00DD75FB" w:rsidR="000B1A00" w:rsidP="00E832FF" w:rsidRDefault="000B1A00" w14:paraId="6D42023E" w14:textId="77777777">
      <w:pPr>
        <w:ind w:left="720"/>
        <w:rPr>
          <w:rFonts w:ascii="Arial" w:hAnsi="Arial" w:cs="Arial"/>
        </w:rPr>
      </w:pPr>
    </w:p>
    <w:p w:rsidRPr="00DD75FB" w:rsidR="008040CF" w:rsidP="008040CF" w:rsidRDefault="008040CF" w14:paraId="185CFAB0" w14:textId="77777777">
      <w:pPr>
        <w:ind w:left="720"/>
        <w:rPr>
          <w:rFonts w:ascii="Arial" w:hAnsi="Arial" w:cs="Arial"/>
        </w:rPr>
      </w:pPr>
      <w:r w:rsidRPr="00DD75FB">
        <w:rPr>
          <w:rFonts w:ascii="Arial" w:hAnsi="Arial" w:cs="Arial"/>
        </w:rPr>
        <w:t>The IRS will use the information to determine whether to audit this taxpayer or transaction, including whether to impose penalties.  The information is also required to begin the running of the statute of limitations under section 6501.</w:t>
      </w:r>
    </w:p>
    <w:p w:rsidRPr="00DD75FB" w:rsidR="000B1A00" w:rsidP="00A210A5" w:rsidRDefault="000B1A00" w14:paraId="4209F6A6" w14:textId="77777777">
      <w:pPr>
        <w:rPr>
          <w:rFonts w:ascii="Arial" w:hAnsi="Arial" w:cs="Arial"/>
        </w:rPr>
      </w:pPr>
    </w:p>
    <w:p w:rsidRPr="00DD75FB" w:rsidR="000B1A00" w:rsidP="00A210A5" w:rsidRDefault="000B1A00" w14:paraId="13480770" w14:textId="77777777">
      <w:pPr>
        <w:pStyle w:val="Level1"/>
        <w:rPr>
          <w:rFonts w:ascii="Arial" w:hAnsi="Arial" w:cs="Arial"/>
        </w:rPr>
      </w:pPr>
      <w:r w:rsidRPr="00DD75FB">
        <w:rPr>
          <w:rFonts w:ascii="Arial" w:hAnsi="Arial" w:cs="Arial"/>
          <w:u w:val="single"/>
        </w:rPr>
        <w:t>USE OF IMPROVED INFORMATION TECHNOLOGY TO REDUCE BURDEN</w:t>
      </w:r>
    </w:p>
    <w:p w:rsidRPr="00DD75FB" w:rsidR="000B1A00" w:rsidRDefault="000B1A00" w14:paraId="4D5211F4" w14:textId="77777777">
      <w:pPr>
        <w:rPr>
          <w:rFonts w:ascii="Arial" w:hAnsi="Arial" w:cs="Arial"/>
        </w:rPr>
      </w:pPr>
    </w:p>
    <w:p w:rsidRPr="00DD75FB" w:rsidR="00E832FF" w:rsidP="00E832FF" w:rsidRDefault="00E832FF" w14:paraId="6087954E" w14:textId="77777777">
      <w:pPr>
        <w:ind w:left="720"/>
        <w:rPr>
          <w:rFonts w:ascii="Arial" w:hAnsi="Arial" w:cs="Arial"/>
        </w:rPr>
      </w:pPr>
      <w:r w:rsidRPr="00DD75FB">
        <w:rPr>
          <w:rFonts w:ascii="Arial" w:hAnsi="Arial" w:cs="Arial"/>
        </w:rPr>
        <w:t>IRS Publications, Regulations, Notices and Letters are to be electronically enabled on an as practicable basis in accordance with the IRS Reform and Restructuring Act of 1998.</w:t>
      </w:r>
      <w:r w:rsidRPr="00DD75FB" w:rsidR="00EA7D18">
        <w:rPr>
          <w:rFonts w:ascii="Arial" w:hAnsi="Arial" w:cs="Arial"/>
        </w:rPr>
        <w:t xml:space="preserve"> Electronic filing of Form 8938 is currently available.</w:t>
      </w:r>
    </w:p>
    <w:p w:rsidRPr="00DD75FB" w:rsidR="00500942" w:rsidP="003A6453" w:rsidRDefault="00500942" w14:paraId="4C77BF1B" w14:textId="77777777">
      <w:pPr>
        <w:rPr>
          <w:rFonts w:ascii="Arial" w:hAnsi="Arial" w:cs="Arial"/>
        </w:rPr>
      </w:pPr>
    </w:p>
    <w:p w:rsidRPr="00DD75FB" w:rsidR="000B1A00" w:rsidP="00A210A5" w:rsidRDefault="000B1A00" w14:paraId="28EB4C9F" w14:textId="77777777">
      <w:pPr>
        <w:pStyle w:val="Level1"/>
        <w:rPr>
          <w:rFonts w:ascii="Arial" w:hAnsi="Arial" w:cs="Arial"/>
        </w:rPr>
      </w:pPr>
      <w:r w:rsidRPr="00DD75FB">
        <w:rPr>
          <w:rFonts w:ascii="Arial" w:hAnsi="Arial" w:cs="Arial"/>
          <w:u w:val="single"/>
        </w:rPr>
        <w:t>EFFORTS TO IDENTIFY DUPLICATION</w:t>
      </w:r>
    </w:p>
    <w:p w:rsidRPr="00DD75FB" w:rsidR="000B1A00" w:rsidRDefault="000B1A00" w14:paraId="65E7331F" w14:textId="77777777">
      <w:pPr>
        <w:rPr>
          <w:rFonts w:ascii="Arial" w:hAnsi="Arial" w:cs="Arial"/>
        </w:rPr>
      </w:pPr>
    </w:p>
    <w:p w:rsidRPr="00DD75FB" w:rsidR="007321C3" w:rsidP="007321C3" w:rsidRDefault="007321C3" w14:paraId="71A1116A" w14:textId="77777777">
      <w:pPr>
        <w:ind w:left="720"/>
        <w:rPr>
          <w:rFonts w:ascii="Arial" w:hAnsi="Arial" w:cs="Arial"/>
        </w:rPr>
      </w:pPr>
      <w:r w:rsidRPr="00DD75FB">
        <w:rPr>
          <w:rFonts w:ascii="Arial" w:hAnsi="Arial" w:cs="Arial"/>
          <w:iCs/>
        </w:rPr>
        <w:t>The information obtained through this collection is unique and is not already available for use or adaptation from another source.</w:t>
      </w:r>
    </w:p>
    <w:p w:rsidRPr="00DD75FB" w:rsidR="000B1A00" w:rsidRDefault="000B1A00" w14:paraId="4B25F197" w14:textId="77777777">
      <w:pPr>
        <w:rPr>
          <w:rFonts w:ascii="Arial" w:hAnsi="Arial" w:cs="Arial"/>
        </w:rPr>
      </w:pPr>
    </w:p>
    <w:p w:rsidRPr="00DD75FB" w:rsidR="000B1A00" w:rsidP="00A210A5" w:rsidRDefault="000B1A00" w14:paraId="09B1FEDB" w14:textId="77777777">
      <w:pPr>
        <w:pStyle w:val="Level1"/>
        <w:rPr>
          <w:rFonts w:ascii="Arial" w:hAnsi="Arial" w:cs="Arial"/>
        </w:rPr>
      </w:pPr>
      <w:r w:rsidRPr="00DD75FB">
        <w:rPr>
          <w:rFonts w:ascii="Arial" w:hAnsi="Arial" w:cs="Arial"/>
          <w:u w:val="single"/>
        </w:rPr>
        <w:t>METHODS TO MINIMIZE BURDEN ON SMALL BUSINESSES OR OTHER</w:t>
      </w:r>
      <w:r w:rsidRPr="00DD75FB" w:rsidR="00C05E7A">
        <w:rPr>
          <w:rFonts w:ascii="Arial" w:hAnsi="Arial" w:cs="Arial"/>
        </w:rPr>
        <w:t xml:space="preserve">    </w:t>
      </w:r>
      <w:r w:rsidRPr="00DD75FB">
        <w:rPr>
          <w:rFonts w:ascii="Arial" w:hAnsi="Arial" w:cs="Arial"/>
          <w:u w:val="single"/>
        </w:rPr>
        <w:t>SMALL ENTITIES</w:t>
      </w:r>
    </w:p>
    <w:p w:rsidRPr="00DD75FB" w:rsidR="000B1A00" w:rsidRDefault="000B1A00" w14:paraId="0C8AD89A" w14:textId="77777777">
      <w:pPr>
        <w:rPr>
          <w:rFonts w:ascii="Arial" w:hAnsi="Arial" w:cs="Arial"/>
        </w:rPr>
      </w:pPr>
    </w:p>
    <w:p w:rsidRPr="00DD75FB" w:rsidR="006B5BFC" w:rsidP="006B5BFC" w:rsidRDefault="006B5BFC" w14:paraId="45A43289" w14:textId="77777777">
      <w:pPr>
        <w:ind w:left="720"/>
        <w:jc w:val="both"/>
        <w:rPr>
          <w:rFonts w:ascii="Arial" w:hAnsi="Arial" w:cs="Arial"/>
        </w:rPr>
      </w:pPr>
      <w:r w:rsidRPr="00DD75FB">
        <w:rPr>
          <w:rFonts w:ascii="Arial" w:hAnsi="Arial" w:cs="Arial"/>
        </w:rPr>
        <w:t>Small businesses should not be disadvantaged as the form has been structured to request the least amount of information and still satisfy the requirements of the statute and the needs of the Service.</w:t>
      </w:r>
    </w:p>
    <w:p w:rsidRPr="00DD75FB" w:rsidR="00051A51" w:rsidRDefault="00051A51" w14:paraId="47337A26" w14:textId="77777777">
      <w:pPr>
        <w:rPr>
          <w:rFonts w:ascii="Arial" w:hAnsi="Arial" w:cs="Arial"/>
        </w:rPr>
      </w:pPr>
    </w:p>
    <w:p w:rsidRPr="00DD75FB" w:rsidR="000B1A00" w:rsidP="00A210A5" w:rsidRDefault="000B1A00" w14:paraId="1CE1EF7B" w14:textId="77777777">
      <w:pPr>
        <w:pStyle w:val="Level1"/>
        <w:rPr>
          <w:rFonts w:ascii="Arial" w:hAnsi="Arial" w:cs="Arial"/>
        </w:rPr>
      </w:pPr>
      <w:r w:rsidRPr="00DD75FB">
        <w:rPr>
          <w:rFonts w:ascii="Arial" w:hAnsi="Arial" w:cs="Arial"/>
          <w:u w:val="single"/>
        </w:rPr>
        <w:t>CONSEQUENCES OF LESS FREQUENT COLLECTION ON FEDERAL PROGRAMS OR POLICY ACTIVITIES</w:t>
      </w:r>
    </w:p>
    <w:p w:rsidRPr="00DD75FB" w:rsidR="000B1A00" w:rsidRDefault="000B1A00" w14:paraId="22ACF5D6" w14:textId="77777777">
      <w:pPr>
        <w:rPr>
          <w:rFonts w:ascii="Arial" w:hAnsi="Arial" w:cs="Arial"/>
        </w:rPr>
      </w:pPr>
    </w:p>
    <w:p w:rsidRPr="00DD75FB" w:rsidR="006B5BFC" w:rsidP="006B5BFC" w:rsidRDefault="00F90551" w14:paraId="605FD667" w14:textId="77777777">
      <w:pPr>
        <w:ind w:left="720"/>
        <w:rPr>
          <w:rFonts w:ascii="Arial" w:hAnsi="Arial" w:cs="Arial"/>
        </w:rPr>
      </w:pPr>
      <w:r w:rsidRPr="00DD75FB">
        <w:rPr>
          <w:rFonts w:ascii="Arial" w:hAnsi="Arial" w:cs="Arial"/>
        </w:rPr>
        <w:t xml:space="preserve">A less frequent collection of this information would not allow the IRS </w:t>
      </w:r>
      <w:r w:rsidRPr="00DD75FB" w:rsidR="006B5BFC">
        <w:rPr>
          <w:rFonts w:ascii="Arial" w:hAnsi="Arial" w:cs="Arial"/>
        </w:rPr>
        <w:t xml:space="preserve">to determine whether to audit this taxpayer or transaction, including whether to impose penalties.  The information is also required to begin the running of the statute of </w:t>
      </w:r>
      <w:r w:rsidRPr="00DD75FB" w:rsidR="006B5BFC">
        <w:rPr>
          <w:rFonts w:ascii="Arial" w:hAnsi="Arial" w:cs="Arial"/>
        </w:rPr>
        <w:lastRenderedPageBreak/>
        <w:t>limitations under section 6501.</w:t>
      </w:r>
    </w:p>
    <w:p w:rsidRPr="00DD75FB" w:rsidR="00DD75FB" w:rsidRDefault="00DD75FB" w14:paraId="5373867E" w14:textId="77777777">
      <w:pPr>
        <w:rPr>
          <w:rFonts w:ascii="Arial" w:hAnsi="Arial" w:cs="Arial"/>
        </w:rPr>
      </w:pPr>
    </w:p>
    <w:p w:rsidRPr="00DD75FB" w:rsidR="000B1A00" w:rsidP="00A210A5" w:rsidRDefault="000B1A00" w14:paraId="11FB621F" w14:textId="77777777">
      <w:pPr>
        <w:pStyle w:val="Level1"/>
        <w:rPr>
          <w:rFonts w:ascii="Arial" w:hAnsi="Arial" w:cs="Arial"/>
        </w:rPr>
      </w:pPr>
      <w:r w:rsidRPr="00DD75FB">
        <w:rPr>
          <w:rFonts w:ascii="Arial" w:hAnsi="Arial" w:cs="Arial"/>
          <w:u w:val="single"/>
        </w:rPr>
        <w:t>SPECIAL CIRCUMSTANCES REQUIRING DATA COLLECTION TO BE</w:t>
      </w:r>
      <w:r w:rsidRPr="00DD75FB">
        <w:rPr>
          <w:rFonts w:ascii="Arial" w:hAnsi="Arial" w:cs="Arial"/>
        </w:rPr>
        <w:t xml:space="preserve"> </w:t>
      </w:r>
      <w:r w:rsidRPr="00DD75FB">
        <w:rPr>
          <w:rFonts w:ascii="Arial" w:hAnsi="Arial" w:cs="Arial"/>
          <w:u w:val="single"/>
        </w:rPr>
        <w:t>INCONSISTENT WITH GUIDELINES IN 5 CFR 1320.5(d)(2)</w:t>
      </w:r>
    </w:p>
    <w:p w:rsidRPr="00DD75FB" w:rsidR="000B1A00" w:rsidRDefault="000B1A00" w14:paraId="73F00AA3" w14:textId="77777777">
      <w:pPr>
        <w:rPr>
          <w:rFonts w:ascii="Arial" w:hAnsi="Arial" w:cs="Arial"/>
        </w:rPr>
      </w:pPr>
    </w:p>
    <w:p w:rsidRPr="00DD75FB" w:rsidR="00A9406B" w:rsidP="00A9406B" w:rsidRDefault="00A9406B" w14:paraId="5AD50513" w14:textId="77777777">
      <w:pPr>
        <w:ind w:left="720"/>
        <w:rPr>
          <w:rFonts w:ascii="Arial" w:hAnsi="Arial" w:cs="Arial"/>
        </w:rPr>
      </w:pPr>
      <w:r w:rsidRPr="00DD75FB">
        <w:rPr>
          <w:rFonts w:ascii="Arial" w:hAnsi="Arial" w:cs="Arial"/>
        </w:rPr>
        <w:t xml:space="preserve">There are no special circumstances requiring data collection to be inconsistent with Guidelines in 5 CFR 1320.5(d)(2). </w:t>
      </w:r>
    </w:p>
    <w:p w:rsidRPr="00DD75FB" w:rsidR="000B1A00" w:rsidRDefault="000B1A00" w14:paraId="39309F77" w14:textId="77777777">
      <w:pPr>
        <w:rPr>
          <w:rFonts w:ascii="Arial" w:hAnsi="Arial" w:cs="Arial"/>
        </w:rPr>
      </w:pPr>
    </w:p>
    <w:p w:rsidRPr="00DD75FB" w:rsidR="000B1A00" w:rsidP="00A210A5" w:rsidRDefault="000B1A00" w14:paraId="196271D9" w14:textId="77777777">
      <w:pPr>
        <w:pStyle w:val="Level1"/>
        <w:rPr>
          <w:rFonts w:ascii="Arial" w:hAnsi="Arial" w:cs="Arial"/>
        </w:rPr>
      </w:pPr>
      <w:r w:rsidRPr="00DD75FB">
        <w:rPr>
          <w:rFonts w:ascii="Arial" w:hAnsi="Arial" w:cs="Arial"/>
          <w:u w:val="single"/>
        </w:rPr>
        <w:t>CONSULTATION WITH INDIVIDUALS OUTSIDE OF THE AGENCY ON</w:t>
      </w:r>
      <w:r w:rsidRPr="00DD75FB">
        <w:rPr>
          <w:rFonts w:ascii="Arial" w:hAnsi="Arial" w:cs="Arial"/>
        </w:rPr>
        <w:t xml:space="preserve"> </w:t>
      </w:r>
      <w:r w:rsidRPr="00DD75FB">
        <w:rPr>
          <w:rFonts w:ascii="Arial" w:hAnsi="Arial" w:cs="Arial"/>
          <w:u w:val="single"/>
        </w:rPr>
        <w:t>AVAILABILITY OF DATA, FREQUENCY OF COLLECTION, CLARITY OF INSTRUCTIONS AND FORMS, AND DATA ELEMENTS</w:t>
      </w:r>
    </w:p>
    <w:p w:rsidRPr="00DD75FB" w:rsidR="000B1A00" w:rsidRDefault="000B1A00" w14:paraId="70B64E99" w14:textId="77777777">
      <w:pPr>
        <w:rPr>
          <w:rFonts w:ascii="Arial" w:hAnsi="Arial" w:cs="Arial"/>
        </w:rPr>
      </w:pPr>
    </w:p>
    <w:p w:rsidRPr="00DD75FB" w:rsidR="00051A51" w:rsidP="00051A51" w:rsidRDefault="00051A51" w14:paraId="1CF22956" w14:textId="77777777">
      <w:pPr>
        <w:tabs>
          <w:tab w:val="center" w:pos="4680"/>
        </w:tabs>
        <w:ind w:left="720"/>
        <w:rPr>
          <w:rFonts w:ascii="Arial" w:hAnsi="Arial" w:cs="Arial"/>
        </w:rPr>
      </w:pPr>
      <w:r w:rsidRPr="00DD75FB">
        <w:rPr>
          <w:rFonts w:ascii="Arial" w:hAnsi="Arial" w:cs="Arial"/>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w:t>
      </w:r>
    </w:p>
    <w:p w:rsidRPr="00DD75FB" w:rsidR="00051A51" w:rsidP="00051A51" w:rsidRDefault="00051A51" w14:paraId="1128957F" w14:textId="77777777">
      <w:pPr>
        <w:ind w:left="720"/>
        <w:rPr>
          <w:rFonts w:ascii="Arial" w:hAnsi="Arial" w:cs="Arial"/>
        </w:rPr>
      </w:pPr>
    </w:p>
    <w:p w:rsidRPr="00DD75FB" w:rsidR="00B62707" w:rsidP="00A9406B" w:rsidRDefault="008040CF" w14:paraId="5CFBE707" w14:textId="232BEB51">
      <w:pPr>
        <w:tabs>
          <w:tab w:val="center" w:pos="4680"/>
        </w:tabs>
        <w:ind w:left="720"/>
        <w:rPr>
          <w:rFonts w:ascii="Arial" w:hAnsi="Arial" w:cs="Arial"/>
        </w:rPr>
      </w:pPr>
      <w:r w:rsidRPr="00DD75FB">
        <w:rPr>
          <w:rFonts w:ascii="Arial" w:hAnsi="Arial" w:cs="Arial"/>
        </w:rPr>
        <w:t>In response to the Federal Register</w:t>
      </w:r>
      <w:r w:rsidRPr="00DD75FB" w:rsidR="00094026">
        <w:rPr>
          <w:rFonts w:ascii="Arial" w:hAnsi="Arial" w:cs="Arial"/>
        </w:rPr>
        <w:t xml:space="preserve"> n</w:t>
      </w:r>
      <w:r w:rsidRPr="00DD75FB">
        <w:rPr>
          <w:rFonts w:ascii="Arial" w:hAnsi="Arial" w:cs="Arial"/>
        </w:rPr>
        <w:t xml:space="preserve">otice dated </w:t>
      </w:r>
      <w:r w:rsidR="001A61B2">
        <w:rPr>
          <w:rFonts w:ascii="Arial" w:hAnsi="Arial" w:cs="Arial"/>
        </w:rPr>
        <w:t xml:space="preserve">August </w:t>
      </w:r>
      <w:r w:rsidR="006A7CC4">
        <w:rPr>
          <w:rFonts w:ascii="Arial" w:hAnsi="Arial" w:cs="Arial"/>
        </w:rPr>
        <w:t>26</w:t>
      </w:r>
      <w:r w:rsidR="001A61B2">
        <w:rPr>
          <w:rFonts w:ascii="Arial" w:hAnsi="Arial" w:cs="Arial"/>
        </w:rPr>
        <w:t xml:space="preserve">, 2021, </w:t>
      </w:r>
      <w:r w:rsidRPr="00DD75FB" w:rsidR="00A9406B">
        <w:rPr>
          <w:rFonts w:ascii="Arial" w:hAnsi="Arial" w:cs="Arial"/>
        </w:rPr>
        <w:t>(8</w:t>
      </w:r>
      <w:r w:rsidR="001A61B2">
        <w:rPr>
          <w:rFonts w:ascii="Arial" w:hAnsi="Arial" w:cs="Arial"/>
        </w:rPr>
        <w:t>6</w:t>
      </w:r>
      <w:r w:rsidRPr="00DD75FB" w:rsidR="00A9406B">
        <w:rPr>
          <w:rFonts w:ascii="Arial" w:hAnsi="Arial" w:cs="Arial"/>
        </w:rPr>
        <w:t xml:space="preserve"> </w:t>
      </w:r>
      <w:r w:rsidRPr="00DD75FB">
        <w:rPr>
          <w:rFonts w:ascii="Arial" w:hAnsi="Arial" w:cs="Arial"/>
        </w:rPr>
        <w:t xml:space="preserve">FR </w:t>
      </w:r>
      <w:r w:rsidR="006A7CC4">
        <w:rPr>
          <w:rFonts w:ascii="Arial" w:hAnsi="Arial" w:cs="Arial"/>
        </w:rPr>
        <w:t>47741</w:t>
      </w:r>
      <w:r w:rsidRPr="00DD75FB" w:rsidR="00A9406B">
        <w:rPr>
          <w:rFonts w:ascii="Arial" w:hAnsi="Arial" w:cs="Arial"/>
        </w:rPr>
        <w:t>)</w:t>
      </w:r>
      <w:r w:rsidRPr="00DD75FB">
        <w:rPr>
          <w:rFonts w:ascii="Arial" w:hAnsi="Arial" w:cs="Arial"/>
        </w:rPr>
        <w:t>,</w:t>
      </w:r>
      <w:r w:rsidRPr="00DD75FB" w:rsidR="00A9406B">
        <w:rPr>
          <w:rFonts w:ascii="Arial" w:hAnsi="Arial" w:cs="Arial"/>
        </w:rPr>
        <w:t xml:space="preserve"> we receive</w:t>
      </w:r>
      <w:r w:rsidRPr="00DD75FB" w:rsidR="00F90551">
        <w:rPr>
          <w:rFonts w:ascii="Arial" w:hAnsi="Arial" w:cs="Arial"/>
        </w:rPr>
        <w:t xml:space="preserve">d no </w:t>
      </w:r>
      <w:r w:rsidRPr="00DD75FB" w:rsidR="00A9406B">
        <w:rPr>
          <w:rFonts w:ascii="Arial" w:hAnsi="Arial" w:cs="Arial"/>
        </w:rPr>
        <w:t xml:space="preserve">comments </w:t>
      </w:r>
      <w:r w:rsidRPr="00DD75FB" w:rsidR="00F90551">
        <w:rPr>
          <w:rFonts w:ascii="Arial" w:hAnsi="Arial" w:cs="Arial"/>
        </w:rPr>
        <w:t xml:space="preserve">during the comment period </w:t>
      </w:r>
      <w:r w:rsidRPr="00DD75FB" w:rsidR="00A9406B">
        <w:rPr>
          <w:rFonts w:ascii="Arial" w:hAnsi="Arial" w:cs="Arial"/>
        </w:rPr>
        <w:t>regarding Form 8938.</w:t>
      </w:r>
      <w:r w:rsidRPr="00DD75FB">
        <w:rPr>
          <w:rFonts w:ascii="Arial" w:hAnsi="Arial" w:cs="Arial"/>
        </w:rPr>
        <w:t xml:space="preserve"> </w:t>
      </w:r>
    </w:p>
    <w:p w:rsidRPr="00DD75FB" w:rsidR="000B1A00" w:rsidP="00C05E7A" w:rsidRDefault="000B1A00" w14:paraId="46DAD2BB" w14:textId="77777777">
      <w:pPr>
        <w:tabs>
          <w:tab w:val="center" w:pos="4680"/>
        </w:tabs>
        <w:rPr>
          <w:rFonts w:ascii="Arial" w:hAnsi="Arial" w:cs="Arial"/>
        </w:rPr>
      </w:pPr>
      <w:r w:rsidRPr="00DD75FB">
        <w:rPr>
          <w:rFonts w:ascii="Arial" w:hAnsi="Arial" w:cs="Arial"/>
        </w:rPr>
        <w:tab/>
        <w:t xml:space="preserve"> </w:t>
      </w:r>
    </w:p>
    <w:p w:rsidRPr="00DD75FB" w:rsidR="000B1A00" w:rsidP="00A210A5" w:rsidRDefault="000B1A00" w14:paraId="53D32BF2" w14:textId="77777777">
      <w:pPr>
        <w:pStyle w:val="Level1"/>
        <w:rPr>
          <w:rFonts w:ascii="Arial" w:hAnsi="Arial" w:cs="Arial"/>
        </w:rPr>
      </w:pPr>
      <w:r w:rsidRPr="00DD75FB">
        <w:rPr>
          <w:rFonts w:ascii="Arial" w:hAnsi="Arial" w:cs="Arial"/>
          <w:u w:val="single"/>
        </w:rPr>
        <w:t>EXPLANATION OF DECISION TO PROVIDE ANY PAYMENT OR GIFT TO</w:t>
      </w:r>
      <w:r w:rsidRPr="00DD75FB" w:rsidR="003521C2">
        <w:rPr>
          <w:rFonts w:ascii="Arial" w:hAnsi="Arial" w:cs="Arial"/>
          <w:u w:val="single"/>
        </w:rPr>
        <w:t xml:space="preserve"> </w:t>
      </w:r>
      <w:r w:rsidRPr="00DD75FB">
        <w:rPr>
          <w:rFonts w:ascii="Arial" w:hAnsi="Arial" w:cs="Arial"/>
          <w:u w:val="single"/>
        </w:rPr>
        <w:t>RESPONDENTS</w:t>
      </w:r>
    </w:p>
    <w:p w:rsidRPr="00DD75FB" w:rsidR="000B1A00" w:rsidRDefault="000B1A00" w14:paraId="6749BED9" w14:textId="77777777">
      <w:pPr>
        <w:rPr>
          <w:rFonts w:ascii="Arial" w:hAnsi="Arial" w:cs="Arial"/>
        </w:rPr>
      </w:pPr>
    </w:p>
    <w:p w:rsidRPr="00DD75FB" w:rsidR="00A9406B" w:rsidP="00A9406B" w:rsidRDefault="00A9406B" w14:paraId="132B862B" w14:textId="77777777">
      <w:pPr>
        <w:ind w:left="720"/>
        <w:rPr>
          <w:rFonts w:ascii="Arial" w:hAnsi="Arial" w:cs="Arial"/>
        </w:rPr>
      </w:pPr>
      <w:r w:rsidRPr="00DD75FB">
        <w:rPr>
          <w:rFonts w:ascii="Arial" w:hAnsi="Arial" w:cs="Arial"/>
        </w:rPr>
        <w:t>No payment or gift will be provided to any respondents.</w:t>
      </w:r>
    </w:p>
    <w:p w:rsidRPr="00DD75FB" w:rsidR="000B1A00" w:rsidRDefault="000B1A00" w14:paraId="07C6D25A" w14:textId="77777777">
      <w:pPr>
        <w:rPr>
          <w:rFonts w:ascii="Arial" w:hAnsi="Arial" w:cs="Arial"/>
        </w:rPr>
      </w:pPr>
    </w:p>
    <w:p w:rsidRPr="00DD75FB" w:rsidR="000B1A00" w:rsidRDefault="000B1A00" w14:paraId="7180790B" w14:textId="77777777">
      <w:pPr>
        <w:pStyle w:val="Level1"/>
        <w:tabs>
          <w:tab w:val="left" w:pos="-1440"/>
          <w:tab w:val="num" w:pos="720"/>
        </w:tabs>
        <w:rPr>
          <w:rFonts w:ascii="Arial" w:hAnsi="Arial" w:cs="Arial"/>
        </w:rPr>
      </w:pPr>
      <w:r w:rsidRPr="00DD75FB">
        <w:rPr>
          <w:rFonts w:ascii="Arial" w:hAnsi="Arial" w:cs="Arial"/>
          <w:u w:val="single"/>
        </w:rPr>
        <w:t>ASSURANCE OF CONFIDENTIALITY OF RESPONSES</w:t>
      </w:r>
    </w:p>
    <w:p w:rsidRPr="00DD75FB" w:rsidR="000B1A00" w:rsidRDefault="000B1A00" w14:paraId="68B09D98" w14:textId="77777777">
      <w:pPr>
        <w:rPr>
          <w:rFonts w:ascii="Arial" w:hAnsi="Arial" w:cs="Arial"/>
        </w:rPr>
      </w:pPr>
    </w:p>
    <w:p w:rsidRPr="00DD75FB" w:rsidR="000B1A00" w:rsidRDefault="000B1A00" w14:paraId="5A9AC122" w14:textId="77777777">
      <w:pPr>
        <w:ind w:left="720"/>
        <w:rPr>
          <w:rFonts w:ascii="Arial" w:hAnsi="Arial" w:cs="Arial"/>
        </w:rPr>
      </w:pPr>
      <w:r w:rsidRPr="00DD75FB">
        <w:rPr>
          <w:rFonts w:ascii="Arial" w:hAnsi="Arial" w:cs="Arial"/>
        </w:rPr>
        <w:t>Generally, tax returns and tax return information are confidential as required by 26 USC 6103.</w:t>
      </w:r>
    </w:p>
    <w:p w:rsidRPr="00DD75FB" w:rsidR="00A9406B" w:rsidRDefault="00A9406B" w14:paraId="7DF02B49" w14:textId="77777777">
      <w:pPr>
        <w:rPr>
          <w:rFonts w:ascii="Arial" w:hAnsi="Arial" w:cs="Arial"/>
        </w:rPr>
      </w:pPr>
    </w:p>
    <w:p w:rsidRPr="00DD75FB" w:rsidR="000B1A00" w:rsidP="00A210A5" w:rsidRDefault="000B1A00" w14:paraId="01B98BFB" w14:textId="77777777">
      <w:pPr>
        <w:pStyle w:val="Level1"/>
        <w:rPr>
          <w:rFonts w:ascii="Arial" w:hAnsi="Arial" w:cs="Arial"/>
          <w:u w:val="single"/>
        </w:rPr>
      </w:pPr>
      <w:r w:rsidRPr="00DD75FB">
        <w:rPr>
          <w:rFonts w:ascii="Arial" w:hAnsi="Arial" w:cs="Arial"/>
          <w:u w:val="single"/>
        </w:rPr>
        <w:t>JUSTIFICATION OF SENSITIVE QUESTIONS</w:t>
      </w:r>
    </w:p>
    <w:p w:rsidRPr="00DD75FB" w:rsidR="000B1A00" w:rsidRDefault="000B1A00" w14:paraId="463BC46C" w14:textId="77777777">
      <w:pPr>
        <w:rPr>
          <w:rFonts w:ascii="Arial" w:hAnsi="Arial" w:cs="Arial"/>
          <w:u w:val="single"/>
        </w:rPr>
      </w:pPr>
    </w:p>
    <w:p w:rsidR="00E832FF" w:rsidP="00E832FF" w:rsidRDefault="00E832FF" w14:paraId="7DEB2B77" w14:textId="1AC8CC6F">
      <w:pPr>
        <w:ind w:left="720"/>
        <w:rPr>
          <w:rFonts w:ascii="Arial" w:hAnsi="Arial" w:cs="Arial"/>
        </w:rPr>
      </w:pPr>
      <w:r w:rsidRPr="00DD75FB">
        <w:rPr>
          <w:rFonts w:ascii="Arial" w:hAnsi="Arial" w:cs="Arial"/>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w:t>
      </w:r>
      <w:r w:rsidR="001A61B2">
        <w:rPr>
          <w:rFonts w:ascii="Arial" w:hAnsi="Arial" w:cs="Arial"/>
        </w:rPr>
        <w:t xml:space="preserve"> </w:t>
      </w:r>
      <w:hyperlink w:history="1" r:id="rId7">
        <w:r w:rsidRPr="00114206" w:rsidR="001A61B2">
          <w:rPr>
            <w:rStyle w:val="Hyperlink"/>
            <w:rFonts w:ascii="Arial" w:hAnsi="Arial" w:cs="Arial"/>
          </w:rPr>
          <w:t>http://www.treasury.gov/privacy/PIAs/Pages/default.aspx</w:t>
        </w:r>
      </w:hyperlink>
      <w:r w:rsidR="001A61B2">
        <w:rPr>
          <w:rFonts w:ascii="Arial" w:hAnsi="Arial" w:cs="Arial"/>
        </w:rPr>
        <w:t xml:space="preserve">. </w:t>
      </w:r>
    </w:p>
    <w:p w:rsidRPr="00DD75FB" w:rsidR="001A61B2" w:rsidP="00E832FF" w:rsidRDefault="001A61B2" w14:paraId="2457760E" w14:textId="77777777">
      <w:pPr>
        <w:ind w:left="720"/>
        <w:rPr>
          <w:rFonts w:ascii="Arial" w:hAnsi="Arial" w:cs="Arial"/>
        </w:rPr>
      </w:pPr>
    </w:p>
    <w:p w:rsidRPr="00DD75FB" w:rsidR="000B1A00" w:rsidP="00E832FF" w:rsidRDefault="00E832FF" w14:paraId="41EF68F8" w14:textId="77777777">
      <w:pPr>
        <w:ind w:left="720"/>
        <w:rPr>
          <w:rFonts w:ascii="Arial" w:hAnsi="Arial" w:cs="Arial"/>
        </w:rPr>
      </w:pPr>
      <w:r w:rsidRPr="00DD75FB">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832FF" w:rsidP="00E832FF" w:rsidRDefault="00E832FF" w14:paraId="189ACBEF" w14:textId="3A642D21">
      <w:pPr>
        <w:rPr>
          <w:rFonts w:ascii="Arial" w:hAnsi="Arial" w:cs="Arial"/>
        </w:rPr>
      </w:pPr>
    </w:p>
    <w:p w:rsidRPr="00DD75FB" w:rsidR="009C28E6" w:rsidP="00E832FF" w:rsidRDefault="009C28E6" w14:paraId="30242A13" w14:textId="77777777">
      <w:pPr>
        <w:rPr>
          <w:rFonts w:ascii="Arial" w:hAnsi="Arial" w:cs="Arial"/>
        </w:rPr>
      </w:pPr>
    </w:p>
    <w:p w:rsidRPr="00DD75FB" w:rsidR="000B1A00" w:rsidP="00A210A5" w:rsidRDefault="000B1A00" w14:paraId="058E6180" w14:textId="77777777">
      <w:pPr>
        <w:pStyle w:val="Level1"/>
        <w:rPr>
          <w:rFonts w:ascii="Arial" w:hAnsi="Arial" w:cs="Arial"/>
          <w:u w:val="single"/>
        </w:rPr>
      </w:pPr>
      <w:r w:rsidRPr="00DD75FB">
        <w:rPr>
          <w:rFonts w:ascii="Arial" w:hAnsi="Arial" w:cs="Arial"/>
          <w:u w:val="single"/>
        </w:rPr>
        <w:t>ESTIMATED BURDEN OF INFORMATION COLLECTION</w:t>
      </w:r>
    </w:p>
    <w:p w:rsidRPr="00DD75FB" w:rsidR="00A210A5" w:rsidP="00A210A5" w:rsidRDefault="00A210A5" w14:paraId="423F1E87" w14:textId="77777777">
      <w:pPr>
        <w:pStyle w:val="PlainText"/>
        <w:outlineLvl w:val="0"/>
        <w:rPr>
          <w:rFonts w:ascii="Arial" w:hAnsi="Arial" w:cs="Arial"/>
          <w:sz w:val="24"/>
          <w:szCs w:val="24"/>
        </w:rPr>
      </w:pPr>
    </w:p>
    <w:p w:rsidRPr="00DD75FB" w:rsidR="008040CF" w:rsidP="00A210A5" w:rsidRDefault="00B850C3" w14:paraId="0A82EF46" w14:textId="03218304">
      <w:pPr>
        <w:pStyle w:val="PlainText"/>
        <w:ind w:left="720"/>
        <w:outlineLvl w:val="0"/>
        <w:rPr>
          <w:rStyle w:val="documentbody1"/>
          <w:rFonts w:ascii="Arial" w:hAnsi="Arial" w:cs="Arial"/>
          <w:color w:val="000000"/>
          <w:sz w:val="24"/>
          <w:szCs w:val="24"/>
        </w:rPr>
      </w:pPr>
      <w:r w:rsidRPr="00B850C3">
        <w:rPr>
          <w:rStyle w:val="documentbody1"/>
          <w:rFonts w:ascii="Arial" w:hAnsi="Arial" w:cs="Arial"/>
          <w:color w:val="000000"/>
          <w:sz w:val="24"/>
          <w:szCs w:val="24"/>
        </w:rPr>
        <w:t xml:space="preserve">The collection of information in Form 8938 will be </w:t>
      </w:r>
      <w:r w:rsidRPr="00B850C3" w:rsidR="006A7CC4">
        <w:rPr>
          <w:rStyle w:val="documentbody1"/>
          <w:rFonts w:ascii="Arial" w:hAnsi="Arial" w:cs="Arial"/>
          <w:color w:val="000000"/>
          <w:sz w:val="24"/>
          <w:szCs w:val="24"/>
        </w:rPr>
        <w:t>how</w:t>
      </w:r>
      <w:r w:rsidRPr="00B850C3">
        <w:rPr>
          <w:rStyle w:val="documentbody1"/>
          <w:rFonts w:ascii="Arial" w:hAnsi="Arial" w:cs="Arial"/>
          <w:color w:val="000000"/>
          <w:sz w:val="24"/>
          <w:szCs w:val="24"/>
        </w:rPr>
        <w:t xml:space="preserve"> taxpayers will comply with self-reporting obligations imposed under section 6038D with respect to foreign financial assets.</w:t>
      </w:r>
      <w:r>
        <w:rPr>
          <w:rStyle w:val="documentbody1"/>
          <w:rFonts w:ascii="Arial" w:hAnsi="Arial" w:cs="Arial"/>
          <w:color w:val="000000"/>
          <w:sz w:val="24"/>
          <w:szCs w:val="24"/>
        </w:rPr>
        <w:t xml:space="preserve">  </w:t>
      </w:r>
      <w:r w:rsidRPr="00DD75FB" w:rsidR="008040CF">
        <w:rPr>
          <w:rStyle w:val="documentbody1"/>
          <w:rFonts w:ascii="Arial" w:hAnsi="Arial" w:cs="Arial"/>
          <w:color w:val="000000"/>
          <w:sz w:val="24"/>
          <w:szCs w:val="24"/>
        </w:rPr>
        <w:t>The burden estimate is as follows:</w:t>
      </w:r>
    </w:p>
    <w:p w:rsidRPr="00DD75FB" w:rsidR="00A9406B" w:rsidP="00A9406B" w:rsidRDefault="00A9406B" w14:paraId="5C21F5D1" w14:textId="77777777">
      <w:pPr>
        <w:tabs>
          <w:tab w:val="center" w:pos="4140"/>
          <w:tab w:val="center" w:pos="6030"/>
          <w:tab w:val="center" w:pos="7920"/>
        </w:tabs>
        <w:jc w:val="both"/>
        <w:rPr>
          <w:rFonts w:ascii="Arial" w:hAnsi="Arial" w:cs="Arial"/>
        </w:rPr>
      </w:pPr>
    </w:p>
    <w:tbl>
      <w:tblPr>
        <w:tblW w:w="97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9"/>
        <w:gridCol w:w="1350"/>
        <w:gridCol w:w="1526"/>
        <w:gridCol w:w="1431"/>
        <w:gridCol w:w="1315"/>
        <w:gridCol w:w="1198"/>
        <w:gridCol w:w="1127"/>
      </w:tblGrid>
      <w:tr w:rsidRPr="00DD75FB" w:rsidR="00DD75FB" w:rsidTr="00DD75FB" w14:paraId="222A3757" w14:textId="77777777">
        <w:trPr>
          <w:trHeight w:val="481"/>
        </w:trPr>
        <w:tc>
          <w:tcPr>
            <w:tcW w:w="1759"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1DE04545"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Authority</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3FCE2296"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Description</w:t>
            </w:r>
          </w:p>
        </w:tc>
        <w:tc>
          <w:tcPr>
            <w:tcW w:w="1526"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6211A902"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 of Respondents</w:t>
            </w:r>
          </w:p>
        </w:tc>
        <w:tc>
          <w:tcPr>
            <w:tcW w:w="1431"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5A8DADBB"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#Responses per Respondent</w:t>
            </w:r>
          </w:p>
        </w:tc>
        <w:tc>
          <w:tcPr>
            <w:tcW w:w="1315"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084ED061"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Annual Responses</w:t>
            </w:r>
          </w:p>
        </w:tc>
        <w:tc>
          <w:tcPr>
            <w:tcW w:w="1198"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529CCCDD"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Hours per Response</w:t>
            </w:r>
          </w:p>
        </w:tc>
        <w:tc>
          <w:tcPr>
            <w:tcW w:w="1127" w:type="dxa"/>
            <w:tcBorders>
              <w:top w:val="single" w:color="auto" w:sz="4" w:space="0"/>
              <w:left w:val="single" w:color="auto" w:sz="4" w:space="0"/>
              <w:bottom w:val="single" w:color="auto" w:sz="4" w:space="0"/>
              <w:right w:val="single" w:color="auto" w:sz="4" w:space="0"/>
            </w:tcBorders>
            <w:vAlign w:val="bottom"/>
            <w:hideMark/>
          </w:tcPr>
          <w:p w:rsidRPr="00DD75FB" w:rsidR="00A9406B" w:rsidP="00DD75FB" w:rsidRDefault="00A9406B" w14:paraId="646C19E4" w14:textId="77777777">
            <w:pPr>
              <w:keepNext/>
              <w:keepLines/>
              <w:numPr>
                <w:ilvl w:val="12"/>
                <w:numId w:val="0"/>
              </w:numPr>
              <w:jc w:val="center"/>
              <w:rPr>
                <w:rFonts w:ascii="Arial" w:hAnsi="Arial" w:cs="Arial"/>
                <w:b/>
                <w:sz w:val="20"/>
                <w:szCs w:val="20"/>
              </w:rPr>
            </w:pPr>
            <w:r w:rsidRPr="00DD75FB">
              <w:rPr>
                <w:rFonts w:ascii="Arial" w:hAnsi="Arial" w:cs="Arial"/>
                <w:b/>
                <w:sz w:val="20"/>
                <w:szCs w:val="20"/>
              </w:rPr>
              <w:t>Total Burden</w:t>
            </w:r>
          </w:p>
        </w:tc>
      </w:tr>
      <w:tr w:rsidRPr="00DD75FB" w:rsidR="00DD75FB" w:rsidTr="00DD75FB" w14:paraId="4183B182" w14:textId="77777777">
        <w:trPr>
          <w:trHeight w:val="481"/>
        </w:trPr>
        <w:tc>
          <w:tcPr>
            <w:tcW w:w="1759"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F90551" w14:paraId="4899D394" w14:textId="77777777">
            <w:pPr>
              <w:keepNext/>
              <w:keepLines/>
              <w:numPr>
                <w:ilvl w:val="12"/>
                <w:numId w:val="0"/>
              </w:numPr>
              <w:rPr>
                <w:rFonts w:ascii="Arial" w:hAnsi="Arial" w:cs="Arial"/>
                <w:sz w:val="20"/>
                <w:szCs w:val="20"/>
              </w:rPr>
            </w:pPr>
            <w:r w:rsidRPr="00DD75FB">
              <w:rPr>
                <w:rFonts w:ascii="Arial" w:hAnsi="Arial" w:cs="Arial"/>
                <w:sz w:val="20"/>
                <w:szCs w:val="20"/>
              </w:rPr>
              <w:t>6038(D)</w:t>
            </w:r>
            <w:r w:rsidRPr="00DD75FB" w:rsidR="00DD75FB">
              <w:rPr>
                <w:rFonts w:ascii="Arial" w:hAnsi="Arial" w:cs="Arial"/>
                <w:sz w:val="20"/>
                <w:szCs w:val="20"/>
              </w:rPr>
              <w:t>,</w:t>
            </w:r>
            <w:r w:rsidRPr="00DD75FB">
              <w:rPr>
                <w:rFonts w:ascii="Arial" w:hAnsi="Arial" w:cs="Arial"/>
                <w:sz w:val="20"/>
                <w:szCs w:val="20"/>
              </w:rPr>
              <w:t xml:space="preserve"> </w:t>
            </w:r>
            <w:r w:rsidRPr="00DD75FB" w:rsidR="00A9406B">
              <w:rPr>
                <w:rFonts w:ascii="Arial" w:hAnsi="Arial" w:cs="Arial"/>
                <w:sz w:val="20"/>
                <w:szCs w:val="20"/>
              </w:rPr>
              <w:t>6109</w:t>
            </w:r>
            <w:r w:rsidRPr="00DD75FB">
              <w:rPr>
                <w:rFonts w:ascii="Arial" w:hAnsi="Arial" w:cs="Arial"/>
                <w:sz w:val="20"/>
                <w:szCs w:val="20"/>
              </w:rPr>
              <w:t>, 6501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D75FB" w:rsidR="00A9406B" w:rsidP="00A9406B" w:rsidRDefault="00A9406B" w14:paraId="5056BFD6" w14:textId="77777777">
            <w:pPr>
              <w:keepNext/>
              <w:keepLines/>
              <w:numPr>
                <w:ilvl w:val="12"/>
                <w:numId w:val="0"/>
              </w:numPr>
              <w:jc w:val="center"/>
              <w:rPr>
                <w:rFonts w:ascii="Arial" w:hAnsi="Arial" w:cs="Arial"/>
                <w:sz w:val="20"/>
                <w:szCs w:val="20"/>
              </w:rPr>
            </w:pPr>
            <w:r w:rsidRPr="00DD75FB">
              <w:rPr>
                <w:rFonts w:ascii="Arial" w:hAnsi="Arial" w:cs="Arial"/>
                <w:sz w:val="20"/>
                <w:szCs w:val="20"/>
              </w:rPr>
              <w:t xml:space="preserve">                     </w:t>
            </w:r>
          </w:p>
          <w:p w:rsidRPr="00DD75FB" w:rsidR="00A9406B" w:rsidP="00A9406B" w:rsidRDefault="00A9406B" w14:paraId="2B0A643D" w14:textId="77777777">
            <w:pPr>
              <w:keepNext/>
              <w:keepLines/>
              <w:numPr>
                <w:ilvl w:val="12"/>
                <w:numId w:val="0"/>
              </w:numPr>
              <w:jc w:val="center"/>
              <w:rPr>
                <w:rFonts w:ascii="Arial" w:hAnsi="Arial" w:cs="Arial"/>
                <w:sz w:val="20"/>
                <w:szCs w:val="20"/>
              </w:rPr>
            </w:pPr>
            <w:r w:rsidRPr="00DD75FB">
              <w:rPr>
                <w:rFonts w:ascii="Arial" w:hAnsi="Arial" w:cs="Arial"/>
                <w:sz w:val="20"/>
                <w:szCs w:val="20"/>
              </w:rPr>
              <w:t xml:space="preserve"> </w:t>
            </w:r>
            <w:r w:rsidRPr="00DD75FB" w:rsidR="0082754F">
              <w:rPr>
                <w:rFonts w:ascii="Arial" w:hAnsi="Arial" w:cs="Arial"/>
                <w:sz w:val="20"/>
                <w:szCs w:val="20"/>
              </w:rPr>
              <w:t xml:space="preserve">Form </w:t>
            </w:r>
            <w:r w:rsidRPr="00DD75FB">
              <w:rPr>
                <w:rFonts w:ascii="Arial" w:hAnsi="Arial" w:cs="Arial"/>
                <w:sz w:val="20"/>
                <w:szCs w:val="20"/>
              </w:rPr>
              <w:t>8938</w:t>
            </w:r>
          </w:p>
        </w:tc>
        <w:tc>
          <w:tcPr>
            <w:tcW w:w="1526" w:type="dxa"/>
            <w:tcBorders>
              <w:top w:val="single" w:color="auto" w:sz="4" w:space="0"/>
              <w:left w:val="single" w:color="auto" w:sz="4" w:space="0"/>
              <w:bottom w:val="single" w:color="auto" w:sz="4" w:space="0"/>
              <w:right w:val="single" w:color="auto" w:sz="4" w:space="0"/>
            </w:tcBorders>
            <w:vAlign w:val="bottom"/>
            <w:hideMark/>
          </w:tcPr>
          <w:p w:rsidRPr="00DD75FB" w:rsidR="00A9406B" w:rsidP="0082754F" w:rsidRDefault="0082754F" w14:paraId="48B4366D" w14:textId="77777777">
            <w:pPr>
              <w:keepNext/>
              <w:keepLines/>
              <w:numPr>
                <w:ilvl w:val="12"/>
                <w:numId w:val="0"/>
              </w:numPr>
              <w:rPr>
                <w:rFonts w:ascii="Arial" w:hAnsi="Arial" w:cs="Arial"/>
                <w:sz w:val="20"/>
                <w:szCs w:val="20"/>
              </w:rPr>
            </w:pPr>
            <w:r w:rsidRPr="00DD75FB">
              <w:rPr>
                <w:rFonts w:ascii="Arial" w:hAnsi="Arial" w:cs="Arial"/>
                <w:sz w:val="20"/>
                <w:szCs w:val="20"/>
              </w:rPr>
              <w:t xml:space="preserve">      </w:t>
            </w:r>
            <w:r w:rsidRPr="00DD75FB" w:rsidR="00A9406B">
              <w:rPr>
                <w:rFonts w:ascii="Arial" w:hAnsi="Arial" w:cs="Arial"/>
                <w:sz w:val="20"/>
                <w:szCs w:val="20"/>
              </w:rPr>
              <w:t>350,000</w:t>
            </w:r>
          </w:p>
        </w:tc>
        <w:tc>
          <w:tcPr>
            <w:tcW w:w="1431"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A9406B" w14:paraId="4498CB44" w14:textId="77777777">
            <w:pPr>
              <w:keepNext/>
              <w:keepLines/>
              <w:numPr>
                <w:ilvl w:val="12"/>
                <w:numId w:val="0"/>
              </w:numPr>
              <w:jc w:val="center"/>
              <w:rPr>
                <w:rFonts w:ascii="Arial" w:hAnsi="Arial" w:cs="Arial"/>
                <w:sz w:val="20"/>
                <w:szCs w:val="20"/>
              </w:rPr>
            </w:pPr>
            <w:r w:rsidRPr="00DD75FB">
              <w:rPr>
                <w:rFonts w:ascii="Arial" w:hAnsi="Arial" w:cs="Arial"/>
                <w:sz w:val="20"/>
                <w:szCs w:val="20"/>
              </w:rPr>
              <w:t>1</w:t>
            </w:r>
          </w:p>
        </w:tc>
        <w:tc>
          <w:tcPr>
            <w:tcW w:w="1315"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A9406B" w14:paraId="34BAB71C" w14:textId="77777777">
            <w:pPr>
              <w:keepNext/>
              <w:keepLines/>
              <w:numPr>
                <w:ilvl w:val="12"/>
                <w:numId w:val="0"/>
              </w:numPr>
              <w:jc w:val="center"/>
              <w:rPr>
                <w:rFonts w:ascii="Arial" w:hAnsi="Arial" w:cs="Arial"/>
                <w:sz w:val="20"/>
                <w:szCs w:val="20"/>
              </w:rPr>
            </w:pPr>
            <w:r w:rsidRPr="00DD75FB">
              <w:rPr>
                <w:rFonts w:ascii="Arial" w:hAnsi="Arial" w:cs="Arial"/>
                <w:sz w:val="20"/>
                <w:szCs w:val="20"/>
              </w:rPr>
              <w:t>350,000</w:t>
            </w:r>
          </w:p>
        </w:tc>
        <w:tc>
          <w:tcPr>
            <w:tcW w:w="1198"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A9406B" w14:paraId="7A0F8AFB" w14:textId="77777777">
            <w:pPr>
              <w:keepNext/>
              <w:keepLines/>
              <w:numPr>
                <w:ilvl w:val="12"/>
                <w:numId w:val="0"/>
              </w:numPr>
              <w:jc w:val="center"/>
              <w:rPr>
                <w:rFonts w:ascii="Arial" w:hAnsi="Arial" w:cs="Arial"/>
                <w:sz w:val="20"/>
                <w:szCs w:val="20"/>
              </w:rPr>
            </w:pPr>
            <w:r w:rsidRPr="00DD75FB">
              <w:rPr>
                <w:rFonts w:ascii="Arial" w:hAnsi="Arial" w:cs="Arial"/>
                <w:sz w:val="20"/>
                <w:szCs w:val="20"/>
              </w:rPr>
              <w:t>4.72</w:t>
            </w:r>
          </w:p>
        </w:tc>
        <w:tc>
          <w:tcPr>
            <w:tcW w:w="1127"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82754F" w14:paraId="4153A8E8" w14:textId="77777777">
            <w:pPr>
              <w:keepNext/>
              <w:keepLines/>
              <w:numPr>
                <w:ilvl w:val="12"/>
                <w:numId w:val="0"/>
              </w:numPr>
              <w:jc w:val="center"/>
              <w:rPr>
                <w:rFonts w:ascii="Arial" w:hAnsi="Arial" w:cs="Arial"/>
                <w:sz w:val="20"/>
                <w:szCs w:val="20"/>
              </w:rPr>
            </w:pPr>
            <w:r w:rsidRPr="00DD75FB">
              <w:rPr>
                <w:rFonts w:ascii="Arial" w:hAnsi="Arial" w:cs="Arial"/>
                <w:sz w:val="20"/>
                <w:szCs w:val="20"/>
              </w:rPr>
              <w:t>1,652,000</w:t>
            </w:r>
          </w:p>
        </w:tc>
      </w:tr>
      <w:tr w:rsidRPr="00DD75FB" w:rsidR="00DD75FB" w:rsidTr="00DD75FB" w14:paraId="7DF6F176" w14:textId="77777777">
        <w:trPr>
          <w:trHeight w:val="156"/>
        </w:trPr>
        <w:tc>
          <w:tcPr>
            <w:tcW w:w="1759"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A9406B" w14:paraId="743DB146" w14:textId="77777777">
            <w:pPr>
              <w:keepNext/>
              <w:keepLines/>
              <w:numPr>
                <w:ilvl w:val="12"/>
                <w:numId w:val="0"/>
              </w:numPr>
              <w:jc w:val="center"/>
              <w:rPr>
                <w:rFonts w:ascii="Arial" w:hAnsi="Arial" w:cs="Arial"/>
                <w:b/>
                <w:bCs/>
                <w:sz w:val="20"/>
                <w:szCs w:val="20"/>
              </w:rPr>
            </w:pPr>
            <w:r w:rsidRPr="00DD75FB">
              <w:rPr>
                <w:rFonts w:ascii="Arial" w:hAnsi="Arial" w:cs="Arial"/>
                <w:b/>
                <w:bCs/>
                <w:sz w:val="20"/>
                <w:szCs w:val="20"/>
              </w:rPr>
              <w:t>Totals</w:t>
            </w:r>
          </w:p>
        </w:tc>
        <w:tc>
          <w:tcPr>
            <w:tcW w:w="1350" w:type="dxa"/>
            <w:tcBorders>
              <w:top w:val="single" w:color="auto" w:sz="4" w:space="0"/>
              <w:left w:val="single" w:color="auto" w:sz="4" w:space="0"/>
              <w:bottom w:val="single" w:color="auto" w:sz="4" w:space="0"/>
              <w:right w:val="single" w:color="auto" w:sz="4" w:space="0"/>
            </w:tcBorders>
            <w:vAlign w:val="bottom"/>
          </w:tcPr>
          <w:p w:rsidRPr="00DD75FB" w:rsidR="00A9406B" w:rsidP="00E5322C" w:rsidRDefault="00A9406B" w14:paraId="7DC6BD97" w14:textId="77777777">
            <w:pPr>
              <w:keepNext/>
              <w:keepLines/>
              <w:numPr>
                <w:ilvl w:val="12"/>
                <w:numId w:val="0"/>
              </w:numPr>
              <w:jc w:val="center"/>
              <w:rPr>
                <w:rFonts w:ascii="Arial" w:hAnsi="Arial" w:cs="Arial"/>
                <w:b/>
                <w:bCs/>
                <w:sz w:val="20"/>
                <w:szCs w:val="20"/>
              </w:rPr>
            </w:pPr>
          </w:p>
        </w:tc>
        <w:tc>
          <w:tcPr>
            <w:tcW w:w="1526"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A9406B" w14:paraId="4C64511A" w14:textId="77777777">
            <w:pPr>
              <w:keepNext/>
              <w:keepLines/>
              <w:numPr>
                <w:ilvl w:val="12"/>
                <w:numId w:val="0"/>
              </w:numPr>
              <w:rPr>
                <w:rFonts w:ascii="Arial" w:hAnsi="Arial" w:cs="Arial"/>
                <w:b/>
                <w:bCs/>
                <w:sz w:val="20"/>
                <w:szCs w:val="20"/>
              </w:rPr>
            </w:pPr>
            <w:r w:rsidRPr="00DD75FB">
              <w:rPr>
                <w:rFonts w:ascii="Arial" w:hAnsi="Arial" w:cs="Arial"/>
                <w:b/>
                <w:bCs/>
                <w:sz w:val="20"/>
                <w:szCs w:val="20"/>
              </w:rPr>
              <w:t xml:space="preserve">   </w:t>
            </w:r>
            <w:r w:rsidRPr="00DD75FB" w:rsidR="0082754F">
              <w:rPr>
                <w:rFonts w:ascii="Arial" w:hAnsi="Arial" w:cs="Arial"/>
                <w:b/>
                <w:bCs/>
                <w:sz w:val="20"/>
                <w:szCs w:val="20"/>
              </w:rPr>
              <w:t xml:space="preserve"> </w:t>
            </w:r>
            <w:r w:rsidRPr="00DD75FB">
              <w:rPr>
                <w:rFonts w:ascii="Arial" w:hAnsi="Arial" w:cs="Arial"/>
                <w:b/>
                <w:bCs/>
                <w:sz w:val="20"/>
                <w:szCs w:val="20"/>
              </w:rPr>
              <w:t xml:space="preserve">  350,000</w:t>
            </w:r>
          </w:p>
        </w:tc>
        <w:tc>
          <w:tcPr>
            <w:tcW w:w="1431" w:type="dxa"/>
            <w:tcBorders>
              <w:top w:val="single" w:color="auto" w:sz="4" w:space="0"/>
              <w:left w:val="single" w:color="auto" w:sz="4" w:space="0"/>
              <w:bottom w:val="single" w:color="auto" w:sz="4" w:space="0"/>
              <w:right w:val="single" w:color="auto" w:sz="4" w:space="0"/>
            </w:tcBorders>
            <w:vAlign w:val="bottom"/>
          </w:tcPr>
          <w:p w:rsidRPr="00DD75FB" w:rsidR="00A9406B" w:rsidP="00E5322C" w:rsidRDefault="00A9406B" w14:paraId="3F88270A" w14:textId="77777777">
            <w:pPr>
              <w:keepNext/>
              <w:keepLines/>
              <w:numPr>
                <w:ilvl w:val="12"/>
                <w:numId w:val="0"/>
              </w:numPr>
              <w:jc w:val="center"/>
              <w:rPr>
                <w:rFonts w:ascii="Arial" w:hAnsi="Arial" w:cs="Arial"/>
                <w:b/>
                <w:bCs/>
                <w:sz w:val="20"/>
                <w:szCs w:val="20"/>
              </w:rPr>
            </w:pPr>
          </w:p>
        </w:tc>
        <w:tc>
          <w:tcPr>
            <w:tcW w:w="1315"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A9406B" w14:paraId="654E873E" w14:textId="77777777">
            <w:pPr>
              <w:keepNext/>
              <w:keepLines/>
              <w:numPr>
                <w:ilvl w:val="12"/>
                <w:numId w:val="0"/>
              </w:numPr>
              <w:rPr>
                <w:rFonts w:ascii="Arial" w:hAnsi="Arial" w:cs="Arial"/>
                <w:b/>
                <w:bCs/>
                <w:sz w:val="20"/>
                <w:szCs w:val="20"/>
              </w:rPr>
            </w:pPr>
            <w:r w:rsidRPr="00DD75FB">
              <w:rPr>
                <w:rFonts w:ascii="Arial" w:hAnsi="Arial" w:cs="Arial"/>
                <w:b/>
                <w:bCs/>
                <w:sz w:val="20"/>
                <w:szCs w:val="20"/>
              </w:rPr>
              <w:t xml:space="preserve">   </w:t>
            </w:r>
          </w:p>
        </w:tc>
        <w:tc>
          <w:tcPr>
            <w:tcW w:w="1198" w:type="dxa"/>
            <w:tcBorders>
              <w:top w:val="single" w:color="auto" w:sz="4" w:space="0"/>
              <w:left w:val="single" w:color="auto" w:sz="4" w:space="0"/>
              <w:bottom w:val="single" w:color="auto" w:sz="4" w:space="0"/>
              <w:right w:val="single" w:color="auto" w:sz="4" w:space="0"/>
            </w:tcBorders>
            <w:vAlign w:val="bottom"/>
          </w:tcPr>
          <w:p w:rsidRPr="00DD75FB" w:rsidR="00A9406B" w:rsidP="00E5322C" w:rsidRDefault="00A9406B" w14:paraId="10A742D9" w14:textId="77777777">
            <w:pPr>
              <w:keepNext/>
              <w:keepLines/>
              <w:numPr>
                <w:ilvl w:val="12"/>
                <w:numId w:val="0"/>
              </w:numPr>
              <w:jc w:val="center"/>
              <w:rPr>
                <w:rFonts w:ascii="Arial" w:hAnsi="Arial" w:cs="Arial"/>
                <w:b/>
                <w:bCs/>
                <w:sz w:val="20"/>
                <w:szCs w:val="20"/>
              </w:rPr>
            </w:pPr>
          </w:p>
        </w:tc>
        <w:tc>
          <w:tcPr>
            <w:tcW w:w="1127" w:type="dxa"/>
            <w:tcBorders>
              <w:top w:val="single" w:color="auto" w:sz="4" w:space="0"/>
              <w:left w:val="single" w:color="auto" w:sz="4" w:space="0"/>
              <w:bottom w:val="single" w:color="auto" w:sz="4" w:space="0"/>
              <w:right w:val="single" w:color="auto" w:sz="4" w:space="0"/>
            </w:tcBorders>
            <w:vAlign w:val="bottom"/>
            <w:hideMark/>
          </w:tcPr>
          <w:p w:rsidRPr="00DD75FB" w:rsidR="00A9406B" w:rsidP="00E5322C" w:rsidRDefault="0082754F" w14:paraId="7BBC32D4" w14:textId="77777777">
            <w:pPr>
              <w:keepNext/>
              <w:keepLines/>
              <w:numPr>
                <w:ilvl w:val="12"/>
                <w:numId w:val="0"/>
              </w:numPr>
              <w:jc w:val="center"/>
              <w:rPr>
                <w:rFonts w:ascii="Arial" w:hAnsi="Arial" w:cs="Arial"/>
                <w:b/>
                <w:bCs/>
                <w:sz w:val="20"/>
                <w:szCs w:val="20"/>
              </w:rPr>
            </w:pPr>
            <w:r w:rsidRPr="00DD75FB">
              <w:rPr>
                <w:rFonts w:ascii="Arial" w:hAnsi="Arial" w:cs="Arial"/>
                <w:b/>
                <w:bCs/>
                <w:sz w:val="20"/>
                <w:szCs w:val="20"/>
              </w:rPr>
              <w:t>1,652,000</w:t>
            </w:r>
          </w:p>
        </w:tc>
      </w:tr>
    </w:tbl>
    <w:p w:rsidRPr="00DD75FB" w:rsidR="00A9406B" w:rsidP="00A9406B" w:rsidRDefault="00A9406B" w14:paraId="059A4537" w14:textId="77777777">
      <w:pPr>
        <w:tabs>
          <w:tab w:val="center" w:pos="4050"/>
        </w:tabs>
        <w:rPr>
          <w:rFonts w:ascii="Arial" w:hAnsi="Arial" w:cs="Arial"/>
          <w:b/>
          <w:bCs/>
        </w:rPr>
      </w:pPr>
    </w:p>
    <w:p w:rsidRPr="00DD75FB" w:rsidR="000B1A00" w:rsidP="008040CF" w:rsidRDefault="000B1A00" w14:paraId="5346578A" w14:textId="77777777">
      <w:pPr>
        <w:rPr>
          <w:rFonts w:ascii="Arial" w:hAnsi="Arial" w:cs="Arial"/>
        </w:rPr>
      </w:pPr>
    </w:p>
    <w:p w:rsidRPr="00DD75FB" w:rsidR="000B1A00" w:rsidP="00A210A5" w:rsidRDefault="007321C3" w14:paraId="4C991A94" w14:textId="77777777">
      <w:pPr>
        <w:pStyle w:val="Level1"/>
        <w:rPr>
          <w:rFonts w:ascii="Arial" w:hAnsi="Arial" w:cs="Arial"/>
        </w:rPr>
      </w:pPr>
      <w:r w:rsidRPr="00DD75FB">
        <w:rPr>
          <w:rFonts w:ascii="Arial" w:hAnsi="Arial" w:cs="Arial"/>
          <w:u w:val="single"/>
        </w:rPr>
        <w:t>E</w:t>
      </w:r>
      <w:r w:rsidRPr="00DD75FB" w:rsidR="000B1A00">
        <w:rPr>
          <w:rFonts w:ascii="Arial" w:hAnsi="Arial" w:cs="Arial"/>
          <w:u w:val="single"/>
        </w:rPr>
        <w:t>STIMATED TOTAL ANNUAL COST BURDEN TO RESPONDENTS</w:t>
      </w:r>
    </w:p>
    <w:p w:rsidRPr="00DD75FB" w:rsidR="000B1A00" w:rsidRDefault="000B1A00" w14:paraId="289D8A9D" w14:textId="77777777">
      <w:pPr>
        <w:rPr>
          <w:rFonts w:ascii="Arial" w:hAnsi="Arial" w:cs="Arial"/>
        </w:rPr>
      </w:pPr>
    </w:p>
    <w:p w:rsidR="00C07BD4" w:rsidP="009C28E6" w:rsidRDefault="00A9406B" w14:paraId="3E58A0FC" w14:textId="16D2EFAD">
      <w:pPr>
        <w:ind w:left="720"/>
        <w:rPr>
          <w:rFonts w:ascii="Arial" w:hAnsi="Arial" w:cs="Arial"/>
        </w:rPr>
      </w:pPr>
      <w:r w:rsidRPr="00DD75FB">
        <w:rPr>
          <w:rFonts w:ascii="Arial" w:hAnsi="Arial" w:cs="Arial"/>
        </w:rPr>
        <w:t xml:space="preserve">To ensure more accuracy and consistency across its </w:t>
      </w:r>
      <w:r w:rsidRPr="00DD75FB" w:rsidR="007321C3">
        <w:rPr>
          <w:rFonts w:ascii="Arial" w:hAnsi="Arial" w:cs="Arial"/>
        </w:rPr>
        <w:t>i</w:t>
      </w:r>
      <w:r w:rsidRPr="00DD75FB">
        <w:rPr>
          <w:rFonts w:ascii="Arial" w:hAnsi="Arial" w:cs="Arial"/>
        </w:rPr>
        <w:t>nformation collections, IRS is currently in the process of</w:t>
      </w:r>
      <w:r w:rsidRPr="00DD75FB" w:rsidR="007321C3">
        <w:rPr>
          <w:rFonts w:ascii="Arial" w:hAnsi="Arial" w:cs="Arial"/>
        </w:rPr>
        <w:t xml:space="preserve"> </w:t>
      </w:r>
      <w:r w:rsidRPr="00DD75FB">
        <w:rPr>
          <w:rFonts w:ascii="Arial" w:hAnsi="Arial" w:cs="Arial"/>
        </w:rPr>
        <w:t>revising the methodology it uses to estimate burden and costs. Once this methodology is complete, IRS will update this information collection to reflect a more precise estimate of burden and costs.</w:t>
      </w:r>
    </w:p>
    <w:p w:rsidRPr="00DD75FB" w:rsidR="00C07BD4" w:rsidP="00A210A5" w:rsidRDefault="00C07BD4" w14:paraId="42E6C09A" w14:textId="77777777">
      <w:pPr>
        <w:rPr>
          <w:rFonts w:ascii="Arial" w:hAnsi="Arial" w:cs="Arial"/>
        </w:rPr>
      </w:pPr>
    </w:p>
    <w:p w:rsidRPr="00DD75FB" w:rsidR="000B1A00" w:rsidP="00A210A5" w:rsidRDefault="000B1A00" w14:paraId="13ADD1A9" w14:textId="77777777">
      <w:pPr>
        <w:pStyle w:val="Level1"/>
        <w:rPr>
          <w:rFonts w:ascii="Arial" w:hAnsi="Arial" w:cs="Arial"/>
        </w:rPr>
      </w:pPr>
      <w:r w:rsidRPr="00DD75FB">
        <w:rPr>
          <w:rFonts w:ascii="Arial" w:hAnsi="Arial" w:cs="Arial"/>
          <w:u w:val="single"/>
        </w:rPr>
        <w:t>ESTIMATED ANNUALIZED COST TO THE FEDERAL GOVERNMENT</w:t>
      </w:r>
    </w:p>
    <w:p w:rsidRPr="00DD75FB" w:rsidR="000B1A00" w:rsidRDefault="000B1A00" w14:paraId="0E50EC02" w14:textId="77777777">
      <w:pPr>
        <w:rPr>
          <w:rFonts w:ascii="Arial" w:hAnsi="Arial" w:cs="Arial"/>
        </w:rPr>
      </w:pPr>
    </w:p>
    <w:p w:rsidRPr="007D3D4C" w:rsidR="007D3D4C" w:rsidP="007D3D4C" w:rsidRDefault="007D3D4C" w14:paraId="287F22AF" w14:textId="77777777">
      <w:pPr>
        <w:ind w:left="720"/>
        <w:rPr>
          <w:rFonts w:ascii="Arial" w:hAnsi="Arial" w:cs="Arial"/>
        </w:rPr>
      </w:pPr>
      <w:r w:rsidRPr="007D3D4C">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7D3D4C" w:rsidR="007D3D4C" w:rsidP="007D3D4C" w:rsidRDefault="007D3D4C" w14:paraId="306253CA" w14:textId="77777777">
      <w:pPr>
        <w:ind w:left="720"/>
        <w:rPr>
          <w:rFonts w:ascii="Arial" w:hAnsi="Arial" w:cs="Arial"/>
        </w:rPr>
      </w:pPr>
    </w:p>
    <w:p w:rsidRPr="007D3D4C" w:rsidR="007D3D4C" w:rsidP="007D3D4C" w:rsidRDefault="007D3D4C" w14:paraId="47353969" w14:textId="77777777">
      <w:pPr>
        <w:ind w:left="720"/>
        <w:rPr>
          <w:rFonts w:ascii="Arial" w:hAnsi="Arial" w:cs="Arial"/>
        </w:rPr>
      </w:pPr>
      <w:r w:rsidRPr="007D3D4C">
        <w:rPr>
          <w:rFonts w:ascii="Arial" w:hAnsi="Arial" w:cs="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D3D4C" w:rsidP="007D3D4C" w:rsidRDefault="007D3D4C" w14:paraId="5FE8407E" w14:textId="2977A10C">
      <w:pPr>
        <w:ind w:left="720"/>
        <w:rPr>
          <w:rFonts w:ascii="Arial" w:hAnsi="Arial" w:cs="Arial"/>
        </w:rPr>
      </w:pPr>
    </w:p>
    <w:p w:rsidR="00C07BD4" w:rsidP="007D3D4C" w:rsidRDefault="00C07BD4" w14:paraId="6D6A1FAD" w14:textId="35418203">
      <w:pPr>
        <w:ind w:left="720"/>
        <w:rPr>
          <w:rFonts w:ascii="Arial" w:hAnsi="Arial" w:cs="Arial"/>
        </w:rPr>
      </w:pPr>
    </w:p>
    <w:p w:rsidR="009C28E6" w:rsidP="007D3D4C" w:rsidRDefault="009C28E6" w14:paraId="2D256F7A" w14:textId="1032729D">
      <w:pPr>
        <w:ind w:left="720"/>
        <w:rPr>
          <w:rFonts w:ascii="Arial" w:hAnsi="Arial" w:cs="Arial"/>
        </w:rPr>
      </w:pPr>
    </w:p>
    <w:p w:rsidR="009C28E6" w:rsidP="007D3D4C" w:rsidRDefault="009C28E6" w14:paraId="7A63BBF6" w14:textId="5F2EBEC8">
      <w:pPr>
        <w:ind w:left="720"/>
        <w:rPr>
          <w:rFonts w:ascii="Arial" w:hAnsi="Arial" w:cs="Arial"/>
        </w:rPr>
      </w:pPr>
    </w:p>
    <w:p w:rsidRPr="007D3D4C" w:rsidR="009C28E6" w:rsidP="007D3D4C" w:rsidRDefault="009C28E6" w14:paraId="1F59E696" w14:textId="77777777">
      <w:pPr>
        <w:ind w:left="720"/>
        <w:rPr>
          <w:rFonts w:ascii="Arial" w:hAnsi="Arial" w:cs="Arial"/>
        </w:rPr>
      </w:pPr>
    </w:p>
    <w:p w:rsidRPr="00E04870" w:rsidR="007D3D4C" w:rsidP="007D3D4C" w:rsidRDefault="007D3D4C" w14:paraId="6BFF0952" w14:textId="77777777">
      <w:pPr>
        <w:ind w:left="720"/>
        <w:rPr>
          <w:rFonts w:ascii="Times New Roman" w:hAnsi="Times New Roman"/>
        </w:rPr>
      </w:pPr>
      <w:r w:rsidRPr="007D3D4C">
        <w:rPr>
          <w:rFonts w:ascii="Arial" w:hAnsi="Arial" w:cs="Arial"/>
        </w:rPr>
        <w:lastRenderedPageBreak/>
        <w:t>The government cost estimate for this collection is summarized in the table below</w:t>
      </w:r>
      <w:r w:rsidRPr="00E04870">
        <w:rPr>
          <w:rFonts w:ascii="Times New Roman" w:hAnsi="Times New Roman"/>
        </w:rPr>
        <w:t>.</w:t>
      </w:r>
    </w:p>
    <w:p w:rsidR="007D3D4C" w:rsidP="007D3D4C" w:rsidRDefault="007D3D4C" w14:paraId="3215900B" w14:textId="77777777">
      <w:pPr>
        <w:ind w:left="72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9"/>
        <w:gridCol w:w="1973"/>
        <w:gridCol w:w="326"/>
        <w:gridCol w:w="1741"/>
        <w:gridCol w:w="386"/>
        <w:gridCol w:w="1580"/>
      </w:tblGrid>
      <w:tr w:rsidRPr="00C52EF9" w:rsidR="007D3D4C" w:rsidTr="00033C74" w14:paraId="5901A640" w14:textId="77777777">
        <w:tc>
          <w:tcPr>
            <w:tcW w:w="2349" w:type="dxa"/>
            <w:shd w:val="clear" w:color="auto" w:fill="auto"/>
            <w:vAlign w:val="bottom"/>
          </w:tcPr>
          <w:p w:rsidRPr="00C52EF9" w:rsidR="007D3D4C" w:rsidP="00033C74" w:rsidRDefault="007D3D4C" w14:paraId="0043B637"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Product</w:t>
            </w:r>
          </w:p>
        </w:tc>
        <w:tc>
          <w:tcPr>
            <w:tcW w:w="1973" w:type="dxa"/>
            <w:shd w:val="clear" w:color="auto" w:fill="auto"/>
            <w:vAlign w:val="bottom"/>
          </w:tcPr>
          <w:p w:rsidRPr="00C52EF9" w:rsidR="007D3D4C" w:rsidP="00033C74" w:rsidRDefault="007D3D4C" w14:paraId="40B202A5"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Aggregate Cost per Product (factor applied)</w:t>
            </w:r>
          </w:p>
        </w:tc>
        <w:tc>
          <w:tcPr>
            <w:tcW w:w="326" w:type="dxa"/>
            <w:shd w:val="clear" w:color="auto" w:fill="auto"/>
          </w:tcPr>
          <w:p w:rsidRPr="00C52EF9" w:rsidR="007D3D4C" w:rsidP="00033C74" w:rsidRDefault="007D3D4C" w14:paraId="081C434C" w14:textId="77777777">
            <w:pPr>
              <w:keepNext/>
              <w:keepLines/>
              <w:jc w:val="center"/>
              <w:rPr>
                <w:rFonts w:ascii="Calibri" w:hAnsi="Calibri" w:cs="Courier New"/>
                <w:b/>
                <w:sz w:val="22"/>
                <w:szCs w:val="22"/>
                <w:u w:val="single"/>
              </w:rPr>
            </w:pPr>
          </w:p>
        </w:tc>
        <w:tc>
          <w:tcPr>
            <w:tcW w:w="1741" w:type="dxa"/>
            <w:shd w:val="clear" w:color="auto" w:fill="auto"/>
            <w:vAlign w:val="bottom"/>
          </w:tcPr>
          <w:p w:rsidRPr="00C52EF9" w:rsidR="007D3D4C" w:rsidP="00033C74" w:rsidRDefault="007D3D4C" w14:paraId="3F4E63D2"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Printing and Distribution</w:t>
            </w:r>
          </w:p>
        </w:tc>
        <w:tc>
          <w:tcPr>
            <w:tcW w:w="386" w:type="dxa"/>
            <w:shd w:val="clear" w:color="auto" w:fill="auto"/>
          </w:tcPr>
          <w:p w:rsidRPr="00C52EF9" w:rsidR="007D3D4C" w:rsidP="00033C74" w:rsidRDefault="007D3D4C" w14:paraId="3D584562" w14:textId="77777777">
            <w:pPr>
              <w:keepNext/>
              <w:keepLines/>
              <w:jc w:val="center"/>
              <w:rPr>
                <w:rFonts w:ascii="Calibri" w:hAnsi="Calibri" w:cs="Courier New"/>
                <w:b/>
                <w:sz w:val="22"/>
                <w:szCs w:val="22"/>
                <w:u w:val="single"/>
              </w:rPr>
            </w:pPr>
          </w:p>
        </w:tc>
        <w:tc>
          <w:tcPr>
            <w:tcW w:w="1580" w:type="dxa"/>
            <w:shd w:val="clear" w:color="auto" w:fill="auto"/>
            <w:vAlign w:val="bottom"/>
          </w:tcPr>
          <w:p w:rsidRPr="00C52EF9" w:rsidR="007D3D4C" w:rsidP="00033C74" w:rsidRDefault="007D3D4C" w14:paraId="7E6A8F1F"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Government Cost Estimate per Product</w:t>
            </w:r>
          </w:p>
        </w:tc>
      </w:tr>
      <w:tr w:rsidRPr="00C52EF9" w:rsidR="007D3D4C" w:rsidTr="00033C74" w14:paraId="5DF7722C" w14:textId="77777777">
        <w:tc>
          <w:tcPr>
            <w:tcW w:w="2349" w:type="dxa"/>
            <w:shd w:val="clear" w:color="auto" w:fill="auto"/>
            <w:vAlign w:val="bottom"/>
          </w:tcPr>
          <w:p w:rsidRPr="00C52EF9" w:rsidR="007D3D4C" w:rsidP="00033C74" w:rsidRDefault="007D3D4C" w14:paraId="2F53C72F" w14:textId="30236E9A">
            <w:pPr>
              <w:keepNext/>
              <w:keepLines/>
              <w:numPr>
                <w:ilvl w:val="12"/>
                <w:numId w:val="0"/>
              </w:numPr>
              <w:rPr>
                <w:rFonts w:ascii="Calibri" w:hAnsi="Calibri" w:cs="Courier New"/>
                <w:sz w:val="22"/>
                <w:szCs w:val="22"/>
              </w:rPr>
            </w:pPr>
            <w:r w:rsidRPr="00C52EF9">
              <w:rPr>
                <w:rFonts w:ascii="Calibri" w:hAnsi="Calibri" w:cs="Courier New"/>
                <w:sz w:val="22"/>
                <w:szCs w:val="22"/>
              </w:rPr>
              <w:t xml:space="preserve">Form </w:t>
            </w:r>
            <w:r>
              <w:rPr>
                <w:rFonts w:ascii="Calibri" w:hAnsi="Calibri" w:cs="Courier New"/>
                <w:sz w:val="22"/>
                <w:szCs w:val="22"/>
              </w:rPr>
              <w:t>8938</w:t>
            </w:r>
          </w:p>
        </w:tc>
        <w:tc>
          <w:tcPr>
            <w:tcW w:w="1973" w:type="dxa"/>
            <w:shd w:val="clear" w:color="auto" w:fill="auto"/>
          </w:tcPr>
          <w:p w:rsidRPr="00C52EF9" w:rsidR="007D3D4C" w:rsidP="00033C74" w:rsidRDefault="006F44EA" w14:paraId="3C0D1910" w14:textId="3749F49E">
            <w:pPr>
              <w:keepNext/>
              <w:keepLines/>
              <w:jc w:val="center"/>
              <w:rPr>
                <w:rFonts w:ascii="Calibri" w:hAnsi="Calibri" w:cs="Courier New"/>
                <w:sz w:val="22"/>
                <w:szCs w:val="22"/>
              </w:rPr>
            </w:pPr>
            <w:r>
              <w:rPr>
                <w:rFonts w:ascii="Calibri" w:hAnsi="Calibri" w:cs="Courier New"/>
                <w:sz w:val="22"/>
                <w:szCs w:val="22"/>
              </w:rPr>
              <w:t>61,462</w:t>
            </w:r>
          </w:p>
        </w:tc>
        <w:tc>
          <w:tcPr>
            <w:tcW w:w="326" w:type="dxa"/>
            <w:shd w:val="clear" w:color="auto" w:fill="auto"/>
          </w:tcPr>
          <w:p w:rsidRPr="00C52EF9" w:rsidR="007D3D4C" w:rsidP="00033C74" w:rsidRDefault="007D3D4C" w14:paraId="5D873D1F" w14:textId="77777777">
            <w:pPr>
              <w:keepNext/>
              <w:keepLines/>
              <w:jc w:val="center"/>
              <w:rPr>
                <w:rFonts w:ascii="Calibri" w:hAnsi="Calibri" w:cs="Courier New"/>
                <w:sz w:val="22"/>
                <w:szCs w:val="22"/>
              </w:rPr>
            </w:pPr>
            <w:r w:rsidRPr="00C52EF9">
              <w:rPr>
                <w:rFonts w:ascii="Calibri" w:hAnsi="Calibri" w:cs="Courier New"/>
                <w:sz w:val="22"/>
                <w:szCs w:val="22"/>
              </w:rPr>
              <w:t>+</w:t>
            </w:r>
          </w:p>
        </w:tc>
        <w:tc>
          <w:tcPr>
            <w:tcW w:w="1741" w:type="dxa"/>
            <w:shd w:val="clear" w:color="auto" w:fill="auto"/>
          </w:tcPr>
          <w:p w:rsidRPr="00C52EF9" w:rsidR="007D3D4C" w:rsidP="00033C74" w:rsidRDefault="007D3D4C" w14:paraId="2840C4F3" w14:textId="77777777">
            <w:pPr>
              <w:keepNext/>
              <w:keepLines/>
              <w:jc w:val="center"/>
              <w:rPr>
                <w:rFonts w:ascii="Calibri" w:hAnsi="Calibri" w:cs="Courier New"/>
                <w:sz w:val="22"/>
                <w:szCs w:val="22"/>
              </w:rPr>
            </w:pPr>
            <w:r w:rsidRPr="00C52EF9">
              <w:rPr>
                <w:rFonts w:ascii="Calibri" w:hAnsi="Calibri" w:cs="Courier New"/>
                <w:sz w:val="22"/>
                <w:szCs w:val="22"/>
              </w:rPr>
              <w:t>0</w:t>
            </w:r>
          </w:p>
        </w:tc>
        <w:tc>
          <w:tcPr>
            <w:tcW w:w="386" w:type="dxa"/>
            <w:shd w:val="clear" w:color="auto" w:fill="auto"/>
          </w:tcPr>
          <w:p w:rsidRPr="00C52EF9" w:rsidR="007D3D4C" w:rsidP="00033C74" w:rsidRDefault="007D3D4C" w14:paraId="57D06D53" w14:textId="77777777">
            <w:pPr>
              <w:keepNext/>
              <w:keepLines/>
              <w:jc w:val="center"/>
              <w:rPr>
                <w:rFonts w:ascii="Calibri" w:hAnsi="Calibri" w:cs="Courier New"/>
                <w:sz w:val="22"/>
                <w:szCs w:val="22"/>
              </w:rPr>
            </w:pPr>
            <w:r w:rsidRPr="00C52EF9">
              <w:rPr>
                <w:rFonts w:ascii="Calibri" w:hAnsi="Calibri" w:cs="Courier New"/>
                <w:sz w:val="22"/>
                <w:szCs w:val="22"/>
              </w:rPr>
              <w:t>=</w:t>
            </w:r>
          </w:p>
        </w:tc>
        <w:tc>
          <w:tcPr>
            <w:tcW w:w="1580" w:type="dxa"/>
            <w:shd w:val="clear" w:color="auto" w:fill="auto"/>
          </w:tcPr>
          <w:p w:rsidRPr="00C52EF9" w:rsidR="007D3D4C" w:rsidP="00033C74" w:rsidRDefault="006F44EA" w14:paraId="71FEFB31" w14:textId="2B3A137D">
            <w:pPr>
              <w:keepNext/>
              <w:keepLines/>
              <w:jc w:val="center"/>
              <w:rPr>
                <w:rFonts w:ascii="Calibri" w:hAnsi="Calibri" w:cs="Courier New"/>
                <w:sz w:val="22"/>
                <w:szCs w:val="22"/>
              </w:rPr>
            </w:pPr>
            <w:r>
              <w:rPr>
                <w:rFonts w:ascii="Calibri" w:hAnsi="Calibri" w:cs="Courier New"/>
                <w:sz w:val="22"/>
                <w:szCs w:val="22"/>
              </w:rPr>
              <w:t>61,462</w:t>
            </w:r>
          </w:p>
        </w:tc>
      </w:tr>
      <w:tr w:rsidRPr="00C52EF9" w:rsidR="007D3D4C" w:rsidTr="00033C74" w14:paraId="13768706" w14:textId="77777777">
        <w:tc>
          <w:tcPr>
            <w:tcW w:w="2349" w:type="dxa"/>
            <w:shd w:val="clear" w:color="auto" w:fill="auto"/>
            <w:vAlign w:val="bottom"/>
          </w:tcPr>
          <w:p w:rsidRPr="00C52EF9" w:rsidR="007D3D4C" w:rsidP="00033C74" w:rsidRDefault="007D3D4C" w14:paraId="78E3E70F" w14:textId="23FF46CB">
            <w:pPr>
              <w:keepNext/>
              <w:keepLines/>
              <w:numPr>
                <w:ilvl w:val="12"/>
                <w:numId w:val="0"/>
              </w:numPr>
              <w:rPr>
                <w:rFonts w:ascii="Calibri" w:hAnsi="Calibri" w:cs="Courier New"/>
                <w:sz w:val="22"/>
                <w:szCs w:val="22"/>
              </w:rPr>
            </w:pPr>
            <w:r w:rsidRPr="00C52EF9">
              <w:rPr>
                <w:rFonts w:ascii="Calibri" w:hAnsi="Calibri" w:cs="Courier New"/>
                <w:sz w:val="22"/>
                <w:szCs w:val="22"/>
              </w:rPr>
              <w:t xml:space="preserve">Instructions </w:t>
            </w:r>
            <w:r>
              <w:rPr>
                <w:rFonts w:ascii="Calibri" w:hAnsi="Calibri" w:cs="Courier New"/>
                <w:sz w:val="22"/>
                <w:szCs w:val="22"/>
              </w:rPr>
              <w:t>8938</w:t>
            </w:r>
          </w:p>
        </w:tc>
        <w:tc>
          <w:tcPr>
            <w:tcW w:w="1973" w:type="dxa"/>
            <w:shd w:val="clear" w:color="auto" w:fill="auto"/>
          </w:tcPr>
          <w:p w:rsidRPr="00C52EF9" w:rsidR="007D3D4C" w:rsidP="00033C74" w:rsidRDefault="006F44EA" w14:paraId="5A242BED" w14:textId="6E0A5DD3">
            <w:pPr>
              <w:keepNext/>
              <w:keepLines/>
              <w:jc w:val="center"/>
              <w:rPr>
                <w:rFonts w:ascii="Calibri" w:hAnsi="Calibri" w:cs="Courier New"/>
                <w:sz w:val="22"/>
                <w:szCs w:val="22"/>
              </w:rPr>
            </w:pPr>
            <w:r>
              <w:rPr>
                <w:rFonts w:ascii="Calibri" w:hAnsi="Calibri" w:cs="Courier New"/>
                <w:sz w:val="22"/>
                <w:szCs w:val="22"/>
              </w:rPr>
              <w:t>24,146</w:t>
            </w:r>
          </w:p>
        </w:tc>
        <w:tc>
          <w:tcPr>
            <w:tcW w:w="326" w:type="dxa"/>
            <w:shd w:val="clear" w:color="auto" w:fill="auto"/>
          </w:tcPr>
          <w:p w:rsidRPr="00C52EF9" w:rsidR="007D3D4C" w:rsidP="00033C74" w:rsidRDefault="006F44EA" w14:paraId="38B5F824" w14:textId="6791885B">
            <w:pPr>
              <w:keepNext/>
              <w:keepLines/>
              <w:jc w:val="center"/>
              <w:rPr>
                <w:rFonts w:ascii="Calibri" w:hAnsi="Calibri" w:cs="Courier New"/>
                <w:sz w:val="22"/>
                <w:szCs w:val="22"/>
              </w:rPr>
            </w:pPr>
            <w:r>
              <w:rPr>
                <w:rFonts w:ascii="Calibri" w:hAnsi="Calibri" w:cs="Courier New"/>
                <w:sz w:val="22"/>
                <w:szCs w:val="22"/>
              </w:rPr>
              <w:t>+</w:t>
            </w:r>
          </w:p>
        </w:tc>
        <w:tc>
          <w:tcPr>
            <w:tcW w:w="1741" w:type="dxa"/>
            <w:shd w:val="clear" w:color="auto" w:fill="auto"/>
          </w:tcPr>
          <w:p w:rsidRPr="00C52EF9" w:rsidR="007D3D4C" w:rsidP="00033C74" w:rsidRDefault="00C07BD4" w14:paraId="37FD5D23" w14:textId="63C05606">
            <w:pPr>
              <w:keepNext/>
              <w:keepLines/>
              <w:jc w:val="center"/>
              <w:rPr>
                <w:rFonts w:ascii="Calibri" w:hAnsi="Calibri" w:cs="Courier New"/>
                <w:sz w:val="22"/>
                <w:szCs w:val="22"/>
              </w:rPr>
            </w:pPr>
            <w:r>
              <w:rPr>
                <w:rFonts w:ascii="Calibri" w:hAnsi="Calibri" w:cs="Courier New"/>
                <w:sz w:val="22"/>
                <w:szCs w:val="22"/>
              </w:rPr>
              <w:t>0</w:t>
            </w:r>
          </w:p>
        </w:tc>
        <w:tc>
          <w:tcPr>
            <w:tcW w:w="386" w:type="dxa"/>
            <w:shd w:val="clear" w:color="auto" w:fill="auto"/>
          </w:tcPr>
          <w:p w:rsidRPr="00C52EF9" w:rsidR="007D3D4C" w:rsidP="00033C74" w:rsidRDefault="007D3D4C" w14:paraId="0DEADC50" w14:textId="77777777">
            <w:pPr>
              <w:keepNext/>
              <w:keepLines/>
              <w:jc w:val="center"/>
              <w:rPr>
                <w:rFonts w:ascii="Calibri" w:hAnsi="Calibri" w:cs="Courier New"/>
                <w:sz w:val="22"/>
                <w:szCs w:val="22"/>
              </w:rPr>
            </w:pPr>
            <w:r w:rsidRPr="00C52EF9">
              <w:rPr>
                <w:rFonts w:ascii="Calibri" w:hAnsi="Calibri" w:cs="Courier New"/>
                <w:sz w:val="22"/>
                <w:szCs w:val="22"/>
              </w:rPr>
              <w:t>=</w:t>
            </w:r>
          </w:p>
        </w:tc>
        <w:tc>
          <w:tcPr>
            <w:tcW w:w="1580" w:type="dxa"/>
            <w:shd w:val="clear" w:color="auto" w:fill="auto"/>
          </w:tcPr>
          <w:p w:rsidRPr="00C52EF9" w:rsidR="007D3D4C" w:rsidP="00033C74" w:rsidRDefault="006F44EA" w14:paraId="06129F50" w14:textId="1EBE696E">
            <w:pPr>
              <w:keepNext/>
              <w:keepLines/>
              <w:jc w:val="center"/>
              <w:rPr>
                <w:rFonts w:ascii="Calibri" w:hAnsi="Calibri" w:cs="Courier New"/>
                <w:sz w:val="22"/>
                <w:szCs w:val="22"/>
              </w:rPr>
            </w:pPr>
            <w:r>
              <w:rPr>
                <w:rFonts w:ascii="Calibri" w:hAnsi="Calibri" w:cs="Courier New"/>
                <w:sz w:val="22"/>
                <w:szCs w:val="22"/>
              </w:rPr>
              <w:t>24,146</w:t>
            </w:r>
          </w:p>
        </w:tc>
      </w:tr>
      <w:tr w:rsidRPr="00C52EF9" w:rsidR="007D3D4C" w:rsidTr="00033C74" w14:paraId="65E0D48F" w14:textId="77777777">
        <w:tc>
          <w:tcPr>
            <w:tcW w:w="2349" w:type="dxa"/>
            <w:shd w:val="clear" w:color="auto" w:fill="auto"/>
          </w:tcPr>
          <w:p w:rsidRPr="00C52EF9" w:rsidR="007D3D4C" w:rsidP="00033C74" w:rsidRDefault="007D3D4C" w14:paraId="5A86C7EA" w14:textId="77777777">
            <w:pPr>
              <w:keepNext/>
              <w:keepLines/>
              <w:rPr>
                <w:rFonts w:ascii="Calibri" w:hAnsi="Calibri" w:cs="Courier New"/>
                <w:b/>
                <w:sz w:val="22"/>
                <w:szCs w:val="22"/>
              </w:rPr>
            </w:pPr>
            <w:r w:rsidRPr="00C52EF9">
              <w:rPr>
                <w:rFonts w:ascii="Calibri" w:hAnsi="Calibri" w:cs="Courier New"/>
                <w:b/>
                <w:sz w:val="22"/>
                <w:szCs w:val="22"/>
              </w:rPr>
              <w:t>Grand Total</w:t>
            </w:r>
          </w:p>
        </w:tc>
        <w:tc>
          <w:tcPr>
            <w:tcW w:w="1973" w:type="dxa"/>
            <w:shd w:val="clear" w:color="auto" w:fill="auto"/>
          </w:tcPr>
          <w:p w:rsidRPr="00C52EF9" w:rsidR="007D3D4C" w:rsidP="00033C74" w:rsidRDefault="006F44EA" w14:paraId="7FB04A4C" w14:textId="09DF6B85">
            <w:pPr>
              <w:keepNext/>
              <w:keepLines/>
              <w:jc w:val="center"/>
              <w:rPr>
                <w:rFonts w:ascii="Calibri" w:hAnsi="Calibri" w:cs="Courier New"/>
                <w:b/>
                <w:sz w:val="22"/>
                <w:szCs w:val="22"/>
              </w:rPr>
            </w:pPr>
            <w:r>
              <w:rPr>
                <w:rFonts w:ascii="Calibri" w:hAnsi="Calibri" w:cs="Courier New"/>
                <w:b/>
                <w:sz w:val="22"/>
                <w:szCs w:val="22"/>
              </w:rPr>
              <w:t>85,608</w:t>
            </w:r>
          </w:p>
        </w:tc>
        <w:tc>
          <w:tcPr>
            <w:tcW w:w="326" w:type="dxa"/>
            <w:shd w:val="clear" w:color="auto" w:fill="auto"/>
          </w:tcPr>
          <w:p w:rsidRPr="00C52EF9" w:rsidR="007D3D4C" w:rsidP="00033C74" w:rsidRDefault="007D3D4C" w14:paraId="291F5433" w14:textId="77777777">
            <w:pPr>
              <w:keepNext/>
              <w:keepLines/>
              <w:jc w:val="center"/>
              <w:rPr>
                <w:rFonts w:ascii="Calibri" w:hAnsi="Calibri" w:cs="Courier New"/>
                <w:b/>
                <w:sz w:val="22"/>
                <w:szCs w:val="22"/>
              </w:rPr>
            </w:pPr>
          </w:p>
        </w:tc>
        <w:tc>
          <w:tcPr>
            <w:tcW w:w="1741" w:type="dxa"/>
            <w:shd w:val="clear" w:color="auto" w:fill="auto"/>
          </w:tcPr>
          <w:p w:rsidRPr="00C52EF9" w:rsidR="007D3D4C" w:rsidP="00033C74" w:rsidRDefault="007D3D4C" w14:paraId="31EDF57B" w14:textId="77777777">
            <w:pPr>
              <w:keepNext/>
              <w:keepLines/>
              <w:jc w:val="center"/>
              <w:rPr>
                <w:rFonts w:ascii="Calibri" w:hAnsi="Calibri" w:cs="Courier New"/>
                <w:b/>
                <w:sz w:val="22"/>
                <w:szCs w:val="22"/>
              </w:rPr>
            </w:pPr>
          </w:p>
        </w:tc>
        <w:tc>
          <w:tcPr>
            <w:tcW w:w="386" w:type="dxa"/>
            <w:shd w:val="clear" w:color="auto" w:fill="auto"/>
          </w:tcPr>
          <w:p w:rsidRPr="00C52EF9" w:rsidR="007D3D4C" w:rsidP="00033C74" w:rsidRDefault="007D3D4C" w14:paraId="10EF3811" w14:textId="77777777">
            <w:pPr>
              <w:keepNext/>
              <w:keepLines/>
              <w:jc w:val="center"/>
              <w:rPr>
                <w:rFonts w:ascii="Calibri" w:hAnsi="Calibri" w:cs="Courier New"/>
                <w:b/>
                <w:sz w:val="22"/>
                <w:szCs w:val="22"/>
              </w:rPr>
            </w:pPr>
          </w:p>
        </w:tc>
        <w:tc>
          <w:tcPr>
            <w:tcW w:w="1580" w:type="dxa"/>
            <w:shd w:val="clear" w:color="auto" w:fill="auto"/>
          </w:tcPr>
          <w:p w:rsidRPr="00C52EF9" w:rsidR="007D3D4C" w:rsidP="00033C74" w:rsidRDefault="006F44EA" w14:paraId="4446A97C" w14:textId="5B2C7687">
            <w:pPr>
              <w:keepNext/>
              <w:keepLines/>
              <w:jc w:val="center"/>
              <w:rPr>
                <w:rFonts w:ascii="Calibri" w:hAnsi="Calibri" w:cs="Courier New"/>
                <w:b/>
                <w:sz w:val="22"/>
                <w:szCs w:val="22"/>
              </w:rPr>
            </w:pPr>
            <w:r>
              <w:rPr>
                <w:rFonts w:ascii="Calibri" w:hAnsi="Calibri" w:cs="Courier New"/>
                <w:b/>
                <w:sz w:val="22"/>
                <w:szCs w:val="22"/>
              </w:rPr>
              <w:t>85,608</w:t>
            </w:r>
          </w:p>
        </w:tc>
      </w:tr>
      <w:tr w:rsidRPr="00C52EF9" w:rsidR="006F44EA" w:rsidTr="00427F05" w14:paraId="0F435246" w14:textId="77777777">
        <w:tc>
          <w:tcPr>
            <w:tcW w:w="8355" w:type="dxa"/>
            <w:gridSpan w:val="6"/>
            <w:shd w:val="clear" w:color="auto" w:fill="auto"/>
          </w:tcPr>
          <w:p w:rsidRPr="009C28E6" w:rsidR="006F44EA" w:rsidP="009C28E6" w:rsidRDefault="006F44EA" w14:paraId="10F4829C" w14:textId="4E84F107">
            <w:pPr>
              <w:keepNext/>
              <w:keepLines/>
              <w:rPr>
                <w:rFonts w:asciiTheme="minorHAnsi" w:hAnsiTheme="minorHAnsi" w:cstheme="minorHAnsi"/>
                <w:b/>
                <w:sz w:val="20"/>
                <w:szCs w:val="20"/>
              </w:rPr>
            </w:pPr>
            <w:r w:rsidRPr="009C28E6">
              <w:rPr>
                <w:rFonts w:asciiTheme="minorHAnsi" w:hAnsiTheme="minorHAnsi" w:cstheme="minorHAnsi"/>
                <w:sz w:val="20"/>
                <w:szCs w:val="20"/>
              </w:rPr>
              <w:t xml:space="preserve">Table costs are based on 2021 actuals obtained from IRS Chief Financial </w:t>
            </w:r>
            <w:proofErr w:type="spellStart"/>
            <w:r w:rsidRPr="009C28E6">
              <w:rPr>
                <w:rFonts w:asciiTheme="minorHAnsi" w:hAnsiTheme="minorHAnsi" w:cstheme="minorHAnsi"/>
                <w:sz w:val="20"/>
                <w:szCs w:val="20"/>
              </w:rPr>
              <w:t>Office</w:t>
            </w:r>
            <w:proofErr w:type="spellEnd"/>
            <w:r w:rsidRPr="009C28E6">
              <w:rPr>
                <w:rFonts w:asciiTheme="minorHAnsi" w:hAnsiTheme="minorHAnsi" w:cstheme="minorHAnsi"/>
                <w:sz w:val="20"/>
                <w:szCs w:val="20"/>
              </w:rPr>
              <w:t xml:space="preserve"> and Media and Publications</w:t>
            </w:r>
          </w:p>
        </w:tc>
      </w:tr>
    </w:tbl>
    <w:p w:rsidRPr="00DD75FB" w:rsidR="00051A51" w:rsidP="007321C3" w:rsidRDefault="00051A51" w14:paraId="6AEF3B71" w14:textId="13EDE537">
      <w:pPr>
        <w:spacing w:line="268" w:lineRule="exact"/>
        <w:ind w:left="720" w:right="624"/>
        <w:rPr>
          <w:rFonts w:ascii="Arial" w:hAnsi="Arial" w:cs="Arial"/>
        </w:rPr>
      </w:pPr>
    </w:p>
    <w:p w:rsidRPr="00DD75FB" w:rsidR="000B1A00" w:rsidP="00A210A5" w:rsidRDefault="000B1A00" w14:paraId="76C851AA" w14:textId="77777777">
      <w:pPr>
        <w:pStyle w:val="Level1"/>
        <w:rPr>
          <w:rFonts w:ascii="Arial" w:hAnsi="Arial" w:cs="Arial"/>
        </w:rPr>
      </w:pPr>
      <w:r w:rsidRPr="00DD75FB">
        <w:rPr>
          <w:rFonts w:ascii="Arial" w:hAnsi="Arial" w:cs="Arial"/>
          <w:u w:val="single"/>
        </w:rPr>
        <w:t>REASONS FOR CHANGE IN BURDEN</w:t>
      </w:r>
    </w:p>
    <w:p w:rsidRPr="00DD75FB" w:rsidR="000B1A00" w:rsidRDefault="000B1A00" w14:paraId="7DF1CB15" w14:textId="77777777">
      <w:pPr>
        <w:rPr>
          <w:rFonts w:ascii="Arial" w:hAnsi="Arial" w:cs="Arial"/>
        </w:rPr>
      </w:pPr>
    </w:p>
    <w:p w:rsidR="00A353E1" w:rsidP="007D3D4C" w:rsidRDefault="007D3D4C" w14:paraId="4008ED39" w14:textId="4571DA5D">
      <w:pPr>
        <w:ind w:left="720"/>
        <w:rPr>
          <w:rFonts w:ascii="Arial" w:hAnsi="Arial" w:cs="Arial"/>
        </w:rPr>
      </w:pPr>
      <w:r w:rsidRPr="007D3D4C">
        <w:rPr>
          <w:rFonts w:ascii="Arial" w:hAnsi="Arial" w:cs="Arial"/>
        </w:rPr>
        <w:t>There is no change in the paperwork burden previously approved by OMB. We are making this submission to renew the OMB approval</w:t>
      </w:r>
      <w:r>
        <w:rPr>
          <w:rFonts w:ascii="Arial" w:hAnsi="Arial" w:cs="Arial"/>
        </w:rPr>
        <w:t>.</w:t>
      </w:r>
    </w:p>
    <w:p w:rsidRPr="00DD75FB" w:rsidR="007D3D4C" w:rsidP="007D3D4C" w:rsidRDefault="007D3D4C" w14:paraId="3BD2EB4A" w14:textId="77777777">
      <w:pPr>
        <w:ind w:left="720"/>
        <w:rPr>
          <w:rFonts w:ascii="Arial" w:hAnsi="Arial" w:cs="Arial"/>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DD75FB" w:rsidR="00A353E1" w:rsidTr="00A773C4" w14:paraId="364CC769"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318182A4" w14:textId="77777777">
            <w:pPr>
              <w:rPr>
                <w:rFonts w:ascii="Arial" w:hAnsi="Arial" w:cs="Arial"/>
                <w:b/>
                <w:bCs/>
                <w:sz w:val="20"/>
                <w:szCs w:val="20"/>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507DACBD" w14:textId="77777777">
            <w:pPr>
              <w:rPr>
                <w:rFonts w:ascii="Arial" w:hAnsi="Arial" w:cs="Arial"/>
                <w:b/>
                <w:bCs/>
                <w:sz w:val="20"/>
                <w:szCs w:val="20"/>
              </w:rPr>
            </w:pPr>
            <w:r w:rsidRPr="00DD75FB">
              <w:rPr>
                <w:rFonts w:ascii="Arial" w:hAnsi="Arial" w:cs="Arial"/>
                <w:b/>
                <w:bCs/>
                <w:sz w:val="20"/>
                <w:szCs w:val="2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00589C5D" w14:textId="77777777">
            <w:pPr>
              <w:rPr>
                <w:rFonts w:ascii="Arial" w:hAnsi="Arial" w:cs="Arial"/>
                <w:b/>
                <w:bCs/>
                <w:sz w:val="20"/>
                <w:szCs w:val="20"/>
              </w:rPr>
            </w:pPr>
            <w:r w:rsidRPr="00DD75FB">
              <w:rPr>
                <w:rFonts w:ascii="Arial" w:hAnsi="Arial" w:cs="Arial"/>
                <w:b/>
                <w:bCs/>
                <w:sz w:val="20"/>
                <w:szCs w:val="2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62735D1F" w14:textId="77777777">
            <w:pPr>
              <w:rPr>
                <w:rFonts w:ascii="Arial" w:hAnsi="Arial" w:cs="Arial"/>
                <w:b/>
                <w:bCs/>
                <w:sz w:val="20"/>
                <w:szCs w:val="20"/>
              </w:rPr>
            </w:pPr>
            <w:r w:rsidRPr="00DD75FB">
              <w:rPr>
                <w:rFonts w:ascii="Arial" w:hAnsi="Arial" w:cs="Arial"/>
                <w:b/>
                <w:bCs/>
                <w:sz w:val="20"/>
                <w:szCs w:val="2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7EC85716" w14:textId="77777777">
            <w:pPr>
              <w:rPr>
                <w:rFonts w:ascii="Arial" w:hAnsi="Arial" w:cs="Arial"/>
                <w:b/>
                <w:bCs/>
                <w:sz w:val="20"/>
                <w:szCs w:val="20"/>
              </w:rPr>
            </w:pPr>
            <w:r w:rsidRPr="00DD75FB">
              <w:rPr>
                <w:rFonts w:ascii="Arial" w:hAnsi="Arial" w:cs="Arial"/>
                <w:b/>
                <w:bCs/>
                <w:sz w:val="20"/>
                <w:szCs w:val="2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66C1D3A3" w14:textId="77777777">
            <w:pPr>
              <w:rPr>
                <w:rFonts w:ascii="Arial" w:hAnsi="Arial" w:cs="Arial"/>
                <w:b/>
                <w:bCs/>
                <w:sz w:val="20"/>
                <w:szCs w:val="20"/>
              </w:rPr>
            </w:pPr>
            <w:r w:rsidRPr="00DD75FB">
              <w:rPr>
                <w:rFonts w:ascii="Arial" w:hAnsi="Arial" w:cs="Arial"/>
                <w:b/>
                <w:bCs/>
                <w:sz w:val="20"/>
                <w:szCs w:val="2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D75FB" w:rsidR="00A353E1" w:rsidP="00A773C4" w:rsidRDefault="00A353E1" w14:paraId="34E0FCBE" w14:textId="77777777">
            <w:pPr>
              <w:rPr>
                <w:rFonts w:ascii="Arial" w:hAnsi="Arial" w:cs="Arial"/>
                <w:b/>
                <w:bCs/>
                <w:sz w:val="20"/>
                <w:szCs w:val="20"/>
              </w:rPr>
            </w:pPr>
            <w:r w:rsidRPr="00DD75FB">
              <w:rPr>
                <w:rFonts w:ascii="Arial" w:hAnsi="Arial" w:cs="Arial"/>
                <w:b/>
                <w:bCs/>
                <w:sz w:val="20"/>
                <w:szCs w:val="20"/>
              </w:rPr>
              <w:t>Previously Approved</w:t>
            </w:r>
          </w:p>
        </w:tc>
      </w:tr>
      <w:tr w:rsidRPr="00DD75FB" w:rsidR="00A353E1" w:rsidTr="00A773C4" w14:paraId="6E9A9643" w14:textId="77777777">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3A8ADE70" w14:textId="77777777">
            <w:pPr>
              <w:rPr>
                <w:rFonts w:ascii="Arial" w:hAnsi="Arial" w:cs="Arial"/>
                <w:sz w:val="20"/>
                <w:szCs w:val="20"/>
              </w:rPr>
            </w:pPr>
            <w:r w:rsidRPr="00DD75FB">
              <w:rPr>
                <w:rFonts w:ascii="Arial" w:hAnsi="Arial" w:cs="Arial"/>
                <w:sz w:val="20"/>
                <w:szCs w:val="2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7C84399D" w14:textId="77777777">
            <w:pPr>
              <w:rPr>
                <w:rFonts w:ascii="Arial" w:hAnsi="Arial" w:cs="Arial"/>
                <w:sz w:val="20"/>
                <w:szCs w:val="20"/>
              </w:rPr>
            </w:pPr>
            <w:r w:rsidRPr="00DD75FB">
              <w:rPr>
                <w:rFonts w:ascii="Arial" w:hAnsi="Arial" w:cs="Arial"/>
                <w:sz w:val="20"/>
                <w:szCs w:val="20"/>
              </w:rPr>
              <w:t>  350,000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77A32E73"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4A39D9B4"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2861A5D5"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4523B53E"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05ECF5B3" w14:textId="77777777">
            <w:pPr>
              <w:rPr>
                <w:rFonts w:ascii="Arial" w:hAnsi="Arial" w:cs="Arial"/>
                <w:sz w:val="20"/>
                <w:szCs w:val="20"/>
              </w:rPr>
            </w:pPr>
            <w:r w:rsidRPr="00DD75FB">
              <w:rPr>
                <w:rFonts w:ascii="Arial" w:hAnsi="Arial" w:cs="Arial"/>
                <w:sz w:val="20"/>
                <w:szCs w:val="20"/>
              </w:rPr>
              <w:t xml:space="preserve">  </w:t>
            </w:r>
            <w:r w:rsidRPr="00DD75FB" w:rsidR="005F6CB7">
              <w:rPr>
                <w:rFonts w:ascii="Arial" w:hAnsi="Arial" w:cs="Arial"/>
                <w:sz w:val="20"/>
                <w:szCs w:val="20"/>
              </w:rPr>
              <w:t>350,</w:t>
            </w:r>
            <w:r w:rsidRPr="00DD75FB">
              <w:rPr>
                <w:rFonts w:ascii="Arial" w:hAnsi="Arial" w:cs="Arial"/>
                <w:sz w:val="20"/>
                <w:szCs w:val="20"/>
              </w:rPr>
              <w:t>000</w:t>
            </w:r>
          </w:p>
        </w:tc>
      </w:tr>
      <w:tr w:rsidRPr="00DD75FB" w:rsidR="00A353E1" w:rsidTr="00A773C4" w14:paraId="5845BB28" w14:textId="77777777">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3B83780F" w14:textId="77777777">
            <w:pPr>
              <w:rPr>
                <w:rFonts w:ascii="Arial" w:hAnsi="Arial" w:cs="Arial"/>
                <w:sz w:val="20"/>
                <w:szCs w:val="20"/>
              </w:rPr>
            </w:pPr>
            <w:r w:rsidRPr="00DD75FB">
              <w:rPr>
                <w:rFonts w:ascii="Arial" w:hAnsi="Arial" w:cs="Arial"/>
                <w:sz w:val="20"/>
                <w:szCs w:val="20"/>
              </w:rPr>
              <w:t>Annual Time Burden (</w:t>
            </w:r>
            <w:proofErr w:type="spellStart"/>
            <w:r w:rsidRPr="00DD75FB">
              <w:rPr>
                <w:rFonts w:ascii="Arial" w:hAnsi="Arial" w:cs="Arial"/>
                <w:sz w:val="20"/>
                <w:szCs w:val="20"/>
              </w:rPr>
              <w:t>Hr</w:t>
            </w:r>
            <w:proofErr w:type="spellEnd"/>
            <w:r w:rsidRPr="00DD75FB">
              <w:rPr>
                <w:rFonts w:ascii="Arial" w:hAnsi="Arial" w:cs="Arial"/>
                <w:sz w:val="20"/>
                <w:szCs w:val="20"/>
              </w:rPr>
              <w:t>)</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3DA1AAB2" w14:textId="77777777">
            <w:pPr>
              <w:rPr>
                <w:rFonts w:ascii="Arial" w:hAnsi="Arial" w:cs="Arial"/>
                <w:sz w:val="20"/>
                <w:szCs w:val="20"/>
              </w:rPr>
            </w:pPr>
            <w:r w:rsidRPr="00DD75FB">
              <w:rPr>
                <w:rFonts w:ascii="Arial" w:hAnsi="Arial" w:cs="Arial"/>
                <w:sz w:val="20"/>
                <w:szCs w:val="20"/>
              </w:rPr>
              <w:t xml:space="preserve">  </w:t>
            </w:r>
            <w:r w:rsidRPr="00DD75FB" w:rsidR="005F6CB7">
              <w:rPr>
                <w:rFonts w:ascii="Arial" w:hAnsi="Arial" w:cs="Arial"/>
                <w:sz w:val="20"/>
                <w:szCs w:val="20"/>
              </w:rPr>
              <w:t>1,652,000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7E1E40EF"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5F6CB7" w14:paraId="69ADFB98" w14:textId="77777777">
            <w:pPr>
              <w:rPr>
                <w:rFonts w:ascii="Arial" w:hAnsi="Arial" w:cs="Arial"/>
                <w:sz w:val="20"/>
                <w:szCs w:val="20"/>
              </w:rPr>
            </w:pPr>
            <w:r w:rsidRPr="00DD75FB">
              <w:rPr>
                <w:rFonts w:ascii="Arial" w:hAnsi="Arial" w:cs="Arial"/>
                <w:sz w:val="20"/>
                <w:szCs w:val="20"/>
              </w:rPr>
              <w:t xml:space="preserve">  </w:t>
            </w:r>
            <w:r w:rsidR="00DD75FB">
              <w:rPr>
                <w:rFonts w:ascii="Arial" w:hAnsi="Arial" w:cs="Arial"/>
                <w:sz w:val="20"/>
                <w:szCs w:val="20"/>
              </w:rPr>
              <w:t>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5299F047"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76A3A982" w14:textId="77777777">
            <w:pPr>
              <w:rPr>
                <w:rFonts w:ascii="Arial" w:hAnsi="Arial" w:cs="Arial"/>
                <w:sz w:val="20"/>
                <w:szCs w:val="20"/>
              </w:rPr>
            </w:pPr>
            <w:r w:rsidRPr="00DD75FB">
              <w:rPr>
                <w:rFonts w:ascii="Arial" w:hAnsi="Arial" w:cs="Arial"/>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DD75FB" w:rsidR="00A353E1" w:rsidP="00A773C4" w:rsidRDefault="00A353E1" w14:paraId="7FAAD8A2" w14:textId="77777777">
            <w:pPr>
              <w:rPr>
                <w:rFonts w:ascii="Arial" w:hAnsi="Arial" w:cs="Arial"/>
                <w:sz w:val="20"/>
                <w:szCs w:val="20"/>
              </w:rPr>
            </w:pPr>
            <w:r w:rsidRPr="00DD75FB">
              <w:rPr>
                <w:rFonts w:ascii="Arial" w:hAnsi="Arial" w:cs="Arial"/>
                <w:sz w:val="20"/>
                <w:szCs w:val="20"/>
              </w:rPr>
              <w:t xml:space="preserve">  </w:t>
            </w:r>
            <w:r w:rsidRPr="00DD75FB" w:rsidR="005F6CB7">
              <w:rPr>
                <w:rFonts w:ascii="Arial" w:hAnsi="Arial" w:cs="Arial"/>
                <w:sz w:val="20"/>
                <w:szCs w:val="20"/>
              </w:rPr>
              <w:t>1,6</w:t>
            </w:r>
            <w:r w:rsidR="00DD75FB">
              <w:rPr>
                <w:rFonts w:ascii="Arial" w:hAnsi="Arial" w:cs="Arial"/>
                <w:sz w:val="20"/>
                <w:szCs w:val="20"/>
              </w:rPr>
              <w:t>52</w:t>
            </w:r>
            <w:r w:rsidRPr="00DD75FB" w:rsidR="005F6CB7">
              <w:rPr>
                <w:rFonts w:ascii="Arial" w:hAnsi="Arial" w:cs="Arial"/>
                <w:sz w:val="20"/>
                <w:szCs w:val="20"/>
              </w:rPr>
              <w:t>,</w:t>
            </w:r>
            <w:r w:rsidR="00DD75FB">
              <w:rPr>
                <w:rFonts w:ascii="Arial" w:hAnsi="Arial" w:cs="Arial"/>
                <w:sz w:val="20"/>
                <w:szCs w:val="20"/>
              </w:rPr>
              <w:t>0</w:t>
            </w:r>
            <w:r w:rsidRPr="00DD75FB" w:rsidR="005F6CB7">
              <w:rPr>
                <w:rFonts w:ascii="Arial" w:hAnsi="Arial" w:cs="Arial"/>
                <w:sz w:val="20"/>
                <w:szCs w:val="20"/>
              </w:rPr>
              <w:t>00</w:t>
            </w:r>
          </w:p>
        </w:tc>
      </w:tr>
    </w:tbl>
    <w:p w:rsidRPr="00DD75FB" w:rsidR="00A353E1" w:rsidP="00A353E1" w:rsidRDefault="00A353E1" w14:paraId="0629D490" w14:textId="77777777">
      <w:pPr>
        <w:ind w:left="540"/>
        <w:rPr>
          <w:rFonts w:ascii="Arial" w:hAnsi="Arial" w:cs="Arial"/>
        </w:rPr>
      </w:pPr>
    </w:p>
    <w:p w:rsidRPr="00DD75FB" w:rsidR="000B1A00" w:rsidP="00A210A5" w:rsidRDefault="000B1A00" w14:paraId="0DCC426D" w14:textId="77777777">
      <w:pPr>
        <w:pStyle w:val="Level1"/>
        <w:rPr>
          <w:rFonts w:ascii="Arial" w:hAnsi="Arial" w:cs="Arial"/>
        </w:rPr>
      </w:pPr>
      <w:r w:rsidRPr="00DD75FB">
        <w:rPr>
          <w:rFonts w:ascii="Arial" w:hAnsi="Arial" w:cs="Arial"/>
          <w:u w:val="single"/>
        </w:rPr>
        <w:t>PLANS FOR TABULATION, STATISTICAL ANALYSIS AND PUBLICATION</w:t>
      </w:r>
    </w:p>
    <w:p w:rsidRPr="00DD75FB" w:rsidR="000B1A00" w:rsidRDefault="000B1A00" w14:paraId="701D0638" w14:textId="77777777">
      <w:pPr>
        <w:rPr>
          <w:rFonts w:ascii="Arial" w:hAnsi="Arial" w:cs="Arial"/>
        </w:rPr>
      </w:pPr>
    </w:p>
    <w:p w:rsidRPr="00DD75FB" w:rsidR="00A9406B" w:rsidP="00A2739E" w:rsidRDefault="00A9406B" w14:paraId="24847C25" w14:textId="77777777">
      <w:pPr>
        <w:ind w:left="720"/>
        <w:rPr>
          <w:rFonts w:ascii="Arial" w:hAnsi="Arial" w:cs="Arial"/>
        </w:rPr>
      </w:pPr>
      <w:r w:rsidRPr="00DD75FB">
        <w:rPr>
          <w:rFonts w:ascii="Arial" w:hAnsi="Arial" w:cs="Arial"/>
        </w:rPr>
        <w:t>There are no plans for tabulation, statistical analysis, and publication.</w:t>
      </w:r>
    </w:p>
    <w:p w:rsidRPr="00DD75FB" w:rsidR="000B1A00" w:rsidP="00A210A5" w:rsidRDefault="000B1A00" w14:paraId="099B5D34" w14:textId="77777777">
      <w:pPr>
        <w:rPr>
          <w:rFonts w:ascii="Arial" w:hAnsi="Arial" w:cs="Arial"/>
        </w:rPr>
      </w:pPr>
    </w:p>
    <w:p w:rsidRPr="00DD75FB" w:rsidR="000B1A00" w:rsidRDefault="000B1A00" w14:paraId="28534B7D" w14:textId="77777777">
      <w:pPr>
        <w:pStyle w:val="Level1"/>
        <w:tabs>
          <w:tab w:val="left" w:pos="-1440"/>
          <w:tab w:val="num" w:pos="720"/>
        </w:tabs>
        <w:rPr>
          <w:rFonts w:ascii="Arial" w:hAnsi="Arial" w:cs="Arial"/>
        </w:rPr>
      </w:pPr>
      <w:r w:rsidRPr="00DD75FB">
        <w:rPr>
          <w:rFonts w:ascii="Arial" w:hAnsi="Arial" w:cs="Arial"/>
          <w:u w:val="single"/>
        </w:rPr>
        <w:t>REASONS WHY DISPLAYING THE OMB EXPIRATION DATE IS</w:t>
      </w:r>
      <w:r w:rsidRPr="00DD75FB">
        <w:rPr>
          <w:rFonts w:ascii="Arial" w:hAnsi="Arial" w:cs="Arial"/>
        </w:rPr>
        <w:t xml:space="preserve">      </w:t>
      </w:r>
      <w:r w:rsidRPr="00DD75FB">
        <w:rPr>
          <w:rFonts w:ascii="Arial" w:hAnsi="Arial" w:cs="Arial"/>
          <w:u w:val="single"/>
        </w:rPr>
        <w:t>INAPPROPRIATE</w:t>
      </w:r>
    </w:p>
    <w:p w:rsidRPr="00DD75FB" w:rsidR="000B1A00" w:rsidRDefault="000B1A00" w14:paraId="1E83CBB6" w14:textId="77777777">
      <w:pPr>
        <w:rPr>
          <w:rFonts w:ascii="Arial" w:hAnsi="Arial" w:cs="Arial"/>
        </w:rPr>
      </w:pPr>
    </w:p>
    <w:p w:rsidRPr="00DD75FB" w:rsidR="00A9406B" w:rsidP="00A9406B" w:rsidRDefault="00A9406B" w14:paraId="412ABBAA" w14:textId="77777777">
      <w:pPr>
        <w:ind w:left="720"/>
        <w:rPr>
          <w:rFonts w:ascii="Arial" w:hAnsi="Arial" w:cs="Arial"/>
        </w:rPr>
      </w:pPr>
      <w:r w:rsidRPr="00DD75FB">
        <w:rPr>
          <w:rFonts w:ascii="Arial" w:hAnsi="Arial" w:cs="Arial"/>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DD75FB" w:rsidR="00A9406B" w:rsidP="00A9406B" w:rsidRDefault="00A9406B" w14:paraId="1F6E4B97" w14:textId="77777777">
      <w:pPr>
        <w:ind w:left="720"/>
        <w:rPr>
          <w:rFonts w:ascii="Arial" w:hAnsi="Arial" w:cs="Arial"/>
        </w:rPr>
      </w:pPr>
    </w:p>
    <w:p w:rsidRPr="00DD75FB" w:rsidR="000B1A00" w:rsidP="00E5322C" w:rsidRDefault="000B1A00" w14:paraId="6556A9BC" w14:textId="77777777">
      <w:pPr>
        <w:pStyle w:val="Level1"/>
        <w:tabs>
          <w:tab w:val="left" w:pos="-1440"/>
          <w:tab w:val="num" w:pos="720"/>
        </w:tabs>
        <w:rPr>
          <w:rFonts w:ascii="Arial" w:hAnsi="Arial" w:cs="Arial"/>
        </w:rPr>
      </w:pPr>
      <w:r w:rsidRPr="00DD75FB">
        <w:rPr>
          <w:rFonts w:ascii="Arial" w:hAnsi="Arial" w:cs="Arial"/>
          <w:u w:val="single"/>
        </w:rPr>
        <w:t xml:space="preserve">EXCEPTIONS TO THE CERTIFICATION STATEMENT </w:t>
      </w:r>
    </w:p>
    <w:p w:rsidRPr="00DD75FB" w:rsidR="00A9406B" w:rsidP="00A9406B" w:rsidRDefault="00A9406B" w14:paraId="48BA6EE2" w14:textId="77777777">
      <w:pPr>
        <w:pStyle w:val="Level1"/>
        <w:numPr>
          <w:ilvl w:val="0"/>
          <w:numId w:val="0"/>
        </w:numPr>
        <w:tabs>
          <w:tab w:val="left" w:pos="-1440"/>
        </w:tabs>
        <w:ind w:left="720"/>
        <w:rPr>
          <w:rFonts w:ascii="Arial" w:hAnsi="Arial" w:cs="Arial"/>
        </w:rPr>
      </w:pPr>
    </w:p>
    <w:p w:rsidRPr="00DD75FB" w:rsidR="000B1A00" w:rsidP="00C07BD4" w:rsidRDefault="00A9406B" w14:paraId="392930E3" w14:textId="1B4E1348">
      <w:pPr>
        <w:ind w:firstLine="720"/>
        <w:rPr>
          <w:rFonts w:ascii="Arial" w:hAnsi="Arial" w:cs="Arial"/>
        </w:rPr>
      </w:pPr>
      <w:r w:rsidRPr="00DD75FB">
        <w:rPr>
          <w:rFonts w:ascii="Arial" w:hAnsi="Arial" w:cs="Arial"/>
        </w:rPr>
        <w:t>There are no exceptions to the certification statement.</w:t>
      </w:r>
    </w:p>
    <w:p w:rsidRPr="00DD75FB" w:rsidR="00A210A5" w:rsidRDefault="00A210A5" w14:paraId="7C45556B" w14:textId="77777777">
      <w:pPr>
        <w:rPr>
          <w:rFonts w:ascii="Arial" w:hAnsi="Arial" w:cs="Arial"/>
        </w:rPr>
      </w:pPr>
    </w:p>
    <w:p w:rsidRPr="00DD75FB" w:rsidR="00A9406B" w:rsidP="00A9406B" w:rsidRDefault="00A9406B" w14:paraId="0AEAEBBA" w14:textId="77777777">
      <w:pPr>
        <w:rPr>
          <w:rFonts w:ascii="Arial" w:hAnsi="Arial" w:cs="Arial"/>
        </w:rPr>
      </w:pPr>
      <w:r w:rsidRPr="00DD75FB">
        <w:rPr>
          <w:rFonts w:ascii="Arial" w:hAnsi="Arial" w:cs="Arial"/>
          <w:bCs/>
          <w:u w:val="single"/>
        </w:rPr>
        <w:t>Note:</w:t>
      </w:r>
      <w:r w:rsidRPr="00DD75FB">
        <w:rPr>
          <w:rFonts w:ascii="Arial" w:hAnsi="Arial" w:cs="Arial"/>
        </w:rPr>
        <w:t xml:space="preserve">  The following paragraph applies to </w:t>
      </w:r>
      <w:proofErr w:type="gramStart"/>
      <w:r w:rsidRPr="00DD75FB">
        <w:rPr>
          <w:rFonts w:ascii="Arial" w:hAnsi="Arial" w:cs="Arial"/>
        </w:rPr>
        <w:t>all of</w:t>
      </w:r>
      <w:proofErr w:type="gramEnd"/>
      <w:r w:rsidRPr="00DD75FB">
        <w:rPr>
          <w:rFonts w:ascii="Arial" w:hAnsi="Arial" w:cs="Arial"/>
        </w:rPr>
        <w:t xml:space="preserve"> the collections of information in this </w:t>
      </w:r>
      <w:r w:rsidRPr="00DD75FB">
        <w:rPr>
          <w:rFonts w:ascii="Arial" w:hAnsi="Arial" w:cs="Arial"/>
        </w:rPr>
        <w:lastRenderedPageBreak/>
        <w:t>submission:</w:t>
      </w:r>
    </w:p>
    <w:p w:rsidRPr="00DD75FB" w:rsidR="00A9406B" w:rsidP="00A9406B" w:rsidRDefault="00A9406B" w14:paraId="7161E9CD" w14:textId="77777777">
      <w:pPr>
        <w:rPr>
          <w:rFonts w:ascii="Arial" w:hAnsi="Arial" w:cs="Arial"/>
        </w:rPr>
      </w:pPr>
    </w:p>
    <w:p w:rsidRPr="00DD75FB" w:rsidR="00A9406B" w:rsidP="00A9406B" w:rsidRDefault="00A9406B" w14:paraId="54535642" w14:textId="77777777">
      <w:pPr>
        <w:rPr>
          <w:rFonts w:ascii="Arial" w:hAnsi="Arial" w:cs="Arial"/>
        </w:rPr>
      </w:pPr>
      <w:r w:rsidRPr="00DD75FB">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D75FB">
        <w:rPr>
          <w:rFonts w:ascii="Arial" w:hAnsi="Arial" w:cs="Arial"/>
        </w:rPr>
        <w:t>as long as</w:t>
      </w:r>
      <w:proofErr w:type="gramEnd"/>
      <w:r w:rsidRPr="00DD75FB">
        <w:rPr>
          <w:rFonts w:ascii="Arial" w:hAnsi="Arial" w:cs="Arial"/>
        </w:rPr>
        <w:t xml:space="preserve"> their contents may become material in the administration of any internal revenue law.  Generally, tax returns and tax return information are confidential, as required by 26 U.S.C. 6103.</w:t>
      </w:r>
      <w:r w:rsidRPr="00DD75FB">
        <w:rPr>
          <w:rFonts w:ascii="Arial" w:hAnsi="Arial" w:cs="Arial"/>
        </w:rPr>
        <w:tab/>
        <w:t xml:space="preserve">  </w:t>
      </w:r>
    </w:p>
    <w:p w:rsidRPr="00DD75FB" w:rsidR="000B1A00" w:rsidP="00A9406B" w:rsidRDefault="000B1A00" w14:paraId="1C20F453" w14:textId="77777777">
      <w:pPr>
        <w:ind w:left="720"/>
        <w:rPr>
          <w:rFonts w:ascii="Arial" w:hAnsi="Arial" w:cs="Arial"/>
        </w:rPr>
      </w:pPr>
    </w:p>
    <w:sectPr w:rsidRPr="00DD75FB" w:rsidR="000B1A00" w:rsidSect="009C28E6">
      <w:headerReference w:type="default" r:id="rId8"/>
      <w:type w:val="continuous"/>
      <w:pgSz w:w="12240" w:h="15840"/>
      <w:pgMar w:top="1350" w:right="1440" w:bottom="126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D3A6A" w14:textId="77777777" w:rsidR="00453660" w:rsidRDefault="00453660">
      <w:r>
        <w:separator/>
      </w:r>
    </w:p>
  </w:endnote>
  <w:endnote w:type="continuationSeparator" w:id="0">
    <w:p w14:paraId="635EAF42" w14:textId="77777777" w:rsidR="00453660" w:rsidRDefault="0045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5F348" w14:textId="77777777" w:rsidR="00453660" w:rsidRDefault="00453660">
      <w:r>
        <w:separator/>
      </w:r>
    </w:p>
  </w:footnote>
  <w:footnote w:type="continuationSeparator" w:id="0">
    <w:p w14:paraId="2D715601" w14:textId="77777777" w:rsidR="00453660" w:rsidRDefault="0045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C9931" w14:textId="77777777" w:rsidR="002B457D" w:rsidRDefault="002B457D">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8E1C21">
      <w:rPr>
        <w:rFonts w:cs="Courier"/>
        <w:noProof/>
      </w:rPr>
      <w:t>2</w:t>
    </w:r>
    <w:r>
      <w:rPr>
        <w:rFonts w:cs="Courier"/>
      </w:rPr>
      <w:fldChar w:fldCharType="end"/>
    </w:r>
  </w:p>
  <w:p w14:paraId="53ADAA3E" w14:textId="77777777" w:rsidR="002B457D" w:rsidRDefault="002B457D"/>
  <w:p w14:paraId="4868E444" w14:textId="77777777" w:rsidR="002B457D" w:rsidRDefault="002B45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2001E"/>
    <w:rsid w:val="00051A51"/>
    <w:rsid w:val="00094026"/>
    <w:rsid w:val="000B1A00"/>
    <w:rsid w:val="001A5CAC"/>
    <w:rsid w:val="001A61B2"/>
    <w:rsid w:val="001C2525"/>
    <w:rsid w:val="001D3F67"/>
    <w:rsid w:val="001D59E4"/>
    <w:rsid w:val="002300A6"/>
    <w:rsid w:val="002B457D"/>
    <w:rsid w:val="002C2E03"/>
    <w:rsid w:val="002D0652"/>
    <w:rsid w:val="002E71C9"/>
    <w:rsid w:val="00310505"/>
    <w:rsid w:val="00324959"/>
    <w:rsid w:val="00351786"/>
    <w:rsid w:val="003521C2"/>
    <w:rsid w:val="00356E21"/>
    <w:rsid w:val="003A6453"/>
    <w:rsid w:val="004431AB"/>
    <w:rsid w:val="004531F2"/>
    <w:rsid w:val="00453660"/>
    <w:rsid w:val="00461DC4"/>
    <w:rsid w:val="00500942"/>
    <w:rsid w:val="00526EE0"/>
    <w:rsid w:val="00553898"/>
    <w:rsid w:val="00590CC6"/>
    <w:rsid w:val="005E7F1A"/>
    <w:rsid w:val="005F6CB7"/>
    <w:rsid w:val="00644232"/>
    <w:rsid w:val="006A7CC4"/>
    <w:rsid w:val="006B5BFC"/>
    <w:rsid w:val="006C04D1"/>
    <w:rsid w:val="006C2240"/>
    <w:rsid w:val="006D12A0"/>
    <w:rsid w:val="006F44EA"/>
    <w:rsid w:val="00701DAA"/>
    <w:rsid w:val="007124A7"/>
    <w:rsid w:val="00715C29"/>
    <w:rsid w:val="007321C3"/>
    <w:rsid w:val="0075677E"/>
    <w:rsid w:val="007976BA"/>
    <w:rsid w:val="007D1DF3"/>
    <w:rsid w:val="007D3D4C"/>
    <w:rsid w:val="008040CF"/>
    <w:rsid w:val="0082754F"/>
    <w:rsid w:val="008530C5"/>
    <w:rsid w:val="00863C86"/>
    <w:rsid w:val="008777AA"/>
    <w:rsid w:val="00890A57"/>
    <w:rsid w:val="008E1C21"/>
    <w:rsid w:val="00920CC5"/>
    <w:rsid w:val="00945771"/>
    <w:rsid w:val="009C28E6"/>
    <w:rsid w:val="00A210A5"/>
    <w:rsid w:val="00A2739E"/>
    <w:rsid w:val="00A30C99"/>
    <w:rsid w:val="00A33E9E"/>
    <w:rsid w:val="00A353E1"/>
    <w:rsid w:val="00A45854"/>
    <w:rsid w:val="00A47D33"/>
    <w:rsid w:val="00A773C4"/>
    <w:rsid w:val="00A9406B"/>
    <w:rsid w:val="00AC1441"/>
    <w:rsid w:val="00AC4B66"/>
    <w:rsid w:val="00AD6DD7"/>
    <w:rsid w:val="00B53610"/>
    <w:rsid w:val="00B62707"/>
    <w:rsid w:val="00B76B70"/>
    <w:rsid w:val="00B850C3"/>
    <w:rsid w:val="00B86FDE"/>
    <w:rsid w:val="00BF3136"/>
    <w:rsid w:val="00C05E7A"/>
    <w:rsid w:val="00C07BD4"/>
    <w:rsid w:val="00C63158"/>
    <w:rsid w:val="00C92AF8"/>
    <w:rsid w:val="00CD798B"/>
    <w:rsid w:val="00D73046"/>
    <w:rsid w:val="00D90175"/>
    <w:rsid w:val="00DA487C"/>
    <w:rsid w:val="00DC2A90"/>
    <w:rsid w:val="00DD75FB"/>
    <w:rsid w:val="00E5322C"/>
    <w:rsid w:val="00E832FF"/>
    <w:rsid w:val="00E9545F"/>
    <w:rsid w:val="00EA7D18"/>
    <w:rsid w:val="00EB1F8B"/>
    <w:rsid w:val="00EE38D9"/>
    <w:rsid w:val="00EF0E4C"/>
    <w:rsid w:val="00F020E8"/>
    <w:rsid w:val="00F36640"/>
    <w:rsid w:val="00F526ED"/>
    <w:rsid w:val="00F9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331D29"/>
  <w15:chartTrackingRefBased/>
  <w15:docId w15:val="{EB68D5E3-3D7D-4956-B1EC-04B4E061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character" w:styleId="Hyperlink">
    <w:name w:val="Hyperlink"/>
    <w:rsid w:val="00E832FF"/>
    <w:rPr>
      <w:color w:val="0000FF"/>
      <w:u w:val="single"/>
    </w:rPr>
  </w:style>
  <w:style w:type="character" w:styleId="CommentReference">
    <w:name w:val="annotation reference"/>
    <w:rsid w:val="00094026"/>
    <w:rPr>
      <w:sz w:val="16"/>
      <w:szCs w:val="16"/>
    </w:rPr>
  </w:style>
  <w:style w:type="paragraph" w:styleId="CommentText">
    <w:name w:val="annotation text"/>
    <w:basedOn w:val="Normal"/>
    <w:link w:val="CommentTextChar"/>
    <w:rsid w:val="00094026"/>
    <w:rPr>
      <w:sz w:val="20"/>
      <w:szCs w:val="20"/>
    </w:rPr>
  </w:style>
  <w:style w:type="character" w:customStyle="1" w:styleId="CommentTextChar">
    <w:name w:val="Comment Text Char"/>
    <w:link w:val="CommentText"/>
    <w:rsid w:val="00094026"/>
    <w:rPr>
      <w:rFonts w:ascii="Courier" w:hAnsi="Courier"/>
    </w:rPr>
  </w:style>
  <w:style w:type="paragraph" w:styleId="CommentSubject">
    <w:name w:val="annotation subject"/>
    <w:basedOn w:val="CommentText"/>
    <w:next w:val="CommentText"/>
    <w:link w:val="CommentSubjectChar"/>
    <w:rsid w:val="00094026"/>
    <w:rPr>
      <w:b/>
      <w:bCs/>
    </w:rPr>
  </w:style>
  <w:style w:type="character" w:customStyle="1" w:styleId="CommentSubjectChar">
    <w:name w:val="Comment Subject Char"/>
    <w:link w:val="CommentSubject"/>
    <w:rsid w:val="00094026"/>
    <w:rPr>
      <w:rFonts w:ascii="Courier" w:hAnsi="Courier"/>
      <w:b/>
      <w:bCs/>
    </w:rPr>
  </w:style>
  <w:style w:type="paragraph" w:styleId="BalloonText">
    <w:name w:val="Balloon Text"/>
    <w:basedOn w:val="Normal"/>
    <w:link w:val="BalloonTextChar"/>
    <w:rsid w:val="00094026"/>
    <w:rPr>
      <w:rFonts w:ascii="Tahoma" w:hAnsi="Tahoma" w:cs="Tahoma"/>
      <w:sz w:val="16"/>
      <w:szCs w:val="16"/>
    </w:rPr>
  </w:style>
  <w:style w:type="character" w:customStyle="1" w:styleId="BalloonTextChar">
    <w:name w:val="Balloon Text Char"/>
    <w:link w:val="BalloonText"/>
    <w:rsid w:val="00094026"/>
    <w:rPr>
      <w:rFonts w:ascii="Tahoma" w:hAnsi="Tahoma" w:cs="Tahoma"/>
      <w:sz w:val="16"/>
      <w:szCs w:val="16"/>
    </w:rPr>
  </w:style>
  <w:style w:type="character" w:styleId="UnresolvedMention">
    <w:name w:val="Unresolved Mention"/>
    <w:basedOn w:val="DefaultParagraphFont"/>
    <w:uiPriority w:val="99"/>
    <w:semiHidden/>
    <w:unhideWhenUsed/>
    <w:rsid w:val="001A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3354">
      <w:bodyDiv w:val="1"/>
      <w:marLeft w:val="0"/>
      <w:marRight w:val="0"/>
      <w:marTop w:val="0"/>
      <w:marBottom w:val="0"/>
      <w:divBdr>
        <w:top w:val="none" w:sz="0" w:space="0" w:color="auto"/>
        <w:left w:val="none" w:sz="0" w:space="0" w:color="auto"/>
        <w:bottom w:val="none" w:sz="0" w:space="0" w:color="auto"/>
        <w:right w:val="none" w:sz="0" w:space="0" w:color="auto"/>
      </w:divBdr>
    </w:div>
    <w:div w:id="37171810">
      <w:bodyDiv w:val="1"/>
      <w:marLeft w:val="0"/>
      <w:marRight w:val="0"/>
      <w:marTop w:val="0"/>
      <w:marBottom w:val="0"/>
      <w:divBdr>
        <w:top w:val="none" w:sz="0" w:space="0" w:color="auto"/>
        <w:left w:val="none" w:sz="0" w:space="0" w:color="auto"/>
        <w:bottom w:val="none" w:sz="0" w:space="0" w:color="auto"/>
        <w:right w:val="none" w:sz="0" w:space="0" w:color="auto"/>
      </w:divBdr>
    </w:div>
    <w:div w:id="37901899">
      <w:bodyDiv w:val="1"/>
      <w:marLeft w:val="0"/>
      <w:marRight w:val="0"/>
      <w:marTop w:val="0"/>
      <w:marBottom w:val="0"/>
      <w:divBdr>
        <w:top w:val="none" w:sz="0" w:space="0" w:color="auto"/>
        <w:left w:val="none" w:sz="0" w:space="0" w:color="auto"/>
        <w:bottom w:val="none" w:sz="0" w:space="0" w:color="auto"/>
        <w:right w:val="none" w:sz="0" w:space="0" w:color="auto"/>
      </w:divBdr>
    </w:div>
    <w:div w:id="352851967">
      <w:bodyDiv w:val="1"/>
      <w:marLeft w:val="0"/>
      <w:marRight w:val="0"/>
      <w:marTop w:val="0"/>
      <w:marBottom w:val="0"/>
      <w:divBdr>
        <w:top w:val="none" w:sz="0" w:space="0" w:color="auto"/>
        <w:left w:val="none" w:sz="0" w:space="0" w:color="auto"/>
        <w:bottom w:val="none" w:sz="0" w:space="0" w:color="auto"/>
        <w:right w:val="none" w:sz="0" w:space="0" w:color="auto"/>
      </w:divBdr>
    </w:div>
    <w:div w:id="444465629">
      <w:bodyDiv w:val="1"/>
      <w:marLeft w:val="0"/>
      <w:marRight w:val="0"/>
      <w:marTop w:val="0"/>
      <w:marBottom w:val="0"/>
      <w:divBdr>
        <w:top w:val="none" w:sz="0" w:space="0" w:color="auto"/>
        <w:left w:val="none" w:sz="0" w:space="0" w:color="auto"/>
        <w:bottom w:val="none" w:sz="0" w:space="0" w:color="auto"/>
        <w:right w:val="none" w:sz="0" w:space="0" w:color="auto"/>
      </w:divBdr>
    </w:div>
    <w:div w:id="829367746">
      <w:bodyDiv w:val="1"/>
      <w:marLeft w:val="0"/>
      <w:marRight w:val="0"/>
      <w:marTop w:val="0"/>
      <w:marBottom w:val="0"/>
      <w:divBdr>
        <w:top w:val="none" w:sz="0" w:space="0" w:color="auto"/>
        <w:left w:val="none" w:sz="0" w:space="0" w:color="auto"/>
        <w:bottom w:val="none" w:sz="0" w:space="0" w:color="auto"/>
        <w:right w:val="none" w:sz="0" w:space="0" w:color="auto"/>
      </w:divBdr>
    </w:div>
    <w:div w:id="988242669">
      <w:bodyDiv w:val="1"/>
      <w:marLeft w:val="0"/>
      <w:marRight w:val="0"/>
      <w:marTop w:val="0"/>
      <w:marBottom w:val="0"/>
      <w:divBdr>
        <w:top w:val="none" w:sz="0" w:space="0" w:color="auto"/>
        <w:left w:val="none" w:sz="0" w:space="0" w:color="auto"/>
        <w:bottom w:val="none" w:sz="0" w:space="0" w:color="auto"/>
        <w:right w:val="none" w:sz="0" w:space="0" w:color="auto"/>
      </w:divBdr>
    </w:div>
    <w:div w:id="1128550353">
      <w:bodyDiv w:val="1"/>
      <w:marLeft w:val="0"/>
      <w:marRight w:val="0"/>
      <w:marTop w:val="0"/>
      <w:marBottom w:val="0"/>
      <w:divBdr>
        <w:top w:val="none" w:sz="0" w:space="0" w:color="auto"/>
        <w:left w:val="none" w:sz="0" w:space="0" w:color="auto"/>
        <w:bottom w:val="none" w:sz="0" w:space="0" w:color="auto"/>
        <w:right w:val="none" w:sz="0" w:space="0" w:color="auto"/>
      </w:divBdr>
    </w:div>
    <w:div w:id="1303463823">
      <w:bodyDiv w:val="1"/>
      <w:marLeft w:val="0"/>
      <w:marRight w:val="0"/>
      <w:marTop w:val="0"/>
      <w:marBottom w:val="0"/>
      <w:divBdr>
        <w:top w:val="none" w:sz="0" w:space="0" w:color="auto"/>
        <w:left w:val="none" w:sz="0" w:space="0" w:color="auto"/>
        <w:bottom w:val="none" w:sz="0" w:space="0" w:color="auto"/>
        <w:right w:val="none" w:sz="0" w:space="0" w:color="auto"/>
      </w:divBdr>
    </w:div>
    <w:div w:id="1380085156">
      <w:bodyDiv w:val="1"/>
      <w:marLeft w:val="0"/>
      <w:marRight w:val="0"/>
      <w:marTop w:val="0"/>
      <w:marBottom w:val="0"/>
      <w:divBdr>
        <w:top w:val="none" w:sz="0" w:space="0" w:color="auto"/>
        <w:left w:val="none" w:sz="0" w:space="0" w:color="auto"/>
        <w:bottom w:val="none" w:sz="0" w:space="0" w:color="auto"/>
        <w:right w:val="none" w:sz="0" w:space="0" w:color="auto"/>
      </w:divBdr>
    </w:div>
    <w:div w:id="17220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1177</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#1545-2195 supporting statement</vt:lpstr>
    </vt:vector>
  </TitlesOfParts>
  <Company>Department of the Treasury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#1545-2195 supporting statement</dc:title>
  <dc:subject>Form 8938</dc:subject>
  <dc:creator>Internal Revenue Service</dc:creator>
  <cp:keywords/>
  <dc:description>ICR reference number 201312-1545-026</dc:description>
  <cp:lastModifiedBy>Durbala R Joseph</cp:lastModifiedBy>
  <cp:revision>3</cp:revision>
  <dcterms:created xsi:type="dcterms:W3CDTF">2022-02-14T15:28:00Z</dcterms:created>
  <dcterms:modified xsi:type="dcterms:W3CDTF">2022-02-15T12:40:00Z</dcterms:modified>
</cp:coreProperties>
</file>