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3763" w:rsidR="00A04A7F" w:rsidRDefault="00A04A7F" w14:paraId="356D5034" w14:textId="77777777">
      <w:pPr>
        <w:pStyle w:val="Title"/>
        <w:rPr>
          <w:rFonts w:ascii="Arial" w:hAnsi="Arial" w:cs="Arial"/>
          <w:sz w:val="24"/>
          <w:szCs w:val="24"/>
        </w:rPr>
      </w:pPr>
      <w:r w:rsidRPr="00843763">
        <w:rPr>
          <w:rFonts w:ascii="Arial" w:hAnsi="Arial" w:cs="Arial"/>
          <w:sz w:val="24"/>
          <w:szCs w:val="24"/>
        </w:rPr>
        <w:t>Supporting Statement</w:t>
      </w:r>
    </w:p>
    <w:p w:rsidRPr="00843763" w:rsidR="00A04A7F" w:rsidRDefault="00A04A7F" w14:paraId="3DAAB747" w14:textId="77777777">
      <w:pPr>
        <w:widowControl w:val="0"/>
        <w:tabs>
          <w:tab w:val="left" w:pos="1008"/>
          <w:tab w:val="center" w:pos="4752"/>
          <w:tab w:val="left" w:pos="5040"/>
        </w:tabs>
        <w:jc w:val="center"/>
        <w:rPr>
          <w:rFonts w:ascii="Arial" w:hAnsi="Arial" w:cs="Arial"/>
          <w:b/>
          <w:sz w:val="24"/>
          <w:szCs w:val="24"/>
        </w:rPr>
      </w:pPr>
      <w:r w:rsidRPr="00843763">
        <w:rPr>
          <w:rFonts w:ascii="Arial" w:hAnsi="Arial" w:cs="Arial"/>
          <w:b/>
          <w:sz w:val="24"/>
          <w:szCs w:val="24"/>
        </w:rPr>
        <w:t>for</w:t>
      </w:r>
    </w:p>
    <w:p w:rsidRPr="00843763" w:rsidR="00A04A7F" w:rsidP="00185EA8" w:rsidRDefault="00A04A7F" w14:paraId="5945F735" w14:textId="77777777">
      <w:pPr>
        <w:jc w:val="center"/>
        <w:rPr>
          <w:rFonts w:ascii="Arial" w:hAnsi="Arial" w:cs="Arial"/>
          <w:b/>
          <w:sz w:val="24"/>
          <w:szCs w:val="24"/>
        </w:rPr>
      </w:pPr>
      <w:r w:rsidRPr="00843763">
        <w:rPr>
          <w:rFonts w:ascii="Arial" w:hAnsi="Arial" w:cs="Arial"/>
          <w:b/>
          <w:sz w:val="24"/>
          <w:szCs w:val="24"/>
        </w:rPr>
        <w:t>Adequacy Certification for Reception Facilities</w:t>
      </w:r>
    </w:p>
    <w:p w:rsidRPr="00843763" w:rsidR="00A04A7F" w:rsidP="00185EA8" w:rsidRDefault="00A04A7F" w14:paraId="6C2992FA" w14:textId="77777777">
      <w:pPr>
        <w:jc w:val="center"/>
        <w:rPr>
          <w:rFonts w:ascii="Arial" w:hAnsi="Arial" w:cs="Arial"/>
          <w:b/>
          <w:sz w:val="24"/>
          <w:szCs w:val="24"/>
        </w:rPr>
      </w:pPr>
      <w:r w:rsidRPr="00843763">
        <w:rPr>
          <w:rFonts w:ascii="Arial" w:hAnsi="Arial" w:cs="Arial"/>
          <w:b/>
          <w:sz w:val="24"/>
          <w:szCs w:val="24"/>
        </w:rPr>
        <w:t>and Advance Notice – 33 CFR Part 158</w:t>
      </w:r>
    </w:p>
    <w:p w:rsidRPr="00FE2101" w:rsidR="00185EA8" w:rsidP="00185EA8" w:rsidRDefault="00185EA8" w14:paraId="11F88226" w14:textId="77777777">
      <w:pPr>
        <w:jc w:val="center"/>
        <w:rPr>
          <w:rFonts w:ascii="Arial" w:hAnsi="Arial" w:cs="Arial"/>
          <w:sz w:val="16"/>
          <w:szCs w:val="16"/>
        </w:rPr>
      </w:pPr>
    </w:p>
    <w:p w:rsidRPr="00FE2101" w:rsidR="00185EA8" w:rsidP="00185EA8" w:rsidRDefault="00185EA8" w14:paraId="05A5B311" w14:textId="77777777">
      <w:pPr>
        <w:jc w:val="center"/>
        <w:rPr>
          <w:rFonts w:ascii="Arial" w:hAnsi="Arial" w:cs="Arial"/>
        </w:rPr>
      </w:pPr>
      <w:r w:rsidRPr="00FE2101">
        <w:rPr>
          <w:rFonts w:ascii="Arial" w:hAnsi="Arial" w:cs="Arial"/>
        </w:rPr>
        <w:t xml:space="preserve">OMB No.: </w:t>
      </w:r>
      <w:r w:rsidRPr="00FE2101" w:rsidR="002150C3">
        <w:rPr>
          <w:rFonts w:ascii="Arial" w:hAnsi="Arial" w:cs="Arial"/>
        </w:rPr>
        <w:t xml:space="preserve"> </w:t>
      </w:r>
      <w:r w:rsidRPr="00FE2101">
        <w:rPr>
          <w:rFonts w:ascii="Arial" w:hAnsi="Arial" w:cs="Arial"/>
        </w:rPr>
        <w:t>1625-0045</w:t>
      </w:r>
      <w:r w:rsidR="000205CE">
        <w:rPr>
          <w:rFonts w:ascii="Arial" w:hAnsi="Arial" w:cs="Arial"/>
        </w:rPr>
        <w:t xml:space="preserve">  </w:t>
      </w:r>
    </w:p>
    <w:p w:rsidRPr="002150C3" w:rsidR="00185EA8" w:rsidP="002150C3" w:rsidRDefault="00185EA8" w14:paraId="40D33CB0" w14:textId="77777777">
      <w:pPr>
        <w:jc w:val="center"/>
        <w:rPr>
          <w:rFonts w:ascii="Arial" w:hAnsi="Arial" w:cs="Arial"/>
        </w:rPr>
      </w:pPr>
      <w:r w:rsidRPr="00FE2101">
        <w:rPr>
          <w:rFonts w:ascii="Arial" w:hAnsi="Arial" w:cs="Arial"/>
        </w:rPr>
        <w:t>COLLECTION INSTRUMENTS:  CG-5401, CG-5401A, CG-5401B, CG-5401C</w:t>
      </w:r>
      <w:r w:rsidRPr="00FE2101" w:rsidR="002150C3">
        <w:rPr>
          <w:rFonts w:ascii="Arial" w:hAnsi="Arial" w:cs="Arial"/>
        </w:rPr>
        <w:t>,</w:t>
      </w:r>
      <w:r w:rsidRPr="00FE2101">
        <w:rPr>
          <w:rFonts w:ascii="Arial" w:hAnsi="Arial" w:cs="Arial"/>
        </w:rPr>
        <w:t xml:space="preserve"> CG-5401D</w:t>
      </w:r>
      <w:r w:rsidRPr="00FE2101" w:rsidR="002150C3">
        <w:rPr>
          <w:rFonts w:ascii="Arial" w:hAnsi="Arial" w:cs="Arial"/>
        </w:rPr>
        <w:t xml:space="preserve"> &amp; Instruction</w:t>
      </w:r>
      <w:r w:rsidR="000205CE">
        <w:rPr>
          <w:rFonts w:ascii="Arial" w:hAnsi="Arial" w:cs="Arial"/>
        </w:rPr>
        <w:t xml:space="preserve">  </w:t>
      </w:r>
    </w:p>
    <w:p w:rsidRPr="00FE2101" w:rsidR="00A04A7F" w:rsidP="00FE2101" w:rsidRDefault="00A04A7F" w14:paraId="02CBF78B"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jc w:val="center"/>
        <w:rPr>
          <w:rFonts w:ascii="Arial" w:hAnsi="Arial" w:cs="Arial"/>
          <w:sz w:val="16"/>
          <w:szCs w:val="16"/>
          <w:u w:val="single"/>
        </w:rPr>
      </w:pPr>
    </w:p>
    <w:p w:rsidRPr="00843763" w:rsidR="00A04A7F" w:rsidRDefault="00A04A7F" w14:paraId="65E44D89"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b/>
        </w:rPr>
      </w:pPr>
      <w:r w:rsidRPr="00843763">
        <w:rPr>
          <w:rFonts w:ascii="Arial" w:hAnsi="Arial" w:cs="Arial"/>
          <w:b/>
          <w:bCs/>
        </w:rPr>
        <w:t>A.  Justification</w:t>
      </w:r>
      <w:r w:rsidR="00E32C73">
        <w:rPr>
          <w:rFonts w:ascii="Arial" w:hAnsi="Arial" w:cs="Arial"/>
          <w:b/>
        </w:rPr>
        <w:t xml:space="preserve">  </w:t>
      </w:r>
    </w:p>
    <w:p w:rsidRPr="00843763" w:rsidR="00A04A7F" w:rsidRDefault="00A04A7F" w14:paraId="027F69E6"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843763" w:rsidR="00A04A7F" w:rsidRDefault="00A04A7F" w14:paraId="6D0E60F6" w14:textId="77777777">
      <w:pPr>
        <w:widowControl w:val="0"/>
        <w:tabs>
          <w:tab w:val="left" w:pos="576"/>
          <w:tab w:val="left" w:pos="1440"/>
        </w:tabs>
        <w:ind w:left="540" w:hanging="540"/>
        <w:rPr>
          <w:rFonts w:ascii="Arial" w:hAnsi="Arial" w:cs="Arial"/>
        </w:rPr>
      </w:pPr>
      <w:r w:rsidRPr="00843763">
        <w:rPr>
          <w:rFonts w:ascii="Arial" w:hAnsi="Arial" w:cs="Arial"/>
        </w:rPr>
        <w:t xml:space="preserve">1)  </w:t>
      </w:r>
      <w:r w:rsidRPr="00843763">
        <w:rPr>
          <w:rFonts w:ascii="Arial" w:hAnsi="Arial" w:cs="Arial"/>
          <w:u w:val="single"/>
        </w:rPr>
        <w:t>Circumstances that make the collection of information necessary</w:t>
      </w:r>
      <w:r w:rsidRPr="00843763">
        <w:rPr>
          <w:rFonts w:ascii="Arial" w:hAnsi="Arial" w:cs="Arial"/>
        </w:rPr>
        <w:t>.</w:t>
      </w:r>
      <w:r w:rsidRPr="00843763" w:rsidR="00185EA8">
        <w:rPr>
          <w:rFonts w:ascii="Arial" w:hAnsi="Arial" w:cs="Arial"/>
        </w:rPr>
        <w:t xml:space="preserve">  </w:t>
      </w:r>
    </w:p>
    <w:p w:rsidRPr="00843763" w:rsidR="00A04A7F" w:rsidRDefault="00A04A7F" w14:paraId="5BAAB75A"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843763" w:rsidR="00A04A7F" w:rsidRDefault="00A04A7F" w14:paraId="3F48DD86"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r w:rsidRPr="00843763">
        <w:rPr>
          <w:rFonts w:ascii="Arial" w:hAnsi="Arial" w:cs="Arial"/>
        </w:rPr>
        <w:t>This collection addresses a) Adequacy Certification, b) Advance Notice of Arrival</w:t>
      </w:r>
      <w:r w:rsidRPr="00843763" w:rsidR="00185EA8">
        <w:rPr>
          <w:rFonts w:ascii="Arial" w:hAnsi="Arial" w:cs="Arial"/>
        </w:rPr>
        <w:t>, and c) Inadequacy Reports</w:t>
      </w:r>
      <w:r w:rsidRPr="00843763">
        <w:rPr>
          <w:rFonts w:ascii="Arial" w:hAnsi="Arial" w:cs="Arial"/>
        </w:rPr>
        <w:t>.</w:t>
      </w:r>
      <w:r w:rsidR="00E32C73">
        <w:rPr>
          <w:rFonts w:ascii="Arial" w:hAnsi="Arial" w:cs="Arial"/>
        </w:rPr>
        <w:t xml:space="preserve">  </w:t>
      </w:r>
    </w:p>
    <w:p w:rsidRPr="00843763" w:rsidR="00A04A7F" w:rsidRDefault="00A04A7F" w14:paraId="696731BF"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p>
    <w:p w:rsidRPr="00843763" w:rsidR="00A04A7F" w:rsidRDefault="00A04A7F" w14:paraId="36EC64F2" w14:textId="77777777">
      <w:pPr>
        <w:widowControl w:val="0"/>
        <w:tabs>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rFonts w:ascii="Arial" w:hAnsi="Arial" w:cs="Arial"/>
        </w:rPr>
      </w:pPr>
      <w:r w:rsidRPr="00843763">
        <w:rPr>
          <w:rFonts w:ascii="Arial" w:hAnsi="Arial" w:cs="Arial"/>
          <w:bCs/>
          <w:snapToGrid w:val="0"/>
        </w:rPr>
        <w:t>a)</w:t>
      </w:r>
      <w:r w:rsidRPr="00843763">
        <w:rPr>
          <w:rFonts w:ascii="Arial" w:hAnsi="Arial" w:cs="Arial"/>
          <w:snapToGrid w:val="0"/>
        </w:rPr>
        <w:t xml:space="preserve">  The Act to Prevent Pollution from Ship implements the discharge prohibitions of MARPOL 73/78 and Annex I (Oil), Annex II (NLS)</w:t>
      </w:r>
      <w:r w:rsidRPr="00843763" w:rsidR="00185EA8">
        <w:rPr>
          <w:rFonts w:ascii="Arial" w:hAnsi="Arial" w:cs="Arial"/>
          <w:snapToGrid w:val="0"/>
        </w:rPr>
        <w:t>,</w:t>
      </w:r>
      <w:r w:rsidRPr="00843763">
        <w:rPr>
          <w:rFonts w:ascii="Arial" w:hAnsi="Arial" w:cs="Arial"/>
          <w:snapToGrid w:val="0"/>
        </w:rPr>
        <w:t xml:space="preserve"> Annex V (Garbage)</w:t>
      </w:r>
      <w:r w:rsidRPr="00843763" w:rsidR="00185EA8">
        <w:rPr>
          <w:rFonts w:ascii="Arial" w:hAnsi="Arial" w:cs="Arial"/>
          <w:snapToGrid w:val="0"/>
        </w:rPr>
        <w:t xml:space="preserve"> and Annex VI (Air)</w:t>
      </w:r>
      <w:r w:rsidRPr="00843763">
        <w:rPr>
          <w:rFonts w:ascii="Arial" w:hAnsi="Arial" w:cs="Arial"/>
          <w:snapToGrid w:val="0"/>
        </w:rPr>
        <w:t xml:space="preserve">.  It also directs the Secretary of the Department in which the Coast Guard is operating to establish regulations for determining the adequacy of reception facilities.  Ports and terminals may request the Secretary to certify the adequacy of those facilities (33 U.S.C. 1905(a)).  These responsibilities were delegated to the Coast Guard.  Reception facilities are needed to receive wastes which ships may not discharge at sea.  The information collections described in this supporting statement are necessary to implement the requirements described in 33 CFR 158.140, 158.150, 158.165, and 158.190.  </w:t>
      </w:r>
      <w:r w:rsidRPr="00843763">
        <w:rPr>
          <w:rFonts w:ascii="Arial" w:hAnsi="Arial" w:cs="Arial"/>
        </w:rPr>
        <w:t>The discharge limitations are contained in 33 CFR 151.10 for oil and oily wastes, 151.42 for noxious liquid substances (NLS) and 151.65 for plastics and other garbage.  In order to certify the adequacy of reception facilities, the Coast Guard must collect certain information from operators of ports and terminals.  This collection addresses the information that is collected for administrative procedures in conjunction with Certificates of Adequacy</w:t>
      </w:r>
      <w:r w:rsidRPr="00843763" w:rsidR="00982B1E">
        <w:rPr>
          <w:rFonts w:ascii="Arial" w:hAnsi="Arial" w:cs="Arial"/>
        </w:rPr>
        <w:t xml:space="preserve"> (COA)</w:t>
      </w:r>
      <w:r w:rsidRPr="00843763">
        <w:rPr>
          <w:rFonts w:ascii="Arial" w:hAnsi="Arial" w:cs="Arial"/>
        </w:rPr>
        <w:t>.</w:t>
      </w:r>
      <w:r w:rsidR="00E32C73">
        <w:rPr>
          <w:rFonts w:ascii="Arial" w:hAnsi="Arial" w:cs="Arial"/>
        </w:rPr>
        <w:t xml:space="preserve">  </w:t>
      </w:r>
    </w:p>
    <w:p w:rsidRPr="00843763" w:rsidR="00A04A7F" w:rsidRDefault="00A04A7F" w14:paraId="25E97BB8" w14:textId="77777777">
      <w:pPr>
        <w:rPr>
          <w:rFonts w:ascii="Arial" w:hAnsi="Arial" w:cs="Arial"/>
        </w:rPr>
      </w:pPr>
    </w:p>
    <w:p w:rsidRPr="00843763" w:rsidR="00A04A7F" w:rsidRDefault="00A04A7F" w14:paraId="093C1997" w14:textId="77777777">
      <w:pPr>
        <w:widowControl w:val="0"/>
        <w:tabs>
          <w:tab w:val="left" w:pos="576"/>
          <w:tab w:val="left" w:pos="1440"/>
        </w:tabs>
        <w:rPr>
          <w:rFonts w:ascii="Arial" w:hAnsi="Arial" w:cs="Arial"/>
        </w:rPr>
      </w:pPr>
      <w:r w:rsidRPr="00843763">
        <w:rPr>
          <w:rFonts w:ascii="Arial" w:hAnsi="Arial" w:cs="Arial"/>
        </w:rPr>
        <w:t>b)  It would be extremely burdensome to require terminal operators to have reception facilities immediately available at all times, whether they were needed by the ships or not.  Even where fixed reception facilities are available, it would be burdensome to require operating personnel to be present at all times.  To avoid this burden, reception facilities are required only to be available within 24 hours of notice of need by a ship (33 CFR 158.200(a) for oil, 158.310(a) for NLS and 158.410(a) for APHIS</w:t>
      </w:r>
      <w:r w:rsidRPr="00843763">
        <w:rPr>
          <w:rStyle w:val="FootnoteReference"/>
          <w:rFonts w:ascii="Arial" w:hAnsi="Arial" w:cs="Arial"/>
        </w:rPr>
        <w:footnoteReference w:id="1"/>
      </w:r>
      <w:r w:rsidRPr="00843763">
        <w:rPr>
          <w:rFonts w:ascii="Arial" w:hAnsi="Arial" w:cs="Arial"/>
        </w:rPr>
        <w:t xml:space="preserve"> regulated garbage).  If no definite response time were required, ships would be delayed by the need to wait for reception service.</w:t>
      </w:r>
      <w:r w:rsidRPr="00843763" w:rsidR="00185EA8">
        <w:rPr>
          <w:rFonts w:ascii="Arial" w:hAnsi="Arial" w:cs="Arial"/>
        </w:rPr>
        <w:t xml:space="preserve">  </w:t>
      </w:r>
      <w:r w:rsidRPr="00843763">
        <w:rPr>
          <w:rFonts w:ascii="Arial" w:hAnsi="Arial" w:cs="Arial"/>
        </w:rPr>
        <w:t>A response time criteria cannot legally be imposed on reception facilities without a corresponding requirement being placed on oceangoing ships to give notice of need.</w:t>
      </w:r>
      <w:r w:rsidR="00E32C73">
        <w:rPr>
          <w:rFonts w:ascii="Arial" w:hAnsi="Arial" w:cs="Arial"/>
        </w:rPr>
        <w:t xml:space="preserve">  </w:t>
      </w:r>
    </w:p>
    <w:p w:rsidRPr="00843763" w:rsidR="00185EA8" w:rsidRDefault="00185EA8" w14:paraId="61AE5DDE" w14:textId="77777777">
      <w:pPr>
        <w:widowControl w:val="0"/>
        <w:tabs>
          <w:tab w:val="left" w:pos="576"/>
          <w:tab w:val="left" w:pos="1440"/>
        </w:tabs>
        <w:rPr>
          <w:rFonts w:ascii="Arial" w:hAnsi="Arial" w:cs="Arial"/>
        </w:rPr>
      </w:pPr>
    </w:p>
    <w:p w:rsidRPr="00843763" w:rsidR="00185EA8" w:rsidRDefault="00185EA8" w14:paraId="7953E756" w14:textId="77777777">
      <w:pPr>
        <w:widowControl w:val="0"/>
        <w:tabs>
          <w:tab w:val="left" w:pos="576"/>
          <w:tab w:val="left" w:pos="1440"/>
        </w:tabs>
        <w:rPr>
          <w:rFonts w:ascii="Arial" w:hAnsi="Arial" w:cs="Arial"/>
        </w:rPr>
      </w:pPr>
      <w:r w:rsidRPr="00843763">
        <w:rPr>
          <w:rFonts w:ascii="Arial" w:hAnsi="Arial" w:cs="Arial"/>
        </w:rPr>
        <w:t xml:space="preserve">c)  </w:t>
      </w:r>
      <w:r w:rsidRPr="00843763" w:rsidR="00E601EA">
        <w:rPr>
          <w:rFonts w:ascii="Arial" w:hAnsi="Arial" w:cs="Arial"/>
        </w:rPr>
        <w:t>To comply</w:t>
      </w:r>
      <w:r w:rsidRPr="00843763">
        <w:rPr>
          <w:rFonts w:ascii="Arial" w:hAnsi="Arial" w:cs="Arial"/>
        </w:rPr>
        <w:t xml:space="preserve"> with MARPOL 73/78, a Port State must have provisions to </w:t>
      </w:r>
      <w:r w:rsidRPr="00843763" w:rsidR="00E00C24">
        <w:rPr>
          <w:rFonts w:ascii="Arial" w:hAnsi="Arial" w:cs="Arial"/>
        </w:rPr>
        <w:t>receive</w:t>
      </w:r>
      <w:r w:rsidRPr="00843763">
        <w:rPr>
          <w:rFonts w:ascii="Arial" w:hAnsi="Arial" w:cs="Arial"/>
        </w:rPr>
        <w:t xml:space="preserve"> </w:t>
      </w:r>
      <w:r w:rsidRPr="00843763" w:rsidR="00E00C24">
        <w:rPr>
          <w:rFonts w:ascii="Arial" w:hAnsi="Arial" w:cs="Arial"/>
        </w:rPr>
        <w:t xml:space="preserve">a voluntary inadequacy report made by a vessel upon encountering problems in discharging waste to a port reception facility.  The procedures for submitting </w:t>
      </w:r>
      <w:r w:rsidRPr="00843763" w:rsidR="00E601EA">
        <w:rPr>
          <w:rFonts w:ascii="Arial" w:hAnsi="Arial" w:cs="Arial"/>
        </w:rPr>
        <w:t>a</w:t>
      </w:r>
      <w:r w:rsidRPr="00843763" w:rsidR="00E00C24">
        <w:rPr>
          <w:rFonts w:ascii="Arial" w:hAnsi="Arial" w:cs="Arial"/>
        </w:rPr>
        <w:t xml:space="preserve"> report</w:t>
      </w:r>
      <w:r w:rsidRPr="00843763" w:rsidR="00E601EA">
        <w:rPr>
          <w:rFonts w:ascii="Arial" w:hAnsi="Arial" w:cs="Arial"/>
        </w:rPr>
        <w:t xml:space="preserve"> </w:t>
      </w:r>
      <w:r w:rsidRPr="00843763" w:rsidR="008E362F">
        <w:rPr>
          <w:rFonts w:ascii="Arial" w:hAnsi="Arial" w:cs="Arial"/>
        </w:rPr>
        <w:t>are</w:t>
      </w:r>
      <w:r w:rsidRPr="00843763" w:rsidR="00E601EA">
        <w:rPr>
          <w:rFonts w:ascii="Arial" w:hAnsi="Arial" w:cs="Arial"/>
        </w:rPr>
        <w:t xml:space="preserve"> </w:t>
      </w:r>
      <w:r w:rsidRPr="00843763" w:rsidR="00E00C24">
        <w:rPr>
          <w:rFonts w:ascii="Arial" w:hAnsi="Arial" w:cs="Arial"/>
        </w:rPr>
        <w:t xml:space="preserve">in Navigation and Inspection Circular (NVIC) </w:t>
      </w:r>
      <w:r w:rsidRPr="00843763" w:rsidR="00E601EA">
        <w:rPr>
          <w:rFonts w:ascii="Arial" w:hAnsi="Arial" w:cs="Arial"/>
        </w:rPr>
        <w:t>0</w:t>
      </w:r>
      <w:r w:rsidRPr="00843763" w:rsidR="00E00C24">
        <w:rPr>
          <w:rFonts w:ascii="Arial" w:hAnsi="Arial" w:cs="Arial"/>
        </w:rPr>
        <w:t>4-8</w:t>
      </w:r>
      <w:r w:rsidRPr="00843763" w:rsidR="00E601EA">
        <w:rPr>
          <w:rFonts w:ascii="Arial" w:hAnsi="Arial" w:cs="Arial"/>
        </w:rPr>
        <w:t>7</w:t>
      </w:r>
      <w:r w:rsidR="00AA2CF2">
        <w:rPr>
          <w:rFonts w:ascii="Arial" w:hAnsi="Arial" w:cs="Arial"/>
        </w:rPr>
        <w:t>, CH-1</w:t>
      </w:r>
      <w:r w:rsidRPr="00843763" w:rsidR="00E00C24">
        <w:rPr>
          <w:rFonts w:ascii="Arial" w:hAnsi="Arial" w:cs="Arial"/>
        </w:rPr>
        <w:t xml:space="preserve">.  </w:t>
      </w:r>
    </w:p>
    <w:p w:rsidRPr="00843763" w:rsidR="00A04A7F" w:rsidRDefault="00A04A7F" w14:paraId="22DEB858" w14:textId="77777777">
      <w:pPr>
        <w:widowControl w:val="0"/>
        <w:tabs>
          <w:tab w:val="left" w:pos="576"/>
          <w:tab w:val="left" w:pos="1440"/>
        </w:tabs>
        <w:rPr>
          <w:rFonts w:ascii="Arial" w:hAnsi="Arial" w:cs="Arial"/>
        </w:rPr>
      </w:pPr>
    </w:p>
    <w:p w:rsidRPr="00843763" w:rsidR="00A04A7F" w:rsidRDefault="00A04A7F" w14:paraId="5552C33C" w14:textId="77777777">
      <w:pPr>
        <w:widowControl w:val="0"/>
        <w:tabs>
          <w:tab w:val="left" w:pos="576"/>
          <w:tab w:val="left" w:pos="1440"/>
        </w:tabs>
        <w:rPr>
          <w:rFonts w:ascii="Arial" w:hAnsi="Arial" w:cs="Arial"/>
        </w:rPr>
      </w:pPr>
      <w:r w:rsidRPr="00843763">
        <w:rPr>
          <w:rFonts w:ascii="Arial" w:hAnsi="Arial" w:cs="Arial"/>
        </w:rPr>
        <w:t>Th</w:t>
      </w:r>
      <w:r w:rsidR="0077109F">
        <w:rPr>
          <w:rFonts w:ascii="Arial" w:hAnsi="Arial" w:cs="Arial"/>
        </w:rPr>
        <w:t xml:space="preserve">e statutory authority is 33 U.S. Code 1903 and 1905.  </w:t>
      </w:r>
    </w:p>
    <w:p w:rsidRPr="00843763" w:rsidR="00A04A7F" w:rsidRDefault="00A04A7F" w14:paraId="6318C8A2" w14:textId="77777777">
      <w:pPr>
        <w:widowControl w:val="0"/>
        <w:tabs>
          <w:tab w:val="left" w:pos="576"/>
          <w:tab w:val="left" w:pos="1440"/>
        </w:tabs>
        <w:rPr>
          <w:rFonts w:ascii="Arial" w:hAnsi="Arial" w:cs="Arial"/>
        </w:rPr>
      </w:pPr>
    </w:p>
    <w:p w:rsidRPr="00843763" w:rsidR="00A04A7F" w:rsidRDefault="00A04A7F" w14:paraId="48D5E803" w14:textId="77777777">
      <w:pPr>
        <w:widowControl w:val="0"/>
        <w:tabs>
          <w:tab w:val="left" w:pos="576"/>
          <w:tab w:val="left" w:pos="1440"/>
        </w:tabs>
        <w:rPr>
          <w:rFonts w:ascii="Arial" w:hAnsi="Arial" w:cs="Arial"/>
          <w:u w:val="single"/>
        </w:rPr>
      </w:pPr>
      <w:r w:rsidRPr="00843763">
        <w:rPr>
          <w:rFonts w:ascii="Arial" w:hAnsi="Arial" w:cs="Arial"/>
        </w:rPr>
        <w:t xml:space="preserve">2)  </w:t>
      </w:r>
      <w:r w:rsidRPr="00843763" w:rsidR="00E601EA">
        <w:rPr>
          <w:rFonts w:ascii="Arial" w:hAnsi="Arial" w:cs="Arial"/>
          <w:bCs/>
          <w:u w:val="single"/>
        </w:rPr>
        <w:t>Purposes of the information collection</w:t>
      </w:r>
      <w:r w:rsidRPr="00843763">
        <w:rPr>
          <w:rFonts w:ascii="Arial" w:hAnsi="Arial" w:cs="Arial"/>
        </w:rPr>
        <w:t>.</w:t>
      </w:r>
      <w:r w:rsidRPr="00843763" w:rsidR="00E601EA">
        <w:rPr>
          <w:rFonts w:ascii="Arial" w:hAnsi="Arial" w:cs="Arial"/>
        </w:rPr>
        <w:t xml:space="preserve">  </w:t>
      </w:r>
    </w:p>
    <w:p w:rsidRPr="00843763" w:rsidR="00A04A7F" w:rsidRDefault="00A04A7F" w14:paraId="513289EA" w14:textId="77777777">
      <w:pPr>
        <w:widowControl w:val="0"/>
        <w:tabs>
          <w:tab w:val="left" w:pos="576"/>
          <w:tab w:val="left" w:pos="1440"/>
        </w:tabs>
        <w:rPr>
          <w:rFonts w:ascii="Arial" w:hAnsi="Arial" w:cs="Arial"/>
          <w:u w:val="single"/>
        </w:rPr>
      </w:pPr>
    </w:p>
    <w:p w:rsidRPr="00843763" w:rsidR="00A04A7F" w:rsidRDefault="00A04A7F" w14:paraId="1AE1B325" w14:textId="77777777">
      <w:pPr>
        <w:pStyle w:val="TxBrp5"/>
        <w:spacing w:line="289" w:lineRule="exact"/>
        <w:ind w:firstLine="0"/>
        <w:jc w:val="center"/>
        <w:rPr>
          <w:rFonts w:ascii="Arial" w:hAnsi="Arial" w:cs="Arial"/>
          <w:sz w:val="20"/>
        </w:rPr>
      </w:pPr>
      <w:r w:rsidRPr="00843763">
        <w:rPr>
          <w:rFonts w:ascii="Arial" w:hAnsi="Arial" w:cs="Arial"/>
          <w:sz w:val="20"/>
        </w:rPr>
        <w:t>CFR, Subject and Affected Population</w:t>
      </w:r>
    </w:p>
    <w:p w:rsidRPr="00843763" w:rsidR="00A04A7F" w:rsidRDefault="00A04A7F" w14:paraId="5FA263D0" w14:textId="77777777">
      <w:pPr>
        <w:pStyle w:val="TxBrp5"/>
        <w:spacing w:line="289" w:lineRule="exact"/>
        <w:ind w:firstLine="0"/>
        <w:jc w:val="center"/>
        <w:rPr>
          <w:rFonts w:ascii="Arial" w:hAnsi="Arial" w:cs="Arial"/>
          <w:sz w:val="20"/>
        </w:rPr>
      </w:pPr>
    </w:p>
    <w:tbl>
      <w:tblPr>
        <w:tblW w:w="936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08"/>
        <w:gridCol w:w="6552"/>
      </w:tblGrid>
      <w:tr w:rsidRPr="00843763" w:rsidR="00A04A7F" w:rsidTr="00FE2101" w14:paraId="439A3218" w14:textId="77777777">
        <w:tc>
          <w:tcPr>
            <w:tcW w:w="2808" w:type="dxa"/>
          </w:tcPr>
          <w:p w:rsidRPr="00843763" w:rsidR="00A04A7F" w:rsidP="00E601EA" w:rsidRDefault="00A04A7F" w14:paraId="73DC0670" w14:textId="77777777">
            <w:pPr>
              <w:pStyle w:val="TxBrp5"/>
              <w:spacing w:before="120" w:after="120" w:line="289" w:lineRule="exact"/>
              <w:ind w:firstLine="0"/>
              <w:rPr>
                <w:rFonts w:ascii="Arial" w:hAnsi="Arial" w:cs="Arial"/>
                <w:sz w:val="20"/>
              </w:rPr>
            </w:pPr>
            <w:r w:rsidRPr="00843763">
              <w:rPr>
                <w:rFonts w:ascii="Arial" w:hAnsi="Arial" w:cs="Arial"/>
                <w:sz w:val="20"/>
              </w:rPr>
              <w:t>33 CFR</w:t>
            </w:r>
          </w:p>
        </w:tc>
        <w:tc>
          <w:tcPr>
            <w:tcW w:w="6552" w:type="dxa"/>
          </w:tcPr>
          <w:p w:rsidRPr="00843763" w:rsidR="00A04A7F" w:rsidP="00E601EA" w:rsidRDefault="00A04A7F" w14:paraId="5AEFFBC2" w14:textId="77777777">
            <w:pPr>
              <w:pStyle w:val="TxBrp5"/>
              <w:spacing w:before="120" w:after="120" w:line="289" w:lineRule="exact"/>
              <w:ind w:firstLine="0"/>
              <w:rPr>
                <w:rFonts w:ascii="Arial" w:hAnsi="Arial" w:cs="Arial"/>
                <w:sz w:val="20"/>
              </w:rPr>
            </w:pPr>
            <w:r w:rsidRPr="00843763">
              <w:rPr>
                <w:rFonts w:ascii="Arial" w:hAnsi="Arial" w:cs="Arial"/>
                <w:sz w:val="20"/>
              </w:rPr>
              <w:t xml:space="preserve">Subject and Affected Population </w:t>
            </w:r>
            <w:r w:rsidR="00E32C73">
              <w:rPr>
                <w:rFonts w:ascii="Arial" w:hAnsi="Arial" w:cs="Arial"/>
                <w:sz w:val="20"/>
              </w:rPr>
              <w:t xml:space="preserve"> </w:t>
            </w:r>
          </w:p>
        </w:tc>
      </w:tr>
      <w:tr w:rsidRPr="00843763" w:rsidR="00A04A7F" w:rsidTr="00FE2101" w14:paraId="5BC1F300" w14:textId="77777777">
        <w:trPr>
          <w:trHeight w:val="809"/>
        </w:trPr>
        <w:tc>
          <w:tcPr>
            <w:tcW w:w="2808" w:type="dxa"/>
          </w:tcPr>
          <w:p w:rsidRPr="00843763" w:rsidR="00A04A7F" w:rsidP="00E601EA" w:rsidRDefault="00A04A7F" w14:paraId="0D809CC9" w14:textId="77777777">
            <w:pPr>
              <w:pStyle w:val="TxBrp5"/>
              <w:spacing w:before="120" w:after="120" w:line="289" w:lineRule="exact"/>
              <w:ind w:firstLine="0"/>
              <w:rPr>
                <w:rFonts w:ascii="Arial" w:hAnsi="Arial" w:cs="Arial"/>
                <w:sz w:val="20"/>
              </w:rPr>
            </w:pPr>
            <w:r w:rsidRPr="00843763">
              <w:rPr>
                <w:rFonts w:ascii="Arial" w:hAnsi="Arial" w:cs="Arial"/>
                <w:sz w:val="20"/>
              </w:rPr>
              <w:t>33 CFR 158.140</w:t>
            </w:r>
          </w:p>
        </w:tc>
        <w:tc>
          <w:tcPr>
            <w:tcW w:w="6552" w:type="dxa"/>
          </w:tcPr>
          <w:p w:rsidRPr="00843763" w:rsidR="00A04A7F" w:rsidP="00704E44" w:rsidRDefault="00A04A7F" w14:paraId="1A0B8B3C" w14:textId="77777777">
            <w:pPr>
              <w:pStyle w:val="TxBrp5"/>
              <w:spacing w:before="120" w:line="240" w:lineRule="auto"/>
              <w:ind w:firstLine="0"/>
              <w:rPr>
                <w:rFonts w:ascii="Arial" w:hAnsi="Arial" w:cs="Arial"/>
                <w:sz w:val="20"/>
              </w:rPr>
            </w:pPr>
            <w:r w:rsidRPr="00843763">
              <w:rPr>
                <w:rFonts w:ascii="Arial" w:hAnsi="Arial" w:cs="Arial"/>
                <w:sz w:val="20"/>
              </w:rPr>
              <w:t>Application for a C</w:t>
            </w:r>
            <w:r w:rsidRPr="00843763" w:rsidR="00982B1E">
              <w:rPr>
                <w:rFonts w:ascii="Arial" w:hAnsi="Arial" w:cs="Arial"/>
                <w:sz w:val="20"/>
              </w:rPr>
              <w:t>OA</w:t>
            </w:r>
            <w:r w:rsidRPr="00843763">
              <w:rPr>
                <w:rFonts w:ascii="Arial" w:hAnsi="Arial" w:cs="Arial"/>
                <w:sz w:val="20"/>
              </w:rPr>
              <w:t>.</w:t>
            </w:r>
          </w:p>
          <w:p w:rsidRPr="00843763" w:rsidR="00A04A7F" w:rsidP="00704E44" w:rsidRDefault="00704E44" w14:paraId="47E949D3" w14:textId="77777777">
            <w:pPr>
              <w:pStyle w:val="TxBrp5"/>
              <w:spacing w:after="120" w:line="240" w:lineRule="auto"/>
              <w:ind w:firstLine="0"/>
              <w:rPr>
                <w:rFonts w:ascii="Arial" w:hAnsi="Arial" w:cs="Arial"/>
                <w:sz w:val="20"/>
              </w:rPr>
            </w:pPr>
            <w:r w:rsidRPr="00843763">
              <w:rPr>
                <w:rFonts w:ascii="Arial" w:hAnsi="Arial" w:cs="Arial"/>
                <w:sz w:val="20"/>
              </w:rPr>
              <w:t xml:space="preserve">A </w:t>
            </w:r>
            <w:r w:rsidRPr="00843763" w:rsidR="00A04A7F">
              <w:rPr>
                <w:rFonts w:ascii="Arial" w:hAnsi="Arial" w:cs="Arial"/>
                <w:sz w:val="20"/>
              </w:rPr>
              <w:t>person in charge of port</w:t>
            </w:r>
            <w:r w:rsidRPr="00843763">
              <w:rPr>
                <w:rFonts w:ascii="Arial" w:hAnsi="Arial" w:cs="Arial"/>
                <w:sz w:val="20"/>
              </w:rPr>
              <w:t xml:space="preserve"> or</w:t>
            </w:r>
            <w:r w:rsidRPr="00843763" w:rsidR="00A04A7F">
              <w:rPr>
                <w:rFonts w:ascii="Arial" w:hAnsi="Arial" w:cs="Arial"/>
                <w:sz w:val="20"/>
              </w:rPr>
              <w:t xml:space="preserve"> terminal must apply to the Coast Guard for a certificate.</w:t>
            </w:r>
            <w:r w:rsidR="00E32C73">
              <w:rPr>
                <w:rFonts w:ascii="Arial" w:hAnsi="Arial" w:cs="Arial"/>
                <w:sz w:val="20"/>
              </w:rPr>
              <w:t xml:space="preserve">  </w:t>
            </w:r>
          </w:p>
        </w:tc>
      </w:tr>
      <w:tr w:rsidRPr="00843763" w:rsidR="00A04A7F" w:rsidTr="00FE2101" w14:paraId="357C2CE8" w14:textId="77777777">
        <w:tc>
          <w:tcPr>
            <w:tcW w:w="2808" w:type="dxa"/>
          </w:tcPr>
          <w:p w:rsidRPr="00843763" w:rsidR="00A04A7F" w:rsidP="00E601EA" w:rsidRDefault="00A04A7F" w14:paraId="3A942E8D" w14:textId="77777777">
            <w:pPr>
              <w:pStyle w:val="TxBrp5"/>
              <w:spacing w:before="120" w:after="120" w:line="289" w:lineRule="exact"/>
              <w:ind w:firstLine="0"/>
              <w:rPr>
                <w:rFonts w:ascii="Arial" w:hAnsi="Arial" w:cs="Arial"/>
                <w:sz w:val="20"/>
              </w:rPr>
            </w:pPr>
            <w:r w:rsidRPr="00843763">
              <w:rPr>
                <w:rFonts w:ascii="Arial" w:hAnsi="Arial" w:cs="Arial"/>
                <w:sz w:val="20"/>
              </w:rPr>
              <w:lastRenderedPageBreak/>
              <w:t>33 CFR 158.150</w:t>
            </w:r>
          </w:p>
        </w:tc>
        <w:tc>
          <w:tcPr>
            <w:tcW w:w="6552" w:type="dxa"/>
          </w:tcPr>
          <w:p w:rsidRPr="00843763" w:rsidR="00A04A7F" w:rsidP="00704E44" w:rsidRDefault="00A04A7F" w14:paraId="61CAB21C" w14:textId="77777777">
            <w:pPr>
              <w:pStyle w:val="TxBrp5"/>
              <w:spacing w:before="120" w:line="240" w:lineRule="auto"/>
              <w:ind w:firstLine="0"/>
              <w:rPr>
                <w:rFonts w:ascii="Arial" w:hAnsi="Arial" w:cs="Arial"/>
                <w:sz w:val="20"/>
              </w:rPr>
            </w:pPr>
            <w:r w:rsidRPr="00843763">
              <w:rPr>
                <w:rFonts w:ascii="Arial" w:hAnsi="Arial" w:cs="Arial"/>
                <w:sz w:val="20"/>
              </w:rPr>
              <w:t>Waiver.</w:t>
            </w:r>
          </w:p>
          <w:p w:rsidRPr="00843763" w:rsidR="00A04A7F" w:rsidP="00704E44" w:rsidRDefault="00704E44" w14:paraId="381FC2AD" w14:textId="77777777">
            <w:pPr>
              <w:pStyle w:val="TxBrp5"/>
              <w:spacing w:after="120" w:line="240" w:lineRule="auto"/>
              <w:ind w:firstLine="0"/>
              <w:rPr>
                <w:rFonts w:ascii="Arial" w:hAnsi="Arial" w:cs="Arial"/>
                <w:sz w:val="20"/>
              </w:rPr>
            </w:pPr>
            <w:r w:rsidRPr="00843763">
              <w:rPr>
                <w:rFonts w:ascii="Arial" w:hAnsi="Arial" w:cs="Arial"/>
                <w:sz w:val="20"/>
              </w:rPr>
              <w:t xml:space="preserve">A </w:t>
            </w:r>
            <w:r w:rsidRPr="00843763" w:rsidR="00A04A7F">
              <w:rPr>
                <w:rFonts w:ascii="Arial" w:hAnsi="Arial" w:cs="Arial"/>
                <w:sz w:val="20"/>
              </w:rPr>
              <w:t>person in charge of port</w:t>
            </w:r>
            <w:r w:rsidRPr="00843763">
              <w:rPr>
                <w:rFonts w:ascii="Arial" w:hAnsi="Arial" w:cs="Arial"/>
                <w:sz w:val="20"/>
              </w:rPr>
              <w:t xml:space="preserve"> or</w:t>
            </w:r>
            <w:r w:rsidRPr="00843763" w:rsidR="00A04A7F">
              <w:rPr>
                <w:rFonts w:ascii="Arial" w:hAnsi="Arial" w:cs="Arial"/>
                <w:sz w:val="20"/>
              </w:rPr>
              <w:t xml:space="preserve"> terminal submit</w:t>
            </w:r>
            <w:r w:rsidRPr="00843763">
              <w:rPr>
                <w:rFonts w:ascii="Arial" w:hAnsi="Arial" w:cs="Arial"/>
                <w:sz w:val="20"/>
              </w:rPr>
              <w:t>s</w:t>
            </w:r>
            <w:r w:rsidRPr="00843763" w:rsidR="00A04A7F">
              <w:rPr>
                <w:rFonts w:ascii="Arial" w:hAnsi="Arial" w:cs="Arial"/>
                <w:sz w:val="20"/>
              </w:rPr>
              <w:t xml:space="preserve"> a request for a waiver to the Captain of The Port</w:t>
            </w:r>
            <w:r w:rsidRPr="00843763" w:rsidR="00982B1E">
              <w:rPr>
                <w:rFonts w:ascii="Arial" w:hAnsi="Arial" w:cs="Arial"/>
                <w:sz w:val="20"/>
              </w:rPr>
              <w:t xml:space="preserve"> (COTP)</w:t>
            </w:r>
            <w:r w:rsidRPr="00843763" w:rsidR="00A04A7F">
              <w:rPr>
                <w:rFonts w:ascii="Arial" w:hAnsi="Arial" w:cs="Arial"/>
                <w:sz w:val="20"/>
              </w:rPr>
              <w:t>.</w:t>
            </w:r>
            <w:r w:rsidR="00E32C73">
              <w:rPr>
                <w:rFonts w:ascii="Arial" w:hAnsi="Arial" w:cs="Arial"/>
                <w:sz w:val="20"/>
              </w:rPr>
              <w:t xml:space="preserve">  </w:t>
            </w:r>
          </w:p>
        </w:tc>
      </w:tr>
      <w:tr w:rsidRPr="00843763" w:rsidR="00A04A7F" w:rsidTr="00FE2101" w14:paraId="60F0B4D7" w14:textId="77777777">
        <w:tc>
          <w:tcPr>
            <w:tcW w:w="2808" w:type="dxa"/>
          </w:tcPr>
          <w:p w:rsidRPr="00843763" w:rsidR="00A04A7F" w:rsidP="00E601EA" w:rsidRDefault="00A04A7F" w14:paraId="77D393C0" w14:textId="77777777">
            <w:pPr>
              <w:pStyle w:val="TxBrp5"/>
              <w:spacing w:before="120" w:after="120" w:line="289" w:lineRule="exact"/>
              <w:ind w:firstLine="0"/>
              <w:rPr>
                <w:rFonts w:ascii="Arial" w:hAnsi="Arial" w:cs="Arial"/>
                <w:sz w:val="20"/>
              </w:rPr>
            </w:pPr>
            <w:r w:rsidRPr="00843763">
              <w:rPr>
                <w:rFonts w:ascii="Arial" w:hAnsi="Arial" w:cs="Arial"/>
                <w:sz w:val="20"/>
              </w:rPr>
              <w:t>33 CFR 158.165</w:t>
            </w:r>
          </w:p>
        </w:tc>
        <w:tc>
          <w:tcPr>
            <w:tcW w:w="6552" w:type="dxa"/>
          </w:tcPr>
          <w:p w:rsidRPr="00843763" w:rsidR="00A04A7F" w:rsidP="00704E44" w:rsidRDefault="00A04A7F" w14:paraId="0AD813EE" w14:textId="77777777">
            <w:pPr>
              <w:pStyle w:val="TxBrp5"/>
              <w:spacing w:before="120" w:line="240" w:lineRule="auto"/>
              <w:ind w:firstLine="0"/>
              <w:rPr>
                <w:rFonts w:ascii="Arial" w:hAnsi="Arial" w:cs="Arial"/>
                <w:sz w:val="20"/>
              </w:rPr>
            </w:pPr>
            <w:r w:rsidRPr="00843763">
              <w:rPr>
                <w:rFonts w:ascii="Arial" w:hAnsi="Arial" w:cs="Arial"/>
                <w:sz w:val="20"/>
              </w:rPr>
              <w:t>Notification of Change.</w:t>
            </w:r>
          </w:p>
          <w:p w:rsidRPr="00843763" w:rsidR="00A04A7F" w:rsidP="00982B1E" w:rsidRDefault="00704E44" w14:paraId="1E814996" w14:textId="77777777">
            <w:pPr>
              <w:pStyle w:val="TxBrp5"/>
              <w:spacing w:after="120" w:line="240" w:lineRule="auto"/>
              <w:ind w:firstLine="0"/>
              <w:rPr>
                <w:rFonts w:ascii="Arial" w:hAnsi="Arial" w:cs="Arial"/>
                <w:sz w:val="20"/>
              </w:rPr>
            </w:pPr>
            <w:r w:rsidRPr="00843763">
              <w:rPr>
                <w:rFonts w:ascii="Arial" w:hAnsi="Arial" w:cs="Arial"/>
                <w:sz w:val="20"/>
              </w:rPr>
              <w:t>A p</w:t>
            </w:r>
            <w:r w:rsidRPr="00843763" w:rsidR="00A04A7F">
              <w:rPr>
                <w:rFonts w:ascii="Arial" w:hAnsi="Arial" w:cs="Arial"/>
                <w:sz w:val="20"/>
              </w:rPr>
              <w:t>erson in charge of port</w:t>
            </w:r>
            <w:r w:rsidRPr="00843763">
              <w:rPr>
                <w:rFonts w:ascii="Arial" w:hAnsi="Arial" w:cs="Arial"/>
                <w:sz w:val="20"/>
              </w:rPr>
              <w:t xml:space="preserve"> or </w:t>
            </w:r>
            <w:r w:rsidRPr="00843763" w:rsidR="00A04A7F">
              <w:rPr>
                <w:rFonts w:ascii="Arial" w:hAnsi="Arial" w:cs="Arial"/>
                <w:sz w:val="20"/>
              </w:rPr>
              <w:t>terminal notif</w:t>
            </w:r>
            <w:r w:rsidRPr="00843763">
              <w:rPr>
                <w:rFonts w:ascii="Arial" w:hAnsi="Arial" w:cs="Arial"/>
                <w:sz w:val="20"/>
              </w:rPr>
              <w:t>ies</w:t>
            </w:r>
            <w:r w:rsidRPr="00843763" w:rsidR="00A04A7F">
              <w:rPr>
                <w:rFonts w:ascii="Arial" w:hAnsi="Arial" w:cs="Arial"/>
                <w:sz w:val="20"/>
              </w:rPr>
              <w:t xml:space="preserve"> in writing the C</w:t>
            </w:r>
            <w:r w:rsidRPr="00843763" w:rsidR="00982B1E">
              <w:rPr>
                <w:rFonts w:ascii="Arial" w:hAnsi="Arial" w:cs="Arial"/>
                <w:sz w:val="20"/>
              </w:rPr>
              <w:t>OTP</w:t>
            </w:r>
            <w:r w:rsidRPr="00843763" w:rsidR="00A04A7F">
              <w:rPr>
                <w:rFonts w:ascii="Arial" w:hAnsi="Arial" w:cs="Arial"/>
                <w:sz w:val="20"/>
              </w:rPr>
              <w:t xml:space="preserve"> of any changes in the information required for a C</w:t>
            </w:r>
            <w:r w:rsidRPr="00843763" w:rsidR="00982B1E">
              <w:rPr>
                <w:rFonts w:ascii="Arial" w:hAnsi="Arial" w:cs="Arial"/>
                <w:sz w:val="20"/>
              </w:rPr>
              <w:t>OA</w:t>
            </w:r>
            <w:r w:rsidRPr="00843763" w:rsidR="00A04A7F">
              <w:rPr>
                <w:rFonts w:ascii="Arial" w:hAnsi="Arial" w:cs="Arial"/>
                <w:sz w:val="20"/>
              </w:rPr>
              <w:t>.</w:t>
            </w:r>
            <w:r w:rsidR="00E32C73">
              <w:rPr>
                <w:rFonts w:ascii="Arial" w:hAnsi="Arial" w:cs="Arial"/>
                <w:sz w:val="20"/>
              </w:rPr>
              <w:t xml:space="preserve">  </w:t>
            </w:r>
          </w:p>
        </w:tc>
      </w:tr>
      <w:tr w:rsidRPr="00843763" w:rsidR="00A04A7F" w:rsidTr="00FE2101" w14:paraId="5D8D3B64" w14:textId="77777777">
        <w:tc>
          <w:tcPr>
            <w:tcW w:w="2808" w:type="dxa"/>
          </w:tcPr>
          <w:p w:rsidRPr="00843763" w:rsidR="00A04A7F" w:rsidP="00E601EA" w:rsidRDefault="00A04A7F" w14:paraId="0D568289" w14:textId="77777777">
            <w:pPr>
              <w:pStyle w:val="TxBrp5"/>
              <w:spacing w:before="120" w:after="120" w:line="289" w:lineRule="exact"/>
              <w:ind w:firstLine="0"/>
              <w:rPr>
                <w:rFonts w:ascii="Arial" w:hAnsi="Arial" w:cs="Arial"/>
                <w:sz w:val="20"/>
              </w:rPr>
            </w:pPr>
            <w:r w:rsidRPr="00843763">
              <w:rPr>
                <w:rFonts w:ascii="Arial" w:hAnsi="Arial" w:cs="Arial"/>
                <w:sz w:val="20"/>
              </w:rPr>
              <w:t>33 CFR 158.190</w:t>
            </w:r>
          </w:p>
        </w:tc>
        <w:tc>
          <w:tcPr>
            <w:tcW w:w="6552" w:type="dxa"/>
          </w:tcPr>
          <w:p w:rsidRPr="00843763" w:rsidR="00A04A7F" w:rsidP="00704E44" w:rsidRDefault="00A04A7F" w14:paraId="4ADA80DC" w14:textId="77777777">
            <w:pPr>
              <w:pStyle w:val="TxBrp5"/>
              <w:spacing w:before="120" w:line="240" w:lineRule="auto"/>
              <w:ind w:firstLine="0"/>
              <w:rPr>
                <w:rFonts w:ascii="Arial" w:hAnsi="Arial" w:cs="Arial"/>
                <w:sz w:val="20"/>
              </w:rPr>
            </w:pPr>
            <w:r w:rsidRPr="00843763">
              <w:rPr>
                <w:rFonts w:ascii="Arial" w:hAnsi="Arial" w:cs="Arial"/>
                <w:sz w:val="20"/>
              </w:rPr>
              <w:t>Appeal.</w:t>
            </w:r>
          </w:p>
          <w:p w:rsidRPr="00843763" w:rsidR="00A04A7F" w:rsidP="00704E44" w:rsidRDefault="00704E44" w14:paraId="3B8E4F83" w14:textId="77777777">
            <w:pPr>
              <w:pStyle w:val="TxBrp5"/>
              <w:spacing w:after="120" w:line="240" w:lineRule="auto"/>
              <w:ind w:firstLine="0"/>
              <w:rPr>
                <w:rFonts w:ascii="Arial" w:hAnsi="Arial" w:cs="Arial"/>
                <w:sz w:val="20"/>
              </w:rPr>
            </w:pPr>
            <w:r w:rsidRPr="00843763">
              <w:rPr>
                <w:rFonts w:ascii="Arial" w:hAnsi="Arial" w:cs="Arial"/>
                <w:sz w:val="20"/>
              </w:rPr>
              <w:t xml:space="preserve">A </w:t>
            </w:r>
            <w:r w:rsidRPr="00843763" w:rsidR="00A04A7F">
              <w:rPr>
                <w:rFonts w:ascii="Arial" w:hAnsi="Arial" w:cs="Arial"/>
                <w:sz w:val="20"/>
              </w:rPr>
              <w:t>person in charge of port</w:t>
            </w:r>
            <w:r w:rsidRPr="00843763">
              <w:rPr>
                <w:rFonts w:ascii="Arial" w:hAnsi="Arial" w:cs="Arial"/>
                <w:sz w:val="20"/>
              </w:rPr>
              <w:t xml:space="preserve"> or </w:t>
            </w:r>
            <w:r w:rsidRPr="00843763" w:rsidR="00A04A7F">
              <w:rPr>
                <w:rFonts w:ascii="Arial" w:hAnsi="Arial" w:cs="Arial"/>
                <w:sz w:val="20"/>
              </w:rPr>
              <w:t xml:space="preserve">terminal that </w:t>
            </w:r>
            <w:r w:rsidRPr="00843763">
              <w:rPr>
                <w:rFonts w:ascii="Arial" w:hAnsi="Arial" w:cs="Arial"/>
                <w:sz w:val="20"/>
              </w:rPr>
              <w:t xml:space="preserve">is </w:t>
            </w:r>
            <w:r w:rsidRPr="00843763" w:rsidR="00A04A7F">
              <w:rPr>
                <w:rFonts w:ascii="Arial" w:hAnsi="Arial" w:cs="Arial"/>
                <w:sz w:val="20"/>
              </w:rPr>
              <w:t>affected by a Coast Guard action.</w:t>
            </w:r>
            <w:r w:rsidR="00E32C73">
              <w:rPr>
                <w:rFonts w:ascii="Arial" w:hAnsi="Arial" w:cs="Arial"/>
                <w:sz w:val="20"/>
              </w:rPr>
              <w:t xml:space="preserve">  </w:t>
            </w:r>
          </w:p>
        </w:tc>
      </w:tr>
      <w:tr w:rsidRPr="00843763" w:rsidR="00A04A7F" w:rsidTr="00FE2101" w14:paraId="1DB70357" w14:textId="77777777">
        <w:tc>
          <w:tcPr>
            <w:tcW w:w="2808" w:type="dxa"/>
          </w:tcPr>
          <w:p w:rsidRPr="00843763" w:rsidR="00A04A7F" w:rsidP="00704E44" w:rsidRDefault="00A04A7F" w14:paraId="0E2C4D43" w14:textId="77777777">
            <w:pPr>
              <w:pStyle w:val="TxBrp5"/>
              <w:spacing w:before="120" w:after="120" w:line="240" w:lineRule="auto"/>
              <w:ind w:firstLine="0"/>
              <w:rPr>
                <w:rFonts w:ascii="Arial" w:hAnsi="Arial" w:cs="Arial"/>
                <w:sz w:val="20"/>
              </w:rPr>
            </w:pPr>
            <w:r w:rsidRPr="00843763">
              <w:rPr>
                <w:rFonts w:ascii="Arial" w:hAnsi="Arial" w:cs="Arial"/>
                <w:sz w:val="20"/>
              </w:rPr>
              <w:t>33 CFR 158.200(a) for oil, 158.310(a) for NLS, and 158.410(a) for APHIS regulated garbage</w:t>
            </w:r>
          </w:p>
        </w:tc>
        <w:tc>
          <w:tcPr>
            <w:tcW w:w="6552" w:type="dxa"/>
          </w:tcPr>
          <w:p w:rsidRPr="00843763" w:rsidR="00A04A7F" w:rsidP="00704E44" w:rsidRDefault="00A04A7F" w14:paraId="549CC653" w14:textId="77777777">
            <w:pPr>
              <w:pStyle w:val="TxBrp5"/>
              <w:spacing w:before="120" w:line="240" w:lineRule="auto"/>
              <w:ind w:firstLine="0"/>
              <w:rPr>
                <w:rFonts w:ascii="Arial" w:hAnsi="Arial" w:cs="Arial"/>
                <w:bCs/>
                <w:sz w:val="20"/>
              </w:rPr>
            </w:pPr>
            <w:r w:rsidRPr="00843763">
              <w:rPr>
                <w:rFonts w:ascii="Arial" w:hAnsi="Arial" w:cs="Arial"/>
                <w:bCs/>
                <w:sz w:val="20"/>
              </w:rPr>
              <w:t>Advance Notice</w:t>
            </w:r>
            <w:r w:rsidRPr="00843763" w:rsidR="00E601EA">
              <w:rPr>
                <w:rFonts w:ascii="Arial" w:hAnsi="Arial" w:cs="Arial"/>
                <w:bCs/>
                <w:sz w:val="20"/>
              </w:rPr>
              <w:t xml:space="preserve">.  </w:t>
            </w:r>
          </w:p>
          <w:p w:rsidRPr="00843763" w:rsidR="00A04A7F" w:rsidP="00704E44" w:rsidRDefault="00A04A7F" w14:paraId="1D7146D4" w14:textId="77777777">
            <w:pPr>
              <w:pStyle w:val="TxBrp5"/>
              <w:spacing w:after="120" w:line="240" w:lineRule="auto"/>
              <w:ind w:firstLine="0"/>
              <w:rPr>
                <w:rFonts w:ascii="Arial" w:hAnsi="Arial" w:cs="Arial"/>
                <w:sz w:val="20"/>
              </w:rPr>
            </w:pPr>
            <w:r w:rsidRPr="00843763">
              <w:rPr>
                <w:rFonts w:ascii="Arial" w:hAnsi="Arial" w:cs="Arial"/>
                <w:sz w:val="20"/>
              </w:rPr>
              <w:t xml:space="preserve">The person in charge of port, terminal </w:t>
            </w:r>
            <w:r w:rsidRPr="00843763" w:rsidR="00704E44">
              <w:rPr>
                <w:rFonts w:ascii="Arial" w:hAnsi="Arial" w:cs="Arial"/>
                <w:sz w:val="20"/>
              </w:rPr>
              <w:t xml:space="preserve">or </w:t>
            </w:r>
            <w:r w:rsidRPr="00843763">
              <w:rPr>
                <w:rFonts w:ascii="Arial" w:hAnsi="Arial" w:cs="Arial"/>
                <w:sz w:val="20"/>
              </w:rPr>
              <w:t>vessel.</w:t>
            </w:r>
            <w:r w:rsidR="00E32C73">
              <w:rPr>
                <w:rFonts w:ascii="Arial" w:hAnsi="Arial" w:cs="Arial"/>
                <w:sz w:val="20"/>
              </w:rPr>
              <w:t xml:space="preserve">  </w:t>
            </w:r>
          </w:p>
        </w:tc>
      </w:tr>
      <w:tr w:rsidRPr="00843763" w:rsidR="00E601EA" w:rsidTr="00FE2101" w14:paraId="500712B4" w14:textId="77777777">
        <w:tc>
          <w:tcPr>
            <w:tcW w:w="2808" w:type="dxa"/>
          </w:tcPr>
          <w:p w:rsidRPr="00843763" w:rsidR="00E601EA" w:rsidP="00E601EA" w:rsidRDefault="00E601EA" w14:paraId="1107EFA8" w14:textId="77777777">
            <w:pPr>
              <w:pStyle w:val="TxBrp5"/>
              <w:spacing w:before="120" w:after="120" w:line="289" w:lineRule="exact"/>
              <w:ind w:firstLine="0"/>
              <w:rPr>
                <w:rFonts w:ascii="Arial" w:hAnsi="Arial" w:cs="Arial"/>
                <w:sz w:val="20"/>
              </w:rPr>
            </w:pPr>
            <w:r w:rsidRPr="00843763">
              <w:rPr>
                <w:rFonts w:ascii="Arial" w:hAnsi="Arial" w:cs="Arial"/>
                <w:sz w:val="20"/>
              </w:rPr>
              <w:t>NVIC 04-87</w:t>
            </w:r>
            <w:r w:rsidR="0077109F">
              <w:rPr>
                <w:rFonts w:ascii="Arial" w:hAnsi="Arial" w:cs="Arial"/>
                <w:sz w:val="20"/>
              </w:rPr>
              <w:t>, CH-1</w:t>
            </w:r>
          </w:p>
        </w:tc>
        <w:tc>
          <w:tcPr>
            <w:tcW w:w="6552" w:type="dxa"/>
          </w:tcPr>
          <w:p w:rsidRPr="00843763" w:rsidR="00E601EA" w:rsidP="00704E44" w:rsidRDefault="00E601EA" w14:paraId="7881CBB5" w14:textId="77777777">
            <w:pPr>
              <w:pStyle w:val="TxBrp5"/>
              <w:spacing w:before="120" w:line="240" w:lineRule="auto"/>
              <w:ind w:firstLine="0"/>
              <w:rPr>
                <w:rFonts w:ascii="Arial" w:hAnsi="Arial" w:cs="Arial"/>
                <w:bCs/>
                <w:sz w:val="20"/>
              </w:rPr>
            </w:pPr>
            <w:r w:rsidRPr="00843763">
              <w:rPr>
                <w:rFonts w:ascii="Arial" w:hAnsi="Arial" w:cs="Arial"/>
                <w:bCs/>
                <w:sz w:val="20"/>
              </w:rPr>
              <w:t>Inadequacy Report.</w:t>
            </w:r>
          </w:p>
          <w:p w:rsidRPr="00843763" w:rsidR="00E601EA" w:rsidP="00704E44" w:rsidRDefault="00E601EA" w14:paraId="2670CA21" w14:textId="77777777">
            <w:pPr>
              <w:pStyle w:val="TxBrp5"/>
              <w:spacing w:after="120" w:line="240" w:lineRule="auto"/>
              <w:ind w:firstLine="0"/>
              <w:rPr>
                <w:rFonts w:ascii="Arial" w:hAnsi="Arial" w:cs="Arial"/>
                <w:bCs/>
                <w:sz w:val="20"/>
              </w:rPr>
            </w:pPr>
            <w:r w:rsidRPr="00843763">
              <w:rPr>
                <w:rFonts w:ascii="Arial" w:hAnsi="Arial" w:cs="Arial"/>
                <w:bCs/>
                <w:sz w:val="20"/>
              </w:rPr>
              <w:t xml:space="preserve">A vessel upon encountering problems in discharging waste to a port reception facility.  </w:t>
            </w:r>
          </w:p>
        </w:tc>
      </w:tr>
    </w:tbl>
    <w:p w:rsidRPr="00843763" w:rsidR="00A04A7F" w:rsidRDefault="00A04A7F" w14:paraId="3A655E81" w14:textId="77777777">
      <w:pPr>
        <w:widowControl w:val="0"/>
        <w:tabs>
          <w:tab w:val="left" w:pos="576"/>
          <w:tab w:val="left" w:pos="1440"/>
        </w:tabs>
        <w:rPr>
          <w:rFonts w:ascii="Arial" w:hAnsi="Arial" w:cs="Arial"/>
        </w:rPr>
      </w:pPr>
    </w:p>
    <w:p w:rsidRPr="00843763" w:rsidR="00A04A7F" w:rsidRDefault="00A04A7F" w14:paraId="5DE74FE8" w14:textId="77777777">
      <w:pPr>
        <w:widowControl w:val="0"/>
        <w:tabs>
          <w:tab w:val="left" w:pos="570"/>
          <w:tab w:val="left" w:pos="1440"/>
        </w:tabs>
        <w:rPr>
          <w:rFonts w:ascii="Arial" w:hAnsi="Arial" w:cs="Arial"/>
        </w:rPr>
      </w:pPr>
      <w:r w:rsidRPr="00843763">
        <w:rPr>
          <w:rFonts w:ascii="Arial" w:hAnsi="Arial" w:cs="Arial"/>
        </w:rPr>
        <w:t>The following items of information are contained in the regulations as follows:</w:t>
      </w:r>
      <w:r w:rsidR="00E32C73">
        <w:rPr>
          <w:rFonts w:ascii="Arial" w:hAnsi="Arial" w:cs="Arial"/>
        </w:rPr>
        <w:t xml:space="preserve">  </w:t>
      </w:r>
    </w:p>
    <w:p w:rsidRPr="00843763" w:rsidR="00A04A7F" w:rsidRDefault="00A04A7F" w14:paraId="0DF15758" w14:textId="77777777">
      <w:pPr>
        <w:widowControl w:val="0"/>
        <w:tabs>
          <w:tab w:val="left" w:pos="570"/>
          <w:tab w:val="left" w:pos="1440"/>
        </w:tabs>
        <w:rPr>
          <w:rFonts w:ascii="Arial" w:hAnsi="Arial" w:cs="Arial"/>
        </w:rPr>
      </w:pPr>
    </w:p>
    <w:p w:rsidRPr="00743301" w:rsidR="00A04A7F" w:rsidRDefault="00A04A7F" w14:paraId="7EB07932" w14:textId="77777777">
      <w:pPr>
        <w:widowControl w:val="0"/>
        <w:tabs>
          <w:tab w:val="left" w:pos="576"/>
          <w:tab w:val="left" w:pos="1440"/>
        </w:tabs>
        <w:rPr>
          <w:rFonts w:ascii="Arial" w:hAnsi="Arial" w:cs="Arial"/>
        </w:rPr>
      </w:pPr>
      <w:r w:rsidRPr="00843763">
        <w:rPr>
          <w:rFonts w:ascii="Arial" w:hAnsi="Arial" w:cs="Arial"/>
        </w:rPr>
        <w:t xml:space="preserve">a)  </w:t>
      </w:r>
      <w:r w:rsidRPr="00743301">
        <w:rPr>
          <w:rFonts w:ascii="Arial" w:hAnsi="Arial" w:cs="Arial"/>
          <w:u w:val="single"/>
        </w:rPr>
        <w:t>Adequacy Certification</w:t>
      </w:r>
      <w:r w:rsidR="00743301">
        <w:rPr>
          <w:rFonts w:ascii="Arial" w:hAnsi="Arial" w:cs="Arial"/>
        </w:rPr>
        <w:t>:</w:t>
      </w:r>
      <w:r w:rsidR="00E32C73">
        <w:rPr>
          <w:rFonts w:ascii="Arial" w:hAnsi="Arial" w:cs="Arial"/>
        </w:rPr>
        <w:t xml:space="preserve">  </w:t>
      </w:r>
    </w:p>
    <w:p w:rsidRPr="00843763" w:rsidR="00A04A7F" w:rsidRDefault="00A04A7F" w14:paraId="53267623" w14:textId="77777777">
      <w:pPr>
        <w:widowControl w:val="0"/>
        <w:tabs>
          <w:tab w:val="left" w:pos="576"/>
          <w:tab w:val="left" w:pos="1440"/>
        </w:tabs>
        <w:rPr>
          <w:rFonts w:ascii="Arial" w:hAnsi="Arial" w:cs="Arial"/>
        </w:rPr>
      </w:pPr>
    </w:p>
    <w:p w:rsidRPr="00843763" w:rsidR="00A04A7F" w:rsidRDefault="00A04A7F" w14:paraId="058F0A0A" w14:textId="77777777">
      <w:pPr>
        <w:widowControl w:val="0"/>
        <w:tabs>
          <w:tab w:val="left" w:pos="576"/>
          <w:tab w:val="left" w:pos="1440"/>
        </w:tabs>
        <w:ind w:firstLine="450"/>
        <w:rPr>
          <w:rFonts w:ascii="Arial" w:hAnsi="Arial" w:cs="Arial"/>
        </w:rPr>
      </w:pPr>
      <w:r w:rsidRPr="00843763">
        <w:rPr>
          <w:rFonts w:ascii="Arial" w:hAnsi="Arial" w:cs="Arial"/>
        </w:rPr>
        <w:t xml:space="preserve">i)  </w:t>
      </w:r>
      <w:r w:rsidRPr="00843763">
        <w:rPr>
          <w:rFonts w:ascii="Arial" w:hAnsi="Arial" w:cs="Arial"/>
          <w:u w:val="single"/>
        </w:rPr>
        <w:t>Application for a Certificate of Adequacy (33 CFR 158.140)</w:t>
      </w:r>
      <w:r w:rsidRPr="00843763">
        <w:rPr>
          <w:rFonts w:ascii="Arial" w:hAnsi="Arial" w:cs="Arial"/>
        </w:rPr>
        <w:t xml:space="preserve">.  There must be a requirement that persons in charge of ports and terminals submit the information necessary for the Coast Guard to determine whether reception facilities are adequate.  If this information were not collected, the Coast Guard would have no rational basis for issuing </w:t>
      </w:r>
      <w:r w:rsidRPr="00843763" w:rsidR="005E05DD">
        <w:rPr>
          <w:rFonts w:ascii="Arial" w:hAnsi="Arial" w:cs="Arial"/>
        </w:rPr>
        <w:t>COA</w:t>
      </w:r>
      <w:r w:rsidRPr="00843763" w:rsidR="00982B1E">
        <w:rPr>
          <w:rFonts w:ascii="Arial" w:hAnsi="Arial" w:cs="Arial"/>
        </w:rPr>
        <w:t>s</w:t>
      </w:r>
      <w:r w:rsidRPr="00843763">
        <w:rPr>
          <w:rFonts w:ascii="Arial" w:hAnsi="Arial" w:cs="Arial"/>
        </w:rPr>
        <w:t>.</w:t>
      </w:r>
      <w:r w:rsidR="00E32C73">
        <w:rPr>
          <w:rFonts w:ascii="Arial" w:hAnsi="Arial" w:cs="Arial"/>
        </w:rPr>
        <w:t xml:space="preserve">  </w:t>
      </w:r>
    </w:p>
    <w:p w:rsidRPr="00843763" w:rsidR="00A04A7F" w:rsidRDefault="00A04A7F" w14:paraId="5B80D5A2" w14:textId="77777777">
      <w:pPr>
        <w:widowControl w:val="0"/>
        <w:tabs>
          <w:tab w:val="left" w:pos="576"/>
          <w:tab w:val="left" w:pos="1440"/>
        </w:tabs>
        <w:rPr>
          <w:rFonts w:ascii="Arial" w:hAnsi="Arial" w:cs="Arial"/>
        </w:rPr>
      </w:pPr>
    </w:p>
    <w:p w:rsidRPr="00843763" w:rsidR="00A04A7F" w:rsidRDefault="00A04A7F" w14:paraId="789083EF" w14:textId="77777777">
      <w:pPr>
        <w:widowControl w:val="0"/>
        <w:tabs>
          <w:tab w:val="left" w:pos="576"/>
          <w:tab w:val="left" w:pos="1440"/>
        </w:tabs>
        <w:ind w:firstLine="450"/>
        <w:rPr>
          <w:rFonts w:ascii="Arial" w:hAnsi="Arial" w:cs="Arial"/>
        </w:rPr>
      </w:pPr>
      <w:r w:rsidRPr="00843763">
        <w:rPr>
          <w:rFonts w:ascii="Arial" w:hAnsi="Arial" w:cs="Arial"/>
        </w:rPr>
        <w:t xml:space="preserve">ii)  </w:t>
      </w:r>
      <w:r w:rsidRPr="00843763">
        <w:rPr>
          <w:rFonts w:ascii="Arial" w:hAnsi="Arial" w:cs="Arial"/>
          <w:u w:val="single"/>
        </w:rPr>
        <w:t>Waivers (33 CFR 158.150)</w:t>
      </w:r>
      <w:r w:rsidRPr="00843763">
        <w:rPr>
          <w:rFonts w:ascii="Arial" w:hAnsi="Arial" w:cs="Arial"/>
        </w:rPr>
        <w:t>.  The criteria for adequacy are contained in 33 CFR 158.200, 158.310 and 158.410.  Due to particular circumstances, it may be impractical for a port or terminal to comply with particular criteria.  Title 33 CFR 158.150 provides a procedure whereby a waiver of individual criteria may be granted by the Coast Guard C</w:t>
      </w:r>
      <w:r w:rsidRPr="00843763" w:rsidR="00982B1E">
        <w:rPr>
          <w:rFonts w:ascii="Arial" w:hAnsi="Arial" w:cs="Arial"/>
        </w:rPr>
        <w:t>OTP</w:t>
      </w:r>
      <w:r w:rsidRPr="00843763">
        <w:rPr>
          <w:rFonts w:ascii="Arial" w:hAnsi="Arial" w:cs="Arial"/>
        </w:rPr>
        <w:t>.  If this information were not collected, ports and terminals would have to comply with the criteria that may be in excess of their actual needs.</w:t>
      </w:r>
      <w:r w:rsidR="00E32C73">
        <w:rPr>
          <w:rFonts w:ascii="Arial" w:hAnsi="Arial" w:cs="Arial"/>
        </w:rPr>
        <w:t xml:space="preserve">  </w:t>
      </w:r>
    </w:p>
    <w:p w:rsidRPr="00843763" w:rsidR="00A04A7F" w:rsidRDefault="00A04A7F" w14:paraId="5B227117" w14:textId="77777777">
      <w:pPr>
        <w:pStyle w:val="Footer"/>
        <w:widowControl w:val="0"/>
        <w:tabs>
          <w:tab w:val="clear" w:pos="4320"/>
          <w:tab w:val="clear" w:pos="8640"/>
          <w:tab w:val="left" w:pos="576"/>
          <w:tab w:val="left" w:pos="1440"/>
        </w:tabs>
        <w:rPr>
          <w:rFonts w:ascii="Arial" w:hAnsi="Arial" w:cs="Arial"/>
        </w:rPr>
      </w:pPr>
    </w:p>
    <w:p w:rsidRPr="00843763" w:rsidR="00A04A7F" w:rsidRDefault="00A04A7F" w14:paraId="53597691" w14:textId="77777777">
      <w:pPr>
        <w:widowControl w:val="0"/>
        <w:tabs>
          <w:tab w:val="left" w:pos="576"/>
          <w:tab w:val="left" w:pos="1440"/>
        </w:tabs>
        <w:ind w:firstLine="450"/>
        <w:rPr>
          <w:rFonts w:ascii="Arial" w:hAnsi="Arial" w:cs="Arial"/>
        </w:rPr>
      </w:pPr>
      <w:r w:rsidRPr="00843763">
        <w:rPr>
          <w:rFonts w:ascii="Arial" w:hAnsi="Arial" w:cs="Arial"/>
        </w:rPr>
        <w:t xml:space="preserve">iii)  </w:t>
      </w:r>
      <w:r w:rsidRPr="00843763">
        <w:rPr>
          <w:rFonts w:ascii="Arial" w:hAnsi="Arial" w:cs="Arial"/>
          <w:u w:val="single"/>
        </w:rPr>
        <w:t>Notification of Change (33 CFR 158.165)</w:t>
      </w:r>
      <w:r w:rsidRPr="00843763">
        <w:rPr>
          <w:rFonts w:ascii="Arial" w:hAnsi="Arial" w:cs="Arial"/>
        </w:rPr>
        <w:t>.  The statute (33 U.S.C. 1905(d)</w:t>
      </w:r>
      <w:r w:rsidR="00C81AD6">
        <w:rPr>
          <w:rFonts w:ascii="Arial" w:hAnsi="Arial" w:cs="Arial"/>
        </w:rPr>
        <w:t>)</w:t>
      </w:r>
      <w:r w:rsidRPr="00843763">
        <w:rPr>
          <w:rFonts w:ascii="Arial" w:hAnsi="Arial" w:cs="Arial"/>
        </w:rPr>
        <w:t xml:space="preserve"> requires the Coast Guard to publish a list of ports and terminals holding valid C</w:t>
      </w:r>
      <w:r w:rsidRPr="00843763" w:rsidR="00982B1E">
        <w:rPr>
          <w:rFonts w:ascii="Arial" w:hAnsi="Arial" w:cs="Arial"/>
        </w:rPr>
        <w:t>OA</w:t>
      </w:r>
      <w:r w:rsidRPr="00843763">
        <w:rPr>
          <w:rFonts w:ascii="Arial" w:hAnsi="Arial" w:cs="Arial"/>
        </w:rPr>
        <w:t xml:space="preserve">.  </w:t>
      </w:r>
      <w:r w:rsidRPr="00843763" w:rsidR="005963FE">
        <w:rPr>
          <w:rFonts w:ascii="Arial" w:hAnsi="Arial" w:cs="Arial"/>
        </w:rPr>
        <w:t>If this information were not collected</w:t>
      </w:r>
      <w:r w:rsidRPr="00843763">
        <w:rPr>
          <w:rFonts w:ascii="Arial" w:hAnsi="Arial" w:cs="Arial"/>
        </w:rPr>
        <w:t>, the Coast Guard would not be able to publish an accurate list.</w:t>
      </w:r>
      <w:r w:rsidR="00E32C73">
        <w:rPr>
          <w:rFonts w:ascii="Arial" w:hAnsi="Arial" w:cs="Arial"/>
        </w:rPr>
        <w:t xml:space="preserve">  </w:t>
      </w:r>
    </w:p>
    <w:p w:rsidRPr="00843763" w:rsidR="00A04A7F" w:rsidRDefault="00A04A7F" w14:paraId="2A267224" w14:textId="77777777">
      <w:pPr>
        <w:pStyle w:val="TxBrp10"/>
        <w:tabs>
          <w:tab w:val="clear" w:pos="204"/>
          <w:tab w:val="left" w:pos="576"/>
          <w:tab w:val="left" w:pos="1440"/>
        </w:tabs>
        <w:spacing w:line="240" w:lineRule="auto"/>
        <w:rPr>
          <w:rFonts w:ascii="Arial" w:hAnsi="Arial" w:cs="Arial"/>
          <w:snapToGrid/>
          <w:sz w:val="20"/>
        </w:rPr>
      </w:pPr>
    </w:p>
    <w:p w:rsidRPr="00843763" w:rsidR="00A04A7F" w:rsidRDefault="00A04A7F" w14:paraId="1FF5A446" w14:textId="77777777">
      <w:pPr>
        <w:widowControl w:val="0"/>
        <w:tabs>
          <w:tab w:val="left" w:pos="576"/>
          <w:tab w:val="left" w:pos="1440"/>
        </w:tabs>
        <w:ind w:firstLine="450"/>
        <w:rPr>
          <w:rFonts w:ascii="Arial" w:hAnsi="Arial" w:cs="Arial"/>
        </w:rPr>
      </w:pPr>
      <w:r w:rsidRPr="00843763">
        <w:rPr>
          <w:rFonts w:ascii="Arial" w:hAnsi="Arial" w:cs="Arial"/>
        </w:rPr>
        <w:t xml:space="preserve">iv)  </w:t>
      </w:r>
      <w:r w:rsidRPr="00843763">
        <w:rPr>
          <w:rFonts w:ascii="Arial" w:hAnsi="Arial" w:cs="Arial"/>
          <w:u w:val="single"/>
        </w:rPr>
        <w:t>Appeals (33 CFR 158.190)</w:t>
      </w:r>
      <w:r w:rsidRPr="00843763">
        <w:rPr>
          <w:rFonts w:ascii="Arial" w:hAnsi="Arial" w:cs="Arial"/>
        </w:rPr>
        <w:t>.  A procedure must be available whereby the person affected by a Coast Guard action may submit information necessary to evaluate an appeal from that action.  If this information were not collected, the Coast Guard would not have the information necessary to evaluate an appeal.</w:t>
      </w:r>
      <w:r w:rsidR="00E32C73">
        <w:rPr>
          <w:rFonts w:ascii="Arial" w:hAnsi="Arial" w:cs="Arial"/>
        </w:rPr>
        <w:t xml:space="preserve">  </w:t>
      </w:r>
    </w:p>
    <w:p w:rsidRPr="00843763" w:rsidR="00A04A7F" w:rsidRDefault="00A04A7F" w14:paraId="2DABD910" w14:textId="77777777">
      <w:pPr>
        <w:pStyle w:val="Footer"/>
        <w:widowControl w:val="0"/>
        <w:tabs>
          <w:tab w:val="clear" w:pos="4320"/>
          <w:tab w:val="clear" w:pos="8640"/>
          <w:tab w:val="left" w:pos="576"/>
          <w:tab w:val="left" w:pos="1440"/>
        </w:tabs>
        <w:rPr>
          <w:rFonts w:ascii="Arial" w:hAnsi="Arial" w:cs="Arial"/>
        </w:rPr>
      </w:pPr>
    </w:p>
    <w:p w:rsidRPr="00843763" w:rsidR="00A04A7F" w:rsidRDefault="00A04A7F" w14:paraId="34B3072A" w14:textId="77777777">
      <w:pPr>
        <w:widowControl w:val="0"/>
        <w:tabs>
          <w:tab w:val="left" w:pos="576"/>
          <w:tab w:val="left" w:pos="1440"/>
        </w:tabs>
        <w:rPr>
          <w:rFonts w:ascii="Arial" w:hAnsi="Arial" w:cs="Arial"/>
        </w:rPr>
      </w:pPr>
      <w:r w:rsidRPr="00843763">
        <w:rPr>
          <w:rFonts w:ascii="Arial" w:hAnsi="Arial" w:cs="Arial"/>
        </w:rPr>
        <w:t xml:space="preserve">b)  </w:t>
      </w:r>
      <w:r w:rsidRPr="00743301" w:rsidR="00743301">
        <w:rPr>
          <w:rFonts w:ascii="Arial" w:hAnsi="Arial" w:cs="Arial"/>
          <w:u w:val="single"/>
        </w:rPr>
        <w:t>Advance Notice</w:t>
      </w:r>
      <w:r w:rsidR="00743301">
        <w:rPr>
          <w:rFonts w:ascii="Arial" w:hAnsi="Arial" w:cs="Arial"/>
        </w:rPr>
        <w:t xml:space="preserve">:  </w:t>
      </w:r>
      <w:r w:rsidRPr="00843763">
        <w:rPr>
          <w:rFonts w:ascii="Arial" w:hAnsi="Arial" w:cs="Arial"/>
        </w:rPr>
        <w:t xml:space="preserve">Part of the criteria of adequacy is a response criteria of 24 hours whenever a notice of arrival is received (33 CFR 158.200(a), 158.310(a) and 158.410(a)).  For this criteria to be effective, there must be a requirement that ships give </w:t>
      </w:r>
      <w:r w:rsidRPr="00843763" w:rsidR="0077109F">
        <w:rPr>
          <w:rFonts w:ascii="Arial" w:hAnsi="Arial" w:cs="Arial"/>
        </w:rPr>
        <w:t>24</w:t>
      </w:r>
      <w:r w:rsidR="0077109F">
        <w:rPr>
          <w:rFonts w:ascii="Arial" w:hAnsi="Arial" w:cs="Arial"/>
        </w:rPr>
        <w:t>-</w:t>
      </w:r>
      <w:r w:rsidRPr="00843763">
        <w:rPr>
          <w:rFonts w:ascii="Arial" w:hAnsi="Arial" w:cs="Arial"/>
        </w:rPr>
        <w:t>hour notice of their need for reception facilities.  If this information were not collected, the cost of providing waste reception facilities would be excessive either because reception facilities would have to be constantly available whether they were needed or not, or because ships would be delayed while waiting for reception services.</w:t>
      </w:r>
      <w:r w:rsidR="00E32C73">
        <w:rPr>
          <w:rFonts w:ascii="Arial" w:hAnsi="Arial" w:cs="Arial"/>
        </w:rPr>
        <w:t xml:space="preserve">  </w:t>
      </w:r>
    </w:p>
    <w:p w:rsidRPr="00843763" w:rsidR="00E601EA" w:rsidRDefault="00E601EA" w14:paraId="5326B39E" w14:textId="77777777">
      <w:pPr>
        <w:widowControl w:val="0"/>
        <w:tabs>
          <w:tab w:val="left" w:pos="576"/>
          <w:tab w:val="left" w:pos="1440"/>
        </w:tabs>
        <w:rPr>
          <w:rFonts w:ascii="Arial" w:hAnsi="Arial" w:cs="Arial"/>
        </w:rPr>
      </w:pPr>
    </w:p>
    <w:p w:rsidRPr="00843763" w:rsidR="00E601EA" w:rsidRDefault="00E601EA" w14:paraId="0EC59AAE" w14:textId="77777777">
      <w:pPr>
        <w:widowControl w:val="0"/>
        <w:tabs>
          <w:tab w:val="left" w:pos="576"/>
          <w:tab w:val="left" w:pos="1440"/>
        </w:tabs>
        <w:rPr>
          <w:rFonts w:ascii="Arial" w:hAnsi="Arial" w:cs="Arial"/>
        </w:rPr>
      </w:pPr>
      <w:r w:rsidRPr="00843763">
        <w:rPr>
          <w:rFonts w:ascii="Arial" w:hAnsi="Arial" w:cs="Arial"/>
        </w:rPr>
        <w:t xml:space="preserve">c)  </w:t>
      </w:r>
      <w:r w:rsidRPr="00743301" w:rsidR="00743301">
        <w:rPr>
          <w:rFonts w:ascii="Arial" w:hAnsi="Arial" w:cs="Arial"/>
          <w:u w:val="single"/>
        </w:rPr>
        <w:t>Inadequacy Reports</w:t>
      </w:r>
      <w:r w:rsidR="00743301">
        <w:rPr>
          <w:rFonts w:ascii="Arial" w:hAnsi="Arial" w:cs="Arial"/>
        </w:rPr>
        <w:t xml:space="preserve">:  </w:t>
      </w:r>
      <w:r w:rsidRPr="00843763">
        <w:rPr>
          <w:rFonts w:ascii="Arial" w:hAnsi="Arial" w:cs="Arial"/>
          <w:bCs/>
        </w:rPr>
        <w:t>A vessel upon encountering problems in discharging waste to a port reception facility m</w:t>
      </w:r>
      <w:r w:rsidRPr="00843763" w:rsidR="008E362F">
        <w:rPr>
          <w:rFonts w:ascii="Arial" w:hAnsi="Arial" w:cs="Arial"/>
          <w:bCs/>
        </w:rPr>
        <w:t>a</w:t>
      </w:r>
      <w:r w:rsidRPr="00843763">
        <w:rPr>
          <w:rFonts w:ascii="Arial" w:hAnsi="Arial" w:cs="Arial"/>
          <w:bCs/>
        </w:rPr>
        <w:t xml:space="preserve">y voluntarily submit an inadequacy report.  </w:t>
      </w:r>
    </w:p>
    <w:p w:rsidRPr="00843763" w:rsidR="00A04A7F" w:rsidRDefault="00A04A7F" w14:paraId="4DCBB65D" w14:textId="77777777">
      <w:pPr>
        <w:widowControl w:val="0"/>
        <w:tabs>
          <w:tab w:val="left" w:pos="576"/>
          <w:tab w:val="left" w:pos="1440"/>
        </w:tabs>
        <w:rPr>
          <w:rFonts w:ascii="Arial" w:hAnsi="Arial" w:cs="Arial"/>
        </w:rPr>
      </w:pPr>
    </w:p>
    <w:p w:rsidRPr="00843763" w:rsidR="00A04A7F" w:rsidRDefault="00A04A7F" w14:paraId="1B1FED9F" w14:textId="77777777">
      <w:pPr>
        <w:widowControl w:val="0"/>
        <w:tabs>
          <w:tab w:val="left" w:pos="576"/>
          <w:tab w:val="left" w:pos="1440"/>
        </w:tabs>
        <w:rPr>
          <w:rFonts w:ascii="Arial" w:hAnsi="Arial" w:cs="Arial"/>
        </w:rPr>
      </w:pPr>
      <w:r w:rsidRPr="00843763">
        <w:rPr>
          <w:rFonts w:ascii="Arial" w:hAnsi="Arial" w:cs="Arial"/>
        </w:rPr>
        <w:t xml:space="preserve">3)  </w:t>
      </w:r>
      <w:r w:rsidRPr="00843763">
        <w:rPr>
          <w:rFonts w:ascii="Arial" w:hAnsi="Arial" w:cs="Arial"/>
          <w:bCs/>
          <w:u w:val="single"/>
        </w:rPr>
        <w:t>Considerations of the use of improved information technology</w:t>
      </w:r>
      <w:r w:rsidRPr="00843763">
        <w:rPr>
          <w:rFonts w:ascii="Arial" w:hAnsi="Arial" w:cs="Arial"/>
        </w:rPr>
        <w:t>.</w:t>
      </w:r>
      <w:r w:rsidRPr="00843763" w:rsidR="00E601EA">
        <w:rPr>
          <w:rFonts w:ascii="Arial" w:hAnsi="Arial" w:cs="Arial"/>
        </w:rPr>
        <w:t xml:space="preserve">  </w:t>
      </w:r>
    </w:p>
    <w:p w:rsidRPr="00843763" w:rsidR="00A04A7F" w:rsidRDefault="00A04A7F" w14:paraId="32EBAC74" w14:textId="77777777">
      <w:pPr>
        <w:widowControl w:val="0"/>
        <w:tabs>
          <w:tab w:val="left" w:pos="576"/>
          <w:tab w:val="left" w:pos="1440"/>
        </w:tabs>
        <w:rPr>
          <w:rFonts w:ascii="Arial" w:hAnsi="Arial" w:cs="Arial"/>
        </w:rPr>
      </w:pPr>
    </w:p>
    <w:p w:rsidRPr="00843763" w:rsidR="00A04A7F" w:rsidRDefault="00E806C7" w14:paraId="1643A0C1" w14:textId="77777777">
      <w:pPr>
        <w:pStyle w:val="BodyText"/>
        <w:rPr>
          <w:rFonts w:ascii="Arial" w:hAnsi="Arial" w:cs="Arial"/>
          <w:sz w:val="20"/>
        </w:rPr>
      </w:pPr>
      <w:r w:rsidRPr="00843763">
        <w:rPr>
          <w:rFonts w:ascii="Arial" w:hAnsi="Arial" w:cs="Arial"/>
          <w:sz w:val="20"/>
        </w:rPr>
        <w:t xml:space="preserve">This information may be sent by mail, fax or electronically submitted via e-mail to the COTP at </w:t>
      </w:r>
      <w:r w:rsidRPr="00843763" w:rsidR="003F164E">
        <w:rPr>
          <w:rFonts w:ascii="Arial" w:hAnsi="Arial" w:cs="Arial"/>
          <w:sz w:val="20"/>
        </w:rPr>
        <w:t>the local</w:t>
      </w:r>
      <w:r w:rsidRPr="00843763">
        <w:rPr>
          <w:rFonts w:ascii="Arial" w:hAnsi="Arial" w:cs="Arial"/>
          <w:sz w:val="20"/>
        </w:rPr>
        <w:t xml:space="preserve"> </w:t>
      </w:r>
      <w:r w:rsidRPr="00FE2101">
        <w:rPr>
          <w:rFonts w:ascii="Arial" w:hAnsi="Arial" w:cs="Arial"/>
          <w:sz w:val="20"/>
        </w:rPr>
        <w:t xml:space="preserve">CG Sector Office.  Applications are posted at </w:t>
      </w:r>
      <w:r w:rsidRPr="00FE2101" w:rsidR="00DA3AEE">
        <w:rPr>
          <w:rFonts w:ascii="Arial" w:hAnsi="Arial" w:cs="Arial"/>
          <w:sz w:val="20"/>
        </w:rPr>
        <w:t xml:space="preserve">this </w:t>
      </w:r>
      <w:hyperlink w:history="1" r:id="rId11">
        <w:r w:rsidRPr="00FE2101" w:rsidR="00DA3AEE">
          <w:rPr>
            <w:rStyle w:val="Hyperlink"/>
            <w:rFonts w:ascii="Arial" w:hAnsi="Arial" w:cs="Arial"/>
            <w:sz w:val="20"/>
          </w:rPr>
          <w:t>LINK</w:t>
        </w:r>
      </w:hyperlink>
      <w:hyperlink w:history="1"/>
      <w:r w:rsidRPr="00FE2101">
        <w:rPr>
          <w:rFonts w:ascii="Arial" w:hAnsi="Arial" w:cs="Arial"/>
          <w:sz w:val="20"/>
        </w:rPr>
        <w:t xml:space="preserve">.  </w:t>
      </w:r>
      <w:r w:rsidRPr="00FE2101" w:rsidR="003F164E">
        <w:rPr>
          <w:rFonts w:ascii="Arial" w:hAnsi="Arial" w:cs="Arial"/>
          <w:sz w:val="20"/>
        </w:rPr>
        <w:t>Contact info for COTPs</w:t>
      </w:r>
      <w:r w:rsidRPr="00FE2101">
        <w:rPr>
          <w:rFonts w:ascii="Arial" w:hAnsi="Arial" w:cs="Arial"/>
          <w:sz w:val="20"/>
        </w:rPr>
        <w:t xml:space="preserve"> can be found at: </w:t>
      </w:r>
      <w:hyperlink w:history="1" r:id="rId12">
        <w:r w:rsidRPr="00FE2101" w:rsidR="00DA3AEE">
          <w:rPr>
            <w:rStyle w:val="Hyperlink"/>
            <w:rFonts w:ascii="Arial" w:hAnsi="Arial" w:cs="Arial"/>
            <w:sz w:val="20"/>
          </w:rPr>
          <w:t>https://www.uscg.mil/Units/Organization/</w:t>
        </w:r>
      </w:hyperlink>
      <w:r w:rsidRPr="00FE2101">
        <w:rPr>
          <w:rFonts w:ascii="Arial" w:hAnsi="Arial" w:cs="Arial"/>
          <w:sz w:val="20"/>
        </w:rPr>
        <w:t xml:space="preserve">.  </w:t>
      </w:r>
      <w:r w:rsidRPr="00FE2101" w:rsidR="00A04A7F">
        <w:rPr>
          <w:rFonts w:ascii="Arial" w:hAnsi="Arial" w:cs="Arial"/>
          <w:sz w:val="20"/>
        </w:rPr>
        <w:t>We estimate that 100% of the reporting requirements can be done electronically</w:t>
      </w:r>
      <w:r w:rsidRPr="00843763" w:rsidR="00A04A7F">
        <w:rPr>
          <w:rFonts w:ascii="Arial" w:hAnsi="Arial" w:cs="Arial"/>
          <w:sz w:val="20"/>
        </w:rPr>
        <w:t xml:space="preserve">.  At this time, we estimate </w:t>
      </w:r>
      <w:r w:rsidRPr="00843763" w:rsidR="005963FE">
        <w:rPr>
          <w:rFonts w:ascii="Arial" w:hAnsi="Arial" w:cs="Arial"/>
          <w:sz w:val="20"/>
        </w:rPr>
        <w:t>th</w:t>
      </w:r>
      <w:r w:rsidRPr="00843763" w:rsidR="00A04A7F">
        <w:rPr>
          <w:rFonts w:ascii="Arial" w:hAnsi="Arial" w:cs="Arial"/>
          <w:sz w:val="20"/>
        </w:rPr>
        <w:t xml:space="preserve">at </w:t>
      </w:r>
      <w:r w:rsidRPr="00843763" w:rsidR="005E05DD">
        <w:rPr>
          <w:rFonts w:ascii="Arial" w:hAnsi="Arial" w:cs="Arial"/>
          <w:sz w:val="20"/>
        </w:rPr>
        <w:t>98</w:t>
      </w:r>
      <w:r w:rsidRPr="00843763" w:rsidR="00A04A7F">
        <w:rPr>
          <w:rFonts w:ascii="Arial" w:hAnsi="Arial" w:cs="Arial"/>
          <w:sz w:val="20"/>
        </w:rPr>
        <w:t>%</w:t>
      </w:r>
      <w:r w:rsidRPr="00843763" w:rsidR="005E05DD">
        <w:rPr>
          <w:rStyle w:val="FootnoteReference"/>
          <w:rFonts w:ascii="Arial" w:hAnsi="Arial" w:cs="Arial"/>
          <w:sz w:val="20"/>
        </w:rPr>
        <w:footnoteReference w:id="2"/>
      </w:r>
      <w:r w:rsidRPr="00843763" w:rsidR="00A04A7F">
        <w:rPr>
          <w:rFonts w:ascii="Arial" w:hAnsi="Arial" w:cs="Arial"/>
          <w:sz w:val="20"/>
        </w:rPr>
        <w:t xml:space="preserve"> of the reporting requirements are done this way.</w:t>
      </w:r>
    </w:p>
    <w:p w:rsidRPr="00843763" w:rsidR="00A04A7F" w:rsidRDefault="00A04A7F" w14:paraId="3B7AD1F2" w14:textId="77777777">
      <w:pPr>
        <w:widowControl w:val="0"/>
        <w:tabs>
          <w:tab w:val="left" w:pos="576"/>
          <w:tab w:val="left" w:pos="1440"/>
        </w:tabs>
        <w:rPr>
          <w:rFonts w:ascii="Arial" w:hAnsi="Arial" w:cs="Arial"/>
        </w:rPr>
      </w:pPr>
    </w:p>
    <w:p w:rsidRPr="00843763" w:rsidR="00A04A7F" w:rsidRDefault="00A04A7F" w14:paraId="71D515D7" w14:textId="77777777">
      <w:pPr>
        <w:widowControl w:val="0"/>
        <w:tabs>
          <w:tab w:val="left" w:pos="576"/>
          <w:tab w:val="left" w:pos="1440"/>
        </w:tabs>
        <w:rPr>
          <w:rFonts w:ascii="Arial" w:hAnsi="Arial" w:cs="Arial"/>
        </w:rPr>
      </w:pPr>
      <w:r w:rsidRPr="00843763">
        <w:rPr>
          <w:rFonts w:ascii="Arial" w:hAnsi="Arial" w:cs="Arial"/>
        </w:rPr>
        <w:t xml:space="preserve">4)  </w:t>
      </w:r>
      <w:r w:rsidRPr="00843763">
        <w:rPr>
          <w:rFonts w:ascii="Arial" w:hAnsi="Arial" w:cs="Arial"/>
          <w:bCs/>
          <w:u w:val="single"/>
        </w:rPr>
        <w:t>Efforts to identify duplication</w:t>
      </w:r>
      <w:r w:rsidRPr="00843763">
        <w:rPr>
          <w:rFonts w:ascii="Arial" w:hAnsi="Arial" w:cs="Arial"/>
          <w:bCs/>
        </w:rPr>
        <w:t xml:space="preserve">.  </w:t>
      </w:r>
    </w:p>
    <w:p w:rsidRPr="00843763" w:rsidR="00A04A7F" w:rsidRDefault="00A04A7F" w14:paraId="16B3CCA6" w14:textId="77777777">
      <w:pPr>
        <w:widowControl w:val="0"/>
        <w:tabs>
          <w:tab w:val="left" w:pos="576"/>
          <w:tab w:val="left" w:pos="1440"/>
        </w:tabs>
        <w:rPr>
          <w:rFonts w:ascii="Arial" w:hAnsi="Arial" w:cs="Arial"/>
        </w:rPr>
      </w:pPr>
    </w:p>
    <w:p w:rsidRPr="00843763" w:rsidR="00A04A7F" w:rsidRDefault="00A04A7F" w14:paraId="0ABEB361" w14:textId="77777777">
      <w:pPr>
        <w:widowControl w:val="0"/>
        <w:tabs>
          <w:tab w:val="left" w:pos="576"/>
          <w:tab w:val="left" w:pos="1440"/>
        </w:tabs>
        <w:rPr>
          <w:rFonts w:ascii="Arial" w:hAnsi="Arial" w:cs="Arial"/>
        </w:rPr>
      </w:pPr>
      <w:r w:rsidRPr="00843763">
        <w:rPr>
          <w:rFonts w:ascii="Arial" w:hAnsi="Arial" w:cs="Arial"/>
        </w:rPr>
        <w:t xml:space="preserve">The Coast Guard monitors </w:t>
      </w:r>
      <w:r w:rsidRPr="00843763" w:rsidR="008E362F">
        <w:rPr>
          <w:rFonts w:ascii="Arial" w:hAnsi="Arial" w:cs="Arial"/>
        </w:rPr>
        <w:t xml:space="preserve">State </w:t>
      </w:r>
      <w:r w:rsidRPr="00843763">
        <w:rPr>
          <w:rFonts w:ascii="Arial" w:hAnsi="Arial" w:cs="Arial"/>
        </w:rPr>
        <w:t xml:space="preserve">and local regulatory activity in the field.  To date no equivalent </w:t>
      </w:r>
      <w:r w:rsidRPr="00843763" w:rsidR="008E362F">
        <w:rPr>
          <w:rFonts w:ascii="Arial" w:hAnsi="Arial" w:cs="Arial"/>
        </w:rPr>
        <w:t xml:space="preserve">State or </w:t>
      </w:r>
      <w:r w:rsidRPr="00843763">
        <w:rPr>
          <w:rFonts w:ascii="Arial" w:hAnsi="Arial" w:cs="Arial"/>
        </w:rPr>
        <w:t>local programs have been identified that require equivalent information, and no other Federal agencies have similar or equivalent regulatory requirements.</w:t>
      </w:r>
      <w:r w:rsidR="00AA2CF2">
        <w:rPr>
          <w:rFonts w:ascii="Arial" w:hAnsi="Arial" w:cs="Arial"/>
        </w:rPr>
        <w:t xml:space="preserve">  </w:t>
      </w:r>
    </w:p>
    <w:p w:rsidRPr="00843763" w:rsidR="00A04A7F" w:rsidRDefault="00A04A7F" w14:paraId="50F4571F" w14:textId="77777777">
      <w:pPr>
        <w:widowControl w:val="0"/>
        <w:tabs>
          <w:tab w:val="left" w:pos="576"/>
          <w:tab w:val="left" w:pos="1440"/>
        </w:tabs>
        <w:rPr>
          <w:rFonts w:ascii="Arial" w:hAnsi="Arial" w:cs="Arial"/>
        </w:rPr>
      </w:pPr>
    </w:p>
    <w:p w:rsidRPr="00843763" w:rsidR="00A04A7F" w:rsidRDefault="00A04A7F" w14:paraId="48BF13A8" w14:textId="77777777">
      <w:pPr>
        <w:widowControl w:val="0"/>
        <w:tabs>
          <w:tab w:val="left" w:pos="576"/>
          <w:tab w:val="left" w:pos="1440"/>
        </w:tabs>
        <w:rPr>
          <w:rFonts w:ascii="Arial" w:hAnsi="Arial" w:cs="Arial"/>
        </w:rPr>
      </w:pPr>
      <w:r w:rsidRPr="00843763">
        <w:rPr>
          <w:rFonts w:ascii="Arial" w:hAnsi="Arial" w:cs="Arial"/>
        </w:rPr>
        <w:t xml:space="preserve">5)  </w:t>
      </w:r>
      <w:r w:rsidRPr="00843763">
        <w:rPr>
          <w:rFonts w:ascii="Arial" w:hAnsi="Arial" w:cs="Arial"/>
          <w:bCs/>
          <w:u w:val="single"/>
        </w:rPr>
        <w:t>Methods to minimize the burdens to small business if involved</w:t>
      </w:r>
      <w:r w:rsidRPr="00843763">
        <w:rPr>
          <w:rFonts w:ascii="Arial" w:hAnsi="Arial" w:cs="Arial"/>
        </w:rPr>
        <w:t>.</w:t>
      </w:r>
      <w:r w:rsidRPr="00843763" w:rsidR="00894092">
        <w:rPr>
          <w:rFonts w:ascii="Arial" w:hAnsi="Arial" w:cs="Arial"/>
        </w:rPr>
        <w:t xml:space="preserve">  </w:t>
      </w:r>
    </w:p>
    <w:p w:rsidRPr="00843763" w:rsidR="00A04A7F" w:rsidRDefault="00A04A7F" w14:paraId="6561F43D" w14:textId="77777777">
      <w:pPr>
        <w:pStyle w:val="Footer"/>
        <w:widowControl w:val="0"/>
        <w:tabs>
          <w:tab w:val="clear" w:pos="4320"/>
          <w:tab w:val="clear" w:pos="8640"/>
          <w:tab w:val="left" w:pos="576"/>
          <w:tab w:val="left" w:pos="1440"/>
        </w:tabs>
        <w:rPr>
          <w:rFonts w:ascii="Arial" w:hAnsi="Arial" w:cs="Arial"/>
        </w:rPr>
      </w:pPr>
    </w:p>
    <w:p w:rsidRPr="00843763" w:rsidR="00A04A7F" w:rsidRDefault="0019528B" w14:paraId="79E3AAB0" w14:textId="77777777">
      <w:pPr>
        <w:widowControl w:val="0"/>
        <w:tabs>
          <w:tab w:val="left" w:pos="576"/>
          <w:tab w:val="left" w:pos="1440"/>
        </w:tabs>
        <w:rPr>
          <w:rFonts w:ascii="Arial" w:hAnsi="Arial" w:cs="Arial"/>
        </w:rPr>
      </w:pPr>
      <w:r w:rsidRPr="00843763">
        <w:rPr>
          <w:rFonts w:ascii="Arial" w:hAnsi="Arial" w:cs="Arial"/>
          <w:bCs/>
        </w:rPr>
        <w:t>This information collection does not have an impact on small businesses or other small entities.</w:t>
      </w:r>
      <w:r w:rsidRPr="00843763" w:rsidDel="0019528B">
        <w:rPr>
          <w:rFonts w:ascii="Arial" w:hAnsi="Arial" w:cs="Arial"/>
          <w:bCs/>
        </w:rPr>
        <w:t xml:space="preserve"> </w:t>
      </w:r>
      <w:r w:rsidR="00E32C73">
        <w:rPr>
          <w:rFonts w:ascii="Arial" w:hAnsi="Arial" w:cs="Arial"/>
          <w:bCs/>
        </w:rPr>
        <w:t xml:space="preserve"> </w:t>
      </w:r>
    </w:p>
    <w:p w:rsidRPr="00843763" w:rsidR="00A04A7F" w:rsidRDefault="00A04A7F" w14:paraId="2E181CAC" w14:textId="77777777">
      <w:pPr>
        <w:widowControl w:val="0"/>
        <w:tabs>
          <w:tab w:val="left" w:pos="576"/>
          <w:tab w:val="left" w:pos="1440"/>
        </w:tabs>
        <w:rPr>
          <w:rFonts w:ascii="Arial" w:hAnsi="Arial" w:cs="Arial"/>
        </w:rPr>
      </w:pPr>
    </w:p>
    <w:p w:rsidRPr="00843763" w:rsidR="00A04A7F" w:rsidRDefault="00A04A7F" w14:paraId="6E10BA57" w14:textId="77777777">
      <w:pPr>
        <w:widowControl w:val="0"/>
        <w:tabs>
          <w:tab w:val="left" w:pos="450"/>
          <w:tab w:val="left" w:pos="1440"/>
        </w:tabs>
        <w:ind w:left="450" w:hanging="450"/>
        <w:rPr>
          <w:rFonts w:ascii="Arial" w:hAnsi="Arial" w:cs="Arial"/>
        </w:rPr>
      </w:pPr>
      <w:r w:rsidRPr="00843763">
        <w:rPr>
          <w:rFonts w:ascii="Arial" w:hAnsi="Arial" w:cs="Arial"/>
        </w:rPr>
        <w:t xml:space="preserve">6)  </w:t>
      </w:r>
      <w:r w:rsidRPr="00843763">
        <w:rPr>
          <w:rFonts w:ascii="Arial" w:hAnsi="Arial" w:cs="Arial"/>
          <w:bCs/>
          <w:u w:val="single"/>
        </w:rPr>
        <w:t>Consequences to the Federal program if collection were not done or conducted less frequently</w:t>
      </w:r>
      <w:r w:rsidRPr="00843763">
        <w:rPr>
          <w:rFonts w:ascii="Arial" w:hAnsi="Arial" w:cs="Arial"/>
        </w:rPr>
        <w:t>.</w:t>
      </w:r>
      <w:r w:rsidRPr="00843763" w:rsidR="00894092">
        <w:rPr>
          <w:rFonts w:ascii="Arial" w:hAnsi="Arial" w:cs="Arial"/>
        </w:rPr>
        <w:t xml:space="preserve">  </w:t>
      </w:r>
    </w:p>
    <w:p w:rsidRPr="00843763" w:rsidR="00A04A7F" w:rsidRDefault="00A04A7F" w14:paraId="12C97CDE" w14:textId="77777777">
      <w:pPr>
        <w:widowControl w:val="0"/>
        <w:tabs>
          <w:tab w:val="left" w:pos="576"/>
          <w:tab w:val="left" w:pos="1440"/>
        </w:tabs>
        <w:rPr>
          <w:rFonts w:ascii="Arial" w:hAnsi="Arial" w:cs="Arial"/>
        </w:rPr>
      </w:pPr>
    </w:p>
    <w:p w:rsidRPr="00843763" w:rsidR="00A04A7F" w:rsidRDefault="00A04A7F" w14:paraId="56C7FB6E" w14:textId="77777777">
      <w:pPr>
        <w:widowControl w:val="0"/>
        <w:tabs>
          <w:tab w:val="left" w:pos="576"/>
          <w:tab w:val="left" w:pos="1440"/>
        </w:tabs>
        <w:rPr>
          <w:rFonts w:ascii="Arial" w:hAnsi="Arial" w:cs="Arial"/>
        </w:rPr>
      </w:pPr>
      <w:r w:rsidRPr="00843763">
        <w:rPr>
          <w:rFonts w:ascii="Arial" w:hAnsi="Arial" w:cs="Arial"/>
        </w:rPr>
        <w:t>This collection cannot be conducted less frequently.  The C</w:t>
      </w:r>
      <w:r w:rsidRPr="00843763" w:rsidR="00982B1E">
        <w:rPr>
          <w:rFonts w:ascii="Arial" w:hAnsi="Arial" w:cs="Arial"/>
        </w:rPr>
        <w:t>OA</w:t>
      </w:r>
      <w:r w:rsidRPr="00843763">
        <w:rPr>
          <w:rFonts w:ascii="Arial" w:hAnsi="Arial" w:cs="Arial"/>
        </w:rPr>
        <w:t xml:space="preserve"> is effective </w:t>
      </w:r>
      <w:r w:rsidRPr="00843763" w:rsidR="00894092">
        <w:rPr>
          <w:rFonts w:ascii="Arial" w:hAnsi="Arial" w:cs="Arial"/>
        </w:rPr>
        <w:t>for a 5-year period.</w:t>
      </w:r>
      <w:r w:rsidRPr="00843763">
        <w:rPr>
          <w:rFonts w:ascii="Arial" w:hAnsi="Arial" w:cs="Arial"/>
        </w:rPr>
        <w:t xml:space="preserve">  The information necessary for waiver and appeals </w:t>
      </w:r>
      <w:r w:rsidR="00A31B97">
        <w:rPr>
          <w:rFonts w:ascii="Arial" w:hAnsi="Arial" w:cs="Arial"/>
        </w:rPr>
        <w:t>is only su</w:t>
      </w:r>
      <w:r w:rsidRPr="00843763">
        <w:rPr>
          <w:rFonts w:ascii="Arial" w:hAnsi="Arial" w:cs="Arial"/>
        </w:rPr>
        <w:t xml:space="preserve">bmitted if the individuals affected wish to </w:t>
      </w:r>
      <w:r w:rsidRPr="00843763" w:rsidR="00A05F23">
        <w:rPr>
          <w:rFonts w:ascii="Arial" w:hAnsi="Arial" w:cs="Arial"/>
        </w:rPr>
        <w:t xml:space="preserve">avail </w:t>
      </w:r>
      <w:r w:rsidRPr="00843763">
        <w:rPr>
          <w:rFonts w:ascii="Arial" w:hAnsi="Arial" w:cs="Arial"/>
        </w:rPr>
        <w:t>themselves of these administrative remedies.  The notification of change need only be made when there is a change affecting the accuracy of the published list of reception facilities.</w:t>
      </w:r>
      <w:r w:rsidRPr="00843763" w:rsidR="00894092">
        <w:rPr>
          <w:rFonts w:ascii="Arial" w:hAnsi="Arial" w:cs="Arial"/>
        </w:rPr>
        <w:t xml:space="preserve">  </w:t>
      </w:r>
      <w:r w:rsidRPr="00843763">
        <w:rPr>
          <w:rFonts w:ascii="Arial" w:hAnsi="Arial" w:cs="Arial"/>
        </w:rPr>
        <w:t>To be effective, the advance notice of need for reception facilities must be given each time there is need.</w:t>
      </w:r>
      <w:r w:rsidRPr="00843763" w:rsidR="00894092">
        <w:rPr>
          <w:rFonts w:ascii="Arial" w:hAnsi="Arial" w:cs="Arial"/>
        </w:rPr>
        <w:t xml:space="preserve">  To be effective, an inadequacy report must be made at each instance that a </w:t>
      </w:r>
      <w:r w:rsidRPr="00843763" w:rsidR="00894092">
        <w:rPr>
          <w:rFonts w:ascii="Arial" w:hAnsi="Arial" w:cs="Arial"/>
          <w:bCs/>
        </w:rPr>
        <w:t>vessel encounters a problem in discharging waste to a port reception facility</w:t>
      </w:r>
      <w:r w:rsidRPr="00843763" w:rsidR="00894092">
        <w:rPr>
          <w:rFonts w:ascii="Arial" w:hAnsi="Arial" w:cs="Arial"/>
        </w:rPr>
        <w:t>.</w:t>
      </w:r>
      <w:r w:rsidR="00E32C73">
        <w:rPr>
          <w:rFonts w:ascii="Arial" w:hAnsi="Arial" w:cs="Arial"/>
        </w:rPr>
        <w:t xml:space="preserve">  </w:t>
      </w:r>
    </w:p>
    <w:p w:rsidRPr="00843763" w:rsidR="00A04A7F" w:rsidRDefault="00A04A7F" w14:paraId="5105A04C" w14:textId="77777777">
      <w:pPr>
        <w:widowControl w:val="0"/>
        <w:tabs>
          <w:tab w:val="left" w:pos="576"/>
          <w:tab w:val="left" w:pos="1440"/>
        </w:tabs>
        <w:rPr>
          <w:rFonts w:ascii="Arial" w:hAnsi="Arial" w:cs="Arial"/>
        </w:rPr>
      </w:pPr>
    </w:p>
    <w:p w:rsidRPr="00843763" w:rsidR="00A04A7F" w:rsidRDefault="00A04A7F" w14:paraId="5FE36EAE" w14:textId="77777777">
      <w:pPr>
        <w:widowControl w:val="0"/>
        <w:tabs>
          <w:tab w:val="left" w:pos="1440"/>
        </w:tabs>
        <w:ind w:left="450" w:hanging="450"/>
        <w:rPr>
          <w:rFonts w:ascii="Arial" w:hAnsi="Arial" w:cs="Arial"/>
          <w:u w:val="single"/>
        </w:rPr>
      </w:pPr>
      <w:r w:rsidRPr="00843763">
        <w:rPr>
          <w:rFonts w:ascii="Arial" w:hAnsi="Arial" w:cs="Arial"/>
        </w:rPr>
        <w:t xml:space="preserve">7)  </w:t>
      </w:r>
      <w:r w:rsidRPr="00843763" w:rsidR="00894092">
        <w:rPr>
          <w:rFonts w:ascii="Arial" w:hAnsi="Arial" w:cs="Arial"/>
          <w:u w:val="single"/>
        </w:rPr>
        <w:t>Special collection circumstances</w:t>
      </w:r>
      <w:r w:rsidRPr="00843763">
        <w:rPr>
          <w:rFonts w:ascii="Arial" w:hAnsi="Arial" w:cs="Arial"/>
          <w:bCs/>
        </w:rPr>
        <w:t>.</w:t>
      </w:r>
      <w:r w:rsidRPr="00843763" w:rsidR="00894092">
        <w:rPr>
          <w:rFonts w:ascii="Arial" w:hAnsi="Arial" w:cs="Arial"/>
          <w:bCs/>
        </w:rPr>
        <w:t xml:space="preserve">  </w:t>
      </w:r>
    </w:p>
    <w:p w:rsidRPr="00843763" w:rsidR="00A04A7F" w:rsidRDefault="00A04A7F" w14:paraId="3319F8B5" w14:textId="77777777">
      <w:pPr>
        <w:widowControl w:val="0"/>
        <w:tabs>
          <w:tab w:val="left" w:pos="540"/>
          <w:tab w:val="left" w:pos="1440"/>
        </w:tabs>
        <w:ind w:left="540" w:hanging="540"/>
        <w:rPr>
          <w:rFonts w:ascii="Arial" w:hAnsi="Arial" w:cs="Arial"/>
        </w:rPr>
      </w:pPr>
    </w:p>
    <w:p w:rsidRPr="00843763" w:rsidR="00A04A7F" w:rsidRDefault="0019528B" w14:paraId="0666F606" w14:textId="77777777">
      <w:pPr>
        <w:widowControl w:val="0"/>
        <w:tabs>
          <w:tab w:val="left" w:pos="576"/>
          <w:tab w:val="left" w:pos="1440"/>
        </w:tabs>
        <w:rPr>
          <w:rFonts w:ascii="Arial" w:hAnsi="Arial" w:cs="Arial"/>
        </w:rPr>
      </w:pPr>
      <w:r w:rsidRPr="00843763">
        <w:rPr>
          <w:rFonts w:ascii="Arial" w:hAnsi="Arial" w:cs="Arial"/>
        </w:rPr>
        <w:t>This information collection is conducted in manner consistent with the guidelines in 5 CFR 1320.5(d)(2)</w:t>
      </w:r>
      <w:r w:rsidRPr="00843763" w:rsidR="00A04A7F">
        <w:rPr>
          <w:rFonts w:ascii="Arial" w:hAnsi="Arial" w:cs="Arial"/>
        </w:rPr>
        <w:t>.</w:t>
      </w:r>
      <w:r w:rsidR="00E32C73">
        <w:rPr>
          <w:rFonts w:ascii="Arial" w:hAnsi="Arial" w:cs="Arial"/>
        </w:rPr>
        <w:t xml:space="preserve">  </w:t>
      </w:r>
    </w:p>
    <w:p w:rsidRPr="00843763" w:rsidR="00A04A7F" w:rsidRDefault="00A04A7F" w14:paraId="36F8F57C" w14:textId="77777777">
      <w:pPr>
        <w:pStyle w:val="Footer"/>
        <w:widowControl w:val="0"/>
        <w:tabs>
          <w:tab w:val="clear" w:pos="4320"/>
          <w:tab w:val="clear" w:pos="8640"/>
          <w:tab w:val="left" w:pos="576"/>
          <w:tab w:val="left" w:pos="1440"/>
        </w:tabs>
        <w:rPr>
          <w:rFonts w:ascii="Arial" w:hAnsi="Arial" w:cs="Arial"/>
        </w:rPr>
      </w:pPr>
    </w:p>
    <w:p w:rsidRPr="00843763" w:rsidR="00A04A7F" w:rsidRDefault="00A04A7F" w14:paraId="07EE5D75" w14:textId="77777777">
      <w:pPr>
        <w:widowControl w:val="0"/>
        <w:tabs>
          <w:tab w:val="left" w:pos="576"/>
          <w:tab w:val="left" w:pos="1440"/>
        </w:tabs>
        <w:rPr>
          <w:rFonts w:ascii="Arial" w:hAnsi="Arial" w:cs="Arial"/>
        </w:rPr>
      </w:pPr>
      <w:r w:rsidRPr="00843763">
        <w:rPr>
          <w:rFonts w:ascii="Arial" w:hAnsi="Arial" w:cs="Arial"/>
        </w:rPr>
        <w:t xml:space="preserve">8)  </w:t>
      </w:r>
      <w:r w:rsidRPr="00843763">
        <w:rPr>
          <w:rFonts w:ascii="Arial" w:hAnsi="Arial" w:cs="Arial"/>
          <w:bCs/>
          <w:u w:val="single"/>
        </w:rPr>
        <w:t>Consultation</w:t>
      </w:r>
      <w:r w:rsidRPr="00843763" w:rsidR="00704E44">
        <w:rPr>
          <w:rFonts w:ascii="Arial" w:hAnsi="Arial" w:cs="Arial"/>
          <w:bCs/>
        </w:rPr>
        <w:t xml:space="preserve">.  </w:t>
      </w:r>
    </w:p>
    <w:p w:rsidRPr="00EB32A2" w:rsidR="00EB32A2" w:rsidP="00EB32A2" w:rsidRDefault="00EB32A2" w14:paraId="5E8408F3" w14:textId="77777777">
      <w:pPr>
        <w:widowControl w:val="0"/>
        <w:tabs>
          <w:tab w:val="left" w:pos="576"/>
          <w:tab w:val="left" w:pos="1440"/>
        </w:tabs>
        <w:rPr>
          <w:rFonts w:ascii="Arial" w:hAnsi="Arial" w:cs="Arial"/>
        </w:rPr>
      </w:pPr>
    </w:p>
    <w:p w:rsidRPr="00843763" w:rsidR="00704E44" w:rsidP="00EB32A2" w:rsidRDefault="00EB32A2" w14:paraId="0A583C01" w14:textId="71606EBE">
      <w:pPr>
        <w:widowControl w:val="0"/>
        <w:tabs>
          <w:tab w:val="left" w:pos="576"/>
          <w:tab w:val="left" w:pos="1440"/>
        </w:tabs>
        <w:rPr>
          <w:rFonts w:ascii="Arial" w:hAnsi="Arial" w:cs="Arial"/>
        </w:rPr>
      </w:pPr>
      <w:r w:rsidRPr="00EB32A2">
        <w:rPr>
          <w:rFonts w:ascii="Arial" w:hAnsi="Arial" w:cs="Arial"/>
        </w:rPr>
        <w:t>A 60-day Notice was published in the Federal Register to obtain public comment on this</w:t>
      </w:r>
      <w:r>
        <w:rPr>
          <w:rFonts w:ascii="Arial" w:hAnsi="Arial" w:cs="Arial"/>
        </w:rPr>
        <w:t xml:space="preserve"> collection (See [USCG-2021-0624]; August 16, 2021, 86 FR 45745) and 30-Day Notice (</w:t>
      </w:r>
      <w:bookmarkStart w:name="_GoBack" w:id="0"/>
      <w:bookmarkEnd w:id="0"/>
      <w:r w:rsidRPr="00607E0F" w:rsidR="009C6ECF">
        <w:rPr>
          <w:rFonts w:ascii="Arial" w:hAnsi="Arial" w:cs="Arial"/>
        </w:rPr>
        <w:t>November 10</w:t>
      </w:r>
      <w:r w:rsidRPr="00607E0F" w:rsidR="00607E0F">
        <w:rPr>
          <w:rFonts w:ascii="Arial" w:hAnsi="Arial" w:cs="Arial"/>
        </w:rPr>
        <w:t xml:space="preserve">, 2021, 86 FR </w:t>
      </w:r>
      <w:r w:rsidR="00607E0F">
        <w:rPr>
          <w:rFonts w:ascii="Arial" w:hAnsi="Arial" w:cs="Arial"/>
        </w:rPr>
        <w:t>62556</w:t>
      </w:r>
      <w:r w:rsidRPr="00EB32A2">
        <w:rPr>
          <w:rFonts w:ascii="Arial" w:hAnsi="Arial" w:cs="Arial"/>
        </w:rPr>
        <w:t xml:space="preserve">) were published in the Federal Register to obtain public comment on this collection.  The Coast Guard has not received any comments on this information collection.                 </w:t>
      </w:r>
    </w:p>
    <w:p w:rsidRPr="00843763" w:rsidR="00704E44" w:rsidRDefault="00704E44" w14:paraId="7602B126" w14:textId="77777777">
      <w:pPr>
        <w:widowControl w:val="0"/>
        <w:tabs>
          <w:tab w:val="left" w:pos="576"/>
          <w:tab w:val="left" w:pos="1440"/>
        </w:tabs>
        <w:rPr>
          <w:rFonts w:ascii="Arial" w:hAnsi="Arial" w:cs="Arial"/>
        </w:rPr>
      </w:pPr>
    </w:p>
    <w:p w:rsidRPr="00843763" w:rsidR="00A04A7F" w:rsidRDefault="00A04A7F" w14:paraId="6053073F" w14:textId="77777777">
      <w:pPr>
        <w:widowControl w:val="0"/>
        <w:tabs>
          <w:tab w:val="left" w:pos="576"/>
          <w:tab w:val="left" w:pos="1440"/>
        </w:tabs>
        <w:rPr>
          <w:rFonts w:ascii="Arial" w:hAnsi="Arial" w:cs="Arial"/>
        </w:rPr>
      </w:pPr>
      <w:r w:rsidRPr="00843763">
        <w:rPr>
          <w:rFonts w:ascii="Arial" w:hAnsi="Arial" w:cs="Arial"/>
        </w:rPr>
        <w:t xml:space="preserve">9)  </w:t>
      </w:r>
      <w:r w:rsidRPr="00843763" w:rsidR="00704E44">
        <w:rPr>
          <w:rFonts w:ascii="Arial" w:hAnsi="Arial" w:cs="Arial"/>
          <w:u w:val="single"/>
        </w:rPr>
        <w:t>Provide any payments or gifts to respondents</w:t>
      </w:r>
      <w:r w:rsidRPr="00843763">
        <w:rPr>
          <w:rFonts w:ascii="Arial" w:hAnsi="Arial" w:cs="Arial"/>
        </w:rPr>
        <w:t>.</w:t>
      </w:r>
      <w:r w:rsidRPr="00843763" w:rsidR="00704E44">
        <w:rPr>
          <w:rFonts w:ascii="Arial" w:hAnsi="Arial" w:cs="Arial"/>
        </w:rPr>
        <w:t xml:space="preserve">  </w:t>
      </w:r>
    </w:p>
    <w:p w:rsidRPr="00843763" w:rsidR="00A04A7F" w:rsidRDefault="00A04A7F" w14:paraId="6C49F33F" w14:textId="77777777">
      <w:pPr>
        <w:widowControl w:val="0"/>
        <w:tabs>
          <w:tab w:val="left" w:pos="576"/>
          <w:tab w:val="left" w:pos="1440"/>
        </w:tabs>
        <w:rPr>
          <w:rFonts w:ascii="Arial" w:hAnsi="Arial" w:cs="Arial"/>
        </w:rPr>
      </w:pPr>
    </w:p>
    <w:p w:rsidRPr="00843763" w:rsidR="00A04A7F" w:rsidRDefault="0019528B" w14:paraId="6C059F49" w14:textId="77777777">
      <w:pPr>
        <w:widowControl w:val="0"/>
        <w:tabs>
          <w:tab w:val="left" w:pos="576"/>
          <w:tab w:val="left" w:pos="1440"/>
        </w:tabs>
        <w:rPr>
          <w:rFonts w:ascii="Arial" w:hAnsi="Arial" w:cs="Arial"/>
        </w:rPr>
      </w:pPr>
      <w:r w:rsidRPr="00843763">
        <w:rPr>
          <w:rFonts w:ascii="Arial" w:hAnsi="Arial" w:cs="Arial"/>
        </w:rPr>
        <w:t>There is no offer of monetary or material value for this information collection</w:t>
      </w:r>
      <w:r w:rsidRPr="00843763" w:rsidR="00A04A7F">
        <w:rPr>
          <w:rFonts w:ascii="Arial" w:hAnsi="Arial" w:cs="Arial"/>
        </w:rPr>
        <w:t xml:space="preserve">. </w:t>
      </w:r>
      <w:r w:rsidR="00E32C73">
        <w:rPr>
          <w:rFonts w:ascii="Arial" w:hAnsi="Arial" w:cs="Arial"/>
        </w:rPr>
        <w:t xml:space="preserve"> </w:t>
      </w:r>
    </w:p>
    <w:p w:rsidRPr="00843763" w:rsidR="00A04A7F" w:rsidRDefault="00A04A7F" w14:paraId="2EBCA6D6" w14:textId="77777777">
      <w:pPr>
        <w:widowControl w:val="0"/>
        <w:tabs>
          <w:tab w:val="left" w:pos="576"/>
          <w:tab w:val="left" w:pos="1440"/>
        </w:tabs>
        <w:rPr>
          <w:rFonts w:ascii="Arial" w:hAnsi="Arial" w:cs="Arial"/>
        </w:rPr>
      </w:pPr>
    </w:p>
    <w:p w:rsidRPr="00843763" w:rsidR="00A04A7F" w:rsidRDefault="00A04A7F" w14:paraId="16592833" w14:textId="77777777">
      <w:pPr>
        <w:widowControl w:val="0"/>
        <w:tabs>
          <w:tab w:val="left" w:pos="576"/>
          <w:tab w:val="left" w:pos="1440"/>
        </w:tabs>
        <w:rPr>
          <w:rFonts w:ascii="Arial" w:hAnsi="Arial" w:cs="Arial"/>
        </w:rPr>
      </w:pPr>
      <w:r w:rsidRPr="00843763">
        <w:rPr>
          <w:rFonts w:ascii="Arial" w:hAnsi="Arial" w:cs="Arial"/>
        </w:rPr>
        <w:t xml:space="preserve">10)  </w:t>
      </w:r>
      <w:r w:rsidRPr="00843763">
        <w:rPr>
          <w:rFonts w:ascii="Arial" w:hAnsi="Arial" w:cs="Arial"/>
          <w:bCs/>
          <w:u w:val="single"/>
        </w:rPr>
        <w:t>Describe any assurances of confidentiality provided to respondents</w:t>
      </w:r>
      <w:r w:rsidRPr="00843763">
        <w:rPr>
          <w:rFonts w:ascii="Arial" w:hAnsi="Arial" w:cs="Arial"/>
        </w:rPr>
        <w:t>.</w:t>
      </w:r>
      <w:r w:rsidRPr="00843763" w:rsidR="00704E44">
        <w:rPr>
          <w:rFonts w:ascii="Arial" w:hAnsi="Arial" w:cs="Arial"/>
        </w:rPr>
        <w:t xml:space="preserve">  </w:t>
      </w:r>
    </w:p>
    <w:p w:rsidRPr="00843763" w:rsidR="00A04A7F" w:rsidRDefault="00A04A7F" w14:paraId="7567F8CD" w14:textId="77777777">
      <w:pPr>
        <w:widowControl w:val="0"/>
        <w:tabs>
          <w:tab w:val="left" w:pos="576"/>
          <w:tab w:val="left" w:pos="1440"/>
        </w:tabs>
        <w:rPr>
          <w:rFonts w:ascii="Arial" w:hAnsi="Arial" w:cs="Arial"/>
        </w:rPr>
      </w:pPr>
    </w:p>
    <w:p w:rsidRPr="00FE2101" w:rsidR="00DA3AEE" w:rsidP="00DA3AEE" w:rsidRDefault="0019528B" w14:paraId="30C0CD3B" w14:textId="77777777">
      <w:pPr>
        <w:pStyle w:val="BodyText"/>
        <w:rPr>
          <w:rFonts w:ascii="Arial" w:hAnsi="Arial" w:cs="Arial"/>
          <w:sz w:val="20"/>
        </w:rPr>
      </w:pPr>
      <w:r w:rsidRPr="00FE2101">
        <w:rPr>
          <w:rFonts w:ascii="Arial" w:hAnsi="Arial" w:cs="Arial"/>
          <w:sz w:val="20"/>
        </w:rPr>
        <w:t>There are no assurances of confidentiality provided to the respondents for this information collection</w:t>
      </w:r>
      <w:r w:rsidRPr="00FE2101" w:rsidR="00A04A7F">
        <w:rPr>
          <w:rFonts w:ascii="Arial" w:hAnsi="Arial" w:cs="Arial"/>
          <w:sz w:val="20"/>
        </w:rPr>
        <w:t>.</w:t>
      </w:r>
      <w:r w:rsidRPr="00FE2101" w:rsidR="00DA3AEE">
        <w:rPr>
          <w:rFonts w:ascii="Arial" w:hAnsi="Arial" w:cs="Arial"/>
          <w:sz w:val="20"/>
        </w:rPr>
        <w:t xml:space="preserve">  This information collection request is covered by the Marine Information for Safety and Law Enforcement (MISLE) Privacy Impact Assessment (PIA) and System of Records Notice (SORN).  Links to the MISLE PIA and SORN are provided below:</w:t>
      </w:r>
      <w:r w:rsidR="00E32C73">
        <w:rPr>
          <w:rFonts w:ascii="Arial" w:hAnsi="Arial" w:cs="Arial"/>
          <w:sz w:val="20"/>
        </w:rPr>
        <w:t xml:space="preserve">  </w:t>
      </w:r>
    </w:p>
    <w:p w:rsidRPr="00FE2101" w:rsidR="00DA3AEE" w:rsidP="00031F94" w:rsidRDefault="00607E0F" w14:paraId="6F8E148A" w14:textId="77777777">
      <w:pPr>
        <w:pStyle w:val="BodyText"/>
        <w:numPr>
          <w:ilvl w:val="0"/>
          <w:numId w:val="19"/>
        </w:numPr>
        <w:tabs>
          <w:tab w:val="clear" w:pos="576"/>
          <w:tab w:val="clear" w:pos="1440"/>
        </w:tabs>
        <w:rPr>
          <w:rFonts w:ascii="Arial" w:hAnsi="Arial" w:cs="Arial"/>
          <w:sz w:val="20"/>
        </w:rPr>
      </w:pPr>
      <w:hyperlink w:history="1" r:id="rId13">
        <w:r w:rsidRPr="00FE2101" w:rsidR="00DA3AEE">
          <w:rPr>
            <w:rStyle w:val="Hyperlink"/>
            <w:rFonts w:ascii="Arial" w:hAnsi="Arial" w:cs="Arial"/>
            <w:sz w:val="20"/>
          </w:rPr>
          <w:t>https://www.dhs.gov/sites/default/files/publications/privacy_pia_uscg_misle.pdf</w:t>
        </w:r>
      </w:hyperlink>
      <w:r w:rsidRPr="00FE2101" w:rsidR="00DA3AEE">
        <w:rPr>
          <w:rFonts w:ascii="Arial" w:hAnsi="Arial" w:cs="Arial"/>
          <w:sz w:val="20"/>
        </w:rPr>
        <w:t xml:space="preserve">  </w:t>
      </w:r>
    </w:p>
    <w:p w:rsidRPr="00FE2101" w:rsidR="00DA3AEE" w:rsidP="00031F94" w:rsidRDefault="00607E0F" w14:paraId="38B6F69B" w14:textId="77777777">
      <w:pPr>
        <w:pStyle w:val="BodyText"/>
        <w:numPr>
          <w:ilvl w:val="0"/>
          <w:numId w:val="19"/>
        </w:numPr>
        <w:tabs>
          <w:tab w:val="clear" w:pos="576"/>
          <w:tab w:val="clear" w:pos="1440"/>
          <w:tab w:val="left" w:pos="360"/>
        </w:tabs>
        <w:rPr>
          <w:rFonts w:ascii="Arial" w:hAnsi="Arial" w:cs="Arial"/>
          <w:sz w:val="20"/>
        </w:rPr>
      </w:pPr>
      <w:hyperlink w:history="1" r:id="rId14">
        <w:r w:rsidRPr="00FE2101" w:rsidR="00DA3AEE">
          <w:rPr>
            <w:rStyle w:val="Hyperlink"/>
            <w:rFonts w:ascii="Arial" w:hAnsi="Arial" w:cs="Arial"/>
            <w:sz w:val="20"/>
          </w:rPr>
          <w:t>https://www.gpo.gov/fdsys/pkg/FR-2009-06-25/html/E9-14906.htm</w:t>
        </w:r>
      </w:hyperlink>
      <w:r w:rsidRPr="00FE2101" w:rsidR="00DA3AEE">
        <w:rPr>
          <w:rFonts w:ascii="Arial" w:hAnsi="Arial" w:cs="Arial"/>
          <w:sz w:val="20"/>
        </w:rPr>
        <w:t xml:space="preserve">  </w:t>
      </w:r>
    </w:p>
    <w:p w:rsidRPr="00FE2101" w:rsidR="00A04A7F" w:rsidRDefault="00A04A7F" w14:paraId="5E1F778A" w14:textId="77777777">
      <w:pPr>
        <w:widowControl w:val="0"/>
        <w:tabs>
          <w:tab w:val="left" w:pos="576"/>
          <w:tab w:val="left" w:pos="1440"/>
        </w:tabs>
        <w:rPr>
          <w:rFonts w:ascii="Arial" w:hAnsi="Arial" w:cs="Arial"/>
        </w:rPr>
      </w:pPr>
    </w:p>
    <w:p w:rsidRPr="00843763" w:rsidR="00A04A7F" w:rsidRDefault="00A04A7F" w14:paraId="7839E429" w14:textId="77777777">
      <w:pPr>
        <w:widowControl w:val="0"/>
        <w:tabs>
          <w:tab w:val="left" w:pos="576"/>
          <w:tab w:val="left" w:pos="1440"/>
        </w:tabs>
        <w:ind w:left="720" w:hanging="720"/>
        <w:rPr>
          <w:rFonts w:ascii="Arial" w:hAnsi="Arial" w:cs="Arial"/>
        </w:rPr>
      </w:pPr>
      <w:r w:rsidRPr="00843763">
        <w:rPr>
          <w:rFonts w:ascii="Arial" w:hAnsi="Arial" w:cs="Arial"/>
        </w:rPr>
        <w:t xml:space="preserve">11)  </w:t>
      </w:r>
      <w:r w:rsidRPr="00843763">
        <w:rPr>
          <w:rFonts w:ascii="Arial" w:hAnsi="Arial" w:cs="Arial"/>
          <w:bCs/>
          <w:u w:val="single"/>
        </w:rPr>
        <w:t>Additional justification for any questions of a sensitive nature</w:t>
      </w:r>
      <w:r w:rsidRPr="00843763">
        <w:rPr>
          <w:rFonts w:ascii="Arial" w:hAnsi="Arial" w:cs="Arial"/>
        </w:rPr>
        <w:t>.</w:t>
      </w:r>
      <w:r w:rsidRPr="00843763" w:rsidR="00704E44">
        <w:rPr>
          <w:rFonts w:ascii="Arial" w:hAnsi="Arial" w:cs="Arial"/>
        </w:rPr>
        <w:t xml:space="preserve">  </w:t>
      </w:r>
    </w:p>
    <w:p w:rsidRPr="00843763" w:rsidR="00A04A7F" w:rsidRDefault="00A04A7F" w14:paraId="5FF302D6" w14:textId="77777777">
      <w:pPr>
        <w:pStyle w:val="Footer"/>
        <w:widowControl w:val="0"/>
        <w:tabs>
          <w:tab w:val="clear" w:pos="4320"/>
          <w:tab w:val="clear" w:pos="8640"/>
          <w:tab w:val="left" w:pos="576"/>
          <w:tab w:val="left" w:pos="1440"/>
        </w:tabs>
        <w:rPr>
          <w:rFonts w:ascii="Arial" w:hAnsi="Arial" w:cs="Arial"/>
        </w:rPr>
      </w:pPr>
    </w:p>
    <w:p w:rsidRPr="00843763" w:rsidR="00A04A7F" w:rsidRDefault="0019528B" w14:paraId="08C0B505" w14:textId="77777777">
      <w:pPr>
        <w:widowControl w:val="0"/>
        <w:tabs>
          <w:tab w:val="left" w:pos="576"/>
          <w:tab w:val="left" w:pos="1440"/>
        </w:tabs>
        <w:rPr>
          <w:rFonts w:ascii="Arial" w:hAnsi="Arial" w:cs="Arial"/>
        </w:rPr>
      </w:pPr>
      <w:r w:rsidRPr="00843763">
        <w:rPr>
          <w:rFonts w:ascii="Arial" w:hAnsi="Arial" w:cs="Arial"/>
        </w:rPr>
        <w:t xml:space="preserve">There are no questions of </w:t>
      </w:r>
      <w:r w:rsidR="00A31B97">
        <w:rPr>
          <w:rFonts w:ascii="Arial" w:hAnsi="Arial" w:cs="Arial"/>
        </w:rPr>
        <w:t xml:space="preserve">a </w:t>
      </w:r>
      <w:r w:rsidRPr="00843763">
        <w:rPr>
          <w:rFonts w:ascii="Arial" w:hAnsi="Arial" w:cs="Arial"/>
        </w:rPr>
        <w:t xml:space="preserve">sensitive </w:t>
      </w:r>
      <w:r w:rsidR="00AA2CF2">
        <w:rPr>
          <w:rFonts w:ascii="Arial" w:hAnsi="Arial" w:cs="Arial"/>
        </w:rPr>
        <w:t>nature</w:t>
      </w:r>
      <w:r w:rsidRPr="00843763" w:rsidR="00A04A7F">
        <w:rPr>
          <w:rFonts w:ascii="Arial" w:hAnsi="Arial" w:cs="Arial"/>
        </w:rPr>
        <w:t>.</w:t>
      </w:r>
      <w:r w:rsidR="00AA2CF2">
        <w:rPr>
          <w:rFonts w:ascii="Arial" w:hAnsi="Arial" w:cs="Arial"/>
        </w:rPr>
        <w:t xml:space="preserve">  </w:t>
      </w:r>
    </w:p>
    <w:p w:rsidRPr="00843763" w:rsidR="00A04A7F" w:rsidRDefault="00A04A7F" w14:paraId="63ED3C28" w14:textId="77777777">
      <w:pPr>
        <w:widowControl w:val="0"/>
        <w:tabs>
          <w:tab w:val="left" w:pos="576"/>
          <w:tab w:val="left" w:pos="1440"/>
        </w:tabs>
        <w:rPr>
          <w:rFonts w:ascii="Arial" w:hAnsi="Arial" w:cs="Arial"/>
        </w:rPr>
      </w:pPr>
    </w:p>
    <w:p w:rsidRPr="00843763" w:rsidR="00A04A7F" w:rsidRDefault="00A04A7F" w14:paraId="1F29C557" w14:textId="77777777">
      <w:pPr>
        <w:widowControl w:val="0"/>
        <w:tabs>
          <w:tab w:val="left" w:pos="576"/>
          <w:tab w:val="left" w:pos="1440"/>
        </w:tabs>
        <w:ind w:left="630" w:hanging="630"/>
        <w:rPr>
          <w:rFonts w:ascii="Arial" w:hAnsi="Arial" w:cs="Arial"/>
        </w:rPr>
      </w:pPr>
      <w:r w:rsidRPr="00843763">
        <w:rPr>
          <w:rFonts w:ascii="Arial" w:hAnsi="Arial" w:cs="Arial"/>
        </w:rPr>
        <w:t xml:space="preserve">12)  </w:t>
      </w:r>
      <w:r w:rsidRPr="00843763" w:rsidR="00704E44">
        <w:rPr>
          <w:rFonts w:ascii="Arial" w:hAnsi="Arial" w:cs="Arial"/>
          <w:bCs/>
          <w:u w:val="single"/>
        </w:rPr>
        <w:t>Estimate of annual hour and cost burdens to respondents</w:t>
      </w:r>
      <w:r w:rsidRPr="00843763">
        <w:rPr>
          <w:rFonts w:ascii="Arial" w:hAnsi="Arial" w:cs="Arial"/>
        </w:rPr>
        <w:t>.</w:t>
      </w:r>
      <w:r w:rsidRPr="00843763" w:rsidR="00704E44">
        <w:rPr>
          <w:rFonts w:ascii="Arial" w:hAnsi="Arial" w:cs="Arial"/>
        </w:rPr>
        <w:t xml:space="preserve">  </w:t>
      </w:r>
    </w:p>
    <w:p w:rsidRPr="00843763" w:rsidR="00A04A7F" w:rsidRDefault="00A04A7F" w14:paraId="20846948" w14:textId="77777777">
      <w:pPr>
        <w:widowControl w:val="0"/>
        <w:tabs>
          <w:tab w:val="left" w:pos="576"/>
          <w:tab w:val="left" w:pos="1440"/>
        </w:tabs>
        <w:rPr>
          <w:rFonts w:ascii="Arial" w:hAnsi="Arial" w:cs="Arial"/>
        </w:rPr>
      </w:pPr>
    </w:p>
    <w:p w:rsidRPr="00843763" w:rsidR="00704E44" w:rsidP="00704E44" w:rsidRDefault="00704E44" w14:paraId="12C7BE5C" w14:textId="77777777">
      <w:pPr>
        <w:pStyle w:val="p10"/>
        <w:numPr>
          <w:ilvl w:val="0"/>
          <w:numId w:val="17"/>
        </w:numPr>
        <w:rPr>
          <w:rFonts w:ascii="Arial" w:hAnsi="Arial" w:cs="Arial"/>
          <w:sz w:val="20"/>
        </w:rPr>
      </w:pPr>
      <w:r w:rsidRPr="00843763">
        <w:rPr>
          <w:rFonts w:ascii="Arial" w:hAnsi="Arial" w:cs="Arial"/>
          <w:sz w:val="20"/>
        </w:rPr>
        <w:t>The estimated number of annual respondents</w:t>
      </w:r>
      <w:r w:rsidR="00234654">
        <w:rPr>
          <w:rStyle w:val="FootnoteReference"/>
          <w:rFonts w:ascii="Arial" w:hAnsi="Arial" w:cs="Arial"/>
          <w:sz w:val="20"/>
        </w:rPr>
        <w:footnoteReference w:id="3"/>
      </w:r>
      <w:r w:rsidRPr="00843763">
        <w:rPr>
          <w:rFonts w:ascii="Arial" w:hAnsi="Arial" w:cs="Arial"/>
          <w:sz w:val="20"/>
        </w:rPr>
        <w:t xml:space="preserve"> is </w:t>
      </w:r>
      <w:r w:rsidRPr="00843763" w:rsidR="00AA3E8E">
        <w:rPr>
          <w:rFonts w:ascii="Arial" w:hAnsi="Arial" w:cs="Arial"/>
          <w:sz w:val="20"/>
        </w:rPr>
        <w:t>1,</w:t>
      </w:r>
      <w:r w:rsidR="00171A19">
        <w:rPr>
          <w:rFonts w:ascii="Arial" w:hAnsi="Arial" w:cs="Arial"/>
          <w:sz w:val="20"/>
        </w:rPr>
        <w:t>004</w:t>
      </w:r>
      <w:r w:rsidRPr="00843763">
        <w:rPr>
          <w:rFonts w:ascii="Arial" w:hAnsi="Arial" w:cs="Arial"/>
          <w:sz w:val="20"/>
        </w:rPr>
        <w:t xml:space="preserve">. </w:t>
      </w:r>
    </w:p>
    <w:p w:rsidRPr="00843763" w:rsidR="00704E44" w:rsidP="00704E44" w:rsidRDefault="00704E44" w14:paraId="13DE82AD" w14:textId="77777777">
      <w:pPr>
        <w:pStyle w:val="p10"/>
        <w:numPr>
          <w:ilvl w:val="0"/>
          <w:numId w:val="17"/>
        </w:numPr>
        <w:rPr>
          <w:rFonts w:ascii="Arial" w:hAnsi="Arial" w:cs="Arial"/>
          <w:sz w:val="20"/>
        </w:rPr>
      </w:pPr>
      <w:r w:rsidRPr="00843763">
        <w:rPr>
          <w:rFonts w:ascii="Arial" w:hAnsi="Arial" w:cs="Arial"/>
          <w:sz w:val="20"/>
        </w:rPr>
        <w:t xml:space="preserve">The estimated number of annual responses is </w:t>
      </w:r>
      <w:r w:rsidRPr="00843763" w:rsidR="00AA3E8E">
        <w:rPr>
          <w:rFonts w:ascii="Arial" w:hAnsi="Arial" w:cs="Arial"/>
          <w:sz w:val="20"/>
        </w:rPr>
        <w:t>1</w:t>
      </w:r>
      <w:r w:rsidR="00171A19">
        <w:rPr>
          <w:rFonts w:ascii="Arial" w:hAnsi="Arial" w:cs="Arial"/>
          <w:sz w:val="20"/>
        </w:rPr>
        <w:t>2,591</w:t>
      </w:r>
      <w:r w:rsidRPr="00843763">
        <w:rPr>
          <w:rFonts w:ascii="Arial" w:hAnsi="Arial" w:cs="Arial"/>
          <w:sz w:val="20"/>
        </w:rPr>
        <w:t>.</w:t>
      </w:r>
    </w:p>
    <w:p w:rsidRPr="00843763" w:rsidR="00704E44" w:rsidP="00704E44" w:rsidRDefault="00704E44" w14:paraId="5A47E39D" w14:textId="77777777">
      <w:pPr>
        <w:pStyle w:val="p10"/>
        <w:numPr>
          <w:ilvl w:val="0"/>
          <w:numId w:val="17"/>
        </w:numPr>
        <w:rPr>
          <w:rFonts w:ascii="Arial" w:hAnsi="Arial" w:cs="Arial"/>
          <w:sz w:val="20"/>
        </w:rPr>
      </w:pPr>
      <w:r w:rsidRPr="00843763">
        <w:rPr>
          <w:rFonts w:ascii="Arial" w:hAnsi="Arial" w:cs="Arial"/>
          <w:sz w:val="20"/>
        </w:rPr>
        <w:t xml:space="preserve">The estimated hour burden is </w:t>
      </w:r>
      <w:r w:rsidRPr="00843763" w:rsidR="00AA3E8E">
        <w:rPr>
          <w:rFonts w:ascii="Arial" w:hAnsi="Arial" w:cs="Arial"/>
          <w:sz w:val="20"/>
        </w:rPr>
        <w:t>4,</w:t>
      </w:r>
      <w:r w:rsidR="00171A19">
        <w:rPr>
          <w:rFonts w:ascii="Arial" w:hAnsi="Arial" w:cs="Arial"/>
          <w:sz w:val="20"/>
        </w:rPr>
        <w:t>167</w:t>
      </w:r>
      <w:r w:rsidRPr="00843763" w:rsidR="00AA3E8E">
        <w:rPr>
          <w:rFonts w:ascii="Arial" w:hAnsi="Arial" w:cs="Arial"/>
          <w:sz w:val="20"/>
        </w:rPr>
        <w:t xml:space="preserve"> </w:t>
      </w:r>
      <w:r w:rsidRPr="00843763">
        <w:rPr>
          <w:rFonts w:ascii="Arial" w:hAnsi="Arial" w:cs="Arial"/>
          <w:sz w:val="20"/>
        </w:rPr>
        <w:t xml:space="preserve">hours.  </w:t>
      </w:r>
    </w:p>
    <w:p w:rsidRPr="00843763" w:rsidR="00704E44" w:rsidP="00704E44" w:rsidRDefault="00704E44" w14:paraId="12F3E3CA" w14:textId="77777777">
      <w:pPr>
        <w:pStyle w:val="p10"/>
        <w:numPr>
          <w:ilvl w:val="0"/>
          <w:numId w:val="17"/>
        </w:numPr>
        <w:rPr>
          <w:rFonts w:ascii="Arial" w:hAnsi="Arial" w:cs="Arial"/>
          <w:sz w:val="20"/>
        </w:rPr>
      </w:pPr>
      <w:r w:rsidRPr="00843763">
        <w:rPr>
          <w:rFonts w:ascii="Arial" w:hAnsi="Arial" w:cs="Arial"/>
          <w:sz w:val="20"/>
        </w:rPr>
        <w:t>The estimated cost burden is $</w:t>
      </w:r>
      <w:r w:rsidR="00DA3AEE">
        <w:rPr>
          <w:rFonts w:ascii="Arial" w:hAnsi="Arial" w:cs="Arial"/>
          <w:sz w:val="20"/>
        </w:rPr>
        <w:t>3</w:t>
      </w:r>
      <w:r w:rsidR="00171A19">
        <w:rPr>
          <w:rFonts w:ascii="Arial" w:hAnsi="Arial" w:cs="Arial"/>
          <w:sz w:val="20"/>
        </w:rPr>
        <w:t>52,131</w:t>
      </w:r>
      <w:r w:rsidRPr="00843763" w:rsidR="00AA3E8E">
        <w:rPr>
          <w:rFonts w:ascii="Arial" w:hAnsi="Arial" w:cs="Arial"/>
          <w:sz w:val="20"/>
        </w:rPr>
        <w:t xml:space="preserve">.  </w:t>
      </w:r>
    </w:p>
    <w:p w:rsidRPr="00843763" w:rsidR="00704E44" w:rsidP="00704E44" w:rsidRDefault="00704E44" w14:paraId="3176897C" w14:textId="77777777">
      <w:pPr>
        <w:pStyle w:val="BodyText"/>
        <w:rPr>
          <w:rFonts w:ascii="Arial" w:hAnsi="Arial" w:cs="Arial"/>
          <w:b/>
          <w:sz w:val="20"/>
        </w:rPr>
      </w:pPr>
    </w:p>
    <w:p w:rsidRPr="00843763" w:rsidR="00AA3E8E" w:rsidRDefault="00704E44" w14:paraId="2B85305E" w14:textId="77777777">
      <w:pPr>
        <w:widowControl w:val="0"/>
        <w:tabs>
          <w:tab w:val="left" w:pos="576"/>
          <w:tab w:val="left" w:pos="1440"/>
        </w:tabs>
        <w:rPr>
          <w:rFonts w:ascii="Arial" w:hAnsi="Arial" w:cs="Arial"/>
        </w:rPr>
      </w:pPr>
      <w:r w:rsidRPr="00843763">
        <w:rPr>
          <w:rFonts w:ascii="Arial" w:hAnsi="Arial" w:cs="Arial"/>
        </w:rPr>
        <w:t xml:space="preserve">The burden to respondents is provided in Appendix A.  </w:t>
      </w:r>
    </w:p>
    <w:p w:rsidRPr="00843763" w:rsidR="00AA3E8E" w:rsidRDefault="00AA3E8E" w14:paraId="2F9D4337" w14:textId="77777777">
      <w:pPr>
        <w:widowControl w:val="0"/>
        <w:tabs>
          <w:tab w:val="left" w:pos="576"/>
          <w:tab w:val="left" w:pos="1440"/>
        </w:tabs>
        <w:rPr>
          <w:rFonts w:ascii="Arial" w:hAnsi="Arial" w:cs="Arial"/>
        </w:rPr>
      </w:pPr>
    </w:p>
    <w:p w:rsidRPr="00843763" w:rsidR="006F2879" w:rsidRDefault="00A04A7F" w14:paraId="3F28703E" w14:textId="77777777">
      <w:pPr>
        <w:widowControl w:val="0"/>
        <w:tabs>
          <w:tab w:val="left" w:pos="435"/>
          <w:tab w:val="left" w:pos="576"/>
          <w:tab w:val="left" w:pos="1440"/>
        </w:tabs>
        <w:rPr>
          <w:rFonts w:ascii="Arial" w:hAnsi="Arial" w:cs="Arial"/>
        </w:rPr>
      </w:pPr>
      <w:r w:rsidRPr="00843763">
        <w:rPr>
          <w:rFonts w:ascii="Arial" w:hAnsi="Arial" w:cs="Arial"/>
        </w:rPr>
        <w:t xml:space="preserve">a)  </w:t>
      </w:r>
      <w:r w:rsidRPr="00743301">
        <w:rPr>
          <w:rFonts w:ascii="Arial" w:hAnsi="Arial" w:cs="Arial"/>
          <w:u w:val="single"/>
        </w:rPr>
        <w:t>Adequacy</w:t>
      </w:r>
      <w:r w:rsidRPr="00743301" w:rsidR="006F2879">
        <w:rPr>
          <w:rFonts w:ascii="Arial" w:hAnsi="Arial" w:cs="Arial"/>
          <w:u w:val="single"/>
        </w:rPr>
        <w:t xml:space="preserve"> Certification</w:t>
      </w:r>
      <w:r w:rsidR="00743301">
        <w:rPr>
          <w:rFonts w:ascii="Arial" w:hAnsi="Arial" w:cs="Arial"/>
        </w:rPr>
        <w:t>:</w:t>
      </w:r>
    </w:p>
    <w:p w:rsidRPr="00843763" w:rsidR="006F2879" w:rsidRDefault="006F2879" w14:paraId="0D66DD82" w14:textId="77777777">
      <w:pPr>
        <w:widowControl w:val="0"/>
        <w:tabs>
          <w:tab w:val="left" w:pos="435"/>
          <w:tab w:val="left" w:pos="576"/>
          <w:tab w:val="left" w:pos="1440"/>
        </w:tabs>
        <w:rPr>
          <w:rFonts w:ascii="Arial" w:hAnsi="Arial" w:cs="Arial"/>
        </w:rPr>
      </w:pPr>
    </w:p>
    <w:p w:rsidRPr="00843763" w:rsidR="00A235A9" w:rsidP="006F2879" w:rsidRDefault="006F2879" w14:paraId="3E4C75AE" w14:textId="77777777">
      <w:pPr>
        <w:widowControl w:val="0"/>
        <w:numPr>
          <w:ilvl w:val="12"/>
          <w:numId w:val="0"/>
        </w:numPr>
        <w:tabs>
          <w:tab w:val="left" w:pos="576"/>
          <w:tab w:val="left" w:pos="1440"/>
        </w:tabs>
        <w:ind w:firstLine="540"/>
        <w:rPr>
          <w:rFonts w:ascii="Arial" w:hAnsi="Arial" w:cs="Arial"/>
        </w:rPr>
      </w:pPr>
      <w:r w:rsidRPr="00843763">
        <w:rPr>
          <w:rFonts w:ascii="Arial" w:hAnsi="Arial" w:cs="Arial"/>
        </w:rPr>
        <w:t xml:space="preserve">i)  </w:t>
      </w:r>
      <w:r w:rsidRPr="00743301">
        <w:rPr>
          <w:rFonts w:ascii="Arial" w:hAnsi="Arial" w:cs="Arial"/>
          <w:u w:val="single"/>
        </w:rPr>
        <w:t>Applications</w:t>
      </w:r>
      <w:r w:rsidRPr="00843763">
        <w:rPr>
          <w:rFonts w:ascii="Arial" w:hAnsi="Arial" w:cs="Arial"/>
        </w:rPr>
        <w:t xml:space="preserve">:  </w:t>
      </w:r>
      <w:r w:rsidRPr="00843763" w:rsidR="00A235A9">
        <w:rPr>
          <w:rFonts w:ascii="Arial" w:hAnsi="Arial" w:cs="Arial"/>
        </w:rPr>
        <w:t xml:space="preserve">We estimate that it will take a </w:t>
      </w:r>
      <w:r w:rsidR="00E32C73">
        <w:rPr>
          <w:rFonts w:ascii="Arial" w:hAnsi="Arial" w:cs="Arial"/>
        </w:rPr>
        <w:t>T</w:t>
      </w:r>
      <w:r w:rsidRPr="00843763" w:rsidR="00A235A9">
        <w:rPr>
          <w:rFonts w:ascii="Arial" w:hAnsi="Arial" w:cs="Arial"/>
        </w:rPr>
        <w:t xml:space="preserve">echnical </w:t>
      </w:r>
      <w:r w:rsidR="00E32C73">
        <w:rPr>
          <w:rFonts w:ascii="Arial" w:hAnsi="Arial" w:cs="Arial"/>
        </w:rPr>
        <w:t>S</w:t>
      </w:r>
      <w:r w:rsidRPr="00843763" w:rsidR="00A235A9">
        <w:rPr>
          <w:rFonts w:ascii="Arial" w:hAnsi="Arial" w:cs="Arial"/>
        </w:rPr>
        <w:t>pecialist about 3 hours to prepare a COA application for port reception facility that receive</w:t>
      </w:r>
      <w:r w:rsidRPr="00843763">
        <w:rPr>
          <w:rFonts w:ascii="Arial" w:hAnsi="Arial" w:cs="Arial"/>
        </w:rPr>
        <w:t>s</w:t>
      </w:r>
      <w:r w:rsidRPr="00843763" w:rsidR="00A235A9">
        <w:rPr>
          <w:rFonts w:ascii="Arial" w:hAnsi="Arial" w:cs="Arial"/>
        </w:rPr>
        <w:t xml:space="preserve"> waste for Annex I</w:t>
      </w:r>
      <w:r w:rsidRPr="00843763" w:rsidR="008E362F">
        <w:rPr>
          <w:rFonts w:ascii="Arial" w:hAnsi="Arial" w:cs="Arial"/>
        </w:rPr>
        <w:t xml:space="preserve"> (Oil)</w:t>
      </w:r>
      <w:r w:rsidRPr="00843763" w:rsidR="00967EC2">
        <w:rPr>
          <w:rFonts w:ascii="Arial" w:hAnsi="Arial" w:cs="Arial"/>
        </w:rPr>
        <w:t xml:space="preserve"> or </w:t>
      </w:r>
      <w:r w:rsidRPr="00843763">
        <w:rPr>
          <w:rFonts w:ascii="Arial" w:hAnsi="Arial" w:cs="Arial"/>
        </w:rPr>
        <w:t xml:space="preserve">Annex </w:t>
      </w:r>
      <w:r w:rsidRPr="00843763" w:rsidR="00A235A9">
        <w:rPr>
          <w:rFonts w:ascii="Arial" w:hAnsi="Arial" w:cs="Arial"/>
        </w:rPr>
        <w:t xml:space="preserve">II </w:t>
      </w:r>
      <w:r w:rsidRPr="00843763" w:rsidR="008E362F">
        <w:rPr>
          <w:rFonts w:ascii="Arial" w:hAnsi="Arial" w:cs="Arial"/>
        </w:rPr>
        <w:t>(NLS)</w:t>
      </w:r>
      <w:r w:rsidRPr="00843763" w:rsidR="00A235A9">
        <w:rPr>
          <w:rFonts w:ascii="Arial" w:hAnsi="Arial" w:cs="Arial"/>
        </w:rPr>
        <w:t>.  Additionally, estimate that it will take a</w:t>
      </w:r>
      <w:r w:rsidRPr="00843763" w:rsidR="008E362F">
        <w:rPr>
          <w:rFonts w:ascii="Arial" w:hAnsi="Arial" w:cs="Arial"/>
        </w:rPr>
        <w:t xml:space="preserve"> </w:t>
      </w:r>
      <w:r w:rsidR="0035199A">
        <w:rPr>
          <w:rFonts w:ascii="Arial" w:hAnsi="Arial" w:cs="Arial"/>
        </w:rPr>
        <w:t>T</w:t>
      </w:r>
      <w:r w:rsidRPr="00843763" w:rsidR="00A235A9">
        <w:rPr>
          <w:rFonts w:ascii="Arial" w:hAnsi="Arial" w:cs="Arial"/>
        </w:rPr>
        <w:t xml:space="preserve">echnical </w:t>
      </w:r>
      <w:r w:rsidR="0035199A">
        <w:rPr>
          <w:rFonts w:ascii="Arial" w:hAnsi="Arial" w:cs="Arial"/>
        </w:rPr>
        <w:t>S</w:t>
      </w:r>
      <w:r w:rsidRPr="00843763" w:rsidR="00A235A9">
        <w:rPr>
          <w:rFonts w:ascii="Arial" w:hAnsi="Arial" w:cs="Arial"/>
        </w:rPr>
        <w:t>pecialist about .75 hours to prepare a COA application for port reception facility that received waste for Annex V</w:t>
      </w:r>
      <w:r w:rsidRPr="00843763" w:rsidR="008E362F">
        <w:rPr>
          <w:rFonts w:ascii="Arial" w:hAnsi="Arial" w:cs="Arial"/>
        </w:rPr>
        <w:t xml:space="preserve"> (Garbage)</w:t>
      </w:r>
      <w:r w:rsidRPr="00843763" w:rsidR="00A235A9">
        <w:rPr>
          <w:rFonts w:ascii="Arial" w:hAnsi="Arial" w:cs="Arial"/>
        </w:rPr>
        <w:t xml:space="preserve">.  </w:t>
      </w:r>
      <w:r w:rsidRPr="00843763" w:rsidR="00967EC2">
        <w:rPr>
          <w:rFonts w:ascii="Arial" w:hAnsi="Arial" w:cs="Arial"/>
        </w:rPr>
        <w:t xml:space="preserve">Also, we estimate that it will take a </w:t>
      </w:r>
      <w:r w:rsidR="0035199A">
        <w:rPr>
          <w:rFonts w:ascii="Arial" w:hAnsi="Arial" w:cs="Arial"/>
        </w:rPr>
        <w:t>T</w:t>
      </w:r>
      <w:r w:rsidRPr="00843763" w:rsidR="00967EC2">
        <w:rPr>
          <w:rFonts w:ascii="Arial" w:hAnsi="Arial" w:cs="Arial"/>
        </w:rPr>
        <w:t xml:space="preserve">echnical </w:t>
      </w:r>
      <w:r w:rsidR="0035199A">
        <w:rPr>
          <w:rFonts w:ascii="Arial" w:hAnsi="Arial" w:cs="Arial"/>
        </w:rPr>
        <w:t>S</w:t>
      </w:r>
      <w:r w:rsidRPr="00843763" w:rsidR="00967EC2">
        <w:rPr>
          <w:rFonts w:ascii="Arial" w:hAnsi="Arial" w:cs="Arial"/>
        </w:rPr>
        <w:t xml:space="preserve">pecialist about .5 hours to prepare a COA application for port reception facility that received waste for Annex VI waste.  </w:t>
      </w:r>
      <w:r w:rsidRPr="00843763" w:rsidR="008E362F">
        <w:rPr>
          <w:rFonts w:ascii="Arial" w:hAnsi="Arial" w:cs="Arial"/>
        </w:rPr>
        <w:t>Since COAs are issues for a period of 5 years, we estimate that 20% of these certificates will be renewed each year.</w:t>
      </w:r>
      <w:r w:rsidRPr="00843763" w:rsidR="00902825">
        <w:rPr>
          <w:rStyle w:val="FootnoteReference"/>
          <w:rFonts w:ascii="Arial" w:hAnsi="Arial" w:cs="Arial"/>
        </w:rPr>
        <w:footnoteReference w:id="4"/>
      </w:r>
      <w:r w:rsidRPr="00843763" w:rsidR="008E362F">
        <w:rPr>
          <w:rFonts w:ascii="Arial" w:hAnsi="Arial" w:cs="Arial"/>
        </w:rPr>
        <w:t xml:space="preserve">  </w:t>
      </w:r>
      <w:r w:rsidR="0004470D">
        <w:rPr>
          <w:rFonts w:ascii="Arial" w:hAnsi="Arial" w:cs="Arial"/>
        </w:rPr>
        <w:t>For the wage rate, we used t</w:t>
      </w:r>
      <w:r w:rsidRPr="0016532A" w:rsidR="0004470D">
        <w:rPr>
          <w:rFonts w:ascii="Arial" w:hAnsi="Arial" w:cs="Arial"/>
        </w:rPr>
        <w:t xml:space="preserve">he Bureau of Labor Statistics (BLS) wage rate for </w:t>
      </w:r>
      <w:r w:rsidRPr="00031F94" w:rsidR="00E32C73">
        <w:rPr>
          <w:rFonts w:ascii="Arial" w:hAnsi="Arial" w:cs="Arial"/>
        </w:rPr>
        <w:t>Industrial</w:t>
      </w:r>
      <w:r w:rsidRPr="006C2F83" w:rsidR="0004470D">
        <w:rPr>
          <w:rFonts w:ascii="Arial" w:hAnsi="Arial" w:cs="Arial"/>
        </w:rPr>
        <w:t xml:space="preserve"> Engineers (17-2</w:t>
      </w:r>
      <w:r w:rsidRPr="00031F94" w:rsidR="00E32C73">
        <w:rPr>
          <w:rFonts w:ascii="Arial" w:hAnsi="Arial" w:cs="Arial"/>
        </w:rPr>
        <w:t>112</w:t>
      </w:r>
      <w:r w:rsidRPr="006C2F83" w:rsidR="0004470D">
        <w:rPr>
          <w:rFonts w:ascii="Arial" w:hAnsi="Arial" w:cs="Arial"/>
        </w:rPr>
        <w:t>) [May</w:t>
      </w:r>
      <w:r w:rsidRPr="0016532A" w:rsidR="0004470D">
        <w:rPr>
          <w:rFonts w:ascii="Arial" w:hAnsi="Arial" w:cs="Arial"/>
        </w:rPr>
        <w:t xml:space="preserve"> 20</w:t>
      </w:r>
      <w:r w:rsidR="0004470D">
        <w:rPr>
          <w:rFonts w:ascii="Arial" w:hAnsi="Arial" w:cs="Arial"/>
        </w:rPr>
        <w:t>20</w:t>
      </w:r>
      <w:r w:rsidRPr="0016532A" w:rsidR="0004470D">
        <w:rPr>
          <w:rFonts w:ascii="Arial" w:hAnsi="Arial" w:cs="Arial"/>
        </w:rPr>
        <w:t>, mean hourly wage, loaded 50%, and rounded].</w:t>
      </w:r>
      <w:r w:rsidRPr="0016532A" w:rsidR="0004470D">
        <w:rPr>
          <w:rStyle w:val="FootnoteReference"/>
          <w:rFonts w:ascii="Arial" w:hAnsi="Arial" w:cs="Arial"/>
        </w:rPr>
        <w:footnoteReference w:id="5"/>
      </w:r>
      <w:r w:rsidRPr="0016532A" w:rsidR="0004470D">
        <w:rPr>
          <w:rFonts w:ascii="Arial" w:hAnsi="Arial" w:cs="Arial"/>
        </w:rPr>
        <w:t xml:space="preserve"> </w:t>
      </w:r>
      <w:r w:rsidR="0004470D">
        <w:rPr>
          <w:rFonts w:ascii="Arial" w:hAnsi="Arial" w:cs="Arial"/>
        </w:rPr>
        <w:t xml:space="preserve"> </w:t>
      </w:r>
    </w:p>
    <w:p w:rsidRPr="00843763" w:rsidR="006F2879" w:rsidP="006F2879" w:rsidRDefault="006F2879" w14:paraId="164B698F" w14:textId="77777777">
      <w:pPr>
        <w:rPr>
          <w:rFonts w:ascii="Arial" w:hAnsi="Arial" w:cs="Arial"/>
          <w:b/>
        </w:rPr>
      </w:pPr>
    </w:p>
    <w:p w:rsidRPr="00843763" w:rsidR="006F2879" w:rsidP="006F2879" w:rsidRDefault="006F2879" w14:paraId="661D4227" w14:textId="77777777">
      <w:pPr>
        <w:ind w:firstLine="540"/>
        <w:rPr>
          <w:rFonts w:ascii="Arial" w:hAnsi="Arial" w:cs="Arial"/>
        </w:rPr>
      </w:pPr>
      <w:r w:rsidRPr="00843763">
        <w:rPr>
          <w:rFonts w:ascii="Arial" w:hAnsi="Arial" w:cs="Arial"/>
        </w:rPr>
        <w:t xml:space="preserve">ii) </w:t>
      </w:r>
      <w:r w:rsidR="00743301">
        <w:rPr>
          <w:rFonts w:ascii="Arial" w:hAnsi="Arial" w:cs="Arial"/>
        </w:rPr>
        <w:t xml:space="preserve"> </w:t>
      </w:r>
      <w:r w:rsidRPr="00743301" w:rsidR="00A04A7F">
        <w:rPr>
          <w:rFonts w:ascii="Arial" w:hAnsi="Arial" w:cs="Arial"/>
          <w:u w:val="single"/>
        </w:rPr>
        <w:t>Waivers</w:t>
      </w:r>
      <w:r w:rsidRPr="00843763" w:rsidR="00A04A7F">
        <w:rPr>
          <w:rFonts w:ascii="Arial" w:hAnsi="Arial" w:cs="Arial"/>
        </w:rPr>
        <w:t>:</w:t>
      </w:r>
      <w:r w:rsidRPr="00843763">
        <w:rPr>
          <w:rFonts w:ascii="Arial" w:hAnsi="Arial" w:cs="Arial"/>
        </w:rPr>
        <w:t xml:space="preserve">  We estimate that it will take a </w:t>
      </w:r>
      <w:r w:rsidR="00E32C73">
        <w:rPr>
          <w:rFonts w:ascii="Arial" w:hAnsi="Arial" w:cs="Arial"/>
        </w:rPr>
        <w:t>T</w:t>
      </w:r>
      <w:r w:rsidRPr="00843763">
        <w:rPr>
          <w:rFonts w:ascii="Arial" w:hAnsi="Arial" w:cs="Arial"/>
        </w:rPr>
        <w:t xml:space="preserve">echnical </w:t>
      </w:r>
      <w:r w:rsidR="00E32C73">
        <w:rPr>
          <w:rFonts w:ascii="Arial" w:hAnsi="Arial" w:cs="Arial"/>
        </w:rPr>
        <w:t>S</w:t>
      </w:r>
      <w:r w:rsidRPr="00843763">
        <w:rPr>
          <w:rFonts w:ascii="Arial" w:hAnsi="Arial" w:cs="Arial"/>
        </w:rPr>
        <w:t xml:space="preserve">pecialist about 2 hours to prepare a COA waiver request.  </w:t>
      </w:r>
      <w:r w:rsidRPr="00843763" w:rsidR="0069462F">
        <w:rPr>
          <w:rFonts w:ascii="Arial" w:hAnsi="Arial" w:cs="Arial"/>
        </w:rPr>
        <w:t xml:space="preserve">Additionally, we estimate that about 16% of all port reception facilities will apply for a waiver each year.  </w:t>
      </w:r>
    </w:p>
    <w:p w:rsidRPr="00843763" w:rsidR="0069462F" w:rsidP="0069462F" w:rsidRDefault="0069462F" w14:paraId="0B7FBCA5" w14:textId="77777777">
      <w:pPr>
        <w:rPr>
          <w:rFonts w:ascii="Arial" w:hAnsi="Arial" w:cs="Arial"/>
          <w:b/>
        </w:rPr>
      </w:pPr>
    </w:p>
    <w:p w:rsidRPr="00843763" w:rsidR="00A04A7F" w:rsidP="00361177" w:rsidRDefault="00361177" w14:paraId="3E74BDB0" w14:textId="77777777">
      <w:pPr>
        <w:ind w:firstLine="540"/>
        <w:rPr>
          <w:rFonts w:ascii="Arial" w:hAnsi="Arial" w:cs="Arial"/>
        </w:rPr>
      </w:pPr>
      <w:r w:rsidRPr="00843763">
        <w:rPr>
          <w:rFonts w:ascii="Arial" w:hAnsi="Arial" w:cs="Arial"/>
        </w:rPr>
        <w:t xml:space="preserve">iii)  </w:t>
      </w:r>
      <w:r w:rsidRPr="00743301" w:rsidR="00A04A7F">
        <w:rPr>
          <w:rFonts w:ascii="Arial" w:hAnsi="Arial" w:cs="Arial"/>
          <w:u w:val="single"/>
        </w:rPr>
        <w:t>Noti</w:t>
      </w:r>
      <w:r w:rsidRPr="00743301" w:rsidR="00671A49">
        <w:rPr>
          <w:rFonts w:ascii="Arial" w:hAnsi="Arial" w:cs="Arial"/>
          <w:u w:val="single"/>
        </w:rPr>
        <w:t>ce of</w:t>
      </w:r>
      <w:r w:rsidRPr="00743301" w:rsidR="00A04A7F">
        <w:rPr>
          <w:rFonts w:ascii="Arial" w:hAnsi="Arial" w:cs="Arial"/>
          <w:u w:val="single"/>
        </w:rPr>
        <w:t xml:space="preserve"> Change</w:t>
      </w:r>
      <w:r w:rsidRPr="00843763">
        <w:rPr>
          <w:rFonts w:ascii="Arial" w:hAnsi="Arial" w:cs="Arial"/>
        </w:rPr>
        <w:t xml:space="preserve">:  </w:t>
      </w:r>
      <w:r w:rsidRPr="00843763" w:rsidR="00671A49">
        <w:rPr>
          <w:rFonts w:ascii="Arial" w:hAnsi="Arial" w:cs="Arial"/>
        </w:rPr>
        <w:t xml:space="preserve">We estimate that it will take a </w:t>
      </w:r>
      <w:r w:rsidR="00E32C73">
        <w:rPr>
          <w:rFonts w:ascii="Arial" w:hAnsi="Arial" w:cs="Arial"/>
        </w:rPr>
        <w:t>T</w:t>
      </w:r>
      <w:r w:rsidRPr="00843763" w:rsidR="00671A49">
        <w:rPr>
          <w:rFonts w:ascii="Arial" w:hAnsi="Arial" w:cs="Arial"/>
        </w:rPr>
        <w:t xml:space="preserve">echnical </w:t>
      </w:r>
      <w:r w:rsidR="00E32C73">
        <w:rPr>
          <w:rFonts w:ascii="Arial" w:hAnsi="Arial" w:cs="Arial"/>
        </w:rPr>
        <w:t>S</w:t>
      </w:r>
      <w:r w:rsidRPr="00843763" w:rsidR="00671A49">
        <w:rPr>
          <w:rFonts w:ascii="Arial" w:hAnsi="Arial" w:cs="Arial"/>
        </w:rPr>
        <w:t xml:space="preserve">pecialist about 1 hour to prepare a COA notice of change.  Additionally, we estimate that about 5% of all port reception facilities will apply for a waiver each year.  </w:t>
      </w:r>
    </w:p>
    <w:p w:rsidRPr="00843763" w:rsidR="00671A49" w:rsidP="00792310" w:rsidRDefault="00671A49" w14:paraId="1F9DE82C" w14:textId="77777777">
      <w:pPr>
        <w:rPr>
          <w:rFonts w:ascii="Arial" w:hAnsi="Arial" w:cs="Arial"/>
        </w:rPr>
      </w:pPr>
    </w:p>
    <w:p w:rsidRPr="00843763" w:rsidR="00671A49" w:rsidP="00671A49" w:rsidRDefault="00671A49" w14:paraId="07E0B4A8" w14:textId="77777777">
      <w:pPr>
        <w:ind w:firstLine="540"/>
        <w:rPr>
          <w:rFonts w:ascii="Arial" w:hAnsi="Arial" w:cs="Arial"/>
        </w:rPr>
      </w:pPr>
      <w:r w:rsidRPr="00843763">
        <w:rPr>
          <w:rFonts w:ascii="Arial" w:hAnsi="Arial" w:cs="Arial"/>
        </w:rPr>
        <w:t xml:space="preserve">iv)  </w:t>
      </w:r>
      <w:r w:rsidRPr="00743301">
        <w:rPr>
          <w:rFonts w:ascii="Arial" w:hAnsi="Arial" w:cs="Arial"/>
          <w:u w:val="single"/>
        </w:rPr>
        <w:t>Appeals</w:t>
      </w:r>
      <w:r w:rsidRPr="00843763">
        <w:rPr>
          <w:rFonts w:ascii="Arial" w:hAnsi="Arial" w:cs="Arial"/>
        </w:rPr>
        <w:t xml:space="preserve">:  We estimate that it will take a </w:t>
      </w:r>
      <w:r w:rsidR="00E32C73">
        <w:rPr>
          <w:rFonts w:ascii="Arial" w:hAnsi="Arial" w:cs="Arial"/>
        </w:rPr>
        <w:t>T</w:t>
      </w:r>
      <w:r w:rsidRPr="00843763">
        <w:rPr>
          <w:rFonts w:ascii="Arial" w:hAnsi="Arial" w:cs="Arial"/>
        </w:rPr>
        <w:t xml:space="preserve">echnical </w:t>
      </w:r>
      <w:r w:rsidR="00E32C73">
        <w:rPr>
          <w:rFonts w:ascii="Arial" w:hAnsi="Arial" w:cs="Arial"/>
        </w:rPr>
        <w:t>S</w:t>
      </w:r>
      <w:r w:rsidRPr="00843763">
        <w:rPr>
          <w:rFonts w:ascii="Arial" w:hAnsi="Arial" w:cs="Arial"/>
        </w:rPr>
        <w:t xml:space="preserve">pecialist about 10 hours to prepare a COA notice of change.  Additionally, we estimate that about 1% of all port reception facilities will apply for a waiver each year.  </w:t>
      </w:r>
    </w:p>
    <w:p w:rsidRPr="00843763" w:rsidR="00671A49" w:rsidP="00792310" w:rsidRDefault="00671A49" w14:paraId="527F4E3F" w14:textId="77777777">
      <w:pPr>
        <w:rPr>
          <w:rFonts w:ascii="Arial" w:hAnsi="Arial" w:cs="Arial"/>
        </w:rPr>
      </w:pPr>
    </w:p>
    <w:p w:rsidRPr="00843763" w:rsidR="00A04A7F" w:rsidRDefault="00A04A7F" w14:paraId="78E9B015" w14:textId="77777777">
      <w:pPr>
        <w:widowControl w:val="0"/>
        <w:tabs>
          <w:tab w:val="left" w:pos="576"/>
          <w:tab w:val="left" w:pos="1440"/>
        </w:tabs>
        <w:rPr>
          <w:rFonts w:ascii="Arial" w:hAnsi="Arial" w:cs="Arial"/>
        </w:rPr>
      </w:pPr>
      <w:r w:rsidRPr="00843763">
        <w:rPr>
          <w:rFonts w:ascii="Arial" w:hAnsi="Arial" w:cs="Arial"/>
        </w:rPr>
        <w:t xml:space="preserve">b)  </w:t>
      </w:r>
      <w:r w:rsidRPr="00743301">
        <w:rPr>
          <w:rFonts w:ascii="Arial" w:hAnsi="Arial" w:cs="Arial"/>
          <w:u w:val="single"/>
        </w:rPr>
        <w:t>Advance Notice</w:t>
      </w:r>
      <w:r w:rsidRPr="00843763" w:rsidR="00671A49">
        <w:rPr>
          <w:rFonts w:ascii="Arial" w:hAnsi="Arial" w:cs="Arial"/>
        </w:rPr>
        <w:t xml:space="preserve">:  We estimate that it will take a </w:t>
      </w:r>
      <w:r w:rsidR="00E32C73">
        <w:rPr>
          <w:rFonts w:ascii="Arial" w:hAnsi="Arial" w:cs="Arial"/>
        </w:rPr>
        <w:t>P</w:t>
      </w:r>
      <w:r w:rsidRPr="00843763" w:rsidR="00792310">
        <w:rPr>
          <w:rFonts w:ascii="Arial" w:hAnsi="Arial" w:cs="Arial"/>
        </w:rPr>
        <w:t xml:space="preserve">erson in </w:t>
      </w:r>
      <w:r w:rsidR="00E32C73">
        <w:rPr>
          <w:rFonts w:ascii="Arial" w:hAnsi="Arial" w:cs="Arial"/>
        </w:rPr>
        <w:t>C</w:t>
      </w:r>
      <w:r w:rsidRPr="00843763" w:rsidR="00792310">
        <w:rPr>
          <w:rFonts w:ascii="Arial" w:hAnsi="Arial" w:cs="Arial"/>
        </w:rPr>
        <w:t xml:space="preserve">harge of a port or terminal </w:t>
      </w:r>
      <w:r w:rsidRPr="00843763" w:rsidR="00671A49">
        <w:rPr>
          <w:rFonts w:ascii="Arial" w:hAnsi="Arial" w:cs="Arial"/>
        </w:rPr>
        <w:t xml:space="preserve">about </w:t>
      </w:r>
      <w:r w:rsidRPr="00843763" w:rsidR="00792310">
        <w:rPr>
          <w:rFonts w:ascii="Arial" w:hAnsi="Arial" w:cs="Arial"/>
        </w:rPr>
        <w:t>0.25</w:t>
      </w:r>
      <w:r w:rsidRPr="00843763" w:rsidR="00671A49">
        <w:rPr>
          <w:rFonts w:ascii="Arial" w:hAnsi="Arial" w:cs="Arial"/>
        </w:rPr>
        <w:t xml:space="preserve"> hours </w:t>
      </w:r>
      <w:r w:rsidRPr="00843763" w:rsidR="00792310">
        <w:rPr>
          <w:rFonts w:ascii="Arial" w:hAnsi="Arial" w:cs="Arial"/>
        </w:rPr>
        <w:t>to ensure that the port reception facility is capable of receiving a ship carrying regulated waste, no later than 24 hours after notice</w:t>
      </w:r>
      <w:r w:rsidRPr="00843763" w:rsidR="00671A49">
        <w:rPr>
          <w:rFonts w:ascii="Arial" w:hAnsi="Arial" w:cs="Arial"/>
        </w:rPr>
        <w:t xml:space="preserve">.  Additionally, we estimate that about </w:t>
      </w:r>
      <w:r w:rsidRPr="00843763" w:rsidR="00792310">
        <w:rPr>
          <w:rFonts w:ascii="Arial" w:hAnsi="Arial" w:cs="Arial"/>
        </w:rPr>
        <w:t xml:space="preserve">each </w:t>
      </w:r>
      <w:r w:rsidRPr="00843763" w:rsidR="00671A49">
        <w:rPr>
          <w:rFonts w:ascii="Arial" w:hAnsi="Arial" w:cs="Arial"/>
        </w:rPr>
        <w:t>port reception facilit</w:t>
      </w:r>
      <w:r w:rsidRPr="00843763" w:rsidR="00792310">
        <w:rPr>
          <w:rFonts w:ascii="Arial" w:hAnsi="Arial" w:cs="Arial"/>
        </w:rPr>
        <w:t>y</w:t>
      </w:r>
      <w:r w:rsidRPr="00843763" w:rsidR="00671A49">
        <w:rPr>
          <w:rFonts w:ascii="Arial" w:hAnsi="Arial" w:cs="Arial"/>
        </w:rPr>
        <w:t xml:space="preserve"> will </w:t>
      </w:r>
      <w:r w:rsidRPr="00843763" w:rsidR="00792310">
        <w:rPr>
          <w:rFonts w:ascii="Arial" w:hAnsi="Arial" w:cs="Arial"/>
        </w:rPr>
        <w:t>receive 1 Advanced Notice per month or 12 per year.</w:t>
      </w:r>
      <w:r w:rsidRPr="00843763" w:rsidR="00671A49">
        <w:rPr>
          <w:rFonts w:ascii="Arial" w:hAnsi="Arial" w:cs="Arial"/>
        </w:rPr>
        <w:t xml:space="preserve">  </w:t>
      </w:r>
      <w:r w:rsidR="0004470D">
        <w:rPr>
          <w:rFonts w:ascii="Arial" w:hAnsi="Arial" w:cs="Arial"/>
        </w:rPr>
        <w:t>For the wage rate, we used t</w:t>
      </w:r>
      <w:r w:rsidRPr="0016532A" w:rsidR="0004470D">
        <w:rPr>
          <w:rFonts w:ascii="Arial" w:hAnsi="Arial" w:cs="Arial"/>
        </w:rPr>
        <w:t xml:space="preserve">he BLS wage rate for </w:t>
      </w:r>
      <w:r w:rsidRPr="00031F94" w:rsidR="00E32C73">
        <w:rPr>
          <w:rFonts w:ascii="Arial" w:hAnsi="Arial" w:cs="Arial"/>
        </w:rPr>
        <w:t>General and Operations Manager</w:t>
      </w:r>
      <w:r w:rsidRPr="006C2F83" w:rsidR="0004470D">
        <w:rPr>
          <w:rFonts w:ascii="Arial" w:hAnsi="Arial" w:cs="Arial"/>
        </w:rPr>
        <w:t>s (1</w:t>
      </w:r>
      <w:r w:rsidRPr="00031F94" w:rsidR="00E32C73">
        <w:rPr>
          <w:rFonts w:ascii="Arial" w:hAnsi="Arial" w:cs="Arial"/>
        </w:rPr>
        <w:t>1-1021</w:t>
      </w:r>
      <w:r w:rsidRPr="006C2F83" w:rsidR="0004470D">
        <w:rPr>
          <w:rFonts w:ascii="Arial" w:hAnsi="Arial" w:cs="Arial"/>
        </w:rPr>
        <w:t>) [</w:t>
      </w:r>
      <w:r w:rsidRPr="0016532A" w:rsidR="0004470D">
        <w:rPr>
          <w:rFonts w:ascii="Arial" w:hAnsi="Arial" w:cs="Arial"/>
        </w:rPr>
        <w:t>May 20</w:t>
      </w:r>
      <w:r w:rsidR="0004470D">
        <w:rPr>
          <w:rFonts w:ascii="Arial" w:hAnsi="Arial" w:cs="Arial"/>
        </w:rPr>
        <w:t>20</w:t>
      </w:r>
      <w:r w:rsidRPr="0016532A" w:rsidR="0004470D">
        <w:rPr>
          <w:rFonts w:ascii="Arial" w:hAnsi="Arial" w:cs="Arial"/>
        </w:rPr>
        <w:t>, mean hourly wage, loaded 50%, and rounded].</w:t>
      </w:r>
      <w:r w:rsidRPr="0016532A" w:rsidR="0004470D">
        <w:rPr>
          <w:rStyle w:val="FootnoteReference"/>
          <w:rFonts w:ascii="Arial" w:hAnsi="Arial" w:cs="Arial"/>
        </w:rPr>
        <w:footnoteReference w:id="6"/>
      </w:r>
      <w:r w:rsidRPr="0016532A" w:rsidR="0004470D">
        <w:rPr>
          <w:rFonts w:ascii="Arial" w:hAnsi="Arial" w:cs="Arial"/>
        </w:rPr>
        <w:t xml:space="preserve"> </w:t>
      </w:r>
      <w:r w:rsidR="0004470D">
        <w:rPr>
          <w:rFonts w:ascii="Arial" w:hAnsi="Arial" w:cs="Arial"/>
        </w:rPr>
        <w:t xml:space="preserve"> </w:t>
      </w:r>
    </w:p>
    <w:p w:rsidRPr="00843763" w:rsidR="00A04A7F" w:rsidRDefault="00A04A7F" w14:paraId="381516BB" w14:textId="77777777">
      <w:pPr>
        <w:widowControl w:val="0"/>
        <w:numPr>
          <w:ilvl w:val="12"/>
          <w:numId w:val="0"/>
        </w:numPr>
        <w:tabs>
          <w:tab w:val="left" w:pos="576"/>
          <w:tab w:val="left" w:pos="1440"/>
        </w:tabs>
        <w:rPr>
          <w:rFonts w:ascii="Arial" w:hAnsi="Arial" w:cs="Arial"/>
        </w:rPr>
      </w:pPr>
    </w:p>
    <w:p w:rsidRPr="00843763" w:rsidR="00792310" w:rsidP="00792310" w:rsidRDefault="00792310" w14:paraId="1C15DC94" w14:textId="77777777">
      <w:pPr>
        <w:widowControl w:val="0"/>
        <w:tabs>
          <w:tab w:val="left" w:pos="576"/>
          <w:tab w:val="left" w:pos="1440"/>
        </w:tabs>
        <w:rPr>
          <w:rFonts w:ascii="Arial" w:hAnsi="Arial" w:cs="Arial"/>
        </w:rPr>
      </w:pPr>
      <w:r w:rsidRPr="00843763">
        <w:rPr>
          <w:rFonts w:ascii="Arial" w:hAnsi="Arial" w:cs="Arial"/>
        </w:rPr>
        <w:t xml:space="preserve">c)  </w:t>
      </w:r>
      <w:r w:rsidRPr="00743301">
        <w:rPr>
          <w:rFonts w:ascii="Arial" w:hAnsi="Arial" w:cs="Arial"/>
          <w:u w:val="single"/>
        </w:rPr>
        <w:t>Inadequacy Reports</w:t>
      </w:r>
      <w:r w:rsidRPr="00843763">
        <w:rPr>
          <w:rFonts w:ascii="Arial" w:hAnsi="Arial" w:cs="Arial"/>
        </w:rPr>
        <w:t>:  We estimate that it will take a vessel’s 3</w:t>
      </w:r>
      <w:r w:rsidRPr="00843763">
        <w:rPr>
          <w:rFonts w:ascii="Arial" w:hAnsi="Arial" w:cs="Arial"/>
          <w:vertAlign w:val="superscript"/>
        </w:rPr>
        <w:t>rd</w:t>
      </w:r>
      <w:r w:rsidRPr="00843763">
        <w:rPr>
          <w:rFonts w:ascii="Arial" w:hAnsi="Arial" w:cs="Arial"/>
        </w:rPr>
        <w:t xml:space="preserve"> Mate about 0.75 hours to complete and submit a port reception facility inadequacy report.  </w:t>
      </w:r>
      <w:r w:rsidR="0004470D">
        <w:rPr>
          <w:rFonts w:ascii="Arial" w:hAnsi="Arial" w:cs="Arial"/>
        </w:rPr>
        <w:t>For the wage rate, we used t</w:t>
      </w:r>
      <w:r w:rsidRPr="0016532A" w:rsidR="0004470D">
        <w:rPr>
          <w:rFonts w:ascii="Arial" w:hAnsi="Arial" w:cs="Arial"/>
        </w:rPr>
        <w:t xml:space="preserve">he </w:t>
      </w:r>
      <w:r w:rsidR="006C2F83">
        <w:rPr>
          <w:rFonts w:ascii="Arial" w:hAnsi="Arial" w:cs="Arial"/>
        </w:rPr>
        <w:t>BLS,</w:t>
      </w:r>
      <w:r w:rsidRPr="0016532A" w:rsidR="0004470D">
        <w:rPr>
          <w:rFonts w:ascii="Arial" w:hAnsi="Arial" w:cs="Arial"/>
        </w:rPr>
        <w:t xml:space="preserve"> wage rate for </w:t>
      </w:r>
      <w:r w:rsidRPr="006C2F83" w:rsidR="0004470D">
        <w:rPr>
          <w:rFonts w:ascii="Arial" w:hAnsi="Arial" w:cs="Arial"/>
        </w:rPr>
        <w:t>C</w:t>
      </w:r>
      <w:r w:rsidRPr="00031F94" w:rsidR="006C2F83">
        <w:rPr>
          <w:rFonts w:ascii="Arial" w:hAnsi="Arial" w:cs="Arial"/>
        </w:rPr>
        <w:t>aptains, Mates, and Pilots of Water Vessels</w:t>
      </w:r>
      <w:r w:rsidRPr="006C2F83" w:rsidR="0004470D">
        <w:rPr>
          <w:rFonts w:ascii="Arial" w:hAnsi="Arial" w:cs="Arial"/>
        </w:rPr>
        <w:t xml:space="preserve"> (</w:t>
      </w:r>
      <w:r w:rsidRPr="00031F94" w:rsidR="006C2F83">
        <w:rPr>
          <w:rFonts w:ascii="Arial" w:hAnsi="Arial" w:cs="Arial"/>
        </w:rPr>
        <w:t>53-5021</w:t>
      </w:r>
      <w:r w:rsidRPr="006C2F83" w:rsidR="0004470D">
        <w:rPr>
          <w:rFonts w:ascii="Arial" w:hAnsi="Arial" w:cs="Arial"/>
        </w:rPr>
        <w:t>) [May</w:t>
      </w:r>
      <w:r w:rsidRPr="0016532A" w:rsidR="0004470D">
        <w:rPr>
          <w:rFonts w:ascii="Arial" w:hAnsi="Arial" w:cs="Arial"/>
        </w:rPr>
        <w:t xml:space="preserve"> 20</w:t>
      </w:r>
      <w:r w:rsidR="0004470D">
        <w:rPr>
          <w:rFonts w:ascii="Arial" w:hAnsi="Arial" w:cs="Arial"/>
        </w:rPr>
        <w:t>20</w:t>
      </w:r>
      <w:r w:rsidRPr="0016532A" w:rsidR="0004470D">
        <w:rPr>
          <w:rFonts w:ascii="Arial" w:hAnsi="Arial" w:cs="Arial"/>
        </w:rPr>
        <w:t>, mean hourly wage, loaded 50%, and rounded].</w:t>
      </w:r>
      <w:r w:rsidRPr="0016532A" w:rsidR="0004470D">
        <w:rPr>
          <w:rStyle w:val="FootnoteReference"/>
          <w:rFonts w:ascii="Arial" w:hAnsi="Arial" w:cs="Arial"/>
        </w:rPr>
        <w:footnoteReference w:id="7"/>
      </w:r>
      <w:r w:rsidRPr="0016532A" w:rsidR="0004470D">
        <w:rPr>
          <w:rFonts w:ascii="Arial" w:hAnsi="Arial" w:cs="Arial"/>
        </w:rPr>
        <w:t xml:space="preserve">  </w:t>
      </w:r>
    </w:p>
    <w:p w:rsidRPr="00843763" w:rsidR="00792310" w:rsidRDefault="00792310" w14:paraId="0DBBC8AD" w14:textId="77777777">
      <w:pPr>
        <w:widowControl w:val="0"/>
        <w:numPr>
          <w:ilvl w:val="12"/>
          <w:numId w:val="0"/>
        </w:numPr>
        <w:tabs>
          <w:tab w:val="left" w:pos="576"/>
          <w:tab w:val="left" w:pos="1440"/>
        </w:tabs>
        <w:rPr>
          <w:rFonts w:ascii="Arial" w:hAnsi="Arial" w:cs="Arial"/>
        </w:rPr>
      </w:pPr>
    </w:p>
    <w:p w:rsidRPr="00843763" w:rsidR="00A04A7F" w:rsidRDefault="00A04A7F" w14:paraId="780E3D15" w14:textId="77777777">
      <w:pPr>
        <w:widowControl w:val="0"/>
        <w:tabs>
          <w:tab w:val="left" w:pos="576"/>
          <w:tab w:val="left" w:pos="1440"/>
        </w:tabs>
        <w:rPr>
          <w:rFonts w:ascii="Arial" w:hAnsi="Arial" w:cs="Arial"/>
          <w:u w:val="single"/>
        </w:rPr>
      </w:pPr>
      <w:r w:rsidRPr="00843763">
        <w:rPr>
          <w:rFonts w:ascii="Arial" w:hAnsi="Arial" w:cs="Arial"/>
        </w:rPr>
        <w:t xml:space="preserve">13)  </w:t>
      </w:r>
      <w:r w:rsidRPr="00843763" w:rsidR="00AA3E8E">
        <w:rPr>
          <w:rFonts w:ascii="Arial" w:hAnsi="Arial" w:cs="Arial"/>
          <w:bCs/>
          <w:u w:val="single"/>
        </w:rPr>
        <w:t>Total annualized capital and start-up costs</w:t>
      </w:r>
      <w:r w:rsidRPr="00843763">
        <w:rPr>
          <w:rFonts w:ascii="Arial" w:hAnsi="Arial" w:cs="Arial"/>
          <w:bCs/>
        </w:rPr>
        <w:t>.</w:t>
      </w:r>
      <w:r w:rsidRPr="00843763" w:rsidR="00AA3E8E">
        <w:rPr>
          <w:rFonts w:ascii="Arial" w:hAnsi="Arial" w:cs="Arial"/>
          <w:bCs/>
        </w:rPr>
        <w:t xml:space="preserve">  </w:t>
      </w:r>
    </w:p>
    <w:p w:rsidRPr="00843763" w:rsidR="00A04A7F" w:rsidRDefault="00A04A7F" w14:paraId="554A3D39" w14:textId="77777777">
      <w:pPr>
        <w:widowControl w:val="0"/>
        <w:tabs>
          <w:tab w:val="left" w:pos="576"/>
          <w:tab w:val="left" w:pos="1440"/>
        </w:tabs>
        <w:rPr>
          <w:rFonts w:ascii="Arial" w:hAnsi="Arial" w:cs="Arial"/>
          <w:u w:val="single"/>
        </w:rPr>
      </w:pPr>
    </w:p>
    <w:p w:rsidRPr="00843763" w:rsidR="00A04A7F" w:rsidRDefault="0019528B" w14:paraId="1C1B9172" w14:textId="77777777">
      <w:pPr>
        <w:widowControl w:val="0"/>
        <w:tabs>
          <w:tab w:val="left" w:pos="576"/>
          <w:tab w:val="left" w:pos="1440"/>
        </w:tabs>
        <w:rPr>
          <w:rFonts w:ascii="Arial" w:hAnsi="Arial" w:cs="Arial"/>
        </w:rPr>
      </w:pPr>
      <w:r w:rsidRPr="00843763">
        <w:rPr>
          <w:rFonts w:ascii="Arial" w:hAnsi="Arial" w:cs="Arial"/>
          <w:bCs/>
        </w:rPr>
        <w:lastRenderedPageBreak/>
        <w:t>There are no capital, start-up or maintenance costs associated with this information collection</w:t>
      </w:r>
      <w:r w:rsidRPr="00843763" w:rsidR="00A04A7F">
        <w:rPr>
          <w:rFonts w:ascii="Arial" w:hAnsi="Arial" w:cs="Arial"/>
        </w:rPr>
        <w:t>.</w:t>
      </w:r>
    </w:p>
    <w:p w:rsidRPr="00843763" w:rsidR="00A04A7F" w:rsidRDefault="00A04A7F" w14:paraId="68A77ECE" w14:textId="77777777">
      <w:pPr>
        <w:widowControl w:val="0"/>
        <w:tabs>
          <w:tab w:val="left" w:pos="576"/>
          <w:tab w:val="left" w:pos="1440"/>
        </w:tabs>
        <w:rPr>
          <w:rFonts w:ascii="Arial" w:hAnsi="Arial" w:cs="Arial"/>
        </w:rPr>
      </w:pPr>
    </w:p>
    <w:p w:rsidRPr="00843763" w:rsidR="00A04A7F" w:rsidRDefault="00A04A7F" w14:paraId="7CB88E1B" w14:textId="77777777">
      <w:pPr>
        <w:widowControl w:val="0"/>
        <w:tabs>
          <w:tab w:val="left" w:pos="576"/>
          <w:tab w:val="left" w:pos="1440"/>
        </w:tabs>
        <w:rPr>
          <w:rFonts w:ascii="Arial" w:hAnsi="Arial" w:cs="Arial"/>
        </w:rPr>
      </w:pPr>
      <w:r w:rsidRPr="00843763">
        <w:rPr>
          <w:rFonts w:ascii="Arial" w:hAnsi="Arial" w:cs="Arial"/>
        </w:rPr>
        <w:t xml:space="preserve">14)  </w:t>
      </w:r>
      <w:r w:rsidRPr="00843763">
        <w:rPr>
          <w:rFonts w:ascii="Arial" w:hAnsi="Arial" w:cs="Arial"/>
          <w:bCs/>
          <w:u w:val="single"/>
        </w:rPr>
        <w:t>Estimates of annualized Federal Government costs</w:t>
      </w:r>
      <w:r w:rsidRPr="00843763">
        <w:rPr>
          <w:rFonts w:ascii="Arial" w:hAnsi="Arial" w:cs="Arial"/>
          <w:bCs/>
        </w:rPr>
        <w:t>.</w:t>
      </w:r>
      <w:r w:rsidRPr="00843763" w:rsidR="00AA3E8E">
        <w:rPr>
          <w:rFonts w:ascii="Arial" w:hAnsi="Arial" w:cs="Arial"/>
          <w:bCs/>
        </w:rPr>
        <w:t xml:space="preserve">  </w:t>
      </w:r>
    </w:p>
    <w:p w:rsidRPr="00843763" w:rsidR="00A04A7F" w:rsidRDefault="00A04A7F" w14:paraId="4F30A9E1" w14:textId="77777777">
      <w:pPr>
        <w:pStyle w:val="Footer"/>
        <w:widowControl w:val="0"/>
        <w:tabs>
          <w:tab w:val="clear" w:pos="4320"/>
          <w:tab w:val="clear" w:pos="8640"/>
          <w:tab w:val="left" w:pos="576"/>
          <w:tab w:val="left" w:pos="1440"/>
        </w:tabs>
        <w:rPr>
          <w:rFonts w:ascii="Arial" w:hAnsi="Arial" w:cs="Arial"/>
        </w:rPr>
      </w:pPr>
    </w:p>
    <w:p w:rsidRPr="00843763" w:rsidR="00AA3E8E" w:rsidRDefault="00AA3E8E" w14:paraId="18F1F12F" w14:textId="77777777">
      <w:pPr>
        <w:pStyle w:val="Footer"/>
        <w:widowControl w:val="0"/>
        <w:tabs>
          <w:tab w:val="clear" w:pos="4320"/>
          <w:tab w:val="clear" w:pos="8640"/>
          <w:tab w:val="left" w:pos="576"/>
          <w:tab w:val="left" w:pos="1440"/>
        </w:tabs>
        <w:rPr>
          <w:rFonts w:ascii="Arial" w:hAnsi="Arial" w:cs="Arial"/>
        </w:rPr>
      </w:pPr>
      <w:r w:rsidRPr="00843763">
        <w:rPr>
          <w:rFonts w:ascii="Arial" w:hAnsi="Arial" w:cs="Arial"/>
        </w:rPr>
        <w:t>The estimated annual Federal Government cost is $</w:t>
      </w:r>
      <w:r w:rsidRPr="00843763" w:rsidR="00B86294">
        <w:rPr>
          <w:rFonts w:ascii="Arial" w:hAnsi="Arial" w:cs="Arial"/>
        </w:rPr>
        <w:t>1</w:t>
      </w:r>
      <w:r w:rsidR="00171A19">
        <w:rPr>
          <w:rFonts w:ascii="Arial" w:hAnsi="Arial" w:cs="Arial"/>
        </w:rPr>
        <w:t>62,702</w:t>
      </w:r>
      <w:r w:rsidRPr="00843763">
        <w:rPr>
          <w:rFonts w:ascii="Arial" w:hAnsi="Arial" w:cs="Arial"/>
        </w:rPr>
        <w:t xml:space="preserve"> (see Appendix B).  It takes the Coast Guard an average of </w:t>
      </w:r>
      <w:r w:rsidRPr="00843763" w:rsidR="00B951E3">
        <w:rPr>
          <w:rFonts w:ascii="Arial" w:hAnsi="Arial" w:cs="Arial"/>
        </w:rPr>
        <w:t>4 hours</w:t>
      </w:r>
      <w:r w:rsidRPr="00843763">
        <w:rPr>
          <w:rFonts w:ascii="Arial" w:hAnsi="Arial" w:cs="Arial"/>
        </w:rPr>
        <w:t xml:space="preserve"> to </w:t>
      </w:r>
      <w:r w:rsidRPr="00843763" w:rsidR="00B951E3">
        <w:rPr>
          <w:rFonts w:ascii="Arial" w:hAnsi="Arial" w:cs="Arial"/>
        </w:rPr>
        <w:t xml:space="preserve">process and complete </w:t>
      </w:r>
      <w:r w:rsidRPr="00843763">
        <w:rPr>
          <w:rFonts w:ascii="Arial" w:hAnsi="Arial" w:cs="Arial"/>
        </w:rPr>
        <w:t xml:space="preserve">each </w:t>
      </w:r>
      <w:r w:rsidRPr="00843763" w:rsidR="00B951E3">
        <w:rPr>
          <w:rFonts w:ascii="Arial" w:hAnsi="Arial" w:cs="Arial"/>
        </w:rPr>
        <w:t xml:space="preserve">COA Application, Waiver request, Appeal request, or Inadequacy </w:t>
      </w:r>
      <w:r w:rsidRPr="00843763" w:rsidR="00B86294">
        <w:rPr>
          <w:rFonts w:ascii="Arial" w:hAnsi="Arial" w:cs="Arial"/>
        </w:rPr>
        <w:t>R</w:t>
      </w:r>
      <w:r w:rsidRPr="00843763" w:rsidR="00B951E3">
        <w:rPr>
          <w:rFonts w:ascii="Arial" w:hAnsi="Arial" w:cs="Arial"/>
        </w:rPr>
        <w:t>eport, and 1 hour to process and complete each Notice of Change.  Each of these tasks is typically</w:t>
      </w:r>
      <w:r w:rsidRPr="00843763">
        <w:rPr>
          <w:rFonts w:ascii="Arial" w:hAnsi="Arial" w:cs="Arial"/>
        </w:rPr>
        <w:t xml:space="preserve"> performed by a </w:t>
      </w:r>
      <w:r w:rsidRPr="00843763" w:rsidR="00204FD3">
        <w:rPr>
          <w:rFonts w:ascii="Arial" w:hAnsi="Arial" w:cs="Arial"/>
        </w:rPr>
        <w:t>GS-12</w:t>
      </w:r>
      <w:r w:rsidRPr="00843763">
        <w:rPr>
          <w:rFonts w:ascii="Arial" w:hAnsi="Arial" w:cs="Arial"/>
        </w:rPr>
        <w:t xml:space="preserve">.  </w:t>
      </w:r>
      <w:r w:rsidRPr="0016532A" w:rsidR="003817A6">
        <w:rPr>
          <w:rFonts w:ascii="Arial" w:hAnsi="Arial" w:cs="Arial"/>
        </w:rPr>
        <w:t>For the wage rate, we used Office of Personnel Management (OPM) data [2021-RUS Salary Table, GS-1</w:t>
      </w:r>
      <w:r w:rsidR="003817A6">
        <w:rPr>
          <w:rFonts w:ascii="Arial" w:hAnsi="Arial" w:cs="Arial"/>
        </w:rPr>
        <w:t>2</w:t>
      </w:r>
      <w:r w:rsidRPr="0016532A" w:rsidR="003817A6">
        <w:rPr>
          <w:rFonts w:ascii="Arial" w:hAnsi="Arial" w:cs="Arial"/>
        </w:rPr>
        <w:t>-Step 5, hourly basic rate, loaded 6</w:t>
      </w:r>
      <w:r w:rsidR="00840416">
        <w:rPr>
          <w:rFonts w:ascii="Arial" w:hAnsi="Arial" w:cs="Arial"/>
        </w:rPr>
        <w:t>5</w:t>
      </w:r>
      <w:r w:rsidRPr="0016532A" w:rsidR="003817A6">
        <w:rPr>
          <w:rFonts w:ascii="Arial" w:hAnsi="Arial" w:cs="Arial"/>
        </w:rPr>
        <w:t>%, and rounded].</w:t>
      </w:r>
      <w:r w:rsidRPr="0016532A" w:rsidR="003817A6">
        <w:rPr>
          <w:rStyle w:val="FootnoteReference"/>
          <w:rFonts w:ascii="Arial" w:hAnsi="Arial" w:cs="Arial"/>
        </w:rPr>
        <w:footnoteReference w:id="8"/>
      </w:r>
      <w:r w:rsidRPr="0016532A" w:rsidR="003817A6">
        <w:rPr>
          <w:rFonts w:ascii="Arial" w:hAnsi="Arial" w:cs="Arial"/>
        </w:rPr>
        <w:t xml:space="preserve">   </w:t>
      </w:r>
    </w:p>
    <w:p w:rsidRPr="00843763" w:rsidR="00A04A7F" w:rsidRDefault="00A04A7F" w14:paraId="14BE66C0" w14:textId="77777777">
      <w:pPr>
        <w:pStyle w:val="Footer"/>
        <w:widowControl w:val="0"/>
        <w:tabs>
          <w:tab w:val="clear" w:pos="4320"/>
          <w:tab w:val="clear" w:pos="8640"/>
          <w:tab w:val="left" w:pos="576"/>
          <w:tab w:val="left" w:pos="1440"/>
        </w:tabs>
        <w:rPr>
          <w:rFonts w:ascii="Arial" w:hAnsi="Arial" w:cs="Arial"/>
        </w:rPr>
      </w:pPr>
    </w:p>
    <w:p w:rsidRPr="00843763" w:rsidR="00A04A7F" w:rsidRDefault="00A04A7F" w14:paraId="6778A2F2" w14:textId="77777777">
      <w:pPr>
        <w:widowControl w:val="0"/>
        <w:tabs>
          <w:tab w:val="left" w:pos="576"/>
          <w:tab w:val="left" w:pos="1440"/>
        </w:tabs>
        <w:rPr>
          <w:rFonts w:ascii="Arial" w:hAnsi="Arial" w:cs="Arial"/>
        </w:rPr>
      </w:pPr>
      <w:r w:rsidRPr="00843763">
        <w:rPr>
          <w:rFonts w:ascii="Arial" w:hAnsi="Arial" w:cs="Arial"/>
        </w:rPr>
        <w:t xml:space="preserve">15)  </w:t>
      </w:r>
      <w:r w:rsidRPr="00843763" w:rsidR="00AA3E8E">
        <w:rPr>
          <w:rFonts w:ascii="Arial" w:hAnsi="Arial" w:cs="Arial"/>
          <w:u w:val="single"/>
        </w:rPr>
        <w:t>Reasons for the change in burden</w:t>
      </w:r>
      <w:r w:rsidRPr="00843763">
        <w:rPr>
          <w:rFonts w:ascii="Arial" w:hAnsi="Arial" w:cs="Arial"/>
          <w:bCs/>
        </w:rPr>
        <w:t>.</w:t>
      </w:r>
      <w:r w:rsidRPr="00843763" w:rsidR="00AA3E8E">
        <w:rPr>
          <w:rFonts w:ascii="Arial" w:hAnsi="Arial" w:cs="Arial"/>
          <w:bCs/>
        </w:rPr>
        <w:t xml:space="preserve">  </w:t>
      </w:r>
    </w:p>
    <w:p w:rsidRPr="00843763" w:rsidR="00A04A7F" w:rsidRDefault="00A04A7F" w14:paraId="1A101DE5" w14:textId="77777777">
      <w:pPr>
        <w:widowControl w:val="0"/>
        <w:tabs>
          <w:tab w:val="left" w:pos="576"/>
          <w:tab w:val="left" w:pos="1440"/>
        </w:tabs>
        <w:rPr>
          <w:rFonts w:ascii="Arial" w:hAnsi="Arial" w:cs="Arial"/>
        </w:rPr>
      </w:pPr>
    </w:p>
    <w:p w:rsidRPr="00843763" w:rsidR="00700C5D" w:rsidP="00902825" w:rsidRDefault="00A04A7F" w14:paraId="775796F5" w14:textId="77777777">
      <w:pPr>
        <w:widowControl w:val="0"/>
        <w:tabs>
          <w:tab w:val="left" w:pos="576"/>
          <w:tab w:val="left" w:pos="1440"/>
        </w:tabs>
        <w:rPr>
          <w:rFonts w:ascii="Arial" w:hAnsi="Arial" w:cs="Arial"/>
        </w:rPr>
      </w:pPr>
      <w:r w:rsidRPr="00843763">
        <w:rPr>
          <w:rFonts w:ascii="Arial" w:hAnsi="Arial" w:cs="Arial"/>
          <w:bCs/>
        </w:rPr>
        <w:t xml:space="preserve">The change in burden is an ADJUSTMENT </w:t>
      </w:r>
      <w:r w:rsidRPr="00843763" w:rsidR="00700C5D">
        <w:rPr>
          <w:rFonts w:ascii="Arial" w:hAnsi="Arial" w:cs="Arial"/>
          <w:bCs/>
        </w:rPr>
        <w:t xml:space="preserve">due to a </w:t>
      </w:r>
      <w:r w:rsidRPr="00843763" w:rsidR="00AA3E8E">
        <w:rPr>
          <w:rFonts w:ascii="Arial" w:hAnsi="Arial" w:cs="Arial"/>
          <w:bCs/>
        </w:rPr>
        <w:t xml:space="preserve">change (i.e., </w:t>
      </w:r>
      <w:r w:rsidR="00DA3AEE">
        <w:rPr>
          <w:rFonts w:ascii="Arial" w:hAnsi="Arial" w:cs="Arial"/>
          <w:bCs/>
        </w:rPr>
        <w:t>de</w:t>
      </w:r>
      <w:r w:rsidRPr="00843763" w:rsidR="00DA3AEE">
        <w:rPr>
          <w:rFonts w:ascii="Arial" w:hAnsi="Arial" w:cs="Arial"/>
          <w:bCs/>
        </w:rPr>
        <w:t>crease</w:t>
      </w:r>
      <w:r w:rsidRPr="00843763" w:rsidR="00AA3E8E">
        <w:rPr>
          <w:rFonts w:ascii="Arial" w:hAnsi="Arial" w:cs="Arial"/>
          <w:bCs/>
        </w:rPr>
        <w:t xml:space="preserve">) </w:t>
      </w:r>
      <w:r w:rsidRPr="00843763" w:rsidR="00700C5D">
        <w:rPr>
          <w:rFonts w:ascii="Arial" w:hAnsi="Arial" w:cs="Arial"/>
          <w:bCs/>
        </w:rPr>
        <w:t xml:space="preserve">in the </w:t>
      </w:r>
      <w:r w:rsidRPr="00843763" w:rsidR="00AA3E8E">
        <w:rPr>
          <w:rFonts w:ascii="Arial" w:hAnsi="Arial" w:cs="Arial"/>
          <w:bCs/>
        </w:rPr>
        <w:t xml:space="preserve">estimated annual </w:t>
      </w:r>
      <w:r w:rsidRPr="00843763" w:rsidR="00700C5D">
        <w:rPr>
          <w:rFonts w:ascii="Arial" w:hAnsi="Arial" w:cs="Arial"/>
          <w:bCs/>
        </w:rPr>
        <w:t xml:space="preserve">number of </w:t>
      </w:r>
      <w:r w:rsidRPr="00843763" w:rsidR="00AA3E8E">
        <w:rPr>
          <w:rFonts w:ascii="Arial" w:hAnsi="Arial" w:cs="Arial"/>
          <w:bCs/>
        </w:rPr>
        <w:t xml:space="preserve">respondents.  </w:t>
      </w:r>
      <w:r w:rsidRPr="004A20BA" w:rsidR="00DA3AEE">
        <w:rPr>
          <w:rFonts w:ascii="Arial" w:hAnsi="Arial" w:cs="Arial"/>
        </w:rPr>
        <w:t>There is no proposed change to the reporting or recordkeeping requirements of this collection.  The reporting and recordkeeping requirements, and the methodology for calculating burden, remain unchanged.</w:t>
      </w:r>
      <w:r w:rsidR="00DA3AEE">
        <w:rPr>
          <w:rFonts w:ascii="Arial" w:hAnsi="Arial" w:cs="Arial"/>
        </w:rPr>
        <w:t xml:space="preserve">  </w:t>
      </w:r>
    </w:p>
    <w:p w:rsidRPr="00843763" w:rsidR="00A04A7F" w:rsidRDefault="00A04A7F" w14:paraId="76471AC1" w14:textId="77777777">
      <w:pPr>
        <w:widowControl w:val="0"/>
        <w:tabs>
          <w:tab w:val="left" w:pos="576"/>
          <w:tab w:val="left" w:pos="1440"/>
        </w:tabs>
        <w:rPr>
          <w:rFonts w:ascii="Arial" w:hAnsi="Arial" w:cs="Arial"/>
        </w:rPr>
      </w:pPr>
    </w:p>
    <w:p w:rsidRPr="00843763" w:rsidR="00A04A7F" w:rsidRDefault="00A04A7F" w14:paraId="20DA51BB" w14:textId="77777777">
      <w:pPr>
        <w:widowControl w:val="0"/>
        <w:tabs>
          <w:tab w:val="left" w:pos="576"/>
          <w:tab w:val="left" w:pos="1440"/>
        </w:tabs>
        <w:ind w:left="630" w:hanging="630"/>
        <w:rPr>
          <w:rFonts w:ascii="Arial" w:hAnsi="Arial" w:cs="Arial"/>
          <w:bCs/>
        </w:rPr>
      </w:pPr>
      <w:r w:rsidRPr="00843763">
        <w:rPr>
          <w:rFonts w:ascii="Arial" w:hAnsi="Arial" w:cs="Arial"/>
        </w:rPr>
        <w:t xml:space="preserve">16)  </w:t>
      </w:r>
      <w:r w:rsidRPr="00843763" w:rsidR="00AA3E8E">
        <w:rPr>
          <w:rFonts w:ascii="Arial" w:hAnsi="Arial" w:cs="Arial"/>
          <w:bCs/>
          <w:u w:val="single"/>
        </w:rPr>
        <w:t>Plans for tabulation, statistical analysis, and publication</w:t>
      </w:r>
      <w:r w:rsidRPr="00843763">
        <w:rPr>
          <w:rFonts w:ascii="Arial" w:hAnsi="Arial" w:cs="Arial"/>
          <w:bCs/>
        </w:rPr>
        <w:t>.</w:t>
      </w:r>
      <w:r w:rsidRPr="00843763" w:rsidR="00AA3E8E">
        <w:rPr>
          <w:rFonts w:ascii="Arial" w:hAnsi="Arial" w:cs="Arial"/>
          <w:bCs/>
        </w:rPr>
        <w:t xml:space="preserve">  </w:t>
      </w:r>
    </w:p>
    <w:p w:rsidRPr="00843763" w:rsidR="00A04A7F" w:rsidRDefault="00A04A7F" w14:paraId="727E30E6" w14:textId="77777777">
      <w:pPr>
        <w:widowControl w:val="0"/>
        <w:tabs>
          <w:tab w:val="left" w:pos="576"/>
          <w:tab w:val="left" w:pos="1440"/>
        </w:tabs>
        <w:rPr>
          <w:rFonts w:ascii="Arial" w:hAnsi="Arial" w:cs="Arial"/>
        </w:rPr>
      </w:pPr>
    </w:p>
    <w:p w:rsidRPr="00843763" w:rsidR="00A04A7F" w:rsidRDefault="00700C5D" w14:paraId="6E26C9B5" w14:textId="77777777">
      <w:pPr>
        <w:widowControl w:val="0"/>
        <w:tabs>
          <w:tab w:val="left" w:pos="576"/>
          <w:tab w:val="left" w:pos="1440"/>
        </w:tabs>
        <w:rPr>
          <w:rFonts w:ascii="Arial" w:hAnsi="Arial" w:cs="Arial"/>
        </w:rPr>
      </w:pPr>
      <w:r w:rsidRPr="00843763">
        <w:rPr>
          <w:rFonts w:ascii="Arial" w:hAnsi="Arial" w:cs="Arial"/>
        </w:rPr>
        <w:t>This information collection will not be published for statistical purposes</w:t>
      </w:r>
      <w:r w:rsidRPr="00843763" w:rsidR="00A04A7F">
        <w:rPr>
          <w:rFonts w:ascii="Arial" w:hAnsi="Arial" w:cs="Arial"/>
        </w:rPr>
        <w:t>.</w:t>
      </w:r>
    </w:p>
    <w:p w:rsidRPr="00843763" w:rsidR="00A04A7F" w:rsidRDefault="00A04A7F" w14:paraId="61152328" w14:textId="77777777">
      <w:pPr>
        <w:widowControl w:val="0"/>
        <w:tabs>
          <w:tab w:val="left" w:pos="576"/>
          <w:tab w:val="left" w:pos="1440"/>
        </w:tabs>
        <w:rPr>
          <w:rFonts w:ascii="Arial" w:hAnsi="Arial" w:cs="Arial"/>
        </w:rPr>
      </w:pPr>
    </w:p>
    <w:p w:rsidRPr="00843763" w:rsidR="00A04A7F" w:rsidRDefault="00A04A7F" w14:paraId="02F29FDC" w14:textId="77777777">
      <w:pPr>
        <w:widowControl w:val="0"/>
        <w:tabs>
          <w:tab w:val="left" w:pos="576"/>
          <w:tab w:val="left" w:pos="1440"/>
        </w:tabs>
        <w:ind w:left="630" w:hanging="630"/>
        <w:rPr>
          <w:rFonts w:ascii="Arial" w:hAnsi="Arial" w:cs="Arial"/>
          <w:bCs/>
        </w:rPr>
      </w:pPr>
      <w:r w:rsidRPr="00843763">
        <w:rPr>
          <w:rFonts w:ascii="Arial" w:hAnsi="Arial" w:cs="Arial"/>
        </w:rPr>
        <w:t xml:space="preserve">17)  </w:t>
      </w:r>
      <w:r w:rsidRPr="00843763" w:rsidR="004B0482">
        <w:rPr>
          <w:rFonts w:ascii="Arial" w:hAnsi="Arial" w:cs="Arial"/>
          <w:bCs/>
          <w:u w:val="single"/>
        </w:rPr>
        <w:t>Approval for not explaining the expiration date for OMB approval</w:t>
      </w:r>
      <w:r w:rsidRPr="00843763">
        <w:rPr>
          <w:rFonts w:ascii="Arial" w:hAnsi="Arial" w:cs="Arial"/>
          <w:bCs/>
        </w:rPr>
        <w:t>.</w:t>
      </w:r>
      <w:r w:rsidRPr="00843763" w:rsidR="004B0482">
        <w:rPr>
          <w:rFonts w:ascii="Arial" w:hAnsi="Arial" w:cs="Arial"/>
          <w:bCs/>
        </w:rPr>
        <w:t xml:space="preserve">  </w:t>
      </w:r>
    </w:p>
    <w:p w:rsidRPr="00843763" w:rsidR="00A04A7F" w:rsidRDefault="00A04A7F" w14:paraId="30EB64BC" w14:textId="77777777">
      <w:pPr>
        <w:widowControl w:val="0"/>
        <w:tabs>
          <w:tab w:val="left" w:pos="576"/>
          <w:tab w:val="left" w:pos="1440"/>
        </w:tabs>
        <w:rPr>
          <w:rFonts w:ascii="Arial" w:hAnsi="Arial" w:cs="Arial"/>
        </w:rPr>
      </w:pPr>
    </w:p>
    <w:p w:rsidRPr="00843763" w:rsidR="006F7FBA" w:rsidP="006F7FBA" w:rsidRDefault="006F7FBA" w14:paraId="51844169" w14:textId="77777777">
      <w:pPr>
        <w:widowControl w:val="0"/>
        <w:tabs>
          <w:tab w:val="left" w:pos="576"/>
          <w:tab w:val="left" w:pos="1440"/>
        </w:tabs>
        <w:rPr>
          <w:rFonts w:ascii="Arial" w:hAnsi="Arial" w:cs="Arial"/>
        </w:rPr>
      </w:pPr>
      <w:r w:rsidRPr="00843763">
        <w:rPr>
          <w:rFonts w:ascii="Arial" w:hAnsi="Arial" w:cs="Arial"/>
        </w:rPr>
        <w:t xml:space="preserve">The OMB expiration date will be displayed on the </w:t>
      </w:r>
      <w:r w:rsidRPr="00843763" w:rsidR="004B0482">
        <w:rPr>
          <w:rFonts w:ascii="Arial" w:hAnsi="Arial" w:cs="Arial"/>
        </w:rPr>
        <w:t xml:space="preserve">4 </w:t>
      </w:r>
      <w:r w:rsidRPr="00843763">
        <w:rPr>
          <w:rFonts w:ascii="Arial" w:hAnsi="Arial" w:cs="Arial"/>
        </w:rPr>
        <w:t>COA applications, forms CG-5401A, CG-5401B</w:t>
      </w:r>
      <w:r w:rsidRPr="00843763" w:rsidR="004B0482">
        <w:rPr>
          <w:rFonts w:ascii="Arial" w:hAnsi="Arial" w:cs="Arial"/>
        </w:rPr>
        <w:t>, CG-5401C</w:t>
      </w:r>
      <w:r w:rsidRPr="00843763">
        <w:rPr>
          <w:rFonts w:ascii="Arial" w:hAnsi="Arial" w:cs="Arial"/>
        </w:rPr>
        <w:t xml:space="preserve"> </w:t>
      </w:r>
      <w:r w:rsidR="0035199A">
        <w:rPr>
          <w:rFonts w:ascii="Arial" w:hAnsi="Arial" w:cs="Arial"/>
        </w:rPr>
        <w:t>and</w:t>
      </w:r>
      <w:r w:rsidRPr="00843763">
        <w:rPr>
          <w:rFonts w:ascii="Arial" w:hAnsi="Arial" w:cs="Arial"/>
        </w:rPr>
        <w:t xml:space="preserve"> CG-5401</w:t>
      </w:r>
      <w:r w:rsidRPr="00843763" w:rsidR="004B0482">
        <w:rPr>
          <w:rFonts w:ascii="Arial" w:hAnsi="Arial" w:cs="Arial"/>
        </w:rPr>
        <w:t>D</w:t>
      </w:r>
      <w:r w:rsidRPr="00843763">
        <w:rPr>
          <w:rFonts w:ascii="Arial" w:hAnsi="Arial" w:cs="Arial"/>
        </w:rPr>
        <w:t>, as well as the Instruction sheet related to the information collection request.</w:t>
      </w:r>
      <w:r w:rsidR="0035199A">
        <w:rPr>
          <w:rFonts w:ascii="Arial" w:hAnsi="Arial" w:cs="Arial"/>
        </w:rPr>
        <w:t xml:space="preserve">  </w:t>
      </w:r>
    </w:p>
    <w:p w:rsidRPr="00843763" w:rsidR="006F7FBA" w:rsidP="006F7FBA" w:rsidRDefault="006F7FBA" w14:paraId="59CE4411" w14:textId="77777777">
      <w:pPr>
        <w:widowControl w:val="0"/>
        <w:tabs>
          <w:tab w:val="left" w:pos="576"/>
          <w:tab w:val="left" w:pos="1440"/>
        </w:tabs>
        <w:rPr>
          <w:rFonts w:ascii="Arial" w:hAnsi="Arial" w:cs="Arial"/>
        </w:rPr>
      </w:pPr>
    </w:p>
    <w:p w:rsidRPr="00843763" w:rsidR="006F7FBA" w:rsidRDefault="002F5177" w14:paraId="591621BB" w14:textId="77777777">
      <w:pPr>
        <w:widowControl w:val="0"/>
        <w:tabs>
          <w:tab w:val="left" w:pos="576"/>
          <w:tab w:val="left" w:pos="1440"/>
        </w:tabs>
        <w:rPr>
          <w:rFonts w:ascii="Arial" w:hAnsi="Arial" w:cs="Arial"/>
        </w:rPr>
      </w:pPr>
      <w:r w:rsidRPr="00843763">
        <w:rPr>
          <w:rFonts w:ascii="Arial" w:hAnsi="Arial" w:cs="Arial"/>
        </w:rPr>
        <w:t xml:space="preserve">The COA (form CG-5401) associated with this collection is prescribed by an international treaty (MARPOL) that the U.S. Government is signatory to.  This certificate has a five year expiration date related to requirements set out in MARPOL.  The addition of a second expiration date to this certificate—that for OMB approval—may cause reception facility and vessel owner/operators to interact with the Coast Guard more frequently than required to reconcile the existence of 2 expirations dates on the certificate.  It is for this reason that expiration date for OMB approval is not displayed on the form CG-5401.  </w:t>
      </w:r>
    </w:p>
    <w:p w:rsidRPr="00843763" w:rsidR="006F7FBA" w:rsidRDefault="006F7FBA" w14:paraId="4118EFCE" w14:textId="77777777">
      <w:pPr>
        <w:widowControl w:val="0"/>
        <w:tabs>
          <w:tab w:val="left" w:pos="576"/>
          <w:tab w:val="left" w:pos="1440"/>
        </w:tabs>
        <w:rPr>
          <w:rFonts w:ascii="Arial" w:hAnsi="Arial" w:cs="Arial"/>
        </w:rPr>
      </w:pPr>
    </w:p>
    <w:p w:rsidRPr="00843763" w:rsidR="00A04A7F" w:rsidRDefault="00A04A7F" w14:paraId="74B488C0" w14:textId="77777777">
      <w:pPr>
        <w:widowControl w:val="0"/>
        <w:tabs>
          <w:tab w:val="left" w:pos="576"/>
          <w:tab w:val="left" w:pos="1440"/>
        </w:tabs>
        <w:rPr>
          <w:rFonts w:ascii="Arial" w:hAnsi="Arial" w:cs="Arial"/>
          <w:bCs/>
        </w:rPr>
      </w:pPr>
      <w:r w:rsidRPr="00843763">
        <w:rPr>
          <w:rFonts w:ascii="Arial" w:hAnsi="Arial" w:cs="Arial"/>
        </w:rPr>
        <w:t xml:space="preserve">18)  </w:t>
      </w:r>
      <w:r w:rsidRPr="00843763">
        <w:rPr>
          <w:rFonts w:ascii="Arial" w:hAnsi="Arial" w:cs="Arial"/>
          <w:bCs/>
          <w:u w:val="single"/>
        </w:rPr>
        <w:t>Explain each exception to the certification statement</w:t>
      </w:r>
      <w:r w:rsidRPr="00843763">
        <w:rPr>
          <w:rFonts w:ascii="Arial" w:hAnsi="Arial" w:cs="Arial"/>
          <w:bCs/>
        </w:rPr>
        <w:t>.</w:t>
      </w:r>
      <w:r w:rsidRPr="00843763" w:rsidR="004B0482">
        <w:rPr>
          <w:rFonts w:ascii="Arial" w:hAnsi="Arial" w:cs="Arial"/>
          <w:bCs/>
        </w:rPr>
        <w:t xml:space="preserve">  </w:t>
      </w:r>
    </w:p>
    <w:p w:rsidRPr="00843763" w:rsidR="00A04A7F" w:rsidRDefault="00A04A7F" w14:paraId="4CEF2290" w14:textId="77777777">
      <w:pPr>
        <w:widowControl w:val="0"/>
        <w:tabs>
          <w:tab w:val="left" w:pos="576"/>
          <w:tab w:val="left" w:pos="1440"/>
        </w:tabs>
        <w:rPr>
          <w:rFonts w:ascii="Arial" w:hAnsi="Arial" w:cs="Arial"/>
        </w:rPr>
      </w:pPr>
    </w:p>
    <w:p w:rsidRPr="00843763" w:rsidR="00A04A7F" w:rsidRDefault="00700C5D" w14:paraId="0D0DCF0C" w14:textId="77777777">
      <w:pPr>
        <w:widowControl w:val="0"/>
        <w:tabs>
          <w:tab w:val="left" w:pos="576"/>
          <w:tab w:val="left" w:pos="1440"/>
        </w:tabs>
        <w:rPr>
          <w:rFonts w:ascii="Arial" w:hAnsi="Arial" w:cs="Arial"/>
        </w:rPr>
      </w:pPr>
      <w:r w:rsidRPr="00843763">
        <w:rPr>
          <w:rFonts w:ascii="Arial" w:hAnsi="Arial" w:cs="Arial"/>
        </w:rPr>
        <w:t>The Coast Guard does not request an exception to the certification of this information collection</w:t>
      </w:r>
      <w:r w:rsidRPr="00843763" w:rsidR="00A04A7F">
        <w:rPr>
          <w:rFonts w:ascii="Arial" w:hAnsi="Arial" w:cs="Arial"/>
        </w:rPr>
        <w:t>.</w:t>
      </w:r>
      <w:r w:rsidR="00AA2CF2">
        <w:rPr>
          <w:rFonts w:ascii="Arial" w:hAnsi="Arial" w:cs="Arial"/>
        </w:rPr>
        <w:t xml:space="preserve">  </w:t>
      </w:r>
    </w:p>
    <w:p w:rsidRPr="00843763" w:rsidR="00A04A7F" w:rsidRDefault="00A04A7F" w14:paraId="65CCC5F1" w14:textId="77777777">
      <w:pPr>
        <w:widowControl w:val="0"/>
        <w:tabs>
          <w:tab w:val="left" w:pos="576"/>
          <w:tab w:val="left" w:pos="1440"/>
        </w:tabs>
        <w:rPr>
          <w:rFonts w:ascii="Arial" w:hAnsi="Arial" w:cs="Arial"/>
        </w:rPr>
      </w:pPr>
    </w:p>
    <w:p w:rsidRPr="00843763" w:rsidR="00A04A7F" w:rsidRDefault="00A04A7F" w14:paraId="7BD28C6F" w14:textId="77777777">
      <w:pPr>
        <w:widowControl w:val="0"/>
        <w:tabs>
          <w:tab w:val="left" w:pos="576"/>
          <w:tab w:val="left" w:pos="1440"/>
        </w:tabs>
        <w:rPr>
          <w:rFonts w:ascii="Arial" w:hAnsi="Arial" w:cs="Arial"/>
        </w:rPr>
      </w:pPr>
    </w:p>
    <w:p w:rsidRPr="00843763" w:rsidR="00A04A7F" w:rsidRDefault="00A04A7F" w14:paraId="57626F04" w14:textId="77777777">
      <w:pPr>
        <w:widowControl w:val="0"/>
        <w:tabs>
          <w:tab w:val="left" w:pos="576"/>
          <w:tab w:val="left" w:pos="1440"/>
        </w:tabs>
        <w:rPr>
          <w:rFonts w:ascii="Arial" w:hAnsi="Arial" w:cs="Arial"/>
          <w:b/>
          <w:bCs/>
        </w:rPr>
      </w:pPr>
      <w:r w:rsidRPr="00843763">
        <w:rPr>
          <w:rFonts w:ascii="Arial" w:hAnsi="Arial" w:cs="Arial"/>
          <w:b/>
          <w:bCs/>
        </w:rPr>
        <w:t>B.  Collection of Information Employing Statistical Methods</w:t>
      </w:r>
      <w:r w:rsidR="0035199A">
        <w:rPr>
          <w:rFonts w:ascii="Arial" w:hAnsi="Arial" w:cs="Arial"/>
          <w:b/>
          <w:bCs/>
        </w:rPr>
        <w:t xml:space="preserve">  </w:t>
      </w:r>
    </w:p>
    <w:p w:rsidRPr="00843763" w:rsidR="00A04A7F" w:rsidRDefault="00A04A7F" w14:paraId="7649CD7B" w14:textId="77777777">
      <w:pPr>
        <w:widowControl w:val="0"/>
        <w:tabs>
          <w:tab w:val="left" w:pos="576"/>
          <w:tab w:val="left" w:pos="1440"/>
        </w:tabs>
        <w:rPr>
          <w:rFonts w:ascii="Arial" w:hAnsi="Arial" w:cs="Arial"/>
        </w:rPr>
      </w:pPr>
    </w:p>
    <w:p w:rsidRPr="00185EA8" w:rsidR="00A04A7F" w:rsidRDefault="00A04A7F" w14:paraId="085CF082" w14:textId="77777777">
      <w:pPr>
        <w:widowControl w:val="0"/>
        <w:tabs>
          <w:tab w:val="left" w:pos="576"/>
          <w:tab w:val="left" w:pos="1440"/>
        </w:tabs>
        <w:rPr>
          <w:rFonts w:ascii="Arial" w:hAnsi="Arial" w:cs="Arial"/>
        </w:rPr>
      </w:pPr>
      <w:r w:rsidRPr="00843763">
        <w:rPr>
          <w:rFonts w:ascii="Arial" w:hAnsi="Arial" w:cs="Arial"/>
        </w:rPr>
        <w:t>This information collection does not employ statistical methods.</w:t>
      </w:r>
      <w:r w:rsidR="0035199A">
        <w:rPr>
          <w:rFonts w:ascii="Arial" w:hAnsi="Arial" w:cs="Arial"/>
        </w:rPr>
        <w:t xml:space="preserve">  </w:t>
      </w:r>
    </w:p>
    <w:p w:rsidR="00A04A7F" w:rsidRDefault="00A04A7F" w14:paraId="70835269" w14:textId="77777777">
      <w:pPr>
        <w:widowControl w:val="0"/>
        <w:tabs>
          <w:tab w:val="left" w:pos="576"/>
          <w:tab w:val="left" w:pos="1440"/>
        </w:tabs>
        <w:rPr>
          <w:rFonts w:ascii="Arial" w:hAnsi="Arial" w:cs="Arial"/>
        </w:rPr>
      </w:pPr>
    </w:p>
    <w:p w:rsidRPr="00185EA8" w:rsidR="0035199A" w:rsidRDefault="0035199A" w14:paraId="78FD8645" w14:textId="77777777">
      <w:pPr>
        <w:widowControl w:val="0"/>
        <w:tabs>
          <w:tab w:val="left" w:pos="576"/>
          <w:tab w:val="left" w:pos="1440"/>
        </w:tabs>
        <w:rPr>
          <w:rFonts w:ascii="Arial" w:hAnsi="Arial" w:cs="Arial"/>
        </w:rPr>
      </w:pPr>
    </w:p>
    <w:sectPr w:rsidRPr="00185EA8" w:rsidR="0035199A" w:rsidSect="007D39A2">
      <w:headerReference w:type="even" r:id="rId15"/>
      <w:headerReference w:type="default" r:id="rId16"/>
      <w:footerReference w:type="even" r:id="rId17"/>
      <w:footerReference w:type="default" r:id="rId18"/>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F8E99" w14:textId="77777777" w:rsidR="00C32332" w:rsidRDefault="00C32332">
      <w:r>
        <w:separator/>
      </w:r>
    </w:p>
  </w:endnote>
  <w:endnote w:type="continuationSeparator" w:id="0">
    <w:p w14:paraId="3FDF0615" w14:textId="77777777" w:rsidR="00C32332" w:rsidRDefault="00C3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2C0B7F" w14:textId="77777777" w:rsidR="00902825" w:rsidRDefault="00902825">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3C1FF06" w14:textId="77777777" w:rsidR="00902825" w:rsidRDefault="0090282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8A151" w14:textId="6EB11B9B" w:rsidR="00902825" w:rsidRPr="00185EA8" w:rsidRDefault="00902825">
    <w:pPr>
      <w:pStyle w:val="Footer"/>
      <w:jc w:val="center"/>
      <w:rPr>
        <w:rFonts w:ascii="Arial" w:hAnsi="Arial" w:cs="Arial"/>
      </w:rPr>
    </w:pPr>
    <w:r w:rsidRPr="00185EA8">
      <w:rPr>
        <w:rStyle w:val="PageNumber"/>
        <w:rFonts w:ascii="Arial" w:hAnsi="Arial" w:cs="Arial"/>
      </w:rPr>
      <w:fldChar w:fldCharType="begin"/>
    </w:r>
    <w:r w:rsidRPr="00185EA8">
      <w:rPr>
        <w:rStyle w:val="PageNumber"/>
        <w:rFonts w:ascii="Arial" w:hAnsi="Arial" w:cs="Arial"/>
      </w:rPr>
      <w:instrText xml:space="preserve"> PAGE </w:instrText>
    </w:r>
    <w:r w:rsidRPr="00185EA8">
      <w:rPr>
        <w:rStyle w:val="PageNumber"/>
        <w:rFonts w:ascii="Arial" w:hAnsi="Arial" w:cs="Arial"/>
      </w:rPr>
      <w:fldChar w:fldCharType="separate"/>
    </w:r>
    <w:r w:rsidR="00607E0F">
      <w:rPr>
        <w:rStyle w:val="PageNumber"/>
        <w:rFonts w:ascii="Arial" w:hAnsi="Arial" w:cs="Arial"/>
        <w:noProof/>
      </w:rPr>
      <w:t>3</w:t>
    </w:r>
    <w:r w:rsidRPr="00185EA8">
      <w:rPr>
        <w:rStyle w:val="PageNumber"/>
        <w:rFonts w:ascii="Arial" w:hAnsi="Arial" w:cs="Arial"/>
      </w:rPr>
      <w:fldChar w:fldCharType="end"/>
    </w:r>
    <w:r w:rsidRPr="00185EA8">
      <w:rPr>
        <w:rStyle w:val="PageNumber"/>
        <w:rFonts w:ascii="Arial" w:hAnsi="Arial" w:cs="Arial"/>
      </w:rPr>
      <w:t xml:space="preserve"> of </w:t>
    </w:r>
    <w:r w:rsidRPr="00185EA8">
      <w:rPr>
        <w:rStyle w:val="PageNumber"/>
        <w:rFonts w:ascii="Arial" w:hAnsi="Arial" w:cs="Arial"/>
      </w:rPr>
      <w:fldChar w:fldCharType="begin"/>
    </w:r>
    <w:r w:rsidRPr="00185EA8">
      <w:rPr>
        <w:rStyle w:val="PageNumber"/>
        <w:rFonts w:ascii="Arial" w:hAnsi="Arial" w:cs="Arial"/>
      </w:rPr>
      <w:instrText xml:space="preserve"> NUMPAGES </w:instrText>
    </w:r>
    <w:r w:rsidRPr="00185EA8">
      <w:rPr>
        <w:rStyle w:val="PageNumber"/>
        <w:rFonts w:ascii="Arial" w:hAnsi="Arial" w:cs="Arial"/>
      </w:rPr>
      <w:fldChar w:fldCharType="separate"/>
    </w:r>
    <w:r w:rsidR="00607E0F">
      <w:rPr>
        <w:rStyle w:val="PageNumber"/>
        <w:rFonts w:ascii="Arial" w:hAnsi="Arial" w:cs="Arial"/>
        <w:noProof/>
      </w:rPr>
      <w:t>5</w:t>
    </w:r>
    <w:r w:rsidRPr="00185EA8">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AFF49" w14:textId="77777777" w:rsidR="00C32332" w:rsidRDefault="00C32332">
      <w:r>
        <w:separator/>
      </w:r>
    </w:p>
  </w:footnote>
  <w:footnote w:type="continuationSeparator" w:id="0">
    <w:p w14:paraId="4E5313F7" w14:textId="77777777" w:rsidR="00C32332" w:rsidRDefault="00C32332">
      <w:r>
        <w:continuationSeparator/>
      </w:r>
    </w:p>
  </w:footnote>
  <w:footnote w:id="1">
    <w:p w14:paraId="552E81CE" w14:textId="77777777" w:rsidR="00902825" w:rsidRPr="00843763" w:rsidRDefault="00902825">
      <w:pPr>
        <w:pStyle w:val="FootnoteText"/>
        <w:rPr>
          <w:rFonts w:ascii="Arial" w:hAnsi="Arial" w:cs="Arial"/>
          <w:sz w:val="16"/>
          <w:szCs w:val="16"/>
        </w:rPr>
      </w:pPr>
      <w:r w:rsidRPr="00843763">
        <w:rPr>
          <w:rStyle w:val="FootnoteReference"/>
          <w:rFonts w:ascii="Arial" w:hAnsi="Arial" w:cs="Arial"/>
          <w:sz w:val="16"/>
          <w:szCs w:val="16"/>
        </w:rPr>
        <w:footnoteRef/>
      </w:r>
      <w:r w:rsidRPr="00843763">
        <w:rPr>
          <w:rFonts w:ascii="Arial" w:hAnsi="Arial" w:cs="Arial"/>
          <w:sz w:val="16"/>
          <w:szCs w:val="16"/>
        </w:rPr>
        <w:t xml:space="preserve">  U.S. Department of Agriculture’s Animal and Plant Health Inspection Service.</w:t>
      </w:r>
      <w:r w:rsidR="00E32C73">
        <w:rPr>
          <w:rFonts w:ascii="Arial" w:hAnsi="Arial" w:cs="Arial"/>
          <w:sz w:val="16"/>
          <w:szCs w:val="16"/>
        </w:rPr>
        <w:t xml:space="preserve">  </w:t>
      </w:r>
    </w:p>
  </w:footnote>
  <w:footnote w:id="2">
    <w:p w14:paraId="743693FC" w14:textId="77777777" w:rsidR="00902825" w:rsidRPr="00843763" w:rsidRDefault="00902825">
      <w:pPr>
        <w:pStyle w:val="FootnoteText"/>
        <w:rPr>
          <w:rFonts w:ascii="Arial" w:hAnsi="Arial" w:cs="Arial"/>
          <w:sz w:val="16"/>
          <w:szCs w:val="16"/>
        </w:rPr>
      </w:pPr>
      <w:r w:rsidRPr="00843763">
        <w:rPr>
          <w:rStyle w:val="FootnoteReference"/>
          <w:rFonts w:ascii="Arial" w:hAnsi="Arial" w:cs="Arial"/>
          <w:sz w:val="16"/>
          <w:szCs w:val="16"/>
        </w:rPr>
        <w:footnoteRef/>
      </w:r>
      <w:r w:rsidRPr="00843763">
        <w:rPr>
          <w:rFonts w:ascii="Arial" w:hAnsi="Arial" w:cs="Arial"/>
          <w:sz w:val="16"/>
          <w:szCs w:val="16"/>
        </w:rPr>
        <w:t xml:space="preserve">  While not all COA applications are sent electronically, we assume that all advance notice of arrivals are sent electronically from ships at sea.  Thus nearly 100% of the reporting requirements are done electronically.  </w:t>
      </w:r>
    </w:p>
  </w:footnote>
  <w:footnote w:id="3">
    <w:p w14:paraId="6CD83277" w14:textId="77777777" w:rsidR="00234654" w:rsidRPr="00234654" w:rsidRDefault="00234654">
      <w:pPr>
        <w:pStyle w:val="FootnoteText"/>
        <w:rPr>
          <w:rFonts w:ascii="Arial" w:hAnsi="Arial" w:cs="Arial"/>
          <w:sz w:val="16"/>
          <w:szCs w:val="16"/>
        </w:rPr>
      </w:pPr>
      <w:r w:rsidRPr="00234654">
        <w:rPr>
          <w:rStyle w:val="FootnoteReference"/>
          <w:rFonts w:ascii="Arial" w:hAnsi="Arial" w:cs="Arial"/>
          <w:sz w:val="16"/>
          <w:szCs w:val="16"/>
        </w:rPr>
        <w:footnoteRef/>
      </w:r>
      <w:r w:rsidRPr="00234654">
        <w:rPr>
          <w:rFonts w:ascii="Arial" w:hAnsi="Arial" w:cs="Arial"/>
          <w:sz w:val="16"/>
          <w:szCs w:val="16"/>
        </w:rPr>
        <w:t xml:space="preserve">  Respondents are the total </w:t>
      </w:r>
      <w:r>
        <w:rPr>
          <w:rFonts w:ascii="Arial" w:hAnsi="Arial" w:cs="Arial"/>
          <w:sz w:val="16"/>
          <w:szCs w:val="16"/>
        </w:rPr>
        <w:t xml:space="preserve">number of </w:t>
      </w:r>
      <w:r w:rsidRPr="00234654">
        <w:rPr>
          <w:rFonts w:ascii="Arial" w:hAnsi="Arial" w:cs="Arial"/>
          <w:sz w:val="16"/>
          <w:szCs w:val="16"/>
        </w:rPr>
        <w:t>facilities that submit a</w:t>
      </w:r>
      <w:r w:rsidR="00D45BD3">
        <w:rPr>
          <w:rFonts w:ascii="Arial" w:hAnsi="Arial" w:cs="Arial"/>
          <w:sz w:val="16"/>
          <w:szCs w:val="16"/>
        </w:rPr>
        <w:t>n</w:t>
      </w:r>
      <w:r w:rsidRPr="00234654">
        <w:rPr>
          <w:rFonts w:ascii="Arial" w:hAnsi="Arial" w:cs="Arial"/>
          <w:sz w:val="16"/>
          <w:szCs w:val="16"/>
        </w:rPr>
        <w:t xml:space="preserve"> Annex V COA</w:t>
      </w:r>
      <w:r>
        <w:rPr>
          <w:rFonts w:ascii="Arial" w:hAnsi="Arial" w:cs="Arial"/>
          <w:sz w:val="16"/>
          <w:szCs w:val="16"/>
        </w:rPr>
        <w:t xml:space="preserve"> application plus the number of vessels that submit Inadequacy Reports.  </w:t>
      </w:r>
    </w:p>
  </w:footnote>
  <w:footnote w:id="4">
    <w:p w14:paraId="3D14EC40" w14:textId="77777777" w:rsidR="00902825" w:rsidRPr="00843763" w:rsidRDefault="00902825">
      <w:pPr>
        <w:pStyle w:val="FootnoteText"/>
        <w:rPr>
          <w:rFonts w:ascii="Arial" w:hAnsi="Arial" w:cs="Arial"/>
          <w:sz w:val="16"/>
          <w:szCs w:val="16"/>
        </w:rPr>
      </w:pPr>
      <w:r w:rsidRPr="00843763">
        <w:rPr>
          <w:rStyle w:val="FootnoteReference"/>
          <w:rFonts w:ascii="Arial" w:hAnsi="Arial" w:cs="Arial"/>
          <w:sz w:val="16"/>
          <w:szCs w:val="16"/>
        </w:rPr>
        <w:footnoteRef/>
      </w:r>
      <w:r w:rsidRPr="00843763">
        <w:rPr>
          <w:rFonts w:ascii="Arial" w:hAnsi="Arial" w:cs="Arial"/>
          <w:sz w:val="16"/>
          <w:szCs w:val="16"/>
        </w:rPr>
        <w:t xml:space="preserve">  While each port or terminal that receives </w:t>
      </w:r>
      <w:r w:rsidR="00F57358" w:rsidRPr="00843763">
        <w:rPr>
          <w:rFonts w:ascii="Arial" w:hAnsi="Arial" w:cs="Arial"/>
          <w:sz w:val="16"/>
          <w:szCs w:val="16"/>
        </w:rPr>
        <w:t xml:space="preserve">oceangoing </w:t>
      </w:r>
      <w:r w:rsidRPr="00843763">
        <w:rPr>
          <w:rFonts w:ascii="Arial" w:hAnsi="Arial" w:cs="Arial"/>
          <w:sz w:val="16"/>
          <w:szCs w:val="16"/>
        </w:rPr>
        <w:t xml:space="preserve">vessels must have an Annex V COA, not all ports/terminals must have an Annex I or II COA.  For calculation purposes, we estimate that 10% of ports/terminals with an Annex V COA will also request an Annex VI COA.  </w:t>
      </w:r>
    </w:p>
  </w:footnote>
  <w:footnote w:id="5">
    <w:p w14:paraId="66B8382D" w14:textId="77777777" w:rsidR="0004470D" w:rsidRDefault="0004470D" w:rsidP="0004470D">
      <w:pPr>
        <w:pStyle w:val="FootnoteText"/>
      </w:pPr>
      <w:r>
        <w:rPr>
          <w:rStyle w:val="FootnoteReference"/>
        </w:rPr>
        <w:footnoteRef/>
      </w:r>
      <w:r>
        <w:t xml:space="preserve">  </w:t>
      </w:r>
      <w:hyperlink r:id="rId1" w:history="1">
        <w:r w:rsidR="006C2F83">
          <w:rPr>
            <w:rStyle w:val="Hyperlink"/>
            <w:rFonts w:ascii="Arial" w:hAnsi="Arial" w:cs="Arial"/>
            <w:sz w:val="18"/>
            <w:szCs w:val="18"/>
          </w:rPr>
          <w:t>https://www.bls.gov/oes/2020/may/oes172112.htm</w:t>
        </w:r>
      </w:hyperlink>
      <w:r>
        <w:rPr>
          <w:rStyle w:val="Hyperlink"/>
          <w:rFonts w:ascii="Arial" w:hAnsi="Arial" w:cs="Arial"/>
          <w:sz w:val="18"/>
          <w:szCs w:val="18"/>
        </w:rPr>
        <w:t xml:space="preserve">  </w:t>
      </w:r>
    </w:p>
  </w:footnote>
  <w:footnote w:id="6">
    <w:p w14:paraId="445009E3" w14:textId="77777777" w:rsidR="0004470D" w:rsidRDefault="0004470D" w:rsidP="0004470D">
      <w:pPr>
        <w:pStyle w:val="FootnoteText"/>
      </w:pPr>
      <w:r>
        <w:rPr>
          <w:rStyle w:val="FootnoteReference"/>
        </w:rPr>
        <w:footnoteRef/>
      </w:r>
      <w:r>
        <w:t xml:space="preserve">  </w:t>
      </w:r>
      <w:hyperlink r:id="rId2" w:history="1">
        <w:r w:rsidR="006C2F83">
          <w:rPr>
            <w:rStyle w:val="Hyperlink"/>
            <w:rFonts w:ascii="Arial" w:hAnsi="Arial" w:cs="Arial"/>
            <w:sz w:val="18"/>
            <w:szCs w:val="18"/>
          </w:rPr>
          <w:t>https://www.bls.gov/oes/2020/may/oes111021.htm</w:t>
        </w:r>
      </w:hyperlink>
      <w:r>
        <w:rPr>
          <w:rStyle w:val="Hyperlink"/>
          <w:rFonts w:ascii="Arial" w:hAnsi="Arial" w:cs="Arial"/>
          <w:sz w:val="18"/>
          <w:szCs w:val="18"/>
        </w:rPr>
        <w:t xml:space="preserve">  </w:t>
      </w:r>
    </w:p>
  </w:footnote>
  <w:footnote w:id="7">
    <w:p w14:paraId="4D9826C0" w14:textId="77777777" w:rsidR="0004470D" w:rsidRDefault="0004470D" w:rsidP="0004470D">
      <w:pPr>
        <w:pStyle w:val="FootnoteText"/>
      </w:pPr>
      <w:r>
        <w:rPr>
          <w:rStyle w:val="FootnoteReference"/>
        </w:rPr>
        <w:footnoteRef/>
      </w:r>
      <w:r>
        <w:t xml:space="preserve">  </w:t>
      </w:r>
      <w:hyperlink r:id="rId3" w:history="1">
        <w:r w:rsidR="006C2F83">
          <w:rPr>
            <w:rStyle w:val="Hyperlink"/>
            <w:rFonts w:ascii="Arial" w:hAnsi="Arial" w:cs="Arial"/>
            <w:sz w:val="18"/>
            <w:szCs w:val="18"/>
          </w:rPr>
          <w:t>https://www.bls.gov/oes/2020/may/oes535021.htm</w:t>
        </w:r>
      </w:hyperlink>
      <w:r>
        <w:rPr>
          <w:rStyle w:val="Hyperlink"/>
          <w:rFonts w:ascii="Arial" w:hAnsi="Arial" w:cs="Arial"/>
          <w:sz w:val="18"/>
          <w:szCs w:val="18"/>
        </w:rPr>
        <w:t xml:space="preserve">  </w:t>
      </w:r>
    </w:p>
  </w:footnote>
  <w:footnote w:id="8">
    <w:p w14:paraId="6113730F" w14:textId="77777777" w:rsidR="003817A6" w:rsidRPr="00287EA2" w:rsidRDefault="003817A6" w:rsidP="003817A6">
      <w:pPr>
        <w:rPr>
          <w:rFonts w:ascii="Arial" w:hAnsi="Arial" w:cs="Arial"/>
          <w:sz w:val="18"/>
          <w:szCs w:val="18"/>
        </w:rPr>
      </w:pPr>
      <w:r w:rsidRPr="00287EA2">
        <w:rPr>
          <w:rStyle w:val="FootnoteReference"/>
          <w:rFonts w:ascii="Arial" w:hAnsi="Arial" w:cs="Arial"/>
          <w:sz w:val="18"/>
          <w:szCs w:val="18"/>
        </w:rPr>
        <w:footnoteRef/>
      </w:r>
      <w:r w:rsidRPr="00287EA2">
        <w:rPr>
          <w:rFonts w:ascii="Arial" w:hAnsi="Arial" w:cs="Arial"/>
          <w:sz w:val="18"/>
          <w:szCs w:val="18"/>
        </w:rPr>
        <w:t xml:space="preserve">  </w:t>
      </w:r>
      <w:hyperlink r:id="rId4" w:history="1">
        <w:r>
          <w:rPr>
            <w:rFonts w:ascii="Arial" w:hAnsi="Arial" w:cs="Arial"/>
            <w:color w:val="0000FF"/>
            <w:sz w:val="18"/>
            <w:szCs w:val="18"/>
            <w:u w:val="single"/>
          </w:rPr>
          <w:t>https://www.opm.gov/policy-data-oversight/pay-leave/salaries-wages/salary-tables/pdf/2021/RUS_h.pdf</w:t>
        </w:r>
      </w:hyperlink>
      <w:r w:rsidRPr="00287EA2">
        <w:rPr>
          <w:rFonts w:ascii="Arial" w:hAnsi="Arial" w:cs="Arial"/>
          <w:color w:val="0000FF"/>
          <w:sz w:val="18"/>
          <w:szCs w:val="18"/>
          <w:u w:val="singl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16C0" w14:textId="77777777" w:rsidR="00902825" w:rsidRDefault="00902825">
    <w:pPr>
      <w:pStyle w:val="Header"/>
    </w:pPr>
    <w:r>
      <w:t>OMB 2115-0543</w:t>
    </w:r>
    <w:r>
      <w:tab/>
    </w:r>
    <w:r>
      <w:tab/>
      <w:t>7/19/99</w:t>
    </w:r>
  </w:p>
  <w:p w14:paraId="76947AF8" w14:textId="77777777" w:rsidR="00902825" w:rsidRDefault="009028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2A9F3" w14:textId="77777777" w:rsidR="00902825" w:rsidRPr="00185EA8" w:rsidRDefault="00902825">
    <w:pPr>
      <w:pStyle w:val="Header"/>
      <w:rPr>
        <w:rFonts w:ascii="Arial" w:hAnsi="Arial" w:cs="Arial"/>
      </w:rPr>
    </w:pPr>
    <w:r w:rsidRPr="00185EA8">
      <w:rPr>
        <w:rFonts w:ascii="Arial" w:hAnsi="Arial" w:cs="Arial"/>
      </w:rPr>
      <w:t xml:space="preserve">1625-0045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6F2B"/>
    <w:multiLevelType w:val="singleLevel"/>
    <w:tmpl w:val="498E30E0"/>
    <w:lvl w:ilvl="0">
      <w:start w:val="1"/>
      <w:numFmt w:val="lowerLetter"/>
      <w:lvlText w:val="%1)"/>
      <w:legacy w:legacy="1" w:legacySpace="0" w:legacyIndent="570"/>
      <w:lvlJc w:val="left"/>
      <w:pPr>
        <w:ind w:left="570" w:hanging="570"/>
      </w:pPr>
      <w:rPr>
        <w:b/>
      </w:rPr>
    </w:lvl>
  </w:abstractNum>
  <w:abstractNum w:abstractNumId="1" w15:restartNumberingAfterBreak="0">
    <w:nsid w:val="12114A3C"/>
    <w:multiLevelType w:val="hybridMultilevel"/>
    <w:tmpl w:val="5692B400"/>
    <w:lvl w:ilvl="0" w:tplc="04090001">
      <w:start w:val="1"/>
      <w:numFmt w:val="bullet"/>
      <w:lvlText w:val=""/>
      <w:lvlJc w:val="left"/>
      <w:pPr>
        <w:tabs>
          <w:tab w:val="num" w:pos="1303"/>
        </w:tabs>
        <w:ind w:left="1303" w:hanging="360"/>
      </w:pPr>
      <w:rPr>
        <w:rFonts w:ascii="Symbol" w:hAnsi="Symbol" w:hint="default"/>
      </w:rPr>
    </w:lvl>
    <w:lvl w:ilvl="1" w:tplc="04090003" w:tentative="1">
      <w:start w:val="1"/>
      <w:numFmt w:val="bullet"/>
      <w:lvlText w:val="o"/>
      <w:lvlJc w:val="left"/>
      <w:pPr>
        <w:tabs>
          <w:tab w:val="num" w:pos="2023"/>
        </w:tabs>
        <w:ind w:left="2023" w:hanging="360"/>
      </w:pPr>
      <w:rPr>
        <w:rFonts w:ascii="Courier New" w:hAnsi="Courier New" w:hint="default"/>
      </w:rPr>
    </w:lvl>
    <w:lvl w:ilvl="2" w:tplc="04090005" w:tentative="1">
      <w:start w:val="1"/>
      <w:numFmt w:val="bullet"/>
      <w:lvlText w:val=""/>
      <w:lvlJc w:val="left"/>
      <w:pPr>
        <w:tabs>
          <w:tab w:val="num" w:pos="2743"/>
        </w:tabs>
        <w:ind w:left="2743" w:hanging="360"/>
      </w:pPr>
      <w:rPr>
        <w:rFonts w:ascii="Wingdings" w:hAnsi="Wingdings" w:hint="default"/>
      </w:rPr>
    </w:lvl>
    <w:lvl w:ilvl="3" w:tplc="04090001" w:tentative="1">
      <w:start w:val="1"/>
      <w:numFmt w:val="bullet"/>
      <w:lvlText w:val=""/>
      <w:lvlJc w:val="left"/>
      <w:pPr>
        <w:tabs>
          <w:tab w:val="num" w:pos="3463"/>
        </w:tabs>
        <w:ind w:left="3463" w:hanging="360"/>
      </w:pPr>
      <w:rPr>
        <w:rFonts w:ascii="Symbol" w:hAnsi="Symbol" w:hint="default"/>
      </w:rPr>
    </w:lvl>
    <w:lvl w:ilvl="4" w:tplc="04090003" w:tentative="1">
      <w:start w:val="1"/>
      <w:numFmt w:val="bullet"/>
      <w:lvlText w:val="o"/>
      <w:lvlJc w:val="left"/>
      <w:pPr>
        <w:tabs>
          <w:tab w:val="num" w:pos="4183"/>
        </w:tabs>
        <w:ind w:left="4183" w:hanging="360"/>
      </w:pPr>
      <w:rPr>
        <w:rFonts w:ascii="Courier New" w:hAnsi="Courier New" w:hint="default"/>
      </w:rPr>
    </w:lvl>
    <w:lvl w:ilvl="5" w:tplc="04090005" w:tentative="1">
      <w:start w:val="1"/>
      <w:numFmt w:val="bullet"/>
      <w:lvlText w:val=""/>
      <w:lvlJc w:val="left"/>
      <w:pPr>
        <w:tabs>
          <w:tab w:val="num" w:pos="4903"/>
        </w:tabs>
        <w:ind w:left="4903" w:hanging="360"/>
      </w:pPr>
      <w:rPr>
        <w:rFonts w:ascii="Wingdings" w:hAnsi="Wingdings" w:hint="default"/>
      </w:rPr>
    </w:lvl>
    <w:lvl w:ilvl="6" w:tplc="04090001" w:tentative="1">
      <w:start w:val="1"/>
      <w:numFmt w:val="bullet"/>
      <w:lvlText w:val=""/>
      <w:lvlJc w:val="left"/>
      <w:pPr>
        <w:tabs>
          <w:tab w:val="num" w:pos="5623"/>
        </w:tabs>
        <w:ind w:left="5623" w:hanging="360"/>
      </w:pPr>
      <w:rPr>
        <w:rFonts w:ascii="Symbol" w:hAnsi="Symbol" w:hint="default"/>
      </w:rPr>
    </w:lvl>
    <w:lvl w:ilvl="7" w:tplc="04090003" w:tentative="1">
      <w:start w:val="1"/>
      <w:numFmt w:val="bullet"/>
      <w:lvlText w:val="o"/>
      <w:lvlJc w:val="left"/>
      <w:pPr>
        <w:tabs>
          <w:tab w:val="num" w:pos="6343"/>
        </w:tabs>
        <w:ind w:left="6343" w:hanging="360"/>
      </w:pPr>
      <w:rPr>
        <w:rFonts w:ascii="Courier New" w:hAnsi="Courier New" w:hint="default"/>
      </w:rPr>
    </w:lvl>
    <w:lvl w:ilvl="8" w:tplc="04090005" w:tentative="1">
      <w:start w:val="1"/>
      <w:numFmt w:val="bullet"/>
      <w:lvlText w:val=""/>
      <w:lvlJc w:val="left"/>
      <w:pPr>
        <w:tabs>
          <w:tab w:val="num" w:pos="7063"/>
        </w:tabs>
        <w:ind w:left="7063" w:hanging="360"/>
      </w:pPr>
      <w:rPr>
        <w:rFonts w:ascii="Wingdings" w:hAnsi="Wingdings" w:hint="default"/>
      </w:rPr>
    </w:lvl>
  </w:abstractNum>
  <w:abstractNum w:abstractNumId="2" w15:restartNumberingAfterBreak="0">
    <w:nsid w:val="18437183"/>
    <w:multiLevelType w:val="singleLevel"/>
    <w:tmpl w:val="0B1EB900"/>
    <w:lvl w:ilvl="0">
      <w:start w:val="1"/>
      <w:numFmt w:val="lowerLetter"/>
      <w:lvlText w:val="%1)"/>
      <w:legacy w:legacy="1" w:legacySpace="0" w:legacyIndent="435"/>
      <w:lvlJc w:val="left"/>
      <w:pPr>
        <w:ind w:left="435" w:hanging="435"/>
      </w:pPr>
    </w:lvl>
  </w:abstractNum>
  <w:abstractNum w:abstractNumId="3" w15:restartNumberingAfterBreak="0">
    <w:nsid w:val="211011FC"/>
    <w:multiLevelType w:val="hybridMultilevel"/>
    <w:tmpl w:val="3FF04DB2"/>
    <w:lvl w:ilvl="0" w:tplc="04090001">
      <w:start w:val="1"/>
      <w:numFmt w:val="bullet"/>
      <w:lvlText w:val=""/>
      <w:lvlJc w:val="left"/>
      <w:pPr>
        <w:tabs>
          <w:tab w:val="num" w:pos="1303"/>
        </w:tabs>
        <w:ind w:left="1303" w:hanging="360"/>
      </w:pPr>
      <w:rPr>
        <w:rFonts w:ascii="Symbol" w:hAnsi="Symbol" w:hint="default"/>
      </w:rPr>
    </w:lvl>
    <w:lvl w:ilvl="1" w:tplc="04090003" w:tentative="1">
      <w:start w:val="1"/>
      <w:numFmt w:val="bullet"/>
      <w:lvlText w:val="o"/>
      <w:lvlJc w:val="left"/>
      <w:pPr>
        <w:tabs>
          <w:tab w:val="num" w:pos="2023"/>
        </w:tabs>
        <w:ind w:left="2023" w:hanging="360"/>
      </w:pPr>
      <w:rPr>
        <w:rFonts w:ascii="Courier New" w:hAnsi="Courier New" w:hint="default"/>
      </w:rPr>
    </w:lvl>
    <w:lvl w:ilvl="2" w:tplc="04090005" w:tentative="1">
      <w:start w:val="1"/>
      <w:numFmt w:val="bullet"/>
      <w:lvlText w:val=""/>
      <w:lvlJc w:val="left"/>
      <w:pPr>
        <w:tabs>
          <w:tab w:val="num" w:pos="2743"/>
        </w:tabs>
        <w:ind w:left="2743" w:hanging="360"/>
      </w:pPr>
      <w:rPr>
        <w:rFonts w:ascii="Wingdings" w:hAnsi="Wingdings" w:hint="default"/>
      </w:rPr>
    </w:lvl>
    <w:lvl w:ilvl="3" w:tplc="04090001" w:tentative="1">
      <w:start w:val="1"/>
      <w:numFmt w:val="bullet"/>
      <w:lvlText w:val=""/>
      <w:lvlJc w:val="left"/>
      <w:pPr>
        <w:tabs>
          <w:tab w:val="num" w:pos="3463"/>
        </w:tabs>
        <w:ind w:left="3463" w:hanging="360"/>
      </w:pPr>
      <w:rPr>
        <w:rFonts w:ascii="Symbol" w:hAnsi="Symbol" w:hint="default"/>
      </w:rPr>
    </w:lvl>
    <w:lvl w:ilvl="4" w:tplc="04090003" w:tentative="1">
      <w:start w:val="1"/>
      <w:numFmt w:val="bullet"/>
      <w:lvlText w:val="o"/>
      <w:lvlJc w:val="left"/>
      <w:pPr>
        <w:tabs>
          <w:tab w:val="num" w:pos="4183"/>
        </w:tabs>
        <w:ind w:left="4183" w:hanging="360"/>
      </w:pPr>
      <w:rPr>
        <w:rFonts w:ascii="Courier New" w:hAnsi="Courier New" w:hint="default"/>
      </w:rPr>
    </w:lvl>
    <w:lvl w:ilvl="5" w:tplc="04090005" w:tentative="1">
      <w:start w:val="1"/>
      <w:numFmt w:val="bullet"/>
      <w:lvlText w:val=""/>
      <w:lvlJc w:val="left"/>
      <w:pPr>
        <w:tabs>
          <w:tab w:val="num" w:pos="4903"/>
        </w:tabs>
        <w:ind w:left="4903" w:hanging="360"/>
      </w:pPr>
      <w:rPr>
        <w:rFonts w:ascii="Wingdings" w:hAnsi="Wingdings" w:hint="default"/>
      </w:rPr>
    </w:lvl>
    <w:lvl w:ilvl="6" w:tplc="04090001" w:tentative="1">
      <w:start w:val="1"/>
      <w:numFmt w:val="bullet"/>
      <w:lvlText w:val=""/>
      <w:lvlJc w:val="left"/>
      <w:pPr>
        <w:tabs>
          <w:tab w:val="num" w:pos="5623"/>
        </w:tabs>
        <w:ind w:left="5623" w:hanging="360"/>
      </w:pPr>
      <w:rPr>
        <w:rFonts w:ascii="Symbol" w:hAnsi="Symbol" w:hint="default"/>
      </w:rPr>
    </w:lvl>
    <w:lvl w:ilvl="7" w:tplc="04090003" w:tentative="1">
      <w:start w:val="1"/>
      <w:numFmt w:val="bullet"/>
      <w:lvlText w:val="o"/>
      <w:lvlJc w:val="left"/>
      <w:pPr>
        <w:tabs>
          <w:tab w:val="num" w:pos="6343"/>
        </w:tabs>
        <w:ind w:left="6343" w:hanging="360"/>
      </w:pPr>
      <w:rPr>
        <w:rFonts w:ascii="Courier New" w:hAnsi="Courier New" w:hint="default"/>
      </w:rPr>
    </w:lvl>
    <w:lvl w:ilvl="8" w:tplc="04090005" w:tentative="1">
      <w:start w:val="1"/>
      <w:numFmt w:val="bullet"/>
      <w:lvlText w:val=""/>
      <w:lvlJc w:val="left"/>
      <w:pPr>
        <w:tabs>
          <w:tab w:val="num" w:pos="7063"/>
        </w:tabs>
        <w:ind w:left="7063" w:hanging="360"/>
      </w:pPr>
      <w:rPr>
        <w:rFonts w:ascii="Wingdings" w:hAnsi="Wingdings" w:hint="default"/>
      </w:rPr>
    </w:lvl>
  </w:abstractNum>
  <w:abstractNum w:abstractNumId="4" w15:restartNumberingAfterBreak="0">
    <w:nsid w:val="284A6AF7"/>
    <w:multiLevelType w:val="hybridMultilevel"/>
    <w:tmpl w:val="BDCA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A17E2"/>
    <w:multiLevelType w:val="hybridMultilevel"/>
    <w:tmpl w:val="E29872E8"/>
    <w:lvl w:ilvl="0" w:tplc="7A1C24E6">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336029F1"/>
    <w:multiLevelType w:val="singleLevel"/>
    <w:tmpl w:val="8DA6C0AC"/>
    <w:lvl w:ilvl="0">
      <w:start w:val="1"/>
      <w:numFmt w:val="decimal"/>
      <w:lvlText w:val="%1)"/>
      <w:legacy w:legacy="1" w:legacySpace="0" w:legacyIndent="1005"/>
      <w:lvlJc w:val="left"/>
      <w:pPr>
        <w:ind w:left="1575" w:hanging="1005"/>
      </w:pPr>
    </w:lvl>
  </w:abstractNum>
  <w:abstractNum w:abstractNumId="7" w15:restartNumberingAfterBreak="0">
    <w:nsid w:val="36786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6F328E"/>
    <w:multiLevelType w:val="hybridMultilevel"/>
    <w:tmpl w:val="747407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CD25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33E36"/>
    <w:multiLevelType w:val="hybridMultilevel"/>
    <w:tmpl w:val="D5D00E74"/>
    <w:lvl w:ilvl="0" w:tplc="84A0604C">
      <w:start w:val="1"/>
      <w:numFmt w:val="decimal"/>
      <w:lvlText w:val="(%1)"/>
      <w:lvlJc w:val="left"/>
      <w:pPr>
        <w:tabs>
          <w:tab w:val="num" w:pos="3343"/>
        </w:tabs>
        <w:ind w:left="3343" w:hanging="435"/>
      </w:pPr>
      <w:rPr>
        <w:rFonts w:hint="default"/>
      </w:rPr>
    </w:lvl>
    <w:lvl w:ilvl="1" w:tplc="04090019" w:tentative="1">
      <w:start w:val="1"/>
      <w:numFmt w:val="lowerLetter"/>
      <w:lvlText w:val="%2."/>
      <w:lvlJc w:val="left"/>
      <w:pPr>
        <w:tabs>
          <w:tab w:val="num" w:pos="3988"/>
        </w:tabs>
        <w:ind w:left="3988" w:hanging="360"/>
      </w:pPr>
    </w:lvl>
    <w:lvl w:ilvl="2" w:tplc="0409001B" w:tentative="1">
      <w:start w:val="1"/>
      <w:numFmt w:val="lowerRoman"/>
      <w:lvlText w:val="%3."/>
      <w:lvlJc w:val="right"/>
      <w:pPr>
        <w:tabs>
          <w:tab w:val="num" w:pos="4708"/>
        </w:tabs>
        <w:ind w:left="4708" w:hanging="180"/>
      </w:pPr>
    </w:lvl>
    <w:lvl w:ilvl="3" w:tplc="0409000F" w:tentative="1">
      <w:start w:val="1"/>
      <w:numFmt w:val="decimal"/>
      <w:lvlText w:val="%4."/>
      <w:lvlJc w:val="left"/>
      <w:pPr>
        <w:tabs>
          <w:tab w:val="num" w:pos="5428"/>
        </w:tabs>
        <w:ind w:left="5428" w:hanging="360"/>
      </w:pPr>
    </w:lvl>
    <w:lvl w:ilvl="4" w:tplc="04090019" w:tentative="1">
      <w:start w:val="1"/>
      <w:numFmt w:val="lowerLetter"/>
      <w:lvlText w:val="%5."/>
      <w:lvlJc w:val="left"/>
      <w:pPr>
        <w:tabs>
          <w:tab w:val="num" w:pos="6148"/>
        </w:tabs>
        <w:ind w:left="6148" w:hanging="360"/>
      </w:pPr>
    </w:lvl>
    <w:lvl w:ilvl="5" w:tplc="0409001B" w:tentative="1">
      <w:start w:val="1"/>
      <w:numFmt w:val="lowerRoman"/>
      <w:lvlText w:val="%6."/>
      <w:lvlJc w:val="right"/>
      <w:pPr>
        <w:tabs>
          <w:tab w:val="num" w:pos="6868"/>
        </w:tabs>
        <w:ind w:left="6868" w:hanging="180"/>
      </w:pPr>
    </w:lvl>
    <w:lvl w:ilvl="6" w:tplc="0409000F" w:tentative="1">
      <w:start w:val="1"/>
      <w:numFmt w:val="decimal"/>
      <w:lvlText w:val="%7."/>
      <w:lvlJc w:val="left"/>
      <w:pPr>
        <w:tabs>
          <w:tab w:val="num" w:pos="7588"/>
        </w:tabs>
        <w:ind w:left="7588" w:hanging="360"/>
      </w:pPr>
    </w:lvl>
    <w:lvl w:ilvl="7" w:tplc="04090019" w:tentative="1">
      <w:start w:val="1"/>
      <w:numFmt w:val="lowerLetter"/>
      <w:lvlText w:val="%8."/>
      <w:lvlJc w:val="left"/>
      <w:pPr>
        <w:tabs>
          <w:tab w:val="num" w:pos="8308"/>
        </w:tabs>
        <w:ind w:left="8308" w:hanging="360"/>
      </w:pPr>
    </w:lvl>
    <w:lvl w:ilvl="8" w:tplc="0409001B" w:tentative="1">
      <w:start w:val="1"/>
      <w:numFmt w:val="lowerRoman"/>
      <w:lvlText w:val="%9."/>
      <w:lvlJc w:val="right"/>
      <w:pPr>
        <w:tabs>
          <w:tab w:val="num" w:pos="9028"/>
        </w:tabs>
        <w:ind w:left="9028" w:hanging="180"/>
      </w:pPr>
    </w:lvl>
  </w:abstractNum>
  <w:abstractNum w:abstractNumId="13" w15:restartNumberingAfterBreak="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125723"/>
    <w:multiLevelType w:val="hybridMultilevel"/>
    <w:tmpl w:val="339AE608"/>
    <w:lvl w:ilvl="0" w:tplc="04090001">
      <w:start w:val="1"/>
      <w:numFmt w:val="bullet"/>
      <w:lvlText w:val=""/>
      <w:lvlJc w:val="left"/>
      <w:pPr>
        <w:tabs>
          <w:tab w:val="num" w:pos="1303"/>
        </w:tabs>
        <w:ind w:left="1303" w:hanging="360"/>
      </w:pPr>
      <w:rPr>
        <w:rFonts w:ascii="Symbol" w:hAnsi="Symbol" w:hint="default"/>
      </w:rPr>
    </w:lvl>
    <w:lvl w:ilvl="1" w:tplc="04090003" w:tentative="1">
      <w:start w:val="1"/>
      <w:numFmt w:val="bullet"/>
      <w:lvlText w:val="o"/>
      <w:lvlJc w:val="left"/>
      <w:pPr>
        <w:tabs>
          <w:tab w:val="num" w:pos="2023"/>
        </w:tabs>
        <w:ind w:left="2023" w:hanging="360"/>
      </w:pPr>
      <w:rPr>
        <w:rFonts w:ascii="Courier New" w:hAnsi="Courier New" w:hint="default"/>
      </w:rPr>
    </w:lvl>
    <w:lvl w:ilvl="2" w:tplc="04090005" w:tentative="1">
      <w:start w:val="1"/>
      <w:numFmt w:val="bullet"/>
      <w:lvlText w:val=""/>
      <w:lvlJc w:val="left"/>
      <w:pPr>
        <w:tabs>
          <w:tab w:val="num" w:pos="2743"/>
        </w:tabs>
        <w:ind w:left="2743" w:hanging="360"/>
      </w:pPr>
      <w:rPr>
        <w:rFonts w:ascii="Wingdings" w:hAnsi="Wingdings" w:hint="default"/>
      </w:rPr>
    </w:lvl>
    <w:lvl w:ilvl="3" w:tplc="04090001" w:tentative="1">
      <w:start w:val="1"/>
      <w:numFmt w:val="bullet"/>
      <w:lvlText w:val=""/>
      <w:lvlJc w:val="left"/>
      <w:pPr>
        <w:tabs>
          <w:tab w:val="num" w:pos="3463"/>
        </w:tabs>
        <w:ind w:left="3463" w:hanging="360"/>
      </w:pPr>
      <w:rPr>
        <w:rFonts w:ascii="Symbol" w:hAnsi="Symbol" w:hint="default"/>
      </w:rPr>
    </w:lvl>
    <w:lvl w:ilvl="4" w:tplc="04090003" w:tentative="1">
      <w:start w:val="1"/>
      <w:numFmt w:val="bullet"/>
      <w:lvlText w:val="o"/>
      <w:lvlJc w:val="left"/>
      <w:pPr>
        <w:tabs>
          <w:tab w:val="num" w:pos="4183"/>
        </w:tabs>
        <w:ind w:left="4183" w:hanging="360"/>
      </w:pPr>
      <w:rPr>
        <w:rFonts w:ascii="Courier New" w:hAnsi="Courier New" w:hint="default"/>
      </w:rPr>
    </w:lvl>
    <w:lvl w:ilvl="5" w:tplc="04090005" w:tentative="1">
      <w:start w:val="1"/>
      <w:numFmt w:val="bullet"/>
      <w:lvlText w:val=""/>
      <w:lvlJc w:val="left"/>
      <w:pPr>
        <w:tabs>
          <w:tab w:val="num" w:pos="4903"/>
        </w:tabs>
        <w:ind w:left="4903" w:hanging="360"/>
      </w:pPr>
      <w:rPr>
        <w:rFonts w:ascii="Wingdings" w:hAnsi="Wingdings" w:hint="default"/>
      </w:rPr>
    </w:lvl>
    <w:lvl w:ilvl="6" w:tplc="04090001" w:tentative="1">
      <w:start w:val="1"/>
      <w:numFmt w:val="bullet"/>
      <w:lvlText w:val=""/>
      <w:lvlJc w:val="left"/>
      <w:pPr>
        <w:tabs>
          <w:tab w:val="num" w:pos="5623"/>
        </w:tabs>
        <w:ind w:left="5623" w:hanging="360"/>
      </w:pPr>
      <w:rPr>
        <w:rFonts w:ascii="Symbol" w:hAnsi="Symbol" w:hint="default"/>
      </w:rPr>
    </w:lvl>
    <w:lvl w:ilvl="7" w:tplc="04090003" w:tentative="1">
      <w:start w:val="1"/>
      <w:numFmt w:val="bullet"/>
      <w:lvlText w:val="o"/>
      <w:lvlJc w:val="left"/>
      <w:pPr>
        <w:tabs>
          <w:tab w:val="num" w:pos="6343"/>
        </w:tabs>
        <w:ind w:left="6343" w:hanging="360"/>
      </w:pPr>
      <w:rPr>
        <w:rFonts w:ascii="Courier New" w:hAnsi="Courier New" w:hint="default"/>
      </w:rPr>
    </w:lvl>
    <w:lvl w:ilvl="8" w:tplc="04090005" w:tentative="1">
      <w:start w:val="1"/>
      <w:numFmt w:val="bullet"/>
      <w:lvlText w:val=""/>
      <w:lvlJc w:val="left"/>
      <w:pPr>
        <w:tabs>
          <w:tab w:val="num" w:pos="7063"/>
        </w:tabs>
        <w:ind w:left="7063" w:hanging="360"/>
      </w:pPr>
      <w:rPr>
        <w:rFonts w:ascii="Wingdings" w:hAnsi="Wingdings" w:hint="default"/>
      </w:rPr>
    </w:lvl>
  </w:abstractNum>
  <w:abstractNum w:abstractNumId="16"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E663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9CA1B2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6"/>
  </w:num>
  <w:num w:numId="3">
    <w:abstractNumId w:val="2"/>
  </w:num>
  <w:num w:numId="4">
    <w:abstractNumId w:val="8"/>
  </w:num>
  <w:num w:numId="5">
    <w:abstractNumId w:val="13"/>
  </w:num>
  <w:num w:numId="6">
    <w:abstractNumId w:val="14"/>
  </w:num>
  <w:num w:numId="7">
    <w:abstractNumId w:val="7"/>
  </w:num>
  <w:num w:numId="8">
    <w:abstractNumId w:val="10"/>
  </w:num>
  <w:num w:numId="9">
    <w:abstractNumId w:val="18"/>
  </w:num>
  <w:num w:numId="10">
    <w:abstractNumId w:val="17"/>
  </w:num>
  <w:num w:numId="11">
    <w:abstractNumId w:val="9"/>
  </w:num>
  <w:num w:numId="12">
    <w:abstractNumId w:val="1"/>
  </w:num>
  <w:num w:numId="13">
    <w:abstractNumId w:val="15"/>
  </w:num>
  <w:num w:numId="14">
    <w:abstractNumId w:val="3"/>
  </w:num>
  <w:num w:numId="15">
    <w:abstractNumId w:val="12"/>
  </w:num>
  <w:num w:numId="16">
    <w:abstractNumId w:val="5"/>
  </w:num>
  <w:num w:numId="17">
    <w:abstractNumId w:val="11"/>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037"/>
    <w:rsid w:val="00007AF6"/>
    <w:rsid w:val="000205CE"/>
    <w:rsid w:val="00030906"/>
    <w:rsid w:val="00031728"/>
    <w:rsid w:val="00031F94"/>
    <w:rsid w:val="0004470D"/>
    <w:rsid w:val="00044BB9"/>
    <w:rsid w:val="00072BEF"/>
    <w:rsid w:val="000D0272"/>
    <w:rsid w:val="000D308C"/>
    <w:rsid w:val="000D35D8"/>
    <w:rsid w:val="000E6147"/>
    <w:rsid w:val="00112EAD"/>
    <w:rsid w:val="001214F6"/>
    <w:rsid w:val="00171A19"/>
    <w:rsid w:val="00185EA8"/>
    <w:rsid w:val="001925FE"/>
    <w:rsid w:val="0019528B"/>
    <w:rsid w:val="00196440"/>
    <w:rsid w:val="00197C8D"/>
    <w:rsid w:val="00197E5B"/>
    <w:rsid w:val="001A2510"/>
    <w:rsid w:val="001D098E"/>
    <w:rsid w:val="001D380D"/>
    <w:rsid w:val="001E0E6B"/>
    <w:rsid w:val="001E31D9"/>
    <w:rsid w:val="00200A42"/>
    <w:rsid w:val="00204FD3"/>
    <w:rsid w:val="002150C3"/>
    <w:rsid w:val="00220037"/>
    <w:rsid w:val="002262CE"/>
    <w:rsid w:val="00234654"/>
    <w:rsid w:val="002440A1"/>
    <w:rsid w:val="00244C98"/>
    <w:rsid w:val="00260E53"/>
    <w:rsid w:val="002733AA"/>
    <w:rsid w:val="002838E3"/>
    <w:rsid w:val="002866A6"/>
    <w:rsid w:val="002A6C27"/>
    <w:rsid w:val="002C2939"/>
    <w:rsid w:val="002D008F"/>
    <w:rsid w:val="002E178F"/>
    <w:rsid w:val="002F5177"/>
    <w:rsid w:val="00314D95"/>
    <w:rsid w:val="00331260"/>
    <w:rsid w:val="003473F6"/>
    <w:rsid w:val="0035199A"/>
    <w:rsid w:val="00361177"/>
    <w:rsid w:val="00361AEF"/>
    <w:rsid w:val="003817A6"/>
    <w:rsid w:val="003927CB"/>
    <w:rsid w:val="00395C1E"/>
    <w:rsid w:val="003A2136"/>
    <w:rsid w:val="003A250C"/>
    <w:rsid w:val="003C38D9"/>
    <w:rsid w:val="003F164E"/>
    <w:rsid w:val="004650E5"/>
    <w:rsid w:val="00475AE1"/>
    <w:rsid w:val="0048023F"/>
    <w:rsid w:val="00497B9A"/>
    <w:rsid w:val="004A1D07"/>
    <w:rsid w:val="004B0482"/>
    <w:rsid w:val="004D676E"/>
    <w:rsid w:val="005008C5"/>
    <w:rsid w:val="00513325"/>
    <w:rsid w:val="0052344F"/>
    <w:rsid w:val="00580E9F"/>
    <w:rsid w:val="005963FE"/>
    <w:rsid w:val="005B62E6"/>
    <w:rsid w:val="005E05DD"/>
    <w:rsid w:val="005E62DF"/>
    <w:rsid w:val="00607E0F"/>
    <w:rsid w:val="0062545D"/>
    <w:rsid w:val="00671A49"/>
    <w:rsid w:val="006743EC"/>
    <w:rsid w:val="006811A1"/>
    <w:rsid w:val="006904F4"/>
    <w:rsid w:val="0069462F"/>
    <w:rsid w:val="006C2F83"/>
    <w:rsid w:val="006C6CDF"/>
    <w:rsid w:val="006D5F44"/>
    <w:rsid w:val="006F2879"/>
    <w:rsid w:val="006F55D9"/>
    <w:rsid w:val="006F7FBA"/>
    <w:rsid w:val="007002B9"/>
    <w:rsid w:val="00700C5D"/>
    <w:rsid w:val="00704E44"/>
    <w:rsid w:val="00743301"/>
    <w:rsid w:val="0077109F"/>
    <w:rsid w:val="00792310"/>
    <w:rsid w:val="007B0CF3"/>
    <w:rsid w:val="007C4AF3"/>
    <w:rsid w:val="007D39A2"/>
    <w:rsid w:val="00836D25"/>
    <w:rsid w:val="00840416"/>
    <w:rsid w:val="00843763"/>
    <w:rsid w:val="00864731"/>
    <w:rsid w:val="00870788"/>
    <w:rsid w:val="00894092"/>
    <w:rsid w:val="008C2DEF"/>
    <w:rsid w:val="008D4AA7"/>
    <w:rsid w:val="008E362F"/>
    <w:rsid w:val="00902825"/>
    <w:rsid w:val="009225C0"/>
    <w:rsid w:val="00922B16"/>
    <w:rsid w:val="00947403"/>
    <w:rsid w:val="00957EF1"/>
    <w:rsid w:val="00967EC2"/>
    <w:rsid w:val="0097478E"/>
    <w:rsid w:val="009763F6"/>
    <w:rsid w:val="00982B1E"/>
    <w:rsid w:val="00985DE3"/>
    <w:rsid w:val="009A4B00"/>
    <w:rsid w:val="009A5ABB"/>
    <w:rsid w:val="009B48A2"/>
    <w:rsid w:val="009C6ECF"/>
    <w:rsid w:val="009F090F"/>
    <w:rsid w:val="00A04A7F"/>
    <w:rsid w:val="00A05F23"/>
    <w:rsid w:val="00A062D4"/>
    <w:rsid w:val="00A10E88"/>
    <w:rsid w:val="00A235A9"/>
    <w:rsid w:val="00A31B97"/>
    <w:rsid w:val="00A40429"/>
    <w:rsid w:val="00A56587"/>
    <w:rsid w:val="00A90629"/>
    <w:rsid w:val="00AA2CF2"/>
    <w:rsid w:val="00AA3E8E"/>
    <w:rsid w:val="00AA5602"/>
    <w:rsid w:val="00AB7730"/>
    <w:rsid w:val="00AF543D"/>
    <w:rsid w:val="00B02371"/>
    <w:rsid w:val="00B250BC"/>
    <w:rsid w:val="00B319F9"/>
    <w:rsid w:val="00B4302A"/>
    <w:rsid w:val="00B45738"/>
    <w:rsid w:val="00B86294"/>
    <w:rsid w:val="00B939ED"/>
    <w:rsid w:val="00B951E3"/>
    <w:rsid w:val="00B97591"/>
    <w:rsid w:val="00BA4E4C"/>
    <w:rsid w:val="00BC2972"/>
    <w:rsid w:val="00BD4171"/>
    <w:rsid w:val="00C32332"/>
    <w:rsid w:val="00C37492"/>
    <w:rsid w:val="00C81AD6"/>
    <w:rsid w:val="00C93125"/>
    <w:rsid w:val="00CA6103"/>
    <w:rsid w:val="00CC7460"/>
    <w:rsid w:val="00CF22E0"/>
    <w:rsid w:val="00CF2A35"/>
    <w:rsid w:val="00D11546"/>
    <w:rsid w:val="00D171EE"/>
    <w:rsid w:val="00D45BD3"/>
    <w:rsid w:val="00D536A3"/>
    <w:rsid w:val="00D822D6"/>
    <w:rsid w:val="00DA3AEE"/>
    <w:rsid w:val="00DB418E"/>
    <w:rsid w:val="00E00C24"/>
    <w:rsid w:val="00E25F98"/>
    <w:rsid w:val="00E27F82"/>
    <w:rsid w:val="00E30E81"/>
    <w:rsid w:val="00E32C73"/>
    <w:rsid w:val="00E5444B"/>
    <w:rsid w:val="00E55469"/>
    <w:rsid w:val="00E601EA"/>
    <w:rsid w:val="00E60CBA"/>
    <w:rsid w:val="00E806C7"/>
    <w:rsid w:val="00E92C4B"/>
    <w:rsid w:val="00EA2D04"/>
    <w:rsid w:val="00EB32A2"/>
    <w:rsid w:val="00F229C7"/>
    <w:rsid w:val="00F355F6"/>
    <w:rsid w:val="00F57358"/>
    <w:rsid w:val="00F953ED"/>
    <w:rsid w:val="00FA5DC2"/>
    <w:rsid w:val="00FB0684"/>
    <w:rsid w:val="00FC3BA5"/>
    <w:rsid w:val="00FD0AAE"/>
    <w:rsid w:val="00FD7FD1"/>
    <w:rsid w:val="00FE2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4365A"/>
  <w15:chartTrackingRefBased/>
  <w15:docId w15:val="{81E25876-738E-420A-964D-BD1D2A8F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widowControl w:val="0"/>
      <w:tabs>
        <w:tab w:val="left" w:pos="576"/>
        <w:tab w:val="left" w:pos="1440"/>
      </w:tabs>
      <w:jc w:val="center"/>
      <w:outlineLvl w:val="0"/>
    </w:pPr>
    <w:rPr>
      <w:rFonts w:ascii="Courier New" w:hAnsi="Courier New"/>
      <w:sz w:val="24"/>
    </w:rPr>
  </w:style>
  <w:style w:type="paragraph" w:styleId="Heading2">
    <w:name w:val="heading 2"/>
    <w:basedOn w:val="Normal"/>
    <w:next w:val="Normal"/>
    <w:qFormat/>
    <w:pPr>
      <w:keepNext/>
      <w:widowControl w:val="0"/>
      <w:tabs>
        <w:tab w:val="left" w:pos="576"/>
        <w:tab w:val="left" w:pos="1440"/>
      </w:tabs>
      <w:jc w:val="center"/>
      <w:outlineLvl w:val="1"/>
    </w:pPr>
    <w:rPr>
      <w:rFonts w:ascii="Courier New" w:hAnsi="Courier New"/>
      <w:b/>
      <w:sz w:val="24"/>
    </w:rPr>
  </w:style>
  <w:style w:type="paragraph" w:styleId="Heading3">
    <w:name w:val="heading 3"/>
    <w:basedOn w:val="Normal"/>
    <w:next w:val="Normal"/>
    <w:qFormat/>
    <w:pPr>
      <w:keepNext/>
      <w:widowControl w:val="0"/>
      <w:tabs>
        <w:tab w:val="left" w:pos="576"/>
        <w:tab w:val="left" w:pos="1440"/>
      </w:tabs>
      <w:outlineLvl w:val="2"/>
    </w:pPr>
    <w:rPr>
      <w:rFonts w:ascii="Courier New" w:hAnsi="Courier New"/>
      <w:b/>
      <w:sz w:val="24"/>
    </w:rPr>
  </w:style>
  <w:style w:type="paragraph" w:styleId="Heading4">
    <w:name w:val="heading 4"/>
    <w:basedOn w:val="Normal"/>
    <w:next w:val="Normal"/>
    <w:qFormat/>
    <w:pPr>
      <w:keepNext/>
      <w:outlineLvl w:val="3"/>
    </w:pPr>
    <w:rPr>
      <w:rFonts w:ascii="Courier New" w:hAnsi="Courier New" w:cs="Courier New"/>
      <w:sz w:val="24"/>
    </w:rPr>
  </w:style>
  <w:style w:type="paragraph" w:styleId="Heading5">
    <w:name w:val="heading 5"/>
    <w:basedOn w:val="Normal"/>
    <w:next w:val="Normal"/>
    <w:qFormat/>
    <w:pPr>
      <w:keepNext/>
      <w:outlineLvl w:val="4"/>
    </w:pPr>
    <w:rPr>
      <w:rFonts w:ascii="Courier New" w:hAnsi="Courier New" w:cs="Courier New"/>
      <w:sz w:val="24"/>
      <w:u w:val="single"/>
    </w:rPr>
  </w:style>
  <w:style w:type="paragraph" w:styleId="Heading6">
    <w:name w:val="heading 6"/>
    <w:basedOn w:val="Normal"/>
    <w:next w:val="Normal"/>
    <w:qFormat/>
    <w:pPr>
      <w:keepNext/>
      <w:ind w:left="576"/>
      <w:outlineLvl w:val="5"/>
    </w:pPr>
    <w:rPr>
      <w:rFonts w:ascii="Courier New" w:hAnsi="Courier New" w:cs="Courier New"/>
      <w:sz w:val="24"/>
    </w:rPr>
  </w:style>
  <w:style w:type="paragraph" w:styleId="Heading7">
    <w:name w:val="heading 7"/>
    <w:basedOn w:val="Normal"/>
    <w:next w:val="Normal"/>
    <w:qFormat/>
    <w:pPr>
      <w:keepNext/>
      <w:widowControl w:val="0"/>
      <w:tabs>
        <w:tab w:val="left" w:pos="576"/>
        <w:tab w:val="left" w:pos="1440"/>
      </w:tabs>
      <w:ind w:firstLine="540"/>
      <w:outlineLvl w:val="6"/>
    </w:pPr>
    <w:rPr>
      <w:rFonts w:ascii="Courier New" w:hAnsi="Courier New"/>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tabs>
        <w:tab w:val="left" w:pos="576"/>
        <w:tab w:val="left" w:pos="1440"/>
      </w:tabs>
    </w:pPr>
    <w:rPr>
      <w:rFonts w:ascii="Courier New" w:hAnsi="Courier New"/>
      <w:sz w:val="24"/>
    </w:rPr>
  </w:style>
  <w:style w:type="paragraph" w:styleId="Header">
    <w:name w:val="header"/>
    <w:basedOn w:val="Normal"/>
    <w:pPr>
      <w:tabs>
        <w:tab w:val="center" w:pos="4320"/>
        <w:tab w:val="right" w:pos="8640"/>
      </w:tabs>
    </w:pPr>
  </w:style>
  <w:style w:type="paragraph" w:styleId="BodyTextIndent">
    <w:name w:val="Body Text Indent"/>
    <w:basedOn w:val="Normal"/>
    <w:pPr>
      <w:widowControl w:val="0"/>
      <w:tabs>
        <w:tab w:val="left" w:pos="576"/>
        <w:tab w:val="left" w:pos="1005"/>
        <w:tab w:val="left" w:pos="1440"/>
      </w:tabs>
      <w:ind w:left="1080"/>
    </w:pPr>
    <w:rPr>
      <w:rFonts w:ascii="Courier New" w:hAnsi="Courier New"/>
      <w:sz w:val="24"/>
    </w:rPr>
  </w:style>
  <w:style w:type="paragraph" w:styleId="BodyTextIndent2">
    <w:name w:val="Body Text Indent 2"/>
    <w:basedOn w:val="Normal"/>
    <w:pPr>
      <w:widowControl w:val="0"/>
      <w:tabs>
        <w:tab w:val="left" w:pos="576"/>
        <w:tab w:val="left" w:pos="1440"/>
        <w:tab w:val="left" w:pos="1710"/>
      </w:tabs>
      <w:ind w:left="1710" w:hanging="630"/>
    </w:pPr>
    <w:rPr>
      <w:rFonts w:ascii="Courier New" w:hAnsi="Courier New"/>
      <w:sz w:val="24"/>
    </w:rPr>
  </w:style>
  <w:style w:type="paragraph" w:customStyle="1" w:styleId="TxBrp5">
    <w:name w:val="TxBr_p5"/>
    <w:basedOn w:val="Normal"/>
    <w:pPr>
      <w:widowControl w:val="0"/>
      <w:tabs>
        <w:tab w:val="left" w:pos="583"/>
      </w:tabs>
      <w:spacing w:line="289" w:lineRule="atLeast"/>
      <w:ind w:firstLine="584"/>
    </w:pPr>
    <w:rPr>
      <w:snapToGrid w:val="0"/>
      <w:sz w:val="24"/>
    </w:rPr>
  </w:style>
  <w:style w:type="paragraph" w:customStyle="1" w:styleId="TxBrp10">
    <w:name w:val="TxBr_p10"/>
    <w:basedOn w:val="Normal"/>
    <w:pPr>
      <w:widowControl w:val="0"/>
      <w:tabs>
        <w:tab w:val="left" w:pos="204"/>
      </w:tabs>
      <w:spacing w:line="289" w:lineRule="atLeast"/>
    </w:pPr>
    <w:rPr>
      <w:snapToGrid w:val="0"/>
      <w:sz w:val="24"/>
    </w:rPr>
  </w:style>
  <w:style w:type="paragraph" w:styleId="Title">
    <w:name w:val="Title"/>
    <w:basedOn w:val="Normal"/>
    <w:qFormat/>
    <w:pPr>
      <w:widowControl w:val="0"/>
      <w:tabs>
        <w:tab w:val="left" w:pos="1008"/>
        <w:tab w:val="center" w:pos="4752"/>
        <w:tab w:val="left" w:pos="5040"/>
      </w:tabs>
      <w:jc w:val="center"/>
    </w:pPr>
    <w:rPr>
      <w:rFonts w:ascii="Courier New" w:hAnsi="Courier New"/>
      <w:b/>
      <w:sz w:val="28"/>
    </w:rPr>
  </w:style>
  <w:style w:type="character" w:styleId="Hyperlink">
    <w:name w:val="Hyperlink"/>
    <w:rPr>
      <w:color w:val="0000FF"/>
      <w:u w:val="single"/>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BodyTextIndent3">
    <w:name w:val="Body Text Indent 3"/>
    <w:basedOn w:val="Normal"/>
    <w:pPr>
      <w:widowControl w:val="0"/>
      <w:numPr>
        <w:ilvl w:val="12"/>
      </w:numPr>
      <w:tabs>
        <w:tab w:val="left" w:pos="576"/>
        <w:tab w:val="left" w:pos="1440"/>
      </w:tabs>
      <w:ind w:left="576"/>
    </w:pPr>
    <w:rPr>
      <w:rFonts w:ascii="Courier New" w:hAnsi="Courier New"/>
    </w:rPr>
  </w:style>
  <w:style w:type="paragraph" w:styleId="BalloonText">
    <w:name w:val="Balloon Text"/>
    <w:basedOn w:val="Normal"/>
    <w:semiHidden/>
    <w:rsid w:val="005963FE"/>
    <w:rPr>
      <w:rFonts w:ascii="Tahoma" w:hAnsi="Tahoma" w:cs="Tahoma"/>
      <w:sz w:val="16"/>
      <w:szCs w:val="16"/>
    </w:rPr>
  </w:style>
  <w:style w:type="character" w:styleId="CommentReference">
    <w:name w:val="annotation reference"/>
    <w:semiHidden/>
    <w:rsid w:val="000E6147"/>
    <w:rPr>
      <w:sz w:val="16"/>
      <w:szCs w:val="16"/>
    </w:rPr>
  </w:style>
  <w:style w:type="paragraph" w:styleId="CommentText">
    <w:name w:val="annotation text"/>
    <w:basedOn w:val="Normal"/>
    <w:semiHidden/>
    <w:rsid w:val="000E6147"/>
  </w:style>
  <w:style w:type="paragraph" w:styleId="CommentSubject">
    <w:name w:val="annotation subject"/>
    <w:basedOn w:val="CommentText"/>
    <w:next w:val="CommentText"/>
    <w:semiHidden/>
    <w:rsid w:val="000E6147"/>
    <w:rPr>
      <w:b/>
      <w:bCs/>
    </w:rPr>
  </w:style>
  <w:style w:type="paragraph" w:customStyle="1" w:styleId="p10">
    <w:name w:val="p10"/>
    <w:basedOn w:val="Normal"/>
    <w:rsid w:val="00704E44"/>
    <w:pPr>
      <w:widowControl w:val="0"/>
      <w:tabs>
        <w:tab w:val="left" w:pos="760"/>
      </w:tabs>
      <w:spacing w:line="240" w:lineRule="atLeast"/>
    </w:pPr>
    <w:rPr>
      <w:rFonts w:ascii="Times" w:hAnsi="Times"/>
      <w:sz w:val="24"/>
    </w:rPr>
  </w:style>
  <w:style w:type="character" w:styleId="FollowedHyperlink">
    <w:name w:val="FollowedHyperlink"/>
    <w:basedOn w:val="DefaultParagraphFont"/>
    <w:rsid w:val="0077109F"/>
    <w:rPr>
      <w:color w:val="954F72" w:themeColor="followedHyperlink"/>
      <w:u w:val="single"/>
    </w:rPr>
  </w:style>
  <w:style w:type="character" w:customStyle="1" w:styleId="FootnoteTextChar">
    <w:name w:val="Footnote Text Char"/>
    <w:basedOn w:val="DefaultParagraphFont"/>
    <w:link w:val="FootnoteText"/>
    <w:rsid w:val="00044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hs.gov/sites/default/files/publications/privacy_pia_uscg_misle.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scg.mil/Units/Organiz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cms.uscg.mil/Our-Organization/Assistant-Commandant-for-C4IT-CG-6/The-Office-of-Information-Management-CG-61/Forms-Management/CG-For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po.gov/fdsys/pkg/FR-2009-06-25/html/E9-14906.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2020/may/oes535021.htm" TargetMode="External"/><Relationship Id="rId2" Type="http://schemas.openxmlformats.org/officeDocument/2006/relationships/hyperlink" Target="https://www.bls.gov/oes/2020/may/oes111021.htm" TargetMode="External"/><Relationship Id="rId1" Type="http://schemas.openxmlformats.org/officeDocument/2006/relationships/hyperlink" Target="https://www.bls.gov/oes/2020/may/oes172112.htm" TargetMode="External"/><Relationship Id="rId4" Type="http://schemas.openxmlformats.org/officeDocument/2006/relationships/hyperlink" Target="https://www.opm.gov/policy-data-oversight/pay-leave/salaries-wages/salary-tables/pdf/2021/RU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340d8bc3b4687b3d4ee196ae503e80e">
  <xsd:schema xmlns:xsd="http://www.w3.org/2001/XMLSchema" xmlns:xs="http://www.w3.org/2001/XMLSchema" xmlns:p="http://schemas.microsoft.com/office/2006/metadata/properties" xmlns:ns3="ec982078-58fc-43d5-97a5-a7b933997b7d" targetNamespace="http://schemas.microsoft.com/office/2006/metadata/properties" ma:root="true" ma:fieldsID="c143bbcd2b47184599e696a74f7cdf0a"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56D0-1542-4199-88E2-5A9C409C4B1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c982078-58fc-43d5-97a5-a7b933997b7d"/>
    <ds:schemaRef ds:uri="http://www.w3.org/XML/1998/namespace"/>
    <ds:schemaRef ds:uri="http://purl.org/dc/dcmitype/"/>
  </ds:schemaRefs>
</ds:datastoreItem>
</file>

<file path=customXml/itemProps2.xml><?xml version="1.0" encoding="utf-8"?>
<ds:datastoreItem xmlns:ds="http://schemas.openxmlformats.org/officeDocument/2006/customXml" ds:itemID="{5C5D832F-6B45-4AB8-B424-6123856F4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3AD6DA-56BF-4926-B702-EEE3FA0D8B54}">
  <ds:schemaRefs>
    <ds:schemaRef ds:uri="http://schemas.microsoft.com/sharepoint/v3/contenttype/forms"/>
  </ds:schemaRefs>
</ds:datastoreItem>
</file>

<file path=customXml/itemProps4.xml><?xml version="1.0" encoding="utf-8"?>
<ds:datastoreItem xmlns:ds="http://schemas.openxmlformats.org/officeDocument/2006/customXml" ds:itemID="{9A8C3DFE-6A05-4D7B-850F-EE7A7458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2198</Words>
  <Characters>12532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14701</CharactersWithSpaces>
  <SharedDoc>false</SharedDoc>
  <HLinks>
    <vt:vector size="24" baseType="variant">
      <vt:variant>
        <vt:i4>5767175</vt:i4>
      </vt:variant>
      <vt:variant>
        <vt:i4>12</vt:i4>
      </vt:variant>
      <vt:variant>
        <vt:i4>0</vt:i4>
      </vt:variant>
      <vt:variant>
        <vt:i4>5</vt:i4>
      </vt:variant>
      <vt:variant>
        <vt:lpwstr>https://www.gpo.gov/fdsys/pkg/FR-2009-06-25/html/E9-14906.htm</vt:lpwstr>
      </vt:variant>
      <vt:variant>
        <vt:lpwstr/>
      </vt:variant>
      <vt:variant>
        <vt:i4>852075</vt:i4>
      </vt:variant>
      <vt:variant>
        <vt:i4>9</vt:i4>
      </vt:variant>
      <vt:variant>
        <vt:i4>0</vt:i4>
      </vt:variant>
      <vt:variant>
        <vt:i4>5</vt:i4>
      </vt:variant>
      <vt:variant>
        <vt:lpwstr>https://www.dhs.gov/sites/default/files/publications/privacy_pia_uscg_misle.pdf</vt:lpwstr>
      </vt:variant>
      <vt:variant>
        <vt:lpwstr/>
      </vt:variant>
      <vt:variant>
        <vt:i4>1703959</vt:i4>
      </vt:variant>
      <vt:variant>
        <vt:i4>6</vt:i4>
      </vt:variant>
      <vt:variant>
        <vt:i4>0</vt:i4>
      </vt:variant>
      <vt:variant>
        <vt:i4>5</vt:i4>
      </vt:variant>
      <vt:variant>
        <vt:lpwstr>https://www.uscg.mil/Units/Organization/</vt:lpwstr>
      </vt:variant>
      <vt:variant>
        <vt:lpwstr/>
      </vt:variant>
      <vt:variant>
        <vt:i4>3014777</vt:i4>
      </vt:variant>
      <vt:variant>
        <vt:i4>0</vt:i4>
      </vt:variant>
      <vt:variant>
        <vt:i4>0</vt:i4>
      </vt:variant>
      <vt:variant>
        <vt:i4>5</vt:i4>
      </vt:variant>
      <vt:variant>
        <vt:lpwstr>https://www.dcms.uscg.mil/Our-Organization/Assistant-Commandant-for-C4IT-CG-6/The-Office-of-Information-Management-CG-61/Forms-Management/CG-Forms/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USCG</dc:creator>
  <cp:keywords/>
  <cp:lastModifiedBy>Craig, Albert L CIV</cp:lastModifiedBy>
  <cp:revision>2</cp:revision>
  <cp:lastPrinted>2015-04-22T13:43:00Z</cp:lastPrinted>
  <dcterms:created xsi:type="dcterms:W3CDTF">2021-11-10T11:36:00Z</dcterms:created>
  <dcterms:modified xsi:type="dcterms:W3CDTF">2021-11-10T11:36:00Z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ies>
</file>