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7BED2EA0" w14:textId="3CF48EE9">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C6109B">
        <w:rPr>
          <w:rFonts w:ascii="Times New Roman" w:hAnsi="Times New Roman"/>
          <w:szCs w:val="24"/>
        </w:rPr>
        <w:t>1810-0757</w:t>
      </w:r>
    </w:p>
    <w:p w:rsidRPr="00AD381B" w:rsidR="00043C32" w:rsidP="00AD381B" w:rsidRDefault="00043C32" w14:paraId="7BED2EA2" w14:textId="77777777">
      <w:pPr>
        <w:pStyle w:val="Heading1"/>
        <w:rPr>
          <w:sz w:val="24"/>
          <w:szCs w:val="24"/>
        </w:rPr>
      </w:pPr>
      <w:r w:rsidRPr="00AD381B">
        <w:rPr>
          <w:sz w:val="24"/>
          <w:szCs w:val="24"/>
        </w:rPr>
        <w:t>SUPPORTING STATEMENT</w:t>
      </w:r>
    </w:p>
    <w:p w:rsidRPr="00AD381B" w:rsidR="00043C32" w:rsidP="00AD381B" w:rsidRDefault="00043C32" w14:paraId="7BED2EA3" w14:textId="77777777">
      <w:pPr>
        <w:pStyle w:val="Heading1"/>
        <w:rPr>
          <w:sz w:val="24"/>
          <w:szCs w:val="24"/>
        </w:rPr>
      </w:pPr>
      <w:r w:rsidRPr="00AD381B">
        <w:rPr>
          <w:sz w:val="24"/>
          <w:szCs w:val="24"/>
        </w:rPr>
        <w:t>FOR PAPERWORK REDUCTION ACT SUBMISSION</w:t>
      </w:r>
    </w:p>
    <w:p w:rsidRPr="00AD381B" w:rsidR="00043C32" w:rsidP="00AD381B" w:rsidRDefault="00043C32" w14:paraId="7BED2EA4" w14:textId="77777777">
      <w:pPr>
        <w:tabs>
          <w:tab w:val="left" w:pos="0"/>
        </w:tabs>
        <w:suppressAutoHyphens/>
        <w:rPr>
          <w:rFonts w:ascii="Times New Roman" w:hAnsi="Times New Roman"/>
          <w:szCs w:val="24"/>
        </w:rPr>
      </w:pPr>
    </w:p>
    <w:p w:rsidRPr="00AD381B" w:rsidR="00EA1767" w:rsidP="00AD381B" w:rsidRDefault="00043C32" w14:paraId="7BED2EA5"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7BED2EA6" w14:textId="349D34E6">
      <w:pPr>
        <w:pStyle w:val="ListParagraph"/>
        <w:suppressAutoHyphens/>
        <w:spacing w:line="240" w:lineRule="exact"/>
        <w:rPr>
          <w:rFonts w:ascii="Times New Roman" w:hAnsi="Times New Roman"/>
          <w:szCs w:val="24"/>
        </w:rPr>
      </w:pPr>
    </w:p>
    <w:p w:rsidRPr="007142AD" w:rsidR="007142AD" w:rsidP="007142AD" w:rsidRDefault="007142AD" w14:paraId="29BD7406" w14:textId="7FEE6CEC">
      <w:pPr>
        <w:pStyle w:val="ListParagraph"/>
        <w:suppressAutoHyphens/>
        <w:spacing w:line="240" w:lineRule="exact"/>
        <w:rPr>
          <w:rFonts w:ascii="Times New Roman" w:hAnsi="Times New Roman"/>
          <w:szCs w:val="24"/>
        </w:rPr>
      </w:pPr>
      <w:r w:rsidRPr="007142AD">
        <w:rPr>
          <w:rFonts w:ascii="Times New Roman" w:hAnsi="Times New Roman"/>
          <w:szCs w:val="24"/>
        </w:rPr>
        <w:t xml:space="preserve">The Rural, Insular, and Native Achievement Program (RINAP), within the Office of Elementary and Secondary Education (OESE), part of the U.S. Department of Education (Department), seeks </w:t>
      </w:r>
      <w:r w:rsidR="00C6109B">
        <w:rPr>
          <w:rFonts w:ascii="Times New Roman" w:hAnsi="Times New Roman"/>
          <w:szCs w:val="24"/>
        </w:rPr>
        <w:t>an extension without change</w:t>
      </w:r>
      <w:r w:rsidRPr="007142AD">
        <w:rPr>
          <w:rFonts w:ascii="Times New Roman" w:hAnsi="Times New Roman"/>
          <w:szCs w:val="24"/>
        </w:rPr>
        <w:t xml:space="preserve"> from OMB for its progress update protocol to enable us to support grantees as they implement Coronavirus Aid, Relief, and Economic Security Act (CARES Act); Coronavirus Response and Relief Supplemental Appropriations Act, 2021 (CRRSA), American Rescue Plan (ARP) Act of 2021; and Elementary and Secondary Education Act (ESEA) programs. </w:t>
      </w:r>
    </w:p>
    <w:p w:rsidR="007142AD" w:rsidP="00AD381B" w:rsidRDefault="007142AD" w14:paraId="0E03249D" w14:textId="77777777">
      <w:pPr>
        <w:pStyle w:val="ListParagraph"/>
        <w:suppressAutoHyphens/>
        <w:spacing w:line="240" w:lineRule="exact"/>
        <w:rPr>
          <w:rFonts w:ascii="Times New Roman" w:hAnsi="Times New Roman"/>
          <w:szCs w:val="24"/>
        </w:rPr>
      </w:pPr>
    </w:p>
    <w:p w:rsidRPr="00D30CA4" w:rsidR="007142AD" w:rsidP="00D30CA4" w:rsidRDefault="007142AD" w14:paraId="4C3E0293" w14:textId="77777777">
      <w:pPr>
        <w:pStyle w:val="ListParagraph"/>
        <w:suppressAutoHyphens/>
        <w:spacing w:line="240" w:lineRule="exact"/>
        <w:rPr>
          <w:rFonts w:ascii="Times New Roman" w:hAnsi="Times New Roman"/>
          <w:szCs w:val="24"/>
        </w:rPr>
      </w:pPr>
      <w:r w:rsidRPr="00D30CA4">
        <w:rPr>
          <w:rFonts w:ascii="Times New Roman" w:hAnsi="Times New Roman"/>
          <w:szCs w:val="24"/>
        </w:rPr>
        <w:t>RINAP administers Section 1121 of Title I, Part A of the ESEA; Title II of Public Law 108-118 (Supplemental Education Grant (SEG)), CARES Act – Outlying Areas; Title III of CRRSA – Outlying Areas, Sections 2005 and 11006(2-3) of the ARP; Title V, Part B of the ESEA (Rural Education Achievement Program), Title VI, Part B of the ESEA (Native Hawaiian Education); and Title VI, Part C of the ESEA (Alaska Native Education). Periodic progress updates, phone, virtual, or in-person conversations during a fiscal year with authorized representatives and project directors help ensure grantees are making progress toward meeting program goals and objectives. The information shared with RINAP helps inform the selection and delivery of technical assistance to grantees and aligns structures, processes, and routines so RINAP can monitor the connection between grant administration and intended outcomes. Progress updates also allow RINAP to proactively engage with grantees to identify potential compliance issues ahead of more comprehensive monitoring, decreasing the need for enforcement action and minimizing burden for grantees.</w:t>
      </w:r>
    </w:p>
    <w:p w:rsidR="007142AD" w:rsidP="00AD381B" w:rsidRDefault="007142AD" w14:paraId="0EAADF1D" w14:textId="77777777">
      <w:pPr>
        <w:pStyle w:val="ListParagraph"/>
        <w:suppressAutoHyphens/>
        <w:spacing w:line="240" w:lineRule="exact"/>
        <w:rPr>
          <w:rFonts w:ascii="Times New Roman" w:hAnsi="Times New Roman"/>
          <w:szCs w:val="24"/>
        </w:rPr>
      </w:pPr>
    </w:p>
    <w:p w:rsidRPr="00AD381B" w:rsidR="00AD381B" w:rsidP="00AD381B" w:rsidRDefault="00AD381B" w14:paraId="7BED2EA7" w14:textId="77777777">
      <w:pPr>
        <w:pStyle w:val="ListParagraph"/>
        <w:suppressAutoHyphens/>
        <w:spacing w:line="240" w:lineRule="exact"/>
        <w:contextualSpacing w:val="0"/>
        <w:rPr>
          <w:rFonts w:ascii="Times New Roman" w:hAnsi="Times New Roman"/>
          <w:szCs w:val="24"/>
        </w:rPr>
      </w:pPr>
    </w:p>
    <w:p w:rsidR="00AD381B" w:rsidP="00AD381B" w:rsidRDefault="00043C32" w14:paraId="7BED2EA8"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7142AD" w:rsidRDefault="00AD381B" w14:paraId="7BED2EA9" w14:textId="6250A994">
      <w:pPr>
        <w:suppressAutoHyphens/>
        <w:spacing w:line="240" w:lineRule="exact"/>
        <w:ind w:firstLine="720"/>
        <w:rPr>
          <w:rFonts w:ascii="Times New Roman" w:hAnsi="Times New Roman"/>
          <w:szCs w:val="24"/>
        </w:rPr>
      </w:pPr>
    </w:p>
    <w:p w:rsidRPr="008D415E" w:rsidR="007142AD" w:rsidP="008D415E" w:rsidRDefault="007142AD" w14:paraId="0428ACA0" w14:textId="77777777">
      <w:pPr>
        <w:pStyle w:val="ListParagraph"/>
        <w:suppressAutoHyphens/>
        <w:spacing w:line="240" w:lineRule="exact"/>
        <w:rPr>
          <w:rFonts w:ascii="Times New Roman" w:hAnsi="Times New Roman"/>
          <w:szCs w:val="24"/>
        </w:rPr>
      </w:pPr>
      <w:r w:rsidRPr="008D415E">
        <w:rPr>
          <w:rFonts w:ascii="Times New Roman" w:hAnsi="Times New Roman"/>
          <w:szCs w:val="24"/>
        </w:rPr>
        <w:t xml:space="preserve">The primary customers for this information will be the program managers and officers at the Department. Information collected through these periodic progress updates will be used to evaluate the effectiveness and efficiency of the programs that RINAP oversees. Based on the information collected, RINAP will improve program management and focus technical assistance resources where they are needed most in order to provide the best educational outcomes for students and their families.  </w:t>
      </w:r>
    </w:p>
    <w:p w:rsidRPr="00AD381B" w:rsidR="00043C32" w:rsidP="008D415E" w:rsidRDefault="00043C32" w14:paraId="7BED2EAA" w14:textId="77777777">
      <w:pPr>
        <w:pStyle w:val="ListParagraph"/>
        <w:suppressAutoHyphens/>
        <w:spacing w:line="240" w:lineRule="exact"/>
        <w:rPr>
          <w:rFonts w:ascii="Times New Roman" w:hAnsi="Times New Roman"/>
          <w:szCs w:val="24"/>
        </w:rPr>
      </w:pPr>
    </w:p>
    <w:p w:rsidRPr="00AD381B" w:rsidR="00043C32" w:rsidP="00AD381B" w:rsidRDefault="00043C32" w14:paraId="7BED2EAB"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w:t>
      </w:r>
      <w:r w:rsidR="006A38F7">
        <w:rPr>
          <w:rFonts w:ascii="Times New Roman" w:hAnsi="Times New Roman"/>
          <w:b/>
          <w:szCs w:val="24"/>
        </w:rPr>
        <w:lastRenderedPageBreak/>
        <w:t xml:space="preserve">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7BED2EAC" w14:textId="65391928">
      <w:pPr>
        <w:pStyle w:val="ListParagraph"/>
        <w:tabs>
          <w:tab w:val="left" w:pos="-720"/>
        </w:tabs>
        <w:suppressAutoHyphens/>
        <w:contextualSpacing w:val="0"/>
        <w:rPr>
          <w:rFonts w:ascii="Times New Roman" w:hAnsi="Times New Roman"/>
          <w:szCs w:val="24"/>
        </w:rPr>
      </w:pPr>
    </w:p>
    <w:p w:rsidRPr="00D30CA4" w:rsidR="007142AD" w:rsidP="00D30CA4" w:rsidRDefault="007142AD" w14:paraId="20CC67B4" w14:textId="5B7C2C4D">
      <w:pPr>
        <w:pStyle w:val="ListParagraph"/>
        <w:suppressAutoHyphens/>
        <w:spacing w:line="240" w:lineRule="exact"/>
        <w:rPr>
          <w:rFonts w:ascii="Times New Roman" w:hAnsi="Times New Roman"/>
          <w:szCs w:val="24"/>
        </w:rPr>
      </w:pPr>
      <w:r w:rsidRPr="00D30CA4">
        <w:rPr>
          <w:rFonts w:ascii="Times New Roman" w:hAnsi="Times New Roman"/>
          <w:szCs w:val="24"/>
        </w:rPr>
        <w:t>Grantees submit written responses electronically</w:t>
      </w:r>
      <w:r w:rsidR="00AC2EDB">
        <w:rPr>
          <w:rFonts w:ascii="Times New Roman" w:hAnsi="Times New Roman"/>
          <w:szCs w:val="24"/>
        </w:rPr>
        <w:t>.</w:t>
      </w:r>
    </w:p>
    <w:p w:rsidR="00AD381B" w:rsidP="00AD381B" w:rsidRDefault="00AD381B" w14:paraId="7BED2EAD" w14:textId="77777777">
      <w:pPr>
        <w:pStyle w:val="ListParagraph"/>
        <w:tabs>
          <w:tab w:val="left" w:pos="-720"/>
        </w:tabs>
        <w:suppressAutoHyphens/>
        <w:contextualSpacing w:val="0"/>
        <w:rPr>
          <w:rFonts w:ascii="Times New Roman" w:hAnsi="Times New Roman"/>
          <w:szCs w:val="24"/>
        </w:rPr>
      </w:pPr>
    </w:p>
    <w:p w:rsidR="00AD381B" w:rsidP="00AD381B" w:rsidRDefault="00043C32" w14:paraId="7BED2EAE"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7BED2EAF" w14:textId="3969989C">
      <w:pPr>
        <w:pStyle w:val="ListParagraph"/>
        <w:tabs>
          <w:tab w:val="left" w:pos="-720"/>
        </w:tabs>
        <w:suppressAutoHyphens/>
        <w:contextualSpacing w:val="0"/>
        <w:rPr>
          <w:rFonts w:ascii="Times New Roman" w:hAnsi="Times New Roman"/>
          <w:b/>
          <w:szCs w:val="24"/>
        </w:rPr>
      </w:pPr>
    </w:p>
    <w:p w:rsidR="007142AD" w:rsidP="00246FE9" w:rsidRDefault="007142AD" w14:paraId="23105D75" w14:textId="543E7C43">
      <w:pPr>
        <w:pStyle w:val="ListParagraph"/>
        <w:tabs>
          <w:tab w:val="left" w:pos="-720"/>
        </w:tabs>
        <w:suppressAutoHyphens/>
        <w:contextualSpacing w:val="0"/>
        <w:rPr>
          <w:rFonts w:ascii="Times New Roman" w:hAnsi="Times New Roman"/>
          <w:bCs/>
          <w:szCs w:val="24"/>
        </w:rPr>
      </w:pPr>
      <w:r w:rsidRPr="007142AD">
        <w:rPr>
          <w:rFonts w:ascii="Times New Roman" w:hAnsi="Times New Roman"/>
          <w:bCs/>
          <w:szCs w:val="24"/>
        </w:rPr>
        <w:t xml:space="preserve">This is a unique collection to collect </w:t>
      </w:r>
      <w:r w:rsidR="007D6A8A">
        <w:rPr>
          <w:rFonts w:ascii="Times New Roman" w:hAnsi="Times New Roman"/>
          <w:bCs/>
          <w:szCs w:val="24"/>
        </w:rPr>
        <w:t xml:space="preserve">routine grant </w:t>
      </w:r>
      <w:r w:rsidRPr="007142AD">
        <w:rPr>
          <w:rFonts w:ascii="Times New Roman" w:hAnsi="Times New Roman"/>
          <w:bCs/>
          <w:szCs w:val="24"/>
        </w:rPr>
        <w:t xml:space="preserve">performance data from the Outlying Areas and the Republic of Palau </w:t>
      </w:r>
      <w:r w:rsidR="007D6A8A">
        <w:rPr>
          <w:rFonts w:ascii="Times New Roman" w:hAnsi="Times New Roman"/>
          <w:bCs/>
          <w:szCs w:val="24"/>
        </w:rPr>
        <w:t>across</w:t>
      </w:r>
      <w:r w:rsidRPr="007142AD" w:rsidR="007D6A8A">
        <w:rPr>
          <w:rFonts w:ascii="Times New Roman" w:hAnsi="Times New Roman"/>
          <w:bCs/>
          <w:szCs w:val="24"/>
        </w:rPr>
        <w:t xml:space="preserve"> </w:t>
      </w:r>
      <w:r w:rsidRPr="007142AD">
        <w:rPr>
          <w:rFonts w:ascii="Times New Roman" w:hAnsi="Times New Roman"/>
          <w:bCs/>
          <w:szCs w:val="24"/>
        </w:rPr>
        <w:t>f</w:t>
      </w:r>
      <w:r w:rsidR="007D6A8A">
        <w:rPr>
          <w:rFonts w:ascii="Times New Roman" w:hAnsi="Times New Roman"/>
          <w:bCs/>
          <w:szCs w:val="24"/>
        </w:rPr>
        <w:t>ive</w:t>
      </w:r>
      <w:r w:rsidR="007D1E1E">
        <w:rPr>
          <w:rFonts w:ascii="Times New Roman" w:hAnsi="Times New Roman"/>
          <w:bCs/>
          <w:szCs w:val="24"/>
        </w:rPr>
        <w:t xml:space="preserve"> </w:t>
      </w:r>
      <w:r w:rsidRPr="007142AD">
        <w:rPr>
          <w:rFonts w:ascii="Times New Roman" w:hAnsi="Times New Roman"/>
          <w:bCs/>
          <w:szCs w:val="24"/>
        </w:rPr>
        <w:t>grant programs.</w:t>
      </w:r>
      <w:r w:rsidR="007D6A8A">
        <w:rPr>
          <w:rFonts w:ascii="Times New Roman" w:hAnsi="Times New Roman"/>
          <w:bCs/>
          <w:szCs w:val="24"/>
        </w:rPr>
        <w:t xml:space="preserve"> Aside from annual performance reports, this data is not collect</w:t>
      </w:r>
      <w:r w:rsidR="009E46B3">
        <w:rPr>
          <w:rFonts w:ascii="Times New Roman" w:hAnsi="Times New Roman"/>
          <w:bCs/>
          <w:szCs w:val="24"/>
        </w:rPr>
        <w:t>ed</w:t>
      </w:r>
      <w:r w:rsidR="007D6A8A">
        <w:rPr>
          <w:rFonts w:ascii="Times New Roman" w:hAnsi="Times New Roman"/>
          <w:bCs/>
          <w:szCs w:val="24"/>
        </w:rPr>
        <w:t xml:space="preserve"> via any other platform. </w:t>
      </w:r>
    </w:p>
    <w:p w:rsidRPr="007142AD" w:rsidR="003162D5" w:rsidP="00246FE9" w:rsidRDefault="003162D5" w14:paraId="3551C114" w14:textId="77777777">
      <w:pPr>
        <w:pStyle w:val="ListParagraph"/>
        <w:tabs>
          <w:tab w:val="left" w:pos="-720"/>
        </w:tabs>
        <w:suppressAutoHyphens/>
        <w:contextualSpacing w:val="0"/>
        <w:rPr>
          <w:rFonts w:ascii="Times New Roman" w:hAnsi="Times New Roman"/>
          <w:bCs/>
          <w:szCs w:val="24"/>
        </w:rPr>
      </w:pPr>
    </w:p>
    <w:p w:rsidR="00D30CA4" w:rsidP="00D30CA4" w:rsidRDefault="00043C32" w14:paraId="3D4EFE00" w14:textId="77F4D153">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D30CA4" w:rsidR="00D30CA4" w:rsidP="00D30CA4" w:rsidRDefault="00D30CA4" w14:paraId="060F557E" w14:textId="77777777">
      <w:pPr>
        <w:pStyle w:val="ListParagraph"/>
        <w:contextualSpacing w:val="0"/>
        <w:rPr>
          <w:rFonts w:ascii="Times New Roman" w:hAnsi="Times New Roman"/>
          <w:b/>
          <w:szCs w:val="24"/>
        </w:rPr>
      </w:pPr>
    </w:p>
    <w:p w:rsidRPr="00D30CA4" w:rsidR="007142AD" w:rsidP="00D30CA4" w:rsidRDefault="007142AD" w14:paraId="5446177F" w14:textId="448C105B">
      <w:pPr>
        <w:pStyle w:val="ListParagraph"/>
        <w:suppressAutoHyphens/>
        <w:spacing w:line="240" w:lineRule="exact"/>
        <w:rPr>
          <w:rFonts w:ascii="Times New Roman" w:hAnsi="Times New Roman"/>
          <w:szCs w:val="24"/>
        </w:rPr>
      </w:pPr>
      <w:r w:rsidRPr="00D30CA4">
        <w:rPr>
          <w:rFonts w:ascii="Times New Roman" w:hAnsi="Times New Roman"/>
          <w:szCs w:val="24"/>
        </w:rPr>
        <w:t>This collection will not impact small businesses or other small entities.</w:t>
      </w:r>
    </w:p>
    <w:p w:rsidR="00AD381B" w:rsidP="00AD381B" w:rsidRDefault="00AD381B" w14:paraId="7BED2EB2" w14:textId="77777777">
      <w:pPr>
        <w:pStyle w:val="ListParagraph"/>
        <w:contextualSpacing w:val="0"/>
        <w:rPr>
          <w:rFonts w:ascii="Times New Roman" w:hAnsi="Times New Roman"/>
          <w:szCs w:val="24"/>
        </w:rPr>
      </w:pPr>
    </w:p>
    <w:p w:rsidR="00043C32" w:rsidP="00AD381B" w:rsidRDefault="00043C32" w14:paraId="7BED2EB3" w14:textId="300F1E0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D30CA4" w:rsidP="00D30CA4" w:rsidRDefault="00D30CA4" w14:paraId="4F0008B3" w14:textId="77777777">
      <w:pPr>
        <w:pStyle w:val="ListParagraph"/>
        <w:tabs>
          <w:tab w:val="left" w:pos="-720"/>
        </w:tabs>
        <w:suppressAutoHyphens/>
        <w:contextualSpacing w:val="0"/>
        <w:rPr>
          <w:rFonts w:ascii="Times New Roman" w:hAnsi="Times New Roman"/>
          <w:b/>
          <w:szCs w:val="24"/>
        </w:rPr>
      </w:pPr>
    </w:p>
    <w:p w:rsidRPr="00D30CA4" w:rsidR="007142AD" w:rsidP="00D30CA4" w:rsidRDefault="007142AD" w14:paraId="1DC1A986" w14:textId="77777777">
      <w:pPr>
        <w:pStyle w:val="ListParagraph"/>
        <w:suppressAutoHyphens/>
        <w:spacing w:line="240" w:lineRule="exact"/>
        <w:rPr>
          <w:rFonts w:ascii="Times New Roman" w:hAnsi="Times New Roman"/>
          <w:szCs w:val="24"/>
        </w:rPr>
      </w:pPr>
      <w:r w:rsidRPr="00D30CA4">
        <w:rPr>
          <w:rFonts w:ascii="Times New Roman" w:hAnsi="Times New Roman"/>
          <w:szCs w:val="24"/>
        </w:rPr>
        <w:t>Progress updates will be conducted quarterly for Outlying Area grantees and the Republic of Palau. If the Department collected this information less frequently, it would greatly diminish the ability of program managers and analysts to use the information to measure education progress in support of federal legislation.</w:t>
      </w:r>
    </w:p>
    <w:p w:rsidRPr="00AD381B" w:rsidR="007142AD" w:rsidP="007142AD" w:rsidRDefault="007142AD" w14:paraId="3AA66D73"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7BED2E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7BED2EB5" w14:textId="77777777">
      <w:pPr>
        <w:tabs>
          <w:tab w:val="left" w:pos="-720"/>
        </w:tabs>
        <w:suppressAutoHyphens/>
        <w:rPr>
          <w:rFonts w:ascii="Times New Roman" w:hAnsi="Times New Roman"/>
          <w:b/>
          <w:szCs w:val="24"/>
        </w:rPr>
      </w:pPr>
    </w:p>
    <w:p w:rsidRPr="00AD381B" w:rsidR="00043C32" w:rsidP="00AD381B" w:rsidRDefault="00043C32" w14:paraId="7BED2EB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7BED2EB7"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7BED2EB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7BED2EB9"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7BED2EB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7BED2EB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B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7BED2EB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7BED2EC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BED2EC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7BED2EC3" w14:textId="77777777">
      <w:pPr>
        <w:numPr>
          <w:ilvl w:val="12"/>
          <w:numId w:val="0"/>
        </w:numPr>
        <w:tabs>
          <w:tab w:val="left" w:pos="-720"/>
        </w:tabs>
        <w:suppressAutoHyphens/>
        <w:rPr>
          <w:rFonts w:ascii="Times New Roman" w:hAnsi="Times New Roman"/>
          <w:b/>
          <w:szCs w:val="24"/>
        </w:rPr>
      </w:pPr>
    </w:p>
    <w:p w:rsidR="00043C32" w:rsidP="00AD381B" w:rsidRDefault="00043C32" w14:paraId="7BED2EC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7BED2EC5" w14:textId="52494D94">
      <w:pPr>
        <w:pStyle w:val="ListParagraph"/>
        <w:rPr>
          <w:rFonts w:ascii="Times New Roman" w:hAnsi="Times New Roman"/>
          <w:b/>
          <w:szCs w:val="24"/>
        </w:rPr>
      </w:pPr>
    </w:p>
    <w:p w:rsidRPr="00D30CA4" w:rsidR="007142AD" w:rsidP="00D30CA4" w:rsidRDefault="007142AD" w14:paraId="5833D620" w14:textId="77777777">
      <w:pPr>
        <w:pStyle w:val="ListParagraph"/>
        <w:suppressAutoHyphens/>
        <w:spacing w:line="240" w:lineRule="exact"/>
        <w:rPr>
          <w:rFonts w:ascii="Times New Roman" w:hAnsi="Times New Roman"/>
          <w:szCs w:val="24"/>
        </w:rPr>
      </w:pPr>
      <w:r w:rsidRPr="00D30CA4">
        <w:rPr>
          <w:rFonts w:ascii="Times New Roman" w:hAnsi="Times New Roman"/>
          <w:szCs w:val="24"/>
        </w:rPr>
        <w:t>None of the special circumstances apply to this collection.</w:t>
      </w:r>
    </w:p>
    <w:p w:rsidRPr="00AD381B" w:rsidR="00AD381B" w:rsidP="00AD381B" w:rsidRDefault="00AD381B" w14:paraId="7BED2EC6" w14:textId="77777777">
      <w:pPr>
        <w:tabs>
          <w:tab w:val="left" w:pos="-720"/>
        </w:tabs>
        <w:suppressAutoHyphens/>
        <w:rPr>
          <w:rFonts w:ascii="Times New Roman" w:hAnsi="Times New Roman"/>
          <w:szCs w:val="24"/>
        </w:rPr>
      </w:pPr>
    </w:p>
    <w:p w:rsidR="00D75313" w:rsidP="00AD381B" w:rsidRDefault="00043C32" w14:paraId="7BED2EC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7BED2EC8"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7BED2EC9"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7BED2ECA"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7BED2EC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7BED2EC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7BED2ECD" w14:textId="77777777">
      <w:pPr>
        <w:tabs>
          <w:tab w:val="left" w:pos="-720"/>
        </w:tabs>
        <w:suppressAutoHyphens/>
        <w:rPr>
          <w:rStyle w:val="a"/>
          <w:rFonts w:ascii="Times New Roman" w:hAnsi="Times New Roman"/>
          <w:b/>
          <w:szCs w:val="24"/>
        </w:rPr>
      </w:pPr>
    </w:p>
    <w:p w:rsidR="00043C32" w:rsidP="00AD381B" w:rsidRDefault="00043C32" w14:paraId="7BED2EC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7BED2ECF" w14:textId="4A98FAFA">
      <w:pPr>
        <w:tabs>
          <w:tab w:val="left" w:pos="-720"/>
        </w:tabs>
        <w:suppressAutoHyphens/>
        <w:ind w:left="720"/>
        <w:rPr>
          <w:rFonts w:ascii="Times New Roman" w:hAnsi="Times New Roman"/>
          <w:b/>
          <w:szCs w:val="24"/>
        </w:rPr>
      </w:pPr>
    </w:p>
    <w:p w:rsidR="00D30441" w:rsidP="00D30441" w:rsidRDefault="00D30441" w14:paraId="2B5E9B9C" w14:textId="4C810931">
      <w:pPr>
        <w:pStyle w:val="ListParagraph"/>
        <w:rPr>
          <w:rFonts w:ascii="Times New Roman" w:hAnsi="Times New Roman"/>
          <w:szCs w:val="24"/>
        </w:rPr>
      </w:pPr>
      <w:r>
        <w:rPr>
          <w:rFonts w:ascii="Times New Roman" w:hAnsi="Times New Roman"/>
          <w:szCs w:val="24"/>
        </w:rPr>
        <w:lastRenderedPageBreak/>
        <w:t xml:space="preserve">On </w:t>
      </w:r>
      <w:r w:rsidR="00583F66">
        <w:rPr>
          <w:rFonts w:ascii="Times New Roman" w:hAnsi="Times New Roman"/>
          <w:szCs w:val="24"/>
        </w:rPr>
        <w:t>May 10</w:t>
      </w:r>
      <w:r>
        <w:rPr>
          <w:rFonts w:ascii="Times New Roman" w:hAnsi="Times New Roman"/>
          <w:szCs w:val="24"/>
        </w:rPr>
        <w:t xml:space="preserve">, 2021, a Federal Register Notice requesting public comment was published (Vol. 86, No. </w:t>
      </w:r>
      <w:r w:rsidR="008A67AD">
        <w:rPr>
          <w:rFonts w:ascii="Times New Roman" w:hAnsi="Times New Roman"/>
          <w:szCs w:val="24"/>
        </w:rPr>
        <w:t>8</w:t>
      </w:r>
      <w:r>
        <w:rPr>
          <w:rFonts w:ascii="Times New Roman" w:hAnsi="Times New Roman"/>
          <w:szCs w:val="24"/>
        </w:rPr>
        <w:t>8, page 2</w:t>
      </w:r>
      <w:r w:rsidR="008945DD">
        <w:rPr>
          <w:rFonts w:ascii="Times New Roman" w:hAnsi="Times New Roman"/>
          <w:szCs w:val="24"/>
        </w:rPr>
        <w:t>4853</w:t>
      </w:r>
      <w:r>
        <w:rPr>
          <w:rFonts w:ascii="Times New Roman" w:hAnsi="Times New Roman"/>
          <w:szCs w:val="24"/>
        </w:rPr>
        <w:t>). The Department is publishing the applicable 30-day Federal Register notice. No consultations outside of ED were conducted for this collection.</w:t>
      </w:r>
    </w:p>
    <w:p w:rsidR="00E66550" w:rsidP="00D30CA4" w:rsidRDefault="00E66550" w14:paraId="7BED2ED0" w14:textId="77777777">
      <w:pPr>
        <w:pStyle w:val="ListParagraph"/>
        <w:suppressAutoHyphens/>
        <w:spacing w:line="240" w:lineRule="exact"/>
        <w:rPr>
          <w:rFonts w:ascii="Times New Roman" w:hAnsi="Times New Roman"/>
          <w:szCs w:val="24"/>
        </w:rPr>
      </w:pPr>
    </w:p>
    <w:p w:rsidR="00043C32" w:rsidP="00AD381B" w:rsidRDefault="00043C32" w14:paraId="7BED2ED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7BED2ED2" w14:textId="743DCD5D">
      <w:pPr>
        <w:pStyle w:val="ListParagraph"/>
        <w:tabs>
          <w:tab w:val="left" w:pos="-720"/>
        </w:tabs>
        <w:suppressAutoHyphens/>
        <w:contextualSpacing w:val="0"/>
        <w:rPr>
          <w:rFonts w:ascii="Times New Roman" w:hAnsi="Times New Roman"/>
          <w:b/>
          <w:szCs w:val="24"/>
        </w:rPr>
      </w:pPr>
    </w:p>
    <w:p w:rsidRPr="00D30CA4" w:rsidR="007142AD" w:rsidP="00D30CA4" w:rsidRDefault="007142AD" w14:paraId="180B3BAD" w14:textId="77777777">
      <w:pPr>
        <w:pStyle w:val="ListParagraph"/>
        <w:suppressAutoHyphens/>
        <w:spacing w:line="240" w:lineRule="exact"/>
        <w:rPr>
          <w:rFonts w:ascii="Times New Roman" w:hAnsi="Times New Roman"/>
          <w:szCs w:val="24"/>
        </w:rPr>
      </w:pPr>
      <w:r w:rsidRPr="00D30CA4">
        <w:rPr>
          <w:rFonts w:ascii="Times New Roman" w:hAnsi="Times New Roman"/>
          <w:szCs w:val="24"/>
        </w:rPr>
        <w:t>These data are collected from grantees. No remuneration, outside of grant funds allocated to the grantees, is made.</w:t>
      </w:r>
    </w:p>
    <w:p w:rsidRPr="00920F63" w:rsidR="00920F63" w:rsidP="00920F63" w:rsidRDefault="00920F63" w14:paraId="7BED2ED3"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7BED2ED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7142AD" w:rsidP="007142AD" w:rsidRDefault="007142AD" w14:paraId="6E9B15AE" w14:textId="77777777">
      <w:pPr>
        <w:ind w:left="720"/>
        <w:jc w:val="both"/>
      </w:pPr>
    </w:p>
    <w:p w:rsidRPr="00D30CA4" w:rsidR="007142AD" w:rsidP="00D30CA4" w:rsidRDefault="007142AD" w14:paraId="2D6C3E0F" w14:textId="4994DACF">
      <w:pPr>
        <w:pStyle w:val="ListParagraph"/>
        <w:suppressAutoHyphens/>
        <w:spacing w:line="240" w:lineRule="exact"/>
        <w:rPr>
          <w:rFonts w:ascii="Times New Roman" w:hAnsi="Times New Roman"/>
          <w:szCs w:val="24"/>
        </w:rPr>
      </w:pPr>
      <w:r w:rsidRPr="00D30CA4">
        <w:rPr>
          <w:rFonts w:ascii="Times New Roman" w:hAnsi="Times New Roman"/>
          <w:szCs w:val="24"/>
        </w:rPr>
        <w:t xml:space="preserve">There has been no assurance of confidentiality provided to the respondents. </w:t>
      </w:r>
    </w:p>
    <w:p w:rsidRPr="00920F63" w:rsidR="00920F63" w:rsidP="00D30CA4" w:rsidRDefault="00920F63" w14:paraId="7BED2ED6" w14:textId="77777777">
      <w:pPr>
        <w:pStyle w:val="ListParagraph"/>
        <w:suppressAutoHyphens/>
        <w:spacing w:line="240" w:lineRule="exact"/>
        <w:rPr>
          <w:rFonts w:ascii="Times New Roman" w:hAnsi="Times New Roman"/>
          <w:szCs w:val="24"/>
        </w:rPr>
      </w:pPr>
    </w:p>
    <w:p w:rsidR="00043C32" w:rsidP="00AD381B" w:rsidRDefault="00043C32" w14:paraId="7BED2ED7" w14:textId="3C5B6FE2">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80DBD" w:rsidP="00D80DBD" w:rsidRDefault="00D80DBD" w14:paraId="1ADFF643" w14:textId="1CF734EB">
      <w:pPr>
        <w:pStyle w:val="ListParagraph"/>
        <w:tabs>
          <w:tab w:val="left" w:pos="-720"/>
        </w:tabs>
        <w:suppressAutoHyphens/>
        <w:contextualSpacing w:val="0"/>
        <w:rPr>
          <w:rFonts w:ascii="Times New Roman" w:hAnsi="Times New Roman"/>
          <w:b/>
          <w:szCs w:val="24"/>
        </w:rPr>
      </w:pPr>
    </w:p>
    <w:p w:rsidRPr="00D30CA4" w:rsidR="00D80DBD" w:rsidP="00D30CA4" w:rsidRDefault="00D80DBD" w14:paraId="27764258" w14:textId="77777777">
      <w:pPr>
        <w:pStyle w:val="ListParagraph"/>
        <w:suppressAutoHyphens/>
        <w:spacing w:line="240" w:lineRule="exact"/>
        <w:rPr>
          <w:rFonts w:ascii="Times New Roman" w:hAnsi="Times New Roman"/>
          <w:szCs w:val="24"/>
        </w:rPr>
      </w:pPr>
      <w:r w:rsidRPr="00D30CA4">
        <w:rPr>
          <w:rFonts w:ascii="Times New Roman" w:hAnsi="Times New Roman"/>
          <w:szCs w:val="24"/>
        </w:rPr>
        <w:t xml:space="preserve">Not applicable. </w:t>
      </w:r>
      <w:bookmarkStart w:name="_Toc419208359" w:id="0"/>
      <w:bookmarkStart w:name="_Toc441651998" w:id="1"/>
      <w:bookmarkStart w:name="_Toc441652048" w:id="2"/>
      <w:r w:rsidRPr="00D30CA4">
        <w:rPr>
          <w:rFonts w:ascii="Times New Roman" w:hAnsi="Times New Roman"/>
          <w:szCs w:val="24"/>
        </w:rPr>
        <w:t>This collection contains no questions of a sensitive nature.</w:t>
      </w:r>
      <w:bookmarkEnd w:id="0"/>
      <w:bookmarkEnd w:id="1"/>
      <w:bookmarkEnd w:id="2"/>
    </w:p>
    <w:p w:rsidRPr="00920F63" w:rsidR="00920F63" w:rsidP="00D30CA4" w:rsidRDefault="00920F63" w14:paraId="7BED2ED9" w14:textId="77777777">
      <w:pPr>
        <w:pStyle w:val="ListParagraph"/>
        <w:suppressAutoHyphens/>
        <w:spacing w:line="240" w:lineRule="exact"/>
        <w:rPr>
          <w:rFonts w:ascii="Times New Roman" w:hAnsi="Times New Roman"/>
          <w:szCs w:val="24"/>
        </w:rPr>
      </w:pPr>
    </w:p>
    <w:p w:rsidRPr="00920F63" w:rsidR="00043C32" w:rsidP="00AD381B" w:rsidRDefault="00043C32" w14:paraId="7BED2ED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7BED2EDB" w14:textId="77777777">
      <w:pPr>
        <w:tabs>
          <w:tab w:val="left" w:pos="-720"/>
        </w:tabs>
        <w:suppressAutoHyphens/>
        <w:rPr>
          <w:rStyle w:val="a"/>
          <w:rFonts w:ascii="Times New Roman" w:hAnsi="Times New Roman"/>
          <w:b/>
          <w:szCs w:val="24"/>
        </w:rPr>
      </w:pPr>
    </w:p>
    <w:p w:rsidR="00C224FD" w:rsidP="00C224FD" w:rsidRDefault="00C224FD" w14:paraId="7BED2EDC"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lastRenderedPageBreak/>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7BED2ED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7BED2ED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7BED2EDF"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7BED2EE0"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7BED2EE1" w14:textId="77777777">
      <w:pPr>
        <w:tabs>
          <w:tab w:val="left" w:pos="-720"/>
          <w:tab w:val="left" w:pos="1247"/>
        </w:tabs>
        <w:suppressAutoHyphens/>
        <w:rPr>
          <w:rStyle w:val="a"/>
          <w:rFonts w:ascii="Times New Roman" w:hAnsi="Times New Roman"/>
          <w:b/>
          <w:szCs w:val="24"/>
        </w:rPr>
      </w:pPr>
    </w:p>
    <w:p w:rsidR="00946126" w:rsidP="00946126" w:rsidRDefault="00946126" w14:paraId="7BED2EE2" w14:textId="157B156F">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D80DBD" w:rsidP="00946126" w:rsidRDefault="00D80DBD" w14:paraId="2DF1F527" w14:textId="3656AAFE">
      <w:pPr>
        <w:pStyle w:val="ListParagraph"/>
        <w:tabs>
          <w:tab w:val="left" w:pos="-720"/>
        </w:tabs>
        <w:suppressAutoHyphens/>
        <w:contextualSpacing w:val="0"/>
        <w:rPr>
          <w:rFonts w:ascii="Times New Roman" w:hAnsi="Times New Roman"/>
          <w:b/>
          <w:sz w:val="26"/>
          <w:szCs w:val="26"/>
        </w:rPr>
      </w:pPr>
    </w:p>
    <w:p w:rsidRPr="008D415E" w:rsidR="00D80DBD" w:rsidP="008D415E" w:rsidRDefault="00D80DBD" w14:paraId="031F5126" w14:textId="625F64C0">
      <w:pPr>
        <w:pStyle w:val="ListParagraph"/>
        <w:suppressAutoHyphens/>
        <w:spacing w:line="240" w:lineRule="exact"/>
        <w:rPr>
          <w:rFonts w:ascii="Times New Roman" w:hAnsi="Times New Roman"/>
          <w:szCs w:val="24"/>
        </w:rPr>
      </w:pPr>
      <w:r w:rsidRPr="008D415E">
        <w:rPr>
          <w:rFonts w:ascii="Times New Roman" w:hAnsi="Times New Roman"/>
          <w:szCs w:val="24"/>
        </w:rPr>
        <w:t xml:space="preserve">The list of respondents includes: 8 territorial entities (SEAs and Governors Offices from the U.S. Virgin Islands, American Samoa, Guam, and the Commonwealth of Northern Mariana Islands), the Republic of Palau. </w:t>
      </w:r>
      <w:r w:rsidRPr="008D415E" w:rsidR="007D1E1E">
        <w:rPr>
          <w:rFonts w:ascii="Times New Roman" w:hAnsi="Times New Roman"/>
          <w:szCs w:val="24"/>
        </w:rPr>
        <w:t xml:space="preserve">For three of the programs, we expect that there will be four respondents each, that will respond quarterly making for 48 responses. In addition, for one program, we expect one respondent to respond quarterly, for a total of four responses. We estimate it will take an hour for each response.  </w:t>
      </w:r>
      <w:r w:rsidRPr="008D415E">
        <w:rPr>
          <w:rFonts w:ascii="Times New Roman" w:hAnsi="Times New Roman"/>
          <w:szCs w:val="24"/>
        </w:rPr>
        <w:t>The burden differences across reporting entities are limited, so all entities are assigned the same estimated reporting burden of one full-time equivalent (FTE) per reporting entity.</w:t>
      </w:r>
    </w:p>
    <w:p w:rsidRPr="008D415E" w:rsidR="007142AD" w:rsidP="008D415E" w:rsidRDefault="007142AD" w14:paraId="733FD509" w14:textId="77777777">
      <w:pPr>
        <w:pStyle w:val="ListParagraph"/>
        <w:suppressAutoHyphens/>
        <w:spacing w:line="240" w:lineRule="exact"/>
        <w:rPr>
          <w:rFonts w:ascii="Times New Roman" w:hAnsi="Times New Roman"/>
          <w:szCs w:val="24"/>
        </w:rPr>
      </w:pPr>
    </w:p>
    <w:p w:rsidRPr="008D415E" w:rsidR="00D80DBD" w:rsidP="008D415E" w:rsidRDefault="007142AD" w14:paraId="1979A548" w14:textId="539FD55A">
      <w:pPr>
        <w:pStyle w:val="ListParagraph"/>
        <w:suppressAutoHyphens/>
        <w:spacing w:line="240" w:lineRule="exact"/>
        <w:rPr>
          <w:rFonts w:ascii="Times New Roman" w:hAnsi="Times New Roman"/>
          <w:szCs w:val="24"/>
        </w:rPr>
      </w:pPr>
      <w:r w:rsidRPr="008D415E">
        <w:rPr>
          <w:rFonts w:ascii="Times New Roman" w:hAnsi="Times New Roman"/>
          <w:szCs w:val="24"/>
        </w:rPr>
        <w:t>The annualized cost related to the respondent burden time is estimated to be $</w:t>
      </w:r>
      <w:r w:rsidRPr="008D415E" w:rsidR="00EA13D9">
        <w:rPr>
          <w:rFonts w:ascii="Times New Roman" w:hAnsi="Times New Roman"/>
          <w:szCs w:val="24"/>
        </w:rPr>
        <w:t>2</w:t>
      </w:r>
      <w:r w:rsidRPr="008D415E">
        <w:rPr>
          <w:rFonts w:ascii="Times New Roman" w:hAnsi="Times New Roman"/>
          <w:szCs w:val="24"/>
        </w:rPr>
        <w:t>,</w:t>
      </w:r>
      <w:r w:rsidRPr="008D415E" w:rsidR="00EA13D9">
        <w:rPr>
          <w:rFonts w:ascii="Times New Roman" w:hAnsi="Times New Roman"/>
          <w:szCs w:val="24"/>
        </w:rPr>
        <w:t>6</w:t>
      </w:r>
      <w:r w:rsidRPr="008D415E">
        <w:rPr>
          <w:rFonts w:ascii="Times New Roman" w:hAnsi="Times New Roman"/>
          <w:szCs w:val="24"/>
        </w:rPr>
        <w:t>00 (</w:t>
      </w:r>
      <w:r w:rsidRPr="008D415E" w:rsidR="00EA13D9">
        <w:rPr>
          <w:rFonts w:ascii="Times New Roman" w:hAnsi="Times New Roman"/>
          <w:szCs w:val="24"/>
        </w:rPr>
        <w:t>52</w:t>
      </w:r>
      <w:r w:rsidRPr="008D415E">
        <w:rPr>
          <w:rFonts w:ascii="Times New Roman" w:hAnsi="Times New Roman"/>
          <w:szCs w:val="24"/>
        </w:rPr>
        <w:t xml:space="preserve"> hours multiplied by an average wage of $50 per hour). There is a wide range of hourly salaries associated with the professionals that participate in RINAP Progress Updates, making this estimation approximate.</w:t>
      </w:r>
      <w:r w:rsidRPr="008D415E" w:rsidR="007D1E1E">
        <w:rPr>
          <w:rFonts w:ascii="Times New Roman" w:hAnsi="Times New Roman"/>
          <w:szCs w:val="24"/>
        </w:rPr>
        <w:t xml:space="preserve"> Please see the detailed breakdown below.</w:t>
      </w:r>
    </w:p>
    <w:p w:rsidRPr="008D415E" w:rsidR="00D30CA4" w:rsidP="008D415E" w:rsidRDefault="00D30CA4" w14:paraId="3E6DA0EA" w14:textId="0EC3071B">
      <w:pPr>
        <w:pStyle w:val="ListParagraph"/>
        <w:suppressAutoHyphens/>
        <w:spacing w:line="240" w:lineRule="exact"/>
        <w:rPr>
          <w:rFonts w:ascii="Times New Roman" w:hAnsi="Times New Roman"/>
          <w:szCs w:val="24"/>
        </w:rPr>
      </w:pPr>
    </w:p>
    <w:p w:rsidR="00D30CA4" w:rsidP="007142AD" w:rsidRDefault="00D30CA4" w14:paraId="6AF43EF8" w14:textId="372097B8">
      <w:pPr>
        <w:ind w:left="720"/>
        <w:jc w:val="both"/>
        <w:rPr>
          <w:rFonts w:ascii="Cambria" w:hAnsi="Cambria" w:cs="Arial"/>
        </w:rPr>
      </w:pPr>
    </w:p>
    <w:p w:rsidR="00D30CA4" w:rsidP="007142AD" w:rsidRDefault="00D30CA4" w14:paraId="78694FC6" w14:textId="7B264847">
      <w:pPr>
        <w:ind w:left="720"/>
        <w:jc w:val="both"/>
        <w:rPr>
          <w:rFonts w:ascii="Cambria" w:hAnsi="Cambria" w:cs="Arial"/>
        </w:rPr>
      </w:pPr>
    </w:p>
    <w:p w:rsidR="00D30CA4" w:rsidP="007142AD" w:rsidRDefault="00D30CA4" w14:paraId="06AFB49F" w14:textId="784D3C8D">
      <w:pPr>
        <w:ind w:left="720"/>
        <w:jc w:val="both"/>
        <w:rPr>
          <w:rFonts w:ascii="Cambria" w:hAnsi="Cambria" w:cs="Arial"/>
        </w:rPr>
      </w:pPr>
    </w:p>
    <w:p w:rsidR="008D415E" w:rsidP="007142AD" w:rsidRDefault="008D415E" w14:paraId="4618ED5A" w14:textId="77777777">
      <w:pPr>
        <w:ind w:left="720"/>
        <w:jc w:val="both"/>
        <w:rPr>
          <w:rFonts w:ascii="Cambria" w:hAnsi="Cambria" w:cs="Arial"/>
        </w:rPr>
      </w:pPr>
    </w:p>
    <w:p w:rsidRPr="007142AD" w:rsidR="00D30CA4" w:rsidP="007142AD" w:rsidRDefault="00D30CA4" w14:paraId="27E9CD13" w14:textId="77777777">
      <w:pPr>
        <w:ind w:left="720"/>
        <w:jc w:val="both"/>
        <w:rPr>
          <w:rStyle w:val="a"/>
          <w:rFonts w:ascii="Cambria" w:hAnsi="Cambria" w:cs="Arial"/>
        </w:rPr>
      </w:pPr>
    </w:p>
    <w:p w:rsidR="00D80DBD" w:rsidP="00920F63" w:rsidRDefault="00D80DBD" w14:paraId="5AC130C0"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7BED2EE4"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lastRenderedPageBreak/>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9E46B3" w:rsidTr="009E46B3" w14:paraId="7BED2EFC" w14:textId="77777777">
        <w:trPr>
          <w:tblHeader/>
        </w:trPr>
        <w:tc>
          <w:tcPr>
            <w:tcW w:w="1345" w:type="dxa"/>
          </w:tcPr>
          <w:p w:rsidR="009E46B3" w:rsidP="001407A8" w:rsidRDefault="009E46B3" w14:paraId="7BED2EE6" w14:textId="77777777">
            <w:pPr>
              <w:jc w:val="center"/>
              <w:rPr>
                <w:rFonts w:ascii="Times New Roman" w:hAnsi="Times New Roman"/>
                <w:sz w:val="20"/>
              </w:rPr>
            </w:pPr>
          </w:p>
          <w:p w:rsidRPr="007F6104" w:rsidR="009E46B3" w:rsidP="00EA13D9" w:rsidRDefault="009E46B3" w14:paraId="7BED2EE7"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9E46B3" w:rsidP="009E46B3" w:rsidRDefault="009E46B3" w14:paraId="7BED2EEE"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E46B3" w:rsidP="009E46B3" w:rsidRDefault="009E46B3" w14:paraId="7BED2EF0" w14:textId="77777777">
            <w:pPr>
              <w:jc w:val="center"/>
              <w:rPr>
                <w:rFonts w:ascii="Times New Roman" w:hAnsi="Times New Roman"/>
                <w:sz w:val="20"/>
              </w:rPr>
            </w:pPr>
          </w:p>
          <w:p w:rsidRPr="007F6104" w:rsidR="009E46B3" w:rsidP="009E46B3" w:rsidRDefault="009E46B3" w14:paraId="7BED2EF1"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E46B3" w:rsidP="009E46B3" w:rsidRDefault="009E46B3" w14:paraId="7BED2EF2" w14:textId="77777777">
            <w:pPr>
              <w:jc w:val="center"/>
              <w:rPr>
                <w:rFonts w:ascii="Times New Roman" w:hAnsi="Times New Roman"/>
                <w:sz w:val="20"/>
              </w:rPr>
            </w:pPr>
          </w:p>
          <w:p w:rsidRPr="007F6104" w:rsidR="009E46B3" w:rsidP="009E46B3" w:rsidRDefault="009E46B3" w14:paraId="7BED2EF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E46B3" w:rsidP="009E46B3" w:rsidRDefault="009E46B3" w14:paraId="7BED2EF4" w14:textId="77777777">
            <w:pPr>
              <w:jc w:val="center"/>
              <w:rPr>
                <w:rFonts w:ascii="Times New Roman" w:hAnsi="Times New Roman"/>
                <w:sz w:val="20"/>
              </w:rPr>
            </w:pPr>
          </w:p>
          <w:p w:rsidRPr="007F6104" w:rsidR="009E46B3" w:rsidP="009E46B3" w:rsidRDefault="009E46B3" w14:paraId="7BED2EF5"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E46B3" w:rsidP="001407A8" w:rsidRDefault="009E46B3" w14:paraId="7BED2EF7" w14:textId="77777777">
            <w:pPr>
              <w:jc w:val="center"/>
              <w:rPr>
                <w:rFonts w:ascii="Times New Roman" w:hAnsi="Times New Roman"/>
                <w:sz w:val="20"/>
              </w:rPr>
            </w:pPr>
          </w:p>
          <w:p w:rsidRPr="007F6104" w:rsidR="009E46B3" w:rsidP="00EA13D9" w:rsidRDefault="009E46B3" w14:paraId="7BED2EF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E46B3" w:rsidP="009E46B3" w:rsidRDefault="009E46B3" w14:paraId="7BED2EFA" w14:textId="77777777">
            <w:pPr>
              <w:jc w:val="center"/>
              <w:rPr>
                <w:rFonts w:ascii="Times New Roman" w:hAnsi="Times New Roman"/>
                <w:sz w:val="20"/>
              </w:rPr>
            </w:pPr>
          </w:p>
          <w:p w:rsidRPr="007F6104" w:rsidR="009E46B3" w:rsidP="009E46B3" w:rsidRDefault="009E46B3" w14:paraId="7BED2EFB"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9E46B3" w:rsidTr="009E46B3" w14:paraId="7BED2F06" w14:textId="77777777">
        <w:tc>
          <w:tcPr>
            <w:tcW w:w="1345" w:type="dxa"/>
          </w:tcPr>
          <w:p w:rsidRPr="009E46B3" w:rsidR="009E46B3" w:rsidP="00AC2EDB" w:rsidRDefault="009E46B3" w14:paraId="7BED2EFD" w14:textId="35B13073">
            <w:pPr>
              <w:rPr>
                <w:rFonts w:ascii="Times New Roman" w:hAnsi="Times New Roman"/>
                <w:sz w:val="20"/>
              </w:rPr>
            </w:pPr>
            <w:r w:rsidRPr="009E46B3">
              <w:rPr>
                <w:rFonts w:ascii="Times New Roman" w:hAnsi="Times New Roman"/>
                <w:sz w:val="20"/>
              </w:rPr>
              <w:t>84.403A Consolidated Grants to the Insular Areas</w:t>
            </w:r>
          </w:p>
        </w:tc>
        <w:tc>
          <w:tcPr>
            <w:tcW w:w="1275" w:type="dxa"/>
          </w:tcPr>
          <w:p w:rsidRPr="009E46B3" w:rsidR="009E46B3" w:rsidP="009E46B3" w:rsidRDefault="009E46B3" w14:paraId="7BED2F00" w14:textId="100E0F81">
            <w:pPr>
              <w:jc w:val="right"/>
              <w:rPr>
                <w:rFonts w:ascii="Times New Roman" w:hAnsi="Times New Roman"/>
                <w:sz w:val="18"/>
                <w:szCs w:val="18"/>
              </w:rPr>
            </w:pPr>
            <w:r>
              <w:rPr>
                <w:rFonts w:ascii="Times New Roman" w:hAnsi="Times New Roman"/>
                <w:sz w:val="18"/>
                <w:szCs w:val="18"/>
              </w:rPr>
              <w:t>4</w:t>
            </w:r>
          </w:p>
        </w:tc>
        <w:tc>
          <w:tcPr>
            <w:tcW w:w="1080" w:type="dxa"/>
          </w:tcPr>
          <w:p w:rsidRPr="009E46B3" w:rsidR="009E46B3" w:rsidP="009E46B3" w:rsidRDefault="009E46B3" w14:paraId="7BED2F01" w14:textId="2C51D0DD">
            <w:pPr>
              <w:jc w:val="right"/>
              <w:rPr>
                <w:rFonts w:ascii="Times New Roman" w:hAnsi="Times New Roman"/>
                <w:sz w:val="18"/>
                <w:szCs w:val="18"/>
              </w:rPr>
            </w:pPr>
            <w:r>
              <w:rPr>
                <w:rFonts w:ascii="Times New Roman" w:hAnsi="Times New Roman"/>
                <w:sz w:val="18"/>
                <w:szCs w:val="18"/>
              </w:rPr>
              <w:t>16</w:t>
            </w:r>
          </w:p>
        </w:tc>
        <w:tc>
          <w:tcPr>
            <w:tcW w:w="1335" w:type="dxa"/>
          </w:tcPr>
          <w:p w:rsidRPr="009E46B3" w:rsidR="009E46B3" w:rsidP="009E46B3" w:rsidRDefault="009E46B3" w14:paraId="7BED2F02" w14:textId="19A120D1">
            <w:pPr>
              <w:jc w:val="right"/>
              <w:rPr>
                <w:rFonts w:ascii="Times New Roman" w:hAnsi="Times New Roman"/>
                <w:sz w:val="18"/>
                <w:szCs w:val="18"/>
              </w:rPr>
            </w:pPr>
            <w:r>
              <w:rPr>
                <w:rFonts w:ascii="Times New Roman" w:hAnsi="Times New Roman"/>
                <w:sz w:val="18"/>
                <w:szCs w:val="18"/>
              </w:rPr>
              <w:t>1</w:t>
            </w:r>
          </w:p>
        </w:tc>
        <w:tc>
          <w:tcPr>
            <w:tcW w:w="900" w:type="dxa"/>
          </w:tcPr>
          <w:p w:rsidRPr="009E46B3" w:rsidR="009E46B3" w:rsidP="009E46B3" w:rsidRDefault="009E46B3" w14:paraId="7BED2F03" w14:textId="3C1B32E4">
            <w:pPr>
              <w:jc w:val="right"/>
              <w:rPr>
                <w:rFonts w:ascii="Times New Roman" w:hAnsi="Times New Roman"/>
                <w:sz w:val="18"/>
                <w:szCs w:val="18"/>
              </w:rPr>
            </w:pPr>
            <w:r>
              <w:rPr>
                <w:rFonts w:ascii="Times New Roman" w:hAnsi="Times New Roman"/>
                <w:sz w:val="18"/>
                <w:szCs w:val="18"/>
              </w:rPr>
              <w:t>16</w:t>
            </w:r>
          </w:p>
        </w:tc>
        <w:tc>
          <w:tcPr>
            <w:tcW w:w="1530" w:type="dxa"/>
          </w:tcPr>
          <w:p w:rsidRPr="009E46B3" w:rsidR="009E46B3" w:rsidP="009E46B3" w:rsidRDefault="009E46B3" w14:paraId="7BED2F04" w14:textId="39B439CF">
            <w:pPr>
              <w:jc w:val="right"/>
              <w:rPr>
                <w:rFonts w:ascii="Times New Roman" w:hAnsi="Times New Roman"/>
                <w:sz w:val="18"/>
                <w:szCs w:val="18"/>
              </w:rPr>
            </w:pPr>
            <w:r w:rsidRPr="00CE592F">
              <w:rPr>
                <w:rFonts w:ascii="Times New Roman" w:hAnsi="Times New Roman"/>
                <w:sz w:val="18"/>
                <w:szCs w:val="18"/>
              </w:rPr>
              <w:t>$50</w:t>
            </w:r>
          </w:p>
        </w:tc>
        <w:tc>
          <w:tcPr>
            <w:tcW w:w="1350" w:type="dxa"/>
          </w:tcPr>
          <w:p w:rsidRPr="009E46B3" w:rsidR="009E46B3" w:rsidP="009E46B3" w:rsidRDefault="009E46B3" w14:paraId="7BED2F05" w14:textId="6FDCF3C2">
            <w:pPr>
              <w:jc w:val="right"/>
              <w:rPr>
                <w:rFonts w:ascii="Times New Roman" w:hAnsi="Times New Roman"/>
                <w:sz w:val="18"/>
                <w:szCs w:val="18"/>
              </w:rPr>
            </w:pPr>
            <w:r>
              <w:rPr>
                <w:rFonts w:ascii="Times New Roman" w:hAnsi="Times New Roman"/>
                <w:sz w:val="18"/>
                <w:szCs w:val="18"/>
              </w:rPr>
              <w:t>$800</w:t>
            </w:r>
          </w:p>
        </w:tc>
      </w:tr>
      <w:tr w:rsidRPr="00442E07" w:rsidR="009E46B3" w:rsidTr="009E46B3" w14:paraId="7BED2F10" w14:textId="77777777">
        <w:tc>
          <w:tcPr>
            <w:tcW w:w="1345" w:type="dxa"/>
          </w:tcPr>
          <w:p w:rsidRPr="009E46B3" w:rsidR="009E46B3" w:rsidP="00AC2EDB" w:rsidRDefault="009E46B3" w14:paraId="7BED2F07" w14:textId="699C7C53">
            <w:pPr>
              <w:rPr>
                <w:rFonts w:ascii="Times New Roman" w:hAnsi="Times New Roman"/>
                <w:sz w:val="20"/>
              </w:rPr>
            </w:pPr>
            <w:r w:rsidRPr="009E46B3">
              <w:rPr>
                <w:rFonts w:ascii="Times New Roman" w:hAnsi="Times New Roman"/>
                <w:sz w:val="20"/>
              </w:rPr>
              <w:t>84.425A and 84.425X Education Stabilization Fund and American Rescue Plan to the Outlying Areas</w:t>
            </w:r>
          </w:p>
        </w:tc>
        <w:tc>
          <w:tcPr>
            <w:tcW w:w="1275" w:type="dxa"/>
          </w:tcPr>
          <w:p w:rsidRPr="009E46B3" w:rsidR="009E46B3" w:rsidP="009E46B3" w:rsidRDefault="009E46B3" w14:paraId="7BED2F0A" w14:textId="43773E9B">
            <w:pPr>
              <w:jc w:val="right"/>
              <w:rPr>
                <w:rFonts w:ascii="Times New Roman" w:hAnsi="Times New Roman"/>
                <w:sz w:val="18"/>
                <w:szCs w:val="18"/>
              </w:rPr>
            </w:pPr>
            <w:r>
              <w:rPr>
                <w:rFonts w:ascii="Times New Roman" w:hAnsi="Times New Roman"/>
                <w:sz w:val="18"/>
                <w:szCs w:val="18"/>
              </w:rPr>
              <w:t>4</w:t>
            </w:r>
          </w:p>
        </w:tc>
        <w:tc>
          <w:tcPr>
            <w:tcW w:w="1080" w:type="dxa"/>
          </w:tcPr>
          <w:p w:rsidRPr="009E46B3" w:rsidR="009E46B3" w:rsidP="009E46B3" w:rsidRDefault="009E46B3" w14:paraId="7BED2F0B" w14:textId="4899267A">
            <w:pPr>
              <w:jc w:val="right"/>
              <w:rPr>
                <w:rFonts w:ascii="Times New Roman" w:hAnsi="Times New Roman"/>
                <w:sz w:val="18"/>
                <w:szCs w:val="18"/>
              </w:rPr>
            </w:pPr>
            <w:r>
              <w:rPr>
                <w:rFonts w:ascii="Times New Roman" w:hAnsi="Times New Roman"/>
                <w:sz w:val="18"/>
                <w:szCs w:val="18"/>
              </w:rPr>
              <w:t>16</w:t>
            </w:r>
          </w:p>
        </w:tc>
        <w:tc>
          <w:tcPr>
            <w:tcW w:w="1335" w:type="dxa"/>
          </w:tcPr>
          <w:p w:rsidRPr="009E46B3" w:rsidR="009E46B3" w:rsidP="009E46B3" w:rsidRDefault="009E46B3" w14:paraId="7BED2F0C" w14:textId="6F07CF1B">
            <w:pPr>
              <w:jc w:val="right"/>
              <w:rPr>
                <w:rFonts w:ascii="Times New Roman" w:hAnsi="Times New Roman"/>
                <w:sz w:val="18"/>
                <w:szCs w:val="18"/>
              </w:rPr>
            </w:pPr>
            <w:r>
              <w:rPr>
                <w:rFonts w:ascii="Times New Roman" w:hAnsi="Times New Roman"/>
                <w:sz w:val="18"/>
                <w:szCs w:val="18"/>
              </w:rPr>
              <w:t>1</w:t>
            </w:r>
          </w:p>
        </w:tc>
        <w:tc>
          <w:tcPr>
            <w:tcW w:w="900" w:type="dxa"/>
          </w:tcPr>
          <w:p w:rsidRPr="009E46B3" w:rsidR="009E46B3" w:rsidP="009E46B3" w:rsidRDefault="009E46B3" w14:paraId="7BED2F0D" w14:textId="0892EDBF">
            <w:pPr>
              <w:pStyle w:val="EndnoteText"/>
              <w:tabs>
                <w:tab w:val="clear" w:pos="-720"/>
              </w:tabs>
              <w:suppressAutoHyphens w:val="0"/>
              <w:jc w:val="right"/>
              <w:rPr>
                <w:rFonts w:ascii="Times New Roman" w:hAnsi="Times New Roman"/>
                <w:sz w:val="18"/>
                <w:szCs w:val="18"/>
              </w:rPr>
            </w:pPr>
            <w:r>
              <w:rPr>
                <w:rFonts w:ascii="Times New Roman" w:hAnsi="Times New Roman"/>
                <w:sz w:val="18"/>
                <w:szCs w:val="18"/>
              </w:rPr>
              <w:t>16</w:t>
            </w:r>
          </w:p>
        </w:tc>
        <w:tc>
          <w:tcPr>
            <w:tcW w:w="1530" w:type="dxa"/>
          </w:tcPr>
          <w:p w:rsidRPr="009E46B3" w:rsidR="009E46B3" w:rsidP="009E46B3" w:rsidRDefault="009E46B3" w14:paraId="7BED2F0E" w14:textId="5C801BB8">
            <w:pPr>
              <w:jc w:val="right"/>
              <w:rPr>
                <w:rFonts w:ascii="Times New Roman" w:hAnsi="Times New Roman"/>
                <w:sz w:val="18"/>
                <w:szCs w:val="18"/>
              </w:rPr>
            </w:pPr>
            <w:r w:rsidRPr="00CE592F">
              <w:rPr>
                <w:rFonts w:ascii="Times New Roman" w:hAnsi="Times New Roman"/>
                <w:sz w:val="18"/>
                <w:szCs w:val="18"/>
              </w:rPr>
              <w:t>$50</w:t>
            </w:r>
          </w:p>
        </w:tc>
        <w:tc>
          <w:tcPr>
            <w:tcW w:w="1350" w:type="dxa"/>
          </w:tcPr>
          <w:p w:rsidRPr="009E46B3" w:rsidR="009E46B3" w:rsidP="009E46B3" w:rsidRDefault="009E46B3" w14:paraId="7BED2F0F" w14:textId="617C5287">
            <w:pPr>
              <w:jc w:val="right"/>
              <w:rPr>
                <w:rFonts w:ascii="Times New Roman" w:hAnsi="Times New Roman"/>
                <w:sz w:val="18"/>
                <w:szCs w:val="18"/>
              </w:rPr>
            </w:pPr>
            <w:r>
              <w:rPr>
                <w:rFonts w:ascii="Times New Roman" w:hAnsi="Times New Roman"/>
                <w:sz w:val="18"/>
                <w:szCs w:val="18"/>
              </w:rPr>
              <w:t>$800</w:t>
            </w:r>
          </w:p>
        </w:tc>
      </w:tr>
      <w:tr w:rsidRPr="006A6633" w:rsidR="009E46B3" w:rsidTr="009E46B3" w14:paraId="7BED2F1A" w14:textId="77777777">
        <w:tc>
          <w:tcPr>
            <w:tcW w:w="1345" w:type="dxa"/>
          </w:tcPr>
          <w:p w:rsidRPr="009E46B3" w:rsidR="009E46B3" w:rsidP="00AC2EDB" w:rsidRDefault="009E46B3" w14:paraId="7BED2F11" w14:textId="6C6A7D5E">
            <w:pPr>
              <w:rPr>
                <w:rFonts w:ascii="Times New Roman" w:hAnsi="Times New Roman"/>
                <w:sz w:val="20"/>
              </w:rPr>
            </w:pPr>
            <w:r w:rsidRPr="00B5143B">
              <w:rPr>
                <w:rFonts w:ascii="Times New Roman" w:hAnsi="Times New Roman"/>
                <w:sz w:val="20"/>
              </w:rPr>
              <w:t>84.425H Governor’s Education Stabilization Fund for Outlying Areas</w:t>
            </w:r>
            <w:r w:rsidRPr="00AC2EDB" w:rsidDel="001001B2">
              <w:rPr>
                <w:rFonts w:ascii="Times New Roman" w:hAnsi="Times New Roman"/>
                <w:sz w:val="20"/>
              </w:rPr>
              <w:t xml:space="preserve"> </w:t>
            </w:r>
          </w:p>
        </w:tc>
        <w:tc>
          <w:tcPr>
            <w:tcW w:w="1275" w:type="dxa"/>
          </w:tcPr>
          <w:p w:rsidRPr="009E46B3" w:rsidR="009E46B3" w:rsidP="009E46B3" w:rsidRDefault="009E46B3" w14:paraId="7BED2F14" w14:textId="4C587E00">
            <w:pPr>
              <w:jc w:val="right"/>
              <w:rPr>
                <w:rFonts w:ascii="Times New Roman" w:hAnsi="Times New Roman"/>
                <w:sz w:val="18"/>
                <w:szCs w:val="18"/>
              </w:rPr>
            </w:pPr>
            <w:r>
              <w:rPr>
                <w:rFonts w:ascii="Times New Roman" w:hAnsi="Times New Roman"/>
                <w:sz w:val="18"/>
                <w:szCs w:val="18"/>
              </w:rPr>
              <w:t>4</w:t>
            </w:r>
          </w:p>
        </w:tc>
        <w:tc>
          <w:tcPr>
            <w:tcW w:w="1080" w:type="dxa"/>
          </w:tcPr>
          <w:p w:rsidRPr="009E46B3" w:rsidR="009E46B3" w:rsidP="009E46B3" w:rsidRDefault="009E46B3" w14:paraId="7BED2F15" w14:textId="408275C1">
            <w:pPr>
              <w:jc w:val="right"/>
              <w:rPr>
                <w:rFonts w:ascii="Times New Roman" w:hAnsi="Times New Roman"/>
                <w:sz w:val="18"/>
                <w:szCs w:val="18"/>
              </w:rPr>
            </w:pPr>
            <w:r>
              <w:rPr>
                <w:rFonts w:ascii="Times New Roman" w:hAnsi="Times New Roman"/>
                <w:sz w:val="18"/>
                <w:szCs w:val="18"/>
              </w:rPr>
              <w:t>16</w:t>
            </w:r>
          </w:p>
        </w:tc>
        <w:tc>
          <w:tcPr>
            <w:tcW w:w="1335" w:type="dxa"/>
          </w:tcPr>
          <w:p w:rsidRPr="009E46B3" w:rsidR="009E46B3" w:rsidP="009E46B3" w:rsidRDefault="009E46B3" w14:paraId="7BED2F16" w14:textId="140A7E53">
            <w:pPr>
              <w:jc w:val="right"/>
              <w:rPr>
                <w:rFonts w:ascii="Times New Roman" w:hAnsi="Times New Roman"/>
                <w:sz w:val="18"/>
                <w:szCs w:val="18"/>
              </w:rPr>
            </w:pPr>
            <w:r>
              <w:rPr>
                <w:rFonts w:ascii="Times New Roman" w:hAnsi="Times New Roman"/>
                <w:sz w:val="18"/>
                <w:szCs w:val="18"/>
              </w:rPr>
              <w:t>1</w:t>
            </w:r>
          </w:p>
        </w:tc>
        <w:tc>
          <w:tcPr>
            <w:tcW w:w="900" w:type="dxa"/>
          </w:tcPr>
          <w:p w:rsidRPr="009E46B3" w:rsidR="009E46B3" w:rsidP="009E46B3" w:rsidRDefault="009E46B3" w14:paraId="7BED2F17" w14:textId="183A7FAA">
            <w:pPr>
              <w:jc w:val="right"/>
              <w:rPr>
                <w:rFonts w:ascii="Times New Roman" w:hAnsi="Times New Roman"/>
                <w:sz w:val="18"/>
                <w:szCs w:val="18"/>
              </w:rPr>
            </w:pPr>
            <w:r>
              <w:rPr>
                <w:rFonts w:ascii="Times New Roman" w:hAnsi="Times New Roman"/>
                <w:sz w:val="18"/>
                <w:szCs w:val="18"/>
              </w:rPr>
              <w:t>16</w:t>
            </w:r>
          </w:p>
        </w:tc>
        <w:tc>
          <w:tcPr>
            <w:tcW w:w="1530" w:type="dxa"/>
          </w:tcPr>
          <w:p w:rsidRPr="009E46B3" w:rsidR="009E46B3" w:rsidP="009E46B3" w:rsidRDefault="009E46B3" w14:paraId="7BED2F18" w14:textId="1911B695">
            <w:pPr>
              <w:jc w:val="right"/>
              <w:rPr>
                <w:rFonts w:ascii="Times New Roman" w:hAnsi="Times New Roman"/>
                <w:sz w:val="18"/>
                <w:szCs w:val="18"/>
              </w:rPr>
            </w:pPr>
            <w:r w:rsidRPr="009E46B3">
              <w:rPr>
                <w:rFonts w:ascii="Times New Roman" w:hAnsi="Times New Roman"/>
                <w:sz w:val="18"/>
                <w:szCs w:val="18"/>
              </w:rPr>
              <w:t>$50</w:t>
            </w:r>
          </w:p>
        </w:tc>
        <w:tc>
          <w:tcPr>
            <w:tcW w:w="1350" w:type="dxa"/>
          </w:tcPr>
          <w:p w:rsidRPr="009E46B3" w:rsidR="009E46B3" w:rsidP="009E46B3" w:rsidRDefault="009E46B3" w14:paraId="7BED2F19" w14:textId="276DE34E">
            <w:pPr>
              <w:jc w:val="right"/>
              <w:rPr>
                <w:rFonts w:ascii="Times New Roman" w:hAnsi="Times New Roman"/>
                <w:sz w:val="18"/>
                <w:szCs w:val="18"/>
              </w:rPr>
            </w:pPr>
            <w:r w:rsidRPr="009E46B3">
              <w:rPr>
                <w:rFonts w:ascii="Times New Roman" w:hAnsi="Times New Roman"/>
                <w:sz w:val="18"/>
                <w:szCs w:val="18"/>
              </w:rPr>
              <w:t>$</w:t>
            </w:r>
            <w:r>
              <w:rPr>
                <w:rFonts w:ascii="Times New Roman" w:hAnsi="Times New Roman"/>
                <w:sz w:val="18"/>
                <w:szCs w:val="18"/>
              </w:rPr>
              <w:t>800</w:t>
            </w:r>
          </w:p>
        </w:tc>
      </w:tr>
      <w:tr w:rsidRPr="006A6633" w:rsidR="009E46B3" w:rsidTr="009E46B3" w14:paraId="7BED2F24" w14:textId="77777777">
        <w:tc>
          <w:tcPr>
            <w:tcW w:w="1345" w:type="dxa"/>
          </w:tcPr>
          <w:p w:rsidRPr="009E46B3" w:rsidR="009E46B3" w:rsidP="00AC2EDB" w:rsidRDefault="009E46B3" w14:paraId="7BED2F1B" w14:textId="062AC2D7">
            <w:pPr>
              <w:rPr>
                <w:rFonts w:ascii="Times New Roman" w:hAnsi="Times New Roman"/>
                <w:sz w:val="20"/>
              </w:rPr>
            </w:pPr>
            <w:r w:rsidRPr="006A6633">
              <w:rPr>
                <w:rFonts w:ascii="Times New Roman" w:hAnsi="Times New Roman"/>
                <w:sz w:val="20"/>
              </w:rPr>
              <w:t>84.256A Republic of Palau</w:t>
            </w:r>
            <w:r w:rsidRPr="00AC2EDB" w:rsidDel="001001B2">
              <w:rPr>
                <w:rFonts w:ascii="Times New Roman" w:hAnsi="Times New Roman"/>
                <w:sz w:val="20"/>
              </w:rPr>
              <w:t xml:space="preserve"> </w:t>
            </w:r>
          </w:p>
        </w:tc>
        <w:tc>
          <w:tcPr>
            <w:tcW w:w="1275" w:type="dxa"/>
          </w:tcPr>
          <w:p w:rsidRPr="009E46B3" w:rsidR="009E46B3" w:rsidP="009E46B3" w:rsidRDefault="009E46B3" w14:paraId="7BED2F1E" w14:textId="0A173DE6">
            <w:pPr>
              <w:jc w:val="right"/>
              <w:rPr>
                <w:rFonts w:ascii="Times New Roman" w:hAnsi="Times New Roman"/>
                <w:sz w:val="18"/>
                <w:szCs w:val="18"/>
              </w:rPr>
            </w:pPr>
            <w:r w:rsidRPr="009E46B3">
              <w:rPr>
                <w:rFonts w:ascii="Times New Roman" w:hAnsi="Times New Roman"/>
                <w:sz w:val="18"/>
                <w:szCs w:val="18"/>
              </w:rPr>
              <w:t xml:space="preserve"> </w:t>
            </w:r>
            <w:r>
              <w:rPr>
                <w:rFonts w:ascii="Times New Roman" w:hAnsi="Times New Roman"/>
                <w:sz w:val="18"/>
                <w:szCs w:val="18"/>
              </w:rPr>
              <w:t>1</w:t>
            </w:r>
          </w:p>
        </w:tc>
        <w:tc>
          <w:tcPr>
            <w:tcW w:w="1080" w:type="dxa"/>
          </w:tcPr>
          <w:p w:rsidRPr="009E46B3" w:rsidR="009E46B3" w:rsidP="009E46B3" w:rsidRDefault="009E46B3" w14:paraId="7BED2F1F" w14:textId="59B4AB6A">
            <w:pPr>
              <w:jc w:val="right"/>
              <w:rPr>
                <w:rFonts w:ascii="Times New Roman" w:hAnsi="Times New Roman"/>
                <w:sz w:val="18"/>
                <w:szCs w:val="18"/>
              </w:rPr>
            </w:pPr>
            <w:r w:rsidRPr="009E46B3">
              <w:rPr>
                <w:rFonts w:ascii="Times New Roman" w:hAnsi="Times New Roman"/>
                <w:sz w:val="18"/>
                <w:szCs w:val="18"/>
              </w:rPr>
              <w:t xml:space="preserve">       </w:t>
            </w:r>
            <w:r>
              <w:rPr>
                <w:rFonts w:ascii="Times New Roman" w:hAnsi="Times New Roman"/>
                <w:sz w:val="18"/>
                <w:szCs w:val="18"/>
              </w:rPr>
              <w:t>4</w:t>
            </w:r>
          </w:p>
        </w:tc>
        <w:tc>
          <w:tcPr>
            <w:tcW w:w="1335" w:type="dxa"/>
          </w:tcPr>
          <w:p w:rsidRPr="009E46B3" w:rsidR="009E46B3" w:rsidP="009E46B3" w:rsidRDefault="009E46B3" w14:paraId="7BED2F20" w14:textId="2699DDA1">
            <w:pPr>
              <w:jc w:val="right"/>
              <w:rPr>
                <w:rFonts w:ascii="Times New Roman" w:hAnsi="Times New Roman"/>
                <w:sz w:val="18"/>
                <w:szCs w:val="18"/>
              </w:rPr>
            </w:pPr>
            <w:r w:rsidRPr="009E46B3">
              <w:rPr>
                <w:rFonts w:ascii="Times New Roman" w:hAnsi="Times New Roman"/>
                <w:sz w:val="18"/>
                <w:szCs w:val="18"/>
              </w:rPr>
              <w:t xml:space="preserve">        </w:t>
            </w:r>
            <w:r>
              <w:rPr>
                <w:rFonts w:ascii="Times New Roman" w:hAnsi="Times New Roman"/>
                <w:sz w:val="18"/>
                <w:szCs w:val="18"/>
              </w:rPr>
              <w:t>1</w:t>
            </w:r>
          </w:p>
        </w:tc>
        <w:tc>
          <w:tcPr>
            <w:tcW w:w="900" w:type="dxa"/>
          </w:tcPr>
          <w:p w:rsidRPr="009E46B3" w:rsidR="009E46B3" w:rsidP="009E46B3" w:rsidRDefault="009E46B3" w14:paraId="7BED2F21" w14:textId="78900291">
            <w:pPr>
              <w:jc w:val="right"/>
              <w:rPr>
                <w:rFonts w:ascii="Times New Roman" w:hAnsi="Times New Roman"/>
                <w:sz w:val="18"/>
                <w:szCs w:val="18"/>
              </w:rPr>
            </w:pPr>
            <w:r>
              <w:rPr>
                <w:rFonts w:ascii="Times New Roman" w:hAnsi="Times New Roman"/>
                <w:sz w:val="18"/>
                <w:szCs w:val="18"/>
              </w:rPr>
              <w:t>4</w:t>
            </w:r>
            <w:r w:rsidRPr="009E46B3">
              <w:rPr>
                <w:rFonts w:ascii="Times New Roman" w:hAnsi="Times New Roman"/>
                <w:sz w:val="18"/>
                <w:szCs w:val="18"/>
              </w:rPr>
              <w:t xml:space="preserve"> </w:t>
            </w:r>
          </w:p>
        </w:tc>
        <w:tc>
          <w:tcPr>
            <w:tcW w:w="1530" w:type="dxa"/>
          </w:tcPr>
          <w:p w:rsidRPr="009E46B3" w:rsidR="009E46B3" w:rsidP="009E46B3" w:rsidRDefault="009E46B3" w14:paraId="7BED2F22" w14:textId="7D403088">
            <w:pPr>
              <w:jc w:val="right"/>
              <w:rPr>
                <w:rFonts w:ascii="Times New Roman" w:hAnsi="Times New Roman"/>
                <w:sz w:val="18"/>
                <w:szCs w:val="18"/>
              </w:rPr>
            </w:pPr>
            <w:r w:rsidRPr="009E46B3">
              <w:rPr>
                <w:rFonts w:ascii="Times New Roman" w:hAnsi="Times New Roman"/>
                <w:sz w:val="18"/>
                <w:szCs w:val="18"/>
              </w:rPr>
              <w:t>$50</w:t>
            </w:r>
          </w:p>
        </w:tc>
        <w:tc>
          <w:tcPr>
            <w:tcW w:w="1350" w:type="dxa"/>
          </w:tcPr>
          <w:p w:rsidRPr="009E46B3" w:rsidR="009E46B3" w:rsidP="009E46B3" w:rsidRDefault="009E46B3" w14:paraId="7BED2F23" w14:textId="2650C08D">
            <w:pPr>
              <w:jc w:val="right"/>
              <w:rPr>
                <w:rFonts w:ascii="Times New Roman" w:hAnsi="Times New Roman"/>
                <w:sz w:val="18"/>
                <w:szCs w:val="18"/>
              </w:rPr>
            </w:pPr>
            <w:r w:rsidRPr="009E46B3">
              <w:rPr>
                <w:rFonts w:ascii="Times New Roman" w:hAnsi="Times New Roman"/>
                <w:sz w:val="18"/>
                <w:szCs w:val="18"/>
              </w:rPr>
              <w:t>$200</w:t>
            </w:r>
          </w:p>
        </w:tc>
      </w:tr>
      <w:tr w:rsidRPr="006A6633" w:rsidR="009E46B3" w:rsidTr="009E46B3" w14:paraId="7BED2F2E" w14:textId="77777777">
        <w:tc>
          <w:tcPr>
            <w:tcW w:w="1345" w:type="dxa"/>
          </w:tcPr>
          <w:p w:rsidRPr="009E46B3" w:rsidR="009E46B3" w:rsidP="00FE1BAE" w:rsidRDefault="009E46B3" w14:paraId="7BED2F25" w14:textId="77777777">
            <w:pPr>
              <w:rPr>
                <w:rFonts w:ascii="Times New Roman" w:hAnsi="Times New Roman"/>
                <w:sz w:val="18"/>
                <w:szCs w:val="18"/>
              </w:rPr>
            </w:pPr>
            <w:r w:rsidRPr="009E46B3">
              <w:rPr>
                <w:rFonts w:ascii="Times New Roman" w:hAnsi="Times New Roman"/>
                <w:sz w:val="18"/>
                <w:szCs w:val="18"/>
              </w:rPr>
              <w:t>Annualized Totals</w:t>
            </w:r>
          </w:p>
        </w:tc>
        <w:tc>
          <w:tcPr>
            <w:tcW w:w="1275" w:type="dxa"/>
          </w:tcPr>
          <w:p w:rsidRPr="009E46B3" w:rsidR="009E46B3" w:rsidP="009E46B3" w:rsidRDefault="009E46B3" w14:paraId="7BED2F28" w14:textId="6E00CF9F">
            <w:pPr>
              <w:jc w:val="right"/>
              <w:rPr>
                <w:rFonts w:ascii="Times New Roman" w:hAnsi="Times New Roman"/>
                <w:sz w:val="18"/>
                <w:szCs w:val="18"/>
              </w:rPr>
            </w:pPr>
            <w:r>
              <w:rPr>
                <w:rFonts w:ascii="Times New Roman" w:hAnsi="Times New Roman"/>
                <w:sz w:val="18"/>
                <w:szCs w:val="18"/>
              </w:rPr>
              <w:t>13</w:t>
            </w:r>
          </w:p>
        </w:tc>
        <w:tc>
          <w:tcPr>
            <w:tcW w:w="1080" w:type="dxa"/>
          </w:tcPr>
          <w:p w:rsidRPr="009E46B3" w:rsidR="009E46B3" w:rsidP="009E46B3" w:rsidRDefault="009E46B3" w14:paraId="7BED2F29" w14:textId="176CB440">
            <w:pPr>
              <w:jc w:val="right"/>
              <w:rPr>
                <w:rFonts w:ascii="Times New Roman" w:hAnsi="Times New Roman"/>
                <w:sz w:val="18"/>
                <w:szCs w:val="18"/>
              </w:rPr>
            </w:pPr>
            <w:r w:rsidRPr="009E46B3">
              <w:rPr>
                <w:rFonts w:ascii="Times New Roman" w:hAnsi="Times New Roman"/>
                <w:sz w:val="18"/>
                <w:szCs w:val="18"/>
              </w:rPr>
              <w:t xml:space="preserve">      </w:t>
            </w:r>
            <w:r>
              <w:rPr>
                <w:rFonts w:ascii="Times New Roman" w:hAnsi="Times New Roman"/>
                <w:sz w:val="18"/>
                <w:szCs w:val="18"/>
              </w:rPr>
              <w:t>52</w:t>
            </w:r>
          </w:p>
        </w:tc>
        <w:tc>
          <w:tcPr>
            <w:tcW w:w="1335" w:type="dxa"/>
          </w:tcPr>
          <w:p w:rsidRPr="009E46B3" w:rsidR="009E46B3" w:rsidP="009E46B3" w:rsidRDefault="009E46B3" w14:paraId="7BED2F2A" w14:textId="77777777">
            <w:pPr>
              <w:jc w:val="right"/>
              <w:rPr>
                <w:rFonts w:ascii="Times New Roman" w:hAnsi="Times New Roman"/>
                <w:sz w:val="18"/>
                <w:szCs w:val="18"/>
              </w:rPr>
            </w:pPr>
          </w:p>
        </w:tc>
        <w:tc>
          <w:tcPr>
            <w:tcW w:w="900" w:type="dxa"/>
          </w:tcPr>
          <w:p w:rsidRPr="009E46B3" w:rsidR="009E46B3" w:rsidP="009E46B3" w:rsidRDefault="009E46B3" w14:paraId="7BED2F2B" w14:textId="74ABE0A0">
            <w:pPr>
              <w:jc w:val="right"/>
              <w:rPr>
                <w:rFonts w:ascii="Times New Roman" w:hAnsi="Times New Roman"/>
                <w:sz w:val="18"/>
                <w:szCs w:val="18"/>
              </w:rPr>
            </w:pPr>
            <w:r w:rsidRPr="009E46B3">
              <w:rPr>
                <w:rFonts w:ascii="Times New Roman" w:hAnsi="Times New Roman"/>
                <w:sz w:val="18"/>
                <w:szCs w:val="18"/>
              </w:rPr>
              <w:t>52</w:t>
            </w:r>
          </w:p>
        </w:tc>
        <w:tc>
          <w:tcPr>
            <w:tcW w:w="1530" w:type="dxa"/>
          </w:tcPr>
          <w:p w:rsidRPr="009E46B3" w:rsidR="009E46B3" w:rsidP="009E46B3" w:rsidRDefault="009E46B3" w14:paraId="7BED2F2C" w14:textId="77777777">
            <w:pPr>
              <w:jc w:val="right"/>
              <w:rPr>
                <w:rFonts w:ascii="Times New Roman" w:hAnsi="Times New Roman"/>
                <w:sz w:val="18"/>
                <w:szCs w:val="18"/>
              </w:rPr>
            </w:pPr>
          </w:p>
        </w:tc>
        <w:tc>
          <w:tcPr>
            <w:tcW w:w="1350" w:type="dxa"/>
          </w:tcPr>
          <w:p w:rsidRPr="009E46B3" w:rsidR="009E46B3" w:rsidP="009E46B3" w:rsidRDefault="009E46B3" w14:paraId="7BED2F2D" w14:textId="06B157C0">
            <w:pPr>
              <w:jc w:val="right"/>
              <w:rPr>
                <w:rFonts w:ascii="Times New Roman" w:hAnsi="Times New Roman"/>
                <w:sz w:val="18"/>
                <w:szCs w:val="18"/>
              </w:rPr>
            </w:pPr>
            <w:r w:rsidRPr="009E46B3">
              <w:rPr>
                <w:rFonts w:ascii="Times New Roman" w:hAnsi="Times New Roman"/>
                <w:sz w:val="18"/>
                <w:szCs w:val="18"/>
              </w:rPr>
              <w:t>$2</w:t>
            </w:r>
            <w:r>
              <w:rPr>
                <w:rFonts w:ascii="Times New Roman" w:hAnsi="Times New Roman"/>
                <w:sz w:val="18"/>
                <w:szCs w:val="18"/>
              </w:rPr>
              <w:t>,</w:t>
            </w:r>
            <w:r w:rsidRPr="009E46B3">
              <w:rPr>
                <w:rFonts w:ascii="Times New Roman" w:hAnsi="Times New Roman"/>
                <w:sz w:val="18"/>
                <w:szCs w:val="18"/>
              </w:rPr>
              <w:t>600</w:t>
            </w:r>
          </w:p>
        </w:tc>
      </w:tr>
    </w:tbl>
    <w:p w:rsidRPr="009E46B3" w:rsidR="001A6AE0" w:rsidP="009E46B3" w:rsidRDefault="001A6AE0" w14:paraId="7BED2F2F" w14:textId="77777777">
      <w:pPr>
        <w:rPr>
          <w:sz w:val="18"/>
          <w:szCs w:val="18"/>
        </w:rPr>
      </w:pPr>
    </w:p>
    <w:p w:rsidRPr="00AF5D1A" w:rsidR="00F31BEC" w:rsidP="000446F5" w:rsidRDefault="00F31BEC" w14:paraId="7BED2F30"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7BED2F31"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7BED2F32"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7BED2F33" w14:textId="77777777">
      <w:pPr>
        <w:tabs>
          <w:tab w:val="left" w:pos="-720"/>
        </w:tabs>
        <w:suppressAutoHyphens/>
        <w:rPr>
          <w:rFonts w:ascii="Times New Roman" w:hAnsi="Times New Roman"/>
          <w:b/>
          <w:szCs w:val="24"/>
        </w:rPr>
      </w:pPr>
    </w:p>
    <w:p w:rsidRPr="00ED7195" w:rsidR="00043C32" w:rsidP="00AD381B" w:rsidRDefault="00043C32" w14:paraId="7BED2F34"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ED7195">
        <w:rPr>
          <w:rFonts w:ascii="Times New Roman" w:hAnsi="Times New Roman"/>
          <w:b/>
          <w:szCs w:val="24"/>
        </w:rPr>
        <w:lastRenderedPageBreak/>
        <w:t>monitoring, sampling, drilling and testing equipment; and acquiring and maintaining record storage facilities.</w:t>
      </w:r>
    </w:p>
    <w:p w:rsidRPr="00AD381B" w:rsidR="00043C32" w:rsidP="00AD381B" w:rsidRDefault="00043C32" w14:paraId="7BED2F35"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7BED2F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7BED2F37"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7BED2F3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7BED2F39" w14:textId="77777777">
      <w:pPr>
        <w:tabs>
          <w:tab w:val="left" w:pos="-720"/>
        </w:tabs>
        <w:suppressAutoHyphens/>
        <w:rPr>
          <w:rFonts w:ascii="Times New Roman" w:hAnsi="Times New Roman"/>
          <w:b/>
          <w:szCs w:val="24"/>
        </w:rPr>
      </w:pPr>
    </w:p>
    <w:p w:rsidRPr="00ED7195" w:rsidR="00043C32" w:rsidP="00AD381B" w:rsidRDefault="00043C32" w14:paraId="7BED2F3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7BED2F3B"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___________________</w:t>
      </w:r>
    </w:p>
    <w:p w:rsidRPr="00ED7195" w:rsidR="00043C32" w:rsidP="00AD381B" w:rsidRDefault="00043C32" w14:paraId="7BED2F3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7BED2F3D" w14:textId="0576D077">
      <w:pPr>
        <w:tabs>
          <w:tab w:val="left" w:pos="-720"/>
        </w:tabs>
        <w:suppressAutoHyphens/>
        <w:rPr>
          <w:rFonts w:ascii="Times New Roman" w:hAnsi="Times New Roman"/>
          <w:szCs w:val="24"/>
        </w:rPr>
      </w:pPr>
    </w:p>
    <w:p w:rsidRPr="00D30CA4" w:rsidR="007142AD" w:rsidP="00D30CA4" w:rsidRDefault="007142AD" w14:paraId="5CC74101" w14:textId="46FE1635">
      <w:pPr>
        <w:pStyle w:val="ListParagraph"/>
        <w:suppressAutoHyphens/>
        <w:spacing w:line="240" w:lineRule="exact"/>
        <w:rPr>
          <w:rFonts w:ascii="Times New Roman" w:hAnsi="Times New Roman"/>
          <w:szCs w:val="24"/>
        </w:rPr>
      </w:pPr>
      <w:r w:rsidRPr="00D30CA4">
        <w:rPr>
          <w:rFonts w:ascii="Times New Roman" w:hAnsi="Times New Roman"/>
          <w:szCs w:val="24"/>
        </w:rPr>
        <w:t>The RINAP Progress Updates for the foreseeable future will require no additional systems development efforts by grantees. There are no capital or startup costs associated with this Progress Update.</w:t>
      </w:r>
    </w:p>
    <w:p w:rsidR="007142AD" w:rsidP="007142AD" w:rsidRDefault="007142AD" w14:paraId="3A281389" w14:textId="6315B806">
      <w:pPr>
        <w:tabs>
          <w:tab w:val="left" w:pos="-720"/>
          <w:tab w:val="left" w:pos="1064"/>
        </w:tabs>
        <w:suppressAutoHyphens/>
        <w:rPr>
          <w:rFonts w:ascii="Times New Roman" w:hAnsi="Times New Roman"/>
          <w:szCs w:val="24"/>
        </w:rPr>
      </w:pPr>
    </w:p>
    <w:p w:rsidR="007142AD" w:rsidP="00AD381B" w:rsidRDefault="007142AD" w14:paraId="589E0988" w14:textId="77777777">
      <w:pPr>
        <w:tabs>
          <w:tab w:val="left" w:pos="-720"/>
        </w:tabs>
        <w:suppressAutoHyphens/>
        <w:rPr>
          <w:rFonts w:ascii="Times New Roman" w:hAnsi="Times New Roman"/>
          <w:szCs w:val="24"/>
        </w:rPr>
      </w:pPr>
    </w:p>
    <w:p w:rsidR="00043C32" w:rsidP="00AD381B" w:rsidRDefault="00043C32" w14:paraId="7BED2F3E" w14:textId="025C7F34">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80DBD" w:rsidP="00D80DBD" w:rsidRDefault="00D80DBD" w14:paraId="3188A869" w14:textId="62B198AA">
      <w:pPr>
        <w:pStyle w:val="ListParagraph"/>
        <w:tabs>
          <w:tab w:val="left" w:pos="-720"/>
        </w:tabs>
        <w:suppressAutoHyphens/>
        <w:ind w:left="900"/>
        <w:contextualSpacing w:val="0"/>
        <w:rPr>
          <w:rStyle w:val="a"/>
          <w:rFonts w:ascii="Times New Roman" w:hAnsi="Times New Roman"/>
          <w:b/>
          <w:szCs w:val="24"/>
        </w:rPr>
      </w:pPr>
    </w:p>
    <w:tbl>
      <w:tblPr>
        <w:tblW w:w="4476" w:type="pct"/>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05"/>
        <w:gridCol w:w="1202"/>
        <w:gridCol w:w="2750"/>
        <w:gridCol w:w="1813"/>
      </w:tblGrid>
      <w:tr w:rsidRPr="008D415E" w:rsidR="00D80DBD" w:rsidTr="009370A8" w14:paraId="3355272B" w14:textId="77777777">
        <w:tc>
          <w:tcPr>
            <w:tcW w:w="1556" w:type="pct"/>
            <w:vAlign w:val="center"/>
          </w:tcPr>
          <w:p w:rsidRPr="008D415E" w:rsidR="00D80DBD" w:rsidP="009370A8" w:rsidRDefault="00D80DBD" w14:paraId="2DDBBDCB" w14:textId="77777777">
            <w:pPr>
              <w:pStyle w:val="ListParagraph"/>
              <w:tabs>
                <w:tab w:val="left" w:pos="-360"/>
              </w:tabs>
              <w:rPr>
                <w:rFonts w:ascii="Times New Roman" w:hAnsi="Times New Roman"/>
                <w:b/>
                <w:sz w:val="20"/>
              </w:rPr>
            </w:pPr>
            <w:r w:rsidRPr="008D415E">
              <w:rPr>
                <w:rFonts w:ascii="Times New Roman" w:hAnsi="Times New Roman"/>
                <w:b/>
                <w:sz w:val="20"/>
              </w:rPr>
              <w:t>Collection</w:t>
            </w:r>
          </w:p>
        </w:tc>
        <w:tc>
          <w:tcPr>
            <w:tcW w:w="718" w:type="pct"/>
            <w:vAlign w:val="center"/>
          </w:tcPr>
          <w:p w:rsidRPr="008D415E" w:rsidR="00D80DBD" w:rsidP="009370A8" w:rsidRDefault="00D80DBD" w14:paraId="620CEF8F" w14:textId="77777777">
            <w:pPr>
              <w:tabs>
                <w:tab w:val="left" w:pos="-360"/>
              </w:tabs>
              <w:jc w:val="center"/>
              <w:rPr>
                <w:rFonts w:ascii="Times New Roman" w:hAnsi="Times New Roman"/>
                <w:b/>
                <w:sz w:val="20"/>
              </w:rPr>
            </w:pPr>
            <w:r w:rsidRPr="008D415E">
              <w:rPr>
                <w:rFonts w:ascii="Times New Roman" w:hAnsi="Times New Roman"/>
                <w:b/>
                <w:sz w:val="20"/>
              </w:rPr>
              <w:t xml:space="preserve">Number of Annual Interviews </w:t>
            </w:r>
          </w:p>
        </w:tc>
        <w:tc>
          <w:tcPr>
            <w:tcW w:w="1643" w:type="pct"/>
            <w:vAlign w:val="center"/>
          </w:tcPr>
          <w:p w:rsidRPr="008D415E" w:rsidR="00D80DBD" w:rsidP="009370A8" w:rsidRDefault="00D80DBD" w14:paraId="254F207C" w14:textId="77777777">
            <w:pPr>
              <w:tabs>
                <w:tab w:val="left" w:pos="-360"/>
              </w:tabs>
              <w:jc w:val="center"/>
              <w:rPr>
                <w:rFonts w:ascii="Times New Roman" w:hAnsi="Times New Roman"/>
                <w:b/>
                <w:sz w:val="20"/>
              </w:rPr>
            </w:pPr>
            <w:r w:rsidRPr="008D415E">
              <w:rPr>
                <w:rFonts w:ascii="Times New Roman" w:hAnsi="Times New Roman"/>
                <w:b/>
                <w:sz w:val="20"/>
              </w:rPr>
              <w:t>Hours of work per year (52 weeks/year; 40 hours/week)</w:t>
            </w:r>
          </w:p>
        </w:tc>
        <w:tc>
          <w:tcPr>
            <w:tcW w:w="1083" w:type="pct"/>
            <w:vAlign w:val="center"/>
          </w:tcPr>
          <w:p w:rsidRPr="008D415E" w:rsidR="00D80DBD" w:rsidP="009370A8" w:rsidRDefault="00D80DBD" w14:paraId="679DFF39" w14:textId="77777777">
            <w:pPr>
              <w:tabs>
                <w:tab w:val="left" w:pos="-360"/>
              </w:tabs>
              <w:jc w:val="center"/>
              <w:rPr>
                <w:rFonts w:ascii="Times New Roman" w:hAnsi="Times New Roman"/>
                <w:b/>
                <w:sz w:val="20"/>
              </w:rPr>
            </w:pPr>
            <w:r w:rsidRPr="008D415E">
              <w:rPr>
                <w:rFonts w:ascii="Times New Roman" w:hAnsi="Times New Roman"/>
                <w:b/>
                <w:sz w:val="20"/>
              </w:rPr>
              <w:t>Total Interview Hours</w:t>
            </w:r>
          </w:p>
        </w:tc>
      </w:tr>
      <w:tr w:rsidRPr="008D415E" w:rsidR="00D80DBD" w:rsidTr="009370A8" w14:paraId="5A590C35" w14:textId="77777777">
        <w:trPr>
          <w:trHeight w:val="143"/>
        </w:trPr>
        <w:tc>
          <w:tcPr>
            <w:tcW w:w="1556" w:type="pct"/>
            <w:vAlign w:val="center"/>
          </w:tcPr>
          <w:p w:rsidRPr="008D415E" w:rsidR="00D80DBD" w:rsidP="009370A8" w:rsidRDefault="00D80DBD" w14:paraId="64CC60F4" w14:textId="77777777">
            <w:pPr>
              <w:rPr>
                <w:rFonts w:ascii="Times New Roman" w:hAnsi="Times New Roman"/>
                <w:sz w:val="20"/>
              </w:rPr>
            </w:pPr>
            <w:r w:rsidRPr="008D415E">
              <w:rPr>
                <w:rFonts w:ascii="Times New Roman" w:hAnsi="Times New Roman"/>
                <w:sz w:val="20"/>
              </w:rPr>
              <w:t xml:space="preserve">84.403A </w:t>
            </w:r>
            <w:r w:rsidRPr="008D415E">
              <w:rPr>
                <w:rFonts w:ascii="Times New Roman" w:hAnsi="Times New Roman" w:eastAsia="Cambria"/>
                <w:color w:val="000000" w:themeColor="text1"/>
                <w:sz w:val="19"/>
                <w:szCs w:val="19"/>
              </w:rPr>
              <w:t>Consolidated Grants to the Insular Areas</w:t>
            </w:r>
          </w:p>
        </w:tc>
        <w:tc>
          <w:tcPr>
            <w:tcW w:w="718" w:type="pct"/>
            <w:vAlign w:val="center"/>
          </w:tcPr>
          <w:p w:rsidRPr="008D415E" w:rsidR="00D80DBD" w:rsidP="009370A8" w:rsidRDefault="00D80DBD" w14:paraId="0FB063A9" w14:textId="77777777">
            <w:pPr>
              <w:jc w:val="center"/>
              <w:rPr>
                <w:rFonts w:ascii="Times New Roman" w:hAnsi="Times New Roman"/>
                <w:b/>
                <w:bCs/>
                <w:sz w:val="20"/>
              </w:rPr>
            </w:pPr>
            <w:r w:rsidRPr="008D415E">
              <w:rPr>
                <w:rFonts w:ascii="Times New Roman" w:hAnsi="Times New Roman"/>
                <w:b/>
                <w:bCs/>
                <w:sz w:val="20"/>
              </w:rPr>
              <w:t>16</w:t>
            </w:r>
          </w:p>
        </w:tc>
        <w:tc>
          <w:tcPr>
            <w:tcW w:w="1643" w:type="pct"/>
            <w:vAlign w:val="center"/>
          </w:tcPr>
          <w:p w:rsidRPr="008D415E" w:rsidR="00D80DBD" w:rsidP="009370A8" w:rsidRDefault="00D80DBD" w14:paraId="7CEBF6E6" w14:textId="77777777">
            <w:pPr>
              <w:jc w:val="center"/>
              <w:rPr>
                <w:rFonts w:ascii="Times New Roman" w:hAnsi="Times New Roman"/>
                <w:sz w:val="20"/>
              </w:rPr>
            </w:pPr>
            <w:r w:rsidRPr="008D415E">
              <w:rPr>
                <w:rFonts w:ascii="Times New Roman" w:hAnsi="Times New Roman"/>
                <w:sz w:val="20"/>
              </w:rPr>
              <w:t>(1 per call, 4 times annually)</w:t>
            </w:r>
          </w:p>
        </w:tc>
        <w:tc>
          <w:tcPr>
            <w:tcW w:w="1083" w:type="pct"/>
            <w:vAlign w:val="center"/>
          </w:tcPr>
          <w:p w:rsidRPr="008D415E" w:rsidR="00D80DBD" w:rsidP="009370A8" w:rsidRDefault="00D80DBD" w14:paraId="036BD1B7" w14:textId="77777777">
            <w:pPr>
              <w:spacing w:line="259" w:lineRule="auto"/>
              <w:jc w:val="center"/>
              <w:rPr>
                <w:rFonts w:ascii="Times New Roman" w:hAnsi="Times New Roman"/>
              </w:rPr>
            </w:pPr>
            <w:r w:rsidRPr="008D415E">
              <w:rPr>
                <w:rFonts w:ascii="Times New Roman" w:hAnsi="Times New Roman"/>
                <w:b/>
                <w:bCs/>
                <w:sz w:val="20"/>
              </w:rPr>
              <w:t>16</w:t>
            </w:r>
          </w:p>
        </w:tc>
      </w:tr>
      <w:tr w:rsidRPr="008D415E" w:rsidR="00D80DBD" w:rsidTr="009370A8" w14:paraId="0185DAA2" w14:textId="77777777">
        <w:trPr>
          <w:trHeight w:val="143"/>
        </w:trPr>
        <w:tc>
          <w:tcPr>
            <w:tcW w:w="1556" w:type="pct"/>
            <w:vAlign w:val="center"/>
          </w:tcPr>
          <w:p w:rsidRPr="008D415E" w:rsidR="00D80DBD" w:rsidP="009370A8" w:rsidRDefault="00D80DBD" w14:paraId="253625F9" w14:textId="77777777">
            <w:pPr>
              <w:rPr>
                <w:rFonts w:ascii="Times New Roman" w:hAnsi="Times New Roman"/>
                <w:sz w:val="20"/>
              </w:rPr>
            </w:pPr>
            <w:r w:rsidRPr="008D415E">
              <w:rPr>
                <w:rFonts w:ascii="Times New Roman" w:hAnsi="Times New Roman"/>
                <w:sz w:val="20"/>
              </w:rPr>
              <w:t xml:space="preserve">84.425A and 84.425X </w:t>
            </w:r>
            <w:r w:rsidRPr="008D415E">
              <w:rPr>
                <w:rFonts w:ascii="Times New Roman" w:hAnsi="Times New Roman" w:eastAsia="Cambria"/>
                <w:sz w:val="20"/>
              </w:rPr>
              <w:t>Education Stabilization Fund and American Rescue Plan to the Outlying Areas</w:t>
            </w:r>
          </w:p>
          <w:p w:rsidRPr="008D415E" w:rsidR="00D80DBD" w:rsidP="009370A8" w:rsidRDefault="00D80DBD" w14:paraId="295B7755" w14:textId="77777777">
            <w:pPr>
              <w:rPr>
                <w:rFonts w:ascii="Times New Roman" w:hAnsi="Times New Roman"/>
                <w:sz w:val="20"/>
              </w:rPr>
            </w:pPr>
          </w:p>
        </w:tc>
        <w:tc>
          <w:tcPr>
            <w:tcW w:w="718" w:type="pct"/>
            <w:vAlign w:val="center"/>
          </w:tcPr>
          <w:p w:rsidRPr="008D415E" w:rsidR="00D80DBD" w:rsidP="009370A8" w:rsidRDefault="00D80DBD" w14:paraId="34FDC25C" w14:textId="77777777">
            <w:pPr>
              <w:jc w:val="center"/>
              <w:rPr>
                <w:rFonts w:ascii="Times New Roman" w:hAnsi="Times New Roman"/>
                <w:b/>
                <w:bCs/>
                <w:sz w:val="20"/>
              </w:rPr>
            </w:pPr>
            <w:r w:rsidRPr="008D415E">
              <w:rPr>
                <w:rFonts w:ascii="Times New Roman" w:hAnsi="Times New Roman"/>
                <w:b/>
                <w:bCs/>
                <w:sz w:val="20"/>
              </w:rPr>
              <w:t>16</w:t>
            </w:r>
          </w:p>
        </w:tc>
        <w:tc>
          <w:tcPr>
            <w:tcW w:w="1643" w:type="pct"/>
            <w:vAlign w:val="center"/>
          </w:tcPr>
          <w:p w:rsidRPr="008D415E" w:rsidR="00D80DBD" w:rsidP="009370A8" w:rsidRDefault="00D80DBD" w14:paraId="06160C08" w14:textId="77777777">
            <w:pPr>
              <w:jc w:val="center"/>
              <w:rPr>
                <w:rFonts w:ascii="Times New Roman" w:hAnsi="Times New Roman"/>
                <w:sz w:val="20"/>
              </w:rPr>
            </w:pPr>
            <w:r w:rsidRPr="008D415E">
              <w:rPr>
                <w:rFonts w:ascii="Times New Roman" w:hAnsi="Times New Roman"/>
                <w:sz w:val="20"/>
              </w:rPr>
              <w:t>(1 per call, 4 times annually)</w:t>
            </w:r>
          </w:p>
        </w:tc>
        <w:tc>
          <w:tcPr>
            <w:tcW w:w="1083" w:type="pct"/>
            <w:vAlign w:val="center"/>
          </w:tcPr>
          <w:p w:rsidRPr="008D415E" w:rsidR="00D80DBD" w:rsidP="009370A8" w:rsidRDefault="00D80DBD" w14:paraId="16D842C2" w14:textId="77777777">
            <w:pPr>
              <w:jc w:val="center"/>
              <w:rPr>
                <w:rFonts w:ascii="Times New Roman" w:hAnsi="Times New Roman"/>
                <w:b/>
                <w:bCs/>
                <w:sz w:val="20"/>
              </w:rPr>
            </w:pPr>
            <w:r w:rsidRPr="008D415E">
              <w:rPr>
                <w:rFonts w:ascii="Times New Roman" w:hAnsi="Times New Roman"/>
                <w:b/>
                <w:bCs/>
                <w:sz w:val="20"/>
              </w:rPr>
              <w:t>16</w:t>
            </w:r>
          </w:p>
        </w:tc>
      </w:tr>
      <w:tr w:rsidRPr="008D415E" w:rsidR="00D80DBD" w:rsidTr="009370A8" w14:paraId="386B62CE" w14:textId="77777777">
        <w:trPr>
          <w:trHeight w:val="143"/>
        </w:trPr>
        <w:tc>
          <w:tcPr>
            <w:tcW w:w="1556" w:type="pct"/>
            <w:vAlign w:val="center"/>
          </w:tcPr>
          <w:p w:rsidRPr="008D415E" w:rsidR="00D80DBD" w:rsidP="009370A8" w:rsidRDefault="00D80DBD" w14:paraId="07211747" w14:textId="77777777">
            <w:pPr>
              <w:rPr>
                <w:rFonts w:ascii="Times New Roman" w:hAnsi="Times New Roman"/>
                <w:sz w:val="20"/>
              </w:rPr>
            </w:pPr>
            <w:r w:rsidRPr="008D415E">
              <w:rPr>
                <w:rFonts w:ascii="Times New Roman" w:hAnsi="Times New Roman"/>
                <w:sz w:val="20"/>
              </w:rPr>
              <w:t xml:space="preserve">84.425H </w:t>
            </w:r>
            <w:r w:rsidRPr="008D415E">
              <w:rPr>
                <w:rFonts w:ascii="Times New Roman" w:hAnsi="Times New Roman" w:eastAsia="Cambria"/>
                <w:color w:val="000000" w:themeColor="text1"/>
                <w:sz w:val="19"/>
                <w:szCs w:val="19"/>
              </w:rPr>
              <w:t>Governor’s Education Stabilization Fund for Outlying Areas</w:t>
            </w:r>
          </w:p>
        </w:tc>
        <w:tc>
          <w:tcPr>
            <w:tcW w:w="718" w:type="pct"/>
            <w:vAlign w:val="center"/>
          </w:tcPr>
          <w:p w:rsidRPr="008D415E" w:rsidR="00D80DBD" w:rsidP="009370A8" w:rsidRDefault="00D80DBD" w14:paraId="1B86A888" w14:textId="77777777">
            <w:pPr>
              <w:jc w:val="center"/>
              <w:rPr>
                <w:rFonts w:ascii="Times New Roman" w:hAnsi="Times New Roman"/>
                <w:b/>
                <w:bCs/>
                <w:sz w:val="20"/>
              </w:rPr>
            </w:pPr>
            <w:r w:rsidRPr="008D415E">
              <w:rPr>
                <w:rFonts w:ascii="Times New Roman" w:hAnsi="Times New Roman"/>
                <w:b/>
                <w:bCs/>
                <w:sz w:val="20"/>
              </w:rPr>
              <w:t>16</w:t>
            </w:r>
          </w:p>
        </w:tc>
        <w:tc>
          <w:tcPr>
            <w:tcW w:w="1643" w:type="pct"/>
            <w:vAlign w:val="center"/>
          </w:tcPr>
          <w:p w:rsidRPr="008D415E" w:rsidR="00D80DBD" w:rsidP="009370A8" w:rsidRDefault="00D80DBD" w14:paraId="17FC2F0E" w14:textId="77777777">
            <w:pPr>
              <w:jc w:val="center"/>
              <w:rPr>
                <w:rFonts w:ascii="Times New Roman" w:hAnsi="Times New Roman"/>
                <w:sz w:val="20"/>
              </w:rPr>
            </w:pPr>
            <w:r w:rsidRPr="008D415E">
              <w:rPr>
                <w:rFonts w:ascii="Times New Roman" w:hAnsi="Times New Roman"/>
                <w:sz w:val="20"/>
              </w:rPr>
              <w:t>(1 per call, 4 times annually)</w:t>
            </w:r>
          </w:p>
        </w:tc>
        <w:tc>
          <w:tcPr>
            <w:tcW w:w="1083" w:type="pct"/>
            <w:vAlign w:val="center"/>
          </w:tcPr>
          <w:p w:rsidRPr="008D415E" w:rsidR="00D80DBD" w:rsidP="009370A8" w:rsidRDefault="00D80DBD" w14:paraId="40A5EC6A" w14:textId="77777777">
            <w:pPr>
              <w:jc w:val="center"/>
              <w:rPr>
                <w:rFonts w:ascii="Times New Roman" w:hAnsi="Times New Roman"/>
                <w:b/>
                <w:bCs/>
                <w:sz w:val="20"/>
              </w:rPr>
            </w:pPr>
            <w:r w:rsidRPr="008D415E">
              <w:rPr>
                <w:rFonts w:ascii="Times New Roman" w:hAnsi="Times New Roman"/>
                <w:b/>
                <w:bCs/>
                <w:sz w:val="20"/>
              </w:rPr>
              <w:t>16</w:t>
            </w:r>
          </w:p>
        </w:tc>
      </w:tr>
      <w:tr w:rsidRPr="008D415E" w:rsidR="00D80DBD" w:rsidTr="009370A8" w14:paraId="18912C1E" w14:textId="77777777">
        <w:trPr>
          <w:trHeight w:val="143"/>
        </w:trPr>
        <w:tc>
          <w:tcPr>
            <w:tcW w:w="1556" w:type="pct"/>
            <w:vAlign w:val="center"/>
          </w:tcPr>
          <w:p w:rsidRPr="008D415E" w:rsidR="00D80DBD" w:rsidP="009370A8" w:rsidRDefault="00D80DBD" w14:paraId="0ABA5527" w14:textId="77777777">
            <w:pPr>
              <w:rPr>
                <w:rFonts w:ascii="Times New Roman" w:hAnsi="Times New Roman"/>
                <w:sz w:val="20"/>
              </w:rPr>
            </w:pPr>
            <w:r w:rsidRPr="008D415E">
              <w:rPr>
                <w:rFonts w:ascii="Times New Roman" w:hAnsi="Times New Roman"/>
                <w:sz w:val="20"/>
              </w:rPr>
              <w:lastRenderedPageBreak/>
              <w:t>84.256A Republic of Palau</w:t>
            </w:r>
          </w:p>
        </w:tc>
        <w:tc>
          <w:tcPr>
            <w:tcW w:w="718" w:type="pct"/>
            <w:vAlign w:val="center"/>
          </w:tcPr>
          <w:p w:rsidRPr="008D415E" w:rsidR="00D80DBD" w:rsidP="009370A8" w:rsidRDefault="00D80DBD" w14:paraId="29616441" w14:textId="77777777">
            <w:pPr>
              <w:jc w:val="center"/>
              <w:rPr>
                <w:rFonts w:ascii="Times New Roman" w:hAnsi="Times New Roman"/>
                <w:b/>
                <w:bCs/>
                <w:sz w:val="20"/>
              </w:rPr>
            </w:pPr>
            <w:r w:rsidRPr="008D415E">
              <w:rPr>
                <w:rFonts w:ascii="Times New Roman" w:hAnsi="Times New Roman"/>
                <w:b/>
                <w:bCs/>
                <w:sz w:val="20"/>
              </w:rPr>
              <w:t>4</w:t>
            </w:r>
          </w:p>
        </w:tc>
        <w:tc>
          <w:tcPr>
            <w:tcW w:w="1643" w:type="pct"/>
            <w:vAlign w:val="center"/>
          </w:tcPr>
          <w:p w:rsidRPr="008D415E" w:rsidR="00D80DBD" w:rsidP="009370A8" w:rsidRDefault="00D80DBD" w14:paraId="184FD61A" w14:textId="77777777">
            <w:pPr>
              <w:jc w:val="center"/>
              <w:rPr>
                <w:rFonts w:ascii="Times New Roman" w:hAnsi="Times New Roman"/>
                <w:b/>
                <w:bCs/>
                <w:sz w:val="20"/>
              </w:rPr>
            </w:pPr>
            <w:r w:rsidRPr="008D415E">
              <w:rPr>
                <w:rFonts w:ascii="Times New Roman" w:hAnsi="Times New Roman"/>
                <w:sz w:val="20"/>
              </w:rPr>
              <w:t>(1 per call, 4 times annually)</w:t>
            </w:r>
          </w:p>
        </w:tc>
        <w:tc>
          <w:tcPr>
            <w:tcW w:w="1083" w:type="pct"/>
            <w:vAlign w:val="center"/>
          </w:tcPr>
          <w:p w:rsidRPr="008D415E" w:rsidR="00D80DBD" w:rsidP="009370A8" w:rsidRDefault="00D80DBD" w14:paraId="49D557AC" w14:textId="77777777">
            <w:pPr>
              <w:jc w:val="center"/>
              <w:rPr>
                <w:rFonts w:ascii="Times New Roman" w:hAnsi="Times New Roman"/>
                <w:b/>
                <w:bCs/>
                <w:sz w:val="20"/>
              </w:rPr>
            </w:pPr>
            <w:r w:rsidRPr="008D415E">
              <w:rPr>
                <w:rFonts w:ascii="Times New Roman" w:hAnsi="Times New Roman"/>
                <w:b/>
                <w:bCs/>
                <w:sz w:val="20"/>
              </w:rPr>
              <w:t>4</w:t>
            </w:r>
          </w:p>
        </w:tc>
      </w:tr>
      <w:tr w:rsidRPr="008D415E" w:rsidR="00D80DBD" w:rsidTr="009370A8" w14:paraId="3FB3C6D6" w14:textId="77777777">
        <w:trPr>
          <w:trHeight w:val="143"/>
        </w:trPr>
        <w:tc>
          <w:tcPr>
            <w:tcW w:w="1556" w:type="pct"/>
            <w:vAlign w:val="center"/>
          </w:tcPr>
          <w:p w:rsidRPr="008D415E" w:rsidR="00D80DBD" w:rsidP="009370A8" w:rsidRDefault="00D80DBD" w14:paraId="14562B15" w14:textId="77777777">
            <w:pPr>
              <w:rPr>
                <w:rFonts w:ascii="Times New Roman" w:hAnsi="Times New Roman"/>
                <w:sz w:val="20"/>
              </w:rPr>
            </w:pPr>
            <w:r w:rsidRPr="008D415E">
              <w:rPr>
                <w:rFonts w:ascii="Times New Roman" w:hAnsi="Times New Roman"/>
                <w:sz w:val="20"/>
              </w:rPr>
              <w:t>Total</w:t>
            </w:r>
          </w:p>
        </w:tc>
        <w:tc>
          <w:tcPr>
            <w:tcW w:w="718" w:type="pct"/>
            <w:vAlign w:val="center"/>
          </w:tcPr>
          <w:p w:rsidRPr="008D415E" w:rsidR="00D80DBD" w:rsidP="009370A8" w:rsidRDefault="00D80DBD" w14:paraId="48BF703D" w14:textId="77777777">
            <w:pPr>
              <w:jc w:val="center"/>
              <w:rPr>
                <w:rFonts w:ascii="Times New Roman" w:hAnsi="Times New Roman"/>
                <w:b/>
                <w:bCs/>
                <w:sz w:val="20"/>
              </w:rPr>
            </w:pPr>
            <w:r w:rsidRPr="008D415E">
              <w:rPr>
                <w:rFonts w:ascii="Times New Roman" w:hAnsi="Times New Roman"/>
                <w:b/>
                <w:bCs/>
                <w:sz w:val="20"/>
              </w:rPr>
              <w:t>52</w:t>
            </w:r>
          </w:p>
        </w:tc>
        <w:tc>
          <w:tcPr>
            <w:tcW w:w="1643" w:type="pct"/>
            <w:vAlign w:val="center"/>
          </w:tcPr>
          <w:p w:rsidRPr="008D415E" w:rsidR="00D80DBD" w:rsidP="009370A8" w:rsidRDefault="00D80DBD" w14:paraId="7341A30F" w14:textId="77777777">
            <w:pPr>
              <w:jc w:val="center"/>
              <w:rPr>
                <w:rFonts w:ascii="Times New Roman" w:hAnsi="Times New Roman"/>
                <w:b/>
                <w:bCs/>
                <w:sz w:val="20"/>
              </w:rPr>
            </w:pPr>
          </w:p>
        </w:tc>
        <w:tc>
          <w:tcPr>
            <w:tcW w:w="1083" w:type="pct"/>
            <w:vAlign w:val="center"/>
          </w:tcPr>
          <w:p w:rsidRPr="008D415E" w:rsidR="00D80DBD" w:rsidP="009370A8" w:rsidRDefault="00D80DBD" w14:paraId="38195A8E" w14:textId="77777777">
            <w:pPr>
              <w:jc w:val="center"/>
              <w:rPr>
                <w:rFonts w:ascii="Times New Roman" w:hAnsi="Times New Roman"/>
                <w:b/>
                <w:bCs/>
                <w:sz w:val="20"/>
              </w:rPr>
            </w:pPr>
            <w:r w:rsidRPr="008D415E">
              <w:rPr>
                <w:rFonts w:ascii="Times New Roman" w:hAnsi="Times New Roman"/>
                <w:b/>
                <w:bCs/>
                <w:sz w:val="20"/>
              </w:rPr>
              <w:t>52</w:t>
            </w:r>
          </w:p>
        </w:tc>
      </w:tr>
    </w:tbl>
    <w:p w:rsidRPr="008D415E" w:rsidR="00D80DBD" w:rsidP="00D80DBD" w:rsidRDefault="00D80DBD" w14:paraId="6EDFE3FE" w14:textId="77777777">
      <w:pPr>
        <w:widowControl w:val="0"/>
        <w:spacing w:line="279" w:lineRule="atLeast"/>
        <w:rPr>
          <w:rFonts w:ascii="Times New Roman" w:hAnsi="Times New Roman"/>
          <w:snapToGrid w:val="0"/>
        </w:rPr>
      </w:pPr>
    </w:p>
    <w:p w:rsidRPr="008D415E" w:rsidR="00D80DBD" w:rsidP="00D80DBD" w:rsidRDefault="00D80DBD" w14:paraId="1E3A88D4" w14:textId="77777777">
      <w:pPr>
        <w:ind w:left="720"/>
        <w:jc w:val="both"/>
        <w:rPr>
          <w:rFonts w:ascii="Times New Roman" w:hAnsi="Times New Roman"/>
          <w:snapToGrid w:val="0"/>
        </w:rPr>
      </w:pPr>
    </w:p>
    <w:p w:rsidRPr="008D415E" w:rsidR="00D80DBD" w:rsidP="007D1E1E" w:rsidRDefault="00D80DBD" w14:paraId="469FE2BD" w14:textId="77777777">
      <w:pPr>
        <w:ind w:left="720"/>
        <w:rPr>
          <w:rFonts w:ascii="Times New Roman" w:hAnsi="Times New Roman"/>
          <w:snapToGrid w:val="0"/>
        </w:rPr>
      </w:pPr>
      <w:r w:rsidRPr="008D415E">
        <w:rPr>
          <w:rFonts w:ascii="Times New Roman" w:hAnsi="Times New Roman"/>
          <w:snapToGrid w:val="0"/>
        </w:rPr>
        <w:t xml:space="preserve">The annualized cost for the Federal Government is estimated to be $2,600 (52 hours multiplied by an average </w:t>
      </w:r>
      <w:r w:rsidRPr="008D415E">
        <w:rPr>
          <w:rFonts w:ascii="Times New Roman" w:hAnsi="Times New Roman"/>
        </w:rPr>
        <w:t>wage</w:t>
      </w:r>
      <w:r w:rsidRPr="008D415E">
        <w:rPr>
          <w:rFonts w:ascii="Times New Roman" w:hAnsi="Times New Roman"/>
          <w:snapToGrid w:val="0"/>
        </w:rPr>
        <w:t xml:space="preserve"> of $50 per hour). There is a wide range of hourly salaries associated with RINAP Program Officers, making this estimation approximate.</w:t>
      </w:r>
    </w:p>
    <w:p w:rsidR="00534B4A" w:rsidP="00534B4A" w:rsidRDefault="00534B4A" w14:paraId="7BED2F40"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BED2F4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7BED2F42"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7BED2F43" w14:textId="0FCAE452">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D80DBD" w:rsidP="00800D30" w:rsidRDefault="00D80DBD" w14:paraId="75A5CB0B" w14:textId="746B5A1B">
      <w:pPr>
        <w:pStyle w:val="ListParagraph"/>
        <w:tabs>
          <w:tab w:val="left" w:pos="-720"/>
        </w:tabs>
        <w:suppressAutoHyphens/>
        <w:contextualSpacing w:val="0"/>
        <w:rPr>
          <w:rFonts w:ascii="Times New Roman" w:hAnsi="Times New Roman"/>
          <w:b/>
          <w:sz w:val="26"/>
          <w:szCs w:val="26"/>
        </w:rPr>
      </w:pPr>
    </w:p>
    <w:p w:rsidRPr="00756FD3" w:rsidR="00D80DBD" w:rsidP="00800D30" w:rsidRDefault="001006AE" w14:paraId="556CBA6A" w14:textId="6759A010">
      <w:pPr>
        <w:pStyle w:val="ListParagraph"/>
        <w:tabs>
          <w:tab w:val="left" w:pos="-720"/>
        </w:tabs>
        <w:suppressAutoHyphens/>
        <w:contextualSpacing w:val="0"/>
        <w:rPr>
          <w:rFonts w:ascii="Times New Roman" w:hAnsi="Times New Roman"/>
          <w:b/>
          <w:sz w:val="26"/>
          <w:szCs w:val="26"/>
        </w:rPr>
      </w:pPr>
      <w:r>
        <w:rPr>
          <w:rFonts w:ascii="Times New Roman" w:hAnsi="Times New Roman"/>
          <w:szCs w:val="24"/>
        </w:rPr>
        <w:t xml:space="preserve">There are no changes </w:t>
      </w:r>
      <w:r w:rsidR="009E1F59">
        <w:rPr>
          <w:rFonts w:ascii="Times New Roman" w:hAnsi="Times New Roman"/>
          <w:szCs w:val="24"/>
        </w:rPr>
        <w:t>requested.</w:t>
      </w:r>
    </w:p>
    <w:p w:rsidR="00534B4A" w:rsidP="00534B4A" w:rsidRDefault="00534B4A" w14:paraId="7BED2F4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7BED2F49" w14:textId="77777777">
        <w:tc>
          <w:tcPr>
            <w:tcW w:w="2048" w:type="dxa"/>
            <w:shd w:val="clear" w:color="auto" w:fill="D9D9D9" w:themeFill="background1" w:themeFillShade="D9"/>
          </w:tcPr>
          <w:p w:rsidR="0052073E" w:rsidP="00534B4A" w:rsidRDefault="0052073E" w14:paraId="7BED2F45" w14:textId="77777777">
            <w:pPr>
              <w:tabs>
                <w:tab w:val="left" w:pos="-720"/>
              </w:tabs>
              <w:suppressAutoHyphens/>
              <w:rPr>
                <w:rFonts w:ascii="Times New Roman" w:hAnsi="Times New Roman"/>
                <w:b/>
                <w:szCs w:val="24"/>
              </w:rPr>
            </w:pPr>
          </w:p>
        </w:tc>
        <w:tc>
          <w:tcPr>
            <w:tcW w:w="2048" w:type="dxa"/>
          </w:tcPr>
          <w:p w:rsidR="0052073E" w:rsidP="00534B4A" w:rsidRDefault="0052073E" w14:paraId="7BED2F46"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7BED2F4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BED2F48"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7BED2F4E" w14:textId="77777777">
        <w:tc>
          <w:tcPr>
            <w:tcW w:w="2048" w:type="dxa"/>
          </w:tcPr>
          <w:p w:rsidR="0052073E" w:rsidP="00534B4A" w:rsidRDefault="0052073E" w14:paraId="7BED2F4A"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7BED2F4B" w14:textId="77777777">
            <w:pPr>
              <w:tabs>
                <w:tab w:val="left" w:pos="-720"/>
              </w:tabs>
              <w:suppressAutoHyphens/>
              <w:rPr>
                <w:rFonts w:ascii="Times New Roman" w:hAnsi="Times New Roman"/>
                <w:b/>
                <w:szCs w:val="24"/>
              </w:rPr>
            </w:pPr>
          </w:p>
        </w:tc>
        <w:tc>
          <w:tcPr>
            <w:tcW w:w="2829" w:type="dxa"/>
          </w:tcPr>
          <w:p w:rsidRPr="00D30CA4" w:rsidR="0052073E" w:rsidP="00D30CA4" w:rsidRDefault="0052073E" w14:paraId="7BED2F4C" w14:textId="6512299F">
            <w:pPr>
              <w:pStyle w:val="ListParagraph"/>
              <w:suppressAutoHyphens/>
              <w:spacing w:line="240" w:lineRule="exact"/>
              <w:rPr>
                <w:rFonts w:ascii="Times New Roman" w:hAnsi="Times New Roman"/>
                <w:szCs w:val="24"/>
              </w:rPr>
            </w:pPr>
          </w:p>
        </w:tc>
        <w:tc>
          <w:tcPr>
            <w:tcW w:w="2520" w:type="dxa"/>
          </w:tcPr>
          <w:p w:rsidR="0052073E" w:rsidP="00534B4A" w:rsidRDefault="0052073E" w14:paraId="7BED2F4D" w14:textId="77777777">
            <w:pPr>
              <w:tabs>
                <w:tab w:val="left" w:pos="-720"/>
              </w:tabs>
              <w:suppressAutoHyphens/>
              <w:rPr>
                <w:rFonts w:ascii="Times New Roman" w:hAnsi="Times New Roman"/>
                <w:b/>
                <w:szCs w:val="24"/>
              </w:rPr>
            </w:pPr>
          </w:p>
        </w:tc>
      </w:tr>
      <w:tr w:rsidR="0052073E" w:rsidTr="0052073E" w14:paraId="7BED2F53" w14:textId="77777777">
        <w:tc>
          <w:tcPr>
            <w:tcW w:w="2048" w:type="dxa"/>
          </w:tcPr>
          <w:p w:rsidR="0052073E" w:rsidP="00534B4A" w:rsidRDefault="0052073E" w14:paraId="7BED2F4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Pr="00D30CA4" w:rsidR="0052073E" w:rsidP="00D30CA4" w:rsidRDefault="0052073E" w14:paraId="7BED2F50" w14:textId="77777777">
            <w:pPr>
              <w:pStyle w:val="ListParagraph"/>
              <w:suppressAutoHyphens/>
              <w:spacing w:line="240" w:lineRule="exact"/>
              <w:rPr>
                <w:rFonts w:ascii="Times New Roman" w:hAnsi="Times New Roman"/>
                <w:szCs w:val="24"/>
              </w:rPr>
            </w:pPr>
          </w:p>
        </w:tc>
        <w:tc>
          <w:tcPr>
            <w:tcW w:w="2829" w:type="dxa"/>
          </w:tcPr>
          <w:p w:rsidRPr="00D30CA4" w:rsidR="0052073E" w:rsidP="00D30CA4" w:rsidRDefault="0052073E" w14:paraId="7BED2F51" w14:textId="04D39D18">
            <w:pPr>
              <w:pStyle w:val="ListParagraph"/>
              <w:suppressAutoHyphens/>
              <w:spacing w:line="240" w:lineRule="exact"/>
              <w:rPr>
                <w:rFonts w:ascii="Times New Roman" w:hAnsi="Times New Roman"/>
                <w:szCs w:val="24"/>
              </w:rPr>
            </w:pPr>
          </w:p>
        </w:tc>
        <w:tc>
          <w:tcPr>
            <w:tcW w:w="2520" w:type="dxa"/>
          </w:tcPr>
          <w:p w:rsidR="0052073E" w:rsidP="00534B4A" w:rsidRDefault="0052073E" w14:paraId="7BED2F52" w14:textId="77777777">
            <w:pPr>
              <w:tabs>
                <w:tab w:val="left" w:pos="-720"/>
              </w:tabs>
              <w:suppressAutoHyphens/>
              <w:rPr>
                <w:rFonts w:ascii="Times New Roman" w:hAnsi="Times New Roman"/>
                <w:b/>
                <w:szCs w:val="24"/>
              </w:rPr>
            </w:pPr>
          </w:p>
        </w:tc>
      </w:tr>
      <w:tr w:rsidR="0052073E" w:rsidTr="0052073E" w14:paraId="7BED2F58" w14:textId="77777777">
        <w:tc>
          <w:tcPr>
            <w:tcW w:w="2048" w:type="dxa"/>
          </w:tcPr>
          <w:p w:rsidR="0052073E" w:rsidP="00534B4A" w:rsidRDefault="0052073E" w14:paraId="7BED2F5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Pr="00D30CA4" w:rsidR="0052073E" w:rsidP="00D30CA4" w:rsidRDefault="0052073E" w14:paraId="7BED2F55" w14:textId="77777777">
            <w:pPr>
              <w:pStyle w:val="ListParagraph"/>
              <w:suppressAutoHyphens/>
              <w:spacing w:line="240" w:lineRule="exact"/>
              <w:rPr>
                <w:rFonts w:ascii="Times New Roman" w:hAnsi="Times New Roman"/>
                <w:szCs w:val="24"/>
              </w:rPr>
            </w:pPr>
          </w:p>
        </w:tc>
        <w:tc>
          <w:tcPr>
            <w:tcW w:w="2829" w:type="dxa"/>
          </w:tcPr>
          <w:p w:rsidRPr="00D30CA4" w:rsidR="0052073E" w:rsidP="00D30CA4" w:rsidRDefault="0052073E" w14:paraId="7BED2F56" w14:textId="0B7C5C7B">
            <w:pPr>
              <w:pStyle w:val="ListParagraph"/>
              <w:suppressAutoHyphens/>
              <w:spacing w:line="240" w:lineRule="exact"/>
              <w:rPr>
                <w:rFonts w:ascii="Times New Roman" w:hAnsi="Times New Roman"/>
                <w:szCs w:val="24"/>
              </w:rPr>
            </w:pPr>
          </w:p>
        </w:tc>
        <w:tc>
          <w:tcPr>
            <w:tcW w:w="2520" w:type="dxa"/>
          </w:tcPr>
          <w:p w:rsidR="0052073E" w:rsidP="00534B4A" w:rsidRDefault="0052073E" w14:paraId="7BED2F57" w14:textId="77777777">
            <w:pPr>
              <w:tabs>
                <w:tab w:val="left" w:pos="-720"/>
              </w:tabs>
              <w:suppressAutoHyphens/>
              <w:rPr>
                <w:rFonts w:ascii="Times New Roman" w:hAnsi="Times New Roman"/>
                <w:b/>
                <w:szCs w:val="24"/>
              </w:rPr>
            </w:pPr>
          </w:p>
        </w:tc>
      </w:tr>
    </w:tbl>
    <w:p w:rsidR="00F27AAF" w:rsidP="00534B4A" w:rsidRDefault="00F27AAF" w14:paraId="7BED2F59" w14:textId="77777777">
      <w:pPr>
        <w:tabs>
          <w:tab w:val="left" w:pos="-720"/>
        </w:tabs>
        <w:suppressAutoHyphens/>
        <w:rPr>
          <w:rFonts w:ascii="Times New Roman" w:hAnsi="Times New Roman"/>
          <w:b/>
          <w:szCs w:val="24"/>
        </w:rPr>
      </w:pPr>
    </w:p>
    <w:p w:rsidRPr="00534B4A" w:rsidR="00534B4A" w:rsidP="00534B4A" w:rsidRDefault="00534B4A" w14:paraId="7BED2F5A" w14:textId="77777777">
      <w:pPr>
        <w:tabs>
          <w:tab w:val="left" w:pos="-720"/>
        </w:tabs>
        <w:suppressAutoHyphens/>
        <w:rPr>
          <w:rFonts w:ascii="Times New Roman" w:hAnsi="Times New Roman"/>
          <w:szCs w:val="24"/>
        </w:rPr>
      </w:pPr>
    </w:p>
    <w:p w:rsidR="00043C32" w:rsidP="00AD381B" w:rsidRDefault="00043C32" w14:paraId="7BED2F5B" w14:textId="6FA4FC01">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80DBD" w:rsidP="00D80DBD" w:rsidRDefault="00D80DBD" w14:paraId="5CD7BB98" w14:textId="77777777">
      <w:pPr>
        <w:pStyle w:val="ListParagraph"/>
        <w:jc w:val="both"/>
      </w:pPr>
    </w:p>
    <w:p w:rsidRPr="003162D5" w:rsidR="00D80DBD" w:rsidP="003162D5" w:rsidRDefault="00D80DBD" w14:paraId="4A2AC77C" w14:textId="2EAB80CE">
      <w:pPr>
        <w:pStyle w:val="ListParagraph"/>
        <w:suppressAutoHyphens/>
        <w:spacing w:line="240" w:lineRule="exact"/>
        <w:rPr>
          <w:rFonts w:ascii="Times New Roman" w:hAnsi="Times New Roman"/>
          <w:szCs w:val="24"/>
        </w:rPr>
      </w:pPr>
      <w:r w:rsidRPr="003162D5">
        <w:rPr>
          <w:rFonts w:ascii="Times New Roman" w:hAnsi="Times New Roman"/>
          <w:szCs w:val="24"/>
        </w:rPr>
        <w:t>Not applicable</w:t>
      </w:r>
      <w:r w:rsidR="003162D5">
        <w:rPr>
          <w:rFonts w:ascii="Times New Roman" w:hAnsi="Times New Roman"/>
          <w:szCs w:val="24"/>
        </w:rPr>
        <w:t>.</w:t>
      </w:r>
    </w:p>
    <w:p w:rsidRPr="00534B4A" w:rsidR="00534B4A" w:rsidP="00534B4A" w:rsidRDefault="00534B4A" w14:paraId="7BED2F5D" w14:textId="77777777">
      <w:pPr>
        <w:tabs>
          <w:tab w:val="left" w:pos="-720"/>
        </w:tabs>
        <w:suppressAutoHyphens/>
        <w:rPr>
          <w:rFonts w:ascii="Times New Roman" w:hAnsi="Times New Roman"/>
          <w:szCs w:val="24"/>
        </w:rPr>
      </w:pPr>
    </w:p>
    <w:p w:rsidR="00D80DBD" w:rsidP="00D80DBD" w:rsidRDefault="00043C32" w14:paraId="004B79E3" w14:textId="21CB86F3">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D80DBD" w:rsidP="00D80DBD" w:rsidRDefault="00D80DBD" w14:paraId="1804E84E" w14:textId="0F50AB84">
      <w:pPr>
        <w:pStyle w:val="ListParagraph"/>
        <w:tabs>
          <w:tab w:val="left" w:pos="-720"/>
        </w:tabs>
        <w:suppressAutoHyphens/>
        <w:ind w:left="907"/>
        <w:contextualSpacing w:val="0"/>
        <w:rPr>
          <w:rStyle w:val="a"/>
          <w:rFonts w:ascii="Times New Roman" w:hAnsi="Times New Roman"/>
          <w:b/>
          <w:szCs w:val="24"/>
        </w:rPr>
      </w:pPr>
    </w:p>
    <w:p w:rsidRPr="003162D5" w:rsidR="00D80DBD" w:rsidP="003162D5" w:rsidRDefault="00D80DBD" w14:paraId="24D09CC1" w14:textId="047930E3">
      <w:pPr>
        <w:pStyle w:val="ListParagraph"/>
        <w:suppressAutoHyphens/>
        <w:spacing w:line="240" w:lineRule="exact"/>
        <w:rPr>
          <w:rFonts w:ascii="Times New Roman" w:hAnsi="Times New Roman"/>
          <w:szCs w:val="24"/>
        </w:rPr>
      </w:pPr>
      <w:r w:rsidRPr="003162D5">
        <w:rPr>
          <w:rFonts w:ascii="Times New Roman" w:hAnsi="Times New Roman"/>
          <w:szCs w:val="24"/>
        </w:rPr>
        <w:t>Not applicable</w:t>
      </w:r>
      <w:r w:rsidR="003162D5">
        <w:rPr>
          <w:rFonts w:ascii="Times New Roman" w:hAnsi="Times New Roman"/>
          <w:szCs w:val="24"/>
        </w:rPr>
        <w:t>.</w:t>
      </w:r>
    </w:p>
    <w:p w:rsidRPr="00534B4A" w:rsidR="00534B4A" w:rsidP="00534B4A" w:rsidRDefault="00534B4A" w14:paraId="7BED2F60" w14:textId="77777777">
      <w:pPr>
        <w:tabs>
          <w:tab w:val="left" w:pos="-720"/>
        </w:tabs>
        <w:suppressAutoHyphens/>
        <w:ind w:left="360"/>
        <w:rPr>
          <w:rFonts w:ascii="Times New Roman" w:hAnsi="Times New Roman"/>
          <w:szCs w:val="24"/>
        </w:rPr>
      </w:pPr>
    </w:p>
    <w:p w:rsidR="00D80DBD" w:rsidP="00D80DBD" w:rsidRDefault="00043C32" w14:paraId="08E0723E" w14:textId="15E548FD">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D80DBD" w:rsidP="00D80DBD" w:rsidRDefault="00D80DBD" w14:paraId="182DE1DD" w14:textId="333E877E">
      <w:pPr>
        <w:pStyle w:val="ListParagraph"/>
        <w:tabs>
          <w:tab w:val="left" w:pos="-720"/>
        </w:tabs>
        <w:suppressAutoHyphens/>
        <w:ind w:left="900"/>
        <w:rPr>
          <w:rStyle w:val="a"/>
          <w:rFonts w:ascii="Times New Roman" w:hAnsi="Times New Roman"/>
          <w:b/>
          <w:szCs w:val="24"/>
        </w:rPr>
      </w:pPr>
    </w:p>
    <w:p w:rsidRPr="00593CE4" w:rsidR="00D80DBD" w:rsidP="00D80DBD" w:rsidRDefault="00D80DBD" w14:paraId="4B277B96" w14:textId="77777777">
      <w:pPr>
        <w:ind w:left="720"/>
        <w:jc w:val="both"/>
        <w:rPr>
          <w:rFonts w:cs="Arial" w:asciiTheme="majorHAnsi" w:hAnsiTheme="majorHAnsi"/>
        </w:rPr>
      </w:pPr>
      <w:r w:rsidRPr="00C64FA8">
        <w:rPr>
          <w:rFonts w:cs="Arial" w:asciiTheme="majorHAnsi" w:hAnsiTheme="majorHAnsi"/>
        </w:rPr>
        <w:t>Not applicable</w:t>
      </w:r>
      <w:r>
        <w:rPr>
          <w:rFonts w:cs="Arial" w:asciiTheme="majorHAnsi" w:hAnsiTheme="majorHAnsi"/>
        </w:rPr>
        <w:t>.</w:t>
      </w:r>
    </w:p>
    <w:p w:rsidRPr="00D80DBD" w:rsidR="00D80DBD" w:rsidP="00D80DBD" w:rsidRDefault="00D80DBD" w14:paraId="00E0CD0F" w14:textId="77777777">
      <w:pPr>
        <w:pStyle w:val="ListParagraph"/>
        <w:tabs>
          <w:tab w:val="left" w:pos="-720"/>
        </w:tabs>
        <w:suppressAutoHyphens/>
        <w:ind w:left="900"/>
        <w:rPr>
          <w:rFonts w:ascii="Times New Roman" w:hAnsi="Times New Roman"/>
          <w:b/>
          <w:szCs w:val="24"/>
        </w:rPr>
      </w:pPr>
    </w:p>
    <w:sectPr w:rsidRPr="00D80DBD" w:rsidR="00D80DBD"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4BC90" w14:textId="77777777" w:rsidR="00682060" w:rsidRDefault="00682060" w:rsidP="00043C32">
      <w:r>
        <w:separator/>
      </w:r>
    </w:p>
  </w:endnote>
  <w:endnote w:type="continuationSeparator" w:id="0">
    <w:p w14:paraId="6D70804A" w14:textId="77777777" w:rsidR="00682060" w:rsidRDefault="00682060"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2F66" w14:textId="77777777" w:rsidR="00386054" w:rsidRDefault="00C268AD">
    <w:pPr>
      <w:spacing w:before="140" w:line="100" w:lineRule="exact"/>
      <w:rPr>
        <w:sz w:val="10"/>
      </w:rPr>
    </w:pPr>
  </w:p>
  <w:p w14:paraId="7BED2F67" w14:textId="77777777" w:rsidR="00386054" w:rsidRDefault="00C268AD">
    <w:pPr>
      <w:tabs>
        <w:tab w:val="left" w:pos="0"/>
      </w:tabs>
      <w:suppressAutoHyphens/>
    </w:pPr>
  </w:p>
  <w:p w14:paraId="7BED2F68" w14:textId="77777777" w:rsidR="00386054" w:rsidRDefault="00043C32">
    <w:pPr>
      <w:tabs>
        <w:tab w:val="left" w:pos="0"/>
      </w:tabs>
      <w:suppressAutoHyphens/>
    </w:pPr>
    <w:r>
      <w:rPr>
        <w:noProof/>
      </w:rPr>
      <mc:AlternateContent>
        <mc:Choice Requires="wps">
          <w:drawing>
            <wp:inline distT="0" distB="0" distL="0" distR="0" wp14:anchorId="7BED2F69" wp14:editId="7BED2F6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7BED2F6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7BED2F6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DA11" w14:textId="77777777" w:rsidR="00682060" w:rsidRDefault="00682060" w:rsidP="00043C32">
      <w:r>
        <w:separator/>
      </w:r>
    </w:p>
  </w:footnote>
  <w:footnote w:type="continuationSeparator" w:id="0">
    <w:p w14:paraId="702E3337" w14:textId="77777777" w:rsidR="00682060" w:rsidRDefault="00682060" w:rsidP="00043C32">
      <w:r>
        <w:continuationSeparator/>
      </w:r>
    </w:p>
  </w:footnote>
  <w:footnote w:id="1">
    <w:p w14:paraId="7BED2F6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trackRevisions/>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3C26"/>
    <w:rsid w:val="00035ED5"/>
    <w:rsid w:val="00043C32"/>
    <w:rsid w:val="000446F5"/>
    <w:rsid w:val="00093017"/>
    <w:rsid w:val="000B0913"/>
    <w:rsid w:val="000D7341"/>
    <w:rsid w:val="001006AE"/>
    <w:rsid w:val="0013194C"/>
    <w:rsid w:val="00135A20"/>
    <w:rsid w:val="001407A8"/>
    <w:rsid w:val="001763AA"/>
    <w:rsid w:val="001824F3"/>
    <w:rsid w:val="001A6AE0"/>
    <w:rsid w:val="001C73C0"/>
    <w:rsid w:val="001E79BD"/>
    <w:rsid w:val="002225CC"/>
    <w:rsid w:val="00224A3B"/>
    <w:rsid w:val="00237050"/>
    <w:rsid w:val="00240A39"/>
    <w:rsid w:val="00246FE9"/>
    <w:rsid w:val="00250100"/>
    <w:rsid w:val="002574B8"/>
    <w:rsid w:val="00262A69"/>
    <w:rsid w:val="00270AF7"/>
    <w:rsid w:val="002A3221"/>
    <w:rsid w:val="002C3520"/>
    <w:rsid w:val="002E14E0"/>
    <w:rsid w:val="002F55E5"/>
    <w:rsid w:val="003162D5"/>
    <w:rsid w:val="0032078A"/>
    <w:rsid w:val="0032539E"/>
    <w:rsid w:val="003412C9"/>
    <w:rsid w:val="003860E4"/>
    <w:rsid w:val="003B1545"/>
    <w:rsid w:val="00412915"/>
    <w:rsid w:val="00414FFA"/>
    <w:rsid w:val="00442E07"/>
    <w:rsid w:val="004B2B41"/>
    <w:rsid w:val="0052073E"/>
    <w:rsid w:val="00534B4A"/>
    <w:rsid w:val="00575DDA"/>
    <w:rsid w:val="00581C11"/>
    <w:rsid w:val="00583F66"/>
    <w:rsid w:val="00614F17"/>
    <w:rsid w:val="00682060"/>
    <w:rsid w:val="0068567A"/>
    <w:rsid w:val="006A292A"/>
    <w:rsid w:val="006A38F7"/>
    <w:rsid w:val="006A4EBB"/>
    <w:rsid w:val="006A6633"/>
    <w:rsid w:val="006B2CA3"/>
    <w:rsid w:val="006B4172"/>
    <w:rsid w:val="006C220C"/>
    <w:rsid w:val="006C4C08"/>
    <w:rsid w:val="007043A6"/>
    <w:rsid w:val="00713B69"/>
    <w:rsid w:val="007142AD"/>
    <w:rsid w:val="00751A76"/>
    <w:rsid w:val="00755D99"/>
    <w:rsid w:val="00756FD3"/>
    <w:rsid w:val="00765392"/>
    <w:rsid w:val="00790E3E"/>
    <w:rsid w:val="007C0A4C"/>
    <w:rsid w:val="007D1E1E"/>
    <w:rsid w:val="007D6A8A"/>
    <w:rsid w:val="007F6104"/>
    <w:rsid w:val="007F7FFA"/>
    <w:rsid w:val="00800D30"/>
    <w:rsid w:val="00807D1A"/>
    <w:rsid w:val="0085460E"/>
    <w:rsid w:val="0086133A"/>
    <w:rsid w:val="00874EFE"/>
    <w:rsid w:val="00882126"/>
    <w:rsid w:val="008933F1"/>
    <w:rsid w:val="008945DD"/>
    <w:rsid w:val="008A67AD"/>
    <w:rsid w:val="008B506E"/>
    <w:rsid w:val="008D0601"/>
    <w:rsid w:val="008D1F11"/>
    <w:rsid w:val="008D415E"/>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1F59"/>
    <w:rsid w:val="009E2106"/>
    <w:rsid w:val="009E3E86"/>
    <w:rsid w:val="009E46B3"/>
    <w:rsid w:val="009F5FCC"/>
    <w:rsid w:val="00A01C03"/>
    <w:rsid w:val="00A118A2"/>
    <w:rsid w:val="00A23F26"/>
    <w:rsid w:val="00A36ABD"/>
    <w:rsid w:val="00A4001C"/>
    <w:rsid w:val="00A40AAB"/>
    <w:rsid w:val="00A46D01"/>
    <w:rsid w:val="00A66E3E"/>
    <w:rsid w:val="00A70816"/>
    <w:rsid w:val="00A73590"/>
    <w:rsid w:val="00A7636D"/>
    <w:rsid w:val="00A9138E"/>
    <w:rsid w:val="00AC1C89"/>
    <w:rsid w:val="00AC2EDB"/>
    <w:rsid w:val="00AD381B"/>
    <w:rsid w:val="00AF5B5B"/>
    <w:rsid w:val="00AF5D1A"/>
    <w:rsid w:val="00B017F9"/>
    <w:rsid w:val="00B06BAD"/>
    <w:rsid w:val="00B07213"/>
    <w:rsid w:val="00B10A05"/>
    <w:rsid w:val="00B54167"/>
    <w:rsid w:val="00B62E06"/>
    <w:rsid w:val="00B64B1D"/>
    <w:rsid w:val="00B77CE1"/>
    <w:rsid w:val="00B9671B"/>
    <w:rsid w:val="00BA1D31"/>
    <w:rsid w:val="00C164D3"/>
    <w:rsid w:val="00C20670"/>
    <w:rsid w:val="00C224FD"/>
    <w:rsid w:val="00C268AD"/>
    <w:rsid w:val="00C454EE"/>
    <w:rsid w:val="00C6109B"/>
    <w:rsid w:val="00C86713"/>
    <w:rsid w:val="00C875E8"/>
    <w:rsid w:val="00C92035"/>
    <w:rsid w:val="00CC2A72"/>
    <w:rsid w:val="00CC3FB5"/>
    <w:rsid w:val="00CD2067"/>
    <w:rsid w:val="00CD47BC"/>
    <w:rsid w:val="00CF7659"/>
    <w:rsid w:val="00D24B5C"/>
    <w:rsid w:val="00D30441"/>
    <w:rsid w:val="00D30CA4"/>
    <w:rsid w:val="00D34984"/>
    <w:rsid w:val="00D36C35"/>
    <w:rsid w:val="00D75313"/>
    <w:rsid w:val="00D80DBD"/>
    <w:rsid w:val="00DE1913"/>
    <w:rsid w:val="00E04DB6"/>
    <w:rsid w:val="00E16ACD"/>
    <w:rsid w:val="00E17134"/>
    <w:rsid w:val="00E25EBC"/>
    <w:rsid w:val="00E30E54"/>
    <w:rsid w:val="00E66550"/>
    <w:rsid w:val="00E877BF"/>
    <w:rsid w:val="00E91C57"/>
    <w:rsid w:val="00EA13D9"/>
    <w:rsid w:val="00EA1767"/>
    <w:rsid w:val="00EB0929"/>
    <w:rsid w:val="00EB0FA5"/>
    <w:rsid w:val="00EC01DD"/>
    <w:rsid w:val="00EC35E3"/>
    <w:rsid w:val="00ED7195"/>
    <w:rsid w:val="00EE6EB9"/>
    <w:rsid w:val="00F0414F"/>
    <w:rsid w:val="00F070F3"/>
    <w:rsid w:val="00F27AAF"/>
    <w:rsid w:val="00F31BEC"/>
    <w:rsid w:val="00F37E00"/>
    <w:rsid w:val="00F5782B"/>
    <w:rsid w:val="00F73131"/>
    <w:rsid w:val="00F8601A"/>
    <w:rsid w:val="00FC669D"/>
    <w:rsid w:val="00FD4F0B"/>
    <w:rsid w:val="00FE02FC"/>
    <w:rsid w:val="00FE1BAE"/>
    <w:rsid w:val="00FE5F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ED2EA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D6A8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8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866C2-BB27-4EDB-88DE-3B7673A84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www.w3.org/XML/1998/namespace"/>
    <ds:schemaRef ds:uri="http://purl.org/dc/terms/"/>
    <ds:schemaRef ds:uri="http://schemas.microsoft.com/office/2006/metadata/properties"/>
    <ds:schemaRef ds:uri="http://purl.org/dc/elements/1.1/"/>
    <ds:schemaRef ds:uri="fffff179-2dab-4947-9fab-f95d58deb4a1"/>
    <ds:schemaRef ds:uri="http://schemas.microsoft.com/office/2006/documentManagement/types"/>
    <ds:schemaRef ds:uri="http://schemas.openxmlformats.org/package/2006/metadata/core-properties"/>
    <ds:schemaRef ds:uri="http://schemas.microsoft.com/office/infopath/2007/PartnerControls"/>
    <ds:schemaRef ds:uri="b534e84d-31bc-4581-84de-2eeea5b49994"/>
    <ds:schemaRef ds:uri="http://purl.org/dc/dcmitype/"/>
  </ds:schemaRefs>
</ds:datastoreItem>
</file>

<file path=customXml/itemProps4.xml><?xml version="1.0" encoding="utf-8"?>
<ds:datastoreItem xmlns:ds="http://schemas.openxmlformats.org/officeDocument/2006/customXml" ds:itemID="{84D3A661-F978-4950-B7A5-2E989B135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2979</Words>
  <Characters>16986</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2021-10-01T11:12:00Z</dcterms:created>
  <dcterms:modified xsi:type="dcterms:W3CDTF">2021-10-01T11:12:00Z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