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3E45" w:rsidR="00A73E45" w:rsidP="00A73E45" w:rsidRDefault="005C7250" w14:paraId="1013428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Calibri" w:cs="Arial"/>
          <w:b/>
          <w:bCs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color w:val="002060"/>
          <w:sz w:val="20"/>
          <w:szCs w:val="20"/>
        </w:rPr>
        <w:object w:dxaOrig="1440" w:dyaOrig="1440" w14:anchorId="26CD538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44.85pt;margin-top:63pt;width:92.4pt;height:81pt;z-index:251658240;mso-wrap-distance-left:4.3pt;mso-wrap-distance-top:4.3pt;mso-wrap-distance-right:4.3pt;mso-wrap-distance-bottom:4.3pt;mso-position-horizontal-relative:page;mso-position-vertical-relative:page" o:allowincell="f" type="#_x0000_t75">
            <v:imagedata croptop="-303f" cropbottom="-303f" o:title="" r:id="rId11"/>
            <w10:wrap type="square" anchorx="page" anchory="page"/>
          </v:shape>
          <o:OLEObject Type="Embed" ProgID="PBrush" ShapeID="_x0000_s1026" DrawAspect="Content" ObjectID="_1695734057" r:id="rId12"/>
        </w:object>
      </w:r>
      <w:r w:rsidRPr="00A73E45" w:rsidR="00A73E45">
        <w:rPr>
          <w:rFonts w:ascii="Arial" w:hAnsi="Arial" w:eastAsia="Calibri" w:cs="Arial"/>
          <w:b/>
          <w:bCs/>
          <w:color w:val="002060"/>
          <w:sz w:val="24"/>
          <w:szCs w:val="24"/>
        </w:rPr>
        <w:t>UNITED STATES ENVIRONMENTAL PROTECTION AGENCY</w:t>
      </w:r>
    </w:p>
    <w:p w:rsidRPr="00A73E45" w:rsidR="00A73E45" w:rsidP="00A73E45" w:rsidRDefault="00A73E45" w14:paraId="4DEC643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Calibri" w:cs="Arial"/>
          <w:color w:val="002060"/>
        </w:rPr>
      </w:pPr>
      <w:r w:rsidRPr="00A73E45">
        <w:rPr>
          <w:rFonts w:ascii="Arial" w:hAnsi="Arial" w:eastAsia="Calibri" w:cs="Arial"/>
          <w:color w:val="002060"/>
        </w:rPr>
        <w:t>WASHINGTON, D.C. 20460</w:t>
      </w:r>
    </w:p>
    <w:p w:rsidRPr="00A73E45" w:rsidR="00A73E45" w:rsidP="00A73E45" w:rsidRDefault="00A73E45" w14:paraId="00CDD27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8"/>
          <w:szCs w:val="18"/>
        </w:rPr>
      </w:pPr>
    </w:p>
    <w:p w:rsidRPr="00A73E45" w:rsidR="00A73E45" w:rsidP="00A73E45" w:rsidRDefault="00A73E45" w14:paraId="731037C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8"/>
          <w:szCs w:val="18"/>
        </w:rPr>
      </w:pPr>
    </w:p>
    <w:p w:rsidRPr="00A73E45" w:rsidR="00A73E45" w:rsidP="00A73E45" w:rsidRDefault="00A73E45" w14:paraId="5038ECF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8"/>
          <w:szCs w:val="18"/>
        </w:rPr>
      </w:pPr>
    </w:p>
    <w:p w:rsidRPr="00A73E45" w:rsidR="00A73E45" w:rsidP="00A73E45" w:rsidRDefault="00340F00" w14:paraId="32E7A81B" w14:textId="134A4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October</w:t>
      </w:r>
      <w:r w:rsidRPr="00B02C0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936B00">
        <w:rPr>
          <w:rFonts w:ascii="Times New Roman" w:hAnsi="Times New Roman" w:eastAsia="Calibri" w:cs="Times New Roman"/>
          <w:sz w:val="24"/>
          <w:szCs w:val="24"/>
        </w:rPr>
        <w:t>14</w:t>
      </w:r>
      <w:r w:rsidRPr="00A73E45" w:rsidR="00A73E45">
        <w:rPr>
          <w:rFonts w:ascii="Times New Roman" w:hAnsi="Times New Roman" w:eastAsia="Calibri" w:cs="Times New Roman"/>
          <w:sz w:val="24"/>
          <w:szCs w:val="24"/>
        </w:rPr>
        <w:t>, 2021</w:t>
      </w:r>
    </w:p>
    <w:p w:rsidRPr="00A73E45" w:rsidR="00A73E45" w:rsidP="00A73E45" w:rsidRDefault="00A73E45" w14:paraId="7C28EE9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8"/>
          <w:szCs w:val="18"/>
        </w:rPr>
      </w:pPr>
    </w:p>
    <w:p w:rsidRPr="00A73E45" w:rsidR="00A73E45" w:rsidP="00A73E45" w:rsidRDefault="00A73E45" w14:paraId="4957294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sz w:val="18"/>
          <w:szCs w:val="18"/>
        </w:rPr>
      </w:pPr>
    </w:p>
    <w:p w:rsidRPr="00A73E45" w:rsidR="00A73E45" w:rsidP="00A73E45" w:rsidRDefault="00A73E45" w14:paraId="2FD812DD" w14:textId="77777777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color w:val="002060"/>
          <w:sz w:val="18"/>
          <w:szCs w:val="18"/>
        </w:rPr>
      </w:pPr>
      <w:r w:rsidRPr="00A73E45">
        <w:rPr>
          <w:rFonts w:ascii="Arial" w:hAnsi="Arial" w:eastAsia="Calibri" w:cs="Arial"/>
          <w:color w:val="002060"/>
          <w:sz w:val="18"/>
          <w:szCs w:val="18"/>
        </w:rPr>
        <w:tab/>
        <w:t>OFFICE OF</w:t>
      </w:r>
    </w:p>
    <w:p w:rsidRPr="00A73E45" w:rsidR="00A73E45" w:rsidP="00A73E45" w:rsidRDefault="00A73E45" w14:paraId="0F58825A" w14:textId="77777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eastAsia="Calibri" w:cs="Arial"/>
          <w:color w:val="002060"/>
          <w:sz w:val="18"/>
          <w:szCs w:val="18"/>
        </w:rPr>
      </w:pPr>
      <w:r w:rsidRPr="00A73E45">
        <w:rPr>
          <w:rFonts w:ascii="Arial" w:hAnsi="Arial" w:eastAsia="Calibri" w:cs="Arial"/>
          <w:color w:val="002060"/>
          <w:sz w:val="18"/>
          <w:szCs w:val="18"/>
        </w:rPr>
        <w:t>AIR AND RADIATION</w:t>
      </w:r>
    </w:p>
    <w:p w:rsidR="000A21B5" w:rsidP="00311EE8" w:rsidRDefault="000A21B5" w14:paraId="0680A775" w14:textId="7777777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311EE8" w:rsidP="00311EE8" w:rsidRDefault="00311EE8" w14:paraId="226D94E3" w14:textId="4E935DC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MEMORANDUM </w:t>
      </w:r>
    </w:p>
    <w:p w:rsidR="00311EE8" w:rsidP="00311EE8" w:rsidRDefault="00311EE8" w14:paraId="60F57F03" w14:textId="77777777">
      <w:pPr>
        <w:pStyle w:val="Default"/>
        <w:rPr>
          <w:sz w:val="23"/>
          <w:szCs w:val="23"/>
        </w:rPr>
      </w:pPr>
    </w:p>
    <w:p w:rsidR="00311EE8" w:rsidP="00311EE8" w:rsidRDefault="00311EE8" w14:paraId="451678EC" w14:textId="482E18C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SUBJECT: </w:t>
      </w:r>
      <w:r w:rsidRPr="00DF32EF" w:rsidR="00DF32EF">
        <w:rPr>
          <w:rFonts w:ascii="Times New Roman" w:hAnsi="Times New Roman" w:cs="Times New Roman"/>
          <w:sz w:val="23"/>
          <w:szCs w:val="23"/>
        </w:rPr>
        <w:t>Information Collection for</w:t>
      </w:r>
      <w:r w:rsidR="00DF32E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8792F" w:rsidR="00B8792F">
        <w:rPr>
          <w:rFonts w:ascii="Times New Roman" w:hAnsi="Times New Roman" w:cs="Times New Roman"/>
          <w:sz w:val="23"/>
          <w:szCs w:val="23"/>
        </w:rPr>
        <w:t>Initial</w:t>
      </w:r>
      <w:r w:rsidR="00B8792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8792F" w:rsidR="00B8792F">
        <w:rPr>
          <w:rFonts w:ascii="Times New Roman" w:hAnsi="Times New Roman" w:cs="Times New Roman"/>
          <w:sz w:val="23"/>
          <w:szCs w:val="23"/>
        </w:rPr>
        <w:t>Reporting of the Hydrofluorocarbon Allowance Allocation and Trading Program</w:t>
      </w:r>
      <w:r w:rsidRPr="00B02C0F">
        <w:rPr>
          <w:rFonts w:ascii="Times New Roman" w:hAnsi="Times New Roman" w:cs="Times New Roman"/>
          <w:sz w:val="23"/>
          <w:szCs w:val="23"/>
        </w:rPr>
        <w:t xml:space="preserve"> (OMB Control Number </w:t>
      </w:r>
      <w:r w:rsidRPr="00B02C0F" w:rsidR="00FF3F40">
        <w:rPr>
          <w:rFonts w:ascii="Times New Roman" w:hAnsi="Times New Roman" w:cs="Times New Roman"/>
          <w:sz w:val="23"/>
          <w:szCs w:val="23"/>
        </w:rPr>
        <w:t>2060</w:t>
      </w:r>
      <w:r w:rsidRPr="00B02C0F">
        <w:rPr>
          <w:rFonts w:ascii="Times New Roman" w:hAnsi="Times New Roman" w:cs="Times New Roman"/>
          <w:sz w:val="23"/>
          <w:szCs w:val="23"/>
        </w:rPr>
        <w:t xml:space="preserve">-NEW; EPA ICR </w:t>
      </w:r>
      <w:r w:rsidRPr="00FA3530">
        <w:rPr>
          <w:rFonts w:ascii="Times New Roman" w:hAnsi="Times New Roman" w:cs="Times New Roman"/>
          <w:sz w:val="23"/>
          <w:szCs w:val="23"/>
        </w:rPr>
        <w:t xml:space="preserve">Number </w:t>
      </w:r>
      <w:bookmarkStart w:name="_Hlk67496950" w:id="0"/>
      <w:r w:rsidRPr="00FA3530" w:rsidR="00FF3F40">
        <w:rPr>
          <w:rFonts w:ascii="Times New Roman" w:hAnsi="Times New Roman" w:cs="Times New Roman"/>
          <w:sz w:val="23"/>
          <w:szCs w:val="23"/>
        </w:rPr>
        <w:t>26</w:t>
      </w:r>
      <w:r w:rsidRPr="00FA3530" w:rsidR="008A28EB">
        <w:rPr>
          <w:rFonts w:ascii="Times New Roman" w:hAnsi="Times New Roman" w:cs="Times New Roman"/>
          <w:sz w:val="23"/>
          <w:szCs w:val="23"/>
        </w:rPr>
        <w:t>98</w:t>
      </w:r>
      <w:r w:rsidRPr="00FA3530" w:rsidR="00FF3F40">
        <w:rPr>
          <w:rFonts w:ascii="Times New Roman" w:hAnsi="Times New Roman" w:cs="Times New Roman"/>
          <w:sz w:val="23"/>
          <w:szCs w:val="23"/>
        </w:rPr>
        <w:t>.01</w:t>
      </w:r>
      <w:bookmarkEnd w:id="0"/>
      <w:r w:rsidRPr="00FA3530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311EE8" w:rsidP="00311EE8" w:rsidRDefault="00311EE8" w14:paraId="0A29BF9E" w14:textId="6A94219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11EE8" w:rsidP="00311EE8" w:rsidRDefault="005C7250" w14:paraId="7EA8C79E" w14:textId="2624F79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98A0D8B" wp14:anchorId="01ADF4C9">
            <wp:simplePos x="0" y="0"/>
            <wp:positionH relativeFrom="column">
              <wp:posOffset>3206750</wp:posOffset>
            </wp:positionH>
            <wp:positionV relativeFrom="paragraph">
              <wp:posOffset>75565</wp:posOffset>
            </wp:positionV>
            <wp:extent cx="120015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EE8">
        <w:rPr>
          <w:rFonts w:ascii="Times New Roman" w:hAnsi="Times New Roman" w:cs="Times New Roman"/>
          <w:b/>
          <w:bCs/>
          <w:sz w:val="23"/>
          <w:szCs w:val="23"/>
        </w:rPr>
        <w:t xml:space="preserve">FROM: </w:t>
      </w:r>
      <w:r w:rsidR="006C428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9945F8">
        <w:rPr>
          <w:rFonts w:ascii="Times New Roman" w:hAnsi="Times New Roman" w:cs="Times New Roman"/>
          <w:b/>
          <w:bCs/>
          <w:sz w:val="23"/>
          <w:szCs w:val="23"/>
        </w:rPr>
        <w:t>Christopher Grundler, Director</w:t>
      </w:r>
      <w:r w:rsidRPr="005C7250">
        <w:t xml:space="preserve"> </w:t>
      </w:r>
    </w:p>
    <w:p w:rsidR="009945F8" w:rsidP="00311EE8" w:rsidRDefault="009945F8" w14:paraId="12564AC9" w14:textId="51041EF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Office of Atmospheric Programs</w:t>
      </w:r>
    </w:p>
    <w:p w:rsidR="009945F8" w:rsidP="00311EE8" w:rsidRDefault="009945F8" w14:paraId="06A6073B" w14:textId="12F4F87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Office of Air and Radiation</w:t>
      </w:r>
    </w:p>
    <w:p w:rsidR="00311EE8" w:rsidP="00311EE8" w:rsidRDefault="00311EE8" w14:paraId="2BFEF395" w14:textId="7777777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11EE8" w:rsidP="00311EE8" w:rsidRDefault="00311EE8" w14:paraId="6ED36648" w14:textId="3845C83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THRU:</w:t>
      </w:r>
      <w:r w:rsidR="006C4288">
        <w:rPr>
          <w:rFonts w:ascii="Times New Roman" w:hAnsi="Times New Roman" w:cs="Times New Roman"/>
          <w:b/>
          <w:bCs/>
          <w:sz w:val="23"/>
          <w:szCs w:val="23"/>
        </w:rPr>
        <w:tab/>
        <w:t>Courtney Kerwin, Director</w:t>
      </w:r>
    </w:p>
    <w:p w:rsidR="006C4288" w:rsidP="00311EE8" w:rsidRDefault="006C4288" w14:paraId="389066D5" w14:textId="2CF3F379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Regulatory Support Division</w:t>
      </w:r>
    </w:p>
    <w:p w:rsidR="006C4288" w:rsidP="00311EE8" w:rsidRDefault="006C4288" w14:paraId="449DE8F9" w14:textId="0892382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Office of Mission Support</w:t>
      </w:r>
    </w:p>
    <w:p w:rsidR="00311EE8" w:rsidP="00311EE8" w:rsidRDefault="00311EE8" w14:paraId="3F07B91D" w14:textId="2BE8B48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11EE8" w:rsidP="00311EE8" w:rsidRDefault="00311EE8" w14:paraId="2655692D" w14:textId="1438BFD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TO:</w:t>
      </w:r>
      <w:r w:rsidR="006C428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225E3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C4288">
        <w:rPr>
          <w:rFonts w:ascii="Times New Roman" w:hAnsi="Times New Roman" w:cs="Times New Roman"/>
          <w:b/>
          <w:bCs/>
          <w:sz w:val="23"/>
          <w:szCs w:val="23"/>
        </w:rPr>
        <w:t>OMB Desk Officer for EPA’s Office of Air and Radiation</w:t>
      </w:r>
    </w:p>
    <w:p w:rsidR="006C4288" w:rsidP="00311EE8" w:rsidRDefault="006C4288" w14:paraId="31C9C45B" w14:textId="6023FE2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225E3F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Office of Information and Regulatory Affairs</w:t>
      </w:r>
    </w:p>
    <w:p w:rsidR="006C4288" w:rsidP="00311EE8" w:rsidRDefault="006C4288" w14:paraId="136F0571" w14:textId="5FDB269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225E3F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Office of Management and Budget</w:t>
      </w:r>
    </w:p>
    <w:p w:rsidR="00311EE8" w:rsidP="00311EE8" w:rsidRDefault="00311EE8" w14:paraId="35B09C72" w14:textId="7777777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Pr="00E22E38" w:rsidR="00311EE8" w:rsidP="00DB2E93" w:rsidRDefault="00311EE8" w14:paraId="536E84A0" w14:textId="052AA5E5">
      <w:pPr>
        <w:pStyle w:val="Defaul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22E38">
        <w:rPr>
          <w:rFonts w:ascii="Times New Roman" w:hAnsi="Times New Roman" w:cs="Times New Roman"/>
          <w:sz w:val="23"/>
          <w:szCs w:val="23"/>
        </w:rPr>
        <w:t xml:space="preserve">Pursuant to section 3507(j) of the Paperwork Reduction Act (PRA) (44 U.S.C. 3501 et seq.), as implemented in the Office of Management and Budget (OMB) regulations at 5 CFR §1320.13, the Environmental Protection Agency (EPA) is hereby requesting emergency processing of an information collection necessary to </w:t>
      </w:r>
      <w:r w:rsidRPr="00E22E38" w:rsidR="00E22E38">
        <w:rPr>
          <w:rFonts w:ascii="Times New Roman" w:hAnsi="Times New Roman" w:cs="Times New Roman"/>
          <w:sz w:val="23"/>
          <w:szCs w:val="23"/>
        </w:rPr>
        <w:t>begin collecting data required by</w:t>
      </w:r>
      <w:r w:rsidRPr="00E22E38">
        <w:rPr>
          <w:rFonts w:ascii="Times New Roman" w:hAnsi="Times New Roman" w:cs="Times New Roman"/>
          <w:sz w:val="23"/>
          <w:szCs w:val="23"/>
        </w:rPr>
        <w:t xml:space="preserve"> </w:t>
      </w:r>
      <w:r w:rsidRPr="00E22E38" w:rsidR="00E22E38">
        <w:rPr>
          <w:rFonts w:ascii="Times New Roman" w:hAnsi="Times New Roman" w:cs="Times New Roman"/>
          <w:sz w:val="23"/>
          <w:szCs w:val="23"/>
        </w:rPr>
        <w:t>the “Phasedown of Hydrofluorocarbons: Establishing the Allowance Allocation and Trading Program under the American Innovation and Manufacturing Act” rulemaking</w:t>
      </w:r>
      <w:r w:rsidRPr="00E22E38">
        <w:rPr>
          <w:rFonts w:ascii="Times New Roman" w:hAnsi="Times New Roman" w:cs="Times New Roman"/>
          <w:sz w:val="23"/>
          <w:szCs w:val="23"/>
        </w:rPr>
        <w:t>.</w:t>
      </w:r>
    </w:p>
    <w:p w:rsidRPr="00AA7E16" w:rsidR="00311EE8" w:rsidP="00DB2E93" w:rsidRDefault="00311EE8" w14:paraId="51E2C557" w14:textId="77777777">
      <w:pPr>
        <w:pStyle w:val="Default"/>
        <w:jc w:val="both"/>
        <w:rPr>
          <w:rFonts w:ascii="Times New Roman" w:hAnsi="Times New Roman" w:cs="Times New Roman"/>
          <w:sz w:val="23"/>
          <w:szCs w:val="23"/>
          <w:highlight w:val="cyan"/>
        </w:rPr>
      </w:pPr>
    </w:p>
    <w:p w:rsidR="009945F8" w:rsidP="00DB2E93" w:rsidRDefault="00311EE8" w14:paraId="19856820" w14:textId="071A9688">
      <w:pPr>
        <w:pStyle w:val="Defaul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145695">
        <w:rPr>
          <w:rFonts w:ascii="Times New Roman" w:hAnsi="Times New Roman" w:cs="Times New Roman"/>
          <w:sz w:val="23"/>
          <w:szCs w:val="23"/>
        </w:rPr>
        <w:t xml:space="preserve">This Information Collection Request (ICR) </w:t>
      </w:r>
      <w:r w:rsidRPr="00145695" w:rsidR="009945F8">
        <w:rPr>
          <w:rFonts w:ascii="Times New Roman" w:hAnsi="Times New Roman"/>
        </w:rPr>
        <w:t xml:space="preserve">is in response to the December 27, 2020, enactment of the </w:t>
      </w:r>
      <w:r w:rsidRPr="00145695" w:rsidR="009945F8">
        <w:rPr>
          <w:rFonts w:ascii="Times New Roman" w:hAnsi="Times New Roman" w:cs="Times New Roman"/>
          <w:sz w:val="23"/>
          <w:szCs w:val="23"/>
        </w:rPr>
        <w:t>American Innovation and Manufacturing Act (AIM) of 2020, included in the Consolidated Appropriations Act, of 2021</w:t>
      </w:r>
      <w:r w:rsidRPr="00145695" w:rsidR="009945F8">
        <w:rPr>
          <w:rFonts w:ascii="Times New Roman" w:hAnsi="Times New Roman"/>
        </w:rPr>
        <w:t>. The AIM Act directs EPA to address HFCs by providing new authorities to establish regulatory programs in three main areas: to phase down the production and consumption of listed HFCs, maximize reclamation and minimize releases of these HFCs and their substitutes in equipment, and facilitate the transition to next-generation technologies by restricting use of these HFCs in the sector or subsectors. This collection supports a rulemaking</w:t>
      </w:r>
      <w:r w:rsidR="00B02C0F">
        <w:rPr>
          <w:rFonts w:ascii="Times New Roman" w:hAnsi="Times New Roman"/>
        </w:rPr>
        <w:t xml:space="preserve"> </w:t>
      </w:r>
      <w:r w:rsidRPr="00145695" w:rsidR="009945F8">
        <w:rPr>
          <w:rFonts w:ascii="Times New Roman" w:hAnsi="Times New Roman"/>
        </w:rPr>
        <w:t>focusing on the first area – the phasedown of the production and consumption of HFCs.</w:t>
      </w:r>
    </w:p>
    <w:p w:rsidR="00311EE8" w:rsidP="00DB2E93" w:rsidRDefault="00311EE8" w14:paraId="247AA94A" w14:textId="777777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11EE8" w:rsidP="00DB2E93" w:rsidRDefault="00311EE8" w14:paraId="10BD453E" w14:textId="77777777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Information Collection is Essential to the Mission of the Agency </w:t>
      </w:r>
    </w:p>
    <w:p w:rsidR="00717073" w:rsidP="00DB2E93" w:rsidRDefault="00717073" w14:paraId="0D20DA12" w14:textId="777777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5974" w:rsidP="00C641D7" w:rsidRDefault="00311EE8" w14:paraId="604E7489" w14:textId="4EB4BC2F">
      <w:pPr>
        <w:pStyle w:val="Defaul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7440D">
        <w:rPr>
          <w:rFonts w:ascii="Times New Roman" w:hAnsi="Times New Roman" w:cs="Times New Roman"/>
          <w:sz w:val="23"/>
          <w:szCs w:val="23"/>
        </w:rPr>
        <w:t xml:space="preserve">This ICR </w:t>
      </w:r>
      <w:r w:rsidR="00717073">
        <w:rPr>
          <w:rFonts w:ascii="Times New Roman" w:hAnsi="Times New Roman" w:cs="Times New Roman"/>
          <w:sz w:val="23"/>
          <w:szCs w:val="23"/>
        </w:rPr>
        <w:t xml:space="preserve">will </w:t>
      </w:r>
      <w:r w:rsidRPr="0037440D">
        <w:rPr>
          <w:rFonts w:ascii="Times New Roman" w:hAnsi="Times New Roman" w:cs="Times New Roman"/>
          <w:sz w:val="23"/>
          <w:szCs w:val="23"/>
        </w:rPr>
        <w:t xml:space="preserve">collect data </w:t>
      </w:r>
      <w:r w:rsidR="006D74BE">
        <w:rPr>
          <w:rFonts w:ascii="Times New Roman" w:hAnsi="Times New Roman" w:cs="Times New Roman"/>
          <w:sz w:val="23"/>
          <w:szCs w:val="23"/>
        </w:rPr>
        <w:t xml:space="preserve">required </w:t>
      </w:r>
      <w:r w:rsidR="000D0FF4">
        <w:rPr>
          <w:rFonts w:ascii="Times New Roman" w:hAnsi="Times New Roman" w:cs="Times New Roman"/>
          <w:sz w:val="23"/>
          <w:szCs w:val="23"/>
        </w:rPr>
        <w:t>by</w:t>
      </w:r>
      <w:r w:rsidR="006C0172">
        <w:rPr>
          <w:rFonts w:ascii="Times New Roman" w:hAnsi="Times New Roman" w:cs="Times New Roman"/>
          <w:sz w:val="23"/>
          <w:szCs w:val="23"/>
        </w:rPr>
        <w:t xml:space="preserve"> the</w:t>
      </w:r>
      <w:r w:rsidR="00B02C0F">
        <w:rPr>
          <w:rFonts w:ascii="Times New Roman" w:hAnsi="Times New Roman" w:cs="Times New Roman"/>
          <w:sz w:val="23"/>
          <w:szCs w:val="23"/>
        </w:rPr>
        <w:t xml:space="preserve"> final rulemaking titled,</w:t>
      </w:r>
      <w:r w:rsidR="006C0172">
        <w:rPr>
          <w:rFonts w:ascii="Times New Roman" w:hAnsi="Times New Roman" w:cs="Times New Roman"/>
          <w:sz w:val="23"/>
          <w:szCs w:val="23"/>
        </w:rPr>
        <w:t xml:space="preserve"> “</w:t>
      </w:r>
      <w:r w:rsidRPr="00C641D7" w:rsidR="00C641D7">
        <w:rPr>
          <w:rFonts w:ascii="Times New Roman" w:hAnsi="Times New Roman" w:cs="Times New Roman"/>
          <w:sz w:val="23"/>
          <w:szCs w:val="23"/>
        </w:rPr>
        <w:t>Phasedown of Hydrofluorocarbons: Establishing the Allowance Allocation and Trading Program under the American Innovation and Manufacturing Act</w:t>
      </w:r>
      <w:r w:rsidR="00B02C0F">
        <w:rPr>
          <w:rFonts w:ascii="Times New Roman" w:hAnsi="Times New Roman" w:cs="Times New Roman"/>
          <w:sz w:val="23"/>
          <w:szCs w:val="23"/>
        </w:rPr>
        <w:t>.</w:t>
      </w:r>
      <w:r w:rsidR="00C641D7">
        <w:rPr>
          <w:rFonts w:ascii="Times New Roman" w:hAnsi="Times New Roman" w:cs="Times New Roman"/>
          <w:sz w:val="23"/>
          <w:szCs w:val="23"/>
        </w:rPr>
        <w:t>”</w:t>
      </w:r>
      <w:r w:rsidR="00B02C0F">
        <w:rPr>
          <w:rFonts w:ascii="Times New Roman" w:hAnsi="Times New Roman" w:cs="Times New Roman"/>
          <w:sz w:val="23"/>
          <w:szCs w:val="23"/>
        </w:rPr>
        <w:t xml:space="preserve"> Consistent with</w:t>
      </w:r>
      <w:r w:rsidR="00A07F21">
        <w:rPr>
          <w:rFonts w:ascii="Times New Roman" w:hAnsi="Times New Roman" w:cs="Times New Roman"/>
          <w:sz w:val="23"/>
          <w:szCs w:val="23"/>
        </w:rPr>
        <w:t xml:space="preserve"> and meeting</w:t>
      </w:r>
      <w:r w:rsidR="00B02C0F">
        <w:rPr>
          <w:rFonts w:ascii="Times New Roman" w:hAnsi="Times New Roman" w:cs="Times New Roman"/>
          <w:sz w:val="23"/>
          <w:szCs w:val="23"/>
        </w:rPr>
        <w:t xml:space="preserve"> </w:t>
      </w:r>
      <w:r w:rsidR="00A07F21">
        <w:rPr>
          <w:rFonts w:ascii="Times New Roman" w:hAnsi="Times New Roman" w:cs="Times New Roman"/>
          <w:sz w:val="23"/>
          <w:szCs w:val="23"/>
        </w:rPr>
        <w:t xml:space="preserve">the AIM Act’s statutory directive to issue a final rule within 270 days of enactment, the rule </w:t>
      </w:r>
      <w:r w:rsidR="00B02C0F">
        <w:rPr>
          <w:rFonts w:ascii="Times New Roman" w:hAnsi="Times New Roman"/>
        </w:rPr>
        <w:t xml:space="preserve">was signed by the Administrator on </w:t>
      </w:r>
      <w:r w:rsidR="00B02C0F">
        <w:rPr>
          <w:rFonts w:ascii="Times New Roman" w:hAnsi="Times New Roman"/>
        </w:rPr>
        <w:lastRenderedPageBreak/>
        <w:t>September 23, 2021</w:t>
      </w:r>
      <w:r w:rsidR="00E33DF9">
        <w:rPr>
          <w:rFonts w:ascii="Times New Roman" w:hAnsi="Times New Roman"/>
        </w:rPr>
        <w:t>,</w:t>
      </w:r>
      <w:r w:rsidR="00B245CD">
        <w:rPr>
          <w:rFonts w:ascii="Times New Roman" w:hAnsi="Times New Roman"/>
        </w:rPr>
        <w:t xml:space="preserve"> and was published in the Federal Register on October 5, 2021</w:t>
      </w:r>
      <w:r w:rsidR="005E0715">
        <w:rPr>
          <w:rFonts w:ascii="Times New Roman" w:hAnsi="Times New Roman"/>
        </w:rPr>
        <w:t xml:space="preserve"> (see </w:t>
      </w:r>
      <w:r w:rsidRPr="00E14B4A" w:rsidR="00E14B4A">
        <w:rPr>
          <w:rFonts w:ascii="Times New Roman" w:hAnsi="Times New Roman"/>
        </w:rPr>
        <w:t>86 FR 55116</w:t>
      </w:r>
      <w:r w:rsidR="00E14B4A">
        <w:rPr>
          <w:rFonts w:ascii="Times New Roman" w:hAnsi="Times New Roman"/>
        </w:rPr>
        <w:t>)</w:t>
      </w:r>
      <w:r w:rsidR="00B02C0F">
        <w:rPr>
          <w:rFonts w:ascii="Times New Roman" w:hAnsi="Times New Roman"/>
        </w:rPr>
        <w:t>. Parts of the rulemaking</w:t>
      </w:r>
      <w:r w:rsidR="00A07F21">
        <w:rPr>
          <w:rFonts w:ascii="Times New Roman" w:hAnsi="Times New Roman"/>
        </w:rPr>
        <w:t xml:space="preserve"> became operational upon signature, and this ICR is integral for immediate implementation of the AIM Act.</w:t>
      </w:r>
      <w:r w:rsidR="00E075D4">
        <w:rPr>
          <w:rFonts w:ascii="Times New Roman" w:hAnsi="Times New Roman" w:cs="Times New Roman"/>
          <w:sz w:val="23"/>
          <w:szCs w:val="23"/>
        </w:rPr>
        <w:t xml:space="preserve"> </w:t>
      </w:r>
      <w:r w:rsidR="00265974">
        <w:rPr>
          <w:rFonts w:ascii="Times New Roman" w:hAnsi="Times New Roman" w:cs="Times New Roman"/>
          <w:sz w:val="23"/>
          <w:szCs w:val="23"/>
        </w:rPr>
        <w:t xml:space="preserve">EPA anticipates that the </w:t>
      </w:r>
      <w:r w:rsidR="002E06E1">
        <w:rPr>
          <w:rFonts w:ascii="Times New Roman" w:hAnsi="Times New Roman" w:cs="Times New Roman"/>
          <w:sz w:val="23"/>
          <w:szCs w:val="23"/>
        </w:rPr>
        <w:t xml:space="preserve">following </w:t>
      </w:r>
      <w:r w:rsidR="00591004">
        <w:rPr>
          <w:rFonts w:ascii="Times New Roman" w:hAnsi="Times New Roman" w:cs="Times New Roman"/>
          <w:sz w:val="23"/>
          <w:szCs w:val="23"/>
        </w:rPr>
        <w:t>subset of</w:t>
      </w:r>
      <w:r w:rsidR="00265974">
        <w:rPr>
          <w:rFonts w:ascii="Times New Roman" w:hAnsi="Times New Roman" w:cs="Times New Roman"/>
          <w:sz w:val="23"/>
          <w:szCs w:val="23"/>
        </w:rPr>
        <w:t xml:space="preserve"> forms </w:t>
      </w:r>
      <w:r w:rsidR="00591004">
        <w:rPr>
          <w:rFonts w:ascii="Times New Roman" w:hAnsi="Times New Roman" w:cs="Times New Roman"/>
          <w:sz w:val="23"/>
          <w:szCs w:val="23"/>
        </w:rPr>
        <w:t xml:space="preserve">will need to be </w:t>
      </w:r>
      <w:r w:rsidR="00191AB5">
        <w:rPr>
          <w:rFonts w:ascii="Times New Roman" w:hAnsi="Times New Roman" w:cs="Times New Roman"/>
          <w:sz w:val="23"/>
          <w:szCs w:val="23"/>
        </w:rPr>
        <w:t xml:space="preserve">available </w:t>
      </w:r>
      <w:r w:rsidR="00E14B4A">
        <w:rPr>
          <w:rFonts w:ascii="Times New Roman" w:hAnsi="Times New Roman" w:cs="Times New Roman"/>
          <w:sz w:val="23"/>
          <w:szCs w:val="23"/>
        </w:rPr>
        <w:t xml:space="preserve">immediately </w:t>
      </w:r>
      <w:r w:rsidR="00265974">
        <w:rPr>
          <w:rFonts w:ascii="Times New Roman" w:hAnsi="Times New Roman" w:cs="Times New Roman"/>
          <w:sz w:val="23"/>
          <w:szCs w:val="23"/>
        </w:rPr>
        <w:t>under this ICR</w:t>
      </w:r>
      <w:r w:rsidR="002E06E1">
        <w:rPr>
          <w:rFonts w:ascii="Times New Roman" w:hAnsi="Times New Roman" w:cs="Times New Roman"/>
          <w:sz w:val="23"/>
          <w:szCs w:val="23"/>
        </w:rPr>
        <w:t>.</w:t>
      </w:r>
    </w:p>
    <w:p w:rsidR="00E14B4A" w:rsidP="00E14B4A" w:rsidRDefault="00E14B4A" w14:paraId="261574FA" w14:textId="24E69DB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14B4A" w:rsidP="00E14B4A" w:rsidRDefault="003745CA" w14:paraId="6A0817E0" w14:textId="44EAF6D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Entities</w:t>
      </w:r>
      <w:r w:rsidR="00E14B4A">
        <w:rPr>
          <w:rFonts w:ascii="Times New Roman" w:hAnsi="Times New Roman" w:cs="Times New Roman"/>
          <w:sz w:val="23"/>
          <w:szCs w:val="23"/>
        </w:rPr>
        <w:t xml:space="preserve"> must use </w:t>
      </w:r>
      <w:r w:rsidR="00E67379">
        <w:rPr>
          <w:rFonts w:ascii="Times New Roman" w:hAnsi="Times New Roman" w:cs="Times New Roman"/>
          <w:sz w:val="23"/>
          <w:szCs w:val="23"/>
        </w:rPr>
        <w:t>the following</w:t>
      </w:r>
      <w:r w:rsidR="005668D7">
        <w:rPr>
          <w:rFonts w:ascii="Times New Roman" w:hAnsi="Times New Roman" w:cs="Times New Roman"/>
          <w:sz w:val="23"/>
          <w:szCs w:val="23"/>
        </w:rPr>
        <w:t xml:space="preserve"> forms </w:t>
      </w:r>
      <w:r w:rsidR="00E14B4A">
        <w:rPr>
          <w:rFonts w:ascii="Times New Roman" w:hAnsi="Times New Roman" w:cs="Times New Roman"/>
          <w:sz w:val="23"/>
          <w:szCs w:val="23"/>
        </w:rPr>
        <w:t>to report as early as 11/1/2021:</w:t>
      </w:r>
    </w:p>
    <w:p w:rsidR="00E14B4A" w:rsidP="00E14B4A" w:rsidRDefault="00E14B4A" w14:paraId="2B22680E" w14:textId="66DF5B4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14B4A">
        <w:rPr>
          <w:rFonts w:ascii="Times New Roman" w:hAnsi="Times New Roman" w:cs="Times New Roman"/>
          <w:sz w:val="23"/>
          <w:szCs w:val="23"/>
        </w:rPr>
        <w:t>One-time Reports for Anti-dumping/Countervailing Duties</w:t>
      </w:r>
      <w:r>
        <w:rPr>
          <w:rFonts w:ascii="Times New Roman" w:hAnsi="Times New Roman" w:cs="Times New Roman"/>
          <w:sz w:val="23"/>
          <w:szCs w:val="23"/>
        </w:rPr>
        <w:t xml:space="preserve"> (due no later than 11/30/2021)</w:t>
      </w:r>
    </w:p>
    <w:p w:rsidR="00E14B4A" w:rsidP="00E14B4A" w:rsidRDefault="00E14B4A" w14:paraId="61FEBBAC" w14:textId="79C458D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14B4A">
        <w:rPr>
          <w:rFonts w:ascii="Times New Roman" w:hAnsi="Times New Roman" w:cs="Times New Roman"/>
          <w:sz w:val="23"/>
          <w:szCs w:val="23"/>
        </w:rPr>
        <w:t>Applications for the Set-aside Pool of Allowances</w:t>
      </w:r>
      <w:r>
        <w:rPr>
          <w:rFonts w:ascii="Times New Roman" w:hAnsi="Times New Roman" w:cs="Times New Roman"/>
          <w:sz w:val="23"/>
          <w:szCs w:val="23"/>
        </w:rPr>
        <w:t xml:space="preserve"> (due no later than 11/30/2021)</w:t>
      </w:r>
    </w:p>
    <w:p w:rsidRPr="00EC7D05" w:rsidR="00E14B4A" w:rsidP="00E14B4A" w:rsidRDefault="00E14B4A" w14:paraId="5388ED53" w14:textId="5B0B0D2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C7D05">
        <w:rPr>
          <w:rFonts w:ascii="Times New Roman" w:hAnsi="Times New Roman" w:cs="Times New Roman"/>
          <w:sz w:val="23"/>
          <w:szCs w:val="23"/>
        </w:rPr>
        <w:t>Petitions for Transformation or Destruction</w:t>
      </w:r>
      <w:r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="00E14B4A" w:rsidP="00E14B4A" w:rsidRDefault="00E14B4A" w14:paraId="5528697C" w14:textId="4F37BD5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C7D05">
        <w:rPr>
          <w:rFonts w:ascii="Times New Roman" w:hAnsi="Times New Roman" w:cs="Times New Roman"/>
          <w:sz w:val="23"/>
          <w:szCs w:val="23"/>
        </w:rPr>
        <w:t>Petitions for Destruction (Used)</w:t>
      </w:r>
      <w:r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="00E14B4A" w:rsidP="00E14B4A" w:rsidRDefault="00E14B4A" w14:paraId="2530DB13" w14:textId="194CD03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bookmarkStart w:name="_Hlk84413927" w:id="1"/>
    </w:p>
    <w:p w:rsidR="00E14B4A" w:rsidP="00E14B4A" w:rsidRDefault="003745CA" w14:paraId="32DD3A4E" w14:textId="0E5518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Entities</w:t>
      </w:r>
      <w:r w:rsidR="00E14B4A">
        <w:rPr>
          <w:rFonts w:ascii="Times New Roman" w:hAnsi="Times New Roman" w:cs="Times New Roman"/>
          <w:sz w:val="23"/>
          <w:szCs w:val="23"/>
        </w:rPr>
        <w:t xml:space="preserve"> must use </w:t>
      </w:r>
      <w:r w:rsidR="0007179A">
        <w:rPr>
          <w:rFonts w:ascii="Times New Roman" w:hAnsi="Times New Roman" w:cs="Times New Roman"/>
          <w:sz w:val="23"/>
          <w:szCs w:val="23"/>
        </w:rPr>
        <w:t>the following</w:t>
      </w:r>
      <w:r w:rsidR="005668D7">
        <w:rPr>
          <w:rFonts w:ascii="Times New Roman" w:hAnsi="Times New Roman" w:cs="Times New Roman"/>
          <w:sz w:val="23"/>
          <w:szCs w:val="23"/>
        </w:rPr>
        <w:t xml:space="preserve"> forms </w:t>
      </w:r>
      <w:r w:rsidR="00E14B4A">
        <w:rPr>
          <w:rFonts w:ascii="Times New Roman" w:hAnsi="Times New Roman" w:cs="Times New Roman"/>
          <w:sz w:val="23"/>
          <w:szCs w:val="23"/>
        </w:rPr>
        <w:t>to report as early as 1/1/2022:</w:t>
      </w:r>
    </w:p>
    <w:p w:rsidR="00265974" w:rsidP="00E14B4A" w:rsidRDefault="00265974" w14:paraId="4A6B5240" w14:textId="00D71EE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Request(s) for Additional Consumption Allowance(s)</w:t>
      </w:r>
      <w:r w:rsidR="0034558E"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="00265974" w:rsidP="00E14B4A" w:rsidRDefault="00265974" w14:paraId="6BA5F664" w14:textId="360F5423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Domestic Transfers of Allowances</w:t>
      </w:r>
      <w:r w:rsidR="0034558E"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="00265974" w:rsidP="00E14B4A" w:rsidRDefault="00265974" w14:paraId="13A4A36F" w14:textId="0BB42EE7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Sales and/or Transfers of Application-specific Allowances</w:t>
      </w:r>
      <w:r w:rsidR="0034558E"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Pr="00EC7D05" w:rsidR="00265974" w:rsidP="00E14B4A" w:rsidRDefault="00265974" w14:paraId="68882ED1" w14:textId="0D13591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C7D05">
        <w:rPr>
          <w:rFonts w:ascii="Times New Roman" w:hAnsi="Times New Roman" w:cs="Times New Roman"/>
          <w:sz w:val="23"/>
          <w:szCs w:val="23"/>
        </w:rPr>
        <w:t>Conferrals of Allowances</w:t>
      </w:r>
      <w:r w:rsidR="0034558E">
        <w:rPr>
          <w:rFonts w:ascii="Times New Roman" w:hAnsi="Times New Roman" w:cs="Times New Roman"/>
          <w:sz w:val="23"/>
          <w:szCs w:val="23"/>
        </w:rPr>
        <w:t xml:space="preserve"> (ongoing)</w:t>
      </w:r>
    </w:p>
    <w:p w:rsidRPr="00EC7D05" w:rsidR="003F5FFE" w:rsidP="00E14B4A" w:rsidRDefault="003F5FFE" w14:paraId="5F5F71B7" w14:textId="1C42DCB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C7D05">
        <w:rPr>
          <w:rFonts w:ascii="Times New Roman" w:hAnsi="Times New Roman" w:cs="Times New Roman"/>
          <w:sz w:val="23"/>
          <w:szCs w:val="23"/>
        </w:rPr>
        <w:t>One-time Reports for Reclaimers</w:t>
      </w:r>
      <w:r w:rsidR="00E14B4A">
        <w:rPr>
          <w:rFonts w:ascii="Times New Roman" w:hAnsi="Times New Roman" w:cs="Times New Roman"/>
          <w:sz w:val="23"/>
          <w:szCs w:val="23"/>
        </w:rPr>
        <w:t xml:space="preserve"> (due 2/14/2021)</w:t>
      </w:r>
    </w:p>
    <w:bookmarkEnd w:id="1"/>
    <w:p w:rsidR="003F5FFE" w:rsidP="003F5FFE" w:rsidRDefault="003F5FFE" w14:paraId="657429CB" w14:textId="0847104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FE1814" w:rsidP="003F5FFE" w:rsidRDefault="00FE1814" w14:paraId="294839B4" w14:textId="5FCF13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EPA is also seeking approval to use a </w:t>
      </w:r>
      <w:r w:rsidR="003745CA">
        <w:rPr>
          <w:rFonts w:ascii="Times New Roman" w:hAnsi="Times New Roman" w:cs="Times New Roman"/>
          <w:sz w:val="23"/>
          <w:szCs w:val="23"/>
        </w:rPr>
        <w:t xml:space="preserve">form on a </w:t>
      </w:r>
      <w:r>
        <w:rPr>
          <w:rFonts w:ascii="Times New Roman" w:hAnsi="Times New Roman" w:cs="Times New Roman"/>
          <w:sz w:val="23"/>
          <w:szCs w:val="23"/>
        </w:rPr>
        <w:t xml:space="preserve">voluntary </w:t>
      </w:r>
      <w:r w:rsidR="003745CA">
        <w:rPr>
          <w:rFonts w:ascii="Times New Roman" w:hAnsi="Times New Roman" w:cs="Times New Roman"/>
          <w:sz w:val="23"/>
          <w:szCs w:val="23"/>
        </w:rPr>
        <w:t>basis</w:t>
      </w:r>
      <w:r>
        <w:rPr>
          <w:rFonts w:ascii="Times New Roman" w:hAnsi="Times New Roman" w:cs="Times New Roman"/>
          <w:sz w:val="23"/>
          <w:szCs w:val="23"/>
        </w:rPr>
        <w:t xml:space="preserve"> to facilitate real-time review and clearance of HFC import data:</w:t>
      </w:r>
    </w:p>
    <w:p w:rsidR="00FE1814" w:rsidP="00FE1814" w:rsidRDefault="00FE1814" w14:paraId="69566F40" w14:textId="1569643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E1814">
        <w:rPr>
          <w:rFonts w:ascii="Times New Roman" w:hAnsi="Times New Roman" w:cs="Times New Roman"/>
          <w:sz w:val="23"/>
          <w:szCs w:val="23"/>
        </w:rPr>
        <w:t>HFC Importer Annual Reporting Form</w:t>
      </w:r>
    </w:p>
    <w:p w:rsidRPr="00EC7D05" w:rsidR="00FE1814" w:rsidP="00FE1814" w:rsidRDefault="00FE1814" w14:paraId="07356546" w14:textId="777777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5FFE" w:rsidP="00EC7D05" w:rsidRDefault="003F5FFE" w14:paraId="6AEB279F" w14:textId="61381EB0">
      <w:pPr>
        <w:pStyle w:val="Defaul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C7D05">
        <w:rPr>
          <w:rFonts w:ascii="Times New Roman" w:hAnsi="Times New Roman" w:cs="Times New Roman"/>
          <w:sz w:val="23"/>
          <w:szCs w:val="23"/>
        </w:rPr>
        <w:t>The most relevant subsection</w:t>
      </w:r>
      <w:r w:rsidR="005668D7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of the AIM Act that provide authority for this collection include subsections (d), (e), and (k).</w:t>
      </w:r>
    </w:p>
    <w:p w:rsidRPr="0037440D" w:rsidR="009945F8" w:rsidP="00DB2E93" w:rsidRDefault="009945F8" w14:paraId="0BAF4F39" w14:textId="1B1E3FA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Pr="00311EE8" w:rsidR="00311EE8" w:rsidP="00DB2E93" w:rsidRDefault="00311EE8" w14:paraId="6C32F39F" w14:textId="3577135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11EE8">
        <w:rPr>
          <w:rFonts w:ascii="Times New Roman" w:hAnsi="Times New Roman" w:cs="Times New Roman"/>
          <w:b/>
          <w:bCs/>
          <w:sz w:val="23"/>
          <w:szCs w:val="23"/>
        </w:rPr>
        <w:t xml:space="preserve">Information Collection Activities Involved in this Emergency Request </w:t>
      </w:r>
    </w:p>
    <w:p w:rsidRPr="00306ADD" w:rsidR="00306ADD" w:rsidP="00306ADD" w:rsidRDefault="00306ADD" w14:paraId="6707D8C8" w14:textId="178BCD73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06ADD">
        <w:rPr>
          <w:rFonts w:ascii="Times New Roman" w:hAnsi="Times New Roman" w:cs="Times New Roman"/>
          <w:sz w:val="23"/>
          <w:szCs w:val="23"/>
        </w:rPr>
        <w:t xml:space="preserve">EPA will leverage two existing </w:t>
      </w:r>
      <w:r w:rsidR="006723C2">
        <w:rPr>
          <w:rFonts w:ascii="Times New Roman" w:hAnsi="Times New Roman" w:cs="Times New Roman"/>
          <w:sz w:val="23"/>
          <w:szCs w:val="23"/>
        </w:rPr>
        <w:t xml:space="preserve">electronic </w:t>
      </w:r>
      <w:r w:rsidRPr="00306ADD">
        <w:rPr>
          <w:rFonts w:ascii="Times New Roman" w:hAnsi="Times New Roman" w:cs="Times New Roman"/>
          <w:sz w:val="23"/>
          <w:szCs w:val="23"/>
        </w:rPr>
        <w:t xml:space="preserve">reporting systems to collect and track </w:t>
      </w:r>
      <w:r w:rsidR="00ED6653">
        <w:rPr>
          <w:rFonts w:ascii="Times New Roman" w:hAnsi="Times New Roman" w:cs="Times New Roman"/>
          <w:sz w:val="23"/>
          <w:szCs w:val="23"/>
        </w:rPr>
        <w:t>data for all respondents</w:t>
      </w:r>
      <w:r w:rsidRPr="00306ADD">
        <w:rPr>
          <w:rFonts w:ascii="Times New Roman" w:hAnsi="Times New Roman" w:cs="Times New Roman"/>
          <w:sz w:val="23"/>
          <w:szCs w:val="23"/>
        </w:rPr>
        <w:t xml:space="preserve">: (1) </w:t>
      </w:r>
      <w:r w:rsidR="00ED6653">
        <w:rPr>
          <w:rFonts w:ascii="Times New Roman" w:hAnsi="Times New Roman" w:cs="Times New Roman"/>
          <w:sz w:val="23"/>
          <w:szCs w:val="23"/>
        </w:rPr>
        <w:t>the electronic Greenhouse Gas Reporting Tool (</w:t>
      </w:r>
      <w:r w:rsidRPr="00306ADD">
        <w:rPr>
          <w:rFonts w:ascii="Times New Roman" w:hAnsi="Times New Roman" w:cs="Times New Roman"/>
          <w:sz w:val="23"/>
          <w:szCs w:val="23"/>
        </w:rPr>
        <w:t>e-GGRT</w:t>
      </w:r>
      <w:r w:rsidR="00ED6653">
        <w:rPr>
          <w:rFonts w:ascii="Times New Roman" w:hAnsi="Times New Roman" w:cs="Times New Roman"/>
          <w:sz w:val="23"/>
          <w:szCs w:val="23"/>
        </w:rPr>
        <w:t>)</w:t>
      </w:r>
      <w:r w:rsidRPr="00306ADD">
        <w:rPr>
          <w:rFonts w:ascii="Times New Roman" w:hAnsi="Times New Roman" w:cs="Times New Roman"/>
          <w:sz w:val="23"/>
          <w:szCs w:val="23"/>
        </w:rPr>
        <w:t xml:space="preserve"> and (2) the ozone-depleting substance tracking system (ODSTS). EPA currently uses e-GGRT to collect and store data on </w:t>
      </w:r>
      <w:r w:rsidR="008B0C10">
        <w:rPr>
          <w:rFonts w:ascii="Times New Roman" w:hAnsi="Times New Roman" w:cs="Times New Roman"/>
          <w:sz w:val="23"/>
          <w:szCs w:val="23"/>
        </w:rPr>
        <w:t>greenhouse gases</w:t>
      </w:r>
      <w:r w:rsidRPr="00306ADD">
        <w:rPr>
          <w:rFonts w:ascii="Times New Roman" w:hAnsi="Times New Roman" w:cs="Times New Roman"/>
          <w:sz w:val="23"/>
          <w:szCs w:val="23"/>
        </w:rPr>
        <w:t xml:space="preserve"> (including HFCs) in accordance with the </w:t>
      </w:r>
      <w:r w:rsidRPr="006C612C" w:rsidR="006C612C">
        <w:rPr>
          <w:rFonts w:ascii="Times New Roman" w:hAnsi="Times New Roman" w:cs="Times New Roman"/>
          <w:sz w:val="23"/>
          <w:szCs w:val="23"/>
        </w:rPr>
        <w:t>Greenhouse Gas Reporting Program</w:t>
      </w:r>
      <w:r w:rsidRPr="00306ADD">
        <w:rPr>
          <w:rFonts w:ascii="Times New Roman" w:hAnsi="Times New Roman" w:cs="Times New Roman"/>
          <w:sz w:val="23"/>
          <w:szCs w:val="23"/>
        </w:rPr>
        <w:t xml:space="preserve"> (40 CFR </w:t>
      </w:r>
      <w:r w:rsidR="00E71B75">
        <w:rPr>
          <w:rFonts w:ascii="Times New Roman" w:hAnsi="Times New Roman" w:cs="Times New Roman"/>
          <w:sz w:val="23"/>
          <w:szCs w:val="23"/>
        </w:rPr>
        <w:t>P</w:t>
      </w:r>
      <w:r w:rsidRPr="00306ADD">
        <w:rPr>
          <w:rFonts w:ascii="Times New Roman" w:hAnsi="Times New Roman" w:cs="Times New Roman"/>
          <w:sz w:val="23"/>
          <w:szCs w:val="23"/>
        </w:rPr>
        <w:t xml:space="preserve">art 98), while the ODSTS is used by EPA to collect and track data on ozone-depleting substances that are reported in accordance with 40 CFR </w:t>
      </w:r>
      <w:r w:rsidR="00A2334C">
        <w:rPr>
          <w:rFonts w:ascii="Times New Roman" w:hAnsi="Times New Roman" w:cs="Times New Roman"/>
          <w:sz w:val="23"/>
          <w:szCs w:val="23"/>
        </w:rPr>
        <w:t>P</w:t>
      </w:r>
      <w:r w:rsidRPr="00306ADD">
        <w:rPr>
          <w:rFonts w:ascii="Times New Roman" w:hAnsi="Times New Roman" w:cs="Times New Roman"/>
          <w:sz w:val="23"/>
          <w:szCs w:val="23"/>
        </w:rPr>
        <w:t>art 82. Both systems are designed to collect and store CBI in compliance with U.S. government security standards.</w:t>
      </w:r>
      <w:r w:rsidR="005668D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06ADD" w:rsidP="00306ADD" w:rsidRDefault="00A90125" w14:paraId="33A48C4C" w14:textId="5FF68F6B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EPA will use </w:t>
      </w:r>
      <w:r w:rsidR="00F2465F">
        <w:rPr>
          <w:rFonts w:ascii="Times New Roman" w:hAnsi="Times New Roman" w:cs="Times New Roman"/>
          <w:sz w:val="23"/>
          <w:szCs w:val="23"/>
        </w:rPr>
        <w:t>the ODSTS to collect</w:t>
      </w:r>
      <w:r w:rsidR="00B82910">
        <w:rPr>
          <w:rFonts w:ascii="Times New Roman" w:hAnsi="Times New Roman" w:cs="Times New Roman"/>
          <w:sz w:val="23"/>
          <w:szCs w:val="23"/>
        </w:rPr>
        <w:t xml:space="preserve"> </w:t>
      </w:r>
      <w:r w:rsidR="00EC7D05">
        <w:rPr>
          <w:rFonts w:ascii="Times New Roman" w:hAnsi="Times New Roman" w:cs="Times New Roman"/>
          <w:sz w:val="23"/>
          <w:szCs w:val="23"/>
        </w:rPr>
        <w:t>requests</w:t>
      </w:r>
      <w:r w:rsidR="00B82910">
        <w:rPr>
          <w:rFonts w:ascii="Times New Roman" w:hAnsi="Times New Roman" w:cs="Times New Roman"/>
          <w:sz w:val="23"/>
          <w:szCs w:val="23"/>
        </w:rPr>
        <w:t xml:space="preserve"> for</w:t>
      </w:r>
      <w:r w:rsidR="00F2465F">
        <w:rPr>
          <w:rFonts w:ascii="Times New Roman" w:hAnsi="Times New Roman" w:cs="Times New Roman"/>
          <w:sz w:val="23"/>
          <w:szCs w:val="23"/>
        </w:rPr>
        <w:t xml:space="preserve"> set-aside </w:t>
      </w:r>
      <w:r w:rsidR="00552E94">
        <w:rPr>
          <w:rFonts w:ascii="Times New Roman" w:hAnsi="Times New Roman" w:cs="Times New Roman"/>
          <w:sz w:val="23"/>
          <w:szCs w:val="23"/>
        </w:rPr>
        <w:t>allowances</w:t>
      </w:r>
      <w:r w:rsidR="00F2465F">
        <w:rPr>
          <w:rFonts w:ascii="Times New Roman" w:hAnsi="Times New Roman" w:cs="Times New Roman"/>
          <w:sz w:val="23"/>
          <w:szCs w:val="23"/>
        </w:rPr>
        <w:t xml:space="preserve">, </w:t>
      </w:r>
      <w:r w:rsidRPr="003F7C41" w:rsidR="003F7C41">
        <w:rPr>
          <w:rFonts w:ascii="Times New Roman" w:hAnsi="Times New Roman" w:cs="Times New Roman"/>
          <w:sz w:val="23"/>
          <w:szCs w:val="23"/>
        </w:rPr>
        <w:t>antidumping and countervailing duties</w:t>
      </w:r>
      <w:r w:rsidR="003F7C41">
        <w:rPr>
          <w:rFonts w:ascii="Times New Roman" w:hAnsi="Times New Roman" w:cs="Times New Roman"/>
          <w:sz w:val="23"/>
          <w:szCs w:val="23"/>
        </w:rPr>
        <w:t xml:space="preserve"> (AD/CVD) documentation</w:t>
      </w:r>
      <w:r w:rsidR="005416A4">
        <w:rPr>
          <w:rFonts w:ascii="Times New Roman" w:hAnsi="Times New Roman" w:cs="Times New Roman"/>
          <w:sz w:val="23"/>
          <w:szCs w:val="23"/>
        </w:rPr>
        <w:t>, petitions to import used regulated substances for destruction</w:t>
      </w:r>
      <w:r w:rsidR="00FE1814">
        <w:rPr>
          <w:rFonts w:ascii="Times New Roman" w:hAnsi="Times New Roman" w:cs="Times New Roman"/>
          <w:sz w:val="23"/>
          <w:szCs w:val="23"/>
        </w:rPr>
        <w:t>, and the importer annual form (seeking information on the HFCs a company intends to import and their importer number)</w:t>
      </w:r>
      <w:r w:rsidR="005416A4">
        <w:rPr>
          <w:rFonts w:ascii="Times New Roman" w:hAnsi="Times New Roman" w:cs="Times New Roman"/>
          <w:sz w:val="23"/>
          <w:szCs w:val="23"/>
        </w:rPr>
        <w:t xml:space="preserve">. </w:t>
      </w:r>
      <w:r w:rsidR="00A9082F">
        <w:rPr>
          <w:rFonts w:ascii="Times New Roman" w:hAnsi="Times New Roman" w:cs="Times New Roman"/>
          <w:sz w:val="23"/>
          <w:szCs w:val="23"/>
        </w:rPr>
        <w:t>EPA will use e-GGRT to collect</w:t>
      </w:r>
      <w:r w:rsidR="00D3405F">
        <w:rPr>
          <w:rFonts w:ascii="Times New Roman" w:hAnsi="Times New Roman" w:cs="Times New Roman"/>
          <w:sz w:val="23"/>
          <w:szCs w:val="23"/>
        </w:rPr>
        <w:t xml:space="preserve"> </w:t>
      </w:r>
      <w:r w:rsidR="007D4C85">
        <w:rPr>
          <w:rFonts w:ascii="Times New Roman" w:hAnsi="Times New Roman" w:cs="Times New Roman"/>
          <w:sz w:val="23"/>
          <w:szCs w:val="23"/>
        </w:rPr>
        <w:t xml:space="preserve">all other </w:t>
      </w:r>
      <w:r w:rsidR="00D3405F">
        <w:rPr>
          <w:rFonts w:ascii="Times New Roman" w:hAnsi="Times New Roman" w:cs="Times New Roman"/>
          <w:sz w:val="23"/>
          <w:szCs w:val="23"/>
        </w:rPr>
        <w:t>report</w:t>
      </w:r>
      <w:r w:rsidR="007D4C85">
        <w:rPr>
          <w:rFonts w:ascii="Times New Roman" w:hAnsi="Times New Roman" w:cs="Times New Roman"/>
          <w:sz w:val="23"/>
          <w:szCs w:val="23"/>
        </w:rPr>
        <w:t>s</w:t>
      </w:r>
      <w:r w:rsidR="003F7C41">
        <w:rPr>
          <w:rFonts w:ascii="Times New Roman" w:hAnsi="Times New Roman" w:cs="Times New Roman"/>
          <w:sz w:val="23"/>
          <w:szCs w:val="23"/>
        </w:rPr>
        <w:t xml:space="preserve"> </w:t>
      </w:r>
      <w:r w:rsidR="005668D7">
        <w:rPr>
          <w:rFonts w:ascii="Times New Roman" w:hAnsi="Times New Roman" w:cs="Times New Roman"/>
          <w:sz w:val="23"/>
          <w:szCs w:val="23"/>
        </w:rPr>
        <w:t>listed above</w:t>
      </w:r>
      <w:r w:rsidR="00FE1814">
        <w:rPr>
          <w:rFonts w:ascii="Times New Roman" w:hAnsi="Times New Roman" w:cs="Times New Roman"/>
          <w:sz w:val="23"/>
          <w:szCs w:val="23"/>
        </w:rPr>
        <w:t>, including a supplemental form on past HFC imports for certain set-aside allowance applications</w:t>
      </w:r>
      <w:r w:rsidR="005668D7">
        <w:rPr>
          <w:rFonts w:ascii="Times New Roman" w:hAnsi="Times New Roman" w:cs="Times New Roman"/>
          <w:sz w:val="23"/>
          <w:szCs w:val="23"/>
        </w:rPr>
        <w:t xml:space="preserve">. </w:t>
      </w:r>
      <w:r w:rsidRPr="00306ADD" w:rsidR="00306ADD">
        <w:rPr>
          <w:rFonts w:ascii="Times New Roman" w:hAnsi="Times New Roman" w:cs="Times New Roman"/>
          <w:sz w:val="23"/>
          <w:szCs w:val="23"/>
        </w:rPr>
        <w:t>Following submission</w:t>
      </w:r>
      <w:r w:rsidR="008726BE">
        <w:rPr>
          <w:rFonts w:ascii="Times New Roman" w:hAnsi="Times New Roman" w:cs="Times New Roman"/>
          <w:sz w:val="23"/>
          <w:szCs w:val="23"/>
        </w:rPr>
        <w:t xml:space="preserve"> of data through </w:t>
      </w:r>
      <w:r w:rsidR="006723C2">
        <w:rPr>
          <w:rFonts w:ascii="Times New Roman" w:hAnsi="Times New Roman" w:cs="Times New Roman"/>
          <w:sz w:val="23"/>
          <w:szCs w:val="23"/>
        </w:rPr>
        <w:t>e-GGRT</w:t>
      </w:r>
      <w:r w:rsidRPr="00306ADD" w:rsidR="00306ADD">
        <w:rPr>
          <w:rFonts w:ascii="Times New Roman" w:hAnsi="Times New Roman" w:cs="Times New Roman"/>
          <w:sz w:val="23"/>
          <w:szCs w:val="23"/>
        </w:rPr>
        <w:t>, the data will be migrated into the ODSTS for the purposes of allowance tracking and management, leveraging the infrastructure of the allowance tracking system implemented for ODS.</w:t>
      </w:r>
    </w:p>
    <w:p w:rsidR="00A0670C" w:rsidP="000F3942" w:rsidRDefault="00D92856" w14:paraId="57EA593E" w14:textId="7635254D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Data elements requested for </w:t>
      </w:r>
      <w:r w:rsidR="000F3942">
        <w:rPr>
          <w:rFonts w:ascii="Times New Roman" w:hAnsi="Times New Roman" w:cs="Times New Roman"/>
          <w:sz w:val="23"/>
          <w:szCs w:val="23"/>
        </w:rPr>
        <w:t>respondents</w:t>
      </w:r>
      <w:r w:rsidRPr="43F6E9E0" w:rsidR="00A0670C">
        <w:rPr>
          <w:rFonts w:ascii="Times New Roman" w:hAnsi="Times New Roman" w:cs="Times New Roman"/>
          <w:sz w:val="23"/>
          <w:szCs w:val="23"/>
        </w:rPr>
        <w:t xml:space="preserve"> are consistent with 40 CFR </w:t>
      </w:r>
      <w:r w:rsidR="00990F6F">
        <w:rPr>
          <w:rFonts w:ascii="Times New Roman" w:hAnsi="Times New Roman" w:cs="Times New Roman"/>
          <w:sz w:val="23"/>
          <w:szCs w:val="23"/>
        </w:rPr>
        <w:t>84.15 and</w:t>
      </w:r>
      <w:r w:rsidR="0012262E">
        <w:rPr>
          <w:rFonts w:ascii="Times New Roman" w:hAnsi="Times New Roman" w:cs="Times New Roman"/>
          <w:sz w:val="23"/>
          <w:szCs w:val="23"/>
        </w:rPr>
        <w:t xml:space="preserve"> </w:t>
      </w:r>
      <w:r w:rsidR="00990F6F">
        <w:rPr>
          <w:rFonts w:ascii="Times New Roman" w:hAnsi="Times New Roman" w:cs="Times New Roman"/>
          <w:sz w:val="23"/>
          <w:szCs w:val="23"/>
        </w:rPr>
        <w:t>84.31</w:t>
      </w:r>
      <w:r w:rsidRPr="43F6E9E0" w:rsidR="00A0670C">
        <w:rPr>
          <w:rFonts w:ascii="Times New Roman" w:hAnsi="Times New Roman" w:cs="Times New Roman"/>
          <w:sz w:val="23"/>
          <w:szCs w:val="23"/>
        </w:rPr>
        <w:t xml:space="preserve"> </w:t>
      </w:r>
      <w:r w:rsidR="00E075D4">
        <w:rPr>
          <w:rFonts w:ascii="Times New Roman" w:hAnsi="Times New Roman" w:cs="Times New Roman"/>
          <w:sz w:val="23"/>
          <w:szCs w:val="23"/>
        </w:rPr>
        <w:t>reporting</w:t>
      </w:r>
      <w:r w:rsidRPr="43F6E9E0" w:rsidR="00E075D4">
        <w:rPr>
          <w:rFonts w:ascii="Times New Roman" w:hAnsi="Times New Roman" w:cs="Times New Roman"/>
          <w:sz w:val="23"/>
          <w:szCs w:val="23"/>
        </w:rPr>
        <w:t xml:space="preserve"> </w:t>
      </w:r>
      <w:r w:rsidRPr="43F6E9E0" w:rsidR="00A0670C">
        <w:rPr>
          <w:rFonts w:ascii="Times New Roman" w:hAnsi="Times New Roman" w:cs="Times New Roman"/>
          <w:sz w:val="23"/>
          <w:szCs w:val="23"/>
        </w:rPr>
        <w:t>requirements.</w:t>
      </w:r>
      <w:r w:rsidR="00F146D8">
        <w:rPr>
          <w:rFonts w:ascii="Times New Roman" w:hAnsi="Times New Roman" w:cs="Times New Roman"/>
          <w:sz w:val="23"/>
          <w:szCs w:val="23"/>
        </w:rPr>
        <w:t xml:space="preserve"> </w:t>
      </w:r>
      <w:r w:rsidR="00AB4B59">
        <w:rPr>
          <w:rFonts w:ascii="Times New Roman" w:hAnsi="Times New Roman" w:cs="Times New Roman"/>
          <w:sz w:val="23"/>
          <w:szCs w:val="23"/>
        </w:rPr>
        <w:t>Data required</w:t>
      </w:r>
      <w:r w:rsidR="0059608C">
        <w:rPr>
          <w:rFonts w:ascii="Times New Roman" w:hAnsi="Times New Roman" w:cs="Times New Roman"/>
          <w:sz w:val="23"/>
          <w:szCs w:val="23"/>
        </w:rPr>
        <w:t xml:space="preserve"> from importers and application-specific end-users requesting allowances from the set-aside pool are</w:t>
      </w:r>
      <w:r w:rsidR="00FE18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E1814">
        <w:rPr>
          <w:rFonts w:ascii="Times New Roman" w:hAnsi="Times New Roman" w:cs="Times New Roman"/>
          <w:sz w:val="23"/>
          <w:szCs w:val="23"/>
        </w:rPr>
        <w:t xml:space="preserve">similar </w:t>
      </w:r>
      <w:r w:rsidR="0059608C">
        <w:rPr>
          <w:rFonts w:ascii="Times New Roman" w:hAnsi="Times New Roman" w:cs="Times New Roman"/>
          <w:sz w:val="23"/>
          <w:szCs w:val="23"/>
        </w:rPr>
        <w:t>to</w:t>
      </w:r>
      <w:proofErr w:type="gramEnd"/>
      <w:r w:rsidR="0059608C">
        <w:rPr>
          <w:rFonts w:ascii="Times New Roman" w:hAnsi="Times New Roman" w:cs="Times New Roman"/>
          <w:sz w:val="23"/>
          <w:szCs w:val="23"/>
        </w:rPr>
        <w:t xml:space="preserve"> those</w:t>
      </w:r>
      <w:r w:rsidR="007800EB">
        <w:rPr>
          <w:rFonts w:ascii="Times New Roman" w:hAnsi="Times New Roman" w:cs="Times New Roman"/>
          <w:sz w:val="23"/>
          <w:szCs w:val="23"/>
        </w:rPr>
        <w:t xml:space="preserve"> </w:t>
      </w:r>
      <w:r w:rsidR="00BF725F">
        <w:rPr>
          <w:rFonts w:ascii="Times New Roman" w:hAnsi="Times New Roman" w:cs="Times New Roman"/>
          <w:sz w:val="23"/>
          <w:szCs w:val="23"/>
        </w:rPr>
        <w:t>covered by the ICR titled “</w:t>
      </w:r>
      <w:r w:rsidRPr="00AA1AB0" w:rsidR="00AA1AB0">
        <w:rPr>
          <w:rFonts w:ascii="Times New Roman" w:hAnsi="Times New Roman" w:cs="Times New Roman"/>
          <w:sz w:val="23"/>
          <w:szCs w:val="23"/>
        </w:rPr>
        <w:t>Collection of Information to Establish the HFC Baseline and Initial Allocations Under the AIM Act</w:t>
      </w:r>
      <w:r w:rsidR="00AA1AB0">
        <w:rPr>
          <w:rFonts w:ascii="Times New Roman" w:hAnsi="Times New Roman" w:cs="Times New Roman"/>
          <w:sz w:val="23"/>
          <w:szCs w:val="23"/>
        </w:rPr>
        <w:t>” (</w:t>
      </w:r>
      <w:r w:rsidRPr="006F3E6A" w:rsidR="006F3E6A">
        <w:rPr>
          <w:rFonts w:ascii="Times New Roman" w:hAnsi="Times New Roman" w:cs="Times New Roman"/>
          <w:sz w:val="23"/>
          <w:szCs w:val="23"/>
        </w:rPr>
        <w:t>EPA ICR Number 2684.01)</w:t>
      </w:r>
      <w:r w:rsidR="00D937BD">
        <w:rPr>
          <w:rFonts w:ascii="Times New Roman" w:hAnsi="Times New Roman" w:cs="Times New Roman"/>
          <w:sz w:val="23"/>
          <w:szCs w:val="23"/>
        </w:rPr>
        <w:t>.</w:t>
      </w:r>
      <w:r w:rsidR="005552F0">
        <w:rPr>
          <w:rFonts w:ascii="Times New Roman" w:hAnsi="Times New Roman" w:cs="Times New Roman"/>
          <w:sz w:val="23"/>
          <w:szCs w:val="23"/>
        </w:rPr>
        <w:t xml:space="preserve"> </w:t>
      </w:r>
      <w:r w:rsidR="005552F0">
        <w:rPr>
          <w:rFonts w:ascii="Times New Roman" w:hAnsi="Times New Roman" w:cs="Times New Roman"/>
          <w:sz w:val="23"/>
          <w:szCs w:val="23"/>
        </w:rPr>
        <w:lastRenderedPageBreak/>
        <w:t xml:space="preserve">However, </w:t>
      </w:r>
      <w:r w:rsidR="00134ACC">
        <w:rPr>
          <w:rFonts w:ascii="Times New Roman" w:hAnsi="Times New Roman" w:cs="Times New Roman"/>
          <w:sz w:val="23"/>
          <w:szCs w:val="23"/>
        </w:rPr>
        <w:t>the information required under this ICR</w:t>
      </w:r>
      <w:r w:rsidR="00B50CBD">
        <w:rPr>
          <w:rFonts w:ascii="Times New Roman" w:hAnsi="Times New Roman" w:cs="Times New Roman"/>
          <w:sz w:val="23"/>
          <w:szCs w:val="23"/>
        </w:rPr>
        <w:t xml:space="preserve"> allows for entities who were not aware of the initial information request to provide the data required to request </w:t>
      </w:r>
      <w:r w:rsidR="008216C4">
        <w:rPr>
          <w:rFonts w:ascii="Times New Roman" w:hAnsi="Times New Roman" w:cs="Times New Roman"/>
          <w:sz w:val="23"/>
          <w:szCs w:val="23"/>
        </w:rPr>
        <w:t xml:space="preserve">set-aside </w:t>
      </w:r>
      <w:r w:rsidR="00B50CBD">
        <w:rPr>
          <w:rFonts w:ascii="Times New Roman" w:hAnsi="Times New Roman" w:cs="Times New Roman"/>
          <w:sz w:val="23"/>
          <w:szCs w:val="23"/>
        </w:rPr>
        <w:t>allowances.</w:t>
      </w:r>
    </w:p>
    <w:p w:rsidRPr="00311EE8" w:rsidR="00311EE8" w:rsidP="00DB2E93" w:rsidRDefault="00311EE8" w14:paraId="0205AE0B" w14:textId="184609D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11EE8">
        <w:rPr>
          <w:rFonts w:ascii="Times New Roman" w:hAnsi="Times New Roman" w:cs="Times New Roman"/>
          <w:b/>
          <w:bCs/>
          <w:sz w:val="23"/>
          <w:szCs w:val="23"/>
        </w:rPr>
        <w:t xml:space="preserve">EPA Cannot Reasonably Comply with the Normal Clearance Procedures </w:t>
      </w:r>
    </w:p>
    <w:p w:rsidRPr="00311EE8" w:rsidR="00311EE8" w:rsidP="00DB2E93" w:rsidRDefault="00311EE8" w14:paraId="27A28739" w14:textId="54B76D52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43F6E9E0">
        <w:rPr>
          <w:rFonts w:ascii="Times New Roman" w:hAnsi="Times New Roman" w:cs="Times New Roman"/>
          <w:sz w:val="23"/>
          <w:szCs w:val="23"/>
        </w:rPr>
        <w:t xml:space="preserve">EPA cannot reasonably comply with the normal clearance procedures because </w:t>
      </w:r>
      <w:r w:rsidR="006C4288">
        <w:rPr>
          <w:rFonts w:ascii="Times New Roman" w:hAnsi="Times New Roman" w:cs="Times New Roman"/>
          <w:sz w:val="23"/>
          <w:szCs w:val="23"/>
        </w:rPr>
        <w:t>u</w:t>
      </w:r>
      <w:r w:rsidRPr="43F6E9E0" w:rsidR="006C4288">
        <w:rPr>
          <w:rFonts w:ascii="Times New Roman" w:hAnsi="Times New Roman" w:cs="Times New Roman"/>
          <w:sz w:val="23"/>
          <w:szCs w:val="23"/>
        </w:rPr>
        <w:t xml:space="preserve">nder </w:t>
      </w:r>
      <w:r w:rsidRPr="43F6E9E0">
        <w:rPr>
          <w:rFonts w:ascii="Times New Roman" w:hAnsi="Times New Roman" w:cs="Times New Roman"/>
          <w:sz w:val="23"/>
          <w:szCs w:val="23"/>
        </w:rPr>
        <w:t xml:space="preserve">the </w:t>
      </w:r>
      <w:r w:rsidR="00F66ED0">
        <w:rPr>
          <w:rFonts w:ascii="Times New Roman" w:hAnsi="Times New Roman" w:cs="Times New Roman"/>
          <w:sz w:val="23"/>
          <w:szCs w:val="23"/>
        </w:rPr>
        <w:t>“</w:t>
      </w:r>
      <w:r w:rsidRPr="00C641D7" w:rsidR="00F66ED0">
        <w:rPr>
          <w:rFonts w:ascii="Times New Roman" w:hAnsi="Times New Roman" w:cs="Times New Roman"/>
          <w:sz w:val="23"/>
          <w:szCs w:val="23"/>
        </w:rPr>
        <w:t>Phasedown of Hydrofluorocarbons: Establishing the Allowance Allocation and Trading Program under the American Innovation and Manufacturing Act</w:t>
      </w:r>
      <w:r w:rsidR="00F66ED0">
        <w:rPr>
          <w:rFonts w:ascii="Times New Roman" w:hAnsi="Times New Roman" w:cs="Times New Roman"/>
          <w:sz w:val="23"/>
          <w:szCs w:val="23"/>
        </w:rPr>
        <w:t xml:space="preserve">” </w:t>
      </w:r>
      <w:r w:rsidR="00C64F89">
        <w:rPr>
          <w:rFonts w:ascii="Times New Roman" w:hAnsi="Times New Roman" w:cs="Times New Roman"/>
          <w:sz w:val="23"/>
          <w:szCs w:val="23"/>
        </w:rPr>
        <w:t xml:space="preserve">final </w:t>
      </w:r>
      <w:r w:rsidR="00F66ED0">
        <w:rPr>
          <w:rFonts w:ascii="Times New Roman" w:hAnsi="Times New Roman" w:cs="Times New Roman"/>
          <w:sz w:val="23"/>
          <w:szCs w:val="23"/>
        </w:rPr>
        <w:t>rulemaking</w:t>
      </w:r>
      <w:r w:rsidRPr="43F6E9E0">
        <w:rPr>
          <w:rFonts w:ascii="Times New Roman" w:hAnsi="Times New Roman" w:cs="Times New Roman"/>
          <w:sz w:val="23"/>
          <w:szCs w:val="23"/>
        </w:rPr>
        <w:t xml:space="preserve">, </w:t>
      </w:r>
      <w:r w:rsidR="00C548BA">
        <w:rPr>
          <w:rFonts w:ascii="Times New Roman" w:hAnsi="Times New Roman" w:cs="Times New Roman"/>
          <w:sz w:val="23"/>
          <w:szCs w:val="23"/>
        </w:rPr>
        <w:t>the earliest reporting deadline</w:t>
      </w:r>
      <w:r w:rsidR="00C64F89">
        <w:rPr>
          <w:rFonts w:ascii="Times New Roman" w:hAnsi="Times New Roman" w:cs="Times New Roman"/>
          <w:sz w:val="23"/>
          <w:szCs w:val="23"/>
        </w:rPr>
        <w:t xml:space="preserve"> for several groups of respondents, including applications for the set-aside pool of allowances and reports for Anti-dumping/Countervailing Duties</w:t>
      </w:r>
      <w:r w:rsidR="00C548BA">
        <w:rPr>
          <w:rFonts w:ascii="Times New Roman" w:hAnsi="Times New Roman" w:cs="Times New Roman"/>
          <w:sz w:val="23"/>
          <w:szCs w:val="23"/>
        </w:rPr>
        <w:t xml:space="preserve"> is</w:t>
      </w:r>
      <w:r w:rsidR="00D64CC4">
        <w:rPr>
          <w:rFonts w:ascii="Times New Roman" w:hAnsi="Times New Roman" w:cs="Times New Roman"/>
          <w:sz w:val="23"/>
          <w:szCs w:val="23"/>
        </w:rPr>
        <w:t xml:space="preserve"> November 30, 2021</w:t>
      </w:r>
      <w:r w:rsidRPr="43F6E9E0">
        <w:rPr>
          <w:rFonts w:ascii="Times New Roman" w:hAnsi="Times New Roman" w:cs="Times New Roman"/>
          <w:sz w:val="23"/>
          <w:szCs w:val="23"/>
        </w:rPr>
        <w:t>.</w:t>
      </w:r>
      <w:r w:rsidR="00C64F89">
        <w:rPr>
          <w:rFonts w:ascii="Times New Roman" w:hAnsi="Times New Roman" w:cs="Times New Roman"/>
          <w:sz w:val="23"/>
          <w:szCs w:val="23"/>
        </w:rPr>
        <w:t xml:space="preserve"> </w:t>
      </w:r>
      <w:r w:rsidR="003745CA">
        <w:rPr>
          <w:rFonts w:ascii="Times New Roman" w:hAnsi="Times New Roman" w:cs="Times New Roman"/>
          <w:sz w:val="23"/>
          <w:szCs w:val="23"/>
        </w:rPr>
        <w:t>Entities</w:t>
      </w:r>
      <w:r w:rsidR="00FE1814">
        <w:rPr>
          <w:rFonts w:ascii="Times New Roman" w:hAnsi="Times New Roman" w:cs="Times New Roman"/>
          <w:sz w:val="23"/>
          <w:szCs w:val="23"/>
        </w:rPr>
        <w:t xml:space="preserve"> are requesting these forms now so they can report.</w:t>
      </w:r>
    </w:p>
    <w:p w:rsidRPr="00311EE8" w:rsidR="00311EE8" w:rsidP="00DB2E93" w:rsidRDefault="00311EE8" w14:paraId="720F1629" w14:textId="1E605C3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11EE8">
        <w:rPr>
          <w:rFonts w:ascii="Times New Roman" w:hAnsi="Times New Roman" w:cs="Times New Roman"/>
          <w:b/>
          <w:bCs/>
          <w:sz w:val="23"/>
          <w:szCs w:val="23"/>
        </w:rPr>
        <w:t xml:space="preserve">Agency Has Taken All Practicable Steps to Consult with Affected Parties in Order to Minimize Burden </w:t>
      </w:r>
    </w:p>
    <w:p w:rsidRPr="00311EE8" w:rsidR="00311EE8" w:rsidP="00DB2E93" w:rsidRDefault="00772CEF" w14:paraId="625FF600" w14:textId="4834F785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EPA </w:t>
      </w:r>
      <w:r w:rsidR="00FE1814">
        <w:rPr>
          <w:rFonts w:ascii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hAnsi="Times New Roman" w:cs="Times New Roman"/>
          <w:sz w:val="23"/>
          <w:szCs w:val="23"/>
        </w:rPr>
        <w:t xml:space="preserve">held </w:t>
      </w:r>
      <w:r w:rsidR="00FE1814">
        <w:rPr>
          <w:rFonts w:ascii="Times New Roman" w:hAnsi="Times New Roman" w:cs="Times New Roman"/>
          <w:sz w:val="23"/>
          <w:szCs w:val="23"/>
        </w:rPr>
        <w:t xml:space="preserve">numerous meetings with </w:t>
      </w:r>
      <w:r>
        <w:rPr>
          <w:rFonts w:ascii="Times New Roman" w:hAnsi="Times New Roman" w:cs="Times New Roman"/>
          <w:sz w:val="23"/>
          <w:szCs w:val="23"/>
        </w:rPr>
        <w:t>stakeholder</w:t>
      </w:r>
      <w:r w:rsidR="00FE1814">
        <w:rPr>
          <w:rFonts w:ascii="Times New Roman" w:hAnsi="Times New Roman" w:cs="Times New Roman"/>
          <w:sz w:val="23"/>
          <w:szCs w:val="23"/>
        </w:rPr>
        <w:t xml:space="preserve">s since publication of the proposed </w:t>
      </w:r>
      <w:r w:rsidRPr="00DB341D" w:rsidR="00DB341D">
        <w:rPr>
          <w:rFonts w:ascii="Times New Roman" w:hAnsi="Times New Roman" w:cs="Times New Roman"/>
          <w:sz w:val="23"/>
          <w:szCs w:val="23"/>
        </w:rPr>
        <w:t>rulemaking “Phasedown of Hydrofluorocarbons: Establishing the Allowance Allocation and Trading Program under the American Innovation and Manufacturing Act” (86 FR 27150, May 19, 2021)</w:t>
      </w:r>
      <w:r w:rsidR="006A32E7">
        <w:rPr>
          <w:rFonts w:ascii="Times New Roman" w:hAnsi="Times New Roman" w:cs="Times New Roman"/>
          <w:sz w:val="23"/>
          <w:szCs w:val="23"/>
        </w:rPr>
        <w:t>. Further, EPA has been working with stakeholders to review their data and refine the regulatory approach for the final rule published October 5, 2021 (86 FR</w:t>
      </w:r>
      <w:r w:rsidRPr="006A32E7" w:rsidR="006A32E7">
        <w:rPr>
          <w:rFonts w:ascii="Times New Roman" w:hAnsi="Times New Roman" w:cs="Times New Roman"/>
          <w:sz w:val="23"/>
          <w:szCs w:val="23"/>
        </w:rPr>
        <w:t xml:space="preserve"> 55116</w:t>
      </w:r>
      <w:r w:rsidR="006A32E7">
        <w:rPr>
          <w:rFonts w:ascii="Times New Roman" w:hAnsi="Times New Roman" w:cs="Times New Roman"/>
          <w:sz w:val="23"/>
          <w:szCs w:val="23"/>
        </w:rPr>
        <w:t xml:space="preserve">). This review and consultation, including with other relevant federal agencies under Executive Order 12866 review and since, have informed the development of these forms. </w:t>
      </w:r>
    </w:p>
    <w:p w:rsidRPr="00311EE8" w:rsidR="00311EE8" w:rsidP="00DB2E93" w:rsidRDefault="00311EE8" w14:paraId="166D3A2A" w14:textId="7777777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11EE8">
        <w:rPr>
          <w:rFonts w:ascii="Times New Roman" w:hAnsi="Times New Roman" w:cs="Times New Roman"/>
          <w:b/>
          <w:bCs/>
          <w:sz w:val="23"/>
          <w:szCs w:val="23"/>
        </w:rPr>
        <w:t xml:space="preserve">Requested Time Period for OMB Action </w:t>
      </w:r>
    </w:p>
    <w:p w:rsidR="005F249A" w:rsidP="00DB2E93" w:rsidRDefault="00311EE8" w14:paraId="5C934881" w14:textId="6B5B2D30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11EE8">
        <w:rPr>
          <w:rFonts w:ascii="Times New Roman" w:hAnsi="Times New Roman" w:cs="Times New Roman"/>
          <w:sz w:val="23"/>
          <w:szCs w:val="23"/>
        </w:rPr>
        <w:t xml:space="preserve">EPA requests that OMB </w:t>
      </w:r>
      <w:proofErr w:type="gramStart"/>
      <w:r w:rsidRPr="00311EE8">
        <w:rPr>
          <w:rFonts w:ascii="Times New Roman" w:hAnsi="Times New Roman" w:cs="Times New Roman"/>
          <w:sz w:val="23"/>
          <w:szCs w:val="23"/>
        </w:rPr>
        <w:t>take action</w:t>
      </w:r>
      <w:proofErr w:type="gramEnd"/>
      <w:r w:rsidRPr="00311EE8">
        <w:rPr>
          <w:rFonts w:ascii="Times New Roman" w:hAnsi="Times New Roman" w:cs="Times New Roman"/>
          <w:sz w:val="23"/>
          <w:szCs w:val="23"/>
        </w:rPr>
        <w:t xml:space="preserve"> on this req</w:t>
      </w:r>
      <w:r w:rsidR="006A32E7">
        <w:rPr>
          <w:rFonts w:ascii="Times New Roman" w:hAnsi="Times New Roman" w:cs="Times New Roman"/>
          <w:sz w:val="23"/>
          <w:szCs w:val="23"/>
        </w:rPr>
        <w:t>uest by October 22, 2021</w:t>
      </w:r>
      <w:r w:rsidRPr="00311EE8">
        <w:rPr>
          <w:rFonts w:ascii="Times New Roman" w:hAnsi="Times New Roman" w:cs="Times New Roman"/>
          <w:sz w:val="23"/>
          <w:szCs w:val="23"/>
        </w:rPr>
        <w:t>.</w:t>
      </w:r>
      <w:r w:rsidR="00C53188">
        <w:rPr>
          <w:rFonts w:ascii="Times New Roman" w:hAnsi="Times New Roman" w:cs="Times New Roman"/>
          <w:sz w:val="23"/>
          <w:szCs w:val="23"/>
        </w:rPr>
        <w:t xml:space="preserve"> </w:t>
      </w:r>
      <w:r w:rsidR="006A32E7">
        <w:rPr>
          <w:rFonts w:ascii="Times New Roman" w:hAnsi="Times New Roman" w:cs="Times New Roman"/>
          <w:sz w:val="23"/>
          <w:szCs w:val="23"/>
        </w:rPr>
        <w:t xml:space="preserve">Delaying collection of this data beyond this date could hinder </w:t>
      </w:r>
      <w:r w:rsidR="003745CA">
        <w:rPr>
          <w:rFonts w:ascii="Times New Roman" w:hAnsi="Times New Roman" w:cs="Times New Roman"/>
          <w:sz w:val="23"/>
          <w:szCs w:val="23"/>
        </w:rPr>
        <w:t>regulated entities</w:t>
      </w:r>
      <w:r w:rsidR="006A32E7">
        <w:rPr>
          <w:rFonts w:ascii="Times New Roman" w:hAnsi="Times New Roman" w:cs="Times New Roman"/>
          <w:sz w:val="23"/>
          <w:szCs w:val="23"/>
        </w:rPr>
        <w:t>’ ability to comply with the timelines established in the HFC Allocation Final Rule (86 FR</w:t>
      </w:r>
      <w:r w:rsidRPr="006A32E7" w:rsidR="006A32E7">
        <w:rPr>
          <w:rFonts w:ascii="Times New Roman" w:hAnsi="Times New Roman" w:cs="Times New Roman"/>
          <w:sz w:val="23"/>
          <w:szCs w:val="23"/>
        </w:rPr>
        <w:t xml:space="preserve"> 55116</w:t>
      </w:r>
      <w:r w:rsidR="006A32E7">
        <w:rPr>
          <w:rFonts w:ascii="Times New Roman" w:hAnsi="Times New Roman" w:cs="Times New Roman"/>
          <w:sz w:val="23"/>
          <w:szCs w:val="23"/>
        </w:rPr>
        <w:t>)</w:t>
      </w:r>
      <w:r w:rsidR="00C53188">
        <w:rPr>
          <w:rFonts w:ascii="Times New Roman" w:hAnsi="Times New Roman" w:cs="Times New Roman"/>
          <w:sz w:val="23"/>
          <w:szCs w:val="23"/>
        </w:rPr>
        <w:t>.</w:t>
      </w:r>
    </w:p>
    <w:p w:rsidR="009A6EE2" w:rsidP="00DB2E93" w:rsidRDefault="00C23B18" w14:paraId="0690F2A6" w14:textId="3EF284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43F6E9E0">
        <w:rPr>
          <w:rFonts w:ascii="Times New Roman" w:hAnsi="Times New Roman" w:cs="Times New Roman"/>
          <w:b/>
          <w:bCs/>
          <w:sz w:val="23"/>
          <w:szCs w:val="23"/>
        </w:rPr>
        <w:t xml:space="preserve">Cost Estimates/Burden </w:t>
      </w:r>
    </w:p>
    <w:p w:rsidR="00963683" w:rsidP="00DB2E93" w:rsidRDefault="00A377F7" w14:paraId="48484D31" w14:textId="04B37BDF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377F7">
        <w:rPr>
          <w:rFonts w:ascii="Times New Roman" w:hAnsi="Times New Roman" w:cs="Times New Roman"/>
          <w:sz w:val="23"/>
          <w:szCs w:val="23"/>
        </w:rPr>
        <w:t>The respondent universe for this ICR is</w:t>
      </w:r>
      <w:r w:rsidR="007B3290">
        <w:rPr>
          <w:rFonts w:ascii="Times New Roman" w:hAnsi="Times New Roman" w:cs="Times New Roman"/>
          <w:sz w:val="23"/>
          <w:szCs w:val="23"/>
        </w:rPr>
        <w:t xml:space="preserve"> assumed to cover the</w:t>
      </w:r>
      <w:r w:rsidR="007F0E39">
        <w:rPr>
          <w:rFonts w:ascii="Times New Roman" w:hAnsi="Times New Roman" w:cs="Times New Roman"/>
          <w:sz w:val="23"/>
          <w:szCs w:val="23"/>
        </w:rPr>
        <w:t xml:space="preserve"> period from November 2021 through April 2022 and is</w:t>
      </w:r>
      <w:r w:rsidRPr="00A377F7">
        <w:rPr>
          <w:rFonts w:ascii="Times New Roman" w:hAnsi="Times New Roman" w:cs="Times New Roman"/>
          <w:sz w:val="23"/>
          <w:szCs w:val="23"/>
        </w:rPr>
        <w:t xml:space="preserve"> based on a review of data available in e-GGRT, the ODSTS, ACE, and </w:t>
      </w:r>
      <w:r w:rsidR="00BC0668">
        <w:rPr>
          <w:rFonts w:ascii="Times New Roman" w:hAnsi="Times New Roman" w:cs="Times New Roman"/>
          <w:sz w:val="23"/>
          <w:szCs w:val="23"/>
        </w:rPr>
        <w:t xml:space="preserve">the </w:t>
      </w:r>
      <w:r w:rsidRPr="00A377F7">
        <w:rPr>
          <w:rFonts w:ascii="Times New Roman" w:hAnsi="Times New Roman" w:cs="Times New Roman"/>
          <w:sz w:val="23"/>
          <w:szCs w:val="23"/>
        </w:rPr>
        <w:t>HFC subsector market characterizations (docket ID EPA-HQ-OAR-2021-0044).</w:t>
      </w:r>
      <w:r w:rsidR="000B4C00">
        <w:rPr>
          <w:rFonts w:ascii="Times New Roman" w:hAnsi="Times New Roman" w:cs="Times New Roman"/>
          <w:sz w:val="23"/>
          <w:szCs w:val="23"/>
        </w:rPr>
        <w:t xml:space="preserve"> The cost estimates and burden </w:t>
      </w:r>
      <w:r w:rsidR="00BC0668">
        <w:rPr>
          <w:rFonts w:ascii="Times New Roman" w:hAnsi="Times New Roman" w:cs="Times New Roman"/>
          <w:sz w:val="23"/>
          <w:szCs w:val="23"/>
        </w:rPr>
        <w:t xml:space="preserve">are </w:t>
      </w:r>
      <w:r w:rsidRPr="00FA026C" w:rsidR="00FA026C">
        <w:rPr>
          <w:rFonts w:ascii="Times New Roman" w:hAnsi="Times New Roman" w:cs="Times New Roman"/>
          <w:sz w:val="23"/>
          <w:szCs w:val="23"/>
        </w:rPr>
        <w:t xml:space="preserve">based on EPA’s experience collecting similar activity data on HFCs and ODS under the GHGRP (74 FR </w:t>
      </w:r>
      <w:proofErr w:type="gramStart"/>
      <w:r w:rsidRPr="00FA026C" w:rsidR="00FA026C">
        <w:rPr>
          <w:rFonts w:ascii="Times New Roman" w:hAnsi="Times New Roman" w:cs="Times New Roman"/>
          <w:sz w:val="23"/>
          <w:szCs w:val="23"/>
        </w:rPr>
        <w:t>56260;</w:t>
      </w:r>
      <w:proofErr w:type="gramEnd"/>
      <w:r w:rsidRPr="00FA026C" w:rsidR="00FA026C">
        <w:rPr>
          <w:rFonts w:ascii="Times New Roman" w:hAnsi="Times New Roman" w:cs="Times New Roman"/>
          <w:sz w:val="23"/>
          <w:szCs w:val="23"/>
        </w:rPr>
        <w:t xml:space="preserve"> October 30, 2009) and 40 CFR part 82, respectively.</w:t>
      </w:r>
      <w:r w:rsidR="005634AB">
        <w:rPr>
          <w:rFonts w:ascii="Times New Roman" w:hAnsi="Times New Roman" w:cs="Times New Roman"/>
          <w:sz w:val="23"/>
          <w:szCs w:val="23"/>
        </w:rPr>
        <w:t xml:space="preserve"> </w:t>
      </w:r>
      <w:r w:rsidRPr="005634AB" w:rsidR="005634AB">
        <w:rPr>
          <w:rFonts w:ascii="Times New Roman" w:hAnsi="Times New Roman" w:cs="Times New Roman"/>
          <w:sz w:val="23"/>
          <w:szCs w:val="23"/>
        </w:rPr>
        <w:t>EPA does not anticipate any capital or operations and maintenance costs.</w:t>
      </w:r>
      <w:r w:rsidR="00C64F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B0F7E" w:rsidP="00DB2E93" w:rsidRDefault="009B0F7E" w14:paraId="4D7ECC84" w14:textId="77777777">
      <w:pPr>
        <w:ind w:firstLine="720"/>
        <w:jc w:val="both"/>
        <w:rPr>
          <w:rFonts w:ascii="Times New Roman" w:hAnsi="Times New Roman" w:cs="Times New Roman"/>
          <w:sz w:val="23"/>
          <w:szCs w:val="23"/>
        </w:rPr>
        <w:sectPr w:rsidR="009B0F7E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076578" w:rsidR="009B0F7E" w:rsidP="009B0F7E" w:rsidRDefault="009B0F7E" w14:paraId="3D6C834D" w14:textId="08D478BF">
      <w:pPr>
        <w:jc w:val="both"/>
        <w:rPr>
          <w:rFonts w:ascii="Times New Roman" w:hAnsi="Times New Roman" w:cs="Times New Roman"/>
          <w:b/>
          <w:bCs/>
        </w:rPr>
      </w:pPr>
      <w:r w:rsidRPr="00076578">
        <w:rPr>
          <w:rFonts w:ascii="Times New Roman" w:hAnsi="Times New Roman" w:cs="Times New Roman"/>
          <w:b/>
          <w:bCs/>
        </w:rPr>
        <w:lastRenderedPageBreak/>
        <w:t>Respondent Burden</w:t>
      </w:r>
    </w:p>
    <w:tbl>
      <w:tblPr>
        <w:tblW w:w="12818" w:type="dxa"/>
        <w:tblCellMar>
          <w:left w:w="29" w:type="dxa"/>
          <w:right w:w="58" w:type="dxa"/>
        </w:tblCellMar>
        <w:tblLook w:val="04A0" w:firstRow="1" w:lastRow="0" w:firstColumn="1" w:lastColumn="0" w:noHBand="0" w:noVBand="1"/>
      </w:tblPr>
      <w:tblGrid>
        <w:gridCol w:w="2502"/>
        <w:gridCol w:w="3269"/>
        <w:gridCol w:w="884"/>
        <w:gridCol w:w="848"/>
        <w:gridCol w:w="859"/>
        <w:gridCol w:w="947"/>
        <w:gridCol w:w="870"/>
        <w:gridCol w:w="781"/>
        <w:gridCol w:w="879"/>
        <w:gridCol w:w="979"/>
      </w:tblGrid>
      <w:tr w:rsidRPr="00126291" w:rsidR="00BE59A6" w:rsidTr="006A32E7" w14:paraId="31470A56" w14:textId="77777777">
        <w:trPr>
          <w:trHeight w:val="66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1451EDB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Respondent Type 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26183EFF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Activity 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0B35901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Responses per Respondent  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20E642F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Technical Hours per Response 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3CA49BF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Total Hours per Respondent 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11FFDAC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Technical Cost per Respondent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vAlign w:val="center"/>
            <w:hideMark/>
          </w:tcPr>
          <w:p w:rsidRPr="00126291" w:rsidR="00126291" w:rsidP="00BE59A6" w:rsidRDefault="00BE59A6" w14:paraId="1F77BBF0" w14:textId="1A718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R</w:t>
            </w:r>
            <w:r w:rsidRPr="00126291" w:rsid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espon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d</w:t>
            </w:r>
            <w:r w:rsidRPr="00126291" w:rsid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ents per Activity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4F71A4E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Number of Responses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55D00D0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Total Respondent Hours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126291" w:rsidR="00126291" w:rsidP="00126291" w:rsidRDefault="00126291" w14:paraId="2990C0F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Total Respondent Costs </w:t>
            </w:r>
          </w:p>
        </w:tc>
      </w:tr>
      <w:tr w:rsidRPr="00126291" w:rsidR="00BE59A6" w:rsidTr="006A32E7" w14:paraId="00D0B21A" w14:textId="77777777">
        <w:trPr>
          <w:trHeight w:val="30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6A32E7" w14:paraId="3C744893" w14:textId="4138123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HFC Producers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5410FB14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Provide certification to third party (conferrer)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A7D19A4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C4D6738" w14:textId="3DBF47A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07DA37D" w14:textId="50557AC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EF5CB93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$244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68FA616" w14:textId="594A93B3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FE3721C" w14:textId="3783CBA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39D6707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8863CA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$1,222</w:t>
            </w:r>
          </w:p>
        </w:tc>
      </w:tr>
      <w:tr w:rsidRPr="00126291" w:rsidR="00BE59A6" w:rsidTr="006A32E7" w14:paraId="0C388CE6" w14:textId="77777777">
        <w:trPr>
          <w:trHeight w:val="300"/>
        </w:trPr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614D391B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Importer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6A949A59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AD/CVD report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1F22FF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326ABDD" w14:textId="797A5CC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D9BF94E" w14:textId="490ABDAD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3B7EBC6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$244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1DCB484" w14:textId="04421CF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B05FE86" w14:textId="029E660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0023AF6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09CD8D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$74,542</w:t>
            </w:r>
          </w:p>
        </w:tc>
      </w:tr>
      <w:tr w:rsidRPr="00126291" w:rsidR="00BE59A6" w:rsidTr="006A32E7" w14:paraId="152ED637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70821BA2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4A6B0C03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set-aside allowance request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7B8BA2B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4CAA663" w14:textId="71FBE64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D5E0897" w14:textId="1B0349C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7C86E3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$733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34F7A06" w14:textId="12F6EED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B08FD90" w14:textId="4EE36EB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2F45ECB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3E577B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$29,328</w:t>
            </w:r>
          </w:p>
        </w:tc>
      </w:tr>
      <w:tr w:rsidRPr="00126291" w:rsidR="00BE59A6" w:rsidTr="006A32E7" w14:paraId="6BADB57B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40DCC5EF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70A24660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historic import/export data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C72C7F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A6D0DC9" w14:textId="52F9054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4B6E2C9" w14:textId="425EA3E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727222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$3,910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355B935" w14:textId="29EEB8F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AAF294E" w14:textId="42352FF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CD0635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17FB77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$78,208</w:t>
            </w:r>
          </w:p>
        </w:tc>
      </w:tr>
      <w:tr w:rsidRPr="00126291" w:rsidR="00BE59A6" w:rsidTr="006A32E7" w14:paraId="259A41B5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02180F72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70154148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Petition to import HFCs for transformation/destruction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A76623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AA1C619" w14:textId="21D94E2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396DE6" w14:textId="5A022F8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539C89B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$3,910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4D190B1" w14:textId="1081C85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6A89A7C" w14:textId="46306F5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D3B6C2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BAFE2BC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$31,283</w:t>
            </w:r>
          </w:p>
        </w:tc>
      </w:tr>
      <w:tr w:rsidRPr="00126291" w:rsidR="00BE59A6" w:rsidTr="006A32E7" w14:paraId="35DC00D9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29D77686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49EACE3E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Petition to import used HFCs for destruction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FF6F903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0BBD5C9" w14:textId="7BAA142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10556DC" w14:textId="4096666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4E223C4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$733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282FAFC" w14:textId="6D16514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5E354C9" w14:textId="0D634FB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D38888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CDB586B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$2,933</w:t>
            </w:r>
          </w:p>
        </w:tc>
      </w:tr>
      <w:tr w:rsidRPr="00126291" w:rsidR="00BE59A6" w:rsidTr="006A32E7" w14:paraId="761C442D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541967F6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6DB62E1E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Provide certification to third party (conferrer)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114285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D5D4E2D" w14:textId="0AE83C9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F8CFEBE" w14:textId="2E27646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F15C811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$244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1A9168E" w14:textId="01E6BA1E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ED33262" w14:textId="1AE135CD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740A98C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6B558CC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$1,222</w:t>
            </w:r>
          </w:p>
        </w:tc>
      </w:tr>
      <w:tr w:rsidRPr="00126291" w:rsidR="00BE59A6" w:rsidTr="006A32E7" w14:paraId="1EBF52AA" w14:textId="77777777">
        <w:trPr>
          <w:trHeight w:val="30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357069C9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Exporter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34970C2D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request for additional consumption allowances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1BAF11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C0CC6A" w14:textId="55DD9B33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E6EC10B" w14:textId="26FF08B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9F0A83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$1,466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0727BC1" w14:textId="49E0921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3028E46" w14:textId="753C2BB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4191AA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2213372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$2,933</w:t>
            </w:r>
          </w:p>
        </w:tc>
      </w:tr>
      <w:tr w:rsidRPr="00126291" w:rsidR="00BE59A6" w:rsidTr="006A32E7" w14:paraId="4EA62651" w14:textId="77777777">
        <w:trPr>
          <w:trHeight w:val="300"/>
        </w:trPr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2CD30AB7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Supplier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374EE8D8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conferral request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947828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768647D" w14:textId="1E07D3C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AE4069E" w14:textId="4357B293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8DEDB4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$733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88FF536" w14:textId="1063FB9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5BEE31A" w14:textId="253F733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71AFEB1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1A98027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$7,332</w:t>
            </w:r>
          </w:p>
        </w:tc>
      </w:tr>
      <w:tr w:rsidRPr="00126291" w:rsidR="00BE59A6" w:rsidTr="006A32E7" w14:paraId="4A758626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5718DC92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6FD2C380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Provide certification to third party (conferee)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3A2E603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5EB2C5" w14:textId="65319CA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AFCF374" w14:textId="3D76B4B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5147258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$244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C738591" w14:textId="2F67BC8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6D7DF38" w14:textId="6B05F95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29B557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C2B76B4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$2,444</w:t>
            </w:r>
          </w:p>
        </w:tc>
      </w:tr>
      <w:tr w:rsidRPr="00126291" w:rsidR="00BE59A6" w:rsidTr="006A32E7" w14:paraId="3EE6C568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19A83779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6564E45D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Provide certification to third party (conferrer)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A99A198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2D92DF2" w14:textId="201F6CA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0C45BB5" w14:textId="0484E878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8.0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7FEEA7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$978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975F4E1" w14:textId="4921649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D4047AD" w14:textId="4BA4A8B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60A713E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9A7369C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$9,776</w:t>
            </w:r>
          </w:p>
        </w:tc>
      </w:tr>
      <w:tr w:rsidRPr="00126291" w:rsidR="00BE59A6" w:rsidTr="006A32E7" w14:paraId="269134CB" w14:textId="77777777">
        <w:trPr>
          <w:trHeight w:val="30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59C0A474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Reclaimers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4E71DBD1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report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10ACD6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67782AD" w14:textId="35F57178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1DCE38B" w14:textId="67C4488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2120F6C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$4,888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9E65BBE" w14:textId="5CBF2633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55A7561" w14:textId="49FE65D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A55FB3B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2,720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3F93DCF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$332,384</w:t>
            </w:r>
          </w:p>
        </w:tc>
      </w:tr>
      <w:tr w:rsidRPr="00126291" w:rsidR="00BE59A6" w:rsidTr="006A32E7" w14:paraId="0F5CCC3F" w14:textId="77777777">
        <w:trPr>
          <w:trHeight w:val="30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2BA31EA6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Fire Suppression Agent Recyclers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2BDB840C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report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F658D9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5F67DEE" w14:textId="4D47D87A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C49C849" w14:textId="763D525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5957489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$4,888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1A46157" w14:textId="7B19295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A3741F0" w14:textId="2DA226C3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4E96D6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A17D54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$48,880</w:t>
            </w:r>
          </w:p>
        </w:tc>
      </w:tr>
      <w:tr w:rsidRPr="00126291" w:rsidR="00BE59A6" w:rsidTr="006A32E7" w14:paraId="219A57A2" w14:textId="77777777">
        <w:trPr>
          <w:trHeight w:val="300"/>
        </w:trPr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7614581D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HFC Transfers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05853877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inter-company transfer request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2D3DE4F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5045590" w14:textId="1A207FEA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2535F7C" w14:textId="575F149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38300B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$1,466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3BF8988" w14:textId="1F86FE8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60BF576" w14:textId="39B730B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3D4552F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3D4B11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$11,731</w:t>
            </w:r>
          </w:p>
        </w:tc>
      </w:tr>
      <w:tr w:rsidRPr="00126291" w:rsidR="00BE59A6" w:rsidTr="006A32E7" w14:paraId="3212DD1E" w14:textId="77777777">
        <w:trPr>
          <w:trHeight w:val="289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3920B5FF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36F2D0CD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request to sell/convey HFCs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C412829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AAE5EA7" w14:textId="34DB4D9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E71D128" w14:textId="135AE5EE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F71D6F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$733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D5120CA" w14:textId="52559AF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C63DBC6" w14:textId="369BEC5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DF2EE1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A55DF9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$1,466</w:t>
            </w:r>
          </w:p>
        </w:tc>
      </w:tr>
      <w:tr w:rsidRPr="00126291" w:rsidR="00BE59A6" w:rsidTr="006A32E7" w14:paraId="07B9DB6D" w14:textId="77777777">
        <w:trPr>
          <w:trHeight w:val="300"/>
        </w:trPr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18B9A290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Application-Specific Allowance Holders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249E3FE9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conferral request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606A01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7377E86" w14:textId="0A2B606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6FDA60F" w14:textId="301D3ACA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12.0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D85CF3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$1,466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672A567" w14:textId="7D3B961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7403311" w14:textId="4B7253A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4F3D41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91B4F3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$29,328</w:t>
            </w:r>
          </w:p>
        </w:tc>
      </w:tr>
      <w:tr w:rsidRPr="00126291" w:rsidR="00BE59A6" w:rsidTr="006A32E7" w14:paraId="1C03F799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0023A929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731D4516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Provide certification to third party (conferee)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4F049DD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14E88AA" w14:textId="09013EE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CDDB261" w14:textId="4CB0FE0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0111E29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$489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BBEEC73" w14:textId="3CF57C7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681E4CC" w14:textId="3A134C5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00334AF8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ACFABF0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$9,776</w:t>
            </w:r>
          </w:p>
        </w:tc>
      </w:tr>
      <w:tr w:rsidRPr="00126291" w:rsidR="00BE59A6" w:rsidTr="006A32E7" w14:paraId="09FDC667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5F3E6F8A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7949DB7E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set-aside allowance request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176733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582F34B0" w14:textId="635B414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6051BC1" w14:textId="350E3F5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D069075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$733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6FE0AE12" w14:textId="0D1A2C9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982D304" w14:textId="7C4B786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AE5F846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3727BA1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$7,332</w:t>
            </w:r>
          </w:p>
        </w:tc>
      </w:tr>
      <w:tr w:rsidRPr="00126291" w:rsidR="00BE59A6" w:rsidTr="006A32E7" w14:paraId="08D830CE" w14:textId="77777777">
        <w:trPr>
          <w:trHeight w:val="300"/>
        </w:trPr>
        <w:tc>
          <w:tcPr>
            <w:tcW w:w="25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26291" w:rsidR="00126291" w:rsidP="00126291" w:rsidRDefault="00126291" w14:paraId="67B11B15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126291" w:rsidRDefault="00126291" w14:paraId="1068E147" w14:textId="7777777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Submit one-time report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229722CF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B1F13A7" w14:textId="7BA54E6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38.0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241A6D7" w14:textId="73BF705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38.0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BAA5048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$4,644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FD6D39D" w14:textId="08CA9A98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7F8118CE" w14:textId="1C9552B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16A190D2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26291" w:rsidR="00126291" w:rsidP="00BE59A6" w:rsidRDefault="00126291" w14:paraId="4F3D970A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sz w:val="14"/>
                <w:szCs w:val="14"/>
              </w:rPr>
              <w:t>$46,436</w:t>
            </w:r>
          </w:p>
        </w:tc>
      </w:tr>
      <w:tr w:rsidRPr="00126291" w:rsidR="00BE59A6" w:rsidTr="006A32E7" w14:paraId="3B11034B" w14:textId="77777777">
        <w:trPr>
          <w:trHeight w:val="300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126291" w:rsidR="00126291" w:rsidP="00126291" w:rsidRDefault="00126291" w14:paraId="68D4FDF7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126291" w:rsidR="00126291" w:rsidP="00126291" w:rsidRDefault="00126291" w14:paraId="4E1FD03C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  <w:hideMark/>
          </w:tcPr>
          <w:p w:rsidRPr="00126291" w:rsidR="00126291" w:rsidP="00BE59A6" w:rsidRDefault="00126291" w14:paraId="35847007" w14:textId="2792B62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126291" w14:paraId="34CA9B67" w14:textId="4263E70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126291" w14:paraId="5BB8969B" w14:textId="0DA34CC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126291" w14:paraId="5376B07E" w14:textId="4CC5B94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126291" w14:paraId="0B5DB91A" w14:textId="58618EB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6A32E7" w14:paraId="2592E06E" w14:textId="3F2E599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797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6A32E7" w14:paraId="0EB8A877" w14:textId="26220E1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126291" w:rsidR="001262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  <w:r w:rsidRPr="00126291" w:rsidR="001262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126291" w:rsidR="00126291" w:rsidP="00BE59A6" w:rsidRDefault="00126291" w14:paraId="5D23A22A" w14:textId="32CAEBF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262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$7</w:t>
            </w:r>
            <w:r w:rsidR="006A32E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  <w:r w:rsidRPr="001262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</w:t>
            </w:r>
            <w:r w:rsidR="006A32E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12629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</w:tr>
    </w:tbl>
    <w:p w:rsidR="00562E5B" w:rsidRDefault="00126291" w14:paraId="675CC926" w14:textId="0B6037A5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09945F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 xml:space="preserve"> </w:t>
      </w:r>
      <w:r w:rsidRPr="009945F8" w:rsidR="00C5318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Note: Labor rate is estimated at $122.</w:t>
      </w:r>
      <w:r w:rsidR="00AF5A6F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20</w:t>
      </w:r>
      <w:r w:rsidRPr="009945F8" w:rsidR="00C5318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/hour based on $58.</w:t>
      </w:r>
      <w:r w:rsidR="00A66ABF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19</w:t>
      </w:r>
      <w:r w:rsidRPr="009945F8" w:rsidR="00C5318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 xml:space="preserve"> (increased by </w:t>
      </w:r>
      <w:r w:rsidR="009945F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1</w:t>
      </w:r>
      <w:r w:rsidRPr="0037334F" w:rsidR="00C53188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10% to account for fringe and benefits), the hourly wage rate for professional and related persons, derived from Bureau of Labor Statistics Employer Cost and Employee Compensation.</w:t>
      </w:r>
      <w:r w:rsidR="00562E5B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 xml:space="preserve"> Totals may not sum due to independent rounding.</w:t>
      </w:r>
      <w:r w:rsidR="00562E5B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Pr="00076578" w:rsidR="00C53188" w:rsidP="00311EE8" w:rsidRDefault="00C53188" w14:paraId="29B06982" w14:textId="458DAE19">
      <w:p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076578">
        <w:rPr>
          <w:rFonts w:ascii="Times New Roman" w:hAnsi="Times New Roman" w:eastAsia="Times New Roman" w:cs="Times New Roman"/>
          <w:b/>
          <w:bCs/>
          <w:color w:val="000000" w:themeColor="text1"/>
        </w:rPr>
        <w:lastRenderedPageBreak/>
        <w:t>A</w:t>
      </w:r>
      <w:r w:rsidRPr="00076578" w:rsidR="009945F8">
        <w:rPr>
          <w:rFonts w:ascii="Times New Roman" w:hAnsi="Times New Roman" w:eastAsia="Times New Roman" w:cs="Times New Roman"/>
          <w:b/>
          <w:bCs/>
          <w:color w:val="000000" w:themeColor="text1"/>
        </w:rPr>
        <w:t>gency Burden</w:t>
      </w:r>
    </w:p>
    <w:tbl>
      <w:tblPr>
        <w:tblW w:w="7545" w:type="dxa"/>
        <w:tblLook w:val="04A0" w:firstRow="1" w:lastRow="0" w:firstColumn="1" w:lastColumn="0" w:noHBand="0" w:noVBand="1"/>
      </w:tblPr>
      <w:tblGrid>
        <w:gridCol w:w="4412"/>
        <w:gridCol w:w="1179"/>
        <w:gridCol w:w="949"/>
        <w:gridCol w:w="1005"/>
      </w:tblGrid>
      <w:tr w:rsidRPr="009945F8" w:rsidR="009945F8" w:rsidTr="0098758E" w14:paraId="23602269" w14:textId="77777777">
        <w:trPr>
          <w:trHeight w:val="450"/>
        </w:trPr>
        <w:tc>
          <w:tcPr>
            <w:tcW w:w="4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05469C" w:rsidR="009945F8" w:rsidP="009945F8" w:rsidRDefault="009945F8" w14:paraId="1FA8E0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546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Activity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05469C" w:rsidR="009945F8" w:rsidP="0098758E" w:rsidRDefault="009945F8" w14:paraId="2CB62E7B" w14:textId="28843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546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Number of Activities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05469C" w:rsidR="009945F8" w:rsidP="0098758E" w:rsidRDefault="009945F8" w14:paraId="6421F4B5" w14:textId="724F8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546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Total Hours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05469C" w:rsidR="009945F8" w:rsidP="0098758E" w:rsidRDefault="009945F8" w14:paraId="05B59D4C" w14:textId="71324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5469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4"/>
                <w:szCs w:val="14"/>
              </w:rPr>
              <w:t>Total Cost</w:t>
            </w:r>
          </w:p>
        </w:tc>
      </w:tr>
      <w:tr w:rsidRPr="009945F8" w:rsidR="009945F8" w:rsidTr="002C201A" w14:paraId="55395AAF" w14:textId="77777777">
        <w:trPr>
          <w:trHeight w:val="450"/>
        </w:trPr>
        <w:tc>
          <w:tcPr>
            <w:tcW w:w="441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5469C" w:rsidR="009945F8" w:rsidP="009945F8" w:rsidRDefault="009945F8" w14:paraId="3A14D9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5469C" w:rsidR="009945F8" w:rsidP="00EC1D6A" w:rsidRDefault="009945F8" w14:paraId="4CEECE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5469C" w:rsidR="009945F8" w:rsidP="00EC1D6A" w:rsidRDefault="009945F8" w14:paraId="007EC2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5469C" w:rsidR="009945F8" w:rsidP="00EC1D6A" w:rsidRDefault="009945F8" w14:paraId="19F16F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Pr="009945F8" w:rsidR="0005469C" w:rsidTr="002C201A" w14:paraId="775C647B" w14:textId="77777777">
        <w:trPr>
          <w:trHeight w:val="319"/>
        </w:trPr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1458C5F1" w14:textId="63D5941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Review Data for Reporting Completeness and Compliance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2CAE6447" w14:textId="532DC56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542 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3949B456" w14:textId="0BA9F0C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721 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5B981817" w14:textId="38BB3DC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$72,954</w:t>
            </w:r>
          </w:p>
        </w:tc>
      </w:tr>
      <w:tr w:rsidRPr="009945F8" w:rsidR="0005469C" w:rsidTr="002C201A" w14:paraId="5369AD2B" w14:textId="77777777">
        <w:trPr>
          <w:trHeight w:val="319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2E87B0C1" w14:textId="61FF0F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Process Transfer Reports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2694AF83" w14:textId="2F42958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311DEE70" w14:textId="6523911E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  20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6450FADA" w14:textId="3286B23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$1,890</w:t>
            </w:r>
          </w:p>
        </w:tc>
      </w:tr>
      <w:tr w:rsidRPr="009945F8" w:rsidR="0005469C" w:rsidTr="002C201A" w14:paraId="21F8A163" w14:textId="77777777">
        <w:trPr>
          <w:trHeight w:val="300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18251DF2" w14:textId="6031DCC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Review Petitions to Import HFCs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62FA7FCA" w14:textId="40F96074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3F054F09" w14:textId="5E464C68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211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49B5E044" w14:textId="78B45FCA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$19,104</w:t>
            </w:r>
          </w:p>
        </w:tc>
      </w:tr>
      <w:tr w:rsidRPr="009945F8" w:rsidR="0005469C" w:rsidTr="002C201A" w14:paraId="0F2E2282" w14:textId="77777777">
        <w:trPr>
          <w:trHeight w:val="300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74182F42" w14:textId="73EFB92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Review Set Aside Allowance Requests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5ED9FE25" w14:textId="39F628CB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6BF7C55A" w14:textId="49EE21B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413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1B5B0DD3" w14:textId="3ACBB2B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$38,953</w:t>
            </w:r>
          </w:p>
        </w:tc>
      </w:tr>
      <w:tr w:rsidRPr="009945F8" w:rsidR="0005469C" w:rsidTr="002C201A" w14:paraId="3B0617CE" w14:textId="77777777">
        <w:trPr>
          <w:trHeight w:val="300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5A542A54" w14:textId="62EE836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Provide Reporting Guidance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69E8D0C6" w14:textId="7B068F4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239E2A3A" w14:textId="7A151575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  52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5469C" w:rsidR="0005469C" w:rsidP="0005469C" w:rsidRDefault="0005469C" w14:paraId="05C6B4F0" w14:textId="4087E07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$4,884</w:t>
            </w:r>
          </w:p>
        </w:tc>
      </w:tr>
      <w:tr w:rsidRPr="009945F8" w:rsidR="0005469C" w:rsidTr="002C201A" w14:paraId="3DBFF289" w14:textId="77777777">
        <w:trPr>
          <w:trHeight w:val="300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742CC473" w14:textId="7334CD8D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Conduct Stakeholder Outreach Efforts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74795A3F" w14:textId="45B2722D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6E88276F" w14:textId="15E5198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      184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5469C" w:rsidR="0005469C" w:rsidP="0005469C" w:rsidRDefault="0005469C" w14:paraId="785DB399" w14:textId="37BA453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$18,216</w:t>
            </w:r>
          </w:p>
        </w:tc>
      </w:tr>
      <w:tr w:rsidRPr="009945F8" w:rsidR="0005469C" w:rsidTr="002C201A" w14:paraId="3E6AB5C0" w14:textId="77777777">
        <w:trPr>
          <w:trHeight w:val="300"/>
        </w:trPr>
        <w:tc>
          <w:tcPr>
            <w:tcW w:w="4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5469C" w:rsidR="0005469C" w:rsidP="0005469C" w:rsidRDefault="0005469C" w14:paraId="73CC03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5469C">
              <w:rPr>
                <w:rFonts w:ascii="Times New Roman" w:hAnsi="Times New Roman" w:eastAsia="Times New Roman" w:cs="Times New Roman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05469C" w:rsidR="0005469C" w:rsidP="0005469C" w:rsidRDefault="0005469C" w14:paraId="74A621D7" w14:textId="7777777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5469C" w:rsidR="0005469C" w:rsidP="0005469C" w:rsidRDefault="0005469C" w14:paraId="246D22BA" w14:textId="4C18880D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 xml:space="preserve">       1,600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5469C" w:rsidR="0005469C" w:rsidP="0005469C" w:rsidRDefault="0005469C" w14:paraId="09DA0986" w14:textId="5143568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5469C">
              <w:rPr>
                <w:rFonts w:ascii="Times New Roman" w:hAnsi="Times New Roman" w:cs="Times New Roman"/>
                <w:sz w:val="14"/>
                <w:szCs w:val="14"/>
              </w:rPr>
              <w:t>$156,001</w:t>
            </w:r>
          </w:p>
        </w:tc>
      </w:tr>
    </w:tbl>
    <w:p w:rsidRPr="00C23B18" w:rsidR="00EC1D6A" w:rsidP="00311EE8" w:rsidRDefault="00EC1D6A" w14:paraId="1B00DA7F" w14:textId="7777777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5E3A3D7E" w14:textId="7B55E8A8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29CB65BA" w14:textId="7B0A4B3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54F5459D" w14:textId="607C8BF3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2511C30B" w14:textId="357447B3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48EF7B8A" w14:textId="26632AF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4574D4D2" w14:textId="2E155CE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0498B606" w14:textId="718BC3F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19E8E47F" w14:textId="16929E0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11C432E1" w14:textId="2EE0A32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2AEA6377" w14:textId="7CF69C2D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441A58" w:rsidP="6218C820" w:rsidRDefault="00441A58" w14:paraId="1BD26349" w14:textId="77777777">
      <w:pPr>
        <w:rPr>
          <w:rFonts w:ascii="Times New Roman" w:hAnsi="Times New Roman" w:cs="Times New Roman"/>
          <w:b/>
          <w:bCs/>
          <w:sz w:val="23"/>
          <w:szCs w:val="23"/>
        </w:rPr>
      </w:pPr>
    </w:p>
    <w:sectPr w:rsidR="00441A58" w:rsidSect="009B0F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DEF1A" w14:textId="77777777" w:rsidR="00D11383" w:rsidRDefault="00D11383" w:rsidP="00562E5B">
      <w:pPr>
        <w:spacing w:after="0" w:line="240" w:lineRule="auto"/>
      </w:pPr>
      <w:r>
        <w:separator/>
      </w:r>
    </w:p>
  </w:endnote>
  <w:endnote w:type="continuationSeparator" w:id="0">
    <w:p w14:paraId="58DFEE72" w14:textId="77777777" w:rsidR="00D11383" w:rsidRDefault="00D11383" w:rsidP="00562E5B">
      <w:pPr>
        <w:spacing w:after="0" w:line="240" w:lineRule="auto"/>
      </w:pPr>
      <w:r>
        <w:continuationSeparator/>
      </w:r>
    </w:p>
  </w:endnote>
  <w:endnote w:type="continuationNotice" w:id="1">
    <w:p w14:paraId="14963921" w14:textId="77777777" w:rsidR="00D11383" w:rsidRDefault="00D11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7224419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191388" w14:textId="2E068F0E" w:rsidR="00562E5B" w:rsidRPr="00A66ABF" w:rsidRDefault="00562E5B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66ABF">
              <w:rPr>
                <w:rFonts w:ascii="Times New Roman" w:hAnsi="Times New Roman" w:cs="Times New Roman"/>
              </w:rPr>
              <w:t xml:space="preserve">Page </w:t>
            </w:r>
            <w:r w:rsidRPr="00A66A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66ABF">
              <w:rPr>
                <w:rFonts w:ascii="Times New Roman" w:hAnsi="Times New Roman" w:cs="Times New Roman"/>
              </w:rPr>
              <w:instrText xml:space="preserve"> PAGE </w:instrText>
            </w:r>
            <w:r w:rsidRPr="00A66A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6ABF">
              <w:rPr>
                <w:rFonts w:ascii="Times New Roman" w:hAnsi="Times New Roman" w:cs="Times New Roman"/>
                <w:noProof/>
              </w:rPr>
              <w:t>2</w:t>
            </w:r>
            <w:r w:rsidRPr="00A66A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66ABF">
              <w:rPr>
                <w:rFonts w:ascii="Times New Roman" w:hAnsi="Times New Roman" w:cs="Times New Roman"/>
              </w:rPr>
              <w:t xml:space="preserve"> of </w:t>
            </w:r>
            <w:r w:rsidR="00137B3B" w:rsidRPr="00A66ABF">
              <w:rPr>
                <w:rFonts w:ascii="Times New Roman" w:hAnsi="Times New Roman" w:cs="Times New Roman"/>
              </w:rPr>
              <w:fldChar w:fldCharType="begin"/>
            </w:r>
            <w:r w:rsidR="00137B3B" w:rsidRPr="00A66ABF">
              <w:rPr>
                <w:rFonts w:ascii="Times New Roman" w:hAnsi="Times New Roman" w:cs="Times New Roman"/>
              </w:rPr>
              <w:instrText xml:space="preserve"> NUMPAGES  </w:instrText>
            </w:r>
            <w:r w:rsidR="00137B3B" w:rsidRPr="00A66ABF">
              <w:rPr>
                <w:rFonts w:ascii="Times New Roman" w:hAnsi="Times New Roman" w:cs="Times New Roman"/>
              </w:rPr>
              <w:fldChar w:fldCharType="separate"/>
            </w:r>
            <w:r w:rsidRPr="00A66ABF">
              <w:rPr>
                <w:rFonts w:ascii="Times New Roman" w:hAnsi="Times New Roman" w:cs="Times New Roman"/>
                <w:noProof/>
              </w:rPr>
              <w:t>2</w:t>
            </w:r>
            <w:r w:rsidR="00137B3B" w:rsidRPr="00A66ABF">
              <w:rPr>
                <w:rFonts w:ascii="Times New Roman" w:hAnsi="Times New Roman" w:cs="Times New Roman"/>
                <w:noProof/>
              </w:rPr>
              <w:fldChar w:fldCharType="end"/>
            </w:r>
          </w:p>
        </w:sdtContent>
      </w:sdt>
    </w:sdtContent>
  </w:sdt>
  <w:p w14:paraId="3515F5D9" w14:textId="77777777" w:rsidR="00562E5B" w:rsidRPr="00562E5B" w:rsidRDefault="00562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F5979" w14:textId="77777777" w:rsidR="00D11383" w:rsidRDefault="00D11383" w:rsidP="00562E5B">
      <w:pPr>
        <w:spacing w:after="0" w:line="240" w:lineRule="auto"/>
      </w:pPr>
      <w:r>
        <w:separator/>
      </w:r>
    </w:p>
  </w:footnote>
  <w:footnote w:type="continuationSeparator" w:id="0">
    <w:p w14:paraId="2E2F7B06" w14:textId="77777777" w:rsidR="00D11383" w:rsidRDefault="00D11383" w:rsidP="00562E5B">
      <w:pPr>
        <w:spacing w:after="0" w:line="240" w:lineRule="auto"/>
      </w:pPr>
      <w:r>
        <w:continuationSeparator/>
      </w:r>
    </w:p>
  </w:footnote>
  <w:footnote w:type="continuationNotice" w:id="1">
    <w:p w14:paraId="0FA8A43C" w14:textId="77777777" w:rsidR="00D11383" w:rsidRDefault="00D113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229B"/>
    <w:multiLevelType w:val="hybridMultilevel"/>
    <w:tmpl w:val="81D8B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2DAB"/>
    <w:multiLevelType w:val="hybridMultilevel"/>
    <w:tmpl w:val="4A96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5F5"/>
    <w:multiLevelType w:val="hybridMultilevel"/>
    <w:tmpl w:val="DF1AA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354A"/>
    <w:multiLevelType w:val="hybridMultilevel"/>
    <w:tmpl w:val="DF1AA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06E3E"/>
    <w:multiLevelType w:val="hybridMultilevel"/>
    <w:tmpl w:val="63DED46A"/>
    <w:lvl w:ilvl="0" w:tplc="60FA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8"/>
    <w:rsid w:val="00022634"/>
    <w:rsid w:val="00036D4A"/>
    <w:rsid w:val="00046EAA"/>
    <w:rsid w:val="0005469C"/>
    <w:rsid w:val="000573B4"/>
    <w:rsid w:val="000615C7"/>
    <w:rsid w:val="0007179A"/>
    <w:rsid w:val="00076578"/>
    <w:rsid w:val="000A21B5"/>
    <w:rsid w:val="000B0F5B"/>
    <w:rsid w:val="000B4C00"/>
    <w:rsid w:val="000D0FF4"/>
    <w:rsid w:val="000D73F3"/>
    <w:rsid w:val="000E04CB"/>
    <w:rsid w:val="000F3942"/>
    <w:rsid w:val="0012262E"/>
    <w:rsid w:val="00123D3C"/>
    <w:rsid w:val="00126291"/>
    <w:rsid w:val="00134ACC"/>
    <w:rsid w:val="00137B3B"/>
    <w:rsid w:val="00145695"/>
    <w:rsid w:val="00183E93"/>
    <w:rsid w:val="00191AB5"/>
    <w:rsid w:val="001A328E"/>
    <w:rsid w:val="001C3992"/>
    <w:rsid w:val="001D6316"/>
    <w:rsid w:val="002211DB"/>
    <w:rsid w:val="00225482"/>
    <w:rsid w:val="00225E3F"/>
    <w:rsid w:val="00240B58"/>
    <w:rsid w:val="00242F59"/>
    <w:rsid w:val="0025319E"/>
    <w:rsid w:val="00265136"/>
    <w:rsid w:val="00265974"/>
    <w:rsid w:val="0028784D"/>
    <w:rsid w:val="002A160F"/>
    <w:rsid w:val="002C201A"/>
    <w:rsid w:val="002E06E1"/>
    <w:rsid w:val="002F4007"/>
    <w:rsid w:val="00300CCF"/>
    <w:rsid w:val="00306ADD"/>
    <w:rsid w:val="00311EE8"/>
    <w:rsid w:val="0031294D"/>
    <w:rsid w:val="003174FB"/>
    <w:rsid w:val="00321B4D"/>
    <w:rsid w:val="00325F66"/>
    <w:rsid w:val="00331114"/>
    <w:rsid w:val="003357F1"/>
    <w:rsid w:val="00337B47"/>
    <w:rsid w:val="00340F00"/>
    <w:rsid w:val="003431FC"/>
    <w:rsid w:val="0034558E"/>
    <w:rsid w:val="0036519D"/>
    <w:rsid w:val="0037334F"/>
    <w:rsid w:val="003745CA"/>
    <w:rsid w:val="00384DAB"/>
    <w:rsid w:val="003A04FB"/>
    <w:rsid w:val="003A0E15"/>
    <w:rsid w:val="003F5FFE"/>
    <w:rsid w:val="003F7C41"/>
    <w:rsid w:val="00417437"/>
    <w:rsid w:val="00441A58"/>
    <w:rsid w:val="004433BA"/>
    <w:rsid w:val="00446217"/>
    <w:rsid w:val="00446EEE"/>
    <w:rsid w:val="004720BE"/>
    <w:rsid w:val="004B5C6B"/>
    <w:rsid w:val="004B7F49"/>
    <w:rsid w:val="004D76DF"/>
    <w:rsid w:val="004E18CC"/>
    <w:rsid w:val="00511CFD"/>
    <w:rsid w:val="00516809"/>
    <w:rsid w:val="0052118C"/>
    <w:rsid w:val="0052773B"/>
    <w:rsid w:val="005416A4"/>
    <w:rsid w:val="00552E94"/>
    <w:rsid w:val="005552F0"/>
    <w:rsid w:val="005571D9"/>
    <w:rsid w:val="00562E5B"/>
    <w:rsid w:val="005634AB"/>
    <w:rsid w:val="00566442"/>
    <w:rsid w:val="005668D7"/>
    <w:rsid w:val="00584516"/>
    <w:rsid w:val="00591004"/>
    <w:rsid w:val="00592A22"/>
    <w:rsid w:val="0059608C"/>
    <w:rsid w:val="005A7143"/>
    <w:rsid w:val="005B215E"/>
    <w:rsid w:val="005C130A"/>
    <w:rsid w:val="005C7250"/>
    <w:rsid w:val="005E0715"/>
    <w:rsid w:val="005F249A"/>
    <w:rsid w:val="005F3839"/>
    <w:rsid w:val="00630D6D"/>
    <w:rsid w:val="00634CB2"/>
    <w:rsid w:val="0065061F"/>
    <w:rsid w:val="00660CC2"/>
    <w:rsid w:val="0066552F"/>
    <w:rsid w:val="006723C2"/>
    <w:rsid w:val="00674401"/>
    <w:rsid w:val="006947F2"/>
    <w:rsid w:val="006A32E7"/>
    <w:rsid w:val="006B7055"/>
    <w:rsid w:val="006C0172"/>
    <w:rsid w:val="006C4288"/>
    <w:rsid w:val="006C612C"/>
    <w:rsid w:val="006D74BE"/>
    <w:rsid w:val="006F3E6A"/>
    <w:rsid w:val="007045D1"/>
    <w:rsid w:val="007160E6"/>
    <w:rsid w:val="00717073"/>
    <w:rsid w:val="00772CEF"/>
    <w:rsid w:val="007800EB"/>
    <w:rsid w:val="007A192B"/>
    <w:rsid w:val="007A5FD1"/>
    <w:rsid w:val="007B3290"/>
    <w:rsid w:val="007D4C85"/>
    <w:rsid w:val="007F0E39"/>
    <w:rsid w:val="008216C4"/>
    <w:rsid w:val="0084138F"/>
    <w:rsid w:val="0086478B"/>
    <w:rsid w:val="008726BE"/>
    <w:rsid w:val="008860FD"/>
    <w:rsid w:val="008A14DF"/>
    <w:rsid w:val="008A28EB"/>
    <w:rsid w:val="008A65E3"/>
    <w:rsid w:val="008B0C10"/>
    <w:rsid w:val="008F3447"/>
    <w:rsid w:val="00923960"/>
    <w:rsid w:val="00924E13"/>
    <w:rsid w:val="00936B00"/>
    <w:rsid w:val="00963683"/>
    <w:rsid w:val="00983961"/>
    <w:rsid w:val="00984959"/>
    <w:rsid w:val="0098758E"/>
    <w:rsid w:val="00990F6F"/>
    <w:rsid w:val="009945F8"/>
    <w:rsid w:val="009A0E12"/>
    <w:rsid w:val="009A6EE2"/>
    <w:rsid w:val="009B0F7E"/>
    <w:rsid w:val="009B687B"/>
    <w:rsid w:val="00A0305F"/>
    <w:rsid w:val="00A0670C"/>
    <w:rsid w:val="00A079AA"/>
    <w:rsid w:val="00A07F21"/>
    <w:rsid w:val="00A176CD"/>
    <w:rsid w:val="00A2334C"/>
    <w:rsid w:val="00A319F4"/>
    <w:rsid w:val="00A3413C"/>
    <w:rsid w:val="00A377F7"/>
    <w:rsid w:val="00A37FBF"/>
    <w:rsid w:val="00A6021F"/>
    <w:rsid w:val="00A66ABF"/>
    <w:rsid w:val="00A72B19"/>
    <w:rsid w:val="00A73E45"/>
    <w:rsid w:val="00A816E4"/>
    <w:rsid w:val="00A90125"/>
    <w:rsid w:val="00A9013F"/>
    <w:rsid w:val="00A9082F"/>
    <w:rsid w:val="00A96B9B"/>
    <w:rsid w:val="00AA1AB0"/>
    <w:rsid w:val="00AA7E16"/>
    <w:rsid w:val="00AB4B59"/>
    <w:rsid w:val="00AB78A7"/>
    <w:rsid w:val="00AC4EEF"/>
    <w:rsid w:val="00AF0AAD"/>
    <w:rsid w:val="00AF5A6F"/>
    <w:rsid w:val="00B02C0F"/>
    <w:rsid w:val="00B068DA"/>
    <w:rsid w:val="00B245CD"/>
    <w:rsid w:val="00B45A35"/>
    <w:rsid w:val="00B50CBD"/>
    <w:rsid w:val="00B61D02"/>
    <w:rsid w:val="00B71FDF"/>
    <w:rsid w:val="00B72A05"/>
    <w:rsid w:val="00B8194F"/>
    <w:rsid w:val="00B82910"/>
    <w:rsid w:val="00B8792F"/>
    <w:rsid w:val="00B91CC5"/>
    <w:rsid w:val="00BB4E3C"/>
    <w:rsid w:val="00BC0668"/>
    <w:rsid w:val="00BD56B1"/>
    <w:rsid w:val="00BE59A6"/>
    <w:rsid w:val="00BF725F"/>
    <w:rsid w:val="00C02196"/>
    <w:rsid w:val="00C23B18"/>
    <w:rsid w:val="00C4103D"/>
    <w:rsid w:val="00C53188"/>
    <w:rsid w:val="00C548BA"/>
    <w:rsid w:val="00C641D7"/>
    <w:rsid w:val="00C64F89"/>
    <w:rsid w:val="00C64FA4"/>
    <w:rsid w:val="00CC0D04"/>
    <w:rsid w:val="00CD2A5A"/>
    <w:rsid w:val="00CD78B6"/>
    <w:rsid w:val="00CE5627"/>
    <w:rsid w:val="00D1080D"/>
    <w:rsid w:val="00D10F50"/>
    <w:rsid w:val="00D11383"/>
    <w:rsid w:val="00D30F6C"/>
    <w:rsid w:val="00D3405F"/>
    <w:rsid w:val="00D64CC4"/>
    <w:rsid w:val="00D92856"/>
    <w:rsid w:val="00D937BD"/>
    <w:rsid w:val="00DB2E93"/>
    <w:rsid w:val="00DB341D"/>
    <w:rsid w:val="00DE2B0B"/>
    <w:rsid w:val="00DE7150"/>
    <w:rsid w:val="00DF32EF"/>
    <w:rsid w:val="00E075D4"/>
    <w:rsid w:val="00E14B4A"/>
    <w:rsid w:val="00E22E38"/>
    <w:rsid w:val="00E261F0"/>
    <w:rsid w:val="00E33DF9"/>
    <w:rsid w:val="00E352FF"/>
    <w:rsid w:val="00E42313"/>
    <w:rsid w:val="00E45357"/>
    <w:rsid w:val="00E62F8E"/>
    <w:rsid w:val="00E67379"/>
    <w:rsid w:val="00E71B75"/>
    <w:rsid w:val="00E94DA4"/>
    <w:rsid w:val="00EA5764"/>
    <w:rsid w:val="00EB583A"/>
    <w:rsid w:val="00EC1D6A"/>
    <w:rsid w:val="00EC7D05"/>
    <w:rsid w:val="00ED6653"/>
    <w:rsid w:val="00EE2485"/>
    <w:rsid w:val="00EF2F58"/>
    <w:rsid w:val="00EF3950"/>
    <w:rsid w:val="00F146D8"/>
    <w:rsid w:val="00F2465F"/>
    <w:rsid w:val="00F27E40"/>
    <w:rsid w:val="00F476B2"/>
    <w:rsid w:val="00F522EA"/>
    <w:rsid w:val="00F571DE"/>
    <w:rsid w:val="00F66ED0"/>
    <w:rsid w:val="00F903F8"/>
    <w:rsid w:val="00F90BDC"/>
    <w:rsid w:val="00F913DD"/>
    <w:rsid w:val="00FA026C"/>
    <w:rsid w:val="00FA2BFF"/>
    <w:rsid w:val="00FA3530"/>
    <w:rsid w:val="00FE1814"/>
    <w:rsid w:val="00FE644D"/>
    <w:rsid w:val="00FF3F40"/>
    <w:rsid w:val="032A424C"/>
    <w:rsid w:val="08C6EA2B"/>
    <w:rsid w:val="0942DB26"/>
    <w:rsid w:val="0D212008"/>
    <w:rsid w:val="10D76723"/>
    <w:rsid w:val="26DBC8A9"/>
    <w:rsid w:val="282F7ECE"/>
    <w:rsid w:val="2AD73913"/>
    <w:rsid w:val="2BA35C1F"/>
    <w:rsid w:val="2BEC43BF"/>
    <w:rsid w:val="2FC8CB87"/>
    <w:rsid w:val="34F35024"/>
    <w:rsid w:val="356147A9"/>
    <w:rsid w:val="35731E94"/>
    <w:rsid w:val="36445E12"/>
    <w:rsid w:val="3B3B0AA0"/>
    <w:rsid w:val="3B7DA570"/>
    <w:rsid w:val="42AC5591"/>
    <w:rsid w:val="43F6E9E0"/>
    <w:rsid w:val="4A606C2D"/>
    <w:rsid w:val="4DDDFF37"/>
    <w:rsid w:val="4F38EDDD"/>
    <w:rsid w:val="574C9BF2"/>
    <w:rsid w:val="5AF82AE2"/>
    <w:rsid w:val="60EDBF01"/>
    <w:rsid w:val="6218C820"/>
    <w:rsid w:val="6312F72F"/>
    <w:rsid w:val="665DC1F2"/>
    <w:rsid w:val="6E0A14F5"/>
    <w:rsid w:val="75CBD84E"/>
    <w:rsid w:val="78426A41"/>
    <w:rsid w:val="7AC75044"/>
    <w:rsid w:val="7C7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050E3C"/>
  <w15:chartTrackingRefBased/>
  <w15:docId w15:val="{C98EEBD3-9FFA-4DD6-8F16-1C2EF0F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1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1E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E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2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E5B"/>
  </w:style>
  <w:style w:type="paragraph" w:styleId="Footer">
    <w:name w:val="footer"/>
    <w:basedOn w:val="Normal"/>
    <w:link w:val="FooterChar"/>
    <w:uiPriority w:val="99"/>
    <w:unhideWhenUsed/>
    <w:rsid w:val="00562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E5B"/>
  </w:style>
  <w:style w:type="paragraph" w:styleId="Revision">
    <w:name w:val="Revision"/>
    <w:hidden/>
    <w:uiPriority w:val="99"/>
    <w:semiHidden/>
    <w:rsid w:val="00557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2021-09-29T14:45:30+00:00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a5698518-7154-49e2-a44c-0fab2fda1333">
      <UserInfo>
        <DisplayName>Kuntal Merchant</DisplayName>
        <AccountId>14</AccountId>
        <AccountType/>
      </UserInfo>
      <UserInfo>
        <DisplayName>SharingLinks.007412e8-17b7-4b00-bb19-b68ffea9c922.Flexible.3b79b8c7-0fa7-4345-a58b-6b66953b3f6d</DisplayName>
        <AccountId>95</AccountId>
        <AccountType/>
      </UserInfo>
      <UserInfo>
        <DisplayName>Hall-Jordan, Luke</DisplayName>
        <AccountId>22</AccountId>
        <AccountType/>
      </UserInfo>
      <UserInfo>
        <DisplayName>Arling, Jeremy</DisplayName>
        <AccountId>25</AccountId>
        <AccountType/>
      </UserInfo>
      <UserInfo>
        <DisplayName>Chang, Wei-An (Andy)</DisplayName>
        <AccountId>21</AccountId>
        <AccountType/>
      </UserInfo>
    </SharedWithUsers>
    <_dlc_DocId xmlns="a5698518-7154-49e2-a44c-0fab2fda1333">Z7VF45NSWDWW-1471156837-107718</_dlc_DocId>
    <_dlc_DocIdUrl xmlns="a5698518-7154-49e2-a44c-0fab2fda1333">
      <Url>https://usepa.sharepoint.com/sites/OAP-IO/_layouts/15/DocIdRedir.aspx?ID=Z7VF45NSWDWW-1471156837-107718</Url>
      <Description>Z7VF45NSWDWW-1471156837-107718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B3908ED3F2D44A311B0DCBA8BE5B2" ma:contentTypeVersion="6" ma:contentTypeDescription="Create a new document." ma:contentTypeScope="" ma:versionID="35dd968b480328412548dfde04f6799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f6590ad2-7b30-4d66-9397-c3e804733b6b" xmlns:ns6="a5698518-7154-49e2-a44c-0fab2fda1333" targetNamespace="http://schemas.microsoft.com/office/2006/metadata/properties" ma:root="true" ma:fieldsID="8be2ff828f8377e66d5284924f7efb8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6590ad2-7b30-4d66-9397-c3e804733b6b"/>
    <xsd:import namespace="a5698518-7154-49e2-a44c-0fab2fda133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c6170e7-f3f9-4ecf-b0f3-ef0c9de41eb4}" ma:internalName="TaxCatchAllLabel" ma:readOnly="true" ma:showField="CatchAllDataLabel" ma:web="a5698518-7154-49e2-a44c-0fab2fda1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c6170e7-f3f9-4ecf-b0f3-ef0c9de41eb4}" ma:internalName="TaxCatchAll" ma:showField="CatchAllData" ma:web="a5698518-7154-49e2-a44c-0fab2fda1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0ad2-7b30-4d66-9397-c3e80473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8518-7154-49e2-a44c-0fab2fda133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D4A3A4-0D07-4EAB-BDC2-59CB1842AD63}">
  <ds:schemaRefs>
    <ds:schemaRef ds:uri="8c57eaaf-0617-4b5e-abd8-c9c87ce9c094"/>
    <ds:schemaRef ds:uri="http://purl.org/dc/terms/"/>
    <ds:schemaRef ds:uri="http://schemas.microsoft.com/office/infopath/2007/PartnerControls"/>
    <ds:schemaRef ds:uri="http://purl.org/dc/dcmitype/"/>
    <ds:schemaRef ds:uri="4ffa91fb-a0ff-4ac5-b2db-65c790d184a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20af4edb-1540-4aba-b7d0-294715a11a7a"/>
    <ds:schemaRef ds:uri="http://schemas.microsoft.com/sharepoint.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2D1880-E5C8-479C-B616-728BC8DA0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24CFC-7FBA-4FA2-8AC3-B1AA75BF9D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24E0FB-DC74-4D2B-91D3-C2A936ABF15B}"/>
</file>

<file path=customXml/itemProps5.xml><?xml version="1.0" encoding="utf-8"?>
<ds:datastoreItem xmlns:ds="http://schemas.openxmlformats.org/officeDocument/2006/customXml" ds:itemID="{C9AF9F5F-64DF-4717-BF1C-9BADFAB23E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Duenser, Sean</dc:creator>
  <cp:keywords/>
  <dc:description/>
  <cp:lastModifiedBy>Graff, Michelle</cp:lastModifiedBy>
  <cp:revision>2</cp:revision>
  <dcterms:created xsi:type="dcterms:W3CDTF">2021-10-14T20:28:00Z</dcterms:created>
  <dcterms:modified xsi:type="dcterms:W3CDTF">2021-10-14T20:28:00Z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0x010100E77B3908ED3F2D44A311B0DCBA8BE5B2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  <property fmtid="{D5CDD505-2E9C-101B-9397-08002B2CF9AE}" pid="8" name="_dlc_DocIdItemGuid">
    <vt:lpwstr>dec56696-8264-497e-9a9d-26dd423e13f4</vt:lpwstr>
  </property>
</Properties>
</file>