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01E6" w:rsidRDefault="004007D3" w14:paraId="4348160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b w:val="0"/>
          <w:bCs w:val="0"/>
          <w:sz w:val="24"/>
          <w:szCs w:val="24"/>
        </w:rPr>
      </w:pPr>
      <w:r>
        <w:rPr>
          <w:noProof/>
        </w:rPr>
        <mc:AlternateContent>
          <mc:Choice Requires="wps">
            <w:drawing>
              <wp:anchor distT="0" distB="0" distL="114300" distR="114300" simplePos="0" relativeHeight="251658240" behindDoc="1" locked="1" layoutInCell="0" allowOverlap="1" wp14:editId="4B0A57BD" wp14:anchorId="331F18E2">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EDF4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LQYJ3MCAAD3BAAADgAAAAAAAAAAAAAA&#10;AAAuAgAAZHJzL2Uyb0RvYy54bWxQSwECLQAUAAYACAAAACEA3pBdo9kAAAAHAQAADwAAAAAAAAAA&#10;AAAAAADNBAAAZHJzL2Rvd25yZXYueG1sUEsFBgAAAAAEAAQA8wAAANMFAAAAAA==&#10;">
                <w10:wrap anchorx="page"/>
                <w10:anchorlock/>
              </v:rect>
            </w:pict>
          </mc:Fallback>
        </mc:AlternateContent>
      </w:r>
    </w:p>
    <w:p w:rsidR="002C01E6" w:rsidRDefault="002C01E6" w14:paraId="3F81749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b w:val="0"/>
          <w:bCs w:val="0"/>
          <w:sz w:val="24"/>
          <w:szCs w:val="24"/>
        </w:rPr>
      </w:pPr>
    </w:p>
    <w:p w:rsidR="002C01E6" w:rsidRDefault="002C01E6" w14:paraId="6462963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SUPPORTING STATEMENT</w:t>
      </w:r>
    </w:p>
    <w:p w:rsidR="00B45661" w:rsidRDefault="002C01E6" w14:paraId="6CD6BF3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Air Emissions Reporting Requirements</w:t>
      </w:r>
      <w:r w:rsidR="00711D13">
        <w:rPr>
          <w:rStyle w:val="Chapterhead"/>
        </w:rPr>
        <w:t xml:space="preserve"> (AERR)</w:t>
      </w:r>
      <w:r w:rsidR="00687858">
        <w:rPr>
          <w:rStyle w:val="Chapterhead"/>
        </w:rPr>
        <w:t xml:space="preserve"> </w:t>
      </w:r>
    </w:p>
    <w:p w:rsidR="002C01E6" w:rsidRDefault="00C02CC6" w14:paraId="2A25D2FD" w14:textId="01F7EE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EPA ICR # 2170.</w:t>
      </w:r>
      <w:r w:rsidRPr="000D3375">
        <w:rPr>
          <w:rStyle w:val="Chapterhead"/>
        </w:rPr>
        <w:t>0</w:t>
      </w:r>
      <w:r w:rsidR="004A09A6">
        <w:rPr>
          <w:rStyle w:val="Chapterhead"/>
        </w:rPr>
        <w:t>8</w:t>
      </w:r>
      <w:r w:rsidR="00B45661">
        <w:rPr>
          <w:rStyle w:val="Chapterhead"/>
        </w:rPr>
        <w:t xml:space="preserve"> OMB Control No. 2060-0580</w:t>
      </w:r>
    </w:p>
    <w:p w:rsidR="002C01E6" w:rsidRDefault="002C01E6" w14:paraId="081BFE2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071D6C" w:rsidP="00071D6C" w:rsidRDefault="004007D3" w14:paraId="34F26B5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Pr>
          <w:noProof/>
        </w:rPr>
        <mc:AlternateContent>
          <mc:Choice Requires="wps">
            <w:drawing>
              <wp:anchor distT="0" distB="0" distL="114300" distR="114300" simplePos="0" relativeHeight="251658241" behindDoc="1" locked="1" layoutInCell="0" allowOverlap="1" wp14:editId="0CA2C36A" wp14:anchorId="66D4CBFE">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4A87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w10:wrap anchorx="page"/>
                <w10:anchorlock/>
              </v:rect>
            </w:pict>
          </mc:Fallback>
        </mc:AlternateContent>
      </w:r>
    </w:p>
    <w:p w:rsidR="00071D6C" w:rsidRDefault="00071D6C" w14:paraId="530C0F5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14:paraId="3ED75337"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PART A</w:t>
      </w:r>
    </w:p>
    <w:p w:rsidR="00071D6C" w:rsidRDefault="00071D6C" w14:paraId="65A03FD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14:paraId="4FBF0E26"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1.</w:t>
      </w:r>
      <w:r>
        <w:rPr>
          <w:rStyle w:val="1sttierA"/>
        </w:rPr>
        <w:tab/>
        <w:t>IDENTIFICATION OF THE INFORMATION COLLECTION</w:t>
      </w:r>
    </w:p>
    <w:p w:rsidR="00071D6C" w:rsidRDefault="00071D6C" w14:paraId="6F8EB43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14:paraId="50A4E88A"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1(a) Title of the Information Collection</w:t>
      </w:r>
    </w:p>
    <w:p w:rsidR="00071D6C" w:rsidRDefault="00071D6C" w14:paraId="6179DD7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1B31BDDA" w14:textId="10AFAB5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Air E</w:t>
      </w:r>
      <w:r w:rsidR="005E0F6F">
        <w:t>missions Reporting Requirements</w:t>
      </w:r>
    </w:p>
    <w:p w:rsidR="002C01E6" w:rsidRDefault="002C01E6" w14:paraId="5E4D20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4FEC37F6"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1(b) Short Characterization/Abstract</w:t>
      </w:r>
    </w:p>
    <w:p w:rsidR="000B023E" w:rsidP="000B023E" w:rsidRDefault="000B023E" w14:paraId="342BB667"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Pr="00E265D9" w:rsidR="002C01E6" w:rsidP="0066138E" w:rsidRDefault="002C01E6" w14:paraId="0C0165B0" w14:textId="21CC7868">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The Environmental Protection Agency (EPA) promulgat</w:t>
      </w:r>
      <w:r w:rsidR="00ED52F9">
        <w:t>ed</w:t>
      </w:r>
      <w:r w:rsidRPr="00E265D9">
        <w:t xml:space="preserve"> the </w:t>
      </w:r>
      <w:r w:rsidR="00711D13">
        <w:t xml:space="preserve">Revisions to the </w:t>
      </w:r>
      <w:r w:rsidRPr="00E265D9">
        <w:t>Air Emissions Reporting Requirements</w:t>
      </w:r>
      <w:r w:rsidR="00711D13">
        <w:t>: Revisions to Lead (Pb) Reporting Threshold and Clarifications to Technical Reporting Details</w:t>
      </w:r>
      <w:r w:rsidRPr="00E265D9">
        <w:t xml:space="preserve"> </w:t>
      </w:r>
      <w:r w:rsidR="00ED52F9">
        <w:t xml:space="preserve">on </w:t>
      </w:r>
      <w:r w:rsidR="00711D13">
        <w:t>February 19, 2015</w:t>
      </w:r>
      <w:r w:rsidR="0066138E">
        <w:t xml:space="preserve"> </w:t>
      </w:r>
      <w:r w:rsidR="008F66F0">
        <w:t>(</w:t>
      </w:r>
      <w:r w:rsidR="0066138E">
        <w:t xml:space="preserve">FR Vol </w:t>
      </w:r>
      <w:r w:rsidR="00711D13">
        <w:t>80</w:t>
      </w:r>
      <w:r w:rsidR="0066138E">
        <w:t xml:space="preserve">, No. </w:t>
      </w:r>
      <w:r w:rsidR="00711D13">
        <w:t>33</w:t>
      </w:r>
      <w:r w:rsidR="0066138E">
        <w:t xml:space="preserve">, </w:t>
      </w:r>
      <w:r w:rsidR="00711D13">
        <w:t>8787</w:t>
      </w:r>
      <w:r w:rsidR="0066138E">
        <w:t>)</w:t>
      </w:r>
      <w:r w:rsidR="00ED52F9">
        <w:t xml:space="preserve">.  </w:t>
      </w:r>
      <w:r w:rsidR="0066138E">
        <w:t>The AERR</w:t>
      </w:r>
      <w:r w:rsidRPr="00E265D9">
        <w:t xml:space="preserve"> </w:t>
      </w:r>
      <w:r w:rsidR="00946B89">
        <w:t>revisions finalized changes to the EPA’s emissions inventory reporting requirements</w:t>
      </w:r>
      <w:r w:rsidR="0066138E">
        <w:t>.  The AERR</w:t>
      </w:r>
      <w:r w:rsidRPr="00E265D9">
        <w:t xml:space="preserve"> has an approved </w:t>
      </w:r>
      <w:r w:rsidR="005E0F6F">
        <w:t>information collection request (</w:t>
      </w:r>
      <w:r w:rsidRPr="00E265D9">
        <w:t>ICR</w:t>
      </w:r>
      <w:r w:rsidR="005E0F6F">
        <w:t>)</w:t>
      </w:r>
      <w:r w:rsidRPr="00E265D9">
        <w:t xml:space="preserve"> in place </w:t>
      </w:r>
      <w:r w:rsidR="00BE11E0">
        <w:t>(</w:t>
      </w:r>
      <w:r w:rsidRPr="00E265D9">
        <w:t xml:space="preserve">ICR </w:t>
      </w:r>
      <w:r w:rsidR="00BE11E0">
        <w:t>Number</w:t>
      </w:r>
      <w:r w:rsidRPr="00E265D9" w:rsidR="00BE11E0">
        <w:t xml:space="preserve"> </w:t>
      </w:r>
      <w:r w:rsidR="0066138E">
        <w:t>2170.0</w:t>
      </w:r>
      <w:r w:rsidR="00A906E1">
        <w:t>7</w:t>
      </w:r>
      <w:r w:rsidR="0066138E">
        <w:t xml:space="preserve">).  </w:t>
      </w:r>
      <w:r w:rsidRPr="00E265D9" w:rsidR="009A02B0">
        <w:t xml:space="preserve">This supporting statement </w:t>
      </w:r>
      <w:r w:rsidR="009A02B0">
        <w:t xml:space="preserve">provides estimates of the burden of reporting </w:t>
      </w:r>
      <w:r w:rsidR="008F66F0">
        <w:t>air emissions-related information</w:t>
      </w:r>
      <w:r w:rsidR="0066138E">
        <w:t xml:space="preserve"> </w:t>
      </w:r>
      <w:r w:rsidR="008F66F0">
        <w:t xml:space="preserve">from </w:t>
      </w:r>
      <w:r w:rsidR="005E0F6F">
        <w:t>s</w:t>
      </w:r>
      <w:r w:rsidR="008F66F0">
        <w:t>tate</w:t>
      </w:r>
      <w:r w:rsidR="006A3A13">
        <w:t>, territorial,</w:t>
      </w:r>
      <w:r w:rsidR="008F66F0">
        <w:t xml:space="preserve"> and local agencies </w:t>
      </w:r>
      <w:r w:rsidR="0066138E">
        <w:t xml:space="preserve">for </w:t>
      </w:r>
      <w:r w:rsidR="00D22DDC">
        <w:t xml:space="preserve">inventory years </w:t>
      </w:r>
      <w:r w:rsidR="005B3EDB">
        <w:t>2021</w:t>
      </w:r>
      <w:r w:rsidR="00D22DDC">
        <w:t>, 20</w:t>
      </w:r>
      <w:r w:rsidR="005B3EDB">
        <w:t>22</w:t>
      </w:r>
      <w:r w:rsidR="00D22DDC">
        <w:t>, and 20</w:t>
      </w:r>
      <w:r w:rsidR="004E7BEF">
        <w:t>2</w:t>
      </w:r>
      <w:r w:rsidR="005B3EDB">
        <w:t>3</w:t>
      </w:r>
      <w:r w:rsidR="00D22DDC">
        <w:t>, which are due to be reported on December 31 of the year following each inventory year.</w:t>
      </w:r>
    </w:p>
    <w:p w:rsidRPr="00E265D9" w:rsidR="002C01E6" w:rsidRDefault="002C01E6" w14:paraId="2CA6C35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DF0EA5" w:rsidP="00DF0EA5" w:rsidRDefault="00DF0EA5" w14:paraId="14A1A9FE" w14:textId="4C2326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Under the </w:t>
      </w:r>
      <w:r w:rsidR="00DC53E9">
        <w:t>current</w:t>
      </w:r>
      <w:r>
        <w:t xml:space="preserve"> </w:t>
      </w:r>
      <w:r w:rsidR="00A8268D">
        <w:t>A</w:t>
      </w:r>
      <w:r>
        <w:t>ERR ICR, 5</w:t>
      </w:r>
      <w:r w:rsidR="00D26110">
        <w:t>4</w:t>
      </w:r>
      <w:r>
        <w:t xml:space="preserve"> </w:t>
      </w:r>
      <w:r w:rsidR="005E0F6F">
        <w:t>s</w:t>
      </w:r>
      <w:r>
        <w:t xml:space="preserve">tate and </w:t>
      </w:r>
      <w:r w:rsidR="005E0F6F">
        <w:t>t</w:t>
      </w:r>
      <w:r>
        <w:t xml:space="preserve">erritorial air quality agencies, including the District of Columbia (DC), </w:t>
      </w:r>
      <w:r w:rsidR="008B5E76">
        <w:t>and</w:t>
      </w:r>
      <w:r>
        <w:t xml:space="preserve"> an estimated </w:t>
      </w:r>
      <w:r w:rsidR="00263B10">
        <w:t xml:space="preserve">annual average of </w:t>
      </w:r>
      <w:r w:rsidR="00D26110">
        <w:t>26</w:t>
      </w:r>
      <w:r w:rsidRPr="00F40F41" w:rsidR="003D0D35">
        <w:rPr>
          <w:rStyle w:val="FootnoteReference"/>
          <w:vertAlign w:val="superscript"/>
        </w:rPr>
        <w:footnoteReference w:id="2"/>
      </w:r>
      <w:r w:rsidR="003D0D35">
        <w:t xml:space="preserve"> </w:t>
      </w:r>
      <w:r>
        <w:t xml:space="preserve">local air quality agencies, must annually submit emissions data for point sources </w:t>
      </w:r>
      <w:r w:rsidR="004E7BEF">
        <w:t xml:space="preserve">with the potential to </w:t>
      </w:r>
      <w:r>
        <w:t>emit specified levels of oxides of nitrogen (NO</w:t>
      </w:r>
      <w:r w:rsidRPr="005E0F6F" w:rsidR="00A8268D">
        <w:rPr>
          <w:vertAlign w:val="subscript"/>
        </w:rPr>
        <w:t>x</w:t>
      </w:r>
      <w:r>
        <w:t>), carbon monoxide</w:t>
      </w:r>
      <w:r w:rsidRPr="00F40F41">
        <w:t xml:space="preserve"> </w:t>
      </w:r>
      <w:r>
        <w:t>(CO), sulfur dioxide (SO</w:t>
      </w:r>
      <w:r w:rsidRPr="005E0F6F" w:rsidR="00A8268D">
        <w:rPr>
          <w:vertAlign w:val="subscript"/>
        </w:rPr>
        <w:t>2</w:t>
      </w:r>
      <w:r>
        <w:t xml:space="preserve">), </w:t>
      </w:r>
      <w:r w:rsidR="00C86E4A">
        <w:t xml:space="preserve">volatile organic compounds (VOC), </w:t>
      </w:r>
      <w:r>
        <w:t>particulate matter less than or equal to 10 micrometers in diameter (PM</w:t>
      </w:r>
      <w:r w:rsidRPr="005E0F6F" w:rsidR="00A8268D">
        <w:rPr>
          <w:vertAlign w:val="subscript"/>
        </w:rPr>
        <w:t>10</w:t>
      </w:r>
      <w:r>
        <w:t>), particulate matter less than or equal to 2.5 micrometers in diameter (PM</w:t>
      </w:r>
      <w:r w:rsidRPr="005E0F6F" w:rsidR="00A8268D">
        <w:rPr>
          <w:vertAlign w:val="subscript"/>
        </w:rPr>
        <w:t>2.5</w:t>
      </w:r>
      <w:r>
        <w:t>),</w:t>
      </w:r>
      <w:r w:rsidR="004E7BEF">
        <w:t xml:space="preserve"> and</w:t>
      </w:r>
      <w:r>
        <w:t xml:space="preserve"> ammonia (NH</w:t>
      </w:r>
      <w:r w:rsidRPr="005E0F6F" w:rsidR="00A8268D">
        <w:rPr>
          <w:vertAlign w:val="subscript"/>
        </w:rPr>
        <w:t>3</w:t>
      </w:r>
      <w:r w:rsidR="00C86E4A">
        <w:t>)</w:t>
      </w:r>
      <w:r w:rsidR="004E7BEF">
        <w:t>. Additional</w:t>
      </w:r>
      <w:r w:rsidR="00181275">
        <w:t>ly</w:t>
      </w:r>
      <w:r w:rsidR="004E7BEF">
        <w:t>, these air quality agencies must submit emissions data</w:t>
      </w:r>
      <w:r w:rsidR="00181275">
        <w:t xml:space="preserve"> every third year</w:t>
      </w:r>
      <w:r w:rsidR="003D0D35">
        <w:t xml:space="preserve"> for point sources emitting 0.5 </w:t>
      </w:r>
      <w:r w:rsidR="004E7BEF">
        <w:t xml:space="preserve">tons/year </w:t>
      </w:r>
      <w:r w:rsidR="00181275">
        <w:t xml:space="preserve">or more </w:t>
      </w:r>
      <w:r w:rsidR="004E7BEF">
        <w:t>of lead</w:t>
      </w:r>
      <w:r w:rsidR="00C86E4A">
        <w:t xml:space="preserve">. </w:t>
      </w:r>
    </w:p>
    <w:p w:rsidR="00DF0EA5" w:rsidP="00DF0EA5" w:rsidRDefault="00DF0EA5" w14:paraId="19033BA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E7BEF" w:rsidP="00C370CC" w:rsidRDefault="00DF0EA5" w14:paraId="3AF0AA6E" w14:textId="388384E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CC5782">
        <w:t>s</w:t>
      </w:r>
      <w:r>
        <w:t>tates</w:t>
      </w:r>
      <w:r w:rsidRPr="00F40F41" w:rsidR="003D0D35">
        <w:rPr>
          <w:rStyle w:val="FootnoteReference"/>
          <w:vertAlign w:val="superscript"/>
        </w:rPr>
        <w:footnoteReference w:id="3"/>
      </w:r>
      <w:r>
        <w:t xml:space="preserve"> </w:t>
      </w:r>
      <w:r w:rsidR="003B4E99">
        <w:t>are</w:t>
      </w:r>
      <w:r>
        <w:t xml:space="preserve"> required to submit a point source inventory</w:t>
      </w:r>
      <w:r w:rsidR="00E009C9">
        <w:t xml:space="preserve"> </w:t>
      </w:r>
      <w:r>
        <w:t xml:space="preserve">as well as </w:t>
      </w:r>
      <w:r w:rsidR="005B3EDB">
        <w:t xml:space="preserve">emissions for </w:t>
      </w:r>
      <w:r>
        <w:t>stationary nonpoint</w:t>
      </w:r>
      <w:r w:rsidR="005B3EDB">
        <w:t xml:space="preserve"> and some nonroad mobile sources for the same pollutants listed above. These agencies must also submit emissions model input data every 3 years for </w:t>
      </w:r>
      <w:r w:rsidRPr="00F7706F" w:rsidR="005B3EDB">
        <w:t>on-road</w:t>
      </w:r>
      <w:r w:rsidR="005B3EDB">
        <w:rPr>
          <w:color w:val="008000"/>
        </w:rPr>
        <w:t xml:space="preserve"> </w:t>
      </w:r>
      <w:r w:rsidRPr="00F7706F" w:rsidR="005B3EDB">
        <w:t>mobile and non-road mobil</w:t>
      </w:r>
      <w:r w:rsidR="005B3EDB">
        <w:t>e equipment, except for California, which must submit emissions for these data categories of the same pollutants listed above</w:t>
      </w:r>
      <w:r>
        <w:t>.  The emissions data submitted for the annual and 3-year cycle</w:t>
      </w:r>
      <w:r w:rsidR="006A3A13">
        <w:t xml:space="preserve"> (triennial)</w:t>
      </w:r>
      <w:r>
        <w:t xml:space="preserve"> inventories </w:t>
      </w:r>
      <w:r w:rsidR="003B4E99">
        <w:t>are</w:t>
      </w:r>
      <w:r>
        <w:t xml:space="preserve"> used by </w:t>
      </w:r>
      <w:r w:rsidR="00CC5782">
        <w:t xml:space="preserve">the </w:t>
      </w:r>
      <w:r>
        <w:t xml:space="preserve">EPA’s Office of Air Quality Planning and Standards (OAQPS) to assist in developing ambient air quality emission standards, performing </w:t>
      </w:r>
      <w:r>
        <w:lastRenderedPageBreak/>
        <w:t xml:space="preserve">regional </w:t>
      </w:r>
      <w:r w:rsidR="004E7BEF">
        <w:t xml:space="preserve">and national </w:t>
      </w:r>
      <w:r>
        <w:t xml:space="preserve">modeling, </w:t>
      </w:r>
      <w:r w:rsidR="006A3A13">
        <w:t>providing air quality management support to state agencies and Multi-jurisdictional organizations (MJOs)</w:t>
      </w:r>
      <w:r w:rsidR="00B818EE">
        <w:t>,</w:t>
      </w:r>
      <w:r w:rsidR="006A3A13">
        <w:t xml:space="preserve"> </w:t>
      </w:r>
      <w:r>
        <w:t>and preparing national trends assessments and other special analyses and reports</w:t>
      </w:r>
      <w:r w:rsidR="00C370CC">
        <w:t>.</w:t>
      </w:r>
      <w:r w:rsidR="006A3A13">
        <w:t xml:space="preserve">  </w:t>
      </w:r>
      <w:r w:rsidR="004E7BEF">
        <w:t xml:space="preserve">The same reporting mechanisms used for the criteria pollutants listed above are also used for voluntary reporting of hazardous air pollutants (HAPs) and greenhouse gas (GHG) emissions. </w:t>
      </w:r>
      <w:r w:rsidR="006A3A13">
        <w:t xml:space="preserve"> </w:t>
      </w:r>
      <w:r w:rsidR="004E7BEF">
        <w:t xml:space="preserve">These </w:t>
      </w:r>
      <w:r w:rsidR="00F40F41">
        <w:t>data</w:t>
      </w:r>
      <w:r w:rsidR="004E7BEF">
        <w:t xml:space="preserve"> are collected by the air agencies for their own purposes, and the EPA encourages providing such data to the EPA when it is available. </w:t>
      </w:r>
    </w:p>
    <w:p w:rsidR="00CC5782" w:rsidP="00C370CC" w:rsidRDefault="00CC5782" w14:paraId="02F5881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P="00BE11E0" w:rsidRDefault="002C01E6" w14:paraId="2071FA73"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2.</w:t>
      </w:r>
      <w:r>
        <w:rPr>
          <w:rStyle w:val="1sttierA"/>
        </w:rPr>
        <w:tab/>
        <w:t>NEED FOR AND USE OF THE COLLECTION</w:t>
      </w:r>
    </w:p>
    <w:p w:rsidR="00BE11E0" w:rsidP="00BE11E0" w:rsidRDefault="00BE11E0" w14:paraId="4FA1D470"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14:paraId="0E5FA22F"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2(a) Need/Authority for the Collection</w:t>
      </w:r>
    </w:p>
    <w:p w:rsidR="00E265D9" w:rsidRDefault="00E265D9" w14:paraId="05DDA23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Pr="00E265D9" w:rsidR="002C01E6" w:rsidP="00E64DFD" w:rsidRDefault="00E64DFD" w14:paraId="22A4FA37" w14:textId="674791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AERR coordinate</w:t>
      </w:r>
      <w:r w:rsidR="00F40F41">
        <w:t>s</w:t>
      </w:r>
      <w:r>
        <w:t xml:space="preserve"> the various </w:t>
      </w:r>
      <w:r w:rsidR="00CC5782">
        <w:t>s</w:t>
      </w:r>
      <w:r>
        <w:t>tate emission inventory reporting requirements and streamline</w:t>
      </w:r>
      <w:r w:rsidR="00F40F41">
        <w:t>s</w:t>
      </w:r>
      <w:r>
        <w:t xml:space="preserve"> the activities involved in submitting emissions data to </w:t>
      </w:r>
      <w:r w:rsidR="00CC5782">
        <w:t xml:space="preserve">the </w:t>
      </w:r>
      <w:r>
        <w:t>EPA.  The AERR enable</w:t>
      </w:r>
      <w:r w:rsidR="00F40F41">
        <w:t>s</w:t>
      </w:r>
      <w:r>
        <w:t xml:space="preserve"> the EPA to achieve uniformity and completeness in a national inventory to support national, regional, and local air quality planning and attainment.  As </w:t>
      </w:r>
      <w:r w:rsidR="00CC5782">
        <w:t xml:space="preserve">the </w:t>
      </w:r>
      <w:r>
        <w:t xml:space="preserve">EPA </w:t>
      </w:r>
      <w:r w:rsidR="004E7BEF">
        <w:t>works with state and local agencies</w:t>
      </w:r>
      <w:r>
        <w:t xml:space="preserve"> </w:t>
      </w:r>
      <w:r w:rsidR="004E7BEF">
        <w:t>to</w:t>
      </w:r>
      <w:r>
        <w:t xml:space="preserve"> address </w:t>
      </w:r>
      <w:r w:rsidR="004E7BEF">
        <w:t xml:space="preserve">national, regional, and local </w:t>
      </w:r>
      <w:r>
        <w:t>air quality issues</w:t>
      </w:r>
      <w:r w:rsidR="004E7BEF">
        <w:t xml:space="preserve"> with cost-effective practices</w:t>
      </w:r>
      <w:r>
        <w:t xml:space="preserve">, there is a </w:t>
      </w:r>
      <w:r w:rsidR="004E7BEF">
        <w:t xml:space="preserve">continued </w:t>
      </w:r>
      <w:r>
        <w:t xml:space="preserve">need for </w:t>
      </w:r>
      <w:r w:rsidR="00CC5782">
        <w:t>s</w:t>
      </w:r>
      <w:r>
        <w:t xml:space="preserve">tates to develop consistent inventories and to share their emissions inventory data </w:t>
      </w:r>
      <w:r w:rsidR="004E7BEF">
        <w:t>across the air agencies</w:t>
      </w:r>
      <w:r>
        <w:t>.</w:t>
      </w:r>
      <w:r w:rsidRPr="00E265D9" w:rsidR="002C01E6">
        <w:t xml:space="preserve"> </w:t>
      </w:r>
    </w:p>
    <w:p w:rsidRPr="00E265D9" w:rsidR="002C01E6" w:rsidRDefault="002C01E6" w14:paraId="2E1FC87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Pr="00E265D9" w:rsidR="002C01E6" w:rsidRDefault="002C01E6" w14:paraId="145AC884" w14:textId="30DEBD3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While the </w:t>
      </w:r>
      <w:r w:rsidR="00CC5782">
        <w:t>Clean Air Act (</w:t>
      </w:r>
      <w:r w:rsidRPr="00E265D9">
        <w:t>CAA</w:t>
      </w:r>
      <w:r w:rsidR="00CC5782">
        <w:t>)</w:t>
      </w:r>
      <w:r w:rsidRPr="00E265D9">
        <w:t xml:space="preserve"> does not provide a specific authorization for a national emissions database, the CAA provides the EPA ample legislative authority for acquiring such data.  Emissions data are of vital importance to the EPA for fulfilling a host of monitoring, standard-setting, rulemaking, reviewing, and reporting duties.  Section</w:t>
      </w:r>
      <w:r w:rsidR="00B818EE">
        <w:t>s</w:t>
      </w:r>
      <w:r w:rsidRPr="00E265D9">
        <w:t xml:space="preserve"> 110 and 301(a) of the CAA provide </w:t>
      </w:r>
      <w:r w:rsidR="007836CA">
        <w:t>the</w:t>
      </w:r>
      <w:r w:rsidRPr="00E265D9" w:rsidR="007836CA">
        <w:t xml:space="preserve"> </w:t>
      </w:r>
      <w:r w:rsidRPr="00E265D9">
        <w:t xml:space="preserve">primary authority for a national emissions database.  Section 110 requires each </w:t>
      </w:r>
      <w:r w:rsidR="00CC5782">
        <w:t>s</w:t>
      </w:r>
      <w:r w:rsidRPr="00E265D9">
        <w:t xml:space="preserve">tate to prepare a plan </w:t>
      </w:r>
      <w:r w:rsidR="00F96412">
        <w:t>that</w:t>
      </w:r>
      <w:r w:rsidRPr="00E265D9" w:rsidR="00F96412">
        <w:t xml:space="preserve"> </w:t>
      </w:r>
      <w:r w:rsidRPr="00E265D9">
        <w:t>provides for implementation, maintenance, and enforcement of the primary standard for each pollutant for which air quality criteria have been issued.  This plan must include provisions for periodic reports identifying sources and listing amounts of emissions.  Section 301(a) authorizes the Administrator to promulgate necessary regulations.</w:t>
      </w:r>
    </w:p>
    <w:p w:rsidRPr="00E265D9" w:rsidR="002C01E6" w:rsidRDefault="002C01E6" w14:paraId="79CB1B6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RDefault="002C01E6" w14:paraId="4321930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Congressional support for collecting and reporting emissions data is demonstrated in three sections of the CAA.  Section 110(a)(2)(F) requires that each </w:t>
      </w:r>
      <w:r w:rsidR="00CC5782">
        <w:t>s</w:t>
      </w:r>
      <w:r w:rsidRPr="00E265D9">
        <w:t>tate provide for periodic reports on the nature and amounts of emissions of criteria pollutants from stationary sources.</w:t>
      </w:r>
      <w:r w:rsidR="00BC24C8">
        <w:t xml:space="preserve">  </w:t>
      </w:r>
      <w:r w:rsidRPr="00E265D9">
        <w:t xml:space="preserve">Sections 182(a)(3)(A) and 187(a)(5) of the CAA specify periodic inventory requirements for ozone and CO nonattainment areas, respectively.  Section 182(a)(3)(A) requires </w:t>
      </w:r>
      <w:r w:rsidR="00CC5782">
        <w:t>s</w:t>
      </w:r>
      <w:r w:rsidRPr="00E265D9">
        <w:t>tates with ozone nonattainment areas to submit a current inventory of actual emissions of VOC, NO</w:t>
      </w:r>
      <w:r w:rsidRPr="00CC5782" w:rsidR="003B4E99">
        <w:rPr>
          <w:vertAlign w:val="subscript"/>
        </w:rPr>
        <w:t>x</w:t>
      </w:r>
      <w:r w:rsidRPr="00E265D9">
        <w:t xml:space="preserve">, and CO every 3 years.  Section 187(a)(5) requires a similar inventory of actual CO emissions for CO nonattainment areas.  Periodic inventories include emission estimates for all point, nonpoint, </w:t>
      </w:r>
      <w:proofErr w:type="spellStart"/>
      <w:r w:rsidRPr="00E265D9">
        <w:t>onroad</w:t>
      </w:r>
      <w:proofErr w:type="spellEnd"/>
      <w:r w:rsidRPr="00E265D9">
        <w:t xml:space="preserve"> mobile, </w:t>
      </w:r>
      <w:r w:rsidR="003B4E99">
        <w:t xml:space="preserve">and </w:t>
      </w:r>
      <w:r w:rsidRPr="00E265D9">
        <w:t xml:space="preserve">nonroad mobile sources.  Section 172(c)(3) also provides the Administrator with discretionary authority to require other emissions data as deemed necessary for State Implementation Plan (SIP) development in nonattainment areas to meet the </w:t>
      </w:r>
      <w:r w:rsidR="00CC5782">
        <w:t>national ambient air quality standards (</w:t>
      </w:r>
      <w:r w:rsidRPr="00E265D9">
        <w:t>NAAQS</w:t>
      </w:r>
      <w:r w:rsidR="00CC5782">
        <w:t>)</w:t>
      </w:r>
      <w:r w:rsidRPr="00E265D9">
        <w:t>.</w:t>
      </w:r>
    </w:p>
    <w:p w:rsidRPr="00E265D9" w:rsidR="002C01E6" w:rsidRDefault="002C01E6" w14:paraId="7FE77278" w14:textId="1582446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2C01E6" w:rsidP="00F40F41" w:rsidRDefault="002C01E6" w14:paraId="683CC2DB"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rPr>
          <w:rStyle w:val="2ndtier1"/>
        </w:rPr>
      </w:pPr>
      <w:r>
        <w:rPr>
          <w:rStyle w:val="2ndtier1"/>
        </w:rPr>
        <w:lastRenderedPageBreak/>
        <w:t>2(b) Practical Utility/Users of the Data</w:t>
      </w:r>
    </w:p>
    <w:p w:rsidR="00E265D9" w:rsidP="00F40F41" w:rsidRDefault="00E265D9" w14:paraId="7E0C2CD0"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rPr>
          <w:rStyle w:val="2ndtier1"/>
        </w:rPr>
      </w:pPr>
    </w:p>
    <w:p w:rsidR="002C01E6" w:rsidRDefault="002C01E6" w14:paraId="34201EED" w14:textId="38A72F62">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Emissions data and related information on stationary point and nonpoint sources, as well as </w:t>
      </w:r>
      <w:proofErr w:type="spellStart"/>
      <w:r>
        <w:t>onroad</w:t>
      </w:r>
      <w:proofErr w:type="spellEnd"/>
      <w:r>
        <w:t xml:space="preserve"> mobile and </w:t>
      </w:r>
      <w:r w:rsidR="003B4E99">
        <w:t>n</w:t>
      </w:r>
      <w:r>
        <w:t>onroad mobile sources, are routinely used by OAQPS and the EPA Regional Offices in carrying out a variety of activities.  These activities support regulatory functions as well as functions that are more programmatic in nature</w:t>
      </w:r>
      <w:r w:rsidR="00B818EE">
        <w:t>,</w:t>
      </w:r>
      <w:r>
        <w:t xml:space="preserve"> such as trends analyses.  Such projects include:</w:t>
      </w:r>
    </w:p>
    <w:p w:rsidR="002C01E6" w:rsidRDefault="002C01E6" w14:paraId="4F4F2B3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06263D" w:rsidP="000B023E" w:rsidRDefault="0006263D" w14:paraId="1BEAE12E" w14:textId="08E40156">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Basic information to support the boundaries selected for designation of nonattainment </w:t>
      </w:r>
      <w:proofErr w:type="gramStart"/>
      <w:r>
        <w:t>areas;</w:t>
      </w:r>
      <w:proofErr w:type="gramEnd"/>
      <w:r>
        <w:t xml:space="preserve"> </w:t>
      </w:r>
    </w:p>
    <w:p w:rsidR="0006263D" w:rsidP="00037BF4" w:rsidRDefault="0006263D" w14:paraId="1032D9BB" w14:textId="77777777">
      <w:pPr>
        <w:pStyle w:val="Level1"/>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firstLine="0"/>
      </w:pPr>
    </w:p>
    <w:p w:rsidR="002C01E6" w:rsidP="000B023E" w:rsidRDefault="002C01E6" w14:paraId="2B398A8A" w14:textId="3D7A03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Evaluation of existing control strategies</w:t>
      </w:r>
      <w:r w:rsidR="0006263D">
        <w:t xml:space="preserve"> included in </w:t>
      </w:r>
      <w:proofErr w:type="gramStart"/>
      <w:r w:rsidR="0006263D">
        <w:t>SIPs</w:t>
      </w:r>
      <w:r>
        <w:t>;</w:t>
      </w:r>
      <w:proofErr w:type="gramEnd"/>
    </w:p>
    <w:p w:rsidR="002C01E6" w:rsidP="000B023E" w:rsidRDefault="002C01E6" w14:paraId="5984946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4E3DAC60" w14:textId="41080ED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Evaluation of control strategies for </w:t>
      </w:r>
      <w:r w:rsidR="00CC5782">
        <w:t>s</w:t>
      </w:r>
      <w:r>
        <w:t xml:space="preserve">tates and larger areas, including applications of regional </w:t>
      </w:r>
      <w:r w:rsidR="0006263D">
        <w:t xml:space="preserve">and national </w:t>
      </w:r>
      <w:r>
        <w:t xml:space="preserve">scale </w:t>
      </w:r>
      <w:proofErr w:type="gramStart"/>
      <w:r>
        <w:t>models;</w:t>
      </w:r>
      <w:proofErr w:type="gramEnd"/>
    </w:p>
    <w:p w:rsidR="002C01E6" w:rsidP="000B023E" w:rsidRDefault="002C01E6" w14:paraId="2F0AB5D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P="00F96412" w:rsidRDefault="00F96412" w14:paraId="78704C8B" w14:textId="7777777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Preparation and publication of national summaries of emissions including trend analyses and international reporting </w:t>
      </w:r>
      <w:proofErr w:type="gramStart"/>
      <w:r>
        <w:t>obligations;</w:t>
      </w:r>
      <w:proofErr w:type="gramEnd"/>
    </w:p>
    <w:p w:rsidR="00F96412" w:rsidP="00F96412" w:rsidRDefault="00F96412" w14:paraId="0735594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P="00F96412" w:rsidRDefault="00F96412" w14:paraId="4C0D3A7D" w14:textId="7777777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As a database to assist in the identification of important source categories for future </w:t>
      </w:r>
      <w:proofErr w:type="gramStart"/>
      <w:r>
        <w:t>regulation;</w:t>
      </w:r>
      <w:proofErr w:type="gramEnd"/>
    </w:p>
    <w:p w:rsidR="00F96412" w:rsidP="00F96412" w:rsidRDefault="00F96412" w14:paraId="3289A1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48EFDB11" w14:textId="41871BE7">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Development of national control strategies and preparation of Regulatory Impact Analyses</w:t>
      </w:r>
      <w:r w:rsidR="008C6C96">
        <w:t xml:space="preserve"> through application of air quality </w:t>
      </w:r>
      <w:proofErr w:type="gramStart"/>
      <w:r w:rsidR="008C6C96">
        <w:t>modeling</w:t>
      </w:r>
      <w:r>
        <w:t>;</w:t>
      </w:r>
      <w:proofErr w:type="gramEnd"/>
    </w:p>
    <w:p w:rsidR="002C01E6" w:rsidP="000B023E" w:rsidRDefault="002C01E6" w14:paraId="34B3F7B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F96412" w:rsidP="000B023E" w:rsidRDefault="008C6C96" w14:paraId="1083AE2F" w14:textId="2FFAB3E5">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As a key part of air quality modeling platforms, which the EPA </w:t>
      </w:r>
      <w:r w:rsidR="00F96412">
        <w:t xml:space="preserve">uses for research and planning and </w:t>
      </w:r>
      <w:r>
        <w:t xml:space="preserve">provides publicly for use </w:t>
      </w:r>
      <w:r w:rsidR="00F96412">
        <w:t>for</w:t>
      </w:r>
      <w:r>
        <w:t xml:space="preserve"> state and </w:t>
      </w:r>
      <w:r w:rsidR="00F96412">
        <w:t xml:space="preserve">MJO air quality modeling </w:t>
      </w:r>
      <w:proofErr w:type="gramStart"/>
      <w:r w:rsidR="00F96412">
        <w:t>efforts;</w:t>
      </w:r>
      <w:proofErr w:type="gramEnd"/>
    </w:p>
    <w:p w:rsidR="00F96412" w:rsidP="00F40F41" w:rsidRDefault="00F96412" w14:paraId="667B9C9D" w14:textId="77777777">
      <w:pPr>
        <w:pStyle w:val="ListParagraph"/>
      </w:pPr>
    </w:p>
    <w:p w:rsidR="008C6C96" w:rsidP="000B023E" w:rsidRDefault="00F96412" w14:paraId="24BB3B85" w14:textId="1A1E279C">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w:t>
      </w:r>
      <w:r w:rsidR="008C6C96">
        <w:t xml:space="preserve">s a building block to assist states with compliance with their requirements for preparing SIPs; </w:t>
      </w:r>
      <w:r>
        <w:t xml:space="preserve">and </w:t>
      </w:r>
    </w:p>
    <w:p w:rsidR="008C6C96" w:rsidP="00F40F41" w:rsidRDefault="008C6C96" w14:paraId="562B98D2" w14:textId="77777777">
      <w:pPr>
        <w:pStyle w:val="ListParagraph"/>
      </w:pPr>
    </w:p>
    <w:p w:rsidR="002C01E6" w:rsidP="000B023E" w:rsidRDefault="002C01E6" w14:paraId="79476C19" w14:textId="22B5B182">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of the stationary source portion of a report to Congress on SO</w:t>
      </w:r>
      <w:r w:rsidRPr="00CC5782" w:rsidR="00A8268D">
        <w:rPr>
          <w:vertAlign w:val="subscript"/>
        </w:rPr>
        <w:t>2</w:t>
      </w:r>
      <w:r>
        <w:t xml:space="preserve"> emissions.  This report is required by Section 406 of the CAA and is due on a 5</w:t>
      </w:r>
      <w:r>
        <w:noBreakHyphen/>
        <w:t>year cycle that began on January 1, 1995.  The report must contain an inventory of national annual SO</w:t>
      </w:r>
      <w:r w:rsidRPr="00CC5782" w:rsidR="008C23BC">
        <w:rPr>
          <w:vertAlign w:val="subscript"/>
        </w:rPr>
        <w:t>2</w:t>
      </w:r>
      <w:r>
        <w:t xml:space="preserve"> emissions from industrial sources (as defined in Title IV of the CAA).</w:t>
      </w:r>
    </w:p>
    <w:p w:rsidR="002C01E6" w:rsidRDefault="002C01E6" w14:paraId="440AF54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6F1496B8" w14:textId="413BE75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In addition to supporting </w:t>
      </w:r>
      <w:r w:rsidR="00F96412">
        <w:t>efforts</w:t>
      </w:r>
      <w:r>
        <w:t xml:space="preserve"> </w:t>
      </w:r>
      <w:r w:rsidR="00F96412">
        <w:t>listed above</w:t>
      </w:r>
      <w:r>
        <w:t xml:space="preserve">, </w:t>
      </w:r>
      <w:r w:rsidR="00F96412">
        <w:t>the data are used to</w:t>
      </w:r>
      <w:r>
        <w:t xml:space="preserve"> respond to numerous requests for reports on emission sources.  Typically</w:t>
      </w:r>
      <w:r w:rsidR="00C6083D">
        <w:t>,</w:t>
      </w:r>
      <w:r w:rsidR="008C6C96">
        <w:t xml:space="preserve"> the data are provided freely through EPA’s website. </w:t>
      </w:r>
      <w:r w:rsidR="00B818EE">
        <w:t xml:space="preserve"> </w:t>
      </w:r>
      <w:r w:rsidR="008C6C96">
        <w:t>In some cases, specific requests of data not available on EPA’s website are also made</w:t>
      </w:r>
      <w:r>
        <w:t xml:space="preserve"> </w:t>
      </w:r>
      <w:r w:rsidR="008C6C96">
        <w:t xml:space="preserve">by email and rarely, </w:t>
      </w:r>
      <w:r>
        <w:t xml:space="preserve">under the Freedom of Information Act.  </w:t>
      </w:r>
      <w:r w:rsidR="008C6C96">
        <w:t>R</w:t>
      </w:r>
      <w:r>
        <w:t xml:space="preserve">equests come from </w:t>
      </w:r>
      <w:r w:rsidR="008C6C96">
        <w:t xml:space="preserve">the </w:t>
      </w:r>
      <w:proofErr w:type="gramStart"/>
      <w:r w:rsidR="008C6C96">
        <w:t>general public</w:t>
      </w:r>
      <w:proofErr w:type="gramEnd"/>
      <w:r w:rsidR="008C6C96">
        <w:t xml:space="preserve">, teachers, </w:t>
      </w:r>
      <w:r>
        <w:t xml:space="preserve">contractors and consultants involved in special studies; </w:t>
      </w:r>
      <w:r w:rsidR="00B818EE">
        <w:t>C</w:t>
      </w:r>
      <w:r w:rsidR="008C6C96">
        <w:t>ongress</w:t>
      </w:r>
      <w:r w:rsidR="00B818EE">
        <w:t>;</w:t>
      </w:r>
      <w:r w:rsidR="008C6C96">
        <w:t xml:space="preserve"> </w:t>
      </w:r>
      <w:r>
        <w:t>the press</w:t>
      </w:r>
      <w:r w:rsidR="00B818EE">
        <w:t>;</w:t>
      </w:r>
      <w:r>
        <w:t xml:space="preserve"> </w:t>
      </w:r>
      <w:r w:rsidR="008C6C96">
        <w:t xml:space="preserve">domestic and international </w:t>
      </w:r>
      <w:r>
        <w:t>universities</w:t>
      </w:r>
      <w:r w:rsidR="00B818EE">
        <w:t>;</w:t>
      </w:r>
      <w:r>
        <w:t xml:space="preserve"> and others involved in research</w:t>
      </w:r>
      <w:r w:rsidR="00DF04A2">
        <w:t xml:space="preserve"> of many types</w:t>
      </w:r>
      <w:r>
        <w:t>.</w:t>
      </w:r>
    </w:p>
    <w:p w:rsidR="002C01E6" w:rsidRDefault="002C01E6" w14:paraId="03E6F63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5D743222"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lastRenderedPageBreak/>
        <w:t>3.</w:t>
      </w:r>
      <w:r>
        <w:rPr>
          <w:rStyle w:val="1sttierA"/>
        </w:rPr>
        <w:tab/>
        <w:t>NONDUPLICATION, CONSULTATIONS, AND OTHER COLLECTION CRITERIA</w:t>
      </w:r>
    </w:p>
    <w:p w:rsidR="000B023E" w:rsidP="000B023E" w:rsidRDefault="000B023E" w14:paraId="4DB42F9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P="00E265D9" w:rsidRDefault="002C01E6" w14:paraId="1492D3FB"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3(a) Nonduplication</w:t>
      </w:r>
    </w:p>
    <w:p w:rsidR="002C01E6" w:rsidRDefault="002C01E6" w14:paraId="5FDAFE07"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14:paraId="6F503512" w14:textId="33E4A45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Previous reporting requirements have occasionally</w:t>
      </w:r>
      <w:r w:rsidR="003167BA">
        <w:t xml:space="preserve"> </w:t>
      </w:r>
      <w:r>
        <w:t xml:space="preserve">forced </w:t>
      </w:r>
      <w:r w:rsidR="00DB58B9">
        <w:t>s</w:t>
      </w:r>
      <w:r>
        <w:t>tate agencies into inefficient collecting and reportin</w:t>
      </w:r>
      <w:r w:rsidR="00AE0053">
        <w:t xml:space="preserve">g activities.  The AERR </w:t>
      </w:r>
      <w:r w:rsidR="003167BA">
        <w:t xml:space="preserve">was promulgated specifically </w:t>
      </w:r>
      <w:r>
        <w:t xml:space="preserve">to simplify </w:t>
      </w:r>
      <w:r w:rsidR="003167BA">
        <w:t xml:space="preserve">previously existing </w:t>
      </w:r>
      <w:r>
        <w:t xml:space="preserve">emission inventory reporting by </w:t>
      </w:r>
      <w:r w:rsidR="00DB58B9">
        <w:t>s</w:t>
      </w:r>
      <w:r>
        <w:t xml:space="preserve">tates to </w:t>
      </w:r>
      <w:r w:rsidR="00DB58B9">
        <w:t xml:space="preserve">the </w:t>
      </w:r>
      <w:r>
        <w:t>EPA, offer options for data collection and exchange, and unify reporting dates for various categories of inventories to avoid duplication of effort.  For example, under the NO</w:t>
      </w:r>
      <w:r w:rsidRPr="00DB58B9" w:rsidR="008C23BC">
        <w:rPr>
          <w:vertAlign w:val="subscript"/>
        </w:rPr>
        <w:t>x</w:t>
      </w:r>
      <w:r>
        <w:t xml:space="preserve"> SIP Call rule</w:t>
      </w:r>
      <w:r w:rsidR="00DB58B9">
        <w:t>making</w:t>
      </w:r>
      <w:r>
        <w:t>, the EPA requir</w:t>
      </w:r>
      <w:r w:rsidR="003167BA">
        <w:t>ed</w:t>
      </w:r>
      <w:r>
        <w:t xml:space="preserve"> </w:t>
      </w:r>
      <w:r w:rsidR="00DB58B9">
        <w:t>s</w:t>
      </w:r>
      <w:r>
        <w:t>tates to submit annual inventories for all NO</w:t>
      </w:r>
      <w:r w:rsidRPr="00DB58B9" w:rsidR="008C23BC">
        <w:rPr>
          <w:vertAlign w:val="subscript"/>
        </w:rPr>
        <w:t>x</w:t>
      </w:r>
      <w:r>
        <w:t xml:space="preserve"> sources for which </w:t>
      </w:r>
      <w:r w:rsidR="00DB58B9">
        <w:t>s</w:t>
      </w:r>
      <w:r>
        <w:t xml:space="preserve">tates </w:t>
      </w:r>
      <w:r w:rsidR="003167BA">
        <w:t xml:space="preserve">had </w:t>
      </w:r>
      <w:r>
        <w:t>adopt</w:t>
      </w:r>
      <w:r w:rsidR="003167BA">
        <w:t>ed</w:t>
      </w:r>
      <w:r>
        <w:t xml:space="preserve"> control measures to meet their NO</w:t>
      </w:r>
      <w:r w:rsidRPr="00DB58B9" w:rsidR="008C23BC">
        <w:rPr>
          <w:vertAlign w:val="subscript"/>
        </w:rPr>
        <w:t>x</w:t>
      </w:r>
      <w:r>
        <w:t xml:space="preserve"> budget.  </w:t>
      </w:r>
      <w:r w:rsidR="003167BA">
        <w:t xml:space="preserve">In addition, </w:t>
      </w:r>
      <w:r>
        <w:t>statewide NO</w:t>
      </w:r>
      <w:r w:rsidRPr="00DB58B9" w:rsidR="008C23BC">
        <w:rPr>
          <w:vertAlign w:val="subscript"/>
        </w:rPr>
        <w:t>x</w:t>
      </w:r>
      <w:r>
        <w:t xml:space="preserve"> inventories of all controlled and uncontrolled sources </w:t>
      </w:r>
      <w:r w:rsidR="003167BA">
        <w:t>we</w:t>
      </w:r>
      <w:r>
        <w:t>re required</w:t>
      </w:r>
      <w:r w:rsidR="003167BA">
        <w:t xml:space="preserve"> every 3 years</w:t>
      </w:r>
      <w:r>
        <w:t xml:space="preserve">.  The </w:t>
      </w:r>
      <w:r w:rsidR="00DB58B9">
        <w:t>Consolidated Emissions Reporting Rule (</w:t>
      </w:r>
      <w:r>
        <w:t>CERR</w:t>
      </w:r>
      <w:r w:rsidR="00DB58B9">
        <w:t>)</w:t>
      </w:r>
      <w:r>
        <w:t xml:space="preserve"> also require</w:t>
      </w:r>
      <w:r w:rsidR="003167BA">
        <w:t>d</w:t>
      </w:r>
      <w:r>
        <w:t xml:space="preserve"> annual and triennial emission inventory reporting of many </w:t>
      </w:r>
      <w:r w:rsidR="007D2CA4">
        <w:t xml:space="preserve">of the same data elements.  </w:t>
      </w:r>
      <w:r w:rsidR="003167BA">
        <w:t>The AERR a</w:t>
      </w:r>
      <w:r>
        <w:t>lign</w:t>
      </w:r>
      <w:r w:rsidR="00184CC4">
        <w:t>ed</w:t>
      </w:r>
      <w:r>
        <w:t xml:space="preserve"> </w:t>
      </w:r>
      <w:r w:rsidR="003167BA">
        <w:t xml:space="preserve">the </w:t>
      </w:r>
      <w:r>
        <w:t>reporting dates and combin</w:t>
      </w:r>
      <w:r w:rsidR="003167BA">
        <w:t>e</w:t>
      </w:r>
      <w:r w:rsidR="00184CC4">
        <w:t>d</w:t>
      </w:r>
      <w:r>
        <w:t xml:space="preserve"> data from these </w:t>
      </w:r>
      <w:r w:rsidR="003167BA">
        <w:t xml:space="preserve">two previous </w:t>
      </w:r>
      <w:r>
        <w:t xml:space="preserve">collection activities </w:t>
      </w:r>
      <w:r w:rsidR="003167BA">
        <w:t>to</w:t>
      </w:r>
      <w:r>
        <w:t xml:space="preserve"> avoid duplication of information collected from </w:t>
      </w:r>
      <w:r w:rsidR="003167BA">
        <w:t>sources</w:t>
      </w:r>
      <w:r>
        <w:t xml:space="preserve">, minimize the burden on industry, and reduce the effort for </w:t>
      </w:r>
      <w:r w:rsidR="00DB58B9">
        <w:t>s</w:t>
      </w:r>
      <w:r>
        <w:t>tate and local government agencies to compile the data.</w:t>
      </w:r>
      <w:r w:rsidR="00F96412">
        <w:t xml:space="preserve"> </w:t>
      </w:r>
      <w:r w:rsidR="001F0690">
        <w:t xml:space="preserve"> </w:t>
      </w:r>
      <w:r w:rsidR="00F96412">
        <w:t xml:space="preserve">Additionally, both </w:t>
      </w:r>
      <w:r w:rsidR="0006263D">
        <w:t>the Ozone SIP Requirements Rule (40 CFR 51, Subpart CC)</w:t>
      </w:r>
      <w:r w:rsidR="00F96412">
        <w:t xml:space="preserve"> </w:t>
      </w:r>
      <w:r w:rsidR="00037BF4">
        <w:t xml:space="preserve">and </w:t>
      </w:r>
      <w:r w:rsidR="0006263D">
        <w:t>the</w:t>
      </w:r>
      <w:r w:rsidR="00F96412">
        <w:t xml:space="preserve"> PM SIP </w:t>
      </w:r>
      <w:r w:rsidR="0006263D">
        <w:t>Requirements R</w:t>
      </w:r>
      <w:r w:rsidR="00F96412">
        <w:t>ule</w:t>
      </w:r>
      <w:r w:rsidR="0006263D">
        <w:t xml:space="preserve"> (40 CFR 51, Subpart Z)</w:t>
      </w:r>
      <w:r w:rsidR="00F96412">
        <w:t xml:space="preserve"> refer to the AERR for many of the emissions reporting requirements</w:t>
      </w:r>
      <w:r w:rsidR="007C2941">
        <w:t xml:space="preserve"> specified</w:t>
      </w:r>
      <w:r w:rsidR="00F96412">
        <w:t xml:space="preserve"> in those rules.</w:t>
      </w:r>
    </w:p>
    <w:p w:rsidR="002C01E6" w:rsidRDefault="002C01E6" w14:paraId="7310EE4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E265D9" w:rsidRDefault="002C01E6" w14:paraId="6B91BB4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3(b) Public Notice Required Prior to ICR Submission to OMB</w:t>
      </w:r>
    </w:p>
    <w:p w:rsidR="002C01E6" w:rsidRDefault="002C01E6" w14:paraId="50CAC0DA"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15052A" w:rsidRDefault="0015052A" w14:paraId="0D55433D" w14:textId="0731037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b/>
      </w:r>
      <w:r w:rsidR="0024651E">
        <w:t xml:space="preserve">A </w:t>
      </w:r>
      <w:r w:rsidR="00DC53E9">
        <w:t>notice for comment</w:t>
      </w:r>
      <w:r w:rsidR="0024651E">
        <w:t xml:space="preserve"> </w:t>
      </w:r>
      <w:r w:rsidR="00DC53E9">
        <w:t xml:space="preserve">on </w:t>
      </w:r>
      <w:r w:rsidR="0024651E">
        <w:t xml:space="preserve">the </w:t>
      </w:r>
      <w:r w:rsidR="00DC53E9">
        <w:t xml:space="preserve">proposed </w:t>
      </w:r>
      <w:r w:rsidR="0024651E">
        <w:t xml:space="preserve">AERR </w:t>
      </w:r>
      <w:r w:rsidR="00DC53E9">
        <w:t xml:space="preserve">ICR was published in the </w:t>
      </w:r>
      <w:r w:rsidRPr="00F40F41" w:rsidR="00DC53E9">
        <w:rPr>
          <w:i/>
        </w:rPr>
        <w:t>Federal Register</w:t>
      </w:r>
      <w:r w:rsidR="00DC53E9">
        <w:t xml:space="preserve"> on </w:t>
      </w:r>
      <w:r w:rsidR="004A09A6">
        <w:t>May 7, 2021</w:t>
      </w:r>
      <w:r w:rsidR="000740BA">
        <w:t xml:space="preserve"> (</w:t>
      </w:r>
      <w:r w:rsidRPr="004A09A6" w:rsidR="004A09A6">
        <w:t>86 FR 24614</w:t>
      </w:r>
      <w:r w:rsidR="000740BA">
        <w:t>).</w:t>
      </w:r>
      <w:r w:rsidRPr="00CF2327" w:rsidR="00A5154A">
        <w:t xml:space="preserve">  </w:t>
      </w:r>
      <w:r w:rsidR="00153550">
        <w:t>One comment was</w:t>
      </w:r>
      <w:r w:rsidR="007C2941">
        <w:t xml:space="preserve"> </w:t>
      </w:r>
      <w:r w:rsidR="00037BF4">
        <w:t>received but</w:t>
      </w:r>
      <w:r w:rsidR="007C2941">
        <w:t xml:space="preserve"> </w:t>
      </w:r>
      <w:r w:rsidR="00153550">
        <w:t>was</w:t>
      </w:r>
      <w:r w:rsidR="007C2941">
        <w:t xml:space="preserve"> outside the scope of this ICR.</w:t>
      </w:r>
    </w:p>
    <w:p w:rsidRPr="00E265D9" w:rsidR="00A5154A" w:rsidRDefault="00A5154A" w14:paraId="1B013F0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19DC7891"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3(c) Consultations</w:t>
      </w:r>
    </w:p>
    <w:p w:rsidR="000B023E" w:rsidRDefault="000B023E" w14:paraId="3A0A17E9"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DB58B9" w14:paraId="30441931" w14:textId="3E4B4CC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b/>
          <w:bCs/>
        </w:rPr>
      </w:pPr>
      <w:r>
        <w:t xml:space="preserve">The </w:t>
      </w:r>
      <w:r w:rsidRPr="00CC44DB" w:rsidR="008A2319">
        <w:t xml:space="preserve">EPA </w:t>
      </w:r>
      <w:r>
        <w:t xml:space="preserve">regularly </w:t>
      </w:r>
      <w:r w:rsidRPr="00CC44DB" w:rsidR="008A2319">
        <w:t xml:space="preserve">participates on conference calls chaired by the National Association of Clean Air Agencies (NACAA) </w:t>
      </w:r>
      <w:r w:rsidR="00DF04A2">
        <w:t xml:space="preserve">and the </w:t>
      </w:r>
      <w:r w:rsidR="00181275">
        <w:t>Association of Air Pollution Control Agencies (</w:t>
      </w:r>
      <w:r w:rsidR="00DF04A2">
        <w:t>AAPCA</w:t>
      </w:r>
      <w:r w:rsidR="00181275">
        <w:t>)</w:t>
      </w:r>
      <w:r w:rsidR="00DF04A2">
        <w:t xml:space="preserve"> </w:t>
      </w:r>
      <w:r w:rsidRPr="00CC44DB" w:rsidR="008A2319">
        <w:t xml:space="preserve">to discuss issues </w:t>
      </w:r>
      <w:r w:rsidR="008A2319">
        <w:t xml:space="preserve">raised by </w:t>
      </w:r>
      <w:r>
        <w:t>s</w:t>
      </w:r>
      <w:r w:rsidR="008A2319">
        <w:t xml:space="preserve">tate agencies </w:t>
      </w:r>
      <w:r w:rsidRPr="00CC44DB" w:rsidR="008A2319">
        <w:t xml:space="preserve">related to emission inventories.  </w:t>
      </w:r>
      <w:r>
        <w:t xml:space="preserve">The </w:t>
      </w:r>
      <w:r w:rsidRPr="00CC44DB" w:rsidR="008A2319">
        <w:t xml:space="preserve">EPA </w:t>
      </w:r>
      <w:r w:rsidR="008A2319">
        <w:t>developed and operat</w:t>
      </w:r>
      <w:r w:rsidR="007C2941">
        <w:t xml:space="preserve">es </w:t>
      </w:r>
      <w:r w:rsidR="008A2319">
        <w:t xml:space="preserve">a web-accessible </w:t>
      </w:r>
      <w:r w:rsidRPr="00CC44DB" w:rsidR="008A2319">
        <w:t>database known as the Emission Inventory System (EIS)</w:t>
      </w:r>
      <w:r w:rsidR="008A2319">
        <w:t xml:space="preserve"> </w:t>
      </w:r>
      <w:r w:rsidR="00DF67E1">
        <w:t>that</w:t>
      </w:r>
      <w:r w:rsidRPr="00CC44DB" w:rsidR="008A2319">
        <w:t xml:space="preserve"> serve</w:t>
      </w:r>
      <w:r w:rsidR="008A2319">
        <w:t>s</w:t>
      </w:r>
      <w:r w:rsidRPr="00CC44DB" w:rsidR="008A2319">
        <w:t xml:space="preserve"> as </w:t>
      </w:r>
      <w:r w:rsidR="008A2319">
        <w:t>the</w:t>
      </w:r>
      <w:r w:rsidRPr="00CC44DB" w:rsidR="008A2319">
        <w:t xml:space="preserve"> repository for </w:t>
      </w:r>
      <w:r w:rsidR="008A2319">
        <w:t xml:space="preserve">the </w:t>
      </w:r>
      <w:r w:rsidRPr="00CC44DB" w:rsidR="008A2319">
        <w:t xml:space="preserve">state agency data submitted to </w:t>
      </w:r>
      <w:r>
        <w:t xml:space="preserve">the </w:t>
      </w:r>
      <w:r w:rsidRPr="00CC44DB" w:rsidR="008A2319">
        <w:t xml:space="preserve">EPA under the </w:t>
      </w:r>
      <w:r w:rsidR="008A2319">
        <w:t>A</w:t>
      </w:r>
      <w:r w:rsidRPr="00CC44DB" w:rsidR="008A2319">
        <w:t xml:space="preserve">ERR requirements.  </w:t>
      </w:r>
      <w:r w:rsidR="008A2319">
        <w:t xml:space="preserve">The EIS includes a Support Request </w:t>
      </w:r>
      <w:r w:rsidR="00037BF4">
        <w:t>feature</w:t>
      </w:r>
      <w:r w:rsidR="008A2319">
        <w:t xml:space="preserve"> and a </w:t>
      </w:r>
      <w:r w:rsidR="00181275">
        <w:t>quality assurance</w:t>
      </w:r>
      <w:r w:rsidR="008A2319">
        <w:t xml:space="preserve"> test environment for </w:t>
      </w:r>
      <w:r>
        <w:t>s</w:t>
      </w:r>
      <w:r w:rsidR="008A2319">
        <w:t xml:space="preserve">tate </w:t>
      </w:r>
      <w:r w:rsidR="00181275">
        <w:t xml:space="preserve">and local </w:t>
      </w:r>
      <w:r w:rsidR="008A2319">
        <w:t xml:space="preserve">agencies.  In addition, </w:t>
      </w:r>
      <w:r>
        <w:t xml:space="preserve">the </w:t>
      </w:r>
      <w:r w:rsidR="008A2319">
        <w:t xml:space="preserve">EPA provides training </w:t>
      </w:r>
      <w:r w:rsidR="0065043C">
        <w:t>via webinars</w:t>
      </w:r>
      <w:r w:rsidR="003E3E99">
        <w:t>,</w:t>
      </w:r>
      <w:r w:rsidR="0065043C">
        <w:t xml:space="preserve"> conferences</w:t>
      </w:r>
      <w:r w:rsidR="003E3E99">
        <w:t>, and EPA’s website</w:t>
      </w:r>
      <w:r w:rsidR="0065043C">
        <w:t xml:space="preserve"> </w:t>
      </w:r>
      <w:r w:rsidR="008A2319">
        <w:t xml:space="preserve">for the </w:t>
      </w:r>
      <w:r>
        <w:t>s</w:t>
      </w:r>
      <w:r w:rsidR="008A2319">
        <w:t>tate</w:t>
      </w:r>
      <w:r w:rsidR="003E3E99">
        <w:t>, local, and tribal</w:t>
      </w:r>
      <w:r w:rsidR="008A2319">
        <w:t xml:space="preserve"> agencies </w:t>
      </w:r>
      <w:r w:rsidR="003E3E99">
        <w:t xml:space="preserve">to learn about using </w:t>
      </w:r>
      <w:r w:rsidR="0065043C">
        <w:t xml:space="preserve">the EIS and </w:t>
      </w:r>
      <w:r w:rsidR="008A2319">
        <w:t>the development of inventories</w:t>
      </w:r>
      <w:r w:rsidR="0065043C">
        <w:t xml:space="preserve"> for reporting to EPA</w:t>
      </w:r>
      <w:r w:rsidR="008A2319">
        <w:t>.</w:t>
      </w:r>
    </w:p>
    <w:p w:rsidR="002C01E6" w:rsidRDefault="002C01E6" w14:paraId="3F87349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2C01E6" w:rsidP="00E265D9" w:rsidRDefault="002C01E6" w14:paraId="40F9126B"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lastRenderedPageBreak/>
        <w:t>3(d) Effects of Less Frequent Collection</w:t>
      </w:r>
    </w:p>
    <w:p w:rsidR="002C01E6" w:rsidRDefault="002C01E6" w14:paraId="2E4467F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14:paraId="11563BF1" w14:textId="01460AF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submittal dates required for reporting emissions data to </w:t>
      </w:r>
      <w:r w:rsidR="00DB58B9">
        <w:t xml:space="preserve">the </w:t>
      </w:r>
      <w:r>
        <w:t xml:space="preserve">EPA have been established to minimize the burden on </w:t>
      </w:r>
      <w:r w:rsidR="00DB58B9">
        <w:t>s</w:t>
      </w:r>
      <w:r>
        <w:t xml:space="preserve">tate agencies, but also to ensure that </w:t>
      </w:r>
      <w:r w:rsidR="00DB58B9">
        <w:t>s</w:t>
      </w:r>
      <w:r>
        <w:t xml:space="preserve">tate agencies are collecting timely and sufficient emission inventory data to support air pollution </w:t>
      </w:r>
      <w:r w:rsidR="0065043C">
        <w:t xml:space="preserve">management </w:t>
      </w:r>
      <w:r>
        <w:t xml:space="preserve">efforts.  A statewide inventory compiled at least every 3 years for all point, nonpoint, </w:t>
      </w:r>
      <w:proofErr w:type="spellStart"/>
      <w:r w:rsidR="003B4E99">
        <w:t>onroad</w:t>
      </w:r>
      <w:proofErr w:type="spellEnd"/>
      <w:r w:rsidR="003B4E99">
        <w:t xml:space="preserve"> mobile and nonroad</w:t>
      </w:r>
      <w:r>
        <w:t xml:space="preserve"> mobile sources is considered important to assist </w:t>
      </w:r>
      <w:r w:rsidR="00DB58B9">
        <w:t>s</w:t>
      </w:r>
      <w:r>
        <w:t>tates in meeting various CAA requirements.</w:t>
      </w:r>
    </w:p>
    <w:p w:rsidR="002C01E6" w:rsidRDefault="002C01E6" w14:paraId="344636A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04ABCE62" w14:textId="126D8CA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If the information collection were not carried out every 3 years for all sources and annually for </w:t>
      </w:r>
      <w:r w:rsidR="00153550">
        <w:t xml:space="preserve">larger </w:t>
      </w:r>
      <w:r>
        <w:t>point sources, the EPA would not be able to maintain a central, national repository of emissions data from which to extract updated information needed to fulfill EPA mandates.</w:t>
      </w:r>
      <w:r w:rsidR="003E3E99">
        <w:t xml:space="preserve"> In fact, the public continues to expect annual data updates for as many sources as possible. </w:t>
      </w:r>
    </w:p>
    <w:p w:rsidR="002C01E6" w:rsidRDefault="002C01E6" w14:paraId="4E19490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3B13CA64"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3(e) General Guidelines</w:t>
      </w:r>
    </w:p>
    <w:p w:rsidR="00E265D9" w:rsidRDefault="00E265D9" w14:paraId="01483C4B"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4B3DB42E"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This ICR does not violate any of OMB</w:t>
      </w:r>
      <w:r w:rsidR="000B023E">
        <w:t>'</w:t>
      </w:r>
      <w:r>
        <w:t>s guidelines for information collections.</w:t>
      </w:r>
    </w:p>
    <w:p w:rsidR="002C01E6" w:rsidRDefault="002C01E6" w14:paraId="193625A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4D4E330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3(f) Confidentiality</w:t>
      </w:r>
    </w:p>
    <w:p w:rsidR="00E265D9" w:rsidRDefault="00E265D9" w14:paraId="4C098850"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24BF31F1" w14:textId="4265789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ascii="Shruti" w:hAnsi="Shruti" w:cs="Shruti"/>
        </w:rPr>
      </w:pPr>
      <w:r>
        <w:t xml:space="preserve">Any data that </w:t>
      </w:r>
      <w:r w:rsidR="00181275">
        <w:t xml:space="preserve">are </w:t>
      </w:r>
      <w:r>
        <w:t xml:space="preserve">submitted to </w:t>
      </w:r>
      <w:r w:rsidR="00DB58B9">
        <w:t xml:space="preserve">the </w:t>
      </w:r>
      <w:r>
        <w:t xml:space="preserve">EPA under this </w:t>
      </w:r>
      <w:r w:rsidR="00A710A5">
        <w:t>final</w:t>
      </w:r>
      <w:r>
        <w:t xml:space="preserve"> rule will be considered in the public domain and cannot be treated as confidential. </w:t>
      </w:r>
    </w:p>
    <w:p w:rsidR="002C01E6" w:rsidRDefault="002C01E6" w14:paraId="55EBABF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E265D9" w:rsidRDefault="002C01E6" w14:paraId="4D30EC2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3(g) Sensitive Questions</w:t>
      </w:r>
    </w:p>
    <w:p w:rsidR="002C01E6" w:rsidRDefault="002C01E6" w14:paraId="68E0BB0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14:paraId="10740F74"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This information collection does not ask any questions concerning sexual behavior or attitudes, religious beliefs, or other matters usually considered private.  </w:t>
      </w:r>
    </w:p>
    <w:p w:rsidR="002C01E6" w:rsidRDefault="002C01E6" w14:paraId="4F819E0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3A990215"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4.</w:t>
      </w:r>
      <w:r>
        <w:rPr>
          <w:rStyle w:val="1sttierA"/>
        </w:rPr>
        <w:tab/>
        <w:t>THE RESPONDENTS AND THE INFORMATION REQUESTED</w:t>
      </w:r>
    </w:p>
    <w:p w:rsidR="00E265D9" w:rsidRDefault="00E265D9" w14:paraId="1AF1C3A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14:paraId="47EBF0A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4(a) Respondents/</w:t>
      </w:r>
      <w:r w:rsidR="008352CE">
        <w:rPr>
          <w:rStyle w:val="2ndtier1"/>
        </w:rPr>
        <w:t xml:space="preserve">North American Industry Classification System (NAICS) </w:t>
      </w:r>
      <w:r>
        <w:rPr>
          <w:rStyle w:val="2ndtier1"/>
        </w:rPr>
        <w:t>Codes</w:t>
      </w:r>
    </w:p>
    <w:p w:rsidR="002C01E6" w:rsidRDefault="002C01E6" w14:paraId="417D0539"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Pr="00E265D9" w:rsidR="002C01E6" w:rsidRDefault="002C01E6" w14:paraId="743E3684" w14:textId="69B15D8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emissions data required by the </w:t>
      </w:r>
      <w:r w:rsidR="0020584C">
        <w:t>AERR</w:t>
      </w:r>
      <w:r w:rsidRPr="00E265D9">
        <w:t xml:space="preserve"> </w:t>
      </w:r>
      <w:r w:rsidR="00153550">
        <w:t>are</w:t>
      </w:r>
      <w:r w:rsidRPr="00E265D9" w:rsidR="00153550">
        <w:t xml:space="preserve"> </w:t>
      </w:r>
      <w:r w:rsidRPr="00E265D9">
        <w:t xml:space="preserve">submitted by </w:t>
      </w:r>
      <w:r w:rsidR="00DB58B9">
        <w:t>s</w:t>
      </w:r>
      <w:r w:rsidRPr="00E265D9">
        <w:t>tate</w:t>
      </w:r>
      <w:r w:rsidR="00DF2AE5">
        <w:t xml:space="preserve">, </w:t>
      </w:r>
      <w:r w:rsidR="00DB58B9">
        <w:t>t</w:t>
      </w:r>
      <w:r w:rsidR="00DF2AE5">
        <w:t xml:space="preserve">erritorial, </w:t>
      </w:r>
      <w:r w:rsidR="0020584C">
        <w:t xml:space="preserve">and local </w:t>
      </w:r>
      <w:r w:rsidRPr="00E265D9">
        <w:t xml:space="preserve">air pollution control agencies.  Under the </w:t>
      </w:r>
      <w:r w:rsidR="0020584C">
        <w:t>A</w:t>
      </w:r>
      <w:r w:rsidRPr="00E265D9">
        <w:t>ERR, there are 5</w:t>
      </w:r>
      <w:r w:rsidR="008515CB">
        <w:t>4</w:t>
      </w:r>
      <w:r w:rsidRPr="00E265D9">
        <w:t xml:space="preserve"> </w:t>
      </w:r>
      <w:r w:rsidR="00DB58B9">
        <w:t>s</w:t>
      </w:r>
      <w:r w:rsidRPr="00E265D9">
        <w:t xml:space="preserve">tate and </w:t>
      </w:r>
      <w:r w:rsidR="00DB58B9">
        <w:t>t</w:t>
      </w:r>
      <w:r w:rsidRPr="00E265D9">
        <w:t>erritorial air pollution control agencies</w:t>
      </w:r>
      <w:r w:rsidR="0020584C">
        <w:t xml:space="preserve"> and</w:t>
      </w:r>
      <w:r w:rsidRPr="00E265D9">
        <w:t xml:space="preserve"> </w:t>
      </w:r>
      <w:r w:rsidR="001B5C69">
        <w:t xml:space="preserve">between </w:t>
      </w:r>
      <w:r w:rsidR="0065043C">
        <w:t>2</w:t>
      </w:r>
      <w:r w:rsidR="001B5C69">
        <w:t xml:space="preserve">3 and 31 </w:t>
      </w:r>
      <w:r w:rsidRPr="00E265D9">
        <w:t xml:space="preserve">local </w:t>
      </w:r>
      <w:r w:rsidR="001B5C69">
        <w:t xml:space="preserve">and tribal </w:t>
      </w:r>
      <w:r w:rsidRPr="00E265D9">
        <w:t xml:space="preserve">air agencies that </w:t>
      </w:r>
      <w:r w:rsidR="0020584C">
        <w:t>are</w:t>
      </w:r>
      <w:r w:rsidRPr="00E265D9">
        <w:t xml:space="preserve"> subject to the national reporting requirements and </w:t>
      </w:r>
      <w:r w:rsidR="0020584C">
        <w:t>are</w:t>
      </w:r>
      <w:r w:rsidRPr="00E265D9">
        <w:t xml:space="preserve"> required to compile and report emissions information for large stationary point sources on an annual basis</w:t>
      </w:r>
      <w:r w:rsidR="00DF2AE5">
        <w:t>,</w:t>
      </w:r>
      <w:r w:rsidRPr="00E265D9">
        <w:t xml:space="preserve"> and for smaller point sources, stationary nonpoint and </w:t>
      </w:r>
      <w:proofErr w:type="spellStart"/>
      <w:r w:rsidR="003B4E99">
        <w:t>onroad</w:t>
      </w:r>
      <w:proofErr w:type="spellEnd"/>
      <w:r w:rsidR="003B4E99">
        <w:t xml:space="preserve"> and nonroad </w:t>
      </w:r>
      <w:r w:rsidRPr="00E265D9">
        <w:t xml:space="preserve">mobile sources on a 3-year basis.  </w:t>
      </w:r>
      <w:r w:rsidR="003B4320">
        <w:t>The affected NAICS</w:t>
      </w:r>
      <w:r w:rsidR="006E5F9B">
        <w:t xml:space="preserve"> code is</w:t>
      </w:r>
      <w:r w:rsidRPr="00E265D9">
        <w:t xml:space="preserve"> </w:t>
      </w:r>
      <w:r w:rsidR="003B4320">
        <w:rPr>
          <w:i/>
          <w:iCs/>
        </w:rPr>
        <w:t>924110</w:t>
      </w:r>
      <w:r w:rsidRPr="00E265D9">
        <w:rPr>
          <w:i/>
          <w:iCs/>
        </w:rPr>
        <w:t xml:space="preserve"> </w:t>
      </w:r>
      <w:r w:rsidR="003B4320">
        <w:rPr>
          <w:i/>
          <w:iCs/>
        </w:rPr>
        <w:t>–</w:t>
      </w:r>
      <w:r w:rsidRPr="00E265D9">
        <w:rPr>
          <w:i/>
          <w:iCs/>
        </w:rPr>
        <w:t xml:space="preserve"> A</w:t>
      </w:r>
      <w:r w:rsidR="003B4320">
        <w:rPr>
          <w:i/>
          <w:iCs/>
        </w:rPr>
        <w:t>dministration of A</w:t>
      </w:r>
      <w:r w:rsidRPr="00E265D9">
        <w:rPr>
          <w:i/>
          <w:iCs/>
        </w:rPr>
        <w:t>ir and Water Resource</w:t>
      </w:r>
      <w:r w:rsidR="003B4320">
        <w:rPr>
          <w:i/>
          <w:iCs/>
        </w:rPr>
        <w:t>s</w:t>
      </w:r>
      <w:r w:rsidRPr="00E265D9">
        <w:rPr>
          <w:i/>
          <w:iCs/>
        </w:rPr>
        <w:t xml:space="preserve"> and Solid Waste Management</w:t>
      </w:r>
      <w:r w:rsidR="003B4320">
        <w:rPr>
          <w:i/>
          <w:iCs/>
        </w:rPr>
        <w:t xml:space="preserve"> Programs</w:t>
      </w:r>
      <w:r w:rsidRPr="00E265D9">
        <w:t xml:space="preserve">, which includes governmental environmental protection and control agencies, and pollution control agencies. </w:t>
      </w:r>
    </w:p>
    <w:p w:rsidRPr="00E265D9" w:rsidR="002C01E6" w:rsidRDefault="002C01E6" w14:paraId="11BE6BD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E265D9" w:rsidRDefault="002C01E6" w14:paraId="513C5473"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lastRenderedPageBreak/>
        <w:t>4(b) Information Requested</w:t>
      </w:r>
    </w:p>
    <w:p w:rsidR="002C01E6" w:rsidRDefault="002C01E6" w14:paraId="128099D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C05AAA" w:rsidP="00C61DF3" w:rsidRDefault="00C61DF3" w14:paraId="2474684C" w14:textId="0405E9E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AERR consolidate</w:t>
      </w:r>
      <w:r w:rsidR="0065043C">
        <w:t>d</w:t>
      </w:r>
      <w:r>
        <w:t xml:space="preserve"> emission inventory data that </w:t>
      </w:r>
      <w:r w:rsidR="00181275">
        <w:t xml:space="preserve">was previously </w:t>
      </w:r>
      <w:r>
        <w:t xml:space="preserve">being collected by states and reported to </w:t>
      </w:r>
      <w:r w:rsidR="00DB58B9">
        <w:t xml:space="preserve">the </w:t>
      </w:r>
      <w:r>
        <w:t>EPA under several different provisions of the CAA, includ</w:t>
      </w:r>
      <w:r w:rsidR="007C2941">
        <w:t>e</w:t>
      </w:r>
      <w:r>
        <w:t xml:space="preserve"> </w:t>
      </w:r>
      <w:r w:rsidR="002462E6">
        <w:t xml:space="preserve">annual point source inventories and more extensive </w:t>
      </w:r>
      <w:r>
        <w:t xml:space="preserve">periodic or 3-year cycle inventories.  </w:t>
      </w:r>
      <w:r w:rsidR="002462E6">
        <w:t>Annually</w:t>
      </w:r>
      <w:r>
        <w:t xml:space="preserve">, </w:t>
      </w:r>
      <w:r w:rsidR="0008424B">
        <w:t>s</w:t>
      </w:r>
      <w:r>
        <w:t>tate agencies are required to submit emissions data for large stationary point sources emitting one or more of the following pollu</w:t>
      </w:r>
      <w:r w:rsidR="00910343">
        <w:t xml:space="preserve">tants above a specified level: </w:t>
      </w:r>
      <w:r w:rsidR="00C26C44">
        <w:t xml:space="preserve"> </w:t>
      </w:r>
      <w:r>
        <w:t>NO</w:t>
      </w:r>
      <w:r w:rsidRPr="00C26C44">
        <w:rPr>
          <w:vertAlign w:val="subscript"/>
        </w:rPr>
        <w:t>x</w:t>
      </w:r>
      <w:r>
        <w:t>, CO, SO</w:t>
      </w:r>
      <w:r w:rsidRPr="00C26C44">
        <w:rPr>
          <w:vertAlign w:val="subscript"/>
        </w:rPr>
        <w:t>2</w:t>
      </w:r>
      <w:r>
        <w:t xml:space="preserve">, </w:t>
      </w:r>
      <w:r w:rsidR="00910343">
        <w:t xml:space="preserve">VOC, </w:t>
      </w:r>
      <w:r>
        <w:t>PM</w:t>
      </w:r>
      <w:r w:rsidRPr="00C26C44">
        <w:rPr>
          <w:vertAlign w:val="subscript"/>
        </w:rPr>
        <w:t>10</w:t>
      </w:r>
      <w:r>
        <w:t>, PM</w:t>
      </w:r>
      <w:r w:rsidRPr="00C26C44">
        <w:rPr>
          <w:vertAlign w:val="subscript"/>
        </w:rPr>
        <w:t>2.5</w:t>
      </w:r>
      <w:r>
        <w:t>, and NH</w:t>
      </w:r>
      <w:r w:rsidRPr="00C26C44">
        <w:rPr>
          <w:vertAlign w:val="subscript"/>
        </w:rPr>
        <w:t>3</w:t>
      </w:r>
      <w:r>
        <w:t xml:space="preserve">.  The AERR also requires </w:t>
      </w:r>
      <w:r w:rsidR="00C26C44">
        <w:t>s</w:t>
      </w:r>
      <w:r>
        <w:t>tates to report point</w:t>
      </w:r>
      <w:r w:rsidR="002462E6">
        <w:t xml:space="preserve"> and</w:t>
      </w:r>
      <w:r>
        <w:t xml:space="preserve"> nonpoint emissions data for all criteria pollutants and their precursors every 3 years on a statewide basis.  There are no annual reporting r</w:t>
      </w:r>
      <w:r w:rsidR="000740BA">
        <w:t>equirements for sources of lead</w:t>
      </w:r>
      <w:r w:rsidR="007C2941">
        <w:t>;</w:t>
      </w:r>
      <w:r>
        <w:t xml:space="preserve"> however, lead emissions must be included in the 3-year cycle inventories</w:t>
      </w:r>
      <w:r w:rsidR="0065043C">
        <w:t xml:space="preserve">. </w:t>
      </w:r>
      <w:r w:rsidR="00DF06DE">
        <w:t xml:space="preserve"> </w:t>
      </w:r>
      <w:r w:rsidR="0065043C">
        <w:t xml:space="preserve">For </w:t>
      </w:r>
      <w:proofErr w:type="spellStart"/>
      <w:r w:rsidR="0065043C">
        <w:t>onroad</w:t>
      </w:r>
      <w:proofErr w:type="spellEnd"/>
      <w:r w:rsidR="0065043C">
        <w:t xml:space="preserve"> mobile and nonroad mobile sources, the AERR requires reporting of model inputs for all states but California, for which emissions values are required. </w:t>
      </w:r>
      <w:r w:rsidR="002462E6">
        <w:t xml:space="preserve"> </w:t>
      </w:r>
      <w:r>
        <w:t xml:space="preserve">Data elements that must be reported by </w:t>
      </w:r>
      <w:r w:rsidR="00C26C44">
        <w:t>s</w:t>
      </w:r>
      <w:r>
        <w:t xml:space="preserve">tate agencies for point, nonpoint, and </w:t>
      </w:r>
      <w:proofErr w:type="spellStart"/>
      <w:r>
        <w:t>onroad</w:t>
      </w:r>
      <w:proofErr w:type="spellEnd"/>
      <w:r>
        <w:t xml:space="preserve"> and nonroad mobile sources are listed in Appendix A to Subpart A of 40 CFR part 51</w:t>
      </w:r>
      <w:r w:rsidR="00F13330">
        <w:t>.</w:t>
      </w:r>
      <w:r w:rsidR="00C05AAA">
        <w:t xml:space="preserve">  The AERR also encourages voluntary reporting of HAPs and activity data for wildfire and prescribed burning events.</w:t>
      </w:r>
    </w:p>
    <w:p w:rsidR="002C01E6" w:rsidP="00F40F41" w:rsidRDefault="002C01E6" w14:paraId="10B708E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2C01E6" w14:paraId="58DDCD9A"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5.</w:t>
      </w:r>
      <w:r>
        <w:rPr>
          <w:rStyle w:val="1sttierA"/>
        </w:rPr>
        <w:tab/>
        <w:t>THE INFORMATION COLLECTED</w:t>
      </w:r>
      <w:r w:rsidR="00C12129">
        <w:rPr>
          <w:rStyle w:val="1sttierA"/>
        </w:rPr>
        <w:t xml:space="preserve"> </w:t>
      </w:r>
      <w:r w:rsidR="00867A82">
        <w:rPr>
          <w:rStyle w:val="1sttierA"/>
        </w:rPr>
        <w:t>-</w:t>
      </w:r>
      <w:r w:rsidR="00C12129">
        <w:rPr>
          <w:rStyle w:val="1sttierA"/>
        </w:rPr>
        <w:t xml:space="preserve"> </w:t>
      </w:r>
      <w:r>
        <w:rPr>
          <w:rStyle w:val="1sttierA"/>
        </w:rPr>
        <w:t>AGENCY ACTIVITIES, COLLECTION METHODS, AND INFORMATION MANAGEMENT</w:t>
      </w:r>
    </w:p>
    <w:p w:rsidR="00E265D9" w:rsidRDefault="00E265D9" w14:paraId="5025698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14:paraId="464F59E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5(a) Agency Activities</w:t>
      </w:r>
    </w:p>
    <w:p w:rsidR="00E265D9" w:rsidRDefault="00E265D9" w14:paraId="6D38F3A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3CE7DD0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EPA activities associated with the </w:t>
      </w:r>
      <w:r w:rsidR="00795BD8">
        <w:t>AERR</w:t>
      </w:r>
      <w:r>
        <w:t xml:space="preserve"> include:</w:t>
      </w:r>
    </w:p>
    <w:p w:rsidR="002C01E6" w:rsidRDefault="002C01E6" w14:paraId="2617388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153550" w:rsidP="000B023E" w:rsidRDefault="00153550" w14:paraId="031857D9" w14:textId="6349E44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a database of emissions factors for use by states and the point sources regulated by states</w:t>
      </w:r>
      <w:r w:rsidR="000E3CF4">
        <w:t>;</w:t>
      </w:r>
      <w:r>
        <w:br/>
      </w:r>
    </w:p>
    <w:p w:rsidR="000E3CF4" w:rsidP="000B023E" w:rsidRDefault="000E3CF4" w14:paraId="0EBB11F2" w14:textId="0BEF7D54">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Developing guidance and training materials for states for each emissions inventory reporting cycle and maintaining communication through EPA’s website and other methods</w:t>
      </w:r>
      <w:r w:rsidR="00D42838">
        <w:t>,</w:t>
      </w:r>
      <w:r>
        <w:t xml:space="preserve"> including providing in-person</w:t>
      </w:r>
      <w:r w:rsidR="00D42838">
        <w:t xml:space="preserve">, </w:t>
      </w:r>
      <w:r>
        <w:t>webinar-based</w:t>
      </w:r>
      <w:r w:rsidR="00D42838">
        <w:t>, and self-guided online</w:t>
      </w:r>
      <w:r>
        <w:t xml:space="preserve"> training;</w:t>
      </w:r>
      <w:r>
        <w:br/>
      </w:r>
    </w:p>
    <w:p w:rsidR="00153550" w:rsidP="000B023E" w:rsidRDefault="00153550" w14:paraId="0AB417F5" w14:textId="4EF93528">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Evaluating the adequacy of existing emissions estimation methods</w:t>
      </w:r>
      <w:r w:rsidR="000E3CF4">
        <w:t xml:space="preserve"> and models</w:t>
      </w:r>
      <w:r>
        <w:t xml:space="preserve">, developing method </w:t>
      </w:r>
      <w:r w:rsidR="000E3CF4">
        <w:t xml:space="preserve">and model </w:t>
      </w:r>
      <w:r>
        <w:t xml:space="preserve">revisions, and publishing updated methods </w:t>
      </w:r>
      <w:r w:rsidR="000E3CF4">
        <w:t xml:space="preserve">and models </w:t>
      </w:r>
      <w:r>
        <w:t>as appropriate</w:t>
      </w:r>
      <w:r w:rsidR="000E3CF4">
        <w:t>;</w:t>
      </w:r>
      <w:r>
        <w:br/>
      </w:r>
    </w:p>
    <w:p w:rsidR="00A17CAD" w:rsidP="000B023E" w:rsidRDefault="00A17CAD" w14:paraId="2B584390" w14:textId="0E987B05">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Preparing nonpoint emissions data for review and possible use by </w:t>
      </w:r>
      <w:proofErr w:type="gramStart"/>
      <w:r>
        <w:t>states;</w:t>
      </w:r>
      <w:proofErr w:type="gramEnd"/>
      <w:r>
        <w:t xml:space="preserve"> </w:t>
      </w:r>
    </w:p>
    <w:p w:rsidR="00A17CAD" w:rsidP="00F40F41" w:rsidRDefault="00A17CAD" w14:paraId="7836A9B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A17CAD" w:rsidP="000B023E" w:rsidRDefault="00A17CAD" w14:paraId="632EBB03" w14:textId="671231E5">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Preparing </w:t>
      </w:r>
      <w:proofErr w:type="spellStart"/>
      <w:r>
        <w:t>onroad</w:t>
      </w:r>
      <w:proofErr w:type="spellEnd"/>
      <w:r>
        <w:t xml:space="preserve"> and nonroad mobile model inputs</w:t>
      </w:r>
      <w:r w:rsidR="0065043C">
        <w:t xml:space="preserve"> for review and possible use by </w:t>
      </w:r>
      <w:proofErr w:type="gramStart"/>
      <w:r w:rsidR="0065043C">
        <w:t>states</w:t>
      </w:r>
      <w:r>
        <w:t>;</w:t>
      </w:r>
      <w:proofErr w:type="gramEnd"/>
      <w:r>
        <w:t xml:space="preserve"> </w:t>
      </w:r>
    </w:p>
    <w:p w:rsidR="00A17CAD" w:rsidP="00F40F41" w:rsidRDefault="00A17CAD" w14:paraId="3D4E7FE0" w14:textId="77777777">
      <w:pPr>
        <w:pStyle w:val="ListParagraph"/>
      </w:pPr>
    </w:p>
    <w:p w:rsidR="00A17CAD" w:rsidP="000B023E" w:rsidRDefault="00A17CAD" w14:paraId="6F3F5BF5" w14:textId="24D93D57">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Preparing data for voluntary review of participating agencies, including landing and takeoff data at airports and fire activity data and </w:t>
      </w:r>
      <w:proofErr w:type="gramStart"/>
      <w:r>
        <w:t>emissions;</w:t>
      </w:r>
      <w:proofErr w:type="gramEnd"/>
      <w:r>
        <w:t xml:space="preserve"> </w:t>
      </w:r>
    </w:p>
    <w:p w:rsidR="00A17CAD" w:rsidP="00A17CAD" w:rsidRDefault="00A17CAD" w14:paraId="7C71D22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2C01E6" w:rsidP="000B023E" w:rsidRDefault="002C01E6" w14:paraId="63E0447E" w14:textId="28DC6D42">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Receiving, reviewing, and storing emission inventory data submitted by each </w:t>
      </w:r>
      <w:proofErr w:type="gramStart"/>
      <w:r w:rsidR="00C26C44">
        <w:t>s</w:t>
      </w:r>
      <w:r>
        <w:t>tate;</w:t>
      </w:r>
      <w:proofErr w:type="gramEnd"/>
    </w:p>
    <w:p w:rsidR="002C01E6" w:rsidRDefault="002C01E6" w14:paraId="2DB0917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0B023E" w:rsidRDefault="002C01E6" w14:paraId="69C9F140" w14:textId="7DA7A640">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lastRenderedPageBreak/>
        <w:t xml:space="preserve">Processing and updating data submitted by </w:t>
      </w:r>
      <w:r w:rsidR="00C26C44">
        <w:t>s</w:t>
      </w:r>
      <w:r>
        <w:t>tates, including performing quality assu</w:t>
      </w:r>
      <w:r w:rsidR="00C12129">
        <w:t>rance of data, and coordinating</w:t>
      </w:r>
      <w:r>
        <w:t xml:space="preserve"> efforts to resolve errors and </w:t>
      </w:r>
      <w:proofErr w:type="gramStart"/>
      <w:r>
        <w:t>anomalies;</w:t>
      </w:r>
      <w:proofErr w:type="gramEnd"/>
      <w:r>
        <w:t xml:space="preserve"> </w:t>
      </w:r>
    </w:p>
    <w:p w:rsidR="002C01E6" w:rsidRDefault="002C01E6" w14:paraId="03390EB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Pr="003B1F46" w:rsidR="002C01E6" w:rsidP="000B023E" w:rsidRDefault="002C01E6" w14:paraId="3EF6AD51" w14:textId="23A1E1EF">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rPr>
      </w:pPr>
      <w:r>
        <w:t xml:space="preserve">Fulfilling </w:t>
      </w:r>
      <w:r w:rsidR="000E3CF4">
        <w:t xml:space="preserve">technical assistance and </w:t>
      </w:r>
      <w:r>
        <w:t xml:space="preserve">information </w:t>
      </w:r>
      <w:proofErr w:type="gramStart"/>
      <w:r>
        <w:t>requests</w:t>
      </w:r>
      <w:r w:rsidR="000E3CF4">
        <w:t>;</w:t>
      </w:r>
      <w:proofErr w:type="gramEnd"/>
    </w:p>
    <w:p w:rsidR="00153550" w:rsidP="008474F2" w:rsidRDefault="00153550" w14:paraId="4F0EBC41" w14:textId="77777777">
      <w:pPr>
        <w:pStyle w:val="ListParagraph"/>
        <w:rPr>
          <w:i/>
          <w:iCs/>
        </w:rPr>
      </w:pPr>
    </w:p>
    <w:p w:rsidRPr="000E3CF4" w:rsidR="000E3CF4" w:rsidP="000B023E" w:rsidRDefault="000E3CF4" w14:paraId="5DBA677E" w14:textId="0A186C17">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8474F2">
        <w:t xml:space="preserve">Developing technical </w:t>
      </w:r>
      <w:r>
        <w:t xml:space="preserve">documentation of the resulting emissions inventories created from compiling the collected </w:t>
      </w:r>
      <w:proofErr w:type="gramStart"/>
      <w:r>
        <w:t>data;</w:t>
      </w:r>
      <w:proofErr w:type="gramEnd"/>
    </w:p>
    <w:p w:rsidR="000E3CF4" w:rsidP="008474F2" w:rsidRDefault="000E3CF4" w14:paraId="53213CB7" w14:textId="77777777">
      <w:pPr>
        <w:pStyle w:val="ListParagraph"/>
      </w:pPr>
    </w:p>
    <w:p w:rsidRPr="008474F2" w:rsidR="00153550" w:rsidP="000B023E" w:rsidRDefault="00153550" w14:paraId="6228B759" w14:textId="6DF3BFB1">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r>
        <w:t xml:space="preserve">Maintaining the </w:t>
      </w:r>
      <w:r w:rsidR="000E3CF4">
        <w:t>EIS</w:t>
      </w:r>
      <w:r>
        <w:t xml:space="preserve"> and associated </w:t>
      </w:r>
      <w:r w:rsidR="000E3CF4">
        <w:t>electronic reporting approaches; and</w:t>
      </w:r>
    </w:p>
    <w:p w:rsidR="000E3CF4" w:rsidP="008474F2" w:rsidRDefault="000E3CF4" w14:paraId="7826D006" w14:textId="77777777">
      <w:pPr>
        <w:pStyle w:val="ListParagraph"/>
        <w:rPr>
          <w:i/>
          <w:iCs/>
        </w:rPr>
      </w:pPr>
    </w:p>
    <w:p w:rsidRPr="008474F2" w:rsidR="000E3CF4" w:rsidP="000B023E" w:rsidRDefault="000E3CF4" w14:paraId="09E3830A" w14:textId="787DA7FB">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8474F2">
        <w:t>Main</w:t>
      </w:r>
      <w:r>
        <w:t xml:space="preserve">taining reporting codes to use in emissions inventory databases to identify various aspects of emissions inventories such as emissions unit types, release point types, source category classifications, and geopolitical entities. </w:t>
      </w:r>
    </w:p>
    <w:p w:rsidR="002C01E6" w:rsidRDefault="002C01E6" w14:paraId="1863DBA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p>
    <w:p w:rsidR="002C01E6" w:rsidP="00E265D9" w:rsidRDefault="002C01E6" w14:paraId="49EECE11"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5(b) Collection Methodology and Management</w:t>
      </w:r>
    </w:p>
    <w:p w:rsidR="002C01E6" w:rsidRDefault="002C01E6" w14:paraId="69643CB0"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C05AAA" w:rsidP="008474F2" w:rsidRDefault="008A7DFE" w14:paraId="6DC99E9D" w14:textId="5377FA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r>
        <w:t>The EPA has established</w:t>
      </w:r>
      <w:r w:rsidR="002C01E6">
        <w:t xml:space="preserve"> a central repository of </w:t>
      </w:r>
      <w:r w:rsidR="00A43FA8">
        <w:t xml:space="preserve">emissions </w:t>
      </w:r>
      <w:r w:rsidR="002C01E6">
        <w:t xml:space="preserve">inventory data for all </w:t>
      </w:r>
      <w:r w:rsidR="00C26C44">
        <w:t>s</w:t>
      </w:r>
      <w:r w:rsidR="002C01E6">
        <w:t xml:space="preserve">tates </w:t>
      </w:r>
      <w:r w:rsidR="00A17CAD">
        <w:t xml:space="preserve">called </w:t>
      </w:r>
      <w:r w:rsidR="002C01E6">
        <w:t>the EI</w:t>
      </w:r>
      <w:r w:rsidR="00795BD8">
        <w:t>S</w:t>
      </w:r>
      <w:r w:rsidR="002C01E6">
        <w:t xml:space="preserve">.  Emissions inventory data reported electronically </w:t>
      </w:r>
      <w:r w:rsidR="0065043C">
        <w:t>are</w:t>
      </w:r>
      <w:r w:rsidR="002C01E6">
        <w:t xml:space="preserve"> stored in the EI</w:t>
      </w:r>
      <w:r w:rsidR="00795BD8">
        <w:t>S</w:t>
      </w:r>
      <w:r w:rsidR="00A17CAD">
        <w:t>,</w:t>
      </w:r>
      <w:r w:rsidR="002C01E6">
        <w:t xml:space="preserve"> and </w:t>
      </w:r>
      <w:r w:rsidR="00A17CAD">
        <w:t xml:space="preserve">the database is </w:t>
      </w:r>
      <w:r w:rsidR="002C01E6">
        <w:t xml:space="preserve">used by the EPA and by </w:t>
      </w:r>
      <w:r w:rsidR="00C26C44">
        <w:t>s</w:t>
      </w:r>
      <w:r w:rsidR="002C01E6">
        <w:t>tates for</w:t>
      </w:r>
      <w:r w:rsidR="0065043C">
        <w:t xml:space="preserve"> obtaining emissions data reports and input files for air quality modeling</w:t>
      </w:r>
      <w:r w:rsidR="002C01E6">
        <w:t xml:space="preserve">. </w:t>
      </w:r>
    </w:p>
    <w:p w:rsidR="00C05AAA" w:rsidP="008474F2" w:rsidRDefault="00C05AAA" w14:paraId="51D3D4D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p>
    <w:p w:rsidR="002C01E6" w:rsidRDefault="002C01E6" w14:paraId="79005980" w14:textId="291C435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maintains the EI</w:t>
      </w:r>
      <w:r w:rsidR="00795BD8">
        <w:t>S</w:t>
      </w:r>
      <w:r>
        <w:t xml:space="preserve"> as a central repository of inventory data for all </w:t>
      </w:r>
      <w:r w:rsidR="00C26C44">
        <w:t>s</w:t>
      </w:r>
      <w:r>
        <w:t xml:space="preserve">tates, but </w:t>
      </w:r>
      <w:r w:rsidR="00C05AAA">
        <w:t>much</w:t>
      </w:r>
      <w:r w:rsidR="000E3CF4">
        <w:t xml:space="preserve"> of </w:t>
      </w:r>
      <w:r>
        <w:t xml:space="preserve">the data must be supplied by the </w:t>
      </w:r>
      <w:r w:rsidR="00C26C44">
        <w:t>s</w:t>
      </w:r>
      <w:r>
        <w:t>tate</w:t>
      </w:r>
      <w:r w:rsidR="00D40605">
        <w:t xml:space="preserve"> and local </w:t>
      </w:r>
      <w:r w:rsidR="00A17CAD">
        <w:t>agencies</w:t>
      </w:r>
      <w:r>
        <w:t xml:space="preserve"> in electronic form.  The EPA requires that </w:t>
      </w:r>
      <w:r w:rsidR="009A5320">
        <w:t xml:space="preserve">submitting agencies </w:t>
      </w:r>
      <w:r>
        <w:t xml:space="preserve">use </w:t>
      </w:r>
      <w:r w:rsidR="00795BD8">
        <w:t xml:space="preserve">a defined </w:t>
      </w:r>
      <w:proofErr w:type="spellStart"/>
      <w:r w:rsidR="0065043C">
        <w:t>eXtensible</w:t>
      </w:r>
      <w:proofErr w:type="spellEnd"/>
      <w:r w:rsidR="0065043C">
        <w:t xml:space="preserve"> Markup Language (</w:t>
      </w:r>
      <w:r w:rsidR="007B53EA">
        <w:t>XML</w:t>
      </w:r>
      <w:r w:rsidR="0065043C">
        <w:t>)</w:t>
      </w:r>
      <w:r w:rsidR="007B53EA">
        <w:t xml:space="preserve"> schema </w:t>
      </w:r>
      <w:r>
        <w:t>for</w:t>
      </w:r>
      <w:r w:rsidR="007B53EA">
        <w:t xml:space="preserve"> electronic data reporting using </w:t>
      </w:r>
      <w:r w:rsidR="00C26C44">
        <w:t xml:space="preserve">the </w:t>
      </w:r>
      <w:r w:rsidR="007B53EA">
        <w:t>EPA’s Central Data Exchange (CDX).</w:t>
      </w:r>
    </w:p>
    <w:p w:rsidR="00A43FA8" w:rsidRDefault="00A43FA8" w14:paraId="301F0660" w14:textId="61D8A20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A43FA8" w:rsidP="00A43FA8" w:rsidRDefault="00A43FA8" w14:paraId="4CCCE09F" w14:textId="77C94DE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r>
        <w:t xml:space="preserve">EPA promotes burden reduction of the mandatory reporting requirements for states in several ways.  The EPA has developed the Combined Air Emissions Reporting System (CAERS) for </w:t>
      </w:r>
      <w:r w:rsidR="008474F2">
        <w:t>use</w:t>
      </w:r>
      <w:r>
        <w:t xml:space="preserve"> by states to collect point source emissions and report them to </w:t>
      </w:r>
      <w:r w:rsidR="008474F2">
        <w:t xml:space="preserve">the </w:t>
      </w:r>
      <w:r>
        <w:t>EPA rather than develop and maintain their own emissions reporting data system.  For nonpoint sources, the EPA loads nonpoint emissions data for consideration for review and acceptance by the states</w:t>
      </w:r>
      <w:r w:rsidR="008474F2">
        <w:t xml:space="preserve">.  States can meet their reporting obligations by (a) reviewing and </w:t>
      </w:r>
      <w:r>
        <w:t xml:space="preserve">provide comments on EPA’s estimates for EPA to incorporate, </w:t>
      </w:r>
      <w:r w:rsidR="008474F2">
        <w:t xml:space="preserve">(b) </w:t>
      </w:r>
      <w:r>
        <w:t xml:space="preserve">revise the estimates by reporting emissions, or </w:t>
      </w:r>
      <w:r w:rsidR="008474F2">
        <w:t xml:space="preserve">(c) </w:t>
      </w:r>
      <w:r>
        <w:t xml:space="preserve">accept the estimates after review.  For </w:t>
      </w:r>
      <w:proofErr w:type="spellStart"/>
      <w:r>
        <w:t>onroad</w:t>
      </w:r>
      <w:proofErr w:type="spellEnd"/>
      <w:r>
        <w:t xml:space="preserve"> mobile sources and nonroad equipment, the EPA runs the latest mobile source emissions model using state-supplied model inputs and provides the resulting emissions for </w:t>
      </w:r>
      <w:proofErr w:type="spellStart"/>
      <w:r>
        <w:t>onroad</w:t>
      </w:r>
      <w:proofErr w:type="spellEnd"/>
      <w:r>
        <w:t xml:space="preserve"> and nonroad vehicles for review and comment by the states. For aircraft emissions, the EPA compiles landing and takeoff data, provides to states for review and comment, and then computes emissions using the latest Federal Aviation Administration emissions model.  For commercial marine vessels, the EPA compiles activity data using the Automatic Identification System (AIS) database and computes emissions for review and comment by states.  Finally, for locomotive emissions, the EPA works with industry representatives to compile activity data and draft emissions for review and comment by states.</w:t>
      </w:r>
    </w:p>
    <w:p w:rsidR="00A43FA8" w:rsidP="00A43FA8" w:rsidRDefault="00A43FA8" w14:paraId="1718C1D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p>
    <w:p w:rsidR="00A43FA8" w:rsidP="00A43FA8" w:rsidRDefault="00A43FA8" w14:paraId="44BC0A04" w14:textId="6AD20B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pPr>
      <w:r>
        <w:lastRenderedPageBreak/>
        <w:t>For the voluntary reporting of wildfire and prescribed burning events, the EPA compiles available satellite and ground-based fire observation data from numerous sources around the country, and provides those data for voluntary state review, edit, and comment.  The EPA also estimates the wildfire and prescribed burning emissions based on these revised data for inclusion in the NEI.</w:t>
      </w:r>
      <w:r w:rsidRPr="00A43FA8">
        <w:t xml:space="preserve"> </w:t>
      </w:r>
      <w:r>
        <w:t xml:space="preserve">In addition to the data mentioned above, the EPA loads into EIS for use in the NEI several national datasets, including Toxics Release Inventory, the Greenhouse Gas Reporting Program data, and data on emissions from drilling wells from the Bureau of Ocean Energy Management.  </w:t>
      </w:r>
    </w:p>
    <w:p w:rsidR="00A43FA8" w:rsidDel="00A43FA8" w:rsidRDefault="00A43FA8" w14:paraId="1D767C4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658ACED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5(c) Small Entity Flexibility</w:t>
      </w:r>
    </w:p>
    <w:p w:rsidR="00E265D9" w:rsidRDefault="00E265D9" w14:paraId="192EE607"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14:paraId="373B6A0B" w14:textId="0729D16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State and </w:t>
      </w:r>
      <w:r w:rsidR="009A5320">
        <w:t>local</w:t>
      </w:r>
      <w:r>
        <w:t xml:space="preserve"> agencies are not considered to be small entities.  According to </w:t>
      </w:r>
      <w:r w:rsidR="00C26C44">
        <w:t xml:space="preserve">the </w:t>
      </w:r>
      <w:r>
        <w:t>EPA</w:t>
      </w:r>
      <w:r w:rsidR="000B023E">
        <w:t>'</w:t>
      </w:r>
      <w:r>
        <w:t>s ICR Handbook, OMB</w:t>
      </w:r>
      <w:r w:rsidR="000B023E">
        <w:t>'</w:t>
      </w:r>
      <w:r>
        <w:t xml:space="preserve">s definition for a small entity includes small governmental jurisdictions with populations of less than 50,000.  According to </w:t>
      </w:r>
      <w:r w:rsidR="00795BD8">
        <w:t>2010</w:t>
      </w:r>
      <w:r>
        <w:t xml:space="preserve"> population data from the U.S. Census Bureau, no </w:t>
      </w:r>
      <w:r w:rsidR="00C26C44">
        <w:t>s</w:t>
      </w:r>
      <w:r>
        <w:t>tate</w:t>
      </w:r>
      <w:r w:rsidR="00FE0CE9">
        <w:t xml:space="preserve"> or</w:t>
      </w:r>
      <w:r>
        <w:t xml:space="preserve"> </w:t>
      </w:r>
      <w:r w:rsidR="00C26C44">
        <w:t>t</w:t>
      </w:r>
      <w:r>
        <w:t xml:space="preserve">erritory has a population below this threshold.  </w:t>
      </w:r>
      <w:r w:rsidR="00FE0CE9">
        <w:t xml:space="preserve">In addition, none of the local air agencies that report under the AERR for their jurisdictions represent an area </w:t>
      </w:r>
      <w:r w:rsidR="00A43FA8">
        <w:t xml:space="preserve">with population </w:t>
      </w:r>
      <w:r w:rsidR="00FE0CE9">
        <w:t xml:space="preserve">of </w:t>
      </w:r>
      <w:r>
        <w:t>less than 50,000.</w:t>
      </w:r>
    </w:p>
    <w:p w:rsidR="002C01E6" w:rsidRDefault="002C01E6" w14:paraId="7D5FF71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P="00E265D9" w:rsidRDefault="002C01E6" w14:paraId="659832E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5(d) Collection Schedule</w:t>
      </w:r>
    </w:p>
    <w:p w:rsidR="002C01E6" w:rsidRDefault="002C01E6" w14:paraId="1AE5D59C"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30262A" w:rsidP="0030262A" w:rsidRDefault="0030262A" w14:paraId="7E4087A7" w14:textId="10E405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States must annually report all required emissions data for Type A point sources of NO</w:t>
      </w:r>
      <w:r w:rsidRPr="00C26C44">
        <w:rPr>
          <w:vertAlign w:val="subscript"/>
        </w:rPr>
        <w:t>x</w:t>
      </w:r>
      <w:r>
        <w:t>, CO, SO</w:t>
      </w:r>
      <w:r w:rsidRPr="00C26C44">
        <w:rPr>
          <w:vertAlign w:val="subscript"/>
        </w:rPr>
        <w:t>2</w:t>
      </w:r>
      <w:r>
        <w:t>, VOC, PM</w:t>
      </w:r>
      <w:r w:rsidRPr="00C26C44">
        <w:rPr>
          <w:vertAlign w:val="subscript"/>
        </w:rPr>
        <w:t>10</w:t>
      </w:r>
      <w:r>
        <w:t>, PM</w:t>
      </w:r>
      <w:r w:rsidRPr="00C26C44">
        <w:rPr>
          <w:vertAlign w:val="subscript"/>
        </w:rPr>
        <w:t>2.5</w:t>
      </w:r>
      <w:r>
        <w:t>, and NH</w:t>
      </w:r>
      <w:r w:rsidRPr="00C26C44">
        <w:rPr>
          <w:vertAlign w:val="subscript"/>
        </w:rPr>
        <w:t>3</w:t>
      </w:r>
      <w:r>
        <w:t xml:space="preserve">.  </w:t>
      </w:r>
      <w:r w:rsidR="009A5320">
        <w:t>All other data as described in Section 4 are collected</w:t>
      </w:r>
      <w:r>
        <w:t xml:space="preserve"> on a 3-year schedule.  </w:t>
      </w:r>
    </w:p>
    <w:p w:rsidR="0030262A" w:rsidP="0030262A" w:rsidRDefault="0030262A" w14:paraId="0CA1048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30262A" w:rsidP="0030262A" w:rsidRDefault="0030262A" w14:paraId="1837C0C8" w14:textId="0D6EC54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also contains a provision that allows </w:t>
      </w:r>
      <w:r w:rsidR="003136FF">
        <w:t>s</w:t>
      </w:r>
      <w:r>
        <w:t xml:space="preserve">tates the option of estimating one-third of their 3-year cycle inventories, including Type B sources, in any given year.  This enables </w:t>
      </w:r>
      <w:r w:rsidR="003136FF">
        <w:t>s</w:t>
      </w:r>
      <w:r>
        <w:t xml:space="preserve">tates to spread out the effort required to prepare a complete 3-year cycle inventory over 3 years.  Some conditions apply if a </w:t>
      </w:r>
      <w:r w:rsidR="003136FF">
        <w:t>s</w:t>
      </w:r>
      <w:r>
        <w:t>tate chooses this reporting option (e.g., emission estimates for each year that comprise a complete 3-year cycle inventory must be compiled identically).</w:t>
      </w:r>
    </w:p>
    <w:p w:rsidR="0030262A" w:rsidP="0030262A" w:rsidRDefault="0030262A" w14:paraId="2DEB774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P="0030262A" w:rsidRDefault="0030262A" w14:paraId="3D4C72C1" w14:textId="796C81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all the above reporting activities, </w:t>
      </w:r>
      <w:r w:rsidR="000E0952">
        <w:t>the EPA requires that s</w:t>
      </w:r>
      <w:r>
        <w:t>tates submit the appropriate emissions data within 12 months of the end of the inventory year (e.g., a statewide pollutant emissions inventory for the year 20</w:t>
      </w:r>
      <w:r w:rsidR="00A43FA8">
        <w:t>21</w:t>
      </w:r>
      <w:r>
        <w:t xml:space="preserve"> is required by December 31 of 20</w:t>
      </w:r>
      <w:r w:rsidR="00A43FA8">
        <w:t>22</w:t>
      </w:r>
      <w:r>
        <w:t>).</w:t>
      </w:r>
      <w:r w:rsidR="002C01E6">
        <w:t xml:space="preserve">  </w:t>
      </w:r>
    </w:p>
    <w:p w:rsidR="002C01E6" w:rsidRDefault="002C01E6" w14:paraId="38DB2F4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14:paraId="4BB1967A"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6.</w:t>
      </w:r>
      <w:r>
        <w:rPr>
          <w:rStyle w:val="1sttierA"/>
        </w:rPr>
        <w:tab/>
        <w:t>ESTIMATING THE BURDEN AND COST OF THE COLLECTION</w:t>
      </w:r>
    </w:p>
    <w:p w:rsidR="00E265D9" w:rsidRDefault="00E265D9" w14:paraId="76E69E6F"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14:paraId="0858F98B"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6(a) Estimating Respondent Burden</w:t>
      </w:r>
    </w:p>
    <w:p w:rsidR="00E265D9" w:rsidRDefault="00E265D9" w14:paraId="586A0EA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7813D4" w:rsidP="00851193" w:rsidRDefault="00851193" w14:paraId="7C1BF47D" w14:textId="7EAF910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respondent burden for complying with the reporting requirements of th</w:t>
      </w:r>
      <w:r w:rsidR="000E0952">
        <w:t>is</w:t>
      </w:r>
      <w:r>
        <w:t xml:space="preserve"> </w:t>
      </w:r>
      <w:r w:rsidR="00E55006">
        <w:t>A</w:t>
      </w:r>
      <w:r>
        <w:t xml:space="preserve">ERR ICR is estimated based on the burden associated with </w:t>
      </w:r>
      <w:r w:rsidR="004F6913">
        <w:t xml:space="preserve">meeting </w:t>
      </w:r>
      <w:r w:rsidR="0065043C">
        <w:t xml:space="preserve">both </w:t>
      </w:r>
      <w:r w:rsidR="004F6913">
        <w:t>the</w:t>
      </w:r>
      <w:r>
        <w:t xml:space="preserve"> annual and </w:t>
      </w:r>
      <w:r w:rsidR="004F6913">
        <w:t xml:space="preserve">the </w:t>
      </w:r>
      <w:r>
        <w:t xml:space="preserve">3-year cycle reporting requirements.  </w:t>
      </w:r>
      <w:r w:rsidR="00CC7B2E">
        <w:t>The</w:t>
      </w:r>
      <w:r w:rsidR="004F6913">
        <w:t xml:space="preserve"> </w:t>
      </w:r>
      <w:r w:rsidR="000E0952">
        <w:t>s</w:t>
      </w:r>
      <w:r w:rsidR="004F6913">
        <w:t>tate</w:t>
      </w:r>
      <w:r w:rsidR="00CC7B2E">
        <w:t xml:space="preserve"> </w:t>
      </w:r>
      <w:r w:rsidR="004F6913">
        <w:t xml:space="preserve">agencies reporting to </w:t>
      </w:r>
      <w:r w:rsidR="000E0952">
        <w:t xml:space="preserve">the </w:t>
      </w:r>
      <w:r w:rsidR="004F6913">
        <w:t>EPA under the AERR maintain their own air quality management systems, including permitting programs and annual emissions fee programs for their point sources.  The efforts they expend to collect and manage emissions inventory data for these purposes</w:t>
      </w:r>
      <w:r w:rsidR="009A5320">
        <w:t>, which are irrespective of the AERR,</w:t>
      </w:r>
      <w:r w:rsidR="004F6913">
        <w:t xml:space="preserve"> are not included as part of the burden estimates for reporting the data to </w:t>
      </w:r>
      <w:r w:rsidR="000E0952">
        <w:t xml:space="preserve">the </w:t>
      </w:r>
      <w:r w:rsidR="004F6913">
        <w:t xml:space="preserve">EPA under the AERR.  </w:t>
      </w:r>
    </w:p>
    <w:p w:rsidR="007813D4" w:rsidP="00851193" w:rsidRDefault="007813D4" w14:paraId="1913664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7813D4" w14:paraId="77C10F9B" w14:textId="305AE09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4F6913">
        <w:t xml:space="preserve">The efforts expended to support their permitting and emissions fee statement programs and other </w:t>
      </w:r>
      <w:r w:rsidR="000E0952">
        <w:t>s</w:t>
      </w:r>
      <w:r w:rsidR="004F6913">
        <w:t>tate uses</w:t>
      </w:r>
      <w:r w:rsidR="00687858">
        <w:t xml:space="preserve">, which are </w:t>
      </w:r>
      <w:r>
        <w:rPr>
          <w:i/>
        </w:rPr>
        <w:t>excluded from</w:t>
      </w:r>
      <w:r w:rsidR="00687858">
        <w:t xml:space="preserve"> </w:t>
      </w:r>
      <w:r>
        <w:t>this</w:t>
      </w:r>
      <w:r w:rsidR="00687858">
        <w:t xml:space="preserve"> </w:t>
      </w:r>
      <w:r>
        <w:t xml:space="preserve">AERR </w:t>
      </w:r>
      <w:r w:rsidR="00687858">
        <w:t xml:space="preserve">burden estimate </w:t>
      </w:r>
      <w:r w:rsidR="004F6913">
        <w:t>include:</w:t>
      </w:r>
    </w:p>
    <w:p w:rsidR="004E0288" w:rsidP="00851193" w:rsidRDefault="004E0288" w14:paraId="44809F9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3A3A" w:rsidP="004E0288" w:rsidRDefault="002C3A3A" w14:paraId="014A8625" w14:textId="52BA7C4A">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the state’s data system to collect data from facilities</w:t>
      </w:r>
      <w:r w:rsidR="008474F2">
        <w:t>;</w:t>
      </w:r>
      <w:r w:rsidR="00243C1C">
        <w:br/>
      </w:r>
    </w:p>
    <w:p w:rsidR="004E0288" w:rsidP="004E0288" w:rsidRDefault="004E0288" w14:paraId="1576A465" w14:textId="4EB4987B">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Collecting emissions data and other associated </w:t>
      </w:r>
      <w:proofErr w:type="gramStart"/>
      <w:r>
        <w:t>information;</w:t>
      </w:r>
      <w:proofErr w:type="gramEnd"/>
    </w:p>
    <w:p w:rsidR="004E0288" w:rsidP="004E0288" w:rsidRDefault="004E0288" w14:paraId="038D6FF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P="004E0288" w:rsidRDefault="004E0288" w14:paraId="640C1B55" w14:textId="14B413D1">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Training staff in coding and submissions </w:t>
      </w:r>
      <w:proofErr w:type="gramStart"/>
      <w:r>
        <w:t>techniques;</w:t>
      </w:r>
      <w:proofErr w:type="gramEnd"/>
    </w:p>
    <w:p w:rsidR="004E0288" w:rsidP="004E0288" w:rsidRDefault="004E0288" w14:paraId="3F81813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P="004E0288" w:rsidRDefault="004E0288" w14:paraId="6647060D" w14:textId="113CD059">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Quality-assuring </w:t>
      </w:r>
      <w:r w:rsidR="006D3B3A">
        <w:t xml:space="preserve">and quality-controlling </w:t>
      </w:r>
      <w:r>
        <w:t>emissions data and resolving errors and anomalies</w:t>
      </w:r>
      <w:r w:rsidR="006D3B3A">
        <w:t xml:space="preserve"> prior to submitting to the EIS electronic quality-assurance</w:t>
      </w:r>
      <w:r>
        <w:t>;</w:t>
      </w:r>
      <w:r w:rsidR="004F6913">
        <w:t xml:space="preserve"> and</w:t>
      </w:r>
    </w:p>
    <w:p w:rsidR="004E0288" w:rsidP="004E0288" w:rsidRDefault="004E0288" w14:paraId="4DC0103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P="004E0288" w:rsidRDefault="004E0288" w14:paraId="5C3AF29C"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records associated wit</w:t>
      </w:r>
      <w:r w:rsidR="004F6913">
        <w:t>h data submitted by sources.</w:t>
      </w:r>
    </w:p>
    <w:p w:rsidR="004F6913" w:rsidP="004F6913" w:rsidRDefault="004F6913" w14:paraId="5C7A2256" w14:textId="77777777">
      <w:pPr>
        <w:pStyle w:val="ListParagraph"/>
      </w:pPr>
    </w:p>
    <w:p w:rsidR="007813D4" w:rsidP="007813D4" w:rsidRDefault="007813D4" w14:paraId="416C47FB" w14:textId="573EFF1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the point source inventory reporting requirements of the AERR, respondent activities generally involve copying emissions and related parameters from an existing state electronic file, resolving any errors or anomalies identified through edits or other qualitative reviews, and providing it to the EPA electronically using </w:t>
      </w:r>
      <w:r w:rsidR="0065043C">
        <w:t>XML</w:t>
      </w:r>
      <w:r>
        <w:t xml:space="preserve"> format.  Thus, the activities for generating criteria pollutant point source inventories are primarily data processing and typically do not involve the development of new data </w:t>
      </w:r>
      <w:r w:rsidR="004E742F">
        <w:t>that</w:t>
      </w:r>
      <w:r>
        <w:t xml:space="preserve"> does not already exist in the state’s files.  However, compiling a triennial statewide nonpoint, </w:t>
      </w:r>
      <w:proofErr w:type="spellStart"/>
      <w:r>
        <w:t>onroad</w:t>
      </w:r>
      <w:proofErr w:type="spellEnd"/>
      <w:r>
        <w:t xml:space="preserve"> mobile, and nonroad mobile source inventory is expected to involve additional effort by a state.  The specific respondent activities associated with the AERR are outlined below and are grouped into annual and triennial activities.</w:t>
      </w:r>
    </w:p>
    <w:p w:rsidR="007813D4" w:rsidP="007813D4" w:rsidRDefault="007813D4" w14:paraId="7212323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ab/>
      </w:r>
      <w:r>
        <w:tab/>
      </w:r>
    </w:p>
    <w:p w:rsidR="007813D4" w:rsidP="007813D4" w:rsidRDefault="007813D4" w14:paraId="3F1D2D24" w14:textId="7A54A31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Annual state activities include submitting emissions data for Type A point sources with potential to emit 2,500 tons per year (</w:t>
      </w:r>
      <w:proofErr w:type="spellStart"/>
      <w:r>
        <w:t>tpy</w:t>
      </w:r>
      <w:proofErr w:type="spellEnd"/>
      <w:r>
        <w:t>) of NO</w:t>
      </w:r>
      <w:r w:rsidRPr="00C26C44">
        <w:rPr>
          <w:vertAlign w:val="subscript"/>
        </w:rPr>
        <w:t>x</w:t>
      </w:r>
      <w:r>
        <w:t>, CO, or SO</w:t>
      </w:r>
      <w:r w:rsidRPr="00C26C44">
        <w:rPr>
          <w:vertAlign w:val="subscript"/>
        </w:rPr>
        <w:t>2</w:t>
      </w:r>
      <w:r>
        <w:t xml:space="preserve">; or 250 </w:t>
      </w:r>
      <w:proofErr w:type="spellStart"/>
      <w:r>
        <w:t>tpy</w:t>
      </w:r>
      <w:proofErr w:type="spellEnd"/>
      <w:r>
        <w:t xml:space="preserve"> of VOC, PM</w:t>
      </w:r>
      <w:r w:rsidRPr="00C26C44">
        <w:rPr>
          <w:vertAlign w:val="subscript"/>
        </w:rPr>
        <w:t>10</w:t>
      </w:r>
      <w:r>
        <w:t>, PM</w:t>
      </w:r>
      <w:r w:rsidRPr="00C26C44">
        <w:rPr>
          <w:vertAlign w:val="subscript"/>
        </w:rPr>
        <w:t>2.5</w:t>
      </w:r>
      <w:r>
        <w:t xml:space="preserve"> or NH</w:t>
      </w:r>
      <w:r w:rsidRPr="00C26C44">
        <w:rPr>
          <w:vertAlign w:val="subscript"/>
        </w:rPr>
        <w:t>3</w:t>
      </w:r>
      <w:r>
        <w:t xml:space="preserve">. </w:t>
      </w:r>
      <w:r w:rsidR="004E742F">
        <w:t xml:space="preserve"> </w:t>
      </w:r>
      <w:r>
        <w:t>The key steps to perform this work are:</w:t>
      </w:r>
    </w:p>
    <w:p w:rsidR="007813D4" w:rsidDel="00BA394F" w:rsidP="007813D4" w:rsidRDefault="007813D4" w14:paraId="5D598AB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3A3A" w:rsidP="00255BE4" w:rsidRDefault="002C3A3A" w14:paraId="6EBC7214" w14:textId="2EAAE2A0">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Updating state data systems to comply with electronic reporting requirement format changes;</w:t>
      </w:r>
      <w:r>
        <w:br/>
      </w:r>
    </w:p>
    <w:p w:rsidR="00255BE4" w:rsidP="00255BE4" w:rsidRDefault="00255BE4" w14:paraId="1145ACFC" w14:textId="65119636">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Extracting the necessary data from the state electronic data </w:t>
      </w:r>
      <w:proofErr w:type="gramStart"/>
      <w:r>
        <w:t>system;</w:t>
      </w:r>
      <w:proofErr w:type="gramEnd"/>
    </w:p>
    <w:p w:rsidR="00255BE4" w:rsidP="00255BE4" w:rsidRDefault="00255BE4" w14:paraId="3909ECA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55BE4" w:rsidP="00255BE4" w:rsidRDefault="00255BE4" w14:paraId="4CC8A9D8" w14:textId="4C2D418E">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Converting any facility inventory data (i.e., attributes of the facility including details about its units, processes, release points and controls) for new facilities into the XML submittal </w:t>
      </w:r>
      <w:proofErr w:type="gramStart"/>
      <w:r>
        <w:t>format;</w:t>
      </w:r>
      <w:proofErr w:type="gramEnd"/>
    </w:p>
    <w:p w:rsidR="00255BE4" w:rsidP="00255BE4" w:rsidRDefault="00255BE4" w14:paraId="4928A1E1" w14:textId="77777777">
      <w:pPr>
        <w:pStyle w:val="ListParagraph"/>
      </w:pPr>
    </w:p>
    <w:p w:rsidR="00255BE4" w:rsidP="00255BE4" w:rsidRDefault="00255BE4" w14:paraId="36D7097C" w14:textId="1355491F">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Converting the point emissions data into the XML submittal </w:t>
      </w:r>
      <w:proofErr w:type="gramStart"/>
      <w:r>
        <w:t>format;</w:t>
      </w:r>
      <w:proofErr w:type="gramEnd"/>
    </w:p>
    <w:p w:rsidR="00255BE4" w:rsidP="00255BE4" w:rsidRDefault="00255BE4" w14:paraId="72939E3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55BE4" w:rsidP="00255BE4" w:rsidRDefault="00255BE4" w14:paraId="242A2284"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Running the automated quality-assurance checks provided in the EPA data system and resolving any critical </w:t>
      </w:r>
      <w:proofErr w:type="gramStart"/>
      <w:r>
        <w:t>errors;</w:t>
      </w:r>
      <w:proofErr w:type="gramEnd"/>
    </w:p>
    <w:p w:rsidR="00255BE4" w:rsidP="00255BE4" w:rsidRDefault="00255BE4" w14:paraId="7F7AD6C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255BE4" w:rsidP="00255BE4" w:rsidRDefault="00255BE4" w14:paraId="268E6C4F"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Submitting the final file to the EPA; and</w:t>
      </w:r>
    </w:p>
    <w:p w:rsidR="00255BE4" w:rsidP="00255BE4" w:rsidRDefault="00255BE4" w14:paraId="40DDC846" w14:textId="77777777">
      <w:pPr>
        <w:pStyle w:val="ListParagraph"/>
      </w:pPr>
    </w:p>
    <w:p w:rsidR="00255BE4" w:rsidP="00255BE4" w:rsidRDefault="00255BE4" w14:paraId="1758FA67" w14:textId="77777777">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Responding to any follow-up inquiries from the EPA.</w:t>
      </w:r>
    </w:p>
    <w:p w:rsidR="007813D4" w:rsidP="007813D4" w:rsidRDefault="007813D4" w14:paraId="25E4463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7813D4" w:rsidP="00F40F41" w:rsidRDefault="007813D4" w14:paraId="41669ACD" w14:textId="2E1BE54B">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FB7146">
        <w:t>For t</w:t>
      </w:r>
      <w:r>
        <w:t xml:space="preserve">riennial </w:t>
      </w:r>
      <w:r w:rsidR="00FB7146">
        <w:t>reporting, s</w:t>
      </w:r>
      <w:r>
        <w:t>tate activities include:</w:t>
      </w:r>
    </w:p>
    <w:p w:rsidR="007813D4" w:rsidP="00F40F41" w:rsidRDefault="007813D4" w14:paraId="184D76C1"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7813D4" w:rsidP="007813D4" w:rsidRDefault="008C7292" w14:paraId="6ED17A24" w14:textId="3DB04D1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Submitting</w:t>
      </w:r>
      <w:r w:rsidR="007813D4">
        <w:t xml:space="preserve"> emissions data for Type B point sources with the potential to emit 100 </w:t>
      </w:r>
      <w:proofErr w:type="spellStart"/>
      <w:r w:rsidR="007813D4">
        <w:t>tpy</w:t>
      </w:r>
      <w:proofErr w:type="spellEnd"/>
      <w:r w:rsidR="007813D4">
        <w:t xml:space="preserve"> of NO</w:t>
      </w:r>
      <w:r w:rsidRPr="00F13330" w:rsidR="007813D4">
        <w:rPr>
          <w:vertAlign w:val="subscript"/>
        </w:rPr>
        <w:t>x</w:t>
      </w:r>
      <w:r w:rsidR="007813D4">
        <w:t>, SO</w:t>
      </w:r>
      <w:r w:rsidRPr="00F13330" w:rsidR="007813D4">
        <w:rPr>
          <w:vertAlign w:val="subscript"/>
        </w:rPr>
        <w:t>2</w:t>
      </w:r>
      <w:r w:rsidR="007813D4">
        <w:t>, VOC, PM</w:t>
      </w:r>
      <w:r w:rsidRPr="00F13330" w:rsidR="007813D4">
        <w:rPr>
          <w:vertAlign w:val="subscript"/>
        </w:rPr>
        <w:t>10</w:t>
      </w:r>
      <w:r w:rsidR="007813D4">
        <w:t>, PM</w:t>
      </w:r>
      <w:r w:rsidRPr="00F13330" w:rsidR="007813D4">
        <w:rPr>
          <w:vertAlign w:val="subscript"/>
        </w:rPr>
        <w:t>2.5</w:t>
      </w:r>
      <w:r w:rsidR="007813D4">
        <w:t>, or NH</w:t>
      </w:r>
      <w:r w:rsidRPr="00F13330" w:rsidR="007813D4">
        <w:rPr>
          <w:vertAlign w:val="subscript"/>
        </w:rPr>
        <w:t>3</w:t>
      </w:r>
      <w:r w:rsidR="007813D4">
        <w:t xml:space="preserve">; or 1,000 </w:t>
      </w:r>
      <w:proofErr w:type="spellStart"/>
      <w:r w:rsidR="007813D4">
        <w:t>tpy</w:t>
      </w:r>
      <w:proofErr w:type="spellEnd"/>
      <w:r w:rsidR="007813D4">
        <w:t xml:space="preserve"> of CO; or with actual emissions of at least 0.5 tons of </w:t>
      </w:r>
      <w:r>
        <w:t>lead</w:t>
      </w:r>
      <w:r w:rsidR="007813D4">
        <w:t xml:space="preserve">, </w:t>
      </w:r>
      <w:r w:rsidR="006D3B3A">
        <w:t>which includes</w:t>
      </w:r>
      <w:r w:rsidR="007813D4">
        <w:t xml:space="preserve"> data for Type A sources (the same steps as listed above for Type A sources apply</w:t>
      </w:r>
      <w:proofErr w:type="gramStart"/>
      <w:r w:rsidR="007813D4">
        <w:t>);</w:t>
      </w:r>
      <w:proofErr w:type="gramEnd"/>
    </w:p>
    <w:p w:rsidR="007813D4" w:rsidP="007813D4" w:rsidRDefault="007813D4" w14:paraId="7547A17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7813D4" w:rsidP="007813D4" w:rsidRDefault="007813D4" w14:paraId="580A9C76" w14:textId="48669A2B">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For states with nonattainment areas, submit</w:t>
      </w:r>
      <w:r w:rsidR="008C7292">
        <w:t>ting</w:t>
      </w:r>
      <w:r>
        <w:t xml:space="preserve"> emissions data for Type B sources with lower emissions thresholds for sources within the nonattainment areas, in accordance with Table 1 of Appendix A to Subpart A of 40 CFR Part </w:t>
      </w:r>
      <w:proofErr w:type="gramStart"/>
      <w:r>
        <w:t>51;</w:t>
      </w:r>
      <w:proofErr w:type="gramEnd"/>
    </w:p>
    <w:p w:rsidR="007813D4" w:rsidP="007813D4" w:rsidRDefault="007813D4" w14:paraId="2A213E4C" w14:textId="77777777">
      <w:pPr>
        <w:pStyle w:val="ListParagraph"/>
      </w:pPr>
    </w:p>
    <w:p w:rsidR="007813D4" w:rsidP="007813D4" w:rsidRDefault="007813D4" w14:paraId="585FC4DF" w14:textId="115FC753">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Develop</w:t>
      </w:r>
      <w:r w:rsidR="008C7292">
        <w:t>ing</w:t>
      </w:r>
      <w:r>
        <w:t xml:space="preserve"> and report</w:t>
      </w:r>
      <w:r w:rsidR="008C7292">
        <w:t>ing</w:t>
      </w:r>
      <w:r>
        <w:t xml:space="preserve"> statewide </w:t>
      </w:r>
      <w:r w:rsidR="008474F2">
        <w:t xml:space="preserve">emission </w:t>
      </w:r>
      <w:r>
        <w:t xml:space="preserve">inventory estimates for stationary nonpoint sources, </w:t>
      </w:r>
      <w:r w:rsidR="002C3A3A">
        <w:t>commercial marine vessels, aircraft, and locomotives</w:t>
      </w:r>
      <w:r>
        <w:t xml:space="preserve">, which </w:t>
      </w:r>
      <w:r w:rsidR="002C3A3A">
        <w:t>involves at the option of the state either reviewing EPA-provided data (described above) or</w:t>
      </w:r>
      <w:r>
        <w:t xml:space="preserve"> </w:t>
      </w:r>
      <w:r w:rsidR="0036606A">
        <w:t xml:space="preserve">collecting activity data, estimating emissions, </w:t>
      </w:r>
      <w:r>
        <w:t xml:space="preserve">formatting data into XML format, running quality assurance checks, and submitting the final data </w:t>
      </w:r>
      <w:r w:rsidR="006D3B3A">
        <w:t>through</w:t>
      </w:r>
      <w:r>
        <w:t xml:space="preserve"> </w:t>
      </w:r>
      <w:proofErr w:type="gramStart"/>
      <w:r>
        <w:t>CDX;</w:t>
      </w:r>
      <w:proofErr w:type="gramEnd"/>
    </w:p>
    <w:p w:rsidR="007813D4" w:rsidP="007813D4" w:rsidRDefault="007813D4" w14:paraId="6D1081FD" w14:textId="77777777">
      <w:pPr>
        <w:pStyle w:val="ListParagraph"/>
      </w:pPr>
    </w:p>
    <w:p w:rsidR="007813D4" w:rsidP="007813D4" w:rsidRDefault="007813D4" w14:paraId="2D57C517" w14:textId="226E6F14">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For all states except California, developing model inputs for </w:t>
      </w:r>
      <w:proofErr w:type="spellStart"/>
      <w:r>
        <w:t>onroad</w:t>
      </w:r>
      <w:proofErr w:type="spellEnd"/>
      <w:r>
        <w:t xml:space="preserve"> mobile and nonroad mobile sources, which involves </w:t>
      </w:r>
      <w:r w:rsidR="002C3A3A">
        <w:t xml:space="preserve">reviewing and revising </w:t>
      </w:r>
      <w:r>
        <w:t xml:space="preserve">draft data from the EPA </w:t>
      </w:r>
      <w:r w:rsidR="006D3B3A">
        <w:t xml:space="preserve">and/or collecting such data from </w:t>
      </w:r>
      <w:r>
        <w:t>other sources</w:t>
      </w:r>
      <w:r w:rsidR="0036606A">
        <w:t xml:space="preserve">, reviewing and editing that data, formatting data into required XML format, running quality assurance checks, and submitting the final data to the EPA </w:t>
      </w:r>
      <w:r w:rsidR="006D3B3A">
        <w:t>through</w:t>
      </w:r>
      <w:r w:rsidR="0036606A">
        <w:t xml:space="preserve"> </w:t>
      </w:r>
      <w:proofErr w:type="gramStart"/>
      <w:r w:rsidR="0036606A">
        <w:t>CDX</w:t>
      </w:r>
      <w:r w:rsidR="006D3B3A">
        <w:t>;</w:t>
      </w:r>
      <w:proofErr w:type="gramEnd"/>
    </w:p>
    <w:p w:rsidR="007813D4" w:rsidP="007813D4" w:rsidRDefault="007813D4" w14:paraId="1B30D8B4" w14:textId="77777777">
      <w:pPr>
        <w:pStyle w:val="ListParagraph"/>
      </w:pPr>
    </w:p>
    <w:p w:rsidR="007813D4" w:rsidP="007813D4" w:rsidRDefault="007813D4" w14:paraId="3BF62099" w14:textId="55AAD49E">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 xml:space="preserve">For California, developing and reporting statewide inventory emission estimates for </w:t>
      </w:r>
      <w:proofErr w:type="spellStart"/>
      <w:r>
        <w:t>onroad</w:t>
      </w:r>
      <w:proofErr w:type="spellEnd"/>
      <w:r>
        <w:t xml:space="preserve"> and nonroad mobile sources for all criteria pollutants, which involves developing model inputs for California’s mobile source model, running the California mobile source model, and the same steps as listed for</w:t>
      </w:r>
      <w:r w:rsidR="006D3B3A">
        <w:t xml:space="preserve"> stationary nonpoint emissions;</w:t>
      </w:r>
      <w:r w:rsidR="002C3A3A">
        <w:t xml:space="preserve"> and</w:t>
      </w:r>
    </w:p>
    <w:p w:rsidR="007813D4" w:rsidP="007813D4" w:rsidRDefault="007813D4" w14:paraId="6C4D51B1" w14:textId="77777777">
      <w:pPr>
        <w:pStyle w:val="ListParagraph"/>
      </w:pPr>
    </w:p>
    <w:p w:rsidR="007813D4" w:rsidP="007813D4" w:rsidRDefault="007813D4" w14:paraId="6D43D169" w14:textId="57431446">
      <w:pPr>
        <w:pStyle w:val="ListParagraph"/>
        <w:widowControl/>
        <w:numPr>
          <w:ilvl w:val="0"/>
          <w:numId w:val="11"/>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Voluntary review and use of fire activity and emissions data.</w:t>
      </w:r>
    </w:p>
    <w:p w:rsidR="007813D4" w:rsidP="007813D4" w:rsidRDefault="007813D4" w14:paraId="5DC5886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7813D4" w:rsidP="007813D4" w:rsidRDefault="007813D4" w14:paraId="7E0DC5FB" w14:textId="4DB03B8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states </w:t>
      </w:r>
      <w:r w:rsidR="00255BE4">
        <w:t>with</w:t>
      </w:r>
      <w:r>
        <w:t xml:space="preserve"> nonattainment areas</w:t>
      </w:r>
      <w:r w:rsidR="00DF06DE">
        <w:t>,</w:t>
      </w:r>
      <w:r>
        <w:t xml:space="preserve"> </w:t>
      </w:r>
      <w:r w:rsidR="00255BE4">
        <w:t xml:space="preserve">the burden imposed by the AERR is </w:t>
      </w:r>
      <w:r w:rsidR="002C3A3A">
        <w:t xml:space="preserve">lower for the nonattainment areas than for other areas of the state, </w:t>
      </w:r>
      <w:r w:rsidR="00255BE4">
        <w:t xml:space="preserve">because states must already prepare </w:t>
      </w:r>
      <w:r w:rsidR="002C3A3A">
        <w:t xml:space="preserve">nonattainment area </w:t>
      </w:r>
      <w:r w:rsidR="00255BE4">
        <w:t xml:space="preserve">inventories for stationary nonpoint and mobile sources. The incremental burden is to prepare data </w:t>
      </w:r>
      <w:r w:rsidR="002C3A3A">
        <w:t xml:space="preserve">(emissions and model inputs) </w:t>
      </w:r>
      <w:r w:rsidR="00255BE4">
        <w:t>for the attainment counties if that is not already needed for a state implementation plan</w:t>
      </w:r>
      <w:r w:rsidRPr="00F40F41" w:rsidR="00255BE4">
        <w:rPr>
          <w:rStyle w:val="FootnoteReference"/>
          <w:vertAlign w:val="superscript"/>
        </w:rPr>
        <w:footnoteReference w:id="4"/>
      </w:r>
      <w:r w:rsidR="00A474B0">
        <w:t xml:space="preserve"> and submit these to EPA</w:t>
      </w:r>
      <w:r w:rsidR="00255BE4">
        <w:t xml:space="preserve">. </w:t>
      </w:r>
      <w:r w:rsidR="00DF06DE">
        <w:t xml:space="preserve"> </w:t>
      </w:r>
      <w:r w:rsidR="000A4C0E">
        <w:t>For ozone nonattainment areas, states are required to provide emissions on a triennial basis for nonattainment counties, and so t</w:t>
      </w:r>
      <w:r>
        <w:t xml:space="preserve">his incremental burden will vary by state depending on the total number of counties as well as the </w:t>
      </w:r>
      <w:proofErr w:type="gramStart"/>
      <w:r>
        <w:t>number</w:t>
      </w:r>
      <w:proofErr w:type="gramEnd"/>
      <w:r>
        <w:t xml:space="preserve"> of nonattainment versus attainment counties within </w:t>
      </w:r>
      <w:r>
        <w:lastRenderedPageBreak/>
        <w:t>each state.</w:t>
      </w:r>
      <w:r w:rsidR="000A4C0E">
        <w:t xml:space="preserve">  Further, the additional burden on states depends on the extent of their use of data compiled by EPA to assist states with meeting these requirements.</w:t>
      </w:r>
    </w:p>
    <w:p w:rsidR="00F55DAA" w:rsidP="00851193" w:rsidRDefault="00F55DAA" w14:paraId="4501C183" w14:textId="3C15180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16176E" w14:paraId="6F699C53" w14:textId="368258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851193">
        <w:t xml:space="preserve">The following sections discuss the assumptions used to develop burden hour estimates for annual and triennial activities.  Table 6-1 lists the burden items included under these </w:t>
      </w:r>
      <w:proofErr w:type="gramStart"/>
      <w:r w:rsidR="00851193">
        <w:t>categories, and</w:t>
      </w:r>
      <w:proofErr w:type="gramEnd"/>
      <w:r w:rsidR="00851193">
        <w:t xml:space="preserve"> presents their associated burden hours for 1 year.  In general, managerial time was estimated to be </w:t>
      </w:r>
      <w:r w:rsidR="006D3B3A">
        <w:t>about 10</w:t>
      </w:r>
      <w:r w:rsidR="00851193">
        <w:t xml:space="preserve"> percent of technical staff time</w:t>
      </w:r>
      <w:r w:rsidR="00E16F09">
        <w:t xml:space="preserve"> for point sources and 5 percent of staff time for other sources</w:t>
      </w:r>
      <w:r w:rsidR="00851193">
        <w:t xml:space="preserve">.  Burden hours and associated costs were estimated for the 3-year period that the affected </w:t>
      </w:r>
      <w:r w:rsidR="000E0952">
        <w:t>s</w:t>
      </w:r>
      <w:r w:rsidR="00851193">
        <w:t xml:space="preserve">tates would have to report emissions data to </w:t>
      </w:r>
      <w:r w:rsidR="000E0952">
        <w:t xml:space="preserve">the </w:t>
      </w:r>
      <w:r w:rsidR="00851193">
        <w:t>EPA.  In this case, that period corresponds to the years 20</w:t>
      </w:r>
      <w:r w:rsidR="00A474B0">
        <w:t>22</w:t>
      </w:r>
      <w:r w:rsidR="00851193">
        <w:t>, 20</w:t>
      </w:r>
      <w:r w:rsidR="00A24269">
        <w:t>2</w:t>
      </w:r>
      <w:r w:rsidR="00A474B0">
        <w:t>3</w:t>
      </w:r>
      <w:r w:rsidR="00851193">
        <w:t>, and 20</w:t>
      </w:r>
      <w:r w:rsidR="00A24269">
        <w:t>2</w:t>
      </w:r>
      <w:r w:rsidR="00A474B0">
        <w:t>4</w:t>
      </w:r>
      <w:r w:rsidR="000E0952">
        <w:t xml:space="preserve"> (</w:t>
      </w:r>
      <w:r w:rsidR="00851193">
        <w:t xml:space="preserve">since </w:t>
      </w:r>
      <w:r w:rsidR="00A474B0">
        <w:t>states will</w:t>
      </w:r>
      <w:r w:rsidR="004E0288">
        <w:t xml:space="preserve"> begin collecting data for the emissions </w:t>
      </w:r>
      <w:r w:rsidR="00851193">
        <w:t>year 20</w:t>
      </w:r>
      <w:r w:rsidR="00A474B0">
        <w:t>21</w:t>
      </w:r>
      <w:r w:rsidR="00851193">
        <w:t xml:space="preserve"> during </w:t>
      </w:r>
      <w:proofErr w:type="gramStart"/>
      <w:r w:rsidR="00851193">
        <w:t>20</w:t>
      </w:r>
      <w:r w:rsidR="00A474B0">
        <w:t>22</w:t>
      </w:r>
      <w:r w:rsidR="00851193">
        <w:t>, and</w:t>
      </w:r>
      <w:proofErr w:type="gramEnd"/>
      <w:r w:rsidR="00851193">
        <w:t xml:space="preserve"> would report the data within 1</w:t>
      </w:r>
      <w:r w:rsidR="004E0288">
        <w:t>2</w:t>
      </w:r>
      <w:r w:rsidR="00851193">
        <w:t xml:space="preserve"> months of the end of 20</w:t>
      </w:r>
      <w:r w:rsidR="00A474B0">
        <w:t>21</w:t>
      </w:r>
      <w:r w:rsidR="008C7292">
        <w:t>;</w:t>
      </w:r>
      <w:r w:rsidR="00851193">
        <w:t xml:space="preserve"> i.e., </w:t>
      </w:r>
      <w:r w:rsidR="004E0288">
        <w:t>December 3</w:t>
      </w:r>
      <w:r w:rsidR="00851193">
        <w:t>1, 20</w:t>
      </w:r>
      <w:r w:rsidR="00A474B0">
        <w:t>22</w:t>
      </w:r>
      <w:r w:rsidR="000E0952">
        <w:t>)</w:t>
      </w:r>
      <w:r w:rsidR="00851193">
        <w:t xml:space="preserve">.  Table 6-2 presents the </w:t>
      </w:r>
      <w:r w:rsidR="000E0952">
        <w:t>s</w:t>
      </w:r>
      <w:r w:rsidR="00851193">
        <w:t>tate and local respondent annual burde</w:t>
      </w:r>
      <w:r w:rsidR="00DD1BB2">
        <w:t>n hours and costs by activity.</w:t>
      </w:r>
    </w:p>
    <w:p w:rsidR="00851193" w:rsidP="00851193" w:rsidRDefault="00851193" w14:paraId="419EFEE8"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F40F41" w:rsidRDefault="00851193" w14:paraId="0BA5F3B5" w14:textId="0EA9C818">
      <w:pPr>
        <w:pStyle w:val="ListParagraph"/>
        <w:widowControl/>
        <w:numPr>
          <w:ilvl w:val="0"/>
          <w:numId w:val="1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5C7C99">
        <w:rPr>
          <w:rStyle w:val="3rdtiera"/>
          <w:b/>
          <w:bCs/>
        </w:rPr>
        <w:t>Annual activities</w:t>
      </w:r>
    </w:p>
    <w:p w:rsidR="00851193" w:rsidP="00851193" w:rsidRDefault="00851193" w14:paraId="7883300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5C7C99" w:rsidP="00851193" w:rsidRDefault="00851193" w14:paraId="5DEDE9A6" w14:textId="12C9126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AD4A43">
        <w:t xml:space="preserve">For </w:t>
      </w:r>
      <w:r>
        <w:t xml:space="preserve">2 of </w:t>
      </w:r>
      <w:r w:rsidR="00AD4A43">
        <w:t xml:space="preserve">the </w:t>
      </w:r>
      <w:r>
        <w:t>3 years</w:t>
      </w:r>
      <w:r w:rsidR="00AD4A43">
        <w:t xml:space="preserve"> in each triennial cycle</w:t>
      </w:r>
      <w:r>
        <w:t xml:space="preserve">, </w:t>
      </w:r>
      <w:r w:rsidR="00CC7B2E">
        <w:t>the</w:t>
      </w:r>
      <w:r w:rsidR="00AD4A43">
        <w:t xml:space="preserve"> agencies </w:t>
      </w:r>
      <w:r>
        <w:t xml:space="preserve">submit </w:t>
      </w:r>
      <w:r w:rsidR="00AD4A43">
        <w:t xml:space="preserve">only </w:t>
      </w:r>
      <w:r>
        <w:t>point source data for Type A sources</w:t>
      </w:r>
      <w:r w:rsidR="00B55F0A">
        <w:t>, as described in Section 4(c)</w:t>
      </w:r>
      <w:r>
        <w:t xml:space="preserve">.  </w:t>
      </w:r>
      <w:r w:rsidR="006D3B3A">
        <w:t>To help estimate the time needed to report emissions for Type A sources, we estim</w:t>
      </w:r>
      <w:r w:rsidR="00863665">
        <w:t xml:space="preserve">ate the number of such sources by considering the emissions reporting </w:t>
      </w:r>
      <w:r w:rsidR="00DF06DE">
        <w:t>thresholds</w:t>
      </w:r>
      <w:r w:rsidR="00863665">
        <w:t>.</w:t>
      </w:r>
      <w:r w:rsidR="00DF06DE">
        <w:t xml:space="preserve"> </w:t>
      </w:r>
      <w:r w:rsidR="00863665">
        <w:t xml:space="preserve"> </w:t>
      </w:r>
      <w:r w:rsidR="005C7C99">
        <w:t>The Type A reporting threshold</w:t>
      </w:r>
      <w:r w:rsidR="00863665">
        <w:t>s are</w:t>
      </w:r>
      <w:r w:rsidR="005C7C99">
        <w:t xml:space="preserve"> potential-to-emit threshold</w:t>
      </w:r>
      <w:r w:rsidR="00863665">
        <w:t xml:space="preserve">s; however, </w:t>
      </w:r>
      <w:r w:rsidR="005C7C99">
        <w:t xml:space="preserve">the EPA does not collect potential-to-emit data. </w:t>
      </w:r>
      <w:r w:rsidR="00863665">
        <w:t xml:space="preserve"> The EPA o</w:t>
      </w:r>
      <w:r w:rsidR="005C7C99">
        <w:t xml:space="preserve">nly </w:t>
      </w:r>
      <w:r w:rsidR="00DF06DE">
        <w:t>collects</w:t>
      </w:r>
      <w:r w:rsidR="00863665">
        <w:t xml:space="preserve"> </w:t>
      </w:r>
      <w:r w:rsidR="005C7C99">
        <w:t xml:space="preserve">actual emissions, and actual emissions are lower than potential-to-emit values. </w:t>
      </w:r>
      <w:r w:rsidR="00DF06DE">
        <w:t xml:space="preserve"> </w:t>
      </w:r>
      <w:r w:rsidR="00842D18">
        <w:t>Since EPA does not collect data on potenti</w:t>
      </w:r>
      <w:r w:rsidR="00DF7F0B">
        <w:t>al-to-emit</w:t>
      </w:r>
      <w:r w:rsidR="00863665">
        <w:t>,</w:t>
      </w:r>
      <w:r w:rsidR="00DF7F0B">
        <w:t xml:space="preserve"> </w:t>
      </w:r>
      <w:r w:rsidR="00842D18">
        <w:t xml:space="preserve">it is difficult to know </w:t>
      </w:r>
      <w:r w:rsidR="00863665">
        <w:t xml:space="preserve">with certainty </w:t>
      </w:r>
      <w:r w:rsidR="00DF7F0B">
        <w:t xml:space="preserve">the number of </w:t>
      </w:r>
      <w:r w:rsidR="00863665">
        <w:t>Type A</w:t>
      </w:r>
      <w:r w:rsidR="00DF06DE">
        <w:t xml:space="preserve"> sources</w:t>
      </w:r>
      <w:r w:rsidR="00DF7F0B">
        <w:t>.  Furthermore, many states voluntarily submit</w:t>
      </w:r>
      <w:r w:rsidR="00863665">
        <w:t xml:space="preserve"> many</w:t>
      </w:r>
      <w:r w:rsidR="00DF7F0B">
        <w:t xml:space="preserve"> more facilities than those required. For these reasons, we must estimate the number of Type A sources. </w:t>
      </w:r>
    </w:p>
    <w:p w:rsidR="005C7C99" w:rsidP="00851193" w:rsidRDefault="005C7C99" w14:paraId="14B11D3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5B66CE" w:rsidP="00851193" w:rsidRDefault="00DF7F0B" w14:paraId="1636DD38" w14:textId="1588B45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CD4069">
        <w:t>Based on an analysis of the 20</w:t>
      </w:r>
      <w:r w:rsidR="00A24269">
        <w:t>14</w:t>
      </w:r>
      <w:r w:rsidR="00CD4069">
        <w:t xml:space="preserve"> NEI, </w:t>
      </w:r>
      <w:r w:rsidR="005C7C99">
        <w:t>1,255</w:t>
      </w:r>
      <w:r w:rsidR="00CD4069">
        <w:t xml:space="preserve"> </w:t>
      </w:r>
      <w:r w:rsidR="00851193">
        <w:t xml:space="preserve">sources (i.e., </w:t>
      </w:r>
      <w:r w:rsidR="00CD4069">
        <w:t>facilities</w:t>
      </w:r>
      <w:r w:rsidR="00851193">
        <w:t xml:space="preserve">) </w:t>
      </w:r>
      <w:r w:rsidR="005C7C99">
        <w:t xml:space="preserve">had </w:t>
      </w:r>
      <w:r w:rsidRPr="00F40F41" w:rsidR="005C7C99">
        <w:rPr>
          <w:i/>
        </w:rPr>
        <w:t>actual</w:t>
      </w:r>
      <w:r w:rsidR="005C7C99">
        <w:t xml:space="preserve"> emissions greater than the Type A potential-to-emit thresholds of </w:t>
      </w:r>
      <w:r w:rsidR="00851193">
        <w:t xml:space="preserve">2,500 </w:t>
      </w:r>
      <w:proofErr w:type="spellStart"/>
      <w:r w:rsidR="00851193">
        <w:t>tpy</w:t>
      </w:r>
      <w:proofErr w:type="spellEnd"/>
      <w:r w:rsidR="00851193">
        <w:t xml:space="preserve"> of NO</w:t>
      </w:r>
      <w:r w:rsidRPr="00722851" w:rsidR="00CD4069">
        <w:rPr>
          <w:vertAlign w:val="subscript"/>
        </w:rPr>
        <w:t>x</w:t>
      </w:r>
      <w:r w:rsidR="00851193">
        <w:t>, CO</w:t>
      </w:r>
      <w:r w:rsidR="00CC7B2E">
        <w:t>, or</w:t>
      </w:r>
      <w:r w:rsidRPr="00CC7B2E" w:rsidR="00CC7B2E">
        <w:t xml:space="preserve"> </w:t>
      </w:r>
      <w:r w:rsidR="00CC7B2E">
        <w:t>SO</w:t>
      </w:r>
      <w:r w:rsidRPr="00722851" w:rsidR="00CC7B2E">
        <w:rPr>
          <w:vertAlign w:val="subscript"/>
        </w:rPr>
        <w:t>2</w:t>
      </w:r>
      <w:r w:rsidR="00CC7B2E">
        <w:t>,</w:t>
      </w:r>
      <w:r w:rsidR="00851193">
        <w:t xml:space="preserve"> or 250 </w:t>
      </w:r>
      <w:proofErr w:type="spellStart"/>
      <w:r w:rsidR="00851193">
        <w:t>tpy</w:t>
      </w:r>
      <w:proofErr w:type="spellEnd"/>
      <w:r w:rsidR="00851193">
        <w:t xml:space="preserve"> of VOC</w:t>
      </w:r>
      <w:r w:rsidR="00CD4069">
        <w:t>, PM</w:t>
      </w:r>
      <w:r w:rsidRPr="00722851" w:rsidR="00CD4069">
        <w:rPr>
          <w:vertAlign w:val="subscript"/>
        </w:rPr>
        <w:t>10</w:t>
      </w:r>
      <w:r w:rsidR="00CD4069">
        <w:t>,</w:t>
      </w:r>
      <w:r w:rsidR="00851193">
        <w:t xml:space="preserve"> </w:t>
      </w:r>
      <w:r w:rsidR="00CD4069">
        <w:t>PM</w:t>
      </w:r>
      <w:r w:rsidRPr="00722851" w:rsidR="00CD4069">
        <w:rPr>
          <w:vertAlign w:val="subscript"/>
        </w:rPr>
        <w:t>2.5</w:t>
      </w:r>
      <w:r w:rsidR="00CD4069">
        <w:t xml:space="preserve">, </w:t>
      </w:r>
      <w:r w:rsidR="00851193">
        <w:t xml:space="preserve">or </w:t>
      </w:r>
      <w:r w:rsidR="00CD4069">
        <w:t>NH</w:t>
      </w:r>
      <w:r w:rsidRPr="00722851" w:rsidR="00CD4069">
        <w:rPr>
          <w:vertAlign w:val="subscript"/>
        </w:rPr>
        <w:t>3</w:t>
      </w:r>
      <w:r w:rsidRPr="00C21FDC" w:rsidR="00851193">
        <w:t>.</w:t>
      </w:r>
      <w:r w:rsidR="00851193">
        <w:t xml:space="preserve">  </w:t>
      </w:r>
      <w:r w:rsidR="00C82AFC">
        <w:t xml:space="preserve">Using 2014 NEI is conservative because the number of these large sources has further decreased since 2014. </w:t>
      </w:r>
      <w:r w:rsidR="005B66CE">
        <w:t xml:space="preserve">To </w:t>
      </w:r>
      <w:r w:rsidR="00E751F4">
        <w:t>adjust for the undercounting due to actual emissions</w:t>
      </w:r>
      <w:r w:rsidR="005B66CE">
        <w:t xml:space="preserve">, we assume that there are </w:t>
      </w:r>
      <w:r w:rsidR="007758F8">
        <w:t>double the number</w:t>
      </w:r>
      <w:r w:rsidR="005B66CE">
        <w:t xml:space="preserve"> Type A sources than have actual emissions that exceed the Type A thresholds. </w:t>
      </w:r>
      <w:r w:rsidR="00DF06DE">
        <w:t xml:space="preserve"> </w:t>
      </w:r>
      <w:r w:rsidR="005B66CE">
        <w:t xml:space="preserve">As a result, we assume </w:t>
      </w:r>
      <w:r w:rsidR="007758F8">
        <w:t>2,510</w:t>
      </w:r>
      <w:r w:rsidR="005B66CE">
        <w:t xml:space="preserve"> Type A sources are repo</w:t>
      </w:r>
      <w:r w:rsidR="00E751F4">
        <w:t>rted for the purposes of this analysis</w:t>
      </w:r>
      <w:r w:rsidR="003D0D35">
        <w:t xml:space="preserve"> across 5</w:t>
      </w:r>
      <w:r w:rsidR="003239F1">
        <w:t>4</w:t>
      </w:r>
      <w:r w:rsidR="003D0D35">
        <w:t xml:space="preserve"> state/territorial and </w:t>
      </w:r>
      <w:r w:rsidR="003239F1">
        <w:t>23</w:t>
      </w:r>
      <w:r w:rsidR="003D0D35">
        <w:t xml:space="preserve"> local </w:t>
      </w:r>
      <w:r w:rsidR="003239F1">
        <w:t xml:space="preserve">and tribal </w:t>
      </w:r>
      <w:r w:rsidR="003D0D35">
        <w:t>air agencies</w:t>
      </w:r>
      <w:r w:rsidR="005B66CE">
        <w:t>.</w:t>
      </w:r>
      <w:r w:rsidRPr="00DF7F0B">
        <w:t xml:space="preserve"> </w:t>
      </w:r>
      <w:r w:rsidR="00DF06DE">
        <w:t xml:space="preserve"> </w:t>
      </w:r>
      <w:r>
        <w:t xml:space="preserve">This equates to an average of </w:t>
      </w:r>
      <w:r w:rsidR="007758F8">
        <w:t>3</w:t>
      </w:r>
      <w:r w:rsidR="00C6549C">
        <w:t>3</w:t>
      </w:r>
      <w:r>
        <w:t xml:space="preserve"> </w:t>
      </w:r>
      <w:r w:rsidR="003D0D35">
        <w:t>Type </w:t>
      </w:r>
      <w:r>
        <w:t>A sources to be repo</w:t>
      </w:r>
      <w:r w:rsidR="00863665">
        <w:t xml:space="preserve">rted on average per agency for </w:t>
      </w:r>
      <w:r w:rsidR="00DF06DE">
        <w:t>2</w:t>
      </w:r>
      <w:r>
        <w:t xml:space="preserve"> of the </w:t>
      </w:r>
      <w:r w:rsidR="00DF06DE">
        <w:t>3</w:t>
      </w:r>
      <w:r>
        <w:t xml:space="preserve"> years.</w:t>
      </w:r>
      <w:r w:rsidR="00DF06DE">
        <w:t xml:space="preserve"> </w:t>
      </w:r>
      <w:r>
        <w:t xml:space="preserve"> The number of Type A sources can be much larger for heavily</w:t>
      </w:r>
      <w:r w:rsidR="00356584">
        <w:t xml:space="preserve"> </w:t>
      </w:r>
      <w:r>
        <w:t xml:space="preserve">industrialized states and smaller (all the way down to zero Type A sources) for some smaller states and local agencies.  </w:t>
      </w:r>
    </w:p>
    <w:p w:rsidR="005B66CE" w:rsidP="00851193" w:rsidRDefault="005B66CE" w14:paraId="4792CE61" w14:textId="0B295D1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124A89" w:rsidP="00851193" w:rsidRDefault="00B55F0A" w14:paraId="063A1D71" w14:textId="601C06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6-1 summarizes the hours per state respondent</w:t>
      </w:r>
      <w:r w:rsidR="000A4C0E">
        <w:t xml:space="preserve"> for the annual reporting years</w:t>
      </w:r>
      <w:r>
        <w:t xml:space="preserve">, and </w:t>
      </w:r>
      <w:r w:rsidR="000A4C0E">
        <w:t xml:space="preserve">we have </w:t>
      </w:r>
      <w:r>
        <w:t xml:space="preserve">estimated </w:t>
      </w:r>
      <w:r w:rsidR="000A4C0E">
        <w:t xml:space="preserve">these hours </w:t>
      </w:r>
      <w:r>
        <w:t xml:space="preserve">based on </w:t>
      </w:r>
      <w:r w:rsidR="009D2181">
        <w:t xml:space="preserve">the average number of sources per respondent.  </w:t>
      </w:r>
      <w:r w:rsidR="00A474B0">
        <w:t xml:space="preserve">This ICR uses the same approach as was developed for the prior ICR, which had been improved from prior cycles.  </w:t>
      </w:r>
    </w:p>
    <w:p w:rsidR="00124A89" w:rsidP="00851193" w:rsidRDefault="00124A89" w14:paraId="12C3FB6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6D12BA" w:rsidP="00851193" w:rsidRDefault="00863665" w14:paraId="5BD69578" w14:textId="55F9677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9D2181">
        <w:t xml:space="preserve">Use of these averages should provide an overly conservative (larger) estimate of total burden hours because </w:t>
      </w:r>
      <w:r w:rsidR="006D12BA">
        <w:t xml:space="preserve">the burden values for the smaller agencies are being overestimated since they will </w:t>
      </w:r>
      <w:r w:rsidR="006D12BA">
        <w:lastRenderedPageBreak/>
        <w:t xml:space="preserve">have fewer sources than average, and the average burden values do not include the economies of scale experienced by the larger agencies. </w:t>
      </w:r>
      <w:r w:rsidR="00DF06DE">
        <w:t xml:space="preserve"> </w:t>
      </w:r>
      <w:r w:rsidR="00124A89">
        <w:t xml:space="preserve">The idea of economies of scale is further supported by the actual number of facilities </w:t>
      </w:r>
      <w:r>
        <w:t xml:space="preserve">reported in these years. </w:t>
      </w:r>
      <w:r w:rsidR="00DF06DE">
        <w:t xml:space="preserve"> </w:t>
      </w:r>
      <w:r>
        <w:t xml:space="preserve">States report about </w:t>
      </w:r>
      <w:r w:rsidR="00124A89">
        <w:t>28</w:t>
      </w:r>
      <w:r>
        <w:t>,000</w:t>
      </w:r>
      <w:r w:rsidR="00124A89">
        <w:t xml:space="preserve"> facilities in the annual</w:t>
      </w:r>
      <w:r>
        <w:t xml:space="preserve"> reporting years, which </w:t>
      </w:r>
      <w:r w:rsidR="00DF06DE">
        <w:t xml:space="preserve">is </w:t>
      </w:r>
      <w:r>
        <w:t>about ten times more than the estimated 2,510 facilities required to be reported</w:t>
      </w:r>
      <w:r w:rsidR="00124A89">
        <w:t>.</w:t>
      </w:r>
    </w:p>
    <w:p w:rsidR="00851193" w:rsidP="00851193" w:rsidRDefault="00851193" w14:paraId="5231127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3F9DE1A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P="00F40F41" w:rsidRDefault="00851193" w14:paraId="26E5B023" w14:textId="1DD4769B">
      <w:pPr>
        <w:pStyle w:val="ListParagraph"/>
        <w:widowControl/>
        <w:numPr>
          <w:ilvl w:val="0"/>
          <w:numId w:val="1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36606A">
        <w:rPr>
          <w:rStyle w:val="3rdtiera"/>
          <w:b/>
          <w:bCs/>
        </w:rPr>
        <w:t xml:space="preserve">Triennial activities </w:t>
      </w:r>
    </w:p>
    <w:p w:rsidR="00851193" w:rsidP="00851193" w:rsidRDefault="00851193" w14:paraId="54A2EF9A"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B55F0A" w:rsidP="00B55F0A" w:rsidRDefault="00851193" w14:paraId="1EE1F5B7" w14:textId="69CA61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B55F0A">
        <w:t xml:space="preserve">For the triennial inventory submission, the state agencies submit the more numerous Type B sources as described in Section 4(c).  Like Type A sources, the Type B reporting thresholds are </w:t>
      </w:r>
      <w:r w:rsidR="00697ADB">
        <w:t xml:space="preserve">based on </w:t>
      </w:r>
      <w:r w:rsidR="00B55F0A">
        <w:t>potential-to-emit</w:t>
      </w:r>
      <w:r w:rsidR="00697ADB">
        <w:t xml:space="preserve"> values</w:t>
      </w:r>
      <w:r w:rsidR="00B55F0A">
        <w:t xml:space="preserve">, but the EPA does not collect potential-to-emit data.  Fortunately, the Type B threshold definition is </w:t>
      </w:r>
      <w:r w:rsidR="00697ADB">
        <w:t xml:space="preserve">nearly </w:t>
      </w:r>
      <w:r w:rsidR="00B55F0A">
        <w:t xml:space="preserve">the same as the Major source definition for </w:t>
      </w:r>
      <w:r w:rsidR="00697ADB">
        <w:t>Title V facilities, and a list of such sources is available from the EPA Enforcement and Compliance History Online (ECHO) web application.  ECHO is fed by reporting of compliance da</w:t>
      </w:r>
      <w:r w:rsidR="00863665">
        <w:t xml:space="preserve">ta from the state agencies. </w:t>
      </w:r>
      <w:r w:rsidR="004717FA">
        <w:t xml:space="preserve"> </w:t>
      </w:r>
      <w:r w:rsidR="00863665">
        <w:t>These</w:t>
      </w:r>
      <w:r w:rsidR="00697ADB">
        <w:t xml:space="preserve"> data </w:t>
      </w:r>
      <w:r w:rsidR="00863665">
        <w:t>are</w:t>
      </w:r>
      <w:r w:rsidR="00697ADB">
        <w:t xml:space="preserve"> sent </w:t>
      </w:r>
      <w:r w:rsidR="00863665">
        <w:t>from states to the EPA many times per year, which helps ensure that we are using updated information</w:t>
      </w:r>
      <w:r w:rsidR="00697ADB">
        <w:t xml:space="preserve">. </w:t>
      </w:r>
    </w:p>
    <w:p w:rsidR="00697ADB" w:rsidP="00B55F0A" w:rsidRDefault="00697ADB" w14:paraId="752F6DD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697ADB" w:rsidP="00B55F0A" w:rsidRDefault="00863665" w14:paraId="512EED02" w14:textId="49917B9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345564">
        <w:t>For the previous version of this ICR using t</w:t>
      </w:r>
      <w:r w:rsidR="00697ADB">
        <w:t xml:space="preserve">he ECHO database, the EPA determined that there are 13,408 Major Title V facilities nationwide. </w:t>
      </w:r>
      <w:r w:rsidR="005203B5">
        <w:t xml:space="preserve"> </w:t>
      </w:r>
      <w:r w:rsidR="00F032D6">
        <w:t>T</w:t>
      </w:r>
      <w:r w:rsidR="00697ADB">
        <w:t>o adjust this facility</w:t>
      </w:r>
      <w:r>
        <w:t>-</w:t>
      </w:r>
      <w:r w:rsidR="00697ADB">
        <w:t xml:space="preserve">count for the Type B definition, we also needed to consider the Type B threshold for lead, which is 0.5 tons of actual emissions per year (and more stringent than the Major Title V definition). </w:t>
      </w:r>
      <w:r w:rsidR="005203B5">
        <w:t xml:space="preserve"> </w:t>
      </w:r>
      <w:r w:rsidR="00697ADB">
        <w:t xml:space="preserve">Since the lead threshold is based on actual emissions, we used the 2014 NEI to determine that just 12 additional facilities </w:t>
      </w:r>
      <w:r>
        <w:t>have 0.5 tons of lead emissions or more and</w:t>
      </w:r>
      <w:r w:rsidR="00697ADB">
        <w:t xml:space="preserve"> are not otherwise identified as Major Title V sources. </w:t>
      </w:r>
      <w:r w:rsidR="005203B5">
        <w:t xml:space="preserve"> </w:t>
      </w:r>
      <w:r w:rsidR="00697ADB">
        <w:t xml:space="preserve">The </w:t>
      </w:r>
      <w:r w:rsidR="00525E0B">
        <w:t xml:space="preserve">resulting </w:t>
      </w:r>
      <w:r w:rsidR="00251188">
        <w:t xml:space="preserve">Type B source </w:t>
      </w:r>
      <w:r w:rsidR="00525E0B">
        <w:t xml:space="preserve">facility total </w:t>
      </w:r>
      <w:r w:rsidR="00251188">
        <w:t>used</w:t>
      </w:r>
      <w:r w:rsidR="00525E0B">
        <w:t xml:space="preserve"> for this work is </w:t>
      </w:r>
      <w:r w:rsidR="00251188">
        <w:t>13,420.</w:t>
      </w:r>
      <w:r w:rsidR="00421792">
        <w:t xml:space="preserve">  Because the number of Title V facilities as decreased since the previous ICR, these numbers provide a conservative estimate of the number of facilities.  </w:t>
      </w:r>
    </w:p>
    <w:p w:rsidR="00697ADB" w:rsidP="00B55F0A" w:rsidRDefault="00697ADB" w14:paraId="033694B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51188" w:rsidP="00B55F0A" w:rsidRDefault="00863665" w14:paraId="31FAB8D5" w14:textId="5AFF8F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Since there are </w:t>
      </w:r>
      <w:r w:rsidR="00A86832">
        <w:t>8</w:t>
      </w:r>
      <w:r w:rsidR="006A38E2">
        <w:t>5</w:t>
      </w:r>
      <w:r w:rsidR="00251188">
        <w:t xml:space="preserve"> reporting agencies</w:t>
      </w:r>
      <w:r w:rsidR="00A86832">
        <w:t xml:space="preserve"> in triennial years</w:t>
      </w:r>
      <w:r w:rsidR="00251188">
        <w:t xml:space="preserve">, we estimate </w:t>
      </w:r>
      <w:r w:rsidR="00B55F0A">
        <w:t xml:space="preserve">an average of </w:t>
      </w:r>
      <w:r w:rsidR="00251188">
        <w:t>1</w:t>
      </w:r>
      <w:r w:rsidR="006A38E2">
        <w:t>58</w:t>
      </w:r>
      <w:r w:rsidR="00A86832">
        <w:t xml:space="preserve"> f</w:t>
      </w:r>
      <w:r w:rsidR="00B55F0A">
        <w:t>acilities to be reported per agency for the triennial inventories.  The number of sources can be much larger for the large, heavily</w:t>
      </w:r>
      <w:r w:rsidR="00602A38">
        <w:t xml:space="preserve"> </w:t>
      </w:r>
      <w:r w:rsidR="00B55F0A">
        <w:t>industrialized states, and smaller for some states and local agencies.  Because much of the effort needed to report the point source emissions data from the state and local data systems to the EPA involves automated data manipulations, there are economies of scale fo</w:t>
      </w:r>
      <w:r w:rsidR="00251188">
        <w:t>r the states with many sources.</w:t>
      </w:r>
      <w:r w:rsidR="00DA1C79">
        <w:t xml:space="preserve"> </w:t>
      </w:r>
      <w:r w:rsidR="005203B5">
        <w:t xml:space="preserve"> </w:t>
      </w:r>
      <w:r w:rsidR="00DA1C79">
        <w:t xml:space="preserve">The idea of economies of scale is further supported by the </w:t>
      </w:r>
      <w:r w:rsidR="00590736">
        <w:t xml:space="preserve">actual </w:t>
      </w:r>
      <w:r w:rsidR="00DA1C79">
        <w:t xml:space="preserve">number of facilities </w:t>
      </w:r>
      <w:r w:rsidR="00E16F09">
        <w:t>reported.  S</w:t>
      </w:r>
      <w:r w:rsidR="00DA1C79">
        <w:t xml:space="preserve">tates </w:t>
      </w:r>
      <w:r w:rsidR="00590736">
        <w:t>report</w:t>
      </w:r>
      <w:r w:rsidR="00E40262">
        <w:t xml:space="preserve"> </w:t>
      </w:r>
      <w:r w:rsidR="00124A89">
        <w:t>about</w:t>
      </w:r>
      <w:r w:rsidR="00E40262">
        <w:t xml:space="preserve"> 60 thousand</w:t>
      </w:r>
      <w:r w:rsidR="00DD0242">
        <w:t xml:space="preserve"> facilities in the triennial reporting years</w:t>
      </w:r>
      <w:r w:rsidR="00590736">
        <w:t>, which is far greater than the 13,420</w:t>
      </w:r>
      <w:r w:rsidR="00E16F09">
        <w:t xml:space="preserve"> facilities</w:t>
      </w:r>
      <w:r w:rsidR="00590736">
        <w:t xml:space="preserve"> that we estimate are required.</w:t>
      </w:r>
    </w:p>
    <w:p w:rsidR="00251188" w:rsidP="00B55F0A" w:rsidRDefault="00251188" w14:paraId="3329244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E351FB" w:rsidP="00B55F0A" w:rsidRDefault="00E16F09" w14:paraId="293D07DD" w14:textId="50BEE7F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E351FB">
        <w:t>Table 6-1 summarizes the average hour burden estimates for this triennial point source reporting.  It is conservatively estimated that the additional hours needed for tasks 4 and 6, resolving critical QA errors and responding to EPA follow-up questions</w:t>
      </w:r>
      <w:r w:rsidR="00124A89">
        <w:t xml:space="preserve">, will increase by a factor of </w:t>
      </w:r>
      <w:r w:rsidR="007D7203">
        <w:t>5</w:t>
      </w:r>
      <w:r w:rsidR="00E351FB">
        <w:t xml:space="preserve"> compared to the annual Type A reporting.  </w:t>
      </w:r>
      <w:r w:rsidR="007758F8">
        <w:t>This factor is derived by dividing the average Type B facility count per agency (1</w:t>
      </w:r>
      <w:r w:rsidR="006A38E2">
        <w:t>58</w:t>
      </w:r>
      <w:r w:rsidR="007758F8">
        <w:t>) by the average Type A facility count per agency (3</w:t>
      </w:r>
      <w:r w:rsidR="001E5402">
        <w:t>3</w:t>
      </w:r>
      <w:r w:rsidR="007758F8">
        <w:t xml:space="preserve">). </w:t>
      </w:r>
      <w:r w:rsidR="002D7CAD">
        <w:t>The tasks of (a)</w:t>
      </w:r>
      <w:r w:rsidR="00E351FB">
        <w:t xml:space="preserve"> converting the Facility Inventory and </w:t>
      </w:r>
      <w:r w:rsidR="002D7CAD">
        <w:t xml:space="preserve">(b) converting the </w:t>
      </w:r>
      <w:r w:rsidR="00E351FB">
        <w:t xml:space="preserve">point emissions data into the XML format </w:t>
      </w:r>
      <w:r>
        <w:t>are</w:t>
      </w:r>
      <w:r w:rsidR="00E351FB">
        <w:t xml:space="preserve"> conservatively estimated to require just twice the effort needed for the </w:t>
      </w:r>
      <w:r w:rsidR="00E351FB">
        <w:lastRenderedPageBreak/>
        <w:t xml:space="preserve">annual Type A sources, because the task is largely the same regardless of the number of sources.  </w:t>
      </w:r>
      <w:r w:rsidR="002D7CAD">
        <w:t>The tasks of (a)</w:t>
      </w:r>
      <w:r w:rsidR="00E351FB">
        <w:t xml:space="preserve"> extracting data from a state data system and </w:t>
      </w:r>
      <w:r w:rsidR="002D7CAD">
        <w:t xml:space="preserve">(b) </w:t>
      </w:r>
      <w:r w:rsidR="00E351FB">
        <w:t>submitting a final file to the EPA are estimated to require the same amount of effort as for a Type A annual reporting year.</w:t>
      </w:r>
    </w:p>
    <w:p w:rsidR="00544280" w:rsidP="00B55F0A" w:rsidRDefault="00544280" w14:paraId="4F42B27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46D102DA" w14:textId="1EC7335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ED2389">
        <w:t>In addition to the</w:t>
      </w:r>
      <w:r w:rsidR="00E351FB">
        <w:t xml:space="preserve"> Type B</w:t>
      </w:r>
      <w:r w:rsidR="00ED2389">
        <w:t xml:space="preserve"> point source reporting, a</w:t>
      </w:r>
      <w:r>
        <w:t xml:space="preserve"> burden is expected for </w:t>
      </w:r>
      <w:r w:rsidR="00722851">
        <w:t>s</w:t>
      </w:r>
      <w:r>
        <w:t>tates</w:t>
      </w:r>
      <w:r w:rsidR="00D10084">
        <w:t xml:space="preserve"> </w:t>
      </w:r>
      <w:r>
        <w:t xml:space="preserve">to develop </w:t>
      </w:r>
      <w:r w:rsidR="0055752B">
        <w:t xml:space="preserve">the </w:t>
      </w:r>
      <w:r>
        <w:t>statewide stationary nonpoint</w:t>
      </w:r>
      <w:r w:rsidR="00E351FB">
        <w:t xml:space="preserve"> emissions, </w:t>
      </w:r>
      <w:proofErr w:type="spellStart"/>
      <w:r w:rsidR="00E351FB">
        <w:t>onroad</w:t>
      </w:r>
      <w:proofErr w:type="spellEnd"/>
      <w:r w:rsidR="00E351FB">
        <w:t xml:space="preserve"> and nonroad source emissions (California), and </w:t>
      </w:r>
      <w:proofErr w:type="spellStart"/>
      <w:r w:rsidR="00E351FB">
        <w:t>onroad</w:t>
      </w:r>
      <w:proofErr w:type="spellEnd"/>
      <w:r w:rsidR="00E351FB">
        <w:t xml:space="preserve"> and nonroad model inputs</w:t>
      </w:r>
      <w:r>
        <w:t xml:space="preserve"> every 3 years.  The burden for </w:t>
      </w:r>
      <w:r w:rsidR="00722851">
        <w:t>a s</w:t>
      </w:r>
      <w:r w:rsidR="007B7FAE">
        <w:t>tate</w:t>
      </w:r>
      <w:r>
        <w:t xml:space="preserve"> agenc</w:t>
      </w:r>
      <w:r w:rsidR="007B7FAE">
        <w:t>y</w:t>
      </w:r>
      <w:r>
        <w:t xml:space="preserve"> to develop and </w:t>
      </w:r>
      <w:r w:rsidR="007B7FAE">
        <w:t>report</w:t>
      </w:r>
      <w:r>
        <w:t xml:space="preserve"> statewide inventories was estimated to </w:t>
      </w:r>
      <w:r w:rsidR="00E351FB">
        <w:t>be 1</w:t>
      </w:r>
      <w:r w:rsidR="00E16F09">
        <w:t>,</w:t>
      </w:r>
      <w:r w:rsidR="00E351FB">
        <w:t>740 hours for the primary staff p</w:t>
      </w:r>
      <w:r w:rsidR="00E16F09">
        <w:t xml:space="preserve">erson and 87 managerial hours </w:t>
      </w:r>
      <w:r w:rsidR="007B7FAE">
        <w:t>every third year</w:t>
      </w:r>
      <w:r w:rsidR="00431B1F">
        <w:t xml:space="preserve"> in the previous ICR (</w:t>
      </w:r>
      <w:r w:rsidR="003962BE">
        <w:t xml:space="preserve">number </w:t>
      </w:r>
      <w:r w:rsidR="00431B1F">
        <w:t>2170.0</w:t>
      </w:r>
      <w:r w:rsidR="000D586F">
        <w:t>7</w:t>
      </w:r>
      <w:r w:rsidR="006A38E2">
        <w:t>)</w:t>
      </w:r>
      <w:r>
        <w:t xml:space="preserve">.  </w:t>
      </w:r>
      <w:r w:rsidR="00E351FB">
        <w:t xml:space="preserve">Since there is no change in the AERR since that ICR was done, there is no change in the </w:t>
      </w:r>
      <w:r w:rsidR="00D10084">
        <w:t xml:space="preserve">state agency </w:t>
      </w:r>
      <w:r w:rsidR="00E351FB">
        <w:t>hours estimates for this ICR.</w:t>
      </w:r>
      <w:r w:rsidR="002D7CAD">
        <w:t xml:space="preserve">  The EPA’s efforts to reduce burden (described above) have become more extensive since the last ICR was published, which makes these hours estimates even more conservative.</w:t>
      </w:r>
    </w:p>
    <w:p w:rsidR="00851193" w:rsidP="00851193" w:rsidRDefault="00851193" w14:paraId="5B6746C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2412209F" w14:textId="32BD73C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local agencies responsible for developing and reporting nonpoint and mobile source </w:t>
      </w:r>
      <w:r w:rsidR="0036606A">
        <w:t xml:space="preserve">model inputs </w:t>
      </w:r>
      <w:r>
        <w:t xml:space="preserve">for each county within their jurisdiction, the triennial burden </w:t>
      </w:r>
      <w:r w:rsidR="002D7CAD">
        <w:t xml:space="preserve">is </w:t>
      </w:r>
      <w:r>
        <w:t xml:space="preserve">estimated to be one-half of that </w:t>
      </w:r>
      <w:r w:rsidR="00722851">
        <w:t>estimated for a s</w:t>
      </w:r>
      <w:r>
        <w:t>tate agenc</w:t>
      </w:r>
      <w:r w:rsidR="007B7FAE">
        <w:t>y</w:t>
      </w:r>
      <w:r>
        <w:t xml:space="preserve"> (i.e., ½ of </w:t>
      </w:r>
      <w:r w:rsidR="000371AC">
        <w:t>1,740</w:t>
      </w:r>
      <w:r>
        <w:t xml:space="preserve"> = </w:t>
      </w:r>
      <w:r w:rsidR="000371AC">
        <w:t>870</w:t>
      </w:r>
      <w:r>
        <w:t xml:space="preserve"> technical hours plus </w:t>
      </w:r>
      <w:r w:rsidR="000371AC">
        <w:t>44</w:t>
      </w:r>
      <w:r>
        <w:t xml:space="preserve"> managerial hours).  Additional hours were also estimated for all local agencies (i.e., </w:t>
      </w:r>
      <w:r w:rsidR="006A38E2">
        <w:t>31</w:t>
      </w:r>
      <w:r>
        <w:t xml:space="preserve"> agencies) to coordinate and provide some de minimis emissions inventory data or supporting information to their corresponding </w:t>
      </w:r>
      <w:r w:rsidR="00722851">
        <w:t>s</w:t>
      </w:r>
      <w:r>
        <w:t>tate agency.  The time estimated for each local agency to perform these activities every 3 years was estimated to be 80 technical hours and 4 managerial hours.</w:t>
      </w:r>
      <w:r w:rsidRPr="00D10084" w:rsidR="00D10084">
        <w:t xml:space="preserve"> </w:t>
      </w:r>
      <w:r w:rsidR="007E23F0">
        <w:t xml:space="preserve"> </w:t>
      </w:r>
      <w:r w:rsidR="00D10084">
        <w:t>Since there is no change in the AERR since that ICR was done, there is no change in the local agency hours estimates for this ICR.</w:t>
      </w:r>
    </w:p>
    <w:p w:rsidR="00851193" w:rsidP="00851193" w:rsidRDefault="00851193" w14:paraId="667A4AAD" w14:textId="6BC47E9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7C8FC3A8" w14:textId="6C3A247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6(b) Estimating Respondent Costs </w:t>
      </w:r>
    </w:p>
    <w:p w:rsidR="00851193" w:rsidP="00851193" w:rsidRDefault="00851193" w14:paraId="32520B0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P="00851193" w:rsidRDefault="00851193" w14:paraId="107ED7DA" w14:textId="1B27033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6-</w:t>
      </w:r>
      <w:r w:rsidR="005C7FB4">
        <w:t>2</w:t>
      </w:r>
      <w:r w:rsidR="00722851">
        <w:t xml:space="preserve"> presents s</w:t>
      </w:r>
      <w:r>
        <w:t xml:space="preserve">tate and local respondent annualized hours and costs for each information collection activity.  To estimate annualized hours and costs for triennial activities, </w:t>
      </w:r>
      <w:r w:rsidR="00BF1ED8">
        <w:t xml:space="preserve">we divide </w:t>
      </w:r>
      <w:r>
        <w:t xml:space="preserve">the burden estimate by </w:t>
      </w:r>
      <w:r w:rsidR="00BF1ED8">
        <w:t>three</w:t>
      </w:r>
      <w:r>
        <w:t xml:space="preserve"> to estimate the </w:t>
      </w:r>
      <w:r w:rsidR="004E187A">
        <w:t>annual</w:t>
      </w:r>
      <w:r w:rsidR="006215D5">
        <w:t>ized</w:t>
      </w:r>
      <w:r w:rsidR="004E187A">
        <w:t xml:space="preserve"> </w:t>
      </w:r>
      <w:r>
        <w:t xml:space="preserve">burden </w:t>
      </w:r>
      <w:r w:rsidR="004E187A">
        <w:t xml:space="preserve">spread </w:t>
      </w:r>
      <w:r>
        <w:t xml:space="preserve">over a </w:t>
      </w:r>
      <w:r w:rsidR="00634567">
        <w:t>3</w:t>
      </w:r>
      <w:r>
        <w:t xml:space="preserve">-year period.  For </w:t>
      </w:r>
      <w:r w:rsidR="004E187A">
        <w:t xml:space="preserve">the </w:t>
      </w:r>
      <w:r>
        <w:t xml:space="preserve">annual </w:t>
      </w:r>
      <w:r w:rsidR="004E187A">
        <w:t xml:space="preserve">Type A point source reporting </w:t>
      </w:r>
      <w:r>
        <w:t xml:space="preserve">activities, annualized hours are </w:t>
      </w:r>
      <w:r w:rsidR="004E187A">
        <w:t>the same as shown in Table 6-1</w:t>
      </w:r>
      <w:r>
        <w:t xml:space="preserve">.  However, in the case of the </w:t>
      </w:r>
      <w:r w:rsidR="004E187A">
        <w:t>additional hours needed</w:t>
      </w:r>
      <w:r w:rsidR="006215D5">
        <w:t xml:space="preserve"> in each triennial reporting year to report the larger number of point sources, the </w:t>
      </w:r>
      <w:r w:rsidR="006A38E2">
        <w:t xml:space="preserve">number of </w:t>
      </w:r>
      <w:r w:rsidRPr="00F40F41" w:rsidR="006215D5">
        <w:rPr>
          <w:i/>
        </w:rPr>
        <w:t>incremental</w:t>
      </w:r>
      <w:r w:rsidR="006215D5">
        <w:t xml:space="preserve"> hours above the Type A source effort is divided by </w:t>
      </w:r>
      <w:r w:rsidR="00BF1ED8">
        <w:t>three</w:t>
      </w:r>
      <w:r w:rsidR="006215D5">
        <w:t xml:space="preserve"> to estimate the annualized burden.</w:t>
      </w:r>
    </w:p>
    <w:p w:rsidR="004872A5" w:rsidP="005C7FB4" w:rsidRDefault="004872A5" w14:paraId="71CC371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872A5" w:rsidP="004872A5" w:rsidRDefault="002E73ED" w14:paraId="426A91C0" w14:textId="4325035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3rdtiera"/>
          <w:b/>
          <w:bCs/>
        </w:rPr>
      </w:pPr>
      <w:r>
        <w:rPr>
          <w:rStyle w:val="3rdtiera"/>
          <w:b/>
          <w:bCs/>
        </w:rPr>
        <w:tab/>
      </w:r>
      <w:r w:rsidR="004872A5">
        <w:rPr>
          <w:rStyle w:val="3rdtiera"/>
          <w:b/>
          <w:bCs/>
        </w:rPr>
        <w:t>(</w:t>
      </w:r>
      <w:proofErr w:type="spellStart"/>
      <w:r w:rsidR="004872A5">
        <w:rPr>
          <w:rStyle w:val="3rdtiera"/>
          <w:b/>
          <w:bCs/>
        </w:rPr>
        <w:t>i</w:t>
      </w:r>
      <w:proofErr w:type="spellEnd"/>
      <w:r w:rsidR="004872A5">
        <w:rPr>
          <w:rStyle w:val="3rdtiera"/>
          <w:b/>
          <w:bCs/>
        </w:rPr>
        <w:t xml:space="preserve">) Estimating Labor Costs </w:t>
      </w:r>
    </w:p>
    <w:p w:rsidR="002E73ED" w:rsidP="002E73ED" w:rsidRDefault="004872A5" w14:paraId="6052BE27" w14:textId="26DFF3D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rPr>
        <w:fldChar w:fldCharType="begin"/>
      </w:r>
      <w:proofErr w:type="spellStart"/>
      <w:r>
        <w:rPr>
          <w:rStyle w:val="3rdtiera"/>
          <w:b/>
          <w:bCs/>
        </w:rPr>
        <w:instrText>tc</w:instrText>
      </w:r>
      <w:proofErr w:type="spellEnd"/>
      <w:r>
        <w:rPr>
          <w:rStyle w:val="3rdtiera"/>
          <w:b/>
          <w:bCs/>
        </w:rPr>
        <w:instrText xml:space="preserve"> "(</w:instrText>
      </w:r>
      <w:proofErr w:type="spellStart"/>
      <w:r>
        <w:rPr>
          <w:rStyle w:val="3rdtiera"/>
          <w:b/>
          <w:bCs/>
        </w:rPr>
        <w:instrText>i</w:instrText>
      </w:r>
      <w:proofErr w:type="spellEnd"/>
      <w:r>
        <w:rPr>
          <w:rStyle w:val="3rdtiera"/>
          <w:b/>
          <w:bCs/>
        </w:rPr>
        <w:instrText>) Estimating Labor Costs " \l 4</w:instrText>
      </w:r>
      <w:r>
        <w:rPr>
          <w:rStyle w:val="3rdtiera"/>
          <w:b/>
          <w:bCs/>
        </w:rPr>
        <w:fldChar w:fldCharType="end"/>
      </w:r>
    </w:p>
    <w:p w:rsidR="002E73ED" w:rsidP="004872A5" w:rsidRDefault="002E73ED" w14:paraId="3210846C" w14:textId="046E49F0">
      <w:pPr>
        <w:keepNext/>
        <w:keepLines/>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2ndtier1"/>
        </w:rPr>
      </w:pPr>
      <w:r>
        <w:lastRenderedPageBreak/>
        <w:tab/>
        <w:t>For this ICR, the labor rate used for technical staff at state, territorial, and local agencies is $4</w:t>
      </w:r>
      <w:r w:rsidR="006C2668">
        <w:t>6.58</w:t>
      </w:r>
      <w:r>
        <w:t xml:space="preserve"> </w:t>
      </w:r>
      <w:r w:rsidRPr="00C43212">
        <w:t>per hour, and the labor rate for managerial employees at these agencies is $</w:t>
      </w:r>
      <w:r w:rsidR="006C2668">
        <w:t>77.76</w:t>
      </w:r>
      <w:r w:rsidRPr="00C43212">
        <w:t xml:space="preserve"> per hour.  These labor rates are found in data shown on the U.S. Department of Labor, Bureau of Labor Statistics </w:t>
      </w:r>
      <w:r>
        <w:t>W</w:t>
      </w:r>
      <w:r w:rsidRPr="00C43212">
        <w:t xml:space="preserve">eb site at </w:t>
      </w:r>
      <w:r w:rsidRPr="006E0DB0">
        <w:t>https://www.bls.gov/oes/current/naics4_999200.htm#11-0000</w:t>
      </w:r>
      <w:r>
        <w:t xml:space="preserve"> (“</w:t>
      </w:r>
      <w:r w:rsidRPr="008839AB">
        <w:t>National Industry-Specific Occupational Employment and Wage Estimates,</w:t>
      </w:r>
      <w:r w:rsidRPr="008839AB">
        <w:rPr>
          <w:bCs/>
        </w:rPr>
        <w:t xml:space="preserve"> May</w:t>
      </w:r>
      <w:r w:rsidRPr="008839AB">
        <w:rPr>
          <w:b/>
          <w:bCs/>
        </w:rPr>
        <w:t xml:space="preserve"> </w:t>
      </w:r>
      <w:r>
        <w:t>2020”)</w:t>
      </w:r>
      <w:r w:rsidRPr="00C43212">
        <w:t xml:space="preserve">.  The technical rate represents the mean hourly wage for Environmental Engineers for </w:t>
      </w:r>
      <w:r w:rsidRPr="00C64029">
        <w:rPr>
          <w:i/>
        </w:rPr>
        <w:t>NAICS 999200 - State Government</w:t>
      </w:r>
      <w:r w:rsidRPr="00C43212">
        <w:t>.  The managerial rate represents the mean hourly wage for Computer and Information Systems Managers in the same NAICS.  An overhead rate of 100</w:t>
      </w:r>
      <w:r>
        <w:t xml:space="preserve"> percent</w:t>
      </w:r>
      <w:r w:rsidRPr="00C43212">
        <w:t xml:space="preserve"> was applied to both the technical and managerial mean hourly wage rates to derive the bottom-line rates of $</w:t>
      </w:r>
      <w:r w:rsidR="006C2668">
        <w:t>93.16</w:t>
      </w:r>
      <w:r w:rsidRPr="00C43212">
        <w:t xml:space="preserve"> and $</w:t>
      </w:r>
      <w:r>
        <w:t>1</w:t>
      </w:r>
      <w:r w:rsidR="006C2668">
        <w:t>55.52</w:t>
      </w:r>
      <w:r w:rsidRPr="00C43212">
        <w:t xml:space="preserve"> used in the calculations and shown in Table 6-2.</w:t>
      </w:r>
    </w:p>
    <w:p w:rsidR="004872A5" w:rsidP="004872A5" w:rsidRDefault="004872A5" w14:paraId="5E3E3D1C" w14:textId="77777777">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3rdtiera"/>
          <w:b/>
          <w:bCs/>
          <w:i w:val="0"/>
          <w:iCs w:val="0"/>
        </w:rPr>
      </w:pPr>
    </w:p>
    <w:p w:rsidR="004872A5" w:rsidP="004872A5" w:rsidRDefault="004872A5" w14:paraId="14BB4114" w14:textId="77777777">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3rdtiera"/>
          <w:b/>
          <w:bCs/>
        </w:rPr>
      </w:pPr>
      <w:r>
        <w:rPr>
          <w:rStyle w:val="3rdtiera"/>
          <w:b/>
          <w:bCs/>
        </w:rPr>
        <w:tab/>
        <w:t xml:space="preserve">(ii) Estimating Capital and Operations and Maintenance Costs </w:t>
      </w:r>
    </w:p>
    <w:p w:rsidR="002E73ED" w:rsidP="002E73ED" w:rsidRDefault="004872A5" w14:paraId="028AF599" w14:textId="77777777">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rPr>
        <w:fldChar w:fldCharType="begin"/>
      </w:r>
      <w:proofErr w:type="spellStart"/>
      <w:r>
        <w:rPr>
          <w:rStyle w:val="3rdtiera"/>
          <w:b/>
          <w:bCs/>
        </w:rPr>
        <w:instrText>tc</w:instrText>
      </w:r>
      <w:proofErr w:type="spellEnd"/>
      <w:r>
        <w:rPr>
          <w:rStyle w:val="3rdtiera"/>
          <w:b/>
          <w:bCs/>
        </w:rPr>
        <w:instrText xml:space="preserve"> "(ii) Estimating Capital and Operations and Maintenance Costs " \l 4</w:instrText>
      </w:r>
      <w:r>
        <w:rPr>
          <w:rStyle w:val="3rdtiera"/>
          <w:b/>
          <w:bCs/>
        </w:rPr>
        <w:fldChar w:fldCharType="end"/>
      </w:r>
    </w:p>
    <w:p w:rsidRPr="002E73ED" w:rsidR="00851193" w:rsidP="002E73ED" w:rsidRDefault="002E73ED" w14:paraId="6289837A" w14:textId="42B40890">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Pr="002E73ED" w:rsidR="00851193">
        <w:t xml:space="preserve">The methodology for estimating capital and operations and maintenance costs presented below is based on the method used in the ICR for the </w:t>
      </w:r>
      <w:r w:rsidRPr="002E73ED" w:rsidR="009264DF">
        <w:t xml:space="preserve">previous </w:t>
      </w:r>
      <w:r w:rsidRPr="002E73ED" w:rsidR="006E0DB0">
        <w:t>A</w:t>
      </w:r>
      <w:r w:rsidRPr="002E73ED" w:rsidR="009264DF">
        <w:t xml:space="preserve">ERR </w:t>
      </w:r>
      <w:r w:rsidRPr="002E73ED" w:rsidR="00851193">
        <w:t>annual inventory (EPA ICR #</w:t>
      </w:r>
      <w:r w:rsidRPr="002E73ED" w:rsidR="006E0DB0">
        <w:t>2170.0</w:t>
      </w:r>
      <w:r w:rsidR="006C2668">
        <w:t>7</w:t>
      </w:r>
      <w:r w:rsidRPr="002E73ED" w:rsidR="00851193">
        <w:t>, OMB #2060-</w:t>
      </w:r>
      <w:r w:rsidRPr="002E73ED" w:rsidR="006E0DB0">
        <w:t>0580</w:t>
      </w:r>
      <w:r w:rsidRPr="002E73ED" w:rsidR="00851193">
        <w:t xml:space="preserve">).  Assumptions regarding the number </w:t>
      </w:r>
      <w:r w:rsidRPr="002E73ED" w:rsidR="002D7CAD">
        <w:t>workstations</w:t>
      </w:r>
      <w:r w:rsidRPr="002E73ED" w:rsidR="00851193">
        <w:t xml:space="preserve"> are unchanged</w:t>
      </w:r>
      <w:r w:rsidRPr="002E73ED" w:rsidR="00824A78">
        <w:t xml:space="preserve">, but the number of respondents has changed based on the most recent triennial AERR submissions. </w:t>
      </w:r>
      <w:r w:rsidRPr="002E73ED" w:rsidR="005707EB">
        <w:t xml:space="preserve"> </w:t>
      </w:r>
    </w:p>
    <w:p w:rsidRPr="002E73ED" w:rsidR="00851193" w:rsidP="00851193" w:rsidRDefault="00851193" w14:paraId="5085CBE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851193" w:rsidP="00851193" w:rsidRDefault="00851193" w14:paraId="37EBCB3C" w14:textId="5D80CC7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 xml:space="preserve">The number of respondents </w:t>
      </w:r>
      <w:r w:rsidRPr="002E73ED" w:rsidR="007B7710">
        <w:t xml:space="preserve">is </w:t>
      </w:r>
      <w:r w:rsidRPr="002E73ED" w:rsidR="002E73ED">
        <w:t>8</w:t>
      </w:r>
      <w:r w:rsidR="005656AD">
        <w:t>5</w:t>
      </w:r>
      <w:r w:rsidRPr="002E73ED" w:rsidR="007B7710">
        <w:t xml:space="preserve">, </w:t>
      </w:r>
      <w:r w:rsidRPr="002E73ED" w:rsidR="005707EB">
        <w:t xml:space="preserve">which </w:t>
      </w:r>
      <w:r w:rsidRPr="002E73ED">
        <w:t>reflects the number of agencies (</w:t>
      </w:r>
      <w:r w:rsidRPr="002E73ED" w:rsidR="00722851">
        <w:t>s</w:t>
      </w:r>
      <w:r w:rsidRPr="002E73ED">
        <w:t xml:space="preserve">tate, </w:t>
      </w:r>
      <w:r w:rsidRPr="002E73ED" w:rsidR="00722851">
        <w:t>t</w:t>
      </w:r>
      <w:r w:rsidRPr="002E73ED">
        <w:t xml:space="preserve">erritorial and local) </w:t>
      </w:r>
      <w:r w:rsidRPr="002E73ED" w:rsidR="007B7710">
        <w:t xml:space="preserve">that </w:t>
      </w:r>
      <w:r w:rsidRPr="002E73ED">
        <w:t xml:space="preserve">report data directly to </w:t>
      </w:r>
      <w:r w:rsidRPr="002E73ED" w:rsidR="00722851">
        <w:t xml:space="preserve">the </w:t>
      </w:r>
      <w:r w:rsidRPr="002E73ED">
        <w:t xml:space="preserve">EPA.  The number of </w:t>
      </w:r>
      <w:r w:rsidRPr="002E73ED" w:rsidR="002D7CAD">
        <w:t>workstations</w:t>
      </w:r>
      <w:r w:rsidRPr="002E73ED">
        <w:t xml:space="preserve"> assumed for each respondent reflects the number of </w:t>
      </w:r>
      <w:r w:rsidRPr="002E73ED" w:rsidR="002D7CAD">
        <w:t>workstations</w:t>
      </w:r>
      <w:r w:rsidRPr="002E73ED">
        <w:t xml:space="preserve"> that would be dedicated to reporting under the </w:t>
      </w:r>
      <w:r w:rsidRPr="002E73ED" w:rsidR="007B7710">
        <w:t>previous ICR</w:t>
      </w:r>
      <w:r w:rsidRPr="002E73ED">
        <w:t xml:space="preserve">.  It was assumed that each agency would require </w:t>
      </w:r>
      <w:r w:rsidRPr="002E73ED" w:rsidR="0008697E">
        <w:t>5</w:t>
      </w:r>
      <w:r w:rsidRPr="002E73ED">
        <w:t xml:space="preserve"> </w:t>
      </w:r>
      <w:r w:rsidRPr="002E73ED" w:rsidR="002D7CAD">
        <w:t>workstations</w:t>
      </w:r>
      <w:r w:rsidRPr="002E73ED">
        <w:t xml:space="preserve"> to comply with the reporting provisions of the </w:t>
      </w:r>
      <w:r w:rsidRPr="002E73ED" w:rsidR="0008697E">
        <w:t>A</w:t>
      </w:r>
      <w:r w:rsidRPr="002E73ED">
        <w:t xml:space="preserve">ERR (1 for point sources, 1 for nonpoint sources, 1 for </w:t>
      </w:r>
      <w:proofErr w:type="spellStart"/>
      <w:r w:rsidRPr="002E73ED">
        <w:t>onroad</w:t>
      </w:r>
      <w:proofErr w:type="spellEnd"/>
      <w:r w:rsidRPr="002E73ED">
        <w:t xml:space="preserve"> mobile, 1 for nonroad mobile, and 1 for managerial/coordination activities).  </w:t>
      </w:r>
    </w:p>
    <w:p w:rsidRPr="002E73ED" w:rsidR="00851193" w:rsidP="00851193" w:rsidRDefault="00851193" w14:paraId="6BE09BB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2D33B0" w:rsidP="00851193" w:rsidRDefault="00851193" w14:paraId="2CFE4574" w14:textId="1A075B7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 xml:space="preserve">The cost for replacing a </w:t>
      </w:r>
      <w:r w:rsidRPr="002E73ED" w:rsidR="002D7CAD">
        <w:t>workstation</w:t>
      </w:r>
      <w:r w:rsidRPr="002E73ED" w:rsidR="00E34B9C">
        <w:t xml:space="preserve"> including new basic software and peripherals</w:t>
      </w:r>
      <w:r w:rsidRPr="002E73ED">
        <w:t>, when replacement becomes necessary, is assumed to be approximately $</w:t>
      </w:r>
      <w:r w:rsidRPr="002E73ED" w:rsidR="0008697E">
        <w:t>1,</w:t>
      </w:r>
      <w:r w:rsidRPr="002E73ED" w:rsidR="00E34B9C">
        <w:t>5</w:t>
      </w:r>
      <w:r w:rsidRPr="002E73ED" w:rsidR="0008697E">
        <w:t>0</w:t>
      </w:r>
      <w:r w:rsidRPr="002E73ED">
        <w:t xml:space="preserve">0 per agency.  For this ICR, it is assumed that 20 percent of the </w:t>
      </w:r>
      <w:r w:rsidRPr="002E73ED" w:rsidR="002D7CAD">
        <w:t>workstations</w:t>
      </w:r>
      <w:r w:rsidRPr="002E73ED">
        <w:t xml:space="preserve"> will be replaced each year.  Thus, the costs of replacement per agency would be:</w:t>
      </w:r>
    </w:p>
    <w:p w:rsidRPr="002E73ED" w:rsidR="00851193" w:rsidP="00851193" w:rsidRDefault="00851193" w14:paraId="35B24A9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851193" w:rsidP="00851193" w:rsidRDefault="00851193" w14:paraId="13E39251" w14:textId="199ED62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 xml:space="preserve">5 </w:t>
      </w:r>
      <w:r w:rsidRPr="002E73ED" w:rsidR="002D7CAD">
        <w:t>workstations</w:t>
      </w:r>
      <w:r w:rsidRPr="002E73ED">
        <w:t xml:space="preserve">/agency x 20% replacement/year </w:t>
      </w:r>
      <w:r w:rsidRPr="002E73ED" w:rsidR="000E3908">
        <w:sym w:font="Symbol" w:char="F0B4"/>
      </w:r>
      <w:r w:rsidRPr="002E73ED">
        <w:t xml:space="preserve"> $1</w:t>
      </w:r>
      <w:r w:rsidRPr="002E73ED" w:rsidR="007B7710">
        <w:t>,500</w:t>
      </w:r>
      <w:r w:rsidRPr="002E73ED">
        <w:t>/</w:t>
      </w:r>
      <w:r w:rsidRPr="002E73ED" w:rsidR="002D7CAD">
        <w:t>workstation</w:t>
      </w:r>
      <w:r w:rsidRPr="002E73ED">
        <w:t xml:space="preserve"> = $1</w:t>
      </w:r>
      <w:r w:rsidRPr="002E73ED" w:rsidR="007B7710">
        <w:t>,5</w:t>
      </w:r>
      <w:r w:rsidRPr="002E73ED">
        <w:t>00/agency/year</w:t>
      </w:r>
    </w:p>
    <w:p w:rsidRPr="002E73ED" w:rsidR="00851193" w:rsidP="00851193" w:rsidRDefault="00851193" w14:paraId="1C70E7A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55752B" w:rsidP="000E3908" w:rsidRDefault="00851193" w14:paraId="327383F4" w14:textId="7D8973B8">
      <w:pPr>
        <w:widowControl/>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 xml:space="preserve">Cost of </w:t>
      </w:r>
      <w:r w:rsidRPr="002E73ED" w:rsidR="002D7CAD">
        <w:t>workstation</w:t>
      </w:r>
      <w:r w:rsidRPr="002E73ED">
        <w:t xml:space="preserve"> replacement for all agencies equals:</w:t>
      </w:r>
      <w:r w:rsidRPr="002E73ED" w:rsidR="0055752B">
        <w:t xml:space="preserve"> </w:t>
      </w:r>
      <w:r w:rsidRPr="002E73ED">
        <w:tab/>
        <w:t>$1</w:t>
      </w:r>
      <w:r w:rsidRPr="002E73ED" w:rsidR="007B7710">
        <w:t>,5</w:t>
      </w:r>
      <w:r w:rsidRPr="002E73ED">
        <w:t xml:space="preserve">00/replacement costs/year </w:t>
      </w:r>
      <w:r w:rsidRPr="002E73ED" w:rsidR="000E3908">
        <w:sym w:font="Symbol" w:char="F0B4"/>
      </w:r>
      <w:r w:rsidRPr="002E73ED">
        <w:t xml:space="preserve"> </w:t>
      </w:r>
      <w:r w:rsidRPr="002E73ED" w:rsidR="002E73ED">
        <w:t>8</w:t>
      </w:r>
      <w:r w:rsidR="00817B9C">
        <w:t>5</w:t>
      </w:r>
      <w:r w:rsidRPr="002E73ED">
        <w:t xml:space="preserve"> agencies/year = $</w:t>
      </w:r>
      <w:r w:rsidRPr="002E73ED" w:rsidR="002E73ED">
        <w:t>12</w:t>
      </w:r>
      <w:r w:rsidR="00817B9C">
        <w:t>7,5</w:t>
      </w:r>
      <w:r w:rsidRPr="002E73ED" w:rsidR="0008697E">
        <w:t>00</w:t>
      </w:r>
      <w:r w:rsidRPr="002E73ED">
        <w:t>/year</w:t>
      </w:r>
    </w:p>
    <w:p w:rsidRPr="002E73ED" w:rsidR="0055752B" w:rsidP="0055752B" w:rsidRDefault="0055752B" w14:paraId="1499E76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851193" w:rsidP="00F40F41" w:rsidRDefault="00851193" w14:paraId="6F4F4A5C" w14:textId="1D2961D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t xml:space="preserve">Maintenance costs are attributed to the normal maintenance of the </w:t>
      </w:r>
      <w:r w:rsidRPr="002E73ED" w:rsidR="002D7CAD">
        <w:t>workstations</w:t>
      </w:r>
      <w:r w:rsidRPr="002E73ED">
        <w:t xml:space="preserve"> used to submit the required annual and triennial reports to </w:t>
      </w:r>
      <w:r w:rsidRPr="002E73ED" w:rsidR="00722851">
        <w:t xml:space="preserve">the </w:t>
      </w:r>
      <w:r w:rsidRPr="002E73ED">
        <w:t xml:space="preserve">EPA.  </w:t>
      </w:r>
      <w:r w:rsidRPr="002E73ED" w:rsidR="00DB3105">
        <w:t xml:space="preserve">This includes annual software costs, service costs, and warranty costs.  </w:t>
      </w:r>
      <w:r w:rsidRPr="002E73ED" w:rsidR="00E34B9C">
        <w:t xml:space="preserve">It is assumed that the total cost of ownership over 5 years is </w:t>
      </w:r>
      <w:r w:rsidRPr="002E73ED" w:rsidR="00C64029">
        <w:t>four</w:t>
      </w:r>
      <w:r w:rsidRPr="002E73ED" w:rsidR="00E34B9C">
        <w:t xml:space="preserve"> times the original purchase price, or $6,000.  </w:t>
      </w:r>
      <w:r w:rsidRPr="002E73ED" w:rsidR="00C43212">
        <w:t>Thus,</w:t>
      </w:r>
      <w:r w:rsidRPr="002E73ED" w:rsidR="00E34B9C">
        <w:t xml:space="preserve"> the annual maintenance costs </w:t>
      </w:r>
      <w:r w:rsidRPr="002E73ED" w:rsidR="003C4B6A">
        <w:t>are $6,000 minus the $1,500 cap</w:t>
      </w:r>
      <w:r w:rsidRPr="002E73ED" w:rsidR="00E34B9C">
        <w:t>ital cost divided by 5, or $4,500/5, which is $900/year</w:t>
      </w:r>
      <w:r w:rsidRPr="002E73ED" w:rsidR="00BC3B67">
        <w:t xml:space="preserve"> per workstation</w:t>
      </w:r>
      <w:r w:rsidRPr="002E73ED" w:rsidR="00E34B9C">
        <w:t xml:space="preserve">. </w:t>
      </w:r>
      <w:r w:rsidRPr="002E73ED" w:rsidR="00C64029">
        <w:t xml:space="preserve"> </w:t>
      </w:r>
      <w:r w:rsidRPr="002E73ED" w:rsidR="003C4B6A">
        <w:t>We conservatively assume</w:t>
      </w:r>
      <w:r w:rsidRPr="002E73ED" w:rsidR="00E34B9C">
        <w:t xml:space="preserve"> that on</w:t>
      </w:r>
      <w:r w:rsidRPr="002E73ED" w:rsidR="00BC3B67">
        <w:t>e</w:t>
      </w:r>
      <w:r w:rsidRPr="002E73ED" w:rsidR="00E34B9C">
        <w:t>-</w:t>
      </w:r>
      <w:r w:rsidRPr="002E73ED" w:rsidR="00BC3B67">
        <w:t>third</w:t>
      </w:r>
      <w:r w:rsidRPr="002E73ED" w:rsidR="00E34B9C">
        <w:t xml:space="preserve"> of the workstation annual maintenance cost can be attributed to the AERR.  </w:t>
      </w:r>
      <w:r w:rsidRPr="002E73ED" w:rsidR="00C43212">
        <w:t>The resulting estimated</w:t>
      </w:r>
      <w:r w:rsidRPr="002E73ED">
        <w:t xml:space="preserve"> costs </w:t>
      </w:r>
      <w:r w:rsidRPr="002E73ED" w:rsidR="00DB3105">
        <w:t xml:space="preserve">associated with AERR </w:t>
      </w:r>
      <w:r w:rsidRPr="002E73ED">
        <w:t xml:space="preserve">are estimated to be </w:t>
      </w:r>
      <w:r w:rsidRPr="002E73ED">
        <w:lastRenderedPageBreak/>
        <w:t>approximately $</w:t>
      </w:r>
      <w:r w:rsidRPr="002E73ED" w:rsidR="007B7710">
        <w:t>300</w:t>
      </w:r>
      <w:r w:rsidRPr="002E73ED">
        <w:t xml:space="preserve"> per </w:t>
      </w:r>
      <w:r w:rsidRPr="002E73ED" w:rsidR="00BC3B67">
        <w:t xml:space="preserve">workstation </w:t>
      </w:r>
      <w:r w:rsidRPr="002E73ED" w:rsidR="007B7710">
        <w:t>per year</w:t>
      </w:r>
      <w:r w:rsidRPr="002E73ED" w:rsidR="00C43212">
        <w:t xml:space="preserve">, </w:t>
      </w:r>
      <w:r w:rsidRPr="002E73ED" w:rsidR="00BC3B67">
        <w:t xml:space="preserve">which is $1,500 per agency per year. </w:t>
      </w:r>
      <w:r w:rsidRPr="002E73ED" w:rsidR="005707EB">
        <w:t xml:space="preserve"> </w:t>
      </w:r>
      <w:r w:rsidRPr="002E73ED" w:rsidR="00BC3B67">
        <w:t>T</w:t>
      </w:r>
      <w:r w:rsidRPr="002E73ED">
        <w:t>otal maintenance costs for the respondents are</w:t>
      </w:r>
      <w:r w:rsidRPr="002E73ED" w:rsidR="003C4B6A">
        <w:t xml:space="preserve"> </w:t>
      </w:r>
      <w:r w:rsidRPr="002E73ED" w:rsidR="00C43212">
        <w:t>estimated to be</w:t>
      </w:r>
      <w:r w:rsidRPr="002E73ED">
        <w:t>:</w:t>
      </w:r>
    </w:p>
    <w:p w:rsidRPr="002E73ED" w:rsidR="00851193" w:rsidP="00F40F41" w:rsidRDefault="00851193" w14:paraId="4FE4937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851193" w:rsidP="00F40F41" w:rsidRDefault="00851193" w14:paraId="0EFB5485" w14:textId="080D5E3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ab/>
      </w:r>
      <w:r w:rsidRPr="002E73ED" w:rsidR="007B7710">
        <w:t>$</w:t>
      </w:r>
      <w:r w:rsidRPr="002E73ED" w:rsidR="00BC3B67">
        <w:t>1,5</w:t>
      </w:r>
      <w:r w:rsidRPr="002E73ED" w:rsidR="007B7710">
        <w:t>00</w:t>
      </w:r>
      <w:r w:rsidRPr="002E73ED">
        <w:t>/agency</w:t>
      </w:r>
      <w:r w:rsidRPr="002E73ED" w:rsidR="00BC3B67">
        <w:t>/year</w:t>
      </w:r>
      <w:r w:rsidRPr="002E73ED">
        <w:t xml:space="preserve"> x </w:t>
      </w:r>
      <w:r w:rsidRPr="002E73ED" w:rsidR="002E73ED">
        <w:t>8</w:t>
      </w:r>
      <w:r w:rsidR="00817B9C">
        <w:t>5</w:t>
      </w:r>
      <w:r w:rsidRPr="002E73ED" w:rsidR="007B7710">
        <w:t xml:space="preserve"> </w:t>
      </w:r>
      <w:r w:rsidRPr="002E73ED">
        <w:t xml:space="preserve">agencies = </w:t>
      </w:r>
      <w:r w:rsidRPr="002E73ED" w:rsidR="007B7710">
        <w:t>$</w:t>
      </w:r>
      <w:r w:rsidRPr="002E73ED" w:rsidR="002E73ED">
        <w:t>12</w:t>
      </w:r>
      <w:r w:rsidR="00817B9C">
        <w:t>7,5</w:t>
      </w:r>
      <w:r w:rsidRPr="002E73ED" w:rsidR="002E73ED">
        <w:t>00</w:t>
      </w:r>
      <w:r w:rsidRPr="002E73ED">
        <w:t>/year</w:t>
      </w:r>
      <w:r w:rsidRPr="002E73ED" w:rsidR="00BC3B67">
        <w:t>.</w:t>
      </w:r>
    </w:p>
    <w:p w:rsidRPr="002E73ED" w:rsidR="000E3908" w:rsidP="00F40F41" w:rsidRDefault="000E3908" w14:paraId="47D2BA4C" w14:textId="4844014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2E73ED" w:rsidR="000E3908" w:rsidP="000E3908" w:rsidRDefault="000E3908" w14:paraId="64D5B21A" w14:textId="07857FB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2E73ED">
        <w:t xml:space="preserve">These costs are accounted for in Table 6-2 in the row capturing burden for the submittal of Type B point source data by states. </w:t>
      </w:r>
      <w:r w:rsidRPr="002E73ED" w:rsidR="005707EB">
        <w:t xml:space="preserve"> </w:t>
      </w:r>
      <w:r w:rsidRPr="002E73ED">
        <w:t>This is done for simplicity purposes in entering that information in the table once for annual capital costs and once for annual operation and maintenance costs.</w:t>
      </w:r>
    </w:p>
    <w:p w:rsidR="0055752B" w:rsidP="00851193" w:rsidRDefault="0055752B" w14:paraId="5AE61C93"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2ndtier1"/>
        </w:rPr>
      </w:pPr>
    </w:p>
    <w:p w:rsidRPr="006A38E2" w:rsidR="00851193" w:rsidP="00851193" w:rsidRDefault="00851193" w14:paraId="48E31E53" w14:textId="1805DE1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r>
      <w:r w:rsidRPr="006A38E2">
        <w:rPr>
          <w:rStyle w:val="2ndtier1"/>
        </w:rPr>
        <w:t>6(c) Estimating Agency Burden and Cost</w:t>
      </w:r>
    </w:p>
    <w:p w:rsidRPr="006A38E2" w:rsidR="00851193" w:rsidP="00851193" w:rsidRDefault="00851193" w14:paraId="4C0F37B5"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Pr="006A38E2" w:rsidR="00851193" w:rsidP="00851193" w:rsidRDefault="00851193" w14:paraId="7ED9079F" w14:textId="579B42A8">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r>
      <w:r w:rsidRPr="006A38E2" w:rsidR="00722851">
        <w:t xml:space="preserve">The </w:t>
      </w:r>
      <w:r w:rsidRPr="006A38E2">
        <w:t xml:space="preserve">EPA’s costs </w:t>
      </w:r>
      <w:r w:rsidRPr="006A38E2" w:rsidR="00722851">
        <w:t>that</w:t>
      </w:r>
      <w:r w:rsidRPr="006A38E2">
        <w:t xml:space="preserve"> relate to this collection can be grouped into </w:t>
      </w:r>
      <w:r w:rsidRPr="006A38E2" w:rsidR="00515807">
        <w:t xml:space="preserve">7 </w:t>
      </w:r>
      <w:r w:rsidRPr="006A38E2">
        <w:t>areas:</w:t>
      </w:r>
    </w:p>
    <w:p w:rsidRPr="006A38E2" w:rsidR="00851193" w:rsidP="00851193" w:rsidRDefault="00851193" w14:paraId="67065C0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515807" w:rsidP="00F40F41" w:rsidRDefault="00515807" w14:paraId="51D85E17" w14:textId="0E60853A">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Maintaining a database of emissions factors for use by states and the point sources regulated by states</w:t>
      </w:r>
      <w:r w:rsidRPr="006A38E2">
        <w:br/>
      </w:r>
    </w:p>
    <w:p w:rsidRPr="006A38E2" w:rsidR="00851193" w:rsidP="00F40F41" w:rsidRDefault="006215D5" w14:paraId="7A05E071" w14:textId="019F2844">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 xml:space="preserve">Emission Inventory System (EIS) annual operation and maintenance </w:t>
      </w:r>
      <w:proofErr w:type="gramStart"/>
      <w:r w:rsidRPr="006A38E2">
        <w:t>costs</w:t>
      </w:r>
      <w:r w:rsidRPr="006A38E2" w:rsidR="00851193">
        <w:t>;</w:t>
      </w:r>
      <w:proofErr w:type="gramEnd"/>
    </w:p>
    <w:p w:rsidRPr="006A38E2" w:rsidR="00851193" w:rsidP="00851193" w:rsidRDefault="00851193" w14:paraId="4E80561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42F5E" w:rsidP="00F40F41" w:rsidRDefault="00A42F5E" w14:paraId="716C7D71" w14:textId="0EB2EF9E">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 xml:space="preserve">Preparing and providing </w:t>
      </w:r>
      <w:r w:rsidRPr="006A38E2" w:rsidR="00515807">
        <w:t xml:space="preserve">guidance, plans, and </w:t>
      </w:r>
      <w:r w:rsidRPr="006A38E2">
        <w:t xml:space="preserve">training to </w:t>
      </w:r>
      <w:proofErr w:type="gramStart"/>
      <w:r w:rsidRPr="006A38E2">
        <w:t>states;</w:t>
      </w:r>
      <w:proofErr w:type="gramEnd"/>
      <w:r w:rsidRPr="006A38E2">
        <w:t xml:space="preserve"> </w:t>
      </w:r>
    </w:p>
    <w:p w:rsidRPr="006A38E2" w:rsidR="00A42F5E" w:rsidP="00851193" w:rsidRDefault="00A42F5E" w14:paraId="5DC2932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p>
    <w:p w:rsidRPr="006A38E2" w:rsidR="00515807" w:rsidP="00F40F41" w:rsidRDefault="00515807" w14:paraId="45B68071" w14:textId="0F7C6509">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 xml:space="preserve">Revising emissions estimation methods </w:t>
      </w:r>
      <w:r w:rsidRPr="006A38E2" w:rsidR="00B9736A">
        <w:t xml:space="preserve">and models </w:t>
      </w:r>
      <w:r w:rsidRPr="006A38E2">
        <w:t>to reflect the best available science</w:t>
      </w:r>
      <w:r w:rsidRPr="006A38E2" w:rsidR="00A50753">
        <w:t xml:space="preserve">, including mobile model updates related solely to support of AERR </w:t>
      </w:r>
      <w:proofErr w:type="gramStart"/>
      <w:r w:rsidRPr="006A38E2" w:rsidR="00A50753">
        <w:t>implementation</w:t>
      </w:r>
      <w:r w:rsidRPr="006A38E2">
        <w:t>;</w:t>
      </w:r>
      <w:proofErr w:type="gramEnd"/>
    </w:p>
    <w:p w:rsidRPr="006A38E2" w:rsidR="00515807" w:rsidP="006A38E2" w:rsidRDefault="00515807" w14:paraId="056A3F74" w14:textId="77777777">
      <w:pPr>
        <w:pStyle w:val="ListParagraph"/>
      </w:pPr>
    </w:p>
    <w:p w:rsidRPr="006A38E2" w:rsidR="00A42F5E" w:rsidP="00F40F41" w:rsidRDefault="00A42F5E" w14:paraId="2A18BD37" w14:textId="4EC06383">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 xml:space="preserve">Preparing draft nonpoint emissions and mobile-source model </w:t>
      </w:r>
      <w:proofErr w:type="gramStart"/>
      <w:r w:rsidRPr="006A38E2">
        <w:t>inputs;</w:t>
      </w:r>
      <w:proofErr w:type="gramEnd"/>
      <w:r w:rsidRPr="006A38E2">
        <w:t xml:space="preserve"> </w:t>
      </w:r>
    </w:p>
    <w:p w:rsidRPr="006A38E2" w:rsidR="00362A07" w:rsidP="00851193" w:rsidRDefault="00362A07" w14:paraId="72F39DF0" w14:textId="1CDAB03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p>
    <w:p w:rsidRPr="006A38E2" w:rsidR="00362A07" w:rsidP="00F40F41" w:rsidRDefault="00A42F5E" w14:paraId="66D93720" w14:textId="0CA64BC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Review</w:t>
      </w:r>
      <w:r w:rsidRPr="006A38E2" w:rsidR="001B4899">
        <w:t xml:space="preserve">, </w:t>
      </w:r>
      <w:r w:rsidRPr="006A38E2">
        <w:t>documentation</w:t>
      </w:r>
      <w:r w:rsidRPr="006A38E2" w:rsidR="001B4899">
        <w:t>, and publication</w:t>
      </w:r>
      <w:r w:rsidRPr="006A38E2">
        <w:t xml:space="preserve"> of data; and</w:t>
      </w:r>
    </w:p>
    <w:p w:rsidRPr="006A38E2" w:rsidR="00851193" w:rsidP="00851193" w:rsidRDefault="00851193" w14:paraId="4CA227B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851193" w:rsidP="00F40F41" w:rsidRDefault="00851193" w14:paraId="03D9E61B" w14:textId="4F0B8131">
      <w:pPr>
        <w:pStyle w:val="ListParagraph"/>
        <w:widowControl/>
        <w:numPr>
          <w:ilvl w:val="0"/>
          <w:numId w:val="1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Information requests.</w:t>
      </w:r>
    </w:p>
    <w:p w:rsidRPr="006A38E2" w:rsidR="00851193" w:rsidP="00851193" w:rsidRDefault="00851193" w14:paraId="595D58BF" w14:textId="6950445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EF119D" w:rsidP="00851193" w:rsidRDefault="00851193" w14:paraId="08C052A9" w14:textId="4FD9BC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r>
      <w:bookmarkStart w:name="_Hlk524678366" w:id="0"/>
      <w:r w:rsidRPr="006A38E2">
        <w:t xml:space="preserve">As of fiscal </w:t>
      </w:r>
      <w:proofErr w:type="gramStart"/>
      <w:r w:rsidRPr="006A38E2" w:rsidR="00A1497D">
        <w:t>year</w:t>
      </w:r>
      <w:proofErr w:type="gramEnd"/>
      <w:r w:rsidRPr="006A38E2">
        <w:t xml:space="preserve"> </w:t>
      </w:r>
      <w:r w:rsidRPr="006A38E2" w:rsidR="00515807">
        <w:t>2021, the annual operation and maintenance costs for EPA’s efforts to maintain emissions factors i</w:t>
      </w:r>
      <w:r w:rsidRPr="006A38E2" w:rsidR="00EF119D">
        <w:t xml:space="preserve">n support of the NEI program is 2 FTE positions. </w:t>
      </w:r>
      <w:r w:rsidRPr="006A38E2" w:rsidR="00354A4D">
        <w:t xml:space="preserve"> </w:t>
      </w:r>
      <w:r w:rsidRPr="006A38E2" w:rsidR="004C55CC">
        <w:t>No data system costs for the emissions factor program are included in this ICR.</w:t>
      </w:r>
    </w:p>
    <w:p w:rsidRPr="006A38E2" w:rsidR="00515807" w:rsidP="00851193" w:rsidRDefault="00515807" w14:paraId="737888B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851193" w:rsidP="00851193" w:rsidRDefault="00851193" w14:paraId="6D228767" w14:textId="6C9F10B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 xml:space="preserve">As of fiscal </w:t>
      </w:r>
      <w:proofErr w:type="gramStart"/>
      <w:r w:rsidRPr="006A38E2" w:rsidR="00A1497D">
        <w:t>year</w:t>
      </w:r>
      <w:proofErr w:type="gramEnd"/>
      <w:r w:rsidRPr="006A38E2">
        <w:t xml:space="preserve"> 20</w:t>
      </w:r>
      <w:r w:rsidRPr="006A38E2" w:rsidR="00515807">
        <w:t>21</w:t>
      </w:r>
      <w:r w:rsidRPr="006A38E2">
        <w:t xml:space="preserve">, the </w:t>
      </w:r>
      <w:r w:rsidRPr="006A38E2" w:rsidR="006215D5">
        <w:t xml:space="preserve">EIS </w:t>
      </w:r>
      <w:r w:rsidRPr="006A38E2">
        <w:t>annual operation and mainte</w:t>
      </w:r>
      <w:r w:rsidRPr="006A38E2" w:rsidR="00E82FEE">
        <w:t>nance costs are estimated to be</w:t>
      </w:r>
      <w:r w:rsidRPr="006A38E2">
        <w:t xml:space="preserve">:  </w:t>
      </w:r>
      <w:r w:rsidRPr="006A38E2" w:rsidR="006215D5">
        <w:t>2</w:t>
      </w:r>
      <w:r w:rsidRPr="006A38E2">
        <w:t>.</w:t>
      </w:r>
      <w:r w:rsidRPr="006A38E2" w:rsidR="00A8730C">
        <w:t>7</w:t>
      </w:r>
      <w:r w:rsidRPr="006A38E2">
        <w:t xml:space="preserve"> FTE positions, $300</w:t>
      </w:r>
      <w:r w:rsidRPr="006A38E2" w:rsidR="006D1B03">
        <w:t>,000</w:t>
      </w:r>
      <w:r w:rsidRPr="006A38E2">
        <w:t xml:space="preserve"> in Working Capital Funds and $</w:t>
      </w:r>
      <w:r w:rsidRPr="006A38E2" w:rsidR="00BE5F17">
        <w:t>625</w:t>
      </w:r>
      <w:r w:rsidRPr="006A38E2" w:rsidR="006D1B03">
        <w:t>,000</w:t>
      </w:r>
      <w:r w:rsidRPr="006A38E2">
        <w:t xml:space="preserve"> for an </w:t>
      </w:r>
      <w:r w:rsidRPr="006A38E2" w:rsidR="000E3908">
        <w:t>i</w:t>
      </w:r>
      <w:r w:rsidRPr="006A38E2">
        <w:t xml:space="preserve">nformation </w:t>
      </w:r>
      <w:r w:rsidRPr="006A38E2" w:rsidR="000E3908">
        <w:t>t</w:t>
      </w:r>
      <w:r w:rsidRPr="006A38E2">
        <w:t>echnology contractor.</w:t>
      </w:r>
      <w:bookmarkEnd w:id="0"/>
    </w:p>
    <w:p w:rsidRPr="006A38E2" w:rsidR="00851193" w:rsidP="00851193" w:rsidRDefault="00851193" w14:paraId="60B16976" w14:textId="2C12E1E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50753" w:rsidP="00851193" w:rsidRDefault="00A50753" w14:paraId="6B71EDAD" w14:textId="5D1C238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The labor costs of preparing and providing guidance, plans and training to states is 1 FTE annually.</w:t>
      </w:r>
    </w:p>
    <w:p w:rsidRPr="006A38E2" w:rsidR="00A50753" w:rsidP="00851193" w:rsidRDefault="00A50753" w14:paraId="3EFDDCF8" w14:textId="4BCE30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50753" w:rsidP="00851193" w:rsidRDefault="00A50753" w14:paraId="401A9206" w14:textId="344459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 xml:space="preserve">The labor costs of reviewing and revising emissions estimation methods and models to reflect the best available science for nonpoint emissions methods is 2 FTE annually.  </w:t>
      </w:r>
    </w:p>
    <w:p w:rsidRPr="006A38E2" w:rsidR="00A50753" w:rsidP="00851193" w:rsidRDefault="00A50753" w14:paraId="5C271CF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1B4899" w:rsidP="00851193" w:rsidRDefault="00851193" w14:paraId="1BE48283" w14:textId="6E02819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lastRenderedPageBreak/>
        <w:tab/>
      </w:r>
      <w:r w:rsidRPr="006A38E2" w:rsidR="00A42F5E">
        <w:t xml:space="preserve">The </w:t>
      </w:r>
      <w:r w:rsidRPr="006A38E2" w:rsidR="003C5230">
        <w:t xml:space="preserve">labor </w:t>
      </w:r>
      <w:r w:rsidRPr="006A38E2" w:rsidR="00A42F5E">
        <w:t xml:space="preserve">costs of preparing draft nonpoint emissions and mobile-source model inputs include the costs associated with developing updated emissions methods, overseeing contractor resources, quality assuring contractor results, developing documentation, and distributing data and draft documentation to states. </w:t>
      </w:r>
      <w:r w:rsidRPr="006A38E2" w:rsidR="005707EB">
        <w:t xml:space="preserve"> </w:t>
      </w:r>
      <w:r w:rsidRPr="006A38E2">
        <w:t xml:space="preserve">The costs of </w:t>
      </w:r>
      <w:r w:rsidRPr="006A38E2" w:rsidR="006215D5">
        <w:t>review</w:t>
      </w:r>
      <w:r w:rsidRPr="006A38E2">
        <w:t xml:space="preserve">ing data submitted by </w:t>
      </w:r>
      <w:r w:rsidRPr="006A38E2" w:rsidR="00722851">
        <w:t>s</w:t>
      </w:r>
      <w:r w:rsidRPr="006A38E2">
        <w:t xml:space="preserve">tates include costs relating to data </w:t>
      </w:r>
      <w:r w:rsidRPr="006A38E2" w:rsidR="006215D5">
        <w:t>review</w:t>
      </w:r>
      <w:r w:rsidRPr="006A38E2">
        <w:t xml:space="preserve">, coordination of efforts to resolve any errors or anomalies, and updating of the </w:t>
      </w:r>
      <w:r w:rsidRPr="006A38E2" w:rsidR="00FE0982">
        <w:t xml:space="preserve">data </w:t>
      </w:r>
      <w:r w:rsidRPr="006A38E2">
        <w:t xml:space="preserve">after the quality assurance and reconciliation assurance efforts have been completed.  </w:t>
      </w:r>
      <w:bookmarkStart w:name="_Hlk524684894" w:id="1"/>
      <w:r w:rsidRPr="006A38E2" w:rsidR="00A42F5E">
        <w:t xml:space="preserve">The costs associated with </w:t>
      </w:r>
      <w:r w:rsidRPr="006A38E2" w:rsidR="00A50753">
        <w:t>technical</w:t>
      </w:r>
      <w:r w:rsidRPr="006A38E2" w:rsidR="00A42F5E">
        <w:t xml:space="preserve"> documentation </w:t>
      </w:r>
      <w:proofErr w:type="gramStart"/>
      <w:r w:rsidRPr="006A38E2" w:rsidR="00A42F5E">
        <w:t>include</w:t>
      </w:r>
      <w:r w:rsidRPr="006A38E2" w:rsidR="00E82FEE">
        <w:t>:</w:t>
      </w:r>
      <w:proofErr w:type="gramEnd"/>
      <w:r w:rsidRPr="006A38E2" w:rsidR="00E82FEE">
        <w:t xml:space="preserve"> </w:t>
      </w:r>
      <w:r w:rsidRPr="006A38E2" w:rsidR="00A42F5E">
        <w:t xml:space="preserve">compiling summaries of emissions, reviewing methods documents and notes, word processing, and 508 compliance steps. </w:t>
      </w:r>
      <w:r w:rsidRPr="006A38E2" w:rsidR="005707EB">
        <w:t xml:space="preserve"> </w:t>
      </w:r>
      <w:r w:rsidRPr="006A38E2" w:rsidR="001B4899">
        <w:t xml:space="preserve">For these activities, the </w:t>
      </w:r>
      <w:r w:rsidRPr="006A38E2" w:rsidR="00A50753">
        <w:t xml:space="preserve">EPA </w:t>
      </w:r>
      <w:r w:rsidRPr="006A38E2" w:rsidR="001B4899">
        <w:t>requires approximately 1 FTE for point sources, 1.3 FTE for mobile sources, and 3 FTE for nonpoint sources to prepare draft data and review data submitted by states.</w:t>
      </w:r>
      <w:r w:rsidRPr="006A38E2" w:rsidR="005707EB">
        <w:t xml:space="preserve"> </w:t>
      </w:r>
      <w:r w:rsidRPr="006A38E2" w:rsidR="003C4B6A">
        <w:t xml:space="preserve"> In</w:t>
      </w:r>
      <w:r w:rsidRPr="006A38E2" w:rsidR="001B4899">
        <w:t xml:space="preserve"> addition, the OAQPS requires 1 FTE for information requests.</w:t>
      </w:r>
      <w:r w:rsidRPr="006A38E2" w:rsidR="00DF13E0">
        <w:t xml:space="preserve"> </w:t>
      </w:r>
      <w:r w:rsidRPr="006A38E2" w:rsidR="005707EB">
        <w:t xml:space="preserve"> </w:t>
      </w:r>
      <w:r w:rsidRPr="006A38E2" w:rsidR="00DF13E0">
        <w:t>The EPA also incurs a $</w:t>
      </w:r>
      <w:r w:rsidRPr="006A38E2" w:rsidR="00A50753">
        <w:t>8</w:t>
      </w:r>
      <w:r w:rsidRPr="006A38E2" w:rsidR="00DF13E0">
        <w:t>00,000 annual cost to have environmental engineering contractors assist with developing emissions methods, building data tools, and keeping input data current.</w:t>
      </w:r>
    </w:p>
    <w:p w:rsidRPr="006A38E2" w:rsidR="001B4899" w:rsidP="00851193" w:rsidRDefault="001B4899" w14:paraId="64C28C9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42F5E" w:rsidP="00851193" w:rsidRDefault="001B4899" w14:paraId="687E57FF" w14:textId="3B36DCE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 xml:space="preserve">In addition to the primary roles within OAQPS, the EPA </w:t>
      </w:r>
      <w:r w:rsidRPr="006A38E2" w:rsidR="00851193">
        <w:t xml:space="preserve">Regional Offices annually use about </w:t>
      </w:r>
      <w:r w:rsidRPr="006A38E2" w:rsidR="00A8730C">
        <w:t>1</w:t>
      </w:r>
      <w:r w:rsidRPr="006A38E2" w:rsidR="00851193">
        <w:t xml:space="preserve"> FTE </w:t>
      </w:r>
      <w:r w:rsidRPr="006A38E2" w:rsidR="006D1B03">
        <w:t xml:space="preserve">in total across the </w:t>
      </w:r>
      <w:r w:rsidRPr="006A38E2" w:rsidR="00722851">
        <w:t>10</w:t>
      </w:r>
      <w:r w:rsidRPr="006A38E2" w:rsidR="006D1B03">
        <w:t xml:space="preserve"> Regions </w:t>
      </w:r>
      <w:r w:rsidRPr="006A38E2" w:rsidR="00851193">
        <w:t xml:space="preserve">to coordinate </w:t>
      </w:r>
      <w:r w:rsidRPr="006A38E2" w:rsidR="00722851">
        <w:t>s</w:t>
      </w:r>
      <w:r w:rsidRPr="006A38E2" w:rsidR="00851193">
        <w:t xml:space="preserve">tate efforts in making their submissions, quality reviews, and </w:t>
      </w:r>
      <w:r w:rsidRPr="006A38E2" w:rsidR="00870502">
        <w:t>outreach and communication on behalf of the data collection program</w:t>
      </w:r>
      <w:r w:rsidRPr="006A38E2" w:rsidR="00851193">
        <w:t>.</w:t>
      </w:r>
      <w:bookmarkEnd w:id="1"/>
    </w:p>
    <w:p w:rsidRPr="006A38E2" w:rsidR="00A42F5E" w:rsidP="00851193" w:rsidRDefault="00A42F5E" w14:paraId="6B506B8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A42F5E" w:rsidP="00851193" w:rsidRDefault="009F58E3" w14:paraId="4C5D0FB0" w14:textId="2604A42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r>
      <w:r w:rsidRPr="006A38E2" w:rsidR="001B4899">
        <w:t>Thus</w:t>
      </w:r>
      <w:r w:rsidRPr="006A38E2" w:rsidR="005707EB">
        <w:t>,</w:t>
      </w:r>
      <w:r w:rsidRPr="006A38E2" w:rsidR="001B4899">
        <w:t xml:space="preserve"> the total </w:t>
      </w:r>
      <w:r w:rsidRPr="006A38E2">
        <w:t xml:space="preserve">number of EPA FTEs is </w:t>
      </w:r>
      <w:r w:rsidRPr="006A38E2" w:rsidR="00870502">
        <w:t>1</w:t>
      </w:r>
      <w:r w:rsidRPr="006A38E2" w:rsidR="00884778">
        <w:t>5</w:t>
      </w:r>
      <w:r w:rsidRPr="006A38E2" w:rsidR="00A8730C">
        <w:t xml:space="preserve"> (2.7 for the EIS and </w:t>
      </w:r>
      <w:r w:rsidRPr="006A38E2" w:rsidR="00884778">
        <w:t>12</w:t>
      </w:r>
      <w:r w:rsidRPr="006A38E2">
        <w:t>.3</w:t>
      </w:r>
      <w:r w:rsidRPr="006A38E2" w:rsidR="00A8730C">
        <w:t xml:space="preserve"> for </w:t>
      </w:r>
      <w:r w:rsidRPr="006A38E2" w:rsidR="00870502">
        <w:t xml:space="preserve">outreach, </w:t>
      </w:r>
      <w:r w:rsidRPr="006A38E2" w:rsidR="00A8730C">
        <w:t>data methods, handling, and publication)</w:t>
      </w:r>
      <w:r w:rsidRPr="006A38E2">
        <w:t xml:space="preserve">. </w:t>
      </w:r>
      <w:r w:rsidRPr="006A38E2" w:rsidR="005707EB">
        <w:t xml:space="preserve"> </w:t>
      </w:r>
      <w:r w:rsidRPr="006A38E2">
        <w:t xml:space="preserve">Since most of the FTEs for this estimate work in Research Triangle Park, North Carolina, we used the pay rates from the General Services Administration (GSA) with locality adjustment for the Raleigh-Durham-Chapel Hill area.  We conservatively estimated that the average EPA worker for </w:t>
      </w:r>
      <w:r w:rsidRPr="006A38E2" w:rsidR="00EE66DF">
        <w:t>these purposes is a GS-1</w:t>
      </w:r>
      <w:r w:rsidRPr="006A38E2" w:rsidR="00A50753">
        <w:t>3</w:t>
      </w:r>
      <w:r w:rsidR="00375CB0">
        <w:t>, step 7</w:t>
      </w:r>
      <w:r w:rsidRPr="006A38E2" w:rsidR="00EE66DF">
        <w:t xml:space="preserve"> with a salary rate of $117,500 per year</w:t>
      </w:r>
      <w:r w:rsidR="00375CB0">
        <w:t>. The rate includes possible increases above the fiscal year 2021 rate of $114,902</w:t>
      </w:r>
      <w:r w:rsidRPr="006A38E2" w:rsidR="00EE66DF">
        <w:t>. In addition, a 26</w:t>
      </w:r>
      <w:r w:rsidRPr="006A38E2" w:rsidR="00E82FEE">
        <w:t xml:space="preserve"> percent</w:t>
      </w:r>
      <w:r w:rsidRPr="006A38E2" w:rsidR="00EE66DF">
        <w:t xml:space="preserve"> increase in this amount was included to adjust for benefits paid by the government.</w:t>
      </w:r>
      <w:r w:rsidRPr="006A38E2" w:rsidR="005707EB">
        <w:t xml:space="preserve"> </w:t>
      </w:r>
      <w:r w:rsidRPr="006A38E2" w:rsidR="00EE66DF">
        <w:t>The resulting annual FTE cost assumed is rounded to the nearest thousand dollars to $148,000.</w:t>
      </w:r>
      <w:r w:rsidRPr="006A38E2" w:rsidR="00A8730C">
        <w:t xml:space="preserve"> Thus, the total resulting EPA annual impact for </w:t>
      </w:r>
      <w:r w:rsidRPr="006A38E2" w:rsidR="003947DF">
        <w:t xml:space="preserve">15 </w:t>
      </w:r>
      <w:r w:rsidRPr="006A38E2" w:rsidR="00A8730C">
        <w:t xml:space="preserve">FTE </w:t>
      </w:r>
      <w:r w:rsidRPr="006A38E2" w:rsidR="00DF13E0">
        <w:t xml:space="preserve">is </w:t>
      </w:r>
      <w:r w:rsidRPr="006A38E2" w:rsidR="003947DF">
        <w:t>31,200</w:t>
      </w:r>
      <w:r w:rsidRPr="006A38E2" w:rsidR="00A8730C">
        <w:t xml:space="preserve"> hours and $</w:t>
      </w:r>
      <w:r w:rsidRPr="006A38E2" w:rsidR="003947DF">
        <w:t>2</w:t>
      </w:r>
      <w:r w:rsidRPr="006A38E2" w:rsidR="00A8730C">
        <w:t>,</w:t>
      </w:r>
      <w:r w:rsidRPr="006A38E2" w:rsidR="003947DF">
        <w:t>22</w:t>
      </w:r>
      <w:r w:rsidRPr="006A38E2" w:rsidR="00870502">
        <w:t>0</w:t>
      </w:r>
      <w:r w:rsidRPr="006A38E2" w:rsidR="00A8730C">
        <w:t>,000.</w:t>
      </w:r>
    </w:p>
    <w:p w:rsidRPr="006A38E2" w:rsidR="00A42F5E" w:rsidP="00851193" w:rsidRDefault="00A42F5E" w14:paraId="2B69549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6A38E2" w:rsidR="00851193" w:rsidP="00851193" w:rsidRDefault="00851193" w14:paraId="4FC6EE0E" w14:textId="454DCD4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sidRPr="006A38E2">
        <w:rPr>
          <w:rStyle w:val="2ndtier1"/>
        </w:rPr>
        <w:tab/>
        <w:t xml:space="preserve">6(d) Estimating the Respondent Universe and Total Burden and Costs </w:t>
      </w:r>
    </w:p>
    <w:p w:rsidRPr="006A38E2" w:rsidR="00851193" w:rsidP="00851193" w:rsidRDefault="00851193" w14:paraId="1DA75C6A"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P="00851193" w:rsidRDefault="00851193" w14:paraId="3891135E" w14:textId="1E25D13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6A38E2">
        <w:tab/>
        <w:t>The number of respondents is estimated to be 5</w:t>
      </w:r>
      <w:r w:rsidRPr="006A38E2" w:rsidR="007C5663">
        <w:t>4</w:t>
      </w:r>
      <w:r w:rsidRPr="006A38E2">
        <w:t xml:space="preserve"> states</w:t>
      </w:r>
      <w:r w:rsidRPr="006A38E2" w:rsidR="007C5663">
        <w:t>/territories</w:t>
      </w:r>
      <w:r w:rsidRPr="006A38E2">
        <w:t xml:space="preserve"> (including DC),</w:t>
      </w:r>
      <w:r w:rsidRPr="006A38E2" w:rsidR="007C5663">
        <w:t xml:space="preserve"> and</w:t>
      </w:r>
      <w:r w:rsidRPr="006A38E2">
        <w:t xml:space="preserve"> </w:t>
      </w:r>
      <w:r w:rsidRPr="006A38E2" w:rsidR="00DE3192">
        <w:t xml:space="preserve">average annual </w:t>
      </w:r>
      <w:r w:rsidRPr="006A38E2" w:rsidR="007C5663">
        <w:t>26</w:t>
      </w:r>
      <w:r w:rsidRPr="006A38E2" w:rsidR="00B16739">
        <w:t xml:space="preserve"> </w:t>
      </w:r>
      <w:r w:rsidRPr="006A38E2">
        <w:t xml:space="preserve">local </w:t>
      </w:r>
      <w:r w:rsidRPr="006A38E2" w:rsidR="00DE3192">
        <w:t>and tribal</w:t>
      </w:r>
      <w:r w:rsidRPr="006A38E2">
        <w:t xml:space="preserve"> agencies, resulting in </w:t>
      </w:r>
      <w:r w:rsidRPr="006A38E2" w:rsidR="00B16739">
        <w:t>80</w:t>
      </w:r>
      <w:r w:rsidRPr="006A38E2">
        <w:t xml:space="preserve"> total respondents.  </w:t>
      </w:r>
      <w:r w:rsidRPr="006A38E2" w:rsidR="00CB55C6">
        <w:t xml:space="preserve">As detailed in </w:t>
      </w:r>
      <w:r w:rsidR="00833903">
        <w:t>T</w:t>
      </w:r>
      <w:r w:rsidRPr="006A38E2" w:rsidR="00CB55C6">
        <w:t>able 6-2, t</w:t>
      </w:r>
      <w:r w:rsidRPr="006A38E2">
        <w:t>he tota</w:t>
      </w:r>
      <w:r w:rsidRPr="006A38E2" w:rsidR="00AA7880">
        <w:t xml:space="preserve">l annual hourly burden for all </w:t>
      </w:r>
      <w:r w:rsidRPr="006A38E2" w:rsidR="00722851">
        <w:t>s</w:t>
      </w:r>
      <w:r w:rsidRPr="006A38E2">
        <w:t>tate</w:t>
      </w:r>
      <w:r w:rsidRPr="006A38E2" w:rsidR="00AA7880">
        <w:t xml:space="preserve">, </w:t>
      </w:r>
      <w:r w:rsidRPr="006A38E2" w:rsidR="00722851">
        <w:t>t</w:t>
      </w:r>
      <w:r w:rsidRPr="006A38E2" w:rsidR="00AA7880">
        <w:t xml:space="preserve">erritorial and local </w:t>
      </w:r>
      <w:r w:rsidRPr="006A38E2">
        <w:t xml:space="preserve">respondents is estimated to be </w:t>
      </w:r>
      <w:r w:rsidRPr="006A38E2" w:rsidR="00CE7CB2">
        <w:t>49,</w:t>
      </w:r>
      <w:r w:rsidRPr="006A38E2" w:rsidR="001D286F">
        <w:t>502</w:t>
      </w:r>
      <w:r w:rsidRPr="006A38E2" w:rsidR="00CE7CB2">
        <w:t xml:space="preserve"> </w:t>
      </w:r>
      <w:r w:rsidRPr="006A38E2" w:rsidR="00C81F54">
        <w:t>hours per year</w:t>
      </w:r>
      <w:r w:rsidRPr="006A38E2" w:rsidR="00A37866">
        <w:t xml:space="preserve">, and the </w:t>
      </w:r>
      <w:r w:rsidRPr="006A38E2">
        <w:t xml:space="preserve">total annual cost is estimated to be </w:t>
      </w:r>
      <w:r w:rsidR="00375CB0">
        <w:t>$5,038,367</w:t>
      </w:r>
      <w:r w:rsidRPr="006A38E2" w:rsidR="00CB55C6">
        <w:t>.</w:t>
      </w:r>
    </w:p>
    <w:p w:rsidR="00851193" w:rsidP="00851193" w:rsidRDefault="00851193" w14:paraId="30A0D43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24FA1E5E" w14:textId="36BBF58F">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lastRenderedPageBreak/>
        <w:tab/>
        <w:t xml:space="preserve">6(e) Bottom Line Burden Hours and Cost Tables  </w:t>
      </w:r>
    </w:p>
    <w:p w:rsidR="00851193" w:rsidP="00851193" w:rsidRDefault="00851193" w14:paraId="2A6BD491"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Pr="005707EB" w:rsidR="00851193" w:rsidP="00F40F41" w:rsidRDefault="00851193" w14:paraId="05C67F0B"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sidRPr="005707EB">
        <w:rPr>
          <w:b/>
          <w:bCs/>
        </w:rPr>
        <w:t>Total Estimated Respondent Burden and Cost Summary</w:t>
      </w:r>
    </w:p>
    <w:p w:rsidR="00851193" w:rsidP="00F40F41" w:rsidRDefault="00851193" w14:paraId="2B047D9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5"/>
        <w:gridCol w:w="2250"/>
        <w:gridCol w:w="2250"/>
        <w:gridCol w:w="2155"/>
      </w:tblGrid>
      <w:tr w:rsidR="006A3A13" w:rsidTr="003C1032" w14:paraId="0D27F8A0" w14:textId="77777777">
        <w:trPr>
          <w:trHeight w:val="350"/>
        </w:trPr>
        <w:tc>
          <w:tcPr>
            <w:tcW w:w="2695" w:type="dxa"/>
          </w:tcPr>
          <w:p w:rsidRPr="00DC615B" w:rsidR="00851193" w:rsidP="00F40F41" w:rsidRDefault="00851193" w14:paraId="66531DB0"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sidRPr="00DC615B">
              <w:rPr>
                <w:b/>
              </w:rPr>
              <w:t>Burden Element/Cost</w:t>
            </w:r>
          </w:p>
        </w:tc>
        <w:tc>
          <w:tcPr>
            <w:tcW w:w="2250" w:type="dxa"/>
          </w:tcPr>
          <w:p w:rsidRPr="00DC615B" w:rsidR="00851193" w:rsidP="00F40F41" w:rsidRDefault="00851193" w14:paraId="1DA6D13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Respondents</w:t>
            </w:r>
          </w:p>
        </w:tc>
        <w:tc>
          <w:tcPr>
            <w:tcW w:w="2250" w:type="dxa"/>
          </w:tcPr>
          <w:p w:rsidRPr="00DC615B" w:rsidR="00851193" w:rsidP="00F40F41" w:rsidRDefault="006D1B03" w14:paraId="23B5E502"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Pr>
                <w:b/>
              </w:rPr>
              <w:t>EPA</w:t>
            </w:r>
          </w:p>
        </w:tc>
        <w:tc>
          <w:tcPr>
            <w:tcW w:w="2155" w:type="dxa"/>
          </w:tcPr>
          <w:p w:rsidRPr="00DC615B" w:rsidR="00851193" w:rsidP="00F40F41" w:rsidRDefault="00851193" w14:paraId="141F3B05"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Total</w:t>
            </w:r>
          </w:p>
        </w:tc>
      </w:tr>
      <w:tr w:rsidR="006A3A13" w:rsidTr="00375CB0" w14:paraId="767B6A8E" w14:textId="77777777">
        <w:trPr>
          <w:trHeight w:val="370"/>
        </w:trPr>
        <w:tc>
          <w:tcPr>
            <w:tcW w:w="2695" w:type="dxa"/>
            <w:vAlign w:val="center"/>
          </w:tcPr>
          <w:p w:rsidR="00851193" w:rsidP="00375CB0" w:rsidRDefault="00851193" w14:paraId="5179C261"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Number of Respondents</w:t>
            </w:r>
          </w:p>
        </w:tc>
        <w:tc>
          <w:tcPr>
            <w:tcW w:w="2250" w:type="dxa"/>
            <w:vAlign w:val="center"/>
          </w:tcPr>
          <w:p w:rsidRPr="006A3A13" w:rsidR="00861711" w:rsidP="00861711" w:rsidRDefault="002E73ED" w14:paraId="4722DC2E" w14:textId="6C552CC0">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8</w:t>
            </w:r>
            <w:r w:rsidR="00861711">
              <w:t>0</w:t>
            </w:r>
          </w:p>
        </w:tc>
        <w:tc>
          <w:tcPr>
            <w:tcW w:w="2250" w:type="dxa"/>
            <w:vAlign w:val="center"/>
          </w:tcPr>
          <w:p w:rsidRPr="006A3A13" w:rsidR="00851193" w:rsidP="00375CB0" w:rsidRDefault="00851193" w14:paraId="1F659B7E"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155" w:type="dxa"/>
            <w:vAlign w:val="center"/>
          </w:tcPr>
          <w:p w:rsidRPr="006A3A13" w:rsidR="00851193" w:rsidP="00375CB0" w:rsidRDefault="007C5663" w14:paraId="180AEEE4" w14:textId="11AA782B">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8</w:t>
            </w:r>
            <w:r w:rsidR="001D286F">
              <w:t>5</w:t>
            </w:r>
          </w:p>
        </w:tc>
      </w:tr>
      <w:tr w:rsidR="006A3A13" w:rsidTr="00375CB0" w14:paraId="2AACA2AC" w14:textId="77777777">
        <w:trPr>
          <w:trHeight w:val="370"/>
        </w:trPr>
        <w:tc>
          <w:tcPr>
            <w:tcW w:w="2695" w:type="dxa"/>
            <w:vAlign w:val="center"/>
          </w:tcPr>
          <w:p w:rsidR="00851193" w:rsidP="00375CB0" w:rsidRDefault="00851193" w14:paraId="77B3BF98"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Total Hours Per year</w:t>
            </w:r>
          </w:p>
        </w:tc>
        <w:tc>
          <w:tcPr>
            <w:tcW w:w="2250" w:type="dxa"/>
            <w:vAlign w:val="center"/>
          </w:tcPr>
          <w:p w:rsidRPr="006A3A13" w:rsidR="00851193" w:rsidP="00375CB0" w:rsidRDefault="00CE7CB2" w14:paraId="45CA2DB8" w14:textId="53D0B42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E059E3">
              <w:t>4</w:t>
            </w:r>
            <w:r>
              <w:t>9,</w:t>
            </w:r>
            <w:r w:rsidR="003947DF">
              <w:t>502</w:t>
            </w:r>
          </w:p>
        </w:tc>
        <w:tc>
          <w:tcPr>
            <w:tcW w:w="2250" w:type="dxa"/>
            <w:vAlign w:val="center"/>
          </w:tcPr>
          <w:p w:rsidRPr="006A3A13" w:rsidR="00851193" w:rsidP="00375CB0" w:rsidRDefault="003947DF" w14:paraId="7848BD4A" w14:textId="10404184">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31,200</w:t>
            </w:r>
          </w:p>
        </w:tc>
        <w:tc>
          <w:tcPr>
            <w:tcW w:w="2155" w:type="dxa"/>
            <w:vAlign w:val="center"/>
          </w:tcPr>
          <w:p w:rsidRPr="006A3A13" w:rsidR="00851193" w:rsidP="00375CB0" w:rsidRDefault="0096702A" w14:paraId="1992AABC" w14:textId="78EE4748">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80,702</w:t>
            </w:r>
          </w:p>
        </w:tc>
      </w:tr>
      <w:tr w:rsidR="006A3A13" w:rsidTr="00375CB0" w14:paraId="455A4430" w14:textId="77777777">
        <w:trPr>
          <w:trHeight w:val="197"/>
        </w:trPr>
        <w:tc>
          <w:tcPr>
            <w:tcW w:w="2695" w:type="dxa"/>
            <w:vAlign w:val="center"/>
          </w:tcPr>
          <w:p w:rsidR="00851193" w:rsidP="00375CB0" w:rsidRDefault="00851193" w14:paraId="3BE9790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6A3A13" w:rsidR="00851193" w:rsidP="00375CB0" w:rsidRDefault="00851193" w14:paraId="06D5B607"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6A3A13" w:rsidR="00851193" w:rsidP="00375CB0" w:rsidRDefault="00851193" w14:paraId="4FB4D6E6"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155" w:type="dxa"/>
            <w:vAlign w:val="center"/>
          </w:tcPr>
          <w:p w:rsidRPr="006A3A13" w:rsidR="00851193" w:rsidP="00375CB0" w:rsidRDefault="00851193" w14:paraId="67A523C6"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6A3A13" w:rsidTr="00375CB0" w14:paraId="28F8C31F" w14:textId="77777777">
        <w:trPr>
          <w:trHeight w:val="370"/>
        </w:trPr>
        <w:tc>
          <w:tcPr>
            <w:tcW w:w="2695" w:type="dxa"/>
            <w:vAlign w:val="center"/>
          </w:tcPr>
          <w:p w:rsidR="00851193" w:rsidP="00375CB0" w:rsidRDefault="00851193" w14:paraId="32F6B670"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Annual Capital Cost</w:t>
            </w:r>
          </w:p>
        </w:tc>
        <w:tc>
          <w:tcPr>
            <w:tcW w:w="2250" w:type="dxa"/>
            <w:vAlign w:val="center"/>
          </w:tcPr>
          <w:p w:rsidRPr="006A3A13" w:rsidR="00851193" w:rsidP="00375CB0" w:rsidRDefault="00851193" w14:paraId="3DC1A7BA" w14:textId="01F7AE7C">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w:t>
            </w:r>
            <w:r w:rsidRPr="006A3A13" w:rsidR="006D1B03">
              <w:t>1</w:t>
            </w:r>
            <w:r w:rsidR="002E73ED">
              <w:t>2</w:t>
            </w:r>
            <w:r w:rsidR="00817B9C">
              <w:t>7,5</w:t>
            </w:r>
            <w:r w:rsidRPr="006A3A13" w:rsidR="003C4B6A">
              <w:t>00</w:t>
            </w:r>
          </w:p>
        </w:tc>
        <w:tc>
          <w:tcPr>
            <w:tcW w:w="2250" w:type="dxa"/>
            <w:vAlign w:val="center"/>
          </w:tcPr>
          <w:p w:rsidRPr="006A3A13" w:rsidR="00851193" w:rsidP="00375CB0" w:rsidRDefault="00A8730C" w14:paraId="494C5785" w14:textId="54157364">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F40F41">
              <w:t>$300,000</w:t>
            </w:r>
          </w:p>
        </w:tc>
        <w:tc>
          <w:tcPr>
            <w:tcW w:w="2155" w:type="dxa"/>
            <w:vAlign w:val="center"/>
          </w:tcPr>
          <w:p w:rsidRPr="006A3A13" w:rsidR="00851193" w:rsidP="00375CB0" w:rsidRDefault="00851193" w14:paraId="10C67810" w14:textId="7A4D12E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6A3A13">
              <w:t>$</w:t>
            </w:r>
            <w:r w:rsidRPr="006A3A13" w:rsidR="00BF6249">
              <w:t>4</w:t>
            </w:r>
            <w:r w:rsidR="007C5663">
              <w:t>2</w:t>
            </w:r>
            <w:r w:rsidR="00CD68BB">
              <w:t>7</w:t>
            </w:r>
            <w:r w:rsidRPr="006A3A13" w:rsidR="00BF6249">
              <w:t>,</w:t>
            </w:r>
            <w:r w:rsidR="00CD68BB">
              <w:t>50</w:t>
            </w:r>
            <w:r w:rsidRPr="006A3A13" w:rsidR="00A8730C">
              <w:t>0</w:t>
            </w:r>
          </w:p>
        </w:tc>
      </w:tr>
      <w:tr w:rsidR="00DF13E0" w:rsidTr="00375CB0" w14:paraId="0728A240" w14:textId="77777777">
        <w:trPr>
          <w:trHeight w:val="370"/>
        </w:trPr>
        <w:tc>
          <w:tcPr>
            <w:tcW w:w="2695" w:type="dxa"/>
            <w:vAlign w:val="center"/>
          </w:tcPr>
          <w:p w:rsidR="00DF13E0" w:rsidP="00375CB0" w:rsidRDefault="00DF13E0" w14:paraId="6A6256C6"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Annual O&amp;M Cost</w:t>
            </w:r>
          </w:p>
        </w:tc>
        <w:tc>
          <w:tcPr>
            <w:tcW w:w="2250" w:type="dxa"/>
            <w:vAlign w:val="center"/>
          </w:tcPr>
          <w:p w:rsidRPr="00564857" w:rsidR="00DF13E0" w:rsidP="00375CB0" w:rsidRDefault="00DF13E0" w14:paraId="59A7D3F4" w14:textId="4C3D142B">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564857">
              <w:t>$1</w:t>
            </w:r>
            <w:r w:rsidRPr="00564857" w:rsidR="00817B9C">
              <w:t>27,5</w:t>
            </w:r>
            <w:r w:rsidRPr="00564857">
              <w:t>00</w:t>
            </w:r>
          </w:p>
        </w:tc>
        <w:tc>
          <w:tcPr>
            <w:tcW w:w="2250" w:type="dxa"/>
            <w:vAlign w:val="center"/>
          </w:tcPr>
          <w:p w:rsidRPr="006A3A13" w:rsidR="00DF13E0" w:rsidP="00375CB0" w:rsidRDefault="00DF13E0" w14:paraId="167B124F" w14:textId="2BD7C01D">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$1,125,000</w:t>
            </w:r>
          </w:p>
        </w:tc>
        <w:tc>
          <w:tcPr>
            <w:tcW w:w="2155" w:type="dxa"/>
            <w:vAlign w:val="center"/>
          </w:tcPr>
          <w:p w:rsidRPr="006A3A13" w:rsidR="00DF13E0" w:rsidP="00375CB0" w:rsidRDefault="00DF13E0" w14:paraId="0A7A0BF0" w14:textId="0EF1D48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$1,</w:t>
            </w:r>
            <w:r w:rsidR="00564857">
              <w:t>252</w:t>
            </w:r>
            <w:r w:rsidR="007C5663">
              <w:t>,</w:t>
            </w:r>
            <w:r w:rsidR="00564857">
              <w:t>5</w:t>
            </w:r>
            <w:r w:rsidR="007C5663">
              <w:t>00</w:t>
            </w:r>
          </w:p>
        </w:tc>
      </w:tr>
      <w:tr w:rsidR="00DF13E0" w:rsidTr="00375CB0" w14:paraId="5699FFA6" w14:textId="77777777">
        <w:trPr>
          <w:trHeight w:val="370"/>
        </w:trPr>
        <w:tc>
          <w:tcPr>
            <w:tcW w:w="2695" w:type="dxa"/>
            <w:vAlign w:val="center"/>
          </w:tcPr>
          <w:p w:rsidR="00DF13E0" w:rsidP="00375CB0" w:rsidRDefault="00DF13E0" w14:paraId="3CE51D3C"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Total Annual Capital and O&amp;M Costs</w:t>
            </w:r>
          </w:p>
        </w:tc>
        <w:tc>
          <w:tcPr>
            <w:tcW w:w="2250" w:type="dxa"/>
            <w:vAlign w:val="center"/>
          </w:tcPr>
          <w:p w:rsidRPr="00564857" w:rsidR="00DF13E0" w:rsidP="00375CB0" w:rsidRDefault="00DF13E0" w14:paraId="3C9F522D" w14:textId="6B464D10">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564857">
              <w:t>$2</w:t>
            </w:r>
            <w:r w:rsidRPr="00564857" w:rsidR="00817B9C">
              <w:t>55,0</w:t>
            </w:r>
            <w:r w:rsidRPr="00564857">
              <w:t>00</w:t>
            </w:r>
          </w:p>
        </w:tc>
        <w:tc>
          <w:tcPr>
            <w:tcW w:w="2250" w:type="dxa"/>
            <w:vAlign w:val="center"/>
          </w:tcPr>
          <w:p w:rsidRPr="006A3A13" w:rsidR="00DF13E0" w:rsidP="00375CB0" w:rsidRDefault="00DF13E0" w14:paraId="472057D9" w14:textId="6E741204">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$1,425,000</w:t>
            </w:r>
          </w:p>
        </w:tc>
        <w:tc>
          <w:tcPr>
            <w:tcW w:w="2155" w:type="dxa"/>
            <w:vAlign w:val="center"/>
          </w:tcPr>
          <w:p w:rsidRPr="006A3A13" w:rsidR="00DF13E0" w:rsidP="00375CB0" w:rsidRDefault="00DF13E0" w14:paraId="3ED6EEF5" w14:textId="75E419C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$1,6</w:t>
            </w:r>
            <w:r w:rsidR="00564857">
              <w:t>80</w:t>
            </w:r>
            <w:r w:rsidRPr="00444F15">
              <w:t>,000</w:t>
            </w:r>
          </w:p>
        </w:tc>
      </w:tr>
      <w:tr w:rsidR="00DF13E0" w:rsidTr="00375CB0" w14:paraId="6DB83DD8" w14:textId="77777777">
        <w:trPr>
          <w:trHeight w:val="260"/>
        </w:trPr>
        <w:tc>
          <w:tcPr>
            <w:tcW w:w="2695" w:type="dxa"/>
            <w:vAlign w:val="center"/>
          </w:tcPr>
          <w:p w:rsidR="00DF13E0" w:rsidP="00375CB0" w:rsidRDefault="00DF13E0" w14:paraId="6CF16A8E"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6A3A13" w:rsidR="00DF13E0" w:rsidP="00375CB0" w:rsidRDefault="00DF13E0" w14:paraId="0491AEF8"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250" w:type="dxa"/>
            <w:vAlign w:val="center"/>
          </w:tcPr>
          <w:p w:rsidRPr="006A3A13" w:rsidR="00DF13E0" w:rsidP="00375CB0" w:rsidRDefault="00DF13E0" w14:paraId="63F20A6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2155" w:type="dxa"/>
            <w:vAlign w:val="center"/>
          </w:tcPr>
          <w:p w:rsidRPr="006A3A13" w:rsidR="00DF13E0" w:rsidP="00375CB0" w:rsidRDefault="00DF13E0" w14:paraId="5786E97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DF13E0" w:rsidTr="00375CB0" w14:paraId="2CF60E2C" w14:textId="77777777">
        <w:trPr>
          <w:trHeight w:val="370"/>
        </w:trPr>
        <w:tc>
          <w:tcPr>
            <w:tcW w:w="2695" w:type="dxa"/>
            <w:vAlign w:val="center"/>
          </w:tcPr>
          <w:p w:rsidR="00DF13E0" w:rsidP="00375CB0" w:rsidRDefault="00DF13E0" w14:paraId="502974B7"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Labor Cost Per Year</w:t>
            </w:r>
          </w:p>
        </w:tc>
        <w:tc>
          <w:tcPr>
            <w:tcW w:w="2250" w:type="dxa"/>
            <w:vAlign w:val="center"/>
          </w:tcPr>
          <w:p w:rsidRPr="006A3A13" w:rsidR="00CD68BB" w:rsidP="00375CB0" w:rsidRDefault="00DF13E0" w14:paraId="616F6406" w14:textId="1E58B7AC">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CA4B00">
              <w:t>$</w:t>
            </w:r>
            <w:r w:rsidR="006242BE">
              <w:t>4,</w:t>
            </w:r>
            <w:r w:rsidR="00CD68BB">
              <w:t>783,367</w:t>
            </w:r>
          </w:p>
        </w:tc>
        <w:tc>
          <w:tcPr>
            <w:tcW w:w="2250" w:type="dxa"/>
            <w:vAlign w:val="center"/>
          </w:tcPr>
          <w:p w:rsidRPr="006A3A13" w:rsidR="00DF13E0" w:rsidP="00375CB0" w:rsidRDefault="00DF13E0" w14:paraId="095D2854" w14:textId="1BB75120">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w:t>
            </w:r>
            <w:r w:rsidR="006242BE">
              <w:t>2,220,000</w:t>
            </w:r>
          </w:p>
        </w:tc>
        <w:tc>
          <w:tcPr>
            <w:tcW w:w="2155" w:type="dxa"/>
            <w:vAlign w:val="center"/>
          </w:tcPr>
          <w:p w:rsidRPr="006A3A13" w:rsidR="00DF13E0" w:rsidP="00375CB0" w:rsidRDefault="00DF13E0" w14:paraId="55E0D271" w14:textId="68208B7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w:t>
            </w:r>
            <w:r w:rsidR="003C1032">
              <w:t>7,003,367</w:t>
            </w:r>
          </w:p>
        </w:tc>
      </w:tr>
      <w:tr w:rsidR="00DF13E0" w:rsidTr="00375CB0" w14:paraId="79653EC1" w14:textId="77777777">
        <w:trPr>
          <w:trHeight w:val="370"/>
        </w:trPr>
        <w:tc>
          <w:tcPr>
            <w:tcW w:w="2695" w:type="dxa"/>
            <w:vAlign w:val="center"/>
          </w:tcPr>
          <w:p w:rsidR="00DF13E0" w:rsidP="00375CB0" w:rsidRDefault="00DF13E0" w14:paraId="768A6EA5"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Total Cost Per Year</w:t>
            </w:r>
          </w:p>
        </w:tc>
        <w:tc>
          <w:tcPr>
            <w:tcW w:w="2250" w:type="dxa"/>
            <w:vAlign w:val="center"/>
          </w:tcPr>
          <w:p w:rsidRPr="006A3A13" w:rsidR="00DF13E0" w:rsidP="00375CB0" w:rsidRDefault="00DF13E0" w14:paraId="37C3A6C7" w14:textId="5AA87A1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bookmarkStart w:name="_Hlk77249047" w:id="2"/>
            <w:r w:rsidRPr="00CA4B00">
              <w:t>$</w:t>
            </w:r>
            <w:bookmarkEnd w:id="2"/>
            <w:r w:rsidR="003C1032">
              <w:t>5,038,367</w:t>
            </w:r>
          </w:p>
        </w:tc>
        <w:tc>
          <w:tcPr>
            <w:tcW w:w="2250" w:type="dxa"/>
            <w:vAlign w:val="center"/>
          </w:tcPr>
          <w:p w:rsidRPr="006A3A13" w:rsidR="00DF13E0" w:rsidP="00375CB0" w:rsidRDefault="00DF13E0" w14:paraId="67E1FD6D" w14:textId="4ABD46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34121C">
              <w:t>$</w:t>
            </w:r>
            <w:r w:rsidR="006242BE">
              <w:t>3,645,000</w:t>
            </w:r>
          </w:p>
        </w:tc>
        <w:tc>
          <w:tcPr>
            <w:tcW w:w="2155" w:type="dxa"/>
            <w:vAlign w:val="center"/>
          </w:tcPr>
          <w:p w:rsidRPr="006A3A13" w:rsidR="00DF13E0" w:rsidP="00375CB0" w:rsidRDefault="00DF13E0" w14:paraId="63C43655" w14:textId="52CCD6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rsidRPr="00444F15">
              <w:t>$</w:t>
            </w:r>
            <w:r w:rsidR="006242BE">
              <w:t>8,</w:t>
            </w:r>
            <w:r w:rsidR="003C1032">
              <w:t>683,367</w:t>
            </w:r>
          </w:p>
        </w:tc>
      </w:tr>
    </w:tbl>
    <w:p w:rsidRPr="000511B8" w:rsidR="00851193" w:rsidP="00851193" w:rsidRDefault="00851193" w14:paraId="3C25773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sz w:val="16"/>
          <w:szCs w:val="16"/>
        </w:rPr>
      </w:pPr>
    </w:p>
    <w:p w:rsidR="00851193" w:rsidP="00F40F41" w:rsidRDefault="00851193" w14:paraId="045A36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13F0FE5E" w14:textId="6B9B8C9D">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6(f) Reasons for Change in Burden</w:t>
      </w:r>
    </w:p>
    <w:p w:rsidR="00851193" w:rsidP="00F40F41" w:rsidRDefault="00851193" w14:paraId="1F5B1C5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657A6E" w:rsidRDefault="00F74C40" w14:paraId="4951EDD8" w14:textId="30FAB50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net change in </w:t>
      </w:r>
      <w:r w:rsidR="00710B51">
        <w:t xml:space="preserve">the estimated </w:t>
      </w:r>
      <w:r w:rsidRPr="00E265D9">
        <w:t xml:space="preserve">reporting burden as compared with the </w:t>
      </w:r>
      <w:r w:rsidR="00E33DF8">
        <w:t xml:space="preserve">existing </w:t>
      </w:r>
      <w:r w:rsidRPr="00E265D9">
        <w:t xml:space="preserve">approved ICR for the </w:t>
      </w:r>
      <w:r w:rsidR="00E33DF8">
        <w:t>A</w:t>
      </w:r>
      <w:r w:rsidRPr="00E265D9">
        <w:t>ERR</w:t>
      </w:r>
      <w:r>
        <w:t xml:space="preserve"> </w:t>
      </w:r>
      <w:r w:rsidR="00E33DF8">
        <w:t>(EPA ICR #2170.0</w:t>
      </w:r>
      <w:r w:rsidR="00A1497D">
        <w:t>7</w:t>
      </w:r>
      <w:r w:rsidR="00E33DF8">
        <w:t>) is shown in the table below</w:t>
      </w:r>
      <w:r w:rsidRPr="00E91C60">
        <w:t xml:space="preserve">.  </w:t>
      </w:r>
      <w:r w:rsidR="00657A6E">
        <w:t>These changes show a</w:t>
      </w:r>
      <w:r w:rsidR="00A1497D">
        <w:t xml:space="preserve">n </w:t>
      </w:r>
      <w:r w:rsidR="00532598">
        <w:t xml:space="preserve">average annual </w:t>
      </w:r>
      <w:r w:rsidR="00A1497D">
        <w:t xml:space="preserve">increase </w:t>
      </w:r>
      <w:r w:rsidR="00657A6E">
        <w:t xml:space="preserve">in the number of responses from </w:t>
      </w:r>
      <w:r w:rsidR="00A1497D">
        <w:t xml:space="preserve">75 </w:t>
      </w:r>
      <w:r w:rsidR="00657A6E">
        <w:t xml:space="preserve">to </w:t>
      </w:r>
      <w:r w:rsidR="00A1497D">
        <w:t>80</w:t>
      </w:r>
      <w:r w:rsidR="00657A6E">
        <w:t xml:space="preserve"> and an </w:t>
      </w:r>
      <w:r w:rsidR="00817B9C">
        <w:t>associated hour</w:t>
      </w:r>
      <w:r w:rsidR="00DF13E0">
        <w:t xml:space="preserve"> </w:t>
      </w:r>
      <w:r w:rsidR="00E059E3">
        <w:t>increase</w:t>
      </w:r>
      <w:r w:rsidR="00657A6E">
        <w:t xml:space="preserve"> </w:t>
      </w:r>
      <w:r w:rsidR="00DF13E0">
        <w:t>of</w:t>
      </w:r>
      <w:r w:rsidR="00BF1ED8">
        <w:t xml:space="preserve"> about </w:t>
      </w:r>
      <w:r w:rsidR="00CE7CB2">
        <w:t>2,</w:t>
      </w:r>
      <w:r w:rsidR="00C32311">
        <w:t>254</w:t>
      </w:r>
      <w:r w:rsidR="00BF1ED8">
        <w:t xml:space="preserve"> </w:t>
      </w:r>
      <w:r w:rsidR="00C32311">
        <w:t>and cost increase</w:t>
      </w:r>
      <w:r w:rsidR="00DF13E0">
        <w:t xml:space="preserve"> </w:t>
      </w:r>
      <w:r w:rsidR="00C32311">
        <w:t xml:space="preserve">of </w:t>
      </w:r>
      <w:r w:rsidR="00DF13E0">
        <w:t>a</w:t>
      </w:r>
      <w:r w:rsidR="00BF1ED8">
        <w:t xml:space="preserve">bout </w:t>
      </w:r>
      <w:r w:rsidR="00532598">
        <w:t>$524,977 including the changes in labor rates noted next</w:t>
      </w:r>
      <w:r w:rsidR="00657A6E">
        <w:t xml:space="preserve">. </w:t>
      </w:r>
      <w:r w:rsidR="000740BA">
        <w:t xml:space="preserve"> </w:t>
      </w:r>
      <w:r w:rsidRPr="00532598" w:rsidR="00657A6E">
        <w:t xml:space="preserve">This </w:t>
      </w:r>
      <w:r w:rsidRPr="00532598" w:rsidR="00532598">
        <w:t>increase</w:t>
      </w:r>
      <w:r w:rsidRPr="00532598" w:rsidR="00657A6E">
        <w:t xml:space="preserve"> </w:t>
      </w:r>
      <w:r w:rsidRPr="00532598" w:rsidR="00710B51">
        <w:t>does not reflect</w:t>
      </w:r>
      <w:r w:rsidRPr="00532598" w:rsidR="00657A6E">
        <w:t xml:space="preserve"> </w:t>
      </w:r>
      <w:r w:rsidRPr="00532598" w:rsidR="00710B51">
        <w:t>a change in burden for each respondent</w:t>
      </w:r>
      <w:r w:rsidRPr="00532598" w:rsidR="00DF13E0">
        <w:t xml:space="preserve">, but rather </w:t>
      </w:r>
      <w:r w:rsidRPr="00532598" w:rsidR="00657A6E">
        <w:t>reflect</w:t>
      </w:r>
      <w:r w:rsidRPr="00532598" w:rsidR="00DF13E0">
        <w:t>s</w:t>
      </w:r>
      <w:r w:rsidRPr="00532598" w:rsidR="00657A6E">
        <w:t xml:space="preserve"> the latest </w:t>
      </w:r>
      <w:r w:rsidRPr="00532598" w:rsidR="00710B51">
        <w:t>counts</w:t>
      </w:r>
      <w:r w:rsidRPr="00532598" w:rsidR="00657A6E">
        <w:t xml:space="preserve"> of local agencies </w:t>
      </w:r>
      <w:r w:rsidRPr="00532598" w:rsidR="00710B51">
        <w:t>that report their emissions</w:t>
      </w:r>
      <w:r w:rsidRPr="00532598" w:rsidR="00657A6E">
        <w:t xml:space="preserve">. </w:t>
      </w:r>
      <w:r w:rsidRPr="00532598" w:rsidR="000740BA">
        <w:t xml:space="preserve"> </w:t>
      </w:r>
      <w:r w:rsidRPr="00532598" w:rsidR="00657A6E">
        <w:t xml:space="preserve">The previous ICR assumed </w:t>
      </w:r>
      <w:r w:rsidRPr="00532598" w:rsidR="00E059E3">
        <w:t>20</w:t>
      </w:r>
      <w:r w:rsidRPr="00532598" w:rsidR="00657A6E">
        <w:t xml:space="preserve"> local agencies</w:t>
      </w:r>
      <w:r w:rsidR="00657A6E">
        <w:t xml:space="preserve"> would report</w:t>
      </w:r>
      <w:r w:rsidR="00532598">
        <w:t xml:space="preserve"> on average</w:t>
      </w:r>
      <w:r w:rsidR="00657A6E">
        <w:t xml:space="preserve">, but the </w:t>
      </w:r>
      <w:r w:rsidR="00BC3B67">
        <w:t>highest number of</w:t>
      </w:r>
      <w:r w:rsidR="00657A6E">
        <w:t xml:space="preserve"> </w:t>
      </w:r>
      <w:r w:rsidR="00BC3B67">
        <w:t xml:space="preserve">local </w:t>
      </w:r>
      <w:r w:rsidR="00657A6E">
        <w:t xml:space="preserve">agencies reporting in the last three reporting years has been </w:t>
      </w:r>
      <w:r w:rsidR="00532598">
        <w:t>31</w:t>
      </w:r>
      <w:r w:rsidR="00657A6E">
        <w:t xml:space="preserve"> agencies</w:t>
      </w:r>
      <w:r w:rsidR="00532598">
        <w:t xml:space="preserve"> with a weighted average of 26 for a triennial period</w:t>
      </w:r>
      <w:r w:rsidR="00657A6E">
        <w:t>.</w:t>
      </w:r>
      <w:r w:rsidR="00BC3B67">
        <w:t xml:space="preserve">  The total number of state and territorial agencies reporting </w:t>
      </w:r>
      <w:r w:rsidR="00E059E3">
        <w:t xml:space="preserve">is </w:t>
      </w:r>
      <w:r w:rsidR="00BC3B67">
        <w:t>5</w:t>
      </w:r>
      <w:r w:rsidR="00E059E3">
        <w:t>4</w:t>
      </w:r>
      <w:r w:rsidR="00BC3B67">
        <w:t xml:space="preserve">, bringing the total revised number of </w:t>
      </w:r>
      <w:r w:rsidR="00532598">
        <w:t xml:space="preserve">annual average </w:t>
      </w:r>
      <w:r w:rsidR="00BC3B67">
        <w:t xml:space="preserve">respondents to </w:t>
      </w:r>
      <w:r w:rsidR="00E059E3">
        <w:t>80</w:t>
      </w:r>
      <w:r w:rsidR="00BC3B67">
        <w:t>.</w:t>
      </w:r>
    </w:p>
    <w:p w:rsidR="00657A6E" w:rsidP="00F40F41" w:rsidRDefault="00657A6E" w14:paraId="73702B2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BC3B67" w:rsidP="00F40F41" w:rsidRDefault="00532598" w14:paraId="3773ABCA" w14:textId="4D434F2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Additionally,</w:t>
      </w:r>
      <w:r w:rsidRPr="00532598" w:rsidR="00BC3B67">
        <w:t xml:space="preserve"> increase</w:t>
      </w:r>
      <w:r>
        <w:t>d</w:t>
      </w:r>
      <w:r w:rsidRPr="00532598" w:rsidR="00BC3B67">
        <w:t xml:space="preserve"> </w:t>
      </w:r>
      <w:r>
        <w:t xml:space="preserve">labor rates are </w:t>
      </w:r>
      <w:r w:rsidRPr="00532598" w:rsidR="00BC3B67">
        <w:t>included in this ICR as compared with the existing approved ICR.</w:t>
      </w:r>
      <w:r w:rsidR="00BC3B67">
        <w:t xml:space="preserve">  </w:t>
      </w:r>
      <w:r w:rsidR="00E059E3">
        <w:t>L</w:t>
      </w:r>
      <w:r w:rsidR="00BC3B67">
        <w:t xml:space="preserve">abor rates </w:t>
      </w:r>
      <w:r w:rsidR="00710B51">
        <w:t>have been</w:t>
      </w:r>
      <w:r w:rsidR="00BC3B67">
        <w:t xml:space="preserve"> updated to the 20</w:t>
      </w:r>
      <w:r w:rsidR="00E059E3">
        <w:t>20</w:t>
      </w:r>
      <w:r w:rsidR="00BC3B67">
        <w:t xml:space="preserve"> labor rates from </w:t>
      </w:r>
      <w:r w:rsidRPr="005E10B2" w:rsidR="00BC3B67">
        <w:t>U.S. Department of Labor, Bureau of Labor Statistics</w:t>
      </w:r>
      <w:r>
        <w:t xml:space="preserve"> for managers and technical staff</w:t>
      </w:r>
      <w:r w:rsidR="00BC3B67">
        <w:t>.</w:t>
      </w:r>
    </w:p>
    <w:p w:rsidR="008A28D8" w:rsidP="00F40F41" w:rsidRDefault="008A28D8" w14:paraId="020C302B" w14:textId="7EB089B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8A28D8" w:rsidP="00F40F41" w:rsidRDefault="00532598" w14:paraId="55A15A19" w14:textId="597F2A3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EPA costs included in this ICR reflect an update to the number of staff working to support the NEI program.  W</w:t>
      </w:r>
      <w:r w:rsidR="008A28D8">
        <w:t xml:space="preserve">e have revisited the number of EPA FTE involved in data collection for the NEI to include training, support, and the emissions factor program.  This has resulting in an increased number of EPA FTE from 10 to 15, which contributes to a </w:t>
      </w:r>
      <w:r w:rsidRPr="00375CB0" w:rsidR="008A28D8">
        <w:t>$</w:t>
      </w:r>
      <w:r w:rsidR="00375CB0">
        <w:t>740,000</w:t>
      </w:r>
      <w:r w:rsidR="008A28D8">
        <w:t xml:space="preserve"> increase in the cost.</w:t>
      </w:r>
    </w:p>
    <w:p w:rsidR="00BC3B67" w:rsidP="00F40F41" w:rsidRDefault="00BC3B67" w14:paraId="2BAFE0B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Pr="00E059E3" w:rsidR="00E059E3" w:rsidP="00F74C40" w:rsidRDefault="00E059E3" w14:paraId="792CAE41" w14:textId="4225E65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b/>
        </w:rPr>
      </w:pPr>
    </w:p>
    <w:p w:rsidRPr="00E059E3" w:rsidR="00E059E3" w:rsidP="00532598" w:rsidRDefault="00E059E3" w14:paraId="3F11B486" w14:textId="5A0529EF">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rPr>
      </w:pPr>
      <w:r w:rsidRPr="00E059E3">
        <w:rPr>
          <w:b/>
        </w:rPr>
        <w:lastRenderedPageBreak/>
        <w:t>Burden Change</w:t>
      </w:r>
    </w:p>
    <w:p w:rsidRPr="00AA6053" w:rsidR="00E059E3" w:rsidP="00532598" w:rsidRDefault="00E059E3" w14:paraId="132691FD" w14:textId="77777777">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p>
    <w:tbl>
      <w:tblPr>
        <w:tblStyle w:val="TableGrid"/>
        <w:tblW w:w="0" w:type="auto"/>
        <w:tblLook w:val="01E0" w:firstRow="1" w:lastRow="1" w:firstColumn="1" w:lastColumn="1" w:noHBand="0" w:noVBand="0"/>
      </w:tblPr>
      <w:tblGrid>
        <w:gridCol w:w="3505"/>
        <w:gridCol w:w="2700"/>
        <w:gridCol w:w="1350"/>
        <w:gridCol w:w="1795"/>
      </w:tblGrid>
      <w:tr w:rsidRPr="006B08EF" w:rsidR="00E059E3" w:rsidTr="00532598" w14:paraId="12D9D68D" w14:textId="77777777">
        <w:tc>
          <w:tcPr>
            <w:tcW w:w="3505" w:type="dxa"/>
            <w:vAlign w:val="bottom"/>
          </w:tcPr>
          <w:p w:rsidRPr="006B08EF" w:rsidR="00E059E3" w:rsidP="005601A5" w:rsidRDefault="00E059E3" w14:paraId="25474C1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p>
        </w:tc>
        <w:tc>
          <w:tcPr>
            <w:tcW w:w="2700" w:type="dxa"/>
            <w:vAlign w:val="bottom"/>
          </w:tcPr>
          <w:p w:rsidRPr="006B08EF" w:rsidR="00E059E3" w:rsidP="005601A5" w:rsidRDefault="00E059E3" w14:paraId="3B3E551C"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Currently Approved ICR</w:t>
            </w:r>
          </w:p>
        </w:tc>
        <w:tc>
          <w:tcPr>
            <w:tcW w:w="1350" w:type="dxa"/>
            <w:vAlign w:val="bottom"/>
          </w:tcPr>
          <w:p w:rsidRPr="006B08EF" w:rsidR="00E059E3" w:rsidP="005601A5" w:rsidRDefault="00E059E3" w14:paraId="6153F5B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6B08EF">
              <w:t xml:space="preserve">Change </w:t>
            </w:r>
          </w:p>
        </w:tc>
        <w:tc>
          <w:tcPr>
            <w:tcW w:w="1795" w:type="dxa"/>
            <w:vAlign w:val="bottom"/>
          </w:tcPr>
          <w:p w:rsidRPr="006B08EF" w:rsidR="00E059E3" w:rsidP="005601A5" w:rsidRDefault="00E059E3" w14:paraId="6D05CEC2"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Total Requested</w:t>
            </w:r>
          </w:p>
        </w:tc>
      </w:tr>
      <w:tr w:rsidRPr="00E059E3" w:rsidR="00E059E3" w:rsidTr="00532598" w14:paraId="4231BE1A" w14:textId="77777777">
        <w:tc>
          <w:tcPr>
            <w:tcW w:w="3505" w:type="dxa"/>
            <w:vAlign w:val="center"/>
          </w:tcPr>
          <w:p w:rsidRPr="00E059E3" w:rsidR="00E059E3" w:rsidP="005601A5" w:rsidRDefault="00E059E3" w14:paraId="4A088C4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E059E3">
              <w:t>Annual Responses</w:t>
            </w:r>
          </w:p>
        </w:tc>
        <w:tc>
          <w:tcPr>
            <w:tcW w:w="2700" w:type="dxa"/>
            <w:vAlign w:val="center"/>
          </w:tcPr>
          <w:p w:rsidRPr="00E059E3" w:rsidR="00E059E3" w:rsidP="00532598" w:rsidRDefault="00E059E3" w14:paraId="44F979D2" w14:textId="78555C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75</w:t>
            </w:r>
          </w:p>
        </w:tc>
        <w:tc>
          <w:tcPr>
            <w:tcW w:w="1350" w:type="dxa"/>
            <w:vAlign w:val="center"/>
          </w:tcPr>
          <w:p w:rsidRPr="00E059E3" w:rsidR="00E059E3" w:rsidP="00532598" w:rsidRDefault="00E059E3" w14:paraId="31C34FD2" w14:textId="60685E83">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w:t>
            </w:r>
            <w:r w:rsidR="0096702A">
              <w:t>10</w:t>
            </w:r>
          </w:p>
        </w:tc>
        <w:tc>
          <w:tcPr>
            <w:tcW w:w="1795" w:type="dxa"/>
            <w:vAlign w:val="center"/>
          </w:tcPr>
          <w:p w:rsidRPr="00E059E3" w:rsidR="00E059E3" w:rsidP="00532598" w:rsidRDefault="00E059E3" w14:paraId="2CD9FFA9" w14:textId="1EFEAE78">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8</w:t>
            </w:r>
            <w:r w:rsidR="0096702A">
              <w:t>5</w:t>
            </w:r>
          </w:p>
        </w:tc>
      </w:tr>
      <w:tr w:rsidRPr="00E059E3" w:rsidR="00E059E3" w:rsidTr="00532598" w14:paraId="0E828D32" w14:textId="77777777">
        <w:tc>
          <w:tcPr>
            <w:tcW w:w="3505" w:type="dxa"/>
            <w:vAlign w:val="center"/>
          </w:tcPr>
          <w:p w:rsidRPr="00E059E3" w:rsidR="00E059E3" w:rsidP="005601A5" w:rsidRDefault="00E059E3" w14:paraId="0956BEC5" w14:textId="449070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E059E3">
              <w:t xml:space="preserve">Annual </w:t>
            </w:r>
            <w:r w:rsidR="00532598">
              <w:t xml:space="preserve">Respondent </w:t>
            </w:r>
            <w:r w:rsidRPr="00E059E3">
              <w:t>Hour Burden</w:t>
            </w:r>
          </w:p>
        </w:tc>
        <w:tc>
          <w:tcPr>
            <w:tcW w:w="2700" w:type="dxa"/>
            <w:vAlign w:val="center"/>
          </w:tcPr>
          <w:p w:rsidRPr="00E059E3" w:rsidR="00E059E3" w:rsidP="00532598" w:rsidRDefault="00E059E3" w14:paraId="5FE13E71" w14:textId="304D276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47,248</w:t>
            </w:r>
          </w:p>
        </w:tc>
        <w:tc>
          <w:tcPr>
            <w:tcW w:w="1350" w:type="dxa"/>
            <w:vAlign w:val="center"/>
          </w:tcPr>
          <w:p w:rsidRPr="00E059E3" w:rsidR="00E059E3" w:rsidP="00532598" w:rsidRDefault="00E059E3" w14:paraId="5F255BB3" w14:textId="2B77F422">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w:t>
            </w:r>
            <w:r w:rsidR="004F651A">
              <w:t>2,</w:t>
            </w:r>
            <w:r w:rsidR="00C32311">
              <w:t>254</w:t>
            </w:r>
          </w:p>
        </w:tc>
        <w:tc>
          <w:tcPr>
            <w:tcW w:w="1795" w:type="dxa"/>
            <w:vAlign w:val="center"/>
          </w:tcPr>
          <w:p w:rsidRPr="00E059E3" w:rsidR="00E059E3" w:rsidP="00532598" w:rsidRDefault="00E059E3" w14:paraId="373BDC63" w14:textId="33DD7B38">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E059E3">
              <w:t>4</w:t>
            </w:r>
            <w:r w:rsidR="004F651A">
              <w:t>9,</w:t>
            </w:r>
            <w:r w:rsidR="00C32311">
              <w:t>502</w:t>
            </w:r>
          </w:p>
        </w:tc>
      </w:tr>
      <w:tr w:rsidRPr="00E059E3" w:rsidR="00E059E3" w:rsidTr="00532598" w14:paraId="44D363D5" w14:textId="77777777">
        <w:tc>
          <w:tcPr>
            <w:tcW w:w="3505" w:type="dxa"/>
            <w:vAlign w:val="center"/>
          </w:tcPr>
          <w:p w:rsidRPr="00E059E3" w:rsidR="00E059E3" w:rsidP="005601A5" w:rsidRDefault="00E059E3" w14:paraId="416F78BA" w14:textId="3691535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rsidRPr="00E059E3">
              <w:t xml:space="preserve">Annual </w:t>
            </w:r>
            <w:r w:rsidR="00532598">
              <w:t xml:space="preserve">Respondent </w:t>
            </w:r>
            <w:r w:rsidRPr="00E059E3">
              <w:t>Cost Burden</w:t>
            </w:r>
          </w:p>
        </w:tc>
        <w:tc>
          <w:tcPr>
            <w:tcW w:w="2700" w:type="dxa"/>
            <w:vAlign w:val="center"/>
          </w:tcPr>
          <w:p w:rsidRPr="00E059E3" w:rsidR="00E059E3" w:rsidP="00532598" w:rsidRDefault="00E059E3" w14:paraId="6C774EEF" w14:textId="7961F5D4">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bCs/>
              </w:rPr>
            </w:pPr>
            <w:r w:rsidRPr="00E059E3">
              <w:t>$4,513,390</w:t>
            </w:r>
          </w:p>
        </w:tc>
        <w:tc>
          <w:tcPr>
            <w:tcW w:w="1350" w:type="dxa"/>
            <w:vAlign w:val="center"/>
          </w:tcPr>
          <w:p w:rsidRPr="00E059E3" w:rsidR="00E059E3" w:rsidP="00532598" w:rsidRDefault="00C32311" w14:paraId="381C1F16" w14:textId="51C2DE7F">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w:t>
            </w:r>
            <w:r w:rsidR="00532598">
              <w:t>524,977</w:t>
            </w:r>
          </w:p>
        </w:tc>
        <w:tc>
          <w:tcPr>
            <w:tcW w:w="1795" w:type="dxa"/>
            <w:vAlign w:val="center"/>
          </w:tcPr>
          <w:p w:rsidRPr="00E059E3" w:rsidR="00E059E3" w:rsidP="00532598" w:rsidRDefault="00C32311" w14:paraId="29E15700" w14:textId="441AC6DD">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w:t>
            </w:r>
            <w:r w:rsidR="003C1032">
              <w:t>5,038,367</w:t>
            </w:r>
          </w:p>
        </w:tc>
      </w:tr>
      <w:tr w:rsidRPr="00E059E3" w:rsidR="00532598" w:rsidTr="00532598" w14:paraId="03EDC598" w14:textId="77777777">
        <w:tc>
          <w:tcPr>
            <w:tcW w:w="3505" w:type="dxa"/>
            <w:vAlign w:val="center"/>
          </w:tcPr>
          <w:p w:rsidRPr="00E059E3" w:rsidR="00532598" w:rsidP="005601A5" w:rsidRDefault="00532598" w14:paraId="172556B7" w14:textId="170BC9A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Annual EPA Cost Burden</w:t>
            </w:r>
          </w:p>
        </w:tc>
        <w:tc>
          <w:tcPr>
            <w:tcW w:w="2700" w:type="dxa"/>
            <w:vAlign w:val="center"/>
          </w:tcPr>
          <w:p w:rsidRPr="00E059E3" w:rsidR="00532598" w:rsidP="00532598" w:rsidRDefault="00375CB0" w14:paraId="0E7C6E4B" w14:textId="196A5630">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$1,480,000</w:t>
            </w:r>
          </w:p>
        </w:tc>
        <w:tc>
          <w:tcPr>
            <w:tcW w:w="1350" w:type="dxa"/>
            <w:vAlign w:val="center"/>
          </w:tcPr>
          <w:p w:rsidR="00532598" w:rsidP="00532598" w:rsidRDefault="00375CB0" w14:paraId="569FF57B" w14:textId="3096C625">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t>$740,000</w:t>
            </w:r>
          </w:p>
        </w:tc>
        <w:tc>
          <w:tcPr>
            <w:tcW w:w="1795" w:type="dxa"/>
            <w:vAlign w:val="center"/>
          </w:tcPr>
          <w:p w:rsidR="00532598" w:rsidP="00532598" w:rsidRDefault="00375CB0" w14:paraId="51995F67" w14:textId="0A00E5D3">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pPr>
            <w:r w:rsidRPr="0034121C">
              <w:t>$</w:t>
            </w:r>
            <w:r>
              <w:t>2,220,000</w:t>
            </w:r>
          </w:p>
        </w:tc>
      </w:tr>
    </w:tbl>
    <w:p w:rsidR="00F74C40" w:rsidP="00F74C40" w:rsidRDefault="00F74C40" w14:paraId="449810E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p w:rsidR="00851193" w:rsidP="00851193" w:rsidRDefault="00851193" w14:paraId="18CE5A4C"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Pr="005B1A28" w:rsidR="00851193" w:rsidP="00851193" w:rsidRDefault="00851193" w14:paraId="3F6AD54C" w14:textId="1B9CE3F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Pr>
          <w:rStyle w:val="2ndtier1"/>
        </w:rPr>
        <w:tab/>
      </w:r>
      <w:r w:rsidRPr="005B1A28">
        <w:rPr>
          <w:rStyle w:val="2ndtier1"/>
        </w:rPr>
        <w:t xml:space="preserve">6(g) Burden Statement </w:t>
      </w:r>
    </w:p>
    <w:p w:rsidRPr="005B1A28" w:rsidR="00851193" w:rsidP="00851193" w:rsidRDefault="00851193" w14:paraId="0085AD97"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p>
    <w:p w:rsidR="00851193" w:rsidP="00851193" w:rsidRDefault="00851193" w14:paraId="23611954" w14:textId="61CE091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5B1A28">
        <w:tab/>
      </w:r>
      <w:r w:rsidRPr="00576FFA" w:rsidR="00576FFA">
        <w:rPr>
          <w:lang w:val="en"/>
        </w:rPr>
        <w:t xml:space="preserve">The annual public reporting and recordkeeping burden for this collection of information is estimated to average </w:t>
      </w:r>
      <w:r w:rsidR="00A37866">
        <w:rPr>
          <w:lang w:val="en"/>
        </w:rPr>
        <w:t>6</w:t>
      </w:r>
      <w:r w:rsidR="00C22A54">
        <w:rPr>
          <w:lang w:val="en"/>
        </w:rPr>
        <w:t>19</w:t>
      </w:r>
      <w:r w:rsidR="00D0517B">
        <w:rPr>
          <w:lang w:val="en"/>
        </w:rPr>
        <w:t xml:space="preserve"> </w:t>
      </w:r>
      <w:r w:rsidRPr="00576FFA" w:rsidR="00576FFA">
        <w:rPr>
          <w:lang w:val="en"/>
        </w:rPr>
        <w:t>hours per response</w:t>
      </w:r>
      <w:r w:rsidR="00391EFB">
        <w:rPr>
          <w:lang w:val="en"/>
        </w:rPr>
        <w:t>, $1,500 in capital costs, and $1,500 in operation and maintenance costs</w:t>
      </w:r>
      <w:r w:rsidRPr="00576FFA" w:rsidR="00576FFA">
        <w:rPr>
          <w:lang w:val="en"/>
        </w:rPr>
        <w:t>.  Burden means the total time, effort, or financial resources expended by persons to</w:t>
      </w:r>
      <w:r w:rsidR="00576FFA">
        <w:rPr>
          <w:lang w:val="en"/>
        </w:rPr>
        <w:t xml:space="preserve"> </w:t>
      </w:r>
      <w:r w:rsidRPr="00576FFA" w:rsidR="00576FFA">
        <w:rPr>
          <w:lang w:val="en"/>
        </w:rPr>
        <w:t>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51193" w:rsidP="00851193" w:rsidRDefault="00851193" w14:paraId="5F156A1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P="00851193" w:rsidRDefault="00851193" w14:paraId="5393804E" w14:textId="07DE3837">
      <w:pPr>
        <w:numPr>
          <w:ilvl w:val="12"/>
          <w:numId w:val="0"/>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r>
        <w:rPr>
          <w:color w:val="0F0F0F"/>
        </w:rPr>
        <w:t xml:space="preserve">To comment on the </w:t>
      </w:r>
      <w:r w:rsidR="0039759B">
        <w:rPr>
          <w:color w:val="0F0F0F"/>
        </w:rPr>
        <w:t>a</w:t>
      </w:r>
      <w:r>
        <w:rPr>
          <w:color w:val="0F0F0F"/>
        </w:rPr>
        <w:t xml:space="preserve">gency's need for this information, the accuracy of the provided burden estimates, and any suggested methods for minimizing respondent burden, including the use of automated collection techniques, </w:t>
      </w:r>
      <w:r w:rsidR="0039759B">
        <w:rPr>
          <w:color w:val="0F0F0F"/>
        </w:rPr>
        <w:t xml:space="preserve">the </w:t>
      </w:r>
      <w:r>
        <w:rPr>
          <w:color w:val="0F0F0F"/>
        </w:rPr>
        <w:t>EPA has established a public docket for this ICR under Docket ID Number EPA-HQ-OAR-</w:t>
      </w:r>
      <w:r w:rsidRPr="000A58A6">
        <w:rPr>
          <w:color w:val="0F0F0F"/>
        </w:rPr>
        <w:t>200</w:t>
      </w:r>
      <w:r w:rsidRPr="000A58A6" w:rsidR="000A58A6">
        <w:rPr>
          <w:color w:val="0F0F0F"/>
        </w:rPr>
        <w:t>4</w:t>
      </w:r>
      <w:r w:rsidRPr="000A58A6">
        <w:rPr>
          <w:color w:val="0F0F0F"/>
        </w:rPr>
        <w:t>-04</w:t>
      </w:r>
      <w:r w:rsidRPr="000A58A6" w:rsidR="000A58A6">
        <w:rPr>
          <w:color w:val="0F0F0F"/>
        </w:rPr>
        <w:t>89</w:t>
      </w:r>
      <w:r>
        <w:rPr>
          <w:color w:val="0F0F0F"/>
        </w:rPr>
        <w:t xml:space="preserve">, which is available for online viewing </w:t>
      </w:r>
      <w:r w:rsidRPr="00DF2AE5">
        <w:t xml:space="preserve">at </w:t>
      </w:r>
      <w:hyperlink w:history="1" r:id="rId8">
        <w:r w:rsidRPr="00DD7FC7">
          <w:rPr>
            <w:i/>
          </w:rPr>
          <w:t>www.regulations.gov</w:t>
        </w:r>
      </w:hyperlink>
      <w:r>
        <w:rPr>
          <w:color w:val="0F0F0F"/>
        </w:rPr>
        <w:t>, or in</w:t>
      </w:r>
      <w:r w:rsidR="00DD7FC7">
        <w:rPr>
          <w:color w:val="0F0F0F"/>
        </w:rPr>
        <w:t>-</w:t>
      </w:r>
      <w:r>
        <w:rPr>
          <w:color w:val="0F0F0F"/>
        </w:rPr>
        <w:t xml:space="preserve">person viewing at the Air and Radiation Docket and Information Center in the EPA Docket Center (EPA/DC), </w:t>
      </w:r>
      <w:r w:rsidR="00DD7FC7">
        <w:rPr>
          <w:color w:val="0F0F0F"/>
        </w:rPr>
        <w:t>WJC</w:t>
      </w:r>
      <w:r>
        <w:rPr>
          <w:color w:val="0F0F0F"/>
        </w:rPr>
        <w:t xml:space="preserve">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t>
      </w:r>
      <w:r w:rsidRPr="00DD7FC7">
        <w:rPr>
          <w:i/>
          <w:color w:val="0F0F0F"/>
        </w:rPr>
        <w:t>www.regulations.gov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w:t>
      </w:r>
      <w:r w:rsidR="0039759B">
        <w:rPr>
          <w:color w:val="0F0F0F"/>
        </w:rPr>
        <w:t xml:space="preserve"> </w:t>
      </w:r>
      <w:r>
        <w:rPr>
          <w:color w:val="0F0F0F"/>
        </w:rPr>
        <w:t>Desk Officer for EPA.  Please include the EPA Docket ID</w:t>
      </w:r>
      <w:r w:rsidR="0039759B">
        <w:rPr>
          <w:color w:val="0F0F0F"/>
        </w:rPr>
        <w:t xml:space="preserve"> </w:t>
      </w:r>
      <w:r>
        <w:rPr>
          <w:color w:val="0F0F0F"/>
        </w:rPr>
        <w:t>Number EPA-HQ-OAR-</w:t>
      </w:r>
      <w:r w:rsidRPr="000A58A6" w:rsidR="000A58A6">
        <w:rPr>
          <w:color w:val="0F0F0F"/>
        </w:rPr>
        <w:t>2004-0489</w:t>
      </w:r>
      <w:r w:rsidR="000A58A6">
        <w:rPr>
          <w:color w:val="0F0F0F"/>
        </w:rPr>
        <w:t xml:space="preserve"> </w:t>
      </w:r>
      <w:r>
        <w:rPr>
          <w:color w:val="0F0F0F"/>
        </w:rPr>
        <w:t xml:space="preserve">and OMB Control Number </w:t>
      </w:r>
      <w:r w:rsidRPr="00D94484">
        <w:rPr>
          <w:color w:val="0F0F0F"/>
        </w:rPr>
        <w:t>2060-0</w:t>
      </w:r>
      <w:r w:rsidRPr="00D94484" w:rsidR="00F1761F">
        <w:rPr>
          <w:color w:val="0F0F0F"/>
        </w:rPr>
        <w:t>580</w:t>
      </w:r>
      <w:r>
        <w:rPr>
          <w:color w:val="0F0F0F"/>
        </w:rPr>
        <w:t xml:space="preserve"> in any correspondence.</w:t>
      </w:r>
    </w:p>
    <w:p w:rsidR="00851193" w:rsidP="00851193" w:rsidRDefault="00851193" w14:paraId="5CAE1C3B" w14:textId="2E0FAE0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rPr>
      </w:pPr>
      <w:r>
        <w:br w:type="page"/>
      </w:r>
      <w:r>
        <w:rPr>
          <w:rFonts w:ascii="Arial" w:hAnsi="Arial" w:cs="Arial"/>
          <w:b/>
          <w:bCs/>
        </w:rPr>
        <w:lastRenderedPageBreak/>
        <w:t>Table 6-1.  State Respondent Burden Hours by Activity</w:t>
      </w:r>
    </w:p>
    <w:p w:rsidR="00851193" w:rsidP="00851193" w:rsidRDefault="00851193" w14:paraId="1E7DF2D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rFonts w:ascii="Arial" w:hAnsi="Arial" w:cs="Arial"/>
        </w:rPr>
      </w:pPr>
    </w:p>
    <w:tbl>
      <w:tblPr>
        <w:tblW w:w="0" w:type="auto"/>
        <w:tblInd w:w="8" w:type="dxa"/>
        <w:tblLayout w:type="fixed"/>
        <w:tblCellMar>
          <w:left w:w="2" w:type="dxa"/>
          <w:right w:w="2" w:type="dxa"/>
        </w:tblCellMar>
        <w:tblLook w:val="0000" w:firstRow="0" w:lastRow="0" w:firstColumn="0" w:lastColumn="0" w:noHBand="0" w:noVBand="0"/>
      </w:tblPr>
      <w:tblGrid>
        <w:gridCol w:w="6118"/>
        <w:gridCol w:w="1078"/>
        <w:gridCol w:w="1078"/>
        <w:gridCol w:w="1083"/>
      </w:tblGrid>
      <w:tr w:rsidR="00851193" w:rsidTr="004F5AE5" w14:paraId="79CF691D" w14:textId="77777777">
        <w:trPr>
          <w:cantSplit/>
        </w:trPr>
        <w:tc>
          <w:tcPr>
            <w:tcW w:w="6118" w:type="dxa"/>
            <w:vMerge w:val="restart"/>
            <w:tcBorders>
              <w:top w:val="single" w:color="000000" w:sz="6" w:space="0"/>
              <w:left w:val="single" w:color="000000" w:sz="6" w:space="0"/>
              <w:bottom w:val="nil"/>
              <w:right w:val="nil"/>
            </w:tcBorders>
            <w:vAlign w:val="bottom"/>
          </w:tcPr>
          <w:p w:rsidR="00851193" w:rsidP="004F5AE5" w:rsidRDefault="00851193" w14:paraId="60DA72D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rPr>
                <w:rFonts w:ascii="Arial" w:hAnsi="Arial" w:cs="Arial"/>
                <w:b/>
                <w:bCs/>
                <w:sz w:val="18"/>
                <w:szCs w:val="18"/>
              </w:rPr>
            </w:pPr>
          </w:p>
          <w:p w:rsidR="00851193" w:rsidP="004F5AE5" w:rsidRDefault="00EB11C3" w14:paraId="3775175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after="57"/>
              <w:rPr>
                <w:sz w:val="18"/>
                <w:szCs w:val="18"/>
              </w:rPr>
            </w:pPr>
            <w:r>
              <w:rPr>
                <w:rFonts w:ascii="Arial" w:hAnsi="Arial" w:cs="Arial"/>
                <w:b/>
                <w:bCs/>
                <w:sz w:val="18"/>
                <w:szCs w:val="18"/>
              </w:rPr>
              <w:t xml:space="preserve">  </w:t>
            </w:r>
            <w:r w:rsidR="00851193">
              <w:rPr>
                <w:rFonts w:ascii="Arial" w:hAnsi="Arial" w:cs="Arial"/>
                <w:b/>
                <w:bCs/>
                <w:sz w:val="18"/>
                <w:szCs w:val="18"/>
              </w:rPr>
              <w:t>Information Collection Activity</w:t>
            </w:r>
          </w:p>
        </w:tc>
        <w:tc>
          <w:tcPr>
            <w:tcW w:w="3239" w:type="dxa"/>
            <w:gridSpan w:val="3"/>
            <w:tcBorders>
              <w:top w:val="single" w:color="000000" w:sz="6" w:space="0"/>
              <w:left w:val="single" w:color="000000" w:sz="6" w:space="0"/>
              <w:bottom w:val="nil"/>
              <w:right w:val="single" w:color="000000" w:sz="6" w:space="0"/>
            </w:tcBorders>
            <w:vAlign w:val="bottom"/>
          </w:tcPr>
          <w:p w:rsidR="00851193" w:rsidP="004F5AE5" w:rsidRDefault="00851193" w14:paraId="220D785E" w14:textId="77777777">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Hours Per Respondent</w:t>
            </w:r>
          </w:p>
        </w:tc>
      </w:tr>
      <w:tr w:rsidR="00851193" w:rsidTr="004F5AE5" w14:paraId="37559941" w14:textId="77777777">
        <w:trPr>
          <w:cantSplit/>
        </w:trPr>
        <w:tc>
          <w:tcPr>
            <w:tcW w:w="6118" w:type="dxa"/>
            <w:vMerge/>
            <w:tcBorders>
              <w:top w:val="single" w:color="000000" w:sz="6" w:space="0"/>
              <w:left w:val="single" w:color="000000" w:sz="6" w:space="0"/>
              <w:bottom w:val="nil"/>
              <w:right w:val="nil"/>
            </w:tcBorders>
            <w:vAlign w:val="bottom"/>
          </w:tcPr>
          <w:p w:rsidR="00851193" w:rsidP="004F5AE5" w:rsidRDefault="00851193" w14:paraId="25007BD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p>
        </w:tc>
        <w:tc>
          <w:tcPr>
            <w:tcW w:w="1078" w:type="dxa"/>
            <w:tcBorders>
              <w:top w:val="single" w:color="000000" w:sz="6" w:space="0"/>
              <w:left w:val="single" w:color="000000" w:sz="6" w:space="0"/>
              <w:bottom w:val="nil"/>
              <w:right w:val="nil"/>
            </w:tcBorders>
            <w:vAlign w:val="bottom"/>
          </w:tcPr>
          <w:p w:rsidR="00851193" w:rsidP="004F5AE5" w:rsidRDefault="00851193" w14:paraId="1E9CB0B8" w14:textId="77777777">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Managerial Hours</w:t>
            </w:r>
          </w:p>
        </w:tc>
        <w:tc>
          <w:tcPr>
            <w:tcW w:w="1078" w:type="dxa"/>
            <w:tcBorders>
              <w:top w:val="single" w:color="000000" w:sz="6" w:space="0"/>
              <w:left w:val="single" w:color="000000" w:sz="6" w:space="0"/>
              <w:bottom w:val="nil"/>
              <w:right w:val="nil"/>
            </w:tcBorders>
            <w:vAlign w:val="bottom"/>
          </w:tcPr>
          <w:p w:rsidR="00851193" w:rsidP="004F5AE5" w:rsidRDefault="00851193" w14:paraId="7C3437BD" w14:textId="77777777">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Technical Hours</w:t>
            </w:r>
          </w:p>
        </w:tc>
        <w:tc>
          <w:tcPr>
            <w:tcW w:w="1083" w:type="dxa"/>
            <w:tcBorders>
              <w:top w:val="single" w:color="000000" w:sz="6" w:space="0"/>
              <w:left w:val="single" w:color="000000" w:sz="6" w:space="0"/>
              <w:bottom w:val="nil"/>
              <w:right w:val="single" w:color="000000" w:sz="6" w:space="0"/>
            </w:tcBorders>
            <w:vAlign w:val="bottom"/>
          </w:tcPr>
          <w:p w:rsidR="00851193" w:rsidP="004F5AE5" w:rsidRDefault="00851193" w14:paraId="7A4B5700" w14:textId="77777777">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Total</w:t>
            </w:r>
          </w:p>
        </w:tc>
      </w:tr>
      <w:tr w:rsidR="00851193" w:rsidTr="004F5AE5" w14:paraId="1848EB6B" w14:textId="77777777">
        <w:trPr>
          <w:cantSplit/>
        </w:trPr>
        <w:tc>
          <w:tcPr>
            <w:tcW w:w="9357" w:type="dxa"/>
            <w:gridSpan w:val="4"/>
            <w:tcBorders>
              <w:top w:val="single" w:color="000000" w:sz="6" w:space="0"/>
              <w:left w:val="single" w:color="000000" w:sz="6" w:space="0"/>
              <w:bottom w:val="nil"/>
              <w:right w:val="single" w:color="000000" w:sz="6" w:space="0"/>
            </w:tcBorders>
          </w:tcPr>
          <w:p w:rsidRPr="00000788" w:rsidR="00851193" w:rsidP="004F5AE5" w:rsidRDefault="00EB11C3" w14:paraId="69E52EF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r>
              <w:rPr>
                <w:rFonts w:ascii="Arial" w:hAnsi="Arial" w:cs="Arial"/>
                <w:b/>
                <w:bCs/>
                <w:i/>
                <w:iCs/>
                <w:sz w:val="18"/>
                <w:szCs w:val="18"/>
              </w:rPr>
              <w:t xml:space="preserve">  </w:t>
            </w:r>
            <w:r w:rsidRPr="00000788" w:rsidR="00851193">
              <w:rPr>
                <w:rFonts w:ascii="Arial" w:hAnsi="Arial" w:cs="Arial"/>
                <w:b/>
                <w:bCs/>
                <w:iCs/>
                <w:sz w:val="18"/>
                <w:szCs w:val="18"/>
              </w:rPr>
              <w:t>Annual</w:t>
            </w:r>
          </w:p>
        </w:tc>
      </w:tr>
      <w:tr w:rsidR="00851193" w:rsidTr="004F5AE5" w14:paraId="185B04B3" w14:textId="77777777">
        <w:trPr>
          <w:cantSplit/>
        </w:trPr>
        <w:tc>
          <w:tcPr>
            <w:tcW w:w="6118" w:type="dxa"/>
            <w:tcBorders>
              <w:top w:val="single" w:color="000000" w:sz="6" w:space="0"/>
              <w:left w:val="single" w:color="000000" w:sz="6" w:space="0"/>
              <w:bottom w:val="nil"/>
              <w:right w:val="nil"/>
            </w:tcBorders>
          </w:tcPr>
          <w:p w:rsidRPr="00EB11C3" w:rsidR="00851193" w:rsidP="00035E1F" w:rsidRDefault="00851193" w14:paraId="407C283C"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w:t>
            </w:r>
            <w:r w:rsidRPr="00EB11C3" w:rsidR="00EB11C3">
              <w:rPr>
                <w:sz w:val="20"/>
                <w:szCs w:val="20"/>
              </w:rPr>
              <w:t xml:space="preserve">Extract data from the </w:t>
            </w:r>
            <w:r w:rsidR="00035E1F">
              <w:rPr>
                <w:sz w:val="20"/>
                <w:szCs w:val="20"/>
              </w:rPr>
              <w:t>s</w:t>
            </w:r>
            <w:r w:rsidRPr="00EB11C3" w:rsidR="00EB11C3">
              <w:rPr>
                <w:sz w:val="20"/>
                <w:szCs w:val="20"/>
              </w:rPr>
              <w:t>tate data system</w:t>
            </w:r>
          </w:p>
        </w:tc>
        <w:tc>
          <w:tcPr>
            <w:tcW w:w="1078" w:type="dxa"/>
            <w:tcBorders>
              <w:top w:val="single" w:color="000000" w:sz="6" w:space="0"/>
              <w:left w:val="single" w:color="000000" w:sz="6" w:space="0"/>
              <w:bottom w:val="nil"/>
              <w:right w:val="nil"/>
            </w:tcBorders>
          </w:tcPr>
          <w:p w:rsidRPr="00EB11C3" w:rsidR="00851193" w:rsidP="004F5AE5" w:rsidRDefault="00851193" w14:paraId="762060C2" w14:textId="77777777">
            <w:pPr>
              <w:widowControl/>
              <w:tabs>
                <w:tab w:val="left" w:pos="0"/>
                <w:tab w:val="left" w:pos="720"/>
              </w:tabs>
              <w:spacing w:before="38" w:after="57"/>
              <w:jc w:val="center"/>
              <w:rPr>
                <w:sz w:val="20"/>
                <w:szCs w:val="20"/>
              </w:rPr>
            </w:pPr>
          </w:p>
        </w:tc>
        <w:tc>
          <w:tcPr>
            <w:tcW w:w="1078" w:type="dxa"/>
            <w:tcBorders>
              <w:top w:val="single" w:color="000000" w:sz="6" w:space="0"/>
              <w:left w:val="single" w:color="000000" w:sz="6" w:space="0"/>
              <w:bottom w:val="nil"/>
              <w:right w:val="nil"/>
            </w:tcBorders>
          </w:tcPr>
          <w:p w:rsidRPr="00EB11C3" w:rsidR="00851193" w:rsidP="004F5AE5" w:rsidRDefault="00EB11C3" w14:paraId="532CDFF2" w14:textId="77777777">
            <w:pPr>
              <w:widowControl/>
              <w:tabs>
                <w:tab w:val="left" w:pos="0"/>
                <w:tab w:val="left" w:pos="720"/>
              </w:tabs>
              <w:spacing w:before="38" w:after="57"/>
              <w:jc w:val="center"/>
              <w:rPr>
                <w:sz w:val="20"/>
                <w:szCs w:val="20"/>
              </w:rPr>
            </w:pPr>
            <w:r>
              <w:rPr>
                <w:sz w:val="20"/>
                <w:szCs w:val="20"/>
              </w:rPr>
              <w:t>4</w:t>
            </w:r>
          </w:p>
        </w:tc>
        <w:tc>
          <w:tcPr>
            <w:tcW w:w="1083" w:type="dxa"/>
            <w:tcBorders>
              <w:top w:val="single" w:color="000000" w:sz="6" w:space="0"/>
              <w:left w:val="single" w:color="000000" w:sz="6" w:space="0"/>
              <w:bottom w:val="nil"/>
              <w:right w:val="single" w:color="000000" w:sz="6" w:space="0"/>
            </w:tcBorders>
          </w:tcPr>
          <w:p w:rsidRPr="00EB11C3" w:rsidR="00851193" w:rsidP="004F5AE5" w:rsidRDefault="00482FC8" w14:paraId="7B982F49" w14:textId="77777777">
            <w:pPr>
              <w:widowControl/>
              <w:tabs>
                <w:tab w:val="left" w:pos="0"/>
                <w:tab w:val="left" w:pos="720"/>
              </w:tabs>
              <w:spacing w:before="38" w:after="57"/>
              <w:jc w:val="center"/>
              <w:rPr>
                <w:sz w:val="20"/>
                <w:szCs w:val="20"/>
              </w:rPr>
            </w:pPr>
            <w:r>
              <w:rPr>
                <w:sz w:val="20"/>
                <w:szCs w:val="20"/>
              </w:rPr>
              <w:t>4</w:t>
            </w:r>
          </w:p>
        </w:tc>
      </w:tr>
      <w:tr w:rsidR="00851193" w:rsidTr="004F5AE5" w14:paraId="4AD67CD7" w14:textId="77777777">
        <w:trPr>
          <w:cantSplit/>
        </w:trPr>
        <w:tc>
          <w:tcPr>
            <w:tcW w:w="6118" w:type="dxa"/>
            <w:tcBorders>
              <w:top w:val="single" w:color="000000" w:sz="6" w:space="0"/>
              <w:left w:val="single" w:color="000000" w:sz="6" w:space="0"/>
              <w:bottom w:val="nil"/>
              <w:right w:val="nil"/>
            </w:tcBorders>
          </w:tcPr>
          <w:p w:rsidRPr="00EB11C3" w:rsidR="00851193" w:rsidP="004F5AE5" w:rsidRDefault="00851193" w14:paraId="76D00032"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w:t>
            </w:r>
            <w:r w:rsidRPr="00EB11C3" w:rsidR="00EB11C3">
              <w:rPr>
                <w:sz w:val="20"/>
                <w:szCs w:val="20"/>
              </w:rPr>
              <w:t>Convert data into the XML format – Facility info</w:t>
            </w:r>
          </w:p>
        </w:tc>
        <w:tc>
          <w:tcPr>
            <w:tcW w:w="1078" w:type="dxa"/>
            <w:tcBorders>
              <w:top w:val="single" w:color="000000" w:sz="6" w:space="0"/>
              <w:left w:val="single" w:color="000000" w:sz="6" w:space="0"/>
              <w:bottom w:val="nil"/>
              <w:right w:val="nil"/>
            </w:tcBorders>
          </w:tcPr>
          <w:p w:rsidRPr="00EB11C3" w:rsidR="00851193" w:rsidP="004F5AE5" w:rsidRDefault="00851193" w14:paraId="24A46EB5" w14:textId="77777777">
            <w:pPr>
              <w:widowControl/>
              <w:tabs>
                <w:tab w:val="left" w:pos="0"/>
                <w:tab w:val="left" w:pos="720"/>
              </w:tabs>
              <w:spacing w:before="38" w:after="57"/>
              <w:jc w:val="center"/>
              <w:rPr>
                <w:sz w:val="20"/>
                <w:szCs w:val="20"/>
              </w:rPr>
            </w:pPr>
          </w:p>
        </w:tc>
        <w:tc>
          <w:tcPr>
            <w:tcW w:w="1078" w:type="dxa"/>
            <w:tcBorders>
              <w:top w:val="single" w:color="000000" w:sz="6" w:space="0"/>
              <w:left w:val="single" w:color="000000" w:sz="6" w:space="0"/>
              <w:bottom w:val="nil"/>
              <w:right w:val="nil"/>
            </w:tcBorders>
          </w:tcPr>
          <w:p w:rsidRPr="00EB11C3" w:rsidR="00851193" w:rsidP="004F5AE5" w:rsidRDefault="00EB11C3" w14:paraId="5337E900" w14:textId="77777777">
            <w:pPr>
              <w:widowControl/>
              <w:tabs>
                <w:tab w:val="left" w:pos="0"/>
                <w:tab w:val="left" w:pos="720"/>
              </w:tabs>
              <w:spacing w:before="38" w:after="57"/>
              <w:jc w:val="center"/>
              <w:rPr>
                <w:sz w:val="20"/>
                <w:szCs w:val="20"/>
              </w:rPr>
            </w:pPr>
            <w:r>
              <w:rPr>
                <w:sz w:val="20"/>
                <w:szCs w:val="20"/>
              </w:rPr>
              <w:t>8</w:t>
            </w:r>
          </w:p>
        </w:tc>
        <w:tc>
          <w:tcPr>
            <w:tcW w:w="1083" w:type="dxa"/>
            <w:tcBorders>
              <w:top w:val="single" w:color="000000" w:sz="6" w:space="0"/>
              <w:left w:val="single" w:color="000000" w:sz="6" w:space="0"/>
              <w:bottom w:val="nil"/>
              <w:right w:val="single" w:color="000000" w:sz="6" w:space="0"/>
            </w:tcBorders>
          </w:tcPr>
          <w:p w:rsidRPr="00EB11C3" w:rsidR="00851193" w:rsidP="004F5AE5" w:rsidRDefault="00482FC8" w14:paraId="22F27746" w14:textId="77777777">
            <w:pPr>
              <w:widowControl/>
              <w:tabs>
                <w:tab w:val="left" w:pos="0"/>
                <w:tab w:val="left" w:pos="720"/>
              </w:tabs>
              <w:spacing w:before="38" w:after="57"/>
              <w:jc w:val="center"/>
              <w:rPr>
                <w:sz w:val="20"/>
                <w:szCs w:val="20"/>
              </w:rPr>
            </w:pPr>
            <w:r>
              <w:rPr>
                <w:sz w:val="20"/>
                <w:szCs w:val="20"/>
              </w:rPr>
              <w:t>8</w:t>
            </w:r>
          </w:p>
        </w:tc>
      </w:tr>
      <w:tr w:rsidR="00851193" w:rsidTr="004F5AE5" w14:paraId="47134BA4" w14:textId="77777777">
        <w:trPr>
          <w:cantSplit/>
        </w:trPr>
        <w:tc>
          <w:tcPr>
            <w:tcW w:w="6118" w:type="dxa"/>
            <w:tcBorders>
              <w:top w:val="single" w:color="000000" w:sz="6" w:space="0"/>
              <w:left w:val="single" w:color="000000" w:sz="6" w:space="0"/>
              <w:bottom w:val="nil"/>
              <w:right w:val="nil"/>
            </w:tcBorders>
          </w:tcPr>
          <w:p w:rsidRPr="00EB11C3" w:rsidR="00851193" w:rsidP="00EB11C3" w:rsidRDefault="00851193" w14:paraId="218017BA"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w:t>
            </w:r>
            <w:r w:rsidRPr="00EB11C3" w:rsidR="00EB11C3">
              <w:rPr>
                <w:sz w:val="20"/>
                <w:szCs w:val="20"/>
              </w:rPr>
              <w:t>Convert data into the XML format – Emissions info</w:t>
            </w:r>
          </w:p>
        </w:tc>
        <w:tc>
          <w:tcPr>
            <w:tcW w:w="1078" w:type="dxa"/>
            <w:tcBorders>
              <w:top w:val="single" w:color="000000" w:sz="6" w:space="0"/>
              <w:left w:val="single" w:color="000000" w:sz="6" w:space="0"/>
              <w:bottom w:val="nil"/>
              <w:right w:val="nil"/>
            </w:tcBorders>
          </w:tcPr>
          <w:p w:rsidRPr="00EB11C3" w:rsidR="00851193" w:rsidP="004F5AE5" w:rsidRDefault="00851193" w14:paraId="4A1B0952" w14:textId="77777777">
            <w:pPr>
              <w:widowControl/>
              <w:tabs>
                <w:tab w:val="left" w:pos="0"/>
                <w:tab w:val="left" w:pos="720"/>
              </w:tabs>
              <w:spacing w:before="38" w:after="57"/>
              <w:jc w:val="center"/>
              <w:rPr>
                <w:sz w:val="20"/>
                <w:szCs w:val="20"/>
              </w:rPr>
            </w:pPr>
          </w:p>
        </w:tc>
        <w:tc>
          <w:tcPr>
            <w:tcW w:w="1078" w:type="dxa"/>
            <w:tcBorders>
              <w:top w:val="single" w:color="000000" w:sz="6" w:space="0"/>
              <w:left w:val="single" w:color="000000" w:sz="6" w:space="0"/>
              <w:bottom w:val="nil"/>
              <w:right w:val="nil"/>
            </w:tcBorders>
          </w:tcPr>
          <w:p w:rsidRPr="00EB11C3" w:rsidR="00851193" w:rsidP="004F5AE5" w:rsidRDefault="00EB11C3" w14:paraId="0A4164F6" w14:textId="77777777">
            <w:pPr>
              <w:widowControl/>
              <w:tabs>
                <w:tab w:val="left" w:pos="0"/>
                <w:tab w:val="left" w:pos="720"/>
              </w:tabs>
              <w:spacing w:before="38" w:after="57"/>
              <w:jc w:val="center"/>
              <w:rPr>
                <w:sz w:val="20"/>
                <w:szCs w:val="20"/>
              </w:rPr>
            </w:pPr>
            <w:r>
              <w:rPr>
                <w:sz w:val="20"/>
                <w:szCs w:val="20"/>
              </w:rPr>
              <w:t>4</w:t>
            </w:r>
          </w:p>
        </w:tc>
        <w:tc>
          <w:tcPr>
            <w:tcW w:w="1083" w:type="dxa"/>
            <w:tcBorders>
              <w:top w:val="single" w:color="000000" w:sz="6" w:space="0"/>
              <w:left w:val="single" w:color="000000" w:sz="6" w:space="0"/>
              <w:bottom w:val="nil"/>
              <w:right w:val="single" w:color="000000" w:sz="6" w:space="0"/>
            </w:tcBorders>
          </w:tcPr>
          <w:p w:rsidRPr="00EB11C3" w:rsidR="00851193" w:rsidP="004F5AE5" w:rsidRDefault="00482FC8" w14:paraId="09CAE080" w14:textId="77777777">
            <w:pPr>
              <w:widowControl/>
              <w:tabs>
                <w:tab w:val="left" w:pos="0"/>
                <w:tab w:val="left" w:pos="720"/>
              </w:tabs>
              <w:spacing w:before="38" w:after="57"/>
              <w:jc w:val="center"/>
              <w:rPr>
                <w:sz w:val="20"/>
                <w:szCs w:val="20"/>
              </w:rPr>
            </w:pPr>
            <w:r>
              <w:rPr>
                <w:sz w:val="20"/>
                <w:szCs w:val="20"/>
              </w:rPr>
              <w:t>4</w:t>
            </w:r>
          </w:p>
        </w:tc>
      </w:tr>
      <w:tr w:rsidR="00851193" w:rsidTr="004F5AE5" w14:paraId="1C175862" w14:textId="77777777">
        <w:trPr>
          <w:cantSplit/>
        </w:trPr>
        <w:tc>
          <w:tcPr>
            <w:tcW w:w="6118" w:type="dxa"/>
            <w:tcBorders>
              <w:top w:val="single" w:color="000000" w:sz="6" w:space="0"/>
              <w:left w:val="single" w:color="000000" w:sz="6" w:space="0"/>
              <w:bottom w:val="nil"/>
              <w:right w:val="nil"/>
            </w:tcBorders>
          </w:tcPr>
          <w:p w:rsidRPr="00EB11C3" w:rsidR="00851193" w:rsidP="004F5AE5" w:rsidRDefault="00851193" w14:paraId="4A49B4CF"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w:t>
            </w:r>
            <w:r w:rsidRPr="00EB11C3" w:rsidR="00EB11C3">
              <w:rPr>
                <w:sz w:val="20"/>
                <w:szCs w:val="20"/>
              </w:rPr>
              <w:t xml:space="preserve">Run </w:t>
            </w:r>
            <w:r w:rsidR="00EB11C3">
              <w:rPr>
                <w:sz w:val="20"/>
                <w:szCs w:val="20"/>
              </w:rPr>
              <w:t>q</w:t>
            </w:r>
            <w:r w:rsidRPr="00EB11C3" w:rsidR="00EB11C3">
              <w:rPr>
                <w:sz w:val="20"/>
                <w:szCs w:val="20"/>
              </w:rPr>
              <w:t>uality-assurance checks and resolve critical errors</w:t>
            </w:r>
          </w:p>
        </w:tc>
        <w:tc>
          <w:tcPr>
            <w:tcW w:w="1078" w:type="dxa"/>
            <w:tcBorders>
              <w:top w:val="single" w:color="000000" w:sz="6" w:space="0"/>
              <w:left w:val="single" w:color="000000" w:sz="6" w:space="0"/>
              <w:bottom w:val="nil"/>
              <w:right w:val="nil"/>
            </w:tcBorders>
          </w:tcPr>
          <w:p w:rsidRPr="00EB11C3" w:rsidR="00851193" w:rsidP="004F5AE5" w:rsidRDefault="00482FC8" w14:paraId="08AA4810" w14:textId="77777777">
            <w:pPr>
              <w:widowControl/>
              <w:tabs>
                <w:tab w:val="left" w:pos="0"/>
                <w:tab w:val="left" w:pos="720"/>
              </w:tabs>
              <w:spacing w:before="38" w:after="57"/>
              <w:jc w:val="center"/>
              <w:rPr>
                <w:sz w:val="20"/>
                <w:szCs w:val="20"/>
              </w:rPr>
            </w:pPr>
            <w:r>
              <w:rPr>
                <w:sz w:val="20"/>
                <w:szCs w:val="20"/>
              </w:rPr>
              <w:t>2</w:t>
            </w:r>
          </w:p>
        </w:tc>
        <w:tc>
          <w:tcPr>
            <w:tcW w:w="1078" w:type="dxa"/>
            <w:tcBorders>
              <w:top w:val="single" w:color="000000" w:sz="6" w:space="0"/>
              <w:left w:val="single" w:color="000000" w:sz="6" w:space="0"/>
              <w:bottom w:val="nil"/>
              <w:right w:val="nil"/>
            </w:tcBorders>
          </w:tcPr>
          <w:p w:rsidRPr="00EB11C3" w:rsidR="00851193" w:rsidP="004F5AE5" w:rsidRDefault="00EB11C3" w14:paraId="079B3FA5" w14:textId="77777777">
            <w:pPr>
              <w:widowControl/>
              <w:tabs>
                <w:tab w:val="left" w:pos="0"/>
                <w:tab w:val="left" w:pos="720"/>
              </w:tabs>
              <w:spacing w:before="38" w:after="57"/>
              <w:jc w:val="center"/>
              <w:rPr>
                <w:sz w:val="20"/>
                <w:szCs w:val="20"/>
              </w:rPr>
            </w:pPr>
            <w:r>
              <w:rPr>
                <w:sz w:val="20"/>
                <w:szCs w:val="20"/>
              </w:rPr>
              <w:t>24</w:t>
            </w:r>
          </w:p>
        </w:tc>
        <w:tc>
          <w:tcPr>
            <w:tcW w:w="1083" w:type="dxa"/>
            <w:tcBorders>
              <w:top w:val="single" w:color="000000" w:sz="6" w:space="0"/>
              <w:left w:val="single" w:color="000000" w:sz="6" w:space="0"/>
              <w:bottom w:val="nil"/>
              <w:right w:val="single" w:color="000000" w:sz="6" w:space="0"/>
            </w:tcBorders>
          </w:tcPr>
          <w:p w:rsidRPr="00EB11C3" w:rsidR="00851193" w:rsidP="004F5AE5" w:rsidRDefault="00482FC8" w14:paraId="69E54866" w14:textId="77777777">
            <w:pPr>
              <w:widowControl/>
              <w:tabs>
                <w:tab w:val="left" w:pos="0"/>
                <w:tab w:val="left" w:pos="720"/>
              </w:tabs>
              <w:spacing w:before="38" w:after="57"/>
              <w:jc w:val="center"/>
              <w:rPr>
                <w:sz w:val="20"/>
                <w:szCs w:val="20"/>
              </w:rPr>
            </w:pPr>
            <w:r>
              <w:rPr>
                <w:sz w:val="20"/>
                <w:szCs w:val="20"/>
              </w:rPr>
              <w:t>26</w:t>
            </w:r>
          </w:p>
        </w:tc>
      </w:tr>
      <w:tr w:rsidR="006D12BA" w:rsidTr="004F5AE5" w14:paraId="6E79822A" w14:textId="77777777">
        <w:trPr>
          <w:cantSplit/>
        </w:trPr>
        <w:tc>
          <w:tcPr>
            <w:tcW w:w="6118" w:type="dxa"/>
            <w:tcBorders>
              <w:top w:val="single" w:color="000000" w:sz="6" w:space="0"/>
              <w:left w:val="single" w:color="000000" w:sz="6" w:space="0"/>
              <w:bottom w:val="nil"/>
              <w:right w:val="nil"/>
            </w:tcBorders>
          </w:tcPr>
          <w:p w:rsidRPr="00EB11C3" w:rsidR="006D12BA" w:rsidP="004F5AE5" w:rsidRDefault="00EB11C3" w14:paraId="46A66D96"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color="000000" w:sz="6" w:space="0"/>
              <w:left w:val="single" w:color="000000" w:sz="6" w:space="0"/>
              <w:bottom w:val="nil"/>
              <w:right w:val="nil"/>
            </w:tcBorders>
          </w:tcPr>
          <w:p w:rsidR="006D12BA" w:rsidP="004F5AE5" w:rsidRDefault="006D12BA" w14:paraId="79C6DFFE" w14:textId="77777777">
            <w:pPr>
              <w:widowControl/>
              <w:tabs>
                <w:tab w:val="left" w:pos="0"/>
                <w:tab w:val="left" w:pos="720"/>
              </w:tabs>
              <w:spacing w:before="38" w:after="57"/>
              <w:jc w:val="center"/>
              <w:rPr>
                <w:rFonts w:ascii="Arial" w:hAnsi="Arial" w:cs="Arial"/>
                <w:sz w:val="18"/>
                <w:szCs w:val="18"/>
              </w:rPr>
            </w:pPr>
          </w:p>
        </w:tc>
        <w:tc>
          <w:tcPr>
            <w:tcW w:w="1078" w:type="dxa"/>
            <w:tcBorders>
              <w:top w:val="single" w:color="000000" w:sz="6" w:space="0"/>
              <w:left w:val="single" w:color="000000" w:sz="6" w:space="0"/>
              <w:bottom w:val="nil"/>
              <w:right w:val="nil"/>
            </w:tcBorders>
          </w:tcPr>
          <w:p w:rsidR="006D12BA" w:rsidP="004F5AE5" w:rsidRDefault="00EB11C3" w14:paraId="5D8BFE92" w14:textId="77777777">
            <w:pPr>
              <w:widowControl/>
              <w:tabs>
                <w:tab w:val="left" w:pos="0"/>
                <w:tab w:val="left" w:pos="720"/>
              </w:tabs>
              <w:spacing w:before="38" w:after="57"/>
              <w:jc w:val="center"/>
              <w:rPr>
                <w:sz w:val="18"/>
                <w:szCs w:val="18"/>
              </w:rPr>
            </w:pPr>
            <w:r>
              <w:rPr>
                <w:sz w:val="18"/>
                <w:szCs w:val="18"/>
              </w:rPr>
              <w:t>2</w:t>
            </w:r>
          </w:p>
        </w:tc>
        <w:tc>
          <w:tcPr>
            <w:tcW w:w="1083" w:type="dxa"/>
            <w:tcBorders>
              <w:top w:val="single" w:color="000000" w:sz="6" w:space="0"/>
              <w:left w:val="single" w:color="000000" w:sz="6" w:space="0"/>
              <w:bottom w:val="nil"/>
              <w:right w:val="single" w:color="000000" w:sz="6" w:space="0"/>
            </w:tcBorders>
          </w:tcPr>
          <w:p w:rsidR="006D12BA" w:rsidP="004F5AE5" w:rsidRDefault="00482FC8" w14:paraId="5EB20513" w14:textId="77777777">
            <w:pPr>
              <w:widowControl/>
              <w:tabs>
                <w:tab w:val="left" w:pos="0"/>
                <w:tab w:val="left" w:pos="720"/>
              </w:tabs>
              <w:spacing w:before="38" w:after="57"/>
              <w:jc w:val="center"/>
              <w:rPr>
                <w:sz w:val="18"/>
                <w:szCs w:val="18"/>
              </w:rPr>
            </w:pPr>
            <w:r>
              <w:rPr>
                <w:sz w:val="18"/>
                <w:szCs w:val="18"/>
              </w:rPr>
              <w:t>2</w:t>
            </w:r>
          </w:p>
        </w:tc>
      </w:tr>
      <w:tr w:rsidR="006D12BA" w:rsidTr="004F5AE5" w14:paraId="3CA74712" w14:textId="77777777">
        <w:trPr>
          <w:cantSplit/>
        </w:trPr>
        <w:tc>
          <w:tcPr>
            <w:tcW w:w="6118" w:type="dxa"/>
            <w:tcBorders>
              <w:top w:val="single" w:color="000000" w:sz="6" w:space="0"/>
              <w:left w:val="single" w:color="000000" w:sz="6" w:space="0"/>
              <w:bottom w:val="nil"/>
              <w:right w:val="nil"/>
            </w:tcBorders>
          </w:tcPr>
          <w:p w:rsidRPr="00EB11C3" w:rsidR="006D12BA" w:rsidP="00EB11C3" w:rsidRDefault="00EB11C3" w14:paraId="46838469"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color="000000" w:sz="6" w:space="0"/>
              <w:left w:val="single" w:color="000000" w:sz="6" w:space="0"/>
              <w:bottom w:val="nil"/>
              <w:right w:val="nil"/>
            </w:tcBorders>
          </w:tcPr>
          <w:p w:rsidRPr="00F40F41" w:rsidR="006D12BA" w:rsidP="004F5AE5" w:rsidRDefault="00482FC8" w14:paraId="3E7B936D" w14:textId="77777777">
            <w:pPr>
              <w:widowControl/>
              <w:tabs>
                <w:tab w:val="left" w:pos="0"/>
                <w:tab w:val="left" w:pos="720"/>
              </w:tabs>
              <w:spacing w:before="38" w:after="57"/>
              <w:jc w:val="center"/>
              <w:rPr>
                <w:sz w:val="18"/>
                <w:szCs w:val="18"/>
              </w:rPr>
            </w:pPr>
            <w:r w:rsidRPr="00F40F41">
              <w:rPr>
                <w:sz w:val="18"/>
                <w:szCs w:val="18"/>
              </w:rPr>
              <w:t>2</w:t>
            </w:r>
          </w:p>
        </w:tc>
        <w:tc>
          <w:tcPr>
            <w:tcW w:w="1078" w:type="dxa"/>
            <w:tcBorders>
              <w:top w:val="single" w:color="000000" w:sz="6" w:space="0"/>
              <w:left w:val="single" w:color="000000" w:sz="6" w:space="0"/>
              <w:bottom w:val="nil"/>
              <w:right w:val="nil"/>
            </w:tcBorders>
          </w:tcPr>
          <w:p w:rsidR="006D12BA" w:rsidP="004F5AE5" w:rsidRDefault="00EB11C3" w14:paraId="25D389ED" w14:textId="77777777">
            <w:pPr>
              <w:widowControl/>
              <w:tabs>
                <w:tab w:val="left" w:pos="0"/>
                <w:tab w:val="left" w:pos="720"/>
              </w:tabs>
              <w:spacing w:before="38" w:after="57"/>
              <w:jc w:val="center"/>
              <w:rPr>
                <w:sz w:val="18"/>
                <w:szCs w:val="18"/>
              </w:rPr>
            </w:pPr>
            <w:r>
              <w:rPr>
                <w:sz w:val="18"/>
                <w:szCs w:val="18"/>
              </w:rPr>
              <w:t>4</w:t>
            </w:r>
          </w:p>
        </w:tc>
        <w:tc>
          <w:tcPr>
            <w:tcW w:w="1083" w:type="dxa"/>
            <w:tcBorders>
              <w:top w:val="single" w:color="000000" w:sz="6" w:space="0"/>
              <w:left w:val="single" w:color="000000" w:sz="6" w:space="0"/>
              <w:bottom w:val="nil"/>
              <w:right w:val="single" w:color="000000" w:sz="6" w:space="0"/>
            </w:tcBorders>
          </w:tcPr>
          <w:p w:rsidR="006D12BA" w:rsidP="004F5AE5" w:rsidRDefault="00482FC8" w14:paraId="3F5F0DF5" w14:textId="77777777">
            <w:pPr>
              <w:widowControl/>
              <w:tabs>
                <w:tab w:val="left" w:pos="0"/>
                <w:tab w:val="left" w:pos="720"/>
              </w:tabs>
              <w:spacing w:before="38" w:after="57"/>
              <w:jc w:val="center"/>
              <w:rPr>
                <w:sz w:val="18"/>
                <w:szCs w:val="18"/>
              </w:rPr>
            </w:pPr>
            <w:r>
              <w:rPr>
                <w:sz w:val="18"/>
                <w:szCs w:val="18"/>
              </w:rPr>
              <w:t>6</w:t>
            </w:r>
          </w:p>
        </w:tc>
      </w:tr>
      <w:tr w:rsidR="008A250E" w:rsidTr="004F5AE5" w14:paraId="707E466F" w14:textId="77777777">
        <w:trPr>
          <w:cantSplit/>
        </w:trPr>
        <w:tc>
          <w:tcPr>
            <w:tcW w:w="6118" w:type="dxa"/>
            <w:tcBorders>
              <w:top w:val="single" w:color="000000" w:sz="6" w:space="0"/>
              <w:left w:val="single" w:color="000000" w:sz="6" w:space="0"/>
              <w:bottom w:val="nil"/>
              <w:right w:val="nil"/>
            </w:tcBorders>
          </w:tcPr>
          <w:p w:rsidRPr="008A250E" w:rsidR="008A250E" w:rsidP="008A250E" w:rsidRDefault="008A250E" w14:paraId="785E59EC"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b/>
                <w:sz w:val="20"/>
                <w:szCs w:val="20"/>
              </w:rPr>
            </w:pPr>
            <w:r>
              <w:rPr>
                <w:sz w:val="20"/>
                <w:szCs w:val="20"/>
              </w:rPr>
              <w:t xml:space="preserve">    </w:t>
            </w:r>
            <w:r w:rsidRPr="008A250E">
              <w:rPr>
                <w:b/>
                <w:sz w:val="20"/>
                <w:szCs w:val="20"/>
              </w:rPr>
              <w:t>Subtotal for Annual Point Source Reporting – Type A sources</w:t>
            </w:r>
          </w:p>
        </w:tc>
        <w:tc>
          <w:tcPr>
            <w:tcW w:w="1078" w:type="dxa"/>
            <w:tcBorders>
              <w:top w:val="single" w:color="000000" w:sz="6" w:space="0"/>
              <w:left w:val="single" w:color="000000" w:sz="6" w:space="0"/>
              <w:bottom w:val="nil"/>
              <w:right w:val="nil"/>
            </w:tcBorders>
          </w:tcPr>
          <w:p w:rsidR="008A250E" w:rsidP="004F5AE5" w:rsidRDefault="00B27952" w14:paraId="56ACB183" w14:textId="77777777">
            <w:pPr>
              <w:widowControl/>
              <w:tabs>
                <w:tab w:val="left" w:pos="0"/>
                <w:tab w:val="left" w:pos="720"/>
              </w:tabs>
              <w:spacing w:before="38" w:after="57"/>
              <w:jc w:val="center"/>
              <w:rPr>
                <w:rFonts w:ascii="Arial" w:hAnsi="Arial" w:cs="Arial"/>
                <w:sz w:val="18"/>
                <w:szCs w:val="18"/>
              </w:rPr>
            </w:pPr>
            <w:r>
              <w:rPr>
                <w:rFonts w:ascii="Arial" w:hAnsi="Arial" w:cs="Arial"/>
                <w:sz w:val="18"/>
                <w:szCs w:val="18"/>
              </w:rPr>
              <w:t>4</w:t>
            </w:r>
          </w:p>
        </w:tc>
        <w:tc>
          <w:tcPr>
            <w:tcW w:w="1078" w:type="dxa"/>
            <w:tcBorders>
              <w:top w:val="single" w:color="000000" w:sz="6" w:space="0"/>
              <w:left w:val="single" w:color="000000" w:sz="6" w:space="0"/>
              <w:bottom w:val="nil"/>
              <w:right w:val="nil"/>
            </w:tcBorders>
          </w:tcPr>
          <w:p w:rsidR="008A250E" w:rsidP="004F5AE5" w:rsidRDefault="00B27952" w14:paraId="3A22D551" w14:textId="77777777">
            <w:pPr>
              <w:widowControl/>
              <w:tabs>
                <w:tab w:val="left" w:pos="0"/>
                <w:tab w:val="left" w:pos="720"/>
              </w:tabs>
              <w:spacing w:before="38" w:after="57"/>
              <w:jc w:val="center"/>
              <w:rPr>
                <w:sz w:val="18"/>
                <w:szCs w:val="18"/>
              </w:rPr>
            </w:pPr>
            <w:r>
              <w:rPr>
                <w:sz w:val="18"/>
                <w:szCs w:val="18"/>
              </w:rPr>
              <w:t>46</w:t>
            </w:r>
          </w:p>
        </w:tc>
        <w:tc>
          <w:tcPr>
            <w:tcW w:w="1083" w:type="dxa"/>
            <w:tcBorders>
              <w:top w:val="single" w:color="000000" w:sz="6" w:space="0"/>
              <w:left w:val="single" w:color="000000" w:sz="6" w:space="0"/>
              <w:bottom w:val="nil"/>
              <w:right w:val="single" w:color="000000" w:sz="6" w:space="0"/>
            </w:tcBorders>
          </w:tcPr>
          <w:p w:rsidR="008A250E" w:rsidP="004F5AE5" w:rsidRDefault="00B27952" w14:paraId="655E5F63" w14:textId="77777777">
            <w:pPr>
              <w:widowControl/>
              <w:tabs>
                <w:tab w:val="left" w:pos="0"/>
                <w:tab w:val="left" w:pos="720"/>
              </w:tabs>
              <w:spacing w:before="38" w:after="57"/>
              <w:jc w:val="center"/>
              <w:rPr>
                <w:sz w:val="18"/>
                <w:szCs w:val="18"/>
              </w:rPr>
            </w:pPr>
            <w:r>
              <w:rPr>
                <w:sz w:val="18"/>
                <w:szCs w:val="18"/>
              </w:rPr>
              <w:t>50</w:t>
            </w:r>
          </w:p>
        </w:tc>
      </w:tr>
      <w:tr w:rsidRPr="00000788" w:rsidR="00851193" w:rsidTr="004F5AE5" w14:paraId="1E2EE5F9" w14:textId="77777777">
        <w:trPr>
          <w:cantSplit/>
        </w:trPr>
        <w:tc>
          <w:tcPr>
            <w:tcW w:w="9357" w:type="dxa"/>
            <w:gridSpan w:val="4"/>
            <w:tcBorders>
              <w:top w:val="single" w:color="000000" w:sz="6" w:space="0"/>
              <w:left w:val="single" w:color="000000" w:sz="6" w:space="0"/>
              <w:bottom w:val="nil"/>
              <w:right w:val="single" w:color="000000" w:sz="6" w:space="0"/>
            </w:tcBorders>
          </w:tcPr>
          <w:p w:rsidRPr="00F40F41" w:rsidR="00851193" w:rsidP="004F5AE5" w:rsidRDefault="00D36AEF" w14:paraId="3760F8A0"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rPr>
                <w:rFonts w:ascii="Arial" w:hAnsi="Arial" w:cs="Arial"/>
                <w:b/>
                <w:sz w:val="20"/>
                <w:szCs w:val="20"/>
              </w:rPr>
            </w:pPr>
            <w:r w:rsidRPr="00000788">
              <w:rPr>
                <w:rFonts w:ascii="Arial" w:hAnsi="Arial" w:cs="Arial"/>
                <w:b/>
                <w:bCs/>
                <w:iCs/>
                <w:sz w:val="18"/>
                <w:szCs w:val="18"/>
              </w:rPr>
              <w:t xml:space="preserve"> </w:t>
            </w:r>
            <w:r w:rsidR="00000788">
              <w:rPr>
                <w:rFonts w:ascii="Arial" w:hAnsi="Arial" w:cs="Arial"/>
                <w:b/>
                <w:bCs/>
                <w:iCs/>
                <w:sz w:val="18"/>
                <w:szCs w:val="18"/>
              </w:rPr>
              <w:t xml:space="preserve"> </w:t>
            </w:r>
            <w:r w:rsidRPr="00F40F41" w:rsidR="00851193">
              <w:rPr>
                <w:rFonts w:ascii="Arial" w:hAnsi="Arial" w:cs="Arial"/>
                <w:b/>
                <w:bCs/>
                <w:iCs/>
                <w:sz w:val="18"/>
                <w:szCs w:val="20"/>
              </w:rPr>
              <w:t>Triennial</w:t>
            </w:r>
          </w:p>
        </w:tc>
      </w:tr>
      <w:tr w:rsidR="00D36AEF" w:rsidTr="004F5AE5" w14:paraId="3D02E428" w14:textId="77777777">
        <w:trPr>
          <w:cantSplit/>
        </w:trPr>
        <w:tc>
          <w:tcPr>
            <w:tcW w:w="6118" w:type="dxa"/>
            <w:tcBorders>
              <w:top w:val="single" w:color="000000" w:sz="6" w:space="0"/>
              <w:left w:val="single" w:color="000000" w:sz="6" w:space="0"/>
              <w:bottom w:val="nil"/>
              <w:right w:val="nil"/>
            </w:tcBorders>
          </w:tcPr>
          <w:p w:rsidRPr="00EB11C3" w:rsidR="00D36AEF" w:rsidP="00035E1F" w:rsidRDefault="00D36AEF" w14:paraId="08393EC1"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Extract data from the </w:t>
            </w:r>
            <w:r w:rsidR="00035E1F">
              <w:rPr>
                <w:sz w:val="20"/>
                <w:szCs w:val="20"/>
              </w:rPr>
              <w:t>s</w:t>
            </w:r>
            <w:r w:rsidRPr="00EB11C3">
              <w:rPr>
                <w:sz w:val="20"/>
                <w:szCs w:val="20"/>
              </w:rPr>
              <w:t>tate data system</w:t>
            </w:r>
          </w:p>
        </w:tc>
        <w:tc>
          <w:tcPr>
            <w:tcW w:w="1078" w:type="dxa"/>
            <w:tcBorders>
              <w:top w:val="single" w:color="000000" w:sz="6" w:space="0"/>
              <w:left w:val="single" w:color="000000" w:sz="6" w:space="0"/>
              <w:bottom w:val="nil"/>
              <w:right w:val="nil"/>
            </w:tcBorders>
          </w:tcPr>
          <w:p w:rsidRPr="00EB11C3" w:rsidR="00D36AEF" w:rsidP="004F5AE5" w:rsidRDefault="00D36AEF" w14:paraId="1729158F" w14:textId="77777777">
            <w:pPr>
              <w:widowControl/>
              <w:tabs>
                <w:tab w:val="left" w:pos="0"/>
                <w:tab w:val="left" w:pos="720"/>
              </w:tabs>
              <w:spacing w:before="38" w:after="57"/>
              <w:jc w:val="center"/>
              <w:rPr>
                <w:sz w:val="20"/>
                <w:szCs w:val="20"/>
              </w:rPr>
            </w:pPr>
          </w:p>
        </w:tc>
        <w:tc>
          <w:tcPr>
            <w:tcW w:w="1078" w:type="dxa"/>
            <w:tcBorders>
              <w:top w:val="single" w:color="000000" w:sz="6" w:space="0"/>
              <w:left w:val="single" w:color="000000" w:sz="6" w:space="0"/>
              <w:bottom w:val="nil"/>
              <w:right w:val="nil"/>
            </w:tcBorders>
          </w:tcPr>
          <w:p w:rsidRPr="00EB11C3" w:rsidR="00D36AEF" w:rsidP="004F5AE5" w:rsidRDefault="00D36AEF" w14:paraId="1E2CBF35" w14:textId="77777777">
            <w:pPr>
              <w:widowControl/>
              <w:tabs>
                <w:tab w:val="left" w:pos="0"/>
                <w:tab w:val="left" w:pos="720"/>
              </w:tabs>
              <w:spacing w:before="38" w:after="57"/>
              <w:jc w:val="center"/>
              <w:rPr>
                <w:sz w:val="20"/>
                <w:szCs w:val="20"/>
              </w:rPr>
            </w:pPr>
            <w:r>
              <w:rPr>
                <w:sz w:val="20"/>
                <w:szCs w:val="20"/>
              </w:rPr>
              <w:t>4</w:t>
            </w:r>
          </w:p>
        </w:tc>
        <w:tc>
          <w:tcPr>
            <w:tcW w:w="1083" w:type="dxa"/>
            <w:tcBorders>
              <w:top w:val="single" w:color="000000" w:sz="6" w:space="0"/>
              <w:left w:val="single" w:color="000000" w:sz="6" w:space="0"/>
              <w:bottom w:val="nil"/>
              <w:right w:val="single" w:color="000000" w:sz="6" w:space="0"/>
            </w:tcBorders>
          </w:tcPr>
          <w:p w:rsidRPr="00EB11C3" w:rsidR="00D36AEF" w:rsidP="004F5AE5" w:rsidRDefault="00D36AEF" w14:paraId="35B006D5" w14:textId="77777777">
            <w:pPr>
              <w:widowControl/>
              <w:tabs>
                <w:tab w:val="left" w:pos="0"/>
                <w:tab w:val="left" w:pos="720"/>
              </w:tabs>
              <w:spacing w:before="38" w:after="57"/>
              <w:jc w:val="center"/>
              <w:rPr>
                <w:sz w:val="20"/>
                <w:szCs w:val="20"/>
              </w:rPr>
            </w:pPr>
            <w:r>
              <w:rPr>
                <w:sz w:val="20"/>
                <w:szCs w:val="20"/>
              </w:rPr>
              <w:t>4</w:t>
            </w:r>
          </w:p>
        </w:tc>
      </w:tr>
      <w:tr w:rsidR="00D36AEF" w:rsidTr="004F5AE5" w14:paraId="3379B7A8" w14:textId="77777777">
        <w:trPr>
          <w:cantSplit/>
        </w:trPr>
        <w:tc>
          <w:tcPr>
            <w:tcW w:w="6118" w:type="dxa"/>
            <w:tcBorders>
              <w:top w:val="single" w:color="000000" w:sz="6" w:space="0"/>
              <w:left w:val="single" w:color="000000" w:sz="6" w:space="0"/>
              <w:bottom w:val="nil"/>
              <w:right w:val="nil"/>
            </w:tcBorders>
          </w:tcPr>
          <w:p w:rsidRPr="00EB11C3" w:rsidR="00D36AEF" w:rsidP="004F5AE5" w:rsidRDefault="00D36AEF" w14:paraId="32F7B703"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Convert data into the XML format – Facility info</w:t>
            </w:r>
          </w:p>
        </w:tc>
        <w:tc>
          <w:tcPr>
            <w:tcW w:w="1078" w:type="dxa"/>
            <w:tcBorders>
              <w:top w:val="single" w:color="000000" w:sz="6" w:space="0"/>
              <w:left w:val="single" w:color="000000" w:sz="6" w:space="0"/>
              <w:bottom w:val="nil"/>
              <w:right w:val="nil"/>
            </w:tcBorders>
          </w:tcPr>
          <w:p w:rsidRPr="00EB11C3" w:rsidR="00D36AEF" w:rsidP="004F5AE5" w:rsidRDefault="00D36AEF" w14:paraId="6434B7D1" w14:textId="77777777">
            <w:pPr>
              <w:widowControl/>
              <w:tabs>
                <w:tab w:val="left" w:pos="0"/>
                <w:tab w:val="left" w:pos="720"/>
              </w:tabs>
              <w:spacing w:before="38" w:after="57"/>
              <w:jc w:val="center"/>
              <w:rPr>
                <w:sz w:val="20"/>
                <w:szCs w:val="20"/>
              </w:rPr>
            </w:pPr>
          </w:p>
        </w:tc>
        <w:tc>
          <w:tcPr>
            <w:tcW w:w="1078" w:type="dxa"/>
            <w:tcBorders>
              <w:top w:val="single" w:color="000000" w:sz="6" w:space="0"/>
              <w:left w:val="single" w:color="000000" w:sz="6" w:space="0"/>
              <w:bottom w:val="nil"/>
              <w:right w:val="nil"/>
            </w:tcBorders>
          </w:tcPr>
          <w:p w:rsidRPr="00EB11C3" w:rsidR="00D36AEF" w:rsidP="004F5AE5" w:rsidRDefault="00124A89" w14:paraId="557CC2F0" w14:textId="2A93B189">
            <w:pPr>
              <w:widowControl/>
              <w:tabs>
                <w:tab w:val="left" w:pos="0"/>
                <w:tab w:val="left" w:pos="720"/>
              </w:tabs>
              <w:spacing w:before="38" w:after="57"/>
              <w:jc w:val="center"/>
              <w:rPr>
                <w:sz w:val="20"/>
                <w:szCs w:val="20"/>
              </w:rPr>
            </w:pPr>
            <w:r>
              <w:rPr>
                <w:sz w:val="20"/>
                <w:szCs w:val="20"/>
              </w:rPr>
              <w:t>16</w:t>
            </w:r>
          </w:p>
        </w:tc>
        <w:tc>
          <w:tcPr>
            <w:tcW w:w="1083" w:type="dxa"/>
            <w:tcBorders>
              <w:top w:val="single" w:color="000000" w:sz="6" w:space="0"/>
              <w:left w:val="single" w:color="000000" w:sz="6" w:space="0"/>
              <w:bottom w:val="nil"/>
              <w:right w:val="single" w:color="000000" w:sz="6" w:space="0"/>
            </w:tcBorders>
          </w:tcPr>
          <w:p w:rsidRPr="00EB11C3" w:rsidR="00D36AEF" w:rsidP="004F5AE5" w:rsidRDefault="00124A89" w14:paraId="2E4F4E40" w14:textId="7F0EA5B0">
            <w:pPr>
              <w:widowControl/>
              <w:tabs>
                <w:tab w:val="left" w:pos="0"/>
                <w:tab w:val="left" w:pos="720"/>
              </w:tabs>
              <w:spacing w:before="38" w:after="57"/>
              <w:jc w:val="center"/>
              <w:rPr>
                <w:sz w:val="20"/>
                <w:szCs w:val="20"/>
              </w:rPr>
            </w:pPr>
            <w:r>
              <w:rPr>
                <w:sz w:val="20"/>
                <w:szCs w:val="20"/>
              </w:rPr>
              <w:t>16</w:t>
            </w:r>
          </w:p>
        </w:tc>
      </w:tr>
      <w:tr w:rsidR="00D36AEF" w:rsidTr="004F5AE5" w14:paraId="59A652A5" w14:textId="77777777">
        <w:trPr>
          <w:cantSplit/>
        </w:trPr>
        <w:tc>
          <w:tcPr>
            <w:tcW w:w="6118" w:type="dxa"/>
            <w:tcBorders>
              <w:top w:val="single" w:color="000000" w:sz="6" w:space="0"/>
              <w:left w:val="single" w:color="000000" w:sz="6" w:space="0"/>
              <w:bottom w:val="nil"/>
              <w:right w:val="nil"/>
            </w:tcBorders>
          </w:tcPr>
          <w:p w:rsidRPr="00EB11C3" w:rsidR="00D36AEF" w:rsidP="004F5AE5" w:rsidRDefault="00D36AEF" w14:paraId="5F8769AB"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Convert data into the XML format – Emissions info</w:t>
            </w:r>
          </w:p>
        </w:tc>
        <w:tc>
          <w:tcPr>
            <w:tcW w:w="1078" w:type="dxa"/>
            <w:tcBorders>
              <w:top w:val="single" w:color="000000" w:sz="6" w:space="0"/>
              <w:left w:val="single" w:color="000000" w:sz="6" w:space="0"/>
              <w:bottom w:val="nil"/>
              <w:right w:val="nil"/>
            </w:tcBorders>
          </w:tcPr>
          <w:p w:rsidRPr="00EB11C3" w:rsidR="00D36AEF" w:rsidP="004F5AE5" w:rsidRDefault="00D36AEF" w14:paraId="68EDA374" w14:textId="77777777">
            <w:pPr>
              <w:widowControl/>
              <w:tabs>
                <w:tab w:val="left" w:pos="0"/>
                <w:tab w:val="left" w:pos="720"/>
              </w:tabs>
              <w:spacing w:before="38" w:after="57"/>
              <w:jc w:val="center"/>
              <w:rPr>
                <w:sz w:val="20"/>
                <w:szCs w:val="20"/>
              </w:rPr>
            </w:pPr>
          </w:p>
        </w:tc>
        <w:tc>
          <w:tcPr>
            <w:tcW w:w="1078" w:type="dxa"/>
            <w:tcBorders>
              <w:top w:val="single" w:color="000000" w:sz="6" w:space="0"/>
              <w:left w:val="single" w:color="000000" w:sz="6" w:space="0"/>
              <w:bottom w:val="nil"/>
              <w:right w:val="nil"/>
            </w:tcBorders>
          </w:tcPr>
          <w:p w:rsidRPr="00EB11C3" w:rsidR="00D36AEF" w:rsidP="004F5AE5" w:rsidRDefault="00124A89" w14:paraId="7FA48D47" w14:textId="6FF757BB">
            <w:pPr>
              <w:widowControl/>
              <w:tabs>
                <w:tab w:val="left" w:pos="0"/>
                <w:tab w:val="left" w:pos="720"/>
              </w:tabs>
              <w:spacing w:before="38" w:after="57"/>
              <w:jc w:val="center"/>
              <w:rPr>
                <w:sz w:val="20"/>
                <w:szCs w:val="20"/>
              </w:rPr>
            </w:pPr>
            <w:r>
              <w:rPr>
                <w:sz w:val="20"/>
                <w:szCs w:val="20"/>
              </w:rPr>
              <w:t>8</w:t>
            </w:r>
          </w:p>
        </w:tc>
        <w:tc>
          <w:tcPr>
            <w:tcW w:w="1083" w:type="dxa"/>
            <w:tcBorders>
              <w:top w:val="single" w:color="000000" w:sz="6" w:space="0"/>
              <w:left w:val="single" w:color="000000" w:sz="6" w:space="0"/>
              <w:bottom w:val="nil"/>
              <w:right w:val="single" w:color="000000" w:sz="6" w:space="0"/>
            </w:tcBorders>
          </w:tcPr>
          <w:p w:rsidRPr="00EB11C3" w:rsidR="00D36AEF" w:rsidP="004F5AE5" w:rsidRDefault="00124A89" w14:paraId="66CCCB76" w14:textId="7EED9871">
            <w:pPr>
              <w:widowControl/>
              <w:tabs>
                <w:tab w:val="left" w:pos="0"/>
                <w:tab w:val="left" w:pos="720"/>
              </w:tabs>
              <w:spacing w:before="38" w:after="57"/>
              <w:jc w:val="center"/>
              <w:rPr>
                <w:sz w:val="20"/>
                <w:szCs w:val="20"/>
              </w:rPr>
            </w:pPr>
            <w:r>
              <w:rPr>
                <w:sz w:val="20"/>
                <w:szCs w:val="20"/>
              </w:rPr>
              <w:t>8</w:t>
            </w:r>
          </w:p>
        </w:tc>
      </w:tr>
      <w:tr w:rsidR="00D36AEF" w:rsidTr="004F5AE5" w14:paraId="754D6BFC" w14:textId="77777777">
        <w:trPr>
          <w:cantSplit/>
        </w:trPr>
        <w:tc>
          <w:tcPr>
            <w:tcW w:w="6118" w:type="dxa"/>
            <w:tcBorders>
              <w:top w:val="single" w:color="000000" w:sz="6" w:space="0"/>
              <w:left w:val="single" w:color="000000" w:sz="6" w:space="0"/>
              <w:bottom w:val="nil"/>
              <w:right w:val="nil"/>
            </w:tcBorders>
          </w:tcPr>
          <w:p w:rsidRPr="00EB11C3" w:rsidR="00D36AEF" w:rsidP="004F5AE5" w:rsidRDefault="00D36AEF" w14:paraId="5CBD698B"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Run </w:t>
            </w:r>
            <w:r>
              <w:rPr>
                <w:sz w:val="20"/>
                <w:szCs w:val="20"/>
              </w:rPr>
              <w:t>q</w:t>
            </w:r>
            <w:r w:rsidRPr="00EB11C3">
              <w:rPr>
                <w:sz w:val="20"/>
                <w:szCs w:val="20"/>
              </w:rPr>
              <w:t>uality-assurance checks and resolve critical errors</w:t>
            </w:r>
          </w:p>
        </w:tc>
        <w:tc>
          <w:tcPr>
            <w:tcW w:w="1078" w:type="dxa"/>
            <w:tcBorders>
              <w:top w:val="single" w:color="000000" w:sz="6" w:space="0"/>
              <w:left w:val="single" w:color="000000" w:sz="6" w:space="0"/>
              <w:bottom w:val="nil"/>
              <w:right w:val="nil"/>
            </w:tcBorders>
          </w:tcPr>
          <w:p w:rsidRPr="00EB11C3" w:rsidR="00D36AEF" w:rsidP="004F5AE5" w:rsidRDefault="00EE5FBB" w14:paraId="6986DF06" w14:textId="7BFE1C76">
            <w:pPr>
              <w:widowControl/>
              <w:tabs>
                <w:tab w:val="left" w:pos="0"/>
                <w:tab w:val="left" w:pos="720"/>
              </w:tabs>
              <w:spacing w:before="38" w:after="57"/>
              <w:jc w:val="center"/>
              <w:rPr>
                <w:sz w:val="20"/>
                <w:szCs w:val="20"/>
              </w:rPr>
            </w:pPr>
            <w:r>
              <w:rPr>
                <w:sz w:val="20"/>
                <w:szCs w:val="20"/>
              </w:rPr>
              <w:t>10</w:t>
            </w:r>
          </w:p>
        </w:tc>
        <w:tc>
          <w:tcPr>
            <w:tcW w:w="1078" w:type="dxa"/>
            <w:tcBorders>
              <w:top w:val="single" w:color="000000" w:sz="6" w:space="0"/>
              <w:left w:val="single" w:color="000000" w:sz="6" w:space="0"/>
              <w:bottom w:val="nil"/>
              <w:right w:val="nil"/>
            </w:tcBorders>
          </w:tcPr>
          <w:p w:rsidRPr="00F77962" w:rsidR="00D36AEF" w:rsidP="004F5AE5" w:rsidRDefault="007758F8" w14:paraId="7626C7BC" w14:textId="5E96CCFB">
            <w:pPr>
              <w:widowControl/>
              <w:tabs>
                <w:tab w:val="left" w:pos="0"/>
                <w:tab w:val="left" w:pos="720"/>
              </w:tabs>
              <w:spacing w:before="38" w:after="57"/>
              <w:jc w:val="center"/>
              <w:rPr>
                <w:sz w:val="20"/>
                <w:szCs w:val="20"/>
              </w:rPr>
            </w:pPr>
            <w:r w:rsidRPr="00F40F41">
              <w:rPr>
                <w:sz w:val="20"/>
                <w:szCs w:val="20"/>
              </w:rPr>
              <w:t>120</w:t>
            </w:r>
          </w:p>
        </w:tc>
        <w:tc>
          <w:tcPr>
            <w:tcW w:w="1083" w:type="dxa"/>
            <w:tcBorders>
              <w:top w:val="single" w:color="000000" w:sz="6" w:space="0"/>
              <w:left w:val="single" w:color="000000" w:sz="6" w:space="0"/>
              <w:bottom w:val="nil"/>
              <w:right w:val="single" w:color="000000" w:sz="6" w:space="0"/>
            </w:tcBorders>
          </w:tcPr>
          <w:p w:rsidRPr="00EB11C3" w:rsidR="00D36AEF" w:rsidP="006239EF" w:rsidRDefault="00D36AEF" w14:paraId="48C98057" w14:textId="5A42AB99">
            <w:pPr>
              <w:widowControl/>
              <w:tabs>
                <w:tab w:val="left" w:pos="0"/>
                <w:tab w:val="left" w:pos="720"/>
              </w:tabs>
              <w:spacing w:before="38" w:after="57"/>
              <w:jc w:val="center"/>
              <w:rPr>
                <w:sz w:val="20"/>
                <w:szCs w:val="20"/>
              </w:rPr>
            </w:pPr>
            <w:r>
              <w:rPr>
                <w:sz w:val="20"/>
                <w:szCs w:val="20"/>
              </w:rPr>
              <w:t>1</w:t>
            </w:r>
            <w:r w:rsidR="00D10084">
              <w:rPr>
                <w:sz w:val="20"/>
                <w:szCs w:val="20"/>
              </w:rPr>
              <w:t>30</w:t>
            </w:r>
          </w:p>
        </w:tc>
      </w:tr>
      <w:tr w:rsidR="00D36AEF" w:rsidTr="004F5AE5" w14:paraId="120E88E2" w14:textId="77777777">
        <w:trPr>
          <w:cantSplit/>
        </w:trPr>
        <w:tc>
          <w:tcPr>
            <w:tcW w:w="6118" w:type="dxa"/>
            <w:tcBorders>
              <w:top w:val="single" w:color="000000" w:sz="6" w:space="0"/>
              <w:left w:val="single" w:color="000000" w:sz="6" w:space="0"/>
              <w:bottom w:val="nil"/>
              <w:right w:val="nil"/>
            </w:tcBorders>
          </w:tcPr>
          <w:p w:rsidRPr="00EB11C3" w:rsidR="00D36AEF" w:rsidP="004F5AE5" w:rsidRDefault="00D36AEF" w14:paraId="36348F58"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color="000000" w:sz="6" w:space="0"/>
              <w:left w:val="single" w:color="000000" w:sz="6" w:space="0"/>
              <w:bottom w:val="nil"/>
              <w:right w:val="nil"/>
            </w:tcBorders>
          </w:tcPr>
          <w:p w:rsidR="00D36AEF" w:rsidP="004F5AE5" w:rsidRDefault="00D36AEF" w14:paraId="196BF2EB" w14:textId="77777777">
            <w:pPr>
              <w:widowControl/>
              <w:tabs>
                <w:tab w:val="left" w:pos="0"/>
                <w:tab w:val="left" w:pos="720"/>
              </w:tabs>
              <w:spacing w:before="38" w:after="57"/>
              <w:jc w:val="center"/>
              <w:rPr>
                <w:rFonts w:ascii="Arial" w:hAnsi="Arial" w:cs="Arial"/>
                <w:sz w:val="18"/>
                <w:szCs w:val="18"/>
              </w:rPr>
            </w:pPr>
          </w:p>
        </w:tc>
        <w:tc>
          <w:tcPr>
            <w:tcW w:w="1078" w:type="dxa"/>
            <w:tcBorders>
              <w:top w:val="single" w:color="000000" w:sz="6" w:space="0"/>
              <w:left w:val="single" w:color="000000" w:sz="6" w:space="0"/>
              <w:bottom w:val="nil"/>
              <w:right w:val="nil"/>
            </w:tcBorders>
          </w:tcPr>
          <w:p w:rsidRPr="00F77962" w:rsidR="00D36AEF" w:rsidP="004F5AE5" w:rsidRDefault="00D36AEF" w14:paraId="5D52F3F1" w14:textId="77777777">
            <w:pPr>
              <w:widowControl/>
              <w:tabs>
                <w:tab w:val="left" w:pos="0"/>
                <w:tab w:val="left" w:pos="720"/>
              </w:tabs>
              <w:spacing w:before="38" w:after="57"/>
              <w:jc w:val="center"/>
              <w:rPr>
                <w:sz w:val="18"/>
                <w:szCs w:val="18"/>
              </w:rPr>
            </w:pPr>
            <w:r w:rsidRPr="00F77962">
              <w:rPr>
                <w:sz w:val="18"/>
                <w:szCs w:val="18"/>
              </w:rPr>
              <w:t>2</w:t>
            </w:r>
          </w:p>
        </w:tc>
        <w:tc>
          <w:tcPr>
            <w:tcW w:w="1083" w:type="dxa"/>
            <w:tcBorders>
              <w:top w:val="single" w:color="000000" w:sz="6" w:space="0"/>
              <w:left w:val="single" w:color="000000" w:sz="6" w:space="0"/>
              <w:bottom w:val="nil"/>
              <w:right w:val="single" w:color="000000" w:sz="6" w:space="0"/>
            </w:tcBorders>
          </w:tcPr>
          <w:p w:rsidR="00D36AEF" w:rsidP="004F5AE5" w:rsidRDefault="00D36AEF" w14:paraId="526544D5" w14:textId="77777777">
            <w:pPr>
              <w:widowControl/>
              <w:tabs>
                <w:tab w:val="left" w:pos="0"/>
                <w:tab w:val="left" w:pos="720"/>
              </w:tabs>
              <w:spacing w:before="38" w:after="57"/>
              <w:jc w:val="center"/>
              <w:rPr>
                <w:sz w:val="18"/>
                <w:szCs w:val="18"/>
              </w:rPr>
            </w:pPr>
            <w:r>
              <w:rPr>
                <w:sz w:val="18"/>
                <w:szCs w:val="18"/>
              </w:rPr>
              <w:t>2</w:t>
            </w:r>
          </w:p>
        </w:tc>
      </w:tr>
      <w:tr w:rsidR="00D36AEF" w:rsidTr="004F5AE5" w14:paraId="6D53ED4B" w14:textId="77777777">
        <w:trPr>
          <w:cantSplit/>
        </w:trPr>
        <w:tc>
          <w:tcPr>
            <w:tcW w:w="6118" w:type="dxa"/>
            <w:tcBorders>
              <w:top w:val="single" w:color="000000" w:sz="6" w:space="0"/>
              <w:left w:val="single" w:color="000000" w:sz="6" w:space="0"/>
              <w:bottom w:val="nil"/>
              <w:right w:val="nil"/>
            </w:tcBorders>
          </w:tcPr>
          <w:p w:rsidRPr="00EB11C3" w:rsidR="00D36AEF" w:rsidP="004F5AE5" w:rsidRDefault="00D36AEF" w14:paraId="52A5EFFC"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color="000000" w:sz="6" w:space="0"/>
              <w:left w:val="single" w:color="000000" w:sz="6" w:space="0"/>
              <w:bottom w:val="nil"/>
              <w:right w:val="nil"/>
            </w:tcBorders>
          </w:tcPr>
          <w:p w:rsidRPr="00F40F41" w:rsidR="00D36AEF" w:rsidP="004F5AE5" w:rsidRDefault="00EE5FBB" w14:paraId="42F484FE" w14:textId="4ABDF46F">
            <w:pPr>
              <w:widowControl/>
              <w:tabs>
                <w:tab w:val="left" w:pos="0"/>
                <w:tab w:val="left" w:pos="720"/>
              </w:tabs>
              <w:spacing w:before="38" w:after="57"/>
              <w:jc w:val="center"/>
              <w:rPr>
                <w:sz w:val="18"/>
                <w:szCs w:val="18"/>
              </w:rPr>
            </w:pPr>
            <w:r>
              <w:rPr>
                <w:sz w:val="18"/>
                <w:szCs w:val="18"/>
              </w:rPr>
              <w:t>10</w:t>
            </w:r>
          </w:p>
        </w:tc>
        <w:tc>
          <w:tcPr>
            <w:tcW w:w="1078" w:type="dxa"/>
            <w:tcBorders>
              <w:top w:val="single" w:color="000000" w:sz="6" w:space="0"/>
              <w:left w:val="single" w:color="000000" w:sz="6" w:space="0"/>
              <w:bottom w:val="nil"/>
              <w:right w:val="nil"/>
            </w:tcBorders>
          </w:tcPr>
          <w:p w:rsidRPr="00F77962" w:rsidR="00D36AEF" w:rsidP="004F5AE5" w:rsidRDefault="0099499C" w14:paraId="399ED413" w14:textId="745716B8">
            <w:pPr>
              <w:widowControl/>
              <w:tabs>
                <w:tab w:val="left" w:pos="0"/>
                <w:tab w:val="left" w:pos="720"/>
              </w:tabs>
              <w:spacing w:before="38" w:after="57"/>
              <w:jc w:val="center"/>
              <w:rPr>
                <w:sz w:val="18"/>
                <w:szCs w:val="18"/>
              </w:rPr>
            </w:pPr>
            <w:r w:rsidRPr="00F77962">
              <w:rPr>
                <w:sz w:val="18"/>
                <w:szCs w:val="18"/>
              </w:rPr>
              <w:t>2</w:t>
            </w:r>
            <w:r w:rsidRPr="00F40F41" w:rsidR="007758F8">
              <w:rPr>
                <w:sz w:val="18"/>
                <w:szCs w:val="18"/>
              </w:rPr>
              <w:t>0</w:t>
            </w:r>
          </w:p>
        </w:tc>
        <w:tc>
          <w:tcPr>
            <w:tcW w:w="1083" w:type="dxa"/>
            <w:tcBorders>
              <w:top w:val="single" w:color="000000" w:sz="6" w:space="0"/>
              <w:left w:val="single" w:color="000000" w:sz="6" w:space="0"/>
              <w:bottom w:val="nil"/>
              <w:right w:val="single" w:color="000000" w:sz="6" w:space="0"/>
            </w:tcBorders>
          </w:tcPr>
          <w:p w:rsidR="00D36AEF" w:rsidP="004F5AE5" w:rsidRDefault="00D10084" w14:paraId="1D3AA18A" w14:textId="4C0F8D39">
            <w:pPr>
              <w:widowControl/>
              <w:tabs>
                <w:tab w:val="left" w:pos="0"/>
                <w:tab w:val="left" w:pos="720"/>
              </w:tabs>
              <w:spacing w:before="38" w:after="57"/>
              <w:jc w:val="center"/>
              <w:rPr>
                <w:sz w:val="18"/>
                <w:szCs w:val="18"/>
              </w:rPr>
            </w:pPr>
            <w:r>
              <w:rPr>
                <w:sz w:val="18"/>
                <w:szCs w:val="18"/>
              </w:rPr>
              <w:t>30</w:t>
            </w:r>
          </w:p>
        </w:tc>
      </w:tr>
      <w:tr w:rsidR="008A250E" w:rsidTr="004F5AE5" w14:paraId="0A67757F" w14:textId="77777777">
        <w:trPr>
          <w:cantSplit/>
        </w:trPr>
        <w:tc>
          <w:tcPr>
            <w:tcW w:w="6118" w:type="dxa"/>
            <w:tcBorders>
              <w:top w:val="single" w:color="000000" w:sz="6" w:space="0"/>
              <w:left w:val="single" w:color="000000" w:sz="6" w:space="0"/>
              <w:bottom w:val="nil"/>
              <w:right w:val="nil"/>
            </w:tcBorders>
          </w:tcPr>
          <w:p w:rsidRPr="00EB11C3" w:rsidR="008A250E" w:rsidP="00F40F41" w:rsidRDefault="008A250E" w14:paraId="47C33EFF" w14:textId="0BA9B1A1">
            <w:pPr>
              <w:widowControl/>
              <w:tabs>
                <w:tab w:val="left" w:pos="0"/>
                <w:tab w:val="left" w:pos="720"/>
                <w:tab w:val="left" w:pos="1440"/>
                <w:tab w:val="left" w:pos="2160"/>
                <w:tab w:val="left" w:pos="2880"/>
                <w:tab w:val="left" w:pos="3600"/>
                <w:tab w:val="left" w:pos="4320"/>
                <w:tab w:val="left" w:pos="5040"/>
                <w:tab w:val="left" w:pos="5760"/>
              </w:tabs>
              <w:spacing w:before="38" w:after="57"/>
              <w:ind w:left="165"/>
              <w:jc w:val="both"/>
              <w:rPr>
                <w:sz w:val="20"/>
                <w:szCs w:val="20"/>
              </w:rPr>
            </w:pP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all point</w:t>
            </w:r>
            <w:r w:rsidRPr="008A250E">
              <w:rPr>
                <w:b/>
                <w:sz w:val="20"/>
                <w:szCs w:val="20"/>
              </w:rPr>
              <w:t xml:space="preserve"> sources</w:t>
            </w:r>
          </w:p>
        </w:tc>
        <w:tc>
          <w:tcPr>
            <w:tcW w:w="1078" w:type="dxa"/>
            <w:tcBorders>
              <w:top w:val="single" w:color="000000" w:sz="6" w:space="0"/>
              <w:left w:val="single" w:color="000000" w:sz="6" w:space="0"/>
              <w:bottom w:val="nil"/>
              <w:right w:val="nil"/>
            </w:tcBorders>
          </w:tcPr>
          <w:p w:rsidRPr="00F40F41" w:rsidR="008A250E" w:rsidP="004F5AE5" w:rsidRDefault="00EE5FBB" w14:paraId="28549414" w14:textId="081032E0">
            <w:pPr>
              <w:widowControl/>
              <w:tabs>
                <w:tab w:val="left" w:pos="0"/>
                <w:tab w:val="left" w:pos="720"/>
              </w:tabs>
              <w:spacing w:before="38" w:after="57"/>
              <w:jc w:val="center"/>
              <w:rPr>
                <w:sz w:val="18"/>
                <w:szCs w:val="18"/>
              </w:rPr>
            </w:pPr>
            <w:r>
              <w:rPr>
                <w:sz w:val="18"/>
                <w:szCs w:val="18"/>
              </w:rPr>
              <w:t>20</w:t>
            </w:r>
          </w:p>
        </w:tc>
        <w:tc>
          <w:tcPr>
            <w:tcW w:w="1078" w:type="dxa"/>
            <w:tcBorders>
              <w:top w:val="single" w:color="000000" w:sz="6" w:space="0"/>
              <w:left w:val="single" w:color="000000" w:sz="6" w:space="0"/>
              <w:bottom w:val="nil"/>
              <w:right w:val="nil"/>
            </w:tcBorders>
          </w:tcPr>
          <w:p w:rsidRPr="00F77962" w:rsidR="008A250E" w:rsidP="004F5AE5" w:rsidRDefault="007758F8" w14:paraId="4FC19C21" w14:textId="707C767E">
            <w:pPr>
              <w:widowControl/>
              <w:tabs>
                <w:tab w:val="left" w:pos="0"/>
                <w:tab w:val="left" w:pos="720"/>
              </w:tabs>
              <w:spacing w:before="38" w:after="57"/>
              <w:jc w:val="center"/>
              <w:rPr>
                <w:sz w:val="18"/>
                <w:szCs w:val="18"/>
              </w:rPr>
            </w:pPr>
            <w:r w:rsidRPr="00F40F41">
              <w:rPr>
                <w:sz w:val="18"/>
                <w:szCs w:val="18"/>
              </w:rPr>
              <w:t>170</w:t>
            </w:r>
          </w:p>
        </w:tc>
        <w:tc>
          <w:tcPr>
            <w:tcW w:w="1083" w:type="dxa"/>
            <w:tcBorders>
              <w:top w:val="single" w:color="000000" w:sz="6" w:space="0"/>
              <w:left w:val="single" w:color="000000" w:sz="6" w:space="0"/>
              <w:bottom w:val="nil"/>
              <w:right w:val="single" w:color="000000" w:sz="6" w:space="0"/>
            </w:tcBorders>
          </w:tcPr>
          <w:p w:rsidR="008A250E" w:rsidP="004F5AE5" w:rsidRDefault="00EE5FBB" w14:paraId="518F8829" w14:textId="6C12B8E2">
            <w:pPr>
              <w:widowControl/>
              <w:tabs>
                <w:tab w:val="left" w:pos="0"/>
                <w:tab w:val="left" w:pos="720"/>
              </w:tabs>
              <w:spacing w:before="38" w:after="57"/>
              <w:jc w:val="center"/>
              <w:rPr>
                <w:sz w:val="18"/>
                <w:szCs w:val="18"/>
              </w:rPr>
            </w:pPr>
            <w:r>
              <w:rPr>
                <w:sz w:val="18"/>
                <w:szCs w:val="18"/>
              </w:rPr>
              <w:t>190</w:t>
            </w:r>
          </w:p>
        </w:tc>
      </w:tr>
      <w:tr w:rsidR="008A250E" w:rsidTr="004F5AE5" w14:paraId="35019D9F" w14:textId="77777777">
        <w:trPr>
          <w:cantSplit/>
        </w:trPr>
        <w:tc>
          <w:tcPr>
            <w:tcW w:w="6118" w:type="dxa"/>
            <w:tcBorders>
              <w:top w:val="single" w:color="000000" w:sz="6" w:space="0"/>
              <w:left w:val="single" w:color="000000" w:sz="6" w:space="0"/>
              <w:bottom w:val="nil"/>
              <w:right w:val="nil"/>
            </w:tcBorders>
          </w:tcPr>
          <w:p w:rsidR="008A250E" w:rsidP="00E351FB" w:rsidRDefault="008A250E" w14:paraId="3E13527E" w14:textId="0D244563">
            <w:pPr>
              <w:widowControl/>
              <w:tabs>
                <w:tab w:val="left" w:pos="720"/>
                <w:tab w:val="left" w:pos="1440"/>
                <w:tab w:val="left" w:pos="2160"/>
                <w:tab w:val="left" w:pos="2880"/>
                <w:tab w:val="left" w:pos="3600"/>
                <w:tab w:val="left" w:pos="4320"/>
                <w:tab w:val="left" w:pos="5040"/>
                <w:tab w:val="left" w:pos="5760"/>
              </w:tabs>
              <w:spacing w:before="38" w:after="57"/>
              <w:ind w:left="165"/>
              <w:jc w:val="both"/>
              <w:rPr>
                <w:sz w:val="20"/>
                <w:szCs w:val="20"/>
              </w:rPr>
            </w:pP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increment</w:t>
            </w:r>
            <w:r w:rsidR="00E351FB">
              <w:rPr>
                <w:b/>
                <w:sz w:val="20"/>
                <w:szCs w:val="20"/>
              </w:rPr>
              <w:t xml:space="preserve"> </w:t>
            </w:r>
            <w:r w:rsidR="00D10084">
              <w:rPr>
                <w:b/>
                <w:sz w:val="20"/>
                <w:szCs w:val="20"/>
              </w:rPr>
              <w:t xml:space="preserve">in addition to </w:t>
            </w:r>
            <w:r w:rsidR="00E351FB">
              <w:rPr>
                <w:b/>
                <w:sz w:val="20"/>
                <w:szCs w:val="20"/>
              </w:rPr>
              <w:t>annual reporting</w:t>
            </w:r>
          </w:p>
        </w:tc>
        <w:tc>
          <w:tcPr>
            <w:tcW w:w="1078" w:type="dxa"/>
            <w:tcBorders>
              <w:top w:val="single" w:color="000000" w:sz="6" w:space="0"/>
              <w:left w:val="single" w:color="000000" w:sz="6" w:space="0"/>
              <w:bottom w:val="nil"/>
              <w:right w:val="nil"/>
            </w:tcBorders>
          </w:tcPr>
          <w:p w:rsidRPr="00F40F41" w:rsidR="008A250E" w:rsidP="004F5AE5" w:rsidRDefault="00EE5FBB" w14:paraId="06507EF3" w14:textId="43869904">
            <w:pPr>
              <w:widowControl/>
              <w:tabs>
                <w:tab w:val="left" w:pos="0"/>
                <w:tab w:val="left" w:pos="720"/>
              </w:tabs>
              <w:spacing w:before="38" w:after="57"/>
              <w:jc w:val="center"/>
              <w:rPr>
                <w:sz w:val="18"/>
                <w:szCs w:val="18"/>
              </w:rPr>
            </w:pPr>
            <w:r>
              <w:rPr>
                <w:sz w:val="18"/>
                <w:szCs w:val="18"/>
              </w:rPr>
              <w:t>16</w:t>
            </w:r>
          </w:p>
        </w:tc>
        <w:tc>
          <w:tcPr>
            <w:tcW w:w="1078" w:type="dxa"/>
            <w:tcBorders>
              <w:top w:val="single" w:color="000000" w:sz="6" w:space="0"/>
              <w:left w:val="single" w:color="000000" w:sz="6" w:space="0"/>
              <w:bottom w:val="nil"/>
              <w:right w:val="nil"/>
            </w:tcBorders>
          </w:tcPr>
          <w:p w:rsidRPr="00F77962" w:rsidR="008A250E" w:rsidP="004F5AE5" w:rsidRDefault="00EE5FBB" w14:paraId="5922D537" w14:textId="1DA9152F">
            <w:pPr>
              <w:widowControl/>
              <w:tabs>
                <w:tab w:val="left" w:pos="0"/>
                <w:tab w:val="left" w:pos="720"/>
              </w:tabs>
              <w:spacing w:before="38" w:after="57"/>
              <w:jc w:val="center"/>
              <w:rPr>
                <w:sz w:val="18"/>
                <w:szCs w:val="18"/>
              </w:rPr>
            </w:pPr>
            <w:r>
              <w:rPr>
                <w:sz w:val="18"/>
                <w:szCs w:val="18"/>
              </w:rPr>
              <w:t>124</w:t>
            </w:r>
          </w:p>
        </w:tc>
        <w:tc>
          <w:tcPr>
            <w:tcW w:w="1083" w:type="dxa"/>
            <w:tcBorders>
              <w:top w:val="single" w:color="000000" w:sz="6" w:space="0"/>
              <w:left w:val="single" w:color="000000" w:sz="6" w:space="0"/>
              <w:bottom w:val="nil"/>
              <w:right w:val="single" w:color="000000" w:sz="6" w:space="0"/>
            </w:tcBorders>
          </w:tcPr>
          <w:p w:rsidR="008A250E" w:rsidP="004F5AE5" w:rsidRDefault="00EE5FBB" w14:paraId="285A8DE0" w14:textId="7A9E60AC">
            <w:pPr>
              <w:widowControl/>
              <w:tabs>
                <w:tab w:val="left" w:pos="0"/>
                <w:tab w:val="left" w:pos="720"/>
              </w:tabs>
              <w:spacing w:before="38" w:after="57"/>
              <w:jc w:val="center"/>
              <w:rPr>
                <w:sz w:val="18"/>
                <w:szCs w:val="18"/>
              </w:rPr>
            </w:pPr>
            <w:r>
              <w:rPr>
                <w:sz w:val="18"/>
                <w:szCs w:val="18"/>
              </w:rPr>
              <w:t>140</w:t>
            </w:r>
          </w:p>
        </w:tc>
      </w:tr>
      <w:tr w:rsidR="00D36AEF" w:rsidTr="004F5AE5" w14:paraId="55B4603B" w14:textId="77777777">
        <w:trPr>
          <w:cantSplit/>
        </w:trPr>
        <w:tc>
          <w:tcPr>
            <w:tcW w:w="6118" w:type="dxa"/>
            <w:tcBorders>
              <w:top w:val="single" w:color="000000" w:sz="6" w:space="0"/>
              <w:left w:val="single" w:color="000000" w:sz="6" w:space="0"/>
              <w:bottom w:val="nil"/>
              <w:right w:val="nil"/>
            </w:tcBorders>
          </w:tcPr>
          <w:p w:rsidRPr="00D36AEF" w:rsidR="00D36AEF" w:rsidP="00F40F41" w:rsidRDefault="004F5AE5" w14:paraId="1A08AF09" w14:textId="3E030359">
            <w:pPr>
              <w:widowControl/>
              <w:tabs>
                <w:tab w:val="left" w:pos="720"/>
                <w:tab w:val="left" w:pos="1440"/>
                <w:tab w:val="left" w:pos="2160"/>
                <w:tab w:val="left" w:pos="2880"/>
                <w:tab w:val="left" w:pos="3600"/>
                <w:tab w:val="left" w:pos="4320"/>
                <w:tab w:val="left" w:pos="5040"/>
                <w:tab w:val="left" w:pos="5760"/>
              </w:tabs>
              <w:spacing w:before="38" w:after="57"/>
              <w:ind w:left="345" w:hanging="345"/>
              <w:rPr>
                <w:sz w:val="20"/>
                <w:szCs w:val="20"/>
              </w:rPr>
            </w:pPr>
            <w:r>
              <w:rPr>
                <w:sz w:val="20"/>
                <w:szCs w:val="20"/>
              </w:rPr>
              <w:t xml:space="preserve">  7. </w:t>
            </w:r>
            <w:r w:rsidR="00D9752D">
              <w:rPr>
                <w:sz w:val="20"/>
                <w:szCs w:val="20"/>
              </w:rPr>
              <w:t xml:space="preserve"> </w:t>
            </w:r>
            <w:r w:rsidRPr="00D36AEF" w:rsidR="00D36AEF">
              <w:rPr>
                <w:sz w:val="20"/>
                <w:szCs w:val="20"/>
              </w:rPr>
              <w:t xml:space="preserve">For </w:t>
            </w:r>
            <w:r w:rsidR="00035E1F">
              <w:rPr>
                <w:sz w:val="20"/>
                <w:szCs w:val="20"/>
              </w:rPr>
              <w:t>s</w:t>
            </w:r>
            <w:r w:rsidRPr="00D36AEF" w:rsidR="00D36AEF">
              <w:rPr>
                <w:sz w:val="20"/>
                <w:szCs w:val="20"/>
              </w:rPr>
              <w:t xml:space="preserve">tate agencies, develop and report statewide inventory </w:t>
            </w:r>
            <w:r w:rsidR="00D10084">
              <w:rPr>
                <w:sz w:val="20"/>
                <w:szCs w:val="20"/>
              </w:rPr>
              <w:t xml:space="preserve">data </w:t>
            </w:r>
            <w:r w:rsidRPr="00D36AEF" w:rsidR="00D36AEF">
              <w:rPr>
                <w:sz w:val="20"/>
                <w:szCs w:val="20"/>
              </w:rPr>
              <w:t xml:space="preserve">for stationary nonpoint, nonroad mobile, and </w:t>
            </w:r>
            <w:proofErr w:type="spellStart"/>
            <w:r w:rsidRPr="00D36AEF" w:rsidR="00D36AEF">
              <w:rPr>
                <w:sz w:val="20"/>
                <w:szCs w:val="20"/>
              </w:rPr>
              <w:t>onroad</w:t>
            </w:r>
            <w:proofErr w:type="spellEnd"/>
            <w:r w:rsidRPr="00D36AEF" w:rsidR="00D36AEF">
              <w:rPr>
                <w:sz w:val="20"/>
                <w:szCs w:val="20"/>
              </w:rPr>
              <w:t xml:space="preserve"> mobile sources for all pollutants </w:t>
            </w:r>
          </w:p>
        </w:tc>
        <w:tc>
          <w:tcPr>
            <w:tcW w:w="1078" w:type="dxa"/>
            <w:tcBorders>
              <w:top w:val="single" w:color="000000" w:sz="6" w:space="0"/>
              <w:left w:val="single" w:color="000000" w:sz="6" w:space="0"/>
              <w:bottom w:val="nil"/>
              <w:right w:val="nil"/>
            </w:tcBorders>
          </w:tcPr>
          <w:p w:rsidRPr="00D36AEF" w:rsidR="00D36AEF" w:rsidP="004F5AE5" w:rsidRDefault="00A00C3C" w14:paraId="5A2FB0AE" w14:textId="77777777">
            <w:pPr>
              <w:widowControl/>
              <w:tabs>
                <w:tab w:val="left" w:pos="0"/>
                <w:tab w:val="left" w:pos="720"/>
              </w:tabs>
              <w:spacing w:before="38" w:after="57"/>
              <w:jc w:val="center"/>
              <w:rPr>
                <w:sz w:val="20"/>
                <w:szCs w:val="20"/>
              </w:rPr>
            </w:pPr>
            <w:r>
              <w:rPr>
                <w:sz w:val="20"/>
                <w:szCs w:val="20"/>
              </w:rPr>
              <w:t>87</w:t>
            </w:r>
          </w:p>
        </w:tc>
        <w:tc>
          <w:tcPr>
            <w:tcW w:w="1078" w:type="dxa"/>
            <w:tcBorders>
              <w:top w:val="single" w:color="000000" w:sz="6" w:space="0"/>
              <w:left w:val="single" w:color="000000" w:sz="6" w:space="0"/>
              <w:bottom w:val="nil"/>
              <w:right w:val="nil"/>
            </w:tcBorders>
          </w:tcPr>
          <w:p w:rsidRPr="00D36AEF" w:rsidR="00D36AEF" w:rsidP="004F5AE5" w:rsidRDefault="00A00C3C" w14:paraId="7299D6D4" w14:textId="77777777">
            <w:pPr>
              <w:widowControl/>
              <w:tabs>
                <w:tab w:val="left" w:pos="0"/>
                <w:tab w:val="left" w:pos="720"/>
              </w:tabs>
              <w:spacing w:before="38" w:after="57"/>
              <w:jc w:val="center"/>
              <w:rPr>
                <w:sz w:val="20"/>
                <w:szCs w:val="20"/>
              </w:rPr>
            </w:pPr>
            <w:r>
              <w:rPr>
                <w:sz w:val="20"/>
                <w:szCs w:val="20"/>
              </w:rPr>
              <w:t>1,740</w:t>
            </w:r>
          </w:p>
        </w:tc>
        <w:tc>
          <w:tcPr>
            <w:tcW w:w="1083" w:type="dxa"/>
            <w:tcBorders>
              <w:top w:val="single" w:color="000000" w:sz="6" w:space="0"/>
              <w:left w:val="single" w:color="000000" w:sz="6" w:space="0"/>
              <w:bottom w:val="nil"/>
              <w:right w:val="single" w:color="000000" w:sz="6" w:space="0"/>
            </w:tcBorders>
          </w:tcPr>
          <w:p w:rsidRPr="00D36AEF" w:rsidR="00D36AEF" w:rsidP="004F5AE5" w:rsidRDefault="00A00C3C" w14:paraId="12D37822" w14:textId="77777777">
            <w:pPr>
              <w:widowControl/>
              <w:tabs>
                <w:tab w:val="left" w:pos="0"/>
                <w:tab w:val="left" w:pos="720"/>
              </w:tabs>
              <w:spacing w:before="38" w:after="57"/>
              <w:jc w:val="center"/>
              <w:rPr>
                <w:sz w:val="20"/>
                <w:szCs w:val="20"/>
              </w:rPr>
            </w:pPr>
            <w:r>
              <w:rPr>
                <w:sz w:val="20"/>
                <w:szCs w:val="20"/>
              </w:rPr>
              <w:t>1,827</w:t>
            </w:r>
          </w:p>
        </w:tc>
      </w:tr>
      <w:tr w:rsidR="00D36AEF" w:rsidTr="004F5AE5" w14:paraId="499784C3" w14:textId="77777777">
        <w:trPr>
          <w:cantSplit/>
        </w:trPr>
        <w:tc>
          <w:tcPr>
            <w:tcW w:w="6118" w:type="dxa"/>
            <w:tcBorders>
              <w:top w:val="single" w:color="000000" w:sz="6" w:space="0"/>
              <w:left w:val="single" w:color="000000" w:sz="6" w:space="0"/>
              <w:bottom w:val="nil"/>
              <w:right w:val="nil"/>
            </w:tcBorders>
          </w:tcPr>
          <w:p w:rsidRPr="00D36AEF" w:rsidR="00D36AEF" w:rsidP="00F40F41" w:rsidRDefault="00D9752D" w14:paraId="03DC93E6" w14:textId="28EF93F5">
            <w:pPr>
              <w:widowControl/>
              <w:tabs>
                <w:tab w:val="left" w:pos="720"/>
                <w:tab w:val="left" w:pos="1440"/>
                <w:tab w:val="left" w:pos="2160"/>
                <w:tab w:val="left" w:pos="2880"/>
                <w:tab w:val="left" w:pos="3600"/>
                <w:tab w:val="left" w:pos="4320"/>
                <w:tab w:val="left" w:pos="5040"/>
                <w:tab w:val="left" w:pos="5760"/>
              </w:tabs>
              <w:spacing w:before="38" w:after="57"/>
              <w:ind w:left="345" w:hanging="345"/>
              <w:rPr>
                <w:sz w:val="20"/>
                <w:szCs w:val="20"/>
              </w:rPr>
            </w:pPr>
            <w:r>
              <w:rPr>
                <w:sz w:val="20"/>
                <w:szCs w:val="20"/>
              </w:rPr>
              <w:t xml:space="preserve">  8.  </w:t>
            </w:r>
            <w:r w:rsidRPr="00D36AEF" w:rsidR="00D36AEF">
              <w:rPr>
                <w:sz w:val="20"/>
                <w:szCs w:val="20"/>
              </w:rPr>
              <w:t>For local agencies, develop and report county-level inventor</w:t>
            </w:r>
            <w:r w:rsidR="00D10084">
              <w:rPr>
                <w:sz w:val="20"/>
                <w:szCs w:val="20"/>
              </w:rPr>
              <w:t>y data</w:t>
            </w:r>
            <w:r w:rsidRPr="00D36AEF" w:rsidR="00D36AEF">
              <w:rPr>
                <w:sz w:val="20"/>
                <w:szCs w:val="20"/>
              </w:rPr>
              <w:t xml:space="preserve"> for stationary nonpoint, nonroad mobile, and </w:t>
            </w:r>
            <w:proofErr w:type="spellStart"/>
            <w:r w:rsidRPr="00D36AEF" w:rsidR="00D36AEF">
              <w:rPr>
                <w:sz w:val="20"/>
                <w:szCs w:val="20"/>
              </w:rPr>
              <w:t>onroad</w:t>
            </w:r>
            <w:proofErr w:type="spellEnd"/>
            <w:r w:rsidRPr="00D36AEF" w:rsidR="00D36AEF">
              <w:rPr>
                <w:sz w:val="20"/>
                <w:szCs w:val="20"/>
              </w:rPr>
              <w:t xml:space="preserve"> mobile sources for all pollutants </w:t>
            </w:r>
          </w:p>
        </w:tc>
        <w:tc>
          <w:tcPr>
            <w:tcW w:w="1078" w:type="dxa"/>
            <w:tcBorders>
              <w:top w:val="single" w:color="000000" w:sz="6" w:space="0"/>
              <w:left w:val="single" w:color="000000" w:sz="6" w:space="0"/>
              <w:bottom w:val="nil"/>
              <w:right w:val="nil"/>
            </w:tcBorders>
          </w:tcPr>
          <w:p w:rsidRPr="00D36AEF" w:rsidR="00D36AEF" w:rsidP="004F5AE5" w:rsidRDefault="00A00C3C" w14:paraId="40229793" w14:textId="77777777">
            <w:pPr>
              <w:widowControl/>
              <w:tabs>
                <w:tab w:val="left" w:pos="0"/>
                <w:tab w:val="left" w:pos="720"/>
              </w:tabs>
              <w:spacing w:before="38" w:after="57"/>
              <w:jc w:val="center"/>
              <w:rPr>
                <w:sz w:val="20"/>
                <w:szCs w:val="20"/>
              </w:rPr>
            </w:pPr>
            <w:r>
              <w:rPr>
                <w:sz w:val="20"/>
                <w:szCs w:val="20"/>
              </w:rPr>
              <w:t>44</w:t>
            </w:r>
          </w:p>
        </w:tc>
        <w:tc>
          <w:tcPr>
            <w:tcW w:w="1078" w:type="dxa"/>
            <w:tcBorders>
              <w:top w:val="single" w:color="000000" w:sz="6" w:space="0"/>
              <w:left w:val="single" w:color="000000" w:sz="6" w:space="0"/>
              <w:bottom w:val="nil"/>
              <w:right w:val="nil"/>
            </w:tcBorders>
          </w:tcPr>
          <w:p w:rsidRPr="00D36AEF" w:rsidR="00D36AEF" w:rsidP="004F5AE5" w:rsidRDefault="00A00C3C" w14:paraId="0A1DC503" w14:textId="77777777">
            <w:pPr>
              <w:widowControl/>
              <w:tabs>
                <w:tab w:val="left" w:pos="0"/>
                <w:tab w:val="left" w:pos="720"/>
              </w:tabs>
              <w:spacing w:before="38" w:after="57"/>
              <w:jc w:val="center"/>
              <w:rPr>
                <w:sz w:val="20"/>
                <w:szCs w:val="20"/>
              </w:rPr>
            </w:pPr>
            <w:r>
              <w:rPr>
                <w:sz w:val="20"/>
                <w:szCs w:val="20"/>
              </w:rPr>
              <w:t>870</w:t>
            </w:r>
          </w:p>
        </w:tc>
        <w:tc>
          <w:tcPr>
            <w:tcW w:w="1083" w:type="dxa"/>
            <w:tcBorders>
              <w:top w:val="single" w:color="000000" w:sz="6" w:space="0"/>
              <w:left w:val="single" w:color="000000" w:sz="6" w:space="0"/>
              <w:bottom w:val="nil"/>
              <w:right w:val="single" w:color="000000" w:sz="6" w:space="0"/>
            </w:tcBorders>
          </w:tcPr>
          <w:p w:rsidRPr="00D36AEF" w:rsidR="00D36AEF" w:rsidP="004F5AE5" w:rsidRDefault="00A00C3C" w14:paraId="331BB911" w14:textId="58D5CB0C">
            <w:pPr>
              <w:widowControl/>
              <w:tabs>
                <w:tab w:val="left" w:pos="0"/>
                <w:tab w:val="left" w:pos="720"/>
              </w:tabs>
              <w:spacing w:before="38" w:after="57"/>
              <w:jc w:val="center"/>
              <w:rPr>
                <w:sz w:val="20"/>
                <w:szCs w:val="20"/>
              </w:rPr>
            </w:pPr>
            <w:r>
              <w:rPr>
                <w:sz w:val="20"/>
                <w:szCs w:val="20"/>
              </w:rPr>
              <w:t>91</w:t>
            </w:r>
            <w:r w:rsidR="00375CB0">
              <w:rPr>
                <w:sz w:val="20"/>
                <w:szCs w:val="20"/>
              </w:rPr>
              <w:t>4</w:t>
            </w:r>
          </w:p>
        </w:tc>
      </w:tr>
      <w:tr w:rsidR="00D36AEF" w:rsidTr="004F5AE5" w14:paraId="36A1C87F" w14:textId="77777777">
        <w:trPr>
          <w:cantSplit/>
        </w:trPr>
        <w:tc>
          <w:tcPr>
            <w:tcW w:w="6118" w:type="dxa"/>
            <w:tcBorders>
              <w:top w:val="single" w:color="000000" w:sz="6" w:space="0"/>
              <w:left w:val="single" w:color="000000" w:sz="6" w:space="0"/>
              <w:bottom w:val="nil"/>
              <w:right w:val="nil"/>
            </w:tcBorders>
          </w:tcPr>
          <w:p w:rsidRPr="00D36AEF" w:rsidR="00D36AEF" w:rsidP="00F40F41" w:rsidRDefault="00D9752D" w14:paraId="54CD0089" w14:textId="77777777">
            <w:pPr>
              <w:widowControl/>
              <w:tabs>
                <w:tab w:val="left" w:pos="720"/>
                <w:tab w:val="left" w:pos="1440"/>
                <w:tab w:val="left" w:pos="2160"/>
                <w:tab w:val="left" w:pos="2880"/>
                <w:tab w:val="left" w:pos="3600"/>
                <w:tab w:val="left" w:pos="4320"/>
                <w:tab w:val="left" w:pos="5040"/>
                <w:tab w:val="left" w:pos="5760"/>
              </w:tabs>
              <w:spacing w:before="38" w:after="57"/>
              <w:ind w:left="345" w:hanging="345"/>
              <w:rPr>
                <w:sz w:val="20"/>
                <w:szCs w:val="20"/>
              </w:rPr>
            </w:pPr>
            <w:r>
              <w:rPr>
                <w:sz w:val="20"/>
                <w:szCs w:val="20"/>
              </w:rPr>
              <w:t xml:space="preserve">  9.  </w:t>
            </w:r>
            <w:r w:rsidRPr="00D36AEF" w:rsidR="00D36AEF">
              <w:rPr>
                <w:sz w:val="20"/>
                <w:szCs w:val="20"/>
              </w:rPr>
              <w:t xml:space="preserve">For local agencies, coordinate with </w:t>
            </w:r>
            <w:r w:rsidR="00035E1F">
              <w:rPr>
                <w:sz w:val="20"/>
                <w:szCs w:val="20"/>
              </w:rPr>
              <w:t>s</w:t>
            </w:r>
            <w:r w:rsidRPr="00D36AEF" w:rsidR="00D36AEF">
              <w:rPr>
                <w:sz w:val="20"/>
                <w:szCs w:val="20"/>
              </w:rPr>
              <w:t xml:space="preserve">tate agencies to complete stationary nonpoint, nonroad mobile, and </w:t>
            </w:r>
            <w:proofErr w:type="spellStart"/>
            <w:r w:rsidRPr="00D36AEF" w:rsidR="00D36AEF">
              <w:rPr>
                <w:sz w:val="20"/>
                <w:szCs w:val="20"/>
              </w:rPr>
              <w:t>onroad</w:t>
            </w:r>
            <w:proofErr w:type="spellEnd"/>
            <w:r w:rsidRPr="00D36AEF" w:rsidR="00D36AEF">
              <w:rPr>
                <w:sz w:val="20"/>
                <w:szCs w:val="20"/>
              </w:rPr>
              <w:t xml:space="preserve"> mobile sources for all pollutants  </w:t>
            </w:r>
          </w:p>
        </w:tc>
        <w:tc>
          <w:tcPr>
            <w:tcW w:w="1078" w:type="dxa"/>
            <w:tcBorders>
              <w:top w:val="single" w:color="000000" w:sz="6" w:space="0"/>
              <w:left w:val="single" w:color="000000" w:sz="6" w:space="0"/>
              <w:bottom w:val="nil"/>
              <w:right w:val="nil"/>
            </w:tcBorders>
          </w:tcPr>
          <w:p w:rsidRPr="00D36AEF" w:rsidR="00D36AEF" w:rsidP="004F5AE5" w:rsidRDefault="00D36AEF" w14:paraId="579A5D7D" w14:textId="77777777">
            <w:pPr>
              <w:widowControl/>
              <w:tabs>
                <w:tab w:val="left" w:pos="0"/>
                <w:tab w:val="left" w:pos="720"/>
              </w:tabs>
              <w:spacing w:before="38" w:after="57"/>
              <w:jc w:val="center"/>
              <w:rPr>
                <w:sz w:val="20"/>
                <w:szCs w:val="20"/>
              </w:rPr>
            </w:pPr>
            <w:r w:rsidRPr="00D36AEF">
              <w:rPr>
                <w:sz w:val="20"/>
                <w:szCs w:val="20"/>
              </w:rPr>
              <w:t>4</w:t>
            </w:r>
          </w:p>
        </w:tc>
        <w:tc>
          <w:tcPr>
            <w:tcW w:w="1078" w:type="dxa"/>
            <w:tcBorders>
              <w:top w:val="single" w:color="000000" w:sz="6" w:space="0"/>
              <w:left w:val="single" w:color="000000" w:sz="6" w:space="0"/>
              <w:bottom w:val="nil"/>
              <w:right w:val="nil"/>
            </w:tcBorders>
          </w:tcPr>
          <w:p w:rsidRPr="00D36AEF" w:rsidR="00D36AEF" w:rsidP="004F5AE5" w:rsidRDefault="00D36AEF" w14:paraId="58015675" w14:textId="77777777">
            <w:pPr>
              <w:widowControl/>
              <w:tabs>
                <w:tab w:val="left" w:pos="0"/>
                <w:tab w:val="left" w:pos="720"/>
              </w:tabs>
              <w:spacing w:before="38" w:after="57"/>
              <w:jc w:val="center"/>
              <w:rPr>
                <w:sz w:val="20"/>
                <w:szCs w:val="20"/>
              </w:rPr>
            </w:pPr>
            <w:r w:rsidRPr="00D36AEF">
              <w:rPr>
                <w:sz w:val="20"/>
                <w:szCs w:val="20"/>
              </w:rPr>
              <w:t>80</w:t>
            </w:r>
          </w:p>
        </w:tc>
        <w:tc>
          <w:tcPr>
            <w:tcW w:w="1083" w:type="dxa"/>
            <w:tcBorders>
              <w:top w:val="single" w:color="000000" w:sz="6" w:space="0"/>
              <w:left w:val="single" w:color="000000" w:sz="6" w:space="0"/>
              <w:bottom w:val="nil"/>
              <w:right w:val="single" w:color="000000" w:sz="6" w:space="0"/>
            </w:tcBorders>
          </w:tcPr>
          <w:p w:rsidRPr="00D36AEF" w:rsidR="00D36AEF" w:rsidP="004F5AE5" w:rsidRDefault="00D36AEF" w14:paraId="465E9C5F" w14:textId="77777777">
            <w:pPr>
              <w:widowControl/>
              <w:tabs>
                <w:tab w:val="left" w:pos="0"/>
                <w:tab w:val="left" w:pos="720"/>
              </w:tabs>
              <w:spacing w:before="38" w:after="57"/>
              <w:jc w:val="center"/>
              <w:rPr>
                <w:sz w:val="20"/>
                <w:szCs w:val="20"/>
              </w:rPr>
            </w:pPr>
            <w:r w:rsidRPr="00D36AEF">
              <w:rPr>
                <w:sz w:val="20"/>
                <w:szCs w:val="20"/>
              </w:rPr>
              <w:t>84</w:t>
            </w:r>
          </w:p>
        </w:tc>
      </w:tr>
      <w:tr w:rsidR="00D36AEF" w:rsidTr="004F5AE5" w14:paraId="3D068293" w14:textId="77777777">
        <w:trPr>
          <w:cantSplit/>
          <w:trHeight w:val="372"/>
        </w:trPr>
        <w:tc>
          <w:tcPr>
            <w:tcW w:w="9357" w:type="dxa"/>
            <w:gridSpan w:val="4"/>
            <w:tcBorders>
              <w:top w:val="single" w:color="000000" w:sz="6" w:space="0"/>
              <w:left w:val="nil"/>
              <w:bottom w:val="nil"/>
              <w:right w:val="single" w:color="000000" w:sz="6" w:space="0"/>
            </w:tcBorders>
          </w:tcPr>
          <w:p w:rsidR="00D36AEF" w:rsidP="004F5AE5" w:rsidRDefault="00D36AEF" w14:paraId="77957DC2" w14:textId="77777777">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p>
        </w:tc>
      </w:tr>
    </w:tbl>
    <w:p w:rsidR="00851193" w:rsidP="00851193" w:rsidRDefault="00851193" w14:paraId="3DCC08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EB11C3" w:rsidP="00EB11C3" w:rsidRDefault="00EB11C3" w14:paraId="575E0C4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851193" w:rsidP="005C7FB4" w:rsidRDefault="00851193" w14:paraId="4E0AD2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851193" w:rsidP="00851193" w:rsidRDefault="00851193" w14:paraId="103BFF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51193" w:rsidSect="00712218">
          <w:headerReference w:type="default" r:id="rId9"/>
          <w:footerReference w:type="default" r:id="rId10"/>
          <w:endnotePr>
            <w:numFmt w:val="decimal"/>
          </w:endnotePr>
          <w:type w:val="continuous"/>
          <w:pgSz w:w="12240" w:h="15840"/>
          <w:pgMar w:top="1440" w:right="1440" w:bottom="1440" w:left="1440" w:header="720" w:footer="1440" w:gutter="0"/>
          <w:cols w:space="720"/>
          <w:noEndnote/>
          <w:titlePg/>
          <w:docGrid w:linePitch="326"/>
        </w:sectPr>
      </w:pPr>
    </w:p>
    <w:p w:rsidR="00E82FEE" w:rsidP="00851193" w:rsidRDefault="00E82FEE" w14:paraId="73687929" w14:textId="77777777">
      <w:pPr>
        <w:framePr w:w="360" w:h="360" w:vSpace="240" w:hSpace="240" w:wrap="auto" w:hAnchor="page" w:vAnchor="page" w:x="433" w:y="6001" w:hRule="exact"/>
        <w:pBdr>
          <w:top w:val="single" w:color="FFFFFF" w:sz="6" w:space="0"/>
          <w:left w:val="single" w:color="FFFFFF" w:sz="6" w:space="0"/>
          <w:bottom w:val="single" w:color="FFFFFF" w:sz="6" w:space="0"/>
          <w:right w:val="single" w:color="FFFFFF" w:sz="6" w:space="0"/>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rPr>
          <w:rFonts w:ascii="Arial" w:hAnsi="Arial" w:cs="Arial"/>
          <w:b/>
          <w:bCs/>
        </w:rPr>
      </w:pPr>
    </w:p>
    <w:p w:rsidR="00E82FEE" w:rsidP="00851193" w:rsidRDefault="00E82FEE" w14:paraId="150AFCC0" w14:textId="77777777">
      <w:pPr>
        <w:framePr w:w="360" w:h="360" w:vSpace="240" w:hSpace="240" w:wrap="auto" w:hAnchor="page" w:vAnchor="page" w:x="433" w:y="6001" w:hRule="exact"/>
        <w:pBdr>
          <w:top w:val="single" w:color="FFFFFF" w:sz="6" w:space="0"/>
          <w:left w:val="single" w:color="FFFFFF" w:sz="6" w:space="0"/>
          <w:bottom w:val="single" w:color="FFFFFF" w:sz="6" w:space="0"/>
          <w:right w:val="single" w:color="FFFFFF" w:sz="6" w:space="0"/>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rPr>
          <w:rFonts w:ascii="Arial" w:hAnsi="Arial" w:cs="Arial"/>
          <w:b/>
          <w:bCs/>
        </w:rPr>
      </w:pPr>
    </w:p>
    <w:p w:rsidR="002C01E6" w:rsidP="00851193" w:rsidRDefault="00851193" w14:paraId="68D51FDA" w14:textId="2FF2EA15">
      <w:pPr>
        <w:framePr w:w="360" w:h="360" w:vSpace="240" w:hSpace="240" w:wrap="auto" w:hAnchor="page" w:vAnchor="page" w:x="433" w:y="6001" w:hRule="exact"/>
        <w:pBdr>
          <w:top w:val="single" w:color="FFFFFF" w:sz="6" w:space="0"/>
          <w:left w:val="single" w:color="FFFFFF" w:sz="6" w:space="0"/>
          <w:bottom w:val="single" w:color="FFFFFF" w:sz="6" w:space="0"/>
          <w:right w:val="single" w:color="FFFFFF" w:sz="6" w:space="0"/>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r>
        <w:rPr>
          <w:rFonts w:ascii="Arial" w:hAnsi="Arial" w:cs="Arial"/>
          <w:b/>
          <w:bCs/>
        </w:rPr>
        <w:t>Table 6-3.  Annual State Respondent B</w:t>
      </w:r>
      <w:r>
        <w:t xml:space="preserve"> </w:t>
      </w:r>
      <w:r w:rsidR="00273F35">
        <w:fldChar w:fldCharType="begin"/>
      </w:r>
      <w:r w:rsidR="00273F35">
        <w:instrText xml:space="preserve">PAGE </w:instrText>
      </w:r>
      <w:r w:rsidR="00273F35">
        <w:fldChar w:fldCharType="separate"/>
      </w:r>
      <w:r w:rsidR="00130D55">
        <w:rPr>
          <w:noProof/>
        </w:rPr>
        <w:t>17</w:t>
      </w:r>
      <w:r w:rsidR="00273F35">
        <w:rPr>
          <w:noProof/>
        </w:rPr>
        <w:fldChar w:fldCharType="end"/>
      </w:r>
    </w:p>
    <w:p w:rsidR="004D5498" w:rsidP="004D5498" w:rsidRDefault="004D5498" w14:paraId="5333CD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b/>
          <w:bCs/>
        </w:rPr>
        <w:t>Table 6-2.  Annualized Respondent Burden and Cost by Activity</w:t>
      </w:r>
    </w:p>
    <w:p w:rsidR="004D5498" w:rsidP="004D5498" w:rsidRDefault="004D5498" w14:paraId="0559E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12925" w:type="dxa"/>
        <w:tblInd w:w="32" w:type="dxa"/>
        <w:tblLayout w:type="fixed"/>
        <w:tblCellMar>
          <w:left w:w="32" w:type="dxa"/>
          <w:right w:w="32" w:type="dxa"/>
        </w:tblCellMar>
        <w:tblLook w:val="0000" w:firstRow="0" w:lastRow="0" w:firstColumn="0" w:lastColumn="0" w:noHBand="0" w:noVBand="0"/>
      </w:tblPr>
      <w:tblGrid>
        <w:gridCol w:w="4375"/>
        <w:gridCol w:w="900"/>
        <w:gridCol w:w="845"/>
        <w:gridCol w:w="1080"/>
        <w:gridCol w:w="1170"/>
        <w:gridCol w:w="685"/>
        <w:gridCol w:w="720"/>
        <w:gridCol w:w="1080"/>
        <w:gridCol w:w="990"/>
        <w:gridCol w:w="1080"/>
      </w:tblGrid>
      <w:tr w:rsidR="00564857" w:rsidTr="003C1032" w14:paraId="19D72C18" w14:textId="28960BD1">
        <w:tc>
          <w:tcPr>
            <w:tcW w:w="4375" w:type="dxa"/>
            <w:vMerge w:val="restart"/>
            <w:tcBorders>
              <w:top w:val="single" w:color="000000" w:sz="2" w:space="0"/>
              <w:left w:val="single" w:color="000000" w:sz="2" w:space="0"/>
              <w:bottom w:val="nil"/>
              <w:right w:val="nil"/>
            </w:tcBorders>
            <w:vAlign w:val="bottom"/>
          </w:tcPr>
          <w:p w:rsidRPr="00CD68BB" w:rsidR="00564857" w:rsidP="006215D5" w:rsidRDefault="00564857" w14:paraId="65699F2D" w14:textId="77777777">
            <w:pPr>
              <w:widowControl/>
              <w:tabs>
                <w:tab w:val="left" w:pos="0"/>
                <w:tab w:val="left" w:pos="720"/>
                <w:tab w:val="left" w:pos="1440"/>
                <w:tab w:val="left" w:pos="2160"/>
                <w:tab w:val="left" w:pos="2880"/>
                <w:tab w:val="left" w:pos="3600"/>
                <w:tab w:val="left" w:pos="4320"/>
              </w:tabs>
              <w:spacing w:before="13"/>
              <w:rPr>
                <w:rFonts w:ascii="Arial" w:hAnsi="Arial" w:cs="Arial"/>
                <w:b/>
                <w:bCs/>
                <w:sz w:val="16"/>
                <w:szCs w:val="16"/>
              </w:rPr>
            </w:pPr>
          </w:p>
          <w:p w:rsidRPr="00CD68BB" w:rsidR="00564857" w:rsidP="006215D5" w:rsidRDefault="00564857" w14:paraId="200C6A2D" w14:textId="77777777">
            <w:pPr>
              <w:widowControl/>
              <w:tabs>
                <w:tab w:val="left" w:pos="0"/>
                <w:tab w:val="left" w:pos="720"/>
                <w:tab w:val="left" w:pos="1440"/>
                <w:tab w:val="left" w:pos="2160"/>
                <w:tab w:val="left" w:pos="2880"/>
                <w:tab w:val="left" w:pos="3600"/>
                <w:tab w:val="left" w:pos="4320"/>
              </w:tabs>
              <w:spacing w:after="13"/>
              <w:rPr>
                <w:rFonts w:ascii="Arial" w:hAnsi="Arial" w:cs="Arial"/>
                <w:sz w:val="16"/>
                <w:szCs w:val="16"/>
              </w:rPr>
            </w:pPr>
            <w:r w:rsidRPr="00CD68BB">
              <w:rPr>
                <w:rFonts w:ascii="Arial" w:hAnsi="Arial" w:cs="Arial"/>
                <w:b/>
                <w:bCs/>
                <w:sz w:val="16"/>
                <w:szCs w:val="16"/>
              </w:rPr>
              <w:t>Information Collection Activity</w:t>
            </w:r>
          </w:p>
        </w:tc>
        <w:tc>
          <w:tcPr>
            <w:tcW w:w="5400" w:type="dxa"/>
            <w:gridSpan w:val="6"/>
            <w:tcBorders>
              <w:top w:val="single" w:color="000000" w:sz="2" w:space="0"/>
              <w:left w:val="single" w:color="000000" w:sz="2" w:space="0"/>
              <w:bottom w:val="nil"/>
              <w:right w:val="nil"/>
            </w:tcBorders>
          </w:tcPr>
          <w:p w:rsidRPr="00CD68BB" w:rsidR="00564857" w:rsidP="006215D5" w:rsidRDefault="00564857" w14:paraId="1751F83F" w14:textId="77777777">
            <w:pPr>
              <w:widowControl/>
              <w:tabs>
                <w:tab w:val="left" w:pos="0"/>
                <w:tab w:val="left" w:pos="720"/>
              </w:tabs>
              <w:spacing w:before="13" w:after="13"/>
              <w:jc w:val="center"/>
              <w:rPr>
                <w:rFonts w:ascii="Arial" w:hAnsi="Arial" w:cs="Arial"/>
                <w:sz w:val="16"/>
                <w:szCs w:val="16"/>
              </w:rPr>
            </w:pPr>
            <w:r w:rsidRPr="00CD68BB">
              <w:rPr>
                <w:rFonts w:ascii="Arial" w:hAnsi="Arial" w:cs="Arial"/>
                <w:sz w:val="16"/>
                <w:szCs w:val="16"/>
              </w:rPr>
              <w:t>Hours and Costs Per Respondent</w:t>
            </w:r>
          </w:p>
        </w:tc>
        <w:tc>
          <w:tcPr>
            <w:tcW w:w="3150" w:type="dxa"/>
            <w:gridSpan w:val="3"/>
            <w:tcBorders>
              <w:top w:val="single" w:color="000000" w:sz="2" w:space="0"/>
              <w:left w:val="single" w:color="000000" w:sz="2" w:space="0"/>
              <w:bottom w:val="nil"/>
              <w:right w:val="single" w:color="auto" w:sz="4" w:space="0"/>
            </w:tcBorders>
          </w:tcPr>
          <w:p w:rsidRPr="00CD68BB" w:rsidR="00564857" w:rsidP="006215D5" w:rsidRDefault="00564857" w14:paraId="4D41688E" w14:textId="77777777">
            <w:pPr>
              <w:widowControl/>
              <w:tabs>
                <w:tab w:val="left" w:pos="0"/>
                <w:tab w:val="left" w:pos="720"/>
              </w:tabs>
              <w:spacing w:before="13" w:after="13"/>
              <w:jc w:val="center"/>
              <w:rPr>
                <w:rFonts w:ascii="Arial" w:hAnsi="Arial" w:cs="Arial"/>
                <w:sz w:val="16"/>
                <w:szCs w:val="16"/>
              </w:rPr>
            </w:pPr>
            <w:r w:rsidRPr="00CD68BB">
              <w:rPr>
                <w:rFonts w:ascii="Arial" w:hAnsi="Arial" w:cs="Arial"/>
                <w:sz w:val="16"/>
                <w:szCs w:val="16"/>
              </w:rPr>
              <w:t>Total Hours and Costs</w:t>
            </w:r>
          </w:p>
        </w:tc>
      </w:tr>
      <w:tr w:rsidR="00564857" w:rsidTr="003C1032" w14:paraId="7282EFCB" w14:textId="43F4066C">
        <w:tc>
          <w:tcPr>
            <w:tcW w:w="4375" w:type="dxa"/>
            <w:vMerge/>
            <w:tcBorders>
              <w:top w:val="single" w:color="000000" w:sz="2" w:space="0"/>
              <w:left w:val="single" w:color="000000" w:sz="2" w:space="0"/>
              <w:bottom w:val="nil"/>
              <w:right w:val="nil"/>
            </w:tcBorders>
          </w:tcPr>
          <w:p w:rsidRPr="00CD68BB" w:rsidR="00564857" w:rsidP="006215D5" w:rsidRDefault="00564857" w14:paraId="6EC352AF"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p>
        </w:tc>
        <w:tc>
          <w:tcPr>
            <w:tcW w:w="900" w:type="dxa"/>
            <w:tcBorders>
              <w:top w:val="single" w:color="000000" w:sz="2" w:space="0"/>
              <w:left w:val="single" w:color="000000" w:sz="2" w:space="0"/>
              <w:bottom w:val="nil"/>
              <w:right w:val="nil"/>
            </w:tcBorders>
          </w:tcPr>
          <w:p w:rsidRPr="00CD68BB" w:rsidR="00564857" w:rsidP="006215D5" w:rsidRDefault="00564857" w14:paraId="5647E5BB" w14:textId="28F355A3">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 xml:space="preserve">Manager </w:t>
            </w:r>
            <w:r w:rsidRPr="00CD68BB">
              <w:rPr>
                <w:rFonts w:ascii="Arial" w:hAnsi="Arial" w:cs="Arial"/>
                <w:sz w:val="16"/>
                <w:szCs w:val="16"/>
              </w:rPr>
              <w:br/>
            </w:r>
            <w:proofErr w:type="spellStart"/>
            <w:r w:rsidRPr="00CD68BB">
              <w:rPr>
                <w:rFonts w:ascii="Arial" w:hAnsi="Arial" w:cs="Arial"/>
                <w:sz w:val="16"/>
                <w:szCs w:val="16"/>
              </w:rPr>
              <w:t>Hrs</w:t>
            </w:r>
            <w:proofErr w:type="spellEnd"/>
            <w:r w:rsidRPr="00CD68BB">
              <w:rPr>
                <w:rFonts w:ascii="Arial" w:hAnsi="Arial" w:cs="Arial"/>
                <w:sz w:val="16"/>
                <w:szCs w:val="16"/>
              </w:rPr>
              <w:t>/yr @</w:t>
            </w:r>
          </w:p>
          <w:p w:rsidRPr="00CD68BB" w:rsidR="00564857" w:rsidP="000371AC" w:rsidRDefault="00564857" w14:paraId="1F450EFA" w14:textId="59A20F0A">
            <w:pPr>
              <w:widowControl/>
              <w:tabs>
                <w:tab w:val="left" w:pos="0"/>
                <w:tab w:val="left" w:pos="720"/>
              </w:tabs>
              <w:spacing w:after="13"/>
              <w:jc w:val="center"/>
              <w:rPr>
                <w:rFonts w:ascii="Arial" w:hAnsi="Arial" w:cs="Arial"/>
                <w:sz w:val="16"/>
                <w:szCs w:val="16"/>
              </w:rPr>
            </w:pPr>
            <w:r w:rsidRPr="00CD68BB">
              <w:rPr>
                <w:rFonts w:ascii="Arial" w:hAnsi="Arial" w:cs="Arial"/>
                <w:sz w:val="16"/>
                <w:szCs w:val="16"/>
              </w:rPr>
              <w:t>$155.52/Hr</w:t>
            </w:r>
          </w:p>
        </w:tc>
        <w:tc>
          <w:tcPr>
            <w:tcW w:w="845" w:type="dxa"/>
            <w:tcBorders>
              <w:top w:val="single" w:color="000000" w:sz="2" w:space="0"/>
              <w:left w:val="single" w:color="000000" w:sz="2" w:space="0"/>
              <w:bottom w:val="nil"/>
              <w:right w:val="nil"/>
            </w:tcBorders>
          </w:tcPr>
          <w:p w:rsidRPr="00CD68BB" w:rsidR="00564857" w:rsidP="006215D5" w:rsidRDefault="00564857" w14:paraId="375C50B5" w14:textId="77777777">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 xml:space="preserve">Tech. </w:t>
            </w:r>
            <w:proofErr w:type="spellStart"/>
            <w:r w:rsidRPr="00CD68BB">
              <w:rPr>
                <w:rFonts w:ascii="Arial" w:hAnsi="Arial" w:cs="Arial"/>
                <w:sz w:val="16"/>
                <w:szCs w:val="16"/>
              </w:rPr>
              <w:t>Hrs</w:t>
            </w:r>
            <w:proofErr w:type="spellEnd"/>
            <w:r w:rsidRPr="00CD68BB">
              <w:rPr>
                <w:rFonts w:ascii="Arial" w:hAnsi="Arial" w:cs="Arial"/>
                <w:sz w:val="16"/>
                <w:szCs w:val="16"/>
              </w:rPr>
              <w:t>/yr @</w:t>
            </w:r>
          </w:p>
          <w:p w:rsidRPr="00CD68BB" w:rsidR="00564857" w:rsidP="000371AC" w:rsidRDefault="00564857" w14:paraId="6B90F8F5" w14:textId="435A0C27">
            <w:pPr>
              <w:widowControl/>
              <w:tabs>
                <w:tab w:val="left" w:pos="0"/>
                <w:tab w:val="left" w:pos="720"/>
              </w:tabs>
              <w:spacing w:after="13"/>
              <w:jc w:val="center"/>
              <w:rPr>
                <w:rFonts w:ascii="Arial" w:hAnsi="Arial" w:cs="Arial"/>
                <w:sz w:val="16"/>
                <w:szCs w:val="16"/>
              </w:rPr>
            </w:pPr>
            <w:r w:rsidRPr="00CD68BB">
              <w:rPr>
                <w:rFonts w:ascii="Arial" w:hAnsi="Arial" w:cs="Arial"/>
                <w:sz w:val="16"/>
                <w:szCs w:val="16"/>
              </w:rPr>
              <w:t>$93.16/Hr</w:t>
            </w:r>
          </w:p>
        </w:tc>
        <w:tc>
          <w:tcPr>
            <w:tcW w:w="1080" w:type="dxa"/>
            <w:tcBorders>
              <w:top w:val="single" w:color="000000" w:sz="2" w:space="0"/>
              <w:left w:val="single" w:color="000000" w:sz="2" w:space="0"/>
              <w:bottom w:val="nil"/>
              <w:right w:val="nil"/>
            </w:tcBorders>
            <w:vAlign w:val="bottom"/>
          </w:tcPr>
          <w:p w:rsidRPr="00CD68BB" w:rsidR="00564857" w:rsidP="00F06BCC" w:rsidRDefault="00564857" w14:paraId="33ABBA9A" w14:textId="77777777">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Respondent</w:t>
            </w:r>
          </w:p>
          <w:p w:rsidRPr="00CD68BB" w:rsidR="00564857" w:rsidP="00F06BCC" w:rsidRDefault="00564857" w14:paraId="5E22797D" w14:textId="77777777">
            <w:pPr>
              <w:widowControl/>
              <w:tabs>
                <w:tab w:val="left" w:pos="0"/>
                <w:tab w:val="left" w:pos="720"/>
              </w:tabs>
              <w:spacing w:after="13"/>
              <w:jc w:val="center"/>
              <w:rPr>
                <w:rFonts w:ascii="Arial" w:hAnsi="Arial" w:cs="Arial"/>
                <w:sz w:val="16"/>
                <w:szCs w:val="16"/>
              </w:rPr>
            </w:pPr>
            <w:r w:rsidRPr="00CD68BB">
              <w:rPr>
                <w:rFonts w:ascii="Arial" w:hAnsi="Arial" w:cs="Arial"/>
                <w:sz w:val="16"/>
                <w:szCs w:val="16"/>
              </w:rPr>
              <w:t>Hours/Year</w:t>
            </w:r>
          </w:p>
        </w:tc>
        <w:tc>
          <w:tcPr>
            <w:tcW w:w="1170" w:type="dxa"/>
            <w:tcBorders>
              <w:top w:val="single" w:color="000000" w:sz="2" w:space="0"/>
              <w:left w:val="single" w:color="000000" w:sz="2" w:space="0"/>
              <w:bottom w:val="nil"/>
              <w:right w:val="nil"/>
            </w:tcBorders>
            <w:vAlign w:val="bottom"/>
          </w:tcPr>
          <w:p w:rsidRPr="00CD68BB" w:rsidR="00564857" w:rsidP="00F06BCC" w:rsidRDefault="00564857" w14:paraId="6B9B9E8D" w14:textId="77777777">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Labor</w:t>
            </w:r>
          </w:p>
          <w:p w:rsidRPr="00CD68BB" w:rsidR="00564857" w:rsidP="00F06BCC" w:rsidRDefault="00564857" w14:paraId="4C1E87E0" w14:textId="77777777">
            <w:pPr>
              <w:widowControl/>
              <w:tabs>
                <w:tab w:val="left" w:pos="0"/>
                <w:tab w:val="left" w:pos="720"/>
              </w:tabs>
              <w:spacing w:after="13"/>
              <w:jc w:val="center"/>
              <w:rPr>
                <w:rFonts w:ascii="Arial" w:hAnsi="Arial" w:cs="Arial"/>
                <w:sz w:val="16"/>
                <w:szCs w:val="16"/>
              </w:rPr>
            </w:pPr>
            <w:r w:rsidRPr="00CD68BB">
              <w:rPr>
                <w:rFonts w:ascii="Arial" w:hAnsi="Arial" w:cs="Arial"/>
                <w:sz w:val="16"/>
                <w:szCs w:val="16"/>
              </w:rPr>
              <w:t>Cost/Year</w:t>
            </w:r>
          </w:p>
        </w:tc>
        <w:tc>
          <w:tcPr>
            <w:tcW w:w="685" w:type="dxa"/>
            <w:tcBorders>
              <w:top w:val="single" w:color="000000" w:sz="2" w:space="0"/>
              <w:left w:val="single" w:color="000000" w:sz="2" w:space="0"/>
              <w:bottom w:val="nil"/>
              <w:right w:val="nil"/>
            </w:tcBorders>
            <w:vAlign w:val="bottom"/>
          </w:tcPr>
          <w:p w:rsidRPr="00CD68BB" w:rsidR="00564857" w:rsidP="00F06BCC" w:rsidRDefault="00564857" w14:paraId="4A4F7191" w14:textId="06EE0AF7">
            <w:pPr>
              <w:widowControl/>
              <w:tabs>
                <w:tab w:val="left" w:pos="0"/>
                <w:tab w:val="left" w:pos="720"/>
              </w:tabs>
              <w:spacing w:before="13"/>
              <w:jc w:val="center"/>
              <w:rPr>
                <w:rFonts w:ascii="Arial" w:hAnsi="Arial" w:cs="Arial"/>
                <w:sz w:val="16"/>
                <w:szCs w:val="16"/>
                <w:vertAlign w:val="superscript"/>
              </w:rPr>
            </w:pPr>
            <w:r w:rsidRPr="00CD68BB">
              <w:rPr>
                <w:rFonts w:ascii="Arial" w:hAnsi="Arial" w:cs="Arial"/>
                <w:sz w:val="16"/>
                <w:szCs w:val="16"/>
              </w:rPr>
              <w:t>Capital Cost</w:t>
            </w:r>
            <w:r w:rsidRPr="00CD68BB">
              <w:rPr>
                <w:rFonts w:ascii="Arial" w:hAnsi="Arial" w:cs="Arial"/>
                <w:sz w:val="16"/>
                <w:szCs w:val="16"/>
                <w:vertAlign w:val="superscript"/>
              </w:rPr>
              <w:t>1</w:t>
            </w:r>
          </w:p>
        </w:tc>
        <w:tc>
          <w:tcPr>
            <w:tcW w:w="720" w:type="dxa"/>
            <w:tcBorders>
              <w:top w:val="single" w:color="000000" w:sz="2" w:space="0"/>
              <w:left w:val="single" w:color="000000" w:sz="2" w:space="0"/>
              <w:bottom w:val="nil"/>
              <w:right w:val="nil"/>
            </w:tcBorders>
            <w:vAlign w:val="bottom"/>
          </w:tcPr>
          <w:p w:rsidRPr="00CD68BB" w:rsidR="00564857" w:rsidP="00F06BCC" w:rsidRDefault="00564857" w14:paraId="64C4B5AB" w14:textId="77777777">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O &amp; M</w:t>
            </w:r>
          </w:p>
          <w:p w:rsidRPr="00CD68BB" w:rsidR="00564857" w:rsidP="00F06BCC" w:rsidRDefault="00564857" w14:paraId="697A53D6" w14:textId="752764F8">
            <w:pPr>
              <w:widowControl/>
              <w:tabs>
                <w:tab w:val="left" w:pos="0"/>
                <w:tab w:val="left" w:pos="720"/>
              </w:tabs>
              <w:spacing w:after="13"/>
              <w:jc w:val="center"/>
              <w:rPr>
                <w:rFonts w:ascii="Arial" w:hAnsi="Arial" w:cs="Arial"/>
                <w:sz w:val="16"/>
                <w:szCs w:val="16"/>
                <w:vertAlign w:val="superscript"/>
              </w:rPr>
            </w:pPr>
            <w:r w:rsidRPr="00CD68BB">
              <w:rPr>
                <w:rFonts w:ascii="Arial" w:hAnsi="Arial" w:cs="Arial"/>
                <w:sz w:val="16"/>
                <w:szCs w:val="16"/>
              </w:rPr>
              <w:t>Cost</w:t>
            </w:r>
            <w:r w:rsidRPr="00CD68BB">
              <w:rPr>
                <w:rFonts w:ascii="Arial" w:hAnsi="Arial" w:cs="Arial"/>
                <w:sz w:val="16"/>
                <w:szCs w:val="16"/>
                <w:vertAlign w:val="superscript"/>
              </w:rPr>
              <w:t>1</w:t>
            </w:r>
          </w:p>
        </w:tc>
        <w:tc>
          <w:tcPr>
            <w:tcW w:w="1080" w:type="dxa"/>
            <w:tcBorders>
              <w:top w:val="single" w:color="000000" w:sz="2" w:space="0"/>
              <w:left w:val="single" w:color="000000" w:sz="2" w:space="0"/>
              <w:bottom w:val="nil"/>
              <w:right w:val="nil"/>
            </w:tcBorders>
            <w:vAlign w:val="bottom"/>
          </w:tcPr>
          <w:p w:rsidRPr="00CD68BB" w:rsidR="00564857" w:rsidP="00F06BCC" w:rsidRDefault="00564857" w14:paraId="14EF161B" w14:textId="77777777">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Number of</w:t>
            </w:r>
          </w:p>
          <w:p w:rsidRPr="00CD68BB" w:rsidR="00564857" w:rsidP="00F06BCC" w:rsidRDefault="00564857" w14:paraId="332FC9B9" w14:textId="77777777">
            <w:pPr>
              <w:widowControl/>
              <w:tabs>
                <w:tab w:val="left" w:pos="0"/>
                <w:tab w:val="left" w:pos="720"/>
              </w:tabs>
              <w:spacing w:after="13"/>
              <w:jc w:val="center"/>
              <w:rPr>
                <w:rFonts w:ascii="Arial" w:hAnsi="Arial" w:cs="Arial"/>
                <w:sz w:val="16"/>
                <w:szCs w:val="16"/>
              </w:rPr>
            </w:pPr>
            <w:r w:rsidRPr="00CD68BB">
              <w:rPr>
                <w:rFonts w:ascii="Arial" w:hAnsi="Arial" w:cs="Arial"/>
                <w:sz w:val="16"/>
                <w:szCs w:val="16"/>
              </w:rPr>
              <w:t>Respondents</w:t>
            </w:r>
          </w:p>
        </w:tc>
        <w:tc>
          <w:tcPr>
            <w:tcW w:w="990" w:type="dxa"/>
            <w:tcBorders>
              <w:top w:val="single" w:color="000000" w:sz="2" w:space="0"/>
              <w:left w:val="single" w:color="000000" w:sz="2" w:space="0"/>
              <w:bottom w:val="nil"/>
              <w:right w:val="nil"/>
            </w:tcBorders>
            <w:vAlign w:val="bottom"/>
          </w:tcPr>
          <w:p w:rsidRPr="00CD68BB" w:rsidR="00564857" w:rsidP="00F06BCC" w:rsidRDefault="00564857" w14:paraId="4B5A95B9" w14:textId="77777777">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Total</w:t>
            </w:r>
          </w:p>
          <w:p w:rsidRPr="00CD68BB" w:rsidR="00564857" w:rsidP="00F06BCC" w:rsidRDefault="00564857" w14:paraId="6D2EBA0A" w14:textId="4C8AFF62">
            <w:pPr>
              <w:widowControl/>
              <w:tabs>
                <w:tab w:val="left" w:pos="0"/>
                <w:tab w:val="left" w:pos="720"/>
              </w:tabs>
              <w:spacing w:after="13"/>
              <w:jc w:val="center"/>
              <w:rPr>
                <w:rFonts w:ascii="Arial" w:hAnsi="Arial" w:cs="Arial"/>
                <w:sz w:val="16"/>
                <w:szCs w:val="16"/>
              </w:rPr>
            </w:pPr>
            <w:r w:rsidRPr="00CD68BB">
              <w:rPr>
                <w:rFonts w:ascii="Arial" w:hAnsi="Arial" w:cs="Arial"/>
                <w:sz w:val="16"/>
                <w:szCs w:val="16"/>
              </w:rPr>
              <w:t>Hours/Year</w:t>
            </w:r>
            <w:r w:rsidRPr="00CD68BB">
              <w:rPr>
                <w:rFonts w:ascii="Arial" w:hAnsi="Arial" w:cs="Arial"/>
                <w:sz w:val="16"/>
                <w:szCs w:val="16"/>
                <w:vertAlign w:val="superscript"/>
              </w:rPr>
              <w:t>2</w:t>
            </w:r>
          </w:p>
        </w:tc>
        <w:tc>
          <w:tcPr>
            <w:tcW w:w="1080" w:type="dxa"/>
            <w:tcBorders>
              <w:top w:val="single" w:color="000000" w:sz="2" w:space="0"/>
              <w:left w:val="single" w:color="000000" w:sz="2" w:space="0"/>
              <w:bottom w:val="nil"/>
              <w:right w:val="single" w:color="000000" w:sz="2" w:space="0"/>
            </w:tcBorders>
            <w:vAlign w:val="bottom"/>
          </w:tcPr>
          <w:p w:rsidRPr="00CD68BB" w:rsidR="00564857" w:rsidP="00F06BCC" w:rsidRDefault="00564857" w14:paraId="34A3F7B0" w14:textId="363C7CE4">
            <w:pPr>
              <w:widowControl/>
              <w:tabs>
                <w:tab w:val="left" w:pos="0"/>
                <w:tab w:val="left" w:pos="720"/>
              </w:tabs>
              <w:spacing w:before="13"/>
              <w:jc w:val="center"/>
              <w:rPr>
                <w:rFonts w:ascii="Arial" w:hAnsi="Arial" w:cs="Arial"/>
                <w:sz w:val="16"/>
                <w:szCs w:val="16"/>
              </w:rPr>
            </w:pPr>
            <w:r w:rsidRPr="00CD68BB">
              <w:rPr>
                <w:rFonts w:ascii="Arial" w:hAnsi="Arial" w:cs="Arial"/>
                <w:sz w:val="16"/>
                <w:szCs w:val="16"/>
              </w:rPr>
              <w:t>Total</w:t>
            </w:r>
            <w:r>
              <w:rPr>
                <w:rFonts w:ascii="Arial" w:hAnsi="Arial" w:cs="Arial"/>
                <w:sz w:val="16"/>
                <w:szCs w:val="16"/>
              </w:rPr>
              <w:t xml:space="preserve"> Labor</w:t>
            </w:r>
          </w:p>
          <w:p w:rsidRPr="00CD68BB" w:rsidR="00564857" w:rsidP="00F06BCC" w:rsidRDefault="00564857" w14:paraId="1161DDB4" w14:textId="1A2915B3">
            <w:pPr>
              <w:widowControl/>
              <w:tabs>
                <w:tab w:val="left" w:pos="0"/>
                <w:tab w:val="left" w:pos="720"/>
              </w:tabs>
              <w:spacing w:after="13"/>
              <w:jc w:val="center"/>
              <w:rPr>
                <w:rFonts w:ascii="Arial" w:hAnsi="Arial" w:cs="Arial"/>
                <w:sz w:val="16"/>
                <w:szCs w:val="16"/>
              </w:rPr>
            </w:pPr>
            <w:r w:rsidRPr="00CD68BB">
              <w:rPr>
                <w:rFonts w:ascii="Arial" w:hAnsi="Arial" w:cs="Arial"/>
                <w:sz w:val="16"/>
                <w:szCs w:val="16"/>
              </w:rPr>
              <w:t>Cost/Year</w:t>
            </w:r>
            <w:r w:rsidRPr="00CD68BB">
              <w:rPr>
                <w:rFonts w:ascii="Arial" w:hAnsi="Arial" w:cs="Arial"/>
                <w:sz w:val="16"/>
                <w:szCs w:val="16"/>
                <w:vertAlign w:val="superscript"/>
              </w:rPr>
              <w:t>3</w:t>
            </w:r>
          </w:p>
        </w:tc>
      </w:tr>
      <w:tr w:rsidR="00564857" w:rsidTr="003C1032" w14:paraId="5086FD1C" w14:textId="1F30EB11">
        <w:tc>
          <w:tcPr>
            <w:tcW w:w="12925" w:type="dxa"/>
            <w:gridSpan w:val="10"/>
            <w:tcBorders>
              <w:top w:val="single" w:color="000000" w:sz="2" w:space="0"/>
              <w:left w:val="single" w:color="000000" w:sz="2" w:space="0"/>
              <w:bottom w:val="nil"/>
              <w:right w:val="single" w:color="000000" w:sz="2" w:space="0"/>
            </w:tcBorders>
            <w:shd w:val="clear" w:color="auto" w:fill="FFFF99"/>
          </w:tcPr>
          <w:p w:rsidRPr="00CD68BB" w:rsidR="00564857" w:rsidP="006215D5" w:rsidRDefault="00564857" w14:paraId="243641CC"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b/>
                <w:bCs/>
                <w:i/>
                <w:iCs/>
                <w:sz w:val="16"/>
                <w:szCs w:val="16"/>
              </w:rPr>
              <w:t>Annual</w:t>
            </w:r>
          </w:p>
        </w:tc>
      </w:tr>
      <w:tr w:rsidR="00564857" w:rsidTr="003C1032" w14:paraId="72505E58" w14:textId="060CCB48">
        <w:tc>
          <w:tcPr>
            <w:tcW w:w="4375" w:type="dxa"/>
            <w:tcBorders>
              <w:top w:val="single" w:color="000000" w:sz="2" w:space="0"/>
              <w:left w:val="single" w:color="000000" w:sz="2" w:space="0"/>
              <w:bottom w:val="nil"/>
              <w:right w:val="nil"/>
            </w:tcBorders>
          </w:tcPr>
          <w:p w:rsidRPr="00CD68BB" w:rsidR="00564857" w:rsidP="00D0517B" w:rsidRDefault="00564857" w14:paraId="65A8F861"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sz w:val="16"/>
                <w:szCs w:val="16"/>
              </w:rPr>
              <w:t>Submit Type A point sources</w:t>
            </w:r>
          </w:p>
        </w:tc>
        <w:tc>
          <w:tcPr>
            <w:tcW w:w="900" w:type="dxa"/>
            <w:tcBorders>
              <w:top w:val="single" w:color="000000" w:sz="2" w:space="0"/>
              <w:left w:val="single" w:color="000000" w:sz="2" w:space="0"/>
              <w:bottom w:val="nil"/>
              <w:right w:val="nil"/>
            </w:tcBorders>
          </w:tcPr>
          <w:p w:rsidRPr="00CD68BB" w:rsidR="00564857" w:rsidP="00D0517B" w:rsidRDefault="00564857" w14:paraId="1E4D9FF2"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4.00</w:t>
            </w:r>
          </w:p>
        </w:tc>
        <w:tc>
          <w:tcPr>
            <w:tcW w:w="845" w:type="dxa"/>
            <w:tcBorders>
              <w:top w:val="single" w:color="000000" w:sz="2" w:space="0"/>
              <w:left w:val="single" w:color="000000" w:sz="2" w:space="0"/>
              <w:bottom w:val="nil"/>
              <w:right w:val="nil"/>
            </w:tcBorders>
          </w:tcPr>
          <w:p w:rsidRPr="00CD68BB" w:rsidR="00564857" w:rsidP="00D0517B" w:rsidRDefault="00564857" w14:paraId="22FDC050"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46.00</w:t>
            </w:r>
          </w:p>
        </w:tc>
        <w:tc>
          <w:tcPr>
            <w:tcW w:w="1080" w:type="dxa"/>
            <w:tcBorders>
              <w:top w:val="single" w:color="000000" w:sz="2" w:space="0"/>
              <w:left w:val="single" w:color="000000" w:sz="2" w:space="0"/>
              <w:bottom w:val="nil"/>
              <w:right w:val="nil"/>
            </w:tcBorders>
          </w:tcPr>
          <w:p w:rsidRPr="00CD68BB" w:rsidR="00564857" w:rsidP="00D0517B" w:rsidRDefault="00564857" w14:paraId="7BC775C8"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50.00</w:t>
            </w:r>
          </w:p>
        </w:tc>
        <w:tc>
          <w:tcPr>
            <w:tcW w:w="1170" w:type="dxa"/>
            <w:tcBorders>
              <w:top w:val="single" w:color="000000" w:sz="2" w:space="0"/>
              <w:left w:val="single" w:color="000000" w:sz="2" w:space="0"/>
              <w:bottom w:val="nil"/>
              <w:right w:val="nil"/>
            </w:tcBorders>
            <w:vAlign w:val="center"/>
          </w:tcPr>
          <w:p w:rsidRPr="00CD68BB" w:rsidR="00564857" w:rsidP="00D0517B" w:rsidRDefault="00564857" w14:paraId="2DFE66C1" w14:textId="738E5CD0">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$4,907.44</w:t>
            </w:r>
          </w:p>
        </w:tc>
        <w:tc>
          <w:tcPr>
            <w:tcW w:w="685" w:type="dxa"/>
            <w:tcBorders>
              <w:top w:val="single" w:color="000000" w:sz="2" w:space="0"/>
              <w:left w:val="single" w:color="000000" w:sz="2" w:space="0"/>
              <w:bottom w:val="nil"/>
              <w:right w:val="nil"/>
            </w:tcBorders>
            <w:vAlign w:val="bottom"/>
          </w:tcPr>
          <w:p w:rsidRPr="00CD68BB" w:rsidR="00564857" w:rsidP="00D0517B" w:rsidRDefault="00564857" w14:paraId="13B8BF93" w14:textId="2012AAAE">
            <w:pPr>
              <w:widowControl/>
              <w:tabs>
                <w:tab w:val="left" w:pos="0"/>
                <w:tab w:val="left" w:pos="720"/>
              </w:tabs>
              <w:spacing w:before="13" w:after="13"/>
              <w:jc w:val="right"/>
              <w:rPr>
                <w:rFonts w:ascii="Arial" w:hAnsi="Arial" w:cs="Arial"/>
                <w:sz w:val="16"/>
                <w:szCs w:val="16"/>
              </w:rPr>
            </w:pPr>
          </w:p>
        </w:tc>
        <w:tc>
          <w:tcPr>
            <w:tcW w:w="720" w:type="dxa"/>
            <w:tcBorders>
              <w:top w:val="single" w:color="000000" w:sz="2" w:space="0"/>
              <w:left w:val="single" w:color="000000" w:sz="2" w:space="0"/>
              <w:bottom w:val="nil"/>
              <w:right w:val="nil"/>
            </w:tcBorders>
            <w:vAlign w:val="bottom"/>
          </w:tcPr>
          <w:p w:rsidRPr="00CD68BB" w:rsidR="00564857" w:rsidP="00D0517B" w:rsidRDefault="00564857" w14:paraId="319A2C7E" w14:textId="092EB28E">
            <w:pPr>
              <w:widowControl/>
              <w:tabs>
                <w:tab w:val="left" w:pos="0"/>
                <w:tab w:val="left" w:pos="720"/>
              </w:tabs>
              <w:spacing w:before="13" w:after="13"/>
              <w:jc w:val="right"/>
              <w:rPr>
                <w:rFonts w:ascii="Arial" w:hAnsi="Arial" w:cs="Arial"/>
                <w:sz w:val="16"/>
                <w:szCs w:val="16"/>
              </w:rPr>
            </w:pPr>
          </w:p>
        </w:tc>
        <w:tc>
          <w:tcPr>
            <w:tcW w:w="1080" w:type="dxa"/>
            <w:tcBorders>
              <w:top w:val="single" w:color="000000" w:sz="2" w:space="0"/>
              <w:left w:val="single" w:color="000000" w:sz="2" w:space="0"/>
              <w:bottom w:val="nil"/>
              <w:right w:val="nil"/>
            </w:tcBorders>
            <w:vAlign w:val="center"/>
          </w:tcPr>
          <w:p w:rsidRPr="00CD68BB" w:rsidR="00564857" w:rsidP="00D0517B" w:rsidRDefault="00564857" w14:paraId="02A99932" w14:textId="6DE96DC8">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80</w:t>
            </w:r>
          </w:p>
        </w:tc>
        <w:tc>
          <w:tcPr>
            <w:tcW w:w="990" w:type="dxa"/>
            <w:tcBorders>
              <w:top w:val="single" w:color="000000" w:sz="2" w:space="0"/>
              <w:left w:val="single" w:color="000000" w:sz="2" w:space="0"/>
              <w:bottom w:val="nil"/>
              <w:right w:val="nil"/>
            </w:tcBorders>
            <w:vAlign w:val="center"/>
          </w:tcPr>
          <w:p w:rsidRPr="00CD68BB" w:rsidR="00564857" w:rsidP="00D0517B" w:rsidRDefault="00564857" w14:paraId="3F66C837" w14:textId="59426969">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4,000</w:t>
            </w:r>
          </w:p>
        </w:tc>
        <w:tc>
          <w:tcPr>
            <w:tcW w:w="1080" w:type="dxa"/>
            <w:tcBorders>
              <w:top w:val="single" w:color="000000" w:sz="2" w:space="0"/>
              <w:left w:val="single" w:color="000000" w:sz="2" w:space="0"/>
              <w:bottom w:val="nil"/>
              <w:right w:val="single" w:color="000000" w:sz="2" w:space="0"/>
            </w:tcBorders>
            <w:vAlign w:val="center"/>
          </w:tcPr>
          <w:p w:rsidRPr="00CD68BB" w:rsidR="00564857" w:rsidP="00D0517B" w:rsidRDefault="00564857" w14:paraId="651BB089" w14:textId="08BEF86B">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$392,595</w:t>
            </w:r>
          </w:p>
        </w:tc>
      </w:tr>
      <w:tr w:rsidR="00564857" w:rsidTr="003C1032" w14:paraId="0D4B1DC6" w14:textId="6B900C91">
        <w:tc>
          <w:tcPr>
            <w:tcW w:w="12925" w:type="dxa"/>
            <w:gridSpan w:val="10"/>
            <w:tcBorders>
              <w:top w:val="single" w:color="000000" w:sz="2" w:space="0"/>
              <w:left w:val="single" w:color="000000" w:sz="2" w:space="0"/>
              <w:bottom w:val="nil"/>
              <w:right w:val="single" w:color="000000" w:sz="2" w:space="0"/>
            </w:tcBorders>
            <w:shd w:val="clear" w:color="auto" w:fill="FFFF99"/>
          </w:tcPr>
          <w:p w:rsidRPr="00CD68BB" w:rsidR="00564857" w:rsidP="006215D5" w:rsidRDefault="00564857" w14:paraId="1040495D"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b/>
                <w:bCs/>
                <w:i/>
                <w:iCs/>
                <w:sz w:val="16"/>
                <w:szCs w:val="16"/>
              </w:rPr>
              <w:t>Triennial (triennial hours from Table 6-1 divided by 3 to annualize)</w:t>
            </w:r>
          </w:p>
        </w:tc>
      </w:tr>
      <w:tr w:rsidR="00564857" w:rsidTr="003C1032" w14:paraId="1B03867A" w14:textId="679A60A7">
        <w:tc>
          <w:tcPr>
            <w:tcW w:w="4375" w:type="dxa"/>
            <w:tcBorders>
              <w:top w:val="single" w:color="000000" w:sz="2" w:space="0"/>
              <w:left w:val="single" w:color="000000" w:sz="2" w:space="0"/>
              <w:bottom w:val="nil"/>
              <w:right w:val="nil"/>
            </w:tcBorders>
          </w:tcPr>
          <w:p w:rsidRPr="00CD68BB" w:rsidR="00564857" w:rsidP="00564857" w:rsidRDefault="00564857" w14:paraId="31C63288" w14:textId="236D51FE">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sz w:val="16"/>
                <w:szCs w:val="16"/>
              </w:rPr>
              <w:t>Submit Type B point sources (increment above Type A)</w:t>
            </w:r>
          </w:p>
        </w:tc>
        <w:tc>
          <w:tcPr>
            <w:tcW w:w="900" w:type="dxa"/>
            <w:tcBorders>
              <w:top w:val="single" w:color="000000" w:sz="2" w:space="0"/>
              <w:left w:val="single" w:color="000000" w:sz="2" w:space="0"/>
              <w:bottom w:val="nil"/>
              <w:right w:val="nil"/>
            </w:tcBorders>
          </w:tcPr>
          <w:p w:rsidRPr="00CD68BB" w:rsidR="00564857" w:rsidP="00564857" w:rsidRDefault="00564857" w14:paraId="1B8D5417" w14:textId="33EF31E0">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5.33</w:t>
            </w:r>
          </w:p>
        </w:tc>
        <w:tc>
          <w:tcPr>
            <w:tcW w:w="845" w:type="dxa"/>
            <w:tcBorders>
              <w:top w:val="single" w:color="000000" w:sz="2" w:space="0"/>
              <w:left w:val="single" w:color="000000" w:sz="2" w:space="0"/>
              <w:bottom w:val="nil"/>
              <w:right w:val="nil"/>
            </w:tcBorders>
          </w:tcPr>
          <w:p w:rsidRPr="00CD68BB" w:rsidR="00564857" w:rsidP="00564857" w:rsidRDefault="00564857" w14:paraId="17DFB12D" w14:textId="7A59257B">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41.33</w:t>
            </w:r>
          </w:p>
        </w:tc>
        <w:tc>
          <w:tcPr>
            <w:tcW w:w="1080" w:type="dxa"/>
            <w:tcBorders>
              <w:top w:val="single" w:color="000000" w:sz="2" w:space="0"/>
              <w:left w:val="single" w:color="000000" w:sz="2" w:space="0"/>
              <w:bottom w:val="nil"/>
              <w:right w:val="nil"/>
            </w:tcBorders>
          </w:tcPr>
          <w:p w:rsidRPr="00CD68BB" w:rsidR="00564857" w:rsidP="00564857" w:rsidRDefault="00564857" w14:paraId="7B9CD560" w14:textId="48FFC7FC">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46.67</w:t>
            </w:r>
          </w:p>
        </w:tc>
        <w:tc>
          <w:tcPr>
            <w:tcW w:w="1170" w:type="dxa"/>
            <w:tcBorders>
              <w:top w:val="single" w:color="000000" w:sz="2" w:space="0"/>
              <w:left w:val="single" w:color="000000" w:sz="2" w:space="0"/>
              <w:bottom w:val="nil"/>
              <w:right w:val="nil"/>
            </w:tcBorders>
            <w:vAlign w:val="center"/>
          </w:tcPr>
          <w:p w:rsidRPr="00CD68BB" w:rsidR="00564857" w:rsidP="00564857" w:rsidRDefault="00564857" w14:paraId="4AB2AF66" w14:textId="17A7E265">
            <w:pPr>
              <w:widowControl/>
              <w:tabs>
                <w:tab w:val="left" w:pos="0"/>
                <w:tab w:val="left" w:pos="720"/>
              </w:tabs>
              <w:spacing w:before="13" w:after="13"/>
              <w:jc w:val="right"/>
              <w:rPr>
                <w:rFonts w:ascii="Arial" w:hAnsi="Arial" w:cs="Arial"/>
                <w:color w:val="000000"/>
                <w:sz w:val="16"/>
                <w:szCs w:val="16"/>
              </w:rPr>
            </w:pPr>
            <w:r w:rsidRPr="00CD68BB">
              <w:rPr>
                <w:rFonts w:ascii="Arial" w:hAnsi="Arial" w:cs="Arial"/>
                <w:color w:val="000000"/>
                <w:sz w:val="16"/>
                <w:szCs w:val="16"/>
              </w:rPr>
              <w:t>$4,679.22</w:t>
            </w:r>
          </w:p>
        </w:tc>
        <w:tc>
          <w:tcPr>
            <w:tcW w:w="685" w:type="dxa"/>
            <w:tcBorders>
              <w:top w:val="single" w:color="000000" w:sz="2" w:space="0"/>
              <w:left w:val="single" w:color="000000" w:sz="2" w:space="0"/>
              <w:bottom w:val="nil"/>
              <w:right w:val="nil"/>
            </w:tcBorders>
            <w:vAlign w:val="center"/>
          </w:tcPr>
          <w:p w:rsidRPr="00CD68BB" w:rsidR="00564857" w:rsidP="00564857" w:rsidRDefault="00564857" w14:paraId="43FFA8B5" w14:textId="77777777">
            <w:pPr>
              <w:widowControl/>
              <w:tabs>
                <w:tab w:val="left" w:pos="0"/>
                <w:tab w:val="left" w:pos="720"/>
              </w:tabs>
              <w:spacing w:before="13" w:after="13"/>
              <w:jc w:val="right"/>
              <w:rPr>
                <w:rFonts w:ascii="Arial" w:hAnsi="Arial" w:cs="Arial"/>
                <w:color w:val="000000"/>
                <w:sz w:val="16"/>
                <w:szCs w:val="16"/>
              </w:rPr>
            </w:pPr>
          </w:p>
        </w:tc>
        <w:tc>
          <w:tcPr>
            <w:tcW w:w="720" w:type="dxa"/>
            <w:tcBorders>
              <w:top w:val="single" w:color="000000" w:sz="2" w:space="0"/>
              <w:left w:val="single" w:color="000000" w:sz="2" w:space="0"/>
              <w:bottom w:val="nil"/>
              <w:right w:val="nil"/>
            </w:tcBorders>
            <w:vAlign w:val="center"/>
          </w:tcPr>
          <w:p w:rsidRPr="00CD68BB" w:rsidR="00564857" w:rsidP="00564857" w:rsidRDefault="00564857" w14:paraId="41F7FAA0" w14:textId="77777777">
            <w:pPr>
              <w:widowControl/>
              <w:tabs>
                <w:tab w:val="left" w:pos="0"/>
                <w:tab w:val="left" w:pos="720"/>
              </w:tabs>
              <w:spacing w:before="13" w:after="13"/>
              <w:jc w:val="right"/>
              <w:rPr>
                <w:rFonts w:ascii="Arial" w:hAnsi="Arial" w:cs="Arial"/>
                <w:color w:val="000000"/>
                <w:sz w:val="16"/>
                <w:szCs w:val="16"/>
              </w:rPr>
            </w:pPr>
          </w:p>
        </w:tc>
        <w:tc>
          <w:tcPr>
            <w:tcW w:w="1080" w:type="dxa"/>
            <w:tcBorders>
              <w:top w:val="single" w:color="000000" w:sz="2" w:space="0"/>
              <w:left w:val="single" w:color="000000" w:sz="2" w:space="0"/>
              <w:bottom w:val="nil"/>
              <w:right w:val="nil"/>
            </w:tcBorders>
            <w:vAlign w:val="center"/>
          </w:tcPr>
          <w:p w:rsidRPr="00CD68BB" w:rsidR="00564857" w:rsidP="00564857" w:rsidRDefault="00564857" w14:paraId="6156A1EB" w14:textId="582C5701">
            <w:pPr>
              <w:widowControl/>
              <w:tabs>
                <w:tab w:val="left" w:pos="0"/>
                <w:tab w:val="left" w:pos="720"/>
              </w:tabs>
              <w:spacing w:before="13" w:after="13"/>
              <w:jc w:val="right"/>
              <w:rPr>
                <w:rFonts w:ascii="Arial" w:hAnsi="Arial" w:cs="Arial"/>
                <w:color w:val="000000"/>
                <w:sz w:val="16"/>
                <w:szCs w:val="16"/>
              </w:rPr>
            </w:pPr>
            <w:r>
              <w:rPr>
                <w:rFonts w:ascii="Arial" w:hAnsi="Arial" w:cs="Arial"/>
                <w:color w:val="000000"/>
                <w:sz w:val="16"/>
                <w:szCs w:val="16"/>
              </w:rPr>
              <w:t>85</w:t>
            </w:r>
          </w:p>
        </w:tc>
        <w:tc>
          <w:tcPr>
            <w:tcW w:w="990" w:type="dxa"/>
            <w:tcBorders>
              <w:top w:val="single" w:color="000000" w:sz="2" w:space="0"/>
              <w:left w:val="single" w:color="000000" w:sz="2" w:space="0"/>
              <w:bottom w:val="nil"/>
              <w:right w:val="nil"/>
            </w:tcBorders>
            <w:vAlign w:val="center"/>
          </w:tcPr>
          <w:p w:rsidRPr="00CD68BB" w:rsidR="00564857" w:rsidP="00564857" w:rsidRDefault="00564857" w14:paraId="538E8D63" w14:textId="455EA07C">
            <w:pPr>
              <w:widowControl/>
              <w:tabs>
                <w:tab w:val="left" w:pos="0"/>
                <w:tab w:val="left" w:pos="720"/>
              </w:tabs>
              <w:spacing w:before="13" w:after="13"/>
              <w:jc w:val="right"/>
              <w:rPr>
                <w:rFonts w:ascii="Arial" w:hAnsi="Arial" w:cs="Arial"/>
                <w:color w:val="000000"/>
                <w:sz w:val="16"/>
                <w:szCs w:val="16"/>
              </w:rPr>
            </w:pPr>
            <w:r w:rsidRPr="00CD68BB">
              <w:rPr>
                <w:rFonts w:ascii="Arial" w:hAnsi="Arial" w:cs="Arial"/>
                <w:color w:val="000000"/>
                <w:sz w:val="16"/>
                <w:szCs w:val="16"/>
              </w:rPr>
              <w:t>3,967</w:t>
            </w:r>
          </w:p>
        </w:tc>
        <w:tc>
          <w:tcPr>
            <w:tcW w:w="1080" w:type="dxa"/>
            <w:tcBorders>
              <w:top w:val="single" w:color="000000" w:sz="2" w:space="0"/>
              <w:left w:val="single" w:color="000000" w:sz="2" w:space="0"/>
              <w:bottom w:val="nil"/>
              <w:right w:val="single" w:color="000000" w:sz="2" w:space="0"/>
            </w:tcBorders>
            <w:vAlign w:val="center"/>
          </w:tcPr>
          <w:p w:rsidRPr="00CD68BB" w:rsidR="00564857" w:rsidP="00564857" w:rsidRDefault="00564857" w14:paraId="1ED2E0B7" w14:textId="57D17143">
            <w:pPr>
              <w:widowControl/>
              <w:tabs>
                <w:tab w:val="left" w:pos="0"/>
                <w:tab w:val="left" w:pos="720"/>
              </w:tabs>
              <w:spacing w:before="13" w:after="13"/>
              <w:jc w:val="right"/>
              <w:rPr>
                <w:rFonts w:ascii="Arial" w:hAnsi="Arial" w:cs="Arial"/>
                <w:color w:val="000000"/>
                <w:sz w:val="16"/>
                <w:szCs w:val="16"/>
              </w:rPr>
            </w:pPr>
            <w:r>
              <w:rPr>
                <w:rFonts w:ascii="Arial" w:hAnsi="Arial" w:cs="Arial"/>
                <w:color w:val="000000"/>
                <w:sz w:val="16"/>
                <w:szCs w:val="16"/>
              </w:rPr>
              <w:t>$397,734</w:t>
            </w:r>
          </w:p>
        </w:tc>
      </w:tr>
      <w:tr w:rsidR="00564857" w:rsidTr="003C1032" w14:paraId="72F0E2CC" w14:textId="7C813FAB">
        <w:tc>
          <w:tcPr>
            <w:tcW w:w="4375" w:type="dxa"/>
            <w:tcBorders>
              <w:top w:val="single" w:color="000000" w:sz="2" w:space="0"/>
              <w:left w:val="single" w:color="000000" w:sz="2" w:space="0"/>
              <w:bottom w:val="nil"/>
              <w:right w:val="nil"/>
            </w:tcBorders>
          </w:tcPr>
          <w:p w:rsidRPr="00CD68BB" w:rsidR="00564857" w:rsidP="00564857" w:rsidRDefault="00564857" w14:paraId="46803D89"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sz w:val="16"/>
                <w:szCs w:val="16"/>
              </w:rPr>
              <w:t xml:space="preserve">For state agencies, develop and report statewide inventory for stationary nonpoint, </w:t>
            </w:r>
            <w:proofErr w:type="spellStart"/>
            <w:r w:rsidRPr="00CD68BB">
              <w:rPr>
                <w:rFonts w:ascii="Arial" w:hAnsi="Arial" w:cs="Arial"/>
                <w:sz w:val="16"/>
                <w:szCs w:val="16"/>
              </w:rPr>
              <w:t>onroad</w:t>
            </w:r>
            <w:proofErr w:type="spellEnd"/>
            <w:r w:rsidRPr="00CD68BB">
              <w:rPr>
                <w:rFonts w:ascii="Arial" w:hAnsi="Arial" w:cs="Arial"/>
                <w:sz w:val="16"/>
                <w:szCs w:val="16"/>
              </w:rPr>
              <w:t xml:space="preserve"> mobile, and nonroad mobile sources</w:t>
            </w:r>
          </w:p>
        </w:tc>
        <w:tc>
          <w:tcPr>
            <w:tcW w:w="900" w:type="dxa"/>
            <w:tcBorders>
              <w:top w:val="single" w:color="000000" w:sz="2" w:space="0"/>
              <w:left w:val="single" w:color="000000" w:sz="2" w:space="0"/>
              <w:bottom w:val="nil"/>
              <w:right w:val="nil"/>
            </w:tcBorders>
            <w:vAlign w:val="center"/>
          </w:tcPr>
          <w:p w:rsidRPr="00CD68BB" w:rsidR="00564857" w:rsidP="00564857" w:rsidRDefault="00564857" w14:paraId="40C58DAE"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29.00</w:t>
            </w:r>
          </w:p>
        </w:tc>
        <w:tc>
          <w:tcPr>
            <w:tcW w:w="845" w:type="dxa"/>
            <w:tcBorders>
              <w:top w:val="single" w:color="000000" w:sz="2" w:space="0"/>
              <w:left w:val="single" w:color="000000" w:sz="2" w:space="0"/>
              <w:bottom w:val="nil"/>
              <w:right w:val="nil"/>
            </w:tcBorders>
            <w:vAlign w:val="center"/>
          </w:tcPr>
          <w:p w:rsidRPr="00CD68BB" w:rsidR="00564857" w:rsidP="00564857" w:rsidRDefault="00564857" w14:paraId="75D92F0A"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580.00</w:t>
            </w:r>
          </w:p>
        </w:tc>
        <w:tc>
          <w:tcPr>
            <w:tcW w:w="1080" w:type="dxa"/>
            <w:tcBorders>
              <w:top w:val="single" w:color="000000" w:sz="2" w:space="0"/>
              <w:left w:val="single" w:color="000000" w:sz="2" w:space="0"/>
              <w:bottom w:val="nil"/>
              <w:right w:val="nil"/>
            </w:tcBorders>
            <w:vAlign w:val="center"/>
          </w:tcPr>
          <w:p w:rsidRPr="00CD68BB" w:rsidR="00564857" w:rsidP="00564857" w:rsidRDefault="00564857" w14:paraId="27EE82E1"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609.00</w:t>
            </w:r>
          </w:p>
        </w:tc>
        <w:tc>
          <w:tcPr>
            <w:tcW w:w="1170" w:type="dxa"/>
            <w:tcBorders>
              <w:top w:val="single" w:color="000000" w:sz="2" w:space="0"/>
              <w:left w:val="single" w:color="000000" w:sz="2" w:space="0"/>
              <w:bottom w:val="nil"/>
              <w:right w:val="nil"/>
            </w:tcBorders>
            <w:vAlign w:val="center"/>
          </w:tcPr>
          <w:p w:rsidRPr="00CD68BB" w:rsidR="00564857" w:rsidP="00564857" w:rsidRDefault="00564857" w14:paraId="041FA91D" w14:textId="2545C474">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$58,542.9</w:t>
            </w:r>
          </w:p>
        </w:tc>
        <w:tc>
          <w:tcPr>
            <w:tcW w:w="685" w:type="dxa"/>
            <w:tcBorders>
              <w:top w:val="single" w:color="000000" w:sz="2" w:space="0"/>
              <w:left w:val="single" w:color="000000" w:sz="2" w:space="0"/>
              <w:bottom w:val="nil"/>
              <w:right w:val="nil"/>
            </w:tcBorders>
            <w:vAlign w:val="center"/>
          </w:tcPr>
          <w:p w:rsidRPr="00CD68BB" w:rsidR="00564857" w:rsidP="00564857" w:rsidRDefault="00564857" w14:paraId="4DA779ED" w14:textId="0DADDB4E">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 </w:t>
            </w:r>
          </w:p>
        </w:tc>
        <w:tc>
          <w:tcPr>
            <w:tcW w:w="720" w:type="dxa"/>
            <w:tcBorders>
              <w:top w:val="single" w:color="000000" w:sz="2" w:space="0"/>
              <w:left w:val="single" w:color="000000" w:sz="2" w:space="0"/>
              <w:bottom w:val="nil"/>
              <w:right w:val="nil"/>
            </w:tcBorders>
            <w:vAlign w:val="center"/>
          </w:tcPr>
          <w:p w:rsidRPr="00CD68BB" w:rsidR="00564857" w:rsidP="00564857" w:rsidRDefault="00564857" w14:paraId="2CFD6260" w14:textId="61C2F01D">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 </w:t>
            </w:r>
          </w:p>
        </w:tc>
        <w:tc>
          <w:tcPr>
            <w:tcW w:w="1080" w:type="dxa"/>
            <w:tcBorders>
              <w:top w:val="single" w:color="000000" w:sz="2" w:space="0"/>
              <w:left w:val="single" w:color="000000" w:sz="2" w:space="0"/>
              <w:bottom w:val="nil"/>
              <w:right w:val="nil"/>
            </w:tcBorders>
            <w:vAlign w:val="center"/>
          </w:tcPr>
          <w:p w:rsidRPr="00CD68BB" w:rsidR="00564857" w:rsidP="00564857" w:rsidRDefault="00564857" w14:paraId="0FB3B839" w14:textId="7F352EC0">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54</w:t>
            </w:r>
          </w:p>
        </w:tc>
        <w:tc>
          <w:tcPr>
            <w:tcW w:w="990" w:type="dxa"/>
            <w:tcBorders>
              <w:top w:val="single" w:color="000000" w:sz="2" w:space="0"/>
              <w:left w:val="single" w:color="000000" w:sz="2" w:space="0"/>
              <w:bottom w:val="nil"/>
              <w:right w:val="nil"/>
            </w:tcBorders>
            <w:vAlign w:val="center"/>
          </w:tcPr>
          <w:p w:rsidRPr="00CD68BB" w:rsidR="00564857" w:rsidP="00564857" w:rsidRDefault="00564857" w14:paraId="7CAF10C9" w14:textId="0FBAA4C5">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32,886</w:t>
            </w:r>
          </w:p>
        </w:tc>
        <w:tc>
          <w:tcPr>
            <w:tcW w:w="1080" w:type="dxa"/>
            <w:tcBorders>
              <w:top w:val="single" w:color="000000" w:sz="2" w:space="0"/>
              <w:left w:val="single" w:color="000000" w:sz="2" w:space="0"/>
              <w:bottom w:val="nil"/>
              <w:right w:val="single" w:color="000000" w:sz="2" w:space="0"/>
            </w:tcBorders>
            <w:vAlign w:val="center"/>
          </w:tcPr>
          <w:p w:rsidRPr="00CD68BB" w:rsidR="00564857" w:rsidP="00564857" w:rsidRDefault="00564857" w14:paraId="6323E40E" w14:textId="59C37F75">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$3,161,316</w:t>
            </w:r>
          </w:p>
        </w:tc>
      </w:tr>
      <w:tr w:rsidR="00564857" w:rsidTr="003C1032" w14:paraId="67151DA7" w14:textId="28DDFE16">
        <w:tc>
          <w:tcPr>
            <w:tcW w:w="4375" w:type="dxa"/>
            <w:tcBorders>
              <w:top w:val="single" w:color="000000" w:sz="2" w:space="0"/>
              <w:left w:val="single" w:color="000000" w:sz="2" w:space="0"/>
              <w:bottom w:val="nil"/>
              <w:right w:val="nil"/>
            </w:tcBorders>
          </w:tcPr>
          <w:p w:rsidRPr="00CD68BB" w:rsidR="00564857" w:rsidP="00564857" w:rsidRDefault="00564857" w14:paraId="1E3993AA"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sz w:val="16"/>
                <w:szCs w:val="16"/>
              </w:rPr>
              <w:t xml:space="preserve">For local agencies, develop and report county-level inventories for stationary nonpoint, </w:t>
            </w:r>
            <w:proofErr w:type="spellStart"/>
            <w:r w:rsidRPr="00CD68BB">
              <w:rPr>
                <w:rFonts w:ascii="Arial" w:hAnsi="Arial" w:cs="Arial"/>
                <w:sz w:val="16"/>
                <w:szCs w:val="16"/>
              </w:rPr>
              <w:t>onroad</w:t>
            </w:r>
            <w:proofErr w:type="spellEnd"/>
            <w:r w:rsidRPr="00CD68BB">
              <w:rPr>
                <w:rFonts w:ascii="Arial" w:hAnsi="Arial" w:cs="Arial"/>
                <w:sz w:val="16"/>
                <w:szCs w:val="16"/>
              </w:rPr>
              <w:t xml:space="preserve"> mobile, and nonroad mobile sources</w:t>
            </w:r>
          </w:p>
        </w:tc>
        <w:tc>
          <w:tcPr>
            <w:tcW w:w="900" w:type="dxa"/>
            <w:tcBorders>
              <w:top w:val="single" w:color="000000" w:sz="2" w:space="0"/>
              <w:left w:val="single" w:color="000000" w:sz="2" w:space="0"/>
              <w:bottom w:val="nil"/>
              <w:right w:val="nil"/>
            </w:tcBorders>
            <w:vAlign w:val="center"/>
          </w:tcPr>
          <w:p w:rsidRPr="00CD68BB" w:rsidR="00564857" w:rsidP="00564857" w:rsidRDefault="00564857" w14:paraId="21E2956F"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14.67</w:t>
            </w:r>
          </w:p>
        </w:tc>
        <w:tc>
          <w:tcPr>
            <w:tcW w:w="845" w:type="dxa"/>
            <w:tcBorders>
              <w:top w:val="single" w:color="000000" w:sz="2" w:space="0"/>
              <w:left w:val="single" w:color="000000" w:sz="2" w:space="0"/>
              <w:bottom w:val="nil"/>
              <w:right w:val="nil"/>
            </w:tcBorders>
            <w:vAlign w:val="center"/>
          </w:tcPr>
          <w:p w:rsidRPr="00CD68BB" w:rsidR="00564857" w:rsidP="00564857" w:rsidRDefault="00564857" w14:paraId="0C8B9167"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290.00</w:t>
            </w:r>
          </w:p>
        </w:tc>
        <w:tc>
          <w:tcPr>
            <w:tcW w:w="1080" w:type="dxa"/>
            <w:tcBorders>
              <w:top w:val="single" w:color="000000" w:sz="2" w:space="0"/>
              <w:left w:val="single" w:color="000000" w:sz="2" w:space="0"/>
              <w:bottom w:val="nil"/>
              <w:right w:val="nil"/>
            </w:tcBorders>
            <w:vAlign w:val="center"/>
          </w:tcPr>
          <w:p w:rsidRPr="00CD68BB" w:rsidR="00564857" w:rsidP="00564857" w:rsidRDefault="00564857" w14:paraId="6155DA3B"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304.67</w:t>
            </w:r>
          </w:p>
        </w:tc>
        <w:tc>
          <w:tcPr>
            <w:tcW w:w="1170" w:type="dxa"/>
            <w:tcBorders>
              <w:top w:val="single" w:color="000000" w:sz="2" w:space="0"/>
              <w:left w:val="single" w:color="000000" w:sz="2" w:space="0"/>
              <w:bottom w:val="nil"/>
              <w:right w:val="nil"/>
            </w:tcBorders>
            <w:vAlign w:val="center"/>
          </w:tcPr>
          <w:p w:rsidRPr="00CD68BB" w:rsidR="00564857" w:rsidP="00564857" w:rsidRDefault="00564857" w14:paraId="35A20404" w14:textId="7B28BB06">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$29,297.90</w:t>
            </w:r>
          </w:p>
        </w:tc>
        <w:tc>
          <w:tcPr>
            <w:tcW w:w="685" w:type="dxa"/>
            <w:tcBorders>
              <w:top w:val="single" w:color="000000" w:sz="2" w:space="0"/>
              <w:left w:val="single" w:color="000000" w:sz="2" w:space="0"/>
              <w:bottom w:val="nil"/>
              <w:right w:val="nil"/>
            </w:tcBorders>
            <w:vAlign w:val="center"/>
          </w:tcPr>
          <w:p w:rsidRPr="00CD68BB" w:rsidR="00564857" w:rsidP="00564857" w:rsidRDefault="00564857" w14:paraId="2380ED97" w14:textId="28971E07">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 </w:t>
            </w:r>
          </w:p>
        </w:tc>
        <w:tc>
          <w:tcPr>
            <w:tcW w:w="720" w:type="dxa"/>
            <w:tcBorders>
              <w:top w:val="single" w:color="000000" w:sz="2" w:space="0"/>
              <w:left w:val="single" w:color="000000" w:sz="2" w:space="0"/>
              <w:bottom w:val="nil"/>
              <w:right w:val="nil"/>
            </w:tcBorders>
            <w:vAlign w:val="center"/>
          </w:tcPr>
          <w:p w:rsidRPr="00CD68BB" w:rsidR="00564857" w:rsidP="00564857" w:rsidRDefault="00564857" w14:paraId="24276F0E" w14:textId="4EF675D8">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 </w:t>
            </w:r>
          </w:p>
        </w:tc>
        <w:tc>
          <w:tcPr>
            <w:tcW w:w="1080" w:type="dxa"/>
            <w:tcBorders>
              <w:top w:val="single" w:color="000000" w:sz="2" w:space="0"/>
              <w:left w:val="single" w:color="000000" w:sz="2" w:space="0"/>
              <w:bottom w:val="nil"/>
              <w:right w:val="nil"/>
            </w:tcBorders>
            <w:vAlign w:val="center"/>
          </w:tcPr>
          <w:p w:rsidRPr="00CD68BB" w:rsidR="00564857" w:rsidP="00564857" w:rsidRDefault="00564857" w14:paraId="17DC4494" w14:textId="241EFCB3">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26</w:t>
            </w:r>
          </w:p>
        </w:tc>
        <w:tc>
          <w:tcPr>
            <w:tcW w:w="990" w:type="dxa"/>
            <w:tcBorders>
              <w:top w:val="single" w:color="000000" w:sz="2" w:space="0"/>
              <w:left w:val="single" w:color="000000" w:sz="2" w:space="0"/>
              <w:bottom w:val="nil"/>
              <w:right w:val="nil"/>
            </w:tcBorders>
            <w:vAlign w:val="center"/>
          </w:tcPr>
          <w:p w:rsidRPr="00CD68BB" w:rsidR="00564857" w:rsidP="00564857" w:rsidRDefault="00564857" w14:paraId="783FA918" w14:textId="677DA846">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7,921</w:t>
            </w:r>
          </w:p>
        </w:tc>
        <w:tc>
          <w:tcPr>
            <w:tcW w:w="1080" w:type="dxa"/>
            <w:tcBorders>
              <w:top w:val="single" w:color="000000" w:sz="2" w:space="0"/>
              <w:left w:val="single" w:color="000000" w:sz="2" w:space="0"/>
              <w:bottom w:val="nil"/>
              <w:right w:val="single" w:color="000000" w:sz="2" w:space="0"/>
            </w:tcBorders>
            <w:vAlign w:val="center"/>
          </w:tcPr>
          <w:p w:rsidRPr="00CD68BB" w:rsidR="00564857" w:rsidP="00564857" w:rsidRDefault="00564857" w14:paraId="3D46FAED" w14:textId="10311B86">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$761,745</w:t>
            </w:r>
          </w:p>
        </w:tc>
      </w:tr>
      <w:tr w:rsidR="00564857" w:rsidTr="003C1032" w14:paraId="2798A0E7" w14:textId="6C2C35BE">
        <w:tc>
          <w:tcPr>
            <w:tcW w:w="4375" w:type="dxa"/>
            <w:tcBorders>
              <w:top w:val="single" w:color="000000" w:sz="2" w:space="0"/>
              <w:left w:val="single" w:color="000000" w:sz="2" w:space="0"/>
              <w:bottom w:val="single" w:color="000000" w:sz="2" w:space="0"/>
              <w:right w:val="nil"/>
            </w:tcBorders>
          </w:tcPr>
          <w:p w:rsidRPr="00CD68BB" w:rsidR="00564857" w:rsidP="00564857" w:rsidRDefault="00564857" w14:paraId="301F7B6B"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sz w:val="16"/>
                <w:szCs w:val="16"/>
              </w:rPr>
              <w:t xml:space="preserve">For local agencies, coordinate with state agencies to complete stationary nonpoint, </w:t>
            </w:r>
            <w:proofErr w:type="spellStart"/>
            <w:r w:rsidRPr="00CD68BB">
              <w:rPr>
                <w:rFonts w:ascii="Arial" w:hAnsi="Arial" w:cs="Arial"/>
                <w:sz w:val="16"/>
                <w:szCs w:val="16"/>
              </w:rPr>
              <w:t>onroad</w:t>
            </w:r>
            <w:proofErr w:type="spellEnd"/>
            <w:r w:rsidRPr="00CD68BB">
              <w:rPr>
                <w:rFonts w:ascii="Arial" w:hAnsi="Arial" w:cs="Arial"/>
                <w:sz w:val="16"/>
                <w:szCs w:val="16"/>
              </w:rPr>
              <w:t xml:space="preserve"> mobile, and nonroad mobile sources</w:t>
            </w:r>
          </w:p>
        </w:tc>
        <w:tc>
          <w:tcPr>
            <w:tcW w:w="900"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42CE72FD"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1.33</w:t>
            </w:r>
          </w:p>
        </w:tc>
        <w:tc>
          <w:tcPr>
            <w:tcW w:w="845"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051E39D1"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26.67</w:t>
            </w:r>
          </w:p>
        </w:tc>
        <w:tc>
          <w:tcPr>
            <w:tcW w:w="1080"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739CBB99" w14:textId="77777777">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28.00</w:t>
            </w:r>
          </w:p>
        </w:tc>
        <w:tc>
          <w:tcPr>
            <w:tcW w:w="1170"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5ED5D105" w14:textId="3AC96F0A">
            <w:pPr>
              <w:widowControl/>
              <w:tabs>
                <w:tab w:val="left" w:pos="0"/>
                <w:tab w:val="left" w:pos="720"/>
              </w:tabs>
              <w:spacing w:before="13" w:after="13"/>
              <w:jc w:val="right"/>
              <w:rPr>
                <w:rFonts w:ascii="Arial" w:hAnsi="Arial" w:cs="Arial"/>
                <w:sz w:val="16"/>
                <w:szCs w:val="16"/>
              </w:rPr>
            </w:pPr>
            <w:r w:rsidRPr="00CD68BB">
              <w:rPr>
                <w:rFonts w:ascii="Arial" w:hAnsi="Arial" w:cs="Arial"/>
                <w:sz w:val="16"/>
                <w:szCs w:val="16"/>
              </w:rPr>
              <w:t>$2,691.42</w:t>
            </w:r>
          </w:p>
        </w:tc>
        <w:tc>
          <w:tcPr>
            <w:tcW w:w="685"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4BC09125" w14:textId="1C2BCCBA">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 </w:t>
            </w:r>
          </w:p>
        </w:tc>
        <w:tc>
          <w:tcPr>
            <w:tcW w:w="720"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358D1A99" w14:textId="26A010E7">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 </w:t>
            </w:r>
          </w:p>
        </w:tc>
        <w:tc>
          <w:tcPr>
            <w:tcW w:w="1080"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0142377A" w14:textId="16A5D1B4">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26</w:t>
            </w:r>
          </w:p>
        </w:tc>
        <w:tc>
          <w:tcPr>
            <w:tcW w:w="990" w:type="dxa"/>
            <w:tcBorders>
              <w:top w:val="single" w:color="000000" w:sz="2" w:space="0"/>
              <w:left w:val="single" w:color="000000" w:sz="2" w:space="0"/>
              <w:bottom w:val="single" w:color="000000" w:sz="2" w:space="0"/>
              <w:right w:val="nil"/>
            </w:tcBorders>
            <w:vAlign w:val="center"/>
          </w:tcPr>
          <w:p w:rsidRPr="00CD68BB" w:rsidR="00564857" w:rsidP="00564857" w:rsidRDefault="00564857" w14:paraId="6456F944" w14:textId="56A8933F">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728</w:t>
            </w:r>
          </w:p>
        </w:tc>
        <w:tc>
          <w:tcPr>
            <w:tcW w:w="1080" w:type="dxa"/>
            <w:tcBorders>
              <w:top w:val="single" w:color="000000" w:sz="2" w:space="0"/>
              <w:left w:val="single" w:color="000000" w:sz="2" w:space="0"/>
              <w:bottom w:val="single" w:color="000000" w:sz="2" w:space="0"/>
              <w:right w:val="single" w:color="000000" w:sz="2" w:space="0"/>
            </w:tcBorders>
            <w:vAlign w:val="center"/>
          </w:tcPr>
          <w:p w:rsidRPr="00CD68BB" w:rsidR="00564857" w:rsidP="00564857" w:rsidRDefault="00564857" w14:paraId="77A59D83" w14:textId="191BB5A1">
            <w:pPr>
              <w:widowControl/>
              <w:tabs>
                <w:tab w:val="left" w:pos="0"/>
                <w:tab w:val="left" w:pos="720"/>
              </w:tabs>
              <w:spacing w:before="13" w:after="13"/>
              <w:jc w:val="right"/>
              <w:rPr>
                <w:rFonts w:ascii="Arial" w:hAnsi="Arial" w:cs="Arial"/>
                <w:sz w:val="16"/>
                <w:szCs w:val="16"/>
              </w:rPr>
            </w:pPr>
            <w:r w:rsidRPr="00CD68BB">
              <w:rPr>
                <w:rFonts w:ascii="Arial" w:hAnsi="Arial" w:cs="Arial"/>
                <w:color w:val="000000"/>
                <w:sz w:val="16"/>
                <w:szCs w:val="16"/>
              </w:rPr>
              <w:t>$69,977</w:t>
            </w:r>
          </w:p>
        </w:tc>
      </w:tr>
      <w:tr w:rsidR="00564857" w:rsidTr="003C1032" w14:paraId="38542B32" w14:textId="77777777">
        <w:tc>
          <w:tcPr>
            <w:tcW w:w="4375" w:type="dxa"/>
            <w:tcBorders>
              <w:top w:val="single" w:color="000000" w:sz="2" w:space="0"/>
              <w:left w:val="single" w:color="000000" w:sz="2" w:space="0"/>
              <w:bottom w:val="single" w:color="000000" w:sz="2" w:space="0"/>
              <w:right w:val="nil"/>
            </w:tcBorders>
            <w:shd w:val="clear" w:color="auto" w:fill="FFFF99"/>
          </w:tcPr>
          <w:p w:rsidRPr="00564857" w:rsidR="00564857" w:rsidP="00564857" w:rsidRDefault="00564857" w14:paraId="0CD02E6A" w14:textId="6A17F3F6">
            <w:pPr>
              <w:widowControl/>
              <w:tabs>
                <w:tab w:val="left" w:pos="0"/>
                <w:tab w:val="left" w:pos="720"/>
                <w:tab w:val="left" w:pos="1440"/>
                <w:tab w:val="left" w:pos="2160"/>
                <w:tab w:val="left" w:pos="2880"/>
                <w:tab w:val="left" w:pos="3600"/>
                <w:tab w:val="left" w:pos="4320"/>
              </w:tabs>
              <w:spacing w:before="13" w:after="13"/>
              <w:rPr>
                <w:rFonts w:ascii="Arial" w:hAnsi="Arial" w:cs="Arial"/>
                <w:b/>
                <w:bCs/>
                <w:sz w:val="16"/>
                <w:szCs w:val="16"/>
              </w:rPr>
            </w:pPr>
            <w:r w:rsidRPr="00564857">
              <w:rPr>
                <w:rFonts w:ascii="Arial" w:hAnsi="Arial" w:cs="Arial"/>
                <w:b/>
                <w:bCs/>
                <w:sz w:val="16"/>
                <w:szCs w:val="16"/>
              </w:rPr>
              <w:t>Labor Subtotal</w:t>
            </w:r>
          </w:p>
        </w:tc>
        <w:tc>
          <w:tcPr>
            <w:tcW w:w="90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29914205" w14:textId="77777777">
            <w:pPr>
              <w:widowControl/>
              <w:tabs>
                <w:tab w:val="left" w:pos="0"/>
                <w:tab w:val="left" w:pos="720"/>
              </w:tabs>
              <w:spacing w:before="13" w:after="13"/>
              <w:jc w:val="right"/>
              <w:rPr>
                <w:rFonts w:ascii="Arial" w:hAnsi="Arial" w:cs="Arial"/>
                <w:sz w:val="16"/>
                <w:szCs w:val="16"/>
              </w:rPr>
            </w:pPr>
          </w:p>
        </w:tc>
        <w:tc>
          <w:tcPr>
            <w:tcW w:w="845"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449E856B" w14:textId="77777777">
            <w:pPr>
              <w:widowControl/>
              <w:tabs>
                <w:tab w:val="left" w:pos="0"/>
                <w:tab w:val="left" w:pos="720"/>
              </w:tabs>
              <w:spacing w:before="13" w:after="13"/>
              <w:jc w:val="right"/>
              <w:rPr>
                <w:rFonts w:ascii="Arial" w:hAnsi="Arial" w:cs="Arial"/>
                <w:sz w:val="16"/>
                <w:szCs w:val="16"/>
              </w:rPr>
            </w:pPr>
          </w:p>
        </w:tc>
        <w:tc>
          <w:tcPr>
            <w:tcW w:w="108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10713E47" w14:textId="77777777">
            <w:pPr>
              <w:widowControl/>
              <w:tabs>
                <w:tab w:val="left" w:pos="0"/>
                <w:tab w:val="left" w:pos="720"/>
              </w:tabs>
              <w:spacing w:before="13" w:after="13"/>
              <w:jc w:val="right"/>
              <w:rPr>
                <w:rFonts w:ascii="Arial" w:hAnsi="Arial" w:cs="Arial"/>
                <w:sz w:val="16"/>
                <w:szCs w:val="16"/>
              </w:rPr>
            </w:pPr>
          </w:p>
        </w:tc>
        <w:tc>
          <w:tcPr>
            <w:tcW w:w="117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636EEC8D" w14:textId="77777777">
            <w:pPr>
              <w:widowControl/>
              <w:tabs>
                <w:tab w:val="left" w:pos="0"/>
                <w:tab w:val="left" w:pos="720"/>
              </w:tabs>
              <w:spacing w:before="13" w:after="13"/>
              <w:jc w:val="right"/>
              <w:rPr>
                <w:rFonts w:ascii="Arial" w:hAnsi="Arial" w:cs="Arial"/>
                <w:sz w:val="16"/>
                <w:szCs w:val="16"/>
              </w:rPr>
            </w:pPr>
          </w:p>
        </w:tc>
        <w:tc>
          <w:tcPr>
            <w:tcW w:w="685"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3175D75B" w14:textId="77777777">
            <w:pPr>
              <w:widowControl/>
              <w:tabs>
                <w:tab w:val="left" w:pos="0"/>
                <w:tab w:val="left" w:pos="720"/>
              </w:tabs>
              <w:spacing w:before="13" w:after="13"/>
              <w:jc w:val="right"/>
              <w:rPr>
                <w:rFonts w:ascii="Arial" w:hAnsi="Arial" w:cs="Arial"/>
                <w:color w:val="000000"/>
                <w:sz w:val="16"/>
                <w:szCs w:val="16"/>
              </w:rPr>
            </w:pPr>
          </w:p>
        </w:tc>
        <w:tc>
          <w:tcPr>
            <w:tcW w:w="72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10D39AC0" w14:textId="77777777">
            <w:pPr>
              <w:widowControl/>
              <w:tabs>
                <w:tab w:val="left" w:pos="0"/>
                <w:tab w:val="left" w:pos="720"/>
              </w:tabs>
              <w:spacing w:before="13" w:after="13"/>
              <w:jc w:val="right"/>
              <w:rPr>
                <w:rFonts w:ascii="Arial" w:hAnsi="Arial" w:cs="Arial"/>
                <w:color w:val="000000"/>
                <w:sz w:val="16"/>
                <w:szCs w:val="16"/>
              </w:rPr>
            </w:pPr>
          </w:p>
        </w:tc>
        <w:tc>
          <w:tcPr>
            <w:tcW w:w="108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20E45F50" w14:textId="77777777">
            <w:pPr>
              <w:widowControl/>
              <w:tabs>
                <w:tab w:val="left" w:pos="0"/>
                <w:tab w:val="left" w:pos="720"/>
              </w:tabs>
              <w:spacing w:before="13" w:after="13"/>
              <w:jc w:val="right"/>
              <w:rPr>
                <w:rFonts w:ascii="Arial" w:hAnsi="Arial" w:cs="Arial"/>
                <w:color w:val="000000"/>
                <w:sz w:val="16"/>
                <w:szCs w:val="16"/>
              </w:rPr>
            </w:pPr>
          </w:p>
        </w:tc>
        <w:tc>
          <w:tcPr>
            <w:tcW w:w="99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7429564D" w14:textId="77777777">
            <w:pPr>
              <w:widowControl/>
              <w:tabs>
                <w:tab w:val="left" w:pos="0"/>
                <w:tab w:val="left" w:pos="720"/>
              </w:tabs>
              <w:spacing w:before="13" w:after="13"/>
              <w:jc w:val="right"/>
              <w:rPr>
                <w:rFonts w:ascii="Arial" w:hAnsi="Arial" w:cs="Arial"/>
                <w:color w:val="000000"/>
                <w:sz w:val="16"/>
                <w:szCs w:val="16"/>
              </w:rPr>
            </w:pPr>
          </w:p>
        </w:tc>
        <w:tc>
          <w:tcPr>
            <w:tcW w:w="1080" w:type="dxa"/>
            <w:tcBorders>
              <w:top w:val="single" w:color="000000" w:sz="2" w:space="0"/>
              <w:left w:val="single" w:color="000000" w:sz="2" w:space="0"/>
              <w:bottom w:val="single" w:color="000000" w:sz="2" w:space="0"/>
              <w:right w:val="single" w:color="000000" w:sz="2" w:space="0"/>
            </w:tcBorders>
            <w:shd w:val="clear" w:color="auto" w:fill="FFFF99"/>
            <w:vAlign w:val="center"/>
          </w:tcPr>
          <w:p w:rsidRPr="00CD68BB" w:rsidR="00564857" w:rsidP="00564857" w:rsidRDefault="003C1032" w14:paraId="70E0CACB" w14:textId="6730ED7B">
            <w:pPr>
              <w:widowControl/>
              <w:tabs>
                <w:tab w:val="left" w:pos="0"/>
                <w:tab w:val="left" w:pos="720"/>
              </w:tabs>
              <w:spacing w:before="13" w:after="13"/>
              <w:jc w:val="right"/>
              <w:rPr>
                <w:rFonts w:ascii="Arial" w:hAnsi="Arial" w:cs="Arial"/>
                <w:color w:val="000000"/>
                <w:sz w:val="16"/>
                <w:szCs w:val="16"/>
              </w:rPr>
            </w:pPr>
            <w:r>
              <w:rPr>
                <w:rFonts w:ascii="Arial" w:hAnsi="Arial" w:cs="Arial"/>
                <w:color w:val="000000"/>
                <w:sz w:val="16"/>
                <w:szCs w:val="16"/>
              </w:rPr>
              <w:t>$4,783,367</w:t>
            </w:r>
          </w:p>
        </w:tc>
      </w:tr>
      <w:tr w:rsidR="00564857" w:rsidTr="003C1032" w14:paraId="4EE09147" w14:textId="77777777">
        <w:tc>
          <w:tcPr>
            <w:tcW w:w="4375" w:type="dxa"/>
            <w:tcBorders>
              <w:top w:val="single" w:color="000000" w:sz="2" w:space="0"/>
              <w:left w:val="single" w:color="000000" w:sz="2" w:space="0"/>
              <w:bottom w:val="single" w:color="000000" w:sz="2" w:space="0"/>
              <w:right w:val="nil"/>
            </w:tcBorders>
            <w:shd w:val="clear" w:color="auto" w:fill="FFFF99"/>
          </w:tcPr>
          <w:p w:rsidRPr="00564857" w:rsidR="00564857" w:rsidP="00564857" w:rsidRDefault="00564857" w14:paraId="76E906A4" w14:textId="6B06D90A">
            <w:pPr>
              <w:widowControl/>
              <w:tabs>
                <w:tab w:val="left" w:pos="0"/>
                <w:tab w:val="left" w:pos="720"/>
                <w:tab w:val="left" w:pos="1440"/>
                <w:tab w:val="left" w:pos="2160"/>
                <w:tab w:val="left" w:pos="2880"/>
                <w:tab w:val="left" w:pos="3600"/>
                <w:tab w:val="left" w:pos="4320"/>
              </w:tabs>
              <w:spacing w:before="13" w:after="13"/>
              <w:rPr>
                <w:rFonts w:ascii="Arial" w:hAnsi="Arial" w:cs="Arial"/>
                <w:b/>
                <w:bCs/>
                <w:sz w:val="16"/>
                <w:szCs w:val="16"/>
              </w:rPr>
            </w:pPr>
            <w:r w:rsidRPr="00564857">
              <w:rPr>
                <w:rFonts w:ascii="Arial" w:hAnsi="Arial" w:cs="Arial"/>
                <w:b/>
                <w:bCs/>
                <w:sz w:val="16"/>
                <w:szCs w:val="16"/>
              </w:rPr>
              <w:t>Capital and O&amp;M Subtotal</w:t>
            </w:r>
          </w:p>
        </w:tc>
        <w:tc>
          <w:tcPr>
            <w:tcW w:w="90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64B0AE5F" w14:textId="77777777">
            <w:pPr>
              <w:widowControl/>
              <w:tabs>
                <w:tab w:val="left" w:pos="0"/>
                <w:tab w:val="left" w:pos="720"/>
              </w:tabs>
              <w:spacing w:before="13" w:after="13"/>
              <w:jc w:val="right"/>
              <w:rPr>
                <w:rFonts w:ascii="Arial" w:hAnsi="Arial" w:cs="Arial"/>
                <w:sz w:val="16"/>
                <w:szCs w:val="16"/>
              </w:rPr>
            </w:pPr>
          </w:p>
        </w:tc>
        <w:tc>
          <w:tcPr>
            <w:tcW w:w="845"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691E68D2" w14:textId="77777777">
            <w:pPr>
              <w:widowControl/>
              <w:tabs>
                <w:tab w:val="left" w:pos="0"/>
                <w:tab w:val="left" w:pos="720"/>
              </w:tabs>
              <w:spacing w:before="13" w:after="13"/>
              <w:jc w:val="right"/>
              <w:rPr>
                <w:rFonts w:ascii="Arial" w:hAnsi="Arial" w:cs="Arial"/>
                <w:sz w:val="16"/>
                <w:szCs w:val="16"/>
              </w:rPr>
            </w:pPr>
          </w:p>
        </w:tc>
        <w:tc>
          <w:tcPr>
            <w:tcW w:w="108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4EA83939" w14:textId="77777777">
            <w:pPr>
              <w:widowControl/>
              <w:tabs>
                <w:tab w:val="left" w:pos="0"/>
                <w:tab w:val="left" w:pos="720"/>
              </w:tabs>
              <w:spacing w:before="13" w:after="13"/>
              <w:jc w:val="right"/>
              <w:rPr>
                <w:rFonts w:ascii="Arial" w:hAnsi="Arial" w:cs="Arial"/>
                <w:sz w:val="16"/>
                <w:szCs w:val="16"/>
              </w:rPr>
            </w:pPr>
          </w:p>
        </w:tc>
        <w:tc>
          <w:tcPr>
            <w:tcW w:w="117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26A81FFE" w14:textId="77777777">
            <w:pPr>
              <w:widowControl/>
              <w:tabs>
                <w:tab w:val="left" w:pos="0"/>
                <w:tab w:val="left" w:pos="720"/>
              </w:tabs>
              <w:spacing w:before="13" w:after="13"/>
              <w:jc w:val="right"/>
              <w:rPr>
                <w:rFonts w:ascii="Arial" w:hAnsi="Arial" w:cs="Arial"/>
                <w:sz w:val="16"/>
                <w:szCs w:val="16"/>
              </w:rPr>
            </w:pPr>
          </w:p>
        </w:tc>
        <w:tc>
          <w:tcPr>
            <w:tcW w:w="685"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1AE01669" w14:textId="374C685D">
            <w:pPr>
              <w:widowControl/>
              <w:tabs>
                <w:tab w:val="left" w:pos="0"/>
                <w:tab w:val="left" w:pos="720"/>
              </w:tabs>
              <w:spacing w:before="13" w:after="13"/>
              <w:jc w:val="right"/>
              <w:rPr>
                <w:rFonts w:ascii="Arial" w:hAnsi="Arial" w:cs="Arial"/>
                <w:color w:val="000000"/>
                <w:sz w:val="16"/>
                <w:szCs w:val="16"/>
              </w:rPr>
            </w:pPr>
            <w:r w:rsidRPr="00CD68BB">
              <w:rPr>
                <w:rFonts w:ascii="Arial" w:hAnsi="Arial" w:cs="Arial"/>
                <w:color w:val="000000"/>
                <w:sz w:val="16"/>
                <w:szCs w:val="16"/>
              </w:rPr>
              <w:t>$1,500</w:t>
            </w:r>
          </w:p>
        </w:tc>
        <w:tc>
          <w:tcPr>
            <w:tcW w:w="72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21C88A65" w14:textId="094C9992">
            <w:pPr>
              <w:widowControl/>
              <w:tabs>
                <w:tab w:val="left" w:pos="0"/>
                <w:tab w:val="left" w:pos="720"/>
              </w:tabs>
              <w:spacing w:before="13" w:after="13"/>
              <w:jc w:val="right"/>
              <w:rPr>
                <w:rFonts w:ascii="Arial" w:hAnsi="Arial" w:cs="Arial"/>
                <w:color w:val="000000"/>
                <w:sz w:val="16"/>
                <w:szCs w:val="16"/>
              </w:rPr>
            </w:pPr>
            <w:r w:rsidRPr="00CD68BB">
              <w:rPr>
                <w:rFonts w:ascii="Arial" w:hAnsi="Arial" w:cs="Arial"/>
                <w:color w:val="000000"/>
                <w:sz w:val="16"/>
                <w:szCs w:val="16"/>
              </w:rPr>
              <w:t>$1,500</w:t>
            </w:r>
          </w:p>
        </w:tc>
        <w:tc>
          <w:tcPr>
            <w:tcW w:w="108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25720CC6" w14:textId="4643769F">
            <w:pPr>
              <w:widowControl/>
              <w:tabs>
                <w:tab w:val="left" w:pos="0"/>
                <w:tab w:val="left" w:pos="720"/>
              </w:tabs>
              <w:spacing w:before="13" w:after="13"/>
              <w:jc w:val="right"/>
              <w:rPr>
                <w:rFonts w:ascii="Arial" w:hAnsi="Arial" w:cs="Arial"/>
                <w:color w:val="000000"/>
                <w:sz w:val="16"/>
                <w:szCs w:val="16"/>
              </w:rPr>
            </w:pPr>
            <w:r>
              <w:rPr>
                <w:rFonts w:ascii="Arial" w:hAnsi="Arial" w:cs="Arial"/>
                <w:color w:val="000000"/>
                <w:sz w:val="16"/>
                <w:szCs w:val="16"/>
              </w:rPr>
              <w:t>85</w:t>
            </w:r>
          </w:p>
        </w:tc>
        <w:tc>
          <w:tcPr>
            <w:tcW w:w="990" w:type="dxa"/>
            <w:tcBorders>
              <w:top w:val="single" w:color="000000" w:sz="2" w:space="0"/>
              <w:left w:val="single" w:color="000000" w:sz="2" w:space="0"/>
              <w:bottom w:val="single" w:color="000000" w:sz="2" w:space="0"/>
              <w:right w:val="nil"/>
            </w:tcBorders>
            <w:shd w:val="clear" w:color="auto" w:fill="FFFF99"/>
            <w:vAlign w:val="center"/>
          </w:tcPr>
          <w:p w:rsidRPr="00CD68BB" w:rsidR="00564857" w:rsidP="00564857" w:rsidRDefault="00564857" w14:paraId="2360D7BB" w14:textId="77777777">
            <w:pPr>
              <w:widowControl/>
              <w:tabs>
                <w:tab w:val="left" w:pos="0"/>
                <w:tab w:val="left" w:pos="720"/>
              </w:tabs>
              <w:spacing w:before="13" w:after="13"/>
              <w:jc w:val="right"/>
              <w:rPr>
                <w:rFonts w:ascii="Arial" w:hAnsi="Arial" w:cs="Arial"/>
                <w:color w:val="000000"/>
                <w:sz w:val="16"/>
                <w:szCs w:val="16"/>
              </w:rPr>
            </w:pPr>
          </w:p>
        </w:tc>
        <w:tc>
          <w:tcPr>
            <w:tcW w:w="1080" w:type="dxa"/>
            <w:tcBorders>
              <w:top w:val="single" w:color="000000" w:sz="2" w:space="0"/>
              <w:left w:val="single" w:color="000000" w:sz="2" w:space="0"/>
              <w:bottom w:val="single" w:color="000000" w:sz="2" w:space="0"/>
              <w:right w:val="single" w:color="000000" w:sz="2" w:space="0"/>
            </w:tcBorders>
            <w:shd w:val="clear" w:color="auto" w:fill="FFFF99"/>
            <w:vAlign w:val="center"/>
          </w:tcPr>
          <w:p w:rsidRPr="00CD68BB" w:rsidR="00564857" w:rsidP="00564857" w:rsidRDefault="003C1032" w14:paraId="5540E591" w14:textId="4C168679">
            <w:pPr>
              <w:widowControl/>
              <w:tabs>
                <w:tab w:val="left" w:pos="0"/>
                <w:tab w:val="left" w:pos="720"/>
              </w:tabs>
              <w:spacing w:before="13" w:after="13"/>
              <w:jc w:val="right"/>
              <w:rPr>
                <w:rFonts w:ascii="Arial" w:hAnsi="Arial" w:cs="Arial"/>
                <w:color w:val="000000"/>
                <w:sz w:val="16"/>
                <w:szCs w:val="16"/>
              </w:rPr>
            </w:pPr>
            <w:r>
              <w:rPr>
                <w:rFonts w:ascii="Arial" w:hAnsi="Arial" w:cs="Arial"/>
                <w:color w:val="000000"/>
                <w:sz w:val="16"/>
                <w:szCs w:val="16"/>
              </w:rPr>
              <w:t>$255,000</w:t>
            </w:r>
          </w:p>
        </w:tc>
      </w:tr>
      <w:tr w:rsidR="00564857" w:rsidTr="003C1032" w14:paraId="77E7FD8D" w14:textId="2D7E1782">
        <w:tc>
          <w:tcPr>
            <w:tcW w:w="4375" w:type="dxa"/>
            <w:tcBorders>
              <w:top w:val="single" w:color="000000" w:sz="2" w:space="0"/>
              <w:left w:val="single" w:color="000000" w:sz="2" w:space="0"/>
              <w:bottom w:val="single" w:color="auto" w:sz="4" w:space="0"/>
              <w:right w:val="nil"/>
            </w:tcBorders>
          </w:tcPr>
          <w:p w:rsidRPr="00CD68BB" w:rsidR="00564857" w:rsidP="00564857" w:rsidRDefault="00564857" w14:paraId="25619091" w14:textId="77777777">
            <w:pPr>
              <w:widowControl/>
              <w:tabs>
                <w:tab w:val="left" w:pos="0"/>
                <w:tab w:val="left" w:pos="720"/>
                <w:tab w:val="left" w:pos="1440"/>
                <w:tab w:val="left" w:pos="2160"/>
                <w:tab w:val="left" w:pos="2880"/>
                <w:tab w:val="left" w:pos="3600"/>
                <w:tab w:val="left" w:pos="4320"/>
              </w:tabs>
              <w:spacing w:before="13" w:after="13"/>
              <w:rPr>
                <w:rFonts w:ascii="Arial" w:hAnsi="Arial" w:cs="Arial"/>
                <w:sz w:val="16"/>
                <w:szCs w:val="16"/>
              </w:rPr>
            </w:pPr>
            <w:r w:rsidRPr="00CD68BB">
              <w:rPr>
                <w:rFonts w:ascii="Arial" w:hAnsi="Arial" w:cs="Arial"/>
                <w:b/>
                <w:bCs/>
                <w:sz w:val="16"/>
                <w:szCs w:val="16"/>
              </w:rPr>
              <w:t>Total</w:t>
            </w:r>
          </w:p>
        </w:tc>
        <w:tc>
          <w:tcPr>
            <w:tcW w:w="900" w:type="dxa"/>
            <w:tcBorders>
              <w:top w:val="single" w:color="000000" w:sz="2" w:space="0"/>
              <w:left w:val="single" w:color="000000" w:sz="2" w:space="0"/>
              <w:bottom w:val="single" w:color="auto" w:sz="4" w:space="0"/>
              <w:right w:val="nil"/>
            </w:tcBorders>
          </w:tcPr>
          <w:p w:rsidRPr="003C1032" w:rsidR="00564857" w:rsidP="00564857" w:rsidRDefault="00564857" w14:paraId="2AF3CB91" w14:textId="07BB27EF">
            <w:pPr>
              <w:widowControl/>
              <w:tabs>
                <w:tab w:val="left" w:pos="0"/>
                <w:tab w:val="left" w:pos="720"/>
              </w:tabs>
              <w:spacing w:before="13" w:after="13"/>
              <w:jc w:val="right"/>
              <w:rPr>
                <w:rFonts w:ascii="Arial" w:hAnsi="Arial" w:cs="Arial"/>
                <w:b/>
                <w:bCs/>
                <w:sz w:val="16"/>
                <w:szCs w:val="16"/>
              </w:rPr>
            </w:pPr>
            <w:r w:rsidRPr="003C1032">
              <w:rPr>
                <w:rFonts w:ascii="Arial" w:hAnsi="Arial" w:cs="Arial"/>
                <w:b/>
                <w:bCs/>
                <w:sz w:val="16"/>
                <w:szCs w:val="16"/>
              </w:rPr>
              <w:t>54.33</w:t>
            </w:r>
          </w:p>
        </w:tc>
        <w:tc>
          <w:tcPr>
            <w:tcW w:w="845" w:type="dxa"/>
            <w:tcBorders>
              <w:top w:val="single" w:color="000000" w:sz="2" w:space="0"/>
              <w:left w:val="single" w:color="000000" w:sz="2" w:space="0"/>
              <w:bottom w:val="single" w:color="auto" w:sz="4" w:space="0"/>
              <w:right w:val="nil"/>
            </w:tcBorders>
          </w:tcPr>
          <w:p w:rsidRPr="003C1032" w:rsidR="00564857" w:rsidP="00564857" w:rsidRDefault="00564857" w14:paraId="65D538B0" w14:textId="28B39188">
            <w:pPr>
              <w:widowControl/>
              <w:tabs>
                <w:tab w:val="left" w:pos="0"/>
                <w:tab w:val="left" w:pos="720"/>
              </w:tabs>
              <w:spacing w:before="13" w:after="13"/>
              <w:jc w:val="right"/>
              <w:rPr>
                <w:rFonts w:ascii="Arial" w:hAnsi="Arial" w:cs="Arial"/>
                <w:b/>
                <w:bCs/>
                <w:sz w:val="16"/>
                <w:szCs w:val="16"/>
              </w:rPr>
            </w:pPr>
            <w:r w:rsidRPr="003C1032">
              <w:rPr>
                <w:rFonts w:ascii="Arial" w:hAnsi="Arial" w:cs="Arial"/>
                <w:b/>
                <w:bCs/>
                <w:sz w:val="16"/>
                <w:szCs w:val="16"/>
              </w:rPr>
              <w:t>984</w:t>
            </w:r>
          </w:p>
        </w:tc>
        <w:tc>
          <w:tcPr>
            <w:tcW w:w="1080" w:type="dxa"/>
            <w:tcBorders>
              <w:top w:val="single" w:color="000000" w:sz="2" w:space="0"/>
              <w:left w:val="single" w:color="000000" w:sz="2" w:space="0"/>
              <w:bottom w:val="single" w:color="auto" w:sz="4" w:space="0"/>
              <w:right w:val="nil"/>
            </w:tcBorders>
          </w:tcPr>
          <w:p w:rsidRPr="003C1032" w:rsidR="00564857" w:rsidP="00564857" w:rsidRDefault="00564857" w14:paraId="3FECAEED" w14:textId="6644581F">
            <w:pPr>
              <w:widowControl/>
              <w:tabs>
                <w:tab w:val="left" w:pos="0"/>
                <w:tab w:val="left" w:pos="720"/>
              </w:tabs>
              <w:spacing w:before="13" w:after="13"/>
              <w:jc w:val="right"/>
              <w:rPr>
                <w:rFonts w:ascii="Arial" w:hAnsi="Arial" w:cs="Arial"/>
                <w:b/>
                <w:bCs/>
                <w:sz w:val="16"/>
                <w:szCs w:val="16"/>
              </w:rPr>
            </w:pPr>
            <w:r w:rsidRPr="003C1032">
              <w:rPr>
                <w:rFonts w:ascii="Arial" w:hAnsi="Arial" w:cs="Arial"/>
                <w:b/>
                <w:bCs/>
                <w:sz w:val="16"/>
                <w:szCs w:val="16"/>
              </w:rPr>
              <w:t>1038.34</w:t>
            </w:r>
          </w:p>
        </w:tc>
        <w:tc>
          <w:tcPr>
            <w:tcW w:w="1170" w:type="dxa"/>
            <w:tcBorders>
              <w:top w:val="single" w:color="000000" w:sz="2" w:space="0"/>
              <w:left w:val="single" w:color="000000" w:sz="2" w:space="0"/>
              <w:bottom w:val="single" w:color="auto" w:sz="4" w:space="0"/>
              <w:right w:val="nil"/>
            </w:tcBorders>
            <w:vAlign w:val="center"/>
          </w:tcPr>
          <w:p w:rsidRPr="003C1032" w:rsidR="00564857" w:rsidP="00564857" w:rsidRDefault="00564857" w14:paraId="75FF7EA7" w14:textId="087EAC0D">
            <w:pPr>
              <w:widowControl/>
              <w:tabs>
                <w:tab w:val="left" w:pos="0"/>
                <w:tab w:val="left" w:pos="720"/>
              </w:tabs>
              <w:spacing w:before="13" w:after="13"/>
              <w:jc w:val="right"/>
              <w:rPr>
                <w:rFonts w:ascii="Arial" w:hAnsi="Arial" w:cs="Arial"/>
                <w:b/>
                <w:bCs/>
                <w:sz w:val="16"/>
                <w:szCs w:val="16"/>
              </w:rPr>
            </w:pPr>
            <w:r w:rsidRPr="003C1032">
              <w:rPr>
                <w:rFonts w:ascii="Arial" w:hAnsi="Arial" w:cs="Arial"/>
                <w:b/>
                <w:bCs/>
                <w:sz w:val="16"/>
                <w:szCs w:val="16"/>
              </w:rPr>
              <w:t>$100,119</w:t>
            </w:r>
          </w:p>
        </w:tc>
        <w:tc>
          <w:tcPr>
            <w:tcW w:w="685" w:type="dxa"/>
            <w:tcBorders>
              <w:top w:val="single" w:color="000000" w:sz="2" w:space="0"/>
              <w:left w:val="single" w:color="000000" w:sz="2" w:space="0"/>
              <w:bottom w:val="single" w:color="auto" w:sz="4" w:space="0"/>
              <w:right w:val="nil"/>
            </w:tcBorders>
            <w:vAlign w:val="center"/>
          </w:tcPr>
          <w:p w:rsidRPr="003C1032" w:rsidR="00564857" w:rsidP="00564857" w:rsidRDefault="00564857" w14:paraId="65AAD496" w14:textId="1CC2B3E0">
            <w:pPr>
              <w:widowControl/>
              <w:tabs>
                <w:tab w:val="left" w:pos="0"/>
                <w:tab w:val="left" w:pos="720"/>
              </w:tabs>
              <w:spacing w:before="13" w:after="13"/>
              <w:jc w:val="right"/>
              <w:rPr>
                <w:rFonts w:ascii="Arial" w:hAnsi="Arial" w:cs="Arial"/>
                <w:b/>
                <w:bCs/>
                <w:sz w:val="16"/>
                <w:szCs w:val="16"/>
              </w:rPr>
            </w:pPr>
            <w:r w:rsidRPr="003C1032">
              <w:rPr>
                <w:rFonts w:ascii="Arial" w:hAnsi="Arial" w:cs="Arial"/>
                <w:b/>
                <w:bCs/>
                <w:color w:val="000000"/>
                <w:sz w:val="16"/>
                <w:szCs w:val="16"/>
              </w:rPr>
              <w:t>$1,500</w:t>
            </w:r>
          </w:p>
        </w:tc>
        <w:tc>
          <w:tcPr>
            <w:tcW w:w="720" w:type="dxa"/>
            <w:tcBorders>
              <w:top w:val="single" w:color="000000" w:sz="2" w:space="0"/>
              <w:left w:val="single" w:color="000000" w:sz="2" w:space="0"/>
              <w:bottom w:val="single" w:color="auto" w:sz="4" w:space="0"/>
              <w:right w:val="nil"/>
            </w:tcBorders>
            <w:vAlign w:val="center"/>
          </w:tcPr>
          <w:p w:rsidRPr="003C1032" w:rsidR="00564857" w:rsidP="00564857" w:rsidRDefault="00564857" w14:paraId="65AA6B83" w14:textId="747B5297">
            <w:pPr>
              <w:widowControl/>
              <w:tabs>
                <w:tab w:val="left" w:pos="0"/>
                <w:tab w:val="left" w:pos="720"/>
              </w:tabs>
              <w:spacing w:before="13" w:after="13"/>
              <w:jc w:val="right"/>
              <w:rPr>
                <w:rFonts w:ascii="Arial" w:hAnsi="Arial" w:cs="Arial"/>
                <w:b/>
                <w:bCs/>
                <w:sz w:val="16"/>
                <w:szCs w:val="16"/>
              </w:rPr>
            </w:pPr>
            <w:r w:rsidRPr="003C1032">
              <w:rPr>
                <w:rFonts w:ascii="Arial" w:hAnsi="Arial" w:cs="Arial"/>
                <w:b/>
                <w:bCs/>
                <w:color w:val="000000"/>
                <w:sz w:val="16"/>
                <w:szCs w:val="16"/>
              </w:rPr>
              <w:t>$1,500</w:t>
            </w:r>
          </w:p>
        </w:tc>
        <w:tc>
          <w:tcPr>
            <w:tcW w:w="1080" w:type="dxa"/>
            <w:tcBorders>
              <w:top w:val="single" w:color="000000" w:sz="2" w:space="0"/>
              <w:left w:val="single" w:color="000000" w:sz="2" w:space="0"/>
              <w:bottom w:val="single" w:color="auto" w:sz="4" w:space="0"/>
              <w:right w:val="nil"/>
            </w:tcBorders>
            <w:vAlign w:val="center"/>
          </w:tcPr>
          <w:p w:rsidRPr="003C1032" w:rsidR="00564857" w:rsidP="00564857" w:rsidRDefault="00564857" w14:paraId="55EB6571" w14:textId="252A8E4D">
            <w:pPr>
              <w:widowControl/>
              <w:tabs>
                <w:tab w:val="left" w:pos="0"/>
                <w:tab w:val="left" w:pos="720"/>
              </w:tabs>
              <w:spacing w:before="13" w:after="13"/>
              <w:jc w:val="right"/>
              <w:rPr>
                <w:rFonts w:ascii="Arial" w:hAnsi="Arial" w:cs="Arial"/>
                <w:b/>
                <w:bCs/>
                <w:sz w:val="16"/>
                <w:szCs w:val="16"/>
              </w:rPr>
            </w:pPr>
          </w:p>
        </w:tc>
        <w:tc>
          <w:tcPr>
            <w:tcW w:w="990" w:type="dxa"/>
            <w:tcBorders>
              <w:top w:val="single" w:color="000000" w:sz="2" w:space="0"/>
              <w:left w:val="single" w:color="000000" w:sz="2" w:space="0"/>
              <w:bottom w:val="single" w:color="auto" w:sz="4" w:space="0"/>
              <w:right w:val="nil"/>
            </w:tcBorders>
            <w:vAlign w:val="center"/>
          </w:tcPr>
          <w:p w:rsidRPr="003C1032" w:rsidR="00564857" w:rsidP="00564857" w:rsidRDefault="00564857" w14:paraId="429F8C9F" w14:textId="6B34F015">
            <w:pPr>
              <w:widowControl/>
              <w:tabs>
                <w:tab w:val="left" w:pos="0"/>
                <w:tab w:val="left" w:pos="720"/>
              </w:tabs>
              <w:spacing w:before="13" w:after="13"/>
              <w:jc w:val="right"/>
              <w:rPr>
                <w:rFonts w:ascii="Arial" w:hAnsi="Arial" w:cs="Arial"/>
                <w:b/>
                <w:bCs/>
                <w:sz w:val="16"/>
                <w:szCs w:val="16"/>
              </w:rPr>
            </w:pPr>
            <w:r w:rsidRPr="003C1032">
              <w:rPr>
                <w:rFonts w:ascii="Arial" w:hAnsi="Arial" w:cs="Arial"/>
                <w:b/>
                <w:bCs/>
                <w:color w:val="000000"/>
                <w:sz w:val="16"/>
                <w:szCs w:val="16"/>
              </w:rPr>
              <w:t xml:space="preserve">49,502 </w:t>
            </w:r>
          </w:p>
        </w:tc>
        <w:tc>
          <w:tcPr>
            <w:tcW w:w="1080" w:type="dxa"/>
            <w:tcBorders>
              <w:top w:val="single" w:color="000000" w:sz="2" w:space="0"/>
              <w:left w:val="single" w:color="000000" w:sz="2" w:space="0"/>
              <w:bottom w:val="single" w:color="auto" w:sz="4" w:space="0"/>
              <w:right w:val="single" w:color="000000" w:sz="2" w:space="0"/>
            </w:tcBorders>
            <w:vAlign w:val="center"/>
          </w:tcPr>
          <w:p w:rsidRPr="003C1032" w:rsidR="00564857" w:rsidP="00564857" w:rsidRDefault="00564857" w14:paraId="7DE2912A" w14:textId="1090E1D6">
            <w:pPr>
              <w:widowControl/>
              <w:tabs>
                <w:tab w:val="left" w:pos="0"/>
                <w:tab w:val="left" w:pos="720"/>
              </w:tabs>
              <w:spacing w:before="13" w:after="13"/>
              <w:jc w:val="right"/>
              <w:rPr>
                <w:rFonts w:ascii="Arial" w:hAnsi="Arial" w:cs="Arial"/>
                <w:b/>
                <w:bCs/>
                <w:sz w:val="16"/>
                <w:szCs w:val="16"/>
              </w:rPr>
            </w:pPr>
            <w:r w:rsidRPr="003C1032">
              <w:rPr>
                <w:rFonts w:ascii="Arial" w:hAnsi="Arial" w:cs="Arial"/>
                <w:b/>
                <w:bCs/>
                <w:color w:val="000000"/>
                <w:sz w:val="16"/>
                <w:szCs w:val="16"/>
              </w:rPr>
              <w:t>$5,038,367</w:t>
            </w:r>
          </w:p>
        </w:tc>
      </w:tr>
      <w:tr w:rsidR="00564857" w:rsidTr="003C1032" w14:paraId="54DE8F75" w14:textId="0E86F8C4">
        <w:trPr>
          <w:trHeight w:val="202"/>
        </w:trPr>
        <w:tc>
          <w:tcPr>
            <w:tcW w:w="12925" w:type="dxa"/>
            <w:gridSpan w:val="10"/>
            <w:tcBorders>
              <w:top w:val="single" w:color="auto" w:sz="4" w:space="0"/>
              <w:left w:val="nil"/>
              <w:bottom w:val="single" w:color="auto" w:sz="4" w:space="0"/>
              <w:right w:val="nil"/>
            </w:tcBorders>
            <w:vAlign w:val="bottom"/>
          </w:tcPr>
          <w:p w:rsidR="00564857" w:rsidP="00564857" w:rsidRDefault="00564857" w14:paraId="19F70FD3" w14:textId="77777777">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vertAlign w:val="superscript"/>
              </w:rPr>
            </w:pPr>
          </w:p>
          <w:p w:rsidRPr="00833903" w:rsidR="00564857" w:rsidP="00564857" w:rsidRDefault="00564857" w14:paraId="2C097E0B" w14:textId="2ADBBDA6">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1</w:t>
            </w:r>
            <w:r>
              <w:rPr>
                <w:rFonts w:ascii="Arial" w:hAnsi="Arial" w:cs="Arial"/>
                <w:sz w:val="16"/>
                <w:szCs w:val="16"/>
                <w:vertAlign w:val="superscript"/>
              </w:rPr>
              <w:tab/>
            </w:r>
            <w:r w:rsidRPr="00833903">
              <w:rPr>
                <w:rFonts w:ascii="Arial" w:hAnsi="Arial" w:cs="Arial"/>
                <w:sz w:val="16"/>
                <w:szCs w:val="16"/>
              </w:rPr>
              <w:t>Cap</w:t>
            </w:r>
            <w:r>
              <w:rPr>
                <w:rFonts w:ascii="Arial" w:hAnsi="Arial" w:cs="Arial"/>
                <w:sz w:val="16"/>
                <w:szCs w:val="16"/>
              </w:rPr>
              <w:t>ital costs and O&amp;M are calculated using the full number of 85 respondents because equipment is needed for every year irrespective of reporting.</w:t>
            </w:r>
          </w:p>
          <w:p w:rsidR="00564857" w:rsidP="00564857" w:rsidRDefault="00564857" w14:paraId="3626C009" w14:textId="7EF2AC8E">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 xml:space="preserve">2      </w:t>
            </w:r>
            <w:r>
              <w:rPr>
                <w:rFonts w:ascii="Arial" w:hAnsi="Arial" w:cs="Arial"/>
                <w:sz w:val="16"/>
                <w:szCs w:val="16"/>
              </w:rPr>
              <w:t>Hours per year are rounded to the nearest hour.</w:t>
            </w:r>
          </w:p>
          <w:p w:rsidR="00564857" w:rsidP="00564857" w:rsidRDefault="00564857" w14:paraId="07A1DD75" w14:textId="3ED2B361">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3</w:t>
            </w:r>
            <w:r>
              <w:rPr>
                <w:rFonts w:ascii="Arial" w:hAnsi="Arial" w:cs="Arial"/>
                <w:sz w:val="16"/>
                <w:szCs w:val="16"/>
              </w:rPr>
              <w:tab/>
              <w:t>Costs per year are rounded to the nearest dollar.</w:t>
            </w:r>
          </w:p>
          <w:p w:rsidR="00564857" w:rsidP="00564857" w:rsidRDefault="00564857" w14:paraId="67B99037" w14:textId="35912347">
            <w:pPr>
              <w:widowControl/>
              <w:tabs>
                <w:tab w:val="left" w:pos="0"/>
                <w:tab w:val="left" w:pos="236"/>
                <w:tab w:val="left" w:pos="1440"/>
                <w:tab w:val="left" w:pos="2160"/>
                <w:tab w:val="left" w:pos="2880"/>
                <w:tab w:val="left" w:pos="3600"/>
                <w:tab w:val="left" w:pos="4320"/>
              </w:tabs>
              <w:spacing w:after="13"/>
              <w:rPr>
                <w:sz w:val="16"/>
                <w:szCs w:val="16"/>
              </w:rPr>
            </w:pPr>
          </w:p>
        </w:tc>
      </w:tr>
      <w:tr w:rsidR="00564857" w:rsidTr="003C1032" w14:paraId="40C6C357" w14:textId="0A75BA41">
        <w:trPr>
          <w:trHeight w:val="202"/>
        </w:trPr>
        <w:tc>
          <w:tcPr>
            <w:tcW w:w="12925" w:type="dxa"/>
            <w:gridSpan w:val="10"/>
            <w:tcBorders>
              <w:top w:val="single" w:color="auto" w:sz="4" w:space="0"/>
              <w:left w:val="nil"/>
              <w:bottom w:val="nil"/>
              <w:right w:val="nil"/>
            </w:tcBorders>
            <w:vAlign w:val="bottom"/>
          </w:tcPr>
          <w:p w:rsidR="00564857" w:rsidP="00564857" w:rsidRDefault="00564857" w14:paraId="122F6F1F" w14:textId="77777777">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vertAlign w:val="superscript"/>
              </w:rPr>
            </w:pPr>
          </w:p>
        </w:tc>
      </w:tr>
    </w:tbl>
    <w:p w:rsidR="002C01E6" w:rsidRDefault="002C01E6" w14:paraId="793250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4"/>
          <w:szCs w:val="14"/>
        </w:rPr>
      </w:pPr>
    </w:p>
    <w:tbl>
      <w:tblPr>
        <w:tblW w:w="13680" w:type="dxa"/>
        <w:jc w:val="center"/>
        <w:tblLayout w:type="fixed"/>
        <w:tblCellMar>
          <w:left w:w="24" w:type="dxa"/>
          <w:right w:w="24" w:type="dxa"/>
        </w:tblCellMar>
        <w:tblLook w:val="0000" w:firstRow="0" w:lastRow="0" w:firstColumn="0" w:lastColumn="0" w:noHBand="0" w:noVBand="0"/>
      </w:tblPr>
      <w:tblGrid>
        <w:gridCol w:w="13680"/>
      </w:tblGrid>
      <w:tr w:rsidR="002C01E6" w:rsidTr="00E82FEE" w14:paraId="1E195FDC" w14:textId="77777777">
        <w:trPr>
          <w:trHeight w:val="465" w:hRule="exact"/>
          <w:jc w:val="center"/>
        </w:trPr>
        <w:tc>
          <w:tcPr>
            <w:tcW w:w="13680" w:type="dxa"/>
            <w:tcBorders>
              <w:top w:val="single" w:color="FFFFFF" w:sz="6" w:space="0"/>
              <w:left w:val="single" w:color="FFFFFF" w:sz="6" w:space="0"/>
              <w:bottom w:val="single" w:color="FFFFFF" w:sz="6" w:space="0"/>
              <w:right w:val="single" w:color="FFFFFF" w:sz="6" w:space="0"/>
            </w:tcBorders>
          </w:tcPr>
          <w:p w:rsidR="002C01E6" w:rsidRDefault="002C01E6" w14:paraId="7A690E1D" w14:textId="77777777">
            <w:pPr>
              <w:spacing w:line="43" w:lineRule="exact"/>
            </w:pPr>
          </w:p>
          <w:p w:rsidR="002C01E6" w:rsidRDefault="002C01E6" w14:paraId="2B4F59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center"/>
              <w:rPr>
                <w:rFonts w:ascii="Shruti" w:hAnsi="Shruti" w:cs="Shruti"/>
                <w:sz w:val="14"/>
                <w:szCs w:val="14"/>
              </w:rPr>
            </w:pPr>
          </w:p>
        </w:tc>
      </w:tr>
      <w:tr w:rsidR="002C01E6" w:rsidTr="00E82FEE" w14:paraId="6AE140C3" w14:textId="77777777">
        <w:trPr>
          <w:jc w:val="center"/>
        </w:trPr>
        <w:tc>
          <w:tcPr>
            <w:tcW w:w="13680" w:type="dxa"/>
            <w:tcBorders>
              <w:top w:val="single" w:color="FFFFFF" w:sz="6" w:space="0"/>
              <w:left w:val="single" w:color="FFFFFF" w:sz="6" w:space="0"/>
              <w:bottom w:val="single" w:color="FFFFFF" w:sz="6" w:space="0"/>
              <w:right w:val="single" w:color="FFFFFF" w:sz="6" w:space="0"/>
            </w:tcBorders>
          </w:tcPr>
          <w:p w:rsidR="002C01E6" w:rsidRDefault="002C01E6" w14:paraId="4E7F3D9C" w14:textId="77777777">
            <w:pPr>
              <w:spacing w:line="43" w:lineRule="exact"/>
              <w:rPr>
                <w:rFonts w:ascii="Shruti" w:hAnsi="Shruti" w:cs="Shruti"/>
                <w:sz w:val="14"/>
                <w:szCs w:val="14"/>
              </w:rPr>
            </w:pPr>
          </w:p>
          <w:p w:rsidR="002C01E6" w:rsidRDefault="002C01E6" w14:paraId="026B56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right"/>
              <w:rPr>
                <w:rFonts w:ascii="Shruti" w:hAnsi="Shruti" w:cs="Shruti"/>
                <w:sz w:val="16"/>
                <w:szCs w:val="16"/>
              </w:rPr>
            </w:pPr>
          </w:p>
        </w:tc>
      </w:tr>
    </w:tbl>
    <w:p w:rsidR="002C01E6" w:rsidP="00E55006" w:rsidRDefault="00791B5C" w14:paraId="5E7E6CC1" w14:textId="5984C0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2"/>
          <w:szCs w:val="12"/>
        </w:rPr>
      </w:pPr>
      <w:r w:rsidDel="00433398">
        <w:t>O&amp;M 240,000</w:t>
      </w:r>
    </w:p>
    <w:sectPr w:rsidR="002C01E6" w:rsidSect="00E55006">
      <w:footerReference w:type="default" r:id="rId11"/>
      <w:footnotePr>
        <w:numStart w:val="5"/>
      </w:footnotePr>
      <w:pgSz w:w="15840" w:h="12240" w:orient="landscape"/>
      <w:pgMar w:top="1440" w:right="108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6FC3F" w14:textId="77777777" w:rsidR="007D4EB2" w:rsidRDefault="007D4EB2">
      <w:r>
        <w:separator/>
      </w:r>
    </w:p>
  </w:endnote>
  <w:endnote w:type="continuationSeparator" w:id="0">
    <w:p w14:paraId="41E17BA8" w14:textId="77777777" w:rsidR="007D4EB2" w:rsidRDefault="007D4EB2">
      <w:r>
        <w:continuationSeparator/>
      </w:r>
    </w:p>
  </w:endnote>
  <w:endnote w:type="continuationNotice" w:id="1">
    <w:p w14:paraId="1575A9C5" w14:textId="77777777" w:rsidR="007D4EB2" w:rsidRDefault="007D4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DBD5" w14:textId="77777777" w:rsidR="00037BF4" w:rsidRDefault="00037BF4">
    <w:pPr>
      <w:spacing w:line="240" w:lineRule="exact"/>
    </w:pPr>
  </w:p>
  <w:p w14:paraId="234D867E" w14:textId="77777777" w:rsidR="00037BF4" w:rsidRDefault="00037B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27AB" w14:textId="77777777" w:rsidR="00037BF4" w:rsidRDefault="00037B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532C4" w14:textId="77777777" w:rsidR="007D4EB2" w:rsidRDefault="007D4EB2">
      <w:r>
        <w:separator/>
      </w:r>
    </w:p>
  </w:footnote>
  <w:footnote w:type="continuationSeparator" w:id="0">
    <w:p w14:paraId="7DD8294A" w14:textId="77777777" w:rsidR="007D4EB2" w:rsidRDefault="007D4EB2">
      <w:r>
        <w:continuationSeparator/>
      </w:r>
    </w:p>
  </w:footnote>
  <w:footnote w:type="continuationNotice" w:id="1">
    <w:p w14:paraId="01E72D5D" w14:textId="77777777" w:rsidR="007D4EB2" w:rsidRDefault="007D4EB2"/>
  </w:footnote>
  <w:footnote w:id="2">
    <w:p w14:paraId="21A89F7E" w14:textId="16A6FD25" w:rsidR="00037BF4" w:rsidRDefault="00037BF4" w:rsidP="003D0D35">
      <w:pPr>
        <w:pStyle w:val="FootnoteText"/>
        <w:tabs>
          <w:tab w:val="left" w:pos="180"/>
        </w:tabs>
        <w:ind w:left="180" w:hanging="180"/>
      </w:pPr>
      <w:r w:rsidRPr="00F40F41">
        <w:rPr>
          <w:rStyle w:val="FootnoteReference"/>
          <w:vertAlign w:val="superscript"/>
        </w:rPr>
        <w:footnoteRef/>
      </w:r>
      <w:r>
        <w:t xml:space="preserve"> </w:t>
      </w:r>
      <w:r w:rsidR="003E3E99">
        <w:t>31</w:t>
      </w:r>
      <w:r>
        <w:t xml:space="preserve"> local and tribal agencies reported in 201</w:t>
      </w:r>
      <w:r w:rsidR="003E3E99">
        <w:t>7 and 23 in 2018</w:t>
      </w:r>
      <w:r>
        <w:t>.</w:t>
      </w:r>
      <w:r w:rsidR="003E3E99">
        <w:t xml:space="preserve"> 26 is a weighted average with triennial years assuming 31 and interim years assume 23 (i.e., [31 + 23 + 23]/3 rounds up to 26)</w:t>
      </w:r>
    </w:p>
  </w:footnote>
  <w:footnote w:id="3">
    <w:p w14:paraId="050C9619" w14:textId="48E59927" w:rsidR="00037BF4" w:rsidRPr="00037BF4" w:rsidRDefault="00037BF4" w:rsidP="003D0D35">
      <w:pPr>
        <w:pStyle w:val="FootnoteText"/>
        <w:tabs>
          <w:tab w:val="left" w:pos="180"/>
        </w:tabs>
        <w:ind w:left="180" w:hanging="180"/>
        <w:rPr>
          <w:sz w:val="22"/>
          <w:szCs w:val="22"/>
        </w:rPr>
      </w:pPr>
      <w:r w:rsidRPr="00F40F41">
        <w:rPr>
          <w:rStyle w:val="FootnoteReference"/>
          <w:vertAlign w:val="superscript"/>
        </w:rPr>
        <w:footnoteRef/>
      </w:r>
      <w:r>
        <w:t xml:space="preserve"> </w:t>
      </w:r>
      <w:r>
        <w:tab/>
      </w:r>
      <w:r w:rsidRPr="00037BF4">
        <w:t xml:space="preserve">Except where noted, future reference to “state(s)” in this supporting statement includes 50 states, </w:t>
      </w:r>
      <w:r>
        <w:t>3</w:t>
      </w:r>
      <w:r w:rsidRPr="00037BF4">
        <w:t> territories, 31 local agencies, and the District of Columbia (DC).</w:t>
      </w:r>
    </w:p>
  </w:footnote>
  <w:footnote w:id="4">
    <w:p w14:paraId="385C55E1" w14:textId="6679A41E" w:rsidR="00037BF4" w:rsidRDefault="00037BF4">
      <w:pPr>
        <w:pStyle w:val="FootnoteText"/>
      </w:pPr>
      <w:r w:rsidRPr="00F40F41">
        <w:rPr>
          <w:rStyle w:val="FootnoteReference"/>
          <w:vertAlign w:val="superscript"/>
        </w:rPr>
        <w:footnoteRef/>
      </w:r>
      <w:r>
        <w:t xml:space="preserve"> States with Marginal or greater ozone nonattainment areas or PM</w:t>
      </w:r>
      <w:r w:rsidRPr="00F40F41">
        <w:rPr>
          <w:vertAlign w:val="subscript"/>
        </w:rPr>
        <w:t>2.5</w:t>
      </w:r>
      <w:r>
        <w:t xml:space="preserve"> nonattainment areas are required to prepare a modeled attainment demonstration that could include emissions for the same inventory year as the triennial NEI.  If so, such modeling effort would usually need emissions for the entire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9364449"/>
      <w:docPartObj>
        <w:docPartGallery w:val="Page Numbers (Top of Page)"/>
        <w:docPartUnique/>
      </w:docPartObj>
    </w:sdtPr>
    <w:sdtEndPr>
      <w:rPr>
        <w:noProof/>
      </w:rPr>
    </w:sdtEndPr>
    <w:sdtContent>
      <w:p w14:paraId="5F9A300E" w14:textId="098A29A2" w:rsidR="00037BF4" w:rsidRDefault="00037BF4">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4A3FE34D" w14:textId="77777777" w:rsidR="00037BF4" w:rsidRDefault="00037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626429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4696AB5"/>
    <w:multiLevelType w:val="hybridMultilevel"/>
    <w:tmpl w:val="BAC8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26EB1"/>
    <w:multiLevelType w:val="hybridMultilevel"/>
    <w:tmpl w:val="7B9480E8"/>
    <w:lvl w:ilvl="0" w:tplc="8ACEA94C">
      <w:start w:val="1"/>
      <w:numFmt w:val="decimal"/>
      <w:lvlText w:val="%1)"/>
      <w:lvlJc w:val="left"/>
      <w:pPr>
        <w:ind w:left="885" w:hanging="46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9976D25"/>
    <w:multiLevelType w:val="hybridMultilevel"/>
    <w:tmpl w:val="F3EC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44585"/>
    <w:multiLevelType w:val="hybridMultilevel"/>
    <w:tmpl w:val="6F3A8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76E2D"/>
    <w:multiLevelType w:val="hybridMultilevel"/>
    <w:tmpl w:val="B7C2368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2A26C19"/>
    <w:multiLevelType w:val="hybridMultilevel"/>
    <w:tmpl w:val="8384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C65C5"/>
    <w:multiLevelType w:val="hybridMultilevel"/>
    <w:tmpl w:val="EA98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41360"/>
    <w:multiLevelType w:val="hybridMultilevel"/>
    <w:tmpl w:val="071ABC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3B96360"/>
    <w:multiLevelType w:val="hybridMultilevel"/>
    <w:tmpl w:val="0BDAE626"/>
    <w:lvl w:ilvl="0" w:tplc="A0D82278">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8" w15:restartNumberingAfterBreak="0">
    <w:nsid w:val="45AE6B36"/>
    <w:multiLevelType w:val="hybridMultilevel"/>
    <w:tmpl w:val="96107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03917"/>
    <w:multiLevelType w:val="hybridMultilevel"/>
    <w:tmpl w:val="F036041E"/>
    <w:lvl w:ilvl="0" w:tplc="04090001">
      <w:start w:val="1"/>
      <w:numFmt w:val="bullet"/>
      <w:lvlText w:val=""/>
      <w:lvlJc w:val="left"/>
      <w:pPr>
        <w:tabs>
          <w:tab w:val="num" w:pos="1142"/>
        </w:tabs>
        <w:ind w:left="1142" w:hanging="360"/>
      </w:pPr>
      <w:rPr>
        <w:rFonts w:ascii="Symbol" w:hAnsi="Symbol" w:hint="default"/>
      </w:rPr>
    </w:lvl>
    <w:lvl w:ilvl="1" w:tplc="04090003" w:tentative="1">
      <w:start w:val="1"/>
      <w:numFmt w:val="bullet"/>
      <w:lvlText w:val="o"/>
      <w:lvlJc w:val="left"/>
      <w:pPr>
        <w:tabs>
          <w:tab w:val="num" w:pos="1862"/>
        </w:tabs>
        <w:ind w:left="1862" w:hanging="360"/>
      </w:pPr>
      <w:rPr>
        <w:rFonts w:ascii="Courier New" w:hAnsi="Courier New" w:cs="Courier New" w:hint="default"/>
      </w:rPr>
    </w:lvl>
    <w:lvl w:ilvl="2" w:tplc="04090005" w:tentative="1">
      <w:start w:val="1"/>
      <w:numFmt w:val="bullet"/>
      <w:lvlText w:val=""/>
      <w:lvlJc w:val="left"/>
      <w:pPr>
        <w:tabs>
          <w:tab w:val="num" w:pos="2582"/>
        </w:tabs>
        <w:ind w:left="2582" w:hanging="360"/>
      </w:pPr>
      <w:rPr>
        <w:rFonts w:ascii="Wingdings" w:hAnsi="Wingdings" w:hint="default"/>
      </w:rPr>
    </w:lvl>
    <w:lvl w:ilvl="3" w:tplc="04090001" w:tentative="1">
      <w:start w:val="1"/>
      <w:numFmt w:val="bullet"/>
      <w:lvlText w:val=""/>
      <w:lvlJc w:val="left"/>
      <w:pPr>
        <w:tabs>
          <w:tab w:val="num" w:pos="3302"/>
        </w:tabs>
        <w:ind w:left="3302" w:hanging="360"/>
      </w:pPr>
      <w:rPr>
        <w:rFonts w:ascii="Symbol" w:hAnsi="Symbol" w:hint="default"/>
      </w:rPr>
    </w:lvl>
    <w:lvl w:ilvl="4" w:tplc="04090003" w:tentative="1">
      <w:start w:val="1"/>
      <w:numFmt w:val="bullet"/>
      <w:lvlText w:val="o"/>
      <w:lvlJc w:val="left"/>
      <w:pPr>
        <w:tabs>
          <w:tab w:val="num" w:pos="4022"/>
        </w:tabs>
        <w:ind w:left="4022" w:hanging="360"/>
      </w:pPr>
      <w:rPr>
        <w:rFonts w:ascii="Courier New" w:hAnsi="Courier New" w:cs="Courier New" w:hint="default"/>
      </w:rPr>
    </w:lvl>
    <w:lvl w:ilvl="5" w:tplc="04090005" w:tentative="1">
      <w:start w:val="1"/>
      <w:numFmt w:val="bullet"/>
      <w:lvlText w:val=""/>
      <w:lvlJc w:val="left"/>
      <w:pPr>
        <w:tabs>
          <w:tab w:val="num" w:pos="4742"/>
        </w:tabs>
        <w:ind w:left="4742" w:hanging="360"/>
      </w:pPr>
      <w:rPr>
        <w:rFonts w:ascii="Wingdings" w:hAnsi="Wingdings" w:hint="default"/>
      </w:rPr>
    </w:lvl>
    <w:lvl w:ilvl="6" w:tplc="04090001" w:tentative="1">
      <w:start w:val="1"/>
      <w:numFmt w:val="bullet"/>
      <w:lvlText w:val=""/>
      <w:lvlJc w:val="left"/>
      <w:pPr>
        <w:tabs>
          <w:tab w:val="num" w:pos="5462"/>
        </w:tabs>
        <w:ind w:left="5462" w:hanging="360"/>
      </w:pPr>
      <w:rPr>
        <w:rFonts w:ascii="Symbol" w:hAnsi="Symbol" w:hint="default"/>
      </w:rPr>
    </w:lvl>
    <w:lvl w:ilvl="7" w:tplc="04090003" w:tentative="1">
      <w:start w:val="1"/>
      <w:numFmt w:val="bullet"/>
      <w:lvlText w:val="o"/>
      <w:lvlJc w:val="left"/>
      <w:pPr>
        <w:tabs>
          <w:tab w:val="num" w:pos="6182"/>
        </w:tabs>
        <w:ind w:left="6182" w:hanging="360"/>
      </w:pPr>
      <w:rPr>
        <w:rFonts w:ascii="Courier New" w:hAnsi="Courier New" w:cs="Courier New" w:hint="default"/>
      </w:rPr>
    </w:lvl>
    <w:lvl w:ilvl="8" w:tplc="04090005" w:tentative="1">
      <w:start w:val="1"/>
      <w:numFmt w:val="bullet"/>
      <w:lvlText w:val=""/>
      <w:lvlJc w:val="left"/>
      <w:pPr>
        <w:tabs>
          <w:tab w:val="num" w:pos="6902"/>
        </w:tabs>
        <w:ind w:left="6902" w:hanging="360"/>
      </w:pPr>
      <w:rPr>
        <w:rFonts w:ascii="Wingdings" w:hAnsi="Wingdings" w:hint="default"/>
      </w:rPr>
    </w:lvl>
  </w:abstractNum>
  <w:abstractNum w:abstractNumId="20" w15:restartNumberingAfterBreak="0">
    <w:nsid w:val="587B229D"/>
    <w:multiLevelType w:val="hybridMultilevel"/>
    <w:tmpl w:val="4B00A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5F5912"/>
    <w:multiLevelType w:val="hybridMultilevel"/>
    <w:tmpl w:val="85DA85F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71FC24AF"/>
    <w:multiLevelType w:val="hybridMultilevel"/>
    <w:tmpl w:val="46B05498"/>
    <w:lvl w:ilvl="0" w:tplc="91ECA730">
      <w:numFmt w:val="bullet"/>
      <w:lvlText w:val="•"/>
      <w:lvlJc w:val="left"/>
      <w:pPr>
        <w:ind w:left="887" w:hanging="465"/>
      </w:pPr>
      <w:rPr>
        <w:rFonts w:ascii="Times New Roman" w:eastAsia="Times New Roman"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3" w15:restartNumberingAfterBreak="0">
    <w:nsid w:val="7D4812CB"/>
    <w:multiLevelType w:val="hybridMultilevel"/>
    <w:tmpl w:val="322AFEBA"/>
    <w:lvl w:ilvl="0" w:tplc="682E0D0E">
      <w:start w:val="1"/>
      <w:numFmt w:val="lowerRoman"/>
      <w:lvlText w:val="(%1)"/>
      <w:lvlJc w:val="left"/>
      <w:pPr>
        <w:ind w:left="1605" w:hanging="72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abstractNumId w:val="0"/>
    <w:lvlOverride w:ilvl="0">
      <w:lvl w:ilvl="0">
        <w:numFmt w:val="bullet"/>
        <w:lvlText w:val="$"/>
        <w:legacy w:legacy="1" w:legacySpace="0" w:legacyIndent="466"/>
        <w:lvlJc w:val="left"/>
        <w:pPr>
          <w:ind w:left="1006" w:hanging="466"/>
        </w:pPr>
        <w:rPr>
          <w:rFonts w:ascii="WP TypographicSymbols" w:hAnsi="WP TypographicSymbols" w:hint="default"/>
        </w:rPr>
      </w:lvl>
    </w:lvlOverride>
  </w:num>
  <w:num w:numId="2">
    <w:abstractNumId w:val="17"/>
  </w:num>
  <w:num w:numId="3">
    <w:abstractNumId w:val="13"/>
  </w:num>
  <w:num w:numId="4">
    <w:abstractNumId w:val="11"/>
  </w:num>
  <w:num w:numId="5">
    <w:abstractNumId w:val="20"/>
  </w:num>
  <w:num w:numId="6">
    <w:abstractNumId w:val="16"/>
  </w:num>
  <w:num w:numId="7">
    <w:abstractNumId w:val="19"/>
  </w:num>
  <w:num w:numId="8">
    <w:abstractNumId w:val="15"/>
  </w:num>
  <w:num w:numId="9">
    <w:abstractNumId w:val="12"/>
  </w:num>
  <w:num w:numId="10">
    <w:abstractNumId w:val="9"/>
  </w:num>
  <w:num w:numId="11">
    <w:abstractNumId w:val="14"/>
  </w:num>
  <w:num w:numId="12">
    <w:abstractNumId w:val="22"/>
  </w:num>
  <w:num w:numId="13">
    <w:abstractNumId w:val="23"/>
  </w:num>
  <w:num w:numId="14">
    <w:abstractNumId w:val="21"/>
  </w:num>
  <w:num w:numId="15">
    <w:abstractNumId w:val="1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E6"/>
    <w:rsid w:val="0000032F"/>
    <w:rsid w:val="00000788"/>
    <w:rsid w:val="0000534B"/>
    <w:rsid w:val="000064DF"/>
    <w:rsid w:val="00006F79"/>
    <w:rsid w:val="00016316"/>
    <w:rsid w:val="000207B5"/>
    <w:rsid w:val="000268E3"/>
    <w:rsid w:val="0003028E"/>
    <w:rsid w:val="00035197"/>
    <w:rsid w:val="00035E1F"/>
    <w:rsid w:val="000371AC"/>
    <w:rsid w:val="00037BF4"/>
    <w:rsid w:val="0004060C"/>
    <w:rsid w:val="000429E9"/>
    <w:rsid w:val="000436F3"/>
    <w:rsid w:val="00056BB6"/>
    <w:rsid w:val="0006263D"/>
    <w:rsid w:val="00062882"/>
    <w:rsid w:val="00065B78"/>
    <w:rsid w:val="00071D6C"/>
    <w:rsid w:val="000740BA"/>
    <w:rsid w:val="000818A8"/>
    <w:rsid w:val="0008424B"/>
    <w:rsid w:val="0008651B"/>
    <w:rsid w:val="0008697E"/>
    <w:rsid w:val="00086B52"/>
    <w:rsid w:val="00086E4F"/>
    <w:rsid w:val="00086FE6"/>
    <w:rsid w:val="0008780E"/>
    <w:rsid w:val="0009025D"/>
    <w:rsid w:val="00092355"/>
    <w:rsid w:val="00093133"/>
    <w:rsid w:val="00095B12"/>
    <w:rsid w:val="000A0144"/>
    <w:rsid w:val="000A4C0E"/>
    <w:rsid w:val="000A58A6"/>
    <w:rsid w:val="000B023E"/>
    <w:rsid w:val="000C60F3"/>
    <w:rsid w:val="000D2806"/>
    <w:rsid w:val="000D3375"/>
    <w:rsid w:val="000D521B"/>
    <w:rsid w:val="000D586F"/>
    <w:rsid w:val="000D6F0E"/>
    <w:rsid w:val="000E0952"/>
    <w:rsid w:val="000E3908"/>
    <w:rsid w:val="000E3CF4"/>
    <w:rsid w:val="000E4EC8"/>
    <w:rsid w:val="000F29A1"/>
    <w:rsid w:val="000F4C6E"/>
    <w:rsid w:val="000F734A"/>
    <w:rsid w:val="000F75A8"/>
    <w:rsid w:val="00100BA6"/>
    <w:rsid w:val="00101794"/>
    <w:rsid w:val="00107875"/>
    <w:rsid w:val="00111216"/>
    <w:rsid w:val="001207DC"/>
    <w:rsid w:val="001243FF"/>
    <w:rsid w:val="00124A89"/>
    <w:rsid w:val="0012649D"/>
    <w:rsid w:val="001264CB"/>
    <w:rsid w:val="00130D55"/>
    <w:rsid w:val="0013777F"/>
    <w:rsid w:val="00140226"/>
    <w:rsid w:val="0015052A"/>
    <w:rsid w:val="001526CC"/>
    <w:rsid w:val="00153550"/>
    <w:rsid w:val="0016176E"/>
    <w:rsid w:val="0016740F"/>
    <w:rsid w:val="00173AD4"/>
    <w:rsid w:val="00181275"/>
    <w:rsid w:val="00182CED"/>
    <w:rsid w:val="00184CC4"/>
    <w:rsid w:val="00185010"/>
    <w:rsid w:val="00187457"/>
    <w:rsid w:val="00187773"/>
    <w:rsid w:val="00190F08"/>
    <w:rsid w:val="00193CE1"/>
    <w:rsid w:val="001A063E"/>
    <w:rsid w:val="001A40B5"/>
    <w:rsid w:val="001A6A0C"/>
    <w:rsid w:val="001B0451"/>
    <w:rsid w:val="001B4899"/>
    <w:rsid w:val="001B5C69"/>
    <w:rsid w:val="001C08CB"/>
    <w:rsid w:val="001D286F"/>
    <w:rsid w:val="001D3486"/>
    <w:rsid w:val="001E4670"/>
    <w:rsid w:val="001E5402"/>
    <w:rsid w:val="001E68A2"/>
    <w:rsid w:val="001F0690"/>
    <w:rsid w:val="001F7570"/>
    <w:rsid w:val="002057A2"/>
    <w:rsid w:val="0020584C"/>
    <w:rsid w:val="00212880"/>
    <w:rsid w:val="00214044"/>
    <w:rsid w:val="00234F36"/>
    <w:rsid w:val="00235A63"/>
    <w:rsid w:val="00243C1C"/>
    <w:rsid w:val="002462E6"/>
    <w:rsid w:val="0024651E"/>
    <w:rsid w:val="00250AB7"/>
    <w:rsid w:val="00250D43"/>
    <w:rsid w:val="00251188"/>
    <w:rsid w:val="00255B2E"/>
    <w:rsid w:val="00255BE4"/>
    <w:rsid w:val="00263B10"/>
    <w:rsid w:val="00265FD0"/>
    <w:rsid w:val="00273F07"/>
    <w:rsid w:val="00273F35"/>
    <w:rsid w:val="00276537"/>
    <w:rsid w:val="002807A3"/>
    <w:rsid w:val="0028604B"/>
    <w:rsid w:val="00287622"/>
    <w:rsid w:val="00290684"/>
    <w:rsid w:val="002A1801"/>
    <w:rsid w:val="002A1F30"/>
    <w:rsid w:val="002A20E6"/>
    <w:rsid w:val="002C01E6"/>
    <w:rsid w:val="002C3A3A"/>
    <w:rsid w:val="002D0865"/>
    <w:rsid w:val="002D13A4"/>
    <w:rsid w:val="002D33B0"/>
    <w:rsid w:val="002D7CAD"/>
    <w:rsid w:val="002E04C0"/>
    <w:rsid w:val="002E73ED"/>
    <w:rsid w:val="002F79DA"/>
    <w:rsid w:val="002F79EA"/>
    <w:rsid w:val="0030262A"/>
    <w:rsid w:val="0030374D"/>
    <w:rsid w:val="00303DD4"/>
    <w:rsid w:val="003136FF"/>
    <w:rsid w:val="003152D2"/>
    <w:rsid w:val="003167BA"/>
    <w:rsid w:val="00320D7E"/>
    <w:rsid w:val="003239F1"/>
    <w:rsid w:val="00324491"/>
    <w:rsid w:val="00345564"/>
    <w:rsid w:val="00347120"/>
    <w:rsid w:val="00352272"/>
    <w:rsid w:val="0035289B"/>
    <w:rsid w:val="00354A4D"/>
    <w:rsid w:val="003560EC"/>
    <w:rsid w:val="00356584"/>
    <w:rsid w:val="00362A07"/>
    <w:rsid w:val="0036606A"/>
    <w:rsid w:val="00372306"/>
    <w:rsid w:val="00375CB0"/>
    <w:rsid w:val="00376EF4"/>
    <w:rsid w:val="00390092"/>
    <w:rsid w:val="0039110E"/>
    <w:rsid w:val="00391EFB"/>
    <w:rsid w:val="003947DF"/>
    <w:rsid w:val="003962BE"/>
    <w:rsid w:val="0039759B"/>
    <w:rsid w:val="003A73A4"/>
    <w:rsid w:val="003B1F46"/>
    <w:rsid w:val="003B4320"/>
    <w:rsid w:val="003B4E99"/>
    <w:rsid w:val="003C0560"/>
    <w:rsid w:val="003C1032"/>
    <w:rsid w:val="003C47AC"/>
    <w:rsid w:val="003C4B6A"/>
    <w:rsid w:val="003C5230"/>
    <w:rsid w:val="003C52A8"/>
    <w:rsid w:val="003D0D35"/>
    <w:rsid w:val="003E37DB"/>
    <w:rsid w:val="003E3E99"/>
    <w:rsid w:val="003F1E68"/>
    <w:rsid w:val="003F28E3"/>
    <w:rsid w:val="003F6A0F"/>
    <w:rsid w:val="004007D3"/>
    <w:rsid w:val="00406A59"/>
    <w:rsid w:val="00407622"/>
    <w:rsid w:val="00413CD0"/>
    <w:rsid w:val="00421792"/>
    <w:rsid w:val="00431B1F"/>
    <w:rsid w:val="00433398"/>
    <w:rsid w:val="0043482F"/>
    <w:rsid w:val="00442C43"/>
    <w:rsid w:val="00444209"/>
    <w:rsid w:val="00452856"/>
    <w:rsid w:val="00453B2F"/>
    <w:rsid w:val="00455D73"/>
    <w:rsid w:val="00457B52"/>
    <w:rsid w:val="00467B02"/>
    <w:rsid w:val="00471126"/>
    <w:rsid w:val="004717FA"/>
    <w:rsid w:val="004735D8"/>
    <w:rsid w:val="00482FC8"/>
    <w:rsid w:val="0048453B"/>
    <w:rsid w:val="004872A5"/>
    <w:rsid w:val="00491454"/>
    <w:rsid w:val="00494FBE"/>
    <w:rsid w:val="0049530E"/>
    <w:rsid w:val="004A09A6"/>
    <w:rsid w:val="004C12E6"/>
    <w:rsid w:val="004C55CC"/>
    <w:rsid w:val="004D0CFA"/>
    <w:rsid w:val="004D5498"/>
    <w:rsid w:val="004E0288"/>
    <w:rsid w:val="004E187A"/>
    <w:rsid w:val="004E3F72"/>
    <w:rsid w:val="004E742F"/>
    <w:rsid w:val="004E7BEF"/>
    <w:rsid w:val="004F0D06"/>
    <w:rsid w:val="004F4091"/>
    <w:rsid w:val="004F5517"/>
    <w:rsid w:val="004F5AE5"/>
    <w:rsid w:val="004F651A"/>
    <w:rsid w:val="004F6913"/>
    <w:rsid w:val="00502E87"/>
    <w:rsid w:val="005062C0"/>
    <w:rsid w:val="00507731"/>
    <w:rsid w:val="00510776"/>
    <w:rsid w:val="00515807"/>
    <w:rsid w:val="005203B5"/>
    <w:rsid w:val="0052178D"/>
    <w:rsid w:val="00522F49"/>
    <w:rsid w:val="00525E0B"/>
    <w:rsid w:val="00532598"/>
    <w:rsid w:val="0053484B"/>
    <w:rsid w:val="005358C0"/>
    <w:rsid w:val="00536AC3"/>
    <w:rsid w:val="00537456"/>
    <w:rsid w:val="00544280"/>
    <w:rsid w:val="00544F89"/>
    <w:rsid w:val="0054500B"/>
    <w:rsid w:val="0055752B"/>
    <w:rsid w:val="00557841"/>
    <w:rsid w:val="005601A5"/>
    <w:rsid w:val="00560C32"/>
    <w:rsid w:val="00563B82"/>
    <w:rsid w:val="00563C64"/>
    <w:rsid w:val="00564857"/>
    <w:rsid w:val="005656AD"/>
    <w:rsid w:val="00565806"/>
    <w:rsid w:val="005658D7"/>
    <w:rsid w:val="005707EB"/>
    <w:rsid w:val="00571752"/>
    <w:rsid w:val="0057211F"/>
    <w:rsid w:val="00573D97"/>
    <w:rsid w:val="00576FFA"/>
    <w:rsid w:val="00583916"/>
    <w:rsid w:val="00585AE5"/>
    <w:rsid w:val="00590736"/>
    <w:rsid w:val="00593424"/>
    <w:rsid w:val="005A70B7"/>
    <w:rsid w:val="005B1F58"/>
    <w:rsid w:val="005B3EDB"/>
    <w:rsid w:val="005B4DA7"/>
    <w:rsid w:val="005B5536"/>
    <w:rsid w:val="005B55F4"/>
    <w:rsid w:val="005B66CE"/>
    <w:rsid w:val="005C5763"/>
    <w:rsid w:val="005C7C99"/>
    <w:rsid w:val="005C7FB4"/>
    <w:rsid w:val="005D5217"/>
    <w:rsid w:val="005E0F6F"/>
    <w:rsid w:val="005E7CD4"/>
    <w:rsid w:val="005F0F18"/>
    <w:rsid w:val="00602A38"/>
    <w:rsid w:val="00604302"/>
    <w:rsid w:val="006107AE"/>
    <w:rsid w:val="00617C7D"/>
    <w:rsid w:val="006215D5"/>
    <w:rsid w:val="006239EF"/>
    <w:rsid w:val="006242BE"/>
    <w:rsid w:val="006268D9"/>
    <w:rsid w:val="00634567"/>
    <w:rsid w:val="00642B07"/>
    <w:rsid w:val="0065043C"/>
    <w:rsid w:val="00657A6E"/>
    <w:rsid w:val="0066138E"/>
    <w:rsid w:val="00663641"/>
    <w:rsid w:val="00666D35"/>
    <w:rsid w:val="0066754F"/>
    <w:rsid w:val="0067303D"/>
    <w:rsid w:val="006810A4"/>
    <w:rsid w:val="00687858"/>
    <w:rsid w:val="00692668"/>
    <w:rsid w:val="00692CC3"/>
    <w:rsid w:val="006945C8"/>
    <w:rsid w:val="00696A96"/>
    <w:rsid w:val="00697ADB"/>
    <w:rsid w:val="006A38E2"/>
    <w:rsid w:val="006A3A13"/>
    <w:rsid w:val="006A69DC"/>
    <w:rsid w:val="006B1AE5"/>
    <w:rsid w:val="006B2E71"/>
    <w:rsid w:val="006C2668"/>
    <w:rsid w:val="006C3F69"/>
    <w:rsid w:val="006D12BA"/>
    <w:rsid w:val="006D1B03"/>
    <w:rsid w:val="006D3B3A"/>
    <w:rsid w:val="006D5C5F"/>
    <w:rsid w:val="006E0DB0"/>
    <w:rsid w:val="006E5A26"/>
    <w:rsid w:val="006E5F9B"/>
    <w:rsid w:val="006E6531"/>
    <w:rsid w:val="006F60D5"/>
    <w:rsid w:val="00702A3C"/>
    <w:rsid w:val="007059A1"/>
    <w:rsid w:val="00706EDB"/>
    <w:rsid w:val="00710B51"/>
    <w:rsid w:val="00711D13"/>
    <w:rsid w:val="00712218"/>
    <w:rsid w:val="00722851"/>
    <w:rsid w:val="00724B47"/>
    <w:rsid w:val="00725ADB"/>
    <w:rsid w:val="00727E94"/>
    <w:rsid w:val="007419A6"/>
    <w:rsid w:val="007474EC"/>
    <w:rsid w:val="00774A46"/>
    <w:rsid w:val="00775216"/>
    <w:rsid w:val="007758F8"/>
    <w:rsid w:val="007759ED"/>
    <w:rsid w:val="007813D4"/>
    <w:rsid w:val="007836CA"/>
    <w:rsid w:val="00783950"/>
    <w:rsid w:val="007861C4"/>
    <w:rsid w:val="00791B5C"/>
    <w:rsid w:val="00793245"/>
    <w:rsid w:val="00794B59"/>
    <w:rsid w:val="00795545"/>
    <w:rsid w:val="00795BD8"/>
    <w:rsid w:val="007964E8"/>
    <w:rsid w:val="007B53EA"/>
    <w:rsid w:val="007B681B"/>
    <w:rsid w:val="007B7710"/>
    <w:rsid w:val="007B7FAE"/>
    <w:rsid w:val="007C2941"/>
    <w:rsid w:val="007C5663"/>
    <w:rsid w:val="007D2CA4"/>
    <w:rsid w:val="007D44E5"/>
    <w:rsid w:val="007D4EB2"/>
    <w:rsid w:val="007D665A"/>
    <w:rsid w:val="007D7203"/>
    <w:rsid w:val="007E23F0"/>
    <w:rsid w:val="007F1747"/>
    <w:rsid w:val="007F2056"/>
    <w:rsid w:val="00804EEB"/>
    <w:rsid w:val="00805EE4"/>
    <w:rsid w:val="00810775"/>
    <w:rsid w:val="008142BD"/>
    <w:rsid w:val="00817B9C"/>
    <w:rsid w:val="00820C8E"/>
    <w:rsid w:val="008221F6"/>
    <w:rsid w:val="008233E3"/>
    <w:rsid w:val="00824A78"/>
    <w:rsid w:val="00825C67"/>
    <w:rsid w:val="00830718"/>
    <w:rsid w:val="00831F34"/>
    <w:rsid w:val="00833903"/>
    <w:rsid w:val="008352CE"/>
    <w:rsid w:val="00842D18"/>
    <w:rsid w:val="008474F2"/>
    <w:rsid w:val="00851193"/>
    <w:rsid w:val="008515CB"/>
    <w:rsid w:val="00852E8A"/>
    <w:rsid w:val="00853DE5"/>
    <w:rsid w:val="00860681"/>
    <w:rsid w:val="00861100"/>
    <w:rsid w:val="00861711"/>
    <w:rsid w:val="00863665"/>
    <w:rsid w:val="008643A4"/>
    <w:rsid w:val="008670D5"/>
    <w:rsid w:val="00867A82"/>
    <w:rsid w:val="00870502"/>
    <w:rsid w:val="00872E57"/>
    <w:rsid w:val="00873DF7"/>
    <w:rsid w:val="0087756C"/>
    <w:rsid w:val="00881924"/>
    <w:rsid w:val="008830CA"/>
    <w:rsid w:val="008839AB"/>
    <w:rsid w:val="00884778"/>
    <w:rsid w:val="00887370"/>
    <w:rsid w:val="00891321"/>
    <w:rsid w:val="00892891"/>
    <w:rsid w:val="008958FD"/>
    <w:rsid w:val="008A0DC7"/>
    <w:rsid w:val="008A2319"/>
    <w:rsid w:val="008A250E"/>
    <w:rsid w:val="008A28D8"/>
    <w:rsid w:val="008A6CAE"/>
    <w:rsid w:val="008A7DFE"/>
    <w:rsid w:val="008B416F"/>
    <w:rsid w:val="008B5E76"/>
    <w:rsid w:val="008C23BC"/>
    <w:rsid w:val="008C2DE3"/>
    <w:rsid w:val="008C6C96"/>
    <w:rsid w:val="008C7292"/>
    <w:rsid w:val="008E5A86"/>
    <w:rsid w:val="008F1F07"/>
    <w:rsid w:val="008F3E64"/>
    <w:rsid w:val="008F5A27"/>
    <w:rsid w:val="008F66F0"/>
    <w:rsid w:val="00902040"/>
    <w:rsid w:val="00904EA9"/>
    <w:rsid w:val="00910343"/>
    <w:rsid w:val="00910A3E"/>
    <w:rsid w:val="00911E0B"/>
    <w:rsid w:val="009264DF"/>
    <w:rsid w:val="00927A06"/>
    <w:rsid w:val="00931B9A"/>
    <w:rsid w:val="00940AE4"/>
    <w:rsid w:val="00944E8C"/>
    <w:rsid w:val="00946B89"/>
    <w:rsid w:val="00952A70"/>
    <w:rsid w:val="00953263"/>
    <w:rsid w:val="0096702A"/>
    <w:rsid w:val="00980E23"/>
    <w:rsid w:val="00982123"/>
    <w:rsid w:val="00985283"/>
    <w:rsid w:val="00993E74"/>
    <w:rsid w:val="0099499C"/>
    <w:rsid w:val="009A02B0"/>
    <w:rsid w:val="009A5320"/>
    <w:rsid w:val="009B39E7"/>
    <w:rsid w:val="009B6786"/>
    <w:rsid w:val="009C21F1"/>
    <w:rsid w:val="009C4049"/>
    <w:rsid w:val="009D0F37"/>
    <w:rsid w:val="009D2181"/>
    <w:rsid w:val="009D231D"/>
    <w:rsid w:val="009D689A"/>
    <w:rsid w:val="009E03BA"/>
    <w:rsid w:val="009E6C9E"/>
    <w:rsid w:val="009F2442"/>
    <w:rsid w:val="009F58E3"/>
    <w:rsid w:val="00A00C3C"/>
    <w:rsid w:val="00A13B13"/>
    <w:rsid w:val="00A13B8D"/>
    <w:rsid w:val="00A1497D"/>
    <w:rsid w:val="00A14D6C"/>
    <w:rsid w:val="00A17CAD"/>
    <w:rsid w:val="00A21045"/>
    <w:rsid w:val="00A24269"/>
    <w:rsid w:val="00A27FE9"/>
    <w:rsid w:val="00A34367"/>
    <w:rsid w:val="00A37866"/>
    <w:rsid w:val="00A4038B"/>
    <w:rsid w:val="00A41F90"/>
    <w:rsid w:val="00A42F5E"/>
    <w:rsid w:val="00A43AC0"/>
    <w:rsid w:val="00A43FA8"/>
    <w:rsid w:val="00A474B0"/>
    <w:rsid w:val="00A50753"/>
    <w:rsid w:val="00A5154A"/>
    <w:rsid w:val="00A52CB5"/>
    <w:rsid w:val="00A641CB"/>
    <w:rsid w:val="00A7074E"/>
    <w:rsid w:val="00A710A5"/>
    <w:rsid w:val="00A812DD"/>
    <w:rsid w:val="00A8268D"/>
    <w:rsid w:val="00A845EF"/>
    <w:rsid w:val="00A86832"/>
    <w:rsid w:val="00A8730C"/>
    <w:rsid w:val="00A906E1"/>
    <w:rsid w:val="00A947E3"/>
    <w:rsid w:val="00AA051D"/>
    <w:rsid w:val="00AA7880"/>
    <w:rsid w:val="00AB46F0"/>
    <w:rsid w:val="00AC0322"/>
    <w:rsid w:val="00AC136A"/>
    <w:rsid w:val="00AD1607"/>
    <w:rsid w:val="00AD1DCD"/>
    <w:rsid w:val="00AD236B"/>
    <w:rsid w:val="00AD4A43"/>
    <w:rsid w:val="00AD766C"/>
    <w:rsid w:val="00AE0053"/>
    <w:rsid w:val="00AE599D"/>
    <w:rsid w:val="00B03C21"/>
    <w:rsid w:val="00B05542"/>
    <w:rsid w:val="00B06445"/>
    <w:rsid w:val="00B16739"/>
    <w:rsid w:val="00B25838"/>
    <w:rsid w:val="00B27877"/>
    <w:rsid w:val="00B27952"/>
    <w:rsid w:val="00B322A9"/>
    <w:rsid w:val="00B3299E"/>
    <w:rsid w:val="00B405D8"/>
    <w:rsid w:val="00B40E2F"/>
    <w:rsid w:val="00B45661"/>
    <w:rsid w:val="00B55F0A"/>
    <w:rsid w:val="00B677CE"/>
    <w:rsid w:val="00B71ACD"/>
    <w:rsid w:val="00B72667"/>
    <w:rsid w:val="00B80F33"/>
    <w:rsid w:val="00B818EE"/>
    <w:rsid w:val="00B84C2D"/>
    <w:rsid w:val="00B84DF4"/>
    <w:rsid w:val="00B84EDA"/>
    <w:rsid w:val="00B85543"/>
    <w:rsid w:val="00B86EFC"/>
    <w:rsid w:val="00B940F5"/>
    <w:rsid w:val="00B9736A"/>
    <w:rsid w:val="00BA4533"/>
    <w:rsid w:val="00BA5C52"/>
    <w:rsid w:val="00BA7C8B"/>
    <w:rsid w:val="00BB41D8"/>
    <w:rsid w:val="00BB639B"/>
    <w:rsid w:val="00BB7740"/>
    <w:rsid w:val="00BC01AC"/>
    <w:rsid w:val="00BC0AA5"/>
    <w:rsid w:val="00BC24C8"/>
    <w:rsid w:val="00BC392F"/>
    <w:rsid w:val="00BC3B67"/>
    <w:rsid w:val="00BC614F"/>
    <w:rsid w:val="00BD3A5A"/>
    <w:rsid w:val="00BE11E0"/>
    <w:rsid w:val="00BE3756"/>
    <w:rsid w:val="00BE5F17"/>
    <w:rsid w:val="00BF1ED8"/>
    <w:rsid w:val="00BF22CF"/>
    <w:rsid w:val="00BF3BF4"/>
    <w:rsid w:val="00BF5491"/>
    <w:rsid w:val="00BF6249"/>
    <w:rsid w:val="00C00A2D"/>
    <w:rsid w:val="00C013B0"/>
    <w:rsid w:val="00C02CC6"/>
    <w:rsid w:val="00C0450F"/>
    <w:rsid w:val="00C05AAA"/>
    <w:rsid w:val="00C061D6"/>
    <w:rsid w:val="00C07E5B"/>
    <w:rsid w:val="00C12129"/>
    <w:rsid w:val="00C17BA3"/>
    <w:rsid w:val="00C22A54"/>
    <w:rsid w:val="00C26C44"/>
    <w:rsid w:val="00C32311"/>
    <w:rsid w:val="00C370CC"/>
    <w:rsid w:val="00C43212"/>
    <w:rsid w:val="00C44465"/>
    <w:rsid w:val="00C6083D"/>
    <w:rsid w:val="00C60E99"/>
    <w:rsid w:val="00C613CC"/>
    <w:rsid w:val="00C61DF3"/>
    <w:rsid w:val="00C62212"/>
    <w:rsid w:val="00C6307F"/>
    <w:rsid w:val="00C64029"/>
    <w:rsid w:val="00C6549C"/>
    <w:rsid w:val="00C65548"/>
    <w:rsid w:val="00C71888"/>
    <w:rsid w:val="00C723EA"/>
    <w:rsid w:val="00C73A9F"/>
    <w:rsid w:val="00C81F54"/>
    <w:rsid w:val="00C82AFC"/>
    <w:rsid w:val="00C86E4A"/>
    <w:rsid w:val="00C87388"/>
    <w:rsid w:val="00C913DF"/>
    <w:rsid w:val="00CA5C9D"/>
    <w:rsid w:val="00CA6347"/>
    <w:rsid w:val="00CB55C6"/>
    <w:rsid w:val="00CC5782"/>
    <w:rsid w:val="00CC7B2E"/>
    <w:rsid w:val="00CD4069"/>
    <w:rsid w:val="00CD68BB"/>
    <w:rsid w:val="00CE38F8"/>
    <w:rsid w:val="00CE3ED3"/>
    <w:rsid w:val="00CE7CB2"/>
    <w:rsid w:val="00CF2211"/>
    <w:rsid w:val="00D01AC5"/>
    <w:rsid w:val="00D02216"/>
    <w:rsid w:val="00D0517B"/>
    <w:rsid w:val="00D10084"/>
    <w:rsid w:val="00D103F3"/>
    <w:rsid w:val="00D22DDC"/>
    <w:rsid w:val="00D245B4"/>
    <w:rsid w:val="00D26110"/>
    <w:rsid w:val="00D36AEF"/>
    <w:rsid w:val="00D401CE"/>
    <w:rsid w:val="00D40605"/>
    <w:rsid w:val="00D40A7A"/>
    <w:rsid w:val="00D42838"/>
    <w:rsid w:val="00D44863"/>
    <w:rsid w:val="00D45CF2"/>
    <w:rsid w:val="00D62485"/>
    <w:rsid w:val="00D65C36"/>
    <w:rsid w:val="00D7225E"/>
    <w:rsid w:val="00D7362B"/>
    <w:rsid w:val="00D7615A"/>
    <w:rsid w:val="00D868BE"/>
    <w:rsid w:val="00D94484"/>
    <w:rsid w:val="00D97319"/>
    <w:rsid w:val="00D9752D"/>
    <w:rsid w:val="00D97DA4"/>
    <w:rsid w:val="00DA1C79"/>
    <w:rsid w:val="00DB3105"/>
    <w:rsid w:val="00DB3E39"/>
    <w:rsid w:val="00DB58B9"/>
    <w:rsid w:val="00DC27F4"/>
    <w:rsid w:val="00DC456C"/>
    <w:rsid w:val="00DC53E9"/>
    <w:rsid w:val="00DD0242"/>
    <w:rsid w:val="00DD1BB2"/>
    <w:rsid w:val="00DD51C2"/>
    <w:rsid w:val="00DD6B7F"/>
    <w:rsid w:val="00DD7FC7"/>
    <w:rsid w:val="00DE07FE"/>
    <w:rsid w:val="00DE3192"/>
    <w:rsid w:val="00DE44EB"/>
    <w:rsid w:val="00DF04A2"/>
    <w:rsid w:val="00DF06DE"/>
    <w:rsid w:val="00DF0EA5"/>
    <w:rsid w:val="00DF13E0"/>
    <w:rsid w:val="00DF2AE5"/>
    <w:rsid w:val="00DF38F3"/>
    <w:rsid w:val="00DF50B8"/>
    <w:rsid w:val="00DF67E1"/>
    <w:rsid w:val="00DF7F0B"/>
    <w:rsid w:val="00E009C9"/>
    <w:rsid w:val="00E02C12"/>
    <w:rsid w:val="00E059E3"/>
    <w:rsid w:val="00E07054"/>
    <w:rsid w:val="00E16F09"/>
    <w:rsid w:val="00E172B7"/>
    <w:rsid w:val="00E265D9"/>
    <w:rsid w:val="00E33DF8"/>
    <w:rsid w:val="00E340BB"/>
    <w:rsid w:val="00E34B9C"/>
    <w:rsid w:val="00E351FB"/>
    <w:rsid w:val="00E3618D"/>
    <w:rsid w:val="00E40262"/>
    <w:rsid w:val="00E42F9C"/>
    <w:rsid w:val="00E476E3"/>
    <w:rsid w:val="00E55006"/>
    <w:rsid w:val="00E63ED3"/>
    <w:rsid w:val="00E64DFD"/>
    <w:rsid w:val="00E65E66"/>
    <w:rsid w:val="00E675D7"/>
    <w:rsid w:val="00E7043D"/>
    <w:rsid w:val="00E751F4"/>
    <w:rsid w:val="00E82FEE"/>
    <w:rsid w:val="00E91C60"/>
    <w:rsid w:val="00E963A3"/>
    <w:rsid w:val="00EA56E1"/>
    <w:rsid w:val="00EA5BD9"/>
    <w:rsid w:val="00EB11C3"/>
    <w:rsid w:val="00EB7997"/>
    <w:rsid w:val="00EC0379"/>
    <w:rsid w:val="00EC61AB"/>
    <w:rsid w:val="00ED2389"/>
    <w:rsid w:val="00ED52F9"/>
    <w:rsid w:val="00EE286C"/>
    <w:rsid w:val="00EE5394"/>
    <w:rsid w:val="00EE5E65"/>
    <w:rsid w:val="00EE5FBB"/>
    <w:rsid w:val="00EE66DF"/>
    <w:rsid w:val="00EF119D"/>
    <w:rsid w:val="00EF58E3"/>
    <w:rsid w:val="00EF5D45"/>
    <w:rsid w:val="00F032D6"/>
    <w:rsid w:val="00F05477"/>
    <w:rsid w:val="00F06A46"/>
    <w:rsid w:val="00F06BCC"/>
    <w:rsid w:val="00F07F2F"/>
    <w:rsid w:val="00F13330"/>
    <w:rsid w:val="00F1761F"/>
    <w:rsid w:val="00F20BCF"/>
    <w:rsid w:val="00F24945"/>
    <w:rsid w:val="00F25C93"/>
    <w:rsid w:val="00F367E2"/>
    <w:rsid w:val="00F40F41"/>
    <w:rsid w:val="00F425A8"/>
    <w:rsid w:val="00F43C9F"/>
    <w:rsid w:val="00F44E63"/>
    <w:rsid w:val="00F47608"/>
    <w:rsid w:val="00F53DDB"/>
    <w:rsid w:val="00F55DAA"/>
    <w:rsid w:val="00F65C9E"/>
    <w:rsid w:val="00F7068C"/>
    <w:rsid w:val="00F74C40"/>
    <w:rsid w:val="00F77962"/>
    <w:rsid w:val="00F81F2A"/>
    <w:rsid w:val="00F8587C"/>
    <w:rsid w:val="00F96412"/>
    <w:rsid w:val="00FA00B7"/>
    <w:rsid w:val="00FA6AF1"/>
    <w:rsid w:val="00FB4429"/>
    <w:rsid w:val="00FB7146"/>
    <w:rsid w:val="00FB7EFB"/>
    <w:rsid w:val="00FD2D7A"/>
    <w:rsid w:val="00FD2E6E"/>
    <w:rsid w:val="00FD2FA4"/>
    <w:rsid w:val="00FD3214"/>
    <w:rsid w:val="00FD7436"/>
    <w:rsid w:val="00FE0982"/>
    <w:rsid w:val="00FE0CE9"/>
    <w:rsid w:val="00FE25E0"/>
    <w:rsid w:val="00FE2DA1"/>
    <w:rsid w:val="00FE360C"/>
    <w:rsid w:val="00FF2642"/>
    <w:rsid w:val="00FF3069"/>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6F428"/>
  <w15:docId w15:val="{1B8553F2-3617-44BC-8BB8-EB74D77F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8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semiHidden/>
    <w:rsid w:val="00502E87"/>
    <w:rPr>
      <w:sz w:val="20"/>
      <w:szCs w:val="20"/>
    </w:rPr>
  </w:style>
  <w:style w:type="table" w:styleId="TableGrid">
    <w:name w:val="Table Grid"/>
    <w:basedOn w:val="TableNormal"/>
    <w:rsid w:val="00212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semiHidden/>
    <w:rsid w:val="00BC01AC"/>
    <w:rPr>
      <w:sz w:val="16"/>
      <w:szCs w:val="16"/>
    </w:rPr>
  </w:style>
  <w:style w:type="paragraph" w:styleId="CommentText">
    <w:name w:val="annotation text"/>
    <w:basedOn w:val="Normal"/>
    <w:link w:val="CommentTextChar"/>
    <w:semiHidden/>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 w:type="paragraph" w:styleId="Header">
    <w:name w:val="header"/>
    <w:basedOn w:val="Normal"/>
    <w:link w:val="HeaderChar"/>
    <w:uiPriority w:val="99"/>
    <w:unhideWhenUsed/>
    <w:rsid w:val="00712218"/>
    <w:pPr>
      <w:tabs>
        <w:tab w:val="center" w:pos="4680"/>
        <w:tab w:val="right" w:pos="9360"/>
      </w:tabs>
    </w:pPr>
  </w:style>
  <w:style w:type="character" w:customStyle="1" w:styleId="HeaderChar">
    <w:name w:val="Header Char"/>
    <w:basedOn w:val="DefaultParagraphFont"/>
    <w:link w:val="Header"/>
    <w:uiPriority w:val="99"/>
    <w:rsid w:val="00712218"/>
    <w:rPr>
      <w:sz w:val="24"/>
      <w:szCs w:val="24"/>
    </w:rPr>
  </w:style>
  <w:style w:type="paragraph" w:styleId="Footer">
    <w:name w:val="footer"/>
    <w:basedOn w:val="Normal"/>
    <w:link w:val="FooterChar"/>
    <w:unhideWhenUsed/>
    <w:rsid w:val="00712218"/>
    <w:pPr>
      <w:tabs>
        <w:tab w:val="center" w:pos="4680"/>
        <w:tab w:val="right" w:pos="9360"/>
      </w:tabs>
    </w:pPr>
  </w:style>
  <w:style w:type="character" w:customStyle="1" w:styleId="FooterChar">
    <w:name w:val="Footer Char"/>
    <w:basedOn w:val="DefaultParagraphFont"/>
    <w:link w:val="Footer"/>
    <w:rsid w:val="00712218"/>
    <w:rPr>
      <w:sz w:val="24"/>
      <w:szCs w:val="24"/>
    </w:rPr>
  </w:style>
  <w:style w:type="character" w:customStyle="1" w:styleId="CommentTextChar">
    <w:name w:val="Comment Text Char"/>
    <w:basedOn w:val="DefaultParagraphFont"/>
    <w:link w:val="CommentText"/>
    <w:semiHidden/>
    <w:rsid w:val="00E059E3"/>
  </w:style>
  <w:style w:type="character" w:customStyle="1" w:styleId="markwuz0b62bn">
    <w:name w:val="markwuz0b62bn"/>
    <w:basedOn w:val="DefaultParagraphFont"/>
    <w:rsid w:val="00F0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0253-6E6A-40D4-B150-8CDC8D89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7741</Words>
  <Characters>43087</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50727</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dbeaureg</dc:creator>
  <cp:keywords/>
  <dc:description/>
  <cp:lastModifiedBy>Salahuddin, Diane</cp:lastModifiedBy>
  <cp:revision>2</cp:revision>
  <cp:lastPrinted>2011-08-15T18:50:00Z</cp:lastPrinted>
  <dcterms:created xsi:type="dcterms:W3CDTF">2021-10-20T21:12:00Z</dcterms:created>
  <dcterms:modified xsi:type="dcterms:W3CDTF">2021-10-20T21:12:00Z</dcterms:modified>
</cp:coreProperties>
</file>