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42B6A" w:rsidR="00642B6A" w:rsidP="00642B6A" w:rsidRDefault="00642B6A" w14:paraId="343D70B5" w14:textId="77777777">
      <w:pPr>
        <w:suppressAutoHyphens/>
        <w:jc w:val="center"/>
        <w:rPr>
          <w:rFonts w:eastAsia="Times New Roman" w:cs="Times New Roman"/>
          <w:b/>
          <w:szCs w:val="24"/>
        </w:rPr>
      </w:pPr>
      <w:r w:rsidRPr="00642B6A">
        <w:rPr>
          <w:rFonts w:eastAsia="Times New Roman" w:cs="Times New Roman"/>
          <w:b/>
          <w:szCs w:val="24"/>
        </w:rPr>
        <w:t>SUPPORTING STATEMENT FOR NEW AND</w:t>
      </w:r>
    </w:p>
    <w:p w:rsidRPr="00642B6A" w:rsidR="00642B6A" w:rsidP="00642B6A" w:rsidRDefault="00642B6A" w14:paraId="343D70B6" w14:textId="77777777">
      <w:pPr>
        <w:suppressAutoHyphens/>
        <w:spacing w:after="240"/>
        <w:jc w:val="center"/>
        <w:rPr>
          <w:rFonts w:eastAsia="Times New Roman" w:cs="Times New Roman"/>
          <w:b/>
          <w:szCs w:val="24"/>
        </w:rPr>
      </w:pPr>
      <w:r w:rsidRPr="00642B6A">
        <w:rPr>
          <w:rFonts w:eastAsia="Times New Roman" w:cs="Times New Roman"/>
          <w:b/>
          <w:szCs w:val="24"/>
        </w:rPr>
        <w:t>REVISED INFORMATION COLLECTIONS</w:t>
      </w:r>
    </w:p>
    <w:p w:rsidR="00642B6A" w:rsidP="00642B6A" w:rsidRDefault="00642B6A" w14:paraId="343D70B7" w14:textId="4E10EA6C">
      <w:pPr>
        <w:tabs>
          <w:tab w:val="center" w:pos="4680"/>
        </w:tabs>
        <w:suppressAutoHyphens/>
        <w:spacing w:after="240"/>
        <w:jc w:val="center"/>
        <w:rPr>
          <w:rFonts w:eastAsia="Times New Roman" w:cs="Times New Roman"/>
          <w:b/>
          <w:szCs w:val="24"/>
        </w:rPr>
      </w:pPr>
      <w:r w:rsidRPr="00642B6A">
        <w:rPr>
          <w:rFonts w:eastAsia="Times New Roman" w:cs="Times New Roman"/>
          <w:b/>
          <w:szCs w:val="24"/>
        </w:rPr>
        <w:t xml:space="preserve">OMB CONTROL NUMBER </w:t>
      </w:r>
      <w:r w:rsidRPr="00180982">
        <w:rPr>
          <w:rFonts w:eastAsia="Times New Roman" w:cs="Times New Roman"/>
          <w:b/>
          <w:szCs w:val="24"/>
        </w:rPr>
        <w:t>3038-</w:t>
      </w:r>
      <w:r w:rsidR="00212CCC">
        <w:rPr>
          <w:rFonts w:eastAsia="Times New Roman" w:cs="Times New Roman"/>
          <w:b/>
          <w:szCs w:val="24"/>
        </w:rPr>
        <w:t>3033</w:t>
      </w:r>
    </w:p>
    <w:p w:rsidRPr="00642B6A" w:rsidR="00D12FEB" w:rsidP="00642B6A" w:rsidRDefault="00D12FEB" w14:paraId="343D70B8" w14:textId="77777777">
      <w:pPr>
        <w:tabs>
          <w:tab w:val="center" w:pos="4680"/>
        </w:tabs>
        <w:suppressAutoHyphens/>
        <w:spacing w:after="240"/>
        <w:jc w:val="center"/>
        <w:rPr>
          <w:rFonts w:eastAsia="Times New Roman" w:cs="Times New Roman"/>
          <w:b/>
          <w:szCs w:val="24"/>
        </w:rPr>
      </w:pPr>
    </w:p>
    <w:p w:rsidRPr="00642B6A" w:rsidR="00642B6A" w:rsidP="00642B6A" w:rsidRDefault="00642B6A" w14:paraId="343D70B9" w14:textId="77777777">
      <w:pPr>
        <w:spacing w:after="240"/>
        <w:outlineLvl w:val="0"/>
        <w:rPr>
          <w:rFonts w:eastAsia="Times New Roman" w:cs="Times New Roman"/>
          <w:b/>
          <w:szCs w:val="24"/>
        </w:rPr>
      </w:pPr>
      <w:r w:rsidRPr="00642B6A">
        <w:rPr>
          <w:rFonts w:eastAsia="Times New Roman" w:cs="Times New Roman"/>
          <w:b/>
          <w:szCs w:val="24"/>
        </w:rPr>
        <w:t>Justification</w:t>
      </w:r>
    </w:p>
    <w:p w:rsidRPr="00642B6A" w:rsidR="00642B6A" w:rsidP="00642B6A" w:rsidRDefault="00642B6A" w14:paraId="343D70BA" w14:textId="77777777">
      <w:pPr>
        <w:tabs>
          <w:tab w:val="left" w:pos="-720"/>
          <w:tab w:val="left" w:pos="0"/>
        </w:tabs>
        <w:spacing w:after="240"/>
        <w:rPr>
          <w:rFonts w:eastAsia="Times New Roman" w:cs="Times New Roman"/>
          <w:szCs w:val="24"/>
        </w:rPr>
      </w:pPr>
      <w:r w:rsidRPr="00642B6A">
        <w:rPr>
          <w:rFonts w:eastAsia="Times New Roman" w:cs="Times New Roman"/>
          <w:b/>
          <w:szCs w:val="24"/>
        </w:rPr>
        <w:t>1.</w:t>
      </w:r>
      <w:r w:rsidRPr="00642B6A">
        <w:rPr>
          <w:rFonts w:eastAsia="Times New Roman" w:cs="Times New Roman"/>
          <w:b/>
          <w:szCs w:val="24"/>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212CCC" w:rsidP="00D84868" w:rsidRDefault="00642B6A" w14:paraId="145E7F83" w14:textId="5B96CDD6">
      <w:r w:rsidRPr="00642B6A">
        <w:rPr>
          <w:rFonts w:eastAsia="Times New Roman" w:cs="Times New Roman"/>
          <w:color w:val="000000"/>
          <w:szCs w:val="24"/>
        </w:rPr>
        <w:tab/>
      </w:r>
      <w:r w:rsidR="00212CCC">
        <w:t xml:space="preserve">The Commodity Futures Trading Commission has been entrusted by Congress with the administration and the enforcement of the Commodity Exchange Act (“Act”).  Legal proceedings instituted by private parties or other governmental authorities may affect the Commission’s efforts in this regard.  The interpretation of the responsibilities imposed by the Act on </w:t>
      </w:r>
      <w:r w:rsidR="00D84868">
        <w:t xml:space="preserve">designated </w:t>
      </w:r>
      <w:r w:rsidR="00212CCC">
        <w:t xml:space="preserve">contract markets </w:t>
      </w:r>
      <w:r w:rsidR="00D84868">
        <w:t xml:space="preserve">(“DCMs”) </w:t>
      </w:r>
      <w:r w:rsidR="00212CCC">
        <w:t>and their officials and on futures commission merchants (“FCMs”) and their principals</w:t>
      </w:r>
      <w:r w:rsidR="00D84868">
        <w:t xml:space="preserve"> as well as </w:t>
      </w:r>
      <w:r w:rsidR="00837DEF">
        <w:t xml:space="preserve">on </w:t>
      </w:r>
      <w:r w:rsidR="00D84868">
        <w:t>swap execution facilities (“SEFs”)</w:t>
      </w:r>
      <w:r w:rsidR="00212CCC">
        <w:t xml:space="preserve"> is of primary importance to the Commission in its efforts to establish and administer a uniform regulatory scheme in this area.  And, to the extent that private or public action may affect the regulatory standards of the Act, the Commission is interested in the development of judicial interpretations.  The Commission, from time to time, participates as </w:t>
      </w:r>
      <w:r w:rsidR="00212CCC">
        <w:rPr>
          <w:i/>
        </w:rPr>
        <w:t>amicus curiae</w:t>
      </w:r>
      <w:r w:rsidR="00212CCC">
        <w:t xml:space="preserve"> in private litigation, as it did in </w:t>
      </w:r>
      <w:r w:rsidR="00212CCC">
        <w:rPr>
          <w:i/>
        </w:rPr>
        <w:t>Klein v. Cornelius</w:t>
      </w:r>
      <w:r w:rsidR="00212CCC">
        <w:t xml:space="preserve">, 786 F.3d 1310 (10th Cir. 2015), or to intervene as it did in </w:t>
      </w:r>
      <w:r w:rsidR="00212CCC">
        <w:rPr>
          <w:i/>
        </w:rPr>
        <w:t>Koch Supply &amp; Trading, LP v. Giddens</w:t>
      </w:r>
      <w:r w:rsidR="00212CCC">
        <w:t xml:space="preserve">, 484 B.R. 18 (S.D.N.Y. 2012) and </w:t>
      </w:r>
      <w:r w:rsidR="00212CCC">
        <w:rPr>
          <w:i/>
        </w:rPr>
        <w:t>ConocoPhillips Co. v. Giddens</w:t>
      </w:r>
      <w:r w:rsidR="00212CCC">
        <w:t xml:space="preserve">, 2012 U.S. Dist. LEXIS 144601 (S.D.N.Y. Oct. 4, 2012), where important questions of law are raised in legal proceedings involving the Act and regulations thereunder.  In addition, and notwithstanding any desire to participate in such proceedings, the Commission has a continuing interest in maintaining oversight of the development of the general body of evolving case law which may have direct bearing on the Commission’s administrative opinions interpreting, and actions brought to enforce, the Act.  The information required to be reported by </w:t>
      </w:r>
      <w:r w:rsidR="00D84868">
        <w:t>DCMs</w:t>
      </w:r>
      <w:r w:rsidR="00212CCC">
        <w:t xml:space="preserve"> and FCMs pursuant to 17 C.F.R. § 1.60</w:t>
      </w:r>
      <w:r w:rsidR="00366A05">
        <w:t xml:space="preserve">, </w:t>
      </w:r>
      <w:r w:rsidR="00D84868">
        <w:t>and</w:t>
      </w:r>
      <w:r w:rsidR="00366A05">
        <w:t xml:space="preserve"> the information required to be reported by SEFs in accordance with</w:t>
      </w:r>
      <w:r w:rsidR="00D84868">
        <w:t xml:space="preserve"> </w:t>
      </w:r>
      <w:bookmarkStart w:name="_Hlk79658763" w:id="0"/>
      <w:r w:rsidRPr="00D84868" w:rsidR="00D84868">
        <w:t xml:space="preserve">17 C.F.R. </w:t>
      </w:r>
      <w:r w:rsidR="00D84868">
        <w:t>§ 37.2</w:t>
      </w:r>
      <w:bookmarkEnd w:id="0"/>
      <w:r w:rsidR="00366A05">
        <w:t xml:space="preserve"> (</w:t>
      </w:r>
      <w:r w:rsidR="00D84868">
        <w:t xml:space="preserve">which makes the requirement of </w:t>
      </w:r>
      <w:r w:rsidRPr="00366A05" w:rsidR="00366A05">
        <w:t>§ 1.60</w:t>
      </w:r>
      <w:r w:rsidR="00366A05">
        <w:t xml:space="preserve"> </w:t>
      </w:r>
      <w:r w:rsidR="00D84868">
        <w:t>applicable to SEFs</w:t>
      </w:r>
      <w:r w:rsidR="00366A05">
        <w:t>),</w:t>
      </w:r>
      <w:r w:rsidR="00D84868">
        <w:t xml:space="preserve"> </w:t>
      </w:r>
      <w:r w:rsidR="00212CCC">
        <w:t>enables the Commission to more effectively accomplish these objectives.</w:t>
      </w:r>
      <w:r w:rsidRPr="00D84868" w:rsidR="00D84868">
        <w:t xml:space="preserve"> </w:t>
      </w:r>
    </w:p>
    <w:p w:rsidRPr="00B86819" w:rsidR="00C032F4" w:rsidP="00642B6A" w:rsidRDefault="00C032F4" w14:paraId="343D70C2" w14:textId="77777777">
      <w:pPr>
        <w:autoSpaceDE w:val="0"/>
        <w:autoSpaceDN w:val="0"/>
        <w:adjustRightInd w:val="0"/>
        <w:rPr>
          <w:rFonts w:eastAsia="Times New Roman" w:cs="Times New Roman"/>
          <w:color w:val="000000"/>
          <w:szCs w:val="24"/>
        </w:rPr>
      </w:pPr>
    </w:p>
    <w:p w:rsidRPr="00B86819" w:rsidR="00642B6A" w:rsidP="00642B6A" w:rsidRDefault="00642B6A" w14:paraId="343D70C3" w14:textId="77777777">
      <w:pPr>
        <w:tabs>
          <w:tab w:val="left" w:pos="-720"/>
        </w:tabs>
        <w:spacing w:after="240"/>
        <w:rPr>
          <w:rFonts w:eastAsia="Times New Roman" w:cs="Times New Roman"/>
          <w:b/>
          <w:szCs w:val="24"/>
        </w:rPr>
      </w:pPr>
      <w:r w:rsidRPr="00B86819">
        <w:rPr>
          <w:rFonts w:eastAsia="Times New Roman" w:cs="Times New Roman"/>
          <w:b/>
          <w:szCs w:val="24"/>
        </w:rPr>
        <w:t>2.</w:t>
      </w:r>
      <w:r w:rsidRPr="00B86819">
        <w:rPr>
          <w:rFonts w:eastAsia="Times New Roman" w:cs="Times New Roman"/>
          <w:b/>
          <w:szCs w:val="24"/>
        </w:rPr>
        <w:tab/>
        <w:t>Indicate how, by whom, and for what purpose the data would be used.  Except for a new collection, indicate the actual use the agency has made of the information received from the current collection.</w:t>
      </w:r>
    </w:p>
    <w:p w:rsidRPr="00B86819" w:rsidR="001577B2" w:rsidP="003677B4" w:rsidRDefault="00212CCC" w14:paraId="343D70C6" w14:textId="1FEBAC94">
      <w:pPr>
        <w:ind w:firstLine="720"/>
        <w:rPr>
          <w:rFonts w:eastAsia="Times New Roman" w:cs="Times New Roman"/>
          <w:color w:val="000000"/>
          <w:szCs w:val="24"/>
        </w:rPr>
      </w:pPr>
      <w:r>
        <w:t xml:space="preserve">As noted above, the information reported to the Commission pursuant to Rule 1.60 assists the Commission in monitoring legal proceedings involving responsibilities imposed by the Act or otherwise upon </w:t>
      </w:r>
      <w:r w:rsidR="00366A05">
        <w:t>DCMs, FCMs, and SEFs</w:t>
      </w:r>
      <w:r>
        <w:t>.  Without this collection of information, it is expected that the Commission would be hindered in keeping apprised of these legal proceedings in many instances.</w:t>
      </w:r>
    </w:p>
    <w:p w:rsidRPr="00B86819" w:rsidR="00642B6A" w:rsidP="001577B2" w:rsidRDefault="00642B6A" w14:paraId="343D70C7" w14:textId="77777777">
      <w:pPr>
        <w:rPr>
          <w:rFonts w:eastAsia="Times New Roman" w:cs="Times New Roman"/>
          <w:color w:val="000000"/>
          <w:szCs w:val="24"/>
        </w:rPr>
      </w:pPr>
    </w:p>
    <w:p w:rsidRPr="00642B6A" w:rsidR="00642B6A" w:rsidP="00642B6A" w:rsidRDefault="00642B6A" w14:paraId="343D70C8" w14:textId="77777777">
      <w:pPr>
        <w:keepNext/>
        <w:tabs>
          <w:tab w:val="left" w:pos="-720"/>
          <w:tab w:val="left" w:pos="0"/>
        </w:tabs>
        <w:spacing w:after="240"/>
        <w:rPr>
          <w:rFonts w:eastAsia="Times New Roman" w:cs="Times New Roman"/>
          <w:b/>
          <w:szCs w:val="24"/>
        </w:rPr>
      </w:pPr>
      <w:r w:rsidRPr="00B86819">
        <w:rPr>
          <w:rFonts w:eastAsia="Times New Roman" w:cs="Times New Roman"/>
          <w:b/>
          <w:szCs w:val="24"/>
        </w:rPr>
        <w:lastRenderedPageBreak/>
        <w:t>3.</w:t>
      </w:r>
      <w:r w:rsidRPr="00B86819">
        <w:rPr>
          <w:rFonts w:eastAsia="Times New Roman" w:cs="Times New Roman"/>
          <w:b/>
          <w:szCs w:val="24"/>
        </w:rPr>
        <w:tab/>
        <w:t>Describe whether, and to what extent, the collection of information involves the use of automated, electronic, mechanical, or other technological collection techniques or other</w:t>
      </w:r>
      <w:r w:rsidRPr="00642B6A">
        <w:rPr>
          <w:rFonts w:eastAsia="Times New Roman" w:cs="Times New Roman"/>
          <w:b/>
          <w:szCs w:val="24"/>
        </w:rPr>
        <w:t xml:space="preserve"> forms of information technology, e.g. permitting electronic submission of responses, and the basis for the decision for adopting this means of collection.  Also describe any consideration of using information technology to reduce burden.</w:t>
      </w:r>
    </w:p>
    <w:p w:rsidRPr="00642B6A" w:rsidR="00642B6A" w:rsidP="00642B6A" w:rsidRDefault="00836741" w14:paraId="343D70C9" w14:textId="7915C119">
      <w:pPr>
        <w:tabs>
          <w:tab w:val="left" w:pos="-720"/>
          <w:tab w:val="left" w:pos="0"/>
        </w:tabs>
        <w:spacing w:after="240"/>
        <w:rPr>
          <w:rFonts w:eastAsia="Times New Roman" w:cs="Times New Roman"/>
          <w:szCs w:val="24"/>
        </w:rPr>
      </w:pPr>
      <w:r>
        <w:rPr>
          <w:rFonts w:eastAsia="Times New Roman" w:cs="Times New Roman"/>
          <w:szCs w:val="24"/>
        </w:rPr>
        <w:tab/>
      </w:r>
      <w:r w:rsidR="00E27B7A">
        <w:rPr>
          <w:rFonts w:eastAsia="Times New Roman" w:cs="Times New Roman"/>
          <w:szCs w:val="24"/>
        </w:rPr>
        <w:t>The regulatory language of 17 CFR § 1.60 does allow for “more expeditious means” of submission, such as email</w:t>
      </w:r>
      <w:r w:rsidR="000F58DF">
        <w:t>.</w:t>
      </w:r>
      <w:r w:rsidR="002F1E80">
        <w:rPr>
          <w:rFonts w:eastAsia="Times New Roman" w:cs="Times New Roman"/>
          <w:szCs w:val="24"/>
        </w:rPr>
        <w:t xml:space="preserve">  </w:t>
      </w:r>
    </w:p>
    <w:p w:rsidRPr="00642B6A" w:rsidR="00642B6A" w:rsidP="00642B6A" w:rsidRDefault="00642B6A" w14:paraId="343D70CA" w14:textId="77777777">
      <w:pPr>
        <w:tabs>
          <w:tab w:val="left" w:pos="-720"/>
          <w:tab w:val="left" w:pos="0"/>
        </w:tabs>
        <w:spacing w:after="240"/>
        <w:rPr>
          <w:rFonts w:eastAsia="Times New Roman" w:cs="Times New Roman"/>
          <w:b/>
          <w:szCs w:val="24"/>
        </w:rPr>
      </w:pPr>
      <w:r w:rsidRPr="00642B6A">
        <w:rPr>
          <w:rFonts w:eastAsia="Times New Roman" w:cs="Times New Roman"/>
          <w:b/>
          <w:szCs w:val="24"/>
        </w:rPr>
        <w:t>4.</w:t>
      </w:r>
      <w:r w:rsidRPr="00642B6A">
        <w:rPr>
          <w:rFonts w:eastAsia="Times New Roman" w:cs="Times New Roman"/>
          <w:b/>
          <w:szCs w:val="24"/>
        </w:rPr>
        <w:tab/>
        <w:t>Describe efforts to identify duplication.  Show specifically why any similar information already available cannot be used or modified for use for the purposes described in Item 2 above.</w:t>
      </w:r>
    </w:p>
    <w:p w:rsidR="000F58DF" w:rsidP="000F58DF" w:rsidRDefault="000F58DF" w14:paraId="3AC44A40" w14:textId="63EA57D1">
      <w:pPr>
        <w:ind w:firstLine="720"/>
      </w:pPr>
      <w:r>
        <w:t>An alternative would be for the Commission to surveil court systems nationwide (and perhaps in other countries) to identify cases concerning the CEA</w:t>
      </w:r>
      <w:r w:rsidR="00366A05">
        <w:t xml:space="preserve">.  However, </w:t>
      </w:r>
      <w:r>
        <w:t>respondents are in a far superior position to apprise the Commission</w:t>
      </w:r>
      <w:r w:rsidR="00366A05">
        <w:t xml:space="preserve"> of pending litigation they are involved in</w:t>
      </w:r>
      <w:r>
        <w:t xml:space="preserve">, and to do so in a timely manner and at minimal burden, </w:t>
      </w:r>
      <w:proofErr w:type="gramStart"/>
      <w:r>
        <w:t>than</w:t>
      </w:r>
      <w:proofErr w:type="gramEnd"/>
      <w:r>
        <w:t xml:space="preserve"> independent efforts by the Commission would permit.</w:t>
      </w:r>
    </w:p>
    <w:p w:rsidR="000F58DF" w:rsidP="000F58DF" w:rsidRDefault="000F58DF" w14:paraId="0D611826" w14:textId="77777777">
      <w:pPr>
        <w:ind w:firstLine="720"/>
      </w:pPr>
    </w:p>
    <w:p w:rsidRPr="00642B6A" w:rsidR="00642B6A" w:rsidP="00642B6A" w:rsidRDefault="00642B6A" w14:paraId="343D70CC" w14:textId="7215A830">
      <w:pPr>
        <w:tabs>
          <w:tab w:val="left" w:pos="-720"/>
          <w:tab w:val="left" w:pos="0"/>
        </w:tabs>
        <w:spacing w:after="240"/>
        <w:rPr>
          <w:rFonts w:eastAsia="Times New Roman" w:cs="Times New Roman"/>
          <w:b/>
          <w:szCs w:val="24"/>
        </w:rPr>
      </w:pPr>
      <w:r w:rsidRPr="00642B6A">
        <w:rPr>
          <w:rFonts w:eastAsia="Times New Roman" w:cs="Times New Roman"/>
          <w:b/>
          <w:szCs w:val="24"/>
        </w:rPr>
        <w:t>5.</w:t>
      </w:r>
      <w:r w:rsidRPr="00642B6A">
        <w:rPr>
          <w:rFonts w:eastAsia="Times New Roman" w:cs="Times New Roman"/>
          <w:b/>
          <w:szCs w:val="24"/>
        </w:rPr>
        <w:tab/>
        <w:t xml:space="preserve">If the collection of information involves small business or other small entities (Item 5 of OMB </w:t>
      </w:r>
      <w:r w:rsidR="00B20758">
        <w:rPr>
          <w:rFonts w:eastAsia="Times New Roman" w:cs="Times New Roman"/>
          <w:b/>
          <w:szCs w:val="24"/>
        </w:rPr>
        <w:t>f</w:t>
      </w:r>
      <w:r w:rsidRPr="00642B6A">
        <w:rPr>
          <w:rFonts w:eastAsia="Times New Roman" w:cs="Times New Roman"/>
          <w:b/>
          <w:szCs w:val="24"/>
        </w:rPr>
        <w:t>rom 83-I), describe the methods used to minimize burden.</w:t>
      </w:r>
    </w:p>
    <w:p w:rsidR="00E27B7A" w:rsidP="00E27B7A" w:rsidRDefault="00642B6A" w14:paraId="7CA764F3" w14:textId="77777777">
      <w:r w:rsidRPr="00642B6A">
        <w:rPr>
          <w:rFonts w:eastAsia="Times New Roman" w:cs="Times New Roman"/>
          <w:szCs w:val="24"/>
        </w:rPr>
        <w:tab/>
      </w:r>
      <w:r w:rsidR="00E27B7A">
        <w:t>This question does not apply as the collection of the information does not involve small businesses or other small entities.</w:t>
      </w:r>
    </w:p>
    <w:p w:rsidR="00E27B7A" w:rsidP="00E27B7A" w:rsidRDefault="00836741" w14:paraId="5F9FF3A4" w14:textId="3CD8B078">
      <w:pPr>
        <w:rPr>
          <w:rFonts w:eastAsia="Times New Roman" w:cs="Times New Roman"/>
          <w:szCs w:val="24"/>
        </w:rPr>
      </w:pPr>
      <w:r>
        <w:rPr>
          <w:rFonts w:eastAsia="Times New Roman" w:cs="Times New Roman"/>
          <w:szCs w:val="24"/>
        </w:rPr>
        <w:t xml:space="preserve">  </w:t>
      </w:r>
    </w:p>
    <w:p w:rsidRPr="00642B6A" w:rsidR="00642B6A" w:rsidP="00E27B7A" w:rsidRDefault="00642B6A" w14:paraId="343D70CE" w14:textId="1652B88B">
      <w:pPr>
        <w:tabs>
          <w:tab w:val="left" w:pos="-720"/>
        </w:tabs>
        <w:spacing w:after="240"/>
        <w:rPr>
          <w:rFonts w:eastAsia="Times New Roman" w:cs="Times New Roman"/>
          <w:b/>
          <w:szCs w:val="24"/>
        </w:rPr>
      </w:pPr>
      <w:r w:rsidRPr="00642B6A">
        <w:rPr>
          <w:rFonts w:eastAsia="Times New Roman" w:cs="Times New Roman"/>
          <w:b/>
          <w:szCs w:val="24"/>
        </w:rPr>
        <w:t>6.</w:t>
      </w:r>
      <w:r w:rsidRPr="00642B6A">
        <w:rPr>
          <w:rFonts w:eastAsia="Times New Roman" w:cs="Times New Roman"/>
          <w:b/>
          <w:szCs w:val="24"/>
        </w:rPr>
        <w:tab/>
        <w:t>Describe the consequence to the Federal Program or policy activities if the collection were conducted less frequently as well as any technical or legal obstacles to reducing burden.</w:t>
      </w:r>
    </w:p>
    <w:p w:rsidR="00642B6A" w:rsidP="00642B6A" w:rsidRDefault="009A3254" w14:paraId="343D70D2" w14:textId="1852015A">
      <w:pPr>
        <w:ind w:firstLine="720"/>
      </w:pPr>
      <w:r>
        <w:t>The question does not apply since information concerning a pending legal proceeding is generally required by Rule 1.60 to be reported to the Commission only once.</w:t>
      </w:r>
    </w:p>
    <w:p w:rsidRPr="00642B6A" w:rsidR="009A3254" w:rsidP="00642B6A" w:rsidRDefault="009A3254" w14:paraId="2D6860B0" w14:textId="77777777">
      <w:pPr>
        <w:ind w:firstLine="720"/>
        <w:rPr>
          <w:rFonts w:eastAsia="Times New Roman" w:cs="Times New Roman"/>
          <w:color w:val="000000"/>
          <w:szCs w:val="24"/>
        </w:rPr>
      </w:pPr>
    </w:p>
    <w:p w:rsidRPr="00642B6A" w:rsidR="00642B6A" w:rsidP="00642B6A" w:rsidRDefault="00642B6A" w14:paraId="343D70D3" w14:textId="77777777">
      <w:pPr>
        <w:tabs>
          <w:tab w:val="left" w:pos="-720"/>
          <w:tab w:val="left" w:pos="0"/>
        </w:tabs>
        <w:spacing w:after="240"/>
        <w:rPr>
          <w:rFonts w:eastAsia="Times New Roman" w:cs="Times New Roman"/>
          <w:b/>
          <w:szCs w:val="24"/>
        </w:rPr>
      </w:pPr>
      <w:r w:rsidRPr="00642B6A">
        <w:rPr>
          <w:rFonts w:eastAsia="Times New Roman" w:cs="Times New Roman"/>
          <w:b/>
          <w:szCs w:val="24"/>
        </w:rPr>
        <w:t>7.</w:t>
      </w:r>
      <w:r w:rsidRPr="00642B6A">
        <w:rPr>
          <w:rFonts w:eastAsia="Times New Roman" w:cs="Times New Roman"/>
          <w:b/>
          <w:szCs w:val="24"/>
        </w:rPr>
        <w:tab/>
        <w:t>Explain any special circumstances that require the collection to be conducted in a manner:</w:t>
      </w:r>
    </w:p>
    <w:p w:rsidRPr="00642B6A" w:rsidR="00642B6A" w:rsidP="00642B6A" w:rsidRDefault="00642B6A" w14:paraId="343D70D4" w14:textId="77777777">
      <w:pPr>
        <w:numPr>
          <w:ilvl w:val="0"/>
          <w:numId w:val="1"/>
        </w:numPr>
        <w:tabs>
          <w:tab w:val="left" w:pos="-720"/>
          <w:tab w:val="left" w:pos="0"/>
          <w:tab w:val="left" w:pos="720"/>
          <w:tab w:val="num" w:pos="1080"/>
        </w:tabs>
        <w:spacing w:after="240"/>
        <w:ind w:left="1080" w:hanging="360"/>
        <w:rPr>
          <w:rFonts w:eastAsia="Times New Roman" w:cs="Times New Roman"/>
          <w:b/>
          <w:szCs w:val="24"/>
        </w:rPr>
      </w:pPr>
      <w:r w:rsidRPr="00642B6A">
        <w:rPr>
          <w:rFonts w:eastAsia="Times New Roman" w:cs="Times New Roman"/>
          <w:b/>
          <w:szCs w:val="24"/>
        </w:rPr>
        <w:t>requiring respondents to report information to the agency more often than quarterly;</w:t>
      </w:r>
    </w:p>
    <w:p w:rsidRPr="00642B6A" w:rsidR="00642B6A" w:rsidP="00642B6A" w:rsidRDefault="00642B6A" w14:paraId="343D70D5" w14:textId="574828DE">
      <w:pPr>
        <w:tabs>
          <w:tab w:val="left" w:pos="-720"/>
        </w:tabs>
        <w:spacing w:after="240"/>
        <w:rPr>
          <w:rFonts w:eastAsia="Times New Roman" w:cs="Times New Roman"/>
          <w:szCs w:val="24"/>
        </w:rPr>
      </w:pPr>
      <w:r w:rsidRPr="00642B6A">
        <w:rPr>
          <w:rFonts w:eastAsia="Times New Roman" w:cs="Times New Roman"/>
          <w:szCs w:val="24"/>
        </w:rPr>
        <w:tab/>
      </w:r>
      <w:r w:rsidR="0037421B">
        <w:rPr>
          <w:rFonts w:eastAsia="Times New Roman" w:cs="Times New Roman"/>
          <w:szCs w:val="24"/>
        </w:rPr>
        <w:t xml:space="preserve">Not applicable.  </w:t>
      </w:r>
    </w:p>
    <w:p w:rsidRPr="00642B6A" w:rsidR="00642B6A" w:rsidP="00642B6A" w:rsidRDefault="00642B6A" w14:paraId="343D70D6" w14:textId="77777777">
      <w:pPr>
        <w:numPr>
          <w:ilvl w:val="0"/>
          <w:numId w:val="1"/>
        </w:numPr>
        <w:tabs>
          <w:tab w:val="left" w:pos="-720"/>
          <w:tab w:val="left" w:pos="0"/>
          <w:tab w:val="left" w:pos="720"/>
          <w:tab w:val="num" w:pos="1080"/>
        </w:tabs>
        <w:spacing w:after="240"/>
        <w:ind w:left="1080" w:hanging="360"/>
        <w:rPr>
          <w:rFonts w:eastAsia="Times New Roman" w:cs="Times New Roman"/>
          <w:szCs w:val="24"/>
        </w:rPr>
      </w:pPr>
      <w:r w:rsidRPr="00642B6A">
        <w:rPr>
          <w:rFonts w:eastAsia="Times New Roman" w:cs="Times New Roman"/>
          <w:b/>
          <w:szCs w:val="24"/>
        </w:rPr>
        <w:t xml:space="preserve">requiring respondents to prepare a written response to a collection of </w:t>
      </w:r>
      <w:r w:rsidRPr="003607A6">
        <w:rPr>
          <w:rFonts w:eastAsia="Times New Roman" w:cs="Times New Roman"/>
          <w:b/>
          <w:szCs w:val="24"/>
        </w:rPr>
        <w:t>information in fewer than 30 days after receipt of it:</w:t>
      </w:r>
    </w:p>
    <w:p w:rsidRPr="00642B6A" w:rsidR="00642B6A" w:rsidP="00642B6A" w:rsidRDefault="00642B6A" w14:paraId="343D70D7" w14:textId="77777777">
      <w:pPr>
        <w:tabs>
          <w:tab w:val="left" w:pos="-720"/>
          <w:tab w:val="left" w:pos="0"/>
          <w:tab w:val="left" w:pos="720"/>
        </w:tabs>
        <w:spacing w:after="240"/>
        <w:rPr>
          <w:rFonts w:eastAsia="Times New Roman" w:cs="Times New Roman"/>
          <w:szCs w:val="24"/>
        </w:rPr>
      </w:pPr>
      <w:r w:rsidRPr="00642B6A">
        <w:rPr>
          <w:rFonts w:eastAsia="Times New Roman" w:cs="Times New Roman"/>
          <w:szCs w:val="24"/>
        </w:rPr>
        <w:tab/>
        <w:t>Not applicable.</w:t>
      </w:r>
    </w:p>
    <w:p w:rsidRPr="00642B6A" w:rsidR="00642B6A" w:rsidP="00642B6A" w:rsidRDefault="00642B6A" w14:paraId="343D70D8" w14:textId="77777777">
      <w:pPr>
        <w:numPr>
          <w:ilvl w:val="0"/>
          <w:numId w:val="1"/>
        </w:numPr>
        <w:tabs>
          <w:tab w:val="left" w:pos="-720"/>
          <w:tab w:val="left" w:pos="0"/>
          <w:tab w:val="left" w:pos="720"/>
          <w:tab w:val="num" w:pos="1080"/>
        </w:tabs>
        <w:spacing w:after="240"/>
        <w:ind w:left="1080" w:hanging="360"/>
        <w:rPr>
          <w:rFonts w:eastAsia="Times New Roman" w:cs="Times New Roman"/>
          <w:b/>
          <w:szCs w:val="24"/>
        </w:rPr>
      </w:pPr>
      <w:r w:rsidRPr="00642B6A">
        <w:rPr>
          <w:rFonts w:eastAsia="Times New Roman" w:cs="Times New Roman"/>
          <w:b/>
          <w:szCs w:val="24"/>
        </w:rPr>
        <w:t>requiring respondents to submit more tha</w:t>
      </w:r>
      <w:r w:rsidR="007F27F5">
        <w:rPr>
          <w:rFonts w:eastAsia="Times New Roman" w:cs="Times New Roman"/>
          <w:b/>
          <w:szCs w:val="24"/>
        </w:rPr>
        <w:t>n</w:t>
      </w:r>
      <w:r w:rsidRPr="00642B6A">
        <w:rPr>
          <w:rFonts w:eastAsia="Times New Roman" w:cs="Times New Roman"/>
          <w:b/>
          <w:szCs w:val="24"/>
        </w:rPr>
        <w:t xml:space="preserve"> an original and two copies of any document;</w:t>
      </w:r>
    </w:p>
    <w:p w:rsidRPr="00642B6A" w:rsidR="00642B6A" w:rsidP="00642B6A" w:rsidRDefault="00747BF5" w14:paraId="343D70D9" w14:textId="7CBF8A53">
      <w:pPr>
        <w:tabs>
          <w:tab w:val="left" w:pos="-720"/>
          <w:tab w:val="left" w:pos="0"/>
          <w:tab w:val="left" w:pos="720"/>
        </w:tabs>
        <w:spacing w:after="240"/>
        <w:rPr>
          <w:rFonts w:eastAsia="Times New Roman" w:cs="Times New Roman"/>
          <w:b/>
          <w:szCs w:val="24"/>
        </w:rPr>
      </w:pPr>
      <w:r>
        <w:rPr>
          <w:rFonts w:eastAsia="Times New Roman" w:cs="Times New Roman"/>
          <w:szCs w:val="24"/>
        </w:rPr>
        <w:lastRenderedPageBreak/>
        <w:tab/>
      </w:r>
      <w:r w:rsidR="009A3254">
        <w:rPr>
          <w:rFonts w:eastAsia="Times New Roman" w:cs="Times New Roman"/>
          <w:szCs w:val="24"/>
        </w:rPr>
        <w:t>Not applicable</w:t>
      </w:r>
      <w:r w:rsidRPr="00642B6A" w:rsidR="00642B6A">
        <w:rPr>
          <w:rFonts w:eastAsia="Times New Roman" w:cs="Times New Roman"/>
          <w:szCs w:val="24"/>
        </w:rPr>
        <w:t>.</w:t>
      </w:r>
    </w:p>
    <w:p w:rsidRPr="00642B6A" w:rsidR="00642B6A" w:rsidP="00642B6A" w:rsidRDefault="00642B6A" w14:paraId="343D70DA" w14:textId="77777777">
      <w:pPr>
        <w:numPr>
          <w:ilvl w:val="0"/>
          <w:numId w:val="1"/>
        </w:numPr>
        <w:tabs>
          <w:tab w:val="left" w:pos="-720"/>
          <w:tab w:val="left" w:pos="0"/>
          <w:tab w:val="left" w:pos="720"/>
          <w:tab w:val="num" w:pos="1080"/>
        </w:tabs>
        <w:spacing w:after="240"/>
        <w:ind w:left="1080" w:hanging="360"/>
        <w:rPr>
          <w:rFonts w:eastAsia="Times New Roman" w:cs="Times New Roman"/>
          <w:b/>
          <w:szCs w:val="24"/>
        </w:rPr>
      </w:pPr>
      <w:r w:rsidRPr="00642B6A">
        <w:rPr>
          <w:rFonts w:eastAsia="Times New Roman" w:cs="Times New Roman"/>
          <w:b/>
          <w:szCs w:val="24"/>
        </w:rPr>
        <w:t>requiring respondents to retain records other than health, medical, government contract, grant-in-aid, or tax records, for more than three years;</w:t>
      </w:r>
    </w:p>
    <w:p w:rsidRPr="00642B6A" w:rsidR="00642B6A" w:rsidP="00642B6A" w:rsidRDefault="00642B6A" w14:paraId="343D70DB" w14:textId="77777777">
      <w:pPr>
        <w:tabs>
          <w:tab w:val="left" w:pos="-720"/>
          <w:tab w:val="left" w:pos="0"/>
          <w:tab w:val="left" w:pos="720"/>
        </w:tabs>
        <w:spacing w:after="240"/>
        <w:rPr>
          <w:rFonts w:eastAsia="Times New Roman" w:cs="Times New Roman"/>
          <w:szCs w:val="24"/>
        </w:rPr>
      </w:pPr>
      <w:r w:rsidRPr="00642B6A">
        <w:rPr>
          <w:rFonts w:eastAsia="Times New Roman" w:cs="Times New Roman"/>
          <w:szCs w:val="24"/>
        </w:rPr>
        <w:tab/>
        <w:t>Not applicable.</w:t>
      </w:r>
    </w:p>
    <w:p w:rsidRPr="00642B6A" w:rsidR="00642B6A" w:rsidP="00642B6A" w:rsidRDefault="00642B6A" w14:paraId="343D70DC" w14:textId="77777777">
      <w:pPr>
        <w:numPr>
          <w:ilvl w:val="0"/>
          <w:numId w:val="1"/>
        </w:numPr>
        <w:tabs>
          <w:tab w:val="left" w:pos="-720"/>
          <w:tab w:val="left" w:pos="0"/>
          <w:tab w:val="left" w:pos="720"/>
          <w:tab w:val="num" w:pos="1080"/>
        </w:tabs>
        <w:spacing w:after="240"/>
        <w:ind w:left="1080" w:hanging="360"/>
        <w:rPr>
          <w:rFonts w:eastAsia="Times New Roman" w:cs="Times New Roman"/>
          <w:b/>
          <w:szCs w:val="24"/>
        </w:rPr>
      </w:pPr>
      <w:r w:rsidRPr="00642B6A">
        <w:rPr>
          <w:rFonts w:eastAsia="Times New Roman" w:cs="Times New Roman"/>
          <w:b/>
          <w:szCs w:val="24"/>
        </w:rPr>
        <w:t xml:space="preserve">in connection with a statistical survey, that is not designed to produce valid and reliable results that can be generalized to the universe of study; </w:t>
      </w:r>
    </w:p>
    <w:p w:rsidR="00642B6A" w:rsidP="00902356" w:rsidRDefault="00642B6A" w14:paraId="343D70DD" w14:textId="77777777">
      <w:pPr>
        <w:tabs>
          <w:tab w:val="left" w:pos="-720"/>
          <w:tab w:val="left" w:pos="0"/>
          <w:tab w:val="left" w:pos="720"/>
        </w:tabs>
        <w:spacing w:after="240"/>
        <w:ind w:left="936"/>
        <w:contextualSpacing/>
        <w:rPr>
          <w:rFonts w:eastAsia="Times New Roman" w:cs="Times New Roman"/>
        </w:rPr>
      </w:pPr>
      <w:r w:rsidRPr="00642B6A">
        <w:rPr>
          <w:rFonts w:eastAsia="Times New Roman" w:cs="Times New Roman"/>
        </w:rPr>
        <w:t>Not applicable.</w:t>
      </w:r>
    </w:p>
    <w:p w:rsidRPr="00642B6A" w:rsidR="00697065" w:rsidP="00902356" w:rsidRDefault="00697065" w14:paraId="343D70DE" w14:textId="77777777">
      <w:pPr>
        <w:tabs>
          <w:tab w:val="left" w:pos="-720"/>
          <w:tab w:val="left" w:pos="0"/>
          <w:tab w:val="left" w:pos="720"/>
        </w:tabs>
        <w:spacing w:after="240"/>
        <w:ind w:left="936"/>
        <w:contextualSpacing/>
        <w:rPr>
          <w:rFonts w:eastAsia="Times New Roman" w:cs="Times New Roman"/>
        </w:rPr>
      </w:pPr>
    </w:p>
    <w:p w:rsidRPr="00642B6A" w:rsidR="00642B6A" w:rsidP="00642B6A" w:rsidRDefault="00642B6A" w14:paraId="343D70DF" w14:textId="77777777">
      <w:pPr>
        <w:numPr>
          <w:ilvl w:val="0"/>
          <w:numId w:val="1"/>
        </w:numPr>
        <w:tabs>
          <w:tab w:val="left" w:pos="-720"/>
          <w:tab w:val="left" w:pos="0"/>
          <w:tab w:val="left" w:pos="720"/>
          <w:tab w:val="num" w:pos="1080"/>
        </w:tabs>
        <w:spacing w:after="240"/>
        <w:ind w:left="1080" w:hanging="360"/>
        <w:rPr>
          <w:rFonts w:eastAsia="Times New Roman" w:cs="Times New Roman"/>
          <w:b/>
          <w:szCs w:val="24"/>
        </w:rPr>
      </w:pPr>
      <w:r w:rsidRPr="00642B6A">
        <w:rPr>
          <w:rFonts w:eastAsia="Times New Roman" w:cs="Times New Roman"/>
          <w:b/>
          <w:szCs w:val="24"/>
        </w:rPr>
        <w:t>requiring the use of a statistical data classification that has not been reviewed and approved by OMB;</w:t>
      </w:r>
    </w:p>
    <w:p w:rsidRPr="00642B6A" w:rsidR="00642B6A" w:rsidP="00642B6A" w:rsidRDefault="00642B6A" w14:paraId="343D70E0" w14:textId="77777777">
      <w:pPr>
        <w:tabs>
          <w:tab w:val="left" w:pos="-720"/>
          <w:tab w:val="left" w:pos="0"/>
          <w:tab w:val="left" w:pos="720"/>
        </w:tabs>
        <w:spacing w:after="240"/>
        <w:rPr>
          <w:rFonts w:eastAsia="Times New Roman" w:cs="Times New Roman"/>
          <w:szCs w:val="24"/>
        </w:rPr>
      </w:pPr>
      <w:r w:rsidRPr="00642B6A">
        <w:rPr>
          <w:rFonts w:eastAsia="Times New Roman" w:cs="Times New Roman"/>
          <w:szCs w:val="24"/>
        </w:rPr>
        <w:tab/>
        <w:t>Not applicable.</w:t>
      </w:r>
    </w:p>
    <w:p w:rsidRPr="003607A6" w:rsidR="00642B6A" w:rsidP="00642B6A" w:rsidRDefault="009A3254" w14:paraId="343D70E1" w14:textId="5B2A7ECC">
      <w:pPr>
        <w:numPr>
          <w:ilvl w:val="0"/>
          <w:numId w:val="1"/>
        </w:numPr>
        <w:tabs>
          <w:tab w:val="left" w:pos="-720"/>
          <w:tab w:val="left" w:pos="0"/>
          <w:tab w:val="left" w:pos="720"/>
          <w:tab w:val="num" w:pos="1080"/>
        </w:tabs>
        <w:spacing w:after="240"/>
        <w:ind w:left="1080" w:hanging="360"/>
        <w:rPr>
          <w:rFonts w:eastAsia="Times New Roman" w:cs="Times New Roman"/>
          <w:b/>
          <w:szCs w:val="24"/>
        </w:rPr>
      </w:pPr>
      <w:r>
        <w:rPr>
          <w:rFonts w:eastAsia="Times New Roman" w:cs="Times New Roman"/>
          <w:b/>
          <w:szCs w:val="24"/>
        </w:rPr>
        <w:t xml:space="preserve">  </w:t>
      </w:r>
      <w:r w:rsidRPr="00642B6A" w:rsidR="00642B6A">
        <w:rPr>
          <w:rFonts w:eastAsia="Times New Roman" w:cs="Times New Roman"/>
          <w:b/>
          <w:szCs w:val="24"/>
        </w:rPr>
        <w:t xml:space="preserve">that includes a pledge of confidentiality that is not supported by authority established in statue or regulation, that is not supported by disclosure and data security policies that are consistent with the pledge, or which unnecessarily impedes sharing of data with </w:t>
      </w:r>
      <w:r w:rsidRPr="003607A6" w:rsidR="00642B6A">
        <w:rPr>
          <w:rFonts w:eastAsia="Times New Roman" w:cs="Times New Roman"/>
          <w:b/>
          <w:szCs w:val="24"/>
        </w:rPr>
        <w:t>other agencies for compatible confidential use; or</w:t>
      </w:r>
    </w:p>
    <w:p w:rsidRPr="00B86819" w:rsidR="00642B6A" w:rsidP="00642B6A" w:rsidRDefault="00642B6A" w14:paraId="343D70E2" w14:textId="77777777">
      <w:pPr>
        <w:numPr>
          <w:ilvl w:val="0"/>
          <w:numId w:val="1"/>
        </w:numPr>
        <w:tabs>
          <w:tab w:val="left" w:pos="-720"/>
          <w:tab w:val="left" w:pos="0"/>
          <w:tab w:val="left" w:pos="720"/>
          <w:tab w:val="num" w:pos="1080"/>
        </w:tabs>
        <w:spacing w:after="240"/>
        <w:ind w:left="1080" w:hanging="360"/>
        <w:rPr>
          <w:rFonts w:eastAsia="Times New Roman" w:cs="Times New Roman"/>
          <w:b/>
          <w:szCs w:val="24"/>
        </w:rPr>
      </w:pPr>
      <w:r w:rsidRPr="00B86819">
        <w:rPr>
          <w:rFonts w:eastAsia="Times New Roman" w:cs="Times New Roman"/>
          <w:szCs w:val="24"/>
        </w:rPr>
        <w:tab/>
      </w:r>
      <w:r w:rsidRPr="00B86819">
        <w:rPr>
          <w:rFonts w:eastAsia="Times New Roman" w:cs="Times New Roman"/>
          <w:b/>
          <w:szCs w:val="24"/>
        </w:rPr>
        <w:t>The collection does not involv</w:t>
      </w:r>
      <w:r w:rsidRPr="00B86819" w:rsidR="00B86819">
        <w:rPr>
          <w:rFonts w:eastAsia="Times New Roman" w:cs="Times New Roman"/>
          <w:b/>
          <w:szCs w:val="24"/>
        </w:rPr>
        <w:t xml:space="preserve">e any pledge of confidentiality, </w:t>
      </w:r>
      <w:r w:rsidRPr="00B86819">
        <w:rPr>
          <w:rFonts w:eastAsia="Times New Roman" w:cs="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Pr="00C9497A" w:rsidR="00642B6A" w:rsidP="00C9497A" w:rsidRDefault="00642B6A" w14:paraId="343D70E3" w14:textId="6369AFDC">
      <w:pPr>
        <w:tabs>
          <w:tab w:val="left" w:pos="-720"/>
          <w:tab w:val="left" w:pos="0"/>
          <w:tab w:val="left" w:pos="720"/>
        </w:tabs>
        <w:spacing w:after="240"/>
        <w:rPr>
          <w:rFonts w:eastAsia="Times New Roman" w:cs="Times New Roman"/>
          <w:b/>
          <w:szCs w:val="24"/>
        </w:rPr>
      </w:pPr>
      <w:r w:rsidRPr="00642B6A">
        <w:rPr>
          <w:rFonts w:eastAsia="Times New Roman" w:cs="Times New Roman"/>
          <w:szCs w:val="24"/>
        </w:rPr>
        <w:tab/>
      </w:r>
      <w:r w:rsidR="009A3254">
        <w:rPr>
          <w:rFonts w:eastAsia="Times New Roman" w:cs="Times New Roman"/>
          <w:szCs w:val="24"/>
        </w:rPr>
        <w:t>Not applicable</w:t>
      </w:r>
      <w:r w:rsidRPr="00642B6A">
        <w:rPr>
          <w:rFonts w:eastAsia="Times New Roman" w:cs="Times New Roman"/>
          <w:szCs w:val="24"/>
        </w:rPr>
        <w:t>.</w:t>
      </w:r>
    </w:p>
    <w:p w:rsidRPr="00642B6A" w:rsidR="00642B6A" w:rsidP="00642B6A" w:rsidRDefault="00642B6A" w14:paraId="343D70E4" w14:textId="59D643FD">
      <w:pPr>
        <w:tabs>
          <w:tab w:val="left" w:pos="-720"/>
          <w:tab w:val="left" w:pos="0"/>
        </w:tabs>
        <w:spacing w:after="240"/>
        <w:rPr>
          <w:rFonts w:eastAsia="Times New Roman" w:cs="Times New Roman"/>
          <w:b/>
          <w:szCs w:val="24"/>
        </w:rPr>
      </w:pPr>
      <w:r w:rsidRPr="00642B6A">
        <w:rPr>
          <w:rFonts w:eastAsia="Times New Roman" w:cs="Times New Roman"/>
          <w:b/>
          <w:szCs w:val="24"/>
        </w:rPr>
        <w:t>8.</w:t>
      </w:r>
      <w:r w:rsidRPr="00642B6A">
        <w:rPr>
          <w:rFonts w:eastAsia="Times New Roman" w:cs="Times New Roman"/>
          <w:b/>
          <w:szCs w:val="24"/>
        </w:rPr>
        <w:tab/>
        <w:t xml:space="preserve">If applicable, provide a copy and identify the date and page number of </w:t>
      </w:r>
      <w:proofErr w:type="gramStart"/>
      <w:r w:rsidRPr="00642B6A">
        <w:rPr>
          <w:rFonts w:eastAsia="Times New Roman" w:cs="Times New Roman"/>
          <w:b/>
          <w:szCs w:val="24"/>
        </w:rPr>
        <w:t>publication</w:t>
      </w:r>
      <w:proofErr w:type="gramEnd"/>
      <w:r w:rsidRPr="00642B6A">
        <w:rPr>
          <w:rFonts w:eastAsia="Times New Roman" w:cs="Times New Roman"/>
          <w:b/>
          <w:szCs w:val="24"/>
        </w:rPr>
        <w:t xml:space="preserve"> in the </w:t>
      </w:r>
      <w:r w:rsidRPr="00642B6A">
        <w:rPr>
          <w:rFonts w:eastAsia="Times New Roman" w:cs="Times New Roman"/>
          <w:b/>
          <w:i/>
          <w:szCs w:val="24"/>
        </w:rPr>
        <w:t>Federal Register</w:t>
      </w:r>
      <w:r w:rsidRPr="00642B6A">
        <w:rPr>
          <w:rFonts w:eastAsia="Times New Roman" w:cs="Times New Roman"/>
          <w:b/>
          <w:szCs w:val="24"/>
        </w:rPr>
        <w:t xml:space="preserve"> of the agency</w:t>
      </w:r>
      <w:r w:rsidR="00366A05">
        <w:rPr>
          <w:rFonts w:eastAsia="Times New Roman" w:cs="Times New Roman"/>
          <w:b/>
          <w:szCs w:val="24"/>
        </w:rPr>
        <w:t>’</w:t>
      </w:r>
      <w:r w:rsidRPr="00642B6A">
        <w:rPr>
          <w:rFonts w:eastAsia="Times New Roman" w:cs="Times New Roman"/>
          <w:b/>
          <w:szCs w:val="24"/>
        </w:rPr>
        <w:t>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2E3F4B" w:rsidR="009660D5" w:rsidP="009660D5" w:rsidRDefault="00B86819" w14:paraId="677108D3" w14:textId="7D168852">
      <w:pPr>
        <w:tabs>
          <w:tab w:val="left" w:pos="-720"/>
        </w:tabs>
        <w:suppressAutoHyphens/>
      </w:pPr>
      <w:r>
        <w:rPr>
          <w:rFonts w:eastAsia="Times New Roman" w:cs="Times New Roman"/>
          <w:szCs w:val="24"/>
        </w:rPr>
        <w:tab/>
      </w:r>
      <w:r w:rsidRPr="002E3F4B" w:rsidR="009660D5">
        <w:t xml:space="preserve">A </w:t>
      </w:r>
      <w:r w:rsidRPr="002E3F4B" w:rsidR="009660D5">
        <w:rPr>
          <w:i/>
        </w:rPr>
        <w:t>Notice of Intent to Extend Information Collection 3038-00</w:t>
      </w:r>
      <w:r w:rsidR="009660D5">
        <w:rPr>
          <w:i/>
        </w:rPr>
        <w:t>33</w:t>
      </w:r>
      <w:r w:rsidRPr="002E3F4B" w:rsidR="009660D5">
        <w:t xml:space="preserve"> was published in the </w:t>
      </w:r>
      <w:r w:rsidRPr="002E3F4B" w:rsidR="009660D5">
        <w:rPr>
          <w:i/>
        </w:rPr>
        <w:t>Federal Register</w:t>
      </w:r>
      <w:r w:rsidRPr="002E3F4B" w:rsidR="009660D5">
        <w:t xml:space="preserve"> on </w:t>
      </w:r>
      <w:r w:rsidR="00C04D83">
        <w:t>August 23, 2021</w:t>
      </w:r>
      <w:r w:rsidR="009660D5">
        <w:t xml:space="preserve"> </w:t>
      </w:r>
      <w:r w:rsidRPr="002E3F4B" w:rsidR="009660D5">
        <w:t xml:space="preserve">(“Notice”).  </w:t>
      </w:r>
      <w:r w:rsidRPr="002E3F4B" w:rsidR="009660D5">
        <w:rPr>
          <w:i/>
        </w:rPr>
        <w:t>See</w:t>
      </w:r>
      <w:r w:rsidRPr="002E3F4B" w:rsidR="009660D5">
        <w:t xml:space="preserve"> </w:t>
      </w:r>
      <w:r w:rsidR="00C04D83">
        <w:t>87</w:t>
      </w:r>
      <w:r w:rsidRPr="002E3F4B" w:rsidR="009660D5">
        <w:t xml:space="preserve"> FR</w:t>
      </w:r>
      <w:r w:rsidR="009660D5">
        <w:t xml:space="preserve"> </w:t>
      </w:r>
      <w:r w:rsidR="00C04D83">
        <w:t>47087</w:t>
      </w:r>
      <w:r w:rsidRPr="002E3F4B" w:rsidR="009660D5">
        <w:t xml:space="preserve"> (</w:t>
      </w:r>
      <w:r w:rsidR="00C04D83">
        <w:t xml:space="preserve">Aug. 23, </w:t>
      </w:r>
      <w:r w:rsidRPr="002E3F4B" w:rsidR="009660D5">
        <w:t>20</w:t>
      </w:r>
      <w:r w:rsidR="009660D5">
        <w:t>21</w:t>
      </w:r>
      <w:r w:rsidRPr="002E3F4B" w:rsidR="009660D5">
        <w:t xml:space="preserve">).  The Notice requested comment on </w:t>
      </w:r>
      <w:r w:rsidR="00C04D83">
        <w:t xml:space="preserve">the extension of </w:t>
      </w:r>
      <w:r w:rsidRPr="002E3F4B" w:rsidR="009660D5">
        <w:t xml:space="preserve">this information collection prior to submission to OMB.  </w:t>
      </w:r>
      <w:r w:rsidR="009660D5">
        <w:t xml:space="preserve">No </w:t>
      </w:r>
      <w:r w:rsidR="00C04D83">
        <w:t xml:space="preserve">relevant </w:t>
      </w:r>
      <w:r w:rsidRPr="002E3F4B" w:rsidR="009660D5">
        <w:t>comments were received.</w:t>
      </w:r>
    </w:p>
    <w:p w:rsidRPr="00642B6A" w:rsidR="00653547" w:rsidP="0027708A" w:rsidRDefault="00653547" w14:paraId="343D70E5" w14:textId="0FFCDEA2">
      <w:pPr>
        <w:tabs>
          <w:tab w:val="left" w:pos="-720"/>
          <w:tab w:val="left" w:pos="0"/>
        </w:tabs>
        <w:overflowPunct w:val="0"/>
        <w:autoSpaceDE w:val="0"/>
        <w:autoSpaceDN w:val="0"/>
        <w:adjustRightInd w:val="0"/>
        <w:spacing w:after="240"/>
        <w:textAlignment w:val="baseline"/>
        <w:rPr>
          <w:rFonts w:eastAsia="Times New Roman" w:cs="Times New Roman"/>
          <w:szCs w:val="24"/>
        </w:rPr>
      </w:pPr>
    </w:p>
    <w:p w:rsidRPr="00642B6A" w:rsidR="00642B6A" w:rsidP="00642B6A" w:rsidRDefault="00642B6A" w14:paraId="343D70E6" w14:textId="77777777">
      <w:pPr>
        <w:tabs>
          <w:tab w:val="left" w:pos="-720"/>
          <w:tab w:val="left" w:pos="0"/>
        </w:tabs>
        <w:spacing w:after="240"/>
        <w:rPr>
          <w:rFonts w:eastAsia="Times New Roman" w:cs="Times New Roman"/>
          <w:b/>
          <w:szCs w:val="24"/>
        </w:rPr>
      </w:pPr>
      <w:r w:rsidRPr="00642B6A">
        <w:rPr>
          <w:rFonts w:eastAsia="Times New Roman" w:cs="Times New Roman"/>
          <w:b/>
          <w:szCs w:val="24"/>
        </w:rPr>
        <w:t>9.</w:t>
      </w:r>
      <w:r w:rsidRPr="00642B6A">
        <w:rPr>
          <w:rFonts w:eastAsia="Times New Roman" w:cs="Times New Roman"/>
          <w:b/>
          <w:szCs w:val="24"/>
        </w:rPr>
        <w:tab/>
        <w:t>Explain any decision to provide any payment or gift to respondents, other than remuneration of contractors or grantees.</w:t>
      </w:r>
    </w:p>
    <w:p w:rsidR="0027708A" w:rsidP="00642B6A" w:rsidRDefault="0027708A" w14:paraId="343D70E7" w14:textId="77777777">
      <w:pPr>
        <w:tabs>
          <w:tab w:val="left" w:pos="-720"/>
        </w:tabs>
        <w:spacing w:after="240"/>
        <w:rPr>
          <w:rFonts w:eastAsia="Times New Roman" w:cs="Times New Roman"/>
          <w:szCs w:val="24"/>
        </w:rPr>
      </w:pPr>
      <w:r>
        <w:rPr>
          <w:rFonts w:eastAsia="Times New Roman" w:cs="Times New Roman"/>
          <w:szCs w:val="24"/>
        </w:rPr>
        <w:tab/>
        <w:t>Not applicable.</w:t>
      </w:r>
      <w:r w:rsidRPr="002C7E70" w:rsidR="002C7E70">
        <w:t xml:space="preserve"> </w:t>
      </w:r>
      <w:r w:rsidRPr="002C7E70" w:rsidR="002C7E70">
        <w:rPr>
          <w:rFonts w:eastAsia="Times New Roman" w:cs="Times New Roman"/>
          <w:szCs w:val="24"/>
        </w:rPr>
        <w:t>The Commission has neither considered nor made any payment or gift to a respondent.</w:t>
      </w:r>
    </w:p>
    <w:p w:rsidRPr="00642B6A" w:rsidR="00642B6A" w:rsidP="00642B6A" w:rsidRDefault="00642B6A" w14:paraId="343D70E8" w14:textId="77777777">
      <w:pPr>
        <w:tabs>
          <w:tab w:val="left" w:pos="-720"/>
        </w:tabs>
        <w:spacing w:after="240"/>
        <w:rPr>
          <w:rFonts w:eastAsia="Times New Roman" w:cs="Times New Roman"/>
          <w:b/>
          <w:szCs w:val="24"/>
        </w:rPr>
      </w:pPr>
      <w:r w:rsidRPr="00642B6A">
        <w:rPr>
          <w:rFonts w:eastAsia="Times New Roman" w:cs="Times New Roman"/>
          <w:b/>
          <w:szCs w:val="24"/>
        </w:rPr>
        <w:lastRenderedPageBreak/>
        <w:t>10.</w:t>
      </w:r>
      <w:r w:rsidRPr="00642B6A">
        <w:rPr>
          <w:rFonts w:eastAsia="Times New Roman" w:cs="Times New Roman"/>
          <w:b/>
          <w:szCs w:val="24"/>
        </w:rPr>
        <w:tab/>
        <w:t>Describe any assurance of confidentiality provided to respondents and the basis for the assurance in statute, regulations, or agency policy.</w:t>
      </w:r>
    </w:p>
    <w:p w:rsidR="00AC3CB5" w:rsidP="00AC3CB5" w:rsidRDefault="00AC3CB5" w14:paraId="005698AF" w14:textId="77777777">
      <w:pPr>
        <w:ind w:firstLine="720"/>
      </w:pPr>
      <w:r>
        <w:t>Because the information required to be reported to the Commission pursuant to Rule 1.60 involves matters of public record in pending legal proceedings, no assurance of confidentiality will be provided to respondents.</w:t>
      </w:r>
    </w:p>
    <w:p w:rsidR="00AC3CB5" w:rsidP="00642B6A" w:rsidRDefault="00AC3CB5" w14:paraId="152C24AE" w14:textId="77777777">
      <w:pPr>
        <w:ind w:firstLine="720"/>
        <w:rPr>
          <w:rFonts w:eastAsia="Times New Roman" w:cs="Times New Roman"/>
          <w:szCs w:val="24"/>
        </w:rPr>
      </w:pPr>
    </w:p>
    <w:p w:rsidRPr="00642B6A" w:rsidR="00642B6A" w:rsidP="00642B6A" w:rsidRDefault="00B45E65" w14:paraId="343D70EA" w14:textId="624F085A">
      <w:pPr>
        <w:ind w:firstLine="720"/>
        <w:rPr>
          <w:rFonts w:eastAsia="Times New Roman" w:cs="Times New Roman"/>
          <w:szCs w:val="24"/>
        </w:rPr>
      </w:pPr>
      <w:r>
        <w:rPr>
          <w:rFonts w:eastAsia="Times New Roman" w:cs="Times New Roman"/>
          <w:szCs w:val="24"/>
        </w:rPr>
        <w:t>Generally</w:t>
      </w:r>
      <w:r w:rsidR="00AC3CB5">
        <w:rPr>
          <w:rFonts w:eastAsia="Times New Roman" w:cs="Times New Roman"/>
          <w:szCs w:val="24"/>
        </w:rPr>
        <w:t>, t</w:t>
      </w:r>
      <w:r w:rsidRPr="00642B6A" w:rsidR="00642B6A">
        <w:rPr>
          <w:rFonts w:eastAsia="Times New Roman" w:cs="Times New Roman"/>
          <w:szCs w:val="24"/>
        </w:rPr>
        <w:t xml:space="preserve">he Commission does not provide respondents with an assurance of confidentiality beyond that provided by applicable law.  The Commission fully complies with section 8(a)(1) of the Commodity Exchange Act, which strictly prohibits the Commission, unless specifically authorized by the Commodity Exchange Act, from making public “data and information that would separately disclose the business transactions or market positions of any person and trade secrets or names of customers.”  </w:t>
      </w:r>
      <w:r w:rsidRPr="00E15E4F" w:rsidR="00E15E4F">
        <w:rPr>
          <w:rFonts w:eastAsia="Times New Roman" w:cs="Times New Roman"/>
          <w:szCs w:val="24"/>
        </w:rPr>
        <w:t>The Commission has procedures to protect the confidentiality of an applicant’s or registrant’s data.  These are set forth in the Commission’s regulations at parts 145 and 147 of title 17 of the Code of Federal Regulations.</w:t>
      </w:r>
    </w:p>
    <w:p w:rsidRPr="00642B6A" w:rsidR="00642B6A" w:rsidP="00642B6A" w:rsidRDefault="00642B6A" w14:paraId="343D70EB" w14:textId="77777777">
      <w:pPr>
        <w:tabs>
          <w:tab w:val="left" w:pos="-720"/>
        </w:tabs>
        <w:spacing w:after="240"/>
        <w:rPr>
          <w:rFonts w:eastAsia="Times New Roman" w:cs="Times New Roman"/>
          <w:szCs w:val="24"/>
        </w:rPr>
      </w:pPr>
    </w:p>
    <w:p w:rsidRPr="00642B6A" w:rsidR="00642B6A" w:rsidP="00642B6A" w:rsidRDefault="00642B6A" w14:paraId="343D70EC" w14:textId="77777777">
      <w:pPr>
        <w:tabs>
          <w:tab w:val="left" w:pos="-720"/>
        </w:tabs>
        <w:spacing w:after="240"/>
        <w:rPr>
          <w:rFonts w:eastAsia="Times New Roman" w:cs="Times New Roman"/>
          <w:b/>
          <w:szCs w:val="24"/>
        </w:rPr>
      </w:pPr>
      <w:r w:rsidRPr="00642B6A">
        <w:rPr>
          <w:rFonts w:eastAsia="Times New Roman" w:cs="Times New Roman"/>
          <w:b/>
          <w:szCs w:val="24"/>
        </w:rPr>
        <w:t>11.</w:t>
      </w:r>
      <w:r w:rsidRPr="00642B6A">
        <w:rPr>
          <w:rFonts w:eastAsia="Times New Roman" w:cs="Times New Roman"/>
          <w:b/>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642B6A" w:rsidP="00642B6A" w:rsidRDefault="00AC3CB5" w14:paraId="343D70ED" w14:textId="1670AD03">
      <w:pPr>
        <w:tabs>
          <w:tab w:val="left" w:pos="-720"/>
        </w:tabs>
        <w:suppressAutoHyphens/>
        <w:ind w:firstLine="720"/>
        <w:rPr>
          <w:rFonts w:eastAsia="Times New Roman" w:cs="Times New Roman"/>
          <w:szCs w:val="24"/>
        </w:rPr>
      </w:pPr>
      <w:r>
        <w:t>The data collection requirements of Rule 1.60 do not require the submission of sensitive information as that term is used in Question 11</w:t>
      </w:r>
      <w:r w:rsidRPr="00642B6A" w:rsidR="00642B6A">
        <w:rPr>
          <w:rFonts w:eastAsia="Times New Roman" w:cs="Times New Roman"/>
          <w:szCs w:val="24"/>
        </w:rPr>
        <w:t>.</w:t>
      </w:r>
    </w:p>
    <w:p w:rsidRPr="00642B6A" w:rsidR="0027708A" w:rsidP="00642B6A" w:rsidRDefault="0027708A" w14:paraId="343D70EE" w14:textId="77777777">
      <w:pPr>
        <w:tabs>
          <w:tab w:val="left" w:pos="-720"/>
        </w:tabs>
        <w:suppressAutoHyphens/>
        <w:ind w:firstLine="720"/>
        <w:rPr>
          <w:rFonts w:eastAsia="Times New Roman" w:cs="Times New Roman"/>
          <w:szCs w:val="24"/>
        </w:rPr>
      </w:pPr>
    </w:p>
    <w:p w:rsidRPr="00642B6A" w:rsidR="00642B6A" w:rsidP="00642B6A" w:rsidRDefault="00642B6A" w14:paraId="343D70EF" w14:textId="77777777">
      <w:pPr>
        <w:tabs>
          <w:tab w:val="left" w:pos="-720"/>
          <w:tab w:val="left" w:pos="0"/>
        </w:tabs>
        <w:spacing w:after="240"/>
        <w:rPr>
          <w:rFonts w:eastAsia="Times New Roman" w:cs="Times New Roman"/>
          <w:b/>
          <w:szCs w:val="24"/>
        </w:rPr>
      </w:pPr>
      <w:r w:rsidRPr="00642B6A">
        <w:rPr>
          <w:rFonts w:eastAsia="Times New Roman" w:cs="Times New Roman"/>
          <w:b/>
          <w:szCs w:val="24"/>
        </w:rPr>
        <w:t>12.</w:t>
      </w:r>
      <w:r w:rsidRPr="00642B6A">
        <w:rPr>
          <w:rFonts w:eastAsia="Times New Roman" w:cs="Times New Roman"/>
          <w:b/>
          <w:szCs w:val="24"/>
        </w:rPr>
        <w:tab/>
        <w:t>Provide estimates of the hour burden of the collection of information.  The Statement should:</w:t>
      </w:r>
    </w:p>
    <w:p w:rsidR="00642B6A" w:rsidP="00642B6A" w:rsidRDefault="00642B6A" w14:paraId="343D70F0" w14:textId="77777777">
      <w:pPr>
        <w:numPr>
          <w:ilvl w:val="0"/>
          <w:numId w:val="1"/>
        </w:numPr>
        <w:tabs>
          <w:tab w:val="left" w:pos="-720"/>
          <w:tab w:val="left" w:pos="0"/>
          <w:tab w:val="left" w:pos="720"/>
          <w:tab w:val="num" w:pos="1080"/>
        </w:tabs>
        <w:spacing w:after="240"/>
        <w:ind w:left="1080" w:hanging="360"/>
        <w:rPr>
          <w:rFonts w:eastAsia="Times New Roman" w:cs="Times New Roman"/>
          <w:b/>
          <w:szCs w:val="24"/>
        </w:rPr>
      </w:pPr>
      <w:r w:rsidRPr="00642B6A">
        <w:rPr>
          <w:rFonts w:eastAsia="Times New Roman" w:cs="Times New Roman"/>
          <w:b/>
          <w:szCs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ten)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642B6A" w:rsidR="00642B6A" w:rsidP="00642B6A" w:rsidRDefault="00642B6A" w14:paraId="343D70F1" w14:textId="77777777">
      <w:pPr>
        <w:numPr>
          <w:ilvl w:val="0"/>
          <w:numId w:val="1"/>
        </w:numPr>
        <w:tabs>
          <w:tab w:val="left" w:pos="-720"/>
          <w:tab w:val="left" w:pos="0"/>
          <w:tab w:val="left" w:pos="720"/>
          <w:tab w:val="num" w:pos="1080"/>
        </w:tabs>
        <w:spacing w:after="240"/>
        <w:ind w:left="1080" w:hanging="360"/>
        <w:rPr>
          <w:rFonts w:eastAsia="Times New Roman" w:cs="Times New Roman"/>
          <w:b/>
          <w:szCs w:val="24"/>
        </w:rPr>
      </w:pPr>
      <w:r w:rsidRPr="00642B6A">
        <w:rPr>
          <w:rFonts w:eastAsia="Times New Roman" w:cs="Times New Roman"/>
          <w:b/>
          <w:szCs w:val="24"/>
        </w:rPr>
        <w:t>If the request for approval covers more than one form, provide separate hour burden estimates for each form and aggregate the hour burdens in Item 13 of OMB Form 83-I.</w:t>
      </w:r>
    </w:p>
    <w:p w:rsidRPr="00642B6A" w:rsidR="00642B6A" w:rsidP="00642B6A" w:rsidRDefault="00642B6A" w14:paraId="343D70F2" w14:textId="77777777">
      <w:pPr>
        <w:numPr>
          <w:ilvl w:val="0"/>
          <w:numId w:val="1"/>
        </w:numPr>
        <w:tabs>
          <w:tab w:val="left" w:pos="-720"/>
          <w:tab w:val="left" w:pos="0"/>
          <w:tab w:val="left" w:pos="720"/>
          <w:tab w:val="num" w:pos="1080"/>
        </w:tabs>
        <w:spacing w:after="240"/>
        <w:ind w:left="1080" w:hanging="360"/>
        <w:rPr>
          <w:rFonts w:eastAsia="Times New Roman" w:cs="Times New Roman"/>
          <w:b/>
          <w:szCs w:val="24"/>
        </w:rPr>
      </w:pPr>
      <w:r w:rsidRPr="00642B6A">
        <w:rPr>
          <w:rFonts w:eastAsia="Times New Roman" w:cs="Times New Roman"/>
          <w:b/>
          <w:szCs w:val="24"/>
        </w:rPr>
        <w:t xml:space="preserve">Provide estimates of annualized cost to respondents for the hours burdens for collections of information, identifying and using appropriate wage rate categories.  The cost of contracting out or paying outside parties for information </w:t>
      </w:r>
      <w:r w:rsidRPr="00642B6A">
        <w:rPr>
          <w:rFonts w:eastAsia="Times New Roman" w:cs="Times New Roman"/>
          <w:b/>
          <w:szCs w:val="24"/>
        </w:rPr>
        <w:lastRenderedPageBreak/>
        <w:t>collection activities should not be included here.  Instead, this cost should be included in Item 13.</w:t>
      </w:r>
    </w:p>
    <w:p w:rsidRPr="00642B6A" w:rsidR="00642B6A" w:rsidP="00642B6A" w:rsidRDefault="00AC3CB5" w14:paraId="343D70F3" w14:textId="00F29464">
      <w:pPr>
        <w:ind w:firstLine="720"/>
        <w:rPr>
          <w:rFonts w:eastAsia="Times New Roman" w:cs="Times New Roman"/>
          <w:color w:val="000000"/>
          <w:szCs w:val="24"/>
        </w:rPr>
      </w:pPr>
      <w:r>
        <w:t xml:space="preserve">Rule 1.60 applies to </w:t>
      </w:r>
      <w:r w:rsidR="002966DC">
        <w:t>7</w:t>
      </w:r>
      <w:r w:rsidRPr="00D84868" w:rsidR="00D84868">
        <w:t>7</w:t>
      </w:r>
      <w:r w:rsidR="00D84868">
        <w:t xml:space="preserve"> FCMs</w:t>
      </w:r>
      <w:r w:rsidR="00366A05">
        <w:t xml:space="preserve"> and </w:t>
      </w:r>
      <w:r w:rsidR="00D84868">
        <w:t xml:space="preserve">DCMs, and </w:t>
      </w:r>
      <w:r w:rsidR="00366A05">
        <w:t xml:space="preserve">applies to </w:t>
      </w:r>
      <w:r w:rsidR="002966DC">
        <w:t xml:space="preserve">20 </w:t>
      </w:r>
      <w:r w:rsidR="00D84868">
        <w:t>SEFs</w:t>
      </w:r>
      <w:r w:rsidR="00366A05">
        <w:t xml:space="preserve"> through Rule 37.2</w:t>
      </w:r>
      <w:r>
        <w:t xml:space="preserve">.  It is estimated that </w:t>
      </w:r>
      <w:r w:rsidR="00DA2D6E">
        <w:t xml:space="preserve">among the </w:t>
      </w:r>
      <w:r w:rsidR="0055179A">
        <w:t>9</w:t>
      </w:r>
      <w:r w:rsidR="00DA2D6E">
        <w:t xml:space="preserve">7 entities covered </w:t>
      </w:r>
      <w:r w:rsidR="00366A05">
        <w:t xml:space="preserve">directly and indirectly </w:t>
      </w:r>
      <w:r w:rsidR="00DA2D6E">
        <w:t xml:space="preserve">by </w:t>
      </w:r>
      <w:r w:rsidR="00366A05">
        <w:t>Rule 1.60</w:t>
      </w:r>
      <w:r w:rsidR="00DA2D6E">
        <w:t xml:space="preserve">, only </w:t>
      </w:r>
      <w:r>
        <w:t xml:space="preserve">one of these entities </w:t>
      </w:r>
      <w:r w:rsidR="00DA2D6E">
        <w:t xml:space="preserve">submits a document to </w:t>
      </w:r>
      <w:r>
        <w:t xml:space="preserve">the Commission per </w:t>
      </w:r>
      <w:r w:rsidR="00A94D6F">
        <w:t>three-</w:t>
      </w:r>
      <w:r>
        <w:t xml:space="preserve">year </w:t>
      </w:r>
      <w:r w:rsidR="00A94D6F">
        <w:t>period</w:t>
      </w:r>
      <w:r>
        <w:t xml:space="preserve">. </w:t>
      </w:r>
      <w:r w:rsidRPr="009937BA" w:rsidR="00DC56E4">
        <w:rPr>
          <w:szCs w:val="24"/>
        </w:rPr>
        <w:t>That number was based on the</w:t>
      </w:r>
      <w:r w:rsidR="00DA2D6E">
        <w:rPr>
          <w:szCs w:val="24"/>
        </w:rPr>
        <w:t xml:space="preserve"> actual number of submissions received between 2018 and 2021</w:t>
      </w:r>
      <w:r w:rsidR="00DC56E4">
        <w:rPr>
          <w:szCs w:val="24"/>
        </w:rPr>
        <w:t>.</w:t>
      </w:r>
      <w:r>
        <w:t xml:space="preserve"> </w:t>
      </w:r>
      <w:r w:rsidR="008024E2">
        <w:t xml:space="preserve"> </w:t>
      </w:r>
      <w:r>
        <w:t xml:space="preserve">It is estimated that the time required to prepare the submission </w:t>
      </w:r>
      <w:r w:rsidR="00366A05">
        <w:t xml:space="preserve">or otherwise comply with the Rule </w:t>
      </w:r>
      <w:r>
        <w:t>is approximately .</w:t>
      </w:r>
      <w:r w:rsidR="00DC56E4">
        <w:t>2</w:t>
      </w:r>
      <w:r w:rsidR="0055179A">
        <w:t>5</w:t>
      </w:r>
      <w:r>
        <w:t xml:space="preserve"> hour</w:t>
      </w:r>
      <w:r w:rsidR="00366A05">
        <w:t xml:space="preserve"> per entity</w:t>
      </w:r>
      <w:r w:rsidR="008024E2">
        <w:t xml:space="preserve">, totaling </w:t>
      </w:r>
      <w:r w:rsidR="0055179A">
        <w:t>24.25</w:t>
      </w:r>
      <w:r w:rsidR="008024E2">
        <w:t xml:space="preserve"> hours annually</w:t>
      </w:r>
      <w:r w:rsidRPr="00B328FB" w:rsidR="00B328FB">
        <w:rPr>
          <w:rFonts w:eastAsia="Times New Roman" w:cs="Times New Roman"/>
          <w:color w:val="000000"/>
          <w:szCs w:val="24"/>
        </w:rPr>
        <w:t xml:space="preserve"> </w:t>
      </w:r>
      <w:r w:rsidR="00D438F6">
        <w:rPr>
          <w:rFonts w:eastAsia="Times New Roman" w:cs="Times New Roman"/>
          <w:color w:val="000000"/>
          <w:szCs w:val="24"/>
        </w:rPr>
        <w:t>(</w:t>
      </w:r>
      <w:r w:rsidR="0055179A">
        <w:rPr>
          <w:rFonts w:eastAsia="Times New Roman" w:cs="Times New Roman"/>
          <w:color w:val="000000"/>
          <w:szCs w:val="24"/>
        </w:rPr>
        <w:t>9</w:t>
      </w:r>
      <w:r w:rsidR="00D438F6">
        <w:rPr>
          <w:rFonts w:eastAsia="Times New Roman" w:cs="Times New Roman"/>
          <w:color w:val="000000"/>
          <w:szCs w:val="24"/>
        </w:rPr>
        <w:t>7 x .2</w:t>
      </w:r>
      <w:r w:rsidR="0055179A">
        <w:rPr>
          <w:rFonts w:eastAsia="Times New Roman" w:cs="Times New Roman"/>
          <w:color w:val="000000"/>
          <w:szCs w:val="24"/>
        </w:rPr>
        <w:t>5</w:t>
      </w:r>
      <w:r w:rsidR="00D438F6">
        <w:rPr>
          <w:rFonts w:eastAsia="Times New Roman" w:cs="Times New Roman"/>
          <w:color w:val="000000"/>
          <w:szCs w:val="24"/>
        </w:rPr>
        <w:t xml:space="preserve"> = </w:t>
      </w:r>
      <w:r w:rsidR="0055179A">
        <w:rPr>
          <w:rFonts w:eastAsia="Times New Roman" w:cs="Times New Roman"/>
          <w:color w:val="000000"/>
          <w:szCs w:val="24"/>
        </w:rPr>
        <w:t>24.25</w:t>
      </w:r>
      <w:r w:rsidR="00D438F6">
        <w:rPr>
          <w:rFonts w:eastAsia="Times New Roman" w:cs="Times New Roman"/>
          <w:color w:val="000000"/>
          <w:szCs w:val="24"/>
        </w:rPr>
        <w:t>)</w:t>
      </w:r>
      <w:r w:rsidR="007F6F99">
        <w:rPr>
          <w:rFonts w:eastAsia="Times New Roman" w:cs="Times New Roman"/>
          <w:color w:val="000000"/>
          <w:szCs w:val="24"/>
        </w:rPr>
        <w:t>.</w:t>
      </w:r>
      <w:r w:rsidR="00D438F6">
        <w:rPr>
          <w:rFonts w:eastAsia="Times New Roman" w:cs="Times New Roman"/>
          <w:color w:val="000000"/>
          <w:szCs w:val="24"/>
        </w:rPr>
        <w:t xml:space="preserve"> </w:t>
      </w:r>
    </w:p>
    <w:p w:rsidRPr="00642B6A" w:rsidR="00642B6A" w:rsidP="00642B6A" w:rsidRDefault="00642B6A" w14:paraId="343D70F4" w14:textId="77777777">
      <w:pPr>
        <w:ind w:firstLine="720"/>
        <w:rPr>
          <w:rFonts w:eastAsia="Times New Roman" w:cs="Times New Roman"/>
          <w:color w:val="000000"/>
          <w:szCs w:val="24"/>
        </w:rPr>
      </w:pPr>
    </w:p>
    <w:p w:rsidRPr="00642B6A" w:rsidR="00642B6A" w:rsidP="00642B6A" w:rsidRDefault="00642B6A" w14:paraId="343D70F5" w14:textId="77777777">
      <w:pPr>
        <w:keepNext/>
        <w:tabs>
          <w:tab w:val="left" w:pos="-720"/>
          <w:tab w:val="left" w:pos="0"/>
        </w:tabs>
        <w:spacing w:after="240"/>
        <w:rPr>
          <w:rFonts w:eastAsia="Times New Roman" w:cs="Times New Roman"/>
          <w:b/>
          <w:szCs w:val="24"/>
        </w:rPr>
      </w:pPr>
      <w:r w:rsidRPr="00642B6A">
        <w:rPr>
          <w:rFonts w:eastAsia="Times New Roman" w:cs="Times New Roman"/>
          <w:b/>
          <w:szCs w:val="24"/>
        </w:rPr>
        <w:t>13.</w:t>
      </w:r>
      <w:r w:rsidRPr="00642B6A">
        <w:rPr>
          <w:rFonts w:eastAsia="Times New Roman" w:cs="Times New Roman"/>
          <w:b/>
          <w:szCs w:val="24"/>
        </w:rPr>
        <w:tab/>
        <w:t>Provide an estimate of the total annual cost burden to respondents or recordkeepers resulting from the collection of information.  (Do not include the cost of any hour burden shown in Items 12 and 14).</w:t>
      </w:r>
    </w:p>
    <w:p w:rsidRPr="00642B6A" w:rsidR="00642B6A" w:rsidP="00642B6A" w:rsidRDefault="00642B6A" w14:paraId="343D70F6" w14:textId="56DE409C">
      <w:pPr>
        <w:numPr>
          <w:ilvl w:val="0"/>
          <w:numId w:val="1"/>
        </w:numPr>
        <w:tabs>
          <w:tab w:val="left" w:pos="-720"/>
          <w:tab w:val="left" w:pos="0"/>
          <w:tab w:val="left" w:pos="720"/>
          <w:tab w:val="num" w:pos="1080"/>
        </w:tabs>
        <w:spacing w:after="240"/>
        <w:ind w:left="1080" w:hanging="360"/>
        <w:rPr>
          <w:rFonts w:eastAsia="Times New Roman" w:cs="Times New Roman"/>
          <w:b/>
          <w:szCs w:val="24"/>
        </w:rPr>
      </w:pPr>
      <w:r w:rsidRPr="00642B6A">
        <w:rPr>
          <w:rFonts w:eastAsia="Times New Roman" w:cs="Times New Roman"/>
          <w:b/>
          <w:szCs w:val="24"/>
        </w:rPr>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642B6A">
        <w:rPr>
          <w:rFonts w:eastAsia="Times New Roman" w:cs="Times New Roman"/>
          <w:b/>
          <w:szCs w:val="24"/>
        </w:rPr>
        <w:t>take into account</w:t>
      </w:r>
      <w:proofErr w:type="gramEnd"/>
      <w:r w:rsidRPr="00642B6A">
        <w:rPr>
          <w:rFonts w:eastAsia="Times New Roman" w:cs="Times New Roman"/>
          <w:b/>
          <w:szCs w:val="24"/>
        </w:rPr>
        <w:t xml:space="preserve"> costs associated with generating, maintaining, and disclosing or providing the information.  Include descriptions of methods used to estimate major costs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642B6A" w:rsidR="00642B6A" w:rsidP="00642B6A" w:rsidRDefault="00642B6A" w14:paraId="343D70F7" w14:textId="77777777">
      <w:pPr>
        <w:numPr>
          <w:ilvl w:val="0"/>
          <w:numId w:val="1"/>
        </w:numPr>
        <w:tabs>
          <w:tab w:val="left" w:pos="-720"/>
          <w:tab w:val="left" w:pos="0"/>
          <w:tab w:val="left" w:pos="720"/>
          <w:tab w:val="num" w:pos="1080"/>
        </w:tabs>
        <w:spacing w:after="240"/>
        <w:ind w:left="1080" w:hanging="360"/>
        <w:rPr>
          <w:rFonts w:eastAsia="Times New Roman" w:cs="Times New Roman"/>
          <w:b/>
          <w:szCs w:val="24"/>
        </w:rPr>
      </w:pPr>
      <w:r w:rsidRPr="00642B6A">
        <w:rPr>
          <w:rFonts w:eastAsia="Times New Roman" w:cs="Times New Roman"/>
          <w:b/>
          <w:szCs w:val="24"/>
        </w:rPr>
        <w:t>If cost estimates are expected to vary widely, agencies should present ranges of cost burdens and explain the reasons for the variance.  The cost of purchasing or contracting out information collection services should be a part of this cost burden estimate, agencies may consult with a sample of respondents (fewer than ten), utilize the 60-day pre-OMB submission public comment process and use existing economic or regulatory impact analysis associated with the rulemaking containing the information collection, as appropriate.</w:t>
      </w:r>
    </w:p>
    <w:p w:rsidRPr="00642B6A" w:rsidR="00642B6A" w:rsidP="00642B6A" w:rsidRDefault="00642B6A" w14:paraId="343D70F8" w14:textId="77777777">
      <w:pPr>
        <w:numPr>
          <w:ilvl w:val="0"/>
          <w:numId w:val="1"/>
        </w:numPr>
        <w:tabs>
          <w:tab w:val="left" w:pos="-720"/>
          <w:tab w:val="left" w:pos="0"/>
          <w:tab w:val="left" w:pos="720"/>
          <w:tab w:val="num" w:pos="1080"/>
        </w:tabs>
        <w:spacing w:after="240"/>
        <w:ind w:left="1080" w:hanging="360"/>
        <w:rPr>
          <w:rFonts w:eastAsia="Times New Roman" w:cs="Times New Roman"/>
          <w:b/>
          <w:szCs w:val="24"/>
        </w:rPr>
      </w:pPr>
      <w:r w:rsidRPr="00642B6A">
        <w:rPr>
          <w:rFonts w:eastAsia="Times New Roman" w:cs="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642B6A" w:rsidR="00642B6A" w:rsidP="00642B6A" w:rsidRDefault="00642B6A" w14:paraId="343D70F9" w14:textId="77777777">
      <w:pPr>
        <w:ind w:firstLine="720"/>
        <w:rPr>
          <w:rFonts w:eastAsia="Times New Roman" w:cs="Times New Roman"/>
          <w:color w:val="000000"/>
          <w:szCs w:val="24"/>
        </w:rPr>
      </w:pPr>
    </w:p>
    <w:p w:rsidR="00A76B6C" w:rsidP="00A76B6C" w:rsidRDefault="00A76B6C" w14:paraId="6A73C15F" w14:textId="7F6CDC72">
      <w:r>
        <w:rPr>
          <w:rFonts w:eastAsia="Times New Roman" w:cs="Times New Roman"/>
          <w:color w:val="000000"/>
          <w:szCs w:val="24"/>
        </w:rPr>
        <w:t xml:space="preserve"> </w:t>
      </w:r>
      <w:r w:rsidR="00F61482">
        <w:rPr>
          <w:rFonts w:eastAsia="Times New Roman" w:cs="Times New Roman"/>
          <w:color w:val="000000"/>
          <w:szCs w:val="24"/>
        </w:rPr>
        <w:tab/>
      </w:r>
      <w:bookmarkStart w:name="_GoBack" w:id="1"/>
      <w:bookmarkEnd w:id="1"/>
      <w:r w:rsidRPr="009D1625">
        <w:t>This information collection does not involve any new start-up or operations and maintenance costs.</w:t>
      </w:r>
    </w:p>
    <w:p w:rsidR="00F61482" w:rsidP="00A76B6C" w:rsidRDefault="00A76B6C" w14:paraId="1085FDF8" w14:textId="77777777">
      <w:r>
        <w:tab/>
      </w:r>
    </w:p>
    <w:p w:rsidR="00A76B6C" w:rsidP="00F61482" w:rsidRDefault="00A76B6C" w14:paraId="067A487F" w14:textId="6F9DB718">
      <w:pPr>
        <w:ind w:firstLine="720"/>
      </w:pPr>
      <w:r>
        <w:t>Average salary for a financial manager is $134,180 per year according to the Bureau of Labor and Statistics (“BLS”).  Divid</w:t>
      </w:r>
      <w:r w:rsidR="007F611D">
        <w:t>ing</w:t>
      </w:r>
      <w:r>
        <w:t xml:space="preserve"> $134,180 per year by 80 hours per 2 weeks for 26 pay periods yields $65 per hour. Since each response takes 15 minutes, or ¼ hour (.25) to complete, the cost </w:t>
      </w:r>
      <w:r>
        <w:lastRenderedPageBreak/>
        <w:t xml:space="preserve">per response is $16.25. </w:t>
      </w:r>
      <w:r w:rsidR="00C04D83">
        <w:t xml:space="preserve"> </w:t>
      </w:r>
      <w:proofErr w:type="gramStart"/>
      <w:r>
        <w:t>Th</w:t>
      </w:r>
      <w:r w:rsidR="007F6F99">
        <w:t>us</w:t>
      </w:r>
      <w:proofErr w:type="gramEnd"/>
      <w:r w:rsidR="007F6F99">
        <w:t xml:space="preserve"> the</w:t>
      </w:r>
      <w:r>
        <w:t xml:space="preserve"> total estimated annual cost for 97 respondents is $1576.25 (1 response/year x 97 x </w:t>
      </w:r>
      <w:r w:rsidR="007F6F99">
        <w:t xml:space="preserve">$16.25). </w:t>
      </w:r>
      <w:r w:rsidRPr="00042EBF" w:rsidR="007F6F99">
        <w:rPr>
          <w:i/>
        </w:rPr>
        <w:t>See also</w:t>
      </w:r>
      <w:r w:rsidR="007F6F99">
        <w:t xml:space="preserve"> Attachment A.</w:t>
      </w:r>
      <w:r>
        <w:br/>
      </w:r>
    </w:p>
    <w:p w:rsidRPr="00642B6A" w:rsidR="00637711" w:rsidP="00642B6A" w:rsidRDefault="00637711" w14:paraId="343D70FB" w14:textId="77777777">
      <w:pPr>
        <w:ind w:firstLine="720"/>
        <w:rPr>
          <w:rFonts w:eastAsia="Times New Roman" w:cs="Times New Roman"/>
          <w:color w:val="000000"/>
          <w:szCs w:val="24"/>
        </w:rPr>
      </w:pPr>
    </w:p>
    <w:p w:rsidRPr="00642B6A" w:rsidR="00642B6A" w:rsidP="00642B6A" w:rsidRDefault="00642B6A" w14:paraId="343D70FC" w14:textId="77777777">
      <w:pPr>
        <w:tabs>
          <w:tab w:val="left" w:pos="-720"/>
        </w:tabs>
        <w:spacing w:after="240"/>
        <w:rPr>
          <w:rFonts w:eastAsia="Times New Roman" w:cs="Times New Roman"/>
          <w:b/>
          <w:szCs w:val="24"/>
        </w:rPr>
      </w:pPr>
      <w:r w:rsidRPr="00642B6A">
        <w:rPr>
          <w:rFonts w:eastAsia="Times New Roman" w:cs="Times New Roman"/>
          <w:b/>
          <w:szCs w:val="24"/>
        </w:rPr>
        <w:t>14.</w:t>
      </w:r>
      <w:r w:rsidRPr="00642B6A">
        <w:rPr>
          <w:rFonts w:eastAsia="Times New Roman" w:cs="Times New Roman"/>
          <w:b/>
          <w:szCs w:val="24"/>
        </w:rPr>
        <w:tab/>
        <w:t xml:space="preserve">Provide estimates of the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rsidR="00DC56E4" w:rsidP="00DC56E4" w:rsidRDefault="00642B6A" w14:paraId="5C051E03" w14:textId="77777777">
      <w:r w:rsidRPr="00642B6A">
        <w:rPr>
          <w:rFonts w:eastAsia="Times New Roman" w:cs="Times New Roman"/>
          <w:szCs w:val="24"/>
        </w:rPr>
        <w:tab/>
      </w:r>
      <w:r w:rsidR="00DC56E4">
        <w:t>It is estimated that the annual cost to the Government of implementing Rule 1.60 is $100.  This figure is obtained by taking an appropriate portion of the salaries of persons who review the information submitted to the Commission pursuant to Rule 1.60.  Commission personnel spend only a very small portion of their time engaged in these duties.</w:t>
      </w:r>
    </w:p>
    <w:p w:rsidR="00DC56E4" w:rsidP="00DC56E4" w:rsidRDefault="00DC56E4" w14:paraId="4B5D3CF8" w14:textId="77777777"/>
    <w:p w:rsidR="00642B6A" w:rsidP="00642B6A" w:rsidRDefault="00642B6A" w14:paraId="343D70FE" w14:textId="77777777">
      <w:pPr>
        <w:tabs>
          <w:tab w:val="left" w:pos="-720"/>
          <w:tab w:val="left" w:pos="0"/>
        </w:tabs>
        <w:spacing w:after="240"/>
        <w:rPr>
          <w:rFonts w:eastAsia="Times New Roman" w:cs="Times New Roman"/>
          <w:b/>
          <w:szCs w:val="24"/>
        </w:rPr>
      </w:pPr>
      <w:r w:rsidRPr="00642B6A">
        <w:rPr>
          <w:rFonts w:eastAsia="Times New Roman" w:cs="Times New Roman"/>
          <w:b/>
          <w:szCs w:val="24"/>
        </w:rPr>
        <w:t>15.</w:t>
      </w:r>
      <w:r w:rsidRPr="00642B6A">
        <w:rPr>
          <w:rFonts w:eastAsia="Times New Roman" w:cs="Times New Roman"/>
          <w:b/>
          <w:szCs w:val="24"/>
        </w:rPr>
        <w:tab/>
        <w:t>Explain the reasons for any program changes or adjustments reported in Items 13 or 14 of the OMB Form 83-I.</w:t>
      </w:r>
    </w:p>
    <w:p w:rsidRPr="00642B6A" w:rsidR="008024E2" w:rsidP="00642B6A" w:rsidRDefault="008024E2" w14:paraId="518E2B65" w14:textId="060111D4">
      <w:pPr>
        <w:tabs>
          <w:tab w:val="left" w:pos="-720"/>
          <w:tab w:val="left" w:pos="0"/>
        </w:tabs>
        <w:spacing w:after="240"/>
        <w:rPr>
          <w:rFonts w:eastAsia="Times New Roman" w:cs="Times New Roman"/>
          <w:b/>
          <w:szCs w:val="24"/>
        </w:rPr>
      </w:pPr>
      <w:r>
        <w:rPr>
          <w:szCs w:val="24"/>
        </w:rPr>
        <w:tab/>
        <w:t xml:space="preserve">The current number of registrants, </w:t>
      </w:r>
      <w:r w:rsidR="0055179A">
        <w:rPr>
          <w:szCs w:val="24"/>
        </w:rPr>
        <w:t>9</w:t>
      </w:r>
      <w:r w:rsidR="00D84868">
        <w:rPr>
          <w:szCs w:val="24"/>
        </w:rPr>
        <w:t xml:space="preserve">7, has increased from the previous </w:t>
      </w:r>
      <w:r>
        <w:rPr>
          <w:szCs w:val="24"/>
        </w:rPr>
        <w:t>79, due to a</w:t>
      </w:r>
      <w:r w:rsidR="00D84868">
        <w:rPr>
          <w:szCs w:val="24"/>
        </w:rPr>
        <w:t>n increase in FCMs and the inclusion of SEFs.</w:t>
      </w:r>
      <w:r w:rsidR="00042EBF">
        <w:rPr>
          <w:rStyle w:val="FootnoteReference"/>
          <w:szCs w:val="24"/>
        </w:rPr>
        <w:footnoteReference w:id="1"/>
      </w:r>
      <w:r w:rsidR="00D84868">
        <w:rPr>
          <w:szCs w:val="24"/>
        </w:rPr>
        <w:t xml:space="preserve"> </w:t>
      </w:r>
      <w:r>
        <w:rPr>
          <w:szCs w:val="24"/>
        </w:rPr>
        <w:t xml:space="preserve"> </w:t>
      </w:r>
      <w:r w:rsidR="00585C21">
        <w:rPr>
          <w:szCs w:val="24"/>
        </w:rPr>
        <w:t xml:space="preserve">Additionally, the time for each entity to comply has been adjusted from .2 to .25 hours. </w:t>
      </w:r>
    </w:p>
    <w:p w:rsidRPr="00642B6A" w:rsidR="00642B6A" w:rsidP="00642B6A" w:rsidRDefault="00642B6A" w14:paraId="343D7100" w14:textId="77777777">
      <w:pPr>
        <w:tabs>
          <w:tab w:val="left" w:pos="-720"/>
          <w:tab w:val="left" w:pos="0"/>
        </w:tabs>
        <w:spacing w:after="240"/>
        <w:rPr>
          <w:rFonts w:eastAsia="Times New Roman" w:cs="Times New Roman"/>
          <w:b/>
          <w:szCs w:val="24"/>
        </w:rPr>
      </w:pPr>
      <w:r w:rsidRPr="00642B6A">
        <w:rPr>
          <w:rFonts w:eastAsia="Times New Roman" w:cs="Times New Roman"/>
          <w:b/>
          <w:szCs w:val="24"/>
        </w:rPr>
        <w:t>16.</w:t>
      </w:r>
      <w:r w:rsidRPr="00642B6A">
        <w:rPr>
          <w:rFonts w:eastAsia="Times New Roman" w:cs="Times New Roman"/>
          <w:b/>
          <w:szCs w:val="24"/>
        </w:rPr>
        <w:tab/>
        <w:t>For collection of information whose results are planned to be published for statistical use, outline plans for tabulation, statistical analysis, and publication.  Provide the time schedule for the entire project, including beginning and ending dates of the collection of information, completion of report, publication dates, and other actions.</w:t>
      </w:r>
    </w:p>
    <w:p w:rsidRPr="00642B6A" w:rsidR="00642B6A" w:rsidP="00642B6A" w:rsidRDefault="00642B6A" w14:paraId="343D7101" w14:textId="77777777">
      <w:pPr>
        <w:tabs>
          <w:tab w:val="left" w:pos="-720"/>
        </w:tabs>
        <w:spacing w:after="240"/>
        <w:rPr>
          <w:rFonts w:eastAsia="Times New Roman" w:cs="Times New Roman"/>
          <w:szCs w:val="24"/>
        </w:rPr>
      </w:pPr>
      <w:r w:rsidRPr="00642B6A">
        <w:rPr>
          <w:rFonts w:eastAsia="Times New Roman" w:cs="Times New Roman"/>
          <w:szCs w:val="24"/>
        </w:rPr>
        <w:tab/>
        <w:t>Does not apply.</w:t>
      </w:r>
    </w:p>
    <w:p w:rsidRPr="00642B6A" w:rsidR="00642B6A" w:rsidP="00642B6A" w:rsidRDefault="00642B6A" w14:paraId="343D7102" w14:textId="77777777">
      <w:pPr>
        <w:tabs>
          <w:tab w:val="left" w:pos="-720"/>
          <w:tab w:val="left" w:pos="0"/>
        </w:tabs>
        <w:spacing w:after="240"/>
        <w:rPr>
          <w:rFonts w:eastAsia="Times New Roman" w:cs="Times New Roman"/>
          <w:b/>
          <w:szCs w:val="24"/>
        </w:rPr>
      </w:pPr>
      <w:r w:rsidRPr="00642B6A">
        <w:rPr>
          <w:rFonts w:eastAsia="Times New Roman" w:cs="Times New Roman"/>
          <w:b/>
          <w:szCs w:val="24"/>
        </w:rPr>
        <w:t>17.</w:t>
      </w:r>
      <w:r w:rsidRPr="00642B6A">
        <w:rPr>
          <w:rFonts w:eastAsia="Times New Roman" w:cs="Times New Roman"/>
          <w:b/>
          <w:szCs w:val="24"/>
        </w:rPr>
        <w:tab/>
        <w:t>If seeking approval to not display the expiration date for OMB approval of the information collection, explain the reasons that display would be inappropriate.</w:t>
      </w:r>
    </w:p>
    <w:p w:rsidRPr="00642B6A" w:rsidR="00642B6A" w:rsidP="00642B6A" w:rsidRDefault="00642B6A" w14:paraId="343D7103" w14:textId="77777777">
      <w:pPr>
        <w:tabs>
          <w:tab w:val="left" w:pos="-720"/>
        </w:tabs>
        <w:spacing w:after="240"/>
        <w:rPr>
          <w:rFonts w:eastAsia="Times New Roman" w:cs="Times New Roman"/>
          <w:szCs w:val="24"/>
        </w:rPr>
      </w:pPr>
      <w:r w:rsidRPr="00642B6A">
        <w:rPr>
          <w:rFonts w:eastAsia="Times New Roman" w:cs="Times New Roman"/>
          <w:szCs w:val="24"/>
        </w:rPr>
        <w:tab/>
        <w:t>Does not apply.</w:t>
      </w:r>
    </w:p>
    <w:p w:rsidRPr="00642B6A" w:rsidR="00642B6A" w:rsidP="00642B6A" w:rsidRDefault="00642B6A" w14:paraId="343D7104" w14:textId="77777777">
      <w:pPr>
        <w:keepNext/>
        <w:tabs>
          <w:tab w:val="left" w:pos="-720"/>
          <w:tab w:val="left" w:pos="0"/>
        </w:tabs>
        <w:spacing w:after="240"/>
        <w:rPr>
          <w:rFonts w:eastAsia="Times New Roman" w:cs="Times New Roman"/>
          <w:b/>
          <w:szCs w:val="24"/>
        </w:rPr>
      </w:pPr>
      <w:r w:rsidRPr="00642B6A">
        <w:rPr>
          <w:rFonts w:eastAsia="Times New Roman" w:cs="Times New Roman"/>
          <w:b/>
          <w:szCs w:val="24"/>
        </w:rPr>
        <w:t>18.</w:t>
      </w:r>
      <w:r w:rsidRPr="00642B6A">
        <w:rPr>
          <w:rFonts w:eastAsia="Times New Roman" w:cs="Times New Roman"/>
          <w:b/>
          <w:szCs w:val="24"/>
        </w:rPr>
        <w:tab/>
        <w:t>Explain each exception to the certification statement identified in Item 19, "Certification for Paperwork Reduction Act Submissions," of OMB Form 83-I.</w:t>
      </w:r>
    </w:p>
    <w:p w:rsidR="009D00FB" w:rsidP="009D00FB" w:rsidRDefault="00642B6A" w14:paraId="343D7105" w14:textId="77777777">
      <w:pPr>
        <w:tabs>
          <w:tab w:val="left" w:pos="-720"/>
        </w:tabs>
        <w:spacing w:after="240"/>
        <w:rPr>
          <w:rFonts w:eastAsia="Times New Roman" w:cs="Times New Roman"/>
          <w:szCs w:val="24"/>
        </w:rPr>
      </w:pPr>
      <w:r w:rsidRPr="00642B6A">
        <w:rPr>
          <w:rFonts w:eastAsia="Times New Roman" w:cs="Times New Roman"/>
          <w:szCs w:val="24"/>
        </w:rPr>
        <w:tab/>
        <w:t>Does not apply.</w:t>
      </w:r>
    </w:p>
    <w:p w:rsidR="00B74CE1" w:rsidRDefault="00B74CE1" w14:paraId="343D7106" w14:textId="77777777">
      <w:pPr>
        <w:spacing w:after="200" w:line="276" w:lineRule="auto"/>
        <w:rPr>
          <w:rFonts w:eastAsia="Times New Roman" w:cs="Times New Roman"/>
          <w:szCs w:val="24"/>
        </w:rPr>
      </w:pPr>
      <w:r>
        <w:rPr>
          <w:rFonts w:eastAsia="Times New Roman" w:cs="Times New Roman"/>
          <w:szCs w:val="24"/>
        </w:rPr>
        <w:br w:type="page"/>
      </w:r>
    </w:p>
    <w:p w:rsidR="009D00FB" w:rsidRDefault="009D00FB" w14:paraId="343D7107" w14:textId="77777777">
      <w:pPr>
        <w:spacing w:after="200" w:line="276" w:lineRule="auto"/>
        <w:rPr>
          <w:rFonts w:eastAsia="Times New Roman" w:cs="Times New Roman"/>
          <w:szCs w:val="24"/>
        </w:rPr>
      </w:pPr>
    </w:p>
    <w:p w:rsidRPr="00642B6A" w:rsidR="00642B6A" w:rsidP="005E4E5C" w:rsidRDefault="00642B6A" w14:paraId="343D7108" w14:textId="77777777">
      <w:pPr>
        <w:tabs>
          <w:tab w:val="left" w:pos="-720"/>
        </w:tabs>
        <w:spacing w:after="240"/>
        <w:jc w:val="center"/>
        <w:rPr>
          <w:rFonts w:eastAsia="Times New Roman" w:cs="Times New Roman"/>
          <w:b/>
          <w:szCs w:val="24"/>
        </w:rPr>
      </w:pPr>
      <w:r w:rsidRPr="00642B6A">
        <w:rPr>
          <w:rFonts w:eastAsia="Times New Roman" w:cs="Times New Roman"/>
          <w:b/>
          <w:szCs w:val="24"/>
        </w:rPr>
        <w:t>Attachment A</w:t>
      </w:r>
    </w:p>
    <w:p w:rsidRPr="00642B6A" w:rsidR="00642B6A" w:rsidP="00642B6A" w:rsidRDefault="00642B6A" w14:paraId="343D7109" w14:textId="77777777">
      <w:pPr>
        <w:jc w:val="center"/>
        <w:rPr>
          <w:rFonts w:eastAsia="Times New Roman" w:cs="Times New Roman"/>
          <w:b/>
          <w:szCs w:val="24"/>
        </w:rPr>
      </w:pPr>
    </w:p>
    <w:p w:rsidRPr="00642B6A" w:rsidR="00642B6A" w:rsidP="00642B6A" w:rsidRDefault="007F3179" w14:paraId="343D710A" w14:textId="1838C251">
      <w:pPr>
        <w:jc w:val="center"/>
        <w:rPr>
          <w:rFonts w:eastAsia="Times New Roman" w:cs="Times New Roman"/>
          <w:b/>
          <w:szCs w:val="24"/>
        </w:rPr>
      </w:pPr>
      <w:r w:rsidRPr="007F3179">
        <w:rPr>
          <w:rFonts w:eastAsia="Times New Roman" w:cs="Times New Roman"/>
          <w:b/>
          <w:szCs w:val="24"/>
        </w:rPr>
        <w:t>OMB Control Number 3038-</w:t>
      </w:r>
      <w:r w:rsidR="002C5FDB">
        <w:rPr>
          <w:rFonts w:eastAsia="Times New Roman" w:cs="Times New Roman"/>
          <w:b/>
          <w:szCs w:val="24"/>
        </w:rPr>
        <w:t>3033</w:t>
      </w:r>
      <w:r>
        <w:rPr>
          <w:rFonts w:eastAsia="Times New Roman" w:cs="Times New Roman"/>
          <w:b/>
          <w:szCs w:val="24"/>
        </w:rPr>
        <w:t xml:space="preserve"> – </w:t>
      </w:r>
      <w:r w:rsidRPr="002C5FDB" w:rsidR="002C5FDB">
        <w:rPr>
          <w:rFonts w:eastAsia="Times New Roman" w:cs="Times New Roman"/>
          <w:b/>
          <w:szCs w:val="24"/>
        </w:rPr>
        <w:t>Notification of Pending Legal Proceedings</w:t>
      </w:r>
    </w:p>
    <w:p w:rsidRPr="00642B6A" w:rsidR="00642B6A" w:rsidP="00642B6A" w:rsidRDefault="00642B6A" w14:paraId="343D710B" w14:textId="77777777">
      <w:pPr>
        <w:jc w:val="center"/>
        <w:rPr>
          <w:rFonts w:eastAsia="Times New Roman" w:cs="Times New Roman"/>
          <w:b/>
          <w:szCs w:val="24"/>
        </w:rPr>
      </w:pPr>
    </w:p>
    <w:p w:rsidRPr="008F6D4A" w:rsidR="008F6D4A" w:rsidP="008F6D4A" w:rsidRDefault="008F6D4A" w14:paraId="343D710C" w14:textId="77777777">
      <w:pPr>
        <w:jc w:val="center"/>
        <w:rPr>
          <w:rFonts w:eastAsia="Times New Roman" w:cs="Times New Roman"/>
          <w:szCs w:val="24"/>
        </w:rPr>
      </w:pPr>
      <w:r w:rsidRPr="008F6D4A">
        <w:rPr>
          <w:rFonts w:eastAsia="Times New Roman" w:cs="Times New Roman"/>
          <w:szCs w:val="24"/>
        </w:rPr>
        <w:t>Reporting Burden</w:t>
      </w:r>
    </w:p>
    <w:p w:rsidRPr="008F6D4A" w:rsidR="008F6D4A" w:rsidP="008F6D4A" w:rsidRDefault="008F6D4A" w14:paraId="343D710D" w14:textId="77777777">
      <w:pPr>
        <w:jc w:val="center"/>
        <w:rPr>
          <w:rFonts w:eastAsia="Times New Roman" w:cs="Times New Roman"/>
          <w:szCs w:val="24"/>
        </w:rPr>
      </w:pPr>
    </w:p>
    <w:tbl>
      <w:tblPr>
        <w:tblW w:w="5310" w:type="pct"/>
        <w:tblInd w:w="-70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1507"/>
        <w:gridCol w:w="1259"/>
        <w:gridCol w:w="1170"/>
        <w:gridCol w:w="1164"/>
        <w:gridCol w:w="1406"/>
        <w:gridCol w:w="1229"/>
        <w:gridCol w:w="1144"/>
        <w:gridCol w:w="1051"/>
      </w:tblGrid>
      <w:tr w:rsidRPr="008F6D4A" w:rsidR="008F6D4A" w:rsidTr="002C5FDB" w14:paraId="343D7118" w14:textId="77777777">
        <w:trPr>
          <w:trHeight w:val="1457"/>
        </w:trPr>
        <w:tc>
          <w:tcPr>
            <w:tcW w:w="759" w:type="pct"/>
          </w:tcPr>
          <w:p w:rsidRPr="008F6D4A" w:rsidR="008F6D4A" w:rsidP="008F6D4A" w:rsidRDefault="008F6D4A" w14:paraId="343D710E" w14:textId="1A229094">
            <w:pPr>
              <w:tabs>
                <w:tab w:val="left" w:pos="-720"/>
                <w:tab w:val="left" w:pos="0"/>
              </w:tabs>
              <w:suppressAutoHyphens/>
              <w:jc w:val="center"/>
              <w:rPr>
                <w:rFonts w:ascii="Arial" w:hAnsi="Arial" w:eastAsia="Times New Roman" w:cs="Times New Roman"/>
                <w:b/>
                <w:sz w:val="16"/>
                <w:szCs w:val="16"/>
              </w:rPr>
            </w:pPr>
            <w:bookmarkStart w:name="_Hlk79655708" w:id="2"/>
            <w:r w:rsidRPr="008F6D4A">
              <w:rPr>
                <w:rFonts w:ascii="Arial" w:hAnsi="Arial" w:eastAsia="Times New Roman" w:cs="Times New Roman"/>
                <w:b/>
                <w:sz w:val="16"/>
                <w:szCs w:val="16"/>
              </w:rPr>
              <w:t>Regulation</w:t>
            </w:r>
            <w:r w:rsidR="007F6F99">
              <w:rPr>
                <w:rFonts w:ascii="Arial" w:hAnsi="Arial" w:eastAsia="Times New Roman" w:cs="Times New Roman"/>
                <w:b/>
                <w:sz w:val="16"/>
                <w:szCs w:val="16"/>
              </w:rPr>
              <w:t>(s)</w:t>
            </w:r>
          </w:p>
        </w:tc>
        <w:tc>
          <w:tcPr>
            <w:tcW w:w="634" w:type="pct"/>
          </w:tcPr>
          <w:p w:rsidRPr="008F6D4A" w:rsidR="008F6D4A" w:rsidP="008F6D4A" w:rsidRDefault="008F6D4A" w14:paraId="343D710F" w14:textId="77777777">
            <w:pPr>
              <w:tabs>
                <w:tab w:val="left" w:pos="-720"/>
                <w:tab w:val="left" w:pos="0"/>
              </w:tabs>
              <w:suppressAutoHyphens/>
              <w:jc w:val="center"/>
              <w:rPr>
                <w:rFonts w:ascii="Arial" w:hAnsi="Arial" w:eastAsia="Times New Roman" w:cs="Times New Roman"/>
                <w:b/>
                <w:sz w:val="16"/>
                <w:szCs w:val="16"/>
              </w:rPr>
            </w:pPr>
            <w:r w:rsidRPr="008F6D4A">
              <w:rPr>
                <w:rFonts w:ascii="Arial" w:hAnsi="Arial" w:eastAsia="Times New Roman" w:cs="Times New Roman"/>
                <w:b/>
                <w:sz w:val="16"/>
                <w:szCs w:val="16"/>
              </w:rPr>
              <w:t xml:space="preserve">Estimated Number of Respondents </w:t>
            </w:r>
          </w:p>
        </w:tc>
        <w:tc>
          <w:tcPr>
            <w:tcW w:w="589" w:type="pct"/>
          </w:tcPr>
          <w:p w:rsidRPr="008F6D4A" w:rsidR="008F6D4A" w:rsidP="008F6D4A" w:rsidRDefault="008F6D4A" w14:paraId="343D7110" w14:textId="77777777">
            <w:pPr>
              <w:tabs>
                <w:tab w:val="left" w:pos="-720"/>
                <w:tab w:val="left" w:pos="0"/>
              </w:tabs>
              <w:suppressAutoHyphens/>
              <w:jc w:val="center"/>
              <w:rPr>
                <w:rFonts w:ascii="Arial" w:hAnsi="Arial" w:eastAsia="Times New Roman" w:cs="Times New Roman"/>
                <w:b/>
                <w:sz w:val="16"/>
                <w:szCs w:val="16"/>
              </w:rPr>
            </w:pPr>
            <w:r w:rsidRPr="008F6D4A">
              <w:rPr>
                <w:rFonts w:ascii="Arial" w:hAnsi="Arial" w:eastAsia="Times New Roman" w:cs="Times New Roman"/>
                <w:b/>
                <w:sz w:val="16"/>
                <w:szCs w:val="16"/>
              </w:rPr>
              <w:t>Reports</w:t>
            </w:r>
          </w:p>
          <w:p w:rsidRPr="008F6D4A" w:rsidR="008F6D4A" w:rsidP="008F6D4A" w:rsidRDefault="008F6D4A" w14:paraId="343D7111" w14:textId="77777777">
            <w:pPr>
              <w:tabs>
                <w:tab w:val="left" w:pos="-720"/>
                <w:tab w:val="left" w:pos="0"/>
              </w:tabs>
              <w:suppressAutoHyphens/>
              <w:jc w:val="center"/>
              <w:rPr>
                <w:rFonts w:ascii="Arial" w:hAnsi="Arial" w:eastAsia="Times New Roman" w:cs="Times New Roman"/>
                <w:b/>
                <w:sz w:val="16"/>
                <w:szCs w:val="16"/>
              </w:rPr>
            </w:pPr>
            <w:r w:rsidRPr="008F6D4A">
              <w:rPr>
                <w:rFonts w:ascii="Arial" w:hAnsi="Arial" w:eastAsia="Times New Roman" w:cs="Times New Roman"/>
                <w:b/>
                <w:sz w:val="16"/>
                <w:szCs w:val="16"/>
              </w:rPr>
              <w:t>by Each Respondent</w:t>
            </w:r>
          </w:p>
        </w:tc>
        <w:tc>
          <w:tcPr>
            <w:tcW w:w="586" w:type="pct"/>
          </w:tcPr>
          <w:p w:rsidRPr="008F6D4A" w:rsidR="008F6D4A" w:rsidP="008F6D4A" w:rsidRDefault="008F6D4A" w14:paraId="343D7112" w14:textId="77777777">
            <w:pPr>
              <w:tabs>
                <w:tab w:val="left" w:pos="-720"/>
                <w:tab w:val="left" w:pos="0"/>
              </w:tabs>
              <w:suppressAutoHyphens/>
              <w:jc w:val="center"/>
              <w:rPr>
                <w:rFonts w:ascii="Arial" w:hAnsi="Arial" w:eastAsia="Times New Roman" w:cs="Times New Roman"/>
                <w:b/>
                <w:sz w:val="16"/>
                <w:szCs w:val="16"/>
              </w:rPr>
            </w:pPr>
            <w:r w:rsidRPr="008F6D4A">
              <w:rPr>
                <w:rFonts w:ascii="Arial" w:hAnsi="Arial" w:eastAsia="Times New Roman" w:cs="Times New Roman"/>
                <w:b/>
                <w:sz w:val="16"/>
                <w:szCs w:val="16"/>
              </w:rPr>
              <w:t>Total Annual</w:t>
            </w:r>
          </w:p>
          <w:p w:rsidRPr="008F6D4A" w:rsidR="008F6D4A" w:rsidP="008F6D4A" w:rsidRDefault="008F6D4A" w14:paraId="343D7113" w14:textId="77777777">
            <w:pPr>
              <w:tabs>
                <w:tab w:val="left" w:pos="-720"/>
                <w:tab w:val="left" w:pos="0"/>
              </w:tabs>
              <w:suppressAutoHyphens/>
              <w:jc w:val="center"/>
              <w:rPr>
                <w:rFonts w:ascii="Arial" w:hAnsi="Arial" w:eastAsia="Times New Roman" w:cs="Times New Roman"/>
                <w:b/>
                <w:sz w:val="16"/>
                <w:szCs w:val="16"/>
              </w:rPr>
            </w:pPr>
            <w:r w:rsidRPr="008F6D4A">
              <w:rPr>
                <w:rFonts w:ascii="Arial" w:hAnsi="Arial" w:eastAsia="Times New Roman" w:cs="Times New Roman"/>
                <w:b/>
                <w:sz w:val="16"/>
                <w:szCs w:val="16"/>
              </w:rPr>
              <w:t>Responses</w:t>
            </w:r>
          </w:p>
        </w:tc>
        <w:tc>
          <w:tcPr>
            <w:tcW w:w="708" w:type="pct"/>
          </w:tcPr>
          <w:p w:rsidRPr="008F6D4A" w:rsidR="008F6D4A" w:rsidP="008F6D4A" w:rsidRDefault="008F6D4A" w14:paraId="343D7114" w14:textId="77777777">
            <w:pPr>
              <w:tabs>
                <w:tab w:val="left" w:pos="-720"/>
                <w:tab w:val="left" w:pos="0"/>
              </w:tabs>
              <w:suppressAutoHyphens/>
              <w:jc w:val="center"/>
              <w:rPr>
                <w:rFonts w:ascii="Arial" w:hAnsi="Arial" w:eastAsia="Times New Roman" w:cs="Times New Roman"/>
                <w:b/>
                <w:sz w:val="16"/>
                <w:szCs w:val="16"/>
              </w:rPr>
            </w:pPr>
            <w:r w:rsidRPr="008F6D4A">
              <w:rPr>
                <w:rFonts w:ascii="Arial" w:hAnsi="Arial" w:eastAsia="Times New Roman" w:cs="Times New Roman"/>
                <w:b/>
                <w:sz w:val="16"/>
                <w:szCs w:val="16"/>
              </w:rPr>
              <w:t>Estimated Average Number of Hours per Response</w:t>
            </w:r>
          </w:p>
        </w:tc>
        <w:tc>
          <w:tcPr>
            <w:tcW w:w="619" w:type="pct"/>
          </w:tcPr>
          <w:p w:rsidRPr="008F6D4A" w:rsidR="008F6D4A" w:rsidP="008F6D4A" w:rsidRDefault="008F6D4A" w14:paraId="343D7115" w14:textId="77777777">
            <w:pPr>
              <w:tabs>
                <w:tab w:val="left" w:pos="-720"/>
                <w:tab w:val="left" w:pos="0"/>
              </w:tabs>
              <w:suppressAutoHyphens/>
              <w:jc w:val="center"/>
              <w:rPr>
                <w:rFonts w:ascii="Arial" w:hAnsi="Arial" w:eastAsia="Times New Roman" w:cs="Times New Roman"/>
                <w:b/>
                <w:sz w:val="16"/>
                <w:szCs w:val="16"/>
              </w:rPr>
            </w:pPr>
            <w:r w:rsidRPr="008F6D4A">
              <w:rPr>
                <w:rFonts w:ascii="Arial" w:hAnsi="Arial" w:eastAsia="Times New Roman" w:cs="Times New Roman"/>
                <w:b/>
                <w:sz w:val="16"/>
                <w:szCs w:val="16"/>
              </w:rPr>
              <w:t xml:space="preserve">Estimated Total </w:t>
            </w:r>
            <w:proofErr w:type="gramStart"/>
            <w:r w:rsidRPr="008F6D4A">
              <w:rPr>
                <w:rFonts w:ascii="Arial" w:hAnsi="Arial" w:eastAsia="Times New Roman" w:cs="Times New Roman"/>
                <w:b/>
                <w:sz w:val="16"/>
                <w:szCs w:val="16"/>
              </w:rPr>
              <w:t>Annual  Number</w:t>
            </w:r>
            <w:proofErr w:type="gramEnd"/>
            <w:r w:rsidRPr="008F6D4A">
              <w:rPr>
                <w:rFonts w:ascii="Arial" w:hAnsi="Arial" w:eastAsia="Times New Roman" w:cs="Times New Roman"/>
                <w:b/>
                <w:sz w:val="16"/>
                <w:szCs w:val="16"/>
              </w:rPr>
              <w:t xml:space="preserve"> of Hours</w:t>
            </w:r>
          </w:p>
        </w:tc>
        <w:tc>
          <w:tcPr>
            <w:tcW w:w="576" w:type="pct"/>
          </w:tcPr>
          <w:p w:rsidRPr="008F6D4A" w:rsidR="008F6D4A" w:rsidP="008F6D4A" w:rsidRDefault="008F6D4A" w14:paraId="343D7116" w14:textId="77777777">
            <w:pPr>
              <w:tabs>
                <w:tab w:val="left" w:pos="-720"/>
                <w:tab w:val="left" w:pos="0"/>
              </w:tabs>
              <w:suppressAutoHyphens/>
              <w:jc w:val="center"/>
              <w:rPr>
                <w:rFonts w:ascii="Arial" w:hAnsi="Arial" w:eastAsia="Times New Roman" w:cs="Times New Roman"/>
                <w:b/>
                <w:sz w:val="16"/>
                <w:szCs w:val="16"/>
              </w:rPr>
            </w:pPr>
            <w:r w:rsidRPr="008F6D4A">
              <w:rPr>
                <w:rFonts w:ascii="Arial" w:hAnsi="Arial" w:eastAsia="Times New Roman" w:cs="Times New Roman"/>
                <w:b/>
                <w:sz w:val="16"/>
                <w:szCs w:val="16"/>
              </w:rPr>
              <w:t xml:space="preserve"> Cost per response</w:t>
            </w:r>
            <w:r w:rsidRPr="008F6D4A">
              <w:rPr>
                <w:rFonts w:ascii="Arial" w:hAnsi="Arial" w:eastAsia="Times New Roman" w:cs="Times New Roman"/>
                <w:b/>
                <w:sz w:val="16"/>
                <w:szCs w:val="16"/>
                <w:vertAlign w:val="superscript"/>
              </w:rPr>
              <w:footnoteReference w:id="2"/>
            </w:r>
          </w:p>
        </w:tc>
        <w:tc>
          <w:tcPr>
            <w:tcW w:w="529" w:type="pct"/>
          </w:tcPr>
          <w:p w:rsidRPr="008F6D4A" w:rsidR="008F6D4A" w:rsidDel="009C6DB4" w:rsidP="008F6D4A" w:rsidRDefault="008F6D4A" w14:paraId="343D7117" w14:textId="77777777">
            <w:pPr>
              <w:tabs>
                <w:tab w:val="left" w:pos="-720"/>
                <w:tab w:val="left" w:pos="0"/>
              </w:tabs>
              <w:suppressAutoHyphens/>
              <w:jc w:val="center"/>
              <w:rPr>
                <w:rFonts w:ascii="Arial" w:hAnsi="Arial" w:eastAsia="Times New Roman" w:cs="Times New Roman"/>
                <w:b/>
                <w:sz w:val="16"/>
                <w:szCs w:val="16"/>
              </w:rPr>
            </w:pPr>
            <w:r w:rsidRPr="008F6D4A">
              <w:rPr>
                <w:rFonts w:ascii="Arial" w:hAnsi="Arial" w:eastAsia="Times New Roman" w:cs="Times New Roman"/>
                <w:b/>
                <w:sz w:val="16"/>
                <w:szCs w:val="16"/>
              </w:rPr>
              <w:t>Total Annual cost of all responses</w:t>
            </w:r>
          </w:p>
        </w:tc>
      </w:tr>
      <w:tr w:rsidRPr="008F6D4A" w:rsidR="008F6D4A" w:rsidTr="002C5FDB" w14:paraId="343D7121" w14:textId="77777777">
        <w:trPr>
          <w:trHeight w:val="998"/>
        </w:trPr>
        <w:tc>
          <w:tcPr>
            <w:tcW w:w="759" w:type="pct"/>
          </w:tcPr>
          <w:p w:rsidRPr="008F6D4A" w:rsidR="008F6D4A" w:rsidP="008F6D4A" w:rsidRDefault="002C5FDB" w14:paraId="343D7119" w14:textId="27175E4C">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17 C.F.R. 1.60</w:t>
            </w:r>
            <w:r w:rsidR="00B20758">
              <w:rPr>
                <w:rFonts w:ascii="Arial" w:hAnsi="Arial" w:eastAsia="Times New Roman" w:cs="Times New Roman"/>
                <w:b/>
                <w:sz w:val="16"/>
                <w:szCs w:val="16"/>
              </w:rPr>
              <w:t xml:space="preserve"> &amp; 37.2</w:t>
            </w:r>
          </w:p>
        </w:tc>
        <w:tc>
          <w:tcPr>
            <w:tcW w:w="634" w:type="pct"/>
          </w:tcPr>
          <w:p w:rsidRPr="008F6D4A" w:rsidR="008F6D4A" w:rsidP="008F6D4A" w:rsidRDefault="00E51AB0" w14:paraId="343D711A" w14:textId="796DAF86">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9</w:t>
            </w:r>
            <w:r w:rsidR="00DA2D6E">
              <w:rPr>
                <w:rFonts w:ascii="Arial" w:hAnsi="Arial" w:eastAsia="Times New Roman" w:cs="Times New Roman"/>
                <w:b/>
                <w:sz w:val="16"/>
                <w:szCs w:val="16"/>
              </w:rPr>
              <w:t>7</w:t>
            </w:r>
          </w:p>
        </w:tc>
        <w:tc>
          <w:tcPr>
            <w:tcW w:w="589" w:type="pct"/>
          </w:tcPr>
          <w:p w:rsidRPr="008F6D4A" w:rsidR="008F6D4A" w:rsidP="008F6D4A" w:rsidRDefault="00E51AB0" w14:paraId="343D711B" w14:textId="40FDA9D5">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1</w:t>
            </w:r>
          </w:p>
        </w:tc>
        <w:tc>
          <w:tcPr>
            <w:tcW w:w="586" w:type="pct"/>
          </w:tcPr>
          <w:p w:rsidRPr="008F6D4A" w:rsidR="008F6D4A" w:rsidP="008F6D4A" w:rsidRDefault="00A438E4" w14:paraId="343D711C" w14:textId="4689609A">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97</w:t>
            </w:r>
          </w:p>
        </w:tc>
        <w:tc>
          <w:tcPr>
            <w:tcW w:w="708" w:type="pct"/>
          </w:tcPr>
          <w:p w:rsidRPr="008F6D4A" w:rsidR="008F6D4A" w:rsidP="008F6D4A" w:rsidRDefault="00125362" w14:paraId="343D711D" w14:textId="5E69256C">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.2</w:t>
            </w:r>
            <w:r w:rsidR="00E51AB0">
              <w:rPr>
                <w:rFonts w:ascii="Arial" w:hAnsi="Arial" w:eastAsia="Times New Roman" w:cs="Times New Roman"/>
                <w:b/>
                <w:sz w:val="16"/>
                <w:szCs w:val="16"/>
              </w:rPr>
              <w:t>5</w:t>
            </w:r>
          </w:p>
        </w:tc>
        <w:tc>
          <w:tcPr>
            <w:tcW w:w="619" w:type="pct"/>
          </w:tcPr>
          <w:p w:rsidRPr="008F6D4A" w:rsidR="008F6D4A" w:rsidP="008F6D4A" w:rsidRDefault="00E51AB0" w14:paraId="343D711E" w14:textId="1C65D4D5">
            <w:pPr>
              <w:tabs>
                <w:tab w:val="left" w:pos="-720"/>
                <w:tab w:val="left" w:pos="0"/>
              </w:tabs>
              <w:suppressAutoHyphens/>
              <w:jc w:val="center"/>
              <w:rPr>
                <w:rFonts w:ascii="Arial" w:hAnsi="Arial" w:eastAsia="Times New Roman" w:cs="Times New Roman"/>
                <w:b/>
                <w:sz w:val="16"/>
                <w:szCs w:val="16"/>
              </w:rPr>
            </w:pPr>
            <w:r>
              <w:rPr>
                <w:rFonts w:ascii="Arial" w:hAnsi="Arial" w:eastAsia="Times New Roman" w:cs="Times New Roman"/>
                <w:b/>
                <w:sz w:val="16"/>
                <w:szCs w:val="16"/>
              </w:rPr>
              <w:t>24.25</w:t>
            </w:r>
          </w:p>
        </w:tc>
        <w:tc>
          <w:tcPr>
            <w:tcW w:w="576" w:type="pct"/>
          </w:tcPr>
          <w:p w:rsidRPr="008F6D4A" w:rsidR="008F6D4A" w:rsidP="008F6D4A" w:rsidRDefault="008F6D4A" w14:paraId="343D711F" w14:textId="6B031D24">
            <w:pPr>
              <w:tabs>
                <w:tab w:val="left" w:pos="-720"/>
                <w:tab w:val="left" w:pos="0"/>
              </w:tabs>
              <w:suppressAutoHyphens/>
              <w:jc w:val="center"/>
              <w:rPr>
                <w:rFonts w:ascii="Arial" w:hAnsi="Arial" w:eastAsia="Times New Roman" w:cs="Times New Roman"/>
                <w:b/>
                <w:sz w:val="16"/>
                <w:szCs w:val="16"/>
              </w:rPr>
            </w:pPr>
            <w:r w:rsidRPr="008F6D4A">
              <w:rPr>
                <w:rFonts w:ascii="Arial" w:hAnsi="Arial" w:eastAsia="Times New Roman" w:cs="Times New Roman"/>
                <w:b/>
                <w:sz w:val="16"/>
                <w:szCs w:val="16"/>
              </w:rPr>
              <w:t>$</w:t>
            </w:r>
            <w:r w:rsidR="00E51AB0">
              <w:rPr>
                <w:rFonts w:ascii="Arial" w:hAnsi="Arial" w:eastAsia="Times New Roman" w:cs="Times New Roman"/>
                <w:b/>
                <w:sz w:val="16"/>
                <w:szCs w:val="16"/>
              </w:rPr>
              <w:t>16.25</w:t>
            </w:r>
          </w:p>
        </w:tc>
        <w:tc>
          <w:tcPr>
            <w:tcW w:w="529" w:type="pct"/>
          </w:tcPr>
          <w:p w:rsidRPr="008F6D4A" w:rsidR="008F6D4A" w:rsidP="008F6D4A" w:rsidRDefault="008F6D4A" w14:paraId="343D7120" w14:textId="22AD7CAB">
            <w:pPr>
              <w:tabs>
                <w:tab w:val="left" w:pos="-720"/>
                <w:tab w:val="left" w:pos="0"/>
              </w:tabs>
              <w:suppressAutoHyphens/>
              <w:jc w:val="center"/>
              <w:rPr>
                <w:rFonts w:ascii="Arial" w:hAnsi="Arial" w:eastAsia="Times New Roman" w:cs="Times New Roman"/>
                <w:b/>
                <w:sz w:val="16"/>
                <w:szCs w:val="16"/>
              </w:rPr>
            </w:pPr>
            <w:r w:rsidRPr="008F6D4A">
              <w:rPr>
                <w:rFonts w:ascii="Arial" w:hAnsi="Arial" w:eastAsia="Times New Roman" w:cs="Times New Roman"/>
                <w:b/>
                <w:sz w:val="16"/>
                <w:szCs w:val="16"/>
              </w:rPr>
              <w:t>$</w:t>
            </w:r>
            <w:r w:rsidR="009B0E55">
              <w:rPr>
                <w:rFonts w:ascii="Arial" w:hAnsi="Arial" w:eastAsia="Times New Roman" w:cs="Times New Roman"/>
                <w:b/>
                <w:sz w:val="16"/>
                <w:szCs w:val="16"/>
              </w:rPr>
              <w:t>1,</w:t>
            </w:r>
            <w:r w:rsidR="00E51AB0">
              <w:rPr>
                <w:rFonts w:ascii="Arial" w:hAnsi="Arial" w:eastAsia="Times New Roman" w:cs="Times New Roman"/>
                <w:b/>
                <w:sz w:val="16"/>
                <w:szCs w:val="16"/>
              </w:rPr>
              <w:t>576</w:t>
            </w:r>
            <w:r w:rsidR="00A438E4">
              <w:rPr>
                <w:rFonts w:ascii="Arial" w:hAnsi="Arial" w:eastAsia="Times New Roman" w:cs="Times New Roman"/>
                <w:b/>
                <w:sz w:val="16"/>
                <w:szCs w:val="16"/>
              </w:rPr>
              <w:t>.25</w:t>
            </w:r>
          </w:p>
        </w:tc>
      </w:tr>
      <w:bookmarkEnd w:id="2"/>
    </w:tbl>
    <w:p w:rsidRPr="008F6D4A" w:rsidR="008F6D4A" w:rsidP="008F6D4A" w:rsidRDefault="008F6D4A" w14:paraId="343D713D" w14:textId="77777777">
      <w:pPr>
        <w:rPr>
          <w:rFonts w:eastAsia="Times New Roman" w:cs="Times New Roman"/>
          <w:szCs w:val="24"/>
        </w:rPr>
      </w:pPr>
    </w:p>
    <w:sectPr w:rsidRPr="008F6D4A" w:rsidR="008F6D4A" w:rsidSect="0058571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D7193" w14:textId="77777777" w:rsidR="009C6DB4" w:rsidRDefault="009C6DB4" w:rsidP="009C6DB4">
      <w:r>
        <w:separator/>
      </w:r>
    </w:p>
  </w:endnote>
  <w:endnote w:type="continuationSeparator" w:id="0">
    <w:p w14:paraId="343D7194" w14:textId="77777777" w:rsidR="009C6DB4" w:rsidRDefault="009C6DB4" w:rsidP="009C6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D7197" w14:textId="77777777" w:rsidR="00FE6FE8" w:rsidRDefault="00FE6F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D7198" w14:textId="77777777" w:rsidR="00FE6FE8" w:rsidRDefault="00FE6F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D719A" w14:textId="77777777" w:rsidR="00FE6FE8" w:rsidRDefault="00FE6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D7191" w14:textId="77777777" w:rsidR="009C6DB4" w:rsidRDefault="009C6DB4" w:rsidP="009C6DB4">
      <w:r>
        <w:separator/>
      </w:r>
    </w:p>
  </w:footnote>
  <w:footnote w:type="continuationSeparator" w:id="0">
    <w:p w14:paraId="343D7192" w14:textId="77777777" w:rsidR="009C6DB4" w:rsidRDefault="009C6DB4" w:rsidP="009C6DB4">
      <w:r>
        <w:continuationSeparator/>
      </w:r>
    </w:p>
  </w:footnote>
  <w:footnote w:id="1">
    <w:p w14:paraId="3D221999" w14:textId="6C8C274B" w:rsidR="00042EBF" w:rsidRDefault="00042EBF">
      <w:pPr>
        <w:pStyle w:val="FootnoteText"/>
      </w:pPr>
      <w:r>
        <w:rPr>
          <w:rStyle w:val="FootnoteReference"/>
        </w:rPr>
        <w:footnoteRef/>
      </w:r>
      <w:r>
        <w:t xml:space="preserve"> The requirement in Rule 1.60 is applicable to swap execution facilities (“SEFs”) through 17 C.F.R. </w:t>
      </w:r>
      <w:r>
        <w:rPr>
          <w:rFonts w:cs="Times New Roman"/>
        </w:rPr>
        <w:t>§</w:t>
      </w:r>
      <w:r>
        <w:t xml:space="preserve"> 37.2. </w:t>
      </w:r>
    </w:p>
  </w:footnote>
  <w:footnote w:id="2">
    <w:p w14:paraId="2B3D25D8" w14:textId="32CD9D06" w:rsidR="0023509C" w:rsidRDefault="0023509C" w:rsidP="0023509C">
      <w:pPr>
        <w:pStyle w:val="FootnoteText"/>
      </w:pPr>
      <w:r>
        <w:rPr>
          <w:rStyle w:val="FootnoteReference"/>
        </w:rPr>
        <w:footnoteRef/>
      </w:r>
      <w:r>
        <w:t xml:space="preserve">Rule 1.60 </w:t>
      </w:r>
      <w:r>
        <w:rPr>
          <w:szCs w:val="24"/>
        </w:rPr>
        <w:t xml:space="preserve">is applicable to swap execution facilities (SEFs) through </w:t>
      </w:r>
      <w:r w:rsidRPr="00F0367B">
        <w:rPr>
          <w:szCs w:val="24"/>
        </w:rPr>
        <w:t>17 C.F.R. § 37.2</w:t>
      </w:r>
    </w:p>
    <w:p w14:paraId="343D719E" w14:textId="6B3CAC36" w:rsidR="008F6D4A" w:rsidRDefault="00B20758" w:rsidP="008F6D4A">
      <w:pPr>
        <w:pStyle w:val="FootnoteText"/>
      </w:pPr>
      <w: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D7195" w14:textId="1CAE8FF7" w:rsidR="00FE6FE8" w:rsidRDefault="00FE6F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D7196" w14:textId="6FD5C15B" w:rsidR="00FE6FE8" w:rsidRDefault="00FE6F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D7199" w14:textId="32B674E0" w:rsidR="00FE6FE8" w:rsidRDefault="00FE6F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C33F2A"/>
    <w:multiLevelType w:val="hybridMultilevel"/>
    <w:tmpl w:val="F5DA2ED4"/>
    <w:lvl w:ilvl="0" w:tplc="D390C0BC">
      <w:start w:val="1"/>
      <w:numFmt w:val="bullet"/>
      <w:lvlText w:val="•"/>
      <w:lvlJc w:val="left"/>
      <w:pPr>
        <w:tabs>
          <w:tab w:val="num" w:pos="936"/>
        </w:tabs>
        <w:ind w:left="936" w:hanging="216"/>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B6A"/>
    <w:rsid w:val="00027656"/>
    <w:rsid w:val="00042EBF"/>
    <w:rsid w:val="000576BF"/>
    <w:rsid w:val="00072761"/>
    <w:rsid w:val="000803D6"/>
    <w:rsid w:val="000835FF"/>
    <w:rsid w:val="00083F72"/>
    <w:rsid w:val="000E0987"/>
    <w:rsid w:val="000E5272"/>
    <w:rsid w:val="000F58DF"/>
    <w:rsid w:val="00116FC7"/>
    <w:rsid w:val="0012080B"/>
    <w:rsid w:val="00125362"/>
    <w:rsid w:val="001577B2"/>
    <w:rsid w:val="00176391"/>
    <w:rsid w:val="00180982"/>
    <w:rsid w:val="00200207"/>
    <w:rsid w:val="00212CCC"/>
    <w:rsid w:val="00233D65"/>
    <w:rsid w:val="0023509C"/>
    <w:rsid w:val="00237DB5"/>
    <w:rsid w:val="00243435"/>
    <w:rsid w:val="002600FA"/>
    <w:rsid w:val="00260C07"/>
    <w:rsid w:val="0027708A"/>
    <w:rsid w:val="002879E8"/>
    <w:rsid w:val="002966DC"/>
    <w:rsid w:val="002C5FDB"/>
    <w:rsid w:val="002C7E70"/>
    <w:rsid w:val="002D0489"/>
    <w:rsid w:val="002D7D8C"/>
    <w:rsid w:val="002E05BD"/>
    <w:rsid w:val="002F1E80"/>
    <w:rsid w:val="00307E70"/>
    <w:rsid w:val="003228DA"/>
    <w:rsid w:val="003306CD"/>
    <w:rsid w:val="00330DF8"/>
    <w:rsid w:val="003607A6"/>
    <w:rsid w:val="00366A05"/>
    <w:rsid w:val="003677B4"/>
    <w:rsid w:val="0037312F"/>
    <w:rsid w:val="0037421B"/>
    <w:rsid w:val="003755F4"/>
    <w:rsid w:val="00443D7B"/>
    <w:rsid w:val="0044799F"/>
    <w:rsid w:val="00476AB6"/>
    <w:rsid w:val="004917AF"/>
    <w:rsid w:val="004A5F11"/>
    <w:rsid w:val="004C2276"/>
    <w:rsid w:val="004D4BEA"/>
    <w:rsid w:val="005503C6"/>
    <w:rsid w:val="0055179A"/>
    <w:rsid w:val="00554929"/>
    <w:rsid w:val="00557EF2"/>
    <w:rsid w:val="00577F1F"/>
    <w:rsid w:val="00585718"/>
    <w:rsid w:val="00585C21"/>
    <w:rsid w:val="005D34A0"/>
    <w:rsid w:val="005E4E5C"/>
    <w:rsid w:val="00607D38"/>
    <w:rsid w:val="006243BC"/>
    <w:rsid w:val="0063622E"/>
    <w:rsid w:val="00637711"/>
    <w:rsid w:val="00640784"/>
    <w:rsid w:val="00642B6A"/>
    <w:rsid w:val="00653547"/>
    <w:rsid w:val="00667CD6"/>
    <w:rsid w:val="00697065"/>
    <w:rsid w:val="006B2A40"/>
    <w:rsid w:val="006E1219"/>
    <w:rsid w:val="007029A9"/>
    <w:rsid w:val="00715F21"/>
    <w:rsid w:val="007227F3"/>
    <w:rsid w:val="0074122B"/>
    <w:rsid w:val="00747BF5"/>
    <w:rsid w:val="00751B4D"/>
    <w:rsid w:val="00754F64"/>
    <w:rsid w:val="00755826"/>
    <w:rsid w:val="0076443A"/>
    <w:rsid w:val="007724B6"/>
    <w:rsid w:val="007A7A88"/>
    <w:rsid w:val="007B1735"/>
    <w:rsid w:val="007B7CE3"/>
    <w:rsid w:val="007C5B3F"/>
    <w:rsid w:val="007E10D4"/>
    <w:rsid w:val="007F27F5"/>
    <w:rsid w:val="007F3179"/>
    <w:rsid w:val="007F611D"/>
    <w:rsid w:val="007F6F99"/>
    <w:rsid w:val="008024E2"/>
    <w:rsid w:val="00836741"/>
    <w:rsid w:val="00837DEF"/>
    <w:rsid w:val="008435FA"/>
    <w:rsid w:val="00843603"/>
    <w:rsid w:val="00882745"/>
    <w:rsid w:val="0089001F"/>
    <w:rsid w:val="008F2F98"/>
    <w:rsid w:val="008F6D4A"/>
    <w:rsid w:val="00902356"/>
    <w:rsid w:val="009138D7"/>
    <w:rsid w:val="009309EC"/>
    <w:rsid w:val="009660D5"/>
    <w:rsid w:val="0099690D"/>
    <w:rsid w:val="009A3254"/>
    <w:rsid w:val="009B0E55"/>
    <w:rsid w:val="009B1517"/>
    <w:rsid w:val="009B1E93"/>
    <w:rsid w:val="009B2F52"/>
    <w:rsid w:val="009C6DB4"/>
    <w:rsid w:val="009D00FB"/>
    <w:rsid w:val="009D4368"/>
    <w:rsid w:val="00A34FBC"/>
    <w:rsid w:val="00A438E4"/>
    <w:rsid w:val="00A54471"/>
    <w:rsid w:val="00A708B1"/>
    <w:rsid w:val="00A76B6C"/>
    <w:rsid w:val="00A94D6F"/>
    <w:rsid w:val="00AC2529"/>
    <w:rsid w:val="00AC3CB5"/>
    <w:rsid w:val="00AC59BE"/>
    <w:rsid w:val="00AD0B9F"/>
    <w:rsid w:val="00B1090B"/>
    <w:rsid w:val="00B20758"/>
    <w:rsid w:val="00B328FB"/>
    <w:rsid w:val="00B33652"/>
    <w:rsid w:val="00B45E65"/>
    <w:rsid w:val="00B74CE1"/>
    <w:rsid w:val="00B86819"/>
    <w:rsid w:val="00B91704"/>
    <w:rsid w:val="00BA0A82"/>
    <w:rsid w:val="00BA6D55"/>
    <w:rsid w:val="00BC0443"/>
    <w:rsid w:val="00BE3923"/>
    <w:rsid w:val="00BE6AC8"/>
    <w:rsid w:val="00C032F4"/>
    <w:rsid w:val="00C04D83"/>
    <w:rsid w:val="00C173E1"/>
    <w:rsid w:val="00C2000F"/>
    <w:rsid w:val="00C23A3C"/>
    <w:rsid w:val="00C410F4"/>
    <w:rsid w:val="00C9497A"/>
    <w:rsid w:val="00CF1C34"/>
    <w:rsid w:val="00D12FEB"/>
    <w:rsid w:val="00D25BD2"/>
    <w:rsid w:val="00D27AE8"/>
    <w:rsid w:val="00D37F72"/>
    <w:rsid w:val="00D438F6"/>
    <w:rsid w:val="00D84868"/>
    <w:rsid w:val="00DA2D6E"/>
    <w:rsid w:val="00DB00E1"/>
    <w:rsid w:val="00DB1AD1"/>
    <w:rsid w:val="00DB7297"/>
    <w:rsid w:val="00DC56E4"/>
    <w:rsid w:val="00DD51EE"/>
    <w:rsid w:val="00E15E4F"/>
    <w:rsid w:val="00E27B7A"/>
    <w:rsid w:val="00E51AB0"/>
    <w:rsid w:val="00E76D4E"/>
    <w:rsid w:val="00E87F36"/>
    <w:rsid w:val="00E87F90"/>
    <w:rsid w:val="00EA5CD7"/>
    <w:rsid w:val="00EB0FA7"/>
    <w:rsid w:val="00EC238C"/>
    <w:rsid w:val="00F02CC0"/>
    <w:rsid w:val="00F21958"/>
    <w:rsid w:val="00F378A6"/>
    <w:rsid w:val="00F4707F"/>
    <w:rsid w:val="00F568E5"/>
    <w:rsid w:val="00F61482"/>
    <w:rsid w:val="00F74802"/>
    <w:rsid w:val="00FA7B7E"/>
    <w:rsid w:val="00FB0145"/>
    <w:rsid w:val="00FC54D4"/>
    <w:rsid w:val="00FE1133"/>
    <w:rsid w:val="00FE6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43D7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6AC8"/>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9690D"/>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FE1133"/>
    <w:rPr>
      <w:rFonts w:ascii="Tahoma" w:hAnsi="Tahoma" w:cs="Tahoma"/>
      <w:sz w:val="16"/>
      <w:szCs w:val="16"/>
    </w:rPr>
  </w:style>
  <w:style w:type="character" w:customStyle="1" w:styleId="BalloonTextChar">
    <w:name w:val="Balloon Text Char"/>
    <w:basedOn w:val="DefaultParagraphFont"/>
    <w:link w:val="BalloonText"/>
    <w:uiPriority w:val="99"/>
    <w:semiHidden/>
    <w:rsid w:val="00FE1133"/>
    <w:rPr>
      <w:rFonts w:ascii="Tahoma" w:hAnsi="Tahoma" w:cs="Tahoma"/>
      <w:sz w:val="16"/>
      <w:szCs w:val="16"/>
    </w:rPr>
  </w:style>
  <w:style w:type="character" w:styleId="CommentReference">
    <w:name w:val="annotation reference"/>
    <w:basedOn w:val="DefaultParagraphFont"/>
    <w:uiPriority w:val="99"/>
    <w:semiHidden/>
    <w:unhideWhenUsed/>
    <w:rsid w:val="003755F4"/>
    <w:rPr>
      <w:sz w:val="16"/>
      <w:szCs w:val="16"/>
    </w:rPr>
  </w:style>
  <w:style w:type="paragraph" w:styleId="CommentText">
    <w:name w:val="annotation text"/>
    <w:basedOn w:val="Normal"/>
    <w:link w:val="CommentTextChar"/>
    <w:uiPriority w:val="99"/>
    <w:semiHidden/>
    <w:unhideWhenUsed/>
    <w:rsid w:val="003755F4"/>
    <w:rPr>
      <w:sz w:val="20"/>
      <w:szCs w:val="20"/>
    </w:rPr>
  </w:style>
  <w:style w:type="character" w:customStyle="1" w:styleId="CommentTextChar">
    <w:name w:val="Comment Text Char"/>
    <w:basedOn w:val="DefaultParagraphFont"/>
    <w:link w:val="CommentText"/>
    <w:uiPriority w:val="99"/>
    <w:semiHidden/>
    <w:rsid w:val="003755F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755F4"/>
    <w:rPr>
      <w:b/>
      <w:bCs/>
    </w:rPr>
  </w:style>
  <w:style w:type="character" w:customStyle="1" w:styleId="CommentSubjectChar">
    <w:name w:val="Comment Subject Char"/>
    <w:basedOn w:val="CommentTextChar"/>
    <w:link w:val="CommentSubject"/>
    <w:uiPriority w:val="99"/>
    <w:semiHidden/>
    <w:rsid w:val="003755F4"/>
    <w:rPr>
      <w:rFonts w:ascii="Times New Roman" w:hAnsi="Times New Roman"/>
      <w:b/>
      <w:bCs/>
      <w:sz w:val="20"/>
      <w:szCs w:val="20"/>
    </w:rPr>
  </w:style>
  <w:style w:type="paragraph" w:styleId="FootnoteText">
    <w:name w:val="footnote text"/>
    <w:basedOn w:val="Normal"/>
    <w:link w:val="FootnoteTextChar"/>
    <w:uiPriority w:val="99"/>
    <w:unhideWhenUsed/>
    <w:rsid w:val="009C6DB4"/>
    <w:rPr>
      <w:sz w:val="20"/>
      <w:szCs w:val="20"/>
    </w:rPr>
  </w:style>
  <w:style w:type="character" w:customStyle="1" w:styleId="FootnoteTextChar">
    <w:name w:val="Footnote Text Char"/>
    <w:basedOn w:val="DefaultParagraphFont"/>
    <w:link w:val="FootnoteText"/>
    <w:uiPriority w:val="99"/>
    <w:rsid w:val="009C6DB4"/>
    <w:rPr>
      <w:rFonts w:ascii="Times New Roman" w:hAnsi="Times New Roman"/>
      <w:sz w:val="20"/>
      <w:szCs w:val="20"/>
    </w:rPr>
  </w:style>
  <w:style w:type="character" w:styleId="FootnoteReference">
    <w:name w:val="footnote reference"/>
    <w:aliases w:val="fr,Style 19,Style 16,Style 35"/>
    <w:rsid w:val="009C6DB4"/>
    <w:rPr>
      <w:vertAlign w:val="superscript"/>
    </w:rPr>
  </w:style>
  <w:style w:type="paragraph" w:styleId="Header">
    <w:name w:val="header"/>
    <w:basedOn w:val="Normal"/>
    <w:link w:val="HeaderChar"/>
    <w:uiPriority w:val="99"/>
    <w:unhideWhenUsed/>
    <w:rsid w:val="00FE6FE8"/>
    <w:pPr>
      <w:tabs>
        <w:tab w:val="center" w:pos="4680"/>
        <w:tab w:val="right" w:pos="9360"/>
      </w:tabs>
    </w:pPr>
  </w:style>
  <w:style w:type="character" w:customStyle="1" w:styleId="HeaderChar">
    <w:name w:val="Header Char"/>
    <w:basedOn w:val="DefaultParagraphFont"/>
    <w:link w:val="Header"/>
    <w:uiPriority w:val="99"/>
    <w:rsid w:val="00FE6FE8"/>
    <w:rPr>
      <w:rFonts w:ascii="Times New Roman" w:hAnsi="Times New Roman"/>
      <w:sz w:val="24"/>
    </w:rPr>
  </w:style>
  <w:style w:type="paragraph" w:styleId="Footer">
    <w:name w:val="footer"/>
    <w:basedOn w:val="Normal"/>
    <w:link w:val="FooterChar"/>
    <w:uiPriority w:val="99"/>
    <w:unhideWhenUsed/>
    <w:rsid w:val="00FE6FE8"/>
    <w:pPr>
      <w:tabs>
        <w:tab w:val="center" w:pos="4680"/>
        <w:tab w:val="right" w:pos="9360"/>
      </w:tabs>
    </w:pPr>
  </w:style>
  <w:style w:type="character" w:customStyle="1" w:styleId="FooterChar">
    <w:name w:val="Footer Char"/>
    <w:basedOn w:val="DefaultParagraphFont"/>
    <w:link w:val="Footer"/>
    <w:uiPriority w:val="99"/>
    <w:rsid w:val="00FE6FE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5BDF6-5A36-4CDC-9D53-1394915E2090}">
  <ds:schemaRefs>
    <ds:schemaRef ds:uri="http://schemas.microsoft.com/sharepoint/v3/contenttype/forms"/>
  </ds:schemaRefs>
</ds:datastoreItem>
</file>

<file path=customXml/itemProps2.xml><?xml version="1.0" encoding="utf-8"?>
<ds:datastoreItem xmlns:ds="http://schemas.openxmlformats.org/officeDocument/2006/customXml" ds:itemID="{0612D46D-3A2B-48C7-B66F-484789EC053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D58871F-A558-4CBC-A0CA-9C9C3F30C9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23C7158-ED25-451A-8F26-84B5D3638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2294</Words>
  <Characters>13082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2021-10-22T00:31:00Z</dcterms:created>
  <dcterms:modified xsi:type="dcterms:W3CDTF">2021-10-22T00:33:00Z</dcterms:modified>
</cp:coreProperties>
</file>