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15EA" w:rsidP="00B7035C" w:rsidRDefault="00CA15EA" w14:paraId="4455DDDB" w14:textId="77777777">
      <w:pPr>
        <w:suppressAutoHyphens/>
        <w:jc w:val="center"/>
        <w:rPr>
          <w:b/>
        </w:rPr>
      </w:pPr>
    </w:p>
    <w:p w:rsidRPr="00B7035C" w:rsidR="00FC1430" w:rsidP="00B7035C" w:rsidRDefault="00FC1430" w14:paraId="040A47B8" w14:textId="348DF0A6">
      <w:pPr>
        <w:suppressAutoHyphens/>
        <w:jc w:val="center"/>
        <w:rPr>
          <w:b/>
        </w:rPr>
      </w:pPr>
      <w:r w:rsidRPr="00B7035C">
        <w:rPr>
          <w:b/>
        </w:rPr>
        <w:t>SUPPORTING STATEMENT FOR NEW AND REVISED INFORMATION COLLECTIONS</w:t>
      </w:r>
      <w:r w:rsidRPr="00B7035C">
        <w:rPr>
          <w:b/>
        </w:rPr>
        <w:fldChar w:fldCharType="begin"/>
      </w:r>
      <w:r w:rsidRPr="00B7035C">
        <w:rPr>
          <w:b/>
        </w:rPr>
        <w:instrText xml:space="preserve">PRIVATE </w:instrText>
      </w:r>
      <w:r w:rsidRPr="00B7035C">
        <w:rPr>
          <w:b/>
        </w:rPr>
        <w:fldChar w:fldCharType="end"/>
      </w:r>
    </w:p>
    <w:p w:rsidR="00FC1430" w:rsidP="00FC1430" w:rsidRDefault="00FC1430" w14:paraId="196DFD9E" w14:textId="77777777">
      <w:pPr>
        <w:suppressAutoHyphens/>
      </w:pPr>
    </w:p>
    <w:p w:rsidRPr="00B7035C" w:rsidR="00FC1430" w:rsidP="00FC1430" w:rsidRDefault="00FC1430" w14:paraId="2BA74A7A" w14:textId="77777777">
      <w:pPr>
        <w:tabs>
          <w:tab w:val="center" w:pos="4680"/>
        </w:tabs>
        <w:suppressAutoHyphens/>
        <w:rPr>
          <w:b/>
        </w:rPr>
      </w:pPr>
      <w:r>
        <w:tab/>
      </w:r>
      <w:r w:rsidRPr="00B7035C">
        <w:rPr>
          <w:b/>
        </w:rPr>
        <w:t>OMB CONTROL NUMBER 3038-0007</w:t>
      </w:r>
    </w:p>
    <w:p w:rsidR="00FC1430" w:rsidP="00FC1430" w:rsidRDefault="00FC1430" w14:paraId="4BE0E703" w14:textId="77777777">
      <w:pPr>
        <w:tabs>
          <w:tab w:val="left" w:pos="-720"/>
        </w:tabs>
        <w:suppressAutoHyphens/>
      </w:pPr>
    </w:p>
    <w:p w:rsidR="001F7D1A" w:rsidP="00FC1430" w:rsidRDefault="001F7D1A" w14:paraId="5519CE20" w14:textId="77777777">
      <w:pPr>
        <w:tabs>
          <w:tab w:val="left" w:pos="-720"/>
        </w:tabs>
        <w:suppressAutoHyphens/>
        <w:rPr>
          <w:b/>
          <w:u w:val="single"/>
        </w:rPr>
      </w:pPr>
    </w:p>
    <w:p w:rsidRPr="00B7035C" w:rsidR="00FC1430" w:rsidP="00FC1430" w:rsidRDefault="00FC1430" w14:paraId="0E0B3CE1" w14:textId="1D86BD53">
      <w:pPr>
        <w:tabs>
          <w:tab w:val="left" w:pos="-720"/>
        </w:tabs>
        <w:suppressAutoHyphens/>
        <w:rPr>
          <w:b/>
        </w:rPr>
      </w:pPr>
      <w:r w:rsidRPr="00B7035C">
        <w:rPr>
          <w:b/>
          <w:u w:val="single"/>
        </w:rPr>
        <w:t>Justification</w:t>
      </w:r>
    </w:p>
    <w:p w:rsidR="00FC1430" w:rsidP="00FC1430" w:rsidRDefault="00FC1430" w14:paraId="602B2E98" w14:textId="77777777">
      <w:pPr>
        <w:tabs>
          <w:tab w:val="left" w:pos="-720"/>
        </w:tabs>
        <w:suppressAutoHyphens/>
      </w:pPr>
    </w:p>
    <w:p w:rsidR="00FC1430" w:rsidP="00FC1430" w:rsidRDefault="00FC1430" w14:paraId="73A77986" w14:textId="77777777">
      <w:pPr>
        <w:tabs>
          <w:tab w:val="left" w:pos="-720"/>
          <w:tab w:val="left" w:pos="0"/>
        </w:tabs>
        <w:suppressAutoHyphens/>
        <w:ind w:left="720" w:hanging="720"/>
      </w:pPr>
      <w:r w:rsidRPr="00B7035C">
        <w:rPr>
          <w:b/>
        </w:rPr>
        <w:t>1</w:t>
      </w:r>
      <w:r>
        <w:t>.</w:t>
      </w:r>
      <w:r>
        <w:tab/>
      </w:r>
      <w:r w:rsidRPr="00B7035C">
        <w:rPr>
          <w:b/>
          <w:u w:val="single"/>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t>.</w:t>
      </w:r>
    </w:p>
    <w:p w:rsidR="00FC1430" w:rsidP="00FC1430" w:rsidRDefault="00FC1430" w14:paraId="7AEDF0A1" w14:textId="77777777">
      <w:pPr>
        <w:tabs>
          <w:tab w:val="left" w:pos="-720"/>
        </w:tabs>
        <w:suppressAutoHyphens/>
      </w:pPr>
    </w:p>
    <w:p w:rsidRPr="00B75A22" w:rsidR="00B75A22" w:rsidP="00B75A22" w:rsidRDefault="00FC1430" w14:paraId="1535405C" w14:textId="77777777">
      <w:pPr>
        <w:tabs>
          <w:tab w:val="left" w:pos="-720"/>
        </w:tabs>
        <w:suppressAutoHyphens/>
      </w:pPr>
      <w:r>
        <w:tab/>
        <w:t xml:space="preserve">The Commodity Futures Trading Commission (“Commission”) has established minimum disclosure requirements to ensure that retail customers of futures commission merchants (“FCMs”) and introducing brokers (“IBs”) are fully aware of the nature and risks of domestic commodity options trading.  The requirement to alert retail customers to these inherent risks helps assure that these customers are not fraudulently induced to invest in commodity options by persons who misrepresent the risks of such transactions.  The recordkeeping requirements under these disclosure rules assist the Commission and the National Futures Association (“NFA”) in verifying registrants’ compliance with their disclosure obligations and their obligations to prepare promotional material that is not fraudulent or misleading.  FCMs and IBs are not required to provide the disclosure statement to certain categories of customers who are financially sophisticated and thus would generally be aware of any information contained in the disclosure statement.  </w:t>
      </w:r>
      <w:r w:rsidR="00B75A22">
        <w:t>T</w:t>
      </w:r>
      <w:r w:rsidRPr="00B75A22" w:rsidR="00B75A22">
        <w:t xml:space="preserve">he disclosure </w:t>
      </w:r>
      <w:r w:rsidR="00B75A22">
        <w:t>and recordkeeping requirements</w:t>
      </w:r>
      <w:r w:rsidRPr="00B75A22" w:rsidR="00B75A22">
        <w:t xml:space="preserve"> are </w:t>
      </w:r>
      <w:r w:rsidR="00B75A22">
        <w:t xml:space="preserve">necessary </w:t>
      </w:r>
      <w:r w:rsidRPr="00B75A22" w:rsidR="00B75A22">
        <w:t>to monitor and to verify compliance by FCMs and IBs with their obligations concerning disclosure and promotional material.</w:t>
      </w:r>
    </w:p>
    <w:p w:rsidR="00FC1430" w:rsidP="00FC1430" w:rsidRDefault="00FC1430" w14:paraId="36F2C43E" w14:textId="77777777">
      <w:pPr>
        <w:tabs>
          <w:tab w:val="left" w:pos="-720"/>
        </w:tabs>
        <w:suppressAutoHyphens/>
      </w:pPr>
    </w:p>
    <w:p w:rsidR="00FC1430" w:rsidP="00FC1430" w:rsidRDefault="00FC1430" w14:paraId="1A5F488E" w14:textId="77777777">
      <w:pPr>
        <w:tabs>
          <w:tab w:val="left" w:pos="-720"/>
        </w:tabs>
        <w:suppressAutoHyphens/>
      </w:pPr>
    </w:p>
    <w:p w:rsidR="00FC1430" w:rsidP="00FC1430" w:rsidRDefault="00FC1430" w14:paraId="546F34BE" w14:textId="77777777">
      <w:pPr>
        <w:tabs>
          <w:tab w:val="left" w:pos="-720"/>
        </w:tabs>
        <w:suppressAutoHyphens/>
        <w:ind w:left="720" w:hanging="720"/>
      </w:pPr>
      <w:r w:rsidRPr="00B7035C">
        <w:rPr>
          <w:b/>
        </w:rPr>
        <w:t>2</w:t>
      </w:r>
      <w:r>
        <w:t>.</w:t>
      </w:r>
      <w:r>
        <w:tab/>
      </w:r>
      <w:r w:rsidRPr="00B7035C">
        <w:rPr>
          <w:b/>
          <w:u w:val="single"/>
        </w:rPr>
        <w:t>Indicate how, by whom, and for what purpose the data would be used.  Except for a new collection, indicate the actual use the agency has made of the information received from the current collection</w:t>
      </w:r>
      <w:r>
        <w:t>.</w:t>
      </w:r>
    </w:p>
    <w:p w:rsidR="00FC1430" w:rsidP="00FC1430" w:rsidRDefault="00FC1430" w14:paraId="49474FF7" w14:textId="77777777">
      <w:pPr>
        <w:tabs>
          <w:tab w:val="left" w:pos="-720"/>
        </w:tabs>
        <w:suppressAutoHyphens/>
      </w:pPr>
    </w:p>
    <w:p w:rsidR="00FC1430" w:rsidP="00FC1430" w:rsidRDefault="00FC1430" w14:paraId="4FD382A2" w14:textId="77777777">
      <w:pPr>
        <w:tabs>
          <w:tab w:val="left" w:pos="-720"/>
        </w:tabs>
        <w:suppressAutoHyphens/>
      </w:pPr>
      <w:r>
        <w:tab/>
        <w:t xml:space="preserve">The principal beneficiaries of the information required to be disclosed under this rule are the retail users of the domestic commodity option markets who benefit from the disclosure of relevant information.  The disclosure rules </w:t>
      </w:r>
      <w:r w:rsidR="00B75A22">
        <w:t xml:space="preserve">do not apply </w:t>
      </w:r>
      <w:r>
        <w:t>the disclosure requirement to certain categories of financially sophisticated customers who would generally be aware of the information contained in such statements and thus for whom the information would be duplicative.  The records required to be kept under the disclosure and promotional material rules are used by the Commission and NFA to monitor and to verify compliance by FCMs and IBs with their obligations concerning disclosure and promotional material.</w:t>
      </w:r>
    </w:p>
    <w:p w:rsidR="00FC1430" w:rsidP="00FC1430" w:rsidRDefault="00FC1430" w14:paraId="00475AC5" w14:textId="77777777">
      <w:pPr>
        <w:tabs>
          <w:tab w:val="left" w:pos="-720"/>
        </w:tabs>
        <w:suppressAutoHyphens/>
      </w:pPr>
      <w:r>
        <w:t xml:space="preserve"> </w:t>
      </w:r>
    </w:p>
    <w:p w:rsidR="00FC1430" w:rsidP="00FC1430" w:rsidRDefault="00FC1430" w14:paraId="4C71E9D8" w14:textId="77777777">
      <w:pPr>
        <w:tabs>
          <w:tab w:val="left" w:pos="-720"/>
          <w:tab w:val="left" w:pos="0"/>
        </w:tabs>
        <w:suppressAutoHyphens/>
        <w:ind w:left="720" w:hanging="720"/>
      </w:pPr>
      <w:r w:rsidRPr="00B7035C">
        <w:rPr>
          <w:b/>
        </w:rPr>
        <w:t>3.</w:t>
      </w:r>
      <w:r>
        <w:tab/>
      </w:r>
      <w:r w:rsidRPr="00B7035C">
        <w:rPr>
          <w:b/>
          <w:u w:val="single"/>
        </w:rPr>
        <w:t xml:space="preserve">Describe whether, and to what extent, the collection of information involves the use of automated, electronic, mechanical, or other technological collection techniques or other forms of information technology, e.g. permitting electronic submission of </w:t>
      </w:r>
      <w:r w:rsidRPr="00B7035C">
        <w:rPr>
          <w:b/>
          <w:u w:val="single"/>
        </w:rPr>
        <w:lastRenderedPageBreak/>
        <w:t>responses, and the basis for the decision for adopting this means of collection.  Also describe any consideration of using information technology to reduce burden.</w:t>
      </w:r>
    </w:p>
    <w:p w:rsidR="00FC1430" w:rsidP="00FC1430" w:rsidRDefault="00FC1430" w14:paraId="4924D8BD" w14:textId="77777777">
      <w:pPr>
        <w:tabs>
          <w:tab w:val="left" w:pos="-720"/>
        </w:tabs>
        <w:suppressAutoHyphens/>
      </w:pPr>
    </w:p>
    <w:p w:rsidRPr="00C542F5" w:rsidR="002C33C5" w:rsidP="002C33C5" w:rsidRDefault="00FC1430" w14:paraId="259BA7A6" w14:textId="77777777">
      <w:pPr>
        <w:tabs>
          <w:tab w:val="left" w:pos="-720"/>
          <w:tab w:val="left" w:pos="0"/>
        </w:tabs>
        <w:spacing w:after="240"/>
        <w:jc w:val="both"/>
      </w:pPr>
      <w:r>
        <w:tab/>
      </w:r>
      <w:r w:rsidRPr="00C542F5" w:rsidR="002C33C5">
        <w:t>The regulations require that recordkeeping be performed in accordance with Commission regulation 1.31, which permits the use of electronic regulatory records.</w:t>
      </w:r>
    </w:p>
    <w:p w:rsidR="00FC1430" w:rsidP="00FC1430" w:rsidRDefault="00C542F5" w14:paraId="188894C9" w14:textId="7D32DBCF">
      <w:pPr>
        <w:tabs>
          <w:tab w:val="left" w:pos="-720"/>
        </w:tabs>
        <w:suppressAutoHyphens/>
      </w:pPr>
      <w:r>
        <w:t xml:space="preserve"> </w:t>
      </w:r>
      <w:r>
        <w:tab/>
      </w:r>
    </w:p>
    <w:p w:rsidRPr="00B7035C" w:rsidR="00FC1430" w:rsidP="00FC1430" w:rsidRDefault="00FC1430" w14:paraId="4AC09A9E" w14:textId="77777777">
      <w:pPr>
        <w:tabs>
          <w:tab w:val="left" w:pos="-720"/>
          <w:tab w:val="left" w:pos="0"/>
        </w:tabs>
        <w:suppressAutoHyphens/>
        <w:ind w:left="720" w:hanging="720"/>
        <w:rPr>
          <w:b/>
        </w:rPr>
      </w:pPr>
      <w:r w:rsidRPr="00B7035C">
        <w:rPr>
          <w:b/>
        </w:rPr>
        <w:t>4.</w:t>
      </w:r>
      <w:r>
        <w:tab/>
      </w:r>
      <w:r w:rsidRPr="00B7035C">
        <w:rPr>
          <w:b/>
          <w:u w:val="single"/>
        </w:rPr>
        <w:t>Describe efforts to identify duplication.  Show specifically why any similar information already available cannot be used or modified for use for the purposes described in Item 2 above</w:t>
      </w:r>
      <w:r w:rsidRPr="00B7035C">
        <w:rPr>
          <w:b/>
        </w:rPr>
        <w:t>.</w:t>
      </w:r>
    </w:p>
    <w:p w:rsidR="00FC1430" w:rsidP="00FC1430" w:rsidRDefault="00FC1430" w14:paraId="59F870B2" w14:textId="77777777">
      <w:pPr>
        <w:tabs>
          <w:tab w:val="left" w:pos="-720"/>
        </w:tabs>
        <w:suppressAutoHyphens/>
      </w:pPr>
    </w:p>
    <w:p w:rsidR="00FC1430" w:rsidP="00FC1430" w:rsidRDefault="00FC1430" w14:paraId="2B083994" w14:textId="77777777">
      <w:pPr>
        <w:tabs>
          <w:tab w:val="left" w:pos="-720"/>
        </w:tabs>
        <w:suppressAutoHyphens/>
      </w:pPr>
      <w:r>
        <w:tab/>
        <w:t>The Commission has previously amended its risk disclosure rules in order to consolidate risk disclosure statements and thereby reduce duplicative disclosure requirements and ease administrative burdens on FCMs and IBs.  (</w:t>
      </w:r>
      <w:r>
        <w:rPr>
          <w:u w:val="single"/>
        </w:rPr>
        <w:t>See</w:t>
      </w:r>
      <w:r>
        <w:t xml:space="preserve"> 58 Fed. Reg. 17495 (April 5, 1993) and 59 Fed. Reg. 34376 (July 5, 1994)).  The risk disclosure rules were further amended to streamline disclosure burdens by eliminating the requirement that FCMs and IBs provide the mandated disclosure statement to categories of customers whose financial sophistication and knowledge would render the information contained in the statement duplicative.  (</w:t>
      </w:r>
      <w:r>
        <w:rPr>
          <w:u w:val="single"/>
        </w:rPr>
        <w:t>See</w:t>
      </w:r>
      <w:r>
        <w:t xml:space="preserve"> 63 Fed. Reg. 8566 (February 20, 1998)).  The Commission has also reviewed and simplified the designation process several times </w:t>
      </w:r>
      <w:r w:rsidR="00C542F5">
        <w:t>including</w:t>
      </w:r>
      <w:r>
        <w:t xml:space="preserve"> changes </w:t>
      </w:r>
      <w:r w:rsidR="00C542F5">
        <w:t xml:space="preserve">that </w:t>
      </w:r>
      <w:r>
        <w:t>permit existing contract markets to “self-certify” new option contracts and begin trading the next day.  See 66 Fed. Reg. 42255 (Aug. 10, 2001)</w:t>
      </w:r>
      <w:r w:rsidR="00D16A56">
        <w:t xml:space="preserve"> and 67 Fed. Reg. 62873 (October 9, 2002)</w:t>
      </w:r>
      <w:r>
        <w:t xml:space="preserve">.  Option data is now reported together with futures data by FCMs under the Commission’s large trader reporting system, which is described in information collection 3038-0009.  </w:t>
      </w:r>
      <w:r w:rsidRPr="00B7035C">
        <w:rPr>
          <w:i/>
        </w:rPr>
        <w:t>See</w:t>
      </w:r>
      <w:r>
        <w:t xml:space="preserve"> 65 Fed. Reg. 14452 (March 17, 2000).</w:t>
      </w:r>
    </w:p>
    <w:p w:rsidR="00FC1430" w:rsidP="00FC1430" w:rsidRDefault="00FC1430" w14:paraId="75959F3B" w14:textId="77777777">
      <w:pPr>
        <w:tabs>
          <w:tab w:val="left" w:pos="-720"/>
        </w:tabs>
        <w:suppressAutoHyphens/>
      </w:pPr>
      <w:r>
        <w:tab/>
      </w:r>
    </w:p>
    <w:p w:rsidR="00FC1430" w:rsidP="00FC1430" w:rsidRDefault="00FC1430" w14:paraId="080A8AAE" w14:textId="2D2CF453">
      <w:pPr>
        <w:tabs>
          <w:tab w:val="left" w:pos="-720"/>
          <w:tab w:val="left" w:pos="0"/>
        </w:tabs>
        <w:suppressAutoHyphens/>
        <w:ind w:left="720" w:hanging="720"/>
      </w:pPr>
      <w:r w:rsidRPr="00B7035C">
        <w:rPr>
          <w:b/>
        </w:rPr>
        <w:t>5.</w:t>
      </w:r>
      <w:r>
        <w:tab/>
      </w:r>
      <w:r w:rsidRPr="00B7035C">
        <w:rPr>
          <w:b/>
          <w:u w:val="single"/>
        </w:rPr>
        <w:t>If the collection of information involves small business or other small entities (Item 5 of OMB Fo</w:t>
      </w:r>
      <w:r w:rsidR="00B7035C">
        <w:rPr>
          <w:b/>
          <w:u w:val="single"/>
        </w:rPr>
        <w:t>r</w:t>
      </w:r>
      <w:r w:rsidRPr="00B7035C">
        <w:rPr>
          <w:b/>
          <w:u w:val="single"/>
        </w:rPr>
        <w:t>m 83-I), describe the methods used to minimize burden</w:t>
      </w:r>
      <w:r>
        <w:t>.</w:t>
      </w:r>
    </w:p>
    <w:p w:rsidR="00FC1430" w:rsidP="00FC1430" w:rsidRDefault="00FC1430" w14:paraId="1776EC70" w14:textId="77777777">
      <w:pPr>
        <w:tabs>
          <w:tab w:val="left" w:pos="-720"/>
        </w:tabs>
        <w:suppressAutoHyphens/>
      </w:pPr>
    </w:p>
    <w:p w:rsidR="00FC1430" w:rsidP="00FC1430" w:rsidRDefault="00FC1430" w14:paraId="48593325" w14:textId="77777777">
      <w:pPr>
        <w:tabs>
          <w:tab w:val="left" w:pos="-720"/>
        </w:tabs>
        <w:suppressAutoHyphens/>
      </w:pPr>
      <w:r>
        <w:tab/>
        <w:t>The risk disclosure rules do not have a significant economic impact on a substantial number of small entities.  Certain IBs affected by these rules may be considered small entities.  However, the disclosure requirements should not obligate any IB to change current practices.</w:t>
      </w:r>
      <w:r w:rsidR="007F450E">
        <w:t xml:space="preserve">  </w:t>
      </w:r>
    </w:p>
    <w:p w:rsidR="00FC1430" w:rsidP="00FC1430" w:rsidRDefault="00FC1430" w14:paraId="210BDD99" w14:textId="77777777">
      <w:pPr>
        <w:tabs>
          <w:tab w:val="left" w:pos="-720"/>
        </w:tabs>
        <w:suppressAutoHyphens/>
      </w:pPr>
      <w:r>
        <w:tab/>
      </w:r>
    </w:p>
    <w:p w:rsidR="00FC1430" w:rsidP="00FC1430" w:rsidRDefault="00FC1430" w14:paraId="5F40F12D" w14:textId="77777777">
      <w:pPr>
        <w:tabs>
          <w:tab w:val="left" w:pos="-720"/>
          <w:tab w:val="left" w:pos="0"/>
        </w:tabs>
        <w:suppressAutoHyphens/>
        <w:ind w:left="720" w:hanging="720"/>
      </w:pPr>
      <w:r w:rsidRPr="00B7035C">
        <w:rPr>
          <w:b/>
        </w:rPr>
        <w:t>6.</w:t>
      </w:r>
      <w:r>
        <w:tab/>
      </w:r>
      <w:r w:rsidRPr="00B7035C">
        <w:rPr>
          <w:b/>
          <w:u w:val="single"/>
        </w:rPr>
        <w:t>Describe the consequence to the Federal Program or policy activities if the collection were conducted less frequently as well as any technical or legal obstacles to reducing burden</w:t>
      </w:r>
      <w:r w:rsidRPr="00B7035C">
        <w:rPr>
          <w:b/>
        </w:rPr>
        <w:t>.</w:t>
      </w:r>
    </w:p>
    <w:p w:rsidR="00FC1430" w:rsidP="00FC1430" w:rsidRDefault="00FC1430" w14:paraId="597126D5" w14:textId="77777777">
      <w:pPr>
        <w:tabs>
          <w:tab w:val="left" w:pos="-720"/>
        </w:tabs>
        <w:suppressAutoHyphens/>
      </w:pPr>
    </w:p>
    <w:p w:rsidR="00FC1430" w:rsidP="00FC1430" w:rsidRDefault="00FC1430" w14:paraId="64EBB143" w14:textId="77777777">
      <w:pPr>
        <w:tabs>
          <w:tab w:val="left" w:pos="-720"/>
        </w:tabs>
        <w:suppressAutoHyphens/>
      </w:pPr>
      <w:r>
        <w:tab/>
        <w:t>User</w:t>
      </w:r>
      <w:r w:rsidR="00206691">
        <w:t>s</w:t>
      </w:r>
      <w:r>
        <w:t xml:space="preserve"> of the markets are the primary beneficiaries of the disclosure requirements.  The rule only requires that the mandated statement be provided to a customer at the time the customer opens an option trading account.  The rule further reduces any burden associated with the disclosure obligation by not requiring disclosure to certain categories of customers for whom the disclosed information is likely to be duplicative.  Further reduction in the disclosure obligation could result in many commodity option customers not having important information concerning the risks of investing in domestic commodity options before they so invest.  If promotional material is not required to be retained so that it can be reviewed, fraudulent or misleading data could be provided to customers more readily.</w:t>
      </w:r>
      <w:r w:rsidR="007F450E">
        <w:t xml:space="preserve">  </w:t>
      </w:r>
    </w:p>
    <w:p w:rsidR="00FC1430" w:rsidP="00FC1430" w:rsidRDefault="00FC1430" w14:paraId="40FC4928" w14:textId="77777777">
      <w:pPr>
        <w:tabs>
          <w:tab w:val="left" w:pos="-720"/>
        </w:tabs>
        <w:suppressAutoHyphens/>
      </w:pPr>
    </w:p>
    <w:p w:rsidR="00FC1430" w:rsidP="00FC1430" w:rsidRDefault="00FC1430" w14:paraId="298F5A00" w14:textId="77777777">
      <w:pPr>
        <w:tabs>
          <w:tab w:val="left" w:pos="-720"/>
          <w:tab w:val="left" w:pos="0"/>
        </w:tabs>
        <w:suppressAutoHyphens/>
        <w:ind w:left="720" w:hanging="720"/>
      </w:pPr>
    </w:p>
    <w:p w:rsidRPr="00B7035C" w:rsidR="00FC1430" w:rsidP="00FC1430" w:rsidRDefault="00FC1430" w14:paraId="7B7C7D00" w14:textId="77777777">
      <w:pPr>
        <w:tabs>
          <w:tab w:val="left" w:pos="-720"/>
          <w:tab w:val="left" w:pos="0"/>
        </w:tabs>
        <w:suppressAutoHyphens/>
        <w:ind w:left="720" w:hanging="720"/>
        <w:rPr>
          <w:b/>
        </w:rPr>
      </w:pPr>
      <w:r w:rsidRPr="00B7035C">
        <w:rPr>
          <w:b/>
        </w:rPr>
        <w:lastRenderedPageBreak/>
        <w:t>7.</w:t>
      </w:r>
      <w:r w:rsidRPr="00B7035C">
        <w:rPr>
          <w:b/>
        </w:rPr>
        <w:tab/>
      </w:r>
      <w:r w:rsidRPr="00B7035C">
        <w:rPr>
          <w:b/>
          <w:u w:val="single"/>
        </w:rPr>
        <w:t>Explain any special circumstances that require the collection to be conducted in a manner</w:t>
      </w:r>
      <w:r w:rsidRPr="00B7035C">
        <w:rPr>
          <w:b/>
        </w:rPr>
        <w:t>:</w:t>
      </w:r>
    </w:p>
    <w:p w:rsidR="00FC1430" w:rsidP="00FC1430" w:rsidRDefault="00FC1430" w14:paraId="71D46262" w14:textId="77777777">
      <w:pPr>
        <w:tabs>
          <w:tab w:val="left" w:pos="-720"/>
        </w:tabs>
        <w:suppressAutoHyphens/>
      </w:pPr>
    </w:p>
    <w:p w:rsidRPr="00B7035C" w:rsidR="00FC1430" w:rsidP="00FC1430" w:rsidRDefault="00FC1430" w14:paraId="7BCF2D54" w14:textId="77777777">
      <w:pPr>
        <w:tabs>
          <w:tab w:val="left" w:pos="-720"/>
          <w:tab w:val="left" w:pos="0"/>
          <w:tab w:val="left" w:pos="720"/>
        </w:tabs>
        <w:suppressAutoHyphens/>
        <w:ind w:left="1440" w:hanging="1440"/>
        <w:rPr>
          <w:b/>
        </w:rPr>
      </w:pPr>
      <w:r>
        <w:tab/>
        <w:t>-</w:t>
      </w:r>
      <w:r>
        <w:tab/>
      </w:r>
      <w:r w:rsidRPr="00B7035C">
        <w:rPr>
          <w:b/>
          <w:u w:val="single"/>
        </w:rPr>
        <w:t>requiring respondents to report information to the agency more often than quarterly;</w:t>
      </w:r>
    </w:p>
    <w:p w:rsidR="00FC1430" w:rsidP="00FC1430" w:rsidRDefault="00FC1430" w14:paraId="560AE6BA" w14:textId="77777777">
      <w:pPr>
        <w:tabs>
          <w:tab w:val="left" w:pos="-720"/>
        </w:tabs>
        <w:suppressAutoHyphens/>
      </w:pPr>
    </w:p>
    <w:p w:rsidR="00FC1430" w:rsidP="00FC1430" w:rsidRDefault="00FC1430" w14:paraId="7B42471B" w14:textId="77777777">
      <w:pPr>
        <w:tabs>
          <w:tab w:val="left" w:pos="-720"/>
        </w:tabs>
        <w:suppressAutoHyphens/>
      </w:pPr>
      <w:r>
        <w:tab/>
        <w:t>The rules in question do not require the respondent to report any information to the Commission more often than quarterly.</w:t>
      </w:r>
    </w:p>
    <w:p w:rsidR="00FC1430" w:rsidP="00FC1430" w:rsidRDefault="00FC1430" w14:paraId="38AED956" w14:textId="77777777">
      <w:pPr>
        <w:tabs>
          <w:tab w:val="left" w:pos="-720"/>
        </w:tabs>
        <w:suppressAutoHyphens/>
      </w:pPr>
    </w:p>
    <w:p w:rsidR="00FC1430" w:rsidP="00FC1430" w:rsidRDefault="00FC1430" w14:paraId="26D47BC1" w14:textId="77777777">
      <w:pPr>
        <w:tabs>
          <w:tab w:val="left" w:pos="-720"/>
          <w:tab w:val="left" w:pos="0"/>
          <w:tab w:val="left" w:pos="720"/>
        </w:tabs>
        <w:suppressAutoHyphens/>
        <w:ind w:left="1440" w:hanging="1440"/>
      </w:pPr>
      <w:r>
        <w:tab/>
        <w:t>-</w:t>
      </w:r>
      <w:r>
        <w:tab/>
      </w:r>
      <w:r w:rsidRPr="00B7035C">
        <w:rPr>
          <w:b/>
          <w:u w:val="single"/>
        </w:rPr>
        <w:t>requiring respondents to prepare a written response to a collection of information in fewer than 30 days after receipt of it:</w:t>
      </w:r>
    </w:p>
    <w:p w:rsidR="00FC1430" w:rsidP="00FC1430" w:rsidRDefault="00FC1430" w14:paraId="409C67D7" w14:textId="77777777">
      <w:pPr>
        <w:tabs>
          <w:tab w:val="left" w:pos="-720"/>
        </w:tabs>
        <w:suppressAutoHyphens/>
      </w:pPr>
    </w:p>
    <w:p w:rsidR="00FC1430" w:rsidP="00FC1430" w:rsidRDefault="00FC1430" w14:paraId="4B487CF2" w14:textId="77777777">
      <w:pPr>
        <w:tabs>
          <w:tab w:val="left" w:pos="-720"/>
        </w:tabs>
        <w:suppressAutoHyphens/>
      </w:pPr>
      <w:r>
        <w:tab/>
        <w:t>Respondents are not required to prepare any written responses.</w:t>
      </w:r>
    </w:p>
    <w:p w:rsidR="00FC1430" w:rsidP="00FC1430" w:rsidRDefault="00FC1430" w14:paraId="36EE2196" w14:textId="77777777">
      <w:pPr>
        <w:tabs>
          <w:tab w:val="left" w:pos="-720"/>
        </w:tabs>
        <w:suppressAutoHyphens/>
      </w:pPr>
    </w:p>
    <w:p w:rsidRPr="00B7035C" w:rsidR="00FC1430" w:rsidP="00FC1430" w:rsidRDefault="00FC1430" w14:paraId="688B50E1" w14:textId="77777777">
      <w:pPr>
        <w:tabs>
          <w:tab w:val="left" w:pos="-720"/>
          <w:tab w:val="left" w:pos="0"/>
          <w:tab w:val="left" w:pos="720"/>
        </w:tabs>
        <w:suppressAutoHyphens/>
        <w:ind w:left="1440" w:hanging="1440"/>
        <w:rPr>
          <w:b/>
        </w:rPr>
      </w:pPr>
      <w:r>
        <w:tab/>
        <w:t>-</w:t>
      </w:r>
      <w:r>
        <w:tab/>
      </w:r>
      <w:r w:rsidRPr="00B7035C">
        <w:rPr>
          <w:b/>
          <w:u w:val="single"/>
        </w:rPr>
        <w:t>requiring respondents to submit more that an original and two copies of any document</w:t>
      </w:r>
      <w:r w:rsidRPr="00B7035C">
        <w:rPr>
          <w:b/>
        </w:rPr>
        <w:t>;</w:t>
      </w:r>
    </w:p>
    <w:p w:rsidR="00FC1430" w:rsidP="00FC1430" w:rsidRDefault="00FC1430" w14:paraId="43AABC54" w14:textId="77777777">
      <w:pPr>
        <w:tabs>
          <w:tab w:val="left" w:pos="-720"/>
        </w:tabs>
        <w:suppressAutoHyphens/>
      </w:pPr>
    </w:p>
    <w:p w:rsidR="00FC1430" w:rsidP="00FC1430" w:rsidRDefault="00FC1430" w14:paraId="0807AE46" w14:textId="77777777">
      <w:pPr>
        <w:tabs>
          <w:tab w:val="left" w:pos="-720"/>
        </w:tabs>
        <w:suppressAutoHyphens/>
      </w:pPr>
      <w:r>
        <w:tab/>
        <w:t>Respondents are not required to submit more than an original and two copies of any document.</w:t>
      </w:r>
    </w:p>
    <w:p w:rsidR="00FC1430" w:rsidP="00FC1430" w:rsidRDefault="00FC1430" w14:paraId="29B5590C" w14:textId="77777777">
      <w:pPr>
        <w:tabs>
          <w:tab w:val="left" w:pos="-720"/>
        </w:tabs>
        <w:suppressAutoHyphens/>
      </w:pPr>
    </w:p>
    <w:p w:rsidR="00FC1430" w:rsidP="00FC1430" w:rsidRDefault="00FC1430" w14:paraId="2D25DBE1" w14:textId="77777777">
      <w:pPr>
        <w:tabs>
          <w:tab w:val="left" w:pos="-720"/>
          <w:tab w:val="left" w:pos="0"/>
          <w:tab w:val="left" w:pos="720"/>
        </w:tabs>
        <w:suppressAutoHyphens/>
        <w:ind w:left="1440" w:hanging="1440"/>
      </w:pPr>
      <w:r>
        <w:tab/>
        <w:t>-</w:t>
      </w:r>
      <w:r>
        <w:tab/>
      </w:r>
      <w:r w:rsidRPr="00B7035C">
        <w:rPr>
          <w:b/>
          <w:u w:val="single"/>
        </w:rPr>
        <w:t>requiring respondents to retain records other than health, medical, government contract, grant-in-aid, or tax records, for more than three years</w:t>
      </w:r>
      <w:r w:rsidRPr="00B7035C">
        <w:rPr>
          <w:b/>
        </w:rPr>
        <w:t>;</w:t>
      </w:r>
    </w:p>
    <w:p w:rsidR="00FC1430" w:rsidP="00FC1430" w:rsidRDefault="005C7604" w14:paraId="20711B42" w14:textId="77777777">
      <w:pPr>
        <w:tabs>
          <w:tab w:val="left" w:pos="-720"/>
        </w:tabs>
        <w:suppressAutoHyphens/>
      </w:pPr>
      <w:r>
        <w:tab/>
      </w:r>
    </w:p>
    <w:p w:rsidR="005C7604" w:rsidP="00FC1430" w:rsidRDefault="005C7604" w14:paraId="2E2F889F" w14:textId="77777777">
      <w:pPr>
        <w:tabs>
          <w:tab w:val="left" w:pos="-720"/>
        </w:tabs>
        <w:suppressAutoHyphens/>
      </w:pPr>
      <w:r>
        <w:tab/>
        <w:t xml:space="preserve">These disclosures are mandated by </w:t>
      </w:r>
      <w:r w:rsidR="0096510E">
        <w:t xml:space="preserve">the </w:t>
      </w:r>
      <w:r>
        <w:t>CEA</w:t>
      </w:r>
      <w:r w:rsidR="00C01D90">
        <w:t>’s</w:t>
      </w:r>
      <w:r w:rsidR="0096510E">
        <w:t xml:space="preserve"> general rulemaking authority found in</w:t>
      </w:r>
      <w:r w:rsidR="00C01D90">
        <w:t xml:space="preserve"> sections 2(a</w:t>
      </w:r>
      <w:proofErr w:type="gramStart"/>
      <w:r w:rsidR="00C01D90">
        <w:t>)(</w:t>
      </w:r>
      <w:proofErr w:type="gramEnd"/>
      <w:r w:rsidR="00C01D90">
        <w:t>12) and 8a(5)</w:t>
      </w:r>
      <w:r w:rsidR="0096510E">
        <w:t xml:space="preserve">, as well as section 3(b), which sets forth the purposes of the Act including “to protect all market participants from fraudulent or other abusive sales practices . . . .”  Therefore, the statutory </w:t>
      </w:r>
      <w:r w:rsidR="00A46ACA">
        <w:t>basis for the disclosures is</w:t>
      </w:r>
      <w:r w:rsidR="0096510E">
        <w:t xml:space="preserve"> that they are necessary to protect customers as the statute requires.</w:t>
      </w:r>
    </w:p>
    <w:p w:rsidR="005C7604" w:rsidP="00FC1430" w:rsidRDefault="00FC1430" w14:paraId="709906D6" w14:textId="77777777">
      <w:pPr>
        <w:tabs>
          <w:tab w:val="left" w:pos="-720"/>
        </w:tabs>
        <w:suppressAutoHyphens/>
      </w:pPr>
      <w:r>
        <w:tab/>
      </w:r>
    </w:p>
    <w:p w:rsidR="00FC1430" w:rsidP="00FC1430" w:rsidRDefault="004E5BCD" w14:paraId="39A84018" w14:textId="77777777">
      <w:pPr>
        <w:tabs>
          <w:tab w:val="left" w:pos="-720"/>
        </w:tabs>
        <w:suppressAutoHyphens/>
      </w:pPr>
      <w:r>
        <w:tab/>
      </w:r>
      <w:r w:rsidR="00FC1430">
        <w:t>Under the risk disclosure rule, respondents are required to maintain in their records a signed acknowledgment from a retail customer that the customer received and understood the risk disclosure statement.</w:t>
      </w:r>
      <w:r>
        <w:rPr>
          <w:rStyle w:val="FootnoteReference"/>
        </w:rPr>
        <w:footnoteReference w:id="2"/>
      </w:r>
      <w:r w:rsidR="00FC1430">
        <w:t xml:space="preserve">  The disclosure rules relieve respondents of the obligation of obtaining a signed acknowledgment from certain defined categories of financially sophisticate</w:t>
      </w:r>
      <w:r w:rsidR="006156AD">
        <w:t>d</w:t>
      </w:r>
      <w:r w:rsidR="00A46ACA">
        <w:rPr>
          <w:rStyle w:val="FootnoteReference"/>
        </w:rPr>
        <w:footnoteReference w:id="3"/>
      </w:r>
      <w:r w:rsidR="00FC1430">
        <w:t xml:space="preserve"> customers.  However, for customers covered by these disclosure requirements, respondents may wish to maintain records in order to demonstrate that a customer qualified for the relief discussed herein. Respondents are required to maintain records to demonstrate compliance with their </w:t>
      </w:r>
      <w:r w:rsidR="00FC1430">
        <w:lastRenderedPageBreak/>
        <w:t xml:space="preserve">disclosure and promotional material obligations.  </w:t>
      </w:r>
      <w:r w:rsidRPr="007B51D6" w:rsidR="007B51D6">
        <w:t>Commission regulation 1.31(b) expressly requires that books and records required to be kept by the CEA or Commission regulations be retained for certain specified periods.  Other than with respect to oral communications, the shortest of these periods is five years from the date of creation.</w:t>
      </w:r>
      <w:r w:rsidR="007B51D6">
        <w:t xml:space="preserve">  </w:t>
      </w:r>
      <w:r w:rsidR="00A9189A">
        <w:t xml:space="preserve">Further, section 4(b) </w:t>
      </w:r>
      <w:r w:rsidR="007B51D6">
        <w:t xml:space="preserve">of the CEA </w:t>
      </w:r>
      <w:r w:rsidR="00A9189A">
        <w:t xml:space="preserve">provides “[t]he Commission may adopt rules . . . </w:t>
      </w:r>
      <w:proofErr w:type="gramStart"/>
      <w:r w:rsidR="00A9189A">
        <w:t xml:space="preserve">requiring </w:t>
      </w:r>
      <w:r w:rsidR="007B51D6">
        <w:t xml:space="preserve"> …</w:t>
      </w:r>
      <w:proofErr w:type="gramEnd"/>
      <w:r w:rsidR="007B51D6">
        <w:t xml:space="preserve"> </w:t>
      </w:r>
      <w:r w:rsidR="00A9189A">
        <w:t>the disclosure of risks</w:t>
      </w:r>
      <w:r w:rsidR="007B51D6">
        <w:t>, [and]</w:t>
      </w:r>
      <w:r w:rsidR="00A9189A">
        <w:t xml:space="preserve"> . . . the keeping of books and records” by anybody who offers or sells contracts for future delivery on a Board of Trade.  The Act cannot be enforced if registrants don’t keep records (or are free to destroy evidence of transactions</w:t>
      </w:r>
      <w:r w:rsidR="008C295C">
        <w:t>)</w:t>
      </w:r>
      <w:r w:rsidR="00A9189A">
        <w:t>.</w:t>
      </w:r>
    </w:p>
    <w:p w:rsidR="00A9189A" w:rsidP="00FC1430" w:rsidRDefault="00A9189A" w14:paraId="06AFB868" w14:textId="77777777">
      <w:pPr>
        <w:tabs>
          <w:tab w:val="left" w:pos="-720"/>
        </w:tabs>
        <w:suppressAutoHyphens/>
      </w:pPr>
    </w:p>
    <w:p w:rsidR="00FC1430" w:rsidP="00FC1430" w:rsidRDefault="00FC1430" w14:paraId="1E421F89" w14:textId="77777777">
      <w:pPr>
        <w:tabs>
          <w:tab w:val="left" w:pos="-720"/>
          <w:tab w:val="left" w:pos="0"/>
          <w:tab w:val="left" w:pos="720"/>
        </w:tabs>
        <w:suppressAutoHyphens/>
        <w:ind w:left="1440" w:hanging="1440"/>
      </w:pPr>
      <w:r>
        <w:tab/>
        <w:t>-</w:t>
      </w:r>
      <w:r>
        <w:tab/>
      </w:r>
      <w:r w:rsidRPr="00B7035C">
        <w:rPr>
          <w:b/>
          <w:u w:val="single"/>
        </w:rPr>
        <w:t>in connection with a statistical survey, that is not designed to produce valid and reliable results that can be generalized to the universe of study</w:t>
      </w:r>
      <w:r w:rsidRPr="00B7035C">
        <w:rPr>
          <w:b/>
        </w:rPr>
        <w:t>;</w:t>
      </w:r>
      <w:r>
        <w:t xml:space="preserve"> </w:t>
      </w:r>
    </w:p>
    <w:p w:rsidR="00FC1430" w:rsidP="00FC1430" w:rsidRDefault="00FC1430" w14:paraId="69C0959F" w14:textId="77777777">
      <w:pPr>
        <w:tabs>
          <w:tab w:val="left" w:pos="-720"/>
        </w:tabs>
        <w:suppressAutoHyphens/>
      </w:pPr>
    </w:p>
    <w:p w:rsidR="00FC1430" w:rsidP="00FC1430" w:rsidRDefault="00FC1430" w14:paraId="1C38E036" w14:textId="77777777">
      <w:pPr>
        <w:tabs>
          <w:tab w:val="left" w:pos="-720"/>
        </w:tabs>
        <w:suppressAutoHyphens/>
      </w:pPr>
      <w:r>
        <w:tab/>
        <w:t>The rule</w:t>
      </w:r>
      <w:r w:rsidR="00F90860">
        <w:t>s do</w:t>
      </w:r>
      <w:r>
        <w:t xml:space="preserve"> not involve a statistical survey.</w:t>
      </w:r>
    </w:p>
    <w:p w:rsidR="00FC1430" w:rsidP="00FC1430" w:rsidRDefault="00FC1430" w14:paraId="4CFE3D3A" w14:textId="77777777">
      <w:pPr>
        <w:tabs>
          <w:tab w:val="left" w:pos="-720"/>
        </w:tabs>
        <w:suppressAutoHyphens/>
      </w:pPr>
    </w:p>
    <w:p w:rsidR="00FC1430" w:rsidP="00FC1430" w:rsidRDefault="00FC1430" w14:paraId="507FAA18" w14:textId="77777777">
      <w:pPr>
        <w:tabs>
          <w:tab w:val="left" w:pos="-720"/>
          <w:tab w:val="left" w:pos="0"/>
          <w:tab w:val="left" w:pos="720"/>
        </w:tabs>
        <w:suppressAutoHyphens/>
        <w:ind w:left="1440" w:hanging="1440"/>
      </w:pPr>
      <w:r>
        <w:tab/>
        <w:t>-</w:t>
      </w:r>
      <w:r>
        <w:tab/>
      </w:r>
      <w:r w:rsidRPr="00B7035C">
        <w:rPr>
          <w:b/>
          <w:u w:val="single"/>
        </w:rPr>
        <w:t>requiring the use of a statistical data classification that has not been reviewed and approved by OMB</w:t>
      </w:r>
      <w:r w:rsidRPr="00B7035C">
        <w:rPr>
          <w:b/>
        </w:rPr>
        <w:t>;</w:t>
      </w:r>
    </w:p>
    <w:p w:rsidR="00FC1430" w:rsidP="00FC1430" w:rsidRDefault="00FC1430" w14:paraId="4CAD3442" w14:textId="77777777">
      <w:pPr>
        <w:tabs>
          <w:tab w:val="left" w:pos="-720"/>
        </w:tabs>
        <w:suppressAutoHyphens/>
      </w:pPr>
    </w:p>
    <w:p w:rsidR="00FC1430" w:rsidP="00FC1430" w:rsidRDefault="00F90860" w14:paraId="2BBAA424" w14:textId="77777777">
      <w:pPr>
        <w:tabs>
          <w:tab w:val="left" w:pos="-720"/>
        </w:tabs>
        <w:suppressAutoHyphens/>
      </w:pPr>
      <w:r>
        <w:tab/>
        <w:t>The rules do</w:t>
      </w:r>
      <w:r w:rsidR="00FC1430">
        <w:t xml:space="preserve"> not involve use of statistical data.</w:t>
      </w:r>
    </w:p>
    <w:p w:rsidR="00FC1430" w:rsidP="00FC1430" w:rsidRDefault="00FC1430" w14:paraId="3237BC97" w14:textId="77777777">
      <w:pPr>
        <w:tabs>
          <w:tab w:val="left" w:pos="-720"/>
        </w:tabs>
        <w:suppressAutoHyphens/>
      </w:pPr>
    </w:p>
    <w:p w:rsidR="00FC1430" w:rsidP="00FC1430" w:rsidRDefault="00FC1430" w14:paraId="1F4AB996" w14:textId="77777777">
      <w:pPr>
        <w:tabs>
          <w:tab w:val="left" w:pos="-720"/>
          <w:tab w:val="left" w:pos="0"/>
          <w:tab w:val="left" w:pos="720"/>
        </w:tabs>
        <w:suppressAutoHyphens/>
        <w:ind w:left="1440" w:hanging="1440"/>
      </w:pPr>
      <w:r>
        <w:tab/>
        <w:t>-</w:t>
      </w:r>
      <w:r>
        <w:tab/>
      </w:r>
      <w:r w:rsidRPr="00B7035C">
        <w:rPr>
          <w:b/>
          <w:u w:val="single"/>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FC1430" w:rsidP="00FC1430" w:rsidRDefault="00FC1430" w14:paraId="10BE62F9" w14:textId="77777777">
      <w:pPr>
        <w:tabs>
          <w:tab w:val="left" w:pos="-720"/>
        </w:tabs>
        <w:suppressAutoHyphens/>
      </w:pPr>
    </w:p>
    <w:p w:rsidR="00FC1430" w:rsidP="00FC1430" w:rsidRDefault="00FC1430" w14:paraId="72E795C3" w14:textId="77777777">
      <w:pPr>
        <w:tabs>
          <w:tab w:val="left" w:pos="-720"/>
        </w:tabs>
        <w:suppressAutoHyphens/>
      </w:pPr>
      <w:r>
        <w:tab/>
        <w:t>The rule</w:t>
      </w:r>
      <w:r w:rsidR="00F90860">
        <w:t>s do</w:t>
      </w:r>
      <w:r>
        <w:t xml:space="preserve"> not involve a</w:t>
      </w:r>
      <w:r w:rsidR="007F450E">
        <w:t>ny such</w:t>
      </w:r>
      <w:r>
        <w:t xml:space="preserve"> pledge</w:t>
      </w:r>
      <w:r w:rsidR="007F450E">
        <w:t>s</w:t>
      </w:r>
      <w:r>
        <w:t xml:space="preserve"> of confidentiality.</w:t>
      </w:r>
    </w:p>
    <w:p w:rsidR="00FC1430" w:rsidP="00FC1430" w:rsidRDefault="00FC1430" w14:paraId="39695998" w14:textId="77777777">
      <w:pPr>
        <w:tabs>
          <w:tab w:val="left" w:pos="-720"/>
        </w:tabs>
        <w:suppressAutoHyphens/>
      </w:pPr>
    </w:p>
    <w:p w:rsidR="00FC1430" w:rsidP="00FC1430" w:rsidRDefault="00FC1430" w14:paraId="199EEA86" w14:textId="77777777">
      <w:pPr>
        <w:tabs>
          <w:tab w:val="left" w:pos="-720"/>
          <w:tab w:val="left" w:pos="0"/>
          <w:tab w:val="left" w:pos="720"/>
        </w:tabs>
        <w:suppressAutoHyphens/>
        <w:ind w:left="1440" w:hanging="1440"/>
      </w:pPr>
      <w:r>
        <w:tab/>
        <w:t>-</w:t>
      </w:r>
      <w:r>
        <w:tab/>
      </w:r>
      <w:r w:rsidRPr="00B7035C">
        <w:rPr>
          <w:b/>
          <w:u w:val="single"/>
        </w:rPr>
        <w:t>requiring respondents to submit proprietary trade secrets, or other confidential information unless the agency can demonstrate that it has instituted procedures to protect the information’s confidentiality to the extent permitted by law</w:t>
      </w:r>
      <w:r>
        <w:t>.</w:t>
      </w:r>
    </w:p>
    <w:p w:rsidR="00FC1430" w:rsidP="00FC1430" w:rsidRDefault="00FC1430" w14:paraId="0097C30B" w14:textId="77777777">
      <w:pPr>
        <w:tabs>
          <w:tab w:val="left" w:pos="-720"/>
        </w:tabs>
        <w:suppressAutoHyphens/>
      </w:pPr>
    </w:p>
    <w:p w:rsidR="00FC1430" w:rsidP="00FC1430" w:rsidRDefault="00FC1430" w14:paraId="59221E7D" w14:textId="77777777">
      <w:pPr>
        <w:tabs>
          <w:tab w:val="left" w:pos="-720"/>
          <w:tab w:val="left" w:pos="0"/>
          <w:tab w:val="left" w:pos="720"/>
        </w:tabs>
        <w:suppressAutoHyphens/>
      </w:pPr>
      <w:r>
        <w:tab/>
        <w:t xml:space="preserve">The </w:t>
      </w:r>
      <w:r w:rsidR="007F450E">
        <w:t xml:space="preserve">disclosure </w:t>
      </w:r>
      <w:r>
        <w:t>rule</w:t>
      </w:r>
      <w:r w:rsidR="00F90860">
        <w:t xml:space="preserve">s do </w:t>
      </w:r>
      <w:r>
        <w:t xml:space="preserve">not involve submission of proprietary trade secrets or other information to the Commission.  Commission Rule 1.31 requires that </w:t>
      </w:r>
      <w:r w:rsidR="007B51D6">
        <w:t>a</w:t>
      </w:r>
      <w:r w:rsidRPr="007B51D6" w:rsidR="007B51D6">
        <w:t>ll regulatory records be open to inspection by any representative of the Commission or the United States Department of Justice.</w:t>
      </w:r>
      <w:r w:rsidR="007F450E">
        <w:t xml:space="preserve">  </w:t>
      </w:r>
      <w:r w:rsidRPr="003737F3" w:rsidR="003737F3">
        <w:t>The Commission has procedures to protect the confidentiality of an applicant’s or registrant’s data.  These are set forth in the Commission’s regulations at parts 145 and 147 of title 17 of the Code of Federal Regulations.</w:t>
      </w:r>
    </w:p>
    <w:p w:rsidR="00FC1430" w:rsidP="00FC1430" w:rsidRDefault="00FC1430" w14:paraId="0CF882AC" w14:textId="77777777">
      <w:pPr>
        <w:tabs>
          <w:tab w:val="left" w:pos="-720"/>
        </w:tabs>
        <w:suppressAutoHyphens/>
      </w:pPr>
    </w:p>
    <w:p w:rsidRPr="00B7035C" w:rsidR="00FC1430" w:rsidP="00FC1430" w:rsidRDefault="00FC1430" w14:paraId="34B9B695" w14:textId="77777777">
      <w:pPr>
        <w:tabs>
          <w:tab w:val="left" w:pos="-720"/>
          <w:tab w:val="left" w:pos="0"/>
        </w:tabs>
        <w:suppressAutoHyphens/>
        <w:ind w:left="720" w:hanging="720"/>
        <w:rPr>
          <w:b/>
        </w:rPr>
      </w:pPr>
      <w:r w:rsidRPr="00B7035C">
        <w:rPr>
          <w:b/>
        </w:rPr>
        <w:t>8.</w:t>
      </w:r>
      <w:r w:rsidRPr="00B7035C">
        <w:rPr>
          <w:b/>
        </w:rPr>
        <w:tab/>
      </w:r>
      <w:r w:rsidRPr="00B7035C">
        <w:rPr>
          <w:b/>
          <w:u w:val="single"/>
        </w:rPr>
        <w:t xml:space="preserve">If applicable, provide a copy and identify the date and page number of </w:t>
      </w:r>
      <w:proofErr w:type="gramStart"/>
      <w:r w:rsidRPr="00B7035C">
        <w:rPr>
          <w:b/>
          <w:u w:val="single"/>
        </w:rPr>
        <w:t>publication</w:t>
      </w:r>
      <w:proofErr w:type="gramEnd"/>
      <w:r w:rsidRPr="00B7035C">
        <w:rPr>
          <w:b/>
          <w:u w:val="single"/>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C1430" w:rsidP="00FC1430" w:rsidRDefault="00FC1430" w14:paraId="539E5183" w14:textId="77777777">
      <w:pPr>
        <w:tabs>
          <w:tab w:val="left" w:pos="-720"/>
        </w:tabs>
        <w:suppressAutoHyphens/>
      </w:pPr>
      <w:r>
        <w:tab/>
      </w:r>
      <w:r w:rsidR="00C542F5">
        <w:tab/>
      </w:r>
    </w:p>
    <w:p w:rsidR="00FC1430" w:rsidP="00FC1430" w:rsidRDefault="00FC1430" w14:paraId="7BA9F131" w14:textId="77777777">
      <w:pPr>
        <w:tabs>
          <w:tab w:val="left" w:pos="-720"/>
        </w:tabs>
        <w:suppressAutoHyphens/>
      </w:pPr>
    </w:p>
    <w:p w:rsidRPr="00B7035C" w:rsidR="00FC1430" w:rsidP="00FC1430" w:rsidRDefault="00FC1430" w14:paraId="4196E680" w14:textId="77777777">
      <w:pPr>
        <w:tabs>
          <w:tab w:val="left" w:pos="-720"/>
          <w:tab w:val="left" w:pos="0"/>
        </w:tabs>
        <w:suppressAutoHyphens/>
        <w:ind w:left="720" w:hanging="720"/>
        <w:rPr>
          <w:b/>
        </w:rPr>
      </w:pPr>
      <w:r>
        <w:tab/>
      </w:r>
      <w:r w:rsidRPr="00B7035C">
        <w:rPr>
          <w:b/>
          <w:u w:val="single"/>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B7035C" w:rsidR="00FC1430" w:rsidP="00FC1430" w:rsidRDefault="00FC1430" w14:paraId="5515A686" w14:textId="77777777">
      <w:pPr>
        <w:tabs>
          <w:tab w:val="left" w:pos="-720"/>
          <w:tab w:val="left" w:pos="0"/>
        </w:tabs>
        <w:suppressAutoHyphens/>
        <w:ind w:left="720" w:hanging="720"/>
        <w:rPr>
          <w:b/>
        </w:rPr>
      </w:pPr>
    </w:p>
    <w:p w:rsidRPr="00B7035C" w:rsidR="00FC1430" w:rsidP="002E3F4B" w:rsidRDefault="00FC1430" w14:paraId="3AA23D58" w14:textId="77777777">
      <w:pPr>
        <w:tabs>
          <w:tab w:val="left" w:pos="-720"/>
          <w:tab w:val="left" w:pos="0"/>
        </w:tabs>
        <w:suppressAutoHyphens/>
        <w:rPr>
          <w:b/>
          <w:u w:val="single"/>
        </w:rPr>
      </w:pPr>
      <w:r w:rsidRPr="00B7035C">
        <w:rPr>
          <w:b/>
        </w:rPr>
        <w:tab/>
      </w:r>
    </w:p>
    <w:p w:rsidR="00FC1430" w:rsidP="00FC1430" w:rsidRDefault="00FC1430" w14:paraId="7D182A90" w14:textId="77777777">
      <w:pPr>
        <w:tabs>
          <w:tab w:val="left" w:pos="-720"/>
          <w:tab w:val="left" w:pos="0"/>
        </w:tabs>
        <w:suppressAutoHyphens/>
        <w:ind w:left="720" w:hanging="720"/>
      </w:pPr>
      <w:r w:rsidRPr="00B7035C">
        <w:rPr>
          <w:b/>
        </w:rPr>
        <w:tab/>
      </w:r>
      <w:r w:rsidRPr="00B7035C">
        <w:rPr>
          <w:b/>
          <w:u w:val="single"/>
        </w:rPr>
        <w:t>Consultation with representatives of those from whom information is to be obtained or those who must compile records should occur at least once every three years—even if the collection of information activity is the same as in prior periods.  There may be circumstances that may preclude consultation in a specific situation.  These circumstances should be explained</w:t>
      </w:r>
      <w:r>
        <w:t>.</w:t>
      </w:r>
    </w:p>
    <w:p w:rsidR="00FC1430" w:rsidP="00FC1430" w:rsidRDefault="00FC1430" w14:paraId="2325CF19" w14:textId="77777777">
      <w:pPr>
        <w:tabs>
          <w:tab w:val="left" w:pos="-720"/>
        </w:tabs>
        <w:suppressAutoHyphens/>
      </w:pPr>
    </w:p>
    <w:p w:rsidRPr="002E3F4B" w:rsidR="002E3F4B" w:rsidP="002E3F4B" w:rsidRDefault="00FC1430" w14:paraId="7C86C46D" w14:textId="77777777">
      <w:pPr>
        <w:tabs>
          <w:tab w:val="left" w:pos="-720"/>
        </w:tabs>
        <w:suppressAutoHyphens/>
      </w:pPr>
      <w:r>
        <w:tab/>
      </w:r>
      <w:r w:rsidR="00C542F5">
        <w:tab/>
      </w:r>
    </w:p>
    <w:p w:rsidRPr="002E3F4B" w:rsidR="00641417" w:rsidP="002E3F4B" w:rsidRDefault="002E3F4B" w14:paraId="0505A715" w14:textId="739421D8">
      <w:pPr>
        <w:tabs>
          <w:tab w:val="left" w:pos="-720"/>
        </w:tabs>
        <w:suppressAutoHyphens/>
      </w:pPr>
      <w:r>
        <w:tab/>
      </w:r>
      <w:r w:rsidRPr="002E3F4B">
        <w:t xml:space="preserve">A </w:t>
      </w:r>
      <w:r w:rsidRPr="002E3F4B">
        <w:rPr>
          <w:i/>
        </w:rPr>
        <w:t xml:space="preserve">Notice of Intent to Extend Information Collection </w:t>
      </w:r>
      <w:r w:rsidRPr="003D358F">
        <w:t>3038-0007</w:t>
      </w:r>
      <w:r w:rsidRPr="002E3F4B">
        <w:t xml:space="preserve"> was published in the </w:t>
      </w:r>
      <w:r w:rsidRPr="002E3F4B">
        <w:rPr>
          <w:i/>
        </w:rPr>
        <w:t>Federal Register</w:t>
      </w:r>
      <w:r w:rsidRPr="002E3F4B">
        <w:t xml:space="preserve"> on </w:t>
      </w:r>
      <w:r w:rsidR="00641417">
        <w:t>August 18, 2021</w:t>
      </w:r>
      <w:r w:rsidR="003D358F">
        <w:t xml:space="preserve"> </w:t>
      </w:r>
      <w:r w:rsidRPr="002E3F4B">
        <w:t xml:space="preserve">(“Notice”).  </w:t>
      </w:r>
      <w:r w:rsidRPr="002E3F4B">
        <w:rPr>
          <w:i/>
        </w:rPr>
        <w:t>See</w:t>
      </w:r>
      <w:r w:rsidRPr="002E3F4B">
        <w:t xml:space="preserve"> </w:t>
      </w:r>
      <w:r w:rsidR="00641417">
        <w:t>86</w:t>
      </w:r>
      <w:r w:rsidRPr="00944E3B" w:rsidR="00641417">
        <w:t xml:space="preserve"> FR </w:t>
      </w:r>
      <w:r w:rsidR="00641417">
        <w:t>46227</w:t>
      </w:r>
      <w:r w:rsidRPr="002E3F4B">
        <w:t xml:space="preserve"> (</w:t>
      </w:r>
      <w:r w:rsidR="003D358F">
        <w:t xml:space="preserve">Aug. 18, </w:t>
      </w:r>
      <w:r w:rsidRPr="002E3F4B">
        <w:t>20</w:t>
      </w:r>
      <w:r w:rsidR="00444C95">
        <w:t>21</w:t>
      </w:r>
      <w:r w:rsidRPr="002E3F4B">
        <w:t xml:space="preserve">).  The Notice requested comment on this information collection prior to submission to OMB.  </w:t>
      </w:r>
      <w:r w:rsidR="001E157B">
        <w:t xml:space="preserve">No </w:t>
      </w:r>
      <w:r w:rsidR="00641417">
        <w:t xml:space="preserve">relevant </w:t>
      </w:r>
      <w:r w:rsidRPr="002E3F4B">
        <w:t>comments were received.</w:t>
      </w:r>
    </w:p>
    <w:p w:rsidR="00FC1430" w:rsidP="00FC1430" w:rsidRDefault="00FC1430" w14:paraId="4DCA881B" w14:textId="77777777">
      <w:pPr>
        <w:tabs>
          <w:tab w:val="left" w:pos="-720"/>
        </w:tabs>
        <w:suppressAutoHyphens/>
      </w:pPr>
    </w:p>
    <w:p w:rsidR="00FC1430" w:rsidP="00FC1430" w:rsidRDefault="00FC1430" w14:paraId="6DD442EE" w14:textId="77777777">
      <w:pPr>
        <w:tabs>
          <w:tab w:val="left" w:pos="-720"/>
        </w:tabs>
        <w:suppressAutoHyphens/>
      </w:pPr>
    </w:p>
    <w:p w:rsidRPr="00B7035C" w:rsidR="00FC1430" w:rsidP="00FC1430" w:rsidRDefault="00FC1430" w14:paraId="03189D79" w14:textId="77777777">
      <w:pPr>
        <w:tabs>
          <w:tab w:val="left" w:pos="-720"/>
          <w:tab w:val="left" w:pos="0"/>
        </w:tabs>
        <w:suppressAutoHyphens/>
        <w:ind w:left="720" w:hanging="720"/>
        <w:rPr>
          <w:b/>
        </w:rPr>
      </w:pPr>
      <w:r w:rsidRPr="00B7035C">
        <w:rPr>
          <w:b/>
        </w:rPr>
        <w:t>9.</w:t>
      </w:r>
      <w:r w:rsidRPr="00B7035C">
        <w:rPr>
          <w:b/>
        </w:rPr>
        <w:tab/>
      </w:r>
      <w:r w:rsidRPr="00B7035C">
        <w:rPr>
          <w:b/>
          <w:u w:val="single"/>
        </w:rPr>
        <w:t>Explain any decision to provide any payment or gift to respondents, other than remuneration of contractors or grantees</w:t>
      </w:r>
      <w:r w:rsidRPr="00B7035C">
        <w:rPr>
          <w:b/>
        </w:rPr>
        <w:t>.</w:t>
      </w:r>
    </w:p>
    <w:p w:rsidR="00FC1430" w:rsidP="00FC1430" w:rsidRDefault="00FC1430" w14:paraId="625DEBEB" w14:textId="77777777">
      <w:pPr>
        <w:tabs>
          <w:tab w:val="left" w:pos="-720"/>
        </w:tabs>
        <w:suppressAutoHyphens/>
      </w:pPr>
    </w:p>
    <w:p w:rsidR="00FC1430" w:rsidP="00FC1430" w:rsidRDefault="00FC1430" w14:paraId="483082B8" w14:textId="77777777">
      <w:pPr>
        <w:tabs>
          <w:tab w:val="left" w:pos="-720"/>
        </w:tabs>
        <w:suppressAutoHyphens/>
      </w:pPr>
      <w:r>
        <w:tab/>
      </w:r>
      <w:r w:rsidR="00C542F5">
        <w:tab/>
      </w:r>
      <w:r>
        <w:t>This question does not apply.</w:t>
      </w:r>
    </w:p>
    <w:p w:rsidR="00FC1430" w:rsidP="00FC1430" w:rsidRDefault="00FC1430" w14:paraId="0813B05A" w14:textId="77777777">
      <w:pPr>
        <w:tabs>
          <w:tab w:val="left" w:pos="-720"/>
        </w:tabs>
        <w:suppressAutoHyphens/>
      </w:pPr>
    </w:p>
    <w:p w:rsidRPr="00B7035C" w:rsidR="00FC1430" w:rsidP="00FC1430" w:rsidRDefault="00FC1430" w14:paraId="7661288F" w14:textId="77777777">
      <w:pPr>
        <w:tabs>
          <w:tab w:val="left" w:pos="-720"/>
        </w:tabs>
        <w:suppressAutoHyphens/>
        <w:ind w:left="720" w:hanging="720"/>
        <w:rPr>
          <w:b/>
        </w:rPr>
      </w:pPr>
      <w:r w:rsidRPr="00B7035C">
        <w:rPr>
          <w:b/>
        </w:rPr>
        <w:t>10.</w:t>
      </w:r>
      <w:r w:rsidRPr="00B7035C">
        <w:rPr>
          <w:b/>
        </w:rPr>
        <w:tab/>
      </w:r>
      <w:r w:rsidRPr="00B7035C">
        <w:rPr>
          <w:b/>
          <w:u w:val="single"/>
        </w:rPr>
        <w:t>Describe any assurance of confidentiality provided to respondents and the basis for the assurance in statute, regulations, or agency policy</w:t>
      </w:r>
      <w:r w:rsidRPr="00B7035C">
        <w:rPr>
          <w:b/>
        </w:rPr>
        <w:t>.</w:t>
      </w:r>
    </w:p>
    <w:p w:rsidR="00FC1430" w:rsidP="00FC1430" w:rsidRDefault="00FC1430" w14:paraId="085DFB2D" w14:textId="77777777">
      <w:pPr>
        <w:tabs>
          <w:tab w:val="left" w:pos="-720"/>
        </w:tabs>
        <w:suppressAutoHyphens/>
      </w:pPr>
    </w:p>
    <w:p w:rsidR="00FC1430" w:rsidP="00FC1430" w:rsidRDefault="00FC1430" w14:paraId="18799F2D" w14:textId="77777777">
      <w:pPr>
        <w:tabs>
          <w:tab w:val="left" w:pos="-720"/>
        </w:tabs>
        <w:suppressAutoHyphens/>
      </w:pPr>
      <w:r>
        <w:tab/>
      </w:r>
      <w:r w:rsidR="00C542F5">
        <w:tab/>
      </w:r>
      <w:r>
        <w:t>This question does not apply.</w:t>
      </w:r>
    </w:p>
    <w:p w:rsidR="00FC1430" w:rsidP="00FC1430" w:rsidRDefault="00FC1430" w14:paraId="0CDC532C" w14:textId="77777777">
      <w:pPr>
        <w:tabs>
          <w:tab w:val="left" w:pos="-720"/>
        </w:tabs>
        <w:suppressAutoHyphens/>
      </w:pPr>
    </w:p>
    <w:p w:rsidRPr="00B7035C" w:rsidR="00FC1430" w:rsidP="00FC1430" w:rsidRDefault="00FC1430" w14:paraId="7B6F7FF2" w14:textId="77777777">
      <w:pPr>
        <w:tabs>
          <w:tab w:val="left" w:pos="-720"/>
        </w:tabs>
        <w:suppressAutoHyphens/>
        <w:ind w:left="720" w:hanging="720"/>
        <w:rPr>
          <w:b/>
        </w:rPr>
      </w:pPr>
      <w:r w:rsidRPr="00B7035C">
        <w:rPr>
          <w:b/>
        </w:rPr>
        <w:t>11.</w:t>
      </w:r>
      <w:r w:rsidRPr="00B7035C">
        <w:rPr>
          <w:b/>
        </w:rPr>
        <w:tab/>
      </w:r>
      <w:r w:rsidRPr="00B7035C">
        <w:rPr>
          <w:b/>
          <w:u w:val="single"/>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B7035C">
        <w:rPr>
          <w:b/>
        </w:rPr>
        <w:t>.</w:t>
      </w:r>
    </w:p>
    <w:p w:rsidR="00FC1430" w:rsidP="00FC1430" w:rsidRDefault="00FC1430" w14:paraId="7F8C5342" w14:textId="77777777">
      <w:pPr>
        <w:tabs>
          <w:tab w:val="left" w:pos="-720"/>
        </w:tabs>
        <w:suppressAutoHyphens/>
      </w:pPr>
    </w:p>
    <w:p w:rsidR="00FC1430" w:rsidP="00FC1430" w:rsidRDefault="00FC1430" w14:paraId="4562FDD7" w14:textId="77777777">
      <w:pPr>
        <w:tabs>
          <w:tab w:val="left" w:pos="-720"/>
        </w:tabs>
        <w:suppressAutoHyphens/>
      </w:pPr>
      <w:r>
        <w:tab/>
        <w:t>None of the regulations require the giving of sensitive information, as that term is used in Question 11.</w:t>
      </w:r>
    </w:p>
    <w:p w:rsidR="00FC1430" w:rsidP="00FC1430" w:rsidRDefault="00FC1430" w14:paraId="01B10C7B" w14:textId="77777777">
      <w:pPr>
        <w:tabs>
          <w:tab w:val="left" w:pos="-720"/>
        </w:tabs>
        <w:suppressAutoHyphens/>
      </w:pPr>
    </w:p>
    <w:p w:rsidRPr="00B7035C" w:rsidR="00FC1430" w:rsidP="00FC1430" w:rsidRDefault="00FC1430" w14:paraId="00388954" w14:textId="77777777">
      <w:pPr>
        <w:tabs>
          <w:tab w:val="left" w:pos="-720"/>
          <w:tab w:val="left" w:pos="0"/>
        </w:tabs>
        <w:suppressAutoHyphens/>
        <w:ind w:left="720" w:hanging="720"/>
        <w:rPr>
          <w:b/>
        </w:rPr>
      </w:pPr>
      <w:r w:rsidRPr="00B7035C">
        <w:rPr>
          <w:b/>
        </w:rPr>
        <w:t>12.</w:t>
      </w:r>
      <w:r w:rsidRPr="00B7035C">
        <w:rPr>
          <w:b/>
        </w:rPr>
        <w:tab/>
      </w:r>
      <w:r w:rsidRPr="00B7035C">
        <w:rPr>
          <w:b/>
          <w:u w:val="single"/>
        </w:rPr>
        <w:t>Provide estimates of the hour burden of the collection of information.  The Statement should</w:t>
      </w:r>
      <w:r w:rsidRPr="00B7035C">
        <w:rPr>
          <w:b/>
        </w:rPr>
        <w:t>:</w:t>
      </w:r>
    </w:p>
    <w:p w:rsidR="00FC1430" w:rsidP="00FC1430" w:rsidRDefault="00FC1430" w14:paraId="13F9094D" w14:textId="77777777">
      <w:pPr>
        <w:tabs>
          <w:tab w:val="left" w:pos="-720"/>
        </w:tabs>
        <w:suppressAutoHyphens/>
      </w:pPr>
    </w:p>
    <w:p w:rsidRPr="00B7035C" w:rsidR="00FC1430" w:rsidP="00FC1430" w:rsidRDefault="00FC1430" w14:paraId="53E698C5" w14:textId="77777777">
      <w:pPr>
        <w:tabs>
          <w:tab w:val="left" w:pos="-720"/>
          <w:tab w:val="left" w:pos="0"/>
          <w:tab w:val="left" w:pos="720"/>
        </w:tabs>
        <w:suppressAutoHyphens/>
        <w:ind w:left="1440" w:hanging="1440"/>
        <w:rPr>
          <w:b/>
        </w:rPr>
      </w:pPr>
      <w:r>
        <w:tab/>
        <w:t>-</w:t>
      </w:r>
      <w:r>
        <w:tab/>
      </w:r>
      <w:r w:rsidRPr="00B7035C">
        <w:rPr>
          <w:b/>
        </w:rPr>
        <w:t xml:space="preserve">Indicate the number of respondents, frequency of response, annual hour burden and an explanation of how the burden was estimated.  Unless directed to do so, agencies should not conduct special surveys to obtain </w:t>
      </w:r>
      <w:r w:rsidRPr="00B7035C">
        <w:rPr>
          <w:b/>
        </w:rPr>
        <w:lastRenderedPageBreak/>
        <w:t>information on which to base hour burden estimates.  Consultation with a sample (fewer than ten) of</w:t>
      </w:r>
      <w:r>
        <w:t xml:space="preserve"> </w:t>
      </w:r>
      <w:r w:rsidRPr="00B7035C">
        <w:rPr>
          <w:b/>
        </w:rPr>
        <w:t>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B7035C" w:rsidR="00FC1430" w:rsidP="00FC1430" w:rsidRDefault="00FC1430" w14:paraId="507FAA49" w14:textId="77777777">
      <w:pPr>
        <w:tabs>
          <w:tab w:val="left" w:pos="-720"/>
        </w:tabs>
        <w:suppressAutoHyphens/>
        <w:rPr>
          <w:b/>
        </w:rPr>
      </w:pPr>
    </w:p>
    <w:p w:rsidRPr="00B7035C" w:rsidR="00FC1430" w:rsidP="00FC1430" w:rsidRDefault="00FC1430" w14:paraId="4CB4A1DD" w14:textId="77777777">
      <w:pPr>
        <w:tabs>
          <w:tab w:val="left" w:pos="-720"/>
          <w:tab w:val="left" w:pos="0"/>
          <w:tab w:val="left" w:pos="720"/>
        </w:tabs>
        <w:suppressAutoHyphens/>
        <w:ind w:left="1440" w:hanging="1440"/>
        <w:rPr>
          <w:b/>
        </w:rPr>
      </w:pPr>
      <w:r w:rsidRPr="00B7035C">
        <w:rPr>
          <w:b/>
        </w:rPr>
        <w:tab/>
        <w:t>-</w:t>
      </w:r>
      <w:r w:rsidRPr="00B7035C">
        <w:rPr>
          <w:b/>
        </w:rPr>
        <w:tab/>
        <w:t>If the request for approval covers more than one form, provide separate hour burden estimates for each form and aggregate the hour burdens in Item 13 of OMB Form 83-I.</w:t>
      </w:r>
    </w:p>
    <w:p w:rsidRPr="00B7035C" w:rsidR="00FC1430" w:rsidP="00FC1430" w:rsidRDefault="00FC1430" w14:paraId="48B271FA" w14:textId="77777777">
      <w:pPr>
        <w:tabs>
          <w:tab w:val="left" w:pos="-720"/>
        </w:tabs>
        <w:suppressAutoHyphens/>
        <w:rPr>
          <w:b/>
        </w:rPr>
      </w:pPr>
    </w:p>
    <w:p w:rsidRPr="00B7035C" w:rsidR="00FC1430" w:rsidP="00FC1430" w:rsidRDefault="00FC1430" w14:paraId="00CB63BC" w14:textId="77777777">
      <w:pPr>
        <w:tabs>
          <w:tab w:val="left" w:pos="-720"/>
          <w:tab w:val="left" w:pos="0"/>
          <w:tab w:val="left" w:pos="720"/>
        </w:tabs>
        <w:suppressAutoHyphens/>
        <w:ind w:left="1440" w:hanging="1440"/>
        <w:rPr>
          <w:b/>
        </w:rPr>
      </w:pPr>
      <w:r w:rsidRPr="00B7035C">
        <w:rPr>
          <w:b/>
        </w:rPr>
        <w:tab/>
        <w:t>-</w:t>
      </w:r>
      <w:r w:rsidRPr="00B7035C">
        <w:rPr>
          <w:b/>
        </w:rPr>
        <w:tab/>
        <w:t xml:space="preserve">Provide estimates of annualized cost to respondents for the hours burdens for collections of information, identifying and using appropriate wage rate categories. The cost of contracting </w:t>
      </w:r>
      <w:proofErr w:type="spellStart"/>
      <w:r w:rsidRPr="00B7035C">
        <w:rPr>
          <w:b/>
        </w:rPr>
        <w:t>our</w:t>
      </w:r>
      <w:proofErr w:type="spellEnd"/>
      <w:r w:rsidRPr="00B7035C">
        <w:rPr>
          <w:b/>
        </w:rPr>
        <w:t xml:space="preserve"> or paying outside parties for information collection activities should not be included here.  Instead, this cost should be included in Item 13.</w:t>
      </w:r>
    </w:p>
    <w:p w:rsidR="00FC1430" w:rsidP="00FC1430" w:rsidRDefault="00FC1430" w14:paraId="15BDC398" w14:textId="77777777">
      <w:pPr>
        <w:tabs>
          <w:tab w:val="left" w:pos="-720"/>
        </w:tabs>
        <w:suppressAutoHyphens/>
      </w:pPr>
    </w:p>
    <w:p w:rsidR="001C4E11" w:rsidP="007A0F99" w:rsidRDefault="00FC1430" w14:paraId="2C055CB6" w14:textId="2AF038CC">
      <w:pPr>
        <w:tabs>
          <w:tab w:val="left" w:pos="-720"/>
          <w:tab w:val="left" w:pos="0"/>
          <w:tab w:val="left" w:pos="720"/>
        </w:tabs>
        <w:suppressAutoHyphens/>
      </w:pPr>
      <w:r w:rsidRPr="00B7035C">
        <w:rPr>
          <w:i/>
        </w:rPr>
        <w:t>See</w:t>
      </w:r>
      <w:r>
        <w:t xml:space="preserve"> Attachment A.</w:t>
      </w:r>
      <w:r w:rsidR="00FA048E">
        <w:t xml:space="preserve">  </w:t>
      </w:r>
    </w:p>
    <w:p w:rsidR="001C4E11" w:rsidP="007A0F99" w:rsidRDefault="001C4E11" w14:paraId="64C283D3" w14:textId="77777777">
      <w:pPr>
        <w:tabs>
          <w:tab w:val="left" w:pos="-720"/>
          <w:tab w:val="left" w:pos="0"/>
          <w:tab w:val="left" w:pos="720"/>
        </w:tabs>
        <w:suppressAutoHyphens/>
      </w:pPr>
    </w:p>
    <w:p w:rsidR="007A0F99" w:rsidP="007A0F99" w:rsidRDefault="00FA048E" w14:paraId="154825B6" w14:textId="5CBFC692">
      <w:pPr>
        <w:tabs>
          <w:tab w:val="left" w:pos="-720"/>
          <w:tab w:val="left" w:pos="0"/>
          <w:tab w:val="left" w:pos="720"/>
        </w:tabs>
        <w:suppressAutoHyphens/>
      </w:pPr>
      <w:r>
        <w:t xml:space="preserve">The risk disclosure rules require respondents to provide a Commission-mandated statement to certain customers and then to file a signed acknowledgment received from these customers.  These tasks can be performed by clerical employees.  If a customer has questions concerning the statement, a professional level employee </w:t>
      </w:r>
      <w:r w:rsidR="00E00C74">
        <w:t xml:space="preserve">may </w:t>
      </w:r>
      <w:r>
        <w:t>need to respond.</w:t>
      </w:r>
      <w:r w:rsidR="007F450E">
        <w:t xml:space="preserve">  </w:t>
      </w:r>
    </w:p>
    <w:p w:rsidR="001C4E11" w:rsidP="007A0F99" w:rsidRDefault="001C4E11" w14:paraId="0BDB7024" w14:textId="77777777">
      <w:pPr>
        <w:tabs>
          <w:tab w:val="left" w:pos="-720"/>
          <w:tab w:val="left" w:pos="0"/>
          <w:tab w:val="left" w:pos="720"/>
        </w:tabs>
        <w:suppressAutoHyphens/>
      </w:pPr>
    </w:p>
    <w:p w:rsidRPr="007A0F99" w:rsidR="007A0F99" w:rsidP="00E00C74" w:rsidRDefault="00444C95" w14:paraId="368F6526" w14:textId="22D08867">
      <w:pPr>
        <w:tabs>
          <w:tab w:val="left" w:pos="-720"/>
          <w:tab w:val="left" w:pos="0"/>
          <w:tab w:val="left" w:pos="720"/>
        </w:tabs>
        <w:suppressAutoHyphens/>
        <w:rPr>
          <w:u w:val="single"/>
        </w:rPr>
      </w:pPr>
      <w:r>
        <w:rPr>
          <w:u w:val="single"/>
        </w:rPr>
        <w:t xml:space="preserve">Third-party Disclosure </w:t>
      </w:r>
      <w:r w:rsidR="003D358F">
        <w:rPr>
          <w:u w:val="single"/>
        </w:rPr>
        <w:t>B</w:t>
      </w:r>
      <w:r w:rsidR="007A0F99">
        <w:rPr>
          <w:u w:val="single"/>
        </w:rPr>
        <w:t>urden</w:t>
      </w:r>
      <w:r w:rsidRPr="00B7035C" w:rsidR="007A0F99">
        <w:t>:</w:t>
      </w:r>
      <w:r w:rsidRPr="00B7035C" w:rsidR="00E00C74">
        <w:t xml:space="preserve">  </w:t>
      </w:r>
      <w:r w:rsidR="007A0F99">
        <w:t xml:space="preserve">Regulation 33.7 (risk disclosure) respondents account for </w:t>
      </w:r>
      <w:r w:rsidR="005B50C6">
        <w:t>10,230.4</w:t>
      </w:r>
      <w:r w:rsidR="007A0F99">
        <w:t xml:space="preserve"> annual </w:t>
      </w:r>
      <w:r>
        <w:rPr>
          <w:u w:val="single"/>
        </w:rPr>
        <w:t>third-party disclosure</w:t>
      </w:r>
      <w:r w:rsidR="007A0F99">
        <w:t xml:space="preserve"> hours. </w:t>
      </w:r>
      <w:r w:rsidR="00F41379">
        <w:t xml:space="preserve"> </w:t>
      </w:r>
      <w:r w:rsidR="007A0F99">
        <w:t>These hours would be spread across 1,</w:t>
      </w:r>
      <w:r w:rsidR="00536BA5">
        <w:t xml:space="preserve">112 </w:t>
      </w:r>
      <w:r w:rsidR="007A0F99">
        <w:t xml:space="preserve">respondents. </w:t>
      </w:r>
    </w:p>
    <w:p w:rsidR="007A0F99" w:rsidP="007A0F99" w:rsidRDefault="007A0F99" w14:paraId="36283A19" w14:textId="77777777">
      <w:pPr>
        <w:tabs>
          <w:tab w:val="left" w:pos="-720"/>
          <w:tab w:val="left" w:pos="0"/>
          <w:tab w:val="left" w:pos="720"/>
        </w:tabs>
        <w:suppressAutoHyphens/>
        <w:rPr>
          <w:u w:val="single"/>
        </w:rPr>
      </w:pPr>
    </w:p>
    <w:p w:rsidRPr="007A0F99" w:rsidR="007A0F99" w:rsidP="00E00C74" w:rsidRDefault="007A0F99" w14:paraId="1C33ABEE" w14:textId="6822707C">
      <w:pPr>
        <w:tabs>
          <w:tab w:val="left" w:pos="-720"/>
          <w:tab w:val="left" w:pos="0"/>
          <w:tab w:val="left" w:pos="720"/>
        </w:tabs>
        <w:suppressAutoHyphens/>
        <w:rPr>
          <w:u w:val="single"/>
        </w:rPr>
      </w:pPr>
      <w:r>
        <w:rPr>
          <w:u w:val="single"/>
        </w:rPr>
        <w:t xml:space="preserve">Recordkeeping </w:t>
      </w:r>
      <w:r w:rsidR="003D358F">
        <w:rPr>
          <w:u w:val="single"/>
        </w:rPr>
        <w:t>B</w:t>
      </w:r>
      <w:r>
        <w:rPr>
          <w:u w:val="single"/>
        </w:rPr>
        <w:t>urden:</w:t>
      </w:r>
      <w:r w:rsidR="00E00C74">
        <w:t xml:space="preserve">  </w:t>
      </w:r>
      <w:r>
        <w:t>Regulation 33.8 (retention of promotional material</w:t>
      </w:r>
      <w:r w:rsidR="00A107AF">
        <w:t>) account</w:t>
      </w:r>
      <w:r>
        <w:t xml:space="preserve"> for </w:t>
      </w:r>
      <w:r w:rsidR="005B50C6">
        <w:t>27,800</w:t>
      </w:r>
      <w:r>
        <w:t xml:space="preserve"> annual</w:t>
      </w:r>
      <w:r w:rsidR="007B51D6">
        <w:t xml:space="preserve"> recordkeeping </w:t>
      </w:r>
      <w:r>
        <w:t xml:space="preserve">hours. </w:t>
      </w:r>
      <w:r w:rsidR="00F41379">
        <w:t xml:space="preserve"> </w:t>
      </w:r>
      <w:r>
        <w:t xml:space="preserve">These hours would be spread across </w:t>
      </w:r>
      <w:r w:rsidRPr="00A107AF" w:rsidR="00A107AF">
        <w:t>1,</w:t>
      </w:r>
      <w:r w:rsidR="00536BA5">
        <w:t>112</w:t>
      </w:r>
      <w:r w:rsidRPr="00A107AF" w:rsidR="00536BA5">
        <w:t xml:space="preserve"> </w:t>
      </w:r>
      <w:r w:rsidR="00A107AF">
        <w:t>respondents</w:t>
      </w:r>
      <w:r>
        <w:t>.</w:t>
      </w:r>
    </w:p>
    <w:p w:rsidRPr="007A0F99" w:rsidR="007A0F99" w:rsidP="007A0F99" w:rsidRDefault="007A0F99" w14:paraId="055799DD" w14:textId="77777777">
      <w:pPr>
        <w:tabs>
          <w:tab w:val="left" w:pos="-720"/>
          <w:tab w:val="left" w:pos="0"/>
          <w:tab w:val="left" w:pos="720"/>
        </w:tabs>
        <w:suppressAutoHyphens/>
        <w:ind w:left="780"/>
        <w:rPr>
          <w:u w:val="single"/>
        </w:rPr>
      </w:pPr>
    </w:p>
    <w:p w:rsidR="007A0F99" w:rsidP="007A0F99" w:rsidRDefault="001C4E11" w14:paraId="0CB662F1" w14:textId="66FBC1B2">
      <w:pPr>
        <w:tabs>
          <w:tab w:val="left" w:pos="-720"/>
        </w:tabs>
        <w:suppressAutoHyphens/>
      </w:pPr>
      <w:r>
        <w:t>Accordingly, t</w:t>
      </w:r>
      <w:r w:rsidR="00A107AF">
        <w:t xml:space="preserve">he Commission estimates that the estimated total number of hours of annual burden on respondents would be </w:t>
      </w:r>
      <w:r w:rsidR="005B50C6">
        <w:t>38,030.4</w:t>
      </w:r>
      <w:r w:rsidR="00A107AF">
        <w:t>.</w:t>
      </w:r>
    </w:p>
    <w:p w:rsidR="00FC1430" w:rsidP="00FC1430" w:rsidRDefault="00FC1430" w14:paraId="4BFE7F1B" w14:textId="77777777">
      <w:pPr>
        <w:tabs>
          <w:tab w:val="left" w:pos="-720"/>
        </w:tabs>
        <w:suppressAutoHyphens/>
      </w:pPr>
    </w:p>
    <w:p w:rsidR="001C4E11" w:rsidP="001C4E11" w:rsidRDefault="001C4E11" w14:paraId="7D5F1A8D" w14:textId="361AEA9A">
      <w:pPr>
        <w:tabs>
          <w:tab w:val="left" w:pos="-720"/>
          <w:tab w:val="left" w:pos="0"/>
          <w:tab w:val="left" w:pos="720"/>
        </w:tabs>
        <w:suppressAutoHyphens/>
      </w:pPr>
      <w:r>
        <w:t>The annualized costs in Attachment A were determined using an average salary of $</w:t>
      </w:r>
      <w:r w:rsidR="00804EC5">
        <w:t>30.00</w:t>
      </w:r>
      <w:r>
        <w:t xml:space="preserve"> per hour.  The Commission believes that this is an appropriate salary estimate for purposes of these regulations.</w:t>
      </w:r>
    </w:p>
    <w:p w:rsidR="001C4E11" w:rsidP="001C4E11" w:rsidRDefault="001C4E11" w14:paraId="448A9B11" w14:textId="6FE6039E">
      <w:pPr>
        <w:tabs>
          <w:tab w:val="left" w:pos="-720"/>
          <w:tab w:val="left" w:pos="0"/>
          <w:tab w:val="left" w:pos="720"/>
        </w:tabs>
        <w:suppressAutoHyphens/>
      </w:pPr>
    </w:p>
    <w:p w:rsidR="001C4E11" w:rsidP="001C4E11" w:rsidRDefault="001C4E11" w14:paraId="146BC128" w14:textId="329668FC">
      <w:pPr>
        <w:tabs>
          <w:tab w:val="left" w:pos="-720"/>
        </w:tabs>
        <w:suppressAutoHyphens/>
      </w:pPr>
      <w:r w:rsidRPr="00547762">
        <w:t xml:space="preserve">In support of this determination, the Commission notes that the salary estimate </w:t>
      </w:r>
      <w:r>
        <w:t>is</w:t>
      </w:r>
      <w:r w:rsidRPr="00446001">
        <w:t xml:space="preserve"> based upon </w:t>
      </w:r>
      <w:r>
        <w:t xml:space="preserve">May </w:t>
      </w:r>
      <w:r w:rsidR="005B50C6">
        <w:t>2020</w:t>
      </w:r>
      <w:r>
        <w:t xml:space="preserve"> </w:t>
      </w:r>
      <w:r w:rsidRPr="00446001">
        <w:t>Bureau of Labor Statistics</w:t>
      </w:r>
      <w:r>
        <w:t>’</w:t>
      </w:r>
      <w:r w:rsidRPr="00446001">
        <w:t xml:space="preserve"> findings</w:t>
      </w:r>
      <w:r>
        <w:t xml:space="preserve"> of National Occupation</w:t>
      </w:r>
      <w:r w:rsidR="00804EC5">
        <w:t>al Employment</w:t>
      </w:r>
      <w:r>
        <w:t xml:space="preserve"> and Wage Estimates, United States</w:t>
      </w:r>
      <w:r>
        <w:rPr>
          <w:rStyle w:val="FootnoteReference"/>
        </w:rPr>
        <w:footnoteReference w:id="4"/>
      </w:r>
      <w:r w:rsidRPr="00446001">
        <w:t>, including the mean hourly wage of an employee under occupation code</w:t>
      </w:r>
      <w:r w:rsidR="00367328">
        <w:t>s 43-3031 (Bookkeeping, Accounting, and Auditing Clerks), 43-4051 (Customer Service Representative),</w:t>
      </w:r>
      <w:r w:rsidRPr="00446001">
        <w:t xml:space="preserve"> </w:t>
      </w:r>
      <w:r w:rsidR="00804EC5">
        <w:t>43-9061</w:t>
      </w:r>
      <w:r w:rsidR="00367328">
        <w:t xml:space="preserve"> (Office Clerks, General), and 43-4071 (File Clerks)</w:t>
      </w:r>
      <w:r w:rsidRPr="00446001">
        <w:t xml:space="preserve">, </w:t>
      </w:r>
      <w:r w:rsidR="00367328">
        <w:t>in each case,</w:t>
      </w:r>
      <w:r w:rsidRPr="00446001">
        <w:t xml:space="preserve"> that is employed by the “Securities</w:t>
      </w:r>
      <w:r w:rsidR="00804EC5">
        <w:t>, Commodity Contracts, and Other Financial Investments and Related Activities</w:t>
      </w:r>
      <w:r w:rsidRPr="00446001">
        <w:t xml:space="preserve">” </w:t>
      </w:r>
      <w:r w:rsidR="00804EC5">
        <w:t xml:space="preserve">industry </w:t>
      </w:r>
      <w:r w:rsidRPr="00446001">
        <w:t xml:space="preserve">which is </w:t>
      </w:r>
      <w:r w:rsidR="00367328">
        <w:t>$2</w:t>
      </w:r>
      <w:r w:rsidR="005506E2">
        <w:t>4.04</w:t>
      </w:r>
      <w:r w:rsidR="00367328">
        <w:t>, $2</w:t>
      </w:r>
      <w:r w:rsidR="005506E2">
        <w:t>2.47</w:t>
      </w:r>
      <w:r w:rsidR="00367328">
        <w:t>, $</w:t>
      </w:r>
      <w:r w:rsidR="005506E2">
        <w:t>20.76</w:t>
      </w:r>
      <w:r w:rsidR="00367328">
        <w:t>, and $16.</w:t>
      </w:r>
      <w:r w:rsidR="005506E2">
        <w:t>15</w:t>
      </w:r>
      <w:r w:rsidR="00367328">
        <w:t>, respectively.</w:t>
      </w:r>
      <w:r>
        <w:t xml:space="preserve"> </w:t>
      </w:r>
      <w:r w:rsidRPr="00446001">
        <w:t xml:space="preserve"> </w:t>
      </w:r>
      <w:r w:rsidR="00367328">
        <w:t>T</w:t>
      </w:r>
      <w:r w:rsidRPr="00446001">
        <w:t xml:space="preserve">he </w:t>
      </w:r>
      <w:r w:rsidRPr="00446001">
        <w:lastRenderedPageBreak/>
        <w:t xml:space="preserve">Commission took the foregoing data and then increased its hourly wage estimate in recognition of the fact that some </w:t>
      </w:r>
      <w:r>
        <w:t>respondents</w:t>
      </w:r>
      <w:r w:rsidRPr="00446001">
        <w:t xml:space="preserve"> may be large financial institutions whose employees’ salaries may exceed the mean wage.  </w:t>
      </w:r>
    </w:p>
    <w:p w:rsidR="00804EC5" w:rsidP="001C4E11" w:rsidRDefault="00804EC5" w14:paraId="04DDD72E" w14:textId="77777777">
      <w:pPr>
        <w:tabs>
          <w:tab w:val="left" w:pos="-720"/>
        </w:tabs>
        <w:suppressAutoHyphens/>
      </w:pPr>
    </w:p>
    <w:p w:rsidRPr="00B7035C" w:rsidR="00FC1430" w:rsidP="00FC1430" w:rsidRDefault="00FC1430" w14:paraId="4D94A34D" w14:textId="0335DDE5">
      <w:pPr>
        <w:tabs>
          <w:tab w:val="left" w:pos="-720"/>
          <w:tab w:val="left" w:pos="0"/>
        </w:tabs>
        <w:suppressAutoHyphens/>
        <w:ind w:left="720" w:hanging="720"/>
        <w:rPr>
          <w:b/>
        </w:rPr>
      </w:pPr>
      <w:r w:rsidRPr="00B7035C">
        <w:rPr>
          <w:b/>
        </w:rPr>
        <w:t>13.</w:t>
      </w:r>
      <w:r w:rsidRPr="00B7035C">
        <w:rPr>
          <w:b/>
        </w:rPr>
        <w:tab/>
      </w:r>
      <w:r w:rsidRPr="00B7035C">
        <w:rPr>
          <w:b/>
          <w:u w:val="single"/>
        </w:rPr>
        <w:t>Provide an estimate of the total annual cost burden to respondents or recordkeepers resulting f</w:t>
      </w:r>
      <w:r w:rsidRPr="00B7035C" w:rsidR="00B7035C">
        <w:rPr>
          <w:b/>
          <w:u w:val="single"/>
        </w:rPr>
        <w:t>ro</w:t>
      </w:r>
      <w:r w:rsidRPr="00B7035C">
        <w:rPr>
          <w:b/>
          <w:u w:val="single"/>
        </w:rPr>
        <w:t>m the collection of information.  (Do not include the cost of any hour burden shown in Items 12 and 14)</w:t>
      </w:r>
      <w:r w:rsidRPr="00B7035C">
        <w:rPr>
          <w:b/>
        </w:rPr>
        <w:t>.</w:t>
      </w:r>
    </w:p>
    <w:p w:rsidR="00FC1430" w:rsidP="00FC1430" w:rsidRDefault="00FC1430" w14:paraId="5A49A586" w14:textId="77777777">
      <w:pPr>
        <w:tabs>
          <w:tab w:val="left" w:pos="-720"/>
        </w:tabs>
        <w:suppressAutoHyphens/>
      </w:pPr>
    </w:p>
    <w:p w:rsidR="00FC1430" w:rsidP="00FC1430" w:rsidRDefault="00FC1430" w14:paraId="565FFCBD" w14:textId="77777777">
      <w:pPr>
        <w:tabs>
          <w:tab w:val="left" w:pos="-720"/>
          <w:tab w:val="left" w:pos="0"/>
          <w:tab w:val="left" w:pos="720"/>
        </w:tabs>
        <w:suppressAutoHyphens/>
        <w:ind w:left="1440" w:hanging="1440"/>
      </w:pPr>
      <w:r>
        <w:tab/>
        <w:t>-</w:t>
      </w:r>
      <w:r>
        <w:tab/>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t>take into account</w:t>
      </w:r>
      <w:proofErr w:type="gramEnd"/>
      <w:r>
        <w:t xml:space="preserve">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FC1430" w:rsidP="00FC1430" w:rsidRDefault="00FC1430" w14:paraId="3B6FD08D" w14:textId="77777777">
      <w:pPr>
        <w:tabs>
          <w:tab w:val="left" w:pos="-720"/>
        </w:tabs>
        <w:suppressAutoHyphens/>
      </w:pPr>
    </w:p>
    <w:p w:rsidR="00FC1430" w:rsidP="00FC1430" w:rsidRDefault="00FC1430" w14:paraId="4BA08EA8" w14:textId="77777777">
      <w:pPr>
        <w:tabs>
          <w:tab w:val="left" w:pos="-720"/>
          <w:tab w:val="left" w:pos="0"/>
          <w:tab w:val="left" w:pos="720"/>
        </w:tabs>
        <w:suppressAutoHyphens/>
        <w:ind w:left="1440" w:hanging="1440"/>
      </w:pPr>
      <w:r>
        <w:tab/>
        <w:t>-</w:t>
      </w:r>
      <w:r>
        <w:tab/>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FC1430" w:rsidP="00FC1430" w:rsidRDefault="00FC1430" w14:paraId="698DB046" w14:textId="77777777">
      <w:pPr>
        <w:tabs>
          <w:tab w:val="left" w:pos="-720"/>
        </w:tabs>
        <w:suppressAutoHyphens/>
      </w:pPr>
    </w:p>
    <w:p w:rsidR="00FC1430" w:rsidP="00FC1430" w:rsidRDefault="00FC1430" w14:paraId="7BB0672F" w14:textId="77777777">
      <w:pPr>
        <w:tabs>
          <w:tab w:val="left" w:pos="-720"/>
          <w:tab w:val="left" w:pos="0"/>
          <w:tab w:val="left" w:pos="720"/>
        </w:tabs>
        <w:suppressAutoHyphens/>
        <w:ind w:left="1440" w:hanging="1440"/>
      </w:pPr>
      <w:r>
        <w:tab/>
        <w:t>-</w:t>
      </w:r>
      <w: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FC1430" w:rsidP="00FC1430" w:rsidRDefault="00FC1430" w14:paraId="39737CA5" w14:textId="77777777">
      <w:pPr>
        <w:tabs>
          <w:tab w:val="left" w:pos="-720"/>
          <w:tab w:val="left" w:pos="0"/>
          <w:tab w:val="left" w:pos="720"/>
        </w:tabs>
        <w:suppressAutoHyphens/>
      </w:pPr>
    </w:p>
    <w:p w:rsidR="00FC1430" w:rsidP="004D3AED" w:rsidRDefault="004D3AED" w14:paraId="1E81A879" w14:textId="77777777">
      <w:r>
        <w:tab/>
      </w:r>
      <w:r w:rsidR="00C542F5">
        <w:tab/>
      </w:r>
      <w:r w:rsidRPr="009D1625" w:rsidR="009D1625">
        <w:t>This information collection does not involve any new start-up or operations and maintenance costs.</w:t>
      </w:r>
    </w:p>
    <w:p w:rsidR="004D3AED" w:rsidP="00FC1430" w:rsidRDefault="004D3AED" w14:paraId="6F28FE53" w14:textId="77777777">
      <w:pPr>
        <w:tabs>
          <w:tab w:val="left" w:pos="-720"/>
        </w:tabs>
        <w:suppressAutoHyphens/>
      </w:pPr>
    </w:p>
    <w:p w:rsidRPr="00B7035C" w:rsidR="00FC1430" w:rsidP="00FC1430" w:rsidRDefault="00FC1430" w14:paraId="12B1A43A" w14:textId="77777777">
      <w:pPr>
        <w:tabs>
          <w:tab w:val="left" w:pos="-720"/>
        </w:tabs>
        <w:suppressAutoHyphens/>
        <w:ind w:left="720" w:hanging="720"/>
        <w:rPr>
          <w:b/>
        </w:rPr>
      </w:pPr>
      <w:r w:rsidRPr="00B7035C">
        <w:rPr>
          <w:b/>
        </w:rPr>
        <w:t>14.</w:t>
      </w:r>
      <w:r w:rsidRPr="00B7035C">
        <w:rPr>
          <w:b/>
        </w:rPr>
        <w:tab/>
      </w:r>
      <w:r w:rsidRPr="00B7035C">
        <w:rPr>
          <w:b/>
          <w:u w:val="single"/>
        </w:rPr>
        <w:t>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r w:rsidRPr="00B7035C">
        <w:rPr>
          <w:b/>
        </w:rPr>
        <w:t xml:space="preserve">  </w:t>
      </w:r>
    </w:p>
    <w:p w:rsidR="00FC1430" w:rsidP="00FC1430" w:rsidRDefault="00FC1430" w14:paraId="43F5F21A" w14:textId="77777777">
      <w:pPr>
        <w:tabs>
          <w:tab w:val="left" w:pos="-720"/>
        </w:tabs>
        <w:suppressAutoHyphens/>
      </w:pPr>
    </w:p>
    <w:p w:rsidR="00FC1430" w:rsidP="00FC1430" w:rsidRDefault="00FC1430" w14:paraId="4D55AFA7" w14:textId="77777777">
      <w:pPr>
        <w:tabs>
          <w:tab w:val="left" w:pos="-720"/>
        </w:tabs>
        <w:suppressAutoHyphens/>
      </w:pPr>
      <w:r>
        <w:tab/>
      </w:r>
      <w:r w:rsidR="00C542F5">
        <w:tab/>
      </w:r>
      <w:r>
        <w:t>This question does not apply.</w:t>
      </w:r>
    </w:p>
    <w:p w:rsidR="00FC1430" w:rsidP="00FC1430" w:rsidRDefault="00FC1430" w14:paraId="6B407C32" w14:textId="77777777">
      <w:pPr>
        <w:tabs>
          <w:tab w:val="left" w:pos="-720"/>
        </w:tabs>
        <w:suppressAutoHyphens/>
      </w:pPr>
    </w:p>
    <w:p w:rsidR="00C542F5" w:rsidP="00C542F5" w:rsidRDefault="00FC1430" w14:paraId="23E984E6" w14:textId="77777777">
      <w:pPr>
        <w:tabs>
          <w:tab w:val="left" w:pos="-720"/>
          <w:tab w:val="left" w:pos="0"/>
        </w:tabs>
        <w:suppressAutoHyphens/>
        <w:ind w:left="720" w:hanging="720"/>
      </w:pPr>
      <w:r w:rsidRPr="00B7035C">
        <w:rPr>
          <w:b/>
        </w:rPr>
        <w:lastRenderedPageBreak/>
        <w:t>15.</w:t>
      </w:r>
      <w:r w:rsidRPr="00B7035C">
        <w:rPr>
          <w:b/>
        </w:rPr>
        <w:tab/>
      </w:r>
      <w:r w:rsidRPr="00B7035C">
        <w:rPr>
          <w:b/>
          <w:u w:val="single"/>
        </w:rPr>
        <w:t>Explain the reasons for any program changes or adjustments reported in Items 13 or 14 of the OMB Form 83-I</w:t>
      </w:r>
      <w:r>
        <w:t>.</w:t>
      </w:r>
    </w:p>
    <w:p w:rsidR="00C542F5" w:rsidP="00C542F5" w:rsidRDefault="00C542F5" w14:paraId="509C3343" w14:textId="77777777">
      <w:pPr>
        <w:tabs>
          <w:tab w:val="left" w:pos="-720"/>
          <w:tab w:val="left" w:pos="0"/>
        </w:tabs>
        <w:suppressAutoHyphens/>
        <w:ind w:left="720" w:hanging="720"/>
      </w:pPr>
      <w:r>
        <w:tab/>
      </w:r>
      <w:r>
        <w:tab/>
      </w:r>
    </w:p>
    <w:p w:rsidR="00FA048E" w:rsidP="00C542F5" w:rsidRDefault="00C542F5" w14:paraId="136764AA" w14:textId="0BFCBEEE">
      <w:pPr>
        <w:tabs>
          <w:tab w:val="left" w:pos="-720"/>
          <w:tab w:val="left" w:pos="0"/>
        </w:tabs>
        <w:suppressAutoHyphens/>
        <w:ind w:left="720" w:hanging="720"/>
      </w:pPr>
      <w:r>
        <w:tab/>
      </w:r>
      <w:r>
        <w:tab/>
      </w:r>
      <w:r w:rsidR="006D7B8D">
        <w:t xml:space="preserve">As a result of industry consolidation and other factors, the current number of CFTC registrants who are FCMs or IBs (and, thus, the estimated number of </w:t>
      </w:r>
      <w:r w:rsidR="00A107AF">
        <w:t>respondents</w:t>
      </w:r>
      <w:r w:rsidR="006D7B8D">
        <w:t>)</w:t>
      </w:r>
      <w:r w:rsidR="00A107AF">
        <w:t xml:space="preserve"> has </w:t>
      </w:r>
      <w:r w:rsidR="00351742">
        <w:t xml:space="preserve">decreased </w:t>
      </w:r>
      <w:r w:rsidR="006D7B8D">
        <w:t>from 1,272 to 1,112</w:t>
      </w:r>
      <w:r w:rsidR="00A107AF">
        <w:t xml:space="preserve">. </w:t>
      </w:r>
      <w:r w:rsidR="006D7B8D">
        <w:t xml:space="preserve"> The estimated burden hours per registrant has not changed.</w:t>
      </w:r>
      <w:r w:rsidR="00AA63AD">
        <w:t xml:space="preserve"> </w:t>
      </w:r>
    </w:p>
    <w:p w:rsidR="00FC1430" w:rsidP="00FC1430" w:rsidRDefault="00FA048E" w14:paraId="008D80A3" w14:textId="77777777">
      <w:pPr>
        <w:tabs>
          <w:tab w:val="left" w:pos="-720"/>
        </w:tabs>
        <w:suppressAutoHyphens/>
      </w:pPr>
      <w:r>
        <w:t xml:space="preserve"> </w:t>
      </w:r>
    </w:p>
    <w:p w:rsidRPr="00B7035C" w:rsidR="00FC1430" w:rsidP="00FC1430" w:rsidRDefault="00FC1430" w14:paraId="4F8CAD81" w14:textId="77777777">
      <w:pPr>
        <w:tabs>
          <w:tab w:val="left" w:pos="-720"/>
          <w:tab w:val="left" w:pos="0"/>
        </w:tabs>
        <w:suppressAutoHyphens/>
        <w:ind w:left="720" w:hanging="720"/>
        <w:rPr>
          <w:b/>
        </w:rPr>
      </w:pPr>
      <w:r w:rsidRPr="00B7035C">
        <w:rPr>
          <w:b/>
        </w:rPr>
        <w:t>16.</w:t>
      </w:r>
      <w:r w:rsidRPr="00B7035C">
        <w:rPr>
          <w:b/>
        </w:rPr>
        <w:tab/>
      </w:r>
      <w:r w:rsidRPr="00B7035C">
        <w:rPr>
          <w:b/>
          <w:u w:val="single"/>
        </w:rPr>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r w:rsidRPr="00B7035C">
        <w:rPr>
          <w:b/>
        </w:rPr>
        <w:t>.</w:t>
      </w:r>
    </w:p>
    <w:p w:rsidR="00FC1430" w:rsidP="00FC1430" w:rsidRDefault="00FC1430" w14:paraId="62E901DB" w14:textId="77777777">
      <w:pPr>
        <w:tabs>
          <w:tab w:val="left" w:pos="-720"/>
        </w:tabs>
        <w:suppressAutoHyphens/>
      </w:pPr>
    </w:p>
    <w:p w:rsidR="00FC1430" w:rsidP="00FC1430" w:rsidRDefault="00FC1430" w14:paraId="1FF92B9E" w14:textId="77777777">
      <w:pPr>
        <w:tabs>
          <w:tab w:val="left" w:pos="-720"/>
        </w:tabs>
        <w:suppressAutoHyphens/>
      </w:pPr>
      <w:r>
        <w:tab/>
      </w:r>
      <w:r w:rsidR="00C542F5">
        <w:tab/>
      </w:r>
      <w:r>
        <w:t>This question does not apply.</w:t>
      </w:r>
    </w:p>
    <w:p w:rsidR="00FC1430" w:rsidP="00FC1430" w:rsidRDefault="00FC1430" w14:paraId="350B05F2" w14:textId="77777777">
      <w:pPr>
        <w:tabs>
          <w:tab w:val="left" w:pos="-720"/>
        </w:tabs>
        <w:suppressAutoHyphens/>
      </w:pPr>
    </w:p>
    <w:p w:rsidRPr="00B7035C" w:rsidR="00FC1430" w:rsidP="00FC1430" w:rsidRDefault="00FC1430" w14:paraId="02EFDB93" w14:textId="77777777">
      <w:pPr>
        <w:tabs>
          <w:tab w:val="left" w:pos="-720"/>
          <w:tab w:val="left" w:pos="0"/>
        </w:tabs>
        <w:suppressAutoHyphens/>
        <w:ind w:left="720" w:hanging="720"/>
        <w:rPr>
          <w:b/>
        </w:rPr>
      </w:pPr>
      <w:r w:rsidRPr="00B7035C">
        <w:rPr>
          <w:b/>
        </w:rPr>
        <w:t>17.</w:t>
      </w:r>
      <w:r w:rsidRPr="00B7035C">
        <w:rPr>
          <w:b/>
        </w:rPr>
        <w:tab/>
      </w:r>
      <w:r w:rsidRPr="00B7035C">
        <w:rPr>
          <w:b/>
          <w:u w:val="single"/>
        </w:rPr>
        <w:t>If seeking approval to not display the expiration date for OMB approval of the information collection, explain the reasons that display would be inappropriate</w:t>
      </w:r>
      <w:r w:rsidRPr="00B7035C">
        <w:rPr>
          <w:b/>
        </w:rPr>
        <w:t>.</w:t>
      </w:r>
    </w:p>
    <w:p w:rsidR="00FC1430" w:rsidP="00FC1430" w:rsidRDefault="00FC1430" w14:paraId="46C754E4" w14:textId="77777777">
      <w:pPr>
        <w:tabs>
          <w:tab w:val="left" w:pos="-720"/>
        </w:tabs>
        <w:suppressAutoHyphens/>
      </w:pPr>
    </w:p>
    <w:p w:rsidR="00FC1430" w:rsidP="00FC1430" w:rsidRDefault="00FC1430" w14:paraId="68109B66" w14:textId="77777777">
      <w:pPr>
        <w:tabs>
          <w:tab w:val="left" w:pos="-720"/>
        </w:tabs>
        <w:suppressAutoHyphens/>
      </w:pPr>
      <w:r>
        <w:tab/>
      </w:r>
      <w:r w:rsidR="00C542F5">
        <w:tab/>
      </w:r>
      <w:r>
        <w:t>This question does not apply.</w:t>
      </w:r>
    </w:p>
    <w:p w:rsidR="00FC1430" w:rsidP="00FC1430" w:rsidRDefault="00FC1430" w14:paraId="60269076" w14:textId="77777777">
      <w:pPr>
        <w:tabs>
          <w:tab w:val="left" w:pos="-720"/>
        </w:tabs>
        <w:suppressAutoHyphens/>
      </w:pPr>
    </w:p>
    <w:p w:rsidRPr="00B7035C" w:rsidR="00FC1430" w:rsidP="00FC1430" w:rsidRDefault="00FC1430" w14:paraId="4280FB19" w14:textId="77777777">
      <w:pPr>
        <w:tabs>
          <w:tab w:val="left" w:pos="-720"/>
          <w:tab w:val="left" w:pos="0"/>
        </w:tabs>
        <w:suppressAutoHyphens/>
        <w:ind w:left="720" w:hanging="720"/>
        <w:rPr>
          <w:b/>
        </w:rPr>
      </w:pPr>
      <w:r w:rsidRPr="00B7035C">
        <w:rPr>
          <w:b/>
        </w:rPr>
        <w:t>18.</w:t>
      </w:r>
      <w:r w:rsidRPr="00B7035C">
        <w:rPr>
          <w:b/>
        </w:rPr>
        <w:tab/>
      </w:r>
      <w:r w:rsidRPr="00B7035C">
        <w:rPr>
          <w:b/>
          <w:u w:val="single"/>
        </w:rPr>
        <w:t>Explain each exception to the certification statement identified in Item 19, “Certification for Paperwork Reduction Act Submissions,” of OMB Form 83-I</w:t>
      </w:r>
      <w:r w:rsidRPr="00B7035C">
        <w:rPr>
          <w:b/>
        </w:rPr>
        <w:t>.</w:t>
      </w:r>
    </w:p>
    <w:p w:rsidR="00FC1430" w:rsidP="00FC1430" w:rsidRDefault="00FC1430" w14:paraId="692DCE10" w14:textId="77777777">
      <w:pPr>
        <w:tabs>
          <w:tab w:val="left" w:pos="-720"/>
        </w:tabs>
        <w:suppressAutoHyphens/>
      </w:pPr>
    </w:p>
    <w:p w:rsidR="00FC1430" w:rsidP="00FC1430" w:rsidRDefault="00FC1430" w14:paraId="1D472FCE" w14:textId="77777777">
      <w:pPr>
        <w:tabs>
          <w:tab w:val="left" w:pos="-720"/>
        </w:tabs>
        <w:suppressAutoHyphens/>
      </w:pPr>
      <w:r>
        <w:tab/>
      </w:r>
      <w:r w:rsidR="00C542F5">
        <w:tab/>
      </w:r>
      <w:r>
        <w:t>This question does not apply.</w:t>
      </w:r>
    </w:p>
    <w:p w:rsidR="00AF4A73" w:rsidRDefault="00AF4A73" w14:paraId="4F01AC34" w14:textId="77777777"/>
    <w:p w:rsidRPr="00D960AC" w:rsidR="008C7988" w:rsidP="00D960AC" w:rsidRDefault="008C7988" w14:paraId="0E3833D7" w14:textId="4EC84963">
      <w:pPr>
        <w:jc w:val="center"/>
        <w:rPr>
          <w:b/>
          <w:szCs w:val="24"/>
        </w:rPr>
      </w:pPr>
      <w:r>
        <w:br w:type="page"/>
      </w:r>
      <w:r w:rsidRPr="00D960AC">
        <w:rPr>
          <w:b/>
          <w:szCs w:val="24"/>
        </w:rPr>
        <w:lastRenderedPageBreak/>
        <w:t>ATTACHMENT A</w:t>
      </w:r>
      <w:r w:rsidRPr="00D960AC" w:rsidR="00145EF5">
        <w:rPr>
          <w:rStyle w:val="FootnoteReference"/>
          <w:b/>
          <w:szCs w:val="24"/>
        </w:rPr>
        <w:footnoteReference w:id="5"/>
      </w:r>
    </w:p>
    <w:p w:rsidR="008C7988" w:rsidRDefault="008C7988" w14:paraId="1D2976A1" w14:textId="77777777">
      <w:pPr>
        <w:rPr>
          <w:sz w:val="16"/>
        </w:rPr>
      </w:pPr>
    </w:p>
    <w:p w:rsidRPr="00D960AC" w:rsidR="008C7988" w:rsidRDefault="008C7988" w14:paraId="5AB8C8D1" w14:textId="77777777">
      <w:pPr>
        <w:jc w:val="center"/>
        <w:rPr>
          <w:sz w:val="20"/>
        </w:rPr>
      </w:pPr>
      <w:r w:rsidRPr="00D960AC">
        <w:rPr>
          <w:sz w:val="20"/>
        </w:rPr>
        <w:t>#3038-0007 – REGULATION OF DOMESTIC EXCHANGE – TRADED COMMODITY OPTIONS</w:t>
      </w:r>
    </w:p>
    <w:p w:rsidR="008C7988" w:rsidRDefault="008C7988" w14:paraId="7DFCDAF4" w14:textId="77777777">
      <w:pPr>
        <w:rPr>
          <w:sz w:val="16"/>
        </w:rPr>
      </w:pPr>
    </w:p>
    <w:p w:rsidR="008C7988" w:rsidRDefault="008C7988" w14:paraId="6868CB75" w14:textId="77777777">
      <w:pPr>
        <w:rPr>
          <w:sz w:val="16"/>
        </w:rPr>
      </w:pPr>
    </w:p>
    <w:tbl>
      <w:tblPr>
        <w:tblW w:w="11520" w:type="dxa"/>
        <w:tblInd w:w="-990" w:type="dxa"/>
        <w:tblLayout w:type="fixed"/>
        <w:tblCellMar>
          <w:left w:w="0" w:type="dxa"/>
          <w:right w:w="0" w:type="dxa"/>
        </w:tblCellMar>
        <w:tblLook w:val="0000" w:firstRow="0" w:lastRow="0" w:firstColumn="0" w:lastColumn="0" w:noHBand="0" w:noVBand="0"/>
      </w:tblPr>
      <w:tblGrid>
        <w:gridCol w:w="990"/>
        <w:gridCol w:w="990"/>
        <w:gridCol w:w="630"/>
        <w:gridCol w:w="990"/>
        <w:gridCol w:w="630"/>
        <w:gridCol w:w="630"/>
        <w:gridCol w:w="540"/>
        <w:gridCol w:w="1260"/>
        <w:gridCol w:w="1080"/>
        <w:gridCol w:w="1080"/>
        <w:gridCol w:w="1530"/>
        <w:gridCol w:w="1170"/>
      </w:tblGrid>
      <w:tr w:rsidRPr="00623EA7" w:rsidR="00E101B0" w:rsidTr="003D358F" w14:paraId="0581087B" w14:textId="77777777">
        <w:trPr>
          <w:gridBefore w:val="1"/>
          <w:gridAfter w:val="5"/>
          <w:wBefore w:w="990" w:type="dxa"/>
          <w:wAfter w:w="6120" w:type="dxa"/>
        </w:trPr>
        <w:tc>
          <w:tcPr>
            <w:tcW w:w="1620" w:type="dxa"/>
            <w:gridSpan w:val="2"/>
            <w:tcBorders>
              <w:top w:val="nil"/>
              <w:left w:val="nil"/>
              <w:bottom w:val="single" w:color="CCCCCC" w:sz="8" w:space="0"/>
              <w:right w:val="nil"/>
            </w:tcBorders>
          </w:tcPr>
          <w:p w:rsidRPr="00623EA7" w:rsidR="00E101B0" w:rsidP="00B60DC1" w:rsidRDefault="00E101B0" w14:paraId="17523B45" w14:textId="69C1BC72">
            <w:pPr>
              <w:spacing w:line="480" w:lineRule="auto"/>
              <w:jc w:val="center"/>
            </w:pPr>
            <w:bookmarkStart w:name="co_anchor_IE6A93190284411E097909746B5070" w:id="0"/>
            <w:bookmarkEnd w:id="0"/>
          </w:p>
        </w:tc>
        <w:tc>
          <w:tcPr>
            <w:tcW w:w="1620" w:type="dxa"/>
            <w:gridSpan w:val="2"/>
            <w:tcBorders>
              <w:top w:val="nil"/>
              <w:left w:val="nil"/>
              <w:bottom w:val="single" w:color="CCCCCC" w:sz="8" w:space="0"/>
              <w:right w:val="nil"/>
            </w:tcBorders>
          </w:tcPr>
          <w:p w:rsidRPr="00623EA7" w:rsidR="00E101B0" w:rsidP="00B60DC1" w:rsidRDefault="00E101B0" w14:paraId="48B891E5" w14:textId="77777777">
            <w:pPr>
              <w:spacing w:line="480" w:lineRule="auto"/>
              <w:jc w:val="center"/>
            </w:pPr>
          </w:p>
        </w:tc>
        <w:tc>
          <w:tcPr>
            <w:tcW w:w="1170" w:type="dxa"/>
            <w:gridSpan w:val="2"/>
            <w:tcBorders>
              <w:top w:val="nil"/>
              <w:left w:val="nil"/>
              <w:bottom w:val="single" w:color="CCCCCC" w:sz="8" w:space="0"/>
              <w:right w:val="nil"/>
            </w:tcBorders>
          </w:tcPr>
          <w:p w:rsidRPr="00623EA7" w:rsidR="00E101B0" w:rsidP="00B60DC1" w:rsidRDefault="00E101B0" w14:paraId="6BC1D122" w14:textId="77777777">
            <w:pPr>
              <w:spacing w:line="480" w:lineRule="auto"/>
              <w:jc w:val="center"/>
            </w:pPr>
          </w:p>
        </w:tc>
      </w:tr>
      <w:tr w:rsidRPr="00E101B0" w:rsidR="00E101B0" w:rsidTr="00A61F5B" w14:paraId="5DF6EB51" w14:textId="77777777">
        <w:trPr>
          <w:trHeight w:val="430"/>
        </w:trPr>
        <w:tc>
          <w:tcPr>
            <w:tcW w:w="1980" w:type="dxa"/>
            <w:gridSpan w:val="2"/>
            <w:tcBorders>
              <w:top w:val="single" w:color="CCCCCC" w:sz="8" w:space="0"/>
              <w:left w:val="single" w:color="CCCCCC" w:sz="8" w:space="0"/>
              <w:bottom w:val="single" w:color="CCCCCC" w:sz="8" w:space="0"/>
              <w:right w:val="single" w:color="CCCCCC" w:sz="8" w:space="0"/>
            </w:tcBorders>
            <w:tcMar>
              <w:left w:w="22" w:type="dxa"/>
              <w:right w:w="22" w:type="dxa"/>
            </w:tcMar>
          </w:tcPr>
          <w:p w:rsidRPr="00E101B0" w:rsidR="00E101B0" w:rsidP="00B60DC1" w:rsidRDefault="00E101B0" w14:paraId="422F0537" w14:textId="77777777">
            <w:pPr>
              <w:contextualSpacing/>
              <w:jc w:val="center"/>
              <w:rPr>
                <w:b/>
                <w:bCs/>
                <w:sz w:val="22"/>
                <w:szCs w:val="22"/>
              </w:rPr>
            </w:pPr>
            <w:r w:rsidRPr="00E101B0">
              <w:rPr>
                <w:b/>
                <w:bCs/>
                <w:sz w:val="22"/>
                <w:szCs w:val="22"/>
              </w:rPr>
              <w:t>Regulation</w:t>
            </w:r>
          </w:p>
        </w:tc>
        <w:tc>
          <w:tcPr>
            <w:tcW w:w="1620" w:type="dxa"/>
            <w:gridSpan w:val="2"/>
            <w:tcBorders>
              <w:top w:val="single" w:color="CCCCCC" w:sz="8" w:space="0"/>
              <w:left w:val="single" w:color="CCCCCC" w:sz="8" w:space="0"/>
              <w:bottom w:val="single" w:color="CCCCCC" w:sz="8" w:space="0"/>
              <w:right w:val="single" w:color="CCCCCC" w:sz="8" w:space="0"/>
            </w:tcBorders>
            <w:tcMar>
              <w:left w:w="22" w:type="dxa"/>
              <w:right w:w="22" w:type="dxa"/>
            </w:tcMar>
          </w:tcPr>
          <w:p w:rsidRPr="00E101B0" w:rsidR="00E101B0" w:rsidP="00B60DC1" w:rsidRDefault="00E101B0" w14:paraId="20E7E11B" w14:textId="77777777">
            <w:pPr>
              <w:contextualSpacing/>
              <w:jc w:val="center"/>
              <w:rPr>
                <w:b/>
                <w:bCs/>
                <w:sz w:val="22"/>
                <w:szCs w:val="22"/>
              </w:rPr>
            </w:pPr>
            <w:r w:rsidRPr="00E101B0">
              <w:rPr>
                <w:b/>
                <w:bCs/>
                <w:sz w:val="22"/>
                <w:szCs w:val="22"/>
              </w:rPr>
              <w:t>Estimated number of respondents or recordkeepers per year</w:t>
            </w:r>
          </w:p>
        </w:tc>
        <w:tc>
          <w:tcPr>
            <w:tcW w:w="1260" w:type="dxa"/>
            <w:gridSpan w:val="2"/>
            <w:tcBorders>
              <w:top w:val="single" w:color="CCCCCC" w:sz="8" w:space="0"/>
              <w:left w:val="single" w:color="CCCCCC" w:sz="8" w:space="0"/>
              <w:bottom w:val="single" w:color="CCCCCC" w:sz="8" w:space="0"/>
              <w:right w:val="single" w:color="CCCCCC" w:sz="8" w:space="0"/>
            </w:tcBorders>
            <w:tcMar>
              <w:left w:w="22" w:type="dxa"/>
              <w:right w:w="22" w:type="dxa"/>
            </w:tcMar>
          </w:tcPr>
          <w:p w:rsidRPr="00E101B0" w:rsidR="00E101B0" w:rsidP="00B60DC1" w:rsidRDefault="00E101B0" w14:paraId="7AB37F47" w14:textId="77777777">
            <w:pPr>
              <w:contextualSpacing/>
              <w:jc w:val="center"/>
              <w:rPr>
                <w:b/>
                <w:bCs/>
                <w:sz w:val="22"/>
                <w:szCs w:val="22"/>
              </w:rPr>
            </w:pPr>
            <w:r w:rsidRPr="00E101B0">
              <w:rPr>
                <w:b/>
                <w:bCs/>
                <w:sz w:val="22"/>
                <w:szCs w:val="22"/>
              </w:rPr>
              <w:t>Reports annually by each respondent</w:t>
            </w:r>
          </w:p>
          <w:p w:rsidRPr="00E101B0" w:rsidR="00E101B0" w:rsidP="00B60DC1" w:rsidRDefault="00E101B0" w14:paraId="5326C904" w14:textId="77777777">
            <w:pPr>
              <w:contextualSpacing/>
              <w:jc w:val="center"/>
              <w:rPr>
                <w:b/>
                <w:bCs/>
                <w:sz w:val="22"/>
                <w:szCs w:val="22"/>
              </w:rPr>
            </w:pPr>
          </w:p>
        </w:tc>
        <w:tc>
          <w:tcPr>
            <w:tcW w:w="1800" w:type="dxa"/>
            <w:gridSpan w:val="2"/>
            <w:tcBorders>
              <w:top w:val="single" w:color="CCCCCC" w:sz="8" w:space="0"/>
              <w:left w:val="single" w:color="CCCCCC" w:sz="8" w:space="0"/>
              <w:bottom w:val="single" w:color="CCCCCC" w:sz="8" w:space="0"/>
              <w:right w:val="single" w:color="CCCCCC" w:sz="8" w:space="0"/>
            </w:tcBorders>
            <w:tcMar>
              <w:left w:w="22" w:type="dxa"/>
              <w:right w:w="22" w:type="dxa"/>
            </w:tcMar>
          </w:tcPr>
          <w:p w:rsidRPr="00E101B0" w:rsidR="00E101B0" w:rsidP="00B60DC1" w:rsidRDefault="00E101B0" w14:paraId="11FA92D2" w14:textId="77777777">
            <w:pPr>
              <w:contextualSpacing/>
              <w:jc w:val="center"/>
              <w:rPr>
                <w:b/>
                <w:bCs/>
                <w:sz w:val="22"/>
                <w:szCs w:val="22"/>
              </w:rPr>
            </w:pPr>
            <w:r w:rsidRPr="00E101B0">
              <w:rPr>
                <w:b/>
                <w:bCs/>
                <w:sz w:val="22"/>
                <w:szCs w:val="22"/>
              </w:rPr>
              <w:t>Total annual responses</w:t>
            </w:r>
          </w:p>
        </w:tc>
        <w:tc>
          <w:tcPr>
            <w:tcW w:w="1080" w:type="dxa"/>
            <w:tcBorders>
              <w:top w:val="single" w:color="CCCCCC" w:sz="8" w:space="0"/>
              <w:left w:val="single" w:color="CCCCCC" w:sz="8" w:space="0"/>
              <w:bottom w:val="single" w:color="CCCCCC" w:sz="8" w:space="0"/>
              <w:right w:val="single" w:color="CCCCCC" w:sz="8" w:space="0"/>
            </w:tcBorders>
            <w:tcMar>
              <w:left w:w="22" w:type="dxa"/>
              <w:right w:w="22" w:type="dxa"/>
            </w:tcMar>
          </w:tcPr>
          <w:p w:rsidRPr="00E101B0" w:rsidR="00E101B0" w:rsidP="00B60DC1" w:rsidRDefault="00E101B0" w14:paraId="54DF3923" w14:textId="77777777">
            <w:pPr>
              <w:contextualSpacing/>
              <w:jc w:val="center"/>
              <w:rPr>
                <w:b/>
                <w:bCs/>
                <w:sz w:val="22"/>
                <w:szCs w:val="22"/>
              </w:rPr>
            </w:pPr>
            <w:r w:rsidRPr="00E101B0">
              <w:rPr>
                <w:b/>
                <w:bCs/>
                <w:sz w:val="22"/>
                <w:szCs w:val="22"/>
              </w:rPr>
              <w:t>Estimated average number of hours per response</w:t>
            </w:r>
          </w:p>
        </w:tc>
        <w:tc>
          <w:tcPr>
            <w:tcW w:w="1080" w:type="dxa"/>
            <w:tcBorders>
              <w:top w:val="single" w:color="CCCCCC" w:sz="8" w:space="0"/>
              <w:left w:val="single" w:color="CCCCCC" w:sz="8" w:space="0"/>
              <w:bottom w:val="single" w:color="CCCCCC" w:sz="8" w:space="0"/>
              <w:right w:val="single" w:color="CCCCCC" w:sz="8" w:space="0"/>
            </w:tcBorders>
          </w:tcPr>
          <w:p w:rsidRPr="00E101B0" w:rsidR="00E101B0" w:rsidP="00B60DC1" w:rsidRDefault="00E101B0" w14:paraId="129FCC0F" w14:textId="77777777">
            <w:pPr>
              <w:contextualSpacing/>
              <w:jc w:val="center"/>
              <w:rPr>
                <w:b/>
                <w:bCs/>
                <w:sz w:val="22"/>
                <w:szCs w:val="22"/>
              </w:rPr>
            </w:pPr>
            <w:r>
              <w:rPr>
                <w:b/>
                <w:bCs/>
                <w:sz w:val="22"/>
                <w:szCs w:val="22"/>
              </w:rPr>
              <w:t>Estimated Average Cost Per Response</w:t>
            </w:r>
          </w:p>
        </w:tc>
        <w:tc>
          <w:tcPr>
            <w:tcW w:w="1530" w:type="dxa"/>
            <w:tcBorders>
              <w:top w:val="single" w:color="CCCCCC" w:sz="8" w:space="0"/>
              <w:left w:val="single" w:color="CCCCCC" w:sz="8" w:space="0"/>
              <w:bottom w:val="single" w:color="CCCCCC" w:sz="8" w:space="0"/>
              <w:right w:val="single" w:color="CCCCCC" w:sz="8" w:space="0"/>
            </w:tcBorders>
            <w:tcMar>
              <w:left w:w="22" w:type="dxa"/>
              <w:right w:w="22" w:type="dxa"/>
            </w:tcMar>
          </w:tcPr>
          <w:p w:rsidRPr="00E101B0" w:rsidR="00E101B0" w:rsidP="00B60DC1" w:rsidRDefault="00E101B0" w14:paraId="176414D9" w14:textId="77777777">
            <w:pPr>
              <w:contextualSpacing/>
              <w:jc w:val="center"/>
              <w:rPr>
                <w:b/>
                <w:bCs/>
                <w:sz w:val="22"/>
                <w:szCs w:val="22"/>
              </w:rPr>
            </w:pPr>
            <w:r w:rsidRPr="00E101B0">
              <w:rPr>
                <w:b/>
                <w:bCs/>
                <w:sz w:val="22"/>
                <w:szCs w:val="22"/>
              </w:rPr>
              <w:t>Estimated total number of hours of annual burden in fiscal year</w:t>
            </w:r>
          </w:p>
        </w:tc>
        <w:tc>
          <w:tcPr>
            <w:tcW w:w="1170" w:type="dxa"/>
            <w:tcBorders>
              <w:top w:val="single" w:color="CCCCCC" w:sz="8" w:space="0"/>
              <w:left w:val="single" w:color="CCCCCC" w:sz="8" w:space="0"/>
              <w:bottom w:val="single" w:color="CCCCCC" w:sz="8" w:space="0"/>
              <w:right w:val="single" w:color="CCCCCC" w:sz="8" w:space="0"/>
            </w:tcBorders>
          </w:tcPr>
          <w:p w:rsidRPr="00E101B0" w:rsidR="00E101B0" w:rsidP="00B60DC1" w:rsidRDefault="00E101B0" w14:paraId="7580818D" w14:textId="77777777">
            <w:pPr>
              <w:contextualSpacing/>
              <w:jc w:val="center"/>
              <w:rPr>
                <w:b/>
                <w:bCs/>
                <w:sz w:val="22"/>
                <w:szCs w:val="22"/>
              </w:rPr>
            </w:pPr>
            <w:r>
              <w:rPr>
                <w:b/>
                <w:bCs/>
                <w:sz w:val="22"/>
                <w:szCs w:val="22"/>
              </w:rPr>
              <w:t>Total Annual Burden Cost</w:t>
            </w:r>
          </w:p>
        </w:tc>
      </w:tr>
      <w:tr w:rsidRPr="00E101B0" w:rsidR="00E101B0" w:rsidTr="00A61F5B" w14:paraId="044A7A8B" w14:textId="77777777">
        <w:tc>
          <w:tcPr>
            <w:tcW w:w="1980" w:type="dxa"/>
            <w:gridSpan w:val="2"/>
            <w:tcBorders>
              <w:top w:val="single" w:color="CCCCCC" w:sz="8" w:space="0"/>
              <w:left w:val="single" w:color="CCCCCC" w:sz="8" w:space="0"/>
              <w:bottom w:val="single" w:color="CCCCCC" w:sz="8" w:space="0"/>
              <w:right w:val="single" w:color="CCCCCC" w:sz="8" w:space="0"/>
            </w:tcBorders>
            <w:tcMar>
              <w:left w:w="22" w:type="dxa"/>
              <w:right w:w="22" w:type="dxa"/>
            </w:tcMar>
          </w:tcPr>
          <w:p w:rsidRPr="00E101B0" w:rsidR="00E101B0" w:rsidP="00B60DC1" w:rsidRDefault="00444C95" w14:paraId="64AE6E3F" w14:textId="0A13A013">
            <w:pPr>
              <w:contextualSpacing/>
              <w:rPr>
                <w:b/>
                <w:sz w:val="22"/>
                <w:szCs w:val="22"/>
                <w:u w:val="single"/>
              </w:rPr>
            </w:pPr>
            <w:r w:rsidRPr="00444C95">
              <w:rPr>
                <w:b/>
                <w:u w:val="single"/>
              </w:rPr>
              <w:t>Third-party Disclosure</w:t>
            </w:r>
            <w:r w:rsidRPr="00E101B0" w:rsidR="00E101B0">
              <w:rPr>
                <w:b/>
                <w:sz w:val="22"/>
                <w:szCs w:val="22"/>
                <w:u w:val="single"/>
              </w:rPr>
              <w:t>:</w:t>
            </w:r>
          </w:p>
        </w:tc>
        <w:tc>
          <w:tcPr>
            <w:tcW w:w="1620" w:type="dxa"/>
            <w:gridSpan w:val="2"/>
            <w:tcBorders>
              <w:top w:val="single" w:color="CCCCCC" w:sz="8" w:space="0"/>
              <w:left w:val="single" w:color="CCCCCC" w:sz="8" w:space="0"/>
              <w:bottom w:val="single" w:color="CCCCCC" w:sz="8" w:space="0"/>
              <w:right w:val="single" w:color="CCCCCC" w:sz="8" w:space="0"/>
            </w:tcBorders>
            <w:tcMar>
              <w:left w:w="22" w:type="dxa"/>
              <w:right w:w="22" w:type="dxa"/>
            </w:tcMar>
          </w:tcPr>
          <w:p w:rsidRPr="00E101B0" w:rsidR="00E101B0" w:rsidP="00B60DC1" w:rsidRDefault="00E101B0" w14:paraId="12C84F57" w14:textId="77777777">
            <w:pPr>
              <w:contextualSpacing/>
              <w:jc w:val="center"/>
              <w:rPr>
                <w:sz w:val="22"/>
                <w:szCs w:val="22"/>
              </w:rPr>
            </w:pPr>
          </w:p>
        </w:tc>
        <w:tc>
          <w:tcPr>
            <w:tcW w:w="1260" w:type="dxa"/>
            <w:gridSpan w:val="2"/>
            <w:tcBorders>
              <w:top w:val="single" w:color="CCCCCC" w:sz="8" w:space="0"/>
              <w:left w:val="single" w:color="CCCCCC" w:sz="8" w:space="0"/>
              <w:bottom w:val="single" w:color="CCCCCC" w:sz="8" w:space="0"/>
              <w:right w:val="single" w:color="CCCCCC" w:sz="8" w:space="0"/>
            </w:tcBorders>
            <w:tcMar>
              <w:left w:w="22" w:type="dxa"/>
              <w:right w:w="22" w:type="dxa"/>
            </w:tcMar>
          </w:tcPr>
          <w:p w:rsidRPr="00E101B0" w:rsidR="00E101B0" w:rsidP="00B60DC1" w:rsidRDefault="00E101B0" w14:paraId="29987806" w14:textId="77777777">
            <w:pPr>
              <w:contextualSpacing/>
              <w:jc w:val="center"/>
              <w:rPr>
                <w:sz w:val="22"/>
                <w:szCs w:val="22"/>
              </w:rPr>
            </w:pPr>
          </w:p>
        </w:tc>
        <w:tc>
          <w:tcPr>
            <w:tcW w:w="1800" w:type="dxa"/>
            <w:gridSpan w:val="2"/>
            <w:tcBorders>
              <w:top w:val="single" w:color="CCCCCC" w:sz="8" w:space="0"/>
              <w:left w:val="single" w:color="CCCCCC" w:sz="8" w:space="0"/>
              <w:bottom w:val="single" w:color="CCCCCC" w:sz="8" w:space="0"/>
              <w:right w:val="single" w:color="CCCCCC" w:sz="8" w:space="0"/>
            </w:tcBorders>
            <w:tcMar>
              <w:left w:w="22" w:type="dxa"/>
              <w:right w:w="22" w:type="dxa"/>
            </w:tcMar>
          </w:tcPr>
          <w:p w:rsidRPr="00E101B0" w:rsidR="00E101B0" w:rsidP="00B60DC1" w:rsidRDefault="00E101B0" w14:paraId="59415997" w14:textId="77777777">
            <w:pPr>
              <w:contextualSpacing/>
              <w:jc w:val="center"/>
              <w:rPr>
                <w:sz w:val="22"/>
                <w:szCs w:val="22"/>
              </w:rPr>
            </w:pPr>
          </w:p>
        </w:tc>
        <w:tc>
          <w:tcPr>
            <w:tcW w:w="1080" w:type="dxa"/>
            <w:tcBorders>
              <w:top w:val="single" w:color="CCCCCC" w:sz="8" w:space="0"/>
              <w:left w:val="single" w:color="CCCCCC" w:sz="8" w:space="0"/>
              <w:bottom w:val="single" w:color="CCCCCC" w:sz="8" w:space="0"/>
              <w:right w:val="single" w:color="CCCCCC" w:sz="8" w:space="0"/>
            </w:tcBorders>
            <w:tcMar>
              <w:left w:w="22" w:type="dxa"/>
              <w:right w:w="22" w:type="dxa"/>
            </w:tcMar>
          </w:tcPr>
          <w:p w:rsidRPr="00E101B0" w:rsidR="00E101B0" w:rsidP="00B60DC1" w:rsidRDefault="00E101B0" w14:paraId="3B16E6C6" w14:textId="77777777">
            <w:pPr>
              <w:contextualSpacing/>
              <w:jc w:val="center"/>
              <w:rPr>
                <w:sz w:val="22"/>
                <w:szCs w:val="22"/>
              </w:rPr>
            </w:pPr>
          </w:p>
        </w:tc>
        <w:tc>
          <w:tcPr>
            <w:tcW w:w="1080" w:type="dxa"/>
            <w:tcBorders>
              <w:top w:val="single" w:color="CCCCCC" w:sz="8" w:space="0"/>
              <w:left w:val="single" w:color="CCCCCC" w:sz="8" w:space="0"/>
              <w:bottom w:val="single" w:color="CCCCCC" w:sz="8" w:space="0"/>
              <w:right w:val="single" w:color="CCCCCC" w:sz="8" w:space="0"/>
            </w:tcBorders>
          </w:tcPr>
          <w:p w:rsidRPr="00E101B0" w:rsidR="00E101B0" w:rsidP="00B60DC1" w:rsidRDefault="00E101B0" w14:paraId="78A00980" w14:textId="77777777">
            <w:pPr>
              <w:contextualSpacing/>
              <w:jc w:val="center"/>
              <w:rPr>
                <w:sz w:val="22"/>
                <w:szCs w:val="22"/>
              </w:rPr>
            </w:pPr>
          </w:p>
        </w:tc>
        <w:tc>
          <w:tcPr>
            <w:tcW w:w="1530" w:type="dxa"/>
            <w:tcBorders>
              <w:top w:val="single" w:color="CCCCCC" w:sz="8" w:space="0"/>
              <w:left w:val="single" w:color="CCCCCC" w:sz="8" w:space="0"/>
              <w:bottom w:val="single" w:color="CCCCCC" w:sz="8" w:space="0"/>
              <w:right w:val="single" w:color="CCCCCC" w:sz="8" w:space="0"/>
            </w:tcBorders>
            <w:tcMar>
              <w:left w:w="22" w:type="dxa"/>
              <w:right w:w="22" w:type="dxa"/>
            </w:tcMar>
          </w:tcPr>
          <w:p w:rsidRPr="00E101B0" w:rsidR="00E101B0" w:rsidP="00B60DC1" w:rsidRDefault="00E101B0" w14:paraId="2E996FF5" w14:textId="77777777">
            <w:pPr>
              <w:contextualSpacing/>
              <w:jc w:val="center"/>
              <w:rPr>
                <w:sz w:val="22"/>
                <w:szCs w:val="22"/>
              </w:rPr>
            </w:pPr>
          </w:p>
        </w:tc>
        <w:tc>
          <w:tcPr>
            <w:tcW w:w="1170" w:type="dxa"/>
            <w:tcBorders>
              <w:top w:val="single" w:color="CCCCCC" w:sz="8" w:space="0"/>
              <w:left w:val="single" w:color="CCCCCC" w:sz="8" w:space="0"/>
              <w:bottom w:val="single" w:color="CCCCCC" w:sz="8" w:space="0"/>
              <w:right w:val="single" w:color="CCCCCC" w:sz="8" w:space="0"/>
            </w:tcBorders>
          </w:tcPr>
          <w:p w:rsidRPr="00E101B0" w:rsidR="00E101B0" w:rsidP="00B60DC1" w:rsidRDefault="00E101B0" w14:paraId="4F68D89A" w14:textId="77777777">
            <w:pPr>
              <w:contextualSpacing/>
              <w:jc w:val="center"/>
              <w:rPr>
                <w:sz w:val="22"/>
                <w:szCs w:val="22"/>
              </w:rPr>
            </w:pPr>
          </w:p>
        </w:tc>
      </w:tr>
      <w:tr w:rsidRPr="00E101B0" w:rsidR="00E101B0" w:rsidTr="00A61F5B" w14:paraId="264AF91E" w14:textId="77777777">
        <w:tc>
          <w:tcPr>
            <w:tcW w:w="1980" w:type="dxa"/>
            <w:gridSpan w:val="2"/>
            <w:tcBorders>
              <w:top w:val="single" w:color="CCCCCC" w:sz="8" w:space="0"/>
              <w:left w:val="single" w:color="CCCCCC" w:sz="8" w:space="0"/>
              <w:bottom w:val="single" w:color="CCCCCC" w:sz="8" w:space="0"/>
              <w:right w:val="single" w:color="CCCCCC" w:sz="8" w:space="0"/>
            </w:tcBorders>
            <w:tcMar>
              <w:left w:w="22" w:type="dxa"/>
              <w:right w:w="22" w:type="dxa"/>
            </w:tcMar>
          </w:tcPr>
          <w:p w:rsidRPr="00E101B0" w:rsidR="00E101B0" w:rsidP="00B60DC1" w:rsidRDefault="00E101B0" w14:paraId="384BDDDE" w14:textId="2B498775">
            <w:pPr>
              <w:contextualSpacing/>
              <w:rPr>
                <w:sz w:val="22"/>
                <w:szCs w:val="22"/>
              </w:rPr>
            </w:pPr>
            <w:r w:rsidRPr="00E101B0">
              <w:rPr>
                <w:sz w:val="22"/>
                <w:szCs w:val="22"/>
              </w:rPr>
              <w:t>33.7—</w:t>
            </w:r>
            <w:r w:rsidR="003D358F">
              <w:rPr>
                <w:sz w:val="22"/>
                <w:szCs w:val="22"/>
              </w:rPr>
              <w:t xml:space="preserve"> </w:t>
            </w:r>
            <w:r w:rsidRPr="00E101B0">
              <w:rPr>
                <w:sz w:val="22"/>
                <w:szCs w:val="22"/>
              </w:rPr>
              <w:t>(Risk disclosure)</w:t>
            </w:r>
          </w:p>
        </w:tc>
        <w:tc>
          <w:tcPr>
            <w:tcW w:w="1620" w:type="dxa"/>
            <w:gridSpan w:val="2"/>
            <w:tcBorders>
              <w:top w:val="single" w:color="CCCCCC" w:sz="8" w:space="0"/>
              <w:left w:val="single" w:color="CCCCCC" w:sz="8" w:space="0"/>
              <w:bottom w:val="single" w:color="CCCCCC" w:sz="8" w:space="0"/>
              <w:right w:val="single" w:color="CCCCCC" w:sz="8" w:space="0"/>
            </w:tcBorders>
            <w:tcMar>
              <w:left w:w="22" w:type="dxa"/>
              <w:right w:w="22" w:type="dxa"/>
            </w:tcMar>
          </w:tcPr>
          <w:p w:rsidRPr="00E101B0" w:rsidR="00E101B0" w:rsidP="00B60DC1" w:rsidRDefault="00E101B0" w14:paraId="518B7067" w14:textId="2DF0A5F0">
            <w:pPr>
              <w:contextualSpacing/>
              <w:jc w:val="center"/>
              <w:rPr>
                <w:sz w:val="22"/>
                <w:szCs w:val="22"/>
              </w:rPr>
            </w:pPr>
            <w:r w:rsidRPr="00E101B0">
              <w:rPr>
                <w:sz w:val="22"/>
                <w:szCs w:val="22"/>
              </w:rPr>
              <w:t>1,</w:t>
            </w:r>
            <w:r w:rsidR="00444C95">
              <w:rPr>
                <w:sz w:val="22"/>
                <w:szCs w:val="22"/>
              </w:rPr>
              <w:t>112</w:t>
            </w:r>
          </w:p>
          <w:p w:rsidRPr="00E101B0" w:rsidR="00E101B0" w:rsidP="00B60DC1" w:rsidRDefault="00E101B0" w14:paraId="6D6408B1" w14:textId="77777777">
            <w:pPr>
              <w:contextualSpacing/>
              <w:jc w:val="center"/>
              <w:rPr>
                <w:sz w:val="22"/>
                <w:szCs w:val="22"/>
              </w:rPr>
            </w:pPr>
          </w:p>
          <w:p w:rsidRPr="00E101B0" w:rsidR="00E101B0" w:rsidP="00B60DC1" w:rsidRDefault="00E101B0" w14:paraId="31AE5002" w14:textId="77777777">
            <w:pPr>
              <w:contextualSpacing/>
              <w:jc w:val="center"/>
              <w:rPr>
                <w:sz w:val="22"/>
                <w:szCs w:val="22"/>
              </w:rPr>
            </w:pPr>
          </w:p>
        </w:tc>
        <w:tc>
          <w:tcPr>
            <w:tcW w:w="1260" w:type="dxa"/>
            <w:gridSpan w:val="2"/>
            <w:tcBorders>
              <w:top w:val="single" w:color="CCCCCC" w:sz="8" w:space="0"/>
              <w:left w:val="single" w:color="CCCCCC" w:sz="8" w:space="0"/>
              <w:bottom w:val="single" w:color="CCCCCC" w:sz="8" w:space="0"/>
              <w:right w:val="single" w:color="CCCCCC" w:sz="8" w:space="0"/>
            </w:tcBorders>
            <w:tcMar>
              <w:left w:w="22" w:type="dxa"/>
              <w:right w:w="22" w:type="dxa"/>
            </w:tcMar>
          </w:tcPr>
          <w:p w:rsidRPr="00E101B0" w:rsidR="00E101B0" w:rsidP="00B60DC1" w:rsidRDefault="00E101B0" w14:paraId="0740312D" w14:textId="041AA209">
            <w:pPr>
              <w:contextualSpacing/>
              <w:jc w:val="center"/>
              <w:rPr>
                <w:sz w:val="22"/>
                <w:szCs w:val="22"/>
              </w:rPr>
            </w:pPr>
            <w:r w:rsidRPr="00E101B0">
              <w:rPr>
                <w:sz w:val="22"/>
                <w:szCs w:val="22"/>
              </w:rPr>
              <w:t>115</w:t>
            </w:r>
          </w:p>
          <w:p w:rsidRPr="00E101B0" w:rsidR="00E101B0" w:rsidP="00B60DC1" w:rsidRDefault="00E101B0" w14:paraId="44AB33A9" w14:textId="77777777">
            <w:pPr>
              <w:contextualSpacing/>
              <w:jc w:val="center"/>
              <w:rPr>
                <w:sz w:val="22"/>
                <w:szCs w:val="22"/>
              </w:rPr>
            </w:pPr>
          </w:p>
          <w:p w:rsidRPr="00E101B0" w:rsidR="00E101B0" w:rsidP="00B60DC1" w:rsidRDefault="00E101B0" w14:paraId="76E9A997" w14:textId="77777777">
            <w:pPr>
              <w:contextualSpacing/>
              <w:jc w:val="center"/>
              <w:rPr>
                <w:sz w:val="22"/>
                <w:szCs w:val="22"/>
              </w:rPr>
            </w:pPr>
          </w:p>
        </w:tc>
        <w:tc>
          <w:tcPr>
            <w:tcW w:w="1800" w:type="dxa"/>
            <w:gridSpan w:val="2"/>
            <w:tcBorders>
              <w:top w:val="single" w:color="CCCCCC" w:sz="8" w:space="0"/>
              <w:left w:val="single" w:color="CCCCCC" w:sz="8" w:space="0"/>
              <w:bottom w:val="single" w:color="CCCCCC" w:sz="8" w:space="0"/>
              <w:right w:val="single" w:color="CCCCCC" w:sz="8" w:space="0"/>
            </w:tcBorders>
            <w:tcMar>
              <w:left w:w="22" w:type="dxa"/>
              <w:right w:w="22" w:type="dxa"/>
            </w:tcMar>
          </w:tcPr>
          <w:p w:rsidRPr="00E101B0" w:rsidR="00E101B0" w:rsidP="00B60DC1" w:rsidRDefault="00444C95" w14:paraId="7D1C05D4" w14:textId="0CC6EF71">
            <w:pPr>
              <w:contextualSpacing/>
              <w:jc w:val="center"/>
              <w:rPr>
                <w:sz w:val="22"/>
                <w:szCs w:val="22"/>
              </w:rPr>
            </w:pPr>
            <w:r>
              <w:rPr>
                <w:sz w:val="22"/>
              </w:rPr>
              <w:t>127,880</w:t>
            </w:r>
          </w:p>
          <w:p w:rsidRPr="00E101B0" w:rsidR="00E101B0" w:rsidP="00B60DC1" w:rsidRDefault="00E101B0" w14:paraId="37189F83" w14:textId="77777777">
            <w:pPr>
              <w:contextualSpacing/>
              <w:jc w:val="center"/>
              <w:rPr>
                <w:sz w:val="22"/>
                <w:szCs w:val="22"/>
              </w:rPr>
            </w:pPr>
          </w:p>
          <w:p w:rsidRPr="00E101B0" w:rsidR="00E101B0" w:rsidP="00B60DC1" w:rsidRDefault="00E101B0" w14:paraId="46AC240E" w14:textId="77777777">
            <w:pPr>
              <w:contextualSpacing/>
              <w:jc w:val="center"/>
              <w:rPr>
                <w:sz w:val="22"/>
                <w:szCs w:val="22"/>
              </w:rPr>
            </w:pPr>
          </w:p>
        </w:tc>
        <w:tc>
          <w:tcPr>
            <w:tcW w:w="1080" w:type="dxa"/>
            <w:tcBorders>
              <w:top w:val="single" w:color="CCCCCC" w:sz="8" w:space="0"/>
              <w:left w:val="single" w:color="CCCCCC" w:sz="8" w:space="0"/>
              <w:bottom w:val="single" w:color="CCCCCC" w:sz="8" w:space="0"/>
              <w:right w:val="single" w:color="CCCCCC" w:sz="8" w:space="0"/>
            </w:tcBorders>
            <w:tcMar>
              <w:left w:w="22" w:type="dxa"/>
              <w:right w:w="22" w:type="dxa"/>
            </w:tcMar>
          </w:tcPr>
          <w:p w:rsidRPr="00E101B0" w:rsidR="00E101B0" w:rsidP="00B60DC1" w:rsidRDefault="00E101B0" w14:paraId="54F00128" w14:textId="77777777">
            <w:pPr>
              <w:contextualSpacing/>
              <w:jc w:val="center"/>
              <w:rPr>
                <w:sz w:val="22"/>
                <w:szCs w:val="22"/>
              </w:rPr>
            </w:pPr>
            <w:r w:rsidRPr="00E101B0">
              <w:rPr>
                <w:sz w:val="22"/>
                <w:szCs w:val="22"/>
              </w:rPr>
              <w:t>0.08</w:t>
            </w:r>
          </w:p>
          <w:p w:rsidRPr="00E101B0" w:rsidR="00E101B0" w:rsidP="00B60DC1" w:rsidRDefault="00E101B0" w14:paraId="16692DBB" w14:textId="77777777">
            <w:pPr>
              <w:contextualSpacing/>
              <w:jc w:val="center"/>
              <w:rPr>
                <w:sz w:val="22"/>
                <w:szCs w:val="22"/>
              </w:rPr>
            </w:pPr>
          </w:p>
          <w:p w:rsidRPr="00E101B0" w:rsidR="00E101B0" w:rsidP="00B60DC1" w:rsidRDefault="00E101B0" w14:paraId="5C0C1C60" w14:textId="77777777">
            <w:pPr>
              <w:contextualSpacing/>
              <w:jc w:val="center"/>
              <w:rPr>
                <w:sz w:val="22"/>
                <w:szCs w:val="22"/>
              </w:rPr>
            </w:pPr>
          </w:p>
        </w:tc>
        <w:tc>
          <w:tcPr>
            <w:tcW w:w="1080" w:type="dxa"/>
            <w:tcBorders>
              <w:top w:val="single" w:color="CCCCCC" w:sz="8" w:space="0"/>
              <w:left w:val="single" w:color="CCCCCC" w:sz="8" w:space="0"/>
              <w:bottom w:val="single" w:color="CCCCCC" w:sz="8" w:space="0"/>
              <w:right w:val="single" w:color="CCCCCC" w:sz="8" w:space="0"/>
            </w:tcBorders>
          </w:tcPr>
          <w:p w:rsidRPr="00E101B0" w:rsidR="00E101B0" w:rsidP="00B60DC1" w:rsidRDefault="00E101B0" w14:paraId="57A9669D" w14:textId="77777777">
            <w:pPr>
              <w:contextualSpacing/>
              <w:jc w:val="center"/>
              <w:rPr>
                <w:sz w:val="22"/>
                <w:szCs w:val="22"/>
              </w:rPr>
            </w:pPr>
            <w:r>
              <w:rPr>
                <w:sz w:val="22"/>
                <w:szCs w:val="22"/>
              </w:rPr>
              <w:t>$2.40</w:t>
            </w:r>
          </w:p>
        </w:tc>
        <w:tc>
          <w:tcPr>
            <w:tcW w:w="1530" w:type="dxa"/>
            <w:tcBorders>
              <w:top w:val="single" w:color="CCCCCC" w:sz="8" w:space="0"/>
              <w:left w:val="single" w:color="CCCCCC" w:sz="8" w:space="0"/>
              <w:bottom w:val="single" w:color="CCCCCC" w:sz="8" w:space="0"/>
              <w:right w:val="single" w:color="CCCCCC" w:sz="8" w:space="0"/>
            </w:tcBorders>
            <w:tcMar>
              <w:left w:w="22" w:type="dxa"/>
              <w:right w:w="22" w:type="dxa"/>
            </w:tcMar>
          </w:tcPr>
          <w:p w:rsidRPr="00E101B0" w:rsidR="00E101B0" w:rsidP="00B60DC1" w:rsidRDefault="00444C95" w14:paraId="18D289C7" w14:textId="46DC700F">
            <w:pPr>
              <w:contextualSpacing/>
              <w:jc w:val="center"/>
              <w:rPr>
                <w:sz w:val="22"/>
                <w:szCs w:val="22"/>
              </w:rPr>
            </w:pPr>
            <w:r>
              <w:rPr>
                <w:sz w:val="22"/>
              </w:rPr>
              <w:t>10,230.4</w:t>
            </w:r>
          </w:p>
          <w:p w:rsidRPr="00E101B0" w:rsidR="00E101B0" w:rsidP="00B60DC1" w:rsidRDefault="00E101B0" w14:paraId="5FFC4A9E" w14:textId="77777777">
            <w:pPr>
              <w:contextualSpacing/>
              <w:jc w:val="center"/>
              <w:rPr>
                <w:sz w:val="22"/>
                <w:szCs w:val="22"/>
              </w:rPr>
            </w:pPr>
          </w:p>
          <w:p w:rsidRPr="00E101B0" w:rsidR="00E101B0" w:rsidP="00B60DC1" w:rsidRDefault="00E101B0" w14:paraId="6CC7797F" w14:textId="77777777">
            <w:pPr>
              <w:contextualSpacing/>
              <w:jc w:val="center"/>
              <w:rPr>
                <w:sz w:val="22"/>
                <w:szCs w:val="22"/>
              </w:rPr>
            </w:pPr>
          </w:p>
        </w:tc>
        <w:tc>
          <w:tcPr>
            <w:tcW w:w="1170" w:type="dxa"/>
            <w:tcBorders>
              <w:top w:val="single" w:color="CCCCCC" w:sz="8" w:space="0"/>
              <w:left w:val="single" w:color="CCCCCC" w:sz="8" w:space="0"/>
              <w:bottom w:val="single" w:color="CCCCCC" w:sz="8" w:space="0"/>
              <w:right w:val="single" w:color="CCCCCC" w:sz="8" w:space="0"/>
            </w:tcBorders>
          </w:tcPr>
          <w:p w:rsidRPr="00E101B0" w:rsidR="00E101B0" w:rsidP="00B60DC1" w:rsidRDefault="001053C1" w14:paraId="3B8CDEC5" w14:textId="11C3B729">
            <w:pPr>
              <w:contextualSpacing/>
              <w:jc w:val="center"/>
              <w:rPr>
                <w:sz w:val="22"/>
                <w:szCs w:val="22"/>
              </w:rPr>
            </w:pPr>
            <w:r>
              <w:rPr>
                <w:sz w:val="22"/>
                <w:szCs w:val="22"/>
              </w:rPr>
              <w:t>$</w:t>
            </w:r>
            <w:r w:rsidR="00270359">
              <w:rPr>
                <w:sz w:val="22"/>
                <w:szCs w:val="22"/>
              </w:rPr>
              <w:t>306,912</w:t>
            </w:r>
          </w:p>
        </w:tc>
      </w:tr>
      <w:tr w:rsidRPr="00E101B0" w:rsidR="00E101B0" w:rsidTr="00A61F5B" w14:paraId="38F90143" w14:textId="77777777">
        <w:trPr>
          <w:trHeight w:val="502"/>
        </w:trPr>
        <w:tc>
          <w:tcPr>
            <w:tcW w:w="1980" w:type="dxa"/>
            <w:gridSpan w:val="2"/>
            <w:tcBorders>
              <w:top w:val="single" w:color="CCCCCC" w:sz="8" w:space="0"/>
              <w:left w:val="single" w:color="CCCCCC" w:sz="8" w:space="0"/>
              <w:bottom w:val="single" w:color="CCCCCC" w:sz="8" w:space="0"/>
              <w:right w:val="single" w:color="CCCCCC" w:sz="8" w:space="0"/>
            </w:tcBorders>
            <w:tcMar>
              <w:left w:w="22" w:type="dxa"/>
              <w:right w:w="22" w:type="dxa"/>
            </w:tcMar>
          </w:tcPr>
          <w:p w:rsidRPr="00E101B0" w:rsidR="00E101B0" w:rsidP="00B60DC1" w:rsidRDefault="00E101B0" w14:paraId="3865357D" w14:textId="74D968DD">
            <w:pPr>
              <w:contextualSpacing/>
              <w:rPr>
                <w:i/>
                <w:sz w:val="22"/>
                <w:szCs w:val="22"/>
              </w:rPr>
            </w:pPr>
            <w:r w:rsidRPr="00E101B0">
              <w:rPr>
                <w:b/>
                <w:sz w:val="22"/>
                <w:szCs w:val="22"/>
                <w:u w:val="single"/>
              </w:rPr>
              <w:t>Recordkeeping</w:t>
            </w:r>
            <w:r w:rsidR="003D358F">
              <w:rPr>
                <w:b/>
                <w:sz w:val="22"/>
                <w:szCs w:val="22"/>
                <w:u w:val="single"/>
              </w:rPr>
              <w:t>:</w:t>
            </w:r>
          </w:p>
        </w:tc>
        <w:tc>
          <w:tcPr>
            <w:tcW w:w="1620" w:type="dxa"/>
            <w:gridSpan w:val="2"/>
            <w:tcBorders>
              <w:top w:val="single" w:color="CCCCCC" w:sz="8" w:space="0"/>
              <w:left w:val="single" w:color="CCCCCC" w:sz="8" w:space="0"/>
              <w:bottom w:val="single" w:color="CCCCCC" w:sz="8" w:space="0"/>
              <w:right w:val="single" w:color="CCCCCC" w:sz="8" w:space="0"/>
            </w:tcBorders>
            <w:tcMar>
              <w:left w:w="22" w:type="dxa"/>
              <w:right w:w="22" w:type="dxa"/>
            </w:tcMar>
          </w:tcPr>
          <w:p w:rsidRPr="00E101B0" w:rsidR="00E101B0" w:rsidP="00B60DC1" w:rsidRDefault="00E101B0" w14:paraId="1DC1BB5A" w14:textId="77777777">
            <w:pPr>
              <w:contextualSpacing/>
              <w:jc w:val="center"/>
              <w:rPr>
                <w:i/>
                <w:sz w:val="22"/>
                <w:szCs w:val="22"/>
              </w:rPr>
            </w:pPr>
          </w:p>
        </w:tc>
        <w:tc>
          <w:tcPr>
            <w:tcW w:w="1260" w:type="dxa"/>
            <w:gridSpan w:val="2"/>
            <w:tcBorders>
              <w:top w:val="single" w:color="CCCCCC" w:sz="8" w:space="0"/>
              <w:left w:val="single" w:color="CCCCCC" w:sz="8" w:space="0"/>
              <w:bottom w:val="single" w:color="CCCCCC" w:sz="8" w:space="0"/>
              <w:right w:val="single" w:color="CCCCCC" w:sz="8" w:space="0"/>
            </w:tcBorders>
            <w:tcMar>
              <w:left w:w="22" w:type="dxa"/>
              <w:right w:w="22" w:type="dxa"/>
            </w:tcMar>
          </w:tcPr>
          <w:p w:rsidRPr="00E101B0" w:rsidR="00E101B0" w:rsidP="00B60DC1" w:rsidRDefault="00E101B0" w14:paraId="2C3D355A" w14:textId="77777777">
            <w:pPr>
              <w:contextualSpacing/>
              <w:jc w:val="center"/>
              <w:rPr>
                <w:i/>
                <w:sz w:val="22"/>
                <w:szCs w:val="22"/>
              </w:rPr>
            </w:pPr>
          </w:p>
        </w:tc>
        <w:tc>
          <w:tcPr>
            <w:tcW w:w="1800" w:type="dxa"/>
            <w:gridSpan w:val="2"/>
            <w:tcBorders>
              <w:top w:val="single" w:color="CCCCCC" w:sz="8" w:space="0"/>
              <w:left w:val="single" w:color="CCCCCC" w:sz="8" w:space="0"/>
              <w:bottom w:val="single" w:color="CCCCCC" w:sz="8" w:space="0"/>
              <w:right w:val="single" w:color="CCCCCC" w:sz="8" w:space="0"/>
            </w:tcBorders>
            <w:tcMar>
              <w:left w:w="22" w:type="dxa"/>
              <w:right w:w="22" w:type="dxa"/>
            </w:tcMar>
          </w:tcPr>
          <w:p w:rsidRPr="00E101B0" w:rsidR="00E101B0" w:rsidP="00B60DC1" w:rsidRDefault="00E101B0" w14:paraId="43348660" w14:textId="77777777">
            <w:pPr>
              <w:contextualSpacing/>
              <w:jc w:val="center"/>
              <w:rPr>
                <w:i/>
                <w:sz w:val="22"/>
                <w:szCs w:val="22"/>
              </w:rPr>
            </w:pPr>
          </w:p>
        </w:tc>
        <w:tc>
          <w:tcPr>
            <w:tcW w:w="1080" w:type="dxa"/>
            <w:tcBorders>
              <w:top w:val="single" w:color="CCCCCC" w:sz="8" w:space="0"/>
              <w:left w:val="single" w:color="CCCCCC" w:sz="8" w:space="0"/>
              <w:bottom w:val="single" w:color="CCCCCC" w:sz="8" w:space="0"/>
              <w:right w:val="single" w:color="CCCCCC" w:sz="8" w:space="0"/>
            </w:tcBorders>
            <w:tcMar>
              <w:left w:w="22" w:type="dxa"/>
              <w:right w:w="22" w:type="dxa"/>
            </w:tcMar>
          </w:tcPr>
          <w:p w:rsidRPr="00E101B0" w:rsidR="00E101B0" w:rsidP="00B60DC1" w:rsidRDefault="00E101B0" w14:paraId="5113F20E" w14:textId="77777777">
            <w:pPr>
              <w:contextualSpacing/>
              <w:jc w:val="center"/>
              <w:rPr>
                <w:i/>
                <w:sz w:val="22"/>
                <w:szCs w:val="22"/>
              </w:rPr>
            </w:pPr>
          </w:p>
        </w:tc>
        <w:tc>
          <w:tcPr>
            <w:tcW w:w="1080" w:type="dxa"/>
            <w:tcBorders>
              <w:top w:val="single" w:color="CCCCCC" w:sz="8" w:space="0"/>
              <w:left w:val="single" w:color="CCCCCC" w:sz="8" w:space="0"/>
              <w:bottom w:val="single" w:color="CCCCCC" w:sz="8" w:space="0"/>
              <w:right w:val="single" w:color="CCCCCC" w:sz="8" w:space="0"/>
            </w:tcBorders>
          </w:tcPr>
          <w:p w:rsidRPr="00E101B0" w:rsidR="00E101B0" w:rsidP="00B60DC1" w:rsidRDefault="00E101B0" w14:paraId="0539F37B" w14:textId="77777777">
            <w:pPr>
              <w:contextualSpacing/>
              <w:jc w:val="center"/>
              <w:rPr>
                <w:i/>
                <w:sz w:val="22"/>
                <w:szCs w:val="22"/>
              </w:rPr>
            </w:pPr>
          </w:p>
        </w:tc>
        <w:tc>
          <w:tcPr>
            <w:tcW w:w="1530" w:type="dxa"/>
            <w:tcBorders>
              <w:top w:val="single" w:color="CCCCCC" w:sz="8" w:space="0"/>
              <w:left w:val="single" w:color="CCCCCC" w:sz="8" w:space="0"/>
              <w:bottom w:val="single" w:color="CCCCCC" w:sz="8" w:space="0"/>
              <w:right w:val="single" w:color="CCCCCC" w:sz="8" w:space="0"/>
            </w:tcBorders>
            <w:tcMar>
              <w:left w:w="22" w:type="dxa"/>
              <w:right w:w="22" w:type="dxa"/>
            </w:tcMar>
          </w:tcPr>
          <w:p w:rsidRPr="00E101B0" w:rsidR="00E101B0" w:rsidP="00B60DC1" w:rsidRDefault="00E101B0" w14:paraId="1B3E7AD8" w14:textId="77777777">
            <w:pPr>
              <w:contextualSpacing/>
              <w:jc w:val="center"/>
              <w:rPr>
                <w:i/>
                <w:sz w:val="22"/>
                <w:szCs w:val="22"/>
              </w:rPr>
            </w:pPr>
          </w:p>
        </w:tc>
        <w:tc>
          <w:tcPr>
            <w:tcW w:w="1170" w:type="dxa"/>
            <w:tcBorders>
              <w:top w:val="single" w:color="CCCCCC" w:sz="8" w:space="0"/>
              <w:left w:val="single" w:color="CCCCCC" w:sz="8" w:space="0"/>
              <w:bottom w:val="single" w:color="CCCCCC" w:sz="8" w:space="0"/>
              <w:right w:val="single" w:color="CCCCCC" w:sz="8" w:space="0"/>
            </w:tcBorders>
          </w:tcPr>
          <w:p w:rsidRPr="00E101B0" w:rsidR="00E101B0" w:rsidP="00B60DC1" w:rsidRDefault="00E101B0" w14:paraId="46FB7D0C" w14:textId="77777777">
            <w:pPr>
              <w:contextualSpacing/>
              <w:jc w:val="center"/>
              <w:rPr>
                <w:i/>
                <w:sz w:val="22"/>
                <w:szCs w:val="22"/>
              </w:rPr>
            </w:pPr>
          </w:p>
        </w:tc>
      </w:tr>
      <w:tr w:rsidRPr="00E101B0" w:rsidR="00E101B0" w:rsidTr="00A61F5B" w14:paraId="3E693B1B" w14:textId="77777777">
        <w:tc>
          <w:tcPr>
            <w:tcW w:w="1980" w:type="dxa"/>
            <w:gridSpan w:val="2"/>
            <w:tcBorders>
              <w:top w:val="single" w:color="CCCCCC" w:sz="8" w:space="0"/>
              <w:left w:val="single" w:color="CCCCCC" w:sz="8" w:space="0"/>
              <w:bottom w:val="single" w:color="CCCCCC" w:sz="8" w:space="0"/>
              <w:right w:val="single" w:color="CCCCCC" w:sz="8" w:space="0"/>
            </w:tcBorders>
            <w:tcMar>
              <w:left w:w="22" w:type="dxa"/>
              <w:right w:w="22" w:type="dxa"/>
            </w:tcMar>
          </w:tcPr>
          <w:p w:rsidRPr="00E101B0" w:rsidR="00E101B0" w:rsidP="00B60DC1" w:rsidRDefault="00E101B0" w14:paraId="43B24141" w14:textId="362278F0">
            <w:pPr>
              <w:contextualSpacing/>
              <w:rPr>
                <w:i/>
                <w:sz w:val="22"/>
                <w:szCs w:val="22"/>
              </w:rPr>
            </w:pPr>
            <w:r w:rsidRPr="00E101B0">
              <w:rPr>
                <w:sz w:val="22"/>
                <w:szCs w:val="22"/>
              </w:rPr>
              <w:t>33.8</w:t>
            </w:r>
            <w:r w:rsidR="003D358F">
              <w:rPr>
                <w:sz w:val="22"/>
                <w:szCs w:val="22"/>
              </w:rPr>
              <w:t xml:space="preserve"> </w:t>
            </w:r>
            <w:r w:rsidRPr="00E101B0">
              <w:rPr>
                <w:sz w:val="22"/>
                <w:szCs w:val="22"/>
              </w:rPr>
              <w:t>—</w:t>
            </w:r>
            <w:r w:rsidR="003D358F">
              <w:rPr>
                <w:sz w:val="22"/>
                <w:szCs w:val="22"/>
              </w:rPr>
              <w:t xml:space="preserve"> </w:t>
            </w:r>
            <w:r w:rsidRPr="00E101B0">
              <w:rPr>
                <w:sz w:val="22"/>
                <w:szCs w:val="22"/>
              </w:rPr>
              <w:t>(Retention of promotional material)</w:t>
            </w:r>
          </w:p>
        </w:tc>
        <w:tc>
          <w:tcPr>
            <w:tcW w:w="1620" w:type="dxa"/>
            <w:gridSpan w:val="2"/>
            <w:tcBorders>
              <w:top w:val="single" w:color="CCCCCC" w:sz="8" w:space="0"/>
              <w:left w:val="single" w:color="CCCCCC" w:sz="8" w:space="0"/>
              <w:bottom w:val="single" w:color="CCCCCC" w:sz="8" w:space="0"/>
              <w:right w:val="single" w:color="CCCCCC" w:sz="8" w:space="0"/>
            </w:tcBorders>
            <w:tcMar>
              <w:left w:w="22" w:type="dxa"/>
              <w:right w:w="22" w:type="dxa"/>
            </w:tcMar>
          </w:tcPr>
          <w:p w:rsidRPr="00E101B0" w:rsidR="00E101B0" w:rsidP="00B60DC1" w:rsidRDefault="00E101B0" w14:paraId="287E3341" w14:textId="1C564CDB">
            <w:pPr>
              <w:contextualSpacing/>
              <w:jc w:val="center"/>
              <w:rPr>
                <w:sz w:val="22"/>
                <w:szCs w:val="22"/>
              </w:rPr>
            </w:pPr>
            <w:r w:rsidRPr="00E101B0">
              <w:rPr>
                <w:sz w:val="22"/>
                <w:szCs w:val="22"/>
              </w:rPr>
              <w:t>1,</w:t>
            </w:r>
            <w:r w:rsidR="00444C95">
              <w:rPr>
                <w:sz w:val="22"/>
                <w:szCs w:val="22"/>
              </w:rPr>
              <w:t>112</w:t>
            </w:r>
          </w:p>
          <w:p w:rsidRPr="00E101B0" w:rsidR="00E101B0" w:rsidP="00B60DC1" w:rsidRDefault="00E101B0" w14:paraId="0C8119E3" w14:textId="77777777">
            <w:pPr>
              <w:contextualSpacing/>
              <w:jc w:val="center"/>
              <w:rPr>
                <w:i/>
                <w:sz w:val="22"/>
                <w:szCs w:val="22"/>
              </w:rPr>
            </w:pPr>
          </w:p>
        </w:tc>
        <w:tc>
          <w:tcPr>
            <w:tcW w:w="1260" w:type="dxa"/>
            <w:gridSpan w:val="2"/>
            <w:tcBorders>
              <w:top w:val="single" w:color="CCCCCC" w:sz="8" w:space="0"/>
              <w:left w:val="single" w:color="CCCCCC" w:sz="8" w:space="0"/>
              <w:bottom w:val="single" w:color="CCCCCC" w:sz="8" w:space="0"/>
              <w:right w:val="single" w:color="CCCCCC" w:sz="8" w:space="0"/>
            </w:tcBorders>
            <w:tcMar>
              <w:left w:w="22" w:type="dxa"/>
              <w:right w:w="22" w:type="dxa"/>
            </w:tcMar>
          </w:tcPr>
          <w:p w:rsidRPr="00E101B0" w:rsidR="00E101B0" w:rsidP="00B60DC1" w:rsidRDefault="00E101B0" w14:paraId="4FCAC1B3" w14:textId="35CF2070">
            <w:pPr>
              <w:contextualSpacing/>
              <w:jc w:val="center"/>
              <w:rPr>
                <w:sz w:val="22"/>
                <w:szCs w:val="22"/>
              </w:rPr>
            </w:pPr>
            <w:r w:rsidRPr="00E101B0">
              <w:rPr>
                <w:sz w:val="22"/>
                <w:szCs w:val="22"/>
              </w:rPr>
              <w:t>1</w:t>
            </w:r>
          </w:p>
          <w:p w:rsidRPr="00E101B0" w:rsidR="00E101B0" w:rsidP="00B60DC1" w:rsidRDefault="00E101B0" w14:paraId="3075DE9F" w14:textId="77777777">
            <w:pPr>
              <w:contextualSpacing/>
              <w:jc w:val="center"/>
              <w:rPr>
                <w:sz w:val="22"/>
                <w:szCs w:val="22"/>
              </w:rPr>
            </w:pPr>
          </w:p>
          <w:p w:rsidRPr="00E101B0" w:rsidR="00E101B0" w:rsidP="00B60DC1" w:rsidRDefault="00E101B0" w14:paraId="34EA577F" w14:textId="77777777">
            <w:pPr>
              <w:contextualSpacing/>
              <w:jc w:val="center"/>
              <w:rPr>
                <w:i/>
                <w:sz w:val="22"/>
                <w:szCs w:val="22"/>
              </w:rPr>
            </w:pPr>
          </w:p>
        </w:tc>
        <w:tc>
          <w:tcPr>
            <w:tcW w:w="1800" w:type="dxa"/>
            <w:gridSpan w:val="2"/>
            <w:tcBorders>
              <w:top w:val="single" w:color="CCCCCC" w:sz="8" w:space="0"/>
              <w:left w:val="single" w:color="CCCCCC" w:sz="8" w:space="0"/>
              <w:bottom w:val="single" w:color="CCCCCC" w:sz="8" w:space="0"/>
              <w:right w:val="single" w:color="CCCCCC" w:sz="8" w:space="0"/>
            </w:tcBorders>
            <w:tcMar>
              <w:left w:w="22" w:type="dxa"/>
              <w:right w:w="22" w:type="dxa"/>
            </w:tcMar>
          </w:tcPr>
          <w:p w:rsidRPr="00E101B0" w:rsidR="00E101B0" w:rsidP="00B60DC1" w:rsidRDefault="00E101B0" w14:paraId="1D2B85E5" w14:textId="615CD2D0">
            <w:pPr>
              <w:contextualSpacing/>
              <w:jc w:val="center"/>
              <w:rPr>
                <w:sz w:val="22"/>
                <w:szCs w:val="22"/>
              </w:rPr>
            </w:pPr>
            <w:r w:rsidRPr="00E101B0">
              <w:rPr>
                <w:sz w:val="22"/>
                <w:szCs w:val="22"/>
              </w:rPr>
              <w:t>1,</w:t>
            </w:r>
            <w:r w:rsidR="00444C95">
              <w:rPr>
                <w:sz w:val="22"/>
                <w:szCs w:val="22"/>
              </w:rPr>
              <w:t>11</w:t>
            </w:r>
            <w:r w:rsidRPr="00E101B0">
              <w:rPr>
                <w:sz w:val="22"/>
                <w:szCs w:val="22"/>
              </w:rPr>
              <w:t>2</w:t>
            </w:r>
          </w:p>
          <w:p w:rsidRPr="00E101B0" w:rsidR="00E101B0" w:rsidP="00B60DC1" w:rsidRDefault="00E101B0" w14:paraId="29BC651B" w14:textId="77777777">
            <w:pPr>
              <w:contextualSpacing/>
              <w:jc w:val="center"/>
              <w:rPr>
                <w:i/>
                <w:sz w:val="22"/>
                <w:szCs w:val="22"/>
              </w:rPr>
            </w:pPr>
          </w:p>
        </w:tc>
        <w:tc>
          <w:tcPr>
            <w:tcW w:w="1080" w:type="dxa"/>
            <w:tcBorders>
              <w:top w:val="single" w:color="CCCCCC" w:sz="8" w:space="0"/>
              <w:left w:val="single" w:color="CCCCCC" w:sz="8" w:space="0"/>
              <w:bottom w:val="single" w:color="CCCCCC" w:sz="8" w:space="0"/>
              <w:right w:val="single" w:color="CCCCCC" w:sz="8" w:space="0"/>
            </w:tcBorders>
            <w:tcMar>
              <w:left w:w="22" w:type="dxa"/>
              <w:right w:w="22" w:type="dxa"/>
            </w:tcMar>
          </w:tcPr>
          <w:p w:rsidRPr="00E101B0" w:rsidR="00E101B0" w:rsidP="00B60DC1" w:rsidRDefault="00E101B0" w14:paraId="3B7F7827" w14:textId="77777777">
            <w:pPr>
              <w:contextualSpacing/>
              <w:jc w:val="center"/>
              <w:rPr>
                <w:sz w:val="22"/>
                <w:szCs w:val="22"/>
              </w:rPr>
            </w:pPr>
            <w:r w:rsidRPr="00E101B0">
              <w:rPr>
                <w:sz w:val="22"/>
                <w:szCs w:val="22"/>
              </w:rPr>
              <w:t>25.00</w:t>
            </w:r>
          </w:p>
          <w:p w:rsidRPr="00E101B0" w:rsidR="00E101B0" w:rsidP="00B60DC1" w:rsidRDefault="00E101B0" w14:paraId="2431449D" w14:textId="77777777">
            <w:pPr>
              <w:contextualSpacing/>
              <w:jc w:val="center"/>
              <w:rPr>
                <w:sz w:val="22"/>
                <w:szCs w:val="22"/>
              </w:rPr>
            </w:pPr>
          </w:p>
          <w:p w:rsidRPr="00E101B0" w:rsidR="00E101B0" w:rsidP="00B60DC1" w:rsidRDefault="00E101B0" w14:paraId="112209B7" w14:textId="77777777">
            <w:pPr>
              <w:contextualSpacing/>
              <w:jc w:val="center"/>
              <w:rPr>
                <w:i/>
                <w:sz w:val="22"/>
                <w:szCs w:val="22"/>
              </w:rPr>
            </w:pPr>
          </w:p>
        </w:tc>
        <w:tc>
          <w:tcPr>
            <w:tcW w:w="1080" w:type="dxa"/>
            <w:tcBorders>
              <w:top w:val="single" w:color="CCCCCC" w:sz="8" w:space="0"/>
              <w:left w:val="single" w:color="CCCCCC" w:sz="8" w:space="0"/>
              <w:bottom w:val="single" w:color="CCCCCC" w:sz="8" w:space="0"/>
              <w:right w:val="single" w:color="CCCCCC" w:sz="8" w:space="0"/>
            </w:tcBorders>
          </w:tcPr>
          <w:p w:rsidRPr="00E101B0" w:rsidR="00E101B0" w:rsidP="00B60DC1" w:rsidRDefault="00E101B0" w14:paraId="61DB5A51" w14:textId="77777777">
            <w:pPr>
              <w:contextualSpacing/>
              <w:jc w:val="center"/>
              <w:rPr>
                <w:sz w:val="22"/>
                <w:szCs w:val="22"/>
              </w:rPr>
            </w:pPr>
            <w:r>
              <w:rPr>
                <w:sz w:val="22"/>
                <w:szCs w:val="22"/>
              </w:rPr>
              <w:t>$750.00</w:t>
            </w:r>
          </w:p>
        </w:tc>
        <w:tc>
          <w:tcPr>
            <w:tcW w:w="1530" w:type="dxa"/>
            <w:tcBorders>
              <w:top w:val="single" w:color="CCCCCC" w:sz="8" w:space="0"/>
              <w:left w:val="single" w:color="CCCCCC" w:sz="8" w:space="0"/>
              <w:bottom w:val="single" w:color="CCCCCC" w:sz="8" w:space="0"/>
              <w:right w:val="single" w:color="CCCCCC" w:sz="8" w:space="0"/>
            </w:tcBorders>
            <w:tcMar>
              <w:left w:w="22" w:type="dxa"/>
              <w:right w:w="22" w:type="dxa"/>
            </w:tcMar>
          </w:tcPr>
          <w:p w:rsidRPr="00E101B0" w:rsidR="00E101B0" w:rsidP="00B60DC1" w:rsidRDefault="00444C95" w14:paraId="3724AF0A" w14:textId="2D522B18">
            <w:pPr>
              <w:contextualSpacing/>
              <w:jc w:val="center"/>
              <w:rPr>
                <w:sz w:val="22"/>
                <w:szCs w:val="22"/>
              </w:rPr>
            </w:pPr>
            <w:r>
              <w:rPr>
                <w:sz w:val="22"/>
                <w:szCs w:val="22"/>
              </w:rPr>
              <w:t>27</w:t>
            </w:r>
            <w:r w:rsidRPr="00E101B0" w:rsidR="00E101B0">
              <w:rPr>
                <w:sz w:val="22"/>
                <w:szCs w:val="22"/>
              </w:rPr>
              <w:t>,800.0</w:t>
            </w:r>
          </w:p>
          <w:p w:rsidRPr="00E101B0" w:rsidR="00E101B0" w:rsidP="00B60DC1" w:rsidRDefault="00E101B0" w14:paraId="155BF5C4" w14:textId="77777777">
            <w:pPr>
              <w:contextualSpacing/>
              <w:jc w:val="center"/>
              <w:rPr>
                <w:sz w:val="22"/>
                <w:szCs w:val="22"/>
              </w:rPr>
            </w:pPr>
          </w:p>
          <w:p w:rsidRPr="00E101B0" w:rsidR="00E101B0" w:rsidP="00B60DC1" w:rsidRDefault="00E101B0" w14:paraId="03F01F99" w14:textId="77777777">
            <w:pPr>
              <w:contextualSpacing/>
              <w:jc w:val="center"/>
              <w:rPr>
                <w:i/>
                <w:sz w:val="22"/>
                <w:szCs w:val="22"/>
              </w:rPr>
            </w:pPr>
          </w:p>
        </w:tc>
        <w:tc>
          <w:tcPr>
            <w:tcW w:w="1170" w:type="dxa"/>
            <w:tcBorders>
              <w:top w:val="single" w:color="CCCCCC" w:sz="8" w:space="0"/>
              <w:left w:val="single" w:color="CCCCCC" w:sz="8" w:space="0"/>
              <w:bottom w:val="single" w:color="CCCCCC" w:sz="8" w:space="0"/>
              <w:right w:val="single" w:color="CCCCCC" w:sz="8" w:space="0"/>
            </w:tcBorders>
          </w:tcPr>
          <w:p w:rsidRPr="00E101B0" w:rsidR="00E101B0" w:rsidP="00B60DC1" w:rsidRDefault="001053C1" w14:paraId="2DF8D752" w14:textId="444C0F16">
            <w:pPr>
              <w:contextualSpacing/>
              <w:jc w:val="center"/>
              <w:rPr>
                <w:sz w:val="22"/>
                <w:szCs w:val="22"/>
              </w:rPr>
            </w:pPr>
            <w:r>
              <w:rPr>
                <w:sz w:val="22"/>
                <w:szCs w:val="22"/>
              </w:rPr>
              <w:t>$</w:t>
            </w:r>
            <w:r w:rsidR="00270359">
              <w:rPr>
                <w:sz w:val="22"/>
                <w:szCs w:val="22"/>
              </w:rPr>
              <w:t>834,000</w:t>
            </w:r>
          </w:p>
        </w:tc>
      </w:tr>
      <w:tr w:rsidRPr="00E101B0" w:rsidR="003D358F" w:rsidTr="00A61F5B" w14:paraId="154E4727" w14:textId="77777777">
        <w:trPr>
          <w:trHeight w:val="1087"/>
        </w:trPr>
        <w:tc>
          <w:tcPr>
            <w:tcW w:w="1980" w:type="dxa"/>
            <w:gridSpan w:val="2"/>
            <w:tcBorders>
              <w:top w:val="single" w:color="CCCCCC" w:sz="8" w:space="0"/>
              <w:left w:val="single" w:color="CCCCCC" w:sz="8" w:space="0"/>
              <w:bottom w:val="single" w:color="CCCCCC" w:sz="8" w:space="0"/>
              <w:right w:val="single" w:color="CCCCCC" w:sz="8" w:space="0"/>
            </w:tcBorders>
            <w:tcMar>
              <w:left w:w="22" w:type="dxa"/>
              <w:right w:w="22" w:type="dxa"/>
            </w:tcMar>
          </w:tcPr>
          <w:p w:rsidRPr="00E101B0" w:rsidR="003D358F" w:rsidP="003D358F" w:rsidRDefault="003D358F" w14:paraId="660D5E3D" w14:textId="29A6B2CD">
            <w:pPr>
              <w:contextualSpacing/>
              <w:rPr>
                <w:b/>
                <w:sz w:val="22"/>
                <w:szCs w:val="22"/>
                <w:u w:val="single"/>
              </w:rPr>
            </w:pPr>
            <w:r w:rsidRPr="00E101B0">
              <w:rPr>
                <w:b/>
                <w:sz w:val="22"/>
                <w:szCs w:val="22"/>
              </w:rPr>
              <w:t>Grand total (</w:t>
            </w:r>
            <w:r w:rsidRPr="00444C95">
              <w:rPr>
                <w:b/>
                <w:sz w:val="22"/>
                <w:szCs w:val="22"/>
              </w:rPr>
              <w:t>third-party disclosure</w:t>
            </w:r>
            <w:r w:rsidRPr="00E101B0">
              <w:rPr>
                <w:b/>
                <w:sz w:val="22"/>
                <w:szCs w:val="22"/>
              </w:rPr>
              <w:t xml:space="preserve"> and recordkeeping)</w:t>
            </w:r>
          </w:p>
        </w:tc>
        <w:tc>
          <w:tcPr>
            <w:tcW w:w="1620" w:type="dxa"/>
            <w:gridSpan w:val="2"/>
            <w:tcBorders>
              <w:top w:val="single" w:color="CCCCCC" w:sz="8" w:space="0"/>
              <w:left w:val="single" w:color="CCCCCC" w:sz="8" w:space="0"/>
              <w:bottom w:val="single" w:color="CCCCCC" w:sz="8" w:space="0"/>
              <w:right w:val="single" w:color="CCCCCC" w:sz="8" w:space="0"/>
            </w:tcBorders>
            <w:tcMar>
              <w:left w:w="22" w:type="dxa"/>
              <w:right w:w="22" w:type="dxa"/>
            </w:tcMar>
          </w:tcPr>
          <w:p w:rsidRPr="00E101B0" w:rsidR="003D358F" w:rsidP="003D358F" w:rsidRDefault="003D358F" w14:paraId="29E5256D" w14:textId="77777777">
            <w:pPr>
              <w:contextualSpacing/>
              <w:jc w:val="center"/>
              <w:rPr>
                <w:sz w:val="22"/>
                <w:szCs w:val="22"/>
              </w:rPr>
            </w:pPr>
          </w:p>
        </w:tc>
        <w:tc>
          <w:tcPr>
            <w:tcW w:w="1260" w:type="dxa"/>
            <w:gridSpan w:val="2"/>
            <w:tcBorders>
              <w:top w:val="single" w:color="CCCCCC" w:sz="8" w:space="0"/>
              <w:left w:val="single" w:color="CCCCCC" w:sz="8" w:space="0"/>
              <w:bottom w:val="single" w:color="CCCCCC" w:sz="8" w:space="0"/>
              <w:right w:val="single" w:color="CCCCCC" w:sz="8" w:space="0"/>
            </w:tcBorders>
            <w:tcMar>
              <w:left w:w="22" w:type="dxa"/>
              <w:right w:w="22" w:type="dxa"/>
            </w:tcMar>
          </w:tcPr>
          <w:p w:rsidRPr="00E101B0" w:rsidR="003D358F" w:rsidP="003D358F" w:rsidRDefault="003D358F" w14:paraId="56D98337" w14:textId="77777777">
            <w:pPr>
              <w:contextualSpacing/>
              <w:jc w:val="center"/>
              <w:rPr>
                <w:sz w:val="22"/>
                <w:szCs w:val="22"/>
              </w:rPr>
            </w:pPr>
          </w:p>
        </w:tc>
        <w:tc>
          <w:tcPr>
            <w:tcW w:w="1800" w:type="dxa"/>
            <w:gridSpan w:val="2"/>
            <w:tcBorders>
              <w:top w:val="single" w:color="CCCCCC" w:sz="8" w:space="0"/>
              <w:left w:val="single" w:color="CCCCCC" w:sz="8" w:space="0"/>
              <w:bottom w:val="single" w:color="CCCCCC" w:sz="8" w:space="0"/>
              <w:right w:val="single" w:color="CCCCCC" w:sz="8" w:space="0"/>
            </w:tcBorders>
            <w:tcMar>
              <w:left w:w="22" w:type="dxa"/>
              <w:right w:w="22" w:type="dxa"/>
            </w:tcMar>
          </w:tcPr>
          <w:p w:rsidR="003D358F" w:rsidP="003D358F" w:rsidRDefault="003D358F" w14:paraId="177CF50E" w14:textId="77777777">
            <w:pPr>
              <w:contextualSpacing/>
              <w:jc w:val="center"/>
              <w:rPr>
                <w:b/>
                <w:sz w:val="22"/>
                <w:szCs w:val="22"/>
              </w:rPr>
            </w:pPr>
          </w:p>
          <w:p w:rsidRPr="00E101B0" w:rsidR="003D358F" w:rsidP="003D358F" w:rsidRDefault="003D358F" w14:paraId="718BACCB" w14:textId="65B979A7">
            <w:pPr>
              <w:contextualSpacing/>
              <w:jc w:val="center"/>
              <w:rPr>
                <w:sz w:val="22"/>
                <w:szCs w:val="22"/>
              </w:rPr>
            </w:pPr>
            <w:r>
              <w:rPr>
                <w:b/>
                <w:sz w:val="22"/>
                <w:szCs w:val="22"/>
              </w:rPr>
              <w:t>128,992</w:t>
            </w:r>
          </w:p>
        </w:tc>
        <w:tc>
          <w:tcPr>
            <w:tcW w:w="1080" w:type="dxa"/>
            <w:tcBorders>
              <w:top w:val="single" w:color="CCCCCC" w:sz="8" w:space="0"/>
              <w:left w:val="single" w:color="CCCCCC" w:sz="8" w:space="0"/>
              <w:bottom w:val="single" w:color="CCCCCC" w:sz="8" w:space="0"/>
              <w:right w:val="single" w:color="CCCCCC" w:sz="8" w:space="0"/>
            </w:tcBorders>
            <w:tcMar>
              <w:left w:w="22" w:type="dxa"/>
              <w:right w:w="22" w:type="dxa"/>
            </w:tcMar>
          </w:tcPr>
          <w:p w:rsidRPr="00E101B0" w:rsidR="003D358F" w:rsidP="003D358F" w:rsidRDefault="003D358F" w14:paraId="1670E375" w14:textId="77777777">
            <w:pPr>
              <w:contextualSpacing/>
              <w:jc w:val="center"/>
              <w:rPr>
                <w:sz w:val="22"/>
                <w:szCs w:val="22"/>
              </w:rPr>
            </w:pPr>
          </w:p>
        </w:tc>
        <w:tc>
          <w:tcPr>
            <w:tcW w:w="1080" w:type="dxa"/>
            <w:tcBorders>
              <w:top w:val="single" w:color="CCCCCC" w:sz="8" w:space="0"/>
              <w:left w:val="single" w:color="CCCCCC" w:sz="8" w:space="0"/>
              <w:bottom w:val="single" w:color="CCCCCC" w:sz="8" w:space="0"/>
              <w:right w:val="single" w:color="CCCCCC" w:sz="8" w:space="0"/>
            </w:tcBorders>
          </w:tcPr>
          <w:p w:rsidRPr="00E101B0" w:rsidR="003D358F" w:rsidP="003D358F" w:rsidRDefault="003D358F" w14:paraId="03D2AECA" w14:textId="77777777">
            <w:pPr>
              <w:contextualSpacing/>
              <w:jc w:val="center"/>
              <w:rPr>
                <w:sz w:val="22"/>
                <w:szCs w:val="22"/>
              </w:rPr>
            </w:pPr>
          </w:p>
        </w:tc>
        <w:tc>
          <w:tcPr>
            <w:tcW w:w="1530" w:type="dxa"/>
            <w:tcBorders>
              <w:top w:val="single" w:color="CCCCCC" w:sz="8" w:space="0"/>
              <w:left w:val="single" w:color="CCCCCC" w:sz="8" w:space="0"/>
              <w:bottom w:val="single" w:color="CCCCCC" w:sz="8" w:space="0"/>
              <w:right w:val="single" w:color="CCCCCC" w:sz="8" w:space="0"/>
            </w:tcBorders>
            <w:tcMar>
              <w:left w:w="22" w:type="dxa"/>
              <w:right w:w="22" w:type="dxa"/>
            </w:tcMar>
          </w:tcPr>
          <w:p w:rsidR="003D358F" w:rsidP="003D358F" w:rsidRDefault="003D358F" w14:paraId="522782F7" w14:textId="77777777">
            <w:pPr>
              <w:contextualSpacing/>
              <w:jc w:val="center"/>
              <w:rPr>
                <w:b/>
                <w:sz w:val="22"/>
              </w:rPr>
            </w:pPr>
          </w:p>
          <w:p w:rsidRPr="00E101B0" w:rsidR="003D358F" w:rsidP="003D358F" w:rsidRDefault="003D358F" w14:paraId="44882019" w14:textId="00A32BC1">
            <w:pPr>
              <w:contextualSpacing/>
              <w:jc w:val="center"/>
              <w:rPr>
                <w:sz w:val="22"/>
                <w:szCs w:val="22"/>
              </w:rPr>
            </w:pPr>
            <w:r>
              <w:rPr>
                <w:b/>
                <w:sz w:val="22"/>
              </w:rPr>
              <w:t>38</w:t>
            </w:r>
            <w:r w:rsidR="00A61F5B">
              <w:rPr>
                <w:b/>
                <w:sz w:val="22"/>
              </w:rPr>
              <w:t>,</w:t>
            </w:r>
            <w:bookmarkStart w:name="_GoBack" w:id="1"/>
            <w:bookmarkEnd w:id="1"/>
            <w:r>
              <w:rPr>
                <w:b/>
                <w:sz w:val="22"/>
              </w:rPr>
              <w:t>030.4</w:t>
            </w:r>
          </w:p>
        </w:tc>
        <w:tc>
          <w:tcPr>
            <w:tcW w:w="1170" w:type="dxa"/>
            <w:tcBorders>
              <w:top w:val="single" w:color="CCCCCC" w:sz="8" w:space="0"/>
              <w:left w:val="single" w:color="CCCCCC" w:sz="8" w:space="0"/>
              <w:bottom w:val="single" w:color="CCCCCC" w:sz="8" w:space="0"/>
              <w:right w:val="single" w:color="CCCCCC" w:sz="8" w:space="0"/>
            </w:tcBorders>
          </w:tcPr>
          <w:p w:rsidR="003D358F" w:rsidP="003D358F" w:rsidRDefault="003D358F" w14:paraId="37022585" w14:textId="77777777">
            <w:pPr>
              <w:contextualSpacing/>
              <w:jc w:val="center"/>
              <w:rPr>
                <w:b/>
                <w:sz w:val="22"/>
                <w:szCs w:val="22"/>
              </w:rPr>
            </w:pPr>
          </w:p>
          <w:p w:rsidRPr="00E101B0" w:rsidR="003D358F" w:rsidP="003D358F" w:rsidRDefault="003D358F" w14:paraId="35443912" w14:textId="1F08FDED">
            <w:pPr>
              <w:contextualSpacing/>
              <w:jc w:val="center"/>
              <w:rPr>
                <w:sz w:val="22"/>
                <w:szCs w:val="22"/>
              </w:rPr>
            </w:pPr>
            <w:r>
              <w:rPr>
                <w:b/>
                <w:sz w:val="22"/>
                <w:szCs w:val="22"/>
              </w:rPr>
              <w:t>$1,140,912</w:t>
            </w:r>
          </w:p>
        </w:tc>
      </w:tr>
    </w:tbl>
    <w:p w:rsidR="00F852EC" w:rsidP="002F18FE" w:rsidRDefault="00F852EC" w14:paraId="1BA3740F" w14:textId="77777777"/>
    <w:sectPr w:rsidR="00F852EC" w:rsidSect="001F7D1A">
      <w:head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E556FC" w14:textId="77777777" w:rsidR="002B186F" w:rsidRDefault="002B186F" w:rsidP="00A46ACA">
      <w:r>
        <w:separator/>
      </w:r>
    </w:p>
  </w:endnote>
  <w:endnote w:type="continuationSeparator" w:id="0">
    <w:p w14:paraId="36A915A9" w14:textId="77777777" w:rsidR="002B186F" w:rsidRDefault="002B186F" w:rsidP="00A46ACA">
      <w:r>
        <w:continuationSeparator/>
      </w:r>
    </w:p>
  </w:endnote>
  <w:endnote w:type="continuationNotice" w:id="1">
    <w:p w14:paraId="09836C66" w14:textId="77777777" w:rsidR="002B186F" w:rsidRDefault="002B18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3F3CBC" w14:textId="77777777" w:rsidR="002B186F" w:rsidRDefault="002B186F" w:rsidP="00A46ACA">
      <w:r>
        <w:separator/>
      </w:r>
    </w:p>
  </w:footnote>
  <w:footnote w:type="continuationSeparator" w:id="0">
    <w:p w14:paraId="53FAFAFA" w14:textId="77777777" w:rsidR="002B186F" w:rsidRDefault="002B186F" w:rsidP="00A46ACA">
      <w:r>
        <w:continuationSeparator/>
      </w:r>
    </w:p>
  </w:footnote>
  <w:footnote w:type="continuationNotice" w:id="1">
    <w:p w14:paraId="3543BB30" w14:textId="77777777" w:rsidR="002B186F" w:rsidRDefault="002B186F"/>
  </w:footnote>
  <w:footnote w:id="2">
    <w:p w14:paraId="68A8125A" w14:textId="25F41BB9" w:rsidR="004E5BCD" w:rsidRDefault="004E5BCD">
      <w:pPr>
        <w:pStyle w:val="FootnoteText"/>
      </w:pPr>
      <w:r>
        <w:rPr>
          <w:rStyle w:val="FootnoteReference"/>
        </w:rPr>
        <w:footnoteRef/>
      </w:r>
      <w:r>
        <w:t xml:space="preserve"> Records may be kept “to demonstrate that a customer qualified for the relief discussed herein,” i.e., keep records showing that the customer is </w:t>
      </w:r>
      <w:proofErr w:type="gramStart"/>
      <w:r>
        <w:t>an  “</w:t>
      </w:r>
      <w:proofErr w:type="gramEnd"/>
      <w:r>
        <w:t>Eligible Contract Participant” (“ECP”) as defined in section 1a(18).  This designation is set out in the statute—a self-executing determination.  A customer is either an ECP or not.  Brokers do, in fact, often protect themselves by requiring customers to certify that a customer is an ECP.</w:t>
      </w:r>
    </w:p>
    <w:p w14:paraId="20D84C3F" w14:textId="77777777" w:rsidR="00B7035C" w:rsidRDefault="00B7035C">
      <w:pPr>
        <w:pStyle w:val="FootnoteText"/>
      </w:pPr>
    </w:p>
  </w:footnote>
  <w:footnote w:id="3">
    <w:p w14:paraId="12D4FBA9" w14:textId="77777777" w:rsidR="004E5BCD" w:rsidRDefault="004E5BCD">
      <w:pPr>
        <w:pStyle w:val="FootnoteText"/>
      </w:pPr>
      <w:r>
        <w:rPr>
          <w:rStyle w:val="FootnoteReference"/>
        </w:rPr>
        <w:footnoteRef/>
      </w:r>
      <w:r>
        <w:t xml:space="preserve"> </w:t>
      </w:r>
      <w:r w:rsidR="003A0CEA">
        <w:t>“Financially sophisticated” customers are defined in section 1</w:t>
      </w:r>
      <w:proofErr w:type="gramStart"/>
      <w:r w:rsidR="003A0CEA">
        <w:t>a(</w:t>
      </w:r>
      <w:proofErr w:type="gramEnd"/>
      <w:r w:rsidR="003A0CEA">
        <w:t>18)</w:t>
      </w:r>
      <w:r w:rsidR="00A856AF">
        <w:t xml:space="preserve"> of the Act</w:t>
      </w:r>
      <w:r w:rsidR="003A0CEA">
        <w:t xml:space="preserve">, which establishes a </w:t>
      </w:r>
      <w:r w:rsidR="00A856AF">
        <w:t xml:space="preserve">lengthy </w:t>
      </w:r>
      <w:r w:rsidR="003A0CEA">
        <w:t xml:space="preserve">list of </w:t>
      </w:r>
      <w:r w:rsidR="00D61BB7">
        <w:t>“</w:t>
      </w:r>
      <w:r w:rsidR="003A0CEA">
        <w:t>el</w:t>
      </w:r>
      <w:r w:rsidR="00A856AF">
        <w:t>igible contract participants.</w:t>
      </w:r>
      <w:r w:rsidR="00D61BB7">
        <w:t>”</w:t>
      </w:r>
      <w:r w:rsidR="00A856AF">
        <w:t xml:space="preserve">  The list of ECPs includes, for example, a financial institution, an insurance company, a corporation with $10 million in assets, etc.</w:t>
      </w:r>
      <w:r w:rsidR="00D61BB7">
        <w:t xml:space="preserve"> </w:t>
      </w:r>
      <w:r w:rsidR="00A856AF">
        <w:t xml:space="preserve"> </w:t>
      </w:r>
      <w:r w:rsidR="00D61BB7">
        <w:t xml:space="preserve">The applicable regulatory references </w:t>
      </w:r>
      <w:r w:rsidR="00A856AF">
        <w:t xml:space="preserve">that lead to the ECP list </w:t>
      </w:r>
      <w:r w:rsidR="00D61BB7">
        <w:t xml:space="preserve">are: (1) rule 1.55(f) states that a </w:t>
      </w:r>
      <w:r w:rsidR="00B9430C">
        <w:t>disclosure statement</w:t>
      </w:r>
      <w:r w:rsidR="00D61BB7">
        <w:t xml:space="preserve"> need not be provided to, and a signed acknowledgement need not be required from, “an ‘institutional customer’ as defined in § 1.3(g);” and (2) rule 1.3(g) defines “institutional customer” as having the same meaning as “eligible contract participant” as defined in the Act.</w:t>
      </w:r>
    </w:p>
  </w:footnote>
  <w:footnote w:id="4">
    <w:p w14:paraId="6B86B9DC" w14:textId="77777777" w:rsidR="001C4E11" w:rsidRDefault="001C4E11" w:rsidP="001C4E11">
      <w:pPr>
        <w:pStyle w:val="FootnoteText"/>
      </w:pPr>
      <w:r>
        <w:rPr>
          <w:rStyle w:val="FootnoteReference"/>
        </w:rPr>
        <w:footnoteRef/>
      </w:r>
      <w:r>
        <w:t xml:space="preserve"> </w:t>
      </w:r>
      <w:r w:rsidRPr="001630E1">
        <w:rPr>
          <w:i/>
          <w:u w:val="single"/>
        </w:rPr>
        <w:t>See</w:t>
      </w:r>
      <w:r w:rsidRPr="001630E1">
        <w:t xml:space="preserve"> </w:t>
      </w:r>
      <w:r w:rsidRPr="00370131">
        <w:rPr>
          <w:rFonts w:eastAsia="Calibri"/>
          <w:iCs/>
          <w:u w:val="single"/>
        </w:rPr>
        <w:t>http://www.bls.gov/oes/current/oes_nat.htm</w:t>
      </w:r>
      <w:r>
        <w:rPr>
          <w:rFonts w:eastAsia="Calibri"/>
          <w:iCs/>
          <w:u w:val="single"/>
        </w:rPr>
        <w:t>.</w:t>
      </w:r>
    </w:p>
  </w:footnote>
  <w:footnote w:id="5">
    <w:p w14:paraId="2A950FAE" w14:textId="6FDCE21D" w:rsidR="00145EF5" w:rsidRDefault="00145EF5">
      <w:pPr>
        <w:pStyle w:val="FootnoteText"/>
      </w:pPr>
      <w:r>
        <w:rPr>
          <w:rStyle w:val="FootnoteReference"/>
        </w:rPr>
        <w:footnoteRef/>
      </w:r>
      <w:r>
        <w:t xml:space="preserve"> The assumption is that </w:t>
      </w:r>
      <w:r w:rsidR="00D960AC">
        <w:t>a total of 1</w:t>
      </w:r>
      <w:r w:rsidR="00FB7511">
        <w:t>,112</w:t>
      </w:r>
      <w:r w:rsidR="00D960AC">
        <w:t xml:space="preserve"> respondents (</w:t>
      </w:r>
      <w:r w:rsidR="00AC1FA3">
        <w:t>6</w:t>
      </w:r>
      <w:r w:rsidR="000C5D13">
        <w:t>1</w:t>
      </w:r>
      <w:r>
        <w:t xml:space="preserve"> FCM</w:t>
      </w:r>
      <w:r w:rsidR="00D960AC">
        <w:t>s</w:t>
      </w:r>
      <w:r>
        <w:t xml:space="preserve"> </w:t>
      </w:r>
      <w:r w:rsidR="006D7B8D">
        <w:t>and</w:t>
      </w:r>
      <w:r>
        <w:t xml:space="preserve"> </w:t>
      </w:r>
      <w:r w:rsidR="00D960AC">
        <w:t>1</w:t>
      </w:r>
      <w:r w:rsidR="000C5D13">
        <w:t>,051</w:t>
      </w:r>
      <w:r w:rsidR="00D960AC">
        <w:t xml:space="preserve"> </w:t>
      </w:r>
      <w:r>
        <w:t>IB respondents</w:t>
      </w:r>
      <w:r w:rsidR="00D960AC">
        <w:t>)</w:t>
      </w:r>
      <w:r>
        <w:t xml:space="preserve"> will open, on average, 115 new accounts per year</w:t>
      </w:r>
      <w:r w:rsidR="00D960A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0802898"/>
      <w:docPartObj>
        <w:docPartGallery w:val="Page Numbers (Top of Page)"/>
        <w:docPartUnique/>
      </w:docPartObj>
    </w:sdtPr>
    <w:sdtEndPr>
      <w:rPr>
        <w:noProof/>
      </w:rPr>
    </w:sdtEndPr>
    <w:sdtContent>
      <w:p w14:paraId="79CFAE91" w14:textId="66F3B033" w:rsidR="001F7D1A" w:rsidRDefault="001F7D1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8D2B345" w14:textId="44879286" w:rsidR="002B186F" w:rsidRDefault="002B18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14A30"/>
    <w:multiLevelType w:val="hybridMultilevel"/>
    <w:tmpl w:val="EE18AE5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5B5E7FE9"/>
    <w:multiLevelType w:val="hybridMultilevel"/>
    <w:tmpl w:val="B75A92B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57"/>
  <w:displayVerticalDrawingGridEvery w:val="2"/>
  <w:noPunctuationKerning/>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430"/>
    <w:rsid w:val="000001AC"/>
    <w:rsid w:val="00001E7E"/>
    <w:rsid w:val="0000524F"/>
    <w:rsid w:val="000164F2"/>
    <w:rsid w:val="00022B26"/>
    <w:rsid w:val="000257A9"/>
    <w:rsid w:val="00033EE4"/>
    <w:rsid w:val="000375F9"/>
    <w:rsid w:val="0004788B"/>
    <w:rsid w:val="00051CA5"/>
    <w:rsid w:val="00054B29"/>
    <w:rsid w:val="00057324"/>
    <w:rsid w:val="00076389"/>
    <w:rsid w:val="000A2A3C"/>
    <w:rsid w:val="000C550E"/>
    <w:rsid w:val="000C5D13"/>
    <w:rsid w:val="000D13D0"/>
    <w:rsid w:val="000D36CD"/>
    <w:rsid w:val="001053C1"/>
    <w:rsid w:val="00105F10"/>
    <w:rsid w:val="00133495"/>
    <w:rsid w:val="00143D2C"/>
    <w:rsid w:val="00145EF5"/>
    <w:rsid w:val="0016798D"/>
    <w:rsid w:val="00170162"/>
    <w:rsid w:val="001757E6"/>
    <w:rsid w:val="00192C96"/>
    <w:rsid w:val="001A4936"/>
    <w:rsid w:val="001C0A14"/>
    <w:rsid w:val="001C4E11"/>
    <w:rsid w:val="001E157B"/>
    <w:rsid w:val="001F2F11"/>
    <w:rsid w:val="001F6831"/>
    <w:rsid w:val="001F7800"/>
    <w:rsid w:val="001F7D1A"/>
    <w:rsid w:val="00206691"/>
    <w:rsid w:val="00217B48"/>
    <w:rsid w:val="002250DF"/>
    <w:rsid w:val="00235A50"/>
    <w:rsid w:val="00247546"/>
    <w:rsid w:val="00255D05"/>
    <w:rsid w:val="00270359"/>
    <w:rsid w:val="00272C71"/>
    <w:rsid w:val="00272FF3"/>
    <w:rsid w:val="002846E1"/>
    <w:rsid w:val="0029162C"/>
    <w:rsid w:val="002A6BBE"/>
    <w:rsid w:val="002B186F"/>
    <w:rsid w:val="002B47F7"/>
    <w:rsid w:val="002C33C5"/>
    <w:rsid w:val="002E3F4B"/>
    <w:rsid w:val="002E4C7D"/>
    <w:rsid w:val="002E4E2B"/>
    <w:rsid w:val="002F18FE"/>
    <w:rsid w:val="002F2211"/>
    <w:rsid w:val="0034279E"/>
    <w:rsid w:val="00351742"/>
    <w:rsid w:val="003519DC"/>
    <w:rsid w:val="0035498A"/>
    <w:rsid w:val="00364503"/>
    <w:rsid w:val="00367328"/>
    <w:rsid w:val="003737F3"/>
    <w:rsid w:val="0039284C"/>
    <w:rsid w:val="003A0CEA"/>
    <w:rsid w:val="003A2CD5"/>
    <w:rsid w:val="003A4F1A"/>
    <w:rsid w:val="003B0F5F"/>
    <w:rsid w:val="003B6ADB"/>
    <w:rsid w:val="003C0D52"/>
    <w:rsid w:val="003C4998"/>
    <w:rsid w:val="003D358F"/>
    <w:rsid w:val="003E40FD"/>
    <w:rsid w:val="003F4675"/>
    <w:rsid w:val="0040692A"/>
    <w:rsid w:val="00407C49"/>
    <w:rsid w:val="00421AEA"/>
    <w:rsid w:val="00444C95"/>
    <w:rsid w:val="004603CB"/>
    <w:rsid w:val="00461F23"/>
    <w:rsid w:val="00491185"/>
    <w:rsid w:val="00492006"/>
    <w:rsid w:val="00493586"/>
    <w:rsid w:val="004947DF"/>
    <w:rsid w:val="004B0CC9"/>
    <w:rsid w:val="004B4A04"/>
    <w:rsid w:val="004D3AED"/>
    <w:rsid w:val="004E5BCD"/>
    <w:rsid w:val="004F470B"/>
    <w:rsid w:val="004F72FE"/>
    <w:rsid w:val="00500B95"/>
    <w:rsid w:val="00500D53"/>
    <w:rsid w:val="00512325"/>
    <w:rsid w:val="00527E43"/>
    <w:rsid w:val="00532DDB"/>
    <w:rsid w:val="00536BA5"/>
    <w:rsid w:val="005506E2"/>
    <w:rsid w:val="00555A24"/>
    <w:rsid w:val="00566876"/>
    <w:rsid w:val="00571C36"/>
    <w:rsid w:val="00584F11"/>
    <w:rsid w:val="00586E74"/>
    <w:rsid w:val="005A4D7C"/>
    <w:rsid w:val="005B50C6"/>
    <w:rsid w:val="005C07D3"/>
    <w:rsid w:val="005C7604"/>
    <w:rsid w:val="005D70C9"/>
    <w:rsid w:val="005F2541"/>
    <w:rsid w:val="006156AD"/>
    <w:rsid w:val="006355A6"/>
    <w:rsid w:val="00637CEB"/>
    <w:rsid w:val="00641417"/>
    <w:rsid w:val="00645995"/>
    <w:rsid w:val="006669BA"/>
    <w:rsid w:val="00682277"/>
    <w:rsid w:val="00684AAF"/>
    <w:rsid w:val="006B1490"/>
    <w:rsid w:val="006C124B"/>
    <w:rsid w:val="006D7B8D"/>
    <w:rsid w:val="0072707B"/>
    <w:rsid w:val="0073561F"/>
    <w:rsid w:val="007411C4"/>
    <w:rsid w:val="0074649F"/>
    <w:rsid w:val="00750B22"/>
    <w:rsid w:val="0076238F"/>
    <w:rsid w:val="00762A4F"/>
    <w:rsid w:val="00766982"/>
    <w:rsid w:val="00793749"/>
    <w:rsid w:val="007A0F99"/>
    <w:rsid w:val="007B51D6"/>
    <w:rsid w:val="007B6E1C"/>
    <w:rsid w:val="007C4A14"/>
    <w:rsid w:val="007C6A8C"/>
    <w:rsid w:val="007D5637"/>
    <w:rsid w:val="007F450E"/>
    <w:rsid w:val="007F6C6F"/>
    <w:rsid w:val="00804EC5"/>
    <w:rsid w:val="00825969"/>
    <w:rsid w:val="00840B07"/>
    <w:rsid w:val="00843269"/>
    <w:rsid w:val="0084487A"/>
    <w:rsid w:val="00870806"/>
    <w:rsid w:val="00887B58"/>
    <w:rsid w:val="008977DB"/>
    <w:rsid w:val="008A112E"/>
    <w:rsid w:val="008B0BDA"/>
    <w:rsid w:val="008C2186"/>
    <w:rsid w:val="008C295C"/>
    <w:rsid w:val="008C4A47"/>
    <w:rsid w:val="008C7988"/>
    <w:rsid w:val="008D1726"/>
    <w:rsid w:val="008F1378"/>
    <w:rsid w:val="008F39EB"/>
    <w:rsid w:val="008F7C8C"/>
    <w:rsid w:val="0092039D"/>
    <w:rsid w:val="00922E1E"/>
    <w:rsid w:val="009317B4"/>
    <w:rsid w:val="00935001"/>
    <w:rsid w:val="00961D7E"/>
    <w:rsid w:val="00964770"/>
    <w:rsid w:val="0096510E"/>
    <w:rsid w:val="00965DB4"/>
    <w:rsid w:val="00996660"/>
    <w:rsid w:val="009A17A1"/>
    <w:rsid w:val="009A4C20"/>
    <w:rsid w:val="009D1625"/>
    <w:rsid w:val="009D422C"/>
    <w:rsid w:val="00A029D9"/>
    <w:rsid w:val="00A05D7C"/>
    <w:rsid w:val="00A107AF"/>
    <w:rsid w:val="00A11D09"/>
    <w:rsid w:val="00A33853"/>
    <w:rsid w:val="00A34583"/>
    <w:rsid w:val="00A46ACA"/>
    <w:rsid w:val="00A61F5B"/>
    <w:rsid w:val="00A856AF"/>
    <w:rsid w:val="00A9189A"/>
    <w:rsid w:val="00AA63AD"/>
    <w:rsid w:val="00AC1FA3"/>
    <w:rsid w:val="00AC2158"/>
    <w:rsid w:val="00AD72CD"/>
    <w:rsid w:val="00AF1F48"/>
    <w:rsid w:val="00AF4A73"/>
    <w:rsid w:val="00AF5C96"/>
    <w:rsid w:val="00B10301"/>
    <w:rsid w:val="00B1117A"/>
    <w:rsid w:val="00B12D4A"/>
    <w:rsid w:val="00B20E0C"/>
    <w:rsid w:val="00B412A4"/>
    <w:rsid w:val="00B553B3"/>
    <w:rsid w:val="00B579A0"/>
    <w:rsid w:val="00B60DC1"/>
    <w:rsid w:val="00B635E2"/>
    <w:rsid w:val="00B7035C"/>
    <w:rsid w:val="00B75A22"/>
    <w:rsid w:val="00B77DFF"/>
    <w:rsid w:val="00B82B9C"/>
    <w:rsid w:val="00B9430C"/>
    <w:rsid w:val="00BA179D"/>
    <w:rsid w:val="00BD21F6"/>
    <w:rsid w:val="00BE6E42"/>
    <w:rsid w:val="00C01D90"/>
    <w:rsid w:val="00C10DCA"/>
    <w:rsid w:val="00C1187B"/>
    <w:rsid w:val="00C12A59"/>
    <w:rsid w:val="00C12B97"/>
    <w:rsid w:val="00C32FEA"/>
    <w:rsid w:val="00C542F5"/>
    <w:rsid w:val="00C5466D"/>
    <w:rsid w:val="00C61AA1"/>
    <w:rsid w:val="00C650AB"/>
    <w:rsid w:val="00C97E7B"/>
    <w:rsid w:val="00CA13A8"/>
    <w:rsid w:val="00CA15EA"/>
    <w:rsid w:val="00CA5B64"/>
    <w:rsid w:val="00CB6992"/>
    <w:rsid w:val="00CE3755"/>
    <w:rsid w:val="00CF1053"/>
    <w:rsid w:val="00CF3CCE"/>
    <w:rsid w:val="00CF53F7"/>
    <w:rsid w:val="00D16A56"/>
    <w:rsid w:val="00D27AA9"/>
    <w:rsid w:val="00D4118B"/>
    <w:rsid w:val="00D41E59"/>
    <w:rsid w:val="00D61BB7"/>
    <w:rsid w:val="00D63838"/>
    <w:rsid w:val="00D65DB5"/>
    <w:rsid w:val="00D8322F"/>
    <w:rsid w:val="00D844A6"/>
    <w:rsid w:val="00D94389"/>
    <w:rsid w:val="00D960AC"/>
    <w:rsid w:val="00DB22E0"/>
    <w:rsid w:val="00DC67FD"/>
    <w:rsid w:val="00DD3163"/>
    <w:rsid w:val="00DF67CF"/>
    <w:rsid w:val="00E00C74"/>
    <w:rsid w:val="00E066E2"/>
    <w:rsid w:val="00E06E40"/>
    <w:rsid w:val="00E101B0"/>
    <w:rsid w:val="00E133E7"/>
    <w:rsid w:val="00E17997"/>
    <w:rsid w:val="00E17A7A"/>
    <w:rsid w:val="00E36C36"/>
    <w:rsid w:val="00E64943"/>
    <w:rsid w:val="00E86011"/>
    <w:rsid w:val="00EA0CF8"/>
    <w:rsid w:val="00EA25E6"/>
    <w:rsid w:val="00EA43A4"/>
    <w:rsid w:val="00EB7199"/>
    <w:rsid w:val="00EE44CB"/>
    <w:rsid w:val="00EE67E8"/>
    <w:rsid w:val="00F04BA3"/>
    <w:rsid w:val="00F36F25"/>
    <w:rsid w:val="00F41379"/>
    <w:rsid w:val="00F660A1"/>
    <w:rsid w:val="00F745ED"/>
    <w:rsid w:val="00F852EC"/>
    <w:rsid w:val="00F90860"/>
    <w:rsid w:val="00F93230"/>
    <w:rsid w:val="00FA048E"/>
    <w:rsid w:val="00FA30A1"/>
    <w:rsid w:val="00FB241A"/>
    <w:rsid w:val="00FB3E57"/>
    <w:rsid w:val="00FB7511"/>
    <w:rsid w:val="00FC1430"/>
    <w:rsid w:val="00FE3073"/>
    <w:rsid w:val="00FE4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5509E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C1430"/>
    <w:rPr>
      <w:sz w:val="24"/>
    </w:rPr>
  </w:style>
  <w:style w:type="paragraph" w:styleId="Heading1">
    <w:name w:val="heading 1"/>
    <w:basedOn w:val="Normal"/>
    <w:next w:val="Normal"/>
    <w:qFormat/>
    <w:rsid w:val="00FC1430"/>
    <w:pPr>
      <w:keepNext/>
      <w:outlineLvl w:val="0"/>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C1430"/>
    <w:pPr>
      <w:tabs>
        <w:tab w:val="center" w:pos="4320"/>
        <w:tab w:val="right" w:pos="8640"/>
      </w:tabs>
    </w:pPr>
  </w:style>
  <w:style w:type="paragraph" w:styleId="Title">
    <w:name w:val="Title"/>
    <w:basedOn w:val="Normal"/>
    <w:qFormat/>
    <w:rsid w:val="00FC1430"/>
    <w:pPr>
      <w:jc w:val="center"/>
    </w:pPr>
    <w:rPr>
      <w:rFonts w:ascii="Arial" w:hAnsi="Arial"/>
      <w:b/>
    </w:rPr>
  </w:style>
  <w:style w:type="paragraph" w:styleId="BalloonText">
    <w:name w:val="Balloon Text"/>
    <w:basedOn w:val="Normal"/>
    <w:semiHidden/>
    <w:rsid w:val="00F90860"/>
    <w:rPr>
      <w:rFonts w:ascii="Tahoma" w:hAnsi="Tahoma" w:cs="Tahoma"/>
      <w:sz w:val="16"/>
      <w:szCs w:val="16"/>
    </w:rPr>
  </w:style>
  <w:style w:type="character" w:styleId="CommentReference">
    <w:name w:val="annotation reference"/>
    <w:rsid w:val="005C7604"/>
    <w:rPr>
      <w:sz w:val="16"/>
      <w:szCs w:val="16"/>
    </w:rPr>
  </w:style>
  <w:style w:type="paragraph" w:styleId="CommentText">
    <w:name w:val="annotation text"/>
    <w:basedOn w:val="Normal"/>
    <w:link w:val="CommentTextChar"/>
    <w:rsid w:val="005C7604"/>
    <w:rPr>
      <w:sz w:val="20"/>
    </w:rPr>
  </w:style>
  <w:style w:type="character" w:customStyle="1" w:styleId="CommentTextChar">
    <w:name w:val="Comment Text Char"/>
    <w:basedOn w:val="DefaultParagraphFont"/>
    <w:link w:val="CommentText"/>
    <w:rsid w:val="005C7604"/>
  </w:style>
  <w:style w:type="paragraph" w:styleId="CommentSubject">
    <w:name w:val="annotation subject"/>
    <w:basedOn w:val="CommentText"/>
    <w:next w:val="CommentText"/>
    <w:link w:val="CommentSubjectChar"/>
    <w:rsid w:val="005C7604"/>
    <w:rPr>
      <w:b/>
      <w:bCs/>
    </w:rPr>
  </w:style>
  <w:style w:type="character" w:customStyle="1" w:styleId="CommentSubjectChar">
    <w:name w:val="Comment Subject Char"/>
    <w:link w:val="CommentSubject"/>
    <w:rsid w:val="005C7604"/>
    <w:rPr>
      <w:b/>
      <w:bCs/>
    </w:rPr>
  </w:style>
  <w:style w:type="paragraph" w:styleId="FootnoteText">
    <w:name w:val="footnote text"/>
    <w:aliases w:val="Car Char,fn Char,Footnote Text Char Char Char Char Char Char Char Char Char Char Char Char Char Char Char Char Char Char,Footnote Text Char1 Char,ft,fn,Style 36"/>
    <w:basedOn w:val="Normal"/>
    <w:link w:val="FootnoteTextChar"/>
    <w:rsid w:val="00A46ACA"/>
    <w:rPr>
      <w:sz w:val="20"/>
    </w:rPr>
  </w:style>
  <w:style w:type="character" w:customStyle="1" w:styleId="FootnoteTextChar">
    <w:name w:val="Footnote Text Char"/>
    <w:aliases w:val="Car Char Char1,fn Char Char1,Footnote Text Char Char Char Char Char Char Char Char Char Char Char Char Char Char Char Char Char Char Char1,Footnote Text Char1 Char Char1,ft Char,fn Char2,Style 36 Char1"/>
    <w:basedOn w:val="DefaultParagraphFont"/>
    <w:link w:val="FootnoteText"/>
    <w:rsid w:val="00A46ACA"/>
  </w:style>
  <w:style w:type="character" w:styleId="FootnoteReference">
    <w:name w:val="footnote reference"/>
    <w:aliases w:val="Style 19,Style 16,fr,Style 35"/>
    <w:rsid w:val="00A46ACA"/>
    <w:rPr>
      <w:vertAlign w:val="superscript"/>
    </w:rPr>
  </w:style>
  <w:style w:type="paragraph" w:styleId="Header">
    <w:name w:val="header"/>
    <w:basedOn w:val="Normal"/>
    <w:link w:val="HeaderChar"/>
    <w:uiPriority w:val="99"/>
    <w:rsid w:val="00A33853"/>
    <w:pPr>
      <w:tabs>
        <w:tab w:val="center" w:pos="4680"/>
        <w:tab w:val="right" w:pos="9360"/>
      </w:tabs>
    </w:pPr>
  </w:style>
  <w:style w:type="character" w:customStyle="1" w:styleId="HeaderChar">
    <w:name w:val="Header Char"/>
    <w:link w:val="Header"/>
    <w:uiPriority w:val="99"/>
    <w:rsid w:val="00A33853"/>
    <w:rPr>
      <w:sz w:val="24"/>
    </w:rPr>
  </w:style>
  <w:style w:type="paragraph" w:styleId="BodyTextIndent">
    <w:name w:val="Body Text Indent"/>
    <w:basedOn w:val="Normal"/>
    <w:link w:val="BodyTextIndentChar"/>
    <w:rsid w:val="002E3F4B"/>
    <w:pPr>
      <w:spacing w:after="120"/>
      <w:ind w:left="360"/>
    </w:pPr>
  </w:style>
  <w:style w:type="character" w:customStyle="1" w:styleId="BodyTextIndentChar">
    <w:name w:val="Body Text Indent Char"/>
    <w:link w:val="BodyTextIndent"/>
    <w:rsid w:val="002E3F4B"/>
    <w:rPr>
      <w:sz w:val="24"/>
    </w:rPr>
  </w:style>
  <w:style w:type="character" w:customStyle="1" w:styleId="FootnoteTextChar1">
    <w:name w:val="Footnote Text Char1"/>
    <w:aliases w:val="Footnote Text Char Char,Car Char Char,fn Char Char,Footnote Text Char Char Char Char Char Char Char Char Char Char Char Char Char Char Char Char Char Char Char,Footnote Text Char1 Char Char,ft Char1,fn Char1,Style 36 Char"/>
    <w:uiPriority w:val="99"/>
    <w:semiHidden/>
    <w:rsid w:val="001C4E11"/>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F9F96-A178-4893-8E61-2A70E56F0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2951</Words>
  <Characters>16993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2021-10-21T23:54:00Z</dcterms:created>
  <dcterms:modified xsi:type="dcterms:W3CDTF">2021-10-22T00:23:00Z</dcterms:modified>
</cp:coreProperties>
</file>