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4D07" w:rsidR="0095358C" w:rsidP="0095358C" w:rsidRDefault="0095358C" w14:paraId="1EF2AB12" w14:textId="77777777">
      <w:pPr>
        <w:jc w:val="center"/>
        <w:rPr>
          <w:b/>
          <w:szCs w:val="24"/>
        </w:rPr>
      </w:pPr>
      <w:r w:rsidRPr="00E04D07">
        <w:rPr>
          <w:b/>
          <w:szCs w:val="24"/>
        </w:rPr>
        <w:t>SUPPORTING STATEMENT</w:t>
      </w:r>
    </w:p>
    <w:p w:rsidRPr="00E04D07" w:rsidR="0095358C" w:rsidP="0095358C" w:rsidRDefault="0095358C" w14:paraId="5E99A42F" w14:textId="77777777">
      <w:pPr>
        <w:rPr>
          <w:b/>
          <w:szCs w:val="24"/>
        </w:rPr>
      </w:pPr>
      <w:r w:rsidRPr="00E04D07">
        <w:rPr>
          <w:b/>
          <w:szCs w:val="24"/>
        </w:rPr>
        <w:t>A.  Justification</w:t>
      </w:r>
    </w:p>
    <w:p w:rsidRPr="00E04D07" w:rsidR="0095358C" w:rsidP="0095358C" w:rsidRDefault="0095358C" w14:paraId="473C8653" w14:textId="77777777">
      <w:pPr>
        <w:rPr>
          <w:b/>
          <w:szCs w:val="24"/>
        </w:rPr>
      </w:pPr>
    </w:p>
    <w:p w:rsidRPr="00E04D07" w:rsidR="0062161C" w:rsidP="0095358C" w:rsidRDefault="0062161C" w14:paraId="77FA0387" w14:textId="77777777">
      <w:pPr>
        <w:rPr>
          <w:b/>
          <w:szCs w:val="24"/>
        </w:rPr>
      </w:pPr>
      <w:r w:rsidRPr="00E04D07">
        <w:rPr>
          <w:b/>
          <w:szCs w:val="24"/>
        </w:rPr>
        <w:t>Information Collection Requirements:</w:t>
      </w:r>
    </w:p>
    <w:p w:rsidRPr="00E04D07" w:rsidR="0062161C" w:rsidP="0095358C" w:rsidRDefault="0062161C" w14:paraId="4D664907" w14:textId="77777777">
      <w:pPr>
        <w:rPr>
          <w:b/>
          <w:szCs w:val="24"/>
        </w:rPr>
      </w:pPr>
    </w:p>
    <w:p w:rsidR="00FE2506" w:rsidP="0062161C" w:rsidRDefault="0095358C" w14:paraId="680C7C77" w14:textId="77777777">
      <w:pPr>
        <w:rPr>
          <w:szCs w:val="24"/>
        </w:rPr>
      </w:pPr>
      <w:r w:rsidRPr="00E04D07">
        <w:rPr>
          <w:szCs w:val="24"/>
        </w:rPr>
        <w:t xml:space="preserve">1.  </w:t>
      </w:r>
      <w:r w:rsidR="0072411C">
        <w:rPr>
          <w:szCs w:val="24"/>
        </w:rPr>
        <w:t xml:space="preserve">The information collection requirements that are covered under this collection are as follows:  </w:t>
      </w:r>
    </w:p>
    <w:p w:rsidRPr="00E04D07" w:rsidR="00EE6946" w:rsidP="0095358C" w:rsidRDefault="00EE6946" w14:paraId="420FC2CA" w14:textId="77777777"/>
    <w:p w:rsidRPr="00E04D07" w:rsidR="009D2EFD" w:rsidP="0095358C" w:rsidRDefault="0095358C" w14:paraId="71B085E3" w14:textId="77777777">
      <w:pPr>
        <w:numPr>
          <w:ilvl w:val="0"/>
          <w:numId w:val="4"/>
        </w:numPr>
        <w:rPr>
          <w:szCs w:val="24"/>
        </w:rPr>
      </w:pPr>
      <w:r w:rsidRPr="00E04D07">
        <w:rPr>
          <w:b/>
          <w:szCs w:val="24"/>
        </w:rPr>
        <w:t>47 CFR Section 74.787(a)(2)(iii)</w:t>
      </w:r>
      <w:r w:rsidRPr="00E04D07">
        <w:rPr>
          <w:szCs w:val="24"/>
        </w:rPr>
        <w:t xml:space="preserve">  provides that mutually exclusive LPTV and TV translator applicants for companion digital stations will be afforded an opportunity to </w:t>
      </w:r>
      <w:r w:rsidRPr="00E04D07">
        <w:rPr>
          <w:i/>
          <w:szCs w:val="24"/>
        </w:rPr>
        <w:t xml:space="preserve">submit </w:t>
      </w:r>
      <w:r w:rsidRPr="00E04D07">
        <w:rPr>
          <w:szCs w:val="24"/>
        </w:rPr>
        <w:t>in writing to the Commission, settlements and engineering solutions to resolve their situation.</w:t>
      </w:r>
    </w:p>
    <w:p w:rsidRPr="00E04D07" w:rsidR="009D2EFD" w:rsidP="009D2EFD" w:rsidRDefault="009D2EFD" w14:paraId="1C0D52BF" w14:textId="77777777">
      <w:pPr>
        <w:pStyle w:val="ListParagraph"/>
        <w:rPr>
          <w:szCs w:val="24"/>
        </w:rPr>
      </w:pPr>
    </w:p>
    <w:p w:rsidRPr="00E04D07" w:rsidR="0095358C" w:rsidP="0095358C" w:rsidRDefault="0095358C" w14:paraId="462C37D6" w14:textId="77777777">
      <w:pPr>
        <w:numPr>
          <w:ilvl w:val="0"/>
          <w:numId w:val="4"/>
        </w:numPr>
        <w:rPr>
          <w:szCs w:val="24"/>
        </w:rPr>
      </w:pPr>
      <w:r w:rsidRPr="00E04D07">
        <w:rPr>
          <w:szCs w:val="24"/>
        </w:rPr>
        <w:t xml:space="preserve">  </w:t>
      </w:r>
      <w:r w:rsidRPr="00E04D07">
        <w:rPr>
          <w:b/>
          <w:szCs w:val="24"/>
        </w:rPr>
        <w:t>47 CFR Section 74.787(a)(3)</w:t>
      </w:r>
      <w:r w:rsidRPr="00E04D07">
        <w:rPr>
          <w:szCs w:val="24"/>
        </w:rPr>
        <w:t xml:space="preserve"> provides that mutually exclusive applicants applying for construction permits for new digital stations and for major changes to existing stations in the LPTV service will similarly be allowed to </w:t>
      </w:r>
      <w:r w:rsidRPr="00E04D07">
        <w:rPr>
          <w:i/>
          <w:szCs w:val="24"/>
        </w:rPr>
        <w:t>submit</w:t>
      </w:r>
      <w:r w:rsidRPr="00E04D07">
        <w:rPr>
          <w:szCs w:val="24"/>
        </w:rPr>
        <w:t xml:space="preserve"> in writing to the Commission, settlements and engineering solutions to rectify the problem.</w:t>
      </w:r>
    </w:p>
    <w:p w:rsidRPr="00E04D07" w:rsidR="009D2EFD" w:rsidP="009D2EFD" w:rsidRDefault="009D2EFD" w14:paraId="2966ED67" w14:textId="77777777">
      <w:pPr>
        <w:pStyle w:val="ListParagraph"/>
        <w:rPr>
          <w:szCs w:val="24"/>
        </w:rPr>
      </w:pPr>
    </w:p>
    <w:p w:rsidRPr="00E04D07" w:rsidR="0095358C" w:rsidP="0095358C" w:rsidRDefault="0095358C" w14:paraId="6CAE4808" w14:textId="77777777">
      <w:pPr>
        <w:numPr>
          <w:ilvl w:val="0"/>
          <w:numId w:val="4"/>
        </w:numPr>
        <w:rPr>
          <w:szCs w:val="24"/>
        </w:rPr>
      </w:pPr>
      <w:r w:rsidRPr="00E04D07">
        <w:rPr>
          <w:b/>
          <w:szCs w:val="24"/>
        </w:rPr>
        <w:t>47 CFR Section 74.787(a)(4)</w:t>
      </w:r>
      <w:r w:rsidRPr="00E04D07">
        <w:rPr>
          <w:szCs w:val="24"/>
        </w:rPr>
        <w:t xml:space="preserve"> provides that mutually exclusive displacement relief applicants filing applications</w:t>
      </w:r>
      <w:r w:rsidRPr="00E04D07">
        <w:rPr>
          <w:rStyle w:val="FootnoteReference"/>
          <w:szCs w:val="24"/>
        </w:rPr>
        <w:footnoteReference w:id="1"/>
      </w:r>
      <w:r w:rsidRPr="00E04D07">
        <w:rPr>
          <w:szCs w:val="24"/>
        </w:rPr>
        <w:t xml:space="preserve"> for digital LPTV and TV translator stations may be resolved by submitting settlements and engineering solutions in writing to the Commission.</w:t>
      </w:r>
    </w:p>
    <w:p w:rsidRPr="00E04D07" w:rsidR="009D2EFD" w:rsidP="009D2EFD" w:rsidRDefault="009D2EFD" w14:paraId="750E3CE9" w14:textId="77777777">
      <w:pPr>
        <w:pStyle w:val="ListParagraph"/>
        <w:rPr>
          <w:szCs w:val="24"/>
        </w:rPr>
      </w:pPr>
    </w:p>
    <w:p w:rsidRPr="0073223F" w:rsidR="009D2EFD" w:rsidP="0073223F" w:rsidRDefault="0095358C" w14:paraId="3E43A6F6" w14:textId="77777777">
      <w:pPr>
        <w:numPr>
          <w:ilvl w:val="0"/>
          <w:numId w:val="4"/>
        </w:numPr>
        <w:rPr>
          <w:szCs w:val="22"/>
        </w:rPr>
      </w:pPr>
      <w:r w:rsidRPr="00E04D07">
        <w:rPr>
          <w:b/>
          <w:szCs w:val="22"/>
        </w:rPr>
        <w:t>47 CFR Section 74.787(a)</w:t>
      </w:r>
      <w:r w:rsidRPr="00E04D07" w:rsidR="0029523F">
        <w:rPr>
          <w:b/>
          <w:szCs w:val="22"/>
        </w:rPr>
        <w:t>(5)</w:t>
      </w:r>
      <w:r w:rsidRPr="00E04D07">
        <w:rPr>
          <w:b/>
          <w:szCs w:val="22"/>
        </w:rPr>
        <w:t>(</w:t>
      </w:r>
      <w:r w:rsidR="0073223F">
        <w:rPr>
          <w:b/>
          <w:szCs w:val="22"/>
        </w:rPr>
        <w:t>v</w:t>
      </w:r>
      <w:r w:rsidRPr="00E04D07">
        <w:rPr>
          <w:b/>
          <w:szCs w:val="22"/>
        </w:rPr>
        <w:t>)</w:t>
      </w:r>
      <w:r w:rsidRPr="00E04D07">
        <w:rPr>
          <w:szCs w:val="22"/>
        </w:rPr>
        <w:t xml:space="preserve"> states that </w:t>
      </w:r>
      <w:r w:rsidR="0073223F">
        <w:rPr>
          <w:szCs w:val="22"/>
        </w:rPr>
        <w:t>a license for a di</w:t>
      </w:r>
      <w:r w:rsidRPr="0073223F" w:rsidR="0073223F">
        <w:rPr>
          <w:szCs w:val="22"/>
        </w:rPr>
        <w:t>gital-to-digital replacement television translator will be issued only to a full-power</w:t>
      </w:r>
      <w:r w:rsidR="0073223F">
        <w:rPr>
          <w:szCs w:val="22"/>
        </w:rPr>
        <w:t xml:space="preserve"> </w:t>
      </w:r>
      <w:r w:rsidRPr="0073223F" w:rsidR="0073223F">
        <w:rPr>
          <w:szCs w:val="22"/>
        </w:rPr>
        <w:t>television broadcast station licensee that demonstrates in its application a loss in the station’s pre-auction</w:t>
      </w:r>
      <w:r w:rsidR="0073223F">
        <w:rPr>
          <w:szCs w:val="22"/>
        </w:rPr>
        <w:t xml:space="preserve"> </w:t>
      </w:r>
      <w:r w:rsidRPr="0073223F" w:rsidR="0073223F">
        <w:rPr>
          <w:szCs w:val="22"/>
        </w:rPr>
        <w:t>digital service area as a result of the broadcast television spectrum incentive auction, including the</w:t>
      </w:r>
      <w:r w:rsidR="0073223F">
        <w:rPr>
          <w:szCs w:val="22"/>
        </w:rPr>
        <w:t xml:space="preserve"> </w:t>
      </w:r>
      <w:r w:rsidRPr="0073223F" w:rsidR="0073223F">
        <w:rPr>
          <w:szCs w:val="22"/>
        </w:rPr>
        <w:t>repacking process, conducted under section 6403 of the Middle Class Tax Relief and Job Creation Act of</w:t>
      </w:r>
      <w:r w:rsidR="0073223F">
        <w:rPr>
          <w:szCs w:val="22"/>
        </w:rPr>
        <w:t xml:space="preserve"> </w:t>
      </w:r>
      <w:r w:rsidRPr="0073223F" w:rsidR="0073223F">
        <w:rPr>
          <w:szCs w:val="22"/>
        </w:rPr>
        <w:t>2012 (Pub. L. No. 112-96). “Pre-auction digital service area” is defined as the geographic area within the</w:t>
      </w:r>
      <w:r w:rsidR="0073223F">
        <w:rPr>
          <w:szCs w:val="22"/>
        </w:rPr>
        <w:t xml:space="preserve"> </w:t>
      </w:r>
      <w:r w:rsidRPr="0073223F" w:rsidR="0073223F">
        <w:rPr>
          <w:szCs w:val="22"/>
        </w:rPr>
        <w:t>full power station’s noise-limited contour (as set forth in Public Notice, DA 15-1296, released November</w:t>
      </w:r>
      <w:r w:rsidR="0073223F">
        <w:rPr>
          <w:szCs w:val="22"/>
        </w:rPr>
        <w:t xml:space="preserve"> </w:t>
      </w:r>
      <w:r w:rsidRPr="0073223F" w:rsidR="0073223F">
        <w:rPr>
          <w:szCs w:val="22"/>
        </w:rPr>
        <w:t>12, 2015). The service area of the digital-to-digital replacement translator shall be limited to only the</w:t>
      </w:r>
      <w:r w:rsidR="0073223F">
        <w:rPr>
          <w:szCs w:val="22"/>
        </w:rPr>
        <w:t xml:space="preserve"> </w:t>
      </w:r>
      <w:r w:rsidRPr="0073223F" w:rsidR="0073223F">
        <w:rPr>
          <w:szCs w:val="22"/>
        </w:rPr>
        <w:t>demonstrated loss area within the full power station’s pre-auction digital service area, provided that an</w:t>
      </w:r>
      <w:r w:rsidR="0073223F">
        <w:rPr>
          <w:szCs w:val="22"/>
        </w:rPr>
        <w:t xml:space="preserve"> </w:t>
      </w:r>
      <w:r w:rsidRPr="0073223F" w:rsidR="0073223F">
        <w:rPr>
          <w:szCs w:val="22"/>
        </w:rPr>
        <w:t xml:space="preserve">applicant for a digital-to-digital replacement television translator may propose a </w:t>
      </w:r>
      <w:r w:rsidRPr="0073223F" w:rsidR="0073223F">
        <w:rPr>
          <w:i/>
          <w:szCs w:val="22"/>
        </w:rPr>
        <w:t>de minimis</w:t>
      </w:r>
      <w:r w:rsidRPr="0073223F" w:rsidR="0073223F">
        <w:rPr>
          <w:szCs w:val="22"/>
        </w:rPr>
        <w:t xml:space="preserve"> expansion of</w:t>
      </w:r>
      <w:r w:rsidR="0073223F">
        <w:rPr>
          <w:szCs w:val="22"/>
        </w:rPr>
        <w:t xml:space="preserve"> </w:t>
      </w:r>
      <w:r w:rsidRPr="0073223F" w:rsidR="0073223F">
        <w:rPr>
          <w:szCs w:val="22"/>
        </w:rPr>
        <w:t>its full power pre-auction digital service area upon demonstrating that the expansion is necessary to</w:t>
      </w:r>
      <w:r w:rsidR="0073223F">
        <w:rPr>
          <w:szCs w:val="22"/>
        </w:rPr>
        <w:t xml:space="preserve"> </w:t>
      </w:r>
      <w:r w:rsidRPr="0073223F" w:rsidR="0073223F">
        <w:rPr>
          <w:szCs w:val="22"/>
        </w:rPr>
        <w:t>replace a loss in its pre-auction digital service area.</w:t>
      </w:r>
    </w:p>
    <w:p w:rsidRPr="00E04D07" w:rsidR="009D2EFD" w:rsidP="009D2EFD" w:rsidRDefault="009D2EFD" w14:paraId="44690FFF" w14:textId="77777777">
      <w:pPr>
        <w:pStyle w:val="ListParagraph"/>
        <w:rPr>
          <w:color w:val="800080"/>
          <w:szCs w:val="24"/>
        </w:rPr>
      </w:pPr>
    </w:p>
    <w:p w:rsidRPr="00E04D07" w:rsidR="009D2EFD" w:rsidP="0095358C" w:rsidRDefault="0095358C" w14:paraId="0D97814E" w14:textId="77777777">
      <w:pPr>
        <w:numPr>
          <w:ilvl w:val="0"/>
          <w:numId w:val="4"/>
        </w:numPr>
        <w:rPr>
          <w:szCs w:val="24"/>
        </w:rPr>
      </w:pPr>
      <w:r w:rsidRPr="00E04D07">
        <w:rPr>
          <w:b/>
          <w:szCs w:val="24"/>
        </w:rPr>
        <w:t xml:space="preserve">47 CFR Section 74.790(f) </w:t>
      </w:r>
      <w:r w:rsidRPr="00E04D07">
        <w:rPr>
          <w:szCs w:val="24"/>
        </w:rPr>
        <w:t>permits digital TV translator stations to originate emergency warnings over the air deemed necessary to protect and safeguard life and property, and to originate local public service announcements (PSAs) or messages seeking or acknowledging financial support necessary for its continued operation.  These announcements or messages shall not exceed 30 seconds each, and be broadcast no more than once per hour.</w:t>
      </w:r>
    </w:p>
    <w:p w:rsidRPr="00E04D07" w:rsidR="009D2EFD" w:rsidP="009D2EFD" w:rsidRDefault="009D2EFD" w14:paraId="084854BF" w14:textId="77777777">
      <w:pPr>
        <w:pStyle w:val="ListParagraph"/>
        <w:rPr>
          <w:szCs w:val="24"/>
        </w:rPr>
      </w:pPr>
    </w:p>
    <w:p w:rsidRPr="00E04D07" w:rsidR="0095358C" w:rsidP="0095358C" w:rsidRDefault="0095358C" w14:paraId="59E7DAD5" w14:textId="77777777">
      <w:pPr>
        <w:numPr>
          <w:ilvl w:val="0"/>
          <w:numId w:val="4"/>
        </w:numPr>
        <w:rPr>
          <w:szCs w:val="24"/>
        </w:rPr>
      </w:pPr>
      <w:r w:rsidRPr="00E04D07">
        <w:rPr>
          <w:b/>
          <w:szCs w:val="24"/>
        </w:rPr>
        <w:lastRenderedPageBreak/>
        <w:t>47 CFR Section 74.790(e)</w:t>
      </w:r>
      <w:r w:rsidRPr="00E04D07">
        <w:rPr>
          <w:szCs w:val="24"/>
        </w:rPr>
        <w:t xml:space="preserve"> requires that a digital TV translator station shall not retransmit the programs and signal of any TV broadcast or DTV broadcast station(s) without prior written consent of such station(s).  A digital TV translator operator electing to multiplex</w:t>
      </w:r>
      <w:r w:rsidRPr="00E04D07">
        <w:rPr>
          <w:rStyle w:val="FootnoteReference"/>
          <w:szCs w:val="24"/>
        </w:rPr>
        <w:footnoteReference w:id="2"/>
      </w:r>
      <w:r w:rsidRPr="00E04D07">
        <w:rPr>
          <w:szCs w:val="24"/>
        </w:rPr>
        <w:t xml:space="preserve"> signals must negotiate arrangements and obtain written consent of involved DTV station licensee(s).</w:t>
      </w:r>
    </w:p>
    <w:p w:rsidRPr="00E04D07" w:rsidR="009D2EFD" w:rsidP="009D2EFD" w:rsidRDefault="009D2EFD" w14:paraId="2EC3071B" w14:textId="77777777">
      <w:pPr>
        <w:pStyle w:val="ListParagraph"/>
        <w:rPr>
          <w:szCs w:val="24"/>
        </w:rPr>
      </w:pPr>
    </w:p>
    <w:p w:rsidRPr="00E04D07" w:rsidR="009D2EFD" w:rsidP="0095358C" w:rsidRDefault="0095358C" w14:paraId="0AF4559A" w14:textId="77777777">
      <w:pPr>
        <w:numPr>
          <w:ilvl w:val="0"/>
          <w:numId w:val="4"/>
        </w:numPr>
        <w:rPr>
          <w:szCs w:val="24"/>
        </w:rPr>
      </w:pPr>
      <w:r w:rsidRPr="00E04D07">
        <w:rPr>
          <w:b/>
          <w:szCs w:val="24"/>
        </w:rPr>
        <w:t>47 CFR Section 74.790(g)</w:t>
      </w:r>
      <w:r w:rsidRPr="00E04D07">
        <w:rPr>
          <w:szCs w:val="24"/>
        </w:rPr>
        <w:t xml:space="preserve"> requires a digital LPTV station who transmits the programming of a TV broadcast or DTV broadcast station received</w:t>
      </w:r>
      <w:r w:rsidRPr="00E04D07">
        <w:rPr>
          <w:b/>
          <w:szCs w:val="24"/>
        </w:rPr>
        <w:t xml:space="preserve"> </w:t>
      </w:r>
      <w:r w:rsidRPr="00E04D07">
        <w:rPr>
          <w:szCs w:val="24"/>
        </w:rPr>
        <w:t>prior written consent</w:t>
      </w:r>
      <w:r w:rsidRPr="00E04D07">
        <w:rPr>
          <w:i/>
          <w:szCs w:val="24"/>
        </w:rPr>
        <w:t xml:space="preserve"> </w:t>
      </w:r>
      <w:r w:rsidRPr="00E04D07">
        <w:rPr>
          <w:szCs w:val="24"/>
        </w:rPr>
        <w:t>of the station whose signal is being transmitted.</w:t>
      </w:r>
    </w:p>
    <w:p w:rsidRPr="00E04D07" w:rsidR="009D2EFD" w:rsidP="009D2EFD" w:rsidRDefault="009D2EFD" w14:paraId="5A84B0A9" w14:textId="77777777">
      <w:pPr>
        <w:pStyle w:val="ListParagraph"/>
        <w:rPr>
          <w:szCs w:val="24"/>
        </w:rPr>
      </w:pPr>
    </w:p>
    <w:p w:rsidRPr="00E04D07" w:rsidR="009D2EFD" w:rsidP="0095358C" w:rsidRDefault="0095358C" w14:paraId="2F7A3AAF" w14:textId="77777777">
      <w:pPr>
        <w:numPr>
          <w:ilvl w:val="0"/>
          <w:numId w:val="4"/>
        </w:numPr>
        <w:rPr>
          <w:szCs w:val="24"/>
        </w:rPr>
      </w:pPr>
      <w:r w:rsidRPr="00E04D07">
        <w:rPr>
          <w:b/>
          <w:szCs w:val="24"/>
        </w:rPr>
        <w:t>47 CFR Section 74.794</w:t>
      </w:r>
      <w:r w:rsidRPr="00E04D07">
        <w:rPr>
          <w:szCs w:val="24"/>
        </w:rPr>
        <w:t xml:space="preserve"> mandates that digital LPTV and TV translator stations operating on TV channels 22-24, 32-36</w:t>
      </w:r>
      <w:r w:rsidRPr="00E04D07" w:rsidR="009D2EFD">
        <w:rPr>
          <w:szCs w:val="24"/>
        </w:rPr>
        <w:t xml:space="preserve"> and</w:t>
      </w:r>
      <w:r w:rsidRPr="00E04D07">
        <w:rPr>
          <w:szCs w:val="24"/>
        </w:rPr>
        <w:t xml:space="preserve"> 38 with a digital transmitter not specifically FCC-certificated for the channel purchase and utilize a low pass filter</w:t>
      </w:r>
      <w:r w:rsidRPr="00E04D07">
        <w:rPr>
          <w:rStyle w:val="FootnoteReference"/>
          <w:szCs w:val="24"/>
        </w:rPr>
        <w:footnoteReference w:id="3"/>
      </w:r>
      <w:r w:rsidRPr="00E04D07">
        <w:rPr>
          <w:szCs w:val="24"/>
        </w:rPr>
        <w:t xml:space="preserve"> or equivalent device rated by its manufacturer to have an attenuation </w:t>
      </w:r>
      <w:r w:rsidRPr="00E04D07">
        <w:rPr>
          <w:rStyle w:val="FootnoteReference"/>
          <w:szCs w:val="24"/>
        </w:rPr>
        <w:footnoteReference w:id="4"/>
      </w:r>
      <w:r w:rsidRPr="00E04D07">
        <w:rPr>
          <w:szCs w:val="24"/>
        </w:rPr>
        <w:t xml:space="preserve"> of at least 85 dB in the GPS</w:t>
      </w:r>
      <w:r w:rsidRPr="00E04D07">
        <w:rPr>
          <w:rStyle w:val="FootnoteReference"/>
          <w:szCs w:val="24"/>
        </w:rPr>
        <w:footnoteReference w:id="5"/>
      </w:r>
      <w:r w:rsidRPr="00E04D07">
        <w:rPr>
          <w:szCs w:val="24"/>
        </w:rPr>
        <w:t xml:space="preserve"> band.  The licensees must retain with their station license a description of the low pass filter or equivalent device with the manufacturer’s rating or a report of measurements by a qualified individual.</w:t>
      </w:r>
    </w:p>
    <w:p w:rsidRPr="00E04D07" w:rsidR="009D2EFD" w:rsidP="009D2EFD" w:rsidRDefault="009D2EFD" w14:paraId="7F2A05A4" w14:textId="77777777">
      <w:pPr>
        <w:pStyle w:val="ListParagraph"/>
        <w:rPr>
          <w:szCs w:val="24"/>
        </w:rPr>
      </w:pPr>
    </w:p>
    <w:p w:rsidRPr="00E04D07" w:rsidR="009D2EFD" w:rsidP="009D2EFD" w:rsidRDefault="0095358C" w14:paraId="0A275C04" w14:textId="77777777">
      <w:pPr>
        <w:numPr>
          <w:ilvl w:val="0"/>
          <w:numId w:val="4"/>
        </w:numPr>
        <w:rPr>
          <w:szCs w:val="24"/>
        </w:rPr>
      </w:pPr>
      <w:r w:rsidRPr="00E04D07">
        <w:rPr>
          <w:b/>
          <w:szCs w:val="24"/>
        </w:rPr>
        <w:t>47 CFR Section 74.796(b)(5)</w:t>
      </w:r>
      <w:r w:rsidRPr="00E04D07">
        <w:rPr>
          <w:szCs w:val="24"/>
        </w:rPr>
        <w:t xml:space="preserve"> requires digital LPTV or TV translator station licensees that modify their existing transmitter by use of a manufacturer-provided modification kit would need to purchase the kit and must notify the Commission upon completion of the transmitter modifications.  In addition, a digital LPTV or TV translator station licensees that modify their existing transmitter and do not use a manufacturer-provided modification kit, but instead perform custom modification (those not related to installation of manufacturer-supplied and FCC-certified equipment) must notify the Commission upon completion of the transmitter modifications and shall certify compliance with all applicable transmission system requirements.</w:t>
      </w:r>
    </w:p>
    <w:p w:rsidRPr="00E04D07" w:rsidR="009D2EFD" w:rsidP="009D2EFD" w:rsidRDefault="009D2EFD" w14:paraId="2301CD9C" w14:textId="77777777">
      <w:pPr>
        <w:pStyle w:val="ListParagraph"/>
        <w:rPr>
          <w:szCs w:val="24"/>
        </w:rPr>
      </w:pPr>
    </w:p>
    <w:p w:rsidRPr="00E04D07" w:rsidR="009D2EFD" w:rsidP="009D2EFD" w:rsidRDefault="0095358C" w14:paraId="1739B071" w14:textId="77777777">
      <w:pPr>
        <w:numPr>
          <w:ilvl w:val="0"/>
          <w:numId w:val="4"/>
        </w:numPr>
        <w:rPr>
          <w:szCs w:val="24"/>
        </w:rPr>
      </w:pPr>
      <w:r w:rsidRPr="00E04D07">
        <w:rPr>
          <w:b/>
          <w:szCs w:val="24"/>
        </w:rPr>
        <w:t>47 CFR Section 74.796(b)(6)</w:t>
      </w:r>
      <w:r w:rsidRPr="00E04D07">
        <w:rPr>
          <w:szCs w:val="24"/>
        </w:rPr>
        <w:t xml:space="preserve"> provides that operators who modify their existing transmitter by use of a manufacturer-provided modification kit must maintain with the station’s records</w:t>
      </w:r>
      <w:r w:rsidRPr="00E04D07">
        <w:rPr>
          <w:i/>
          <w:szCs w:val="24"/>
        </w:rPr>
        <w:t xml:space="preserve"> </w:t>
      </w:r>
      <w:r w:rsidRPr="00E04D07">
        <w:rPr>
          <w:szCs w:val="24"/>
        </w:rPr>
        <w:t xml:space="preserve">for a period of not less than two years, and will make available to the Commission upon request, a description of the nature of the modifications, installation and test instructions, and other material provided by the manufacturer, the results of performance-tests and measurements on the modified transmitter, and copies of related correspondence with the Commission.  In addition, digital LPTV and TV translator operators who custom modify their transmitter must maintain with the station’s records for a period of not less than two </w:t>
      </w:r>
      <w:r w:rsidRPr="00E04D07">
        <w:rPr>
          <w:szCs w:val="24"/>
        </w:rPr>
        <w:lastRenderedPageBreak/>
        <w:t>years, and will make available to the Commission upon request, a description of the modifications performed and performance tests, the results of performance-tests and measurements on the modified transmitter, and copies of related correspondence with the Commission</w:t>
      </w:r>
      <w:r w:rsidRPr="00E04D07">
        <w:rPr>
          <w:b/>
          <w:szCs w:val="24"/>
        </w:rPr>
        <w:t>.</w:t>
      </w:r>
    </w:p>
    <w:p w:rsidRPr="00E04D07" w:rsidR="009D2EFD" w:rsidP="009D2EFD" w:rsidRDefault="009D2EFD" w14:paraId="1B329F91" w14:textId="77777777">
      <w:pPr>
        <w:pStyle w:val="ListParagraph"/>
        <w:rPr>
          <w:b/>
          <w:szCs w:val="24"/>
        </w:rPr>
      </w:pPr>
    </w:p>
    <w:p w:rsidRPr="00E04D07" w:rsidR="0095358C" w:rsidP="009D2EFD" w:rsidRDefault="0095358C" w14:paraId="00204037" w14:textId="77777777">
      <w:pPr>
        <w:numPr>
          <w:ilvl w:val="0"/>
          <w:numId w:val="4"/>
        </w:numPr>
        <w:rPr>
          <w:szCs w:val="24"/>
        </w:rPr>
      </w:pPr>
      <w:r w:rsidRPr="00E04D07">
        <w:rPr>
          <w:b/>
          <w:szCs w:val="24"/>
        </w:rPr>
        <w:t>P</w:t>
      </w:r>
      <w:r w:rsidRPr="00E04D07">
        <w:rPr>
          <w:b/>
          <w:i/>
          <w:szCs w:val="24"/>
        </w:rPr>
        <w:t>rotection of Analog LPTV</w:t>
      </w:r>
      <w:r w:rsidRPr="00E04D07">
        <w:rPr>
          <w:szCs w:val="24"/>
        </w:rPr>
        <w:t>.  In situations where protection of an existing analog LPTV or translator station without a frequency offset prevents acceptance of a proposed new or modified LPTV, TV translator, or Class A station, the Commission requires that the existing non-offset station install at its expense offset equipment and notify the Commission that it has done so, or, alternatively, negotiate an interference agreement with the new station and notify the Commission of that agreement</w:t>
      </w:r>
      <w:r w:rsidRPr="00E04D07">
        <w:rPr>
          <w:b/>
          <w:szCs w:val="24"/>
        </w:rPr>
        <w:t xml:space="preserve">.  </w:t>
      </w:r>
    </w:p>
    <w:p w:rsidRPr="00E04D07" w:rsidR="004236D7" w:rsidP="004236D7" w:rsidRDefault="004236D7" w14:paraId="704C3CD8" w14:textId="77777777">
      <w:pPr>
        <w:ind w:left="360"/>
        <w:rPr>
          <w:szCs w:val="24"/>
        </w:rPr>
      </w:pPr>
    </w:p>
    <w:p w:rsidR="004236D7" w:rsidP="004236D7" w:rsidRDefault="004236D7" w14:paraId="37C71385" w14:textId="77777777">
      <w:pPr>
        <w:numPr>
          <w:ilvl w:val="0"/>
          <w:numId w:val="4"/>
        </w:numPr>
        <w:rPr>
          <w:szCs w:val="24"/>
        </w:rPr>
      </w:pPr>
      <w:r w:rsidRPr="00E04D07">
        <w:rPr>
          <w:b/>
          <w:szCs w:val="24"/>
        </w:rPr>
        <w:t>47 CFR 74.798</w:t>
      </w:r>
      <w:r w:rsidRPr="00E04D07">
        <w:rPr>
          <w:szCs w:val="24"/>
        </w:rPr>
        <w:t xml:space="preserve"> requires all stations in the low power television services to provide notice of their upcoming digital transition to their viewers. </w:t>
      </w:r>
    </w:p>
    <w:p w:rsidR="0072411C" w:rsidP="0072411C" w:rsidRDefault="0072411C" w14:paraId="6B44B080" w14:textId="77777777">
      <w:pPr>
        <w:rPr>
          <w:szCs w:val="24"/>
        </w:rPr>
      </w:pPr>
    </w:p>
    <w:p w:rsidRPr="00E04D07" w:rsidR="0072411C" w:rsidP="0072411C" w:rsidRDefault="0072411C" w14:paraId="453420E0" w14:textId="77777777">
      <w:pPr>
        <w:rPr>
          <w:szCs w:val="24"/>
        </w:rPr>
      </w:pPr>
      <w:r>
        <w:rPr>
          <w:szCs w:val="24"/>
        </w:rPr>
        <w:t>The Commission is requesting a three-year extension for this collection from the Office of Management and Budget (OMB).</w:t>
      </w:r>
    </w:p>
    <w:p w:rsidRPr="00E04D07" w:rsidR="0022129E" w:rsidP="004236D7" w:rsidRDefault="0022129E" w14:paraId="7BDE0D4F" w14:textId="77777777">
      <w:pPr>
        <w:ind w:left="360"/>
        <w:rPr>
          <w:szCs w:val="24"/>
        </w:rPr>
      </w:pPr>
    </w:p>
    <w:p w:rsidRPr="00E04D07" w:rsidR="0095358C" w:rsidRDefault="0095358C" w14:paraId="10B18B09" w14:textId="77777777">
      <w:r w:rsidRPr="00E04D07">
        <w:t>This information collection does not affect individuals or households; thus, there are no impacts under the Privacy Act.</w:t>
      </w:r>
    </w:p>
    <w:p w:rsidRPr="00E04D07" w:rsidR="0095358C" w:rsidP="0095358C" w:rsidRDefault="0095358C" w14:paraId="062F8B26" w14:textId="77777777">
      <w:pPr>
        <w:suppressAutoHyphens/>
        <w:jc w:val="both"/>
        <w:rPr>
          <w:spacing w:val="-3"/>
          <w:szCs w:val="24"/>
        </w:rPr>
      </w:pPr>
    </w:p>
    <w:p w:rsidRPr="00E04D07" w:rsidR="0095358C" w:rsidP="0095358C" w:rsidRDefault="0095358C" w14:paraId="68F9F117" w14:textId="77777777">
      <w:pPr>
        <w:rPr>
          <w:spacing w:val="-3"/>
          <w:szCs w:val="24"/>
        </w:rPr>
      </w:pPr>
      <w:r w:rsidRPr="00E04D07">
        <w:rPr>
          <w:spacing w:val="-3"/>
          <w:szCs w:val="24"/>
        </w:rPr>
        <w:t xml:space="preserve">Statutory authority for this collection of information is contained in </w:t>
      </w:r>
      <w:r w:rsidRPr="00E04D07">
        <w:rPr>
          <w:color w:val="000000"/>
          <w:szCs w:val="24"/>
        </w:rPr>
        <w:t>47 U.S.C. 301</w:t>
      </w:r>
      <w:r w:rsidRPr="00E04D07">
        <w:rPr>
          <w:rFonts w:ascii="Arial" w:hAnsi="Arial" w:cs="Arial"/>
          <w:color w:val="000000"/>
          <w:sz w:val="20"/>
        </w:rPr>
        <w:t xml:space="preserve"> </w:t>
      </w:r>
      <w:r w:rsidRPr="00E04D07">
        <w:rPr>
          <w:spacing w:val="-3"/>
          <w:szCs w:val="24"/>
        </w:rPr>
        <w:t xml:space="preserve">of the Communications Act of 1934, as amended. </w:t>
      </w:r>
    </w:p>
    <w:p w:rsidRPr="00E04D07" w:rsidR="006A6318" w:rsidP="0095358C" w:rsidRDefault="006A6318" w14:paraId="57A2F9B6" w14:textId="77777777">
      <w:pPr>
        <w:rPr>
          <w:spacing w:val="-3"/>
        </w:rPr>
      </w:pPr>
    </w:p>
    <w:p w:rsidRPr="00E04D07" w:rsidR="0095358C" w:rsidP="0095358C" w:rsidRDefault="0095358C" w14:paraId="2252ACB6" w14:textId="77777777">
      <w:pPr>
        <w:pStyle w:val="ParaNum"/>
        <w:numPr>
          <w:ilvl w:val="0"/>
          <w:numId w:val="0"/>
        </w:numPr>
        <w:rPr>
          <w:sz w:val="24"/>
          <w:szCs w:val="24"/>
        </w:rPr>
      </w:pPr>
      <w:r w:rsidRPr="00E04D07">
        <w:rPr>
          <w:sz w:val="24"/>
          <w:szCs w:val="24"/>
        </w:rPr>
        <w:t>2.  Most of the collections of information involved, whether reporting, recordkeeping, will be used by licensees and by the Commission to ensure the opportunity for harmful interference between licensees, broadcast and wireless, will be kept to a minimum.  Other rules in this submission offer certain digital services, such as programming public service announcements for the purpose of educating the public about the digital transition.</w:t>
      </w:r>
      <w:r w:rsidRPr="00E04D07" w:rsidR="006A6318">
        <w:rPr>
          <w:sz w:val="24"/>
          <w:szCs w:val="24"/>
        </w:rPr>
        <w:t xml:space="preserve">  </w:t>
      </w:r>
      <w:r w:rsidRPr="00E04D07">
        <w:rPr>
          <w:sz w:val="24"/>
          <w:szCs w:val="24"/>
        </w:rPr>
        <w:t xml:space="preserve"> </w:t>
      </w:r>
    </w:p>
    <w:p w:rsidRPr="00E04D07" w:rsidR="0095358C" w:rsidP="0095358C" w:rsidRDefault="0095358C" w14:paraId="58B883AE" w14:textId="77777777">
      <w:pPr>
        <w:pStyle w:val="ParaNum"/>
        <w:numPr>
          <w:ilvl w:val="0"/>
          <w:numId w:val="0"/>
        </w:numPr>
        <w:rPr>
          <w:sz w:val="24"/>
          <w:szCs w:val="24"/>
        </w:rPr>
      </w:pPr>
      <w:r w:rsidRPr="00E04D07">
        <w:rPr>
          <w:sz w:val="24"/>
          <w:szCs w:val="24"/>
        </w:rPr>
        <w:t xml:space="preserve">3. The Commission expects that automatic information technology will be used where appropriate in this collection of information.  In regards to </w:t>
      </w:r>
      <w:r w:rsidRPr="00E04D07" w:rsidR="001C57E7">
        <w:rPr>
          <w:sz w:val="24"/>
          <w:szCs w:val="24"/>
        </w:rPr>
        <w:t>47 CFR 74.798</w:t>
      </w:r>
      <w:r w:rsidRPr="00E04D07">
        <w:rPr>
          <w:sz w:val="24"/>
          <w:szCs w:val="24"/>
        </w:rPr>
        <w:t xml:space="preserve">, </w:t>
      </w:r>
      <w:r w:rsidRPr="00E04D07" w:rsidR="001C57E7">
        <w:rPr>
          <w:sz w:val="24"/>
          <w:szCs w:val="24"/>
        </w:rPr>
        <w:t>b</w:t>
      </w:r>
      <w:r w:rsidRPr="00E04D07">
        <w:rPr>
          <w:sz w:val="24"/>
          <w:szCs w:val="24"/>
        </w:rPr>
        <w:t xml:space="preserve">roadcasters </w:t>
      </w:r>
      <w:r w:rsidRPr="00E04D07" w:rsidR="001C57E7">
        <w:rPr>
          <w:sz w:val="24"/>
          <w:szCs w:val="24"/>
        </w:rPr>
        <w:t xml:space="preserve">may choose to </w:t>
      </w:r>
      <w:r w:rsidRPr="00E04D07">
        <w:rPr>
          <w:sz w:val="24"/>
          <w:szCs w:val="24"/>
        </w:rPr>
        <w:t>provide the required information to their viewers via their regular over-the-air broadcast signal (e.g., via PSAs, information crawls, snipes, or tickers).</w:t>
      </w:r>
    </w:p>
    <w:p w:rsidRPr="00E04D07" w:rsidR="0095358C" w:rsidP="0095358C" w:rsidRDefault="0095358C" w14:paraId="39A08194" w14:textId="77777777">
      <w:pPr>
        <w:pStyle w:val="ParaNum"/>
        <w:numPr>
          <w:ilvl w:val="0"/>
          <w:numId w:val="0"/>
        </w:numPr>
        <w:rPr>
          <w:sz w:val="24"/>
          <w:szCs w:val="24"/>
        </w:rPr>
      </w:pPr>
      <w:r w:rsidRPr="00E04D07">
        <w:rPr>
          <w:sz w:val="24"/>
          <w:szCs w:val="24"/>
        </w:rPr>
        <w:t>4.  The Commission does not impose a similar information collection on the respondents.  There is no similar data available.</w:t>
      </w:r>
    </w:p>
    <w:p w:rsidRPr="00E04D07" w:rsidR="0095358C" w:rsidP="0095358C" w:rsidRDefault="0095358C" w14:paraId="5D97DCA9" w14:textId="77777777">
      <w:pPr>
        <w:pStyle w:val="ParaNumCharChar"/>
        <w:numPr>
          <w:ilvl w:val="0"/>
          <w:numId w:val="0"/>
        </w:numPr>
        <w:jc w:val="left"/>
        <w:rPr>
          <w:sz w:val="24"/>
          <w:szCs w:val="24"/>
        </w:rPr>
      </w:pPr>
      <w:r w:rsidRPr="00E04D07">
        <w:t xml:space="preserve">5.  </w:t>
      </w:r>
      <w:r w:rsidRPr="00E04D07">
        <w:rPr>
          <w:sz w:val="24"/>
          <w:szCs w:val="24"/>
        </w:rPr>
        <w:t xml:space="preserve">In conformance with the Paperwork Reduction Act of 1995, the Commission is making an effort to minimize burdens on all respondents, regardless of size.  The Commission is aware that many licensees are small entities who operate with limited budgets and has provided such smaller entities with as much flexibility and minimum increased burden as possible.  For example, low power broadcasters have been given additional time (as compared to full-service broadcasters) to transition from analog to digital service.  Additionally, </w:t>
      </w:r>
      <w:r w:rsidRPr="00E04D07" w:rsidR="001C57E7">
        <w:rPr>
          <w:sz w:val="24"/>
          <w:szCs w:val="24"/>
        </w:rPr>
        <w:t xml:space="preserve">with respect to 47 CFR </w:t>
      </w:r>
      <w:r w:rsidRPr="00E04D07" w:rsidR="001C57E7">
        <w:rPr>
          <w:sz w:val="24"/>
          <w:szCs w:val="24"/>
        </w:rPr>
        <w:lastRenderedPageBreak/>
        <w:t>74.798</w:t>
      </w:r>
      <w:r w:rsidRPr="00E04D07">
        <w:rPr>
          <w:sz w:val="24"/>
          <w:szCs w:val="24"/>
        </w:rPr>
        <w:t xml:space="preserve">, although the requirement </w:t>
      </w:r>
      <w:r w:rsidRPr="00E04D07" w:rsidR="001C57E7">
        <w:rPr>
          <w:sz w:val="24"/>
          <w:szCs w:val="24"/>
        </w:rPr>
        <w:t>may</w:t>
      </w:r>
      <w:r w:rsidRPr="00E04D07">
        <w:rPr>
          <w:sz w:val="24"/>
          <w:szCs w:val="24"/>
        </w:rPr>
        <w:t xml:space="preserve"> impose some costs on small broadcasters, they will also ensure that small broadcasters continue to retain their audiences after the transition by fully informing viewers of the steps necessary to keep watching.  Small broadcasters rely completely on their viewing audiences for their revenue stream, so this benefit should far outweigh any costs for this temporary requirement.</w:t>
      </w:r>
    </w:p>
    <w:p w:rsidRPr="00E04D07" w:rsidR="0095358C" w:rsidP="0095358C" w:rsidRDefault="0095358C" w14:paraId="25F92DB1" w14:textId="77777777">
      <w:pPr>
        <w:pStyle w:val="ParaNum"/>
        <w:numPr>
          <w:ilvl w:val="0"/>
          <w:numId w:val="0"/>
        </w:numPr>
        <w:spacing w:after="0"/>
        <w:rPr>
          <w:sz w:val="24"/>
          <w:szCs w:val="24"/>
        </w:rPr>
      </w:pPr>
      <w:r w:rsidRPr="00E04D07">
        <w:rPr>
          <w:sz w:val="24"/>
          <w:szCs w:val="24"/>
        </w:rPr>
        <w:t>6. DTV is a new service which potentially offers many benefits to licensees and prospective licensees and to the viewing public.</w:t>
      </w:r>
    </w:p>
    <w:p w:rsidRPr="00E04D07" w:rsidR="0095358C" w:rsidP="0095358C" w:rsidRDefault="0095358C" w14:paraId="635AA129" w14:textId="77777777">
      <w:pPr>
        <w:pStyle w:val="ParaNum"/>
        <w:numPr>
          <w:ilvl w:val="0"/>
          <w:numId w:val="0"/>
        </w:numPr>
        <w:spacing w:after="0"/>
        <w:rPr>
          <w:sz w:val="24"/>
          <w:szCs w:val="24"/>
        </w:rPr>
      </w:pPr>
    </w:p>
    <w:p w:rsidRPr="00E04D07" w:rsidR="0095358C" w:rsidP="0095358C" w:rsidRDefault="0095358C" w14:paraId="26E59523" w14:textId="77777777">
      <w:pPr>
        <w:pStyle w:val="ParaNum"/>
        <w:numPr>
          <w:ilvl w:val="0"/>
          <w:numId w:val="0"/>
        </w:numPr>
        <w:spacing w:after="0"/>
        <w:rPr>
          <w:sz w:val="24"/>
          <w:szCs w:val="24"/>
        </w:rPr>
      </w:pPr>
      <w:r w:rsidRPr="00E04D07">
        <w:rPr>
          <w:sz w:val="24"/>
          <w:szCs w:val="24"/>
        </w:rPr>
        <w:t>7. No special circumstances exist with this collection of information.</w:t>
      </w:r>
    </w:p>
    <w:p w:rsidRPr="00E04D07" w:rsidR="0095358C" w:rsidP="0095358C" w:rsidRDefault="0095358C" w14:paraId="50972120" w14:textId="77777777">
      <w:pPr>
        <w:pStyle w:val="ParaNum"/>
        <w:numPr>
          <w:ilvl w:val="0"/>
          <w:numId w:val="0"/>
        </w:numPr>
        <w:spacing w:after="0"/>
        <w:rPr>
          <w:sz w:val="24"/>
          <w:szCs w:val="24"/>
        </w:rPr>
      </w:pPr>
    </w:p>
    <w:p w:rsidRPr="00E04D07" w:rsidR="0095358C" w:rsidP="00BE655E" w:rsidRDefault="0095358C" w14:paraId="50DEB86B" w14:textId="4481A49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spacing w:val="-3"/>
        </w:rPr>
      </w:pPr>
      <w:r w:rsidRPr="00E04D07">
        <w:t>8.</w:t>
      </w:r>
      <w:r w:rsidRPr="00E04D07">
        <w:rPr>
          <w:color w:val="000000"/>
          <w:spacing w:val="-3"/>
        </w:rPr>
        <w:t xml:space="preserve"> </w:t>
      </w:r>
      <w:r w:rsidRPr="00E04D07" w:rsidR="00BE655E">
        <w:rPr>
          <w:color w:val="000000"/>
          <w:spacing w:val="-3"/>
        </w:rPr>
        <w:t xml:space="preserve">The Commission published a Notice in the </w:t>
      </w:r>
      <w:r w:rsidRPr="00E04D07" w:rsidR="00BE655E">
        <w:rPr>
          <w:i/>
          <w:color w:val="000000"/>
          <w:spacing w:val="-3"/>
        </w:rPr>
        <w:t>Federal Register</w:t>
      </w:r>
      <w:r w:rsidRPr="00E04D07" w:rsidR="007D4662">
        <w:rPr>
          <w:color w:val="000000"/>
          <w:spacing w:val="-3"/>
        </w:rPr>
        <w:t xml:space="preserve"> on</w:t>
      </w:r>
      <w:r w:rsidR="0066319A">
        <w:rPr>
          <w:color w:val="000000"/>
          <w:spacing w:val="-3"/>
        </w:rPr>
        <w:t xml:space="preserve"> </w:t>
      </w:r>
      <w:r w:rsidR="008C2993">
        <w:rPr>
          <w:color w:val="000000"/>
          <w:spacing w:val="-3"/>
        </w:rPr>
        <w:t xml:space="preserve"> </w:t>
      </w:r>
      <w:r w:rsidR="00823229">
        <w:rPr>
          <w:color w:val="000000"/>
          <w:spacing w:val="-3"/>
        </w:rPr>
        <w:t xml:space="preserve">August 3, </w:t>
      </w:r>
      <w:r w:rsidR="008C2993">
        <w:rPr>
          <w:color w:val="000000"/>
          <w:spacing w:val="-3"/>
        </w:rPr>
        <w:t>20</w:t>
      </w:r>
      <w:r w:rsidR="001D2916">
        <w:rPr>
          <w:color w:val="000000"/>
          <w:spacing w:val="-3"/>
        </w:rPr>
        <w:t>21</w:t>
      </w:r>
      <w:r w:rsidRPr="00E04D07" w:rsidR="00BE655E">
        <w:rPr>
          <w:color w:val="000000"/>
          <w:spacing w:val="-3"/>
        </w:rPr>
        <w:t xml:space="preserve"> (</w:t>
      </w:r>
      <w:r w:rsidR="001A750F">
        <w:rPr>
          <w:color w:val="000000"/>
          <w:spacing w:val="-3"/>
        </w:rPr>
        <w:t>8</w:t>
      </w:r>
      <w:r w:rsidR="001D2916">
        <w:rPr>
          <w:color w:val="000000"/>
          <w:spacing w:val="-3"/>
        </w:rPr>
        <w:t>6</w:t>
      </w:r>
      <w:r w:rsidR="0066319A">
        <w:rPr>
          <w:color w:val="000000"/>
          <w:spacing w:val="-3"/>
        </w:rPr>
        <w:t xml:space="preserve"> </w:t>
      </w:r>
      <w:r w:rsidRPr="00E04D07" w:rsidR="00BE655E">
        <w:rPr>
          <w:color w:val="000000"/>
          <w:spacing w:val="-3"/>
        </w:rPr>
        <w:t>FR</w:t>
      </w:r>
      <w:r w:rsidR="001A750F">
        <w:rPr>
          <w:color w:val="000000"/>
          <w:spacing w:val="-3"/>
        </w:rPr>
        <w:t xml:space="preserve"> </w:t>
      </w:r>
      <w:r w:rsidR="00823229">
        <w:rPr>
          <w:color w:val="000000"/>
          <w:spacing w:val="-3"/>
        </w:rPr>
        <w:t xml:space="preserve"> 41847</w:t>
      </w:r>
      <w:r w:rsidRPr="00E04D07" w:rsidR="00BE655E">
        <w:rPr>
          <w:color w:val="000000"/>
          <w:spacing w:val="-3"/>
        </w:rPr>
        <w:t>) to seek public comment on the information collections contained in this supporting statement.</w:t>
      </w:r>
      <w:r w:rsidR="00A21C09">
        <w:rPr>
          <w:color w:val="000000"/>
          <w:spacing w:val="-3"/>
        </w:rPr>
        <w:t xml:space="preserve">  </w:t>
      </w:r>
      <w:r w:rsidR="00670E35">
        <w:rPr>
          <w:color w:val="000000"/>
          <w:spacing w:val="-3"/>
        </w:rPr>
        <w:t>N</w:t>
      </w:r>
      <w:r w:rsidR="00A21C09">
        <w:rPr>
          <w:color w:val="000000"/>
          <w:spacing w:val="-3"/>
        </w:rPr>
        <w:t xml:space="preserve">o comments </w:t>
      </w:r>
      <w:r w:rsidR="00670E35">
        <w:rPr>
          <w:color w:val="000000"/>
          <w:spacing w:val="-3"/>
        </w:rPr>
        <w:t xml:space="preserve">on the information collection requirements </w:t>
      </w:r>
      <w:r w:rsidR="00A21C09">
        <w:rPr>
          <w:color w:val="000000"/>
          <w:spacing w:val="-3"/>
        </w:rPr>
        <w:t>have been received from the public.</w:t>
      </w:r>
      <w:r w:rsidRPr="00E04D07" w:rsidR="00BE655E">
        <w:rPr>
          <w:color w:val="000000"/>
          <w:spacing w:val="-3"/>
        </w:rPr>
        <w:t xml:space="preserve">  </w:t>
      </w:r>
    </w:p>
    <w:p w:rsidRPr="00E04D07" w:rsidR="006A6318" w:rsidP="00BE655E" w:rsidRDefault="006A6318" w14:paraId="0B55BB0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rsidR="0095358C" w:rsidP="0095358C" w:rsidRDefault="0095358C" w14:paraId="72F42945" w14:textId="77777777">
      <w:pPr>
        <w:pStyle w:val="ParaNum"/>
        <w:numPr>
          <w:ilvl w:val="0"/>
          <w:numId w:val="0"/>
        </w:numPr>
        <w:spacing w:after="0"/>
        <w:rPr>
          <w:sz w:val="24"/>
          <w:szCs w:val="24"/>
        </w:rPr>
      </w:pPr>
      <w:r w:rsidRPr="00E04D07">
        <w:rPr>
          <w:sz w:val="24"/>
          <w:szCs w:val="24"/>
        </w:rPr>
        <w:t>9. Respondents will not receive any payments.</w:t>
      </w:r>
    </w:p>
    <w:p w:rsidRPr="00E04D07" w:rsidR="00A21C09" w:rsidP="0095358C" w:rsidRDefault="00A21C09" w14:paraId="1BE02B56" w14:textId="77777777">
      <w:pPr>
        <w:pStyle w:val="ParaNum"/>
        <w:numPr>
          <w:ilvl w:val="0"/>
          <w:numId w:val="0"/>
        </w:numPr>
        <w:spacing w:after="0"/>
        <w:rPr>
          <w:sz w:val="24"/>
          <w:szCs w:val="24"/>
        </w:rPr>
      </w:pPr>
    </w:p>
    <w:p w:rsidRPr="00E04D07" w:rsidR="0095358C" w:rsidP="0095358C" w:rsidRDefault="0095358C" w14:paraId="01EB520C" w14:textId="77777777">
      <w:pPr>
        <w:pStyle w:val="ParaNum"/>
        <w:numPr>
          <w:ilvl w:val="0"/>
          <w:numId w:val="0"/>
        </w:numPr>
        <w:spacing w:after="0"/>
        <w:rPr>
          <w:sz w:val="24"/>
          <w:szCs w:val="24"/>
        </w:rPr>
      </w:pPr>
      <w:r w:rsidRPr="00E04D07">
        <w:rPr>
          <w:sz w:val="24"/>
          <w:szCs w:val="24"/>
        </w:rPr>
        <w:t xml:space="preserve">10. There is no need for confidentiality with this collection of information. </w:t>
      </w:r>
    </w:p>
    <w:p w:rsidRPr="00E04D07" w:rsidR="0095358C" w:rsidP="0095358C" w:rsidRDefault="0095358C" w14:paraId="3BB734A2" w14:textId="77777777">
      <w:pPr>
        <w:pStyle w:val="ParaNum"/>
        <w:numPr>
          <w:ilvl w:val="0"/>
          <w:numId w:val="0"/>
        </w:numPr>
        <w:spacing w:after="0"/>
        <w:rPr>
          <w:sz w:val="24"/>
          <w:szCs w:val="24"/>
        </w:rPr>
      </w:pPr>
    </w:p>
    <w:p w:rsidRPr="00E04D07" w:rsidR="0095358C" w:rsidP="0095358C" w:rsidRDefault="0095358C" w14:paraId="7E6AED03" w14:textId="77777777">
      <w:pPr>
        <w:pStyle w:val="ParaNum"/>
        <w:numPr>
          <w:ilvl w:val="0"/>
          <w:numId w:val="0"/>
        </w:numPr>
        <w:spacing w:after="0"/>
        <w:rPr>
          <w:sz w:val="24"/>
          <w:szCs w:val="24"/>
        </w:rPr>
      </w:pPr>
      <w:r w:rsidRPr="00E04D07">
        <w:rPr>
          <w:sz w:val="24"/>
          <w:szCs w:val="24"/>
        </w:rPr>
        <w:t>11. This collection of information does not address any private matters of a sensitive nature.</w:t>
      </w:r>
    </w:p>
    <w:p w:rsidRPr="00E04D07" w:rsidR="0095358C" w:rsidP="0095358C" w:rsidRDefault="0095358C" w14:paraId="67138BD7" w14:textId="77777777">
      <w:pPr>
        <w:pStyle w:val="ParaNum"/>
        <w:numPr>
          <w:ilvl w:val="0"/>
          <w:numId w:val="0"/>
        </w:numPr>
        <w:spacing w:after="0"/>
        <w:rPr>
          <w:sz w:val="24"/>
          <w:szCs w:val="24"/>
        </w:rPr>
      </w:pPr>
    </w:p>
    <w:p w:rsidR="0095358C" w:rsidP="0095358C" w:rsidRDefault="0095358C" w14:paraId="73E8ABC4" w14:textId="77777777">
      <w:pPr>
        <w:pStyle w:val="ParaNum"/>
        <w:numPr>
          <w:ilvl w:val="0"/>
          <w:numId w:val="0"/>
        </w:numPr>
        <w:spacing w:after="0"/>
        <w:rPr>
          <w:sz w:val="24"/>
          <w:szCs w:val="24"/>
        </w:rPr>
      </w:pPr>
      <w:r w:rsidRPr="00E04D07">
        <w:rPr>
          <w:sz w:val="24"/>
          <w:szCs w:val="24"/>
        </w:rPr>
        <w:t>12. The Commission estimates the burdens as follows:</w:t>
      </w:r>
      <w:r w:rsidRPr="00E04D07">
        <w:rPr>
          <w:rStyle w:val="FootnoteReference"/>
          <w:sz w:val="24"/>
          <w:szCs w:val="24"/>
        </w:rPr>
        <w:footnoteReference w:id="6"/>
      </w:r>
    </w:p>
    <w:p w:rsidR="00FE2506" w:rsidP="0095358C" w:rsidRDefault="00FE2506" w14:paraId="4012774A" w14:textId="77777777">
      <w:pPr>
        <w:pStyle w:val="ParaNum"/>
        <w:numPr>
          <w:ilvl w:val="0"/>
          <w:numId w:val="0"/>
        </w:numPr>
        <w:spacing w:after="0"/>
        <w:rPr>
          <w:sz w:val="24"/>
          <w:szCs w:val="24"/>
        </w:rPr>
      </w:pPr>
    </w:p>
    <w:p w:rsidRPr="00E04D07" w:rsidR="00FE2506" w:rsidP="0095358C" w:rsidRDefault="00FE2506" w14:paraId="1F7719BE" w14:textId="77777777">
      <w:pPr>
        <w:pStyle w:val="ParaNum"/>
        <w:numPr>
          <w:ilvl w:val="0"/>
          <w:numId w:val="0"/>
        </w:numPr>
        <w:spacing w:after="0"/>
        <w:rPr>
          <w:sz w:val="24"/>
          <w:szCs w:val="24"/>
        </w:rPr>
      </w:pPr>
    </w:p>
    <w:p w:rsidRPr="00E04D07" w:rsidR="0095358C" w:rsidP="0095358C" w:rsidRDefault="0095358C" w14:paraId="372348EB" w14:textId="77777777">
      <w:pPr>
        <w:pStyle w:val="ParaNum"/>
        <w:numPr>
          <w:ilvl w:val="0"/>
          <w:numId w:val="0"/>
        </w:numPr>
        <w:spacing w:after="0"/>
        <w:rPr>
          <w:sz w:val="24"/>
          <w:szCs w:val="24"/>
        </w:rPr>
      </w:pPr>
    </w:p>
    <w:p w:rsidRPr="00E04D07" w:rsidR="0095358C" w:rsidP="0095358C" w:rsidRDefault="0095358C" w14:paraId="5FB1305E" w14:textId="77777777">
      <w:pPr>
        <w:pStyle w:val="ParaNum"/>
        <w:numPr>
          <w:ilvl w:val="0"/>
          <w:numId w:val="0"/>
        </w:numPr>
        <w:spacing w:after="0"/>
        <w:rPr>
          <w:b/>
          <w:szCs w:val="22"/>
        </w:rPr>
      </w:pPr>
      <w:r w:rsidRPr="00E04D07">
        <w:rPr>
          <w:sz w:val="24"/>
          <w:szCs w:val="24"/>
        </w:rPr>
        <w:tab/>
      </w:r>
      <w:r w:rsidRPr="00E04D07">
        <w:rPr>
          <w:b/>
          <w:szCs w:val="22"/>
        </w:rPr>
        <w:t>Requirements or</w:t>
      </w:r>
      <w:r w:rsidRPr="00E04D07">
        <w:rPr>
          <w:b/>
          <w:szCs w:val="22"/>
        </w:rPr>
        <w:tab/>
        <w:t xml:space="preserve">Number of       Respondent’s </w:t>
      </w:r>
      <w:r w:rsidRPr="00E04D07">
        <w:rPr>
          <w:b/>
          <w:szCs w:val="22"/>
        </w:rPr>
        <w:tab/>
        <w:t xml:space="preserve">Total  </w:t>
      </w:r>
      <w:r w:rsidRPr="00E04D07">
        <w:rPr>
          <w:b/>
          <w:szCs w:val="22"/>
        </w:rPr>
        <w:tab/>
        <w:t xml:space="preserve">              Hrly.     Total </w:t>
      </w:r>
    </w:p>
    <w:p w:rsidRPr="00E04D07" w:rsidR="0095358C" w:rsidP="0095358C" w:rsidRDefault="0095358C" w14:paraId="2B996D8D" w14:textId="77777777">
      <w:pPr>
        <w:rPr>
          <w:b/>
          <w:sz w:val="22"/>
          <w:szCs w:val="22"/>
        </w:rPr>
      </w:pPr>
      <w:r w:rsidRPr="00E04D07">
        <w:rPr>
          <w:b/>
          <w:sz w:val="22"/>
          <w:szCs w:val="22"/>
        </w:rPr>
        <w:tab/>
      </w:r>
      <w:r w:rsidRPr="00E04D07">
        <w:rPr>
          <w:b/>
          <w:sz w:val="22"/>
          <w:szCs w:val="22"/>
          <w:u w:val="single"/>
        </w:rPr>
        <w:t>Rule Sections</w:t>
      </w:r>
      <w:r w:rsidRPr="00E04D07">
        <w:rPr>
          <w:b/>
          <w:sz w:val="22"/>
          <w:szCs w:val="22"/>
        </w:rPr>
        <w:tab/>
      </w:r>
      <w:r w:rsidRPr="00E04D07">
        <w:rPr>
          <w:b/>
          <w:sz w:val="22"/>
          <w:szCs w:val="22"/>
        </w:rPr>
        <w:tab/>
      </w:r>
      <w:r w:rsidRPr="00E04D07">
        <w:rPr>
          <w:b/>
          <w:sz w:val="22"/>
          <w:szCs w:val="22"/>
          <w:u w:val="single"/>
        </w:rPr>
        <w:t xml:space="preserve">Responses   </w:t>
      </w:r>
      <w:r w:rsidRPr="00E04D07">
        <w:rPr>
          <w:b/>
          <w:sz w:val="22"/>
          <w:szCs w:val="22"/>
        </w:rPr>
        <w:t xml:space="preserve">     </w:t>
      </w:r>
      <w:r w:rsidRPr="00E04D07">
        <w:rPr>
          <w:b/>
          <w:sz w:val="22"/>
          <w:szCs w:val="22"/>
          <w:u w:val="single"/>
        </w:rPr>
        <w:t xml:space="preserve">Burden Hour </w:t>
      </w:r>
      <w:r w:rsidRPr="00E04D07">
        <w:rPr>
          <w:b/>
          <w:sz w:val="22"/>
          <w:szCs w:val="22"/>
        </w:rPr>
        <w:t xml:space="preserve">   </w:t>
      </w:r>
      <w:r w:rsidRPr="00E04D07">
        <w:rPr>
          <w:b/>
          <w:sz w:val="22"/>
          <w:szCs w:val="22"/>
          <w:u w:val="single"/>
        </w:rPr>
        <w:t>Burden Hrs</w:t>
      </w:r>
      <w:r w:rsidRPr="00E04D07">
        <w:rPr>
          <w:b/>
          <w:sz w:val="22"/>
          <w:szCs w:val="22"/>
        </w:rPr>
        <w:t xml:space="preserve">     </w:t>
      </w:r>
      <w:r w:rsidRPr="00E04D07">
        <w:rPr>
          <w:b/>
          <w:sz w:val="22"/>
          <w:szCs w:val="22"/>
          <w:u w:val="single"/>
        </w:rPr>
        <w:t xml:space="preserve">Cost </w:t>
      </w:r>
      <w:r w:rsidRPr="00E04D07">
        <w:rPr>
          <w:b/>
          <w:sz w:val="22"/>
          <w:szCs w:val="22"/>
        </w:rPr>
        <w:t xml:space="preserve">   </w:t>
      </w:r>
      <w:r w:rsidRPr="00E04D07">
        <w:rPr>
          <w:b/>
          <w:sz w:val="22"/>
          <w:szCs w:val="22"/>
          <w:u w:val="single"/>
        </w:rPr>
        <w:t>In-House Cost</w:t>
      </w:r>
    </w:p>
    <w:p w:rsidRPr="00E04D07" w:rsidR="0095358C" w:rsidP="0095358C" w:rsidRDefault="0095358C" w14:paraId="380C872D" w14:textId="77777777">
      <w:pPr>
        <w:pStyle w:val="ParaNum"/>
        <w:numPr>
          <w:ilvl w:val="0"/>
          <w:numId w:val="0"/>
        </w:numPr>
        <w:spacing w:after="0"/>
        <w:rPr>
          <w:szCs w:val="22"/>
          <w:lang w:val="es-ES_tradnl"/>
        </w:rPr>
      </w:pPr>
    </w:p>
    <w:p w:rsidRPr="00E04D07" w:rsidR="0095358C" w:rsidP="00433C35" w:rsidRDefault="0095358C" w14:paraId="53AA91BA" w14:textId="77777777">
      <w:pPr>
        <w:pStyle w:val="ParaNum"/>
        <w:numPr>
          <w:ilvl w:val="0"/>
          <w:numId w:val="0"/>
        </w:numPr>
        <w:spacing w:after="0"/>
        <w:ind w:left="720"/>
        <w:rPr>
          <w:szCs w:val="22"/>
          <w:lang w:val="es-ES_tradnl"/>
        </w:rPr>
      </w:pPr>
      <w:r w:rsidRPr="00E04D07">
        <w:rPr>
          <w:szCs w:val="22"/>
          <w:lang w:val="es-ES_tradnl"/>
        </w:rPr>
        <w:t>a. Sec. 74.787(a)(2)(iii)</w:t>
      </w:r>
      <w:r w:rsidRPr="00E04D07">
        <w:rPr>
          <w:szCs w:val="22"/>
          <w:lang w:val="es-ES_tradnl"/>
        </w:rPr>
        <w:tab/>
        <w:t xml:space="preserve">   1,440</w:t>
      </w:r>
      <w:r w:rsidRPr="00E04D07">
        <w:rPr>
          <w:szCs w:val="22"/>
          <w:lang w:val="es-ES_tradnl"/>
        </w:rPr>
        <w:tab/>
      </w:r>
      <w:r w:rsidRPr="00E04D07">
        <w:rPr>
          <w:szCs w:val="22"/>
          <w:lang w:val="es-ES_tradnl"/>
        </w:rPr>
        <w:tab/>
      </w:r>
      <w:r w:rsidRPr="00E04D07">
        <w:rPr>
          <w:szCs w:val="22"/>
          <w:lang w:val="es-ES_tradnl"/>
        </w:rPr>
        <w:tab/>
        <w:t>3</w:t>
      </w:r>
      <w:r w:rsidRPr="00E04D07">
        <w:rPr>
          <w:szCs w:val="22"/>
          <w:lang w:val="es-ES_tradnl"/>
        </w:rPr>
        <w:tab/>
        <w:t xml:space="preserve">      4,320              $50       $</w:t>
      </w:r>
      <w:r w:rsidRPr="00E04D07" w:rsidR="004236D7">
        <w:rPr>
          <w:szCs w:val="22"/>
          <w:lang w:val="es-ES_tradnl"/>
        </w:rPr>
        <w:t xml:space="preserve">   </w:t>
      </w:r>
      <w:r w:rsidRPr="00E04D07">
        <w:rPr>
          <w:szCs w:val="22"/>
          <w:lang w:val="es-ES_tradnl"/>
        </w:rPr>
        <w:t>216,000</w:t>
      </w:r>
    </w:p>
    <w:p w:rsidRPr="00E04D07" w:rsidR="0095358C" w:rsidP="0095358C" w:rsidRDefault="0095358C" w14:paraId="51A5783E" w14:textId="77777777">
      <w:pPr>
        <w:pStyle w:val="ParaNum"/>
        <w:numPr>
          <w:ilvl w:val="0"/>
          <w:numId w:val="0"/>
        </w:numPr>
        <w:spacing w:after="0"/>
        <w:rPr>
          <w:szCs w:val="22"/>
          <w:lang w:val="es-ES_tradnl"/>
        </w:rPr>
      </w:pPr>
      <w:r w:rsidRPr="00E04D07">
        <w:rPr>
          <w:szCs w:val="22"/>
          <w:lang w:val="es-ES_tradnl"/>
        </w:rPr>
        <w:tab/>
      </w:r>
      <w:r w:rsidRPr="00E04D07" w:rsidR="003B74BE">
        <w:rPr>
          <w:szCs w:val="22"/>
          <w:lang w:val="es-ES_tradnl"/>
        </w:rPr>
        <w:t>b</w:t>
      </w:r>
      <w:r w:rsidRPr="00E04D07">
        <w:rPr>
          <w:szCs w:val="22"/>
          <w:lang w:val="es-ES_tradnl"/>
        </w:rPr>
        <w:t>. Sec. 74.787(a)(3)</w:t>
      </w:r>
      <w:r w:rsidRPr="00E04D07">
        <w:rPr>
          <w:szCs w:val="22"/>
          <w:lang w:val="es-ES_tradnl"/>
        </w:rPr>
        <w:tab/>
        <w:t xml:space="preserve">   1,000</w:t>
      </w:r>
      <w:r w:rsidRPr="00E04D07">
        <w:rPr>
          <w:szCs w:val="22"/>
          <w:lang w:val="es-ES_tradnl"/>
        </w:rPr>
        <w:tab/>
      </w:r>
      <w:r w:rsidRPr="00E04D07">
        <w:rPr>
          <w:szCs w:val="22"/>
          <w:lang w:val="es-ES_tradnl"/>
        </w:rPr>
        <w:tab/>
      </w:r>
      <w:r w:rsidRPr="00E04D07">
        <w:rPr>
          <w:szCs w:val="22"/>
          <w:lang w:val="es-ES_tradnl"/>
        </w:rPr>
        <w:tab/>
        <w:t>3</w:t>
      </w:r>
      <w:r w:rsidRPr="00E04D07">
        <w:rPr>
          <w:szCs w:val="22"/>
          <w:lang w:val="es-ES_tradnl"/>
        </w:rPr>
        <w:tab/>
        <w:t xml:space="preserve">      3,000              $50       $</w:t>
      </w:r>
      <w:r w:rsidRPr="00E04D07" w:rsidR="004236D7">
        <w:rPr>
          <w:szCs w:val="22"/>
          <w:lang w:val="es-ES_tradnl"/>
        </w:rPr>
        <w:t xml:space="preserve">   </w:t>
      </w:r>
      <w:r w:rsidRPr="00E04D07">
        <w:rPr>
          <w:szCs w:val="22"/>
          <w:lang w:val="es-ES_tradnl"/>
        </w:rPr>
        <w:t>150,000</w:t>
      </w:r>
    </w:p>
    <w:p w:rsidRPr="00E04D07" w:rsidR="0095358C" w:rsidP="0095358C" w:rsidRDefault="0095358C" w14:paraId="5402BD09" w14:textId="77777777">
      <w:pPr>
        <w:pStyle w:val="ParaNum"/>
        <w:numPr>
          <w:ilvl w:val="0"/>
          <w:numId w:val="0"/>
        </w:numPr>
        <w:spacing w:after="0"/>
        <w:rPr>
          <w:szCs w:val="22"/>
          <w:lang w:val="es-ES_tradnl"/>
        </w:rPr>
      </w:pPr>
      <w:r w:rsidRPr="00E04D07">
        <w:rPr>
          <w:szCs w:val="22"/>
          <w:lang w:val="es-ES_tradnl"/>
        </w:rPr>
        <w:tab/>
      </w:r>
      <w:r w:rsidRPr="00E04D07" w:rsidR="003B74BE">
        <w:rPr>
          <w:szCs w:val="22"/>
          <w:lang w:val="es-ES_tradnl"/>
        </w:rPr>
        <w:t>c</w:t>
      </w:r>
      <w:r w:rsidRPr="00E04D07">
        <w:rPr>
          <w:szCs w:val="22"/>
          <w:lang w:val="es-ES_tradnl"/>
        </w:rPr>
        <w:t>. Sec. 74.787(a)(4</w:t>
      </w:r>
      <w:proofErr w:type="gramStart"/>
      <w:r w:rsidRPr="00E04D07">
        <w:rPr>
          <w:szCs w:val="22"/>
          <w:lang w:val="es-ES_tradnl"/>
        </w:rPr>
        <w:t xml:space="preserve">)  </w:t>
      </w:r>
      <w:r w:rsidRPr="00E04D07">
        <w:rPr>
          <w:szCs w:val="22"/>
          <w:lang w:val="es-ES_tradnl"/>
        </w:rPr>
        <w:tab/>
      </w:r>
      <w:proofErr w:type="gramEnd"/>
      <w:r w:rsidRPr="00E04D07">
        <w:rPr>
          <w:szCs w:val="22"/>
          <w:lang w:val="es-ES_tradnl"/>
        </w:rPr>
        <w:t xml:space="preserve">   1,000</w:t>
      </w:r>
      <w:r w:rsidRPr="00E04D07">
        <w:rPr>
          <w:szCs w:val="22"/>
          <w:lang w:val="es-ES_tradnl"/>
        </w:rPr>
        <w:tab/>
      </w:r>
      <w:r w:rsidRPr="00E04D07">
        <w:rPr>
          <w:szCs w:val="22"/>
          <w:lang w:val="es-ES_tradnl"/>
        </w:rPr>
        <w:tab/>
      </w:r>
      <w:r w:rsidRPr="00E04D07">
        <w:rPr>
          <w:szCs w:val="22"/>
          <w:lang w:val="es-ES_tradnl"/>
        </w:rPr>
        <w:tab/>
        <w:t>3</w:t>
      </w:r>
      <w:r w:rsidRPr="00E04D07">
        <w:rPr>
          <w:szCs w:val="22"/>
          <w:lang w:val="es-ES_tradnl"/>
        </w:rPr>
        <w:tab/>
        <w:t xml:space="preserve">      3,000              $50       $</w:t>
      </w:r>
      <w:r w:rsidRPr="00E04D07" w:rsidR="004236D7">
        <w:rPr>
          <w:szCs w:val="22"/>
          <w:lang w:val="es-ES_tradnl"/>
        </w:rPr>
        <w:t xml:space="preserve">   </w:t>
      </w:r>
      <w:r w:rsidRPr="00E04D07">
        <w:rPr>
          <w:szCs w:val="22"/>
          <w:lang w:val="es-ES_tradnl"/>
        </w:rPr>
        <w:t>150,000</w:t>
      </w:r>
    </w:p>
    <w:p w:rsidRPr="00E04D07" w:rsidR="0095358C" w:rsidP="0095358C" w:rsidRDefault="0095358C" w14:paraId="081AEC4C" w14:textId="77777777">
      <w:pPr>
        <w:pStyle w:val="ParaNum"/>
        <w:numPr>
          <w:ilvl w:val="0"/>
          <w:numId w:val="0"/>
        </w:numPr>
        <w:spacing w:after="0"/>
        <w:rPr>
          <w:szCs w:val="22"/>
          <w:lang w:val="es-ES_tradnl"/>
        </w:rPr>
      </w:pPr>
      <w:r w:rsidRPr="00E04D07">
        <w:rPr>
          <w:szCs w:val="22"/>
          <w:lang w:val="es-ES_tradnl"/>
        </w:rPr>
        <w:tab/>
      </w:r>
      <w:r w:rsidRPr="00E04D07" w:rsidR="003B74BE">
        <w:rPr>
          <w:szCs w:val="22"/>
          <w:lang w:val="es-ES_tradnl"/>
        </w:rPr>
        <w:t>d</w:t>
      </w:r>
      <w:r w:rsidRPr="00E04D07">
        <w:rPr>
          <w:szCs w:val="22"/>
          <w:lang w:val="es-ES_tradnl"/>
        </w:rPr>
        <w:t>. Sec. 74.787(a)(5)(i)</w:t>
      </w:r>
      <w:r w:rsidRPr="00E04D07">
        <w:rPr>
          <w:szCs w:val="22"/>
          <w:lang w:val="es-ES_tradnl"/>
        </w:rPr>
        <w:tab/>
        <w:t xml:space="preserve">     100</w:t>
      </w:r>
      <w:r w:rsidRPr="00E04D07">
        <w:rPr>
          <w:rStyle w:val="FootnoteReference"/>
          <w:szCs w:val="22"/>
          <w:lang w:val="es-ES_tradnl"/>
        </w:rPr>
        <w:footnoteReference w:id="7"/>
      </w:r>
      <w:r w:rsidRPr="00E04D07">
        <w:rPr>
          <w:szCs w:val="22"/>
          <w:lang w:val="es-ES_tradnl"/>
        </w:rPr>
        <w:tab/>
        <w:t xml:space="preserve">        </w:t>
      </w:r>
      <w:r w:rsidRPr="00E04D07" w:rsidR="00763AB6">
        <w:rPr>
          <w:szCs w:val="22"/>
          <w:lang w:val="es-ES_tradnl"/>
        </w:rPr>
        <w:tab/>
      </w:r>
      <w:r w:rsidR="0072411C">
        <w:rPr>
          <w:szCs w:val="22"/>
          <w:lang w:val="es-ES_tradnl"/>
        </w:rPr>
        <w:tab/>
      </w:r>
      <w:r w:rsidRPr="00E04D07">
        <w:rPr>
          <w:szCs w:val="22"/>
          <w:lang w:val="es-ES_tradnl"/>
        </w:rPr>
        <w:t>1</w:t>
      </w:r>
      <w:r w:rsidRPr="00E04D07">
        <w:rPr>
          <w:szCs w:val="22"/>
          <w:lang w:val="es-ES_tradnl"/>
        </w:rPr>
        <w:tab/>
        <w:t xml:space="preserve">         100</w:t>
      </w:r>
      <w:r w:rsidRPr="00E04D07">
        <w:rPr>
          <w:szCs w:val="22"/>
          <w:lang w:val="es-ES_tradnl"/>
        </w:rPr>
        <w:tab/>
        <w:t xml:space="preserve">   $50</w:t>
      </w:r>
      <w:r w:rsidRPr="00E04D07">
        <w:rPr>
          <w:szCs w:val="22"/>
          <w:lang w:val="es-ES_tradnl"/>
        </w:rPr>
        <w:tab/>
        <w:t xml:space="preserve">   $    </w:t>
      </w:r>
      <w:r w:rsidRPr="00E04D07" w:rsidR="004236D7">
        <w:rPr>
          <w:szCs w:val="22"/>
          <w:lang w:val="es-ES_tradnl"/>
        </w:rPr>
        <w:t xml:space="preserve">   </w:t>
      </w:r>
      <w:r w:rsidRPr="00E04D07">
        <w:rPr>
          <w:szCs w:val="22"/>
          <w:lang w:val="es-ES_tradnl"/>
        </w:rPr>
        <w:t>5,000</w:t>
      </w:r>
    </w:p>
    <w:p w:rsidRPr="00E04D07" w:rsidR="0095358C" w:rsidP="0095358C" w:rsidRDefault="0095358C" w14:paraId="0BE7D3EA" w14:textId="77777777">
      <w:pPr>
        <w:pStyle w:val="ParaNum"/>
        <w:numPr>
          <w:ilvl w:val="0"/>
          <w:numId w:val="0"/>
        </w:numPr>
        <w:spacing w:after="0"/>
        <w:rPr>
          <w:szCs w:val="22"/>
        </w:rPr>
      </w:pPr>
      <w:r w:rsidRPr="00E04D07">
        <w:rPr>
          <w:szCs w:val="22"/>
          <w:lang w:val="es-ES_tradnl"/>
        </w:rPr>
        <w:t xml:space="preserve">             </w:t>
      </w:r>
      <w:r w:rsidRPr="00E04D07" w:rsidR="003B74BE">
        <w:rPr>
          <w:szCs w:val="22"/>
          <w:lang w:val="es-ES_tradnl"/>
        </w:rPr>
        <w:t>e</w:t>
      </w:r>
      <w:r w:rsidRPr="00E04D07">
        <w:rPr>
          <w:szCs w:val="22"/>
          <w:lang w:val="es-ES_tradnl"/>
        </w:rPr>
        <w:t>.</w:t>
      </w:r>
      <w:r w:rsidRPr="00E04D07">
        <w:rPr>
          <w:szCs w:val="22"/>
        </w:rPr>
        <w:t xml:space="preserve"> Sec. 74.787(a)(5)(i)          10</w:t>
      </w:r>
      <w:r w:rsidRPr="00E04D07">
        <w:rPr>
          <w:rStyle w:val="FootnoteReference"/>
          <w:szCs w:val="22"/>
          <w:lang w:val="es-ES_tradnl"/>
        </w:rPr>
        <w:footnoteReference w:id="8"/>
      </w:r>
      <w:r w:rsidRPr="00E04D07">
        <w:rPr>
          <w:szCs w:val="22"/>
        </w:rPr>
        <w:tab/>
      </w:r>
      <w:r w:rsidRPr="00E04D07">
        <w:rPr>
          <w:szCs w:val="22"/>
        </w:rPr>
        <w:tab/>
      </w:r>
      <w:r w:rsidRPr="00E04D07" w:rsidR="00C74533">
        <w:rPr>
          <w:szCs w:val="22"/>
        </w:rPr>
        <w:tab/>
      </w:r>
      <w:r w:rsidRPr="00E04D07">
        <w:rPr>
          <w:szCs w:val="22"/>
        </w:rPr>
        <w:t>0.50</w:t>
      </w:r>
      <w:r w:rsidRPr="00E04D07">
        <w:rPr>
          <w:szCs w:val="22"/>
        </w:rPr>
        <w:tab/>
        <w:t xml:space="preserve">            </w:t>
      </w:r>
      <w:r w:rsidR="00A21C09">
        <w:rPr>
          <w:szCs w:val="22"/>
        </w:rPr>
        <w:t xml:space="preserve"> </w:t>
      </w:r>
      <w:r w:rsidRPr="00E04D07">
        <w:rPr>
          <w:szCs w:val="22"/>
        </w:rPr>
        <w:t xml:space="preserve"> 5    </w:t>
      </w:r>
      <w:r w:rsidRPr="00E04D07">
        <w:rPr>
          <w:szCs w:val="22"/>
        </w:rPr>
        <w:tab/>
        <w:t xml:space="preserve">   $50</w:t>
      </w:r>
      <w:r w:rsidRPr="00E04D07">
        <w:rPr>
          <w:szCs w:val="22"/>
        </w:rPr>
        <w:tab/>
        <w:t xml:space="preserve">   $   </w:t>
      </w:r>
      <w:r w:rsidRPr="00E04D07" w:rsidR="004236D7">
        <w:rPr>
          <w:szCs w:val="22"/>
        </w:rPr>
        <w:t xml:space="preserve">   </w:t>
      </w:r>
      <w:r w:rsidRPr="00E04D07">
        <w:rPr>
          <w:szCs w:val="22"/>
        </w:rPr>
        <w:t xml:space="preserve">    250</w:t>
      </w:r>
    </w:p>
    <w:p w:rsidRPr="00A21C09" w:rsidR="00433C35" w:rsidP="00433C35" w:rsidRDefault="00433C35" w14:paraId="57B9633E" w14:textId="77777777">
      <w:pPr>
        <w:pStyle w:val="ParaNum"/>
        <w:numPr>
          <w:ilvl w:val="0"/>
          <w:numId w:val="0"/>
        </w:numPr>
        <w:spacing w:after="0"/>
        <w:ind w:left="720"/>
        <w:rPr>
          <w:szCs w:val="22"/>
        </w:rPr>
      </w:pPr>
      <w:r w:rsidRPr="00A21C09">
        <w:rPr>
          <w:szCs w:val="22"/>
        </w:rPr>
        <w:t>f. Sec. 74.787(a)(5)(v)</w:t>
      </w:r>
      <w:r w:rsidRPr="00A21C09">
        <w:rPr>
          <w:szCs w:val="22"/>
        </w:rPr>
        <w:tab/>
        <w:t xml:space="preserve">   </w:t>
      </w:r>
      <w:r w:rsidR="00A21C09">
        <w:rPr>
          <w:szCs w:val="22"/>
        </w:rPr>
        <w:t xml:space="preserve">   </w:t>
      </w:r>
      <w:r w:rsidRPr="00A21C09">
        <w:rPr>
          <w:szCs w:val="22"/>
        </w:rPr>
        <w:t>100</w:t>
      </w:r>
      <w:r w:rsidRPr="00A21C09">
        <w:rPr>
          <w:szCs w:val="22"/>
        </w:rPr>
        <w:tab/>
      </w:r>
      <w:r w:rsidRPr="00A21C09">
        <w:rPr>
          <w:szCs w:val="22"/>
        </w:rPr>
        <w:tab/>
      </w:r>
      <w:r w:rsidRPr="00A21C09">
        <w:rPr>
          <w:szCs w:val="22"/>
        </w:rPr>
        <w:tab/>
        <w:t>1</w:t>
      </w:r>
      <w:r w:rsidRPr="00A21C09">
        <w:rPr>
          <w:szCs w:val="22"/>
        </w:rPr>
        <w:tab/>
        <w:t xml:space="preserve">         </w:t>
      </w:r>
      <w:r w:rsidR="00A21C09">
        <w:rPr>
          <w:szCs w:val="22"/>
        </w:rPr>
        <w:t xml:space="preserve"> </w:t>
      </w:r>
      <w:r w:rsidRPr="00A21C09">
        <w:rPr>
          <w:szCs w:val="22"/>
        </w:rPr>
        <w:t>100</w:t>
      </w:r>
      <w:r w:rsidRPr="00A21C09">
        <w:rPr>
          <w:szCs w:val="22"/>
        </w:rPr>
        <w:tab/>
        <w:t xml:space="preserve">   $50</w:t>
      </w:r>
      <w:r w:rsidRPr="00A21C09">
        <w:rPr>
          <w:szCs w:val="22"/>
        </w:rPr>
        <w:tab/>
        <w:t xml:space="preserve">   $       5,000</w:t>
      </w:r>
    </w:p>
    <w:p w:rsidRPr="00E04D07" w:rsidR="0095358C" w:rsidP="0095358C" w:rsidRDefault="00433C35" w14:paraId="7E2113F1" w14:textId="77777777">
      <w:pPr>
        <w:pStyle w:val="ParaNum"/>
        <w:numPr>
          <w:ilvl w:val="0"/>
          <w:numId w:val="0"/>
        </w:numPr>
        <w:spacing w:after="0"/>
        <w:rPr>
          <w:szCs w:val="22"/>
          <w:lang w:val="es-ES_tradnl"/>
        </w:rPr>
      </w:pPr>
      <w:r w:rsidRPr="00E04D07">
        <w:rPr>
          <w:szCs w:val="22"/>
        </w:rPr>
        <w:tab/>
        <w:t>g</w:t>
      </w:r>
      <w:r w:rsidRPr="00E04D07" w:rsidR="0095358C">
        <w:rPr>
          <w:szCs w:val="22"/>
        </w:rPr>
        <w:t>. Sec.</w:t>
      </w:r>
      <w:r w:rsidRPr="00E04D07" w:rsidR="0095358C">
        <w:rPr>
          <w:szCs w:val="22"/>
          <w:lang w:val="es-ES_tradnl"/>
        </w:rPr>
        <w:t xml:space="preserve"> </w:t>
      </w:r>
      <w:r w:rsidRPr="00E04D07" w:rsidR="0095358C">
        <w:rPr>
          <w:szCs w:val="22"/>
        </w:rPr>
        <w:t xml:space="preserve">74.790(f)  </w:t>
      </w:r>
      <w:r w:rsidRPr="00E04D07" w:rsidR="0095358C">
        <w:rPr>
          <w:szCs w:val="22"/>
        </w:rPr>
        <w:tab/>
        <w:t xml:space="preserve">   4,000</w:t>
      </w:r>
      <w:r w:rsidRPr="00E04D07" w:rsidR="0095358C">
        <w:rPr>
          <w:szCs w:val="22"/>
        </w:rPr>
        <w:tab/>
      </w:r>
      <w:r w:rsidRPr="00E04D07" w:rsidR="0095358C">
        <w:rPr>
          <w:szCs w:val="22"/>
        </w:rPr>
        <w:tab/>
      </w:r>
      <w:r w:rsidRPr="00E04D07" w:rsidR="0095358C">
        <w:rPr>
          <w:szCs w:val="22"/>
        </w:rPr>
        <w:tab/>
        <w:t>1</w:t>
      </w:r>
      <w:r w:rsidRPr="00E04D07" w:rsidR="0095358C">
        <w:rPr>
          <w:szCs w:val="22"/>
        </w:rPr>
        <w:tab/>
        <w:t xml:space="preserve">       4,000             $50       $</w:t>
      </w:r>
      <w:r w:rsidRPr="00E04D07" w:rsidR="004236D7">
        <w:rPr>
          <w:szCs w:val="22"/>
        </w:rPr>
        <w:t xml:space="preserve">   </w:t>
      </w:r>
      <w:r w:rsidRPr="00E04D07" w:rsidR="0095358C">
        <w:rPr>
          <w:szCs w:val="22"/>
        </w:rPr>
        <w:t>200,000</w:t>
      </w:r>
      <w:r w:rsidRPr="00E04D07" w:rsidR="0095358C">
        <w:rPr>
          <w:szCs w:val="22"/>
        </w:rPr>
        <w:tab/>
      </w:r>
    </w:p>
    <w:p w:rsidRPr="00E04D07" w:rsidR="0095358C" w:rsidP="0095358C" w:rsidRDefault="0095358C" w14:paraId="5606FD42" w14:textId="77777777">
      <w:pPr>
        <w:pStyle w:val="ParaNum"/>
        <w:numPr>
          <w:ilvl w:val="0"/>
          <w:numId w:val="0"/>
        </w:numPr>
        <w:spacing w:after="0"/>
        <w:rPr>
          <w:szCs w:val="22"/>
        </w:rPr>
      </w:pPr>
      <w:bookmarkStart w:name="OLE_LINK2" w:id="0"/>
      <w:r w:rsidRPr="00E04D07">
        <w:rPr>
          <w:szCs w:val="22"/>
        </w:rPr>
        <w:tab/>
      </w:r>
      <w:r w:rsidRPr="00E04D07" w:rsidR="00433C35">
        <w:rPr>
          <w:szCs w:val="22"/>
        </w:rPr>
        <w:t>h</w:t>
      </w:r>
      <w:r w:rsidRPr="00E04D07">
        <w:rPr>
          <w:szCs w:val="22"/>
        </w:rPr>
        <w:t xml:space="preserve">. Sec. 74.790(e)  </w:t>
      </w:r>
      <w:bookmarkEnd w:id="0"/>
      <w:r w:rsidRPr="00E04D07">
        <w:rPr>
          <w:szCs w:val="22"/>
        </w:rPr>
        <w:tab/>
        <w:t xml:space="preserve">   4,000</w:t>
      </w:r>
      <w:r w:rsidRPr="00E04D07">
        <w:rPr>
          <w:szCs w:val="22"/>
        </w:rPr>
        <w:tab/>
      </w:r>
      <w:r w:rsidRPr="00E04D07">
        <w:rPr>
          <w:szCs w:val="22"/>
        </w:rPr>
        <w:tab/>
      </w:r>
      <w:r w:rsidRPr="00E04D07">
        <w:rPr>
          <w:szCs w:val="22"/>
        </w:rPr>
        <w:tab/>
        <w:t>1.75</w:t>
      </w:r>
      <w:r w:rsidRPr="00E04D07">
        <w:rPr>
          <w:szCs w:val="22"/>
        </w:rPr>
        <w:tab/>
        <w:t xml:space="preserve">       7,000             $50       $</w:t>
      </w:r>
      <w:r w:rsidRPr="00E04D07" w:rsidR="004236D7">
        <w:rPr>
          <w:szCs w:val="22"/>
        </w:rPr>
        <w:t xml:space="preserve">   </w:t>
      </w:r>
      <w:r w:rsidRPr="00E04D07">
        <w:rPr>
          <w:szCs w:val="22"/>
        </w:rPr>
        <w:t>350,000</w:t>
      </w:r>
    </w:p>
    <w:p w:rsidRPr="00E04D07" w:rsidR="0095358C" w:rsidP="0095358C" w:rsidRDefault="0095358C" w14:paraId="652EBECA" w14:textId="77777777">
      <w:pPr>
        <w:pStyle w:val="ParaNum"/>
        <w:numPr>
          <w:ilvl w:val="0"/>
          <w:numId w:val="0"/>
        </w:numPr>
        <w:spacing w:after="0"/>
        <w:rPr>
          <w:szCs w:val="22"/>
        </w:rPr>
      </w:pPr>
      <w:r w:rsidRPr="00E04D07">
        <w:rPr>
          <w:szCs w:val="22"/>
        </w:rPr>
        <w:t xml:space="preserve">            </w:t>
      </w:r>
      <w:r w:rsidRPr="00E04D07" w:rsidR="00C74533">
        <w:rPr>
          <w:szCs w:val="22"/>
        </w:rPr>
        <w:t xml:space="preserve"> </w:t>
      </w:r>
      <w:r w:rsidRPr="00E04D07" w:rsidR="00433C35">
        <w:rPr>
          <w:szCs w:val="22"/>
        </w:rPr>
        <w:t>i</w:t>
      </w:r>
      <w:r w:rsidRPr="00E04D07">
        <w:rPr>
          <w:szCs w:val="22"/>
        </w:rPr>
        <w:t xml:space="preserve">. Sec. 74.790(g) </w:t>
      </w:r>
      <w:r w:rsidRPr="00E04D07">
        <w:rPr>
          <w:szCs w:val="22"/>
        </w:rPr>
        <w:tab/>
        <w:t xml:space="preserve">   4,236</w:t>
      </w:r>
      <w:r w:rsidRPr="00E04D07">
        <w:rPr>
          <w:szCs w:val="22"/>
        </w:rPr>
        <w:tab/>
      </w:r>
      <w:r w:rsidRPr="00E04D07">
        <w:rPr>
          <w:szCs w:val="22"/>
        </w:rPr>
        <w:tab/>
      </w:r>
      <w:r w:rsidRPr="00E04D07">
        <w:rPr>
          <w:szCs w:val="22"/>
        </w:rPr>
        <w:tab/>
        <w:t>1</w:t>
      </w:r>
      <w:r w:rsidRPr="00E04D07">
        <w:rPr>
          <w:szCs w:val="22"/>
        </w:rPr>
        <w:tab/>
        <w:t xml:space="preserve">       4,236             $50       $</w:t>
      </w:r>
      <w:r w:rsidRPr="00E04D07" w:rsidR="004236D7">
        <w:rPr>
          <w:szCs w:val="22"/>
        </w:rPr>
        <w:t xml:space="preserve">   </w:t>
      </w:r>
      <w:r w:rsidRPr="00E04D07">
        <w:rPr>
          <w:szCs w:val="22"/>
        </w:rPr>
        <w:t>211,800</w:t>
      </w:r>
    </w:p>
    <w:p w:rsidRPr="00E04D07" w:rsidR="0095358C" w:rsidP="0095358C" w:rsidRDefault="0095358C" w14:paraId="4D5A4836" w14:textId="77777777">
      <w:pPr>
        <w:pStyle w:val="ParaNum"/>
        <w:numPr>
          <w:ilvl w:val="0"/>
          <w:numId w:val="0"/>
        </w:numPr>
        <w:spacing w:after="0"/>
        <w:rPr>
          <w:szCs w:val="22"/>
        </w:rPr>
      </w:pPr>
      <w:r w:rsidRPr="00E04D07">
        <w:rPr>
          <w:szCs w:val="22"/>
        </w:rPr>
        <w:lastRenderedPageBreak/>
        <w:t xml:space="preserve">             </w:t>
      </w:r>
      <w:r w:rsidRPr="00E04D07" w:rsidR="00433C35">
        <w:rPr>
          <w:szCs w:val="22"/>
        </w:rPr>
        <w:t>j</w:t>
      </w:r>
      <w:r w:rsidRPr="00E04D07">
        <w:rPr>
          <w:szCs w:val="22"/>
        </w:rPr>
        <w:t>. Sec. 74.794</w:t>
      </w:r>
      <w:r w:rsidRPr="00E04D07">
        <w:rPr>
          <w:szCs w:val="22"/>
        </w:rPr>
        <w:tab/>
      </w:r>
      <w:r w:rsidRPr="00E04D07">
        <w:rPr>
          <w:szCs w:val="22"/>
        </w:rPr>
        <w:tab/>
        <w:t xml:space="preserve">      750</w:t>
      </w:r>
      <w:r w:rsidRPr="00E04D07">
        <w:rPr>
          <w:szCs w:val="22"/>
        </w:rPr>
        <w:tab/>
      </w:r>
      <w:r w:rsidRPr="00E04D07">
        <w:rPr>
          <w:szCs w:val="22"/>
        </w:rPr>
        <w:tab/>
      </w:r>
      <w:r w:rsidRPr="00E04D07">
        <w:rPr>
          <w:szCs w:val="22"/>
        </w:rPr>
        <w:tab/>
        <w:t>0.50</w:t>
      </w:r>
      <w:r w:rsidRPr="00E04D07">
        <w:rPr>
          <w:szCs w:val="22"/>
        </w:rPr>
        <w:tab/>
        <w:t xml:space="preserve">          375             $50       $  </w:t>
      </w:r>
      <w:r w:rsidRPr="00E04D07" w:rsidR="004236D7">
        <w:rPr>
          <w:szCs w:val="22"/>
        </w:rPr>
        <w:t xml:space="preserve">   </w:t>
      </w:r>
      <w:r w:rsidRPr="00E04D07">
        <w:rPr>
          <w:szCs w:val="22"/>
        </w:rPr>
        <w:t>18,750</w:t>
      </w:r>
    </w:p>
    <w:p w:rsidRPr="00E04D07" w:rsidR="0095358C" w:rsidP="0095358C" w:rsidRDefault="0095358C" w14:paraId="1B9130FC" w14:textId="77777777">
      <w:pPr>
        <w:pStyle w:val="ParaNum"/>
        <w:numPr>
          <w:ilvl w:val="0"/>
          <w:numId w:val="0"/>
        </w:numPr>
        <w:spacing w:after="0"/>
        <w:rPr>
          <w:szCs w:val="22"/>
        </w:rPr>
      </w:pPr>
      <w:r w:rsidRPr="00E04D07">
        <w:rPr>
          <w:szCs w:val="22"/>
        </w:rPr>
        <w:t xml:space="preserve">             </w:t>
      </w:r>
      <w:r w:rsidRPr="00E04D07" w:rsidR="00433C35">
        <w:rPr>
          <w:szCs w:val="22"/>
        </w:rPr>
        <w:t>k</w:t>
      </w:r>
      <w:r w:rsidRPr="00E04D07">
        <w:rPr>
          <w:szCs w:val="22"/>
        </w:rPr>
        <w:t xml:space="preserve">. Sec. 74.796(b)(5) </w:t>
      </w:r>
      <w:r w:rsidRPr="00E04D07">
        <w:rPr>
          <w:szCs w:val="22"/>
        </w:rPr>
        <w:tab/>
        <w:t xml:space="preserve">   3,000</w:t>
      </w:r>
      <w:r w:rsidRPr="00E04D07">
        <w:rPr>
          <w:szCs w:val="22"/>
        </w:rPr>
        <w:tab/>
      </w:r>
      <w:r w:rsidRPr="00E04D07">
        <w:rPr>
          <w:szCs w:val="22"/>
        </w:rPr>
        <w:tab/>
      </w:r>
      <w:r w:rsidRPr="00E04D07">
        <w:rPr>
          <w:szCs w:val="22"/>
        </w:rPr>
        <w:tab/>
        <w:t>1.5</w:t>
      </w:r>
      <w:r w:rsidRPr="00E04D07">
        <w:rPr>
          <w:szCs w:val="22"/>
        </w:rPr>
        <w:tab/>
        <w:t xml:space="preserve">       4,500             $50       $</w:t>
      </w:r>
      <w:r w:rsidRPr="00E04D07" w:rsidR="004236D7">
        <w:rPr>
          <w:szCs w:val="22"/>
        </w:rPr>
        <w:t xml:space="preserve">   </w:t>
      </w:r>
      <w:r w:rsidRPr="00E04D07">
        <w:rPr>
          <w:szCs w:val="22"/>
        </w:rPr>
        <w:t>225,000</w:t>
      </w:r>
    </w:p>
    <w:p w:rsidRPr="00E04D07" w:rsidR="0095358C" w:rsidP="0095358C" w:rsidRDefault="0095358C" w14:paraId="2C110692" w14:textId="77777777">
      <w:pPr>
        <w:pStyle w:val="ParaNum"/>
        <w:numPr>
          <w:ilvl w:val="0"/>
          <w:numId w:val="0"/>
        </w:numPr>
        <w:spacing w:after="0"/>
        <w:rPr>
          <w:szCs w:val="22"/>
        </w:rPr>
      </w:pPr>
      <w:r w:rsidRPr="00E04D07">
        <w:rPr>
          <w:szCs w:val="22"/>
        </w:rPr>
        <w:tab/>
      </w:r>
      <w:r w:rsidRPr="00E04D07" w:rsidR="00433C35">
        <w:rPr>
          <w:szCs w:val="22"/>
        </w:rPr>
        <w:t>l</w:t>
      </w:r>
      <w:r w:rsidRPr="00E04D07">
        <w:rPr>
          <w:szCs w:val="22"/>
        </w:rPr>
        <w:t xml:space="preserve">. Sec. 74.796(b)(6)  </w:t>
      </w:r>
      <w:r w:rsidRPr="00E04D07">
        <w:rPr>
          <w:szCs w:val="22"/>
        </w:rPr>
        <w:tab/>
        <w:t xml:space="preserve">   1,500</w:t>
      </w:r>
      <w:r w:rsidRPr="00E04D07">
        <w:rPr>
          <w:szCs w:val="22"/>
        </w:rPr>
        <w:tab/>
      </w:r>
      <w:r w:rsidRPr="00E04D07">
        <w:rPr>
          <w:szCs w:val="22"/>
        </w:rPr>
        <w:tab/>
      </w:r>
      <w:r w:rsidRPr="00E04D07">
        <w:rPr>
          <w:szCs w:val="22"/>
        </w:rPr>
        <w:tab/>
        <w:t>1</w:t>
      </w:r>
      <w:r w:rsidRPr="00E04D07">
        <w:rPr>
          <w:szCs w:val="22"/>
        </w:rPr>
        <w:tab/>
        <w:t xml:space="preserve">       1,500             $50       $  </w:t>
      </w:r>
      <w:r w:rsidRPr="00E04D07" w:rsidR="004236D7">
        <w:rPr>
          <w:szCs w:val="22"/>
        </w:rPr>
        <w:t xml:space="preserve">   </w:t>
      </w:r>
      <w:r w:rsidRPr="00E04D07">
        <w:rPr>
          <w:szCs w:val="22"/>
        </w:rPr>
        <w:t>75,000</w:t>
      </w:r>
    </w:p>
    <w:p w:rsidRPr="00E04D07" w:rsidR="0095358C" w:rsidP="0095358C" w:rsidRDefault="0095358C" w14:paraId="2435CC68" w14:textId="77777777">
      <w:pPr>
        <w:pStyle w:val="ParaNum"/>
        <w:numPr>
          <w:ilvl w:val="0"/>
          <w:numId w:val="0"/>
        </w:numPr>
        <w:spacing w:after="0"/>
        <w:rPr>
          <w:szCs w:val="22"/>
        </w:rPr>
      </w:pPr>
      <w:r w:rsidRPr="00E04D07">
        <w:rPr>
          <w:szCs w:val="22"/>
        </w:rPr>
        <w:tab/>
      </w:r>
      <w:r w:rsidRPr="00E04D07" w:rsidR="00433C35">
        <w:rPr>
          <w:szCs w:val="22"/>
        </w:rPr>
        <w:t>m</w:t>
      </w:r>
      <w:r w:rsidRPr="00E04D07">
        <w:rPr>
          <w:szCs w:val="22"/>
        </w:rPr>
        <w:t>. Protect analog LPTV</w:t>
      </w:r>
      <w:r w:rsidRPr="00E04D07">
        <w:rPr>
          <w:szCs w:val="22"/>
        </w:rPr>
        <w:tab/>
        <w:t xml:space="preserve">      750</w:t>
      </w:r>
      <w:r w:rsidRPr="00E04D07">
        <w:rPr>
          <w:szCs w:val="22"/>
        </w:rPr>
        <w:tab/>
      </w:r>
      <w:r w:rsidRPr="00E04D07">
        <w:rPr>
          <w:szCs w:val="22"/>
        </w:rPr>
        <w:tab/>
      </w:r>
      <w:r w:rsidRPr="00E04D07">
        <w:rPr>
          <w:szCs w:val="22"/>
        </w:rPr>
        <w:tab/>
        <w:t>3</w:t>
      </w:r>
      <w:r w:rsidRPr="00E04D07">
        <w:rPr>
          <w:szCs w:val="22"/>
        </w:rPr>
        <w:tab/>
        <w:t xml:space="preserve">       2,250             $50       $</w:t>
      </w:r>
      <w:r w:rsidRPr="00E04D07" w:rsidR="004236D7">
        <w:rPr>
          <w:szCs w:val="22"/>
        </w:rPr>
        <w:t xml:space="preserve">   </w:t>
      </w:r>
      <w:r w:rsidRPr="00E04D07">
        <w:rPr>
          <w:szCs w:val="22"/>
        </w:rPr>
        <w:t>112,500</w:t>
      </w:r>
    </w:p>
    <w:p w:rsidRPr="00E04D07" w:rsidR="0095358C" w:rsidP="004236D7" w:rsidRDefault="0095358C" w14:paraId="3EEF828E" w14:textId="77777777">
      <w:pPr>
        <w:pStyle w:val="ParaNum"/>
        <w:numPr>
          <w:ilvl w:val="0"/>
          <w:numId w:val="0"/>
        </w:numPr>
        <w:spacing w:after="0"/>
        <w:rPr>
          <w:szCs w:val="22"/>
        </w:rPr>
      </w:pPr>
      <w:r w:rsidRPr="00E04D07">
        <w:rPr>
          <w:szCs w:val="22"/>
        </w:rPr>
        <w:t xml:space="preserve">             </w:t>
      </w:r>
      <w:r w:rsidRPr="00E04D07">
        <w:rPr>
          <w:szCs w:val="22"/>
        </w:rPr>
        <w:tab/>
      </w:r>
      <w:r w:rsidRPr="00E04D07" w:rsidR="00433C35">
        <w:rPr>
          <w:szCs w:val="22"/>
        </w:rPr>
        <w:t>n</w:t>
      </w:r>
      <w:r w:rsidRPr="00E04D07">
        <w:rPr>
          <w:szCs w:val="22"/>
        </w:rPr>
        <w:t>.</w:t>
      </w:r>
      <w:r w:rsidRPr="00E04D07" w:rsidR="004236D7">
        <w:rPr>
          <w:szCs w:val="22"/>
        </w:rPr>
        <w:t xml:space="preserve"> Sec. 74.798                  </w:t>
      </w:r>
      <w:r w:rsidR="00B17D26">
        <w:rPr>
          <w:szCs w:val="22"/>
        </w:rPr>
        <w:t xml:space="preserve">  </w:t>
      </w:r>
      <w:r w:rsidR="00B17D26">
        <w:rPr>
          <w:szCs w:val="22"/>
        </w:rPr>
        <w:softHyphen/>
      </w:r>
      <w:r w:rsidRPr="00E04D07" w:rsidR="007D4662">
        <w:rPr>
          <w:szCs w:val="22"/>
          <w:u w:val="single"/>
        </w:rPr>
        <w:t>5</w:t>
      </w:r>
      <w:r w:rsidRPr="00E04D07">
        <w:rPr>
          <w:szCs w:val="22"/>
          <w:u w:val="single"/>
        </w:rPr>
        <w:t xml:space="preserve">,500                          </w:t>
      </w:r>
      <w:r w:rsidRPr="00E04D07" w:rsidR="004236D7">
        <w:rPr>
          <w:szCs w:val="22"/>
          <w:u w:val="single"/>
        </w:rPr>
        <w:t xml:space="preserve"> </w:t>
      </w:r>
      <w:r w:rsidRPr="00E04D07">
        <w:rPr>
          <w:szCs w:val="22"/>
          <w:u w:val="single"/>
        </w:rPr>
        <w:t xml:space="preserve">4                </w:t>
      </w:r>
      <w:r w:rsidRPr="00E04D07" w:rsidR="004236D7">
        <w:rPr>
          <w:szCs w:val="22"/>
          <w:u w:val="single"/>
        </w:rPr>
        <w:t xml:space="preserve"> </w:t>
      </w:r>
      <w:r w:rsidR="00A21C09">
        <w:rPr>
          <w:szCs w:val="22"/>
          <w:u w:val="single"/>
        </w:rPr>
        <w:t xml:space="preserve"> </w:t>
      </w:r>
      <w:r w:rsidRPr="00E04D07">
        <w:rPr>
          <w:szCs w:val="22"/>
          <w:u w:val="single"/>
        </w:rPr>
        <w:t>22,000</w:t>
      </w:r>
      <w:r w:rsidRPr="00E04D07">
        <w:rPr>
          <w:szCs w:val="22"/>
          <w:u w:val="single"/>
        </w:rPr>
        <w:tab/>
        <w:t xml:space="preserve">   $50       $1,100,000</w:t>
      </w:r>
    </w:p>
    <w:p w:rsidRPr="00E04D07" w:rsidR="0095358C" w:rsidP="0095358C" w:rsidRDefault="008D0BDB" w14:paraId="05705416" w14:textId="77777777">
      <w:pPr>
        <w:pStyle w:val="ParaNum"/>
        <w:numPr>
          <w:ilvl w:val="0"/>
          <w:numId w:val="0"/>
        </w:numPr>
        <w:spacing w:after="0"/>
        <w:rPr>
          <w:szCs w:val="22"/>
        </w:rPr>
      </w:pPr>
      <w:r w:rsidRPr="00E04D07">
        <w:rPr>
          <w:szCs w:val="22"/>
        </w:rPr>
        <w:tab/>
      </w:r>
    </w:p>
    <w:p w:rsidRPr="00E04D07" w:rsidR="0095358C" w:rsidP="0095358C" w:rsidRDefault="00FE2506" w14:paraId="415682F2" w14:textId="77777777">
      <w:pPr>
        <w:pStyle w:val="ParaNum"/>
        <w:numPr>
          <w:ilvl w:val="0"/>
          <w:numId w:val="0"/>
        </w:numPr>
        <w:spacing w:after="0"/>
        <w:rPr>
          <w:b/>
          <w:szCs w:val="22"/>
        </w:rPr>
      </w:pPr>
      <w:r>
        <w:rPr>
          <w:szCs w:val="22"/>
        </w:rPr>
        <w:tab/>
      </w:r>
      <w:r>
        <w:rPr>
          <w:szCs w:val="22"/>
        </w:rPr>
        <w:tab/>
        <w:t xml:space="preserve">   </w:t>
      </w:r>
      <w:r w:rsidRPr="00E04D07" w:rsidR="0095358C">
        <w:rPr>
          <w:b/>
          <w:szCs w:val="22"/>
        </w:rPr>
        <w:t xml:space="preserve">TOTALS:   </w:t>
      </w:r>
      <w:r w:rsidR="00B17D26">
        <w:rPr>
          <w:b/>
          <w:szCs w:val="22"/>
        </w:rPr>
        <w:t xml:space="preserve">   </w:t>
      </w:r>
      <w:r w:rsidRPr="00E04D07" w:rsidR="0095358C">
        <w:rPr>
          <w:b/>
          <w:szCs w:val="22"/>
        </w:rPr>
        <w:t xml:space="preserve"> </w:t>
      </w:r>
      <w:r w:rsidRPr="00E04D07" w:rsidR="00763AB6">
        <w:rPr>
          <w:b/>
          <w:szCs w:val="22"/>
        </w:rPr>
        <w:t>27,</w:t>
      </w:r>
      <w:r w:rsidRPr="00E04D07" w:rsidR="008D0BDB">
        <w:rPr>
          <w:b/>
          <w:szCs w:val="22"/>
        </w:rPr>
        <w:t>3</w:t>
      </w:r>
      <w:r w:rsidRPr="00E04D07" w:rsidR="00763AB6">
        <w:rPr>
          <w:b/>
          <w:szCs w:val="22"/>
        </w:rPr>
        <w:t>86</w:t>
      </w:r>
      <w:r w:rsidRPr="00E04D07" w:rsidR="0095358C">
        <w:rPr>
          <w:szCs w:val="22"/>
        </w:rPr>
        <w:t xml:space="preserve">    </w:t>
      </w:r>
      <w:r w:rsidRPr="00E04D07" w:rsidR="0095358C">
        <w:rPr>
          <w:szCs w:val="22"/>
        </w:rPr>
        <w:tab/>
      </w:r>
      <w:r w:rsidRPr="00E04D07" w:rsidR="0095358C">
        <w:rPr>
          <w:szCs w:val="22"/>
        </w:rPr>
        <w:tab/>
      </w:r>
      <w:r w:rsidRPr="00E04D07" w:rsidR="0095358C">
        <w:rPr>
          <w:b/>
          <w:szCs w:val="22"/>
        </w:rPr>
        <w:t xml:space="preserve">                   </w:t>
      </w:r>
      <w:r w:rsidRPr="00E04D07" w:rsidR="00763AB6">
        <w:rPr>
          <w:b/>
          <w:szCs w:val="22"/>
        </w:rPr>
        <w:t>56,</w:t>
      </w:r>
      <w:r w:rsidRPr="00E04D07" w:rsidR="008D0BDB">
        <w:rPr>
          <w:b/>
          <w:szCs w:val="22"/>
        </w:rPr>
        <w:t>3</w:t>
      </w:r>
      <w:r w:rsidRPr="00E04D07" w:rsidR="00763AB6">
        <w:rPr>
          <w:b/>
          <w:szCs w:val="22"/>
        </w:rPr>
        <w:t>86</w:t>
      </w:r>
      <w:r w:rsidRPr="00E04D07" w:rsidR="0095358C">
        <w:rPr>
          <w:b/>
          <w:szCs w:val="22"/>
        </w:rPr>
        <w:tab/>
      </w:r>
      <w:r w:rsidRPr="00E04D07" w:rsidR="0095358C">
        <w:rPr>
          <w:b/>
          <w:szCs w:val="22"/>
        </w:rPr>
        <w:tab/>
        <w:t xml:space="preserve">   </w:t>
      </w:r>
      <w:r w:rsidRPr="00E04D07" w:rsidR="00763AB6">
        <w:rPr>
          <w:b/>
          <w:szCs w:val="22"/>
        </w:rPr>
        <w:t>$2,81</w:t>
      </w:r>
      <w:r w:rsidRPr="00E04D07" w:rsidR="008D0BDB">
        <w:rPr>
          <w:b/>
          <w:szCs w:val="22"/>
        </w:rPr>
        <w:t>9</w:t>
      </w:r>
      <w:r w:rsidRPr="00E04D07" w:rsidR="00763AB6">
        <w:rPr>
          <w:b/>
          <w:szCs w:val="22"/>
        </w:rPr>
        <w:t>,300</w:t>
      </w:r>
    </w:p>
    <w:p w:rsidRPr="00E04D07" w:rsidR="0095358C" w:rsidP="0095358C" w:rsidRDefault="0095358C" w14:paraId="2EEA452C" w14:textId="77777777">
      <w:pPr>
        <w:pStyle w:val="ParaNum"/>
        <w:numPr>
          <w:ilvl w:val="0"/>
          <w:numId w:val="0"/>
        </w:numPr>
        <w:spacing w:after="0"/>
        <w:rPr>
          <w:b/>
          <w:szCs w:val="22"/>
        </w:rPr>
      </w:pPr>
      <w:r w:rsidRPr="00E04D07">
        <w:rPr>
          <w:b/>
          <w:szCs w:val="22"/>
        </w:rPr>
        <w:tab/>
      </w:r>
      <w:r w:rsidRPr="00E04D07">
        <w:rPr>
          <w:b/>
          <w:szCs w:val="22"/>
        </w:rPr>
        <w:tab/>
      </w:r>
      <w:r w:rsidRPr="00E04D07">
        <w:rPr>
          <w:b/>
          <w:szCs w:val="22"/>
        </w:rPr>
        <w:tab/>
      </w:r>
      <w:r w:rsidR="00B17D26">
        <w:rPr>
          <w:b/>
          <w:szCs w:val="22"/>
        </w:rPr>
        <w:t xml:space="preserve">          </w:t>
      </w:r>
      <w:r w:rsidRPr="00E04D07">
        <w:rPr>
          <w:b/>
          <w:szCs w:val="22"/>
        </w:rPr>
        <w:t>(responses)</w:t>
      </w:r>
      <w:r w:rsidRPr="00E04D07">
        <w:rPr>
          <w:b/>
          <w:szCs w:val="22"/>
        </w:rPr>
        <w:tab/>
      </w:r>
      <w:r w:rsidRPr="00E04D07">
        <w:rPr>
          <w:b/>
          <w:szCs w:val="22"/>
        </w:rPr>
        <w:tab/>
        <w:t xml:space="preserve">           (Burden Hours)             (In-house Cost)</w:t>
      </w:r>
    </w:p>
    <w:p w:rsidRPr="00E04D07" w:rsidR="00A21C09" w:rsidP="0095358C" w:rsidRDefault="00A21C09" w14:paraId="6C6C78DB" w14:textId="77777777">
      <w:pPr>
        <w:pStyle w:val="ParaNum"/>
        <w:numPr>
          <w:ilvl w:val="0"/>
          <w:numId w:val="0"/>
        </w:numPr>
        <w:spacing w:after="0"/>
        <w:rPr>
          <w:b/>
          <w:sz w:val="24"/>
          <w:szCs w:val="24"/>
        </w:rPr>
      </w:pPr>
    </w:p>
    <w:p w:rsidRPr="00E04D07" w:rsidR="0095358C" w:rsidP="0095358C" w:rsidRDefault="0095358C" w14:paraId="18655B87" w14:textId="77777777">
      <w:pPr>
        <w:pStyle w:val="ParaNum"/>
        <w:numPr>
          <w:ilvl w:val="0"/>
          <w:numId w:val="0"/>
        </w:numPr>
        <w:spacing w:after="0"/>
        <w:rPr>
          <w:b/>
          <w:sz w:val="24"/>
          <w:szCs w:val="24"/>
        </w:rPr>
      </w:pPr>
      <w:r w:rsidRPr="00E04D07">
        <w:rPr>
          <w:b/>
          <w:sz w:val="24"/>
          <w:szCs w:val="24"/>
        </w:rPr>
        <w:t xml:space="preserve">Total Number of Respondents:  </w:t>
      </w:r>
      <w:r w:rsidRPr="00E04D07" w:rsidR="007D4662">
        <w:rPr>
          <w:b/>
          <w:sz w:val="24"/>
          <w:szCs w:val="24"/>
        </w:rPr>
        <w:t>8,</w:t>
      </w:r>
      <w:r w:rsidR="005166BD">
        <w:rPr>
          <w:b/>
          <w:sz w:val="24"/>
          <w:szCs w:val="24"/>
        </w:rPr>
        <w:t>4</w:t>
      </w:r>
      <w:r w:rsidRPr="00E04D07" w:rsidR="00763AB6">
        <w:rPr>
          <w:b/>
          <w:sz w:val="24"/>
          <w:szCs w:val="24"/>
        </w:rPr>
        <w:t>45</w:t>
      </w:r>
      <w:r w:rsidRPr="00E04D07">
        <w:rPr>
          <w:b/>
          <w:sz w:val="24"/>
          <w:szCs w:val="24"/>
        </w:rPr>
        <w:t xml:space="preserve"> </w:t>
      </w:r>
    </w:p>
    <w:p w:rsidRPr="00E04D07" w:rsidR="0095358C" w:rsidP="0095358C" w:rsidRDefault="0095358C" w14:paraId="0375082A" w14:textId="77777777">
      <w:pPr>
        <w:pStyle w:val="ParaNum"/>
        <w:numPr>
          <w:ilvl w:val="0"/>
          <w:numId w:val="0"/>
        </w:numPr>
        <w:spacing w:after="0"/>
        <w:rPr>
          <w:sz w:val="24"/>
          <w:szCs w:val="24"/>
        </w:rPr>
      </w:pPr>
      <w:r w:rsidRPr="00E04D07">
        <w:rPr>
          <w:b/>
          <w:sz w:val="24"/>
          <w:szCs w:val="24"/>
        </w:rPr>
        <w:tab/>
        <w:t xml:space="preserve">   </w:t>
      </w:r>
      <w:r w:rsidRPr="00BA4C87" w:rsidR="00BA4C87">
        <w:rPr>
          <w:sz w:val="24"/>
          <w:szCs w:val="24"/>
        </w:rPr>
        <w:t>2</w:t>
      </w:r>
      <w:r w:rsidRPr="00E04D07">
        <w:rPr>
          <w:sz w:val="24"/>
          <w:szCs w:val="24"/>
        </w:rPr>
        <w:t>00</w:t>
      </w:r>
      <w:r w:rsidRPr="00E04D07">
        <w:rPr>
          <w:b/>
          <w:sz w:val="24"/>
          <w:szCs w:val="24"/>
        </w:rPr>
        <w:t xml:space="preserve"> </w:t>
      </w:r>
      <w:r w:rsidRPr="00E04D07">
        <w:rPr>
          <w:sz w:val="24"/>
          <w:szCs w:val="24"/>
        </w:rPr>
        <w:t>Full Service TV Stations</w:t>
      </w:r>
    </w:p>
    <w:p w:rsidRPr="00E04D07" w:rsidR="0095358C" w:rsidP="0095358C" w:rsidRDefault="0095358C" w14:paraId="3BC6D6A0" w14:textId="77777777">
      <w:pPr>
        <w:pStyle w:val="ParaNum"/>
        <w:numPr>
          <w:ilvl w:val="0"/>
          <w:numId w:val="0"/>
        </w:numPr>
        <w:spacing w:after="0"/>
        <w:rPr>
          <w:sz w:val="24"/>
          <w:szCs w:val="24"/>
        </w:rPr>
      </w:pPr>
      <w:r w:rsidRPr="00E04D07">
        <w:rPr>
          <w:b/>
          <w:sz w:val="24"/>
          <w:szCs w:val="24"/>
        </w:rPr>
        <w:tab/>
      </w:r>
      <w:r w:rsidRPr="00E04D07">
        <w:rPr>
          <w:sz w:val="24"/>
          <w:szCs w:val="24"/>
        </w:rPr>
        <w:t>2,451 LPTV Stations</w:t>
      </w:r>
    </w:p>
    <w:p w:rsidRPr="00E04D07" w:rsidR="0095358C" w:rsidP="0095358C" w:rsidRDefault="0095358C" w14:paraId="562487C6" w14:textId="77777777">
      <w:pPr>
        <w:pStyle w:val="ParaNum"/>
        <w:numPr>
          <w:ilvl w:val="0"/>
          <w:numId w:val="0"/>
        </w:numPr>
        <w:spacing w:after="0"/>
        <w:rPr>
          <w:sz w:val="24"/>
          <w:szCs w:val="24"/>
        </w:rPr>
      </w:pPr>
      <w:r w:rsidRPr="00E04D07">
        <w:rPr>
          <w:sz w:val="24"/>
          <w:szCs w:val="24"/>
        </w:rPr>
        <w:tab/>
      </w:r>
      <w:r w:rsidRPr="00E04D07" w:rsidR="001B78A7">
        <w:rPr>
          <w:sz w:val="24"/>
          <w:szCs w:val="24"/>
        </w:rPr>
        <w:t>5</w:t>
      </w:r>
      <w:r w:rsidRPr="00E04D07">
        <w:rPr>
          <w:sz w:val="24"/>
          <w:szCs w:val="24"/>
        </w:rPr>
        <w:t>,</w:t>
      </w:r>
      <w:r w:rsidRPr="00E04D07" w:rsidR="001B78A7">
        <w:rPr>
          <w:sz w:val="24"/>
          <w:szCs w:val="24"/>
        </w:rPr>
        <w:t>359</w:t>
      </w:r>
      <w:r w:rsidRPr="00E04D07">
        <w:rPr>
          <w:sz w:val="24"/>
          <w:szCs w:val="24"/>
        </w:rPr>
        <w:t xml:space="preserve"> Translator Stations</w:t>
      </w:r>
    </w:p>
    <w:p w:rsidRPr="00E04D07" w:rsidR="0095358C" w:rsidP="0095358C" w:rsidRDefault="0095358C" w14:paraId="527993FD" w14:textId="77777777">
      <w:pPr>
        <w:pStyle w:val="ParaNum"/>
        <w:numPr>
          <w:ilvl w:val="0"/>
          <w:numId w:val="0"/>
        </w:numPr>
        <w:spacing w:after="0"/>
        <w:rPr>
          <w:sz w:val="24"/>
          <w:szCs w:val="24"/>
        </w:rPr>
      </w:pPr>
      <w:r w:rsidRPr="00E04D07">
        <w:rPr>
          <w:sz w:val="24"/>
          <w:szCs w:val="24"/>
        </w:rPr>
        <w:t xml:space="preserve">  </w:t>
      </w:r>
      <w:r w:rsidRPr="00E04D07">
        <w:rPr>
          <w:sz w:val="24"/>
          <w:szCs w:val="24"/>
        </w:rPr>
        <w:tab/>
      </w:r>
      <w:r w:rsidRPr="00E04D07">
        <w:rPr>
          <w:sz w:val="24"/>
          <w:szCs w:val="24"/>
          <w:u w:val="single"/>
        </w:rPr>
        <w:t xml:space="preserve">   </w:t>
      </w:r>
      <w:r w:rsidRPr="00E04D07" w:rsidR="00763AB6">
        <w:rPr>
          <w:sz w:val="24"/>
          <w:szCs w:val="24"/>
          <w:u w:val="single"/>
        </w:rPr>
        <w:t>435</w:t>
      </w:r>
      <w:r w:rsidRPr="00E04D07">
        <w:rPr>
          <w:sz w:val="24"/>
          <w:szCs w:val="24"/>
        </w:rPr>
        <w:t xml:space="preserve"> Class A Stations </w:t>
      </w:r>
    </w:p>
    <w:p w:rsidRPr="00E04D07" w:rsidR="0095358C" w:rsidP="0095358C" w:rsidRDefault="007D4662" w14:paraId="1D2F41AE" w14:textId="77777777">
      <w:pPr>
        <w:pStyle w:val="ParaNum"/>
        <w:numPr>
          <w:ilvl w:val="0"/>
          <w:numId w:val="0"/>
        </w:numPr>
        <w:spacing w:after="0"/>
        <w:ind w:left="720"/>
        <w:rPr>
          <w:b/>
          <w:sz w:val="24"/>
          <w:szCs w:val="24"/>
        </w:rPr>
      </w:pPr>
      <w:r w:rsidRPr="00E04D07">
        <w:rPr>
          <w:b/>
          <w:sz w:val="24"/>
          <w:szCs w:val="24"/>
        </w:rPr>
        <w:t>8,</w:t>
      </w:r>
      <w:r w:rsidR="00BA4C87">
        <w:rPr>
          <w:b/>
          <w:sz w:val="24"/>
          <w:szCs w:val="24"/>
        </w:rPr>
        <w:t>4</w:t>
      </w:r>
      <w:r w:rsidRPr="00E04D07" w:rsidR="00763AB6">
        <w:rPr>
          <w:b/>
          <w:sz w:val="24"/>
          <w:szCs w:val="24"/>
        </w:rPr>
        <w:t>45</w:t>
      </w:r>
      <w:r w:rsidRPr="00E04D07" w:rsidR="0095358C">
        <w:rPr>
          <w:b/>
          <w:sz w:val="24"/>
          <w:szCs w:val="24"/>
        </w:rPr>
        <w:t xml:space="preserve"> Full Service TV Stations, LPTV, TV Translator, and Class A Stations </w:t>
      </w:r>
    </w:p>
    <w:p w:rsidRPr="00E04D07" w:rsidR="0095358C" w:rsidP="0095358C" w:rsidRDefault="0095358C" w14:paraId="38F771D9" w14:textId="77777777">
      <w:pPr>
        <w:pStyle w:val="ParaNum"/>
        <w:numPr>
          <w:ilvl w:val="0"/>
          <w:numId w:val="0"/>
        </w:numPr>
        <w:spacing w:after="0"/>
        <w:rPr>
          <w:b/>
          <w:sz w:val="24"/>
          <w:szCs w:val="24"/>
        </w:rPr>
      </w:pPr>
    </w:p>
    <w:p w:rsidRPr="00E04D07" w:rsidR="0095358C" w:rsidP="0095358C" w:rsidRDefault="0095358C" w14:paraId="07D7702C" w14:textId="77777777">
      <w:pPr>
        <w:pStyle w:val="ParaNum"/>
        <w:numPr>
          <w:ilvl w:val="0"/>
          <w:numId w:val="0"/>
        </w:numPr>
        <w:spacing w:after="0"/>
        <w:rPr>
          <w:sz w:val="24"/>
          <w:szCs w:val="24"/>
        </w:rPr>
      </w:pPr>
      <w:r w:rsidRPr="00E04D07">
        <w:rPr>
          <w:b/>
          <w:sz w:val="24"/>
          <w:szCs w:val="24"/>
        </w:rPr>
        <w:t xml:space="preserve">Total Number of Responses: </w:t>
      </w:r>
      <w:r w:rsidRPr="00E04D07" w:rsidR="00763AB6">
        <w:rPr>
          <w:b/>
          <w:sz w:val="24"/>
          <w:szCs w:val="24"/>
        </w:rPr>
        <w:t>27,</w:t>
      </w:r>
      <w:r w:rsidRPr="00E04D07" w:rsidR="008D0BDB">
        <w:rPr>
          <w:b/>
          <w:sz w:val="24"/>
          <w:szCs w:val="24"/>
        </w:rPr>
        <w:t>3</w:t>
      </w:r>
      <w:r w:rsidRPr="00E04D07" w:rsidR="00763AB6">
        <w:rPr>
          <w:b/>
          <w:sz w:val="24"/>
          <w:szCs w:val="24"/>
        </w:rPr>
        <w:t>86</w:t>
      </w:r>
    </w:p>
    <w:p w:rsidRPr="00E04D07" w:rsidR="0095358C" w:rsidP="0095358C" w:rsidRDefault="0095358C" w14:paraId="6EF6EF65" w14:textId="77777777">
      <w:pPr>
        <w:pStyle w:val="ParaNum"/>
        <w:numPr>
          <w:ilvl w:val="0"/>
          <w:numId w:val="0"/>
        </w:numPr>
        <w:spacing w:after="0"/>
        <w:rPr>
          <w:sz w:val="24"/>
          <w:szCs w:val="24"/>
        </w:rPr>
      </w:pPr>
    </w:p>
    <w:p w:rsidRPr="00E04D07" w:rsidR="0095358C" w:rsidP="0095358C" w:rsidRDefault="0095358C" w14:paraId="124AE45D" w14:textId="77777777">
      <w:pPr>
        <w:pStyle w:val="ParaNum"/>
        <w:numPr>
          <w:ilvl w:val="0"/>
          <w:numId w:val="0"/>
        </w:numPr>
        <w:spacing w:after="0"/>
        <w:rPr>
          <w:b/>
          <w:sz w:val="24"/>
          <w:szCs w:val="24"/>
        </w:rPr>
      </w:pPr>
      <w:r w:rsidRPr="00E04D07">
        <w:rPr>
          <w:b/>
          <w:sz w:val="24"/>
          <w:szCs w:val="24"/>
        </w:rPr>
        <w:t>Total Annual Burden Hours</w:t>
      </w:r>
      <w:r w:rsidRPr="00E04D07">
        <w:rPr>
          <w:sz w:val="24"/>
          <w:szCs w:val="24"/>
        </w:rPr>
        <w:t xml:space="preserve">: </w:t>
      </w:r>
      <w:r w:rsidRPr="00E04D07" w:rsidR="007D4662">
        <w:rPr>
          <w:b/>
          <w:sz w:val="24"/>
          <w:szCs w:val="24"/>
        </w:rPr>
        <w:t>5</w:t>
      </w:r>
      <w:r w:rsidRPr="00E04D07" w:rsidR="00763AB6">
        <w:rPr>
          <w:b/>
          <w:sz w:val="24"/>
          <w:szCs w:val="24"/>
        </w:rPr>
        <w:t>6,</w:t>
      </w:r>
      <w:r w:rsidRPr="00E04D07" w:rsidR="008D0BDB">
        <w:rPr>
          <w:b/>
          <w:sz w:val="24"/>
          <w:szCs w:val="24"/>
        </w:rPr>
        <w:t>3</w:t>
      </w:r>
      <w:r w:rsidRPr="00E04D07" w:rsidR="00763AB6">
        <w:rPr>
          <w:b/>
          <w:sz w:val="24"/>
          <w:szCs w:val="24"/>
        </w:rPr>
        <w:t>86</w:t>
      </w:r>
      <w:r w:rsidRPr="00E04D07">
        <w:rPr>
          <w:b/>
          <w:sz w:val="24"/>
          <w:szCs w:val="24"/>
        </w:rPr>
        <w:t xml:space="preserve"> hours</w:t>
      </w:r>
    </w:p>
    <w:p w:rsidR="00A21C09" w:rsidP="0095358C" w:rsidRDefault="00A21C09" w14:paraId="5E278233" w14:textId="77777777">
      <w:pPr>
        <w:pStyle w:val="ParaNum"/>
        <w:numPr>
          <w:ilvl w:val="0"/>
          <w:numId w:val="0"/>
        </w:numPr>
        <w:spacing w:after="0"/>
        <w:rPr>
          <w:b/>
          <w:sz w:val="24"/>
          <w:szCs w:val="24"/>
        </w:rPr>
      </w:pPr>
    </w:p>
    <w:p w:rsidRPr="00E04D07" w:rsidR="0095358C" w:rsidP="0095358C" w:rsidRDefault="0095358C" w14:paraId="2CBAC422" w14:textId="77777777">
      <w:pPr>
        <w:pStyle w:val="ParaNum"/>
        <w:numPr>
          <w:ilvl w:val="0"/>
          <w:numId w:val="0"/>
        </w:numPr>
        <w:spacing w:after="0"/>
        <w:rPr>
          <w:b/>
          <w:szCs w:val="22"/>
        </w:rPr>
      </w:pPr>
      <w:r w:rsidRPr="00E04D07">
        <w:rPr>
          <w:b/>
          <w:sz w:val="24"/>
          <w:szCs w:val="24"/>
        </w:rPr>
        <w:t>Total “In-house” Cost:</w:t>
      </w:r>
      <w:r w:rsidRPr="00E04D07" w:rsidR="00763AB6">
        <w:rPr>
          <w:b/>
          <w:szCs w:val="22"/>
        </w:rPr>
        <w:t xml:space="preserve"> $2,81</w:t>
      </w:r>
      <w:r w:rsidRPr="00E04D07" w:rsidR="008D0BDB">
        <w:rPr>
          <w:b/>
          <w:szCs w:val="22"/>
        </w:rPr>
        <w:t>9</w:t>
      </w:r>
      <w:r w:rsidRPr="00E04D07" w:rsidR="00763AB6">
        <w:rPr>
          <w:b/>
          <w:szCs w:val="22"/>
        </w:rPr>
        <w:t>,300</w:t>
      </w:r>
    </w:p>
    <w:p w:rsidRPr="00E04D07" w:rsidR="0095358C" w:rsidP="0095358C" w:rsidRDefault="0095358C" w14:paraId="14030B85" w14:textId="77777777">
      <w:pPr>
        <w:pStyle w:val="ParaNum"/>
        <w:numPr>
          <w:ilvl w:val="0"/>
          <w:numId w:val="0"/>
        </w:numPr>
        <w:spacing w:after="0"/>
        <w:rPr>
          <w:b/>
          <w:sz w:val="24"/>
          <w:szCs w:val="24"/>
        </w:rPr>
      </w:pPr>
    </w:p>
    <w:p w:rsidRPr="00E04D07" w:rsidR="0095358C" w:rsidP="0095358C" w:rsidRDefault="0095358C" w14:paraId="53DDA583" w14:textId="77777777">
      <w:pPr>
        <w:suppressAutoHyphens/>
        <w:jc w:val="both"/>
        <w:rPr>
          <w:spacing w:val="-3"/>
          <w:szCs w:val="24"/>
        </w:rPr>
      </w:pPr>
      <w:r w:rsidRPr="00E04D07">
        <w:rPr>
          <w:szCs w:val="24"/>
        </w:rPr>
        <w:t xml:space="preserve"> 13.  Annual Cost Burden: </w:t>
      </w:r>
      <w:r w:rsidRPr="00E04D07">
        <w:rPr>
          <w:spacing w:val="-3"/>
          <w:szCs w:val="24"/>
        </w:rPr>
        <w:t>We assume that the respondent would use a consulting engineer ($250/hour) to conduct the study under 47 CFR Sections 74.787</w:t>
      </w:r>
      <w:r w:rsidRPr="00E04D07" w:rsidR="0029523F">
        <w:rPr>
          <w:spacing w:val="-3"/>
          <w:szCs w:val="24"/>
        </w:rPr>
        <w:t>(a)(5)(i)</w:t>
      </w:r>
      <w:r w:rsidRPr="00E04D07" w:rsidR="008D0BDB">
        <w:rPr>
          <w:spacing w:val="-3"/>
          <w:szCs w:val="24"/>
        </w:rPr>
        <w:t xml:space="preserve"> and (v)</w:t>
      </w:r>
      <w:r w:rsidRPr="00E04D07">
        <w:rPr>
          <w:spacing w:val="-3"/>
          <w:szCs w:val="24"/>
        </w:rPr>
        <w:t>.  In addition, we have also listed start-up costs associated with this information collection that are associated with the low power DTV transition, which is still on-going to this date.</w:t>
      </w:r>
      <w:r w:rsidRPr="00E04D07" w:rsidR="0062706B">
        <w:rPr>
          <w:spacing w:val="-3"/>
          <w:szCs w:val="24"/>
        </w:rPr>
        <w:t xml:space="preserve">  Some of the requirements contained in this collection do not have costs associated with them. </w:t>
      </w:r>
    </w:p>
    <w:p w:rsidRPr="00E04D07" w:rsidR="0095358C" w:rsidP="0095358C" w:rsidRDefault="0095358C" w14:paraId="79237544" w14:textId="77777777">
      <w:pPr>
        <w:suppressAutoHyphens/>
        <w:jc w:val="both"/>
        <w:rPr>
          <w:spacing w:val="-3"/>
          <w:szCs w:val="24"/>
        </w:rPr>
      </w:pPr>
    </w:p>
    <w:p w:rsidRPr="005527E5" w:rsidR="0095358C" w:rsidP="0095358C" w:rsidRDefault="0095358C" w14:paraId="6056BA5F" w14:textId="77777777">
      <w:pPr>
        <w:suppressAutoHyphens/>
        <w:jc w:val="both"/>
        <w:rPr>
          <w:spacing w:val="-3"/>
          <w:sz w:val="22"/>
          <w:szCs w:val="22"/>
        </w:rPr>
      </w:pPr>
      <w:r w:rsidRPr="005527E5">
        <w:rPr>
          <w:spacing w:val="-3"/>
          <w:sz w:val="22"/>
          <w:szCs w:val="22"/>
        </w:rPr>
        <w:t>1. Section 74.787(a)(5)(i)</w:t>
      </w:r>
      <w:r w:rsidRPr="005527E5">
        <w:rPr>
          <w:spacing w:val="-3"/>
          <w:sz w:val="22"/>
          <w:szCs w:val="22"/>
        </w:rPr>
        <w:tab/>
      </w:r>
      <w:r w:rsidRPr="005527E5">
        <w:rPr>
          <w:spacing w:val="-3"/>
          <w:sz w:val="22"/>
          <w:szCs w:val="22"/>
        </w:rPr>
        <w:tab/>
      </w:r>
      <w:r w:rsidRPr="005527E5">
        <w:rPr>
          <w:spacing w:val="-3"/>
          <w:sz w:val="22"/>
          <w:szCs w:val="22"/>
        </w:rPr>
        <w:tab/>
        <w:t xml:space="preserve">       220 engineering hours x $250/hour = </w:t>
      </w:r>
      <w:r w:rsidRPr="005527E5">
        <w:rPr>
          <w:spacing w:val="-3"/>
          <w:sz w:val="22"/>
          <w:szCs w:val="22"/>
        </w:rPr>
        <w:tab/>
        <w:t xml:space="preserve">  $      </w:t>
      </w:r>
      <w:r w:rsidRPr="005527E5" w:rsidR="006C3D8F">
        <w:rPr>
          <w:spacing w:val="-3"/>
          <w:sz w:val="22"/>
          <w:szCs w:val="22"/>
        </w:rPr>
        <w:t xml:space="preserve"> </w:t>
      </w:r>
      <w:r w:rsidR="005527E5">
        <w:rPr>
          <w:spacing w:val="-3"/>
          <w:sz w:val="22"/>
          <w:szCs w:val="22"/>
        </w:rPr>
        <w:t xml:space="preserve"> </w:t>
      </w:r>
      <w:r w:rsidRPr="005527E5">
        <w:rPr>
          <w:spacing w:val="-3"/>
          <w:sz w:val="22"/>
          <w:szCs w:val="22"/>
        </w:rPr>
        <w:t>55,000</w:t>
      </w:r>
    </w:p>
    <w:p w:rsidRPr="005527E5" w:rsidR="00433C35" w:rsidP="0095358C" w:rsidRDefault="00763AB6" w14:paraId="7A38B456" w14:textId="77777777">
      <w:pPr>
        <w:suppressAutoHyphens/>
        <w:jc w:val="both"/>
        <w:rPr>
          <w:spacing w:val="-3"/>
          <w:sz w:val="22"/>
          <w:szCs w:val="22"/>
        </w:rPr>
      </w:pPr>
      <w:r w:rsidRPr="005527E5">
        <w:rPr>
          <w:spacing w:val="-3"/>
          <w:sz w:val="22"/>
          <w:szCs w:val="22"/>
        </w:rPr>
        <w:t>2</w:t>
      </w:r>
      <w:r w:rsidRPr="005527E5" w:rsidR="0095358C">
        <w:rPr>
          <w:spacing w:val="-3"/>
          <w:sz w:val="22"/>
          <w:szCs w:val="22"/>
        </w:rPr>
        <w:t xml:space="preserve">. </w:t>
      </w:r>
      <w:r w:rsidRPr="005527E5" w:rsidR="00433C35">
        <w:rPr>
          <w:sz w:val="22"/>
          <w:szCs w:val="22"/>
        </w:rPr>
        <w:t xml:space="preserve">Section 74.787(a)(5)(v)     </w:t>
      </w:r>
      <w:r w:rsidRPr="005527E5" w:rsidR="00C62577">
        <w:rPr>
          <w:sz w:val="22"/>
          <w:szCs w:val="22"/>
        </w:rPr>
        <w:t xml:space="preserve">  </w:t>
      </w:r>
      <w:r w:rsidRPr="005527E5" w:rsidR="00433C35">
        <w:rPr>
          <w:sz w:val="22"/>
          <w:szCs w:val="22"/>
        </w:rPr>
        <w:t xml:space="preserve">  </w:t>
      </w:r>
      <w:r w:rsidRPr="005527E5" w:rsidR="00C62577">
        <w:rPr>
          <w:sz w:val="22"/>
          <w:szCs w:val="22"/>
        </w:rPr>
        <w:t xml:space="preserve"> </w:t>
      </w:r>
      <w:r w:rsidRPr="005527E5" w:rsidR="00433C35">
        <w:rPr>
          <w:sz w:val="22"/>
          <w:szCs w:val="22"/>
        </w:rPr>
        <w:t xml:space="preserve">              </w:t>
      </w:r>
      <w:r w:rsidRPr="005527E5" w:rsidR="00BA4C87">
        <w:rPr>
          <w:sz w:val="22"/>
          <w:szCs w:val="22"/>
        </w:rPr>
        <w:t xml:space="preserve">      </w:t>
      </w:r>
      <w:r w:rsidR="005527E5">
        <w:rPr>
          <w:sz w:val="22"/>
          <w:szCs w:val="22"/>
        </w:rPr>
        <w:t xml:space="preserve">           </w:t>
      </w:r>
      <w:r w:rsidRPr="005527E5" w:rsidR="00BA4C87">
        <w:rPr>
          <w:sz w:val="22"/>
          <w:szCs w:val="22"/>
        </w:rPr>
        <w:t xml:space="preserve"> </w:t>
      </w:r>
      <w:r w:rsidRPr="005527E5" w:rsidR="00433C35">
        <w:rPr>
          <w:sz w:val="22"/>
          <w:szCs w:val="22"/>
        </w:rPr>
        <w:t xml:space="preserve">220 engineering hours x $250/hour =  </w:t>
      </w:r>
      <w:r w:rsidRPr="005527E5" w:rsidR="00BA4C87">
        <w:rPr>
          <w:sz w:val="22"/>
          <w:szCs w:val="22"/>
        </w:rPr>
        <w:t xml:space="preserve"> </w:t>
      </w:r>
      <w:r w:rsidRPr="005527E5" w:rsidR="00433C35">
        <w:rPr>
          <w:sz w:val="22"/>
          <w:szCs w:val="22"/>
        </w:rPr>
        <w:t xml:space="preserve">$  </w:t>
      </w:r>
      <w:r w:rsidR="005527E5">
        <w:rPr>
          <w:sz w:val="22"/>
          <w:szCs w:val="22"/>
        </w:rPr>
        <w:t xml:space="preserve">  </w:t>
      </w:r>
      <w:r w:rsidRPr="005527E5" w:rsidR="00433C35">
        <w:rPr>
          <w:sz w:val="22"/>
          <w:szCs w:val="22"/>
        </w:rPr>
        <w:t xml:space="preserve">  </w:t>
      </w:r>
      <w:r w:rsidR="005527E5">
        <w:rPr>
          <w:sz w:val="22"/>
          <w:szCs w:val="22"/>
        </w:rPr>
        <w:t xml:space="preserve"> </w:t>
      </w:r>
      <w:r w:rsidRPr="005527E5" w:rsidR="00433C35">
        <w:rPr>
          <w:sz w:val="22"/>
          <w:szCs w:val="22"/>
        </w:rPr>
        <w:t>55,000</w:t>
      </w:r>
    </w:p>
    <w:p w:rsidRPr="005527E5" w:rsidR="0095358C" w:rsidP="0095358C" w:rsidRDefault="00433C35" w14:paraId="6C6B41AC" w14:textId="77777777">
      <w:pPr>
        <w:suppressAutoHyphens/>
        <w:jc w:val="both"/>
        <w:rPr>
          <w:spacing w:val="-3"/>
          <w:sz w:val="22"/>
          <w:szCs w:val="22"/>
        </w:rPr>
      </w:pPr>
      <w:r w:rsidRPr="005527E5">
        <w:rPr>
          <w:spacing w:val="-3"/>
          <w:sz w:val="22"/>
          <w:szCs w:val="22"/>
        </w:rPr>
        <w:t xml:space="preserve">3. </w:t>
      </w:r>
      <w:r w:rsidRPr="005527E5" w:rsidR="0095358C">
        <w:rPr>
          <w:spacing w:val="-3"/>
          <w:sz w:val="22"/>
          <w:szCs w:val="22"/>
        </w:rPr>
        <w:t xml:space="preserve">Section 74.790(e)     </w:t>
      </w:r>
      <w:r w:rsidRPr="005527E5" w:rsidR="0095358C">
        <w:rPr>
          <w:spacing w:val="-3"/>
          <w:sz w:val="22"/>
          <w:szCs w:val="22"/>
        </w:rPr>
        <w:tab/>
      </w:r>
      <w:r w:rsidRPr="005527E5" w:rsidR="0095358C">
        <w:rPr>
          <w:spacing w:val="-3"/>
          <w:sz w:val="22"/>
          <w:szCs w:val="22"/>
        </w:rPr>
        <w:tab/>
        <w:t xml:space="preserve"> </w:t>
      </w:r>
      <w:r w:rsidRPr="005527E5" w:rsidR="0095358C">
        <w:rPr>
          <w:spacing w:val="-3"/>
          <w:sz w:val="22"/>
          <w:szCs w:val="22"/>
        </w:rPr>
        <w:tab/>
      </w:r>
      <w:r w:rsidRPr="005527E5" w:rsidR="0095358C">
        <w:rPr>
          <w:spacing w:val="-3"/>
          <w:sz w:val="22"/>
          <w:szCs w:val="22"/>
        </w:rPr>
        <w:tab/>
        <w:t xml:space="preserve">       1,000 purchases x $15,000/purchase =  $15,000,000</w:t>
      </w:r>
    </w:p>
    <w:p w:rsidRPr="005527E5" w:rsidR="0095358C" w:rsidP="0095358C" w:rsidRDefault="00433C35" w14:paraId="69C35C31" w14:textId="77777777">
      <w:pPr>
        <w:suppressAutoHyphens/>
        <w:jc w:val="both"/>
        <w:rPr>
          <w:spacing w:val="-3"/>
          <w:sz w:val="22"/>
          <w:szCs w:val="22"/>
        </w:rPr>
      </w:pPr>
      <w:r w:rsidRPr="005527E5">
        <w:rPr>
          <w:spacing w:val="-3"/>
          <w:sz w:val="22"/>
          <w:szCs w:val="22"/>
        </w:rPr>
        <w:t>4</w:t>
      </w:r>
      <w:r w:rsidRPr="005527E5" w:rsidR="0095358C">
        <w:rPr>
          <w:spacing w:val="-3"/>
          <w:sz w:val="22"/>
          <w:szCs w:val="22"/>
        </w:rPr>
        <w:t>. Section 74.790(f)</w:t>
      </w:r>
      <w:r w:rsidRPr="005527E5" w:rsidR="0095358C">
        <w:rPr>
          <w:spacing w:val="-3"/>
          <w:sz w:val="22"/>
          <w:szCs w:val="22"/>
        </w:rPr>
        <w:tab/>
      </w:r>
      <w:r w:rsidRPr="005527E5" w:rsidR="0095358C">
        <w:rPr>
          <w:spacing w:val="-3"/>
          <w:sz w:val="22"/>
          <w:szCs w:val="22"/>
        </w:rPr>
        <w:tab/>
      </w:r>
      <w:r w:rsidRPr="005527E5" w:rsidR="0095358C">
        <w:rPr>
          <w:spacing w:val="-3"/>
          <w:sz w:val="22"/>
          <w:szCs w:val="22"/>
        </w:rPr>
        <w:tab/>
      </w:r>
      <w:r w:rsidRPr="005527E5" w:rsidR="0095358C">
        <w:rPr>
          <w:spacing w:val="-3"/>
          <w:sz w:val="22"/>
          <w:szCs w:val="22"/>
        </w:rPr>
        <w:tab/>
        <w:t xml:space="preserve">   4,000 purchases x $8,000/purchase    =     $32,000,000</w:t>
      </w:r>
    </w:p>
    <w:p w:rsidRPr="005527E5" w:rsidR="0095358C" w:rsidP="0095358C" w:rsidRDefault="00433C35" w14:paraId="06B4B59F" w14:textId="77777777">
      <w:pPr>
        <w:rPr>
          <w:sz w:val="22"/>
          <w:szCs w:val="22"/>
        </w:rPr>
      </w:pPr>
      <w:r w:rsidRPr="005527E5">
        <w:rPr>
          <w:spacing w:val="-3"/>
          <w:sz w:val="22"/>
          <w:szCs w:val="22"/>
        </w:rPr>
        <w:t>5</w:t>
      </w:r>
      <w:r w:rsidRPr="005527E5" w:rsidR="0095358C">
        <w:rPr>
          <w:spacing w:val="-3"/>
          <w:sz w:val="22"/>
          <w:szCs w:val="22"/>
        </w:rPr>
        <w:t xml:space="preserve">. Section 74.794       </w:t>
      </w:r>
      <w:r w:rsidRPr="005527E5" w:rsidR="0095358C">
        <w:rPr>
          <w:spacing w:val="-3"/>
          <w:sz w:val="22"/>
          <w:szCs w:val="22"/>
        </w:rPr>
        <w:tab/>
      </w:r>
      <w:r w:rsidRPr="005527E5" w:rsidR="0095358C">
        <w:rPr>
          <w:spacing w:val="-3"/>
          <w:sz w:val="22"/>
          <w:szCs w:val="22"/>
        </w:rPr>
        <w:tab/>
      </w:r>
      <w:r w:rsidRPr="005527E5" w:rsidR="0095358C">
        <w:rPr>
          <w:spacing w:val="-3"/>
          <w:sz w:val="22"/>
          <w:szCs w:val="22"/>
        </w:rPr>
        <w:tab/>
      </w:r>
      <w:r w:rsidRPr="005527E5" w:rsidR="0095358C">
        <w:rPr>
          <w:spacing w:val="-3"/>
          <w:sz w:val="22"/>
          <w:szCs w:val="22"/>
        </w:rPr>
        <w:tab/>
        <w:t xml:space="preserve">      7</w:t>
      </w:r>
      <w:r w:rsidRPr="005527E5" w:rsidR="0095358C">
        <w:rPr>
          <w:sz w:val="22"/>
          <w:szCs w:val="22"/>
        </w:rPr>
        <w:t xml:space="preserve">,250 </w:t>
      </w:r>
      <w:r w:rsidRPr="005527E5" w:rsidR="0095358C">
        <w:rPr>
          <w:spacing w:val="-3"/>
          <w:sz w:val="22"/>
          <w:szCs w:val="22"/>
        </w:rPr>
        <w:t xml:space="preserve">purchases x </w:t>
      </w:r>
      <w:r w:rsidRPr="005527E5" w:rsidR="0095358C">
        <w:rPr>
          <w:sz w:val="22"/>
          <w:szCs w:val="22"/>
        </w:rPr>
        <w:t>$1,248/purchase =    $ 9,048,000</w:t>
      </w:r>
    </w:p>
    <w:p w:rsidRPr="005527E5" w:rsidR="0095358C" w:rsidP="0095358C" w:rsidRDefault="00433C35" w14:paraId="5DA844DD" w14:textId="77777777">
      <w:pPr>
        <w:pStyle w:val="ParaNum"/>
        <w:numPr>
          <w:ilvl w:val="0"/>
          <w:numId w:val="0"/>
        </w:numPr>
        <w:tabs>
          <w:tab w:val="left" w:pos="360"/>
        </w:tabs>
        <w:spacing w:after="0"/>
        <w:rPr>
          <w:szCs w:val="22"/>
          <w:u w:val="single"/>
        </w:rPr>
      </w:pPr>
      <w:r w:rsidRPr="005527E5">
        <w:rPr>
          <w:spacing w:val="-3"/>
          <w:szCs w:val="22"/>
        </w:rPr>
        <w:t>6</w:t>
      </w:r>
      <w:r w:rsidRPr="005527E5" w:rsidR="0095358C">
        <w:rPr>
          <w:spacing w:val="-3"/>
          <w:szCs w:val="22"/>
        </w:rPr>
        <w:t xml:space="preserve">. Section 74.796(b)(6)   </w:t>
      </w:r>
      <w:r w:rsidRPr="005527E5" w:rsidR="0095358C">
        <w:rPr>
          <w:spacing w:val="-3"/>
          <w:szCs w:val="22"/>
        </w:rPr>
        <w:tab/>
      </w:r>
      <w:r w:rsidRPr="005527E5" w:rsidR="0095358C">
        <w:rPr>
          <w:spacing w:val="-3"/>
          <w:szCs w:val="22"/>
        </w:rPr>
        <w:tab/>
        <w:t xml:space="preserve">                               1,125</w:t>
      </w:r>
      <w:r w:rsidRPr="005527E5" w:rsidR="0095358C">
        <w:rPr>
          <w:szCs w:val="22"/>
        </w:rPr>
        <w:t xml:space="preserve"> </w:t>
      </w:r>
      <w:r w:rsidRPr="005527E5" w:rsidR="0095358C">
        <w:rPr>
          <w:spacing w:val="-3"/>
          <w:szCs w:val="22"/>
        </w:rPr>
        <w:t xml:space="preserve">purchases x </w:t>
      </w:r>
      <w:r w:rsidRPr="005527E5" w:rsidR="0095358C">
        <w:rPr>
          <w:szCs w:val="22"/>
        </w:rPr>
        <w:t>$5,000/purchase   =     $ 5,625,000</w:t>
      </w:r>
    </w:p>
    <w:p w:rsidRPr="005527E5" w:rsidR="0095358C" w:rsidP="0095358C" w:rsidRDefault="00433C35" w14:paraId="1B66C3A7" w14:textId="77777777">
      <w:pPr>
        <w:pStyle w:val="ParaNum"/>
        <w:numPr>
          <w:ilvl w:val="0"/>
          <w:numId w:val="0"/>
        </w:numPr>
        <w:tabs>
          <w:tab w:val="left" w:pos="360"/>
        </w:tabs>
        <w:spacing w:after="0"/>
        <w:rPr>
          <w:szCs w:val="22"/>
          <w:u w:val="single"/>
        </w:rPr>
      </w:pPr>
      <w:r w:rsidRPr="005527E5">
        <w:rPr>
          <w:szCs w:val="22"/>
        </w:rPr>
        <w:t>7</w:t>
      </w:r>
      <w:r w:rsidRPr="005527E5" w:rsidR="0095358C">
        <w:rPr>
          <w:szCs w:val="22"/>
        </w:rPr>
        <w:t>. Protection of analog stations</w:t>
      </w:r>
      <w:r w:rsidRPr="005527E5" w:rsidR="0095358C">
        <w:rPr>
          <w:szCs w:val="22"/>
        </w:rPr>
        <w:tab/>
      </w:r>
      <w:r w:rsidRPr="005527E5" w:rsidR="0095358C">
        <w:rPr>
          <w:szCs w:val="22"/>
        </w:rPr>
        <w:tab/>
      </w:r>
      <w:r w:rsidRPr="005527E5" w:rsidR="0095358C">
        <w:rPr>
          <w:szCs w:val="22"/>
        </w:rPr>
        <w:tab/>
        <w:t xml:space="preserve">    725 purchases x $10,000/purchase =      </w:t>
      </w:r>
      <w:r w:rsidRPr="005527E5" w:rsidR="0095358C">
        <w:rPr>
          <w:szCs w:val="22"/>
          <w:u w:val="single"/>
        </w:rPr>
        <w:t>$ 7,250,000</w:t>
      </w:r>
    </w:p>
    <w:p w:rsidR="0095358C" w:rsidP="0095358C" w:rsidRDefault="0095358C" w14:paraId="506CB0B0" w14:textId="77777777">
      <w:pPr>
        <w:pStyle w:val="ParaNum"/>
        <w:numPr>
          <w:ilvl w:val="0"/>
          <w:numId w:val="0"/>
        </w:numPr>
        <w:tabs>
          <w:tab w:val="left" w:pos="360"/>
        </w:tabs>
        <w:spacing w:after="0"/>
        <w:rPr>
          <w:b/>
          <w:szCs w:val="22"/>
        </w:rPr>
      </w:pPr>
      <w:r w:rsidRPr="005527E5">
        <w:rPr>
          <w:szCs w:val="22"/>
        </w:rPr>
        <w:t xml:space="preserve">         </w:t>
      </w:r>
      <w:r w:rsidRPr="005527E5">
        <w:rPr>
          <w:b/>
          <w:szCs w:val="22"/>
        </w:rPr>
        <w:t xml:space="preserve">Total Annual Cost Burden:                                                                                           </w:t>
      </w:r>
      <w:r w:rsidRPr="005527E5" w:rsidR="006C3D8F">
        <w:rPr>
          <w:b/>
          <w:szCs w:val="22"/>
        </w:rPr>
        <w:t>$6</w:t>
      </w:r>
      <w:r w:rsidRPr="005527E5" w:rsidR="008D0BDB">
        <w:rPr>
          <w:b/>
          <w:szCs w:val="22"/>
        </w:rPr>
        <w:t>9</w:t>
      </w:r>
      <w:r w:rsidRPr="005527E5" w:rsidR="006C3D8F">
        <w:rPr>
          <w:b/>
          <w:szCs w:val="22"/>
        </w:rPr>
        <w:t>,</w:t>
      </w:r>
      <w:r w:rsidRPr="005527E5" w:rsidR="008D0BDB">
        <w:rPr>
          <w:b/>
          <w:szCs w:val="22"/>
        </w:rPr>
        <w:t>033</w:t>
      </w:r>
      <w:r w:rsidRPr="005527E5" w:rsidR="006C3D8F">
        <w:rPr>
          <w:b/>
          <w:szCs w:val="22"/>
        </w:rPr>
        <w:t>,000</w:t>
      </w:r>
    </w:p>
    <w:p w:rsidR="00253D9A" w:rsidP="0095358C" w:rsidRDefault="00253D9A" w14:paraId="74C333AA" w14:textId="77777777">
      <w:pPr>
        <w:pStyle w:val="ParaNum"/>
        <w:numPr>
          <w:ilvl w:val="0"/>
          <w:numId w:val="0"/>
        </w:numPr>
        <w:tabs>
          <w:tab w:val="left" w:pos="360"/>
        </w:tabs>
        <w:spacing w:after="0"/>
        <w:rPr>
          <w:b/>
          <w:szCs w:val="22"/>
        </w:rPr>
      </w:pPr>
    </w:p>
    <w:p w:rsidR="00253D9A" w:rsidP="0095358C" w:rsidRDefault="00253D9A" w14:paraId="7FA1F7E4" w14:textId="77777777">
      <w:pPr>
        <w:pStyle w:val="ParaNum"/>
        <w:numPr>
          <w:ilvl w:val="0"/>
          <w:numId w:val="0"/>
        </w:numPr>
        <w:tabs>
          <w:tab w:val="left" w:pos="360"/>
        </w:tabs>
        <w:spacing w:after="0"/>
        <w:rPr>
          <w:b/>
          <w:szCs w:val="22"/>
        </w:rPr>
      </w:pPr>
    </w:p>
    <w:p w:rsidR="00253D9A" w:rsidP="0095358C" w:rsidRDefault="00253D9A" w14:paraId="03AFDED7" w14:textId="77777777">
      <w:pPr>
        <w:pStyle w:val="ParaNum"/>
        <w:numPr>
          <w:ilvl w:val="0"/>
          <w:numId w:val="0"/>
        </w:numPr>
        <w:tabs>
          <w:tab w:val="left" w:pos="360"/>
        </w:tabs>
        <w:spacing w:after="0"/>
        <w:rPr>
          <w:b/>
          <w:szCs w:val="22"/>
        </w:rPr>
      </w:pPr>
    </w:p>
    <w:p w:rsidR="00253D9A" w:rsidP="0095358C" w:rsidRDefault="00253D9A" w14:paraId="0D049F12" w14:textId="77777777">
      <w:pPr>
        <w:pStyle w:val="ParaNum"/>
        <w:numPr>
          <w:ilvl w:val="0"/>
          <w:numId w:val="0"/>
        </w:numPr>
        <w:tabs>
          <w:tab w:val="left" w:pos="360"/>
        </w:tabs>
        <w:spacing w:after="0"/>
        <w:rPr>
          <w:b/>
          <w:szCs w:val="22"/>
        </w:rPr>
      </w:pPr>
    </w:p>
    <w:p w:rsidR="00253D9A" w:rsidP="0095358C" w:rsidRDefault="00253D9A" w14:paraId="05573B87" w14:textId="77777777">
      <w:pPr>
        <w:pStyle w:val="ParaNum"/>
        <w:numPr>
          <w:ilvl w:val="0"/>
          <w:numId w:val="0"/>
        </w:numPr>
        <w:tabs>
          <w:tab w:val="left" w:pos="360"/>
        </w:tabs>
        <w:spacing w:after="0"/>
        <w:rPr>
          <w:b/>
          <w:szCs w:val="22"/>
        </w:rPr>
      </w:pPr>
    </w:p>
    <w:p w:rsidR="00253D9A" w:rsidP="0095358C" w:rsidRDefault="00253D9A" w14:paraId="7E93502E" w14:textId="77777777">
      <w:pPr>
        <w:pStyle w:val="ParaNum"/>
        <w:numPr>
          <w:ilvl w:val="0"/>
          <w:numId w:val="0"/>
        </w:numPr>
        <w:tabs>
          <w:tab w:val="left" w:pos="360"/>
        </w:tabs>
        <w:spacing w:after="0"/>
        <w:rPr>
          <w:b/>
          <w:szCs w:val="22"/>
        </w:rPr>
      </w:pPr>
    </w:p>
    <w:p w:rsidR="00253D9A" w:rsidP="0095358C" w:rsidRDefault="00253D9A" w14:paraId="7477E001" w14:textId="77777777">
      <w:pPr>
        <w:pStyle w:val="ParaNum"/>
        <w:numPr>
          <w:ilvl w:val="0"/>
          <w:numId w:val="0"/>
        </w:numPr>
        <w:tabs>
          <w:tab w:val="left" w:pos="360"/>
        </w:tabs>
        <w:spacing w:after="0"/>
        <w:rPr>
          <w:b/>
          <w:szCs w:val="22"/>
        </w:rPr>
      </w:pPr>
    </w:p>
    <w:p w:rsidR="00253D9A" w:rsidP="0095358C" w:rsidRDefault="00253D9A" w14:paraId="35D98AC3" w14:textId="77777777">
      <w:pPr>
        <w:pStyle w:val="ParaNum"/>
        <w:numPr>
          <w:ilvl w:val="0"/>
          <w:numId w:val="0"/>
        </w:numPr>
        <w:tabs>
          <w:tab w:val="left" w:pos="360"/>
        </w:tabs>
        <w:spacing w:after="0"/>
        <w:rPr>
          <w:b/>
          <w:szCs w:val="22"/>
        </w:rPr>
      </w:pPr>
    </w:p>
    <w:p w:rsidRPr="005527E5" w:rsidR="00253D9A" w:rsidP="0095358C" w:rsidRDefault="00253D9A" w14:paraId="75AD332D" w14:textId="77777777">
      <w:pPr>
        <w:pStyle w:val="ParaNum"/>
        <w:numPr>
          <w:ilvl w:val="0"/>
          <w:numId w:val="0"/>
        </w:numPr>
        <w:tabs>
          <w:tab w:val="left" w:pos="360"/>
        </w:tabs>
        <w:spacing w:after="0"/>
        <w:rPr>
          <w:b/>
          <w:szCs w:val="22"/>
        </w:rPr>
      </w:pPr>
    </w:p>
    <w:p w:rsidRPr="00E04D07" w:rsidR="009B1156" w:rsidP="0095358C" w:rsidRDefault="009B1156" w14:paraId="10914B79" w14:textId="77777777">
      <w:pPr>
        <w:pStyle w:val="ParaNum"/>
        <w:numPr>
          <w:ilvl w:val="0"/>
          <w:numId w:val="0"/>
        </w:numPr>
        <w:tabs>
          <w:tab w:val="left" w:pos="360"/>
        </w:tabs>
        <w:spacing w:after="0"/>
        <w:rPr>
          <w:b/>
          <w:szCs w:val="22"/>
        </w:rPr>
      </w:pPr>
    </w:p>
    <w:p w:rsidRPr="00E04D07" w:rsidR="0095358C" w:rsidP="0095358C" w:rsidRDefault="0095358C" w14:paraId="310919D4" w14:textId="1C96ED04">
      <w:pPr>
        <w:suppressAutoHyphens/>
        <w:jc w:val="both"/>
        <w:rPr>
          <w:spacing w:val="-3"/>
          <w:szCs w:val="24"/>
        </w:rPr>
      </w:pPr>
      <w:r w:rsidRPr="00E04D07">
        <w:rPr>
          <w:szCs w:val="24"/>
        </w:rPr>
        <w:lastRenderedPageBreak/>
        <w:t xml:space="preserve">14.  Cost to the Federal Government: </w:t>
      </w:r>
      <w:r w:rsidRPr="00E04D07">
        <w:rPr>
          <w:spacing w:val="-3"/>
          <w:szCs w:val="24"/>
        </w:rPr>
        <w:t xml:space="preserve">  The Commission will use engineering staff</w:t>
      </w:r>
      <w:r w:rsidRPr="00E04D07" w:rsidR="00C62577">
        <w:rPr>
          <w:spacing w:val="-3"/>
          <w:szCs w:val="24"/>
        </w:rPr>
        <w:t>,</w:t>
      </w:r>
      <w:r w:rsidRPr="00E04D07">
        <w:rPr>
          <w:spacing w:val="-3"/>
          <w:szCs w:val="24"/>
        </w:rPr>
        <w:t xml:space="preserve"> GS-14, step 5 ($</w:t>
      </w:r>
      <w:r w:rsidR="009978DC">
        <w:rPr>
          <w:spacing w:val="-3"/>
          <w:szCs w:val="24"/>
        </w:rPr>
        <w:t>6</w:t>
      </w:r>
      <w:r w:rsidR="001D2916">
        <w:rPr>
          <w:spacing w:val="-3"/>
          <w:szCs w:val="24"/>
        </w:rPr>
        <w:t>6.54</w:t>
      </w:r>
      <w:r w:rsidRPr="00E04D07">
        <w:rPr>
          <w:spacing w:val="-3"/>
          <w:szCs w:val="24"/>
        </w:rPr>
        <w:t xml:space="preserve">/hour) to review attachments to FCC Form 346 pursuant to Section 74.787, settlement agreements, and technical issues.  </w:t>
      </w:r>
      <w:r w:rsidRPr="00E04D07" w:rsidR="0062706B">
        <w:rPr>
          <w:spacing w:val="-3"/>
          <w:szCs w:val="24"/>
        </w:rPr>
        <w:t>Industry Analysts</w:t>
      </w:r>
      <w:r w:rsidRPr="00E04D07" w:rsidR="00C62577">
        <w:rPr>
          <w:spacing w:val="-3"/>
          <w:szCs w:val="24"/>
        </w:rPr>
        <w:t>,</w:t>
      </w:r>
      <w:r w:rsidR="00FE2506">
        <w:rPr>
          <w:spacing w:val="-3"/>
          <w:szCs w:val="24"/>
        </w:rPr>
        <w:t xml:space="preserve"> GS-13, step 5 ($</w:t>
      </w:r>
      <w:r w:rsidR="001D2916">
        <w:rPr>
          <w:spacing w:val="-3"/>
          <w:szCs w:val="24"/>
        </w:rPr>
        <w:t>56.31</w:t>
      </w:r>
      <w:r w:rsidRPr="00E04D07" w:rsidR="0062706B">
        <w:rPr>
          <w:spacing w:val="-3"/>
          <w:szCs w:val="24"/>
        </w:rPr>
        <w:t xml:space="preserve">/hour) will review certain notification issues.  </w:t>
      </w:r>
      <w:r w:rsidRPr="00E04D07">
        <w:rPr>
          <w:spacing w:val="-3"/>
          <w:szCs w:val="24"/>
        </w:rPr>
        <w:t xml:space="preserve">The average processing time for this work is 0.5 to </w:t>
      </w:r>
      <w:r w:rsidRPr="00E04D07" w:rsidR="0062706B">
        <w:rPr>
          <w:spacing w:val="-3"/>
          <w:szCs w:val="24"/>
        </w:rPr>
        <w:t>2</w:t>
      </w:r>
      <w:r w:rsidRPr="00E04D07">
        <w:rPr>
          <w:spacing w:val="-3"/>
          <w:szCs w:val="24"/>
        </w:rPr>
        <w:t xml:space="preserve"> hours.</w:t>
      </w:r>
    </w:p>
    <w:p w:rsidRPr="00E04D07" w:rsidR="0095358C" w:rsidP="0095358C" w:rsidRDefault="0095358C" w14:paraId="4530AEAF" w14:textId="77777777">
      <w:pPr>
        <w:suppressAutoHyphens/>
        <w:jc w:val="both"/>
        <w:rPr>
          <w:spacing w:val="-3"/>
          <w:szCs w:val="24"/>
        </w:rPr>
      </w:pPr>
    </w:p>
    <w:p w:rsidRPr="00E04D07" w:rsidR="0095358C" w:rsidP="0095358C" w:rsidRDefault="0095358C" w14:paraId="77AA5327" w14:textId="5D797561">
      <w:pPr>
        <w:suppressAutoHyphens/>
        <w:jc w:val="both"/>
        <w:rPr>
          <w:spacing w:val="-3"/>
          <w:szCs w:val="24"/>
        </w:rPr>
      </w:pPr>
      <w:r w:rsidRPr="00E04D07">
        <w:rPr>
          <w:spacing w:val="-3"/>
          <w:szCs w:val="24"/>
        </w:rPr>
        <w:t xml:space="preserve"> </w:t>
      </w:r>
      <w:r w:rsidRPr="00E04D07">
        <w:rPr>
          <w:spacing w:val="-3"/>
          <w:szCs w:val="24"/>
        </w:rPr>
        <w:tab/>
        <w:t xml:space="preserve">1,720 settlement agreements x 2 hours x </w:t>
      </w:r>
      <w:bookmarkStart w:name="OLE_LINK3" w:id="1"/>
      <w:r w:rsidRPr="00E04D07">
        <w:rPr>
          <w:spacing w:val="-3"/>
          <w:szCs w:val="24"/>
        </w:rPr>
        <w:t>$</w:t>
      </w:r>
      <w:r w:rsidR="009978DC">
        <w:rPr>
          <w:spacing w:val="-3"/>
          <w:szCs w:val="24"/>
        </w:rPr>
        <w:t>6</w:t>
      </w:r>
      <w:r w:rsidR="001D2916">
        <w:rPr>
          <w:spacing w:val="-3"/>
          <w:szCs w:val="24"/>
        </w:rPr>
        <w:t>6.54</w:t>
      </w:r>
      <w:r w:rsidR="00FE2506">
        <w:rPr>
          <w:spacing w:val="-3"/>
          <w:szCs w:val="24"/>
        </w:rPr>
        <w:t>/</w:t>
      </w:r>
      <w:r w:rsidRPr="00E04D07">
        <w:rPr>
          <w:spacing w:val="-3"/>
          <w:szCs w:val="24"/>
        </w:rPr>
        <w:t xml:space="preserve">hour  </w:t>
      </w:r>
      <w:bookmarkEnd w:id="1"/>
      <w:r w:rsidRPr="00E04D07">
        <w:rPr>
          <w:spacing w:val="-3"/>
          <w:szCs w:val="24"/>
        </w:rPr>
        <w:t xml:space="preserve">  </w:t>
      </w:r>
      <w:r w:rsidR="00FE2506">
        <w:rPr>
          <w:spacing w:val="-3"/>
          <w:szCs w:val="24"/>
        </w:rPr>
        <w:t xml:space="preserve">  =                           $2</w:t>
      </w:r>
      <w:r w:rsidR="001D2916">
        <w:rPr>
          <w:spacing w:val="-3"/>
          <w:szCs w:val="24"/>
        </w:rPr>
        <w:t>28,897.60</w:t>
      </w:r>
    </w:p>
    <w:p w:rsidRPr="00E04D07" w:rsidR="0095358C" w:rsidP="0095358C" w:rsidRDefault="0095358C" w14:paraId="5C44E85E" w14:textId="1717BC7E">
      <w:pPr>
        <w:suppressAutoHyphens/>
        <w:jc w:val="both"/>
        <w:rPr>
          <w:spacing w:val="-3"/>
          <w:szCs w:val="24"/>
        </w:rPr>
      </w:pPr>
      <w:r w:rsidRPr="00E04D07">
        <w:rPr>
          <w:spacing w:val="-3"/>
          <w:szCs w:val="24"/>
        </w:rPr>
        <w:tab/>
      </w:r>
      <w:r w:rsidRPr="00E04D07" w:rsidR="008D0BDB">
        <w:rPr>
          <w:spacing w:val="-3"/>
          <w:szCs w:val="24"/>
        </w:rPr>
        <w:t>2</w:t>
      </w:r>
      <w:r w:rsidRPr="00E04D07">
        <w:rPr>
          <w:spacing w:val="-3"/>
          <w:szCs w:val="24"/>
        </w:rPr>
        <w:t>00 attachments pursuant to Section 74.787 x 1 hour x $</w:t>
      </w:r>
      <w:r w:rsidR="009978DC">
        <w:rPr>
          <w:spacing w:val="-3"/>
          <w:szCs w:val="24"/>
        </w:rPr>
        <w:t>6</w:t>
      </w:r>
      <w:r w:rsidR="001D2916">
        <w:rPr>
          <w:spacing w:val="-3"/>
          <w:szCs w:val="24"/>
        </w:rPr>
        <w:t>6.54</w:t>
      </w:r>
      <w:r w:rsidRPr="00E04D07">
        <w:rPr>
          <w:spacing w:val="-3"/>
          <w:szCs w:val="24"/>
        </w:rPr>
        <w:t xml:space="preserve">/hour =         $  </w:t>
      </w:r>
      <w:r w:rsidR="00FE2506">
        <w:rPr>
          <w:spacing w:val="-3"/>
          <w:szCs w:val="24"/>
        </w:rPr>
        <w:t>1</w:t>
      </w:r>
      <w:r w:rsidR="001D2916">
        <w:rPr>
          <w:spacing w:val="-3"/>
          <w:szCs w:val="24"/>
        </w:rPr>
        <w:t>3,308</w:t>
      </w:r>
      <w:r w:rsidRPr="00E04D07">
        <w:rPr>
          <w:spacing w:val="-3"/>
          <w:szCs w:val="24"/>
        </w:rPr>
        <w:t>.00</w:t>
      </w:r>
    </w:p>
    <w:p w:rsidRPr="00E04D07" w:rsidR="0062706B" w:rsidP="0095358C" w:rsidRDefault="0095358C" w14:paraId="5A9338E3" w14:textId="2F43ABC4">
      <w:pPr>
        <w:suppressAutoHyphens/>
        <w:jc w:val="both"/>
        <w:rPr>
          <w:spacing w:val="-3"/>
          <w:szCs w:val="24"/>
        </w:rPr>
      </w:pPr>
      <w:r w:rsidRPr="00E04D07">
        <w:rPr>
          <w:spacing w:val="-3"/>
          <w:szCs w:val="24"/>
        </w:rPr>
        <w:tab/>
        <w:t xml:space="preserve">  10 attachments pursuant to Section 74.787 x 0.5 hours x $</w:t>
      </w:r>
      <w:r w:rsidR="009978DC">
        <w:rPr>
          <w:spacing w:val="-3"/>
          <w:szCs w:val="24"/>
        </w:rPr>
        <w:t>6</w:t>
      </w:r>
      <w:r w:rsidR="001D2916">
        <w:rPr>
          <w:spacing w:val="-3"/>
          <w:szCs w:val="24"/>
        </w:rPr>
        <w:t>6.54</w:t>
      </w:r>
      <w:r w:rsidR="00FE2506">
        <w:rPr>
          <w:spacing w:val="-3"/>
          <w:szCs w:val="24"/>
        </w:rPr>
        <w:t>/</w:t>
      </w:r>
      <w:r w:rsidRPr="00E04D07">
        <w:rPr>
          <w:spacing w:val="-3"/>
          <w:szCs w:val="24"/>
        </w:rPr>
        <w:t xml:space="preserve">hour =    $      </w:t>
      </w:r>
      <w:r w:rsidR="005527E5">
        <w:rPr>
          <w:spacing w:val="-3"/>
          <w:szCs w:val="24"/>
        </w:rPr>
        <w:t xml:space="preserve">  </w:t>
      </w:r>
      <w:r w:rsidR="009978DC">
        <w:rPr>
          <w:spacing w:val="-3"/>
          <w:szCs w:val="24"/>
        </w:rPr>
        <w:t>3</w:t>
      </w:r>
      <w:r w:rsidR="001D2916">
        <w:rPr>
          <w:spacing w:val="-3"/>
          <w:szCs w:val="24"/>
        </w:rPr>
        <w:t>32,70</w:t>
      </w:r>
    </w:p>
    <w:p w:rsidRPr="00E04D07" w:rsidR="0095358C" w:rsidP="0095358C" w:rsidRDefault="0062706B" w14:paraId="5CFA3507" w14:textId="302D1B4D">
      <w:pPr>
        <w:suppressAutoHyphens/>
        <w:jc w:val="both"/>
        <w:rPr>
          <w:spacing w:val="-3"/>
          <w:szCs w:val="24"/>
        </w:rPr>
      </w:pPr>
      <w:r w:rsidRPr="00E04D07">
        <w:rPr>
          <w:spacing w:val="-3"/>
          <w:szCs w:val="24"/>
        </w:rPr>
        <w:tab/>
        <w:t>1,520 submissions with notifica</w:t>
      </w:r>
      <w:r w:rsidR="00FE2506">
        <w:rPr>
          <w:spacing w:val="-3"/>
          <w:szCs w:val="24"/>
        </w:rPr>
        <w:t xml:space="preserve">tion issues x 0.50 hours x </w:t>
      </w:r>
      <w:r w:rsidR="009978DC">
        <w:rPr>
          <w:spacing w:val="-3"/>
          <w:szCs w:val="24"/>
        </w:rPr>
        <w:t>5</w:t>
      </w:r>
      <w:r w:rsidR="001D2916">
        <w:rPr>
          <w:spacing w:val="-3"/>
          <w:szCs w:val="24"/>
        </w:rPr>
        <w:t>6.31</w:t>
      </w:r>
      <w:r w:rsidRPr="00E04D07">
        <w:rPr>
          <w:spacing w:val="-3"/>
          <w:szCs w:val="24"/>
        </w:rPr>
        <w:t xml:space="preserve">/hour =      </w:t>
      </w:r>
      <w:r w:rsidR="005527E5">
        <w:rPr>
          <w:spacing w:val="-3"/>
          <w:szCs w:val="24"/>
        </w:rPr>
        <w:t xml:space="preserve"> </w:t>
      </w:r>
      <w:r w:rsidRPr="00E04D07">
        <w:rPr>
          <w:spacing w:val="-3"/>
          <w:szCs w:val="24"/>
          <w:u w:val="single"/>
        </w:rPr>
        <w:t>$</w:t>
      </w:r>
      <w:r w:rsidRPr="00E04D07" w:rsidR="0095358C">
        <w:rPr>
          <w:spacing w:val="-3"/>
          <w:szCs w:val="24"/>
          <w:u w:val="single"/>
        </w:rPr>
        <w:t xml:space="preserve"> </w:t>
      </w:r>
      <w:r w:rsidR="00FE2506">
        <w:rPr>
          <w:spacing w:val="-3"/>
          <w:szCs w:val="24"/>
          <w:u w:val="single"/>
        </w:rPr>
        <w:t xml:space="preserve"> </w:t>
      </w:r>
      <w:r w:rsidR="009978DC">
        <w:rPr>
          <w:spacing w:val="-3"/>
          <w:szCs w:val="24"/>
          <w:u w:val="single"/>
        </w:rPr>
        <w:t>4</w:t>
      </w:r>
      <w:r w:rsidR="001D2916">
        <w:rPr>
          <w:spacing w:val="-3"/>
          <w:szCs w:val="24"/>
          <w:u w:val="single"/>
        </w:rPr>
        <w:t>2,795</w:t>
      </w:r>
      <w:r w:rsidR="00FE2506">
        <w:rPr>
          <w:spacing w:val="-3"/>
          <w:szCs w:val="24"/>
          <w:u w:val="single"/>
        </w:rPr>
        <w:t>.</w:t>
      </w:r>
      <w:r w:rsidR="009978DC">
        <w:rPr>
          <w:spacing w:val="-3"/>
          <w:szCs w:val="24"/>
          <w:u w:val="single"/>
        </w:rPr>
        <w:t>6</w:t>
      </w:r>
      <w:r w:rsidR="00FE2506">
        <w:rPr>
          <w:spacing w:val="-3"/>
          <w:szCs w:val="24"/>
          <w:u w:val="single"/>
        </w:rPr>
        <w:t>0</w:t>
      </w:r>
    </w:p>
    <w:p w:rsidRPr="00E04D07" w:rsidR="0095358C" w:rsidP="0095358C" w:rsidRDefault="0095358C" w14:paraId="05D14236" w14:textId="757218A0">
      <w:pPr>
        <w:suppressAutoHyphens/>
        <w:rPr>
          <w:b/>
          <w:spacing w:val="-3"/>
          <w:szCs w:val="24"/>
          <w:u w:val="single"/>
        </w:rPr>
      </w:pPr>
      <w:r w:rsidRPr="00E04D07">
        <w:rPr>
          <w:spacing w:val="-3"/>
          <w:szCs w:val="24"/>
        </w:rPr>
        <w:t xml:space="preserve">                                               </w:t>
      </w:r>
      <w:r w:rsidRPr="00E04D07">
        <w:rPr>
          <w:b/>
          <w:spacing w:val="-3"/>
          <w:szCs w:val="24"/>
        </w:rPr>
        <w:t xml:space="preserve">Total Cost to the Federal Government:      </w:t>
      </w:r>
      <w:r w:rsidRPr="00E04D07">
        <w:rPr>
          <w:spacing w:val="-3"/>
          <w:szCs w:val="24"/>
        </w:rPr>
        <w:t xml:space="preserve">          </w:t>
      </w:r>
      <w:r w:rsidRPr="00E04D07" w:rsidR="007D4662">
        <w:rPr>
          <w:spacing w:val="-3"/>
          <w:szCs w:val="24"/>
        </w:rPr>
        <w:t xml:space="preserve">   </w:t>
      </w:r>
      <w:r w:rsidRPr="00E04D07" w:rsidR="007D4662">
        <w:rPr>
          <w:b/>
          <w:spacing w:val="-3"/>
          <w:szCs w:val="24"/>
        </w:rPr>
        <w:t xml:space="preserve"> </w:t>
      </w:r>
      <w:r w:rsidRPr="00E04D07">
        <w:rPr>
          <w:b/>
          <w:spacing w:val="-3"/>
          <w:szCs w:val="24"/>
        </w:rPr>
        <w:t>$</w:t>
      </w:r>
      <w:r w:rsidR="00FE2506">
        <w:rPr>
          <w:b/>
          <w:spacing w:val="-3"/>
          <w:szCs w:val="24"/>
        </w:rPr>
        <w:t>2</w:t>
      </w:r>
      <w:r w:rsidR="001D2916">
        <w:rPr>
          <w:b/>
          <w:spacing w:val="-3"/>
          <w:szCs w:val="24"/>
        </w:rPr>
        <w:t>85,333.90</w:t>
      </w:r>
    </w:p>
    <w:p w:rsidR="00765070" w:rsidP="009B1156" w:rsidRDefault="009B1156" w14:paraId="47E5BDF9" w14:textId="77777777">
      <w:pPr>
        <w:jc w:val="both"/>
        <w:rPr>
          <w:spacing w:val="-3"/>
          <w:szCs w:val="24"/>
        </w:rPr>
      </w:pPr>
      <w:r w:rsidRPr="00E04D07">
        <w:rPr>
          <w:spacing w:val="-3"/>
          <w:szCs w:val="24"/>
        </w:rPr>
        <w:tab/>
      </w:r>
    </w:p>
    <w:p w:rsidRPr="00FE2506" w:rsidR="002D6B1D" w:rsidP="00FE2506" w:rsidRDefault="0095358C" w14:paraId="53B5E7AD" w14:textId="77777777">
      <w:pPr>
        <w:suppressAutoHyphens/>
        <w:jc w:val="both"/>
        <w:rPr>
          <w:spacing w:val="-3"/>
          <w:szCs w:val="24"/>
          <w:u w:val="single"/>
        </w:rPr>
      </w:pPr>
      <w:r w:rsidRPr="00E04D07">
        <w:rPr>
          <w:spacing w:val="-3"/>
          <w:szCs w:val="24"/>
        </w:rPr>
        <w:t>15.</w:t>
      </w:r>
      <w:r w:rsidRPr="00E04D07" w:rsidR="002D6B1D">
        <w:rPr>
          <w:spacing w:val="-3"/>
          <w:szCs w:val="24"/>
        </w:rPr>
        <w:t xml:space="preserve">  There are program changes</w:t>
      </w:r>
      <w:r w:rsidR="0072411C">
        <w:rPr>
          <w:spacing w:val="-3"/>
          <w:szCs w:val="24"/>
        </w:rPr>
        <w:t xml:space="preserve"> or adjustments to this collection.</w:t>
      </w:r>
      <w:r w:rsidR="00FE2506">
        <w:rPr>
          <w:spacing w:val="-3"/>
          <w:szCs w:val="24"/>
        </w:rPr>
        <w:t xml:space="preserve"> </w:t>
      </w:r>
    </w:p>
    <w:p w:rsidRPr="00E04D07" w:rsidR="002D6B1D" w:rsidP="00763AB6" w:rsidRDefault="002D6B1D" w14:paraId="0485B91C" w14:textId="77777777">
      <w:pPr>
        <w:suppressAutoHyphens/>
        <w:rPr>
          <w:spacing w:val="-3"/>
          <w:szCs w:val="24"/>
        </w:rPr>
      </w:pPr>
    </w:p>
    <w:p w:rsidRPr="00E04D07" w:rsidR="0095358C" w:rsidP="00763AB6" w:rsidRDefault="00D96333" w14:paraId="191B11CF" w14:textId="77777777">
      <w:pPr>
        <w:suppressAutoHyphens/>
        <w:rPr>
          <w:szCs w:val="24"/>
        </w:rPr>
      </w:pPr>
      <w:r w:rsidRPr="00E04D07">
        <w:rPr>
          <w:szCs w:val="24"/>
        </w:rPr>
        <w:t xml:space="preserve">16.  </w:t>
      </w:r>
      <w:r w:rsidRPr="00E04D07" w:rsidR="0095358C">
        <w:rPr>
          <w:szCs w:val="24"/>
        </w:rPr>
        <w:t>The data will not be published for statistical use.</w:t>
      </w:r>
    </w:p>
    <w:p w:rsidRPr="00E04D07" w:rsidR="0095358C" w:rsidP="0095358C" w:rsidRDefault="0095358C" w14:paraId="3E86F33D" w14:textId="77777777">
      <w:pPr>
        <w:pStyle w:val="ParaNum"/>
        <w:numPr>
          <w:ilvl w:val="0"/>
          <w:numId w:val="0"/>
        </w:numPr>
        <w:spacing w:after="0"/>
        <w:rPr>
          <w:sz w:val="24"/>
          <w:szCs w:val="24"/>
        </w:rPr>
      </w:pPr>
    </w:p>
    <w:p w:rsidRPr="00E04D07" w:rsidR="0095358C" w:rsidP="0095358C" w:rsidRDefault="0095358C" w14:paraId="5A2E381C" w14:textId="77777777">
      <w:pPr>
        <w:pStyle w:val="ParaNum"/>
        <w:numPr>
          <w:ilvl w:val="0"/>
          <w:numId w:val="0"/>
        </w:numPr>
        <w:tabs>
          <w:tab w:val="left" w:pos="1170"/>
        </w:tabs>
        <w:rPr>
          <w:sz w:val="24"/>
          <w:szCs w:val="24"/>
        </w:rPr>
      </w:pPr>
      <w:r w:rsidRPr="00E04D07">
        <w:rPr>
          <w:snapToGrid w:val="0"/>
          <w:spacing w:val="-3"/>
          <w:szCs w:val="24"/>
        </w:rPr>
        <w:t>1</w:t>
      </w:r>
      <w:r w:rsidRPr="00E04D07" w:rsidR="00D96333">
        <w:rPr>
          <w:snapToGrid w:val="0"/>
          <w:spacing w:val="-3"/>
          <w:szCs w:val="24"/>
        </w:rPr>
        <w:t>7</w:t>
      </w:r>
      <w:r w:rsidRPr="00E04D07">
        <w:rPr>
          <w:snapToGrid w:val="0"/>
          <w:spacing w:val="-3"/>
          <w:szCs w:val="24"/>
        </w:rPr>
        <w:t>.  The expiration date of OMB approval for this information collection will be displayed at 47 CFR 0.408.</w:t>
      </w:r>
    </w:p>
    <w:p w:rsidRPr="00E04D07" w:rsidR="0095358C" w:rsidP="0095358C" w:rsidRDefault="0095358C" w14:paraId="3A2B78EB" w14:textId="77777777">
      <w:pPr>
        <w:pStyle w:val="ParaNum"/>
        <w:numPr>
          <w:ilvl w:val="0"/>
          <w:numId w:val="0"/>
        </w:numPr>
        <w:tabs>
          <w:tab w:val="left" w:pos="1170"/>
        </w:tabs>
        <w:rPr>
          <w:sz w:val="24"/>
          <w:szCs w:val="24"/>
        </w:rPr>
      </w:pPr>
      <w:r w:rsidRPr="00E04D07">
        <w:rPr>
          <w:sz w:val="24"/>
          <w:szCs w:val="24"/>
        </w:rPr>
        <w:t>1</w:t>
      </w:r>
      <w:r w:rsidRPr="00E04D07" w:rsidR="00D96333">
        <w:rPr>
          <w:sz w:val="24"/>
          <w:szCs w:val="24"/>
        </w:rPr>
        <w:t>8</w:t>
      </w:r>
      <w:r w:rsidRPr="00E04D07">
        <w:rPr>
          <w:sz w:val="24"/>
          <w:szCs w:val="24"/>
        </w:rPr>
        <w:t>.</w:t>
      </w:r>
      <w:r w:rsidRPr="00E04D07" w:rsidR="00DE2C04">
        <w:rPr>
          <w:sz w:val="24"/>
          <w:szCs w:val="24"/>
        </w:rPr>
        <w:t xml:space="preserve">  There are no other exceptions to the Certification Statement.</w:t>
      </w:r>
    </w:p>
    <w:p w:rsidRPr="00E04D07" w:rsidR="0095358C" w:rsidP="0095358C" w:rsidRDefault="0095358C" w14:paraId="30CA94AE" w14:textId="77777777">
      <w:pPr>
        <w:pStyle w:val="ParaNum"/>
        <w:numPr>
          <w:ilvl w:val="0"/>
          <w:numId w:val="0"/>
        </w:numPr>
        <w:tabs>
          <w:tab w:val="left" w:pos="1170"/>
        </w:tabs>
        <w:spacing w:after="0"/>
        <w:rPr>
          <w:b/>
          <w:sz w:val="24"/>
          <w:szCs w:val="24"/>
        </w:rPr>
      </w:pPr>
      <w:r w:rsidRPr="00E04D07">
        <w:rPr>
          <w:b/>
          <w:sz w:val="24"/>
          <w:szCs w:val="24"/>
        </w:rPr>
        <w:t>B. Collections of Information employing statistical methods:</w:t>
      </w:r>
    </w:p>
    <w:p w:rsidRPr="00E04D07" w:rsidR="0095358C" w:rsidP="0095358C" w:rsidRDefault="0095358C" w14:paraId="66B6B1B9" w14:textId="77777777">
      <w:pPr>
        <w:pStyle w:val="ParaNum"/>
        <w:numPr>
          <w:ilvl w:val="0"/>
          <w:numId w:val="0"/>
        </w:numPr>
        <w:tabs>
          <w:tab w:val="left" w:pos="1170"/>
        </w:tabs>
        <w:spacing w:after="0"/>
        <w:ind w:firstLine="720"/>
        <w:rPr>
          <w:sz w:val="24"/>
          <w:szCs w:val="24"/>
        </w:rPr>
      </w:pPr>
    </w:p>
    <w:p w:rsidR="0095358C" w:rsidP="00C62577" w:rsidRDefault="0095358C" w14:paraId="09CCF03C" w14:textId="77777777">
      <w:pPr>
        <w:pStyle w:val="ParaNum"/>
        <w:numPr>
          <w:ilvl w:val="0"/>
          <w:numId w:val="0"/>
        </w:numPr>
        <w:tabs>
          <w:tab w:val="left" w:pos="1170"/>
        </w:tabs>
      </w:pPr>
      <w:r w:rsidRPr="00E04D07">
        <w:rPr>
          <w:sz w:val="24"/>
          <w:szCs w:val="24"/>
        </w:rPr>
        <w:t xml:space="preserve">          No statistical methods are employed.</w:t>
      </w:r>
    </w:p>
    <w:sectPr w:rsidR="0095358C" w:rsidSect="0095358C">
      <w:headerReference w:type="default" r:id="rId8"/>
      <w:footerReference w:type="even"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0A3E8" w14:textId="77777777" w:rsidR="00300038" w:rsidRDefault="00300038">
      <w:r>
        <w:separator/>
      </w:r>
    </w:p>
  </w:endnote>
  <w:endnote w:type="continuationSeparator" w:id="0">
    <w:p w14:paraId="281C29C8" w14:textId="77777777" w:rsidR="00300038" w:rsidRDefault="0030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0290" w14:textId="77777777" w:rsidR="0095358C" w:rsidRDefault="0095358C" w:rsidP="00953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214D3" w14:textId="77777777" w:rsidR="0095358C" w:rsidRDefault="00953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26B4" w14:textId="77777777" w:rsidR="0095358C" w:rsidRDefault="0095358C" w:rsidP="00953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0F92">
      <w:rPr>
        <w:rStyle w:val="PageNumber"/>
        <w:noProof/>
      </w:rPr>
      <w:t>7</w:t>
    </w:r>
    <w:r>
      <w:rPr>
        <w:rStyle w:val="PageNumber"/>
      </w:rPr>
      <w:fldChar w:fldCharType="end"/>
    </w:r>
  </w:p>
  <w:p w14:paraId="24C2B3AA" w14:textId="77777777" w:rsidR="0095358C" w:rsidRPr="00727504" w:rsidRDefault="0095358C" w:rsidP="0095358C">
    <w:pPr>
      <w:pStyle w:val="Footer"/>
      <w:jc w:val="center"/>
    </w:pPr>
    <w:r w:rsidRPr="00727504">
      <w:t xml:space="preserve">- </w:t>
    </w:r>
    <w:r w:rsidRPr="0072750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E21A" w14:textId="77777777" w:rsidR="00300038" w:rsidRDefault="00300038">
      <w:r>
        <w:separator/>
      </w:r>
    </w:p>
  </w:footnote>
  <w:footnote w:type="continuationSeparator" w:id="0">
    <w:p w14:paraId="187EA7A3" w14:textId="77777777" w:rsidR="00300038" w:rsidRDefault="00300038">
      <w:r>
        <w:continuationSeparator/>
      </w:r>
    </w:p>
  </w:footnote>
  <w:footnote w:id="1">
    <w:p w14:paraId="0D7F3139" w14:textId="77777777" w:rsidR="0095358C" w:rsidRDefault="0095358C">
      <w:pPr>
        <w:pStyle w:val="FootnoteText"/>
      </w:pPr>
      <w:r>
        <w:rPr>
          <w:rStyle w:val="FootnoteReference"/>
        </w:rPr>
        <w:footnoteRef/>
      </w:r>
      <w:r>
        <w:t xml:space="preserve"> This refers to t</w:t>
      </w:r>
      <w:r w:rsidRPr="00DA4BE2">
        <w:t>wo or more applications for displacement relief that cannot both be granted because of potential interference</w:t>
      </w:r>
      <w:r>
        <w:t>.</w:t>
      </w:r>
    </w:p>
    <w:p w14:paraId="63901512" w14:textId="77777777" w:rsidR="0095358C" w:rsidRDefault="0095358C">
      <w:pPr>
        <w:pStyle w:val="FootnoteText"/>
      </w:pPr>
    </w:p>
  </w:footnote>
  <w:footnote w:id="2">
    <w:p w14:paraId="29854AAD" w14:textId="77777777" w:rsidR="0095358C" w:rsidRDefault="0095358C">
      <w:pPr>
        <w:pStyle w:val="FootnoteText"/>
      </w:pPr>
      <w:r>
        <w:rPr>
          <w:rStyle w:val="FootnoteReference"/>
        </w:rPr>
        <w:footnoteRef/>
      </w:r>
      <w:r>
        <w:t xml:space="preserve"> Multiplex or multi-casting is a feature of DTV that will allow broadcasters to offer multiple standard definition TV programs in a single digital signal.  </w:t>
      </w:r>
    </w:p>
    <w:p w14:paraId="798EA157" w14:textId="77777777" w:rsidR="0095358C" w:rsidRDefault="0095358C">
      <w:pPr>
        <w:pStyle w:val="FootnoteText"/>
      </w:pPr>
    </w:p>
  </w:footnote>
  <w:footnote w:id="3">
    <w:p w14:paraId="6FD08648" w14:textId="77777777" w:rsidR="0095358C" w:rsidRDefault="0095358C" w:rsidP="0095358C">
      <w:pPr>
        <w:jc w:val="both"/>
        <w:rPr>
          <w:sz w:val="20"/>
        </w:rPr>
      </w:pPr>
      <w:r w:rsidRPr="009D1343">
        <w:rPr>
          <w:rStyle w:val="FootnoteReference"/>
          <w:sz w:val="20"/>
        </w:rPr>
        <w:footnoteRef/>
      </w:r>
      <w:r w:rsidRPr="009D1343">
        <w:rPr>
          <w:sz w:val="20"/>
        </w:rPr>
        <w:t xml:space="preserve"> A </w:t>
      </w:r>
      <w:r w:rsidRPr="009D1343">
        <w:rPr>
          <w:bCs/>
          <w:sz w:val="20"/>
        </w:rPr>
        <w:t>Low Pass Filter</w:t>
      </w:r>
      <w:r w:rsidRPr="009D1343">
        <w:rPr>
          <w:sz w:val="20"/>
        </w:rPr>
        <w:t xml:space="preserve"> is an electronic filter used to block unwanted high frequency signals while allowing lower frequency signals to pass through.</w:t>
      </w:r>
    </w:p>
    <w:p w14:paraId="2DBC65C7" w14:textId="77777777" w:rsidR="0095358C" w:rsidRPr="009D1343" w:rsidRDefault="0095358C" w:rsidP="0095358C">
      <w:pPr>
        <w:jc w:val="both"/>
        <w:rPr>
          <w:sz w:val="20"/>
        </w:rPr>
      </w:pPr>
    </w:p>
  </w:footnote>
  <w:footnote w:id="4">
    <w:p w14:paraId="2F99533E" w14:textId="77777777" w:rsidR="0095358C" w:rsidRDefault="0095358C">
      <w:pPr>
        <w:pStyle w:val="FootnoteText"/>
      </w:pPr>
      <w:r>
        <w:rPr>
          <w:rStyle w:val="FootnoteReference"/>
        </w:rPr>
        <w:footnoteRef/>
      </w:r>
      <w:r>
        <w:t xml:space="preserve"> S</w:t>
      </w:r>
      <w:r w:rsidRPr="00DA4BE2">
        <w:t>ignal strength over a certain distance</w:t>
      </w:r>
      <w:r>
        <w:t>.</w:t>
      </w:r>
    </w:p>
    <w:p w14:paraId="281B4419" w14:textId="77777777" w:rsidR="0095358C" w:rsidRDefault="0095358C">
      <w:pPr>
        <w:pStyle w:val="FootnoteText"/>
      </w:pPr>
    </w:p>
  </w:footnote>
  <w:footnote w:id="5">
    <w:p w14:paraId="39102D01" w14:textId="77777777" w:rsidR="0095358C" w:rsidRDefault="0095358C">
      <w:pPr>
        <w:pStyle w:val="FootnoteText"/>
      </w:pPr>
      <w:r>
        <w:rPr>
          <w:rStyle w:val="FootnoteReference"/>
        </w:rPr>
        <w:footnoteRef/>
      </w:r>
      <w:r>
        <w:t xml:space="preserve"> This is a </w:t>
      </w:r>
      <w:r w:rsidRPr="00DA4BE2">
        <w:t>Global Positioning Service</w:t>
      </w:r>
      <w:r>
        <w:t>.</w:t>
      </w:r>
    </w:p>
    <w:p w14:paraId="3C9B4280" w14:textId="77777777" w:rsidR="0095358C" w:rsidRDefault="0095358C">
      <w:pPr>
        <w:pStyle w:val="FootnoteText"/>
      </w:pPr>
    </w:p>
  </w:footnote>
  <w:footnote w:id="6">
    <w:p w14:paraId="2B52F8C0" w14:textId="77777777" w:rsidR="0095358C" w:rsidRDefault="0095358C">
      <w:pPr>
        <w:pStyle w:val="FootnoteText"/>
      </w:pPr>
      <w:r>
        <w:rPr>
          <w:rStyle w:val="FootnoteReference"/>
        </w:rPr>
        <w:footnoteRef/>
      </w:r>
      <w:r>
        <w:t xml:space="preserve"> </w:t>
      </w:r>
      <w:r w:rsidRPr="00F85D30">
        <w:t>These estimates are based on FCC staff's knowledge and familiarity with the availability of the data required.</w:t>
      </w:r>
    </w:p>
    <w:p w14:paraId="291DA5D5" w14:textId="77777777" w:rsidR="0095358C" w:rsidRDefault="0095358C">
      <w:pPr>
        <w:pStyle w:val="FootnoteText"/>
      </w:pPr>
    </w:p>
  </w:footnote>
  <w:footnote w:id="7">
    <w:p w14:paraId="716FAC2D" w14:textId="77777777" w:rsidR="0095358C" w:rsidRDefault="0095358C" w:rsidP="0095358C">
      <w:pPr>
        <w:pStyle w:val="FootnoteText"/>
      </w:pPr>
      <w:r w:rsidRPr="00E3357E">
        <w:rPr>
          <w:rStyle w:val="FootnoteReference"/>
        </w:rPr>
        <w:footnoteRef/>
      </w:r>
      <w:r>
        <w:t xml:space="preserve">  These filings account for filings submitted in order to show a full-service station’s post-transition analog loss area.  </w:t>
      </w:r>
    </w:p>
    <w:p w14:paraId="642D2558" w14:textId="77777777" w:rsidR="0095358C" w:rsidRDefault="0095358C" w:rsidP="0095358C">
      <w:pPr>
        <w:pStyle w:val="FootnoteText"/>
      </w:pPr>
    </w:p>
  </w:footnote>
  <w:footnote w:id="8">
    <w:p w14:paraId="32FE897F" w14:textId="77777777" w:rsidR="0095358C" w:rsidRDefault="0095358C" w:rsidP="0095358C">
      <w:pPr>
        <w:pStyle w:val="FootnoteText"/>
      </w:pPr>
      <w:r w:rsidRPr="005E6F65">
        <w:rPr>
          <w:rStyle w:val="FootnoteReference"/>
        </w:rPr>
        <w:footnoteRef/>
      </w:r>
      <w:r w:rsidRPr="00F63239">
        <w:t xml:space="preserve">  These </w:t>
      </w:r>
      <w:r>
        <w:t xml:space="preserve">responses account for applicants seeking to </w:t>
      </w:r>
      <w:r w:rsidRPr="001F68F3">
        <w:rPr>
          <w:szCs w:val="24"/>
        </w:rPr>
        <w:t xml:space="preserve">propose a </w:t>
      </w:r>
      <w:r w:rsidRPr="001F68F3">
        <w:rPr>
          <w:i/>
          <w:iCs/>
          <w:szCs w:val="24"/>
        </w:rPr>
        <w:t xml:space="preserve">de minimis </w:t>
      </w:r>
      <w:r>
        <w:rPr>
          <w:szCs w:val="24"/>
        </w:rPr>
        <w:t>expansion of their</w:t>
      </w:r>
      <w:r w:rsidRPr="001F68F3">
        <w:rPr>
          <w:szCs w:val="24"/>
        </w:rPr>
        <w:t xml:space="preserve"> full-service pre-transition analog service area</w:t>
      </w:r>
      <w:r>
        <w:rPr>
          <w:szCs w:val="24"/>
        </w:rPr>
        <w:t>s, and who must therefore demonstrate</w:t>
      </w:r>
      <w:r w:rsidRPr="001F68F3">
        <w:rPr>
          <w:szCs w:val="24"/>
        </w:rPr>
        <w:t xml:space="preserve"> </w:t>
      </w:r>
      <w:r>
        <w:rPr>
          <w:szCs w:val="24"/>
        </w:rPr>
        <w:t xml:space="preserve">that </w:t>
      </w:r>
      <w:r>
        <w:rPr>
          <w:i/>
          <w:szCs w:val="24"/>
        </w:rPr>
        <w:t>de minimis</w:t>
      </w:r>
      <w:r>
        <w:rPr>
          <w:szCs w:val="24"/>
        </w:rPr>
        <w:t xml:space="preserve"> expansion is necessary to replace their</w:t>
      </w:r>
      <w:r w:rsidRPr="001F68F3">
        <w:rPr>
          <w:szCs w:val="24"/>
        </w:rPr>
        <w:t xml:space="preserve"> post-transition analog loss area</w:t>
      </w:r>
      <w:r>
        <w:rPr>
          <w:szCs w:val="24"/>
        </w:rPr>
        <w:t>s</w:t>
      </w:r>
      <w:r w:rsidRPr="001F68F3">
        <w:rPr>
          <w:szCs w:val="24"/>
        </w:rPr>
        <w:t>.</w:t>
      </w:r>
      <w:r>
        <w:rPr>
          <w:szCs w:val="24"/>
        </w:rPr>
        <w:t xml:space="preserve"> </w:t>
      </w:r>
      <w:r>
        <w:t xml:space="preserve">  </w:t>
      </w:r>
    </w:p>
    <w:p w14:paraId="69ED8F85" w14:textId="77777777" w:rsidR="0095358C" w:rsidRPr="005E6F65" w:rsidRDefault="0095358C" w:rsidP="009535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613A" w14:textId="290A004F" w:rsidR="0095358C" w:rsidRPr="0025330A" w:rsidRDefault="0095358C" w:rsidP="0095358C">
    <w:pPr>
      <w:pStyle w:val="Header"/>
      <w:rPr>
        <w:b/>
        <w:sz w:val="22"/>
        <w:szCs w:val="22"/>
      </w:rPr>
    </w:pPr>
    <w:r w:rsidRPr="0025330A">
      <w:rPr>
        <w:b/>
        <w:sz w:val="22"/>
        <w:szCs w:val="22"/>
      </w:rPr>
      <w:t>OMB</w:t>
    </w:r>
    <w:r>
      <w:rPr>
        <w:b/>
        <w:sz w:val="22"/>
        <w:szCs w:val="22"/>
      </w:rPr>
      <w:t xml:space="preserve"> Control Number:</w:t>
    </w:r>
    <w:r w:rsidRPr="0025330A">
      <w:rPr>
        <w:b/>
        <w:sz w:val="22"/>
        <w:szCs w:val="22"/>
      </w:rPr>
      <w:t xml:space="preserve"> 3060-</w:t>
    </w:r>
    <w:r>
      <w:rPr>
        <w:b/>
        <w:sz w:val="22"/>
        <w:szCs w:val="22"/>
      </w:rPr>
      <w:t>1086</w:t>
    </w:r>
    <w:r w:rsidRPr="0025330A">
      <w:rPr>
        <w:b/>
        <w:sz w:val="22"/>
        <w:szCs w:val="22"/>
      </w:rPr>
      <w:t xml:space="preserve">                                                                               </w:t>
    </w:r>
    <w:r>
      <w:rPr>
        <w:b/>
        <w:sz w:val="22"/>
        <w:szCs w:val="22"/>
      </w:rPr>
      <w:t xml:space="preserve">    </w:t>
    </w:r>
    <w:r w:rsidR="001D2916">
      <w:rPr>
        <w:b/>
        <w:sz w:val="22"/>
        <w:szCs w:val="22"/>
      </w:rPr>
      <w:t>October 2021</w:t>
    </w:r>
  </w:p>
  <w:p w14:paraId="08C9AD17" w14:textId="77777777" w:rsidR="007A1688" w:rsidRDefault="0095358C" w:rsidP="007A1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25330A">
      <w:rPr>
        <w:b/>
        <w:sz w:val="22"/>
        <w:szCs w:val="22"/>
      </w:rPr>
      <w:t xml:space="preserve">Title: </w:t>
    </w:r>
    <w:r w:rsidRPr="00D249D3">
      <w:rPr>
        <w:b/>
        <w:sz w:val="22"/>
        <w:szCs w:val="22"/>
      </w:rPr>
      <w:t>Section 74.787</w:t>
    </w:r>
    <w:r>
      <w:rPr>
        <w:b/>
        <w:sz w:val="22"/>
        <w:szCs w:val="22"/>
      </w:rPr>
      <w:t xml:space="preserve">, </w:t>
    </w:r>
    <w:r w:rsidRPr="00D249D3">
      <w:rPr>
        <w:b/>
        <w:sz w:val="22"/>
        <w:szCs w:val="22"/>
      </w:rPr>
      <w:t>Digital Licensing</w:t>
    </w:r>
    <w:r>
      <w:rPr>
        <w:b/>
        <w:sz w:val="22"/>
        <w:szCs w:val="22"/>
      </w:rPr>
      <w:t>;</w:t>
    </w:r>
    <w:r w:rsidRPr="00D249D3">
      <w:rPr>
        <w:b/>
        <w:sz w:val="22"/>
        <w:szCs w:val="22"/>
      </w:rPr>
      <w:t xml:space="preserve"> Section 74.790</w:t>
    </w:r>
    <w:r>
      <w:rPr>
        <w:b/>
        <w:sz w:val="22"/>
        <w:szCs w:val="22"/>
      </w:rPr>
      <w:t>,</w:t>
    </w:r>
    <w:r w:rsidRPr="00D249D3">
      <w:rPr>
        <w:b/>
        <w:sz w:val="22"/>
        <w:szCs w:val="22"/>
      </w:rPr>
      <w:t xml:space="preserve"> Permissible Service of Digital TV Translator and LPTV Stations</w:t>
    </w:r>
    <w:r>
      <w:rPr>
        <w:b/>
        <w:sz w:val="22"/>
        <w:szCs w:val="22"/>
      </w:rPr>
      <w:t xml:space="preserve">; </w:t>
    </w:r>
    <w:r w:rsidRPr="00D249D3">
      <w:rPr>
        <w:b/>
        <w:sz w:val="22"/>
        <w:szCs w:val="22"/>
      </w:rPr>
      <w:t>Section 74.794</w:t>
    </w:r>
    <w:r>
      <w:rPr>
        <w:b/>
        <w:sz w:val="22"/>
        <w:szCs w:val="22"/>
      </w:rPr>
      <w:t>,</w:t>
    </w:r>
    <w:r w:rsidRPr="00D249D3">
      <w:rPr>
        <w:b/>
        <w:sz w:val="22"/>
        <w:szCs w:val="22"/>
      </w:rPr>
      <w:t xml:space="preserve"> Digital Emissions</w:t>
    </w:r>
    <w:r>
      <w:rPr>
        <w:b/>
        <w:sz w:val="22"/>
        <w:szCs w:val="22"/>
      </w:rPr>
      <w:t>,</w:t>
    </w:r>
    <w:r w:rsidRPr="00D249D3">
      <w:rPr>
        <w:b/>
        <w:sz w:val="22"/>
        <w:szCs w:val="22"/>
      </w:rPr>
      <w:t xml:space="preserve"> Section 74.796</w:t>
    </w:r>
    <w:r>
      <w:rPr>
        <w:b/>
        <w:sz w:val="22"/>
        <w:szCs w:val="22"/>
      </w:rPr>
      <w:t>,</w:t>
    </w:r>
    <w:r w:rsidRPr="00D249D3">
      <w:rPr>
        <w:b/>
        <w:sz w:val="22"/>
        <w:szCs w:val="22"/>
      </w:rPr>
      <w:t xml:space="preserve"> Modification of Digital Transmission Systems and Analog Transmission Systems for Digital Operation</w:t>
    </w:r>
    <w:r>
      <w:rPr>
        <w:b/>
        <w:sz w:val="22"/>
        <w:szCs w:val="22"/>
      </w:rPr>
      <w:t xml:space="preserve">; </w:t>
    </w:r>
    <w:r w:rsidR="004236D7">
      <w:rPr>
        <w:b/>
        <w:sz w:val="22"/>
        <w:szCs w:val="22"/>
      </w:rPr>
      <w:t xml:space="preserve">Section 74.798, </w:t>
    </w:r>
    <w:r>
      <w:rPr>
        <w:b/>
        <w:sz w:val="22"/>
        <w:szCs w:val="22"/>
      </w:rPr>
      <w:t>LPTV Digital Transition</w:t>
    </w:r>
    <w:r w:rsidR="007A1688">
      <w:rPr>
        <w:b/>
        <w:sz w:val="22"/>
        <w:szCs w:val="22"/>
      </w:rPr>
      <w:t xml:space="preserve"> Consumer Education Information</w:t>
    </w:r>
    <w:r w:rsidR="004236D7">
      <w:rPr>
        <w:b/>
        <w:sz w:val="22"/>
        <w:szCs w:val="22"/>
      </w:rPr>
      <w:t xml:space="preserve">; </w:t>
    </w:r>
    <w:r w:rsidR="004236D7" w:rsidRPr="004236D7">
      <w:rPr>
        <w:b/>
        <w:sz w:val="22"/>
        <w:szCs w:val="22"/>
      </w:rPr>
      <w:t>Protection of Analog LPTV</w:t>
    </w:r>
    <w:r w:rsidR="007A1688">
      <w:rPr>
        <w:b/>
        <w:sz w:val="22"/>
        <w:szCs w:val="22"/>
      </w:rPr>
      <w:t xml:space="preserve"> </w:t>
    </w:r>
  </w:p>
  <w:p w14:paraId="3C01F59E" w14:textId="77777777" w:rsidR="0095358C" w:rsidRDefault="00953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744D" w14:textId="77777777" w:rsidR="0095358C" w:rsidRPr="0025330A" w:rsidRDefault="0095358C">
    <w:pPr>
      <w:pStyle w:val="Header"/>
      <w:rPr>
        <w:b/>
        <w:sz w:val="22"/>
        <w:szCs w:val="22"/>
      </w:rPr>
    </w:pPr>
    <w:r w:rsidRPr="0025330A">
      <w:rPr>
        <w:b/>
        <w:sz w:val="22"/>
        <w:szCs w:val="22"/>
      </w:rPr>
      <w:t>OMB 3060-XXX</w:t>
    </w:r>
    <w:r w:rsidRPr="0025330A">
      <w:rPr>
        <w:b/>
        <w:sz w:val="22"/>
        <w:szCs w:val="22"/>
      </w:rPr>
      <w:tab/>
      <w:t>X                                                                                 June 2005</w:t>
    </w:r>
  </w:p>
  <w:p w14:paraId="6EE68BA1" w14:textId="77777777" w:rsidR="0095358C" w:rsidRPr="0025330A" w:rsidRDefault="0095358C" w:rsidP="0095358C">
    <w:pPr>
      <w:pStyle w:val="Header"/>
      <w:rPr>
        <w:sz w:val="22"/>
        <w:szCs w:val="22"/>
      </w:rPr>
    </w:pPr>
    <w:r w:rsidRPr="0025330A">
      <w:rPr>
        <w:b/>
        <w:sz w:val="22"/>
        <w:szCs w:val="22"/>
      </w:rPr>
      <w:t xml:space="preserve">Title: </w:t>
    </w:r>
    <w:r w:rsidRPr="0025330A">
      <w:rPr>
        <w:sz w:val="22"/>
        <w:szCs w:val="22"/>
      </w:rPr>
      <w:t>Section 74.786 Digital Channel Assignments, Section 74.787Digital Licensing,  Section 74.790 Permissible Service of Digital TV Translator and LPTV Stations, Section 74.794 Digital Emissions and  Section 74.796 Modification of Digital Transmission Systems and Analog Transmission Systems for Digital Operation</w:t>
    </w:r>
  </w:p>
  <w:p w14:paraId="1D87A1A4" w14:textId="77777777" w:rsidR="0095358C" w:rsidRDefault="0095358C" w:rsidP="00953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D9A"/>
    <w:multiLevelType w:val="hybridMultilevel"/>
    <w:tmpl w:val="5B74D818"/>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A724605"/>
    <w:multiLevelType w:val="hybridMultilevel"/>
    <w:tmpl w:val="F6EC57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15:restartNumberingAfterBreak="0">
    <w:nsid w:val="1D55771E"/>
    <w:multiLevelType w:val="hybridMultilevel"/>
    <w:tmpl w:val="5B74D818"/>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0869B0"/>
    <w:multiLevelType w:val="hybridMultilevel"/>
    <w:tmpl w:val="04A8E8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766089"/>
    <w:multiLevelType w:val="hybridMultilevel"/>
    <w:tmpl w:val="9A68098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021FC"/>
    <w:multiLevelType w:val="hybridMultilevel"/>
    <w:tmpl w:val="CD0CD778"/>
    <w:lvl w:ilvl="0" w:tplc="09402904">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82104B"/>
    <w:multiLevelType w:val="hybridMultilevel"/>
    <w:tmpl w:val="5D12CDC4"/>
    <w:lvl w:ilvl="0" w:tplc="A9827F00">
      <w:start w:val="1"/>
      <w:numFmt w:val="decimal"/>
      <w:pStyle w:val="ParaNumCharCh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EF3761"/>
    <w:multiLevelType w:val="hybridMultilevel"/>
    <w:tmpl w:val="423A1DF4"/>
    <w:lvl w:ilvl="0" w:tplc="47E0A902">
      <w:start w:val="3"/>
      <w:numFmt w:val="lowerLetter"/>
      <w:lvlText w:val="%1."/>
      <w:lvlJc w:val="left"/>
      <w:pPr>
        <w:tabs>
          <w:tab w:val="num" w:pos="360"/>
        </w:tabs>
        <w:ind w:left="0" w:firstLine="0"/>
      </w:pPr>
      <w:rPr>
        <w:rFonts w:hint="default"/>
        <w:b/>
      </w:rPr>
    </w:lvl>
    <w:lvl w:ilvl="1" w:tplc="1E725700">
      <w:start w:val="15"/>
      <w:numFmt w:val="decimal"/>
      <w:lvlText w:val="%2."/>
      <w:lvlJc w:val="left"/>
      <w:pPr>
        <w:tabs>
          <w:tab w:val="num" w:pos="1440"/>
        </w:tabs>
        <w:ind w:left="1440" w:hanging="360"/>
      </w:pPr>
      <w:rPr>
        <w:rFonts w:hint="default"/>
      </w:rPr>
    </w:lvl>
    <w:lvl w:ilvl="2" w:tplc="379E0D00" w:tentative="1">
      <w:start w:val="1"/>
      <w:numFmt w:val="lowerRoman"/>
      <w:lvlText w:val="%3."/>
      <w:lvlJc w:val="right"/>
      <w:pPr>
        <w:tabs>
          <w:tab w:val="num" w:pos="2160"/>
        </w:tabs>
        <w:ind w:left="2160" w:hanging="180"/>
      </w:pPr>
    </w:lvl>
    <w:lvl w:ilvl="3" w:tplc="2CF4E6F8" w:tentative="1">
      <w:start w:val="1"/>
      <w:numFmt w:val="decimal"/>
      <w:lvlText w:val="%4."/>
      <w:lvlJc w:val="left"/>
      <w:pPr>
        <w:tabs>
          <w:tab w:val="num" w:pos="2880"/>
        </w:tabs>
        <w:ind w:left="2880" w:hanging="360"/>
      </w:pPr>
    </w:lvl>
    <w:lvl w:ilvl="4" w:tplc="6866713C" w:tentative="1">
      <w:start w:val="1"/>
      <w:numFmt w:val="lowerLetter"/>
      <w:lvlText w:val="%5."/>
      <w:lvlJc w:val="left"/>
      <w:pPr>
        <w:tabs>
          <w:tab w:val="num" w:pos="3600"/>
        </w:tabs>
        <w:ind w:left="3600" w:hanging="360"/>
      </w:pPr>
    </w:lvl>
    <w:lvl w:ilvl="5" w:tplc="85C66144" w:tentative="1">
      <w:start w:val="1"/>
      <w:numFmt w:val="lowerRoman"/>
      <w:lvlText w:val="%6."/>
      <w:lvlJc w:val="right"/>
      <w:pPr>
        <w:tabs>
          <w:tab w:val="num" w:pos="4320"/>
        </w:tabs>
        <w:ind w:left="4320" w:hanging="180"/>
      </w:pPr>
    </w:lvl>
    <w:lvl w:ilvl="6" w:tplc="CFC2FCBE" w:tentative="1">
      <w:start w:val="1"/>
      <w:numFmt w:val="decimal"/>
      <w:lvlText w:val="%7."/>
      <w:lvlJc w:val="left"/>
      <w:pPr>
        <w:tabs>
          <w:tab w:val="num" w:pos="5040"/>
        </w:tabs>
        <w:ind w:left="5040" w:hanging="360"/>
      </w:pPr>
    </w:lvl>
    <w:lvl w:ilvl="7" w:tplc="A52E8648" w:tentative="1">
      <w:start w:val="1"/>
      <w:numFmt w:val="lowerLetter"/>
      <w:lvlText w:val="%8."/>
      <w:lvlJc w:val="left"/>
      <w:pPr>
        <w:tabs>
          <w:tab w:val="num" w:pos="5760"/>
        </w:tabs>
        <w:ind w:left="5760" w:hanging="360"/>
      </w:pPr>
    </w:lvl>
    <w:lvl w:ilvl="8" w:tplc="158CFEF6"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0"/>
  </w:num>
  <w:num w:numId="5">
    <w:abstractNumId w:val="6"/>
  </w:num>
  <w:num w:numId="6">
    <w:abstractNumId w:val="5"/>
  </w:num>
  <w:num w:numId="7">
    <w:abstractNumId w:val="3"/>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81E35"/>
    <w:rsid w:val="00087FF5"/>
    <w:rsid w:val="000F2B65"/>
    <w:rsid w:val="00170A6E"/>
    <w:rsid w:val="001A44B6"/>
    <w:rsid w:val="001A750F"/>
    <w:rsid w:val="001B78A7"/>
    <w:rsid w:val="001C47A9"/>
    <w:rsid w:val="001C57E7"/>
    <w:rsid w:val="001D2916"/>
    <w:rsid w:val="001E5CDC"/>
    <w:rsid w:val="00200421"/>
    <w:rsid w:val="00216514"/>
    <w:rsid w:val="0022129E"/>
    <w:rsid w:val="00221D0D"/>
    <w:rsid w:val="00225900"/>
    <w:rsid w:val="00252461"/>
    <w:rsid w:val="00253D9A"/>
    <w:rsid w:val="0029523F"/>
    <w:rsid w:val="002B53F8"/>
    <w:rsid w:val="002D6B1D"/>
    <w:rsid w:val="00300038"/>
    <w:rsid w:val="00301F0F"/>
    <w:rsid w:val="00337BA2"/>
    <w:rsid w:val="0036143E"/>
    <w:rsid w:val="00395E21"/>
    <w:rsid w:val="003B41A9"/>
    <w:rsid w:val="003B74BE"/>
    <w:rsid w:val="003C4319"/>
    <w:rsid w:val="003E7997"/>
    <w:rsid w:val="004236D7"/>
    <w:rsid w:val="00433C35"/>
    <w:rsid w:val="0044387B"/>
    <w:rsid w:val="00470791"/>
    <w:rsid w:val="0051152D"/>
    <w:rsid w:val="005166BD"/>
    <w:rsid w:val="005527E5"/>
    <w:rsid w:val="005E3039"/>
    <w:rsid w:val="005F38FD"/>
    <w:rsid w:val="00612EF5"/>
    <w:rsid w:val="0062161C"/>
    <w:rsid w:val="0062706B"/>
    <w:rsid w:val="006464E2"/>
    <w:rsid w:val="0066319A"/>
    <w:rsid w:val="00670E35"/>
    <w:rsid w:val="006A6318"/>
    <w:rsid w:val="006C3D8F"/>
    <w:rsid w:val="007108BE"/>
    <w:rsid w:val="00714F6D"/>
    <w:rsid w:val="0072411C"/>
    <w:rsid w:val="007276E4"/>
    <w:rsid w:val="0073223F"/>
    <w:rsid w:val="0076219C"/>
    <w:rsid w:val="007632ED"/>
    <w:rsid w:val="00763AB6"/>
    <w:rsid w:val="00765070"/>
    <w:rsid w:val="007858C1"/>
    <w:rsid w:val="007A1688"/>
    <w:rsid w:val="007A450E"/>
    <w:rsid w:val="007D105A"/>
    <w:rsid w:val="007D4662"/>
    <w:rsid w:val="007F6124"/>
    <w:rsid w:val="007F64C8"/>
    <w:rsid w:val="00823229"/>
    <w:rsid w:val="00824C2E"/>
    <w:rsid w:val="008C2993"/>
    <w:rsid w:val="008D0BDB"/>
    <w:rsid w:val="0095358C"/>
    <w:rsid w:val="009978DC"/>
    <w:rsid w:val="009B1156"/>
    <w:rsid w:val="009D2EFD"/>
    <w:rsid w:val="009E4EAB"/>
    <w:rsid w:val="00A21C09"/>
    <w:rsid w:val="00A87FA2"/>
    <w:rsid w:val="00AF4A35"/>
    <w:rsid w:val="00B17D26"/>
    <w:rsid w:val="00B70A32"/>
    <w:rsid w:val="00B96A49"/>
    <w:rsid w:val="00BA4C87"/>
    <w:rsid w:val="00BE655E"/>
    <w:rsid w:val="00C14D34"/>
    <w:rsid w:val="00C33882"/>
    <w:rsid w:val="00C43662"/>
    <w:rsid w:val="00C467C3"/>
    <w:rsid w:val="00C62577"/>
    <w:rsid w:val="00C74533"/>
    <w:rsid w:val="00D14AE8"/>
    <w:rsid w:val="00D82A2C"/>
    <w:rsid w:val="00D96333"/>
    <w:rsid w:val="00DC2FC0"/>
    <w:rsid w:val="00DE2C04"/>
    <w:rsid w:val="00E04D07"/>
    <w:rsid w:val="00E11502"/>
    <w:rsid w:val="00E234ED"/>
    <w:rsid w:val="00E629F1"/>
    <w:rsid w:val="00E70DCA"/>
    <w:rsid w:val="00EA71C1"/>
    <w:rsid w:val="00EE6946"/>
    <w:rsid w:val="00EF0F92"/>
    <w:rsid w:val="00F0271A"/>
    <w:rsid w:val="00F13062"/>
    <w:rsid w:val="00F21C57"/>
    <w:rsid w:val="00F2327D"/>
    <w:rsid w:val="00F42413"/>
    <w:rsid w:val="00F87A7D"/>
    <w:rsid w:val="00FE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4BF04"/>
  <w15:chartTrackingRefBased/>
  <w15:docId w15:val="{EF1AC806-3EA9-4581-BEE7-D75393FC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5F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rsid w:val="001A55FC"/>
    <w:rPr>
      <w:sz w:val="20"/>
    </w:rPr>
  </w:style>
  <w:style w:type="character" w:styleId="FootnoteReference">
    <w:name w:val="footnote reference"/>
    <w:semiHidden/>
    <w:rsid w:val="001A55FC"/>
    <w:rPr>
      <w:vertAlign w:val="superscript"/>
    </w:rPr>
  </w:style>
  <w:style w:type="paragraph" w:styleId="Header">
    <w:name w:val="header"/>
    <w:basedOn w:val="Normal"/>
    <w:rsid w:val="001A55FC"/>
    <w:pPr>
      <w:tabs>
        <w:tab w:val="center" w:pos="4320"/>
        <w:tab w:val="right" w:pos="8640"/>
      </w:tabs>
    </w:pPr>
  </w:style>
  <w:style w:type="paragraph" w:styleId="Footer">
    <w:name w:val="footer"/>
    <w:basedOn w:val="Normal"/>
    <w:rsid w:val="001A55FC"/>
    <w:pPr>
      <w:tabs>
        <w:tab w:val="center" w:pos="4320"/>
        <w:tab w:val="right" w:pos="8640"/>
      </w:tabs>
    </w:pPr>
  </w:style>
  <w:style w:type="paragraph" w:customStyle="1" w:styleId="ParaNum">
    <w:name w:val="ParaNum"/>
    <w:basedOn w:val="Normal"/>
    <w:rsid w:val="001A55FC"/>
    <w:pPr>
      <w:numPr>
        <w:numId w:val="1"/>
      </w:numPr>
      <w:tabs>
        <w:tab w:val="clear" w:pos="1080"/>
        <w:tab w:val="left" w:pos="-1440"/>
        <w:tab w:val="left" w:pos="-720"/>
        <w:tab w:val="num" w:pos="720"/>
      </w:tabs>
      <w:suppressAutoHyphens/>
      <w:spacing w:after="240"/>
    </w:pPr>
    <w:rPr>
      <w:sz w:val="22"/>
    </w:rPr>
  </w:style>
  <w:style w:type="character" w:styleId="PageNumber">
    <w:name w:val="page number"/>
    <w:basedOn w:val="DefaultParagraphFont"/>
    <w:rsid w:val="001A55FC"/>
  </w:style>
  <w:style w:type="paragraph" w:customStyle="1" w:styleId="ParaNumCharChar">
    <w:name w:val="ParaNum Char Char"/>
    <w:basedOn w:val="Normal"/>
    <w:rsid w:val="00567178"/>
    <w:pPr>
      <w:widowControl w:val="0"/>
      <w:numPr>
        <w:numId w:val="2"/>
      </w:numPr>
      <w:tabs>
        <w:tab w:val="left" w:pos="1440"/>
      </w:tabs>
      <w:spacing w:after="220"/>
      <w:jc w:val="both"/>
    </w:pPr>
    <w:rPr>
      <w:sz w:val="22"/>
    </w:rPr>
  </w:style>
  <w:style w:type="table" w:styleId="TableGrid">
    <w:name w:val="Table Grid"/>
    <w:basedOn w:val="TableNormal"/>
    <w:rsid w:val="00AD3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0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AA0268"/>
  </w:style>
  <w:style w:type="paragraph" w:styleId="BalloonText">
    <w:name w:val="Balloon Text"/>
    <w:basedOn w:val="Normal"/>
    <w:semiHidden/>
    <w:rsid w:val="00AA0268"/>
    <w:rPr>
      <w:rFonts w:ascii="Tahoma" w:hAnsi="Tahoma" w:cs="Tahoma"/>
      <w:sz w:val="16"/>
      <w:szCs w:val="16"/>
    </w:rPr>
  </w:style>
  <w:style w:type="character" w:styleId="CommentReference">
    <w:name w:val="annotation reference"/>
    <w:semiHidden/>
    <w:rsid w:val="00787171"/>
    <w:rPr>
      <w:sz w:val="16"/>
      <w:szCs w:val="16"/>
    </w:rPr>
  </w:style>
  <w:style w:type="paragraph" w:styleId="CommentText">
    <w:name w:val="annotation text"/>
    <w:basedOn w:val="Normal"/>
    <w:semiHidden/>
    <w:rsid w:val="00787171"/>
    <w:rPr>
      <w:sz w:val="20"/>
    </w:rPr>
  </w:style>
  <w:style w:type="paragraph" w:styleId="CommentSubject">
    <w:name w:val="annotation subject"/>
    <w:basedOn w:val="CommentText"/>
    <w:next w:val="CommentText"/>
    <w:semiHidden/>
    <w:rsid w:val="00787171"/>
    <w:rPr>
      <w:b/>
      <w:bCs/>
    </w:rPr>
  </w:style>
  <w:style w:type="paragraph" w:styleId="ListParagraph">
    <w:name w:val="List Paragraph"/>
    <w:basedOn w:val="Normal"/>
    <w:uiPriority w:val="34"/>
    <w:qFormat/>
    <w:rsid w:val="009D2E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07393">
      <w:bodyDiv w:val="1"/>
      <w:marLeft w:val="0"/>
      <w:marRight w:val="0"/>
      <w:marTop w:val="0"/>
      <w:marBottom w:val="0"/>
      <w:divBdr>
        <w:top w:val="none" w:sz="0" w:space="0" w:color="auto"/>
        <w:left w:val="none" w:sz="0" w:space="0" w:color="auto"/>
        <w:bottom w:val="none" w:sz="0" w:space="0" w:color="auto"/>
        <w:right w:val="none" w:sz="0" w:space="0" w:color="auto"/>
      </w:divBdr>
    </w:div>
    <w:div w:id="576063164">
      <w:bodyDiv w:val="1"/>
      <w:marLeft w:val="0"/>
      <w:marRight w:val="0"/>
      <w:marTop w:val="0"/>
      <w:marBottom w:val="0"/>
      <w:divBdr>
        <w:top w:val="none" w:sz="0" w:space="0" w:color="auto"/>
        <w:left w:val="none" w:sz="0" w:space="0" w:color="auto"/>
        <w:bottom w:val="none" w:sz="0" w:space="0" w:color="auto"/>
        <w:right w:val="none" w:sz="0" w:space="0" w:color="auto"/>
      </w:divBdr>
    </w:div>
    <w:div w:id="696003140">
      <w:bodyDiv w:val="1"/>
      <w:marLeft w:val="0"/>
      <w:marRight w:val="0"/>
      <w:marTop w:val="0"/>
      <w:marBottom w:val="0"/>
      <w:divBdr>
        <w:top w:val="none" w:sz="0" w:space="0" w:color="auto"/>
        <w:left w:val="none" w:sz="0" w:space="0" w:color="auto"/>
        <w:bottom w:val="none" w:sz="0" w:space="0" w:color="auto"/>
        <w:right w:val="none" w:sz="0" w:space="0" w:color="auto"/>
      </w:divBdr>
    </w:div>
    <w:div w:id="713383925">
      <w:bodyDiv w:val="1"/>
      <w:marLeft w:val="375"/>
      <w:marRight w:val="0"/>
      <w:marTop w:val="375"/>
      <w:marBottom w:val="0"/>
      <w:divBdr>
        <w:top w:val="none" w:sz="0" w:space="0" w:color="auto"/>
        <w:left w:val="none" w:sz="0" w:space="0" w:color="auto"/>
        <w:bottom w:val="none" w:sz="0" w:space="0" w:color="auto"/>
        <w:right w:val="none" w:sz="0" w:space="0" w:color="auto"/>
      </w:divBdr>
      <w:divsChild>
        <w:div w:id="1981263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631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3193">
      <w:bodyDiv w:val="1"/>
      <w:marLeft w:val="0"/>
      <w:marRight w:val="0"/>
      <w:marTop w:val="0"/>
      <w:marBottom w:val="0"/>
      <w:divBdr>
        <w:top w:val="none" w:sz="0" w:space="0" w:color="auto"/>
        <w:left w:val="none" w:sz="0" w:space="0" w:color="auto"/>
        <w:bottom w:val="none" w:sz="0" w:space="0" w:color="auto"/>
        <w:right w:val="none" w:sz="0" w:space="0" w:color="auto"/>
      </w:divBdr>
    </w:div>
    <w:div w:id="1032153425">
      <w:bodyDiv w:val="1"/>
      <w:marLeft w:val="0"/>
      <w:marRight w:val="0"/>
      <w:marTop w:val="0"/>
      <w:marBottom w:val="0"/>
      <w:divBdr>
        <w:top w:val="none" w:sz="0" w:space="0" w:color="auto"/>
        <w:left w:val="none" w:sz="0" w:space="0" w:color="auto"/>
        <w:bottom w:val="none" w:sz="0" w:space="0" w:color="auto"/>
        <w:right w:val="none" w:sz="0" w:space="0" w:color="auto"/>
      </w:divBdr>
    </w:div>
    <w:div w:id="1129325342">
      <w:bodyDiv w:val="1"/>
      <w:marLeft w:val="0"/>
      <w:marRight w:val="0"/>
      <w:marTop w:val="0"/>
      <w:marBottom w:val="0"/>
      <w:divBdr>
        <w:top w:val="none" w:sz="0" w:space="0" w:color="auto"/>
        <w:left w:val="none" w:sz="0" w:space="0" w:color="auto"/>
        <w:bottom w:val="none" w:sz="0" w:space="0" w:color="auto"/>
        <w:right w:val="none" w:sz="0" w:space="0" w:color="auto"/>
      </w:divBdr>
    </w:div>
    <w:div w:id="1155488800">
      <w:bodyDiv w:val="1"/>
      <w:marLeft w:val="0"/>
      <w:marRight w:val="0"/>
      <w:marTop w:val="0"/>
      <w:marBottom w:val="0"/>
      <w:divBdr>
        <w:top w:val="none" w:sz="0" w:space="0" w:color="auto"/>
        <w:left w:val="none" w:sz="0" w:space="0" w:color="auto"/>
        <w:bottom w:val="none" w:sz="0" w:space="0" w:color="auto"/>
        <w:right w:val="none" w:sz="0" w:space="0" w:color="auto"/>
      </w:divBdr>
    </w:div>
    <w:div w:id="1168862023">
      <w:bodyDiv w:val="1"/>
      <w:marLeft w:val="0"/>
      <w:marRight w:val="0"/>
      <w:marTop w:val="0"/>
      <w:marBottom w:val="0"/>
      <w:divBdr>
        <w:top w:val="none" w:sz="0" w:space="0" w:color="auto"/>
        <w:left w:val="none" w:sz="0" w:space="0" w:color="auto"/>
        <w:bottom w:val="none" w:sz="0" w:space="0" w:color="auto"/>
        <w:right w:val="none" w:sz="0" w:space="0" w:color="auto"/>
      </w:divBdr>
    </w:div>
    <w:div w:id="1346640174">
      <w:bodyDiv w:val="1"/>
      <w:marLeft w:val="0"/>
      <w:marRight w:val="0"/>
      <w:marTop w:val="0"/>
      <w:marBottom w:val="0"/>
      <w:divBdr>
        <w:top w:val="none" w:sz="0" w:space="0" w:color="auto"/>
        <w:left w:val="none" w:sz="0" w:space="0" w:color="auto"/>
        <w:bottom w:val="none" w:sz="0" w:space="0" w:color="auto"/>
        <w:right w:val="none" w:sz="0" w:space="0" w:color="auto"/>
      </w:divBdr>
    </w:div>
    <w:div w:id="1411123422">
      <w:bodyDiv w:val="1"/>
      <w:marLeft w:val="0"/>
      <w:marRight w:val="0"/>
      <w:marTop w:val="0"/>
      <w:marBottom w:val="0"/>
      <w:divBdr>
        <w:top w:val="none" w:sz="0" w:space="0" w:color="auto"/>
        <w:left w:val="none" w:sz="0" w:space="0" w:color="auto"/>
        <w:bottom w:val="none" w:sz="0" w:space="0" w:color="auto"/>
        <w:right w:val="none" w:sz="0" w:space="0" w:color="auto"/>
      </w:divBdr>
    </w:div>
    <w:div w:id="1512447171">
      <w:bodyDiv w:val="1"/>
      <w:marLeft w:val="0"/>
      <w:marRight w:val="0"/>
      <w:marTop w:val="0"/>
      <w:marBottom w:val="0"/>
      <w:divBdr>
        <w:top w:val="none" w:sz="0" w:space="0" w:color="auto"/>
        <w:left w:val="none" w:sz="0" w:space="0" w:color="auto"/>
        <w:bottom w:val="none" w:sz="0" w:space="0" w:color="auto"/>
        <w:right w:val="none" w:sz="0" w:space="0" w:color="auto"/>
      </w:divBdr>
    </w:div>
    <w:div w:id="1513565531">
      <w:bodyDiv w:val="1"/>
      <w:marLeft w:val="0"/>
      <w:marRight w:val="0"/>
      <w:marTop w:val="0"/>
      <w:marBottom w:val="0"/>
      <w:divBdr>
        <w:top w:val="none" w:sz="0" w:space="0" w:color="auto"/>
        <w:left w:val="none" w:sz="0" w:space="0" w:color="auto"/>
        <w:bottom w:val="none" w:sz="0" w:space="0" w:color="auto"/>
        <w:right w:val="none" w:sz="0" w:space="0" w:color="auto"/>
      </w:divBdr>
    </w:div>
    <w:div w:id="1743798509">
      <w:bodyDiv w:val="1"/>
      <w:marLeft w:val="0"/>
      <w:marRight w:val="0"/>
      <w:marTop w:val="0"/>
      <w:marBottom w:val="0"/>
      <w:divBdr>
        <w:top w:val="none" w:sz="0" w:space="0" w:color="auto"/>
        <w:left w:val="none" w:sz="0" w:space="0" w:color="auto"/>
        <w:bottom w:val="none" w:sz="0" w:space="0" w:color="auto"/>
        <w:right w:val="none" w:sz="0" w:space="0" w:color="auto"/>
      </w:divBdr>
    </w:div>
    <w:div w:id="17912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4484-19AB-4B5A-B697-262CD5AA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Rita.McDonald</dc:creator>
  <cp:keywords/>
  <cp:lastModifiedBy>Cathy Williams</cp:lastModifiedBy>
  <cp:revision>2</cp:revision>
  <cp:lastPrinted>2016-02-04T14:14:00Z</cp:lastPrinted>
  <dcterms:created xsi:type="dcterms:W3CDTF">2021-10-20T02:10:00Z</dcterms:created>
  <dcterms:modified xsi:type="dcterms:W3CDTF">2021-10-20T02:10:00Z</dcterms:modified>
</cp:coreProperties>
</file>