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6ACF" w:rsidR="00991418" w:rsidP="00346ACF" w:rsidRDefault="00346ACF" w14:paraId="7E1CC1EC" w14:textId="77777777">
      <w:pPr>
        <w:rPr>
          <w:b/>
        </w:rPr>
      </w:pPr>
      <w:r w:rsidRPr="00346ACF">
        <w:rPr>
          <w:b/>
        </w:rPr>
        <w:t>Section 97.303, Frequency Sharing Requirements</w:t>
      </w:r>
      <w:r w:rsidRPr="00346ACF">
        <w:rPr>
          <w:b/>
        </w:rPr>
        <w:t> </w:t>
      </w:r>
      <w:r w:rsidRPr="00346ACF">
        <w:rPr>
          <w:b/>
        </w:rPr>
        <w:t> </w:t>
      </w:r>
      <w:r w:rsidRPr="00346ACF">
        <w:rPr>
          <w:b/>
        </w:rPr>
        <w:t> </w:t>
      </w:r>
      <w:r w:rsidRPr="00346ACF">
        <w:rPr>
          <w:b/>
        </w:rPr>
        <w:t xml:space="preserve">         </w:t>
      </w:r>
      <w:r>
        <w:rPr>
          <w:b/>
        </w:rPr>
        <w:t xml:space="preserve">                           </w:t>
      </w:r>
      <w:r w:rsidRPr="00346ACF" w:rsidR="00991418">
        <w:rPr>
          <w:b/>
        </w:rPr>
        <w:t>3060-1050</w:t>
      </w:r>
    </w:p>
    <w:p w:rsidRPr="00346ACF" w:rsidR="00991418" w:rsidP="00240335" w:rsidRDefault="00711E10" w14:paraId="30487551" w14:textId="77777777">
      <w:pPr>
        <w:jc w:val="right"/>
        <w:rPr>
          <w:b/>
        </w:rPr>
      </w:pPr>
      <w:r>
        <w:rPr>
          <w:b/>
        </w:rPr>
        <w:t>October 2021</w:t>
      </w:r>
    </w:p>
    <w:p w:rsidR="00991418" w:rsidP="00240335" w:rsidRDefault="00991418" w14:paraId="66C9848F" w14:textId="77777777">
      <w:pPr>
        <w:jc w:val="center"/>
        <w:rPr>
          <w:b/>
        </w:rPr>
      </w:pPr>
    </w:p>
    <w:p w:rsidRPr="00991418" w:rsidR="00701A97" w:rsidP="00240335" w:rsidRDefault="000B0219" w14:paraId="5BEF3D83" w14:textId="77777777">
      <w:pPr>
        <w:jc w:val="center"/>
      </w:pPr>
      <w:r w:rsidRPr="00991418">
        <w:t>S</w:t>
      </w:r>
      <w:r w:rsidRPr="00991418" w:rsidR="00D35303">
        <w:t>UPPORTING STATEMENT</w:t>
      </w:r>
    </w:p>
    <w:p w:rsidRPr="000B0219" w:rsidR="000B0219" w:rsidP="00240335" w:rsidRDefault="000B0219" w14:paraId="0417A316" w14:textId="77777777">
      <w:pPr>
        <w:jc w:val="center"/>
        <w:rPr>
          <w:b/>
        </w:rPr>
      </w:pPr>
    </w:p>
    <w:p w:rsidR="000B0219" w:rsidP="000E3DE6" w:rsidRDefault="000B0219" w14:paraId="19D823F7" w14:textId="77777777">
      <w:pPr>
        <w:numPr>
          <w:ilvl w:val="0"/>
          <w:numId w:val="6"/>
        </w:numPr>
        <w:rPr>
          <w:b/>
          <w:sz w:val="22"/>
          <w:szCs w:val="22"/>
          <w:u w:val="single"/>
        </w:rPr>
      </w:pPr>
      <w:r w:rsidRPr="00991418">
        <w:rPr>
          <w:b/>
          <w:sz w:val="22"/>
          <w:szCs w:val="22"/>
          <w:u w:val="single"/>
        </w:rPr>
        <w:t>Justification</w:t>
      </w:r>
      <w:r w:rsidRPr="00991418" w:rsidR="002B02E0">
        <w:rPr>
          <w:b/>
          <w:sz w:val="22"/>
          <w:szCs w:val="22"/>
          <w:u w:val="single"/>
        </w:rPr>
        <w:t>:</w:t>
      </w:r>
      <w:r w:rsidRPr="00991418">
        <w:rPr>
          <w:b/>
          <w:sz w:val="22"/>
          <w:szCs w:val="22"/>
          <w:u w:val="single"/>
        </w:rPr>
        <w:t xml:space="preserve"> </w:t>
      </w:r>
    </w:p>
    <w:p w:rsidR="000E3DE6" w:rsidP="000E3DE6" w:rsidRDefault="000E3DE6" w14:paraId="13E86B36" w14:textId="77777777">
      <w:pPr>
        <w:rPr>
          <w:b/>
          <w:sz w:val="22"/>
          <w:szCs w:val="22"/>
          <w:u w:val="single"/>
        </w:rPr>
      </w:pPr>
    </w:p>
    <w:p w:rsidRPr="000E3DE6" w:rsidR="000E3DE6" w:rsidP="000E3DE6" w:rsidRDefault="000E3DE6" w14:paraId="5665BE19" w14:textId="77777777">
      <w:pPr>
        <w:rPr>
          <w:sz w:val="22"/>
          <w:szCs w:val="22"/>
        </w:rPr>
      </w:pPr>
      <w:r>
        <w:rPr>
          <w:sz w:val="22"/>
          <w:szCs w:val="22"/>
        </w:rPr>
        <w:t>The Commission is seeking</w:t>
      </w:r>
      <w:r w:rsidR="0046570B">
        <w:rPr>
          <w:sz w:val="22"/>
          <w:szCs w:val="22"/>
        </w:rPr>
        <w:t xml:space="preserve"> an extension from the </w:t>
      </w:r>
      <w:r>
        <w:rPr>
          <w:sz w:val="22"/>
          <w:szCs w:val="22"/>
        </w:rPr>
        <w:t>Office of Management and Budget (OMB) approval for this existing information collection</w:t>
      </w:r>
      <w:r w:rsidR="0046570B">
        <w:rPr>
          <w:sz w:val="22"/>
          <w:szCs w:val="22"/>
        </w:rPr>
        <w:t xml:space="preserve"> for a three-year time period</w:t>
      </w:r>
      <w:r>
        <w:rPr>
          <w:sz w:val="22"/>
          <w:szCs w:val="22"/>
        </w:rPr>
        <w:t xml:space="preserve">.   </w:t>
      </w:r>
    </w:p>
    <w:p w:rsidRPr="00294F96" w:rsidR="000B0219" w:rsidP="000B0219" w:rsidRDefault="000B0219" w14:paraId="183AA9DD" w14:textId="77777777">
      <w:pPr>
        <w:rPr>
          <w:b/>
          <w:sz w:val="22"/>
          <w:szCs w:val="22"/>
          <w:shd w:val="clear" w:color="auto" w:fill="FFFFFF"/>
        </w:rPr>
      </w:pPr>
    </w:p>
    <w:p w:rsidRPr="00294F96" w:rsidR="002B02E0" w:rsidP="000B0219" w:rsidRDefault="002B02E0" w14:paraId="1D934287" w14:textId="77777777">
      <w:pPr>
        <w:rPr>
          <w:b/>
          <w:sz w:val="22"/>
          <w:szCs w:val="22"/>
          <w:shd w:val="clear" w:color="auto" w:fill="FFFFFF"/>
        </w:rPr>
      </w:pPr>
      <w:r w:rsidRPr="00294F96">
        <w:rPr>
          <w:b/>
          <w:sz w:val="22"/>
          <w:szCs w:val="22"/>
          <w:shd w:val="clear" w:color="auto" w:fill="FFFFFF"/>
        </w:rPr>
        <w:t>History:</w:t>
      </w:r>
    </w:p>
    <w:p w:rsidRPr="00294F96" w:rsidR="002B02E0" w:rsidP="000B0219" w:rsidRDefault="002B02E0" w14:paraId="356BF435" w14:textId="77777777">
      <w:pPr>
        <w:rPr>
          <w:b/>
          <w:sz w:val="22"/>
          <w:szCs w:val="22"/>
          <w:shd w:val="clear" w:color="auto" w:fill="FFFFFF"/>
        </w:rPr>
      </w:pPr>
    </w:p>
    <w:p w:rsidR="00B32FF6" w:rsidP="00B32FF6" w:rsidRDefault="000B0219" w14:paraId="098473D1" w14:textId="77777777">
      <w:pPr>
        <w:numPr>
          <w:ilvl w:val="0"/>
          <w:numId w:val="5"/>
        </w:numPr>
        <w:shd w:val="clear" w:color="auto" w:fill="FFFFFF"/>
        <w:ind w:left="0"/>
        <w:rPr>
          <w:sz w:val="22"/>
          <w:szCs w:val="22"/>
          <w:shd w:val="clear" w:color="auto" w:fill="FFFFFF"/>
        </w:rPr>
      </w:pPr>
      <w:r w:rsidRPr="00B32FF6">
        <w:rPr>
          <w:sz w:val="22"/>
          <w:szCs w:val="22"/>
          <w:shd w:val="clear" w:color="auto" w:fill="FFFFFF"/>
        </w:rPr>
        <w:t xml:space="preserve">On April 29, 2003, the </w:t>
      </w:r>
      <w:r w:rsidRPr="00B32FF6" w:rsidR="00B32FF6">
        <w:rPr>
          <w:sz w:val="22"/>
          <w:szCs w:val="22"/>
          <w:shd w:val="clear" w:color="auto" w:fill="FFFFFF"/>
        </w:rPr>
        <w:t xml:space="preserve">FCC’s </w:t>
      </w:r>
      <w:r w:rsidRPr="00B32FF6">
        <w:rPr>
          <w:sz w:val="22"/>
          <w:szCs w:val="22"/>
          <w:shd w:val="clear" w:color="auto" w:fill="FFFFFF"/>
        </w:rPr>
        <w:t xml:space="preserve">Office of Engineering and Technology adopted a </w:t>
      </w:r>
      <w:r w:rsidRPr="00B32FF6">
        <w:rPr>
          <w:i/>
          <w:sz w:val="22"/>
          <w:szCs w:val="22"/>
          <w:shd w:val="clear" w:color="auto" w:fill="FFFFFF"/>
        </w:rPr>
        <w:t>Report and Order</w:t>
      </w:r>
      <w:r w:rsidRPr="00B32FF6">
        <w:rPr>
          <w:sz w:val="22"/>
          <w:szCs w:val="22"/>
          <w:shd w:val="clear" w:color="auto" w:fill="FFFFFF"/>
        </w:rPr>
        <w:t xml:space="preserve"> in </w:t>
      </w:r>
      <w:r w:rsidRPr="00B32FF6">
        <w:rPr>
          <w:i/>
          <w:sz w:val="22"/>
          <w:szCs w:val="22"/>
          <w:shd w:val="clear" w:color="auto" w:fill="FFFFFF"/>
        </w:rPr>
        <w:t>Amendment of Parts 2 and 97 of the Commission’s Rules to Create a Low Frequency Allocation for the Amateur Radio Service</w:t>
      </w:r>
      <w:r w:rsidRPr="00B32FF6">
        <w:rPr>
          <w:sz w:val="22"/>
          <w:szCs w:val="22"/>
          <w:shd w:val="clear" w:color="auto" w:fill="FFFFFF"/>
        </w:rPr>
        <w:t>, in ET Docket No. 02-98</w:t>
      </w:r>
      <w:r w:rsidRPr="00B32FF6" w:rsidR="00792F78">
        <w:rPr>
          <w:sz w:val="22"/>
          <w:szCs w:val="22"/>
          <w:shd w:val="clear" w:color="auto" w:fill="FFFFFF"/>
        </w:rPr>
        <w:t xml:space="preserve">, FCC </w:t>
      </w:r>
      <w:r w:rsidRPr="00B32FF6" w:rsidR="00A474D8">
        <w:rPr>
          <w:sz w:val="22"/>
          <w:szCs w:val="22"/>
          <w:shd w:val="clear" w:color="auto" w:fill="FFFFFF"/>
        </w:rPr>
        <w:t>03</w:t>
      </w:r>
      <w:r w:rsidRPr="00B32FF6" w:rsidR="00792F78">
        <w:rPr>
          <w:sz w:val="22"/>
          <w:szCs w:val="22"/>
          <w:shd w:val="clear" w:color="auto" w:fill="FFFFFF"/>
        </w:rPr>
        <w:t>-</w:t>
      </w:r>
      <w:r w:rsidRPr="00B32FF6" w:rsidR="00A474D8">
        <w:rPr>
          <w:sz w:val="22"/>
          <w:szCs w:val="22"/>
          <w:shd w:val="clear" w:color="auto" w:fill="FFFFFF"/>
        </w:rPr>
        <w:t>105</w:t>
      </w:r>
      <w:r w:rsidRPr="00B32FF6" w:rsidR="00556BD1">
        <w:rPr>
          <w:sz w:val="22"/>
          <w:szCs w:val="22"/>
          <w:shd w:val="clear" w:color="auto" w:fill="FFFFFF"/>
        </w:rPr>
        <w:t xml:space="preserve">.  </w:t>
      </w:r>
      <w:r w:rsidRPr="00B32FF6" w:rsidR="00D81FA5">
        <w:rPr>
          <w:sz w:val="22"/>
          <w:szCs w:val="22"/>
          <w:shd w:val="clear" w:color="auto" w:fill="FFFFFF"/>
        </w:rPr>
        <w:t xml:space="preserve">The </w:t>
      </w:r>
      <w:r w:rsidRPr="00B32FF6" w:rsidR="00B32FF6">
        <w:rPr>
          <w:i/>
          <w:sz w:val="22"/>
          <w:szCs w:val="22"/>
          <w:shd w:val="clear" w:color="auto" w:fill="FFFFFF"/>
        </w:rPr>
        <w:t>Report and Order</w:t>
      </w:r>
      <w:r w:rsidRPr="00B32FF6" w:rsidR="00B32FF6">
        <w:rPr>
          <w:sz w:val="22"/>
          <w:szCs w:val="22"/>
          <w:shd w:val="clear" w:color="auto" w:fill="FFFFFF"/>
        </w:rPr>
        <w:t xml:space="preserve"> was released May 13, 2003, which established a recordkeeping procedure in section 97.303(s) that required</w:t>
      </w:r>
      <w:r w:rsidR="00B32FF6">
        <w:rPr>
          <w:sz w:val="22"/>
          <w:szCs w:val="22"/>
          <w:shd w:val="clear" w:color="auto" w:fill="FFFFFF"/>
        </w:rPr>
        <w:t xml:space="preserve"> that amateur operator licensees using other antennas must maintain in their station records either manufacturer data on the antenna gain or calculations of the antenna gain.</w:t>
      </w:r>
    </w:p>
    <w:p w:rsidR="00B32FF6" w:rsidP="00B32FF6" w:rsidRDefault="00B32FF6" w14:paraId="395BD53E" w14:textId="77777777">
      <w:pPr>
        <w:shd w:val="clear" w:color="auto" w:fill="FFFFFF"/>
        <w:rPr>
          <w:sz w:val="22"/>
          <w:szCs w:val="22"/>
          <w:shd w:val="clear" w:color="auto" w:fill="FFFFFF"/>
        </w:rPr>
      </w:pPr>
    </w:p>
    <w:p w:rsidR="00B32FF6" w:rsidP="00B32FF6" w:rsidRDefault="00B32FF6" w14:paraId="13108DD5" w14:textId="77777777">
      <w:pPr>
        <w:shd w:val="clear" w:color="auto" w:fill="FFFFFF"/>
        <w:rPr>
          <w:sz w:val="22"/>
          <w:szCs w:val="22"/>
          <w:shd w:val="clear" w:color="auto" w:fill="FFFFFF"/>
        </w:rPr>
      </w:pPr>
      <w:r>
        <w:rPr>
          <w:sz w:val="22"/>
          <w:szCs w:val="22"/>
          <w:shd w:val="clear" w:color="auto" w:fill="FFFFFF"/>
        </w:rPr>
        <w:t xml:space="preserve">Subsequently, on March 11, 2010, the Commission adopted an Order, </w:t>
      </w:r>
      <w:r w:rsidRPr="00B32FF6">
        <w:rPr>
          <w:sz w:val="22"/>
          <w:szCs w:val="22"/>
          <w:u w:val="single"/>
          <w:shd w:val="clear" w:color="auto" w:fill="FFFFFF"/>
        </w:rPr>
        <w:t>Amendment of the Amateur Service Rules to Facilitate Use of Spread Spectrum Communications Technologies</w:t>
      </w:r>
      <w:r>
        <w:rPr>
          <w:sz w:val="22"/>
          <w:szCs w:val="22"/>
          <w:shd w:val="clear" w:color="auto" w:fill="FFFFFF"/>
        </w:rPr>
        <w:t xml:space="preserve">, WT Docket No. 10-62, FCC 10-38, which moved the transmitter power limit information that applies to stations transmitting a spread spectrum emission from 47 CFR 97.303(s) to 47 CFR 97.313(i), </w:t>
      </w:r>
      <w:r w:rsidRPr="00B32FF6">
        <w:rPr>
          <w:sz w:val="22"/>
          <w:szCs w:val="22"/>
          <w:u w:val="single"/>
          <w:shd w:val="clear" w:color="auto" w:fill="FFFFFF"/>
        </w:rPr>
        <w:t>Transmitter Power Standard</w:t>
      </w:r>
      <w:r>
        <w:rPr>
          <w:sz w:val="22"/>
          <w:szCs w:val="22"/>
          <w:shd w:val="clear" w:color="auto" w:fill="FFFFFF"/>
        </w:rPr>
        <w:t>.</w:t>
      </w:r>
    </w:p>
    <w:p w:rsidR="00B32FF6" w:rsidP="00B32FF6" w:rsidRDefault="00B32FF6" w14:paraId="7D1DE3D7" w14:textId="77777777">
      <w:pPr>
        <w:shd w:val="clear" w:color="auto" w:fill="FFFFFF"/>
        <w:rPr>
          <w:sz w:val="22"/>
          <w:szCs w:val="22"/>
          <w:shd w:val="clear" w:color="auto" w:fill="FFFFFF"/>
        </w:rPr>
      </w:pPr>
    </w:p>
    <w:p w:rsidRPr="00B32FF6" w:rsidR="00D81FA5" w:rsidP="00B32FF6" w:rsidRDefault="00B32FF6" w14:paraId="7EBAA989" w14:textId="77777777">
      <w:pPr>
        <w:shd w:val="clear" w:color="auto" w:fill="FFFFFF"/>
        <w:rPr>
          <w:sz w:val="22"/>
          <w:szCs w:val="22"/>
          <w:shd w:val="clear" w:color="auto" w:fill="FFFFFF"/>
        </w:rPr>
      </w:pPr>
      <w:r>
        <w:rPr>
          <w:sz w:val="22"/>
          <w:szCs w:val="22"/>
          <w:shd w:val="clear" w:color="auto" w:fill="FFFFFF"/>
        </w:rPr>
        <w:t xml:space="preserve">The </w:t>
      </w:r>
      <w:r w:rsidRPr="00B32FF6" w:rsidR="00D81FA5">
        <w:rPr>
          <w:sz w:val="22"/>
          <w:szCs w:val="22"/>
          <w:shd w:val="clear" w:color="auto" w:fill="FFFFFF"/>
        </w:rPr>
        <w:t xml:space="preserve">amateur radio service, governed by </w:t>
      </w:r>
      <w:r w:rsidRPr="00B32FF6" w:rsidR="00581A46">
        <w:rPr>
          <w:sz w:val="22"/>
          <w:szCs w:val="22"/>
          <w:shd w:val="clear" w:color="auto" w:fill="FFFFFF"/>
        </w:rPr>
        <w:t xml:space="preserve">47 CFR </w:t>
      </w:r>
      <w:r>
        <w:rPr>
          <w:sz w:val="22"/>
          <w:szCs w:val="22"/>
          <w:shd w:val="clear" w:color="auto" w:fill="FFFFFF"/>
        </w:rPr>
        <w:t>Part 97 of the Commission’s r</w:t>
      </w:r>
      <w:r w:rsidRPr="00B32FF6" w:rsidR="00D81FA5">
        <w:rPr>
          <w:sz w:val="22"/>
          <w:szCs w:val="22"/>
          <w:shd w:val="clear" w:color="auto" w:fill="FFFFFF"/>
        </w:rPr>
        <w:t xml:space="preserve">ules, provides spectrum for amateur radio service licensees to participate in a voluntary noncommercial communication service which provides emergency communications and allows experimentation with various radio techniques and technologies to further the understanding of radio use and the development of new technologies.  </w:t>
      </w:r>
      <w:r w:rsidRPr="00B32FF6" w:rsidR="009A5849">
        <w:rPr>
          <w:sz w:val="22"/>
          <w:szCs w:val="22"/>
        </w:rPr>
        <w:t>The</w:t>
      </w:r>
      <w:r w:rsidRPr="00B32FF6" w:rsidR="009A5849">
        <w:rPr>
          <w:sz w:val="22"/>
          <w:szCs w:val="22"/>
          <w:shd w:val="clear" w:color="auto" w:fill="FFFFFF"/>
        </w:rPr>
        <w:t xml:space="preserve"> </w:t>
      </w:r>
      <w:r w:rsidRPr="00B32FF6" w:rsidR="00D81FA5">
        <w:rPr>
          <w:i/>
          <w:sz w:val="22"/>
          <w:szCs w:val="22"/>
          <w:shd w:val="clear" w:color="auto" w:fill="FFFFFF"/>
        </w:rPr>
        <w:t>Report and Order</w:t>
      </w:r>
      <w:r w:rsidRPr="00B32FF6" w:rsidR="00D81FA5">
        <w:rPr>
          <w:sz w:val="22"/>
          <w:szCs w:val="22"/>
          <w:shd w:val="clear" w:color="auto" w:fill="FFFFFF"/>
        </w:rPr>
        <w:t xml:space="preserve"> provides access to 5 channels in or near the 5250-5400 kHz on a secondary basis for the amateur service, and upgrades the existing secondary amateur service allocation to primary status in the 2400-2402 MHz band. </w:t>
      </w:r>
      <w:r w:rsidRPr="00B32FF6" w:rsidR="00D81FA5">
        <w:rPr>
          <w:sz w:val="22"/>
          <w:szCs w:val="22"/>
        </w:rPr>
        <w:t>Th</w:t>
      </w:r>
      <w:r w:rsidR="008D69F3">
        <w:rPr>
          <w:sz w:val="22"/>
          <w:szCs w:val="22"/>
        </w:rPr>
        <w:t>ese</w:t>
      </w:r>
      <w:r w:rsidRPr="00B32FF6" w:rsidR="00D81FA5">
        <w:rPr>
          <w:sz w:val="22"/>
          <w:szCs w:val="22"/>
        </w:rPr>
        <w:t xml:space="preserve"> </w:t>
      </w:r>
      <w:r>
        <w:rPr>
          <w:sz w:val="22"/>
          <w:szCs w:val="22"/>
          <w:shd w:val="clear" w:color="auto" w:fill="FFFFFF"/>
        </w:rPr>
        <w:t>changes to the r</w:t>
      </w:r>
      <w:r w:rsidRPr="00B32FF6" w:rsidR="00D81FA5">
        <w:rPr>
          <w:sz w:val="22"/>
          <w:szCs w:val="22"/>
          <w:shd w:val="clear" w:color="auto" w:fill="FFFFFF"/>
        </w:rPr>
        <w:t xml:space="preserve">ules </w:t>
      </w:r>
      <w:r w:rsidRPr="00B32FF6" w:rsidR="00014EE7">
        <w:rPr>
          <w:sz w:val="22"/>
          <w:szCs w:val="22"/>
          <w:shd w:val="clear" w:color="auto" w:fill="FFFFFF"/>
        </w:rPr>
        <w:t>have</w:t>
      </w:r>
      <w:r w:rsidRPr="00B32FF6" w:rsidR="00D81FA5">
        <w:rPr>
          <w:sz w:val="22"/>
          <w:szCs w:val="22"/>
          <w:shd w:val="clear" w:color="auto" w:fill="FFFFFF"/>
        </w:rPr>
        <w:t xml:space="preserve"> enhance</w:t>
      </w:r>
      <w:r w:rsidRPr="00B32FF6" w:rsidR="00014EE7">
        <w:rPr>
          <w:sz w:val="22"/>
          <w:szCs w:val="22"/>
          <w:shd w:val="clear" w:color="auto" w:fill="FFFFFF"/>
        </w:rPr>
        <w:t>d</w:t>
      </w:r>
      <w:r w:rsidRPr="00B32FF6" w:rsidR="00D81FA5">
        <w:rPr>
          <w:sz w:val="22"/>
          <w:szCs w:val="22"/>
          <w:shd w:val="clear" w:color="auto" w:fill="FFFFFF"/>
        </w:rPr>
        <w:t xml:space="preserve"> the ability of amateur operators to communicate at 5000 kHz when propagation conditions do not permit communication at 3500 or 7000 kHz, and provide additional protection for the amateur operators now using the 2400-2402 MHz band.</w:t>
      </w:r>
    </w:p>
    <w:p w:rsidRPr="003747D7" w:rsidR="00F17D0C" w:rsidP="000B0219" w:rsidRDefault="00F17D0C" w14:paraId="5A06E57A" w14:textId="77777777">
      <w:pPr>
        <w:rPr>
          <w:b/>
          <w:sz w:val="22"/>
          <w:szCs w:val="22"/>
        </w:rPr>
      </w:pPr>
    </w:p>
    <w:p w:rsidR="000E6C3C" w:rsidP="000E6C3C" w:rsidRDefault="000E6C3C" w14:paraId="559E6B23" w14:textId="77777777">
      <w:pPr>
        <w:rPr>
          <w:sz w:val="22"/>
          <w:szCs w:val="22"/>
        </w:rPr>
      </w:pPr>
      <w:r w:rsidRPr="00582AE7">
        <w:rPr>
          <w:sz w:val="22"/>
          <w:szCs w:val="22"/>
        </w:rPr>
        <w:t xml:space="preserve">This collection is authorized under </w:t>
      </w:r>
      <w:r w:rsidR="00FD0DB2">
        <w:rPr>
          <w:sz w:val="22"/>
          <w:szCs w:val="22"/>
        </w:rPr>
        <w:t xml:space="preserve">§§ 1, 4, 301, 302a, and 303(c) and (f), of the Communications Act of 1934, as amended; </w:t>
      </w:r>
      <w:r w:rsidRPr="00582AE7">
        <w:rPr>
          <w:sz w:val="22"/>
          <w:szCs w:val="22"/>
        </w:rPr>
        <w:t>47 U.S.C. Sections 151, 154, 301, 302(a) and 303(c) and (f).</w:t>
      </w:r>
    </w:p>
    <w:p w:rsidR="00B32FF6" w:rsidP="000E6C3C" w:rsidRDefault="00B32FF6" w14:paraId="3980F42F" w14:textId="77777777">
      <w:pPr>
        <w:rPr>
          <w:sz w:val="22"/>
          <w:szCs w:val="22"/>
        </w:rPr>
      </w:pPr>
    </w:p>
    <w:p w:rsidR="000E6C3C" w:rsidP="000B0219" w:rsidRDefault="00224226" w14:paraId="23247A14" w14:textId="77777777">
      <w:pPr>
        <w:rPr>
          <w:sz w:val="22"/>
          <w:szCs w:val="22"/>
        </w:rPr>
      </w:pPr>
      <w:r>
        <w:rPr>
          <w:sz w:val="22"/>
          <w:szCs w:val="22"/>
        </w:rPr>
        <w:t>T</w:t>
      </w:r>
      <w:r w:rsidR="00B32FF6">
        <w:rPr>
          <w:sz w:val="22"/>
          <w:szCs w:val="22"/>
        </w:rPr>
        <w:t xml:space="preserve">his information collection does affect individuals </w:t>
      </w:r>
      <w:r>
        <w:rPr>
          <w:sz w:val="22"/>
          <w:szCs w:val="22"/>
        </w:rPr>
        <w:t xml:space="preserve">because it </w:t>
      </w:r>
      <w:r w:rsidRPr="00224226">
        <w:rPr>
          <w:sz w:val="22"/>
          <w:szCs w:val="22"/>
        </w:rPr>
        <w:t>requires certain amateur radio operators to maintain information in their amateur station records.  There</w:t>
      </w:r>
      <w:r w:rsidR="0046570B">
        <w:rPr>
          <w:sz w:val="22"/>
          <w:szCs w:val="22"/>
        </w:rPr>
        <w:t>fore, there</w:t>
      </w:r>
      <w:r w:rsidRPr="00224226">
        <w:rPr>
          <w:sz w:val="22"/>
          <w:szCs w:val="22"/>
        </w:rPr>
        <w:t xml:space="preserve"> are no Privacy Act impacts because the information collected remains with the individual</w:t>
      </w:r>
      <w:r w:rsidR="0046570B">
        <w:rPr>
          <w:sz w:val="22"/>
          <w:szCs w:val="22"/>
        </w:rPr>
        <w:t xml:space="preserve"> and it not retained at the Commission</w:t>
      </w:r>
      <w:r w:rsidRPr="00224226">
        <w:rPr>
          <w:sz w:val="22"/>
          <w:szCs w:val="22"/>
        </w:rPr>
        <w:t>.</w:t>
      </w:r>
    </w:p>
    <w:p w:rsidRPr="00582AE7" w:rsidR="00224226" w:rsidP="000B0219" w:rsidRDefault="00224226" w14:paraId="496C2449" w14:textId="77777777">
      <w:pPr>
        <w:rPr>
          <w:sz w:val="22"/>
          <w:szCs w:val="22"/>
        </w:rPr>
      </w:pPr>
    </w:p>
    <w:p w:rsidR="00224226" w:rsidP="000B0219" w:rsidRDefault="00CA50F6" w14:paraId="54B8E840" w14:textId="77777777">
      <w:pPr>
        <w:rPr>
          <w:sz w:val="22"/>
          <w:szCs w:val="22"/>
          <w:shd w:val="clear" w:color="auto" w:fill="FFFFFF"/>
        </w:rPr>
      </w:pPr>
      <w:r w:rsidRPr="00555E9A">
        <w:rPr>
          <w:sz w:val="22"/>
          <w:szCs w:val="22"/>
          <w:shd w:val="clear" w:color="auto" w:fill="FFFFFF"/>
        </w:rPr>
        <w:t xml:space="preserve">2.  The </w:t>
      </w:r>
      <w:r w:rsidRPr="00555E9A" w:rsidR="00144751">
        <w:rPr>
          <w:sz w:val="22"/>
          <w:szCs w:val="22"/>
          <w:shd w:val="clear" w:color="auto" w:fill="FFFFFF"/>
        </w:rPr>
        <w:t xml:space="preserve">information </w:t>
      </w:r>
      <w:r w:rsidRPr="00555E9A">
        <w:rPr>
          <w:sz w:val="22"/>
          <w:szCs w:val="22"/>
          <w:shd w:val="clear" w:color="auto" w:fill="FFFFFF"/>
        </w:rPr>
        <w:t xml:space="preserve">collection </w:t>
      </w:r>
      <w:r w:rsidRPr="00555E9A" w:rsidR="00144751">
        <w:rPr>
          <w:sz w:val="22"/>
          <w:szCs w:val="22"/>
          <w:shd w:val="clear" w:color="auto" w:fill="FFFFFF"/>
        </w:rPr>
        <w:t>is</w:t>
      </w:r>
      <w:r w:rsidRPr="00555E9A">
        <w:rPr>
          <w:sz w:val="22"/>
          <w:szCs w:val="22"/>
          <w:shd w:val="clear" w:color="auto" w:fill="FFFFFF"/>
        </w:rPr>
        <w:t xml:space="preserve"> used</w:t>
      </w:r>
      <w:r w:rsidRPr="00555E9A" w:rsidR="00517996">
        <w:rPr>
          <w:sz w:val="22"/>
          <w:szCs w:val="22"/>
          <w:shd w:val="clear" w:color="auto" w:fill="FFFFFF"/>
        </w:rPr>
        <w:t xml:space="preserve"> to</w:t>
      </w:r>
      <w:r w:rsidRPr="00555E9A">
        <w:rPr>
          <w:sz w:val="22"/>
          <w:szCs w:val="22"/>
          <w:shd w:val="clear" w:color="auto" w:fill="FFFFFF"/>
        </w:rPr>
        <w:t xml:space="preserve"> </w:t>
      </w:r>
      <w:r w:rsidRPr="00224226" w:rsidR="00224226">
        <w:rPr>
          <w:sz w:val="22"/>
          <w:szCs w:val="22"/>
          <w:shd w:val="clear" w:color="auto" w:fill="FFFFFF"/>
        </w:rPr>
        <w:t>calculate the effective radiated power (ERP) that the station is transmitting to ensure the ERP does not exceed 100 W PEP</w:t>
      </w:r>
      <w:r w:rsidRPr="00555E9A" w:rsidR="00F42CC7">
        <w:rPr>
          <w:sz w:val="22"/>
          <w:szCs w:val="22"/>
          <w:shd w:val="clear" w:color="auto" w:fill="FFFFFF"/>
        </w:rPr>
        <w:t>.</w:t>
      </w:r>
    </w:p>
    <w:p w:rsidRPr="00555E9A" w:rsidR="006F01D1" w:rsidP="000B0219" w:rsidRDefault="00CA50F6" w14:paraId="54B2B006" w14:textId="77777777">
      <w:pPr>
        <w:rPr>
          <w:b/>
          <w:sz w:val="22"/>
          <w:szCs w:val="22"/>
          <w:shd w:val="clear" w:color="auto" w:fill="FFFFFF"/>
        </w:rPr>
      </w:pPr>
      <w:r w:rsidRPr="00555E9A">
        <w:rPr>
          <w:sz w:val="22"/>
          <w:szCs w:val="22"/>
          <w:shd w:val="clear" w:color="auto" w:fill="FFFFFF"/>
        </w:rPr>
        <w:t xml:space="preserve"> </w:t>
      </w:r>
      <w:r w:rsidRPr="00555E9A">
        <w:rPr>
          <w:b/>
          <w:sz w:val="22"/>
          <w:szCs w:val="22"/>
          <w:shd w:val="clear" w:color="auto" w:fill="FFFFFF"/>
        </w:rPr>
        <w:t xml:space="preserve"> </w:t>
      </w:r>
    </w:p>
    <w:p w:rsidRPr="00555E9A" w:rsidR="00F42CC7" w:rsidP="000B0219" w:rsidRDefault="00F42CC7" w14:paraId="6617A8AC" w14:textId="77777777">
      <w:pPr>
        <w:rPr>
          <w:sz w:val="22"/>
          <w:szCs w:val="22"/>
          <w:shd w:val="clear" w:color="auto" w:fill="FFFFFF"/>
        </w:rPr>
      </w:pPr>
    </w:p>
    <w:p w:rsidRPr="00CA1C28" w:rsidR="00CA50F6" w:rsidP="00CA1C28" w:rsidRDefault="00CA50F6" w14:paraId="34AECE2A" w14:textId="77777777">
      <w:pPr>
        <w:shd w:val="clear" w:color="auto" w:fill="FFFFFF"/>
        <w:rPr>
          <w:sz w:val="22"/>
          <w:szCs w:val="22"/>
          <w:shd w:val="clear" w:color="auto" w:fill="FFFFFF"/>
        </w:rPr>
      </w:pPr>
      <w:r w:rsidRPr="00582AE7">
        <w:rPr>
          <w:sz w:val="22"/>
          <w:szCs w:val="22"/>
        </w:rPr>
        <w:lastRenderedPageBreak/>
        <w:t xml:space="preserve">3.  </w:t>
      </w:r>
      <w:r w:rsidRPr="003747D7" w:rsidR="00771214">
        <w:rPr>
          <w:sz w:val="22"/>
          <w:szCs w:val="22"/>
        </w:rPr>
        <w:t>Amateur operator</w:t>
      </w:r>
      <w:r w:rsidR="00110613">
        <w:rPr>
          <w:sz w:val="22"/>
          <w:szCs w:val="22"/>
        </w:rPr>
        <w:t>s a</w:t>
      </w:r>
      <w:r w:rsidRPr="00582AE7" w:rsidR="007E26EB">
        <w:rPr>
          <w:sz w:val="22"/>
          <w:szCs w:val="22"/>
        </w:rPr>
        <w:t xml:space="preserve">re not required to file any information with the Commission.  </w:t>
      </w:r>
      <w:r w:rsidRPr="00CA1C28" w:rsidR="00771214">
        <w:rPr>
          <w:sz w:val="22"/>
          <w:szCs w:val="22"/>
          <w:shd w:val="clear" w:color="auto" w:fill="FFFFFF"/>
        </w:rPr>
        <w:t xml:space="preserve">Amateur operators </w:t>
      </w:r>
      <w:r w:rsidRPr="00CA1C28" w:rsidR="0031305C">
        <w:rPr>
          <w:sz w:val="22"/>
          <w:szCs w:val="22"/>
          <w:shd w:val="clear" w:color="auto" w:fill="FFFFFF"/>
        </w:rPr>
        <w:t>are required to</w:t>
      </w:r>
      <w:r w:rsidRPr="00CA1C28" w:rsidR="00771214">
        <w:rPr>
          <w:sz w:val="22"/>
          <w:szCs w:val="22"/>
          <w:shd w:val="clear" w:color="auto" w:fill="FFFFFF"/>
        </w:rPr>
        <w:t xml:space="preserve"> retain</w:t>
      </w:r>
      <w:r w:rsidRPr="00CA1C28">
        <w:rPr>
          <w:sz w:val="22"/>
          <w:szCs w:val="22"/>
          <w:shd w:val="clear" w:color="auto" w:fill="FFFFFF"/>
        </w:rPr>
        <w:t xml:space="preserve"> the records</w:t>
      </w:r>
      <w:r w:rsidRPr="00CA1C28" w:rsidR="006E4FE8">
        <w:rPr>
          <w:sz w:val="22"/>
          <w:szCs w:val="22"/>
          <w:shd w:val="clear" w:color="auto" w:fill="FFFFFF"/>
        </w:rPr>
        <w:t>,</w:t>
      </w:r>
      <w:r w:rsidRPr="00CA1C28" w:rsidR="00771214">
        <w:rPr>
          <w:sz w:val="22"/>
          <w:szCs w:val="22"/>
          <w:shd w:val="clear" w:color="auto" w:fill="FFFFFF"/>
        </w:rPr>
        <w:t xml:space="preserve"> and they</w:t>
      </w:r>
      <w:r w:rsidRPr="00CA1C28">
        <w:rPr>
          <w:sz w:val="22"/>
          <w:szCs w:val="22"/>
          <w:shd w:val="clear" w:color="auto" w:fill="FFFFFF"/>
        </w:rPr>
        <w:t xml:space="preserve"> may use any available media, including electronic media</w:t>
      </w:r>
      <w:r w:rsidRPr="00CA1C28" w:rsidR="001158AF">
        <w:rPr>
          <w:sz w:val="22"/>
          <w:szCs w:val="22"/>
          <w:shd w:val="clear" w:color="auto" w:fill="FFFFFF"/>
        </w:rPr>
        <w:t>,</w:t>
      </w:r>
      <w:r w:rsidRPr="00CA1C28">
        <w:rPr>
          <w:sz w:val="22"/>
          <w:szCs w:val="22"/>
          <w:shd w:val="clear" w:color="auto" w:fill="FFFFFF"/>
        </w:rPr>
        <w:t xml:space="preserve"> for storage of manufacturer data or compliance information.</w:t>
      </w:r>
      <w:r w:rsidRPr="00CA1C28" w:rsidR="004E5C3E">
        <w:rPr>
          <w:sz w:val="22"/>
          <w:szCs w:val="22"/>
          <w:shd w:val="clear" w:color="auto" w:fill="FFFFFF"/>
        </w:rPr>
        <w:t xml:space="preserve">  The FCC has no requirement on how th</w:t>
      </w:r>
      <w:r w:rsidR="00DC03DB">
        <w:rPr>
          <w:sz w:val="22"/>
          <w:szCs w:val="22"/>
          <w:shd w:val="clear" w:color="auto" w:fill="FFFFFF"/>
        </w:rPr>
        <w:t>e</w:t>
      </w:r>
      <w:r w:rsidRPr="00CA1C28" w:rsidR="004E5C3E">
        <w:rPr>
          <w:sz w:val="22"/>
          <w:szCs w:val="22"/>
          <w:shd w:val="clear" w:color="auto" w:fill="FFFFFF"/>
        </w:rPr>
        <w:t xml:space="preserve"> information collections are conducted.</w:t>
      </w:r>
    </w:p>
    <w:p w:rsidRPr="00CA1C28" w:rsidR="00CA50F6" w:rsidP="00CA1C28" w:rsidRDefault="00CA50F6" w14:paraId="3127E884" w14:textId="77777777">
      <w:pPr>
        <w:shd w:val="clear" w:color="auto" w:fill="FFFFFF"/>
        <w:rPr>
          <w:sz w:val="22"/>
          <w:szCs w:val="22"/>
          <w:shd w:val="clear" w:color="auto" w:fill="FFFFFF"/>
        </w:rPr>
      </w:pPr>
    </w:p>
    <w:p w:rsidRPr="00CA1C28" w:rsidR="00CA50F6" w:rsidP="00CA1C28" w:rsidRDefault="00CA50F6" w14:paraId="630FDFD3" w14:textId="77777777">
      <w:pPr>
        <w:shd w:val="clear" w:color="auto" w:fill="FFFFFF"/>
        <w:rPr>
          <w:sz w:val="22"/>
          <w:szCs w:val="22"/>
          <w:shd w:val="clear" w:color="auto" w:fill="FFFFFF"/>
        </w:rPr>
      </w:pPr>
      <w:r w:rsidRPr="00CA1C28">
        <w:rPr>
          <w:sz w:val="22"/>
          <w:szCs w:val="22"/>
          <w:shd w:val="clear" w:color="auto" w:fill="FFFFFF"/>
        </w:rPr>
        <w:t>4.  No similar information is available.</w:t>
      </w:r>
    </w:p>
    <w:p w:rsidRPr="00CA1C28" w:rsidR="00CA50F6" w:rsidP="00CA1C28" w:rsidRDefault="00CA50F6" w14:paraId="730A939E" w14:textId="77777777">
      <w:pPr>
        <w:shd w:val="clear" w:color="auto" w:fill="FFFFFF"/>
        <w:rPr>
          <w:sz w:val="22"/>
          <w:szCs w:val="22"/>
          <w:shd w:val="clear" w:color="auto" w:fill="FFFFFF"/>
        </w:rPr>
      </w:pPr>
    </w:p>
    <w:p w:rsidR="00971879" w:rsidP="00CA1C28" w:rsidRDefault="00CA50F6" w14:paraId="77CDF8CD" w14:textId="77777777">
      <w:pPr>
        <w:shd w:val="clear" w:color="auto" w:fill="FFFFFF"/>
        <w:rPr>
          <w:sz w:val="22"/>
          <w:szCs w:val="22"/>
          <w:shd w:val="clear" w:color="auto" w:fill="FFFFFF"/>
        </w:rPr>
      </w:pPr>
      <w:r w:rsidRPr="00CA1C28">
        <w:rPr>
          <w:sz w:val="22"/>
          <w:szCs w:val="22"/>
          <w:shd w:val="clear" w:color="auto" w:fill="FFFFFF"/>
        </w:rPr>
        <w:t>5.</w:t>
      </w:r>
      <w:r w:rsidRPr="00CA1C28" w:rsidR="004E5C3E">
        <w:rPr>
          <w:sz w:val="22"/>
          <w:szCs w:val="22"/>
          <w:shd w:val="clear" w:color="auto" w:fill="FFFFFF"/>
        </w:rPr>
        <w:t xml:space="preserve">  </w:t>
      </w:r>
      <w:r w:rsidRPr="00CA1C28" w:rsidR="00604375">
        <w:rPr>
          <w:sz w:val="22"/>
          <w:szCs w:val="22"/>
          <w:shd w:val="clear" w:color="auto" w:fill="FFFFFF"/>
        </w:rPr>
        <w:t>The Commission has made an effort to minimize the burden on all respondents (amateur operator</w:t>
      </w:r>
      <w:r w:rsidR="00A14572">
        <w:rPr>
          <w:sz w:val="22"/>
          <w:szCs w:val="22"/>
          <w:shd w:val="clear" w:color="auto" w:fill="FFFFFF"/>
        </w:rPr>
        <w:t>s</w:t>
      </w:r>
      <w:r w:rsidRPr="00CA1C28" w:rsidR="00110613">
        <w:rPr>
          <w:sz w:val="22"/>
          <w:szCs w:val="22"/>
          <w:shd w:val="clear" w:color="auto" w:fill="FFFFFF"/>
        </w:rPr>
        <w:t>)</w:t>
      </w:r>
      <w:r w:rsidRPr="00CA1C28" w:rsidR="00604375">
        <w:rPr>
          <w:sz w:val="22"/>
          <w:szCs w:val="22"/>
          <w:shd w:val="clear" w:color="auto" w:fill="FFFFFF"/>
        </w:rPr>
        <w:t xml:space="preserve">.   </w:t>
      </w:r>
      <w:r w:rsidRPr="00CA1C28" w:rsidR="004E5C3E">
        <w:rPr>
          <w:sz w:val="22"/>
          <w:szCs w:val="22"/>
          <w:shd w:val="clear" w:color="auto" w:fill="FFFFFF"/>
        </w:rPr>
        <w:t>Th</w:t>
      </w:r>
      <w:r w:rsidRPr="00CA1C28" w:rsidR="00767AD3">
        <w:rPr>
          <w:sz w:val="22"/>
          <w:szCs w:val="22"/>
          <w:shd w:val="clear" w:color="auto" w:fill="FFFFFF"/>
        </w:rPr>
        <w:t>is</w:t>
      </w:r>
      <w:r w:rsidRPr="00CA1C28" w:rsidR="004E5C3E">
        <w:rPr>
          <w:sz w:val="22"/>
          <w:szCs w:val="22"/>
          <w:shd w:val="clear" w:color="auto" w:fill="FFFFFF"/>
        </w:rPr>
        <w:t xml:space="preserve"> collection of information</w:t>
      </w:r>
      <w:r w:rsidRPr="00CA1C28" w:rsidR="00767AD3">
        <w:rPr>
          <w:sz w:val="22"/>
          <w:szCs w:val="22"/>
          <w:shd w:val="clear" w:color="auto" w:fill="FFFFFF"/>
        </w:rPr>
        <w:t xml:space="preserve"> is only required if the amateur licensees </w:t>
      </w:r>
      <w:r w:rsidR="000E3DE6">
        <w:rPr>
          <w:sz w:val="22"/>
          <w:szCs w:val="22"/>
          <w:shd w:val="clear" w:color="auto" w:fill="FFFFFF"/>
        </w:rPr>
        <w:t>transmit with an effective radiated power (ERP) exceeding 50 W PEP on the 60 m band.   For the purpose of computing ERP the transmitter PEP will be multiplied by the antenna gain relative to a dipole or the equivalent calculation in decibels.  A half-wave dipole antenna will be presumed to have a gain of 1.  Licensees using other antennas must maintain in their station records either the manufacturer data on the antenna gain or calculations of the antenna gain.   In the event of interference, potential causes can be identified from the record of amateur operators.</w:t>
      </w:r>
    </w:p>
    <w:p w:rsidRPr="003747D7" w:rsidR="000E3DE6" w:rsidP="00CA1C28" w:rsidRDefault="000E3DE6" w14:paraId="33CEB999" w14:textId="77777777">
      <w:pPr>
        <w:shd w:val="clear" w:color="auto" w:fill="FFFFFF"/>
        <w:rPr>
          <w:b/>
          <w:sz w:val="22"/>
          <w:szCs w:val="22"/>
        </w:rPr>
      </w:pPr>
    </w:p>
    <w:p w:rsidRPr="00582AE7" w:rsidR="000B0219" w:rsidP="00CA1C28" w:rsidRDefault="00971879" w14:paraId="1CB2F66E" w14:textId="77777777">
      <w:pPr>
        <w:shd w:val="clear" w:color="auto" w:fill="FFFFFF"/>
        <w:rPr>
          <w:sz w:val="22"/>
          <w:szCs w:val="22"/>
        </w:rPr>
      </w:pPr>
      <w:r w:rsidRPr="00582AE7">
        <w:rPr>
          <w:sz w:val="22"/>
          <w:szCs w:val="22"/>
        </w:rPr>
        <w:t xml:space="preserve">6.  </w:t>
      </w:r>
      <w:r w:rsidRPr="00582AE7" w:rsidR="004E5C3E">
        <w:rPr>
          <w:sz w:val="22"/>
          <w:szCs w:val="22"/>
        </w:rPr>
        <w:t>Failure of parties to m</w:t>
      </w:r>
      <w:r w:rsidRPr="00582AE7">
        <w:rPr>
          <w:sz w:val="22"/>
          <w:szCs w:val="22"/>
        </w:rPr>
        <w:t>aint</w:t>
      </w:r>
      <w:r w:rsidRPr="00582AE7" w:rsidR="004E5C3E">
        <w:rPr>
          <w:sz w:val="22"/>
          <w:szCs w:val="22"/>
        </w:rPr>
        <w:t>ain</w:t>
      </w:r>
      <w:r w:rsidRPr="00582AE7">
        <w:rPr>
          <w:sz w:val="22"/>
          <w:szCs w:val="22"/>
        </w:rPr>
        <w:t xml:space="preserve"> records </w:t>
      </w:r>
      <w:r w:rsidRPr="00582AE7" w:rsidR="004E5C3E">
        <w:rPr>
          <w:sz w:val="22"/>
          <w:szCs w:val="22"/>
        </w:rPr>
        <w:t xml:space="preserve">could </w:t>
      </w:r>
      <w:r w:rsidRPr="00582AE7" w:rsidR="00517996">
        <w:rPr>
          <w:sz w:val="22"/>
          <w:szCs w:val="22"/>
        </w:rPr>
        <w:t xml:space="preserve">hinder interference resolution </w:t>
      </w:r>
      <w:r w:rsidRPr="00582AE7" w:rsidR="004E5C3E">
        <w:rPr>
          <w:sz w:val="22"/>
          <w:szCs w:val="22"/>
        </w:rPr>
        <w:t xml:space="preserve">between the amateur licensees and </w:t>
      </w:r>
      <w:r w:rsidRPr="00582AE7" w:rsidR="00517996">
        <w:rPr>
          <w:sz w:val="22"/>
          <w:szCs w:val="22"/>
        </w:rPr>
        <w:t>Federal Government,</w:t>
      </w:r>
      <w:r w:rsidR="00074BEF">
        <w:rPr>
          <w:sz w:val="22"/>
          <w:szCs w:val="22"/>
        </w:rPr>
        <w:t xml:space="preserve"> </w:t>
      </w:r>
      <w:r w:rsidRPr="00DE6199" w:rsidR="004E5C3E">
        <w:rPr>
          <w:sz w:val="22"/>
          <w:szCs w:val="22"/>
          <w:shd w:val="clear" w:color="auto" w:fill="FFFFFF"/>
        </w:rPr>
        <w:t>mobile</w:t>
      </w:r>
      <w:r w:rsidRPr="00DE6199" w:rsidR="00074BEF">
        <w:rPr>
          <w:sz w:val="22"/>
          <w:szCs w:val="22"/>
          <w:shd w:val="clear" w:color="auto" w:fill="FFFFFF"/>
        </w:rPr>
        <w:t>,</w:t>
      </w:r>
      <w:r w:rsidR="00DE6199">
        <w:rPr>
          <w:sz w:val="22"/>
          <w:szCs w:val="22"/>
          <w:shd w:val="clear" w:color="auto" w:fill="FFFFFF"/>
        </w:rPr>
        <w:t xml:space="preserve"> </w:t>
      </w:r>
      <w:r w:rsidRPr="00582AE7" w:rsidR="004E5C3E">
        <w:rPr>
          <w:sz w:val="22"/>
          <w:szCs w:val="22"/>
        </w:rPr>
        <w:t>and fixed</w:t>
      </w:r>
      <w:r w:rsidRPr="00582AE7" w:rsidR="00FC0D0F">
        <w:rPr>
          <w:sz w:val="22"/>
          <w:szCs w:val="22"/>
        </w:rPr>
        <w:t xml:space="preserve"> service</w:t>
      </w:r>
      <w:r w:rsidRPr="00582AE7" w:rsidR="004C5B12">
        <w:rPr>
          <w:sz w:val="22"/>
          <w:szCs w:val="22"/>
        </w:rPr>
        <w:t>s.</w:t>
      </w:r>
      <w:r w:rsidRPr="00582AE7" w:rsidR="004E5C3E">
        <w:rPr>
          <w:sz w:val="22"/>
          <w:szCs w:val="22"/>
        </w:rPr>
        <w:t xml:space="preserve">   The collection </w:t>
      </w:r>
      <w:r w:rsidRPr="00582AE7">
        <w:rPr>
          <w:sz w:val="22"/>
          <w:szCs w:val="22"/>
        </w:rPr>
        <w:t xml:space="preserve">of information </w:t>
      </w:r>
      <w:r w:rsidRPr="00582AE7" w:rsidR="004E5C3E">
        <w:rPr>
          <w:sz w:val="22"/>
          <w:szCs w:val="22"/>
        </w:rPr>
        <w:t>is</w:t>
      </w:r>
      <w:r w:rsidRPr="00582AE7">
        <w:rPr>
          <w:sz w:val="22"/>
          <w:szCs w:val="22"/>
        </w:rPr>
        <w:t xml:space="preserve"> necessary to ensure that the amateur</w:t>
      </w:r>
      <w:r w:rsidRPr="00582AE7" w:rsidR="004E5C3E">
        <w:rPr>
          <w:sz w:val="22"/>
          <w:szCs w:val="22"/>
        </w:rPr>
        <w:t xml:space="preserve"> licensee</w:t>
      </w:r>
      <w:r w:rsidR="00A03AE7">
        <w:rPr>
          <w:sz w:val="22"/>
          <w:szCs w:val="22"/>
        </w:rPr>
        <w:t>s</w:t>
      </w:r>
      <w:r w:rsidRPr="00582AE7" w:rsidR="003D4AFD">
        <w:rPr>
          <w:sz w:val="22"/>
          <w:szCs w:val="22"/>
        </w:rPr>
        <w:t xml:space="preserve"> </w:t>
      </w:r>
      <w:r w:rsidRPr="00582AE7">
        <w:rPr>
          <w:sz w:val="22"/>
          <w:szCs w:val="22"/>
        </w:rPr>
        <w:t>comply with the</w:t>
      </w:r>
      <w:r w:rsidRPr="00582AE7" w:rsidR="00B24D0D">
        <w:rPr>
          <w:sz w:val="22"/>
          <w:szCs w:val="22"/>
        </w:rPr>
        <w:t xml:space="preserve"> C</w:t>
      </w:r>
      <w:r w:rsidRPr="00582AE7">
        <w:rPr>
          <w:sz w:val="22"/>
          <w:szCs w:val="22"/>
        </w:rPr>
        <w:t>ommission’s rules.</w:t>
      </w:r>
    </w:p>
    <w:p w:rsidRPr="00582AE7" w:rsidR="00971879" w:rsidP="00CA1C28" w:rsidRDefault="00971879" w14:paraId="18A49741" w14:textId="77777777">
      <w:pPr>
        <w:shd w:val="clear" w:color="auto" w:fill="FFFFFF"/>
        <w:rPr>
          <w:sz w:val="22"/>
          <w:szCs w:val="22"/>
        </w:rPr>
      </w:pPr>
    </w:p>
    <w:p w:rsidRPr="00582AE7" w:rsidR="00971879" w:rsidP="00CA1C28" w:rsidRDefault="00971879" w14:paraId="7D4B626A" w14:textId="77777777">
      <w:pPr>
        <w:shd w:val="clear" w:color="auto" w:fill="FFFFFF"/>
        <w:rPr>
          <w:sz w:val="22"/>
          <w:szCs w:val="22"/>
        </w:rPr>
      </w:pPr>
      <w:r w:rsidRPr="00582AE7">
        <w:rPr>
          <w:sz w:val="22"/>
          <w:szCs w:val="22"/>
        </w:rPr>
        <w:t xml:space="preserve">7.  The frequency of the filings will be determined by the </w:t>
      </w:r>
      <w:r w:rsidRPr="00582AE7" w:rsidR="00FC0D0F">
        <w:rPr>
          <w:sz w:val="22"/>
          <w:szCs w:val="22"/>
        </w:rPr>
        <w:t xml:space="preserve">amateur </w:t>
      </w:r>
      <w:r w:rsidRPr="00582AE7">
        <w:rPr>
          <w:sz w:val="22"/>
          <w:szCs w:val="22"/>
        </w:rPr>
        <w:t>licensees, and will be done on an as</w:t>
      </w:r>
      <w:r w:rsidR="00991418">
        <w:rPr>
          <w:sz w:val="22"/>
          <w:szCs w:val="22"/>
        </w:rPr>
        <w:t>-</w:t>
      </w:r>
      <w:r w:rsidRPr="00582AE7">
        <w:rPr>
          <w:sz w:val="22"/>
          <w:szCs w:val="22"/>
        </w:rPr>
        <w:t>needed basis, consistent with the guidelines in 5 CFR Section 1320.</w:t>
      </w:r>
      <w:r w:rsidR="0046570B">
        <w:rPr>
          <w:sz w:val="22"/>
          <w:szCs w:val="22"/>
        </w:rPr>
        <w:t>5</w:t>
      </w:r>
      <w:r w:rsidRPr="00582AE7">
        <w:rPr>
          <w:sz w:val="22"/>
          <w:szCs w:val="22"/>
        </w:rPr>
        <w:t>.</w:t>
      </w:r>
    </w:p>
    <w:p w:rsidRPr="00582AE7" w:rsidR="002C1FAE" w:rsidP="00CA1C28" w:rsidRDefault="002C1FAE" w14:paraId="500B797D" w14:textId="77777777">
      <w:pPr>
        <w:shd w:val="clear" w:color="auto" w:fill="FFFFFF"/>
        <w:rPr>
          <w:sz w:val="22"/>
          <w:szCs w:val="22"/>
        </w:rPr>
      </w:pPr>
    </w:p>
    <w:p w:rsidR="00384B87" w:rsidP="00CA1C28" w:rsidRDefault="00971879" w14:paraId="63408959" w14:textId="4CC12B87">
      <w:pPr>
        <w:shd w:val="clear" w:color="auto" w:fill="FFFFFF"/>
        <w:tabs>
          <w:tab w:val="left" w:pos="360"/>
        </w:tabs>
        <w:rPr>
          <w:sz w:val="22"/>
          <w:szCs w:val="22"/>
        </w:rPr>
      </w:pPr>
      <w:r w:rsidRPr="00582AE7">
        <w:rPr>
          <w:sz w:val="22"/>
          <w:szCs w:val="22"/>
        </w:rPr>
        <w:t xml:space="preserve">8.  </w:t>
      </w:r>
      <w:r w:rsidRPr="00582AE7" w:rsidR="00384B87">
        <w:rPr>
          <w:sz w:val="22"/>
          <w:szCs w:val="22"/>
        </w:rPr>
        <w:t xml:space="preserve">The Commission </w:t>
      </w:r>
      <w:r w:rsidRPr="00582AE7" w:rsidR="002C1FAE">
        <w:rPr>
          <w:sz w:val="22"/>
          <w:szCs w:val="22"/>
        </w:rPr>
        <w:t xml:space="preserve">published a </w:t>
      </w:r>
      <w:r w:rsidRPr="00240335" w:rsidR="00991418">
        <w:rPr>
          <w:sz w:val="22"/>
          <w:szCs w:val="22"/>
        </w:rPr>
        <w:t>60</w:t>
      </w:r>
      <w:r w:rsidR="0046570B">
        <w:rPr>
          <w:sz w:val="22"/>
          <w:szCs w:val="22"/>
        </w:rPr>
        <w:t>-</w:t>
      </w:r>
      <w:r w:rsidRPr="00240335" w:rsidR="00991418">
        <w:rPr>
          <w:sz w:val="22"/>
          <w:szCs w:val="22"/>
        </w:rPr>
        <w:t>day</w:t>
      </w:r>
      <w:r w:rsidR="00991418">
        <w:rPr>
          <w:sz w:val="22"/>
          <w:szCs w:val="22"/>
        </w:rPr>
        <w:t xml:space="preserve"> </w:t>
      </w:r>
      <w:r w:rsidRPr="00582AE7" w:rsidR="002C1FAE">
        <w:rPr>
          <w:sz w:val="22"/>
          <w:szCs w:val="22"/>
        </w:rPr>
        <w:t xml:space="preserve">notice in the </w:t>
      </w:r>
      <w:r w:rsidRPr="00582AE7" w:rsidR="002C1FAE">
        <w:rPr>
          <w:i/>
          <w:sz w:val="22"/>
          <w:szCs w:val="22"/>
        </w:rPr>
        <w:t xml:space="preserve">Federal Register </w:t>
      </w:r>
      <w:r w:rsidRPr="00582AE7" w:rsidR="002C1FAE">
        <w:rPr>
          <w:sz w:val="22"/>
          <w:szCs w:val="22"/>
        </w:rPr>
        <w:t xml:space="preserve">on </w:t>
      </w:r>
      <w:r w:rsidR="00711E10">
        <w:rPr>
          <w:sz w:val="22"/>
          <w:szCs w:val="22"/>
        </w:rPr>
        <w:t xml:space="preserve">August </w:t>
      </w:r>
      <w:r w:rsidR="0003499D">
        <w:rPr>
          <w:sz w:val="22"/>
          <w:szCs w:val="22"/>
        </w:rPr>
        <w:t xml:space="preserve">23, </w:t>
      </w:r>
      <w:r w:rsidR="00711E10">
        <w:rPr>
          <w:sz w:val="22"/>
          <w:szCs w:val="22"/>
        </w:rPr>
        <w:t>2021</w:t>
      </w:r>
      <w:r w:rsidRPr="00582AE7" w:rsidR="002C1FAE">
        <w:rPr>
          <w:sz w:val="22"/>
          <w:szCs w:val="22"/>
        </w:rPr>
        <w:t xml:space="preserve"> (</w:t>
      </w:r>
      <w:r w:rsidR="00263D53">
        <w:rPr>
          <w:sz w:val="22"/>
          <w:szCs w:val="22"/>
        </w:rPr>
        <w:t>8</w:t>
      </w:r>
      <w:r w:rsidR="00711E10">
        <w:rPr>
          <w:sz w:val="22"/>
          <w:szCs w:val="22"/>
        </w:rPr>
        <w:t>6</w:t>
      </w:r>
      <w:r w:rsidRPr="00582AE7" w:rsidR="002C1FAE">
        <w:rPr>
          <w:sz w:val="22"/>
          <w:szCs w:val="22"/>
        </w:rPr>
        <w:t xml:space="preserve"> FR </w:t>
      </w:r>
      <w:r w:rsidR="0003499D">
        <w:rPr>
          <w:sz w:val="22"/>
          <w:szCs w:val="22"/>
        </w:rPr>
        <w:t>47106</w:t>
      </w:r>
      <w:r w:rsidRPr="00582AE7" w:rsidR="009B0B3E">
        <w:rPr>
          <w:sz w:val="22"/>
          <w:szCs w:val="22"/>
        </w:rPr>
        <w:t>)</w:t>
      </w:r>
      <w:r w:rsidR="0046570B">
        <w:rPr>
          <w:sz w:val="22"/>
          <w:szCs w:val="22"/>
        </w:rPr>
        <w:t xml:space="preserve"> seeking comments on the information collection requirements contained in this collection</w:t>
      </w:r>
      <w:r w:rsidRPr="00582AE7" w:rsidR="009B0B3E">
        <w:rPr>
          <w:sz w:val="22"/>
          <w:szCs w:val="22"/>
        </w:rPr>
        <w:t xml:space="preserve">.  </w:t>
      </w:r>
      <w:r w:rsidR="0046570B">
        <w:rPr>
          <w:sz w:val="22"/>
          <w:szCs w:val="22"/>
        </w:rPr>
        <w:t xml:space="preserve">The Commission did not </w:t>
      </w:r>
      <w:r w:rsidRPr="00582AE7" w:rsidR="009B0B3E">
        <w:rPr>
          <w:sz w:val="22"/>
          <w:szCs w:val="22"/>
        </w:rPr>
        <w:t>receive</w:t>
      </w:r>
      <w:r w:rsidR="0046570B">
        <w:rPr>
          <w:sz w:val="22"/>
          <w:szCs w:val="22"/>
        </w:rPr>
        <w:t xml:space="preserve"> any</w:t>
      </w:r>
      <w:r w:rsidRPr="00582AE7" w:rsidR="009B0B3E">
        <w:rPr>
          <w:sz w:val="22"/>
          <w:szCs w:val="22"/>
        </w:rPr>
        <w:t xml:space="preserve"> </w:t>
      </w:r>
      <w:r w:rsidR="00A71589">
        <w:rPr>
          <w:sz w:val="22"/>
          <w:szCs w:val="22"/>
        </w:rPr>
        <w:t xml:space="preserve">PRA </w:t>
      </w:r>
      <w:r w:rsidRPr="00582AE7" w:rsidR="009B0B3E">
        <w:rPr>
          <w:sz w:val="22"/>
          <w:szCs w:val="22"/>
        </w:rPr>
        <w:t>comments following publication</w:t>
      </w:r>
      <w:r w:rsidR="0046570B">
        <w:rPr>
          <w:sz w:val="22"/>
          <w:szCs w:val="22"/>
        </w:rPr>
        <w:t xml:space="preserve"> of the notice</w:t>
      </w:r>
      <w:r w:rsidRPr="00582AE7" w:rsidR="009B0B3E">
        <w:rPr>
          <w:sz w:val="22"/>
          <w:szCs w:val="22"/>
        </w:rPr>
        <w:t xml:space="preserve">.  </w:t>
      </w:r>
    </w:p>
    <w:p w:rsidRPr="00582AE7" w:rsidR="00A14572" w:rsidP="00CA1C28" w:rsidRDefault="00A14572" w14:paraId="3DE20C79" w14:textId="77777777">
      <w:pPr>
        <w:shd w:val="clear" w:color="auto" w:fill="FFFFFF"/>
        <w:tabs>
          <w:tab w:val="left" w:pos="360"/>
        </w:tabs>
        <w:rPr>
          <w:sz w:val="22"/>
          <w:szCs w:val="22"/>
        </w:rPr>
      </w:pPr>
    </w:p>
    <w:p w:rsidRPr="00582AE7" w:rsidR="00971879" w:rsidP="00CA1C28" w:rsidRDefault="00971879" w14:paraId="24056270" w14:textId="77777777">
      <w:pPr>
        <w:shd w:val="clear" w:color="auto" w:fill="FFFFFF"/>
        <w:rPr>
          <w:sz w:val="22"/>
          <w:szCs w:val="22"/>
        </w:rPr>
      </w:pPr>
      <w:r w:rsidRPr="00582AE7">
        <w:rPr>
          <w:sz w:val="22"/>
          <w:szCs w:val="22"/>
        </w:rPr>
        <w:t xml:space="preserve">9.  </w:t>
      </w:r>
      <w:r w:rsidRPr="00582AE7" w:rsidR="009B0B3E">
        <w:rPr>
          <w:sz w:val="22"/>
          <w:szCs w:val="22"/>
        </w:rPr>
        <w:t>There will be no payment or gift to r</w:t>
      </w:r>
      <w:r w:rsidRPr="00582AE7">
        <w:rPr>
          <w:sz w:val="22"/>
          <w:szCs w:val="22"/>
        </w:rPr>
        <w:t>espondents</w:t>
      </w:r>
      <w:r w:rsidR="0046570B">
        <w:rPr>
          <w:sz w:val="22"/>
          <w:szCs w:val="22"/>
        </w:rPr>
        <w:t xml:space="preserve"> associated with this collection</w:t>
      </w:r>
      <w:r w:rsidRPr="00582AE7" w:rsidR="009B0B3E">
        <w:rPr>
          <w:sz w:val="22"/>
          <w:szCs w:val="22"/>
        </w:rPr>
        <w:t>.</w:t>
      </w:r>
    </w:p>
    <w:p w:rsidRPr="00582AE7" w:rsidR="008D619D" w:rsidP="00CA1C28" w:rsidRDefault="008D619D" w14:paraId="7D9E2C6A" w14:textId="77777777">
      <w:pPr>
        <w:shd w:val="clear" w:color="auto" w:fill="FFFFFF"/>
        <w:rPr>
          <w:sz w:val="22"/>
          <w:szCs w:val="22"/>
        </w:rPr>
      </w:pPr>
    </w:p>
    <w:p w:rsidRPr="003305D6" w:rsidR="006F1A03" w:rsidP="00CA1C28" w:rsidRDefault="00D14999" w14:paraId="381AD485" w14:textId="77777777">
      <w:pPr>
        <w:shd w:val="clear" w:color="auto" w:fill="FFFFFF"/>
        <w:tabs>
          <w:tab w:val="left" w:pos="0"/>
        </w:tabs>
        <w:suppressAutoHyphens/>
        <w:ind w:left="420" w:hanging="390"/>
        <w:rPr>
          <w:spacing w:val="-3"/>
          <w:sz w:val="22"/>
          <w:szCs w:val="22"/>
          <w:shd w:val="clear" w:color="auto" w:fill="FFFFFF"/>
        </w:rPr>
      </w:pPr>
      <w:r>
        <w:rPr>
          <w:sz w:val="22"/>
          <w:szCs w:val="22"/>
        </w:rPr>
        <w:t xml:space="preserve">10.  There is no need for </w:t>
      </w:r>
      <w:r w:rsidRPr="00582AE7" w:rsidR="008D619D">
        <w:rPr>
          <w:sz w:val="22"/>
          <w:szCs w:val="22"/>
        </w:rPr>
        <w:t>confidentiality</w:t>
      </w:r>
      <w:r w:rsidR="0046570B">
        <w:rPr>
          <w:sz w:val="22"/>
          <w:szCs w:val="22"/>
        </w:rPr>
        <w:t xml:space="preserve"> with this collection</w:t>
      </w:r>
      <w:r w:rsidRPr="00582AE7" w:rsidR="008D619D">
        <w:rPr>
          <w:sz w:val="22"/>
          <w:szCs w:val="22"/>
        </w:rPr>
        <w:t>.</w:t>
      </w:r>
      <w:r w:rsidR="00197CCC">
        <w:rPr>
          <w:sz w:val="22"/>
          <w:szCs w:val="22"/>
        </w:rPr>
        <w:t xml:space="preserve">  </w:t>
      </w:r>
      <w:r w:rsidR="00A03AE7">
        <w:rPr>
          <w:sz w:val="22"/>
          <w:szCs w:val="22"/>
        </w:rPr>
        <w:tab/>
      </w:r>
    </w:p>
    <w:p w:rsidR="003305D6" w:rsidP="000B0219" w:rsidRDefault="003305D6" w14:paraId="7857CF73" w14:textId="77777777">
      <w:pPr>
        <w:rPr>
          <w:sz w:val="22"/>
          <w:szCs w:val="22"/>
          <w:shd w:val="clear" w:color="auto" w:fill="FFFFFF"/>
        </w:rPr>
      </w:pPr>
    </w:p>
    <w:p w:rsidRPr="003305D6" w:rsidR="008D619D" w:rsidP="000B0219" w:rsidRDefault="008D619D" w14:paraId="5BBE6683" w14:textId="77777777">
      <w:pPr>
        <w:rPr>
          <w:sz w:val="22"/>
          <w:szCs w:val="22"/>
          <w:shd w:val="clear" w:color="auto" w:fill="FFFFFF"/>
        </w:rPr>
      </w:pPr>
      <w:r w:rsidRPr="003305D6">
        <w:rPr>
          <w:sz w:val="22"/>
          <w:szCs w:val="22"/>
          <w:shd w:val="clear" w:color="auto" w:fill="FFFFFF"/>
        </w:rPr>
        <w:t>11.  Th</w:t>
      </w:r>
      <w:r w:rsidR="00D14999">
        <w:rPr>
          <w:sz w:val="22"/>
          <w:szCs w:val="22"/>
          <w:shd w:val="clear" w:color="auto" w:fill="FFFFFF"/>
        </w:rPr>
        <w:t xml:space="preserve">is collection does not address any private matters </w:t>
      </w:r>
      <w:r w:rsidRPr="003305D6">
        <w:rPr>
          <w:sz w:val="22"/>
          <w:szCs w:val="22"/>
          <w:shd w:val="clear" w:color="auto" w:fill="FFFFFF"/>
        </w:rPr>
        <w:t>of a sensitive nature.</w:t>
      </w:r>
    </w:p>
    <w:p w:rsidRPr="003305D6" w:rsidR="008D619D" w:rsidP="000B0219" w:rsidRDefault="008D619D" w14:paraId="326F939F" w14:textId="77777777">
      <w:pPr>
        <w:rPr>
          <w:sz w:val="22"/>
          <w:szCs w:val="22"/>
          <w:shd w:val="clear" w:color="auto" w:fill="FFFFFF"/>
        </w:rPr>
      </w:pPr>
    </w:p>
    <w:p w:rsidR="009B0B3E" w:rsidP="000B0219" w:rsidRDefault="008D619D" w14:paraId="7D7F010B" w14:textId="77777777">
      <w:pPr>
        <w:rPr>
          <w:sz w:val="22"/>
          <w:szCs w:val="22"/>
        </w:rPr>
      </w:pPr>
      <w:r w:rsidRPr="003305D6">
        <w:rPr>
          <w:sz w:val="22"/>
          <w:szCs w:val="22"/>
          <w:shd w:val="clear" w:color="auto" w:fill="FFFFFF"/>
        </w:rPr>
        <w:t>12</w:t>
      </w:r>
      <w:r w:rsidRPr="003305D6">
        <w:rPr>
          <w:b/>
          <w:sz w:val="22"/>
          <w:szCs w:val="22"/>
          <w:shd w:val="clear" w:color="auto" w:fill="FFFFFF"/>
        </w:rPr>
        <w:t>.</w:t>
      </w:r>
      <w:r w:rsidRPr="003305D6" w:rsidR="004E5C3E">
        <w:rPr>
          <w:b/>
          <w:sz w:val="22"/>
          <w:szCs w:val="22"/>
          <w:shd w:val="clear" w:color="auto" w:fill="FFFFFF"/>
        </w:rPr>
        <w:t xml:space="preserve">  </w:t>
      </w:r>
      <w:r w:rsidR="00224226">
        <w:rPr>
          <w:sz w:val="22"/>
          <w:szCs w:val="22"/>
          <w:shd w:val="clear" w:color="auto" w:fill="FFFFFF"/>
        </w:rPr>
        <w:t>B</w:t>
      </w:r>
      <w:r w:rsidRPr="003305D6" w:rsidR="000E6C3C">
        <w:rPr>
          <w:sz w:val="22"/>
          <w:szCs w:val="22"/>
          <w:shd w:val="clear" w:color="auto" w:fill="FFFFFF"/>
        </w:rPr>
        <w:t xml:space="preserve">ased on informal evidence </w:t>
      </w:r>
      <w:r w:rsidRPr="003305D6" w:rsidR="003D4AFD">
        <w:rPr>
          <w:sz w:val="22"/>
          <w:szCs w:val="22"/>
          <w:shd w:val="clear" w:color="auto" w:fill="FFFFFF"/>
        </w:rPr>
        <w:t>of the amount of interest in the</w:t>
      </w:r>
      <w:r w:rsidRPr="003305D6" w:rsidR="005753DC">
        <w:rPr>
          <w:sz w:val="22"/>
          <w:szCs w:val="22"/>
          <w:shd w:val="clear" w:color="auto" w:fill="FFFFFF"/>
        </w:rPr>
        <w:t xml:space="preserve"> </w:t>
      </w:r>
      <w:r w:rsidRPr="003305D6" w:rsidR="00991418">
        <w:rPr>
          <w:sz w:val="22"/>
          <w:szCs w:val="22"/>
          <w:shd w:val="clear" w:color="auto" w:fill="FFFFFF"/>
        </w:rPr>
        <w:t>bands</w:t>
      </w:r>
      <w:r w:rsidR="00224226">
        <w:rPr>
          <w:sz w:val="22"/>
          <w:szCs w:val="22"/>
          <w:shd w:val="clear" w:color="auto" w:fill="FFFFFF"/>
        </w:rPr>
        <w:t>, we estimate,</w:t>
      </w:r>
      <w:r w:rsidRPr="003305D6" w:rsidR="00991418">
        <w:rPr>
          <w:sz w:val="22"/>
          <w:szCs w:val="22"/>
          <w:shd w:val="clear" w:color="auto" w:fill="FFFFFF"/>
        </w:rPr>
        <w:t xml:space="preserve"> that</w:t>
      </w:r>
      <w:r w:rsidRPr="003305D6" w:rsidR="003D4AFD">
        <w:rPr>
          <w:sz w:val="22"/>
          <w:szCs w:val="22"/>
          <w:shd w:val="clear" w:color="auto" w:fill="FFFFFF"/>
        </w:rPr>
        <w:t xml:space="preserve"> between</w:t>
      </w:r>
      <w:r w:rsidRPr="00582AE7" w:rsidR="003D4AFD">
        <w:rPr>
          <w:sz w:val="22"/>
          <w:szCs w:val="22"/>
        </w:rPr>
        <w:t xml:space="preserve"> 1,000 and 5,000 persons </w:t>
      </w:r>
      <w:r w:rsidR="0046570B">
        <w:rPr>
          <w:sz w:val="22"/>
          <w:szCs w:val="22"/>
        </w:rPr>
        <w:t xml:space="preserve">(the Commission will estimate on the higher side to make sure that all possible respondents are accounted for with this collection) </w:t>
      </w:r>
      <w:r w:rsidRPr="00582AE7" w:rsidR="003D4AFD">
        <w:rPr>
          <w:sz w:val="22"/>
          <w:szCs w:val="22"/>
        </w:rPr>
        <w:t>will use the frequencies</w:t>
      </w:r>
      <w:r w:rsidRPr="00582AE7" w:rsidR="005F4C68">
        <w:rPr>
          <w:sz w:val="22"/>
          <w:szCs w:val="22"/>
        </w:rPr>
        <w:t xml:space="preserve">.  Because antenna gain information is readily available in manufacturer materials and popular amateur radio reference guides, it will take each respondent </w:t>
      </w:r>
      <w:r w:rsidRPr="00582AE7" w:rsidR="005753DC">
        <w:rPr>
          <w:sz w:val="22"/>
          <w:szCs w:val="22"/>
        </w:rPr>
        <w:t xml:space="preserve">twenty </w:t>
      </w:r>
      <w:r w:rsidRPr="00582AE7" w:rsidR="005F4C68">
        <w:rPr>
          <w:sz w:val="22"/>
          <w:szCs w:val="22"/>
        </w:rPr>
        <w:t xml:space="preserve">minutes </w:t>
      </w:r>
      <w:r w:rsidRPr="00582AE7" w:rsidR="000E6C3C">
        <w:rPr>
          <w:sz w:val="22"/>
          <w:szCs w:val="22"/>
        </w:rPr>
        <w:t>(approximately 0.</w:t>
      </w:r>
      <w:r w:rsidRPr="00582AE7" w:rsidR="005753DC">
        <w:rPr>
          <w:sz w:val="22"/>
          <w:szCs w:val="22"/>
        </w:rPr>
        <w:t>3</w:t>
      </w:r>
      <w:r w:rsidR="00A019E4">
        <w:rPr>
          <w:sz w:val="22"/>
          <w:szCs w:val="22"/>
        </w:rPr>
        <w:t>3</w:t>
      </w:r>
      <w:r w:rsidRPr="00582AE7" w:rsidR="000E6C3C">
        <w:rPr>
          <w:sz w:val="22"/>
          <w:szCs w:val="22"/>
        </w:rPr>
        <w:t xml:space="preserve"> hours) </w:t>
      </w:r>
      <w:r w:rsidRPr="00582AE7" w:rsidR="005F4C68">
        <w:rPr>
          <w:sz w:val="22"/>
          <w:szCs w:val="22"/>
        </w:rPr>
        <w:t>to locate and document this information.</w:t>
      </w:r>
      <w:r w:rsidRPr="00582AE7" w:rsidR="00C760F3">
        <w:rPr>
          <w:sz w:val="22"/>
          <w:szCs w:val="22"/>
        </w:rPr>
        <w:t xml:space="preserve">  This information will only need to be documented once</w:t>
      </w:r>
      <w:r w:rsidR="008069C9">
        <w:rPr>
          <w:sz w:val="22"/>
          <w:szCs w:val="22"/>
        </w:rPr>
        <w:t>:</w:t>
      </w:r>
      <w:r w:rsidRPr="00582AE7" w:rsidR="00C760F3">
        <w:rPr>
          <w:sz w:val="22"/>
          <w:szCs w:val="22"/>
        </w:rPr>
        <w:t xml:space="preserve">  </w:t>
      </w:r>
    </w:p>
    <w:p w:rsidRPr="00582AE7" w:rsidR="00C56157" w:rsidP="000B0219" w:rsidRDefault="00C56157" w14:paraId="0C57EB60" w14:textId="77777777">
      <w:pPr>
        <w:rPr>
          <w:sz w:val="22"/>
          <w:szCs w:val="22"/>
        </w:rPr>
      </w:pPr>
    </w:p>
    <w:p w:rsidRPr="00346ACF" w:rsidR="000E6C3C" w:rsidP="000B0219" w:rsidRDefault="000E6C3C" w14:paraId="23ED7667" w14:textId="77777777">
      <w:pPr>
        <w:rPr>
          <w:b/>
          <w:sz w:val="22"/>
          <w:szCs w:val="22"/>
        </w:rPr>
      </w:pPr>
      <w:r w:rsidRPr="00582AE7">
        <w:rPr>
          <w:b/>
          <w:sz w:val="22"/>
          <w:szCs w:val="22"/>
        </w:rPr>
        <w:t xml:space="preserve">Total Number of Respondents: </w:t>
      </w:r>
      <w:r w:rsidRPr="00346ACF">
        <w:rPr>
          <w:b/>
          <w:sz w:val="22"/>
          <w:szCs w:val="22"/>
        </w:rPr>
        <w:t>5,000</w:t>
      </w:r>
      <w:r w:rsidRPr="00346ACF" w:rsidR="00991418">
        <w:rPr>
          <w:b/>
          <w:sz w:val="22"/>
          <w:szCs w:val="22"/>
        </w:rPr>
        <w:t>.</w:t>
      </w:r>
    </w:p>
    <w:p w:rsidRPr="00582AE7" w:rsidR="000E6C3C" w:rsidP="000B0219" w:rsidRDefault="000E6C3C" w14:paraId="67E40D8E" w14:textId="77777777">
      <w:pPr>
        <w:rPr>
          <w:b/>
          <w:sz w:val="22"/>
          <w:szCs w:val="22"/>
        </w:rPr>
      </w:pPr>
    </w:p>
    <w:p w:rsidRPr="00582AE7" w:rsidR="000E6C3C" w:rsidP="000B0219" w:rsidRDefault="000E6C3C" w14:paraId="32E8ED02" w14:textId="77777777">
      <w:pPr>
        <w:rPr>
          <w:b/>
          <w:sz w:val="22"/>
          <w:szCs w:val="22"/>
        </w:rPr>
      </w:pPr>
      <w:r w:rsidRPr="00582AE7">
        <w:rPr>
          <w:b/>
          <w:sz w:val="22"/>
          <w:szCs w:val="22"/>
        </w:rPr>
        <w:t>Total Annual Responses</w:t>
      </w:r>
      <w:r w:rsidRPr="00346ACF">
        <w:rPr>
          <w:b/>
          <w:sz w:val="22"/>
          <w:szCs w:val="22"/>
        </w:rPr>
        <w:t>: 5,000</w:t>
      </w:r>
      <w:r w:rsidRPr="00346ACF" w:rsidR="00A019E4">
        <w:rPr>
          <w:b/>
          <w:sz w:val="22"/>
          <w:szCs w:val="22"/>
        </w:rPr>
        <w:t xml:space="preserve"> records kept</w:t>
      </w:r>
      <w:r w:rsidR="00991418">
        <w:rPr>
          <w:sz w:val="22"/>
          <w:szCs w:val="22"/>
        </w:rPr>
        <w:t>.</w:t>
      </w:r>
    </w:p>
    <w:p w:rsidRPr="00582AE7" w:rsidR="000E6C3C" w:rsidP="000B0219" w:rsidRDefault="000E6C3C" w14:paraId="2CD93933" w14:textId="77777777">
      <w:pPr>
        <w:rPr>
          <w:b/>
          <w:sz w:val="22"/>
          <w:szCs w:val="22"/>
        </w:rPr>
      </w:pPr>
    </w:p>
    <w:p w:rsidRPr="00582AE7" w:rsidR="00B24D0D" w:rsidP="000B0219" w:rsidRDefault="000E6C3C" w14:paraId="24741A58" w14:textId="77777777">
      <w:pPr>
        <w:rPr>
          <w:sz w:val="22"/>
          <w:szCs w:val="22"/>
        </w:rPr>
      </w:pPr>
      <w:r w:rsidRPr="00582AE7">
        <w:rPr>
          <w:b/>
          <w:sz w:val="22"/>
          <w:szCs w:val="22"/>
        </w:rPr>
        <w:t xml:space="preserve">Total Annual Hourly Burden:  </w:t>
      </w:r>
      <w:r w:rsidRPr="00582AE7" w:rsidR="00B24D0D">
        <w:rPr>
          <w:sz w:val="22"/>
          <w:szCs w:val="22"/>
        </w:rPr>
        <w:t>5</w:t>
      </w:r>
      <w:r w:rsidR="00A019E4">
        <w:rPr>
          <w:sz w:val="22"/>
          <w:szCs w:val="22"/>
        </w:rPr>
        <w:t>,</w:t>
      </w:r>
      <w:r w:rsidRPr="00582AE7" w:rsidR="00B24D0D">
        <w:rPr>
          <w:sz w:val="22"/>
          <w:szCs w:val="22"/>
        </w:rPr>
        <w:t>000 re</w:t>
      </w:r>
      <w:r w:rsidR="00A019E4">
        <w:rPr>
          <w:sz w:val="22"/>
          <w:szCs w:val="22"/>
        </w:rPr>
        <w:t>cords kept</w:t>
      </w:r>
      <w:r w:rsidRPr="00582AE7" w:rsidR="00B24D0D">
        <w:rPr>
          <w:sz w:val="22"/>
          <w:szCs w:val="22"/>
        </w:rPr>
        <w:t xml:space="preserve"> x 0.</w:t>
      </w:r>
      <w:r w:rsidRPr="00582AE7" w:rsidR="005753DC">
        <w:rPr>
          <w:sz w:val="22"/>
          <w:szCs w:val="22"/>
        </w:rPr>
        <w:t>3</w:t>
      </w:r>
      <w:r w:rsidR="00A019E4">
        <w:rPr>
          <w:sz w:val="22"/>
          <w:szCs w:val="22"/>
        </w:rPr>
        <w:t>3</w:t>
      </w:r>
      <w:r w:rsidRPr="00582AE7" w:rsidR="00B24D0D">
        <w:rPr>
          <w:sz w:val="22"/>
          <w:szCs w:val="22"/>
        </w:rPr>
        <w:t xml:space="preserve"> hours</w:t>
      </w:r>
      <w:r w:rsidR="00A019E4">
        <w:rPr>
          <w:sz w:val="22"/>
          <w:szCs w:val="22"/>
        </w:rPr>
        <w:t xml:space="preserve"> (recordkeeping)</w:t>
      </w:r>
      <w:r w:rsidRPr="00582AE7" w:rsidR="00B24D0D">
        <w:rPr>
          <w:sz w:val="22"/>
          <w:szCs w:val="22"/>
        </w:rPr>
        <w:t xml:space="preserve"> = </w:t>
      </w:r>
      <w:r w:rsidRPr="00582AE7" w:rsidR="00B24D0D">
        <w:rPr>
          <w:b/>
          <w:sz w:val="22"/>
          <w:szCs w:val="22"/>
        </w:rPr>
        <w:t>1</w:t>
      </w:r>
      <w:r w:rsidRPr="00582AE7" w:rsidR="005753DC">
        <w:rPr>
          <w:b/>
          <w:sz w:val="22"/>
          <w:szCs w:val="22"/>
        </w:rPr>
        <w:t>,</w:t>
      </w:r>
      <w:r w:rsidR="00A019E4">
        <w:rPr>
          <w:b/>
          <w:sz w:val="22"/>
          <w:szCs w:val="22"/>
        </w:rPr>
        <w:t>6</w:t>
      </w:r>
      <w:r w:rsidRPr="00582AE7" w:rsidR="00B24D0D">
        <w:rPr>
          <w:b/>
          <w:sz w:val="22"/>
          <w:szCs w:val="22"/>
        </w:rPr>
        <w:t>5</w:t>
      </w:r>
      <w:r w:rsidRPr="00582AE7" w:rsidR="005753DC">
        <w:rPr>
          <w:b/>
          <w:sz w:val="22"/>
          <w:szCs w:val="22"/>
        </w:rPr>
        <w:t>0</w:t>
      </w:r>
      <w:r w:rsidRPr="00582AE7" w:rsidR="00B24D0D">
        <w:rPr>
          <w:b/>
          <w:sz w:val="22"/>
          <w:szCs w:val="22"/>
        </w:rPr>
        <w:t xml:space="preserve"> hours</w:t>
      </w:r>
      <w:r w:rsidR="00991418">
        <w:rPr>
          <w:b/>
          <w:sz w:val="22"/>
          <w:szCs w:val="22"/>
        </w:rPr>
        <w:t>.</w:t>
      </w:r>
    </w:p>
    <w:p w:rsidRPr="00582AE7" w:rsidR="008D619D" w:rsidP="000B0219" w:rsidRDefault="008D619D" w14:paraId="15235A05" w14:textId="77777777">
      <w:pPr>
        <w:rPr>
          <w:sz w:val="22"/>
          <w:szCs w:val="22"/>
        </w:rPr>
      </w:pPr>
    </w:p>
    <w:p w:rsidRPr="00582AE7" w:rsidR="00C760F3" w:rsidP="000B0219" w:rsidRDefault="00C760F3" w14:paraId="08412033" w14:textId="77777777">
      <w:pPr>
        <w:rPr>
          <w:sz w:val="22"/>
          <w:szCs w:val="22"/>
        </w:rPr>
      </w:pPr>
      <w:r w:rsidRPr="00582AE7">
        <w:rPr>
          <w:sz w:val="22"/>
          <w:szCs w:val="22"/>
        </w:rPr>
        <w:t>Record</w:t>
      </w:r>
      <w:r w:rsidR="004D230B">
        <w:rPr>
          <w:sz w:val="22"/>
          <w:szCs w:val="22"/>
        </w:rPr>
        <w:t xml:space="preserve"> </w:t>
      </w:r>
      <w:r w:rsidRPr="00582AE7">
        <w:rPr>
          <w:sz w:val="22"/>
          <w:szCs w:val="22"/>
        </w:rPr>
        <w:t xml:space="preserve">keepers can be expected to integrate this information into the logs and other station records that they routinely keep as part of the activity of amateur radio operations.  Therefore, the cost will be negligible.  </w:t>
      </w:r>
      <w:r w:rsidR="00854CAF">
        <w:rPr>
          <w:sz w:val="22"/>
          <w:szCs w:val="22"/>
        </w:rPr>
        <w:t>We estimate that the total recordkeeping cost to maintain these station records at $0.02 annually</w:t>
      </w:r>
      <w:r w:rsidRPr="00582AE7" w:rsidR="0000252A">
        <w:rPr>
          <w:sz w:val="22"/>
          <w:szCs w:val="22"/>
        </w:rPr>
        <w:t>:</w:t>
      </w:r>
    </w:p>
    <w:p w:rsidRPr="00582AE7" w:rsidR="00B24D0D" w:rsidP="000B0219" w:rsidRDefault="00B24D0D" w14:paraId="457D08B6" w14:textId="77777777">
      <w:pPr>
        <w:rPr>
          <w:sz w:val="22"/>
          <w:szCs w:val="22"/>
        </w:rPr>
      </w:pPr>
    </w:p>
    <w:p w:rsidRPr="00582AE7" w:rsidR="00B24D0D" w:rsidP="000B0219" w:rsidRDefault="0000252A" w14:paraId="68C41331" w14:textId="77777777">
      <w:pPr>
        <w:rPr>
          <w:sz w:val="22"/>
          <w:szCs w:val="22"/>
        </w:rPr>
      </w:pPr>
      <w:r w:rsidRPr="00854CAF">
        <w:rPr>
          <w:b/>
          <w:sz w:val="22"/>
          <w:szCs w:val="22"/>
        </w:rPr>
        <w:t>Total Annual “In-House” Costs:</w:t>
      </w:r>
      <w:r w:rsidRPr="00582AE7">
        <w:rPr>
          <w:b/>
          <w:sz w:val="22"/>
          <w:szCs w:val="22"/>
        </w:rPr>
        <w:t xml:space="preserve">  </w:t>
      </w:r>
      <w:r w:rsidRPr="00582AE7" w:rsidR="00B24D0D">
        <w:rPr>
          <w:sz w:val="22"/>
          <w:szCs w:val="22"/>
        </w:rPr>
        <w:t xml:space="preserve">5,000 </w:t>
      </w:r>
      <w:r w:rsidR="00854CAF">
        <w:rPr>
          <w:sz w:val="22"/>
          <w:szCs w:val="22"/>
        </w:rPr>
        <w:t>re</w:t>
      </w:r>
      <w:r w:rsidR="00A019E4">
        <w:rPr>
          <w:sz w:val="22"/>
          <w:szCs w:val="22"/>
        </w:rPr>
        <w:t>cord</w:t>
      </w:r>
      <w:r w:rsidRPr="00582AE7" w:rsidR="00B24D0D">
        <w:rPr>
          <w:sz w:val="22"/>
          <w:szCs w:val="22"/>
        </w:rPr>
        <w:t xml:space="preserve"> x </w:t>
      </w:r>
      <w:r w:rsidRPr="00582AE7">
        <w:rPr>
          <w:sz w:val="22"/>
          <w:szCs w:val="22"/>
        </w:rPr>
        <w:t>$0</w:t>
      </w:r>
      <w:r w:rsidRPr="00582AE7" w:rsidR="00B24D0D">
        <w:rPr>
          <w:sz w:val="22"/>
          <w:szCs w:val="22"/>
        </w:rPr>
        <w:t>.02</w:t>
      </w:r>
      <w:r w:rsidR="00854CAF">
        <w:rPr>
          <w:sz w:val="22"/>
          <w:szCs w:val="22"/>
        </w:rPr>
        <w:t>/annual</w:t>
      </w:r>
      <w:r w:rsidR="00081B95">
        <w:rPr>
          <w:sz w:val="22"/>
          <w:szCs w:val="22"/>
        </w:rPr>
        <w:t>ly</w:t>
      </w:r>
      <w:r w:rsidR="00A019E4">
        <w:rPr>
          <w:sz w:val="22"/>
          <w:szCs w:val="22"/>
        </w:rPr>
        <w:t>/recordkeeping</w:t>
      </w:r>
      <w:r w:rsidRPr="00582AE7" w:rsidR="00B24D0D">
        <w:rPr>
          <w:sz w:val="22"/>
          <w:szCs w:val="22"/>
        </w:rPr>
        <w:t xml:space="preserve"> = </w:t>
      </w:r>
      <w:r w:rsidRPr="00582AE7" w:rsidR="00B24D0D">
        <w:rPr>
          <w:b/>
          <w:sz w:val="22"/>
          <w:szCs w:val="22"/>
        </w:rPr>
        <w:t>$100</w:t>
      </w:r>
      <w:r w:rsidRPr="00582AE7">
        <w:rPr>
          <w:b/>
          <w:sz w:val="22"/>
          <w:szCs w:val="22"/>
        </w:rPr>
        <w:t>.00</w:t>
      </w:r>
    </w:p>
    <w:p w:rsidRPr="00582AE7" w:rsidR="003416DB" w:rsidP="000B0219" w:rsidRDefault="003416DB" w14:paraId="45214047" w14:textId="77777777">
      <w:pPr>
        <w:rPr>
          <w:sz w:val="22"/>
          <w:szCs w:val="22"/>
        </w:rPr>
      </w:pPr>
    </w:p>
    <w:p w:rsidRPr="004A2359" w:rsidR="0000252A" w:rsidP="000B0219" w:rsidRDefault="0000252A" w14:paraId="27ABB8D7" w14:textId="77777777">
      <w:pPr>
        <w:rPr>
          <w:sz w:val="22"/>
          <w:szCs w:val="22"/>
        </w:rPr>
      </w:pPr>
      <w:r w:rsidRPr="00582AE7">
        <w:rPr>
          <w:sz w:val="22"/>
          <w:szCs w:val="22"/>
        </w:rPr>
        <w:t xml:space="preserve">13.  (a) Total annualized capital/start-up costs:  </w:t>
      </w:r>
      <w:r w:rsidRPr="004A2359">
        <w:rPr>
          <w:sz w:val="22"/>
          <w:szCs w:val="22"/>
        </w:rPr>
        <w:t>None</w:t>
      </w:r>
      <w:r w:rsidRPr="004A2359" w:rsidR="00991418">
        <w:rPr>
          <w:sz w:val="22"/>
          <w:szCs w:val="22"/>
        </w:rPr>
        <w:t>.</w:t>
      </w:r>
    </w:p>
    <w:p w:rsidRPr="00582AE7" w:rsidR="0000252A" w:rsidP="000B0219" w:rsidRDefault="0000252A" w14:paraId="01DEC9CE" w14:textId="77777777">
      <w:pPr>
        <w:rPr>
          <w:b/>
          <w:sz w:val="22"/>
          <w:szCs w:val="22"/>
        </w:rPr>
      </w:pPr>
      <w:r w:rsidRPr="00582AE7">
        <w:rPr>
          <w:b/>
          <w:sz w:val="22"/>
          <w:szCs w:val="22"/>
        </w:rPr>
        <w:t xml:space="preserve">       </w:t>
      </w:r>
    </w:p>
    <w:p w:rsidRPr="00240335" w:rsidR="0000252A" w:rsidP="000B0219" w:rsidRDefault="0000252A" w14:paraId="5AF09211" w14:textId="77777777">
      <w:pPr>
        <w:rPr>
          <w:sz w:val="22"/>
          <w:szCs w:val="22"/>
        </w:rPr>
      </w:pPr>
      <w:r w:rsidRPr="00582AE7">
        <w:rPr>
          <w:b/>
          <w:sz w:val="22"/>
          <w:szCs w:val="22"/>
        </w:rPr>
        <w:t xml:space="preserve">       </w:t>
      </w:r>
      <w:r w:rsidRPr="00582AE7">
        <w:rPr>
          <w:sz w:val="22"/>
          <w:szCs w:val="22"/>
        </w:rPr>
        <w:t xml:space="preserve">(b) Total annual costs (O&amp;M): </w:t>
      </w:r>
      <w:r w:rsidRPr="00582AE7">
        <w:rPr>
          <w:b/>
          <w:sz w:val="22"/>
          <w:szCs w:val="22"/>
        </w:rPr>
        <w:t xml:space="preserve"> </w:t>
      </w:r>
      <w:r w:rsidRPr="00240335">
        <w:rPr>
          <w:sz w:val="22"/>
          <w:szCs w:val="22"/>
        </w:rPr>
        <w:t>None</w:t>
      </w:r>
      <w:r w:rsidRPr="00240335" w:rsidR="00991418">
        <w:rPr>
          <w:sz w:val="22"/>
          <w:szCs w:val="22"/>
        </w:rPr>
        <w:t>.</w:t>
      </w:r>
    </w:p>
    <w:p w:rsidRPr="00582AE7" w:rsidR="0000252A" w:rsidP="000B0219" w:rsidRDefault="0000252A" w14:paraId="5A2072CA" w14:textId="77777777">
      <w:pPr>
        <w:rPr>
          <w:b/>
          <w:sz w:val="22"/>
          <w:szCs w:val="22"/>
          <w:highlight w:val="cyan"/>
        </w:rPr>
      </w:pPr>
    </w:p>
    <w:p w:rsidRPr="00240335" w:rsidR="0000252A" w:rsidP="000B0219" w:rsidRDefault="0000252A" w14:paraId="29E08D58" w14:textId="77777777">
      <w:pPr>
        <w:rPr>
          <w:sz w:val="22"/>
          <w:szCs w:val="22"/>
        </w:rPr>
      </w:pPr>
      <w:r w:rsidRPr="00582AE7">
        <w:rPr>
          <w:b/>
          <w:sz w:val="22"/>
          <w:szCs w:val="22"/>
        </w:rPr>
        <w:t xml:space="preserve">       </w:t>
      </w:r>
      <w:r w:rsidRPr="00582AE7">
        <w:rPr>
          <w:sz w:val="22"/>
          <w:szCs w:val="22"/>
        </w:rPr>
        <w:t>(c) Total annualized cost requested:</w:t>
      </w:r>
      <w:r w:rsidRPr="00582AE7">
        <w:rPr>
          <w:b/>
          <w:sz w:val="22"/>
          <w:szCs w:val="22"/>
        </w:rPr>
        <w:t xml:space="preserve">  </w:t>
      </w:r>
      <w:r w:rsidRPr="00240335">
        <w:rPr>
          <w:sz w:val="22"/>
          <w:szCs w:val="22"/>
        </w:rPr>
        <w:t>None</w:t>
      </w:r>
      <w:r w:rsidRPr="00240335" w:rsidR="00991418">
        <w:rPr>
          <w:sz w:val="22"/>
          <w:szCs w:val="22"/>
        </w:rPr>
        <w:t>.</w:t>
      </w:r>
    </w:p>
    <w:p w:rsidRPr="00582AE7" w:rsidR="0000252A" w:rsidP="000B0219" w:rsidRDefault="0000252A" w14:paraId="269B3A45" w14:textId="77777777">
      <w:pPr>
        <w:rPr>
          <w:sz w:val="22"/>
          <w:szCs w:val="22"/>
        </w:rPr>
      </w:pPr>
    </w:p>
    <w:p w:rsidRPr="00B1230E" w:rsidR="00C760F3" w:rsidP="00FC7346" w:rsidRDefault="008D619D" w14:paraId="2C171F9E" w14:textId="77777777">
      <w:pPr>
        <w:shd w:val="clear" w:color="auto" w:fill="FFFFFF"/>
        <w:rPr>
          <w:color w:val="00FF00"/>
          <w:sz w:val="22"/>
          <w:szCs w:val="22"/>
        </w:rPr>
      </w:pPr>
      <w:r w:rsidRPr="00BA55F2">
        <w:rPr>
          <w:sz w:val="22"/>
          <w:szCs w:val="22"/>
          <w:shd w:val="clear" w:color="auto" w:fill="FFFFFF"/>
        </w:rPr>
        <w:t xml:space="preserve">14.  </w:t>
      </w:r>
      <w:r w:rsidRPr="00BA55F2" w:rsidR="00C760F3">
        <w:rPr>
          <w:sz w:val="22"/>
          <w:szCs w:val="22"/>
          <w:shd w:val="clear" w:color="auto" w:fill="FFFFFF"/>
        </w:rPr>
        <w:t>The Federal Government will not maintain this information</w:t>
      </w:r>
      <w:r w:rsidRPr="00BA55F2" w:rsidR="003416DB">
        <w:rPr>
          <w:sz w:val="22"/>
          <w:szCs w:val="22"/>
          <w:shd w:val="clear" w:color="auto" w:fill="FFFFFF"/>
        </w:rPr>
        <w:t xml:space="preserve">.  The Federal Government </w:t>
      </w:r>
      <w:r w:rsidRPr="00BA55F2" w:rsidR="00C760F3">
        <w:rPr>
          <w:sz w:val="22"/>
          <w:szCs w:val="22"/>
          <w:shd w:val="clear" w:color="auto" w:fill="FFFFFF"/>
        </w:rPr>
        <w:t>can be expected to review the recordkeeping only during the course of specific enforcement investigations</w:t>
      </w:r>
      <w:r w:rsidRPr="00BA55F2" w:rsidR="009B0B3E">
        <w:rPr>
          <w:sz w:val="22"/>
          <w:szCs w:val="22"/>
          <w:shd w:val="clear" w:color="auto" w:fill="FFFFFF"/>
        </w:rPr>
        <w:t>.</w:t>
      </w:r>
      <w:r w:rsidR="003416DB">
        <w:rPr>
          <w:sz w:val="22"/>
          <w:szCs w:val="22"/>
        </w:rPr>
        <w:t xml:space="preserve"> </w:t>
      </w:r>
      <w:r w:rsidR="006E1677">
        <w:rPr>
          <w:b/>
          <w:sz w:val="22"/>
          <w:szCs w:val="22"/>
        </w:rPr>
        <w:t xml:space="preserve"> </w:t>
      </w:r>
      <w:r w:rsidRPr="00B1230E" w:rsidR="006E1677">
        <w:rPr>
          <w:sz w:val="22"/>
          <w:szCs w:val="22"/>
        </w:rPr>
        <w:t>In an instance where interference problems may arise</w:t>
      </w:r>
      <w:r w:rsidRPr="00B1230E" w:rsidR="007C7179">
        <w:rPr>
          <w:sz w:val="22"/>
          <w:szCs w:val="22"/>
        </w:rPr>
        <w:t>,</w:t>
      </w:r>
      <w:r w:rsidRPr="00B1230E" w:rsidR="006E1677">
        <w:rPr>
          <w:sz w:val="22"/>
          <w:szCs w:val="22"/>
        </w:rPr>
        <w:t xml:space="preserve"> the </w:t>
      </w:r>
      <w:r w:rsidRPr="00B1230E" w:rsidR="006F1A03">
        <w:rPr>
          <w:sz w:val="22"/>
          <w:szCs w:val="22"/>
        </w:rPr>
        <w:t xml:space="preserve">affected party </w:t>
      </w:r>
      <w:r w:rsidRPr="00B1230E" w:rsidR="006E1677">
        <w:rPr>
          <w:sz w:val="22"/>
          <w:szCs w:val="22"/>
        </w:rPr>
        <w:t>may contact the Wireless Telecommunications Bureau or the Enforcement Bureau by letter or email to request that the Commission take the appropriate action to resolve the situation.  There are no formal procedures</w:t>
      </w:r>
      <w:r w:rsidRPr="00B1230E" w:rsidR="00F5533D">
        <w:rPr>
          <w:sz w:val="22"/>
          <w:szCs w:val="22"/>
        </w:rPr>
        <w:t xml:space="preserve"> established for the Commission’s response.</w:t>
      </w:r>
    </w:p>
    <w:p w:rsidRPr="00582AE7" w:rsidR="008D619D" w:rsidP="00F5533D" w:rsidRDefault="008D619D" w14:paraId="0E24ACDE" w14:textId="77777777">
      <w:pPr>
        <w:rPr>
          <w:sz w:val="22"/>
          <w:szCs w:val="22"/>
        </w:rPr>
      </w:pPr>
    </w:p>
    <w:p w:rsidRPr="00991418" w:rsidR="008D619D" w:rsidP="00991418" w:rsidRDefault="008D619D" w14:paraId="30088A87" w14:textId="77777777">
      <w:pPr>
        <w:rPr>
          <w:sz w:val="22"/>
          <w:szCs w:val="22"/>
        </w:rPr>
      </w:pPr>
      <w:r w:rsidRPr="00275674">
        <w:rPr>
          <w:sz w:val="22"/>
          <w:szCs w:val="22"/>
          <w:shd w:val="clear" w:color="auto" w:fill="FFFFFF"/>
        </w:rPr>
        <w:t xml:space="preserve">15.  </w:t>
      </w:r>
      <w:r w:rsidR="00A019E4">
        <w:rPr>
          <w:sz w:val="22"/>
          <w:szCs w:val="22"/>
        </w:rPr>
        <w:t>There are</w:t>
      </w:r>
      <w:r w:rsidRPr="00240335" w:rsidR="00991418">
        <w:rPr>
          <w:sz w:val="22"/>
          <w:szCs w:val="22"/>
        </w:rPr>
        <w:t xml:space="preserve"> no </w:t>
      </w:r>
      <w:r w:rsidR="00A019E4">
        <w:rPr>
          <w:sz w:val="22"/>
          <w:szCs w:val="22"/>
        </w:rPr>
        <w:t xml:space="preserve">program </w:t>
      </w:r>
      <w:r w:rsidRPr="00240335" w:rsidR="00991418">
        <w:rPr>
          <w:sz w:val="22"/>
          <w:szCs w:val="22"/>
        </w:rPr>
        <w:t>change</w:t>
      </w:r>
      <w:r w:rsidR="00A019E4">
        <w:rPr>
          <w:sz w:val="22"/>
          <w:szCs w:val="22"/>
        </w:rPr>
        <w:t xml:space="preserve">s </w:t>
      </w:r>
      <w:r w:rsidR="00263D53">
        <w:rPr>
          <w:sz w:val="22"/>
          <w:szCs w:val="22"/>
        </w:rPr>
        <w:t xml:space="preserve">or adjustments </w:t>
      </w:r>
      <w:r w:rsidR="00A019E4">
        <w:rPr>
          <w:sz w:val="22"/>
          <w:szCs w:val="22"/>
        </w:rPr>
        <w:t xml:space="preserve">to this collection.  </w:t>
      </w:r>
    </w:p>
    <w:p w:rsidRPr="00582AE7" w:rsidR="008D619D" w:rsidP="000B0219" w:rsidRDefault="008D619D" w14:paraId="52B73AA1" w14:textId="77777777">
      <w:pPr>
        <w:rPr>
          <w:sz w:val="22"/>
          <w:szCs w:val="22"/>
        </w:rPr>
      </w:pPr>
    </w:p>
    <w:p w:rsidRPr="00582AE7" w:rsidR="008D619D" w:rsidP="000B0219" w:rsidRDefault="008D619D" w14:paraId="5A51074E" w14:textId="77777777">
      <w:pPr>
        <w:rPr>
          <w:sz w:val="22"/>
          <w:szCs w:val="22"/>
        </w:rPr>
      </w:pPr>
      <w:r w:rsidRPr="00582AE7">
        <w:rPr>
          <w:sz w:val="22"/>
          <w:szCs w:val="22"/>
        </w:rPr>
        <w:t>16.  The data will not be published for statistical use.</w:t>
      </w:r>
    </w:p>
    <w:p w:rsidRPr="00582AE7" w:rsidR="008D619D" w:rsidP="000B0219" w:rsidRDefault="008D619D" w14:paraId="71922CD9" w14:textId="77777777">
      <w:pPr>
        <w:rPr>
          <w:sz w:val="22"/>
          <w:szCs w:val="22"/>
        </w:rPr>
      </w:pPr>
    </w:p>
    <w:p w:rsidRPr="00582AE7" w:rsidR="008D619D" w:rsidP="000B0219" w:rsidRDefault="008D619D" w14:paraId="0FCF8828" w14:textId="77777777">
      <w:pPr>
        <w:rPr>
          <w:sz w:val="22"/>
          <w:szCs w:val="22"/>
        </w:rPr>
      </w:pPr>
      <w:r w:rsidRPr="00582AE7">
        <w:rPr>
          <w:sz w:val="22"/>
          <w:szCs w:val="22"/>
        </w:rPr>
        <w:t>17.  The expiration date for OMB approval will</w:t>
      </w:r>
      <w:r w:rsidR="00A71589">
        <w:rPr>
          <w:sz w:val="22"/>
          <w:szCs w:val="22"/>
        </w:rPr>
        <w:t xml:space="preserve"> not</w:t>
      </w:r>
      <w:r w:rsidRPr="00582AE7">
        <w:rPr>
          <w:sz w:val="22"/>
          <w:szCs w:val="22"/>
        </w:rPr>
        <w:t xml:space="preserve"> be displayed</w:t>
      </w:r>
      <w:r w:rsidR="00A71589">
        <w:rPr>
          <w:sz w:val="22"/>
          <w:szCs w:val="22"/>
        </w:rPr>
        <w:t xml:space="preserve"> because this information collection is a recordkeeping requirement.    However, the Commission publishes in 47 CFR 0.408 a list of all OMB-approved information collections which includes their OMB Control Numbers, Titles and OMB Expiration Dates</w:t>
      </w:r>
      <w:r w:rsidRPr="00582AE7">
        <w:rPr>
          <w:sz w:val="22"/>
          <w:szCs w:val="22"/>
        </w:rPr>
        <w:t>.</w:t>
      </w:r>
    </w:p>
    <w:p w:rsidRPr="00582AE7" w:rsidR="008D619D" w:rsidP="000B0219" w:rsidRDefault="008D619D" w14:paraId="27A71BCF" w14:textId="77777777">
      <w:pPr>
        <w:rPr>
          <w:sz w:val="22"/>
          <w:szCs w:val="22"/>
        </w:rPr>
      </w:pPr>
    </w:p>
    <w:p w:rsidR="008D619D" w:rsidP="003A0319" w:rsidRDefault="008D619D" w14:paraId="50E28D4B" w14:textId="77777777">
      <w:pPr>
        <w:shd w:val="clear" w:color="auto" w:fill="FFFFFF"/>
        <w:rPr>
          <w:sz w:val="22"/>
          <w:szCs w:val="22"/>
        </w:rPr>
      </w:pPr>
      <w:r w:rsidRPr="00582AE7">
        <w:rPr>
          <w:sz w:val="22"/>
          <w:szCs w:val="22"/>
        </w:rPr>
        <w:t>18.</w:t>
      </w:r>
      <w:r w:rsidR="00F643E7">
        <w:rPr>
          <w:sz w:val="22"/>
          <w:szCs w:val="22"/>
        </w:rPr>
        <w:t xml:space="preserve">  There are no exceptions to the Certification Statement.</w:t>
      </w:r>
      <w:r w:rsidRPr="00582AE7">
        <w:rPr>
          <w:sz w:val="22"/>
          <w:szCs w:val="22"/>
        </w:rPr>
        <w:t xml:space="preserve">  </w:t>
      </w:r>
    </w:p>
    <w:p w:rsidRPr="00582AE7" w:rsidR="00F643E7" w:rsidP="003A0319" w:rsidRDefault="00F643E7" w14:paraId="1E535FD3" w14:textId="77777777">
      <w:pPr>
        <w:shd w:val="clear" w:color="auto" w:fill="FFFFFF"/>
        <w:rPr>
          <w:sz w:val="22"/>
          <w:szCs w:val="22"/>
        </w:rPr>
      </w:pPr>
    </w:p>
    <w:p w:rsidRPr="00991418" w:rsidR="008D619D" w:rsidP="00240335" w:rsidRDefault="008D619D" w14:paraId="7F8FD281" w14:textId="77777777">
      <w:pPr>
        <w:rPr>
          <w:sz w:val="22"/>
          <w:szCs w:val="22"/>
          <w:u w:val="single"/>
        </w:rPr>
      </w:pPr>
      <w:r w:rsidRPr="00991418">
        <w:rPr>
          <w:b/>
          <w:sz w:val="22"/>
          <w:szCs w:val="22"/>
          <w:u w:val="single"/>
        </w:rPr>
        <w:t>B.  Collections of Information Employing Statistical Method</w:t>
      </w:r>
      <w:r w:rsidR="00991418">
        <w:rPr>
          <w:b/>
          <w:sz w:val="22"/>
          <w:szCs w:val="22"/>
          <w:u w:val="single"/>
        </w:rPr>
        <w:t>s:</w:t>
      </w:r>
    </w:p>
    <w:p w:rsidRPr="00582AE7" w:rsidR="008D619D" w:rsidP="000B0219" w:rsidRDefault="008D619D" w14:paraId="4B8B8930" w14:textId="77777777">
      <w:pPr>
        <w:rPr>
          <w:sz w:val="22"/>
          <w:szCs w:val="22"/>
        </w:rPr>
      </w:pPr>
    </w:p>
    <w:p w:rsidRPr="00582AE7" w:rsidR="008D619D" w:rsidP="000B0219" w:rsidRDefault="005F4448" w14:paraId="431AC6B0" w14:textId="77777777">
      <w:pPr>
        <w:rPr>
          <w:sz w:val="22"/>
          <w:szCs w:val="22"/>
        </w:rPr>
      </w:pPr>
      <w:r w:rsidRPr="00582AE7">
        <w:rPr>
          <w:sz w:val="22"/>
          <w:szCs w:val="22"/>
        </w:rPr>
        <w:t xml:space="preserve">This collection of information does </w:t>
      </w:r>
      <w:r w:rsidR="003556E8">
        <w:rPr>
          <w:sz w:val="22"/>
          <w:szCs w:val="22"/>
        </w:rPr>
        <w:t xml:space="preserve">not </w:t>
      </w:r>
      <w:r w:rsidRPr="00582AE7">
        <w:rPr>
          <w:sz w:val="22"/>
          <w:szCs w:val="22"/>
        </w:rPr>
        <w:t xml:space="preserve">employ </w:t>
      </w:r>
      <w:r w:rsidRPr="00582AE7" w:rsidR="008D619D">
        <w:rPr>
          <w:sz w:val="22"/>
          <w:szCs w:val="22"/>
        </w:rPr>
        <w:t>statistical methods.</w:t>
      </w:r>
    </w:p>
    <w:p w:rsidRPr="00582AE7" w:rsidR="008D619D" w:rsidP="000B0219" w:rsidRDefault="008D619D" w14:paraId="75451604" w14:textId="77777777">
      <w:pPr>
        <w:rPr>
          <w:sz w:val="22"/>
          <w:szCs w:val="22"/>
        </w:rPr>
      </w:pPr>
    </w:p>
    <w:p w:rsidRPr="00582AE7" w:rsidR="008D619D" w:rsidP="000B0219" w:rsidRDefault="008D619D" w14:paraId="766A8D9D" w14:textId="77777777">
      <w:pPr>
        <w:rPr>
          <w:sz w:val="22"/>
          <w:szCs w:val="22"/>
        </w:rPr>
      </w:pPr>
    </w:p>
    <w:sectPr w:rsidRPr="00582AE7" w:rsidR="008D619D" w:rsidSect="00395E32">
      <w:headerReference w:type="default" r:id="rId8"/>
      <w:footerReference w:type="even" r:id="rId9"/>
      <w:footerReference w:type="default" r:id="rId10"/>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6478A" w14:textId="77777777" w:rsidR="00422910" w:rsidRDefault="00422910">
      <w:r>
        <w:separator/>
      </w:r>
    </w:p>
  </w:endnote>
  <w:endnote w:type="continuationSeparator" w:id="0">
    <w:p w14:paraId="331C0912" w14:textId="77777777" w:rsidR="00422910" w:rsidRDefault="0042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308A5" w14:textId="77777777" w:rsidR="00E04E27" w:rsidRDefault="00E04E27" w:rsidP="0034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AF9962" w14:textId="77777777" w:rsidR="00E04E27" w:rsidRDefault="00E04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28775" w14:textId="77777777" w:rsidR="00395E32" w:rsidRDefault="00395E32">
    <w:pPr>
      <w:pStyle w:val="Footer"/>
      <w:jc w:val="center"/>
    </w:pPr>
    <w:r>
      <w:fldChar w:fldCharType="begin"/>
    </w:r>
    <w:r>
      <w:instrText xml:space="preserve"> PAGE   \* MERGEFORMAT </w:instrText>
    </w:r>
    <w:r>
      <w:fldChar w:fldCharType="separate"/>
    </w:r>
    <w:r w:rsidR="005A2DA0">
      <w:rPr>
        <w:noProof/>
      </w:rPr>
      <w:t>3</w:t>
    </w:r>
    <w:r>
      <w:rPr>
        <w:noProof/>
      </w:rPr>
      <w:fldChar w:fldCharType="end"/>
    </w:r>
  </w:p>
  <w:p w14:paraId="64737A61" w14:textId="77777777" w:rsidR="00E04E27" w:rsidRDefault="00E04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7AB1B" w14:textId="77777777" w:rsidR="00422910" w:rsidRDefault="00422910">
      <w:r>
        <w:separator/>
      </w:r>
    </w:p>
  </w:footnote>
  <w:footnote w:type="continuationSeparator" w:id="0">
    <w:p w14:paraId="008CC08D" w14:textId="77777777" w:rsidR="00422910" w:rsidRDefault="0042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5F3F0" w14:textId="77777777" w:rsidR="00E04E27" w:rsidRDefault="00E04E27">
    <w:pPr>
      <w:pStyle w:val="Header"/>
      <w:rPr>
        <w:b/>
      </w:rPr>
    </w:pPr>
  </w:p>
  <w:p w14:paraId="730C1733" w14:textId="77777777" w:rsidR="00E04E27" w:rsidRPr="000B0219" w:rsidRDefault="00E04E2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2" w15:restartNumberingAfterBreak="0">
    <w:nsid w:val="4CBF710D"/>
    <w:multiLevelType w:val="hybridMultilevel"/>
    <w:tmpl w:val="69E6F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664C4"/>
    <w:multiLevelType w:val="hybridMultilevel"/>
    <w:tmpl w:val="650CD630"/>
    <w:lvl w:ilvl="0" w:tplc="70CE04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2075E"/>
    <w:multiLevelType w:val="singleLevel"/>
    <w:tmpl w:val="85FA3490"/>
    <w:lvl w:ilvl="0">
      <w:start w:val="1"/>
      <w:numFmt w:val="lowerLetter"/>
      <w:lvlText w:val="(%1)"/>
      <w:lvlJc w:val="left"/>
      <w:pPr>
        <w:tabs>
          <w:tab w:val="num" w:pos="792"/>
        </w:tabs>
        <w:ind w:left="792" w:hanging="432"/>
      </w:pPr>
    </w:lvl>
  </w:abstractNum>
  <w:abstractNum w:abstractNumId="5" w15:restartNumberingAfterBreak="0">
    <w:nsid w:val="67B85693"/>
    <w:multiLevelType w:val="singleLevel"/>
    <w:tmpl w:val="94F87ECE"/>
    <w:lvl w:ilvl="0">
      <w:start w:val="1"/>
      <w:numFmt w:val="decimal"/>
      <w:lvlText w:val="%1."/>
      <w:lvlJc w:val="left"/>
      <w:pPr>
        <w:tabs>
          <w:tab w:val="num" w:pos="360"/>
        </w:tabs>
        <w:ind w:left="360" w:hanging="36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52A"/>
    <w:rsid w:val="00014EE7"/>
    <w:rsid w:val="000219AE"/>
    <w:rsid w:val="0003499D"/>
    <w:rsid w:val="0004533F"/>
    <w:rsid w:val="00074BEF"/>
    <w:rsid w:val="00075580"/>
    <w:rsid w:val="00081B95"/>
    <w:rsid w:val="0009556E"/>
    <w:rsid w:val="000A2D89"/>
    <w:rsid w:val="000B0219"/>
    <w:rsid w:val="000C34EC"/>
    <w:rsid w:val="000E3DE6"/>
    <w:rsid w:val="000E6C3C"/>
    <w:rsid w:val="00110613"/>
    <w:rsid w:val="001158AF"/>
    <w:rsid w:val="00116540"/>
    <w:rsid w:val="00123970"/>
    <w:rsid w:val="001277EB"/>
    <w:rsid w:val="00144751"/>
    <w:rsid w:val="001767C6"/>
    <w:rsid w:val="00197CCC"/>
    <w:rsid w:val="001A2FF7"/>
    <w:rsid w:val="001A7792"/>
    <w:rsid w:val="001C2D53"/>
    <w:rsid w:val="00211EBD"/>
    <w:rsid w:val="00224226"/>
    <w:rsid w:val="00225371"/>
    <w:rsid w:val="00240335"/>
    <w:rsid w:val="00255688"/>
    <w:rsid w:val="00263D53"/>
    <w:rsid w:val="00275674"/>
    <w:rsid w:val="00281EB9"/>
    <w:rsid w:val="00294F96"/>
    <w:rsid w:val="002B02E0"/>
    <w:rsid w:val="002B2539"/>
    <w:rsid w:val="002C1FAE"/>
    <w:rsid w:val="002D7633"/>
    <w:rsid w:val="002D7D9F"/>
    <w:rsid w:val="002F4D7E"/>
    <w:rsid w:val="00303DA5"/>
    <w:rsid w:val="003042FC"/>
    <w:rsid w:val="0031305C"/>
    <w:rsid w:val="003305D6"/>
    <w:rsid w:val="00340542"/>
    <w:rsid w:val="003416DB"/>
    <w:rsid w:val="003422A3"/>
    <w:rsid w:val="00346ACF"/>
    <w:rsid w:val="00353FF2"/>
    <w:rsid w:val="00354BB5"/>
    <w:rsid w:val="003556E8"/>
    <w:rsid w:val="003747D7"/>
    <w:rsid w:val="00384B87"/>
    <w:rsid w:val="003854DB"/>
    <w:rsid w:val="00395E32"/>
    <w:rsid w:val="003A0319"/>
    <w:rsid w:val="003A544E"/>
    <w:rsid w:val="003D296F"/>
    <w:rsid w:val="003D33EB"/>
    <w:rsid w:val="003D4AFD"/>
    <w:rsid w:val="00414D75"/>
    <w:rsid w:val="00422910"/>
    <w:rsid w:val="0046526E"/>
    <w:rsid w:val="0046570B"/>
    <w:rsid w:val="00487EBF"/>
    <w:rsid w:val="00497CBC"/>
    <w:rsid w:val="004A1EB4"/>
    <w:rsid w:val="004A2359"/>
    <w:rsid w:val="004A6C1C"/>
    <w:rsid w:val="004C5B12"/>
    <w:rsid w:val="004D230B"/>
    <w:rsid w:val="004D7CC2"/>
    <w:rsid w:val="004E5A06"/>
    <w:rsid w:val="004E5C3E"/>
    <w:rsid w:val="00517996"/>
    <w:rsid w:val="0052627A"/>
    <w:rsid w:val="0053117F"/>
    <w:rsid w:val="00532F23"/>
    <w:rsid w:val="00547E09"/>
    <w:rsid w:val="005525EA"/>
    <w:rsid w:val="00555E9A"/>
    <w:rsid w:val="00556BD1"/>
    <w:rsid w:val="00570C34"/>
    <w:rsid w:val="005753DC"/>
    <w:rsid w:val="00581A46"/>
    <w:rsid w:val="00582AE7"/>
    <w:rsid w:val="005A2DA0"/>
    <w:rsid w:val="005A5B29"/>
    <w:rsid w:val="005F2595"/>
    <w:rsid w:val="005F4448"/>
    <w:rsid w:val="005F4C68"/>
    <w:rsid w:val="005F4CD4"/>
    <w:rsid w:val="00604375"/>
    <w:rsid w:val="0062220F"/>
    <w:rsid w:val="00650A1A"/>
    <w:rsid w:val="00670931"/>
    <w:rsid w:val="00673721"/>
    <w:rsid w:val="00677968"/>
    <w:rsid w:val="006E1677"/>
    <w:rsid w:val="006E4FE8"/>
    <w:rsid w:val="006F01D1"/>
    <w:rsid w:val="006F1A03"/>
    <w:rsid w:val="006F2C27"/>
    <w:rsid w:val="00701A97"/>
    <w:rsid w:val="00701E71"/>
    <w:rsid w:val="00711E10"/>
    <w:rsid w:val="007134CD"/>
    <w:rsid w:val="00726DD9"/>
    <w:rsid w:val="00730359"/>
    <w:rsid w:val="007523DC"/>
    <w:rsid w:val="00754446"/>
    <w:rsid w:val="007632ED"/>
    <w:rsid w:val="00763A52"/>
    <w:rsid w:val="00767AD3"/>
    <w:rsid w:val="00771214"/>
    <w:rsid w:val="00792F78"/>
    <w:rsid w:val="007A44A8"/>
    <w:rsid w:val="007A4B3C"/>
    <w:rsid w:val="007A5BE7"/>
    <w:rsid w:val="007C7179"/>
    <w:rsid w:val="007E26EB"/>
    <w:rsid w:val="008069C9"/>
    <w:rsid w:val="00814F39"/>
    <w:rsid w:val="008510E2"/>
    <w:rsid w:val="00854CAF"/>
    <w:rsid w:val="008562C3"/>
    <w:rsid w:val="00874550"/>
    <w:rsid w:val="00874A0F"/>
    <w:rsid w:val="0088105F"/>
    <w:rsid w:val="00891D71"/>
    <w:rsid w:val="00893E01"/>
    <w:rsid w:val="008C271D"/>
    <w:rsid w:val="008D619D"/>
    <w:rsid w:val="008D69F3"/>
    <w:rsid w:val="008E3054"/>
    <w:rsid w:val="00971879"/>
    <w:rsid w:val="00991418"/>
    <w:rsid w:val="009A5849"/>
    <w:rsid w:val="009B0B3E"/>
    <w:rsid w:val="009B5D9E"/>
    <w:rsid w:val="009C590B"/>
    <w:rsid w:val="009E348D"/>
    <w:rsid w:val="009F3760"/>
    <w:rsid w:val="00A019E4"/>
    <w:rsid w:val="00A03AE7"/>
    <w:rsid w:val="00A10D3B"/>
    <w:rsid w:val="00A14572"/>
    <w:rsid w:val="00A40219"/>
    <w:rsid w:val="00A41A90"/>
    <w:rsid w:val="00A45B8B"/>
    <w:rsid w:val="00A474D8"/>
    <w:rsid w:val="00A567F7"/>
    <w:rsid w:val="00A575B9"/>
    <w:rsid w:val="00A7078C"/>
    <w:rsid w:val="00A71589"/>
    <w:rsid w:val="00A750FA"/>
    <w:rsid w:val="00A916A2"/>
    <w:rsid w:val="00A9481D"/>
    <w:rsid w:val="00A970D2"/>
    <w:rsid w:val="00AA74A5"/>
    <w:rsid w:val="00AB6EA6"/>
    <w:rsid w:val="00AC7028"/>
    <w:rsid w:val="00AF142C"/>
    <w:rsid w:val="00B1230E"/>
    <w:rsid w:val="00B24D0D"/>
    <w:rsid w:val="00B32FF6"/>
    <w:rsid w:val="00B42C93"/>
    <w:rsid w:val="00B61D10"/>
    <w:rsid w:val="00BA55F2"/>
    <w:rsid w:val="00BD166C"/>
    <w:rsid w:val="00BE3E5E"/>
    <w:rsid w:val="00BE753C"/>
    <w:rsid w:val="00C40365"/>
    <w:rsid w:val="00C56157"/>
    <w:rsid w:val="00C73038"/>
    <w:rsid w:val="00C760F3"/>
    <w:rsid w:val="00CA1C28"/>
    <w:rsid w:val="00CA50F6"/>
    <w:rsid w:val="00CD6918"/>
    <w:rsid w:val="00D14999"/>
    <w:rsid w:val="00D35303"/>
    <w:rsid w:val="00D55495"/>
    <w:rsid w:val="00D73A32"/>
    <w:rsid w:val="00D7556D"/>
    <w:rsid w:val="00D81FA5"/>
    <w:rsid w:val="00DA15D6"/>
    <w:rsid w:val="00DA3BE1"/>
    <w:rsid w:val="00DA4339"/>
    <w:rsid w:val="00DC03DB"/>
    <w:rsid w:val="00DC460F"/>
    <w:rsid w:val="00DD7CAD"/>
    <w:rsid w:val="00DE4BE2"/>
    <w:rsid w:val="00DE6199"/>
    <w:rsid w:val="00DF15D6"/>
    <w:rsid w:val="00DF35C5"/>
    <w:rsid w:val="00E04E27"/>
    <w:rsid w:val="00E34550"/>
    <w:rsid w:val="00E40012"/>
    <w:rsid w:val="00E745D3"/>
    <w:rsid w:val="00EC6C90"/>
    <w:rsid w:val="00ED3BA9"/>
    <w:rsid w:val="00F0707D"/>
    <w:rsid w:val="00F17D0C"/>
    <w:rsid w:val="00F232C9"/>
    <w:rsid w:val="00F24877"/>
    <w:rsid w:val="00F318E6"/>
    <w:rsid w:val="00F42CC7"/>
    <w:rsid w:val="00F5533D"/>
    <w:rsid w:val="00F643E7"/>
    <w:rsid w:val="00F81DDF"/>
    <w:rsid w:val="00F91FC1"/>
    <w:rsid w:val="00F94508"/>
    <w:rsid w:val="00FB7765"/>
    <w:rsid w:val="00FC0D0F"/>
    <w:rsid w:val="00FC7346"/>
    <w:rsid w:val="00FD0DB2"/>
    <w:rsid w:val="00FD611C"/>
    <w:rsid w:val="00FE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E15DC0"/>
  <w15:chartTrackingRefBased/>
  <w15:docId w15:val="{C6773120-0CC9-4121-9E22-33DE779E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B0219"/>
    <w:pPr>
      <w:tabs>
        <w:tab w:val="center" w:pos="4320"/>
        <w:tab w:val="right" w:pos="8640"/>
      </w:tabs>
    </w:pPr>
  </w:style>
  <w:style w:type="paragraph" w:styleId="Footer">
    <w:name w:val="footer"/>
    <w:basedOn w:val="Normal"/>
    <w:link w:val="FooterChar"/>
    <w:uiPriority w:val="99"/>
    <w:rsid w:val="000B0219"/>
    <w:pPr>
      <w:tabs>
        <w:tab w:val="center" w:pos="4320"/>
        <w:tab w:val="right" w:pos="8640"/>
      </w:tabs>
    </w:pPr>
  </w:style>
  <w:style w:type="character" w:styleId="PageNumber">
    <w:name w:val="page number"/>
    <w:basedOn w:val="DefaultParagraphFont"/>
    <w:rsid w:val="00340542"/>
  </w:style>
  <w:style w:type="paragraph" w:styleId="FootnoteText">
    <w:name w:val="footnote text"/>
    <w:basedOn w:val="Normal"/>
    <w:semiHidden/>
    <w:rsid w:val="00F91FC1"/>
    <w:rPr>
      <w:sz w:val="20"/>
    </w:rPr>
  </w:style>
  <w:style w:type="character" w:styleId="FootnoteReference">
    <w:name w:val="footnote reference"/>
    <w:semiHidden/>
    <w:rsid w:val="00F91FC1"/>
    <w:rPr>
      <w:vertAlign w:val="superscript"/>
    </w:rPr>
  </w:style>
  <w:style w:type="paragraph" w:customStyle="1" w:styleId="ReferenceLine">
    <w:name w:val="Reference Line"/>
    <w:basedOn w:val="BodyText"/>
    <w:rsid w:val="009E348D"/>
    <w:pPr>
      <w:spacing w:after="0"/>
    </w:pPr>
    <w:rPr>
      <w:rFonts w:ascii="Verdana" w:hAnsi="Verdana"/>
    </w:rPr>
  </w:style>
  <w:style w:type="paragraph" w:styleId="List">
    <w:name w:val="List"/>
    <w:basedOn w:val="Normal"/>
    <w:rsid w:val="009E348D"/>
    <w:pPr>
      <w:ind w:left="360" w:hanging="360"/>
    </w:pPr>
    <w:rPr>
      <w:sz w:val="22"/>
    </w:rPr>
  </w:style>
  <w:style w:type="paragraph" w:styleId="BodyText">
    <w:name w:val="Body Text"/>
    <w:basedOn w:val="Normal"/>
    <w:rsid w:val="009E348D"/>
    <w:pPr>
      <w:spacing w:after="120"/>
    </w:pPr>
  </w:style>
  <w:style w:type="character" w:customStyle="1" w:styleId="FooterChar">
    <w:name w:val="Footer Char"/>
    <w:link w:val="Footer"/>
    <w:uiPriority w:val="99"/>
    <w:rsid w:val="00395E32"/>
    <w:rPr>
      <w:sz w:val="24"/>
    </w:rPr>
  </w:style>
  <w:style w:type="paragraph" w:styleId="BalloonText">
    <w:name w:val="Balloon Text"/>
    <w:basedOn w:val="Normal"/>
    <w:link w:val="BalloonTextChar"/>
    <w:rsid w:val="00497CBC"/>
    <w:rPr>
      <w:rFonts w:ascii="Tahoma" w:hAnsi="Tahoma" w:cs="Tahoma"/>
      <w:sz w:val="16"/>
      <w:szCs w:val="16"/>
    </w:rPr>
  </w:style>
  <w:style w:type="character" w:customStyle="1" w:styleId="BalloonTextChar">
    <w:name w:val="Balloon Text Char"/>
    <w:link w:val="BalloonText"/>
    <w:rsid w:val="00497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33AB-AE7E-4ADE-9A00-1598D1B0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Nancy.Brooks</dc:creator>
  <cp:keywords/>
  <cp:lastModifiedBy>Cathy Williams</cp:lastModifiedBy>
  <cp:revision>2</cp:revision>
  <cp:lastPrinted>2013-05-23T14:22:00Z</cp:lastPrinted>
  <dcterms:created xsi:type="dcterms:W3CDTF">2021-10-26T12:25:00Z</dcterms:created>
  <dcterms:modified xsi:type="dcterms:W3CDTF">2021-10-26T12:25:00Z</dcterms:modified>
</cp:coreProperties>
</file>