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4E0A" w:rsidR="004B6229" w:rsidP="00EC15F5" w:rsidRDefault="004B6229" w14:paraId="1D1645ED" w14:textId="77777777">
      <w:pPr>
        <w:ind w:right="-360"/>
        <w:jc w:val="center"/>
        <w:rPr>
          <w:bCs/>
        </w:rPr>
      </w:pPr>
      <w:bookmarkStart w:name="_GoBack" w:id="0"/>
      <w:bookmarkEnd w:id="0"/>
      <w:r w:rsidRPr="00324E0A">
        <w:rPr>
          <w:bCs/>
        </w:rPr>
        <w:t>National Credit Union Administration</w:t>
      </w:r>
    </w:p>
    <w:p w:rsidR="004B6229" w:rsidP="00EC15F5" w:rsidRDefault="004B6229" w14:paraId="7A8556E2" w14:textId="77777777">
      <w:pPr>
        <w:ind w:right="-360"/>
        <w:jc w:val="center"/>
        <w:rPr>
          <w:b/>
          <w:bCs/>
        </w:rPr>
      </w:pPr>
      <w:r w:rsidRPr="00324E0A">
        <w:rPr>
          <w:b/>
          <w:bCs/>
        </w:rPr>
        <w:t>SUPPORTING STATEMENT</w:t>
      </w:r>
    </w:p>
    <w:p w:rsidRPr="00324E0A" w:rsidR="004B6229" w:rsidP="004B6229" w:rsidRDefault="004B6229" w14:paraId="6863085F" w14:textId="77777777">
      <w:pPr>
        <w:ind w:left="-360" w:right="-360"/>
        <w:jc w:val="center"/>
        <w:rPr>
          <w:b/>
          <w:bCs/>
        </w:rPr>
      </w:pPr>
    </w:p>
    <w:p w:rsidR="00EC15F5" w:rsidP="00EC15F5" w:rsidRDefault="004B6229" w14:paraId="2471395F" w14:textId="77777777">
      <w:pPr>
        <w:pStyle w:val="ListParagraph"/>
        <w:tabs>
          <w:tab w:val="num" w:pos="450"/>
        </w:tabs>
        <w:ind w:left="446" w:hanging="360"/>
        <w:jc w:val="center"/>
        <w:rPr>
          <w:b/>
          <w:bCs/>
        </w:rPr>
      </w:pPr>
      <w:r>
        <w:rPr>
          <w:b/>
          <w:bCs/>
        </w:rPr>
        <w:t xml:space="preserve">Requirements for Insurance – Interest Rate Risk Policy </w:t>
      </w:r>
    </w:p>
    <w:p w:rsidRPr="00324E0A" w:rsidR="004B6229" w:rsidP="00EC15F5" w:rsidRDefault="004B6229" w14:paraId="5A8E546D" w14:textId="26B2BF4A">
      <w:pPr>
        <w:pStyle w:val="ListParagraph"/>
        <w:tabs>
          <w:tab w:val="num" w:pos="450"/>
        </w:tabs>
        <w:ind w:left="446" w:hanging="360"/>
        <w:jc w:val="center"/>
        <w:rPr>
          <w:bCs/>
        </w:rPr>
      </w:pPr>
      <w:r>
        <w:rPr>
          <w:bCs/>
        </w:rPr>
        <w:t>OMB Control No. 3133-0184</w:t>
      </w:r>
    </w:p>
    <w:p w:rsidR="004B6229" w:rsidP="004B6229" w:rsidRDefault="004B6229" w14:paraId="2149C379" w14:textId="77777777">
      <w:pPr>
        <w:pStyle w:val="ListParagraph"/>
        <w:ind w:hanging="720"/>
        <w:rPr>
          <w:b/>
        </w:rPr>
      </w:pPr>
    </w:p>
    <w:p w:rsidRPr="00A13B41" w:rsidR="001C11EE" w:rsidP="004B6229" w:rsidRDefault="001C11EE" w14:paraId="1B53BF9A" w14:textId="77777777">
      <w:pPr>
        <w:pStyle w:val="ListParagraph"/>
        <w:ind w:hanging="720"/>
        <w:rPr>
          <w:b/>
        </w:rPr>
      </w:pPr>
    </w:p>
    <w:p w:rsidRPr="00E44F63" w:rsidR="004B6229" w:rsidP="004B6229" w:rsidRDefault="004B6229" w14:paraId="25DCC5AF" w14:textId="77777777">
      <w:pPr>
        <w:pStyle w:val="ListParagraph"/>
        <w:numPr>
          <w:ilvl w:val="0"/>
          <w:numId w:val="2"/>
        </w:numPr>
        <w:ind w:left="720" w:hanging="720"/>
        <w:rPr>
          <w:b/>
        </w:rPr>
      </w:pPr>
      <w:r w:rsidRPr="00E44F63">
        <w:rPr>
          <w:b/>
        </w:rPr>
        <w:t>JUSTIFICATION</w:t>
      </w:r>
    </w:p>
    <w:p w:rsidRPr="00625090" w:rsidR="004B6229" w:rsidP="004B6229" w:rsidRDefault="004B6229" w14:paraId="2198A46A" w14:textId="77777777">
      <w:pPr>
        <w:pStyle w:val="ListParagraph"/>
        <w:ind w:hanging="720"/>
        <w:rPr>
          <w:b/>
        </w:rPr>
      </w:pPr>
    </w:p>
    <w:p w:rsidRPr="00625090" w:rsidR="004B6229" w:rsidP="004B6229" w:rsidRDefault="004B6229" w14:paraId="77E8482D" w14:textId="77777777">
      <w:pPr>
        <w:pStyle w:val="ListParagraph"/>
        <w:numPr>
          <w:ilvl w:val="0"/>
          <w:numId w:val="3"/>
        </w:numPr>
        <w:ind w:left="720" w:hanging="720"/>
        <w:rPr>
          <w:b/>
        </w:rPr>
      </w:pPr>
      <w:r w:rsidRPr="00625090">
        <w:rPr>
          <w:b/>
        </w:rPr>
        <w:t>Circumstances that make the collection of information necessary</w:t>
      </w:r>
      <w:r>
        <w:rPr>
          <w:b/>
        </w:rPr>
        <w:t>.</w:t>
      </w:r>
    </w:p>
    <w:p w:rsidR="004B6229" w:rsidP="00E30D93" w:rsidRDefault="004B6229" w14:paraId="2103DDFF" w14:textId="77777777"/>
    <w:p w:rsidR="00263F8D" w:rsidP="00EC15F5" w:rsidRDefault="006F3A83" w14:paraId="37DF0F29" w14:textId="2757E786">
      <w:pPr>
        <w:ind w:left="720"/>
      </w:pPr>
      <w:r w:rsidRPr="003304C2">
        <w:t>Section 741.3 of NCUA’s rules and regulations addresses the requirements for insurance of accounts</w:t>
      </w:r>
      <w:r w:rsidR="001C11EE">
        <w:t xml:space="preserve"> and requires </w:t>
      </w:r>
      <w:r w:rsidR="00812EE9">
        <w:t xml:space="preserve">federally-insured </w:t>
      </w:r>
      <w:r w:rsidR="001C11EE">
        <w:t xml:space="preserve">credit </w:t>
      </w:r>
      <w:r w:rsidR="00B91969">
        <w:t>unions</w:t>
      </w:r>
      <w:r w:rsidR="001C11EE">
        <w:t xml:space="preserve"> </w:t>
      </w:r>
      <w:r w:rsidR="00812EE9">
        <w:t xml:space="preserve">with assets of more than $50 million </w:t>
      </w:r>
      <w:r w:rsidR="001C11EE">
        <w:t xml:space="preserve">to </w:t>
      </w:r>
      <w:r w:rsidR="00B91969">
        <w:t>develop</w:t>
      </w:r>
      <w:r w:rsidR="001C11EE">
        <w:t xml:space="preserve">, as a prerequisites for insurability of its member deposits, a written </w:t>
      </w:r>
      <w:r w:rsidR="00E80EC6">
        <w:t>interest rate risk</w:t>
      </w:r>
      <w:r w:rsidR="001C11EE">
        <w:t xml:space="preserve"> management policy and a program to</w:t>
      </w:r>
      <w:r w:rsidR="00B91969">
        <w:t xml:space="preserve"> effectively implement the poli</w:t>
      </w:r>
      <w:r w:rsidR="001C11EE">
        <w:t>cy</w:t>
      </w:r>
      <w:r w:rsidR="008D66AC">
        <w:t xml:space="preserve"> as part of asset liability management</w:t>
      </w:r>
      <w:r w:rsidR="00B91969">
        <w:t xml:space="preserve">.  </w:t>
      </w:r>
    </w:p>
    <w:p w:rsidR="00263F8D" w:rsidP="00EC15F5" w:rsidRDefault="00263F8D" w14:paraId="7EF9367A" w14:textId="77777777">
      <w:pPr>
        <w:ind w:left="720"/>
      </w:pPr>
    </w:p>
    <w:p w:rsidR="0014521E" w:rsidP="00263F8D" w:rsidRDefault="00E80EC6" w14:paraId="0666AD26" w14:textId="283DA46B">
      <w:pPr>
        <w:ind w:left="720"/>
        <w:rPr>
          <w:rFonts w:eastAsia="Melior"/>
        </w:rPr>
      </w:pPr>
      <w:r>
        <w:t>The term “</w:t>
      </w:r>
      <w:r w:rsidR="003D1846">
        <w:t>interest</w:t>
      </w:r>
      <w:r>
        <w:t xml:space="preserve"> rate risk” (IRR) refers to the </w:t>
      </w:r>
      <w:r w:rsidRPr="004D6EBF" w:rsidR="004D6EBF">
        <w:t>current and prospective risk to a credit union’s capital and earnings arising from movements in interest rates.</w:t>
      </w:r>
      <w:r>
        <w:t xml:space="preserve">  </w:t>
      </w:r>
      <w:r w:rsidRPr="00ED3130" w:rsidR="0014521E">
        <w:rPr>
          <w:rFonts w:eastAsia="Melior"/>
        </w:rPr>
        <w:t>Although some IRR is a normal part of</w:t>
      </w:r>
      <w:r w:rsidR="0014521E">
        <w:rPr>
          <w:rFonts w:eastAsia="Melior"/>
        </w:rPr>
        <w:t xml:space="preserve"> </w:t>
      </w:r>
      <w:r w:rsidRPr="00ED3130" w:rsidR="0014521E">
        <w:rPr>
          <w:rFonts w:eastAsia="Melior"/>
        </w:rPr>
        <w:t>financial intermediation,</w:t>
      </w:r>
      <w:r w:rsidRPr="0014521E" w:rsidR="0014521E">
        <w:rPr>
          <w:rFonts w:eastAsia="Melior"/>
        </w:rPr>
        <w:t xml:space="preserve"> </w:t>
      </w:r>
      <w:r w:rsidRPr="00ED3130" w:rsidR="0014521E">
        <w:rPr>
          <w:rFonts w:eastAsia="Melior"/>
        </w:rPr>
        <w:t>it still may</w:t>
      </w:r>
      <w:r w:rsidR="0014521E">
        <w:rPr>
          <w:rFonts w:eastAsia="Melior"/>
        </w:rPr>
        <w:t xml:space="preserve"> </w:t>
      </w:r>
      <w:r w:rsidRPr="00ED3130" w:rsidR="0014521E">
        <w:rPr>
          <w:rFonts w:eastAsia="Melior"/>
        </w:rPr>
        <w:t>negatively affect a credit union’s</w:t>
      </w:r>
      <w:r w:rsidR="0014521E">
        <w:rPr>
          <w:rFonts w:eastAsia="Melior"/>
        </w:rPr>
        <w:t xml:space="preserve"> </w:t>
      </w:r>
      <w:r w:rsidRPr="00ED3130" w:rsidR="0014521E">
        <w:rPr>
          <w:rFonts w:eastAsia="Melior"/>
        </w:rPr>
        <w:t>earnings, net worth, and its net</w:t>
      </w:r>
      <w:r w:rsidR="0014521E">
        <w:rPr>
          <w:rFonts w:eastAsia="Melior"/>
        </w:rPr>
        <w:t xml:space="preserve"> </w:t>
      </w:r>
      <w:r w:rsidRPr="00ED3130" w:rsidR="0014521E">
        <w:rPr>
          <w:rFonts w:eastAsia="Melior"/>
        </w:rPr>
        <w:t>economic value, which is the difference</w:t>
      </w:r>
      <w:r w:rsidR="0014521E">
        <w:rPr>
          <w:rFonts w:eastAsia="Melior"/>
        </w:rPr>
        <w:t xml:space="preserve"> </w:t>
      </w:r>
      <w:r w:rsidRPr="00ED3130" w:rsidR="0014521E">
        <w:rPr>
          <w:rFonts w:eastAsia="Melior"/>
        </w:rPr>
        <w:t>between the market value of assets and</w:t>
      </w:r>
      <w:r w:rsidR="0014521E">
        <w:rPr>
          <w:rFonts w:eastAsia="Melior"/>
        </w:rPr>
        <w:t xml:space="preserve"> </w:t>
      </w:r>
      <w:r w:rsidRPr="00ED3130" w:rsidR="0014521E">
        <w:rPr>
          <w:rFonts w:eastAsia="Melior"/>
        </w:rPr>
        <w:t xml:space="preserve">the market value of liabilities. </w:t>
      </w:r>
      <w:r w:rsidR="00263F8D">
        <w:rPr>
          <w:rFonts w:eastAsia="Melior"/>
        </w:rPr>
        <w:t xml:space="preserve"> </w:t>
      </w:r>
      <w:r w:rsidRPr="00ED3130" w:rsidR="0014521E">
        <w:rPr>
          <w:rFonts w:eastAsia="Melior"/>
        </w:rPr>
        <w:t>Changes</w:t>
      </w:r>
      <w:r w:rsidR="0014521E">
        <w:rPr>
          <w:rFonts w:eastAsia="Melior"/>
        </w:rPr>
        <w:t xml:space="preserve"> </w:t>
      </w:r>
      <w:r w:rsidRPr="00ED3130" w:rsidR="0014521E">
        <w:rPr>
          <w:rFonts w:eastAsia="Melior"/>
        </w:rPr>
        <w:t>in interest rates influence a credit</w:t>
      </w:r>
      <w:r w:rsidR="0014521E">
        <w:rPr>
          <w:rFonts w:eastAsia="Melior"/>
        </w:rPr>
        <w:t xml:space="preserve"> </w:t>
      </w:r>
      <w:r w:rsidRPr="00ED3130" w:rsidR="0014521E">
        <w:rPr>
          <w:rFonts w:eastAsia="Melior"/>
        </w:rPr>
        <w:t>union’s earnings by altering interest</w:t>
      </w:r>
      <w:r w:rsidR="0014521E">
        <w:rPr>
          <w:rFonts w:eastAsia="Melior"/>
        </w:rPr>
        <w:t>-</w:t>
      </w:r>
      <w:r w:rsidRPr="00ED3130" w:rsidR="0014521E">
        <w:rPr>
          <w:rFonts w:eastAsia="Melior"/>
        </w:rPr>
        <w:t>sensitive</w:t>
      </w:r>
      <w:r w:rsidR="0014521E">
        <w:rPr>
          <w:rFonts w:eastAsia="Melior"/>
        </w:rPr>
        <w:t xml:space="preserve"> </w:t>
      </w:r>
      <w:r w:rsidRPr="00ED3130" w:rsidR="0014521E">
        <w:rPr>
          <w:rFonts w:eastAsia="Melior"/>
        </w:rPr>
        <w:t>income and expenses (</w:t>
      </w:r>
      <w:r w:rsidRPr="00ED3130" w:rsidR="0014521E">
        <w:rPr>
          <w:rFonts w:eastAsia="Melior"/>
          <w:i/>
          <w:iCs/>
        </w:rPr>
        <w:t>e.g.,</w:t>
      </w:r>
      <w:r w:rsidR="0014521E">
        <w:rPr>
          <w:rFonts w:eastAsia="Melior"/>
          <w:i/>
          <w:iCs/>
        </w:rPr>
        <w:t xml:space="preserve"> </w:t>
      </w:r>
      <w:r w:rsidRPr="00ED3130" w:rsidR="0014521E">
        <w:rPr>
          <w:rFonts w:eastAsia="Melior"/>
        </w:rPr>
        <w:t>loan income and share dividends).</w:t>
      </w:r>
      <w:r w:rsidR="0014521E">
        <w:rPr>
          <w:rFonts w:eastAsia="Melior"/>
        </w:rPr>
        <w:t xml:space="preserve">  </w:t>
      </w:r>
      <w:r w:rsidRPr="00ED3130" w:rsidR="0014521E">
        <w:rPr>
          <w:rFonts w:eastAsia="Melior"/>
        </w:rPr>
        <w:t>Changes in interest rates also affect the</w:t>
      </w:r>
      <w:r w:rsidR="0014521E">
        <w:rPr>
          <w:rFonts w:eastAsia="Melior"/>
        </w:rPr>
        <w:t xml:space="preserve"> </w:t>
      </w:r>
      <w:r w:rsidRPr="00ED3130" w:rsidR="0014521E">
        <w:rPr>
          <w:rFonts w:eastAsia="Melior"/>
        </w:rPr>
        <w:t>economic value of a credit union’s</w:t>
      </w:r>
      <w:r w:rsidR="0014521E">
        <w:rPr>
          <w:rFonts w:eastAsia="Melior"/>
        </w:rPr>
        <w:t xml:space="preserve"> </w:t>
      </w:r>
      <w:r w:rsidRPr="00ED3130" w:rsidR="0014521E">
        <w:rPr>
          <w:rFonts w:eastAsia="Melior"/>
        </w:rPr>
        <w:t>assets and liabilities because the present</w:t>
      </w:r>
      <w:r w:rsidR="0014521E">
        <w:rPr>
          <w:rFonts w:eastAsia="Melior"/>
        </w:rPr>
        <w:t xml:space="preserve"> </w:t>
      </w:r>
      <w:r w:rsidRPr="00ED3130" w:rsidR="0014521E">
        <w:rPr>
          <w:rFonts w:eastAsia="Melior"/>
        </w:rPr>
        <w:t>value of future cash flows and, in some</w:t>
      </w:r>
      <w:r w:rsidR="0014521E">
        <w:rPr>
          <w:rFonts w:eastAsia="Melior"/>
        </w:rPr>
        <w:t xml:space="preserve"> </w:t>
      </w:r>
      <w:r w:rsidRPr="00ED3130" w:rsidR="0014521E">
        <w:rPr>
          <w:rFonts w:eastAsia="Melior"/>
        </w:rPr>
        <w:t>cases, the cash flows themselves may</w:t>
      </w:r>
      <w:r w:rsidR="0014521E">
        <w:rPr>
          <w:rFonts w:eastAsia="Melior"/>
        </w:rPr>
        <w:t xml:space="preserve"> </w:t>
      </w:r>
      <w:r w:rsidRPr="00ED3130" w:rsidR="0014521E">
        <w:rPr>
          <w:rFonts w:eastAsia="Melior"/>
        </w:rPr>
        <w:t xml:space="preserve">change when interest rates change. </w:t>
      </w:r>
      <w:r w:rsidR="00263F8D">
        <w:rPr>
          <w:rFonts w:eastAsia="Melior"/>
        </w:rPr>
        <w:t xml:space="preserve"> </w:t>
      </w:r>
    </w:p>
    <w:p w:rsidR="00263F8D" w:rsidP="00263F8D" w:rsidRDefault="00263F8D" w14:paraId="107AF32A" w14:textId="77777777">
      <w:pPr>
        <w:ind w:left="720"/>
      </w:pPr>
    </w:p>
    <w:p w:rsidR="00EA07BE" w:rsidP="00920641" w:rsidRDefault="00EA07BE" w14:paraId="30CC1A9A" w14:textId="1D191DE0">
      <w:pPr>
        <w:autoSpaceDE w:val="0"/>
        <w:autoSpaceDN w:val="0"/>
        <w:adjustRightInd w:val="0"/>
        <w:ind w:left="720"/>
        <w:rPr>
          <w:rFonts w:eastAsia="Melior"/>
        </w:rPr>
      </w:pPr>
      <w:r w:rsidRPr="00F0212D">
        <w:rPr>
          <w:rFonts w:eastAsia="Melior"/>
        </w:rPr>
        <w:t xml:space="preserve">NCUA </w:t>
      </w:r>
      <w:r w:rsidR="00025397">
        <w:rPr>
          <w:rFonts w:eastAsia="Melior"/>
        </w:rPr>
        <w:t xml:space="preserve">had issued guidance on </w:t>
      </w:r>
      <w:r w:rsidRPr="00F0212D">
        <w:rPr>
          <w:rFonts w:eastAsia="Melior"/>
        </w:rPr>
        <w:t>IRR management</w:t>
      </w:r>
      <w:r w:rsidR="00025397">
        <w:rPr>
          <w:rFonts w:eastAsia="Melior"/>
        </w:rPr>
        <w:t xml:space="preserve"> in the past; but </w:t>
      </w:r>
      <w:proofErr w:type="gramStart"/>
      <w:r w:rsidR="003023AE">
        <w:rPr>
          <w:rFonts w:eastAsia="Melior"/>
        </w:rPr>
        <w:t>federally-insured</w:t>
      </w:r>
      <w:proofErr w:type="gramEnd"/>
      <w:r w:rsidR="003023AE">
        <w:rPr>
          <w:rFonts w:eastAsia="Melior"/>
        </w:rPr>
        <w:t xml:space="preserve"> credit </w:t>
      </w:r>
      <w:r w:rsidR="007D1EA6">
        <w:rPr>
          <w:rFonts w:eastAsia="Melior"/>
        </w:rPr>
        <w:t>unions</w:t>
      </w:r>
      <w:r w:rsidR="003023AE">
        <w:rPr>
          <w:rFonts w:eastAsia="Melior"/>
        </w:rPr>
        <w:t xml:space="preserve"> (</w:t>
      </w:r>
      <w:r w:rsidRPr="00F0212D">
        <w:rPr>
          <w:rFonts w:eastAsia="Melior"/>
        </w:rPr>
        <w:t>FICU</w:t>
      </w:r>
      <w:r w:rsidR="003023AE">
        <w:rPr>
          <w:rFonts w:eastAsia="Melior"/>
        </w:rPr>
        <w:t>s)</w:t>
      </w:r>
      <w:r w:rsidRPr="00F0212D">
        <w:rPr>
          <w:rFonts w:eastAsia="Melior"/>
        </w:rPr>
        <w:t xml:space="preserve"> </w:t>
      </w:r>
      <w:r w:rsidR="009F4028">
        <w:rPr>
          <w:rFonts w:eastAsia="Melior"/>
        </w:rPr>
        <w:t xml:space="preserve">had </w:t>
      </w:r>
      <w:r w:rsidR="00920641">
        <w:rPr>
          <w:rFonts w:eastAsia="Melior"/>
        </w:rPr>
        <w:t xml:space="preserve">experienced </w:t>
      </w:r>
      <w:r>
        <w:rPr>
          <w:rFonts w:eastAsia="Melior"/>
        </w:rPr>
        <w:t>increased</w:t>
      </w:r>
      <w:r w:rsidRPr="00F0212D">
        <w:rPr>
          <w:rFonts w:eastAsia="Melior"/>
        </w:rPr>
        <w:t xml:space="preserve"> exposure to IRR</w:t>
      </w:r>
      <w:r>
        <w:rPr>
          <w:rFonts w:eastAsia="Melior"/>
        </w:rPr>
        <w:t xml:space="preserve"> </w:t>
      </w:r>
      <w:r w:rsidRPr="00F0212D">
        <w:rPr>
          <w:rFonts w:eastAsia="Melior"/>
        </w:rPr>
        <w:t>due to changes in balance sheet</w:t>
      </w:r>
      <w:r>
        <w:rPr>
          <w:rFonts w:eastAsia="Melior"/>
        </w:rPr>
        <w:t xml:space="preserve"> </w:t>
      </w:r>
      <w:r w:rsidRPr="00F0212D">
        <w:rPr>
          <w:rFonts w:eastAsia="Melior"/>
        </w:rPr>
        <w:t>composition and increased uncertainty</w:t>
      </w:r>
      <w:r>
        <w:rPr>
          <w:rFonts w:eastAsia="Melior"/>
        </w:rPr>
        <w:t xml:space="preserve"> </w:t>
      </w:r>
      <w:r w:rsidRPr="00F0212D">
        <w:rPr>
          <w:rFonts w:eastAsia="Melior"/>
        </w:rPr>
        <w:t xml:space="preserve">in the financial markets. </w:t>
      </w:r>
      <w:r>
        <w:rPr>
          <w:rFonts w:eastAsia="Melior"/>
        </w:rPr>
        <w:t xml:space="preserve"> </w:t>
      </w:r>
      <w:r w:rsidRPr="00F0212D">
        <w:rPr>
          <w:rFonts w:eastAsia="Melior"/>
        </w:rPr>
        <w:t>This increase</w:t>
      </w:r>
      <w:r>
        <w:rPr>
          <w:rFonts w:eastAsia="Melior"/>
        </w:rPr>
        <w:t xml:space="preserve"> </w:t>
      </w:r>
      <w:r w:rsidRPr="00F0212D">
        <w:rPr>
          <w:rFonts w:eastAsia="Melior"/>
        </w:rPr>
        <w:t>heightened the importance for</w:t>
      </w:r>
      <w:r>
        <w:rPr>
          <w:rFonts w:eastAsia="Melior"/>
        </w:rPr>
        <w:t xml:space="preserve"> </w:t>
      </w:r>
      <w:r w:rsidRPr="00F0212D">
        <w:rPr>
          <w:rFonts w:eastAsia="Melior"/>
        </w:rPr>
        <w:t xml:space="preserve">FICUs to have </w:t>
      </w:r>
      <w:r w:rsidR="00805EF0">
        <w:rPr>
          <w:rFonts w:eastAsia="Melior"/>
        </w:rPr>
        <w:t>a strong policy</w:t>
      </w:r>
      <w:r w:rsidRPr="00F0212D">
        <w:rPr>
          <w:rFonts w:eastAsia="Melior"/>
        </w:rPr>
        <w:t xml:space="preserve"> and</w:t>
      </w:r>
      <w:r>
        <w:rPr>
          <w:rFonts w:eastAsia="Melior"/>
        </w:rPr>
        <w:t xml:space="preserve"> </w:t>
      </w:r>
      <w:r w:rsidR="00805EF0">
        <w:rPr>
          <w:rFonts w:eastAsia="Melior"/>
        </w:rPr>
        <w:t>program</w:t>
      </w:r>
      <w:r w:rsidRPr="00F0212D">
        <w:rPr>
          <w:rFonts w:eastAsia="Melior"/>
        </w:rPr>
        <w:t xml:space="preserve"> explicitly addressing the</w:t>
      </w:r>
      <w:r>
        <w:rPr>
          <w:rFonts w:eastAsia="Melior"/>
        </w:rPr>
        <w:t xml:space="preserve"> </w:t>
      </w:r>
      <w:r w:rsidRPr="00F0212D">
        <w:rPr>
          <w:rFonts w:eastAsia="Melior"/>
        </w:rPr>
        <w:t>credit union’s management of controls</w:t>
      </w:r>
      <w:r>
        <w:rPr>
          <w:rFonts w:eastAsia="Melior"/>
        </w:rPr>
        <w:t xml:space="preserve"> </w:t>
      </w:r>
      <w:r w:rsidRPr="00F0212D">
        <w:rPr>
          <w:rFonts w:eastAsia="Melior"/>
        </w:rPr>
        <w:t>for IRR</w:t>
      </w:r>
      <w:r w:rsidR="00025397">
        <w:rPr>
          <w:rFonts w:eastAsia="Melior"/>
        </w:rPr>
        <w:t xml:space="preserve">; as such, NCUA codified </w:t>
      </w:r>
      <w:r w:rsidR="003023AE">
        <w:rPr>
          <w:rFonts w:eastAsia="Melior"/>
        </w:rPr>
        <w:t>these requirements</w:t>
      </w:r>
      <w:r w:rsidR="00025397">
        <w:rPr>
          <w:rFonts w:eastAsia="Melior"/>
        </w:rPr>
        <w:t xml:space="preserve"> under §741.3</w:t>
      </w:r>
      <w:r w:rsidR="003023AE">
        <w:rPr>
          <w:rFonts w:eastAsia="Melior"/>
        </w:rPr>
        <w:t>(b)(5)</w:t>
      </w:r>
      <w:r w:rsidR="00025397">
        <w:rPr>
          <w:rFonts w:eastAsia="Melior"/>
        </w:rPr>
        <w:t xml:space="preserve">, </w:t>
      </w:r>
      <w:r w:rsidR="007E33C5">
        <w:rPr>
          <w:rFonts w:eastAsia="Melior"/>
        </w:rPr>
        <w:t xml:space="preserve">along </w:t>
      </w:r>
      <w:r w:rsidR="00025397">
        <w:rPr>
          <w:rFonts w:eastAsia="Melior"/>
        </w:rPr>
        <w:t xml:space="preserve">with </w:t>
      </w:r>
      <w:r w:rsidR="007E33C5">
        <w:rPr>
          <w:rFonts w:eastAsia="Melior"/>
        </w:rPr>
        <w:t xml:space="preserve">a </w:t>
      </w:r>
      <w:r w:rsidR="00025397">
        <w:rPr>
          <w:rFonts w:eastAsia="Melior"/>
        </w:rPr>
        <w:t>comprehensive guidance on how to establish a written policy and an effective IRR management program as Appendix B to P</w:t>
      </w:r>
      <w:r w:rsidR="007D1EA6">
        <w:rPr>
          <w:rFonts w:eastAsia="Melior"/>
        </w:rPr>
        <w:t>art 741.</w:t>
      </w:r>
    </w:p>
    <w:p w:rsidR="00920641" w:rsidP="00920641" w:rsidRDefault="00920641" w14:paraId="092637E5" w14:textId="77777777">
      <w:pPr>
        <w:autoSpaceDE w:val="0"/>
        <w:autoSpaceDN w:val="0"/>
        <w:adjustRightInd w:val="0"/>
        <w:ind w:left="720"/>
        <w:rPr>
          <w:rFonts w:eastAsia="Melior"/>
        </w:rPr>
      </w:pPr>
    </w:p>
    <w:p w:rsidR="00B91969" w:rsidP="00EC15F5" w:rsidRDefault="006F3A83" w14:paraId="30A3BE24" w14:textId="4D973B75">
      <w:pPr>
        <w:ind w:left="720"/>
      </w:pPr>
      <w:r w:rsidRPr="003304C2">
        <w:t xml:space="preserve">Section 741.3 is authorized pursuant to 12 U.S.C. §§1757, 1766(a), 1781—1790, and 1790d; 31 U.S.C. §3717.  </w:t>
      </w:r>
    </w:p>
    <w:p w:rsidR="00B91969" w:rsidP="00EC15F5" w:rsidRDefault="00B91969" w14:paraId="79DDF3EE" w14:textId="77777777">
      <w:pPr>
        <w:ind w:left="720"/>
      </w:pPr>
    </w:p>
    <w:p w:rsidR="004B6229" w:rsidP="004B6229" w:rsidRDefault="004B6229" w14:paraId="76F6A34E" w14:textId="2A174A49">
      <w:pPr>
        <w:pStyle w:val="BodyTextIndent2"/>
        <w:spacing w:after="0" w:line="240" w:lineRule="auto"/>
        <w:ind w:left="0"/>
        <w:rPr>
          <w:b/>
        </w:rPr>
      </w:pPr>
      <w:r>
        <w:rPr>
          <w:b/>
        </w:rPr>
        <w:t>2.</w:t>
      </w:r>
      <w:r>
        <w:rPr>
          <w:b/>
        </w:rPr>
        <w:tab/>
      </w:r>
      <w:r w:rsidRPr="00D214DB">
        <w:rPr>
          <w:b/>
        </w:rPr>
        <w:t xml:space="preserve">Purpose and </w:t>
      </w:r>
      <w:r w:rsidR="00B50579">
        <w:rPr>
          <w:b/>
        </w:rPr>
        <w:t>u</w:t>
      </w:r>
      <w:r w:rsidRPr="00D214DB">
        <w:rPr>
          <w:b/>
        </w:rPr>
        <w:t xml:space="preserve">se of the </w:t>
      </w:r>
      <w:r w:rsidR="00B50579">
        <w:rPr>
          <w:b/>
        </w:rPr>
        <w:t>i</w:t>
      </w:r>
      <w:r w:rsidRPr="00D214DB">
        <w:rPr>
          <w:b/>
        </w:rPr>
        <w:t xml:space="preserve">nformation </w:t>
      </w:r>
      <w:r w:rsidR="00B50579">
        <w:rPr>
          <w:b/>
        </w:rPr>
        <w:t>c</w:t>
      </w:r>
      <w:r w:rsidRPr="00D214DB">
        <w:rPr>
          <w:b/>
        </w:rPr>
        <w:t>ollection</w:t>
      </w:r>
      <w:r>
        <w:rPr>
          <w:b/>
        </w:rPr>
        <w:t>.</w:t>
      </w:r>
    </w:p>
    <w:p w:rsidR="004B6229" w:rsidP="004B6229" w:rsidRDefault="004B6229" w14:paraId="46B46FF6" w14:textId="77777777"/>
    <w:p w:rsidRPr="003304C2" w:rsidR="006F3A83" w:rsidP="004B6229" w:rsidRDefault="006F3A83" w14:paraId="47CDF82B" w14:textId="30D49DD2">
      <w:pPr>
        <w:ind w:left="720"/>
      </w:pPr>
      <w:r w:rsidRPr="003304C2">
        <w:t xml:space="preserve">The FICU’s board of directors is responsible for ensuring the adequacy of an IRR policy and its limits.  The policy should be consistent with the credit union’s business strategies and should reflect the board’s risk tolerance, taking into account the credit union’s financial condition and risk measurement systems and methods commensurate with the </w:t>
      </w:r>
      <w:r w:rsidRPr="003304C2">
        <w:lastRenderedPageBreak/>
        <w:t>balance sheet structure.  The policy should state actions and authorities required for exceptions to policy, limits, and authorizations.</w:t>
      </w:r>
    </w:p>
    <w:p w:rsidR="006F3A83" w:rsidP="004B6229" w:rsidRDefault="006F3A83" w14:paraId="43B66316" w14:textId="77777777">
      <w:pPr>
        <w:ind w:left="720"/>
      </w:pPr>
    </w:p>
    <w:p w:rsidRPr="003304C2" w:rsidR="006F3A83" w:rsidP="004B6229" w:rsidRDefault="006F3A83" w14:paraId="47041830" w14:textId="32AAC500">
      <w:pPr>
        <w:ind w:left="720"/>
      </w:pPr>
      <w:r w:rsidRPr="003304C2">
        <w:t xml:space="preserve">Credit unions have the option of either creating a separate IRR policy or incorporating it into investment, asset liability management, funds management, liquidity or other policies.  Regardless of form, credit unions must clearly document their IRR policy in writing.  This information collection is a </w:t>
      </w:r>
      <w:r w:rsidR="001B4219">
        <w:t>recordkeeping</w:t>
      </w:r>
      <w:r w:rsidRPr="003304C2" w:rsidR="001B4219">
        <w:t xml:space="preserve"> </w:t>
      </w:r>
      <w:r w:rsidRPr="003304C2">
        <w:t>requirement.</w:t>
      </w:r>
    </w:p>
    <w:p w:rsidR="006F3A83" w:rsidP="004B6229" w:rsidRDefault="006F3A83" w14:paraId="0320B1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3304C2" w:rsidR="006F3A83" w:rsidP="004B6229" w:rsidRDefault="006F3A83" w14:paraId="1835CB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304C2">
        <w:t>The scope of the policy will vary depending on the complexity of the credit union’s balance sheet.</w:t>
      </w:r>
    </w:p>
    <w:p w:rsidR="006F3A83" w:rsidP="004B6229" w:rsidRDefault="006F3A83" w14:paraId="62DBC7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3304C2" w:rsidR="006F3A83" w:rsidP="001B4219" w:rsidRDefault="006F3A83" w14:paraId="247579B8" w14:textId="25302B51">
      <w:pPr>
        <w:ind w:left="720"/>
      </w:pPr>
      <w:r w:rsidRPr="003304C2">
        <w:t xml:space="preserve">IRR policies are for internal use by credit </w:t>
      </w:r>
      <w:r w:rsidR="001B4219">
        <w:t>unions.  NCUA examines policies</w:t>
      </w:r>
      <w:r w:rsidRPr="003304C2">
        <w:t xml:space="preserve"> to evaluate credit union compliance with the rule and to determine credit unions’ risk tolerances and whether the policies are consistent with credit unions’ business strategies.</w:t>
      </w:r>
    </w:p>
    <w:p w:rsidRPr="00E44F63" w:rsidR="003A0D60" w:rsidP="004B6229" w:rsidRDefault="003A0D60" w14:paraId="49CB564B" w14:textId="77777777">
      <w:pPr>
        <w:ind w:left="720" w:hanging="720"/>
      </w:pPr>
    </w:p>
    <w:p w:rsidR="004B6229" w:rsidP="004B6229" w:rsidRDefault="004B6229" w14:paraId="4942097B" w14:textId="4DB20F2A">
      <w:pPr>
        <w:rPr>
          <w:b/>
        </w:rPr>
      </w:pPr>
      <w:r>
        <w:rPr>
          <w:b/>
        </w:rPr>
        <w:t>3.</w:t>
      </w:r>
      <w:r>
        <w:rPr>
          <w:b/>
        </w:rPr>
        <w:tab/>
      </w:r>
      <w:r w:rsidRPr="009371DF">
        <w:rPr>
          <w:b/>
        </w:rPr>
        <w:t xml:space="preserve">Use of </w:t>
      </w:r>
      <w:r w:rsidR="00B50579">
        <w:rPr>
          <w:b/>
        </w:rPr>
        <w:t>i</w:t>
      </w:r>
      <w:r w:rsidRPr="009371DF">
        <w:rPr>
          <w:b/>
        </w:rPr>
        <w:t xml:space="preserve">nformation </w:t>
      </w:r>
      <w:r w:rsidR="00B50579">
        <w:rPr>
          <w:b/>
        </w:rPr>
        <w:t>t</w:t>
      </w:r>
      <w:r w:rsidRPr="009371DF">
        <w:rPr>
          <w:b/>
        </w:rPr>
        <w:t>echnology</w:t>
      </w:r>
      <w:r>
        <w:rPr>
          <w:b/>
        </w:rPr>
        <w:t>.</w:t>
      </w:r>
    </w:p>
    <w:p w:rsidR="004B6229" w:rsidP="004B6229" w:rsidRDefault="004B6229" w14:paraId="177DF5EA" w14:textId="77777777">
      <w:pPr>
        <w:ind w:left="720"/>
      </w:pPr>
    </w:p>
    <w:p w:rsidRPr="003304C2" w:rsidR="006F3A83" w:rsidP="004B6229" w:rsidRDefault="006F3A83" w14:paraId="406492E5" w14:textId="77777777">
      <w:pPr>
        <w:ind w:left="720"/>
      </w:pPr>
      <w:r w:rsidRPr="003304C2">
        <w:t>Credit unions may use any form of automated, electronic, mechanical, or other technological collection techniques to comply.</w:t>
      </w:r>
    </w:p>
    <w:p w:rsidRPr="00E44F63" w:rsidR="003A0D60" w:rsidP="004B6229" w:rsidRDefault="003A0D60" w14:paraId="6D643D32" w14:textId="77777777">
      <w:pPr>
        <w:ind w:left="720" w:hanging="720"/>
      </w:pPr>
    </w:p>
    <w:p w:rsidR="004B6229" w:rsidP="004B6229" w:rsidRDefault="004B6229" w14:paraId="62925CF0" w14:textId="7229C8CF">
      <w:pPr>
        <w:rPr>
          <w:b/>
        </w:rPr>
      </w:pPr>
      <w:r>
        <w:rPr>
          <w:b/>
        </w:rPr>
        <w:t>4.</w:t>
      </w:r>
      <w:r>
        <w:rPr>
          <w:b/>
        </w:rPr>
        <w:tab/>
      </w:r>
      <w:r w:rsidRPr="009371DF">
        <w:rPr>
          <w:b/>
        </w:rPr>
        <w:t xml:space="preserve">Duplication of </w:t>
      </w:r>
      <w:r w:rsidR="00B50579">
        <w:rPr>
          <w:b/>
        </w:rPr>
        <w:t>i</w:t>
      </w:r>
      <w:r w:rsidRPr="009371DF">
        <w:rPr>
          <w:b/>
        </w:rPr>
        <w:t>nformation</w:t>
      </w:r>
      <w:r>
        <w:rPr>
          <w:b/>
        </w:rPr>
        <w:t>.</w:t>
      </w:r>
    </w:p>
    <w:p w:rsidR="004B6229" w:rsidP="004B6229" w:rsidRDefault="004B6229" w14:paraId="5429EA3F" w14:textId="77777777">
      <w:pPr>
        <w:ind w:left="720" w:hanging="720"/>
      </w:pPr>
    </w:p>
    <w:p w:rsidRPr="003304C2" w:rsidR="006F3A83" w:rsidP="004B6229" w:rsidRDefault="004B6229" w14:paraId="619C2E50" w14:textId="084936BF">
      <w:pPr>
        <w:ind w:left="720" w:hanging="720"/>
      </w:pPr>
      <w:r>
        <w:tab/>
      </w:r>
      <w:r w:rsidRPr="003304C2" w:rsidR="006F3A83">
        <w:t xml:space="preserve">The information collection is unique to each credit union and is not duplicated elsewhere.  </w:t>
      </w:r>
    </w:p>
    <w:p w:rsidRPr="00631257" w:rsidR="003A0D60" w:rsidP="004B6229" w:rsidRDefault="003A0D60" w14:paraId="3FA98ABB" w14:textId="77777777">
      <w:pPr>
        <w:pStyle w:val="ListParagraph"/>
        <w:suppressAutoHyphens/>
        <w:ind w:hanging="720"/>
      </w:pPr>
    </w:p>
    <w:p w:rsidRPr="00625090" w:rsidR="004B6229" w:rsidP="004B6229" w:rsidRDefault="004B6229" w14:paraId="55746511" w14:textId="23A8BA50">
      <w:pPr>
        <w:rPr>
          <w:b/>
        </w:rPr>
      </w:pPr>
      <w:r>
        <w:rPr>
          <w:b/>
        </w:rPr>
        <w:t>5.</w:t>
      </w:r>
      <w:r>
        <w:rPr>
          <w:b/>
        </w:rPr>
        <w:tab/>
      </w:r>
      <w:r w:rsidRPr="00625090">
        <w:rPr>
          <w:b/>
        </w:rPr>
        <w:t xml:space="preserve">Efforts to </w:t>
      </w:r>
      <w:r w:rsidR="00B50579">
        <w:rPr>
          <w:b/>
        </w:rPr>
        <w:t>r</w:t>
      </w:r>
      <w:r w:rsidRPr="00625090">
        <w:rPr>
          <w:b/>
        </w:rPr>
        <w:t xml:space="preserve">educe </w:t>
      </w:r>
      <w:r w:rsidR="00B50579">
        <w:rPr>
          <w:b/>
        </w:rPr>
        <w:t>b</w:t>
      </w:r>
      <w:r w:rsidRPr="00625090">
        <w:rPr>
          <w:b/>
        </w:rPr>
        <w:t>ur</w:t>
      </w:r>
      <w:r>
        <w:rPr>
          <w:b/>
        </w:rPr>
        <w:t xml:space="preserve">den </w:t>
      </w:r>
      <w:r w:rsidRPr="00625090">
        <w:rPr>
          <w:b/>
        </w:rPr>
        <w:t xml:space="preserve">on </w:t>
      </w:r>
      <w:r w:rsidR="00B50579">
        <w:rPr>
          <w:b/>
        </w:rPr>
        <w:t>s</w:t>
      </w:r>
      <w:r w:rsidRPr="00625090">
        <w:rPr>
          <w:b/>
        </w:rPr>
        <w:t xml:space="preserve">mall </w:t>
      </w:r>
      <w:r w:rsidR="00B50579">
        <w:rPr>
          <w:b/>
        </w:rPr>
        <w:t>e</w:t>
      </w:r>
      <w:r w:rsidRPr="00625090">
        <w:rPr>
          <w:b/>
        </w:rPr>
        <w:t>ntities</w:t>
      </w:r>
      <w:r>
        <w:rPr>
          <w:b/>
        </w:rPr>
        <w:t>.</w:t>
      </w:r>
    </w:p>
    <w:p w:rsidR="004B6229" w:rsidP="009F4B3F" w:rsidRDefault="004B6229" w14:paraId="2924EA9C" w14:textId="77777777">
      <w:pPr>
        <w:suppressAutoHyphens/>
      </w:pPr>
    </w:p>
    <w:p w:rsidRPr="00631257" w:rsidR="003A0D60" w:rsidP="004B6229" w:rsidRDefault="006F3A83" w14:paraId="2459BA6B" w14:textId="44E53B68">
      <w:pPr>
        <w:pStyle w:val="ListParagraph"/>
        <w:suppressAutoHyphens/>
      </w:pPr>
      <w:r w:rsidRPr="003304C2">
        <w:t>NCUA defines a small credit union as having assets of $50 million or less.  The requirement for a written policy applies only to credit unions having more than $50 million in assets.</w:t>
      </w:r>
    </w:p>
    <w:p w:rsidRPr="00631257" w:rsidR="003A0D60" w:rsidP="004B6229" w:rsidRDefault="003A0D60" w14:paraId="21515E3C" w14:textId="77777777">
      <w:pPr>
        <w:pStyle w:val="ListParagraph"/>
        <w:suppressAutoHyphens/>
        <w:ind w:hanging="720"/>
      </w:pPr>
    </w:p>
    <w:p w:rsidRPr="00625090" w:rsidR="004B6229" w:rsidP="004B6229" w:rsidRDefault="004B6229" w14:paraId="09EE006A" w14:textId="1FEDEF06">
      <w:pPr>
        <w:rPr>
          <w:b/>
        </w:rPr>
      </w:pPr>
      <w:r>
        <w:rPr>
          <w:b/>
        </w:rPr>
        <w:t>6.</w:t>
      </w:r>
      <w:r>
        <w:rPr>
          <w:b/>
        </w:rPr>
        <w:tab/>
      </w:r>
      <w:r w:rsidRPr="00625090">
        <w:rPr>
          <w:b/>
        </w:rPr>
        <w:t xml:space="preserve">Consequences of </w:t>
      </w:r>
      <w:r w:rsidR="00B50579">
        <w:rPr>
          <w:b/>
        </w:rPr>
        <w:t>n</w:t>
      </w:r>
      <w:r w:rsidRPr="00625090">
        <w:rPr>
          <w:b/>
        </w:rPr>
        <w:t xml:space="preserve">ot </w:t>
      </w:r>
      <w:r w:rsidR="00B50579">
        <w:rPr>
          <w:b/>
        </w:rPr>
        <w:t>c</w:t>
      </w:r>
      <w:r w:rsidRPr="00625090">
        <w:rPr>
          <w:b/>
        </w:rPr>
        <w:t xml:space="preserve">onducting </w:t>
      </w:r>
      <w:r w:rsidR="00B50579">
        <w:rPr>
          <w:b/>
        </w:rPr>
        <w:t>the c</w:t>
      </w:r>
      <w:r w:rsidRPr="00625090">
        <w:rPr>
          <w:b/>
        </w:rPr>
        <w:t>ollection</w:t>
      </w:r>
      <w:r>
        <w:rPr>
          <w:b/>
        </w:rPr>
        <w:t>.</w:t>
      </w:r>
      <w:r w:rsidRPr="00625090">
        <w:rPr>
          <w:b/>
        </w:rPr>
        <w:t xml:space="preserve"> </w:t>
      </w:r>
    </w:p>
    <w:p w:rsidR="004B6229" w:rsidP="004B6229" w:rsidRDefault="004B6229" w14:paraId="35B02949" w14:textId="77777777">
      <w:pPr>
        <w:ind w:left="720" w:hanging="720"/>
      </w:pPr>
    </w:p>
    <w:p w:rsidR="003E1DFA" w:rsidP="004025BA" w:rsidRDefault="004025BA" w14:paraId="574DAD3C" w14:textId="6B9CD9BD">
      <w:pPr>
        <w:ind w:left="720" w:hanging="720"/>
      </w:pPr>
      <w:r>
        <w:tab/>
        <w:t xml:space="preserve">The need for FICU to have a written policy to </w:t>
      </w:r>
      <w:r w:rsidR="004D6EBF">
        <w:t>establish responsibilities and procedures for identifying, measuring, monitoring, controlling, and reporting, and establishing risk limits are</w:t>
      </w:r>
      <w:r>
        <w:t xml:space="preserve"> essential component</w:t>
      </w:r>
      <w:r w:rsidR="004D6EBF">
        <w:t>s</w:t>
      </w:r>
      <w:r>
        <w:t xml:space="preserve"> of safe and sound credit union operations and to ensure the security of the National Credit Union Share Insurance Fund (NCUSIF)</w:t>
      </w:r>
      <w:r w:rsidR="003E1DFA">
        <w:t>.</w:t>
      </w:r>
    </w:p>
    <w:p w:rsidRPr="00E44F63" w:rsidR="003A0D60" w:rsidP="004B6229" w:rsidRDefault="003A0D60" w14:paraId="7C86B652" w14:textId="77777777">
      <w:pPr>
        <w:ind w:left="720" w:hanging="720"/>
      </w:pPr>
    </w:p>
    <w:p w:rsidRPr="00625090" w:rsidR="004B6229" w:rsidP="004B6229" w:rsidRDefault="004B6229" w14:paraId="2538BBFF" w14:textId="36604B1B">
      <w:pPr>
        <w:rPr>
          <w:b/>
        </w:rPr>
      </w:pPr>
      <w:r>
        <w:rPr>
          <w:b/>
        </w:rPr>
        <w:t>7.</w:t>
      </w:r>
      <w:r>
        <w:rPr>
          <w:b/>
        </w:rPr>
        <w:tab/>
      </w:r>
      <w:r w:rsidRPr="00625090">
        <w:rPr>
          <w:b/>
        </w:rPr>
        <w:t xml:space="preserve">Inconsistencies with </w:t>
      </w:r>
      <w:r w:rsidR="00B50579">
        <w:rPr>
          <w:b/>
        </w:rPr>
        <w:t>g</w:t>
      </w:r>
      <w:r w:rsidRPr="00625090">
        <w:rPr>
          <w:b/>
        </w:rPr>
        <w:t>uidelines in 5 CFR 1320.5(d)(2)</w:t>
      </w:r>
      <w:r w:rsidR="00B50579">
        <w:rPr>
          <w:b/>
        </w:rPr>
        <w:t>.</w:t>
      </w:r>
    </w:p>
    <w:p w:rsidR="00EC15F5" w:rsidP="009F4B3F" w:rsidRDefault="00EC15F5" w14:paraId="6922A35E" w14:textId="77777777"/>
    <w:p w:rsidR="003A0D60" w:rsidP="00EC15F5" w:rsidRDefault="003A0D60" w14:paraId="395841A4" w14:textId="7EBDE824">
      <w:pPr>
        <w:pStyle w:val="ListParagraph"/>
      </w:pPr>
      <w:r>
        <w:t>There are no special circumstances</w:t>
      </w:r>
      <w:r w:rsidR="00D80E62">
        <w:t xml:space="preserve">.  </w:t>
      </w:r>
      <w:r>
        <w:t xml:space="preserve">This collection is consistent with the guidelines in 5 CFR </w:t>
      </w:r>
      <w:r w:rsidR="006C23AC">
        <w:t>1320.5(d)(2).</w:t>
      </w:r>
    </w:p>
    <w:p w:rsidRPr="000B48E0" w:rsidR="003A0D60" w:rsidP="004B6229" w:rsidRDefault="003A0D60" w14:paraId="09DAFF8E" w14:textId="77777777">
      <w:pPr>
        <w:pStyle w:val="ListParagraph"/>
        <w:ind w:hanging="720"/>
        <w:rPr>
          <w:bCs/>
        </w:rPr>
      </w:pPr>
    </w:p>
    <w:p w:rsidR="00525484" w:rsidRDefault="00525484" w14:paraId="1BEE345E" w14:textId="77777777">
      <w:pPr>
        <w:spacing w:after="200" w:line="276" w:lineRule="auto"/>
        <w:rPr>
          <w:b/>
        </w:rPr>
      </w:pPr>
      <w:r>
        <w:rPr>
          <w:b/>
        </w:rPr>
        <w:br w:type="page"/>
      </w:r>
    </w:p>
    <w:p w:rsidRPr="00625090" w:rsidR="004B6229" w:rsidP="004B6229" w:rsidRDefault="004B6229" w14:paraId="713A977E" w14:textId="29A78D8D">
      <w:pPr>
        <w:rPr>
          <w:b/>
        </w:rPr>
      </w:pPr>
      <w:r>
        <w:rPr>
          <w:b/>
        </w:rPr>
        <w:lastRenderedPageBreak/>
        <w:t>8.</w:t>
      </w:r>
      <w:r>
        <w:rPr>
          <w:b/>
        </w:rPr>
        <w:tab/>
      </w:r>
      <w:r w:rsidR="00B50579">
        <w:rPr>
          <w:b/>
        </w:rPr>
        <w:t>Efforts to c</w:t>
      </w:r>
      <w:r w:rsidRPr="00625090">
        <w:rPr>
          <w:b/>
        </w:rPr>
        <w:t xml:space="preserve">onsult with </w:t>
      </w:r>
      <w:r w:rsidR="00B50579">
        <w:rPr>
          <w:b/>
        </w:rPr>
        <w:t>p</w:t>
      </w:r>
      <w:r w:rsidRPr="00625090">
        <w:rPr>
          <w:b/>
        </w:rPr>
        <w:t xml:space="preserve">ersons </w:t>
      </w:r>
      <w:r w:rsidR="00B50579">
        <w:rPr>
          <w:b/>
        </w:rPr>
        <w:t>o</w:t>
      </w:r>
      <w:r w:rsidRPr="00625090">
        <w:rPr>
          <w:b/>
        </w:rPr>
        <w:t xml:space="preserve">utside the </w:t>
      </w:r>
      <w:r w:rsidR="00B50579">
        <w:rPr>
          <w:b/>
        </w:rPr>
        <w:t>a</w:t>
      </w:r>
      <w:r w:rsidRPr="00625090">
        <w:rPr>
          <w:b/>
        </w:rPr>
        <w:t>gency</w:t>
      </w:r>
      <w:r>
        <w:rPr>
          <w:b/>
        </w:rPr>
        <w:t>.</w:t>
      </w:r>
    </w:p>
    <w:p w:rsidR="004B6229" w:rsidP="004B6229" w:rsidRDefault="004B6229" w14:paraId="32875139" w14:textId="77777777">
      <w:pPr>
        <w:ind w:left="720" w:hanging="720"/>
      </w:pPr>
    </w:p>
    <w:p w:rsidR="003A0D60" w:rsidP="004B6229" w:rsidRDefault="004025BA" w14:paraId="3073BFBE" w14:textId="6A1F4F49">
      <w:pPr>
        <w:ind w:left="720"/>
      </w:pPr>
      <w:r>
        <w:t xml:space="preserve">A </w:t>
      </w:r>
      <w:r w:rsidR="003A0D60">
        <w:t xml:space="preserve">60-day </w:t>
      </w:r>
      <w:r>
        <w:t xml:space="preserve">notice was published in the </w:t>
      </w:r>
      <w:r>
        <w:rPr>
          <w:i/>
        </w:rPr>
        <w:t>Federal Register</w:t>
      </w:r>
      <w:r w:rsidR="004E4E93">
        <w:rPr>
          <w:i/>
        </w:rPr>
        <w:t xml:space="preserve"> </w:t>
      </w:r>
      <w:r w:rsidR="003A0D60">
        <w:t xml:space="preserve">soliciting comments </w:t>
      </w:r>
      <w:r w:rsidR="004E4E93">
        <w:t>from the public on</w:t>
      </w:r>
      <w:r w:rsidR="00B86C5E">
        <w:t xml:space="preserve"> </w:t>
      </w:r>
      <w:r w:rsidR="00275B48">
        <w:t>August 16</w:t>
      </w:r>
      <w:r w:rsidRPr="000C6776" w:rsidR="004E4E93">
        <w:t xml:space="preserve">, </w:t>
      </w:r>
      <w:r w:rsidR="00275B48">
        <w:t xml:space="preserve">2021, </w:t>
      </w:r>
      <w:r w:rsidRPr="000C6776" w:rsidR="004E4E93">
        <w:t>at</w:t>
      </w:r>
      <w:r w:rsidR="000C6776">
        <w:t xml:space="preserve"> 8</w:t>
      </w:r>
      <w:r w:rsidR="00EA4C54">
        <w:t>6</w:t>
      </w:r>
      <w:r w:rsidR="000C6776">
        <w:t xml:space="preserve"> FR </w:t>
      </w:r>
      <w:r w:rsidR="00275B48">
        <w:t>45767,</w:t>
      </w:r>
      <w:r w:rsidRPr="000C6776" w:rsidR="004E4E93">
        <w:t xml:space="preserve"> and no </w:t>
      </w:r>
      <w:r w:rsidRPr="000C6776" w:rsidR="006C23AC">
        <w:t>comments were received</w:t>
      </w:r>
      <w:r w:rsidRPr="000C6776" w:rsidR="004E4E93">
        <w:t xml:space="preserve"> in response to this notice</w:t>
      </w:r>
      <w:r w:rsidRPr="000C6776" w:rsidR="006C23AC">
        <w:t>.</w:t>
      </w:r>
    </w:p>
    <w:p w:rsidRPr="006C23AC" w:rsidR="003A0D60" w:rsidP="004B6229" w:rsidRDefault="003A0D60" w14:paraId="638F9A49" w14:textId="77777777">
      <w:pPr>
        <w:ind w:left="720" w:hanging="720"/>
        <w:rPr>
          <w:b/>
        </w:rPr>
      </w:pPr>
    </w:p>
    <w:p w:rsidRPr="00625090" w:rsidR="004B6229" w:rsidP="004B6229" w:rsidRDefault="004B6229" w14:paraId="4DBA871A" w14:textId="17AA15F0">
      <w:pPr>
        <w:rPr>
          <w:b/>
        </w:rPr>
      </w:pPr>
      <w:r>
        <w:rPr>
          <w:b/>
        </w:rPr>
        <w:t>9.</w:t>
      </w:r>
      <w:r>
        <w:rPr>
          <w:b/>
        </w:rPr>
        <w:tab/>
      </w:r>
      <w:r w:rsidRPr="00625090">
        <w:rPr>
          <w:b/>
        </w:rPr>
        <w:t xml:space="preserve">Payment or </w:t>
      </w:r>
      <w:r w:rsidR="00B50579">
        <w:rPr>
          <w:b/>
        </w:rPr>
        <w:t>g</w:t>
      </w:r>
      <w:r w:rsidRPr="00625090">
        <w:rPr>
          <w:b/>
        </w:rPr>
        <w:t xml:space="preserve">ifts to </w:t>
      </w:r>
      <w:r w:rsidR="00B50579">
        <w:rPr>
          <w:b/>
        </w:rPr>
        <w:t>r</w:t>
      </w:r>
      <w:r w:rsidRPr="00625090">
        <w:rPr>
          <w:b/>
        </w:rPr>
        <w:t>espondents</w:t>
      </w:r>
      <w:r w:rsidR="00B50579">
        <w:rPr>
          <w:b/>
        </w:rPr>
        <w:t>.</w:t>
      </w:r>
    </w:p>
    <w:p w:rsidR="00EC15F5" w:rsidP="004B6229" w:rsidRDefault="00EC15F5" w14:paraId="70E2300D" w14:textId="77777777">
      <w:pPr>
        <w:suppressAutoHyphens/>
      </w:pPr>
    </w:p>
    <w:p w:rsidR="003A0D60" w:rsidP="004B6229" w:rsidRDefault="00EC15F5" w14:paraId="169948A2" w14:textId="4D5F1363">
      <w:pPr>
        <w:suppressAutoHyphens/>
      </w:pPr>
      <w:r>
        <w:tab/>
      </w:r>
      <w:r w:rsidR="004E4E93">
        <w:t>No</w:t>
      </w:r>
      <w:r w:rsidR="006923ED">
        <w:t xml:space="preserve"> payment or gifts</w:t>
      </w:r>
      <w:r w:rsidR="006C23AC">
        <w:t xml:space="preserve"> </w:t>
      </w:r>
      <w:r w:rsidR="004E4E93">
        <w:t>are provide</w:t>
      </w:r>
      <w:r w:rsidR="00DE2197">
        <w:t>d</w:t>
      </w:r>
      <w:r w:rsidR="004E4E93">
        <w:t xml:space="preserve"> </w:t>
      </w:r>
      <w:r w:rsidR="006C23AC">
        <w:t xml:space="preserve">for </w:t>
      </w:r>
      <w:r w:rsidR="004E4E93">
        <w:t xml:space="preserve">this </w:t>
      </w:r>
      <w:r w:rsidR="006C23AC">
        <w:t xml:space="preserve">information </w:t>
      </w:r>
      <w:r w:rsidR="004E4E93">
        <w:t>collection requirement.</w:t>
      </w:r>
      <w:r w:rsidR="006923ED">
        <w:t xml:space="preserve"> </w:t>
      </w:r>
      <w:r w:rsidR="004D0FCD">
        <w:t xml:space="preserve"> </w:t>
      </w:r>
    </w:p>
    <w:p w:rsidRPr="00631257" w:rsidR="004B6229" w:rsidP="004B6229" w:rsidRDefault="004B6229" w14:paraId="648BEE55" w14:textId="77777777">
      <w:pPr>
        <w:suppressAutoHyphens/>
      </w:pPr>
    </w:p>
    <w:p w:rsidR="004B6229" w:rsidP="004B6229" w:rsidRDefault="004B6229" w14:paraId="6E9800A7" w14:textId="0C817EFE">
      <w:pPr>
        <w:rPr>
          <w:b/>
        </w:rPr>
      </w:pPr>
      <w:r>
        <w:rPr>
          <w:b/>
        </w:rPr>
        <w:t>10.</w:t>
      </w:r>
      <w:r>
        <w:rPr>
          <w:b/>
        </w:rPr>
        <w:tab/>
      </w:r>
      <w:r w:rsidRPr="00625090">
        <w:rPr>
          <w:b/>
        </w:rPr>
        <w:t xml:space="preserve">Assurance of </w:t>
      </w:r>
      <w:r w:rsidR="00B50579">
        <w:rPr>
          <w:b/>
        </w:rPr>
        <w:t>c</w:t>
      </w:r>
      <w:r w:rsidRPr="00625090">
        <w:rPr>
          <w:b/>
        </w:rPr>
        <w:t>onfidentiality</w:t>
      </w:r>
      <w:r w:rsidR="00B50579">
        <w:rPr>
          <w:b/>
        </w:rPr>
        <w:t>.</w:t>
      </w:r>
    </w:p>
    <w:p w:rsidR="004E4E93" w:rsidP="00EC15F5" w:rsidRDefault="004E4E93" w14:paraId="61D0E598" w14:textId="77777777">
      <w:pPr>
        <w:suppressAutoHyphens/>
        <w:ind w:left="720" w:hanging="720"/>
      </w:pPr>
    </w:p>
    <w:p w:rsidR="003A0D60" w:rsidP="00EC15F5" w:rsidRDefault="004E4E93" w14:paraId="4AD0B7D5" w14:textId="0A5037A9">
      <w:pPr>
        <w:suppressAutoHyphens/>
        <w:ind w:left="720" w:hanging="720"/>
      </w:pPr>
      <w:r>
        <w:tab/>
        <w:t xml:space="preserve">There are no assurances of confidentiality other than those provided by law.  </w:t>
      </w:r>
      <w:r w:rsidRPr="006923ED" w:rsidR="006923ED">
        <w:t>Credit union examination reports and any documents related thereto are exempt from the Freedom of Information Act disclosure, pursuant to e</w:t>
      </w:r>
      <w:r w:rsidR="006C23AC">
        <w:t>xemption 8, 5 U.S.C. 552(b)(8).</w:t>
      </w:r>
    </w:p>
    <w:p w:rsidRPr="00E44F63" w:rsidR="004B6229" w:rsidP="004B6229" w:rsidRDefault="004B6229" w14:paraId="536A5445"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pPr>
    </w:p>
    <w:p w:rsidR="004B6229" w:rsidP="004B6229" w:rsidRDefault="004B6229" w14:paraId="0F551C6E" w14:textId="79DBE64B">
      <w:pPr>
        <w:rPr>
          <w:b/>
        </w:rPr>
      </w:pPr>
      <w:r>
        <w:rPr>
          <w:b/>
        </w:rPr>
        <w:t>11.</w:t>
      </w:r>
      <w:r>
        <w:rPr>
          <w:b/>
        </w:rPr>
        <w:tab/>
      </w:r>
      <w:r w:rsidRPr="00625090">
        <w:rPr>
          <w:b/>
        </w:rPr>
        <w:t xml:space="preserve">Questions of a </w:t>
      </w:r>
      <w:r w:rsidR="00B50579">
        <w:rPr>
          <w:b/>
        </w:rPr>
        <w:t>s</w:t>
      </w:r>
      <w:r w:rsidRPr="00625090">
        <w:rPr>
          <w:b/>
        </w:rPr>
        <w:t xml:space="preserve">ensitive </w:t>
      </w:r>
      <w:r w:rsidR="00B50579">
        <w:rPr>
          <w:b/>
        </w:rPr>
        <w:t>n</w:t>
      </w:r>
      <w:r w:rsidRPr="00625090">
        <w:rPr>
          <w:b/>
        </w:rPr>
        <w:t>ature</w:t>
      </w:r>
      <w:r w:rsidR="00B50579">
        <w:rPr>
          <w:b/>
        </w:rPr>
        <w:t>.</w:t>
      </w:r>
    </w:p>
    <w:p w:rsidR="004E4E93" w:rsidP="009F4B3F" w:rsidRDefault="004E4E93" w14:paraId="4273FC67" w14:textId="77777777">
      <w:pPr>
        <w:rPr>
          <w:spacing w:val="-3"/>
        </w:rPr>
      </w:pPr>
    </w:p>
    <w:p w:rsidR="003A0D60" w:rsidP="00EC15F5" w:rsidRDefault="003A0D60" w14:paraId="7E8E6AA2" w14:textId="1B9FCC30">
      <w:pPr>
        <w:ind w:left="720"/>
      </w:pPr>
      <w:r w:rsidRPr="00891304">
        <w:rPr>
          <w:spacing w:val="-3"/>
        </w:rPr>
        <w:t>No questions of a sensitive nature are asked.</w:t>
      </w:r>
      <w:r>
        <w:rPr>
          <w:spacing w:val="-3"/>
        </w:rPr>
        <w:t xml:space="preserve">  </w:t>
      </w:r>
      <w:proofErr w:type="gramStart"/>
      <w:r>
        <w:t>Personally</w:t>
      </w:r>
      <w:proofErr w:type="gramEnd"/>
      <w:r>
        <w:t xml:space="preserve"> </w:t>
      </w:r>
      <w:r w:rsidR="004E4E93">
        <w:t>i</w:t>
      </w:r>
      <w:r w:rsidR="006C23AC">
        <w:t xml:space="preserve">dentifiable </w:t>
      </w:r>
      <w:r w:rsidR="004E4E93">
        <w:t>i</w:t>
      </w:r>
      <w:r w:rsidR="006C23AC">
        <w:t>nformation (PII)</w:t>
      </w:r>
      <w:r w:rsidR="004E4E93">
        <w:t xml:space="preserve"> is not collected</w:t>
      </w:r>
      <w:r w:rsidR="006C23AC">
        <w:t>.</w:t>
      </w:r>
    </w:p>
    <w:p w:rsidRPr="00DB18FA" w:rsidR="003A0D60" w:rsidP="004B6229" w:rsidRDefault="003A0D60" w14:paraId="389DB739" w14:textId="77777777">
      <w:pPr>
        <w:ind w:left="720" w:hanging="720"/>
        <w:rPr>
          <w:i/>
        </w:rPr>
      </w:pPr>
    </w:p>
    <w:p w:rsidR="004B6229" w:rsidP="004B6229" w:rsidRDefault="004B6229" w14:paraId="4F2B0FE4" w14:textId="3EE750CE">
      <w:pPr>
        <w:rPr>
          <w:b/>
        </w:rPr>
      </w:pPr>
      <w:r>
        <w:rPr>
          <w:b/>
        </w:rPr>
        <w:t>12.</w:t>
      </w:r>
      <w:r>
        <w:rPr>
          <w:b/>
        </w:rPr>
        <w:tab/>
      </w:r>
      <w:r w:rsidR="00B50579">
        <w:rPr>
          <w:b/>
        </w:rPr>
        <w:t>Estimate of burden of i</w:t>
      </w:r>
      <w:r w:rsidRPr="00F94991">
        <w:rPr>
          <w:b/>
        </w:rPr>
        <w:t xml:space="preserve">nformation </w:t>
      </w:r>
      <w:r w:rsidR="00B50579">
        <w:rPr>
          <w:b/>
        </w:rPr>
        <w:t>c</w:t>
      </w:r>
      <w:r w:rsidRPr="00F94991">
        <w:rPr>
          <w:b/>
        </w:rPr>
        <w:t>ollection</w:t>
      </w:r>
      <w:r w:rsidR="00B50579">
        <w:rPr>
          <w:b/>
        </w:rPr>
        <w:t>.</w:t>
      </w:r>
    </w:p>
    <w:p w:rsidR="004E4E93" w:rsidP="00EC15F5" w:rsidRDefault="004E4E93" w14:paraId="570C84A6" w14:textId="77777777">
      <w:pPr>
        <w:ind w:left="720"/>
      </w:pPr>
    </w:p>
    <w:p w:rsidR="00F936C9" w:rsidP="004B6229" w:rsidRDefault="00F936C9" w14:paraId="23882567" w14:textId="3192EA67">
      <w:pPr>
        <w:ind w:left="720" w:hanging="720"/>
      </w:pPr>
      <w:r>
        <w:tab/>
      </w:r>
      <w:r w:rsidRPr="003304C2" w:rsidR="006C23AC">
        <w:t xml:space="preserve">As of </w:t>
      </w:r>
      <w:r w:rsidR="00EA4C54">
        <w:t>March 2021</w:t>
      </w:r>
      <w:r w:rsidRPr="003304C2" w:rsidR="006C23AC">
        <w:t xml:space="preserve">, there were </w:t>
      </w:r>
      <w:r w:rsidR="00EA4C54">
        <w:t>5,068</w:t>
      </w:r>
      <w:r>
        <w:t xml:space="preserve"> </w:t>
      </w:r>
      <w:r w:rsidRPr="00041DB1" w:rsidR="006C23AC">
        <w:t xml:space="preserve">FICUs, of which </w:t>
      </w:r>
      <w:r w:rsidR="00EA4C54">
        <w:t>2,452</w:t>
      </w:r>
      <w:r w:rsidRPr="003304C2" w:rsidR="00C86711">
        <w:t xml:space="preserve"> </w:t>
      </w:r>
      <w:r w:rsidRPr="003304C2" w:rsidR="006C23AC">
        <w:t xml:space="preserve">had assets over $50 million.  </w:t>
      </w:r>
      <w:r w:rsidR="00C86711">
        <w:t xml:space="preserve">These credit unions </w:t>
      </w:r>
      <w:r w:rsidR="00D206DE">
        <w:t>would have an established IRR</w:t>
      </w:r>
      <w:r w:rsidR="005970AF">
        <w:t xml:space="preserve"> policy and program in accordance with </w:t>
      </w:r>
      <w:r w:rsidR="007E33C5">
        <w:t>§</w:t>
      </w:r>
      <w:r w:rsidR="005970AF">
        <w:t>741</w:t>
      </w:r>
      <w:r>
        <w:t>.3(b)(5)</w:t>
      </w:r>
      <w:r w:rsidR="005970AF">
        <w:t xml:space="preserve">.  It is </w:t>
      </w:r>
      <w:r w:rsidRPr="003304C2" w:rsidR="006C23AC">
        <w:t xml:space="preserve">estimates that </w:t>
      </w:r>
      <w:r w:rsidR="005970AF">
        <w:t>the</w:t>
      </w:r>
      <w:r w:rsidR="00D206DE">
        <w:t>se</w:t>
      </w:r>
      <w:r w:rsidR="005970AF">
        <w:t xml:space="preserve"> </w:t>
      </w:r>
      <w:r w:rsidR="00682D2C">
        <w:t>2,452</w:t>
      </w:r>
      <w:r w:rsidR="005970AF">
        <w:t xml:space="preserve"> FICU</w:t>
      </w:r>
      <w:r>
        <w:t>s</w:t>
      </w:r>
      <w:r w:rsidR="005970AF">
        <w:t xml:space="preserve"> would take </w:t>
      </w:r>
      <w:r>
        <w:t xml:space="preserve">approximately </w:t>
      </w:r>
      <w:r w:rsidR="005970AF">
        <w:t xml:space="preserve">15 minutes annually </w:t>
      </w:r>
      <w:r w:rsidR="00D206DE">
        <w:t xml:space="preserve">to </w:t>
      </w:r>
      <w:r w:rsidR="00602C9C">
        <w:t>maintain these records</w:t>
      </w:r>
      <w:r w:rsidR="005970AF">
        <w:t>.</w:t>
      </w:r>
      <w:r>
        <w:t xml:space="preserve">  </w:t>
      </w:r>
    </w:p>
    <w:p w:rsidR="00F936C9" w:rsidP="004B6229" w:rsidRDefault="00F936C9" w14:paraId="451606D6" w14:textId="77777777">
      <w:pPr>
        <w:ind w:left="720" w:hanging="720"/>
      </w:pPr>
    </w:p>
    <w:p w:rsidR="006C23AC" w:rsidP="00E86D9F" w:rsidRDefault="00F936C9" w14:paraId="5DFE6880" w14:textId="1692538E">
      <w:pPr>
        <w:ind w:left="720" w:hanging="720"/>
      </w:pPr>
      <w:r>
        <w:tab/>
      </w:r>
      <w:r w:rsidR="00C93576">
        <w:t xml:space="preserve">It is also estimated that </w:t>
      </w:r>
      <w:r w:rsidR="00D86BDD">
        <w:t>10</w:t>
      </w:r>
      <w:r w:rsidR="00C93576">
        <w:t xml:space="preserve"> </w:t>
      </w:r>
      <w:r w:rsidR="00041DB1">
        <w:t xml:space="preserve">new </w:t>
      </w:r>
      <w:r w:rsidR="00C93576">
        <w:t xml:space="preserve">credit union </w:t>
      </w:r>
      <w:r w:rsidR="00041DB1">
        <w:t xml:space="preserve">may fall within the threshold annually and would be required to </w:t>
      </w:r>
      <w:r w:rsidR="0043026F">
        <w:t>establish</w:t>
      </w:r>
      <w:r w:rsidR="00041DB1">
        <w:t xml:space="preserve"> a </w:t>
      </w:r>
      <w:r w:rsidR="0043026F">
        <w:t xml:space="preserve">formal </w:t>
      </w:r>
      <w:r w:rsidR="00041DB1">
        <w:t xml:space="preserve">IRR policy and </w:t>
      </w:r>
      <w:r w:rsidR="0043026F">
        <w:t>corresponding program.</w:t>
      </w:r>
      <w:r w:rsidR="00E86D9F">
        <w:t xml:space="preserve"> </w:t>
      </w:r>
      <w:r>
        <w:t xml:space="preserve"> </w:t>
      </w:r>
      <w:r w:rsidRPr="003304C2" w:rsidR="006C23AC">
        <w:t xml:space="preserve">While the burden may vary depending on the size and complexity of a credit union, NCUA calculated the weighted average hours </w:t>
      </w:r>
      <w:r w:rsidR="007E33C5">
        <w:t xml:space="preserve">to </w:t>
      </w:r>
      <w:r w:rsidRPr="003304C2" w:rsidR="006C23AC">
        <w:t xml:space="preserve">create a policy estimated for each credit union, taking into account the asset size of the institution and whether or not a credit union may lack a policy in entirety or only in part.  This calculation of weighted average burden hours </w:t>
      </w:r>
      <w:r w:rsidR="007E33C5">
        <w:t>is estimated at</w:t>
      </w:r>
      <w:r w:rsidRPr="003304C2" w:rsidR="006C23AC">
        <w:t xml:space="preserve"> 16 hours per affected credit union.  </w:t>
      </w:r>
    </w:p>
    <w:p w:rsidR="00275B48" w:rsidRDefault="00275B48" w14:paraId="2A7B231F" w14:textId="77777777">
      <w:pPr>
        <w:spacing w:after="200" w:line="276" w:lineRule="auto"/>
      </w:pPr>
    </w:p>
    <w:tbl>
      <w:tblPr>
        <w:tblStyle w:val="TableGrid"/>
        <w:tblW w:w="0" w:type="auto"/>
        <w:tblInd w:w="720" w:type="dxa"/>
        <w:tblLook w:val="04A0" w:firstRow="1" w:lastRow="0" w:firstColumn="1" w:lastColumn="0" w:noHBand="0" w:noVBand="1"/>
      </w:tblPr>
      <w:tblGrid>
        <w:gridCol w:w="2515"/>
        <w:gridCol w:w="1170"/>
        <w:gridCol w:w="1350"/>
        <w:gridCol w:w="1260"/>
        <w:gridCol w:w="1170"/>
        <w:gridCol w:w="1165"/>
      </w:tblGrid>
      <w:tr w:rsidR="00E86D9F" w:rsidTr="005F360F" w14:paraId="27E514D2" w14:textId="77777777">
        <w:tc>
          <w:tcPr>
            <w:tcW w:w="2515" w:type="dxa"/>
            <w:vAlign w:val="center"/>
          </w:tcPr>
          <w:p w:rsidRPr="00E86D9F" w:rsidR="00E86D9F" w:rsidP="005F360F" w:rsidRDefault="00E86D9F" w14:paraId="6EC80B7A" w14:textId="32E6EDC7">
            <w:pPr>
              <w:jc w:val="center"/>
              <w:rPr>
                <w:rFonts w:ascii="Arial Narrow" w:hAnsi="Arial Narrow"/>
                <w:sz w:val="18"/>
                <w:szCs w:val="18"/>
              </w:rPr>
            </w:pPr>
            <w:r w:rsidRPr="00E86D9F">
              <w:rPr>
                <w:rFonts w:ascii="Arial Narrow" w:hAnsi="Arial Narrow"/>
                <w:sz w:val="18"/>
                <w:szCs w:val="18"/>
              </w:rPr>
              <w:t xml:space="preserve">Information </w:t>
            </w:r>
            <w:r>
              <w:rPr>
                <w:rFonts w:ascii="Arial Narrow" w:hAnsi="Arial Narrow"/>
                <w:sz w:val="18"/>
                <w:szCs w:val="18"/>
              </w:rPr>
              <w:t>Collection</w:t>
            </w:r>
          </w:p>
        </w:tc>
        <w:tc>
          <w:tcPr>
            <w:tcW w:w="1170" w:type="dxa"/>
            <w:vAlign w:val="center"/>
          </w:tcPr>
          <w:p w:rsidRPr="00E86D9F" w:rsidR="00E86D9F" w:rsidP="005F360F" w:rsidRDefault="00E86D9F" w14:paraId="0B6D34CB" w14:textId="603CBC83">
            <w:pPr>
              <w:jc w:val="center"/>
              <w:rPr>
                <w:rFonts w:ascii="Arial Narrow" w:hAnsi="Arial Narrow"/>
                <w:sz w:val="18"/>
                <w:szCs w:val="18"/>
              </w:rPr>
            </w:pPr>
            <w:r>
              <w:rPr>
                <w:rFonts w:ascii="Arial Narrow" w:hAnsi="Arial Narrow"/>
                <w:sz w:val="18"/>
                <w:szCs w:val="18"/>
              </w:rPr>
              <w:t>No. of Respondents</w:t>
            </w:r>
          </w:p>
        </w:tc>
        <w:tc>
          <w:tcPr>
            <w:tcW w:w="1350" w:type="dxa"/>
            <w:vAlign w:val="center"/>
          </w:tcPr>
          <w:p w:rsidRPr="00E86D9F" w:rsidR="00E86D9F" w:rsidP="005F360F" w:rsidRDefault="00E86D9F" w14:paraId="778F11C1" w14:textId="1518E9E6">
            <w:pPr>
              <w:jc w:val="center"/>
              <w:rPr>
                <w:rFonts w:ascii="Arial Narrow" w:hAnsi="Arial Narrow"/>
                <w:sz w:val="18"/>
                <w:szCs w:val="18"/>
              </w:rPr>
            </w:pPr>
            <w:r>
              <w:rPr>
                <w:rFonts w:ascii="Arial Narrow" w:hAnsi="Arial Narrow"/>
                <w:sz w:val="18"/>
                <w:szCs w:val="18"/>
              </w:rPr>
              <w:t>No. Responses per Respondent (Frequency)</w:t>
            </w:r>
          </w:p>
        </w:tc>
        <w:tc>
          <w:tcPr>
            <w:tcW w:w="1260" w:type="dxa"/>
            <w:vAlign w:val="center"/>
          </w:tcPr>
          <w:p w:rsidRPr="00E86D9F" w:rsidR="00E86D9F" w:rsidP="005F360F" w:rsidRDefault="00E86D9F" w14:paraId="46A91A4A" w14:textId="77D1DD24">
            <w:pPr>
              <w:jc w:val="center"/>
              <w:rPr>
                <w:rFonts w:ascii="Arial Narrow" w:hAnsi="Arial Narrow"/>
                <w:sz w:val="18"/>
                <w:szCs w:val="18"/>
              </w:rPr>
            </w:pPr>
            <w:r>
              <w:rPr>
                <w:rFonts w:ascii="Arial Narrow" w:hAnsi="Arial Narrow"/>
                <w:sz w:val="18"/>
                <w:szCs w:val="18"/>
              </w:rPr>
              <w:t>Total Annual Responses</w:t>
            </w:r>
          </w:p>
        </w:tc>
        <w:tc>
          <w:tcPr>
            <w:tcW w:w="1170" w:type="dxa"/>
            <w:vAlign w:val="center"/>
          </w:tcPr>
          <w:p w:rsidRPr="00E86D9F" w:rsidR="00E86D9F" w:rsidP="005F360F" w:rsidRDefault="00E86D9F" w14:paraId="6062686A" w14:textId="491D9DF2">
            <w:pPr>
              <w:jc w:val="center"/>
              <w:rPr>
                <w:rFonts w:ascii="Arial Narrow" w:hAnsi="Arial Narrow"/>
                <w:sz w:val="18"/>
                <w:szCs w:val="18"/>
              </w:rPr>
            </w:pPr>
            <w:r>
              <w:rPr>
                <w:rFonts w:ascii="Arial Narrow" w:hAnsi="Arial Narrow"/>
                <w:sz w:val="18"/>
                <w:szCs w:val="18"/>
              </w:rPr>
              <w:t>Hours per Response</w:t>
            </w:r>
          </w:p>
        </w:tc>
        <w:tc>
          <w:tcPr>
            <w:tcW w:w="1165" w:type="dxa"/>
            <w:vAlign w:val="center"/>
          </w:tcPr>
          <w:p w:rsidRPr="00E86D9F" w:rsidR="00E86D9F" w:rsidP="005F360F" w:rsidRDefault="00E86D9F" w14:paraId="3A4C9B0D" w14:textId="10412E19">
            <w:pPr>
              <w:jc w:val="center"/>
              <w:rPr>
                <w:rFonts w:ascii="Arial Narrow" w:hAnsi="Arial Narrow"/>
                <w:sz w:val="18"/>
                <w:szCs w:val="18"/>
              </w:rPr>
            </w:pPr>
            <w:r>
              <w:rPr>
                <w:rFonts w:ascii="Arial Narrow" w:hAnsi="Arial Narrow"/>
                <w:sz w:val="18"/>
                <w:szCs w:val="18"/>
              </w:rPr>
              <w:t>Total Annual Burden Hours</w:t>
            </w:r>
          </w:p>
        </w:tc>
      </w:tr>
      <w:tr w:rsidR="00FB7C77" w:rsidTr="00633DC1" w14:paraId="47BA1524" w14:textId="77777777">
        <w:tc>
          <w:tcPr>
            <w:tcW w:w="2515" w:type="dxa"/>
          </w:tcPr>
          <w:p w:rsidRPr="00E86D9F" w:rsidR="00E86D9F" w:rsidP="00E86D9F" w:rsidRDefault="00E86D9F" w14:paraId="1A5C80A0" w14:textId="51762E83">
            <w:pPr>
              <w:rPr>
                <w:sz w:val="22"/>
                <w:szCs w:val="22"/>
              </w:rPr>
            </w:pPr>
            <w:r>
              <w:rPr>
                <w:sz w:val="22"/>
                <w:szCs w:val="22"/>
              </w:rPr>
              <w:t>Established a written IRR Policy/Program</w:t>
            </w:r>
          </w:p>
        </w:tc>
        <w:tc>
          <w:tcPr>
            <w:tcW w:w="1170" w:type="dxa"/>
            <w:vAlign w:val="center"/>
          </w:tcPr>
          <w:p w:rsidR="00E86D9F" w:rsidP="00FB7C77" w:rsidRDefault="009F4B3F" w14:paraId="69BF46C6" w14:textId="147B1754">
            <w:pPr>
              <w:jc w:val="right"/>
            </w:pPr>
            <w:r>
              <w:t>10</w:t>
            </w:r>
          </w:p>
        </w:tc>
        <w:tc>
          <w:tcPr>
            <w:tcW w:w="1350" w:type="dxa"/>
            <w:vAlign w:val="center"/>
          </w:tcPr>
          <w:p w:rsidR="00E86D9F" w:rsidP="00FB7C77" w:rsidRDefault="00E86D9F" w14:paraId="6A0B1329" w14:textId="4B5FF3FD">
            <w:pPr>
              <w:jc w:val="right"/>
            </w:pPr>
            <w:r>
              <w:t>1</w:t>
            </w:r>
          </w:p>
        </w:tc>
        <w:tc>
          <w:tcPr>
            <w:tcW w:w="1260" w:type="dxa"/>
            <w:vAlign w:val="center"/>
          </w:tcPr>
          <w:p w:rsidR="00E86D9F" w:rsidP="00FB7C77" w:rsidRDefault="00D86BDD" w14:paraId="45EB080D" w14:textId="0C6B762D">
            <w:pPr>
              <w:jc w:val="right"/>
            </w:pPr>
            <w:r>
              <w:t>10</w:t>
            </w:r>
          </w:p>
        </w:tc>
        <w:tc>
          <w:tcPr>
            <w:tcW w:w="1170" w:type="dxa"/>
            <w:vAlign w:val="center"/>
          </w:tcPr>
          <w:p w:rsidR="00E86D9F" w:rsidP="00FB7C77" w:rsidRDefault="00E86D9F" w14:paraId="64A0B3BC" w14:textId="5A657599">
            <w:pPr>
              <w:jc w:val="right"/>
            </w:pPr>
            <w:r>
              <w:t>16</w:t>
            </w:r>
          </w:p>
        </w:tc>
        <w:tc>
          <w:tcPr>
            <w:tcW w:w="1165" w:type="dxa"/>
            <w:vAlign w:val="center"/>
          </w:tcPr>
          <w:p w:rsidR="00E86D9F" w:rsidP="00FB7C77" w:rsidRDefault="00D86BDD" w14:paraId="041C2B69" w14:textId="7480AA64">
            <w:pPr>
              <w:jc w:val="right"/>
            </w:pPr>
            <w:r>
              <w:t>160</w:t>
            </w:r>
          </w:p>
        </w:tc>
      </w:tr>
      <w:tr w:rsidR="00FB7C77" w:rsidTr="00633DC1" w14:paraId="579F7F07" w14:textId="77777777">
        <w:tc>
          <w:tcPr>
            <w:tcW w:w="2515" w:type="dxa"/>
          </w:tcPr>
          <w:p w:rsidRPr="00E86D9F" w:rsidR="00E86D9F" w:rsidP="00E86D9F" w:rsidRDefault="00E86D9F" w14:paraId="48C9D02F" w14:textId="3DE3303B">
            <w:pPr>
              <w:rPr>
                <w:sz w:val="22"/>
                <w:szCs w:val="22"/>
              </w:rPr>
            </w:pPr>
            <w:r>
              <w:rPr>
                <w:sz w:val="22"/>
                <w:szCs w:val="22"/>
              </w:rPr>
              <w:t>Maintain IRR Policy/Program</w:t>
            </w:r>
          </w:p>
        </w:tc>
        <w:tc>
          <w:tcPr>
            <w:tcW w:w="1170" w:type="dxa"/>
            <w:vAlign w:val="center"/>
          </w:tcPr>
          <w:p w:rsidR="00E86D9F" w:rsidP="00FB7C77" w:rsidRDefault="000B48E0" w14:paraId="01446735" w14:textId="6C374AF4">
            <w:pPr>
              <w:jc w:val="right"/>
            </w:pPr>
            <w:r>
              <w:t>2,452</w:t>
            </w:r>
          </w:p>
        </w:tc>
        <w:tc>
          <w:tcPr>
            <w:tcW w:w="1350" w:type="dxa"/>
            <w:vAlign w:val="center"/>
          </w:tcPr>
          <w:p w:rsidR="00E86D9F" w:rsidP="00FB7C77" w:rsidRDefault="00FB7C77" w14:paraId="3837FE59" w14:textId="301CED06">
            <w:pPr>
              <w:jc w:val="right"/>
            </w:pPr>
            <w:r>
              <w:t>1</w:t>
            </w:r>
          </w:p>
        </w:tc>
        <w:tc>
          <w:tcPr>
            <w:tcW w:w="1260" w:type="dxa"/>
            <w:vAlign w:val="center"/>
          </w:tcPr>
          <w:p w:rsidR="00E86D9F" w:rsidP="00FB7C77" w:rsidRDefault="000B48E0" w14:paraId="5725689C" w14:textId="2043752B">
            <w:pPr>
              <w:jc w:val="right"/>
            </w:pPr>
            <w:r>
              <w:t>2,452</w:t>
            </w:r>
          </w:p>
        </w:tc>
        <w:tc>
          <w:tcPr>
            <w:tcW w:w="1170" w:type="dxa"/>
            <w:vAlign w:val="center"/>
          </w:tcPr>
          <w:p w:rsidR="00E86D9F" w:rsidP="00FB7C77" w:rsidRDefault="00FB7C77" w14:paraId="512B0A87" w14:textId="60C6B7D1">
            <w:pPr>
              <w:jc w:val="right"/>
            </w:pPr>
            <w:r>
              <w:t>0.25</w:t>
            </w:r>
          </w:p>
        </w:tc>
        <w:tc>
          <w:tcPr>
            <w:tcW w:w="1165" w:type="dxa"/>
            <w:vAlign w:val="center"/>
          </w:tcPr>
          <w:p w:rsidR="00E86D9F" w:rsidP="00FB7C77" w:rsidRDefault="000B48E0" w14:paraId="7B3FBF6C" w14:textId="56F2B648">
            <w:pPr>
              <w:jc w:val="right"/>
            </w:pPr>
            <w:r>
              <w:t>613</w:t>
            </w:r>
          </w:p>
        </w:tc>
      </w:tr>
      <w:tr w:rsidR="00FB7C77" w:rsidTr="000B48E0" w14:paraId="7F5BCD82" w14:textId="77777777">
        <w:trPr>
          <w:trHeight w:val="368"/>
        </w:trPr>
        <w:tc>
          <w:tcPr>
            <w:tcW w:w="2515" w:type="dxa"/>
            <w:vAlign w:val="center"/>
          </w:tcPr>
          <w:p w:rsidRPr="00E86D9F" w:rsidR="00E86D9F" w:rsidP="005F360F" w:rsidRDefault="005F360F" w14:paraId="1CD925DB" w14:textId="7CEC4D96">
            <w:pPr>
              <w:jc w:val="right"/>
              <w:rPr>
                <w:sz w:val="22"/>
                <w:szCs w:val="22"/>
              </w:rPr>
            </w:pPr>
            <w:r>
              <w:rPr>
                <w:sz w:val="22"/>
                <w:szCs w:val="22"/>
              </w:rPr>
              <w:t>TOTAL</w:t>
            </w:r>
          </w:p>
        </w:tc>
        <w:tc>
          <w:tcPr>
            <w:tcW w:w="1170" w:type="dxa"/>
            <w:vAlign w:val="center"/>
          </w:tcPr>
          <w:p w:rsidR="00E86D9F" w:rsidP="00031FE0" w:rsidRDefault="000B48E0" w14:paraId="518E1521" w14:textId="3847C2D2">
            <w:pPr>
              <w:jc w:val="right"/>
            </w:pPr>
            <w:r>
              <w:t>2,452</w:t>
            </w:r>
          </w:p>
        </w:tc>
        <w:tc>
          <w:tcPr>
            <w:tcW w:w="1350" w:type="dxa"/>
            <w:shd w:val="clear" w:color="auto" w:fill="BFBFBF" w:themeFill="background1" w:themeFillShade="BF"/>
            <w:vAlign w:val="center"/>
          </w:tcPr>
          <w:p w:rsidR="00E86D9F" w:rsidP="00FB7C77" w:rsidRDefault="00031FE0" w14:paraId="52CD7345" w14:textId="06036F4B">
            <w:pPr>
              <w:jc w:val="right"/>
            </w:pPr>
            <w:r>
              <w:t>1</w:t>
            </w:r>
          </w:p>
        </w:tc>
        <w:tc>
          <w:tcPr>
            <w:tcW w:w="1260" w:type="dxa"/>
            <w:vAlign w:val="center"/>
          </w:tcPr>
          <w:p w:rsidR="00E86D9F" w:rsidP="00FB7C77" w:rsidRDefault="000B48E0" w14:paraId="2ECC0791" w14:textId="3409C3E3">
            <w:pPr>
              <w:jc w:val="right"/>
            </w:pPr>
            <w:r>
              <w:t>2,452</w:t>
            </w:r>
          </w:p>
        </w:tc>
        <w:tc>
          <w:tcPr>
            <w:tcW w:w="1170" w:type="dxa"/>
            <w:shd w:val="clear" w:color="auto" w:fill="BFBFBF" w:themeFill="background1" w:themeFillShade="BF"/>
            <w:vAlign w:val="center"/>
          </w:tcPr>
          <w:p w:rsidR="00E86D9F" w:rsidP="00D86BDD" w:rsidRDefault="00031FE0" w14:paraId="644B15EC" w14:textId="53FFB02B">
            <w:pPr>
              <w:jc w:val="right"/>
            </w:pPr>
            <w:r>
              <w:t>0.</w:t>
            </w:r>
            <w:r w:rsidR="00D86BDD">
              <w:t>32</w:t>
            </w:r>
          </w:p>
        </w:tc>
        <w:tc>
          <w:tcPr>
            <w:tcW w:w="1165" w:type="dxa"/>
            <w:vAlign w:val="center"/>
          </w:tcPr>
          <w:p w:rsidR="00E86D9F" w:rsidP="00FB7C77" w:rsidRDefault="000B48E0" w14:paraId="2F94ED2E" w14:textId="75ACADE2">
            <w:pPr>
              <w:jc w:val="right"/>
            </w:pPr>
            <w:r>
              <w:t>773</w:t>
            </w:r>
          </w:p>
        </w:tc>
      </w:tr>
    </w:tbl>
    <w:p w:rsidRPr="009F1BDD" w:rsidR="00B84422" w:rsidP="00B84422" w:rsidRDefault="00B84422" w14:paraId="1E410CA4" w14:textId="44B153F8">
      <w:pPr>
        <w:pStyle w:val="ListParagraph"/>
        <w:rPr>
          <w:b/>
        </w:rPr>
      </w:pPr>
      <w:r w:rsidRPr="003304C2">
        <w:t xml:space="preserve">There is no additional cost burden because preparation of an </w:t>
      </w:r>
      <w:r w:rsidR="00633DC1">
        <w:t>IRR</w:t>
      </w:r>
      <w:r w:rsidRPr="003304C2">
        <w:t xml:space="preserve"> policy is part of a credit union’s usual and customary business practice.  </w:t>
      </w:r>
    </w:p>
    <w:p w:rsidR="00275B48" w:rsidRDefault="00275B48" w14:paraId="6A0B5098" w14:textId="1C5BB1F9">
      <w:pPr>
        <w:spacing w:after="200" w:line="276" w:lineRule="auto"/>
        <w:rPr>
          <w:b/>
        </w:rPr>
      </w:pPr>
    </w:p>
    <w:p w:rsidR="004B6229" w:rsidP="004B6229" w:rsidRDefault="004B6229" w14:paraId="6EA8FAC9" w14:textId="6838E738">
      <w:pPr>
        <w:rPr>
          <w:b/>
        </w:rPr>
      </w:pPr>
      <w:r>
        <w:rPr>
          <w:b/>
        </w:rPr>
        <w:t>13.</w:t>
      </w:r>
      <w:r>
        <w:rPr>
          <w:b/>
        </w:rPr>
        <w:tab/>
      </w:r>
      <w:r w:rsidRPr="00F94991">
        <w:rPr>
          <w:b/>
        </w:rPr>
        <w:t xml:space="preserve">Capital </w:t>
      </w:r>
      <w:r w:rsidR="00B50579">
        <w:rPr>
          <w:b/>
        </w:rPr>
        <w:t>s</w:t>
      </w:r>
      <w:r w:rsidRPr="00F94991">
        <w:rPr>
          <w:b/>
        </w:rPr>
        <w:t xml:space="preserve">tart-up or </w:t>
      </w:r>
      <w:r w:rsidR="00B50579">
        <w:rPr>
          <w:b/>
        </w:rPr>
        <w:t>o</w:t>
      </w:r>
      <w:r w:rsidRPr="00F94991">
        <w:rPr>
          <w:b/>
        </w:rPr>
        <w:t xml:space="preserve">n-going </w:t>
      </w:r>
      <w:r w:rsidR="00B50579">
        <w:rPr>
          <w:b/>
        </w:rPr>
        <w:t>o</w:t>
      </w:r>
      <w:r w:rsidRPr="00F94991">
        <w:rPr>
          <w:b/>
        </w:rPr>
        <w:t xml:space="preserve">peration and </w:t>
      </w:r>
      <w:r w:rsidR="00B50579">
        <w:rPr>
          <w:b/>
        </w:rPr>
        <w:t>m</w:t>
      </w:r>
      <w:r w:rsidRPr="00F94991">
        <w:rPr>
          <w:b/>
        </w:rPr>
        <w:t xml:space="preserve">aintenance </w:t>
      </w:r>
      <w:r w:rsidR="00B50579">
        <w:rPr>
          <w:b/>
        </w:rPr>
        <w:t>c</w:t>
      </w:r>
      <w:r w:rsidRPr="00F94991">
        <w:rPr>
          <w:b/>
        </w:rPr>
        <w:t>osts</w:t>
      </w:r>
      <w:r w:rsidR="00032829">
        <w:rPr>
          <w:b/>
        </w:rPr>
        <w:t>.</w:t>
      </w:r>
    </w:p>
    <w:p w:rsidR="004B6229" w:rsidP="009F1BDD" w:rsidRDefault="004B6229" w14:paraId="05819888" w14:textId="77777777">
      <w:pPr>
        <w:pStyle w:val="ListParagraph"/>
        <w:ind w:left="0"/>
      </w:pPr>
    </w:p>
    <w:p w:rsidR="00633DC1" w:rsidP="00633DC1" w:rsidRDefault="00B84422" w14:paraId="597C7CA2" w14:textId="4BFD5C20">
      <w:pPr>
        <w:ind w:left="720"/>
      </w:pPr>
      <w:r>
        <w:t>There are no capital start-up or maintenance costs.</w:t>
      </w:r>
    </w:p>
    <w:p w:rsidRPr="00633DC1" w:rsidR="00D86BDD" w:rsidP="00633DC1" w:rsidRDefault="00D86BDD" w14:paraId="069C2B95" w14:textId="77777777">
      <w:pPr>
        <w:ind w:left="720"/>
      </w:pPr>
    </w:p>
    <w:p w:rsidRPr="00F94991" w:rsidR="004B6229" w:rsidP="004B6229" w:rsidRDefault="004B6229" w14:paraId="54467702" w14:textId="50FB2DA9">
      <w:pPr>
        <w:rPr>
          <w:b/>
        </w:rPr>
      </w:pPr>
      <w:r>
        <w:rPr>
          <w:b/>
        </w:rPr>
        <w:t>14.</w:t>
      </w:r>
      <w:r>
        <w:rPr>
          <w:b/>
        </w:rPr>
        <w:tab/>
      </w:r>
      <w:r w:rsidR="00032829">
        <w:rPr>
          <w:b/>
        </w:rPr>
        <w:t>Annualized costs to the Federal government.</w:t>
      </w:r>
    </w:p>
    <w:p w:rsidR="004B6229" w:rsidP="00275B48" w:rsidRDefault="004B6229" w14:paraId="5D5656EC" w14:textId="77777777">
      <w:pPr>
        <w:pStyle w:val="BodyTextIndent"/>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rPr>
          <w:rFonts w:ascii="Times New Roman" w:hAnsi="Times New Roman"/>
        </w:rPr>
      </w:pPr>
    </w:p>
    <w:p w:rsidRPr="009F1BDD" w:rsidR="003A0D60" w:rsidP="00EC15F5" w:rsidRDefault="009F1BDD" w14:paraId="29BB376B" w14:textId="08504872">
      <w:pPr>
        <w:pStyle w:val="BodyTextIndent"/>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rPr>
          <w:rFonts w:ascii="Times New Roman" w:hAnsi="Times New Roman"/>
        </w:rPr>
      </w:pPr>
      <w:r w:rsidRPr="003304C2">
        <w:rPr>
          <w:rFonts w:ascii="Times New Roman" w:hAnsi="Times New Roman"/>
        </w:rPr>
        <w:t xml:space="preserve">Written policies are reviewed as a routine part of credit union examination; </w:t>
      </w:r>
      <w:r w:rsidRPr="003304C2" w:rsidR="00954B86">
        <w:rPr>
          <w:rFonts w:ascii="Times New Roman" w:hAnsi="Times New Roman"/>
        </w:rPr>
        <w:t>therefore,</w:t>
      </w:r>
      <w:r w:rsidRPr="003304C2">
        <w:rPr>
          <w:rFonts w:ascii="Times New Roman" w:hAnsi="Times New Roman"/>
        </w:rPr>
        <w:t xml:space="preserve"> NCUA estimates there will be no annualized cost to the federal government.</w:t>
      </w:r>
      <w:r w:rsidR="003A0D60">
        <w:t xml:space="preserve"> </w:t>
      </w:r>
    </w:p>
    <w:p w:rsidRPr="00E44F63" w:rsidR="003A0D60" w:rsidP="004B6229" w:rsidRDefault="003A0D60" w14:paraId="0E49D925" w14:textId="77777777">
      <w:pPr>
        <w:pStyle w:val="ListParagraph"/>
        <w:ind w:left="0"/>
        <w:rPr>
          <w:b/>
        </w:rPr>
      </w:pPr>
    </w:p>
    <w:p w:rsidRPr="004B6229" w:rsidR="004B6229" w:rsidP="004B6229" w:rsidRDefault="004B6229" w14:paraId="05CF9B35" w14:textId="460B0F5E">
      <w:pPr>
        <w:rPr>
          <w:b/>
        </w:rPr>
      </w:pPr>
      <w:r w:rsidRPr="004B6229">
        <w:rPr>
          <w:b/>
        </w:rPr>
        <w:t>15.</w:t>
      </w:r>
      <w:r w:rsidRPr="004B6229">
        <w:rPr>
          <w:b/>
        </w:rPr>
        <w:tab/>
        <w:t xml:space="preserve">Changes in </w:t>
      </w:r>
      <w:r w:rsidR="00032829">
        <w:rPr>
          <w:b/>
        </w:rPr>
        <w:t>b</w:t>
      </w:r>
      <w:r w:rsidRPr="004B6229">
        <w:rPr>
          <w:b/>
        </w:rPr>
        <w:t>urden</w:t>
      </w:r>
      <w:r w:rsidR="00032829">
        <w:rPr>
          <w:b/>
        </w:rPr>
        <w:t>.</w:t>
      </w:r>
    </w:p>
    <w:p w:rsidRPr="00E44F63" w:rsidR="003A0D60" w:rsidP="00163499" w:rsidRDefault="003A0D60" w14:paraId="421C08AE" w14:textId="7D782926">
      <w:pPr>
        <w:pStyle w:val="ListParagraph"/>
        <w:tabs>
          <w:tab w:val="left" w:pos="720"/>
        </w:tabs>
        <w:ind w:hanging="720"/>
        <w:rPr>
          <w:b/>
        </w:rPr>
      </w:pPr>
    </w:p>
    <w:p w:rsidR="00633DC1" w:rsidP="00EC15F5" w:rsidRDefault="00031FE0" w14:paraId="59B06BD9" w14:textId="50BCA610">
      <w:pPr>
        <w:ind w:left="720"/>
      </w:pPr>
      <w:r>
        <w:t>This is an extension of a c</w:t>
      </w:r>
      <w:r w:rsidR="002806C4">
        <w:t xml:space="preserve">urrently approved collection.  </w:t>
      </w:r>
      <w:r w:rsidR="00954B86">
        <w:t>A</w:t>
      </w:r>
      <w:r>
        <w:t xml:space="preserve">djustments </w:t>
      </w:r>
      <w:r w:rsidR="007C7239">
        <w:t xml:space="preserve">have been made to reflect </w:t>
      </w:r>
      <w:r w:rsidR="00954B86">
        <w:t xml:space="preserve">an increase of 144 respondents to </w:t>
      </w:r>
      <w:r w:rsidR="002806C4">
        <w:t>the current</w:t>
      </w:r>
      <w:r>
        <w:t xml:space="preserve"> number of credit unions </w:t>
      </w:r>
      <w:r w:rsidR="002806C4">
        <w:t>complying</w:t>
      </w:r>
      <w:r>
        <w:t xml:space="preserve"> with this </w:t>
      </w:r>
      <w:r w:rsidR="007C7239">
        <w:t>rule</w:t>
      </w:r>
      <w:r>
        <w:t xml:space="preserve">.  </w:t>
      </w:r>
      <w:r w:rsidR="007C7239">
        <w:t xml:space="preserve">A total of </w:t>
      </w:r>
      <w:r w:rsidR="00954B86">
        <w:t xml:space="preserve">773 </w:t>
      </w:r>
      <w:r w:rsidR="007C7239">
        <w:t>burden hours is requested.</w:t>
      </w:r>
    </w:p>
    <w:p w:rsidRPr="00E44F63" w:rsidR="003A0D60" w:rsidP="00163499" w:rsidRDefault="003A0D60" w14:paraId="4EA7A3C9" w14:textId="77777777">
      <w:pPr>
        <w:tabs>
          <w:tab w:val="left" w:pos="720"/>
        </w:tabs>
        <w:ind w:left="720" w:hanging="720"/>
        <w:rPr>
          <w:b/>
        </w:rPr>
      </w:pPr>
    </w:p>
    <w:p w:rsidRPr="00F94991" w:rsidR="00163499" w:rsidP="00163499" w:rsidRDefault="00163499" w14:paraId="1EBA4588" w14:textId="77EEDEDB">
      <w:pPr>
        <w:tabs>
          <w:tab w:val="left" w:pos="720"/>
        </w:tabs>
        <w:ind w:left="720" w:hanging="720"/>
        <w:rPr>
          <w:b/>
        </w:rPr>
      </w:pPr>
      <w:r>
        <w:rPr>
          <w:b/>
        </w:rPr>
        <w:t>16.</w:t>
      </w:r>
      <w:r>
        <w:rPr>
          <w:b/>
        </w:rPr>
        <w:tab/>
      </w:r>
      <w:r w:rsidRPr="00F94991">
        <w:rPr>
          <w:b/>
        </w:rPr>
        <w:t xml:space="preserve">Information </w:t>
      </w:r>
      <w:r w:rsidR="00032829">
        <w:rPr>
          <w:b/>
        </w:rPr>
        <w:t>c</w:t>
      </w:r>
      <w:r w:rsidRPr="00F94991">
        <w:rPr>
          <w:b/>
        </w:rPr>
        <w:t xml:space="preserve">ollection </w:t>
      </w:r>
      <w:r w:rsidR="00032829">
        <w:rPr>
          <w:b/>
        </w:rPr>
        <w:t>p</w:t>
      </w:r>
      <w:r w:rsidRPr="00F94991">
        <w:rPr>
          <w:b/>
        </w:rPr>
        <w:t xml:space="preserve">lanned for </w:t>
      </w:r>
      <w:r w:rsidR="00032829">
        <w:rPr>
          <w:b/>
        </w:rPr>
        <w:t>s</w:t>
      </w:r>
      <w:r w:rsidRPr="00F94991">
        <w:rPr>
          <w:b/>
        </w:rPr>
        <w:t xml:space="preserve">tatistical </w:t>
      </w:r>
      <w:r w:rsidR="00032829">
        <w:rPr>
          <w:b/>
        </w:rPr>
        <w:t>p</w:t>
      </w:r>
      <w:r w:rsidRPr="00F94991">
        <w:rPr>
          <w:b/>
        </w:rPr>
        <w:t>urposes</w:t>
      </w:r>
      <w:r w:rsidR="00032829">
        <w:rPr>
          <w:b/>
        </w:rPr>
        <w:t>.</w:t>
      </w:r>
    </w:p>
    <w:p w:rsidR="00EC15F5" w:rsidP="00EC15F5" w:rsidRDefault="00EC15F5" w14:paraId="766EC71B" w14:textId="77777777">
      <w:pPr>
        <w:suppressAutoHyphens/>
        <w:ind w:left="720" w:hanging="720"/>
      </w:pPr>
    </w:p>
    <w:p w:rsidRPr="00631257" w:rsidR="003A0D60" w:rsidP="00EC15F5" w:rsidRDefault="00EC15F5" w14:paraId="7DE5ED33" w14:textId="360E9750">
      <w:pPr>
        <w:tabs>
          <w:tab w:val="left" w:pos="-4466"/>
          <w:tab w:val="left" w:pos="-3460"/>
          <w:tab w:val="left" w:pos="-3343"/>
        </w:tabs>
        <w:suppressAutoHyphens/>
        <w:ind w:left="720" w:hanging="720"/>
      </w:pPr>
      <w:r>
        <w:tab/>
      </w:r>
      <w:r w:rsidR="003A0D60">
        <w:t>The information collection is not used for statis</w:t>
      </w:r>
      <w:r w:rsidR="009F1BDD">
        <w:t>tical purposes.</w:t>
      </w:r>
    </w:p>
    <w:p w:rsidRPr="00E44F63" w:rsidR="003A0D60" w:rsidP="00163499" w:rsidRDefault="003A0D60" w14:paraId="78C9C598" w14:textId="77777777">
      <w:pPr>
        <w:tabs>
          <w:tab w:val="left" w:pos="720"/>
        </w:tabs>
        <w:ind w:left="720" w:hanging="720"/>
      </w:pPr>
    </w:p>
    <w:p w:rsidRPr="00F94991" w:rsidR="00163499" w:rsidP="00163499" w:rsidRDefault="00163499" w14:paraId="6DE14443" w14:textId="7461EBF0">
      <w:pPr>
        <w:rPr>
          <w:b/>
        </w:rPr>
      </w:pPr>
      <w:r>
        <w:rPr>
          <w:b/>
        </w:rPr>
        <w:t>17.</w:t>
      </w:r>
      <w:r>
        <w:rPr>
          <w:b/>
        </w:rPr>
        <w:tab/>
      </w:r>
      <w:r w:rsidRPr="00F94991">
        <w:rPr>
          <w:b/>
        </w:rPr>
        <w:t>Request</w:t>
      </w:r>
      <w:r>
        <w:rPr>
          <w:b/>
        </w:rPr>
        <w:t xml:space="preserve"> </w:t>
      </w:r>
      <w:r w:rsidR="00032829">
        <w:rPr>
          <w:b/>
        </w:rPr>
        <w:t>n</w:t>
      </w:r>
      <w:r>
        <w:rPr>
          <w:b/>
        </w:rPr>
        <w:t>on-</w:t>
      </w:r>
      <w:r w:rsidRPr="00F94991">
        <w:rPr>
          <w:b/>
        </w:rPr>
        <w:t xml:space="preserve">display the </w:t>
      </w:r>
      <w:r w:rsidR="00032829">
        <w:rPr>
          <w:b/>
        </w:rPr>
        <w:t>e</w:t>
      </w:r>
      <w:r>
        <w:rPr>
          <w:b/>
        </w:rPr>
        <w:t xml:space="preserve">xpiration </w:t>
      </w:r>
      <w:r w:rsidR="00032829">
        <w:rPr>
          <w:b/>
        </w:rPr>
        <w:t>d</w:t>
      </w:r>
      <w:r>
        <w:rPr>
          <w:b/>
        </w:rPr>
        <w:t xml:space="preserve">ate of the </w:t>
      </w:r>
      <w:r w:rsidRPr="00F94991">
        <w:rPr>
          <w:b/>
        </w:rPr>
        <w:t xml:space="preserve">OMB </w:t>
      </w:r>
      <w:r w:rsidR="00032829">
        <w:rPr>
          <w:b/>
        </w:rPr>
        <w:t>c</w:t>
      </w:r>
      <w:r>
        <w:rPr>
          <w:b/>
        </w:rPr>
        <w:t xml:space="preserve">ontrol </w:t>
      </w:r>
      <w:r w:rsidR="00032829">
        <w:rPr>
          <w:b/>
        </w:rPr>
        <w:t>n</w:t>
      </w:r>
      <w:r>
        <w:rPr>
          <w:b/>
        </w:rPr>
        <w:t>umber</w:t>
      </w:r>
      <w:r w:rsidR="00032829">
        <w:rPr>
          <w:b/>
        </w:rPr>
        <w:t>.</w:t>
      </w:r>
    </w:p>
    <w:p w:rsidRPr="00EC15F5" w:rsidR="00EC15F5" w:rsidP="00EC15F5" w:rsidRDefault="00EC15F5" w14:paraId="4D391048" w14:textId="77777777">
      <w:pPr>
        <w:jc w:val="both"/>
      </w:pPr>
    </w:p>
    <w:p w:rsidR="002806C4" w:rsidP="002806C4" w:rsidRDefault="002806C4" w14:paraId="0650817C" w14:textId="29BC6C09">
      <w:pPr>
        <w:ind w:left="720"/>
      </w:pPr>
      <w:r>
        <w:t xml:space="preserve">The OMB control number and expiration date associated with this PRA submission will be displayed on the Federal Government’s electronic PRA docket </w:t>
      </w:r>
      <w:r w:rsidR="00DE2197">
        <w:t xml:space="preserve">site </w:t>
      </w:r>
      <w:r>
        <w:t xml:space="preserve">at </w:t>
      </w:r>
      <w:hyperlink w:history="1" r:id="rId8">
        <w:r w:rsidRPr="007F1BFB">
          <w:rPr>
            <w:rStyle w:val="Hyperlink"/>
          </w:rPr>
          <w:t>www.reginfo.gov</w:t>
        </w:r>
      </w:hyperlink>
      <w:r>
        <w:t>.</w:t>
      </w:r>
    </w:p>
    <w:p w:rsidRPr="00E44F63" w:rsidR="00EC15F5" w:rsidP="00EC15F5" w:rsidRDefault="00EC15F5" w14:paraId="0725B6CF" w14:textId="77777777">
      <w:pPr>
        <w:jc w:val="both"/>
      </w:pPr>
    </w:p>
    <w:p w:rsidRPr="001E564B" w:rsidR="00163499" w:rsidP="00163499" w:rsidRDefault="00163499" w14:paraId="0CFC54C0" w14:textId="5E03596B">
      <w:pPr>
        <w:rPr>
          <w:b/>
        </w:rPr>
      </w:pPr>
      <w:r>
        <w:rPr>
          <w:b/>
        </w:rPr>
        <w:t>18.</w:t>
      </w:r>
      <w:r>
        <w:rPr>
          <w:b/>
        </w:rPr>
        <w:tab/>
      </w:r>
      <w:r w:rsidRPr="00E44F63">
        <w:rPr>
          <w:b/>
        </w:rPr>
        <w:t xml:space="preserve">Exceptions to </w:t>
      </w:r>
      <w:r w:rsidR="00032829">
        <w:rPr>
          <w:b/>
        </w:rPr>
        <w:t xml:space="preserve">the </w:t>
      </w:r>
      <w:r w:rsidRPr="00E44F63">
        <w:rPr>
          <w:b/>
        </w:rPr>
        <w:t>Certification for Paperwork Reduction Act Submissions</w:t>
      </w:r>
      <w:r w:rsidR="00032829">
        <w:rPr>
          <w:b/>
        </w:rPr>
        <w:t>.</w:t>
      </w:r>
    </w:p>
    <w:p w:rsidR="00B50579" w:rsidP="002806C4" w:rsidRDefault="00B50579" w14:paraId="5AC59938" w14:textId="77777777"/>
    <w:p w:rsidR="003A0D60" w:rsidP="002806C4" w:rsidRDefault="00EC15F5" w14:paraId="6B141A65" w14:textId="32895D1B">
      <w:r>
        <w:tab/>
      </w:r>
      <w:r w:rsidR="002806C4">
        <w:t>There are no exceptions</w:t>
      </w:r>
      <w:r w:rsidRPr="00753B95" w:rsidR="002806C4">
        <w:t xml:space="preserve"> to the certification </w:t>
      </w:r>
      <w:r w:rsidR="002806C4">
        <w:t xml:space="preserve">statement. </w:t>
      </w:r>
    </w:p>
    <w:p w:rsidRPr="00631257" w:rsidR="003A0D60" w:rsidP="00D86BDD" w:rsidRDefault="003A0D60" w14:paraId="7D45774B" w14:textId="77777777">
      <w:pPr>
        <w:suppressAutoHyphens/>
        <w:ind w:left="720" w:hanging="720"/>
      </w:pPr>
    </w:p>
    <w:p w:rsidRPr="004C0136" w:rsidR="003A0D60" w:rsidP="00D86BDD" w:rsidRDefault="003A0D60" w14:paraId="6CFE79F2" w14:textId="77777777">
      <w:pPr>
        <w:suppressAutoHyphens/>
        <w:ind w:left="720" w:hanging="720"/>
        <w:rPr>
          <w:caps/>
        </w:rPr>
      </w:pPr>
    </w:p>
    <w:p w:rsidRPr="004C0136" w:rsidR="00163499" w:rsidP="00EC15F5" w:rsidRDefault="00163499" w14:paraId="4D86B86D" w14:textId="77777777">
      <w:pPr>
        <w:suppressAutoHyphens/>
        <w:ind w:left="720" w:hanging="720"/>
        <w:rPr>
          <w:caps/>
        </w:rPr>
      </w:pPr>
    </w:p>
    <w:p w:rsidRPr="001E564B" w:rsidR="00163499" w:rsidP="00163499" w:rsidRDefault="00163499" w14:paraId="445E0C4F" w14:textId="77777777">
      <w:pPr>
        <w:pStyle w:val="ListParagraph"/>
        <w:numPr>
          <w:ilvl w:val="0"/>
          <w:numId w:val="2"/>
        </w:numPr>
        <w:suppressAutoHyphens/>
        <w:ind w:left="720" w:hanging="720"/>
        <w:rPr>
          <w:b/>
          <w:caps/>
        </w:rPr>
      </w:pPr>
      <w:r w:rsidRPr="004C0136">
        <w:rPr>
          <w:b/>
          <w:caps/>
        </w:rPr>
        <w:t>Collections of Information Employing Statistical Methods</w:t>
      </w:r>
    </w:p>
    <w:p w:rsidR="003A0D60" w:rsidP="00EC15F5" w:rsidRDefault="003A0D60" w14:paraId="02DE2BEE" w14:textId="280C8FA8">
      <w:pPr>
        <w:tabs>
          <w:tab w:val="left" w:pos="-8213"/>
          <w:tab w:val="left" w:pos="-7207"/>
          <w:tab w:val="left" w:pos="-7090"/>
          <w:tab w:val="left" w:pos="-3415"/>
          <w:tab w:val="left" w:pos="-3298"/>
          <w:tab w:val="left" w:pos="-2159"/>
          <w:tab w:val="left" w:pos="-2041"/>
        </w:tabs>
        <w:suppressAutoHyphens/>
        <w:ind w:left="720" w:hanging="720"/>
      </w:pPr>
    </w:p>
    <w:p w:rsidR="00221200" w:rsidP="00D86BDD" w:rsidRDefault="003A0D60" w14:paraId="5C41E52A" w14:textId="04EFDC81">
      <w:pPr>
        <w:suppressAutoHyphens/>
        <w:ind w:left="720" w:hanging="720"/>
      </w:pPr>
      <w:r>
        <w:t xml:space="preserve">This collection does not involve statistical methods. </w:t>
      </w:r>
    </w:p>
    <w:sectPr w:rsidR="0022120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C3CAA" w14:textId="77777777" w:rsidR="0011257C" w:rsidRDefault="0011257C" w:rsidP="004B6229">
      <w:r>
        <w:separator/>
      </w:r>
    </w:p>
  </w:endnote>
  <w:endnote w:type="continuationSeparator" w:id="0">
    <w:p w14:paraId="6CB8E30B" w14:textId="77777777" w:rsidR="0011257C" w:rsidRDefault="0011257C" w:rsidP="004B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44661"/>
      <w:docPartObj>
        <w:docPartGallery w:val="Page Numbers (Bottom of Page)"/>
        <w:docPartUnique/>
      </w:docPartObj>
    </w:sdtPr>
    <w:sdtEndPr>
      <w:rPr>
        <w:noProof/>
      </w:rPr>
    </w:sdtEndPr>
    <w:sdtContent>
      <w:p w14:paraId="4D19A1B1" w14:textId="01F38A2B" w:rsidR="004B6229" w:rsidRDefault="00C416E6">
        <w:pPr>
          <w:pStyle w:val="Footer"/>
        </w:pPr>
        <w:r w:rsidRPr="00525484">
          <w:rPr>
            <w:i/>
            <w:iCs/>
            <w:sz w:val="20"/>
            <w:szCs w:val="20"/>
          </w:rPr>
          <w:t xml:space="preserve">OMB No. 3133-0184, </w:t>
        </w:r>
        <w:r w:rsidR="00525484" w:rsidRPr="00525484">
          <w:rPr>
            <w:i/>
            <w:iCs/>
            <w:sz w:val="20"/>
            <w:szCs w:val="20"/>
          </w:rPr>
          <w:t>October 2021</w:t>
        </w:r>
        <w:r w:rsidR="004B6229">
          <w:tab/>
        </w:r>
        <w:r w:rsidR="004B6229">
          <w:tab/>
        </w:r>
        <w:r w:rsidR="004B6229">
          <w:fldChar w:fldCharType="begin"/>
        </w:r>
        <w:r w:rsidR="004B6229">
          <w:instrText xml:space="preserve"> PAGE   \* MERGEFORMAT </w:instrText>
        </w:r>
        <w:r w:rsidR="004B6229">
          <w:fldChar w:fldCharType="separate"/>
        </w:r>
        <w:r w:rsidR="008C5C21">
          <w:rPr>
            <w:noProof/>
          </w:rPr>
          <w:t>1</w:t>
        </w:r>
        <w:r w:rsidR="004B622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4A72B" w14:textId="77777777" w:rsidR="0011257C" w:rsidRDefault="0011257C" w:rsidP="004B6229">
      <w:r>
        <w:separator/>
      </w:r>
    </w:p>
  </w:footnote>
  <w:footnote w:type="continuationSeparator" w:id="0">
    <w:p w14:paraId="7B671CAB" w14:textId="77777777" w:rsidR="0011257C" w:rsidRDefault="0011257C" w:rsidP="004B6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2F4B90"/>
    <w:multiLevelType w:val="hybridMultilevel"/>
    <w:tmpl w:val="45648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412705"/>
    <w:multiLevelType w:val="hybridMultilevel"/>
    <w:tmpl w:val="E9809654"/>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0"/>
  </w:num>
  <w:num w:numId="3">
    <w:abstractNumId w:val="14"/>
  </w:num>
  <w:num w:numId="4">
    <w:abstractNumId w:val="6"/>
  </w:num>
  <w:num w:numId="5">
    <w:abstractNumId w:val="3"/>
  </w:num>
  <w:num w:numId="6">
    <w:abstractNumId w:val="9"/>
  </w:num>
  <w:num w:numId="7">
    <w:abstractNumId w:val="7"/>
  </w:num>
  <w:num w:numId="8">
    <w:abstractNumId w:val="5"/>
  </w:num>
  <w:num w:numId="9">
    <w:abstractNumId w:val="11"/>
  </w:num>
  <w:num w:numId="10">
    <w:abstractNumId w:val="13"/>
  </w:num>
  <w:num w:numId="11">
    <w:abstractNumId w:val="12"/>
  </w:num>
  <w:num w:numId="12">
    <w:abstractNumId w:val="2"/>
  </w:num>
  <w:num w:numId="1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6"/>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60"/>
    <w:rsid w:val="00025397"/>
    <w:rsid w:val="00031FE0"/>
    <w:rsid w:val="00032829"/>
    <w:rsid w:val="00036C77"/>
    <w:rsid w:val="00041DB1"/>
    <w:rsid w:val="0005188D"/>
    <w:rsid w:val="000B2509"/>
    <w:rsid w:val="000B48E0"/>
    <w:rsid w:val="000C6776"/>
    <w:rsid w:val="000F23D3"/>
    <w:rsid w:val="0011257C"/>
    <w:rsid w:val="00124043"/>
    <w:rsid w:val="0014521E"/>
    <w:rsid w:val="00151D71"/>
    <w:rsid w:val="00163499"/>
    <w:rsid w:val="00180509"/>
    <w:rsid w:val="001B4219"/>
    <w:rsid w:val="001C11EE"/>
    <w:rsid w:val="001E4949"/>
    <w:rsid w:val="00221200"/>
    <w:rsid w:val="00263F8D"/>
    <w:rsid w:val="00275B48"/>
    <w:rsid w:val="002806C4"/>
    <w:rsid w:val="002C3934"/>
    <w:rsid w:val="002E2E6A"/>
    <w:rsid w:val="003023AE"/>
    <w:rsid w:val="00306159"/>
    <w:rsid w:val="00350A42"/>
    <w:rsid w:val="003720D1"/>
    <w:rsid w:val="00376388"/>
    <w:rsid w:val="00381567"/>
    <w:rsid w:val="003A0D60"/>
    <w:rsid w:val="003D1846"/>
    <w:rsid w:val="003E1DFA"/>
    <w:rsid w:val="003E37DC"/>
    <w:rsid w:val="003F78B7"/>
    <w:rsid w:val="004025BA"/>
    <w:rsid w:val="0043026F"/>
    <w:rsid w:val="00434875"/>
    <w:rsid w:val="00462EDE"/>
    <w:rsid w:val="00480BFF"/>
    <w:rsid w:val="004B6229"/>
    <w:rsid w:val="004C2C41"/>
    <w:rsid w:val="004D0FCD"/>
    <w:rsid w:val="004D6EBF"/>
    <w:rsid w:val="004E4E93"/>
    <w:rsid w:val="005073D5"/>
    <w:rsid w:val="00525484"/>
    <w:rsid w:val="005333D7"/>
    <w:rsid w:val="0058573B"/>
    <w:rsid w:val="005970AF"/>
    <w:rsid w:val="005E4DD2"/>
    <w:rsid w:val="005F360F"/>
    <w:rsid w:val="00602C9C"/>
    <w:rsid w:val="00613422"/>
    <w:rsid w:val="00633DC1"/>
    <w:rsid w:val="00682D2C"/>
    <w:rsid w:val="006923ED"/>
    <w:rsid w:val="006C23AC"/>
    <w:rsid w:val="006F3A83"/>
    <w:rsid w:val="007C7239"/>
    <w:rsid w:val="007D1EA6"/>
    <w:rsid w:val="007E33C5"/>
    <w:rsid w:val="00805EF0"/>
    <w:rsid w:val="00812EE9"/>
    <w:rsid w:val="008A129B"/>
    <w:rsid w:val="008C5C21"/>
    <w:rsid w:val="008D66AC"/>
    <w:rsid w:val="00920641"/>
    <w:rsid w:val="00954B86"/>
    <w:rsid w:val="009F1BDD"/>
    <w:rsid w:val="009F4028"/>
    <w:rsid w:val="009F4B3F"/>
    <w:rsid w:val="00A540A7"/>
    <w:rsid w:val="00B21CAC"/>
    <w:rsid w:val="00B50579"/>
    <w:rsid w:val="00B65B82"/>
    <w:rsid w:val="00B70A33"/>
    <w:rsid w:val="00B84422"/>
    <w:rsid w:val="00B86C5E"/>
    <w:rsid w:val="00B91969"/>
    <w:rsid w:val="00BC4345"/>
    <w:rsid w:val="00C371A1"/>
    <w:rsid w:val="00C416E6"/>
    <w:rsid w:val="00C54E68"/>
    <w:rsid w:val="00C82D0E"/>
    <w:rsid w:val="00C86711"/>
    <w:rsid w:val="00C93576"/>
    <w:rsid w:val="00D171F2"/>
    <w:rsid w:val="00D206DE"/>
    <w:rsid w:val="00D30E8B"/>
    <w:rsid w:val="00D80E62"/>
    <w:rsid w:val="00D86BDD"/>
    <w:rsid w:val="00DB1101"/>
    <w:rsid w:val="00DE2197"/>
    <w:rsid w:val="00E30D93"/>
    <w:rsid w:val="00E43C79"/>
    <w:rsid w:val="00E71557"/>
    <w:rsid w:val="00E80EC6"/>
    <w:rsid w:val="00E86D9F"/>
    <w:rsid w:val="00E9546C"/>
    <w:rsid w:val="00EA07BE"/>
    <w:rsid w:val="00EA4C54"/>
    <w:rsid w:val="00EC15F5"/>
    <w:rsid w:val="00F32A96"/>
    <w:rsid w:val="00F936C9"/>
    <w:rsid w:val="00FB7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A3FF7E"/>
  <w15:docId w15:val="{AD4A56A8-13A0-4C92-AFC4-429A8644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customStyle="1" w:styleId="level10">
    <w:name w:val="_level1"/>
    <w:basedOn w:val="Normal"/>
    <w:rsid w:val="006F3A8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Arial" w:hAnsi="Arial"/>
      <w:szCs w:val="20"/>
    </w:rPr>
  </w:style>
  <w:style w:type="paragraph" w:styleId="BodyTextIndent">
    <w:name w:val="Body Text Indent"/>
    <w:basedOn w:val="Normal"/>
    <w:link w:val="BodyTextIndentChar"/>
    <w:rsid w:val="009F1BD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Arial" w:hAnsi="Arial"/>
    </w:rPr>
  </w:style>
  <w:style w:type="character" w:customStyle="1" w:styleId="BodyTextIndentChar">
    <w:name w:val="Body Text Indent Char"/>
    <w:basedOn w:val="DefaultParagraphFont"/>
    <w:link w:val="BodyTextIndent"/>
    <w:rsid w:val="009F1BDD"/>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54E68"/>
    <w:rPr>
      <w:rFonts w:ascii="Tahoma" w:hAnsi="Tahoma" w:cs="Tahoma"/>
      <w:sz w:val="16"/>
      <w:szCs w:val="16"/>
    </w:rPr>
  </w:style>
  <w:style w:type="character" w:customStyle="1" w:styleId="BalloonTextChar">
    <w:name w:val="Balloon Text Char"/>
    <w:basedOn w:val="DefaultParagraphFont"/>
    <w:link w:val="BalloonText"/>
    <w:uiPriority w:val="99"/>
    <w:semiHidden/>
    <w:rsid w:val="00C54E68"/>
    <w:rPr>
      <w:rFonts w:ascii="Tahoma" w:eastAsia="Times New Roman" w:hAnsi="Tahoma" w:cs="Tahoma"/>
      <w:sz w:val="16"/>
      <w:szCs w:val="16"/>
    </w:rPr>
  </w:style>
  <w:style w:type="paragraph" w:styleId="BodyTextIndent2">
    <w:name w:val="Body Text Indent 2"/>
    <w:basedOn w:val="Normal"/>
    <w:link w:val="BodyTextIndent2Char"/>
    <w:uiPriority w:val="99"/>
    <w:unhideWhenUsed/>
    <w:rsid w:val="004B6229"/>
    <w:pPr>
      <w:spacing w:after="120" w:line="480" w:lineRule="auto"/>
      <w:ind w:left="360"/>
    </w:pPr>
  </w:style>
  <w:style w:type="character" w:customStyle="1" w:styleId="BodyTextIndent2Char">
    <w:name w:val="Body Text Indent 2 Char"/>
    <w:basedOn w:val="DefaultParagraphFont"/>
    <w:link w:val="BodyTextIndent2"/>
    <w:uiPriority w:val="99"/>
    <w:rsid w:val="004B622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6229"/>
    <w:pPr>
      <w:tabs>
        <w:tab w:val="center" w:pos="4680"/>
        <w:tab w:val="right" w:pos="9360"/>
      </w:tabs>
    </w:pPr>
  </w:style>
  <w:style w:type="character" w:customStyle="1" w:styleId="HeaderChar">
    <w:name w:val="Header Char"/>
    <w:basedOn w:val="DefaultParagraphFont"/>
    <w:link w:val="Header"/>
    <w:uiPriority w:val="99"/>
    <w:rsid w:val="004B62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6229"/>
    <w:pPr>
      <w:tabs>
        <w:tab w:val="center" w:pos="4680"/>
        <w:tab w:val="right" w:pos="9360"/>
      </w:tabs>
    </w:pPr>
  </w:style>
  <w:style w:type="character" w:customStyle="1" w:styleId="FooterChar">
    <w:name w:val="Footer Char"/>
    <w:basedOn w:val="DefaultParagraphFont"/>
    <w:link w:val="Footer"/>
    <w:uiPriority w:val="99"/>
    <w:rsid w:val="004B6229"/>
    <w:rPr>
      <w:rFonts w:ascii="Times New Roman" w:eastAsia="Times New Roman" w:hAnsi="Times New Roman" w:cs="Times New Roman"/>
      <w:sz w:val="24"/>
      <w:szCs w:val="24"/>
    </w:rPr>
  </w:style>
  <w:style w:type="paragraph" w:customStyle="1" w:styleId="Level1">
    <w:name w:val="Level 1"/>
    <w:basedOn w:val="Normal"/>
    <w:rsid w:val="004B6229"/>
    <w:pPr>
      <w:widowControl w:val="0"/>
      <w:numPr>
        <w:numId w:val="13"/>
      </w:numPr>
      <w:autoSpaceDE w:val="0"/>
      <w:autoSpaceDN w:val="0"/>
      <w:adjustRightInd w:val="0"/>
      <w:ind w:left="474" w:hanging="186"/>
      <w:outlineLvl w:val="0"/>
    </w:pPr>
  </w:style>
  <w:style w:type="paragraph" w:customStyle="1" w:styleId="Level2">
    <w:name w:val="Level 2"/>
    <w:basedOn w:val="Normal"/>
    <w:rsid w:val="004B6229"/>
    <w:pPr>
      <w:widowControl w:val="0"/>
      <w:autoSpaceDE w:val="0"/>
      <w:autoSpaceDN w:val="0"/>
      <w:adjustRightInd w:val="0"/>
      <w:ind w:left="722" w:hanging="361"/>
    </w:pPr>
  </w:style>
  <w:style w:type="character" w:styleId="CommentReference">
    <w:name w:val="annotation reference"/>
    <w:basedOn w:val="DefaultParagraphFont"/>
    <w:uiPriority w:val="99"/>
    <w:semiHidden/>
    <w:unhideWhenUsed/>
    <w:rsid w:val="00263F8D"/>
    <w:rPr>
      <w:sz w:val="16"/>
      <w:szCs w:val="16"/>
    </w:rPr>
  </w:style>
  <w:style w:type="paragraph" w:styleId="CommentText">
    <w:name w:val="annotation text"/>
    <w:basedOn w:val="Normal"/>
    <w:link w:val="CommentTextChar"/>
    <w:uiPriority w:val="99"/>
    <w:semiHidden/>
    <w:unhideWhenUsed/>
    <w:rsid w:val="00263F8D"/>
    <w:rPr>
      <w:sz w:val="20"/>
      <w:szCs w:val="20"/>
    </w:rPr>
  </w:style>
  <w:style w:type="character" w:customStyle="1" w:styleId="CommentTextChar">
    <w:name w:val="Comment Text Char"/>
    <w:basedOn w:val="DefaultParagraphFont"/>
    <w:link w:val="CommentText"/>
    <w:uiPriority w:val="99"/>
    <w:semiHidden/>
    <w:rsid w:val="00263F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3F8D"/>
    <w:rPr>
      <w:b/>
      <w:bCs/>
    </w:rPr>
  </w:style>
  <w:style w:type="character" w:customStyle="1" w:styleId="CommentSubjectChar">
    <w:name w:val="Comment Subject Char"/>
    <w:basedOn w:val="CommentTextChar"/>
    <w:link w:val="CommentSubject"/>
    <w:uiPriority w:val="99"/>
    <w:semiHidden/>
    <w:rsid w:val="00263F8D"/>
    <w:rPr>
      <w:rFonts w:ascii="Times New Roman" w:eastAsia="Times New Roman" w:hAnsi="Times New Roman" w:cs="Times New Roman"/>
      <w:b/>
      <w:bCs/>
      <w:sz w:val="20"/>
      <w:szCs w:val="20"/>
    </w:rPr>
  </w:style>
  <w:style w:type="paragraph" w:styleId="Revision">
    <w:name w:val="Revision"/>
    <w:hidden/>
    <w:uiPriority w:val="99"/>
    <w:semiHidden/>
    <w:rsid w:val="00041DB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86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2D2C"/>
    <w:rPr>
      <w:color w:val="605E5C"/>
      <w:shd w:val="clear" w:color="auto" w:fill="E1DFDD"/>
    </w:rPr>
  </w:style>
  <w:style w:type="character" w:styleId="FollowedHyperlink">
    <w:name w:val="FollowedHyperlink"/>
    <w:basedOn w:val="DefaultParagraphFont"/>
    <w:uiPriority w:val="99"/>
    <w:semiHidden/>
    <w:unhideWhenUsed/>
    <w:rsid w:val="00682D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2D7F7-3B28-461B-86F6-E3F72D4B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Wolfgang, Dawn</cp:lastModifiedBy>
  <cp:revision>3</cp:revision>
  <cp:lastPrinted>2021-07-29T14:48:00Z</cp:lastPrinted>
  <dcterms:created xsi:type="dcterms:W3CDTF">2021-10-29T18:28:00Z</dcterms:created>
  <dcterms:modified xsi:type="dcterms:W3CDTF">2021-10-29T18:28:00Z</dcterms:modified>
</cp:coreProperties>
</file>