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232" w:rsidRDefault="00890232" w14:paraId="1E5314E4" w14:textId="77777777">
      <w:pPr>
        <w:widowControl/>
        <w:tabs>
          <w:tab w:val="center" w:pos="4680"/>
        </w:tabs>
        <w:jc w:val="center"/>
        <w:rPr>
          <w:rFonts w:ascii="Times New Roman" w:hAnsi="Times New Roman"/>
          <w:color w:val="000000"/>
          <w:szCs w:val="24"/>
        </w:rPr>
      </w:pPr>
      <w:bookmarkStart w:name="_GoBack" w:id="0"/>
      <w:bookmarkEnd w:id="0"/>
      <w:r>
        <w:rPr>
          <w:rFonts w:ascii="Times New Roman" w:hAnsi="Times New Roman"/>
          <w:color w:val="000000"/>
          <w:szCs w:val="24"/>
        </w:rPr>
        <w:t>National Credit Union Administration</w:t>
      </w:r>
    </w:p>
    <w:p w:rsidRPr="00BE1FC3" w:rsidR="003215BD" w:rsidRDefault="003215BD" w14:paraId="74553D6D" w14:textId="77777777">
      <w:pPr>
        <w:widowControl/>
        <w:tabs>
          <w:tab w:val="center" w:pos="4680"/>
        </w:tabs>
        <w:jc w:val="center"/>
        <w:rPr>
          <w:rFonts w:ascii="Times New Roman" w:hAnsi="Times New Roman"/>
          <w:b/>
          <w:bCs/>
          <w:color w:val="000000"/>
          <w:szCs w:val="24"/>
        </w:rPr>
      </w:pPr>
      <w:r w:rsidRPr="00BE1FC3">
        <w:rPr>
          <w:rFonts w:ascii="Times New Roman" w:hAnsi="Times New Roman"/>
          <w:b/>
          <w:bCs/>
          <w:color w:val="000000"/>
          <w:szCs w:val="24"/>
        </w:rPr>
        <w:t>SUPPORTING STATEMENT</w:t>
      </w:r>
    </w:p>
    <w:p w:rsidR="00F621AC" w:rsidRDefault="00F621AC" w14:paraId="05226D32" w14:textId="77777777">
      <w:pPr>
        <w:widowControl/>
        <w:tabs>
          <w:tab w:val="center" w:pos="4680"/>
        </w:tabs>
        <w:jc w:val="center"/>
        <w:rPr>
          <w:rFonts w:ascii="Times New Roman" w:hAnsi="Times New Roman"/>
          <w:color w:val="000000"/>
          <w:szCs w:val="24"/>
        </w:rPr>
      </w:pPr>
    </w:p>
    <w:p w:rsidRPr="00BE1FC3" w:rsidR="00534A39" w:rsidP="00C81A3E" w:rsidRDefault="00890232" w14:paraId="14C3CE8A" w14:textId="77777777">
      <w:pPr>
        <w:widowControl/>
        <w:tabs>
          <w:tab w:val="left" w:pos="3582"/>
          <w:tab w:val="center" w:pos="4680"/>
        </w:tabs>
        <w:jc w:val="center"/>
        <w:rPr>
          <w:rFonts w:ascii="Times New Roman" w:hAnsi="Times New Roman"/>
          <w:bCs/>
          <w:color w:val="000000"/>
          <w:szCs w:val="24"/>
        </w:rPr>
      </w:pPr>
      <w:r w:rsidRPr="00BE1FC3">
        <w:rPr>
          <w:rFonts w:ascii="Times New Roman" w:hAnsi="Times New Roman"/>
          <w:bCs/>
          <w:color w:val="000000"/>
          <w:szCs w:val="24"/>
        </w:rPr>
        <w:t xml:space="preserve">Safe Harbor; </w:t>
      </w:r>
      <w:r w:rsidRPr="00BE1FC3" w:rsidR="00E92F45">
        <w:rPr>
          <w:rFonts w:ascii="Times New Roman" w:hAnsi="Times New Roman"/>
          <w:bCs/>
          <w:color w:val="000000"/>
          <w:szCs w:val="24"/>
        </w:rPr>
        <w:t xml:space="preserve">Treatment of Financial Assets Transferred in Connection </w:t>
      </w:r>
    </w:p>
    <w:p w:rsidRPr="00BE1FC3" w:rsidR="00E92F45" w:rsidP="00C81A3E" w:rsidRDefault="00BE1FC3" w14:paraId="36D74087" w14:textId="77777777">
      <w:pPr>
        <w:widowControl/>
        <w:tabs>
          <w:tab w:val="left" w:pos="3582"/>
          <w:tab w:val="center" w:pos="4680"/>
        </w:tabs>
        <w:jc w:val="center"/>
        <w:rPr>
          <w:rFonts w:ascii="Times New Roman" w:hAnsi="Times New Roman"/>
          <w:bCs/>
          <w:color w:val="000000"/>
          <w:szCs w:val="24"/>
        </w:rPr>
      </w:pPr>
      <w:r>
        <w:rPr>
          <w:rFonts w:ascii="Times New Roman" w:hAnsi="Times New Roman"/>
          <w:bCs/>
          <w:color w:val="000000"/>
          <w:szCs w:val="24"/>
        </w:rPr>
        <w:t>w</w:t>
      </w:r>
      <w:r w:rsidRPr="00BE1FC3" w:rsidR="00E92F45">
        <w:rPr>
          <w:rFonts w:ascii="Times New Roman" w:hAnsi="Times New Roman"/>
          <w:bCs/>
          <w:color w:val="000000"/>
          <w:szCs w:val="24"/>
        </w:rPr>
        <w:t>ith a Securitization or Participation</w:t>
      </w:r>
      <w:r>
        <w:rPr>
          <w:rFonts w:ascii="Times New Roman" w:hAnsi="Times New Roman"/>
          <w:bCs/>
          <w:color w:val="000000"/>
          <w:szCs w:val="24"/>
        </w:rPr>
        <w:t>, §709.9</w:t>
      </w:r>
    </w:p>
    <w:p w:rsidRPr="00BE1FC3" w:rsidR="003215BD" w:rsidP="00E92F45" w:rsidRDefault="003215BD" w14:paraId="7AD33DF3" w14:textId="77777777">
      <w:pPr>
        <w:widowControl/>
        <w:tabs>
          <w:tab w:val="center" w:pos="4680"/>
        </w:tabs>
        <w:jc w:val="center"/>
        <w:rPr>
          <w:rFonts w:ascii="Times New Roman" w:hAnsi="Times New Roman"/>
          <w:b/>
          <w:bCs/>
          <w:color w:val="000000"/>
          <w:szCs w:val="24"/>
        </w:rPr>
      </w:pPr>
      <w:r w:rsidRPr="00BE1FC3">
        <w:rPr>
          <w:rFonts w:ascii="Times New Roman" w:hAnsi="Times New Roman"/>
          <w:b/>
          <w:bCs/>
          <w:color w:val="000000"/>
          <w:szCs w:val="24"/>
        </w:rPr>
        <w:t>OMB No.</w:t>
      </w:r>
      <w:r w:rsidRPr="00BE1FC3" w:rsidR="00D017BD">
        <w:rPr>
          <w:rFonts w:ascii="Times New Roman" w:hAnsi="Times New Roman"/>
          <w:b/>
          <w:bCs/>
          <w:color w:val="000000"/>
          <w:szCs w:val="24"/>
        </w:rPr>
        <w:t xml:space="preserve"> </w:t>
      </w:r>
      <w:r w:rsidRPr="00BE1FC3" w:rsidR="00890232">
        <w:rPr>
          <w:rFonts w:ascii="Times New Roman" w:hAnsi="Times New Roman"/>
          <w:b/>
          <w:bCs/>
          <w:color w:val="000000"/>
          <w:szCs w:val="24"/>
        </w:rPr>
        <w:t>3133-</w:t>
      </w:r>
      <w:r w:rsidRPr="00BE1FC3" w:rsidR="00D70AC2">
        <w:rPr>
          <w:rFonts w:ascii="Times New Roman" w:hAnsi="Times New Roman"/>
          <w:b/>
          <w:bCs/>
          <w:color w:val="000000"/>
          <w:szCs w:val="24"/>
        </w:rPr>
        <w:t xml:space="preserve">0197 </w:t>
      </w:r>
    </w:p>
    <w:p w:rsidR="00E92F45" w:rsidRDefault="00E92F45" w14:paraId="14FC9B5A" w14:textId="77777777">
      <w:pPr>
        <w:rPr>
          <w:rFonts w:ascii="Times New Roman" w:hAnsi="Times New Roman"/>
          <w:color w:val="000000"/>
          <w:szCs w:val="24"/>
        </w:rPr>
      </w:pPr>
    </w:p>
    <w:p w:rsidRPr="00534A39" w:rsidR="00DA1AA6" w:rsidP="00DA1AA6" w:rsidRDefault="00DA1AA6" w14:paraId="39E079C7" w14:textId="77777777">
      <w:pPr>
        <w:rPr>
          <w:rFonts w:ascii="Times New Roman" w:hAnsi="Times New Roman"/>
          <w:color w:val="000000"/>
          <w:szCs w:val="24"/>
        </w:rPr>
      </w:pPr>
    </w:p>
    <w:p w:rsidRPr="00534A39" w:rsidR="003215BD" w:rsidP="00F621AC" w:rsidRDefault="003215BD" w14:paraId="73AC95F7" w14:textId="77777777">
      <w:pPr>
        <w:widowControl/>
        <w:tabs>
          <w:tab w:val="left" w:pos="720"/>
          <w:tab w:val="center" w:pos="4680"/>
        </w:tabs>
        <w:ind w:left="720" w:hanging="720"/>
        <w:rPr>
          <w:rFonts w:ascii="Times New Roman" w:hAnsi="Times New Roman"/>
          <w:color w:val="000000"/>
          <w:szCs w:val="24"/>
          <w:u w:val="single"/>
        </w:rPr>
      </w:pPr>
      <w:r w:rsidRPr="00534A39">
        <w:rPr>
          <w:rFonts w:ascii="Times New Roman" w:hAnsi="Times New Roman"/>
          <w:color w:val="000000"/>
          <w:szCs w:val="24"/>
        </w:rPr>
        <w:t>A.</w:t>
      </w:r>
      <w:r w:rsidRPr="00534A39" w:rsidR="00F621AC">
        <w:rPr>
          <w:rFonts w:ascii="Times New Roman" w:hAnsi="Times New Roman"/>
          <w:color w:val="000000"/>
          <w:szCs w:val="24"/>
        </w:rPr>
        <w:tab/>
      </w:r>
      <w:r w:rsidRPr="00534A39">
        <w:rPr>
          <w:rFonts w:ascii="Times New Roman" w:hAnsi="Times New Roman"/>
          <w:color w:val="000000"/>
          <w:szCs w:val="24"/>
          <w:u w:val="single"/>
        </w:rPr>
        <w:t>JUSTIFICATION</w:t>
      </w:r>
    </w:p>
    <w:p w:rsidR="00E51F39" w:rsidP="00E51F39" w:rsidRDefault="00E51F39" w14:paraId="3F021A4B" w14:textId="77777777">
      <w:pPr>
        <w:widowControl/>
        <w:tabs>
          <w:tab w:val="left" w:pos="432"/>
          <w:tab w:val="left" w:pos="1296"/>
          <w:tab w:val="left" w:pos="1728"/>
          <w:tab w:val="left" w:pos="4176"/>
        </w:tabs>
        <w:rPr>
          <w:rFonts w:ascii="Times New Roman" w:hAnsi="Times New Roman"/>
          <w:color w:val="000000"/>
          <w:szCs w:val="24"/>
        </w:rPr>
      </w:pPr>
    </w:p>
    <w:p w:rsidRPr="00625090" w:rsidR="00BE1FC3" w:rsidP="00BE1FC3" w:rsidRDefault="00BE1FC3" w14:paraId="4EB788EF" w14:textId="77777777">
      <w:pPr>
        <w:pStyle w:val="ListParagraph"/>
        <w:numPr>
          <w:ilvl w:val="0"/>
          <w:numId w:val="12"/>
        </w:numPr>
        <w:ind w:left="720" w:hanging="720"/>
        <w:rPr>
          <w:b/>
        </w:rPr>
      </w:pPr>
      <w:r w:rsidRPr="00625090">
        <w:rPr>
          <w:b/>
        </w:rPr>
        <w:t>Circumstances that make the collection of information necessary</w:t>
      </w:r>
      <w:r>
        <w:rPr>
          <w:b/>
        </w:rPr>
        <w:t>.</w:t>
      </w:r>
    </w:p>
    <w:p w:rsidRPr="00534A39" w:rsidR="00BE1FC3" w:rsidP="00E51F39" w:rsidRDefault="00BE1FC3" w14:paraId="720D22EC" w14:textId="77777777">
      <w:pPr>
        <w:widowControl/>
        <w:tabs>
          <w:tab w:val="left" w:pos="432"/>
          <w:tab w:val="left" w:pos="1296"/>
          <w:tab w:val="left" w:pos="1728"/>
          <w:tab w:val="left" w:pos="4176"/>
        </w:tabs>
        <w:rPr>
          <w:rFonts w:ascii="Times New Roman" w:hAnsi="Times New Roman"/>
          <w:color w:val="000000"/>
          <w:szCs w:val="24"/>
        </w:rPr>
      </w:pPr>
    </w:p>
    <w:p w:rsidRPr="00534A39" w:rsidR="00E51F39" w:rsidP="00DC0836" w:rsidRDefault="00E51F39" w14:paraId="7D01995D" w14:textId="77777777">
      <w:pPr>
        <w:widowControl/>
        <w:tabs>
          <w:tab w:val="left" w:pos="4176"/>
        </w:tabs>
        <w:ind w:left="720"/>
        <w:rPr>
          <w:rFonts w:ascii="Times New Roman" w:hAnsi="Times New Roman"/>
          <w:color w:val="000000"/>
          <w:szCs w:val="24"/>
        </w:rPr>
      </w:pPr>
      <w:r w:rsidRPr="00534A39">
        <w:rPr>
          <w:rFonts w:ascii="Times New Roman" w:hAnsi="Times New Roman"/>
          <w:color w:val="000000"/>
          <w:szCs w:val="24"/>
        </w:rPr>
        <w:t xml:space="preserve">The </w:t>
      </w:r>
      <w:r w:rsidRPr="00534A39" w:rsidR="006357E5">
        <w:rPr>
          <w:rFonts w:ascii="Times New Roman" w:hAnsi="Times New Roman"/>
          <w:color w:val="000000"/>
          <w:szCs w:val="24"/>
        </w:rPr>
        <w:t>NCUA</w:t>
      </w:r>
      <w:r w:rsidRPr="00534A39">
        <w:rPr>
          <w:rFonts w:ascii="Times New Roman" w:hAnsi="Times New Roman"/>
          <w:color w:val="000000"/>
          <w:szCs w:val="24"/>
        </w:rPr>
        <w:t xml:space="preserve">, as </w:t>
      </w:r>
      <w:r w:rsidRPr="00534A39" w:rsidR="00374138">
        <w:rPr>
          <w:rFonts w:ascii="Times New Roman" w:hAnsi="Times New Roman"/>
          <w:color w:val="000000"/>
          <w:szCs w:val="24"/>
        </w:rPr>
        <w:t>liquidating agent</w:t>
      </w:r>
      <w:r w:rsidRPr="00534A39" w:rsidR="006357E5">
        <w:rPr>
          <w:rFonts w:ascii="Times New Roman" w:hAnsi="Times New Roman"/>
          <w:color w:val="000000"/>
          <w:szCs w:val="24"/>
        </w:rPr>
        <w:t xml:space="preserve"> or conservator </w:t>
      </w:r>
      <w:r w:rsidRPr="00534A39">
        <w:rPr>
          <w:rFonts w:ascii="Times New Roman" w:hAnsi="Times New Roman"/>
          <w:color w:val="000000"/>
          <w:szCs w:val="24"/>
        </w:rPr>
        <w:t xml:space="preserve">for failed </w:t>
      </w:r>
      <w:r w:rsidR="00B61A3D">
        <w:rPr>
          <w:rFonts w:ascii="Times New Roman" w:hAnsi="Times New Roman"/>
          <w:color w:val="000000"/>
          <w:szCs w:val="24"/>
        </w:rPr>
        <w:t>F</w:t>
      </w:r>
      <w:r w:rsidRPr="00534A39" w:rsidR="00BD4435">
        <w:rPr>
          <w:rFonts w:ascii="Times New Roman" w:hAnsi="Times New Roman"/>
          <w:color w:val="000000"/>
          <w:szCs w:val="24"/>
        </w:rPr>
        <w:t>ICUs</w:t>
      </w:r>
      <w:r w:rsidRPr="00534A39">
        <w:rPr>
          <w:rFonts w:ascii="Times New Roman" w:hAnsi="Times New Roman"/>
          <w:color w:val="000000"/>
          <w:szCs w:val="24"/>
        </w:rPr>
        <w:t xml:space="preserve">, has a unique responsibility and interest in ensuring that residential mortgage loans and other financial assets originated by </w:t>
      </w:r>
      <w:r w:rsidR="00B61A3D">
        <w:rPr>
          <w:rFonts w:ascii="Times New Roman" w:hAnsi="Times New Roman"/>
          <w:color w:val="000000"/>
          <w:szCs w:val="24"/>
        </w:rPr>
        <w:t>F</w:t>
      </w:r>
      <w:r w:rsidRPr="00534A39" w:rsidR="00BD4435">
        <w:rPr>
          <w:rFonts w:ascii="Times New Roman" w:hAnsi="Times New Roman"/>
          <w:color w:val="000000"/>
          <w:szCs w:val="24"/>
        </w:rPr>
        <w:t xml:space="preserve">ICUs </w:t>
      </w:r>
      <w:r w:rsidRPr="00534A39">
        <w:rPr>
          <w:rFonts w:ascii="Times New Roman" w:hAnsi="Times New Roman"/>
          <w:color w:val="000000"/>
          <w:szCs w:val="24"/>
        </w:rPr>
        <w:t xml:space="preserve">are originated for long-term sustainability.  The </w:t>
      </w:r>
      <w:r w:rsidRPr="00534A39" w:rsidR="000D6624">
        <w:rPr>
          <w:rFonts w:ascii="Times New Roman" w:hAnsi="Times New Roman"/>
          <w:color w:val="000000"/>
          <w:szCs w:val="24"/>
        </w:rPr>
        <w:t xml:space="preserve">NCUA’s </w:t>
      </w:r>
      <w:r w:rsidRPr="00534A39">
        <w:rPr>
          <w:rFonts w:ascii="Times New Roman" w:hAnsi="Times New Roman"/>
          <w:color w:val="000000"/>
          <w:szCs w:val="24"/>
        </w:rPr>
        <w:t>responsibilities to protect insured depositors and resolve failed insured banks and thrifts an</w:t>
      </w:r>
      <w:r w:rsidRPr="00534A39" w:rsidR="00AA14FC">
        <w:rPr>
          <w:rFonts w:ascii="Times New Roman" w:hAnsi="Times New Roman"/>
          <w:color w:val="000000"/>
          <w:szCs w:val="24"/>
        </w:rPr>
        <w:t xml:space="preserve">d its responsibility to the </w:t>
      </w:r>
      <w:r w:rsidRPr="00534A39" w:rsidR="006300B3">
        <w:rPr>
          <w:rFonts w:ascii="Times New Roman" w:hAnsi="Times New Roman"/>
          <w:color w:val="000000"/>
          <w:szCs w:val="24"/>
        </w:rPr>
        <w:t xml:space="preserve">NCUSIF </w:t>
      </w:r>
      <w:r w:rsidRPr="00534A39">
        <w:rPr>
          <w:rFonts w:ascii="Times New Roman" w:hAnsi="Times New Roman"/>
          <w:color w:val="000000"/>
          <w:szCs w:val="24"/>
        </w:rPr>
        <w:t xml:space="preserve">require it to ensure that, where it provides a safe harbor consenting to special relief from the application of its </w:t>
      </w:r>
      <w:r w:rsidRPr="00534A39" w:rsidR="006300B3">
        <w:rPr>
          <w:rFonts w:ascii="Times New Roman" w:hAnsi="Times New Roman"/>
          <w:color w:val="000000"/>
          <w:szCs w:val="24"/>
        </w:rPr>
        <w:t xml:space="preserve">liquidation or conservatorship </w:t>
      </w:r>
      <w:r w:rsidRPr="00534A39">
        <w:rPr>
          <w:rFonts w:ascii="Times New Roman" w:hAnsi="Times New Roman"/>
          <w:color w:val="000000"/>
          <w:szCs w:val="24"/>
        </w:rPr>
        <w:t xml:space="preserve">powers, it must do so in a manner that fulfills these responsibilities. </w:t>
      </w:r>
    </w:p>
    <w:p w:rsidRPr="00534A39" w:rsidR="00D52A0B" w:rsidP="00DC0836" w:rsidRDefault="00D52A0B" w14:paraId="416578B3" w14:textId="77777777">
      <w:pPr>
        <w:widowControl/>
        <w:tabs>
          <w:tab w:val="left" w:pos="4176"/>
        </w:tabs>
        <w:ind w:left="720"/>
        <w:rPr>
          <w:rFonts w:ascii="Times New Roman" w:hAnsi="Times New Roman"/>
          <w:color w:val="000000"/>
          <w:szCs w:val="24"/>
        </w:rPr>
      </w:pPr>
    </w:p>
    <w:p w:rsidRPr="00534A39" w:rsidR="003215BD" w:rsidP="00DC0836" w:rsidRDefault="00D52A0B" w14:paraId="6CD444DD" w14:textId="77777777">
      <w:pPr>
        <w:widowControl/>
        <w:ind w:left="720"/>
        <w:rPr>
          <w:rFonts w:ascii="Times New Roman" w:hAnsi="Times New Roman"/>
          <w:b/>
          <w:color w:val="000000"/>
          <w:szCs w:val="24"/>
        </w:rPr>
      </w:pPr>
      <w:r w:rsidRPr="00534A39">
        <w:rPr>
          <w:rFonts w:ascii="Times New Roman" w:hAnsi="Times New Roman"/>
          <w:color w:val="000000"/>
          <w:szCs w:val="24"/>
        </w:rPr>
        <w:t>It would be</w:t>
      </w:r>
      <w:r w:rsidRPr="00534A39" w:rsidR="00E51F39">
        <w:rPr>
          <w:rFonts w:ascii="Times New Roman" w:hAnsi="Times New Roman"/>
          <w:color w:val="000000"/>
          <w:szCs w:val="24"/>
        </w:rPr>
        <w:t xml:space="preserve"> imprudent for the </w:t>
      </w:r>
      <w:r w:rsidRPr="00534A39" w:rsidR="000D6624">
        <w:rPr>
          <w:rFonts w:ascii="Times New Roman" w:hAnsi="Times New Roman"/>
          <w:color w:val="000000"/>
          <w:szCs w:val="24"/>
        </w:rPr>
        <w:t>NCUA</w:t>
      </w:r>
      <w:r w:rsidRPr="00534A39" w:rsidR="00E51F39">
        <w:rPr>
          <w:rFonts w:ascii="Times New Roman" w:hAnsi="Times New Roman"/>
          <w:color w:val="000000"/>
          <w:szCs w:val="24"/>
        </w:rPr>
        <w:t xml:space="preserve"> to provide consent or other clarification of its application of its</w:t>
      </w:r>
      <w:r w:rsidRPr="00534A39" w:rsidR="00BD4435">
        <w:rPr>
          <w:rFonts w:ascii="Times New Roman" w:hAnsi="Times New Roman"/>
          <w:color w:val="000000"/>
          <w:szCs w:val="24"/>
        </w:rPr>
        <w:t xml:space="preserve"> liquidation or conservatorship </w:t>
      </w:r>
      <w:r w:rsidRPr="00534A39" w:rsidR="00E51F39">
        <w:rPr>
          <w:rFonts w:ascii="Times New Roman" w:hAnsi="Times New Roman"/>
          <w:color w:val="000000"/>
          <w:szCs w:val="24"/>
        </w:rPr>
        <w:t xml:space="preserve">powers without imposing requirements designed to realign the incentives in the securitization process to avoid these devastating </w:t>
      </w:r>
      <w:r w:rsidRPr="00534A39" w:rsidR="005267FD">
        <w:rPr>
          <w:rFonts w:ascii="Times New Roman" w:hAnsi="Times New Roman"/>
          <w:color w:val="000000"/>
          <w:szCs w:val="24"/>
        </w:rPr>
        <w:t xml:space="preserve">effects. </w:t>
      </w:r>
      <w:r w:rsidRPr="00534A39" w:rsidR="00374138">
        <w:rPr>
          <w:rFonts w:ascii="Times New Roman" w:hAnsi="Times New Roman"/>
          <w:color w:val="000000"/>
          <w:szCs w:val="24"/>
        </w:rPr>
        <w:t xml:space="preserve"> </w:t>
      </w:r>
      <w:r w:rsidRPr="00534A39" w:rsidR="005267FD">
        <w:rPr>
          <w:rFonts w:ascii="Times New Roman" w:hAnsi="Times New Roman"/>
          <w:color w:val="000000"/>
          <w:szCs w:val="24"/>
        </w:rPr>
        <w:t>The</w:t>
      </w:r>
      <w:r w:rsidRPr="00534A39" w:rsidR="00E51F39">
        <w:rPr>
          <w:rFonts w:ascii="Times New Roman" w:hAnsi="Times New Roman"/>
          <w:color w:val="000000"/>
          <w:szCs w:val="24"/>
        </w:rPr>
        <w:t xml:space="preserve"> </w:t>
      </w:r>
      <w:r w:rsidRPr="00534A39" w:rsidR="000D6624">
        <w:rPr>
          <w:rFonts w:ascii="Times New Roman" w:hAnsi="Times New Roman"/>
          <w:color w:val="000000"/>
          <w:szCs w:val="24"/>
        </w:rPr>
        <w:t>NCUA</w:t>
      </w:r>
      <w:r w:rsidRPr="00534A39" w:rsidR="00374138">
        <w:rPr>
          <w:rFonts w:ascii="Times New Roman" w:hAnsi="Times New Roman"/>
          <w:color w:val="000000"/>
          <w:szCs w:val="24"/>
        </w:rPr>
        <w:t>’s adoption of 12 CFR</w:t>
      </w:r>
      <w:r w:rsidRPr="00534A39" w:rsidR="00E51F39">
        <w:rPr>
          <w:rFonts w:ascii="Times New Roman" w:hAnsi="Times New Roman"/>
          <w:color w:val="000000"/>
          <w:szCs w:val="24"/>
        </w:rPr>
        <w:t xml:space="preserve"> § </w:t>
      </w:r>
      <w:r w:rsidRPr="00534A39" w:rsidR="004A530F">
        <w:rPr>
          <w:rFonts w:ascii="Times New Roman" w:hAnsi="Times New Roman"/>
          <w:color w:val="000000"/>
          <w:szCs w:val="24"/>
        </w:rPr>
        <w:t xml:space="preserve">709.10 </w:t>
      </w:r>
      <w:r w:rsidRPr="00534A39" w:rsidR="00E51F39">
        <w:rPr>
          <w:rFonts w:ascii="Times New Roman" w:hAnsi="Times New Roman"/>
          <w:color w:val="000000"/>
          <w:szCs w:val="24"/>
        </w:rPr>
        <w:t>in 2000 provided clarification of “legal isolation</w:t>
      </w:r>
      <w:r w:rsidRPr="00534A39" w:rsidR="00BD4435">
        <w:rPr>
          <w:rFonts w:ascii="Times New Roman" w:hAnsi="Times New Roman"/>
          <w:color w:val="000000"/>
          <w:szCs w:val="24"/>
        </w:rPr>
        <w:t>.</w:t>
      </w:r>
      <w:r w:rsidR="00B04F31">
        <w:rPr>
          <w:rFonts w:ascii="Times New Roman" w:hAnsi="Times New Roman"/>
          <w:color w:val="000000"/>
          <w:szCs w:val="24"/>
        </w:rPr>
        <w:t>”</w:t>
      </w:r>
      <w:r w:rsidRPr="00534A39" w:rsidR="00E51F39">
        <w:rPr>
          <w:rFonts w:ascii="Times New Roman" w:hAnsi="Times New Roman"/>
          <w:color w:val="000000"/>
          <w:szCs w:val="24"/>
        </w:rPr>
        <w:t xml:space="preserve">  In view of the accounting changes and the effects they have upon the application of the </w:t>
      </w:r>
      <w:r w:rsidR="006F084A">
        <w:rPr>
          <w:rFonts w:ascii="Times New Roman" w:hAnsi="Times New Roman"/>
          <w:color w:val="000000"/>
          <w:szCs w:val="24"/>
        </w:rPr>
        <w:t>Safe Harbor Rule</w:t>
      </w:r>
      <w:r w:rsidRPr="00534A39" w:rsidR="00E51F39">
        <w:rPr>
          <w:rFonts w:ascii="Times New Roman" w:hAnsi="Times New Roman"/>
          <w:color w:val="000000"/>
          <w:szCs w:val="24"/>
        </w:rPr>
        <w:t xml:space="preserve">, it is crucial that the </w:t>
      </w:r>
      <w:r w:rsidRPr="00534A39" w:rsidR="000D6624">
        <w:rPr>
          <w:rFonts w:ascii="Times New Roman" w:hAnsi="Times New Roman"/>
          <w:color w:val="000000"/>
          <w:szCs w:val="24"/>
        </w:rPr>
        <w:t>NCUA</w:t>
      </w:r>
      <w:r w:rsidRPr="00534A39" w:rsidR="00E51F39">
        <w:rPr>
          <w:rFonts w:ascii="Times New Roman" w:hAnsi="Times New Roman"/>
          <w:color w:val="000000"/>
          <w:szCs w:val="24"/>
        </w:rPr>
        <w:t xml:space="preserve"> provide clarification of the application of its </w:t>
      </w:r>
      <w:r w:rsidRPr="00534A39" w:rsidR="00BD4435">
        <w:rPr>
          <w:rFonts w:ascii="Times New Roman" w:hAnsi="Times New Roman"/>
          <w:color w:val="000000"/>
          <w:szCs w:val="24"/>
        </w:rPr>
        <w:t xml:space="preserve">liquidation or conservatorship </w:t>
      </w:r>
      <w:r w:rsidRPr="00534A39" w:rsidR="00E51F39">
        <w:rPr>
          <w:rFonts w:ascii="Times New Roman" w:hAnsi="Times New Roman"/>
          <w:color w:val="000000"/>
          <w:szCs w:val="24"/>
        </w:rPr>
        <w:t xml:space="preserve">powers in a way that reduces the risks to the </w:t>
      </w:r>
      <w:r w:rsidRPr="00534A39" w:rsidR="00BD4435">
        <w:rPr>
          <w:rFonts w:ascii="Times New Roman" w:hAnsi="Times New Roman"/>
          <w:color w:val="000000"/>
          <w:szCs w:val="24"/>
        </w:rPr>
        <w:t xml:space="preserve">NCUSIF </w:t>
      </w:r>
      <w:r w:rsidRPr="00534A39" w:rsidR="00E51F39">
        <w:rPr>
          <w:rFonts w:ascii="Times New Roman" w:hAnsi="Times New Roman"/>
          <w:color w:val="000000"/>
          <w:szCs w:val="24"/>
        </w:rPr>
        <w:t>by better aligning the incentives in securitization to support sustainable lending and structured finance transactions</w:t>
      </w:r>
      <w:r w:rsidRPr="00534A39" w:rsidR="009245FD">
        <w:rPr>
          <w:rFonts w:ascii="Times New Roman" w:hAnsi="Times New Roman"/>
          <w:color w:val="000000"/>
          <w:szCs w:val="24"/>
        </w:rPr>
        <w:t>.</w:t>
      </w:r>
      <w:r w:rsidR="00EE2FB0">
        <w:rPr>
          <w:rFonts w:ascii="Times New Roman" w:hAnsi="Times New Roman"/>
          <w:color w:val="000000"/>
          <w:szCs w:val="24"/>
        </w:rPr>
        <w:t xml:space="preserve">  Section 709.10 was later redesigned §709.9 on October 30, 2017, by 82 FR 50288.</w:t>
      </w:r>
    </w:p>
    <w:p w:rsidRPr="00534A39" w:rsidR="003215BD" w:rsidRDefault="003215BD" w14:paraId="2662CA52" w14:textId="77777777">
      <w:pPr>
        <w:rPr>
          <w:rFonts w:ascii="Times New Roman" w:hAnsi="Times New Roman"/>
          <w:szCs w:val="24"/>
        </w:rPr>
      </w:pPr>
    </w:p>
    <w:p w:rsidRPr="00534A39" w:rsidR="00D52A0B" w:rsidP="00F621AC" w:rsidRDefault="00F621AC" w14:paraId="36F88554" w14:textId="77777777">
      <w:pPr>
        <w:widowControl/>
        <w:ind w:left="720" w:hanging="720"/>
        <w:rPr>
          <w:rFonts w:ascii="Times New Roman" w:hAnsi="Times New Roman"/>
          <w:szCs w:val="24"/>
        </w:rPr>
      </w:pPr>
      <w:r w:rsidRPr="00534A39">
        <w:rPr>
          <w:rFonts w:ascii="Times New Roman" w:hAnsi="Times New Roman"/>
          <w:szCs w:val="24"/>
        </w:rPr>
        <w:tab/>
      </w:r>
      <w:r w:rsidRPr="00534A39" w:rsidR="00E51F39">
        <w:rPr>
          <w:rFonts w:ascii="Times New Roman" w:hAnsi="Times New Roman"/>
          <w:szCs w:val="24"/>
        </w:rPr>
        <w:t xml:space="preserve">The </w:t>
      </w:r>
      <w:r w:rsidR="006F084A">
        <w:rPr>
          <w:rFonts w:ascii="Times New Roman" w:hAnsi="Times New Roman"/>
          <w:szCs w:val="24"/>
        </w:rPr>
        <w:t>Safe Harbor</w:t>
      </w:r>
      <w:r w:rsidRPr="00534A39" w:rsidR="006F084A">
        <w:rPr>
          <w:rFonts w:ascii="Times New Roman" w:hAnsi="Times New Roman"/>
          <w:szCs w:val="24"/>
        </w:rPr>
        <w:t xml:space="preserve"> </w:t>
      </w:r>
      <w:r w:rsidRPr="00534A39" w:rsidR="00AA14FC">
        <w:rPr>
          <w:rFonts w:ascii="Times New Roman" w:hAnsi="Times New Roman"/>
          <w:szCs w:val="24"/>
        </w:rPr>
        <w:t>Rule</w:t>
      </w:r>
      <w:r w:rsidRPr="00534A39" w:rsidR="00E51F39">
        <w:rPr>
          <w:rFonts w:ascii="Times New Roman" w:hAnsi="Times New Roman"/>
          <w:szCs w:val="24"/>
        </w:rPr>
        <w:t xml:space="preserve"> provided a “safe harbor” by confirming “legal isolation” if all other standards for off balance sheet accounting treatment, along with some additional conditions focusing on the enforceability of the trans</w:t>
      </w:r>
      <w:r w:rsidRPr="00534A39" w:rsidR="00AA14FC">
        <w:rPr>
          <w:rFonts w:ascii="Times New Roman" w:hAnsi="Times New Roman"/>
          <w:szCs w:val="24"/>
        </w:rPr>
        <w:t>action, were met by the transfer</w:t>
      </w:r>
      <w:r w:rsidRPr="00534A39" w:rsidR="00E51F39">
        <w:rPr>
          <w:rFonts w:ascii="Times New Roman" w:hAnsi="Times New Roman"/>
          <w:szCs w:val="24"/>
        </w:rPr>
        <w:t xml:space="preserve"> in connection with a securitization or a participation.  Satisfaction of “legal isolation” was vital to securitization transactions because of the risk that the pool of financial assets transferred into the securitization trust could be recovered in bankruptcy or in a bank receivership.  Generally, to satisfy the legal isolation condition, the transferred financial assets must have been presumptively placed beyond the reach of the transferor, its creditors, a bankruptcy trustee, or in the case of an </w:t>
      </w:r>
      <w:r w:rsidR="00B61A3D">
        <w:rPr>
          <w:rFonts w:ascii="Times New Roman" w:hAnsi="Times New Roman"/>
          <w:szCs w:val="24"/>
        </w:rPr>
        <w:t>F</w:t>
      </w:r>
      <w:r w:rsidRPr="00534A39" w:rsidR="00BD4435">
        <w:rPr>
          <w:rFonts w:ascii="Times New Roman" w:hAnsi="Times New Roman"/>
          <w:color w:val="000000"/>
          <w:szCs w:val="24"/>
        </w:rPr>
        <w:t>ICU</w:t>
      </w:r>
      <w:r w:rsidRPr="00534A39" w:rsidR="00E51F39">
        <w:rPr>
          <w:rFonts w:ascii="Times New Roman" w:hAnsi="Times New Roman"/>
          <w:szCs w:val="24"/>
        </w:rPr>
        <w:t xml:space="preserve">, the </w:t>
      </w:r>
      <w:r w:rsidRPr="00534A39" w:rsidR="000D6624">
        <w:rPr>
          <w:rFonts w:ascii="Times New Roman" w:hAnsi="Times New Roman"/>
          <w:szCs w:val="24"/>
        </w:rPr>
        <w:t>NCUA</w:t>
      </w:r>
      <w:r w:rsidRPr="00534A39" w:rsidR="00E51F39">
        <w:rPr>
          <w:rFonts w:ascii="Times New Roman" w:hAnsi="Times New Roman"/>
          <w:szCs w:val="24"/>
        </w:rPr>
        <w:t xml:space="preserve"> as conservator or receiver. Since its adoption, the S</w:t>
      </w:r>
      <w:r w:rsidR="006F084A">
        <w:rPr>
          <w:rFonts w:ascii="Times New Roman" w:hAnsi="Times New Roman"/>
          <w:szCs w:val="24"/>
        </w:rPr>
        <w:t>afe Harbor</w:t>
      </w:r>
      <w:r w:rsidRPr="00534A39" w:rsidR="00E51F39">
        <w:rPr>
          <w:rFonts w:ascii="Times New Roman" w:hAnsi="Times New Roman"/>
          <w:szCs w:val="24"/>
        </w:rPr>
        <w:t xml:space="preserve"> Rule has been relied on by participants as assurance that investors could look to financial assets for payment without concern that the financial assets would be interfered with by the </w:t>
      </w:r>
      <w:r w:rsidRPr="00534A39" w:rsidR="000D6624">
        <w:rPr>
          <w:rFonts w:ascii="Times New Roman" w:hAnsi="Times New Roman"/>
          <w:szCs w:val="24"/>
        </w:rPr>
        <w:t>NCUA</w:t>
      </w:r>
      <w:r w:rsidRPr="00534A39" w:rsidR="00E51F39">
        <w:rPr>
          <w:rFonts w:ascii="Times New Roman" w:hAnsi="Times New Roman"/>
          <w:szCs w:val="24"/>
        </w:rPr>
        <w:t xml:space="preserve"> as conservator or receiver. </w:t>
      </w:r>
    </w:p>
    <w:p w:rsidRPr="00534A39" w:rsidR="00D52A0B" w:rsidP="00F621AC" w:rsidRDefault="00D52A0B" w14:paraId="771FC3AD" w14:textId="77777777">
      <w:pPr>
        <w:widowControl/>
        <w:ind w:left="720" w:hanging="720"/>
        <w:rPr>
          <w:rFonts w:ascii="Times New Roman" w:hAnsi="Times New Roman"/>
          <w:szCs w:val="24"/>
        </w:rPr>
      </w:pPr>
    </w:p>
    <w:p w:rsidRPr="00534A39" w:rsidR="00D52A0B" w:rsidP="00F621AC" w:rsidRDefault="00F621AC" w14:paraId="18A2ADB9" w14:textId="77777777">
      <w:pPr>
        <w:widowControl/>
        <w:ind w:left="720" w:hanging="720"/>
        <w:rPr>
          <w:rFonts w:ascii="Times New Roman" w:hAnsi="Times New Roman"/>
          <w:color w:val="000000"/>
          <w:szCs w:val="24"/>
        </w:rPr>
      </w:pPr>
      <w:r w:rsidRPr="00534A39">
        <w:rPr>
          <w:rFonts w:ascii="Times New Roman" w:hAnsi="Times New Roman"/>
          <w:color w:val="000000"/>
          <w:szCs w:val="24"/>
        </w:rPr>
        <w:tab/>
      </w:r>
      <w:r w:rsidRPr="00534A39" w:rsidR="00D52A0B">
        <w:rPr>
          <w:rFonts w:ascii="Times New Roman" w:hAnsi="Times New Roman"/>
          <w:color w:val="000000"/>
          <w:szCs w:val="24"/>
        </w:rPr>
        <w:t xml:space="preserve">The </w:t>
      </w:r>
      <w:r w:rsidRPr="00534A39" w:rsidR="000D6624">
        <w:rPr>
          <w:rFonts w:ascii="Times New Roman" w:hAnsi="Times New Roman"/>
          <w:color w:val="000000"/>
          <w:szCs w:val="24"/>
        </w:rPr>
        <w:t>NCUA</w:t>
      </w:r>
      <w:r w:rsidRPr="00534A39" w:rsidR="00D52A0B">
        <w:rPr>
          <w:rFonts w:ascii="Times New Roman" w:hAnsi="Times New Roman"/>
          <w:color w:val="000000"/>
          <w:szCs w:val="24"/>
        </w:rPr>
        <w:t xml:space="preserve"> must address the evident defects in many subprime and other mortgages originated and sold into securitizations in order to fulfill its responsibilities as </w:t>
      </w:r>
      <w:r w:rsidRPr="00534A39" w:rsidR="000D6624">
        <w:rPr>
          <w:rFonts w:ascii="Times New Roman" w:hAnsi="Times New Roman"/>
          <w:color w:val="000000"/>
          <w:szCs w:val="24"/>
        </w:rPr>
        <w:t xml:space="preserve">liquidating </w:t>
      </w:r>
      <w:r w:rsidRPr="00534A39" w:rsidR="000D6624">
        <w:rPr>
          <w:rFonts w:ascii="Times New Roman" w:hAnsi="Times New Roman"/>
          <w:color w:val="000000"/>
          <w:szCs w:val="24"/>
        </w:rPr>
        <w:lastRenderedPageBreak/>
        <w:t>agent or conservator</w:t>
      </w:r>
      <w:r w:rsidRPr="00534A39" w:rsidR="00D52A0B">
        <w:rPr>
          <w:rFonts w:ascii="Times New Roman" w:hAnsi="Times New Roman"/>
          <w:color w:val="000000"/>
          <w:szCs w:val="24"/>
        </w:rPr>
        <w:t xml:space="preserve">.  The defects and misalignment of incentives in the securitization process for residential mortgages were a significant contributor to the erosion of underwriting standards throughout the mortgage finance system.  </w:t>
      </w:r>
      <w:r w:rsidR="005D2336">
        <w:rPr>
          <w:rFonts w:ascii="Times New Roman" w:hAnsi="Times New Roman"/>
          <w:color w:val="000000"/>
          <w:szCs w:val="24"/>
        </w:rPr>
        <w:t>I</w:t>
      </w:r>
      <w:r w:rsidRPr="00534A39" w:rsidR="00D52A0B">
        <w:rPr>
          <w:rFonts w:ascii="Times New Roman" w:hAnsi="Times New Roman"/>
          <w:color w:val="000000"/>
          <w:szCs w:val="24"/>
        </w:rPr>
        <w:t xml:space="preserve">nsured banks and thrifts made many troubled loans as underwriting standards declined under the competitive pressures created by the returns achieved by lenders and service providers through the “originate to distribute” model. </w:t>
      </w:r>
    </w:p>
    <w:p w:rsidRPr="00534A39" w:rsidR="00D52A0B" w:rsidP="00F621AC" w:rsidRDefault="00D52A0B" w14:paraId="33EF5F02" w14:textId="77777777">
      <w:pPr>
        <w:ind w:left="720" w:hanging="720"/>
        <w:rPr>
          <w:rFonts w:ascii="Times New Roman" w:hAnsi="Times New Roman"/>
          <w:color w:val="000000"/>
          <w:szCs w:val="24"/>
        </w:rPr>
      </w:pPr>
    </w:p>
    <w:p w:rsidRPr="00534A39" w:rsidR="00E51F39" w:rsidP="00F621AC" w:rsidRDefault="00F621AC" w14:paraId="011CB08A" w14:textId="77777777">
      <w:pPr>
        <w:ind w:left="720" w:hanging="720"/>
        <w:rPr>
          <w:rFonts w:ascii="Times New Roman" w:hAnsi="Times New Roman"/>
          <w:color w:val="000000"/>
          <w:szCs w:val="24"/>
        </w:rPr>
      </w:pPr>
      <w:r w:rsidRPr="00534A39">
        <w:rPr>
          <w:rFonts w:ascii="Times New Roman" w:hAnsi="Times New Roman"/>
          <w:color w:val="000000"/>
          <w:szCs w:val="24"/>
        </w:rPr>
        <w:tab/>
      </w:r>
      <w:r w:rsidRPr="00534A39" w:rsidR="00D52A0B">
        <w:rPr>
          <w:rFonts w:ascii="Times New Roman" w:hAnsi="Times New Roman"/>
          <w:color w:val="000000"/>
          <w:szCs w:val="24"/>
        </w:rPr>
        <w:t xml:space="preserve">Defects in the incentives provided by securitization through immediate gains on sale for transfers into securitization vehicles and fee income directly led to material adverse consequences for insured banks and thrifts.  Among these consequences were increased repurchase demands under representations and warranties contained in securitization agreements, losses on purchased mortgage and asset-backed securities, severe declines in financial asset values and in mortgage- and asset-backed security values due to spreading market uncertainty about the value of structured finance investments, and impairments in overall financial prospects due to the accelerated decline in housing values and overall economic activity.  These consequences, and the overall economic conditions, directly led to the failures of many </w:t>
      </w:r>
      <w:r w:rsidR="00926B43">
        <w:rPr>
          <w:rFonts w:ascii="Times New Roman" w:hAnsi="Times New Roman"/>
          <w:color w:val="000000"/>
          <w:szCs w:val="24"/>
        </w:rPr>
        <w:t>banks and thrifts</w:t>
      </w:r>
      <w:r w:rsidRPr="00534A39" w:rsidR="00D52A0B">
        <w:rPr>
          <w:rFonts w:ascii="Times New Roman" w:hAnsi="Times New Roman"/>
          <w:color w:val="000000"/>
          <w:szCs w:val="24"/>
        </w:rPr>
        <w:t xml:space="preserve"> and to significant losses to the </w:t>
      </w:r>
      <w:r w:rsidR="00926B43">
        <w:rPr>
          <w:rFonts w:ascii="Times New Roman" w:hAnsi="Times New Roman"/>
          <w:color w:val="000000"/>
          <w:szCs w:val="24"/>
        </w:rPr>
        <w:t>Federal Deposit Insurance Fund</w:t>
      </w:r>
      <w:r w:rsidRPr="00534A39" w:rsidR="00D52A0B">
        <w:rPr>
          <w:rFonts w:ascii="Times New Roman" w:hAnsi="Times New Roman"/>
          <w:color w:val="000000"/>
          <w:szCs w:val="24"/>
        </w:rPr>
        <w:t xml:space="preserve">.  </w:t>
      </w:r>
    </w:p>
    <w:p w:rsidRPr="00534A39" w:rsidR="005A4AA6" w:rsidP="00F621AC" w:rsidRDefault="005A4AA6" w14:paraId="44AD4552" w14:textId="77777777">
      <w:pPr>
        <w:ind w:left="720" w:hanging="720"/>
        <w:rPr>
          <w:rFonts w:ascii="Times New Roman" w:hAnsi="Times New Roman"/>
        </w:rPr>
      </w:pPr>
    </w:p>
    <w:p w:rsidRPr="00534A39" w:rsidR="005A4AA6" w:rsidP="00F621AC" w:rsidRDefault="00F621AC" w14:paraId="4649348E" w14:textId="77777777">
      <w:pPr>
        <w:ind w:left="720" w:hanging="720"/>
        <w:rPr>
          <w:rFonts w:ascii="Times New Roman" w:hAnsi="Times New Roman"/>
        </w:rPr>
      </w:pPr>
      <w:r w:rsidRPr="00534A39">
        <w:rPr>
          <w:rFonts w:ascii="Times New Roman" w:hAnsi="Times New Roman"/>
        </w:rPr>
        <w:tab/>
      </w:r>
      <w:r w:rsidRPr="00534A39" w:rsidR="005A4AA6">
        <w:rPr>
          <w:rFonts w:ascii="Times New Roman" w:hAnsi="Times New Roman"/>
        </w:rPr>
        <w:t xml:space="preserve">In the context of a conservatorship or receivership, the conditions applicable to all securitizations will improve overall transparency and clarity through disclosure and documentation requirements along with ensuring effective incentives for prudent lending by requiring that the payment of principal and interest be based primarily on the performance of the financial assets and by requiring retention of a share of the credit risk in the securitized loans.  </w:t>
      </w:r>
    </w:p>
    <w:p w:rsidRPr="00534A39" w:rsidR="005A4AA6" w:rsidP="00F621AC" w:rsidRDefault="005A4AA6" w14:paraId="017201C2" w14:textId="77777777">
      <w:pPr>
        <w:ind w:left="720" w:hanging="720"/>
        <w:rPr>
          <w:rFonts w:ascii="Times New Roman" w:hAnsi="Times New Roman"/>
        </w:rPr>
      </w:pPr>
    </w:p>
    <w:p w:rsidRPr="00534A39" w:rsidR="005A4AA6" w:rsidP="00F621AC" w:rsidRDefault="00F621AC" w14:paraId="0DBA1E9C" w14:textId="77777777">
      <w:pPr>
        <w:ind w:left="720" w:hanging="720"/>
        <w:rPr>
          <w:rFonts w:ascii="Times New Roman" w:hAnsi="Times New Roman"/>
          <w:bCs/>
        </w:rPr>
      </w:pPr>
      <w:r w:rsidRPr="00534A39">
        <w:rPr>
          <w:rFonts w:ascii="Times New Roman" w:hAnsi="Times New Roman"/>
        </w:rPr>
        <w:tab/>
      </w:r>
      <w:r w:rsidRPr="00534A39" w:rsidR="005A4AA6">
        <w:rPr>
          <w:rFonts w:ascii="Times New Roman" w:hAnsi="Times New Roman"/>
        </w:rPr>
        <w:t xml:space="preserve">The conditions applicable to RMBS are more detailed and explicit and require additional capital structure changes, disclosures, and documentation, the establishment of a reserve and deferral of compensation.  These standards are intended to address the factors that caused significant losses in current RMBS securitization structures as demonstrated in the </w:t>
      </w:r>
      <w:r w:rsidR="006F084A">
        <w:rPr>
          <w:rFonts w:ascii="Times New Roman" w:hAnsi="Times New Roman"/>
        </w:rPr>
        <w:t>2007-2008 financial</w:t>
      </w:r>
      <w:r w:rsidRPr="00534A39" w:rsidR="006F084A">
        <w:rPr>
          <w:rFonts w:ascii="Times New Roman" w:hAnsi="Times New Roman"/>
        </w:rPr>
        <w:t xml:space="preserve"> </w:t>
      </w:r>
      <w:r w:rsidRPr="00534A39" w:rsidR="005A4AA6">
        <w:rPr>
          <w:rFonts w:ascii="Times New Roman" w:hAnsi="Times New Roman"/>
        </w:rPr>
        <w:t>crisis.  Confidence can be restored in RMBS markets only through greater transparency and other structures that support sustainable mortgage origination practices and requiring increased disclosures.  These standards respond to investor demands for greater transparency and alignment of the interests of parties to the securitization.  In addition, they are generally consistent with industry efforts wh</w:t>
      </w:r>
      <w:r w:rsidRPr="00534A39" w:rsidR="00263FE6">
        <w:rPr>
          <w:rFonts w:ascii="Times New Roman" w:hAnsi="Times New Roman"/>
        </w:rPr>
        <w:t xml:space="preserve">ile taking into account </w:t>
      </w:r>
      <w:r w:rsidRPr="00534A39" w:rsidR="00DC6118">
        <w:rPr>
          <w:rFonts w:ascii="Times New Roman" w:hAnsi="Times New Roman"/>
        </w:rPr>
        <w:t>legislative</w:t>
      </w:r>
      <w:r w:rsidRPr="00534A39" w:rsidR="005A4AA6">
        <w:rPr>
          <w:rFonts w:ascii="Times New Roman" w:hAnsi="Times New Roman"/>
        </w:rPr>
        <w:t xml:space="preserve"> initiatives. </w:t>
      </w:r>
    </w:p>
    <w:p w:rsidRPr="00534A39" w:rsidR="003215BD" w:rsidRDefault="003215BD" w14:paraId="383503D1" w14:textId="77777777">
      <w:pPr>
        <w:rPr>
          <w:rFonts w:ascii="Times New Roman" w:hAnsi="Times New Roman"/>
        </w:rPr>
      </w:pPr>
    </w:p>
    <w:p w:rsidRPr="00BE1FC3" w:rsidR="00BE1FC3" w:rsidP="00BE1FC3" w:rsidRDefault="00BE1FC3" w14:paraId="64E0304B" w14:textId="77777777">
      <w:pPr>
        <w:pStyle w:val="BodyTextIndent2"/>
        <w:spacing w:after="0" w:line="240" w:lineRule="auto"/>
        <w:ind w:left="0"/>
        <w:rPr>
          <w:rFonts w:ascii="Times New Roman" w:hAnsi="Times New Roman"/>
          <w:b/>
        </w:rPr>
      </w:pPr>
      <w:r w:rsidRPr="00BE1FC3">
        <w:rPr>
          <w:rFonts w:ascii="Times New Roman" w:hAnsi="Times New Roman"/>
          <w:b/>
        </w:rPr>
        <w:t>2.</w:t>
      </w:r>
      <w:r w:rsidRPr="00BE1FC3">
        <w:rPr>
          <w:rFonts w:ascii="Times New Roman" w:hAnsi="Times New Roman"/>
          <w:b/>
        </w:rPr>
        <w:tab/>
        <w:t>Purpose and use of the information collected.</w:t>
      </w:r>
    </w:p>
    <w:p w:rsidR="002853C9" w:rsidP="00F621AC" w:rsidRDefault="002853C9" w14:paraId="07A99ACC" w14:textId="77777777">
      <w:pPr>
        <w:widowControl/>
        <w:tabs>
          <w:tab w:val="left" w:pos="720"/>
        </w:tabs>
        <w:ind w:left="720" w:hanging="720"/>
        <w:rPr>
          <w:rFonts w:ascii="Times New Roman" w:hAnsi="Times New Roman"/>
        </w:rPr>
      </w:pPr>
    </w:p>
    <w:p w:rsidRPr="00534A39" w:rsidR="003215BD" w:rsidP="00F621AC" w:rsidRDefault="00F621AC" w14:paraId="10A426A8" w14:textId="77777777">
      <w:pPr>
        <w:widowControl/>
        <w:tabs>
          <w:tab w:val="left" w:pos="720"/>
        </w:tabs>
        <w:ind w:left="720" w:hanging="720"/>
        <w:rPr>
          <w:rFonts w:ascii="Times New Roman" w:hAnsi="Times New Roman"/>
        </w:rPr>
      </w:pPr>
      <w:r w:rsidRPr="00534A39">
        <w:rPr>
          <w:rFonts w:ascii="Times New Roman" w:hAnsi="Times New Roman"/>
        </w:rPr>
        <w:tab/>
      </w:r>
      <w:r w:rsidRPr="00534A39" w:rsidR="00D52A0B">
        <w:rPr>
          <w:rFonts w:ascii="Times New Roman" w:hAnsi="Times New Roman"/>
        </w:rPr>
        <w:t xml:space="preserve">The conditions are designed to provide greater clarity and transparency to allow a better ongoing evaluation of the quality of lending by </w:t>
      </w:r>
      <w:r w:rsidRPr="00534A39" w:rsidR="005012DC">
        <w:rPr>
          <w:rFonts w:ascii="Times New Roman" w:hAnsi="Times New Roman"/>
        </w:rPr>
        <w:t xml:space="preserve">credit unions </w:t>
      </w:r>
      <w:r w:rsidRPr="00534A39" w:rsidR="00D52A0B">
        <w:rPr>
          <w:rFonts w:ascii="Times New Roman" w:hAnsi="Times New Roman"/>
        </w:rPr>
        <w:t xml:space="preserve">and reduce the risks to the </w:t>
      </w:r>
      <w:r w:rsidRPr="00534A39" w:rsidR="00BD4435">
        <w:rPr>
          <w:rFonts w:ascii="Times New Roman" w:hAnsi="Times New Roman"/>
        </w:rPr>
        <w:t xml:space="preserve">NCUSIF </w:t>
      </w:r>
      <w:r w:rsidRPr="00534A39" w:rsidR="00D52A0B">
        <w:rPr>
          <w:rFonts w:ascii="Times New Roman" w:hAnsi="Times New Roman"/>
        </w:rPr>
        <w:t xml:space="preserve">from the opaque securitization structures and the poorly underwritten loans that led to the onset of the financial crisis.  In addition, these conditions are designed to address the difficulties provided by the existing model of securitization.  However, greater transparency is not solely for investors but will serve to more closely tie the </w:t>
      </w:r>
      <w:r w:rsidRPr="00534A39" w:rsidR="00D52A0B">
        <w:rPr>
          <w:rFonts w:ascii="Times New Roman" w:hAnsi="Times New Roman"/>
        </w:rPr>
        <w:lastRenderedPageBreak/>
        <w:t xml:space="preserve">origination of loans to their long-term performance by requiring disclosure of that performance.  </w:t>
      </w:r>
    </w:p>
    <w:p w:rsidRPr="00534A39" w:rsidR="00D52A0B" w:rsidP="00F621AC" w:rsidRDefault="00D52A0B" w14:paraId="046BA465" w14:textId="77777777">
      <w:pPr>
        <w:widowControl/>
        <w:tabs>
          <w:tab w:val="left" w:pos="720"/>
        </w:tabs>
        <w:ind w:left="720" w:hanging="720"/>
        <w:rPr>
          <w:rFonts w:ascii="Times New Roman" w:hAnsi="Times New Roman"/>
          <w:color w:val="000000"/>
          <w:szCs w:val="24"/>
        </w:rPr>
      </w:pPr>
    </w:p>
    <w:p w:rsidRPr="00BE1FC3" w:rsidR="00BE1FC3" w:rsidP="00BE1FC3" w:rsidRDefault="00BE1FC3" w14:paraId="308E745C" w14:textId="77777777">
      <w:pPr>
        <w:rPr>
          <w:rFonts w:ascii="Times New Roman" w:hAnsi="Times New Roman"/>
          <w:b/>
        </w:rPr>
      </w:pPr>
      <w:r w:rsidRPr="00BE1FC3">
        <w:rPr>
          <w:rFonts w:ascii="Times New Roman" w:hAnsi="Times New Roman"/>
          <w:b/>
        </w:rPr>
        <w:t>3.</w:t>
      </w:r>
      <w:r w:rsidRPr="00BE1FC3">
        <w:rPr>
          <w:rFonts w:ascii="Times New Roman" w:hAnsi="Times New Roman"/>
          <w:b/>
        </w:rPr>
        <w:tab/>
        <w:t>Use of information technology.</w:t>
      </w:r>
    </w:p>
    <w:p w:rsidR="002853C9" w:rsidP="00F621AC" w:rsidRDefault="002853C9" w14:paraId="6412B3B4" w14:textId="77777777">
      <w:pPr>
        <w:tabs>
          <w:tab w:val="left" w:pos="720"/>
        </w:tabs>
        <w:ind w:left="720" w:hanging="720"/>
        <w:rPr>
          <w:rFonts w:ascii="Times New Roman" w:hAnsi="Times New Roman"/>
          <w:szCs w:val="24"/>
        </w:rPr>
      </w:pPr>
    </w:p>
    <w:p w:rsidRPr="00534A39" w:rsidR="003215BD" w:rsidP="00F621AC" w:rsidRDefault="00F621AC" w14:paraId="3C84E8C4" w14:textId="77777777">
      <w:pPr>
        <w:tabs>
          <w:tab w:val="left" w:pos="720"/>
        </w:tabs>
        <w:ind w:left="720" w:hanging="720"/>
        <w:rPr>
          <w:rFonts w:ascii="Times New Roman" w:hAnsi="Times New Roman"/>
          <w:szCs w:val="24"/>
        </w:rPr>
      </w:pPr>
      <w:r w:rsidRPr="00534A39">
        <w:rPr>
          <w:rFonts w:ascii="Times New Roman" w:hAnsi="Times New Roman"/>
          <w:szCs w:val="24"/>
        </w:rPr>
        <w:tab/>
      </w:r>
      <w:r w:rsidRPr="00534A39" w:rsidR="005A4AA6">
        <w:rPr>
          <w:rFonts w:ascii="Times New Roman" w:hAnsi="Times New Roman"/>
          <w:szCs w:val="24"/>
        </w:rPr>
        <w:t>Compliance with disclosure provisions and oth</w:t>
      </w:r>
      <w:r w:rsidRPr="00534A39" w:rsidR="00A608B4">
        <w:rPr>
          <w:rFonts w:ascii="Times New Roman" w:hAnsi="Times New Roman"/>
          <w:szCs w:val="24"/>
        </w:rPr>
        <w:t xml:space="preserve">er requirements of the </w:t>
      </w:r>
      <w:r w:rsidRPr="00534A39" w:rsidR="005A4AA6">
        <w:rPr>
          <w:rFonts w:ascii="Times New Roman" w:hAnsi="Times New Roman"/>
          <w:szCs w:val="24"/>
        </w:rPr>
        <w:t>rule</w:t>
      </w:r>
      <w:r w:rsidRPr="00534A39" w:rsidR="003215BD">
        <w:rPr>
          <w:rFonts w:ascii="Times New Roman" w:hAnsi="Times New Roman"/>
          <w:szCs w:val="24"/>
        </w:rPr>
        <w:t xml:space="preserve"> may be facilitated by whatever technology is available.  </w:t>
      </w:r>
    </w:p>
    <w:p w:rsidRPr="00534A39" w:rsidR="003215BD" w:rsidP="00F621AC" w:rsidRDefault="003215BD" w14:paraId="51E28204" w14:textId="77777777">
      <w:pPr>
        <w:tabs>
          <w:tab w:val="left" w:pos="720"/>
        </w:tabs>
        <w:ind w:left="720" w:hanging="720"/>
        <w:rPr>
          <w:rFonts w:ascii="Times New Roman" w:hAnsi="Times New Roman"/>
          <w:color w:val="000000"/>
          <w:szCs w:val="24"/>
        </w:rPr>
      </w:pPr>
    </w:p>
    <w:p w:rsidRPr="00BE1FC3" w:rsidR="00BE1FC3" w:rsidP="00BE1FC3" w:rsidRDefault="00BE1FC3" w14:paraId="79A2B2FC" w14:textId="77777777">
      <w:pPr>
        <w:rPr>
          <w:rFonts w:ascii="Times New Roman" w:hAnsi="Times New Roman"/>
          <w:b/>
        </w:rPr>
      </w:pPr>
      <w:r w:rsidRPr="00BE1FC3">
        <w:rPr>
          <w:rFonts w:ascii="Times New Roman" w:hAnsi="Times New Roman"/>
          <w:b/>
        </w:rPr>
        <w:t>4.</w:t>
      </w:r>
      <w:r w:rsidRPr="00BE1FC3">
        <w:rPr>
          <w:rFonts w:ascii="Times New Roman" w:hAnsi="Times New Roman"/>
          <w:b/>
        </w:rPr>
        <w:tab/>
        <w:t>Duplication of information.</w:t>
      </w:r>
    </w:p>
    <w:p w:rsidR="002853C9" w:rsidP="00F621AC" w:rsidRDefault="002853C9" w14:paraId="71B95E16" w14:textId="77777777">
      <w:pPr>
        <w:tabs>
          <w:tab w:val="left" w:pos="720"/>
        </w:tabs>
        <w:ind w:left="720" w:hanging="720"/>
        <w:rPr>
          <w:rFonts w:ascii="Times New Roman" w:hAnsi="Times New Roman"/>
          <w:color w:val="000000"/>
          <w:szCs w:val="24"/>
        </w:rPr>
      </w:pPr>
    </w:p>
    <w:p w:rsidRPr="00534A39" w:rsidR="003215BD" w:rsidP="00F621AC" w:rsidRDefault="00F621AC" w14:paraId="6F5B6B99" w14:textId="77777777">
      <w:pPr>
        <w:tabs>
          <w:tab w:val="left" w:pos="720"/>
        </w:tabs>
        <w:ind w:left="720" w:hanging="720"/>
        <w:rPr>
          <w:rFonts w:ascii="Times New Roman" w:hAnsi="Times New Roman"/>
        </w:rPr>
      </w:pPr>
      <w:r w:rsidRPr="00534A39">
        <w:rPr>
          <w:rFonts w:ascii="Times New Roman" w:hAnsi="Times New Roman"/>
          <w:color w:val="000000"/>
          <w:szCs w:val="24"/>
        </w:rPr>
        <w:tab/>
      </w:r>
      <w:r w:rsidR="009E5C7A">
        <w:rPr>
          <w:rFonts w:ascii="Times New Roman" w:hAnsi="Times New Roman"/>
          <w:color w:val="000000"/>
          <w:szCs w:val="24"/>
        </w:rPr>
        <w:t>There is no duplication.</w:t>
      </w:r>
    </w:p>
    <w:p w:rsidRPr="00534A39" w:rsidR="003215BD" w:rsidP="00F621AC" w:rsidRDefault="003215BD" w14:paraId="213BC54B" w14:textId="77777777">
      <w:pPr>
        <w:tabs>
          <w:tab w:val="left" w:pos="720"/>
        </w:tabs>
        <w:ind w:left="720" w:hanging="720"/>
        <w:rPr>
          <w:rFonts w:ascii="Times New Roman" w:hAnsi="Times New Roman"/>
          <w:color w:val="000000"/>
          <w:szCs w:val="24"/>
        </w:rPr>
      </w:pPr>
    </w:p>
    <w:p w:rsidRPr="00BE1FC3" w:rsidR="00BE1FC3" w:rsidP="00BE1FC3" w:rsidRDefault="00BE1FC3" w14:paraId="0D0C99B4" w14:textId="77777777">
      <w:pPr>
        <w:rPr>
          <w:rFonts w:ascii="Times New Roman" w:hAnsi="Times New Roman"/>
          <w:b/>
        </w:rPr>
      </w:pPr>
      <w:r w:rsidRPr="00BE1FC3">
        <w:rPr>
          <w:rFonts w:ascii="Times New Roman" w:hAnsi="Times New Roman"/>
          <w:b/>
        </w:rPr>
        <w:t>5.</w:t>
      </w:r>
      <w:r w:rsidRPr="00BE1FC3">
        <w:rPr>
          <w:rFonts w:ascii="Times New Roman" w:hAnsi="Times New Roman"/>
          <w:b/>
        </w:rPr>
        <w:tab/>
        <w:t>Efforts to reduce burden on small entities.</w:t>
      </w:r>
    </w:p>
    <w:p w:rsidRPr="00534A39" w:rsidR="002853C9" w:rsidP="00F621AC" w:rsidRDefault="002853C9" w14:paraId="37713E7F" w14:textId="77777777">
      <w:pPr>
        <w:rPr>
          <w:rFonts w:ascii="Times New Roman" w:hAnsi="Times New Roman"/>
        </w:rPr>
      </w:pPr>
    </w:p>
    <w:p w:rsidRPr="00534A39" w:rsidR="003215BD" w:rsidP="00FD0867" w:rsidRDefault="00F621AC" w14:paraId="0E775925" w14:textId="77777777">
      <w:pPr>
        <w:tabs>
          <w:tab w:val="left" w:pos="720"/>
        </w:tabs>
        <w:ind w:left="720" w:hanging="720"/>
        <w:rPr>
          <w:rFonts w:ascii="Times New Roman" w:hAnsi="Times New Roman"/>
        </w:rPr>
      </w:pPr>
      <w:r w:rsidRPr="00534A39">
        <w:rPr>
          <w:rFonts w:ascii="Times New Roman" w:hAnsi="Times New Roman"/>
        </w:rPr>
        <w:tab/>
      </w:r>
      <w:r w:rsidRPr="00534A39" w:rsidR="003215BD">
        <w:rPr>
          <w:rFonts w:ascii="Times New Roman" w:hAnsi="Times New Roman"/>
        </w:rPr>
        <w:t xml:space="preserve">The information is collected only from a limited group of </w:t>
      </w:r>
      <w:r w:rsidR="00B61A3D">
        <w:rPr>
          <w:rFonts w:ascii="Times New Roman" w:hAnsi="Times New Roman"/>
        </w:rPr>
        <w:t>F</w:t>
      </w:r>
      <w:r w:rsidRPr="00534A39" w:rsidR="00BD4435">
        <w:rPr>
          <w:rFonts w:ascii="Times New Roman" w:hAnsi="Times New Roman"/>
          <w:color w:val="000000"/>
          <w:szCs w:val="24"/>
        </w:rPr>
        <w:t>ICUs</w:t>
      </w:r>
      <w:r w:rsidRPr="00534A39" w:rsidR="005A4AA6">
        <w:rPr>
          <w:rFonts w:ascii="Times New Roman" w:hAnsi="Times New Roman"/>
        </w:rPr>
        <w:t xml:space="preserve"> who engage in securitization transactions</w:t>
      </w:r>
      <w:r w:rsidRPr="00534A39" w:rsidR="003215BD">
        <w:rPr>
          <w:rFonts w:ascii="Times New Roman" w:hAnsi="Times New Roman"/>
        </w:rPr>
        <w:t>.  Small entities are not affected.</w:t>
      </w:r>
    </w:p>
    <w:p w:rsidRPr="00534A39" w:rsidR="003215BD" w:rsidP="00F621AC" w:rsidRDefault="003215BD" w14:paraId="13A38D1A" w14:textId="77777777">
      <w:pPr>
        <w:tabs>
          <w:tab w:val="left" w:pos="720"/>
        </w:tabs>
        <w:ind w:left="720" w:hanging="720"/>
        <w:rPr>
          <w:rFonts w:ascii="Times New Roman" w:hAnsi="Times New Roman"/>
          <w:szCs w:val="24"/>
        </w:rPr>
      </w:pPr>
    </w:p>
    <w:p w:rsidRPr="00BE1FC3" w:rsidR="00BE1FC3" w:rsidP="00BE1FC3" w:rsidRDefault="00BE1FC3" w14:paraId="0468DBD1" w14:textId="77777777">
      <w:pPr>
        <w:rPr>
          <w:rFonts w:ascii="Times New Roman" w:hAnsi="Times New Roman"/>
          <w:b/>
        </w:rPr>
      </w:pPr>
      <w:r w:rsidRPr="00BE1FC3">
        <w:rPr>
          <w:rFonts w:ascii="Times New Roman" w:hAnsi="Times New Roman"/>
          <w:b/>
        </w:rPr>
        <w:t>6.</w:t>
      </w:r>
      <w:r w:rsidRPr="00BE1FC3">
        <w:rPr>
          <w:rFonts w:ascii="Times New Roman" w:hAnsi="Times New Roman"/>
          <w:b/>
        </w:rPr>
        <w:tab/>
        <w:t xml:space="preserve">Consequences of not conducting the collection. </w:t>
      </w:r>
    </w:p>
    <w:p w:rsidR="002853C9" w:rsidP="00F621AC" w:rsidRDefault="002853C9" w14:paraId="45C58B56" w14:textId="77777777">
      <w:pPr>
        <w:widowControl/>
        <w:tabs>
          <w:tab w:val="left" w:pos="720"/>
        </w:tabs>
        <w:ind w:left="720" w:hanging="720"/>
        <w:rPr>
          <w:rFonts w:ascii="Times New Roman" w:hAnsi="Times New Roman"/>
        </w:rPr>
      </w:pPr>
    </w:p>
    <w:p w:rsidRPr="00534A39" w:rsidR="005A4AA6" w:rsidP="00F621AC" w:rsidRDefault="00FD0867" w14:paraId="467F34BD" w14:textId="77777777">
      <w:pPr>
        <w:widowControl/>
        <w:tabs>
          <w:tab w:val="left" w:pos="720"/>
        </w:tabs>
        <w:ind w:left="720" w:hanging="720"/>
        <w:rPr>
          <w:rFonts w:ascii="Times New Roman" w:hAnsi="Times New Roman"/>
        </w:rPr>
      </w:pPr>
      <w:r w:rsidRPr="00534A39">
        <w:rPr>
          <w:rFonts w:ascii="Times New Roman" w:hAnsi="Times New Roman"/>
        </w:rPr>
        <w:tab/>
      </w:r>
      <w:r w:rsidRPr="00534A39" w:rsidR="005A4AA6">
        <w:rPr>
          <w:rFonts w:ascii="Times New Roman" w:hAnsi="Times New Roman"/>
        </w:rPr>
        <w:t xml:space="preserve">The conditions are designed to provide greater clarity and transparency to allow a better ongoing evaluation of the quality of lending by banks and reduce the risks to the </w:t>
      </w:r>
      <w:r w:rsidRPr="00534A39" w:rsidR="00BD4435">
        <w:rPr>
          <w:rFonts w:ascii="Times New Roman" w:hAnsi="Times New Roman"/>
        </w:rPr>
        <w:t xml:space="preserve">NCUSIF </w:t>
      </w:r>
      <w:r w:rsidRPr="00534A39" w:rsidR="005A4AA6">
        <w:rPr>
          <w:rFonts w:ascii="Times New Roman" w:hAnsi="Times New Roman"/>
        </w:rPr>
        <w:t>from the opaque securitization structures and the poorly underwritten loans that led to the onset of the financial crisis.</w:t>
      </w:r>
      <w:r w:rsidR="00DC0836">
        <w:rPr>
          <w:rFonts w:ascii="Times New Roman" w:hAnsi="Times New Roman"/>
        </w:rPr>
        <w:t xml:space="preserve"> </w:t>
      </w:r>
      <w:r w:rsidRPr="00534A39" w:rsidR="005A4AA6">
        <w:rPr>
          <w:rFonts w:ascii="Times New Roman" w:hAnsi="Times New Roman"/>
        </w:rPr>
        <w:t xml:space="preserve"> Less frequent disclosure would render the information stale and unable to be use</w:t>
      </w:r>
      <w:r w:rsidRPr="00534A39" w:rsidR="00104B16">
        <w:rPr>
          <w:rFonts w:ascii="Times New Roman" w:hAnsi="Times New Roman"/>
        </w:rPr>
        <w:t>d by investors to evaluate the credit risk of</w:t>
      </w:r>
      <w:r w:rsidRPr="00534A39" w:rsidR="005A4AA6">
        <w:rPr>
          <w:rFonts w:ascii="Times New Roman" w:hAnsi="Times New Roman"/>
        </w:rPr>
        <w:t xml:space="preserve"> a given securitization</w:t>
      </w:r>
      <w:r w:rsidR="00DC0836">
        <w:rPr>
          <w:rFonts w:ascii="Times New Roman" w:hAnsi="Times New Roman"/>
        </w:rPr>
        <w:t>.</w:t>
      </w:r>
    </w:p>
    <w:p w:rsidRPr="00534A39" w:rsidR="005A4AA6" w:rsidP="00F621AC" w:rsidRDefault="005A4AA6" w14:paraId="19170FFA" w14:textId="77777777">
      <w:pPr>
        <w:widowControl/>
        <w:tabs>
          <w:tab w:val="left" w:pos="720"/>
        </w:tabs>
        <w:ind w:left="720" w:hanging="720"/>
        <w:rPr>
          <w:rFonts w:ascii="Times New Roman" w:hAnsi="Times New Roman"/>
        </w:rPr>
      </w:pPr>
    </w:p>
    <w:p w:rsidRPr="00BE1FC3" w:rsidR="00BE1FC3" w:rsidP="00BE1FC3" w:rsidRDefault="00BE1FC3" w14:paraId="24CCB114" w14:textId="77777777">
      <w:pPr>
        <w:rPr>
          <w:rFonts w:ascii="Times New Roman" w:hAnsi="Times New Roman"/>
          <w:b/>
        </w:rPr>
      </w:pPr>
      <w:r w:rsidRPr="00BE1FC3">
        <w:rPr>
          <w:rFonts w:ascii="Times New Roman" w:hAnsi="Times New Roman"/>
          <w:b/>
        </w:rPr>
        <w:t>7.</w:t>
      </w:r>
      <w:r w:rsidRPr="00BE1FC3">
        <w:rPr>
          <w:rFonts w:ascii="Times New Roman" w:hAnsi="Times New Roman"/>
          <w:b/>
        </w:rPr>
        <w:tab/>
        <w:t>Inconsistencies with guidelines in 5 CFR 1320.5(d)(2).</w:t>
      </w:r>
    </w:p>
    <w:p w:rsidR="002853C9" w:rsidP="00F621AC" w:rsidRDefault="002853C9" w14:paraId="5BB21C23" w14:textId="77777777">
      <w:pPr>
        <w:tabs>
          <w:tab w:val="left" w:pos="720"/>
        </w:tabs>
        <w:ind w:left="720" w:hanging="720"/>
        <w:rPr>
          <w:rFonts w:ascii="Times New Roman" w:hAnsi="Times New Roman"/>
          <w:color w:val="000000"/>
          <w:szCs w:val="24"/>
        </w:rPr>
      </w:pPr>
    </w:p>
    <w:p w:rsidRPr="00534A39" w:rsidR="003215BD" w:rsidP="00F621AC" w:rsidRDefault="00FD0867" w14:paraId="5AEE5CAE" w14:textId="77777777">
      <w:pPr>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sidR="00534A39">
        <w:rPr>
          <w:rFonts w:ascii="Times New Roman" w:hAnsi="Times New Roman"/>
          <w:color w:val="000000"/>
          <w:szCs w:val="24"/>
        </w:rPr>
        <w:t>There are no special circumstances.  The collection of information is conducted in a manner consistent with the guidelines in 5 CFR 1320.5(d)(2).</w:t>
      </w:r>
    </w:p>
    <w:p w:rsidRPr="00534A39" w:rsidR="003215BD" w:rsidP="00F621AC" w:rsidRDefault="003215BD" w14:paraId="0566639E" w14:textId="77777777">
      <w:pPr>
        <w:widowControl/>
        <w:tabs>
          <w:tab w:val="left" w:pos="720"/>
        </w:tabs>
        <w:ind w:left="720" w:hanging="720"/>
        <w:rPr>
          <w:rFonts w:ascii="Times New Roman" w:hAnsi="Times New Roman"/>
          <w:color w:val="000000"/>
          <w:szCs w:val="24"/>
        </w:rPr>
      </w:pPr>
    </w:p>
    <w:p w:rsidRPr="00BE1FC3" w:rsidR="00BE1FC3" w:rsidP="00BE1FC3" w:rsidRDefault="00BE1FC3" w14:paraId="44086729" w14:textId="77777777">
      <w:pPr>
        <w:rPr>
          <w:rFonts w:ascii="Times New Roman" w:hAnsi="Times New Roman"/>
          <w:b/>
        </w:rPr>
      </w:pPr>
      <w:r w:rsidRPr="00BE1FC3">
        <w:rPr>
          <w:rFonts w:ascii="Times New Roman" w:hAnsi="Times New Roman"/>
          <w:b/>
        </w:rPr>
        <w:t>8.</w:t>
      </w:r>
      <w:r w:rsidRPr="00BE1FC3">
        <w:rPr>
          <w:rFonts w:ascii="Times New Roman" w:hAnsi="Times New Roman"/>
          <w:b/>
        </w:rPr>
        <w:tab/>
        <w:t>Efforts to consult with persons outside the agency.</w:t>
      </w:r>
    </w:p>
    <w:p w:rsidRPr="00534A39" w:rsidR="003215BD" w:rsidP="00F621AC" w:rsidRDefault="003215BD" w14:paraId="116A63AB" w14:textId="77777777">
      <w:pPr>
        <w:widowControl/>
        <w:tabs>
          <w:tab w:val="left" w:pos="720"/>
        </w:tabs>
        <w:ind w:left="720" w:hanging="720"/>
        <w:rPr>
          <w:rFonts w:ascii="Times New Roman" w:hAnsi="Times New Roman"/>
          <w:color w:val="000000"/>
          <w:szCs w:val="24"/>
        </w:rPr>
      </w:pPr>
    </w:p>
    <w:p w:rsidR="003215BD" w:rsidP="00F621AC" w:rsidRDefault="00FD0867" w14:paraId="397E4D72" w14:textId="20810DE7">
      <w:pPr>
        <w:widowControl/>
        <w:tabs>
          <w:tab w:val="left" w:pos="720"/>
        </w:tabs>
        <w:ind w:left="720" w:hanging="720"/>
        <w:rPr>
          <w:rFonts w:ascii="Times New Roman" w:hAnsi="Times New Roman"/>
        </w:rPr>
      </w:pPr>
      <w:r w:rsidRPr="00534A39">
        <w:rPr>
          <w:rFonts w:ascii="Times New Roman" w:hAnsi="Times New Roman"/>
          <w:color w:val="000000"/>
          <w:szCs w:val="24"/>
        </w:rPr>
        <w:tab/>
      </w:r>
      <w:r w:rsidR="00DC0836">
        <w:rPr>
          <w:rFonts w:ascii="Times New Roman" w:hAnsi="Times New Roman"/>
          <w:color w:val="000000"/>
          <w:szCs w:val="24"/>
        </w:rPr>
        <w:t xml:space="preserve">This is an extension of a currently approved collection.  </w:t>
      </w:r>
      <w:r w:rsidRPr="00DC0836" w:rsidR="00DC0836">
        <w:rPr>
          <w:rFonts w:ascii="Times New Roman" w:hAnsi="Times New Roman"/>
        </w:rPr>
        <w:t xml:space="preserve">A 60-day notice was published in the </w:t>
      </w:r>
      <w:r w:rsidRPr="00DC0836" w:rsidR="00DC0836">
        <w:rPr>
          <w:rFonts w:ascii="Times New Roman" w:hAnsi="Times New Roman"/>
          <w:i/>
        </w:rPr>
        <w:t>Federal Register</w:t>
      </w:r>
      <w:r w:rsidRPr="00DC0836" w:rsidR="00DC0836">
        <w:rPr>
          <w:rFonts w:ascii="Times New Roman" w:hAnsi="Times New Roman"/>
        </w:rPr>
        <w:t xml:space="preserve"> on</w:t>
      </w:r>
      <w:r w:rsidR="00DC0836">
        <w:rPr>
          <w:rFonts w:ascii="Times New Roman" w:hAnsi="Times New Roman"/>
        </w:rPr>
        <w:t xml:space="preserve"> </w:t>
      </w:r>
      <w:r w:rsidR="002853C9">
        <w:rPr>
          <w:rFonts w:ascii="Times New Roman" w:hAnsi="Times New Roman"/>
        </w:rPr>
        <w:t>August 27, 2021</w:t>
      </w:r>
      <w:r w:rsidRPr="00DC0836" w:rsidR="00DC0836">
        <w:rPr>
          <w:rFonts w:ascii="Times New Roman" w:hAnsi="Times New Roman"/>
        </w:rPr>
        <w:t xml:space="preserve">, at </w:t>
      </w:r>
      <w:r w:rsidR="002853C9">
        <w:rPr>
          <w:rFonts w:ascii="Times New Roman" w:hAnsi="Times New Roman"/>
        </w:rPr>
        <w:t>86 FR 48251</w:t>
      </w:r>
      <w:r w:rsidRPr="00DC0836" w:rsidR="00DC0836">
        <w:rPr>
          <w:rFonts w:ascii="Times New Roman" w:hAnsi="Times New Roman"/>
        </w:rPr>
        <w:t>, soliciting comments from the public.  No public comments were received in response to this notice</w:t>
      </w:r>
      <w:r w:rsidRPr="002853C9" w:rsidR="00DC0836">
        <w:rPr>
          <w:rFonts w:ascii="Times New Roman" w:hAnsi="Times New Roman"/>
        </w:rPr>
        <w:t>.</w:t>
      </w:r>
      <w:r w:rsidR="00DC0836">
        <w:rPr>
          <w:rFonts w:ascii="Times New Roman" w:hAnsi="Times New Roman"/>
        </w:rPr>
        <w:t xml:space="preserve"> </w:t>
      </w:r>
      <w:r w:rsidR="002853C9">
        <w:rPr>
          <w:rFonts w:ascii="Times New Roman" w:hAnsi="Times New Roman"/>
        </w:rPr>
        <w:t xml:space="preserve"> </w:t>
      </w:r>
    </w:p>
    <w:p w:rsidRPr="00534A39" w:rsidR="005E386C" w:rsidP="00F621AC" w:rsidRDefault="005E386C" w14:paraId="11FF1556" w14:textId="77777777">
      <w:pPr>
        <w:widowControl/>
        <w:tabs>
          <w:tab w:val="left" w:pos="720"/>
        </w:tabs>
        <w:ind w:left="720" w:hanging="720"/>
        <w:rPr>
          <w:rFonts w:ascii="Times New Roman" w:hAnsi="Times New Roman"/>
          <w:color w:val="000000"/>
          <w:szCs w:val="24"/>
        </w:rPr>
      </w:pPr>
    </w:p>
    <w:p w:rsidRPr="00BE1FC3" w:rsidR="00BE1FC3" w:rsidP="00BE1FC3" w:rsidRDefault="00BE1FC3" w14:paraId="3D6DDC57" w14:textId="77777777">
      <w:pPr>
        <w:rPr>
          <w:rFonts w:ascii="Times New Roman" w:hAnsi="Times New Roman"/>
          <w:b/>
        </w:rPr>
      </w:pPr>
      <w:r w:rsidRPr="00BE1FC3">
        <w:rPr>
          <w:rFonts w:ascii="Times New Roman" w:hAnsi="Times New Roman"/>
          <w:b/>
        </w:rPr>
        <w:t>9.</w:t>
      </w:r>
      <w:r w:rsidRPr="00BE1FC3">
        <w:rPr>
          <w:rFonts w:ascii="Times New Roman" w:hAnsi="Times New Roman"/>
          <w:b/>
        </w:rPr>
        <w:tab/>
        <w:t>Payment or gifts to respondents.</w:t>
      </w:r>
    </w:p>
    <w:p w:rsidR="002853C9" w:rsidP="00F621AC" w:rsidRDefault="002853C9" w14:paraId="3AAACBD9" w14:textId="77777777">
      <w:pPr>
        <w:widowControl/>
        <w:tabs>
          <w:tab w:val="left" w:pos="720"/>
        </w:tabs>
        <w:ind w:left="720" w:hanging="720"/>
        <w:rPr>
          <w:rFonts w:ascii="Times New Roman" w:hAnsi="Times New Roman"/>
          <w:color w:val="000000"/>
          <w:szCs w:val="24"/>
        </w:rPr>
      </w:pPr>
    </w:p>
    <w:p w:rsidRPr="00534A39" w:rsidR="003215BD" w:rsidP="00F621AC" w:rsidRDefault="00FD0867" w14:paraId="455B204B" w14:textId="77777777">
      <w:pPr>
        <w:widowControl/>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sidR="003215BD">
        <w:rPr>
          <w:rFonts w:ascii="Times New Roman" w:hAnsi="Times New Roman"/>
          <w:color w:val="000000"/>
          <w:szCs w:val="24"/>
        </w:rPr>
        <w:t xml:space="preserve">No </w:t>
      </w:r>
      <w:r w:rsidRPr="00534A39" w:rsidR="005012DC">
        <w:rPr>
          <w:rFonts w:ascii="Times New Roman" w:hAnsi="Times New Roman"/>
          <w:color w:val="000000"/>
          <w:szCs w:val="24"/>
        </w:rPr>
        <w:t xml:space="preserve">payment or </w:t>
      </w:r>
      <w:r w:rsidRPr="00534A39" w:rsidR="003215BD">
        <w:rPr>
          <w:rFonts w:ascii="Times New Roman" w:hAnsi="Times New Roman"/>
          <w:color w:val="000000"/>
          <w:szCs w:val="24"/>
        </w:rPr>
        <w:t>gifts to respondents</w:t>
      </w:r>
      <w:r w:rsidRPr="00534A39" w:rsidR="005012DC">
        <w:rPr>
          <w:rFonts w:ascii="Times New Roman" w:hAnsi="Times New Roman"/>
          <w:color w:val="000000"/>
          <w:szCs w:val="24"/>
        </w:rPr>
        <w:t xml:space="preserve"> are made</w:t>
      </w:r>
      <w:r w:rsidRPr="00534A39" w:rsidR="003215BD">
        <w:rPr>
          <w:rFonts w:ascii="Times New Roman" w:hAnsi="Times New Roman"/>
          <w:color w:val="000000"/>
          <w:szCs w:val="24"/>
        </w:rPr>
        <w:t xml:space="preserve">.  </w:t>
      </w:r>
    </w:p>
    <w:p w:rsidRPr="00534A39" w:rsidR="003215BD" w:rsidP="00F621AC" w:rsidRDefault="003215BD" w14:paraId="53F2BCA1" w14:textId="77777777">
      <w:pPr>
        <w:widowControl/>
        <w:tabs>
          <w:tab w:val="left" w:pos="720"/>
        </w:tabs>
        <w:ind w:left="720" w:hanging="720"/>
        <w:rPr>
          <w:rFonts w:ascii="Times New Roman" w:hAnsi="Times New Roman"/>
          <w:color w:val="000000"/>
          <w:szCs w:val="24"/>
        </w:rPr>
      </w:pPr>
    </w:p>
    <w:p w:rsidRPr="00BE1FC3" w:rsidR="00BE1FC3" w:rsidP="00BE1FC3" w:rsidRDefault="00BE1FC3" w14:paraId="223B4F19" w14:textId="77777777">
      <w:pPr>
        <w:rPr>
          <w:rFonts w:ascii="Times New Roman" w:hAnsi="Times New Roman"/>
          <w:b/>
        </w:rPr>
      </w:pPr>
      <w:r w:rsidRPr="00BE1FC3">
        <w:rPr>
          <w:rFonts w:ascii="Times New Roman" w:hAnsi="Times New Roman"/>
          <w:b/>
        </w:rPr>
        <w:t>10.</w:t>
      </w:r>
      <w:r w:rsidRPr="00BE1FC3">
        <w:rPr>
          <w:rFonts w:ascii="Times New Roman" w:hAnsi="Times New Roman"/>
          <w:b/>
        </w:rPr>
        <w:tab/>
        <w:t>Assurance of confidentiality.</w:t>
      </w:r>
    </w:p>
    <w:p w:rsidR="002853C9" w:rsidP="00F621AC" w:rsidRDefault="002853C9" w14:paraId="5856270E" w14:textId="77777777">
      <w:pPr>
        <w:widowControl/>
        <w:tabs>
          <w:tab w:val="left" w:pos="720"/>
        </w:tabs>
        <w:ind w:left="720" w:hanging="720"/>
        <w:rPr>
          <w:rFonts w:ascii="Times New Roman" w:hAnsi="Times New Roman"/>
          <w:szCs w:val="24"/>
        </w:rPr>
      </w:pPr>
    </w:p>
    <w:p w:rsidRPr="00DC0836" w:rsidR="00DC0836" w:rsidP="00F621AC" w:rsidRDefault="00FD0867" w14:paraId="7C252E08" w14:textId="77777777">
      <w:pPr>
        <w:widowControl/>
        <w:tabs>
          <w:tab w:val="left" w:pos="720"/>
        </w:tabs>
        <w:ind w:left="720" w:hanging="720"/>
        <w:rPr>
          <w:rFonts w:ascii="Times New Roman" w:hAnsi="Times New Roman"/>
        </w:rPr>
      </w:pPr>
      <w:r w:rsidRPr="00534A39">
        <w:rPr>
          <w:rFonts w:ascii="Times New Roman" w:hAnsi="Times New Roman"/>
          <w:szCs w:val="24"/>
        </w:rPr>
        <w:tab/>
      </w:r>
      <w:r w:rsidRPr="00DC0836" w:rsidR="00DC0836">
        <w:rPr>
          <w:rFonts w:ascii="Times New Roman" w:hAnsi="Times New Roman"/>
        </w:rPr>
        <w:t xml:space="preserve">There is no assurance of confidentiality other than that provided by law. </w:t>
      </w:r>
    </w:p>
    <w:p w:rsidRPr="00534A39" w:rsidR="003215BD" w:rsidP="00F621AC" w:rsidRDefault="003215BD" w14:paraId="3963E2F7" w14:textId="77777777">
      <w:pPr>
        <w:widowControl/>
        <w:tabs>
          <w:tab w:val="left" w:pos="720"/>
        </w:tabs>
        <w:ind w:left="720" w:hanging="720"/>
        <w:rPr>
          <w:rFonts w:ascii="Times New Roman" w:hAnsi="Times New Roman"/>
          <w:color w:val="000000"/>
          <w:szCs w:val="24"/>
        </w:rPr>
      </w:pPr>
    </w:p>
    <w:p w:rsidRPr="00BE1FC3" w:rsidR="00BE1FC3" w:rsidP="00BE1FC3" w:rsidRDefault="002853C9" w14:paraId="4806F386" w14:textId="77777777">
      <w:pPr>
        <w:rPr>
          <w:rFonts w:ascii="Times New Roman" w:hAnsi="Times New Roman"/>
          <w:b/>
        </w:rPr>
      </w:pPr>
      <w:r>
        <w:rPr>
          <w:rFonts w:ascii="Times New Roman" w:hAnsi="Times New Roman"/>
          <w:b/>
        </w:rPr>
        <w:br w:type="page"/>
      </w:r>
      <w:r w:rsidRPr="00BE1FC3" w:rsidR="00BE1FC3">
        <w:rPr>
          <w:rFonts w:ascii="Times New Roman" w:hAnsi="Times New Roman"/>
          <w:b/>
        </w:rPr>
        <w:lastRenderedPageBreak/>
        <w:t>11.</w:t>
      </w:r>
      <w:r w:rsidRPr="00BE1FC3" w:rsidR="00BE1FC3">
        <w:rPr>
          <w:rFonts w:ascii="Times New Roman" w:hAnsi="Times New Roman"/>
          <w:b/>
        </w:rPr>
        <w:tab/>
        <w:t>Questions of a sensitive nature.</w:t>
      </w:r>
    </w:p>
    <w:p w:rsidR="002853C9" w:rsidP="00F621AC" w:rsidRDefault="002853C9" w14:paraId="4DB934B2" w14:textId="77777777">
      <w:pPr>
        <w:widowControl/>
        <w:tabs>
          <w:tab w:val="left" w:pos="720"/>
        </w:tabs>
        <w:ind w:left="720" w:hanging="720"/>
        <w:rPr>
          <w:rFonts w:ascii="Times New Roman" w:hAnsi="Times New Roman"/>
          <w:color w:val="000000"/>
          <w:szCs w:val="24"/>
        </w:rPr>
      </w:pPr>
    </w:p>
    <w:p w:rsidRPr="00534A39" w:rsidR="009D00F9" w:rsidP="00F621AC" w:rsidRDefault="00FD0867" w14:paraId="55276269" w14:textId="77777777">
      <w:pPr>
        <w:widowControl/>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sidR="003215BD">
        <w:rPr>
          <w:rFonts w:ascii="Times New Roman" w:hAnsi="Times New Roman"/>
          <w:color w:val="000000"/>
          <w:szCs w:val="24"/>
        </w:rPr>
        <w:t xml:space="preserve">No information of a sensitive nature is requested. </w:t>
      </w:r>
      <w:r w:rsidRPr="00534A39" w:rsidR="005012DC">
        <w:rPr>
          <w:rFonts w:ascii="Times New Roman" w:hAnsi="Times New Roman"/>
          <w:color w:val="000000"/>
          <w:szCs w:val="24"/>
        </w:rPr>
        <w:t xml:space="preserve"> No personally identifiable information (PII) is collected.</w:t>
      </w:r>
    </w:p>
    <w:p w:rsidRPr="00534A39" w:rsidR="00F621AC" w:rsidP="00F621AC" w:rsidRDefault="00F621AC" w14:paraId="62F73680" w14:textId="77777777">
      <w:pPr>
        <w:widowControl/>
        <w:tabs>
          <w:tab w:val="left" w:pos="432"/>
          <w:tab w:val="left" w:pos="1296"/>
          <w:tab w:val="left" w:pos="1728"/>
          <w:tab w:val="left" w:pos="4176"/>
        </w:tabs>
        <w:rPr>
          <w:rFonts w:ascii="Times New Roman" w:hAnsi="Times New Roman"/>
          <w:b/>
          <w:szCs w:val="24"/>
        </w:rPr>
      </w:pPr>
    </w:p>
    <w:p w:rsidRPr="00BE1FC3" w:rsidR="00BE1FC3" w:rsidP="00BE1FC3" w:rsidRDefault="00BE1FC3" w14:paraId="40F2BCF8" w14:textId="77777777">
      <w:pPr>
        <w:rPr>
          <w:rFonts w:ascii="Times New Roman" w:hAnsi="Times New Roman"/>
          <w:b/>
        </w:rPr>
      </w:pPr>
      <w:r w:rsidRPr="00BE1FC3">
        <w:rPr>
          <w:rFonts w:ascii="Times New Roman" w:hAnsi="Times New Roman"/>
          <w:b/>
        </w:rPr>
        <w:t>12.</w:t>
      </w:r>
      <w:r w:rsidRPr="00BE1FC3">
        <w:rPr>
          <w:rFonts w:ascii="Times New Roman" w:hAnsi="Times New Roman"/>
          <w:b/>
        </w:rPr>
        <w:tab/>
        <w:t>Estimate of burden of information collection.</w:t>
      </w:r>
    </w:p>
    <w:p w:rsidRPr="00534A39" w:rsidR="002853C9" w:rsidP="00F621AC" w:rsidRDefault="002853C9" w14:paraId="3B484239" w14:textId="77777777">
      <w:pPr>
        <w:widowControl/>
        <w:tabs>
          <w:tab w:val="left" w:pos="720"/>
        </w:tabs>
        <w:ind w:left="720" w:hanging="720"/>
        <w:rPr>
          <w:rFonts w:ascii="Times New Roman" w:hAnsi="Times New Roman"/>
          <w:szCs w:val="24"/>
        </w:rPr>
      </w:pPr>
    </w:p>
    <w:tbl>
      <w:tblPr>
        <w:tblW w:w="9723" w:type="dxa"/>
        <w:tblInd w:w="108" w:type="dxa"/>
        <w:tblLook w:val="04A0" w:firstRow="1" w:lastRow="0" w:firstColumn="1" w:lastColumn="0" w:noHBand="0" w:noVBand="1"/>
      </w:tblPr>
      <w:tblGrid>
        <w:gridCol w:w="3100"/>
        <w:gridCol w:w="1183"/>
        <w:gridCol w:w="1340"/>
        <w:gridCol w:w="1320"/>
        <w:gridCol w:w="1380"/>
        <w:gridCol w:w="1400"/>
      </w:tblGrid>
      <w:tr w:rsidRPr="00534A39" w:rsidR="00F621AC" w:rsidTr="002853C9" w14:paraId="1DD4E016" w14:textId="77777777">
        <w:trPr>
          <w:trHeight w:val="552"/>
        </w:trPr>
        <w:tc>
          <w:tcPr>
            <w:tcW w:w="3100" w:type="dxa"/>
            <w:tcBorders>
              <w:bottom w:val="single" w:color="auto" w:sz="4" w:space="0"/>
              <w:right w:val="single" w:color="auto" w:sz="4" w:space="0"/>
            </w:tcBorders>
            <w:shd w:val="clear" w:color="auto" w:fill="auto"/>
            <w:noWrap/>
            <w:vAlign w:val="center"/>
            <w:hideMark/>
          </w:tcPr>
          <w:p w:rsidRPr="00534A39" w:rsidR="00F621AC" w:rsidP="00F621AC" w:rsidRDefault="00F621AC" w14:paraId="5E214D29" w14:textId="77777777">
            <w:pPr>
              <w:widowControl/>
              <w:rPr>
                <w:rFonts w:ascii="Times New Roman" w:hAnsi="Times New Roman"/>
                <w:b/>
                <w:bCs/>
                <w:snapToGrid/>
                <w:color w:val="000000"/>
                <w:szCs w:val="24"/>
              </w:rPr>
            </w:pPr>
            <w:r w:rsidRPr="00534A39">
              <w:rPr>
                <w:rFonts w:ascii="Times New Roman" w:hAnsi="Times New Roman"/>
                <w:b/>
                <w:bCs/>
                <w:snapToGrid/>
                <w:color w:val="000000"/>
                <w:szCs w:val="24"/>
              </w:rPr>
              <w:t>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3E9A1089" w14:textId="77777777">
            <w:pPr>
              <w:widowControl/>
              <w:jc w:val="center"/>
              <w:rPr>
                <w:rFonts w:ascii="Arial Narrow" w:hAnsi="Arial Narrow"/>
                <w:snapToGrid/>
                <w:color w:val="000000"/>
                <w:sz w:val="20"/>
              </w:rPr>
            </w:pPr>
            <w:r w:rsidRPr="00534A39">
              <w:rPr>
                <w:rFonts w:ascii="Arial Narrow" w:hAnsi="Arial Narrow"/>
                <w:snapToGrid/>
                <w:color w:val="000000"/>
                <w:sz w:val="20"/>
              </w:rPr>
              <w:t>No. of Respondents</w:t>
            </w:r>
          </w:p>
        </w:tc>
        <w:tc>
          <w:tcPr>
            <w:tcW w:w="1340" w:type="dxa"/>
            <w:tcBorders>
              <w:top w:val="single" w:color="auto" w:sz="4" w:space="0"/>
              <w:left w:val="nil"/>
              <w:bottom w:val="single" w:color="auto" w:sz="4" w:space="0"/>
              <w:right w:val="single" w:color="auto" w:sz="4" w:space="0"/>
            </w:tcBorders>
            <w:shd w:val="clear" w:color="auto" w:fill="auto"/>
            <w:vAlign w:val="center"/>
            <w:hideMark/>
          </w:tcPr>
          <w:p w:rsidRPr="00534A39" w:rsidR="00F621AC" w:rsidP="00F621AC" w:rsidRDefault="00F621AC" w14:paraId="37792E2A" w14:textId="77777777">
            <w:pPr>
              <w:widowControl/>
              <w:jc w:val="center"/>
              <w:rPr>
                <w:rFonts w:ascii="Arial Narrow" w:hAnsi="Arial Narrow"/>
                <w:snapToGrid/>
                <w:color w:val="000000"/>
                <w:sz w:val="20"/>
              </w:rPr>
            </w:pPr>
            <w:r w:rsidRPr="00534A39">
              <w:rPr>
                <w:rFonts w:ascii="Arial Narrow" w:hAnsi="Arial Narrow"/>
                <w:snapToGrid/>
                <w:color w:val="000000"/>
                <w:sz w:val="20"/>
              </w:rPr>
              <w:t>No. Responses Per Respondent</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534A39" w:rsidR="00F621AC" w:rsidP="00F621AC" w:rsidRDefault="00F621AC" w14:paraId="3EECC54B" w14:textId="77777777">
            <w:pPr>
              <w:widowControl/>
              <w:jc w:val="center"/>
              <w:rPr>
                <w:rFonts w:ascii="Arial Narrow" w:hAnsi="Arial Narrow"/>
                <w:snapToGrid/>
                <w:color w:val="000000"/>
                <w:sz w:val="20"/>
              </w:rPr>
            </w:pPr>
            <w:r w:rsidRPr="00534A39">
              <w:rPr>
                <w:rFonts w:ascii="Arial Narrow" w:hAnsi="Arial Narrow"/>
                <w:snapToGrid/>
                <w:color w:val="000000"/>
                <w:sz w:val="20"/>
              </w:rPr>
              <w:t>Annual Responses</w:t>
            </w:r>
          </w:p>
        </w:tc>
        <w:tc>
          <w:tcPr>
            <w:tcW w:w="1380" w:type="dxa"/>
            <w:tcBorders>
              <w:top w:val="single" w:color="auto" w:sz="4" w:space="0"/>
              <w:left w:val="nil"/>
              <w:bottom w:val="single" w:color="auto" w:sz="4" w:space="0"/>
              <w:right w:val="single" w:color="auto" w:sz="4" w:space="0"/>
            </w:tcBorders>
            <w:shd w:val="clear" w:color="auto" w:fill="auto"/>
            <w:vAlign w:val="center"/>
            <w:hideMark/>
          </w:tcPr>
          <w:p w:rsidRPr="00534A39" w:rsidR="00F621AC" w:rsidP="00F621AC" w:rsidRDefault="00F621AC" w14:paraId="1C59A564" w14:textId="77777777">
            <w:pPr>
              <w:widowControl/>
              <w:jc w:val="center"/>
              <w:rPr>
                <w:rFonts w:ascii="Arial Narrow" w:hAnsi="Arial Narrow"/>
                <w:snapToGrid/>
                <w:color w:val="000000"/>
                <w:sz w:val="20"/>
              </w:rPr>
            </w:pPr>
            <w:r w:rsidRPr="00534A39">
              <w:rPr>
                <w:rFonts w:ascii="Arial Narrow" w:hAnsi="Arial Narrow"/>
                <w:snapToGrid/>
                <w:color w:val="000000"/>
                <w:sz w:val="20"/>
              </w:rPr>
              <w:t>Hours Per Response</w:t>
            </w:r>
          </w:p>
        </w:tc>
        <w:tc>
          <w:tcPr>
            <w:tcW w:w="1400" w:type="dxa"/>
            <w:tcBorders>
              <w:top w:val="single" w:color="auto" w:sz="4" w:space="0"/>
              <w:left w:val="nil"/>
              <w:bottom w:val="single" w:color="auto" w:sz="4" w:space="0"/>
              <w:right w:val="single" w:color="auto" w:sz="4" w:space="0"/>
            </w:tcBorders>
            <w:shd w:val="clear" w:color="auto" w:fill="auto"/>
            <w:vAlign w:val="center"/>
            <w:hideMark/>
          </w:tcPr>
          <w:p w:rsidRPr="00534A39" w:rsidR="00F621AC" w:rsidP="00F621AC" w:rsidRDefault="00F621AC" w14:paraId="362AAA52" w14:textId="77777777">
            <w:pPr>
              <w:widowControl/>
              <w:jc w:val="center"/>
              <w:rPr>
                <w:rFonts w:ascii="Arial Narrow" w:hAnsi="Arial Narrow"/>
                <w:snapToGrid/>
                <w:color w:val="000000"/>
                <w:sz w:val="20"/>
              </w:rPr>
            </w:pPr>
            <w:r w:rsidRPr="00534A39">
              <w:rPr>
                <w:rFonts w:ascii="Arial Narrow" w:hAnsi="Arial Narrow"/>
                <w:snapToGrid/>
                <w:color w:val="000000"/>
                <w:sz w:val="20"/>
              </w:rPr>
              <w:t>Total Annual Burden</w:t>
            </w:r>
          </w:p>
        </w:tc>
      </w:tr>
      <w:tr w:rsidRPr="00534A39" w:rsidR="00F621AC" w:rsidTr="002853C9" w14:paraId="663BB64D" w14:textId="77777777">
        <w:trPr>
          <w:trHeight w:val="288"/>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0AA56CBC" w14:textId="77777777">
            <w:pPr>
              <w:widowControl/>
              <w:rPr>
                <w:rFonts w:ascii="Arial" w:hAnsi="Arial" w:cs="Arial"/>
                <w:snapToGrid/>
                <w:color w:val="000000"/>
                <w:sz w:val="20"/>
              </w:rPr>
            </w:pPr>
            <w:r w:rsidRPr="00534A39">
              <w:rPr>
                <w:rFonts w:ascii="Arial" w:hAnsi="Arial" w:cs="Arial"/>
                <w:snapToGrid/>
                <w:color w:val="000000"/>
                <w:sz w:val="20"/>
              </w:rPr>
              <w:t>10K Annual Report –</w:t>
            </w:r>
          </w:p>
        </w:tc>
        <w:tc>
          <w:tcPr>
            <w:tcW w:w="1183"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07491961"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4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1A5F50BE"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2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55A94CD5"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8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5AF56FFA"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40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14D5B98B"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r>
      <w:tr w:rsidRPr="00534A39" w:rsidR="00F621AC" w:rsidTr="002853C9" w14:paraId="713466AC" w14:textId="77777777">
        <w:trPr>
          <w:trHeight w:val="288"/>
        </w:trPr>
        <w:tc>
          <w:tcPr>
            <w:tcW w:w="3100" w:type="dxa"/>
            <w:tcBorders>
              <w:top w:val="nil"/>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1BCD99A4" w14:textId="77777777">
            <w:pPr>
              <w:widowControl/>
              <w:rPr>
                <w:rFonts w:ascii="Arial" w:hAnsi="Arial" w:cs="Arial"/>
                <w:snapToGrid/>
                <w:color w:val="000000"/>
                <w:sz w:val="20"/>
              </w:rPr>
            </w:pPr>
            <w:r w:rsidRPr="00534A39">
              <w:rPr>
                <w:rFonts w:ascii="Arial" w:hAnsi="Arial" w:cs="Arial"/>
                <w:snapToGrid/>
                <w:color w:val="000000"/>
                <w:sz w:val="20"/>
              </w:rPr>
              <w:t xml:space="preserve">           </w:t>
            </w:r>
            <w:proofErr w:type="gramStart"/>
            <w:r w:rsidRPr="00534A39">
              <w:rPr>
                <w:rFonts w:ascii="Arial" w:hAnsi="Arial" w:cs="Arial"/>
                <w:snapToGrid/>
                <w:color w:val="000000"/>
                <w:sz w:val="20"/>
              </w:rPr>
              <w:t>Non Reg AB</w:t>
            </w:r>
            <w:proofErr w:type="gramEnd"/>
            <w:r w:rsidRPr="00534A39">
              <w:rPr>
                <w:rFonts w:ascii="Arial" w:hAnsi="Arial" w:cs="Arial"/>
                <w:snapToGrid/>
                <w:color w:val="000000"/>
                <w:sz w:val="20"/>
              </w:rPr>
              <w:t xml:space="preserve"> Compliant</w:t>
            </w:r>
          </w:p>
        </w:tc>
        <w:tc>
          <w:tcPr>
            <w:tcW w:w="1183"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398BF11C"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48AD926B"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45D6E524"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8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602180D9"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0058FED2" w14:textId="77777777">
            <w:pPr>
              <w:widowControl/>
              <w:jc w:val="right"/>
              <w:rPr>
                <w:rFonts w:ascii="Arial" w:hAnsi="Arial" w:cs="Arial"/>
                <w:snapToGrid/>
                <w:color w:val="000000"/>
                <w:sz w:val="20"/>
              </w:rPr>
            </w:pPr>
            <w:r w:rsidRPr="00534A39">
              <w:rPr>
                <w:rFonts w:ascii="Arial" w:hAnsi="Arial" w:cs="Arial"/>
                <w:snapToGrid/>
                <w:color w:val="000000"/>
                <w:sz w:val="20"/>
              </w:rPr>
              <w:t>54</w:t>
            </w:r>
          </w:p>
        </w:tc>
      </w:tr>
      <w:tr w:rsidRPr="00534A39" w:rsidR="00F621AC" w:rsidTr="002853C9" w14:paraId="747F7089" w14:textId="77777777">
        <w:trPr>
          <w:trHeight w:val="300"/>
        </w:trPr>
        <w:tc>
          <w:tcPr>
            <w:tcW w:w="3100" w:type="dxa"/>
            <w:tcBorders>
              <w:top w:val="nil"/>
              <w:left w:val="single" w:color="auto" w:sz="4" w:space="0"/>
              <w:bottom w:val="single" w:color="auto" w:sz="8" w:space="0"/>
              <w:right w:val="single" w:color="auto" w:sz="4" w:space="0"/>
            </w:tcBorders>
            <w:shd w:val="clear" w:color="auto" w:fill="auto"/>
            <w:vAlign w:val="center"/>
            <w:hideMark/>
          </w:tcPr>
          <w:p w:rsidRPr="00534A39" w:rsidR="00F621AC" w:rsidP="00F621AC" w:rsidRDefault="00F621AC" w14:paraId="0253D105"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 </w:t>
            </w:r>
          </w:p>
        </w:tc>
        <w:tc>
          <w:tcPr>
            <w:tcW w:w="1183"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64866A55"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13AA1D98"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003E0B1E"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8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673D2888"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3048D0CF" w14:textId="77777777">
            <w:pPr>
              <w:widowControl/>
              <w:jc w:val="right"/>
              <w:rPr>
                <w:rFonts w:ascii="Arial" w:hAnsi="Arial" w:cs="Arial"/>
                <w:snapToGrid/>
                <w:color w:val="000000"/>
                <w:sz w:val="20"/>
              </w:rPr>
            </w:pPr>
            <w:r w:rsidRPr="00534A39">
              <w:rPr>
                <w:rFonts w:ascii="Arial" w:hAnsi="Arial" w:cs="Arial"/>
                <w:snapToGrid/>
                <w:color w:val="000000"/>
                <w:sz w:val="20"/>
              </w:rPr>
              <w:t>9</w:t>
            </w:r>
          </w:p>
        </w:tc>
      </w:tr>
      <w:tr w:rsidRPr="00534A39" w:rsidR="00F621AC" w:rsidTr="002853C9" w14:paraId="48AE6793" w14:textId="77777777">
        <w:trPr>
          <w:trHeight w:val="288"/>
        </w:trPr>
        <w:tc>
          <w:tcPr>
            <w:tcW w:w="3100" w:type="dxa"/>
            <w:tcBorders>
              <w:top w:val="nil"/>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580D21B8" w14:textId="77777777">
            <w:pPr>
              <w:widowControl/>
              <w:rPr>
                <w:rFonts w:ascii="Arial" w:hAnsi="Arial" w:cs="Arial"/>
                <w:snapToGrid/>
                <w:color w:val="000000"/>
                <w:sz w:val="20"/>
              </w:rPr>
            </w:pPr>
            <w:r w:rsidRPr="00534A39">
              <w:rPr>
                <w:rFonts w:ascii="Arial" w:hAnsi="Arial" w:cs="Arial"/>
                <w:snapToGrid/>
                <w:color w:val="000000"/>
                <w:sz w:val="20"/>
              </w:rPr>
              <w:t xml:space="preserve">8K Disclosure Form – </w:t>
            </w:r>
          </w:p>
        </w:tc>
        <w:tc>
          <w:tcPr>
            <w:tcW w:w="1183"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0AD363B1"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4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6AA43A97"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2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3968A306"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8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7E42F3CB"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40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698FB20C" w14:textId="77777777">
            <w:pPr>
              <w:widowControl/>
              <w:rPr>
                <w:rFonts w:ascii="Arial" w:hAnsi="Arial" w:cs="Arial"/>
                <w:snapToGrid/>
                <w:color w:val="000000"/>
                <w:sz w:val="20"/>
              </w:rPr>
            </w:pPr>
            <w:r w:rsidRPr="00534A39">
              <w:rPr>
                <w:rFonts w:ascii="Arial" w:hAnsi="Arial" w:cs="Arial"/>
                <w:snapToGrid/>
                <w:color w:val="000000"/>
                <w:sz w:val="20"/>
              </w:rPr>
              <w:t> </w:t>
            </w:r>
          </w:p>
        </w:tc>
      </w:tr>
      <w:tr w:rsidRPr="00534A39" w:rsidR="00F621AC" w:rsidTr="002853C9" w14:paraId="48DDA87D" w14:textId="77777777">
        <w:trPr>
          <w:trHeight w:val="288"/>
        </w:trPr>
        <w:tc>
          <w:tcPr>
            <w:tcW w:w="3100" w:type="dxa"/>
            <w:tcBorders>
              <w:top w:val="nil"/>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65C85DD9" w14:textId="77777777">
            <w:pPr>
              <w:widowControl/>
              <w:rPr>
                <w:rFonts w:ascii="Arial" w:hAnsi="Arial" w:cs="Arial"/>
                <w:snapToGrid/>
                <w:color w:val="000000"/>
                <w:sz w:val="20"/>
              </w:rPr>
            </w:pPr>
            <w:r w:rsidRPr="00534A39">
              <w:rPr>
                <w:rFonts w:ascii="Arial" w:hAnsi="Arial" w:cs="Arial"/>
                <w:snapToGrid/>
                <w:color w:val="000000"/>
                <w:sz w:val="20"/>
              </w:rPr>
              <w:t xml:space="preserve">           </w:t>
            </w:r>
            <w:proofErr w:type="gramStart"/>
            <w:r w:rsidRPr="00534A39">
              <w:rPr>
                <w:rFonts w:ascii="Arial" w:hAnsi="Arial" w:cs="Arial"/>
                <w:snapToGrid/>
                <w:color w:val="000000"/>
                <w:sz w:val="20"/>
              </w:rPr>
              <w:t>Non Reg AB</w:t>
            </w:r>
            <w:proofErr w:type="gramEnd"/>
            <w:r w:rsidRPr="00534A39">
              <w:rPr>
                <w:rFonts w:ascii="Arial" w:hAnsi="Arial" w:cs="Arial"/>
                <w:snapToGrid/>
                <w:color w:val="000000"/>
                <w:sz w:val="20"/>
              </w:rPr>
              <w:t xml:space="preserve"> Compliant </w:t>
            </w:r>
          </w:p>
        </w:tc>
        <w:tc>
          <w:tcPr>
            <w:tcW w:w="1183"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52C539CE"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734763DB"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2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14CEC877" w14:textId="77777777">
            <w:pPr>
              <w:widowControl/>
              <w:jc w:val="right"/>
              <w:rPr>
                <w:rFonts w:ascii="Arial" w:hAnsi="Arial" w:cs="Arial"/>
                <w:snapToGrid/>
                <w:color w:val="000000"/>
                <w:sz w:val="20"/>
              </w:rPr>
            </w:pPr>
            <w:r w:rsidRPr="00534A39">
              <w:rPr>
                <w:rFonts w:ascii="Arial" w:hAnsi="Arial" w:cs="Arial"/>
                <w:snapToGrid/>
                <w:color w:val="000000"/>
                <w:sz w:val="20"/>
              </w:rPr>
              <w:t>4</w:t>
            </w:r>
          </w:p>
        </w:tc>
        <w:tc>
          <w:tcPr>
            <w:tcW w:w="138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5BED331A"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35CE5D4A" w14:textId="77777777">
            <w:pPr>
              <w:widowControl/>
              <w:jc w:val="right"/>
              <w:rPr>
                <w:rFonts w:ascii="Arial" w:hAnsi="Arial" w:cs="Arial"/>
                <w:snapToGrid/>
                <w:color w:val="000000"/>
                <w:sz w:val="20"/>
              </w:rPr>
            </w:pPr>
            <w:r w:rsidRPr="00534A39">
              <w:rPr>
                <w:rFonts w:ascii="Arial" w:hAnsi="Arial" w:cs="Arial"/>
                <w:snapToGrid/>
                <w:color w:val="000000"/>
                <w:sz w:val="20"/>
              </w:rPr>
              <w:t>108</w:t>
            </w:r>
          </w:p>
        </w:tc>
      </w:tr>
      <w:tr w:rsidRPr="00534A39" w:rsidR="00F621AC" w:rsidTr="002853C9" w14:paraId="547BFBA3" w14:textId="77777777">
        <w:trPr>
          <w:trHeight w:val="300"/>
        </w:trPr>
        <w:tc>
          <w:tcPr>
            <w:tcW w:w="3100" w:type="dxa"/>
            <w:tcBorders>
              <w:top w:val="nil"/>
              <w:left w:val="single" w:color="auto" w:sz="4" w:space="0"/>
              <w:bottom w:val="single" w:color="auto" w:sz="8" w:space="0"/>
              <w:right w:val="single" w:color="auto" w:sz="4" w:space="0"/>
            </w:tcBorders>
            <w:shd w:val="clear" w:color="auto" w:fill="auto"/>
            <w:vAlign w:val="center"/>
            <w:hideMark/>
          </w:tcPr>
          <w:p w:rsidRPr="00534A39" w:rsidR="00F621AC" w:rsidP="00F621AC" w:rsidRDefault="00F621AC" w14:paraId="7A959D9F"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w:t>
            </w:r>
          </w:p>
        </w:tc>
        <w:tc>
          <w:tcPr>
            <w:tcW w:w="1183"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58CCD146"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448555A7"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2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4A33BEBC" w14:textId="77777777">
            <w:pPr>
              <w:widowControl/>
              <w:jc w:val="right"/>
              <w:rPr>
                <w:rFonts w:ascii="Arial" w:hAnsi="Arial" w:cs="Arial"/>
                <w:snapToGrid/>
                <w:color w:val="000000"/>
                <w:sz w:val="20"/>
              </w:rPr>
            </w:pPr>
            <w:r w:rsidRPr="00534A39">
              <w:rPr>
                <w:rFonts w:ascii="Arial" w:hAnsi="Arial" w:cs="Arial"/>
                <w:snapToGrid/>
                <w:color w:val="000000"/>
                <w:sz w:val="20"/>
              </w:rPr>
              <w:t>4</w:t>
            </w:r>
          </w:p>
        </w:tc>
        <w:tc>
          <w:tcPr>
            <w:tcW w:w="138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3E290EAF"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482527FD" w14:textId="77777777">
            <w:pPr>
              <w:widowControl/>
              <w:jc w:val="right"/>
              <w:rPr>
                <w:rFonts w:ascii="Arial" w:hAnsi="Arial" w:cs="Arial"/>
                <w:snapToGrid/>
                <w:color w:val="000000"/>
                <w:sz w:val="20"/>
              </w:rPr>
            </w:pPr>
            <w:r w:rsidRPr="00534A39">
              <w:rPr>
                <w:rFonts w:ascii="Arial" w:hAnsi="Arial" w:cs="Arial"/>
                <w:snapToGrid/>
                <w:color w:val="000000"/>
                <w:sz w:val="20"/>
              </w:rPr>
              <w:t>18</w:t>
            </w:r>
          </w:p>
        </w:tc>
      </w:tr>
      <w:tr w:rsidRPr="00534A39" w:rsidR="00F621AC" w:rsidTr="002853C9" w14:paraId="155031EF" w14:textId="77777777">
        <w:trPr>
          <w:trHeight w:val="288"/>
        </w:trPr>
        <w:tc>
          <w:tcPr>
            <w:tcW w:w="3100" w:type="dxa"/>
            <w:tcBorders>
              <w:top w:val="nil"/>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3371772E" w14:textId="77777777">
            <w:pPr>
              <w:widowControl/>
              <w:rPr>
                <w:rFonts w:ascii="Arial" w:hAnsi="Arial" w:cs="Arial"/>
                <w:snapToGrid/>
                <w:color w:val="000000"/>
                <w:sz w:val="20"/>
              </w:rPr>
            </w:pPr>
            <w:r w:rsidRPr="00534A39">
              <w:rPr>
                <w:rFonts w:ascii="Arial" w:hAnsi="Arial" w:cs="Arial"/>
                <w:snapToGrid/>
                <w:color w:val="000000"/>
                <w:sz w:val="20"/>
              </w:rPr>
              <w:t xml:space="preserve">10D Reports – </w:t>
            </w:r>
          </w:p>
        </w:tc>
        <w:tc>
          <w:tcPr>
            <w:tcW w:w="1183"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22F5E6D2"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40" w:type="dxa"/>
            <w:tcBorders>
              <w:top w:val="nil"/>
              <w:left w:val="nil"/>
              <w:bottom w:val="single" w:color="auto" w:sz="4" w:space="0"/>
              <w:right w:val="single" w:color="auto" w:sz="4" w:space="0"/>
            </w:tcBorders>
            <w:shd w:val="clear" w:color="000000" w:fill="D9D9D9"/>
            <w:noWrap/>
            <w:vAlign w:val="bottom"/>
            <w:hideMark/>
          </w:tcPr>
          <w:p w:rsidRPr="00534A39" w:rsidR="00F621AC" w:rsidP="00F621AC" w:rsidRDefault="00F621AC" w14:paraId="4EA4C83A"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2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22A22CEB"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8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42A1F0AA"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400" w:type="dxa"/>
            <w:tcBorders>
              <w:top w:val="nil"/>
              <w:left w:val="nil"/>
              <w:bottom w:val="single" w:color="auto" w:sz="4" w:space="0"/>
              <w:right w:val="single" w:color="auto" w:sz="4" w:space="0"/>
            </w:tcBorders>
            <w:shd w:val="clear" w:color="000000" w:fill="D9D9D9"/>
            <w:noWrap/>
            <w:vAlign w:val="center"/>
            <w:hideMark/>
          </w:tcPr>
          <w:p w:rsidRPr="00534A39" w:rsidR="00F621AC" w:rsidP="00F621AC" w:rsidRDefault="00F621AC" w14:paraId="599A7390" w14:textId="77777777">
            <w:pPr>
              <w:widowControl/>
              <w:rPr>
                <w:rFonts w:ascii="Arial" w:hAnsi="Arial" w:cs="Arial"/>
                <w:snapToGrid/>
                <w:color w:val="000000"/>
                <w:sz w:val="20"/>
              </w:rPr>
            </w:pPr>
            <w:r w:rsidRPr="00534A39">
              <w:rPr>
                <w:rFonts w:ascii="Arial" w:hAnsi="Arial" w:cs="Arial"/>
                <w:snapToGrid/>
                <w:color w:val="000000"/>
                <w:sz w:val="20"/>
              </w:rPr>
              <w:t> </w:t>
            </w:r>
          </w:p>
        </w:tc>
      </w:tr>
      <w:tr w:rsidRPr="00534A39" w:rsidR="00F621AC" w:rsidTr="002853C9" w14:paraId="10C986EA" w14:textId="77777777">
        <w:trPr>
          <w:trHeight w:val="288"/>
        </w:trPr>
        <w:tc>
          <w:tcPr>
            <w:tcW w:w="3100" w:type="dxa"/>
            <w:tcBorders>
              <w:top w:val="nil"/>
              <w:left w:val="single" w:color="auto" w:sz="4" w:space="0"/>
              <w:bottom w:val="single" w:color="auto" w:sz="4" w:space="0"/>
              <w:right w:val="single" w:color="auto" w:sz="4" w:space="0"/>
            </w:tcBorders>
            <w:shd w:val="clear" w:color="auto" w:fill="auto"/>
            <w:vAlign w:val="center"/>
            <w:hideMark/>
          </w:tcPr>
          <w:p w:rsidRPr="00534A39" w:rsidR="00F621AC" w:rsidP="00F621AC" w:rsidRDefault="00F621AC" w14:paraId="40985067" w14:textId="77777777">
            <w:pPr>
              <w:widowControl/>
              <w:rPr>
                <w:rFonts w:ascii="Arial" w:hAnsi="Arial" w:cs="Arial"/>
                <w:snapToGrid/>
                <w:color w:val="000000"/>
                <w:sz w:val="20"/>
              </w:rPr>
            </w:pPr>
            <w:r w:rsidRPr="00534A39">
              <w:rPr>
                <w:rFonts w:ascii="Arial" w:hAnsi="Arial" w:cs="Arial"/>
                <w:snapToGrid/>
                <w:color w:val="000000"/>
                <w:sz w:val="20"/>
              </w:rPr>
              <w:t xml:space="preserve">           </w:t>
            </w:r>
            <w:proofErr w:type="gramStart"/>
            <w:r w:rsidRPr="00534A39">
              <w:rPr>
                <w:rFonts w:ascii="Arial" w:hAnsi="Arial" w:cs="Arial"/>
                <w:snapToGrid/>
                <w:color w:val="000000"/>
                <w:sz w:val="20"/>
              </w:rPr>
              <w:t>Non Reg AB</w:t>
            </w:r>
            <w:proofErr w:type="gramEnd"/>
            <w:r w:rsidRPr="00534A39">
              <w:rPr>
                <w:rFonts w:ascii="Arial" w:hAnsi="Arial" w:cs="Arial"/>
                <w:snapToGrid/>
                <w:color w:val="000000"/>
                <w:sz w:val="20"/>
              </w:rPr>
              <w:t xml:space="preserve"> Compliant</w:t>
            </w:r>
          </w:p>
        </w:tc>
        <w:tc>
          <w:tcPr>
            <w:tcW w:w="1183"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2E514A33"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7F9844A4" w14:textId="77777777">
            <w:pPr>
              <w:widowControl/>
              <w:jc w:val="right"/>
              <w:rPr>
                <w:rFonts w:ascii="Arial" w:hAnsi="Arial" w:cs="Arial"/>
                <w:snapToGrid/>
                <w:color w:val="000000"/>
                <w:sz w:val="20"/>
              </w:rPr>
            </w:pPr>
            <w:r w:rsidRPr="00534A39">
              <w:rPr>
                <w:rFonts w:ascii="Arial" w:hAnsi="Arial" w:cs="Arial"/>
                <w:snapToGrid/>
                <w:color w:val="000000"/>
                <w:sz w:val="20"/>
              </w:rPr>
              <w:t>5</w:t>
            </w:r>
          </w:p>
        </w:tc>
        <w:tc>
          <w:tcPr>
            <w:tcW w:w="132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0F8E37AD" w14:textId="77777777">
            <w:pPr>
              <w:widowControl/>
              <w:jc w:val="right"/>
              <w:rPr>
                <w:rFonts w:ascii="Arial" w:hAnsi="Arial" w:cs="Arial"/>
                <w:snapToGrid/>
                <w:color w:val="000000"/>
                <w:sz w:val="20"/>
              </w:rPr>
            </w:pPr>
            <w:r w:rsidRPr="00534A39">
              <w:rPr>
                <w:rFonts w:ascii="Arial" w:hAnsi="Arial" w:cs="Arial"/>
                <w:snapToGrid/>
                <w:color w:val="000000"/>
                <w:sz w:val="20"/>
              </w:rPr>
              <w:t>10</w:t>
            </w:r>
          </w:p>
        </w:tc>
        <w:tc>
          <w:tcPr>
            <w:tcW w:w="138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5DFA9122"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709EA269" w14:textId="77777777">
            <w:pPr>
              <w:widowControl/>
              <w:jc w:val="right"/>
              <w:rPr>
                <w:rFonts w:ascii="Arial" w:hAnsi="Arial" w:cs="Arial"/>
                <w:snapToGrid/>
                <w:color w:val="000000"/>
                <w:sz w:val="20"/>
              </w:rPr>
            </w:pPr>
            <w:r w:rsidRPr="00534A39">
              <w:rPr>
                <w:rFonts w:ascii="Arial" w:hAnsi="Arial" w:cs="Arial"/>
                <w:snapToGrid/>
                <w:color w:val="000000"/>
                <w:sz w:val="20"/>
              </w:rPr>
              <w:t>270</w:t>
            </w:r>
          </w:p>
        </w:tc>
      </w:tr>
      <w:tr w:rsidRPr="00534A39" w:rsidR="00F621AC" w:rsidTr="002853C9" w14:paraId="71D97392" w14:textId="77777777">
        <w:trPr>
          <w:trHeight w:val="312"/>
        </w:trPr>
        <w:tc>
          <w:tcPr>
            <w:tcW w:w="3100" w:type="dxa"/>
            <w:tcBorders>
              <w:top w:val="nil"/>
              <w:left w:val="single" w:color="auto" w:sz="4" w:space="0"/>
              <w:bottom w:val="single" w:color="auto" w:sz="8" w:space="0"/>
              <w:right w:val="single" w:color="auto" w:sz="4" w:space="0"/>
            </w:tcBorders>
            <w:shd w:val="clear" w:color="auto" w:fill="auto"/>
            <w:vAlign w:val="center"/>
            <w:hideMark/>
          </w:tcPr>
          <w:p w:rsidRPr="00534A39" w:rsidR="00F621AC" w:rsidP="00F621AC" w:rsidRDefault="00F621AC" w14:paraId="1E4980B9"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w:t>
            </w:r>
          </w:p>
        </w:tc>
        <w:tc>
          <w:tcPr>
            <w:tcW w:w="1183" w:type="dxa"/>
            <w:tcBorders>
              <w:top w:val="nil"/>
              <w:left w:val="nil"/>
              <w:bottom w:val="single" w:color="auto" w:sz="8" w:space="0"/>
              <w:right w:val="single" w:color="auto" w:sz="4" w:space="0"/>
            </w:tcBorders>
            <w:shd w:val="clear" w:color="auto" w:fill="auto"/>
            <w:noWrap/>
            <w:vAlign w:val="bottom"/>
            <w:hideMark/>
          </w:tcPr>
          <w:p w:rsidRPr="00534A39" w:rsidR="00F621AC" w:rsidP="00F621AC" w:rsidRDefault="00F621AC" w14:paraId="04DBF827"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05CB9377" w14:textId="77777777">
            <w:pPr>
              <w:widowControl/>
              <w:jc w:val="right"/>
              <w:rPr>
                <w:rFonts w:ascii="Arial" w:hAnsi="Arial" w:cs="Arial"/>
                <w:snapToGrid/>
                <w:color w:val="000000"/>
                <w:sz w:val="20"/>
              </w:rPr>
            </w:pPr>
            <w:r w:rsidRPr="00534A39">
              <w:rPr>
                <w:rFonts w:ascii="Arial" w:hAnsi="Arial" w:cs="Arial"/>
                <w:snapToGrid/>
                <w:color w:val="000000"/>
                <w:sz w:val="20"/>
              </w:rPr>
              <w:t>5</w:t>
            </w:r>
          </w:p>
        </w:tc>
        <w:tc>
          <w:tcPr>
            <w:tcW w:w="132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6DE4DE8C" w14:textId="77777777">
            <w:pPr>
              <w:widowControl/>
              <w:jc w:val="right"/>
              <w:rPr>
                <w:rFonts w:ascii="Arial" w:hAnsi="Arial" w:cs="Arial"/>
                <w:snapToGrid/>
                <w:color w:val="000000"/>
                <w:sz w:val="20"/>
              </w:rPr>
            </w:pPr>
            <w:r w:rsidRPr="00534A39">
              <w:rPr>
                <w:rFonts w:ascii="Arial" w:hAnsi="Arial" w:cs="Arial"/>
                <w:snapToGrid/>
                <w:color w:val="000000"/>
                <w:sz w:val="20"/>
              </w:rPr>
              <w:t>10</w:t>
            </w:r>
          </w:p>
        </w:tc>
        <w:tc>
          <w:tcPr>
            <w:tcW w:w="138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003A820C"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5F9BAA19"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r>
      <w:tr w:rsidRPr="00534A39" w:rsidR="00F621AC" w:rsidTr="002853C9" w14:paraId="14EF1308" w14:textId="77777777">
        <w:trPr>
          <w:trHeight w:val="312"/>
        </w:trPr>
        <w:tc>
          <w:tcPr>
            <w:tcW w:w="3100" w:type="dxa"/>
            <w:tcBorders>
              <w:top w:val="nil"/>
              <w:left w:val="single" w:color="auto" w:sz="4" w:space="0"/>
              <w:bottom w:val="single" w:color="auto" w:sz="8" w:space="0"/>
              <w:right w:val="single" w:color="auto" w:sz="4" w:space="0"/>
            </w:tcBorders>
            <w:shd w:val="clear" w:color="auto" w:fill="auto"/>
            <w:vAlign w:val="center"/>
            <w:hideMark/>
          </w:tcPr>
          <w:p w:rsidRPr="00534A39" w:rsidR="00F621AC" w:rsidP="00F621AC" w:rsidRDefault="00F621AC" w14:paraId="3E33A53F" w14:textId="77777777">
            <w:pPr>
              <w:widowControl/>
              <w:rPr>
                <w:rFonts w:ascii="Arial" w:hAnsi="Arial" w:cs="Arial"/>
                <w:snapToGrid/>
                <w:color w:val="000000"/>
                <w:sz w:val="20"/>
              </w:rPr>
            </w:pPr>
            <w:r w:rsidRPr="00534A39">
              <w:rPr>
                <w:rFonts w:ascii="Arial" w:hAnsi="Arial" w:cs="Arial"/>
                <w:snapToGrid/>
                <w:color w:val="000000"/>
                <w:sz w:val="20"/>
              </w:rPr>
              <w:t>12b-25 Notification</w:t>
            </w:r>
          </w:p>
        </w:tc>
        <w:tc>
          <w:tcPr>
            <w:tcW w:w="1183" w:type="dxa"/>
            <w:tcBorders>
              <w:top w:val="nil"/>
              <w:left w:val="nil"/>
              <w:bottom w:val="single" w:color="auto" w:sz="8" w:space="0"/>
              <w:right w:val="single" w:color="auto" w:sz="4" w:space="0"/>
            </w:tcBorders>
            <w:shd w:val="clear" w:color="auto" w:fill="auto"/>
            <w:noWrap/>
            <w:vAlign w:val="bottom"/>
            <w:hideMark/>
          </w:tcPr>
          <w:p w:rsidRPr="00534A39" w:rsidR="00F621AC" w:rsidP="00F621AC" w:rsidRDefault="00F621AC" w14:paraId="5E572971" w14:textId="77777777">
            <w:pPr>
              <w:widowControl/>
              <w:jc w:val="right"/>
              <w:rPr>
                <w:rFonts w:ascii="Arial" w:hAnsi="Arial" w:cs="Arial"/>
                <w:snapToGrid/>
                <w:color w:val="000000"/>
                <w:sz w:val="20"/>
              </w:rPr>
            </w:pPr>
            <w:r w:rsidRPr="00534A39">
              <w:rPr>
                <w:rFonts w:ascii="Arial" w:hAnsi="Arial" w:cs="Arial"/>
                <w:snapToGrid/>
                <w:color w:val="000000"/>
                <w:sz w:val="20"/>
              </w:rPr>
              <w:t>4</w:t>
            </w:r>
          </w:p>
        </w:tc>
        <w:tc>
          <w:tcPr>
            <w:tcW w:w="1340" w:type="dxa"/>
            <w:tcBorders>
              <w:top w:val="nil"/>
              <w:left w:val="nil"/>
              <w:bottom w:val="single" w:color="auto" w:sz="8" w:space="0"/>
              <w:right w:val="single" w:color="auto" w:sz="4" w:space="0"/>
            </w:tcBorders>
            <w:shd w:val="clear" w:color="auto" w:fill="auto"/>
            <w:noWrap/>
            <w:vAlign w:val="bottom"/>
            <w:hideMark/>
          </w:tcPr>
          <w:p w:rsidRPr="00534A39" w:rsidR="00F621AC" w:rsidP="00F621AC" w:rsidRDefault="00F621AC" w14:paraId="50DDBFCC"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6613D697" w14:textId="77777777">
            <w:pPr>
              <w:widowControl/>
              <w:jc w:val="right"/>
              <w:rPr>
                <w:rFonts w:ascii="Arial" w:hAnsi="Arial" w:cs="Arial"/>
                <w:snapToGrid/>
                <w:color w:val="000000"/>
                <w:sz w:val="20"/>
              </w:rPr>
            </w:pPr>
            <w:r w:rsidRPr="00534A39">
              <w:rPr>
                <w:rFonts w:ascii="Arial" w:hAnsi="Arial" w:cs="Arial"/>
                <w:snapToGrid/>
                <w:color w:val="000000"/>
                <w:sz w:val="20"/>
              </w:rPr>
              <w:t>4</w:t>
            </w:r>
          </w:p>
        </w:tc>
        <w:tc>
          <w:tcPr>
            <w:tcW w:w="138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221C44C3" w14:textId="77777777">
            <w:pPr>
              <w:widowControl/>
              <w:jc w:val="right"/>
              <w:rPr>
                <w:rFonts w:ascii="Arial" w:hAnsi="Arial" w:cs="Arial"/>
                <w:snapToGrid/>
                <w:color w:val="000000"/>
                <w:sz w:val="20"/>
              </w:rPr>
            </w:pPr>
            <w:r w:rsidRPr="00534A39">
              <w:rPr>
                <w:rFonts w:ascii="Arial" w:hAnsi="Arial" w:cs="Arial"/>
                <w:snapToGrid/>
                <w:color w:val="000000"/>
                <w:sz w:val="20"/>
              </w:rPr>
              <w:t>2.5</w:t>
            </w:r>
          </w:p>
        </w:tc>
        <w:tc>
          <w:tcPr>
            <w:tcW w:w="1400" w:type="dxa"/>
            <w:tcBorders>
              <w:top w:val="nil"/>
              <w:left w:val="nil"/>
              <w:bottom w:val="single" w:color="auto" w:sz="8" w:space="0"/>
              <w:right w:val="single" w:color="auto" w:sz="4" w:space="0"/>
            </w:tcBorders>
            <w:shd w:val="clear" w:color="auto" w:fill="auto"/>
            <w:noWrap/>
            <w:vAlign w:val="center"/>
            <w:hideMark/>
          </w:tcPr>
          <w:p w:rsidRPr="00534A39" w:rsidR="00F621AC" w:rsidP="00F621AC" w:rsidRDefault="00F621AC" w14:paraId="3186A184" w14:textId="77777777">
            <w:pPr>
              <w:widowControl/>
              <w:jc w:val="right"/>
              <w:rPr>
                <w:rFonts w:ascii="Arial" w:hAnsi="Arial" w:cs="Arial"/>
                <w:snapToGrid/>
                <w:color w:val="000000"/>
                <w:sz w:val="20"/>
              </w:rPr>
            </w:pPr>
            <w:r w:rsidRPr="00534A39">
              <w:rPr>
                <w:rFonts w:ascii="Arial" w:hAnsi="Arial" w:cs="Arial"/>
                <w:snapToGrid/>
                <w:color w:val="000000"/>
                <w:sz w:val="20"/>
              </w:rPr>
              <w:t>10</w:t>
            </w:r>
          </w:p>
        </w:tc>
      </w:tr>
      <w:tr w:rsidRPr="00534A39" w:rsidR="00F621AC" w:rsidTr="002853C9" w14:paraId="187E2011" w14:textId="77777777">
        <w:trPr>
          <w:trHeight w:val="300"/>
        </w:trPr>
        <w:tc>
          <w:tcPr>
            <w:tcW w:w="3100" w:type="dxa"/>
            <w:tcBorders>
              <w:top w:val="nil"/>
              <w:left w:val="single" w:color="auto" w:sz="4" w:space="0"/>
              <w:bottom w:val="single" w:color="auto" w:sz="4" w:space="0"/>
              <w:right w:val="single" w:color="auto" w:sz="4" w:space="0"/>
            </w:tcBorders>
            <w:shd w:val="clear" w:color="auto" w:fill="auto"/>
            <w:noWrap/>
            <w:vAlign w:val="center"/>
            <w:hideMark/>
          </w:tcPr>
          <w:p w:rsidRPr="00534A39" w:rsidR="00F621AC" w:rsidP="005012DC" w:rsidRDefault="00F621AC" w14:paraId="32B9D7B9" w14:textId="77777777">
            <w:pPr>
              <w:widowControl/>
              <w:jc w:val="right"/>
              <w:rPr>
                <w:rFonts w:ascii="Arial" w:hAnsi="Arial" w:cs="Arial"/>
                <w:snapToGrid/>
                <w:color w:val="000000"/>
                <w:sz w:val="20"/>
              </w:rPr>
            </w:pPr>
            <w:r w:rsidRPr="00534A39">
              <w:rPr>
                <w:rFonts w:ascii="Arial" w:hAnsi="Arial" w:cs="Arial"/>
                <w:snapToGrid/>
                <w:color w:val="000000"/>
                <w:sz w:val="20"/>
              </w:rPr>
              <w:t> </w:t>
            </w:r>
            <w:r w:rsidRPr="00534A39" w:rsidR="005012DC">
              <w:rPr>
                <w:rFonts w:ascii="Arial" w:hAnsi="Arial" w:cs="Arial"/>
                <w:snapToGrid/>
                <w:color w:val="000000"/>
                <w:sz w:val="20"/>
              </w:rPr>
              <w:t>TOTALS</w:t>
            </w:r>
          </w:p>
        </w:tc>
        <w:tc>
          <w:tcPr>
            <w:tcW w:w="1183" w:type="dxa"/>
            <w:tcBorders>
              <w:top w:val="nil"/>
              <w:left w:val="nil"/>
              <w:bottom w:val="single" w:color="auto" w:sz="4" w:space="0"/>
              <w:right w:val="single" w:color="auto" w:sz="4" w:space="0"/>
            </w:tcBorders>
            <w:shd w:val="clear" w:color="auto" w:fill="BFBFBF"/>
            <w:noWrap/>
            <w:vAlign w:val="bottom"/>
            <w:hideMark/>
          </w:tcPr>
          <w:p w:rsidRPr="00534A39" w:rsidR="00F621AC" w:rsidP="003B420C" w:rsidRDefault="00F621AC" w14:paraId="1E95A86E" w14:textId="77777777">
            <w:pPr>
              <w:widowControl/>
              <w:jc w:val="right"/>
              <w:rPr>
                <w:rFonts w:ascii="Arial" w:hAnsi="Arial" w:cs="Arial"/>
                <w:snapToGrid/>
                <w:color w:val="000000"/>
                <w:sz w:val="20"/>
              </w:rPr>
            </w:pPr>
          </w:p>
        </w:tc>
        <w:tc>
          <w:tcPr>
            <w:tcW w:w="1340" w:type="dxa"/>
            <w:tcBorders>
              <w:top w:val="nil"/>
              <w:left w:val="nil"/>
              <w:bottom w:val="single" w:color="auto" w:sz="4" w:space="0"/>
              <w:right w:val="single" w:color="auto" w:sz="4" w:space="0"/>
            </w:tcBorders>
            <w:shd w:val="clear" w:color="auto" w:fill="BFBFBF"/>
            <w:noWrap/>
            <w:vAlign w:val="bottom"/>
            <w:hideMark/>
          </w:tcPr>
          <w:p w:rsidRPr="00534A39" w:rsidR="00F621AC" w:rsidP="003B420C" w:rsidRDefault="00F621AC" w14:paraId="6E6B3DBA" w14:textId="77777777">
            <w:pPr>
              <w:widowControl/>
              <w:jc w:val="right"/>
              <w:rPr>
                <w:rFonts w:ascii="Arial" w:hAnsi="Arial" w:cs="Arial"/>
                <w:snapToGrid/>
                <w:color w:val="000000"/>
                <w:sz w:val="20"/>
              </w:rPr>
            </w:pPr>
          </w:p>
        </w:tc>
        <w:tc>
          <w:tcPr>
            <w:tcW w:w="132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232C0A80" w14:textId="77777777">
            <w:pPr>
              <w:widowControl/>
              <w:jc w:val="right"/>
              <w:rPr>
                <w:rFonts w:ascii="Arial" w:hAnsi="Arial" w:cs="Arial"/>
                <w:snapToGrid/>
                <w:color w:val="000000"/>
                <w:sz w:val="20"/>
              </w:rPr>
            </w:pPr>
            <w:r w:rsidRPr="00534A39">
              <w:rPr>
                <w:rFonts w:ascii="Arial" w:hAnsi="Arial" w:cs="Arial"/>
                <w:snapToGrid/>
                <w:color w:val="000000"/>
                <w:sz w:val="20"/>
              </w:rPr>
              <w:t>36</w:t>
            </w:r>
          </w:p>
        </w:tc>
        <w:tc>
          <w:tcPr>
            <w:tcW w:w="1380" w:type="dxa"/>
            <w:tcBorders>
              <w:top w:val="nil"/>
              <w:left w:val="nil"/>
              <w:bottom w:val="single" w:color="auto" w:sz="4" w:space="0"/>
              <w:right w:val="single" w:color="auto" w:sz="4" w:space="0"/>
            </w:tcBorders>
            <w:shd w:val="clear" w:color="auto" w:fill="auto"/>
            <w:noWrap/>
            <w:vAlign w:val="center"/>
            <w:hideMark/>
          </w:tcPr>
          <w:p w:rsidRPr="00534A39" w:rsidR="00F621AC" w:rsidP="003B420C" w:rsidRDefault="00F621AC" w14:paraId="6B9B82C6" w14:textId="77777777">
            <w:pPr>
              <w:widowControl/>
              <w:jc w:val="right"/>
              <w:rPr>
                <w:rFonts w:ascii="Arial" w:hAnsi="Arial" w:cs="Arial"/>
                <w:snapToGrid/>
                <w:color w:val="000000"/>
                <w:sz w:val="20"/>
              </w:rPr>
            </w:pPr>
          </w:p>
        </w:tc>
        <w:tc>
          <w:tcPr>
            <w:tcW w:w="1400" w:type="dxa"/>
            <w:tcBorders>
              <w:top w:val="nil"/>
              <w:left w:val="nil"/>
              <w:bottom w:val="single" w:color="auto" w:sz="4" w:space="0"/>
              <w:right w:val="single" w:color="auto" w:sz="4" w:space="0"/>
            </w:tcBorders>
            <w:shd w:val="clear" w:color="auto" w:fill="auto"/>
            <w:noWrap/>
            <w:vAlign w:val="center"/>
            <w:hideMark/>
          </w:tcPr>
          <w:p w:rsidRPr="00534A39" w:rsidR="00F621AC" w:rsidP="00F621AC" w:rsidRDefault="00F621AC" w14:paraId="47F4E190" w14:textId="77777777">
            <w:pPr>
              <w:widowControl/>
              <w:jc w:val="right"/>
              <w:rPr>
                <w:rFonts w:ascii="Arial" w:hAnsi="Arial" w:cs="Arial"/>
                <w:snapToGrid/>
                <w:color w:val="000000"/>
                <w:sz w:val="20"/>
              </w:rPr>
            </w:pPr>
            <w:r w:rsidRPr="00534A39">
              <w:rPr>
                <w:rFonts w:ascii="Arial" w:hAnsi="Arial" w:cs="Arial"/>
                <w:snapToGrid/>
                <w:color w:val="000000"/>
                <w:sz w:val="20"/>
              </w:rPr>
              <w:t>514</w:t>
            </w:r>
          </w:p>
        </w:tc>
      </w:tr>
    </w:tbl>
    <w:p w:rsidRPr="00534A39" w:rsidR="005012DC" w:rsidP="002853C9" w:rsidRDefault="005012DC" w14:paraId="39A0DBFB" w14:textId="77777777">
      <w:pPr>
        <w:tabs>
          <w:tab w:val="left" w:pos="5040"/>
          <w:tab w:val="decimal" w:pos="7200"/>
        </w:tabs>
        <w:ind w:right="-720"/>
        <w:rPr>
          <w:rFonts w:ascii="Times New Roman" w:hAnsi="Times New Roman"/>
          <w:szCs w:val="24"/>
        </w:rPr>
      </w:pPr>
      <w:r w:rsidRPr="00534A39">
        <w:rPr>
          <w:rFonts w:ascii="Times New Roman" w:hAnsi="Times New Roman"/>
          <w:szCs w:val="24"/>
        </w:rPr>
        <w:t>Based on an average wage rate of $35 an hour, the cost to respondent = $17,990.</w:t>
      </w:r>
    </w:p>
    <w:p w:rsidRPr="00534A39" w:rsidR="005012DC" w:rsidP="00F621AC" w:rsidRDefault="005012DC" w14:paraId="6B2401AD" w14:textId="77777777">
      <w:pPr>
        <w:tabs>
          <w:tab w:val="left" w:pos="720"/>
          <w:tab w:val="left" w:pos="5040"/>
          <w:tab w:val="decimal" w:pos="7200"/>
        </w:tabs>
        <w:ind w:left="720" w:right="-720" w:hanging="720"/>
        <w:rPr>
          <w:rFonts w:ascii="Times New Roman" w:hAnsi="Times New Roman"/>
          <w:szCs w:val="24"/>
        </w:rPr>
      </w:pPr>
    </w:p>
    <w:p w:rsidRPr="00BE1FC3" w:rsidR="00BE1FC3" w:rsidP="00BE1FC3" w:rsidRDefault="00BE1FC3" w14:paraId="5F612D5A" w14:textId="77777777">
      <w:pPr>
        <w:rPr>
          <w:rFonts w:ascii="Times New Roman" w:hAnsi="Times New Roman"/>
          <w:b/>
        </w:rPr>
      </w:pPr>
      <w:r w:rsidRPr="00BE1FC3">
        <w:rPr>
          <w:rFonts w:ascii="Times New Roman" w:hAnsi="Times New Roman"/>
          <w:b/>
        </w:rPr>
        <w:t>13.</w:t>
      </w:r>
      <w:r w:rsidRPr="00BE1FC3">
        <w:rPr>
          <w:rFonts w:ascii="Times New Roman" w:hAnsi="Times New Roman"/>
          <w:b/>
        </w:rPr>
        <w:tab/>
        <w:t>Capital start-up or on-going operation and maintenance costs.</w:t>
      </w:r>
    </w:p>
    <w:p w:rsidR="002853C9" w:rsidP="00DC0836" w:rsidRDefault="002853C9" w14:paraId="2E15B7ED" w14:textId="77777777">
      <w:pPr>
        <w:tabs>
          <w:tab w:val="left" w:pos="720"/>
        </w:tabs>
        <w:ind w:left="720"/>
        <w:rPr>
          <w:rFonts w:ascii="Times New Roman" w:hAnsi="Times New Roman"/>
        </w:rPr>
      </w:pPr>
    </w:p>
    <w:p w:rsidRPr="002853C9" w:rsidR="003215BD" w:rsidP="002853C9" w:rsidRDefault="00DC0836" w14:paraId="123DDDF6" w14:textId="77777777">
      <w:pPr>
        <w:tabs>
          <w:tab w:val="left" w:pos="720"/>
        </w:tabs>
        <w:ind w:left="720"/>
        <w:rPr>
          <w:rFonts w:ascii="Times New Roman" w:hAnsi="Times New Roman"/>
        </w:rPr>
      </w:pPr>
      <w:r w:rsidRPr="00DC0836">
        <w:rPr>
          <w:rFonts w:ascii="Times New Roman" w:hAnsi="Times New Roman"/>
        </w:rPr>
        <w:t>There are no capital start-up or maintenance costs.</w:t>
      </w:r>
    </w:p>
    <w:p w:rsidRPr="00534A39" w:rsidR="00094576" w:rsidP="00F621AC" w:rsidRDefault="00094576" w14:paraId="6A78D831" w14:textId="77777777">
      <w:pPr>
        <w:tabs>
          <w:tab w:val="left" w:pos="720"/>
        </w:tabs>
        <w:ind w:left="720" w:hanging="720"/>
        <w:rPr>
          <w:rFonts w:ascii="Times New Roman" w:hAnsi="Times New Roman"/>
          <w:b/>
        </w:rPr>
      </w:pPr>
    </w:p>
    <w:p w:rsidRPr="00EE2FB0" w:rsidR="00EE2FB0" w:rsidP="00EE2FB0" w:rsidRDefault="00EE2FB0" w14:paraId="390AC7FD" w14:textId="77777777">
      <w:pPr>
        <w:rPr>
          <w:rFonts w:ascii="Times New Roman" w:hAnsi="Times New Roman"/>
          <w:b/>
        </w:rPr>
      </w:pPr>
      <w:r w:rsidRPr="00EE2FB0">
        <w:rPr>
          <w:rFonts w:ascii="Times New Roman" w:hAnsi="Times New Roman"/>
          <w:b/>
        </w:rPr>
        <w:t>14.</w:t>
      </w:r>
      <w:r w:rsidRPr="00EE2FB0">
        <w:rPr>
          <w:rFonts w:ascii="Times New Roman" w:hAnsi="Times New Roman"/>
          <w:b/>
        </w:rPr>
        <w:tab/>
        <w:t>Annualized costs to the Federal government.</w:t>
      </w:r>
    </w:p>
    <w:p w:rsidR="002853C9" w:rsidP="00F621AC" w:rsidRDefault="002853C9" w14:paraId="6DA6F5DF" w14:textId="77777777">
      <w:pPr>
        <w:widowControl/>
        <w:ind w:left="720" w:hanging="720"/>
        <w:rPr>
          <w:rFonts w:ascii="Times New Roman" w:hAnsi="Times New Roman"/>
          <w:color w:val="000000"/>
          <w:szCs w:val="24"/>
        </w:rPr>
      </w:pPr>
    </w:p>
    <w:p w:rsidRPr="00534A39" w:rsidR="003215BD" w:rsidP="00F621AC" w:rsidRDefault="00F621AC" w14:paraId="3933585C" w14:textId="77777777">
      <w:pPr>
        <w:widowControl/>
        <w:ind w:left="720" w:hanging="720"/>
        <w:rPr>
          <w:rFonts w:ascii="Times New Roman" w:hAnsi="Times New Roman"/>
          <w:color w:val="000000"/>
          <w:szCs w:val="24"/>
        </w:rPr>
      </w:pPr>
      <w:r w:rsidRPr="00534A39">
        <w:rPr>
          <w:rFonts w:ascii="Times New Roman" w:hAnsi="Times New Roman"/>
          <w:color w:val="000000"/>
          <w:szCs w:val="24"/>
        </w:rPr>
        <w:tab/>
      </w:r>
      <w:r w:rsidRPr="00534A39" w:rsidR="003215BD">
        <w:rPr>
          <w:rFonts w:ascii="Times New Roman" w:hAnsi="Times New Roman"/>
          <w:color w:val="000000"/>
          <w:szCs w:val="24"/>
        </w:rPr>
        <w:t xml:space="preserve">Any incremental costs associated with reviewing information submitted by private capital investors are encompassed within the </w:t>
      </w:r>
      <w:r w:rsidRPr="00534A39" w:rsidR="000D6624">
        <w:rPr>
          <w:rFonts w:ascii="Times New Roman" w:hAnsi="Times New Roman"/>
          <w:color w:val="000000"/>
          <w:szCs w:val="24"/>
        </w:rPr>
        <w:t>NCUA</w:t>
      </w:r>
      <w:r w:rsidRPr="00534A39" w:rsidR="003215BD">
        <w:rPr>
          <w:rFonts w:ascii="Times New Roman" w:hAnsi="Times New Roman"/>
          <w:color w:val="000000"/>
          <w:szCs w:val="24"/>
        </w:rPr>
        <w:t>’s personnel and data processing budgets and are not separately identifiable.</w:t>
      </w:r>
    </w:p>
    <w:p w:rsidRPr="00534A39" w:rsidR="003215BD" w:rsidP="00F621AC" w:rsidRDefault="003215BD" w14:paraId="01D18E14" w14:textId="77777777">
      <w:pPr>
        <w:widowControl/>
        <w:ind w:left="720" w:hanging="720"/>
        <w:rPr>
          <w:rFonts w:ascii="Times New Roman" w:hAnsi="Times New Roman"/>
          <w:color w:val="000000"/>
          <w:szCs w:val="24"/>
        </w:rPr>
      </w:pPr>
    </w:p>
    <w:p w:rsidRPr="00EE2FB0" w:rsidR="00EE2FB0" w:rsidP="00EE2FB0" w:rsidRDefault="00EE2FB0" w14:paraId="5F4441C5" w14:textId="77777777">
      <w:pPr>
        <w:rPr>
          <w:rFonts w:ascii="Times New Roman" w:hAnsi="Times New Roman"/>
          <w:b/>
        </w:rPr>
      </w:pPr>
      <w:r w:rsidRPr="00EE2FB0">
        <w:rPr>
          <w:rFonts w:ascii="Times New Roman" w:hAnsi="Times New Roman"/>
          <w:b/>
        </w:rPr>
        <w:t>15.</w:t>
      </w:r>
      <w:r w:rsidRPr="00EE2FB0">
        <w:rPr>
          <w:rFonts w:ascii="Times New Roman" w:hAnsi="Times New Roman"/>
          <w:b/>
        </w:rPr>
        <w:tab/>
        <w:t>Changes in burden.</w:t>
      </w:r>
    </w:p>
    <w:p w:rsidR="002853C9" w:rsidP="00F621AC" w:rsidRDefault="002853C9" w14:paraId="589C1EB9" w14:textId="77777777">
      <w:pPr>
        <w:widowControl/>
        <w:ind w:left="720" w:hanging="720"/>
        <w:rPr>
          <w:rFonts w:ascii="Times New Roman" w:hAnsi="Times New Roman"/>
          <w:color w:val="000000"/>
          <w:szCs w:val="24"/>
        </w:rPr>
      </w:pPr>
    </w:p>
    <w:p w:rsidR="003215BD" w:rsidP="00F621AC" w:rsidRDefault="00DB0B2A" w14:paraId="78538F39" w14:textId="77777777">
      <w:pPr>
        <w:widowControl/>
        <w:ind w:left="720" w:hanging="720"/>
        <w:rPr>
          <w:rFonts w:ascii="Times New Roman" w:hAnsi="Times New Roman"/>
          <w:color w:val="000000"/>
          <w:szCs w:val="24"/>
        </w:rPr>
      </w:pPr>
      <w:r>
        <w:rPr>
          <w:rFonts w:ascii="Times New Roman" w:hAnsi="Times New Roman"/>
          <w:color w:val="000000"/>
          <w:szCs w:val="24"/>
        </w:rPr>
        <w:tab/>
        <w:t>This is an extension of a currently approved collection, without change.</w:t>
      </w:r>
    </w:p>
    <w:p w:rsidRPr="00534A39" w:rsidR="003215BD" w:rsidP="00F621AC" w:rsidRDefault="003215BD" w14:paraId="38AA6CC0" w14:textId="77777777">
      <w:pPr>
        <w:widowControl/>
        <w:ind w:left="720" w:hanging="720"/>
        <w:rPr>
          <w:rFonts w:ascii="Times New Roman" w:hAnsi="Times New Roman"/>
          <w:color w:val="000000"/>
          <w:szCs w:val="24"/>
        </w:rPr>
      </w:pPr>
    </w:p>
    <w:p w:rsidRPr="00EE2FB0" w:rsidR="00EE2FB0" w:rsidP="00EE2FB0" w:rsidRDefault="00EE2FB0" w14:paraId="7D1AE314" w14:textId="77777777">
      <w:pPr>
        <w:rPr>
          <w:rFonts w:ascii="Times New Roman" w:hAnsi="Times New Roman"/>
          <w:b/>
        </w:rPr>
      </w:pPr>
      <w:r w:rsidRPr="00EE2FB0">
        <w:rPr>
          <w:rFonts w:ascii="Times New Roman" w:hAnsi="Times New Roman"/>
          <w:b/>
        </w:rPr>
        <w:t>16.</w:t>
      </w:r>
      <w:r w:rsidRPr="00EE2FB0">
        <w:rPr>
          <w:rFonts w:ascii="Times New Roman" w:hAnsi="Times New Roman"/>
          <w:b/>
        </w:rPr>
        <w:tab/>
      </w:r>
      <w:bookmarkStart w:name="_Hlk75847827" w:id="1"/>
      <w:r w:rsidRPr="00EE2FB0">
        <w:rPr>
          <w:rFonts w:ascii="Times New Roman" w:hAnsi="Times New Roman"/>
          <w:b/>
        </w:rPr>
        <w:t>Information collection planned for statistical purposes.</w:t>
      </w:r>
      <w:bookmarkEnd w:id="1"/>
    </w:p>
    <w:p w:rsidRPr="00534A39" w:rsidR="003215BD" w:rsidP="00F621AC" w:rsidRDefault="003215BD" w14:paraId="0B867499" w14:textId="77777777">
      <w:pPr>
        <w:widowControl/>
        <w:ind w:left="720" w:hanging="720"/>
        <w:rPr>
          <w:rFonts w:ascii="Times New Roman" w:hAnsi="Times New Roman"/>
          <w:color w:val="000000"/>
          <w:szCs w:val="24"/>
        </w:rPr>
      </w:pPr>
    </w:p>
    <w:p w:rsidRPr="00534A39" w:rsidR="003215BD" w:rsidP="00F621AC" w:rsidRDefault="00F621AC" w14:paraId="4033CEA6" w14:textId="77777777">
      <w:pPr>
        <w:ind w:left="720" w:hanging="720"/>
        <w:rPr>
          <w:rFonts w:ascii="Times New Roman" w:hAnsi="Times New Roman"/>
        </w:rPr>
      </w:pPr>
      <w:r w:rsidRPr="00534A39">
        <w:rPr>
          <w:rFonts w:ascii="Times New Roman" w:hAnsi="Times New Roman"/>
        </w:rPr>
        <w:tab/>
      </w:r>
      <w:r w:rsidRPr="00534A39" w:rsidR="003215BD">
        <w:rPr>
          <w:rFonts w:ascii="Times New Roman" w:hAnsi="Times New Roman"/>
        </w:rPr>
        <w:t xml:space="preserve">The information collected from covered </w:t>
      </w:r>
      <w:r w:rsidR="00B61A3D">
        <w:rPr>
          <w:rFonts w:ascii="Times New Roman" w:hAnsi="Times New Roman"/>
        </w:rPr>
        <w:t>F</w:t>
      </w:r>
      <w:r w:rsidRPr="00534A39" w:rsidR="00BD4435">
        <w:rPr>
          <w:rFonts w:ascii="Times New Roman" w:hAnsi="Times New Roman"/>
          <w:color w:val="000000"/>
          <w:szCs w:val="24"/>
        </w:rPr>
        <w:t>ICUs</w:t>
      </w:r>
      <w:r w:rsidRPr="00534A39" w:rsidR="003215BD">
        <w:rPr>
          <w:rFonts w:ascii="Times New Roman" w:hAnsi="Times New Roman"/>
        </w:rPr>
        <w:t xml:space="preserve"> will not be published by the </w:t>
      </w:r>
      <w:r w:rsidRPr="00534A39" w:rsidR="000D6624">
        <w:rPr>
          <w:rFonts w:ascii="Times New Roman" w:hAnsi="Times New Roman"/>
        </w:rPr>
        <w:t>NCUA</w:t>
      </w:r>
      <w:r w:rsidRPr="00534A39" w:rsidR="003215BD">
        <w:rPr>
          <w:rFonts w:ascii="Times New Roman" w:hAnsi="Times New Roman"/>
        </w:rPr>
        <w:t xml:space="preserve">.  </w:t>
      </w:r>
    </w:p>
    <w:p w:rsidRPr="00534A39" w:rsidR="003215BD" w:rsidP="00F621AC" w:rsidRDefault="003215BD" w14:paraId="1E8B9192" w14:textId="77777777">
      <w:pPr>
        <w:ind w:left="720" w:hanging="720"/>
        <w:rPr>
          <w:rFonts w:ascii="Times New Roman" w:hAnsi="Times New Roman"/>
        </w:rPr>
      </w:pPr>
    </w:p>
    <w:p w:rsidRPr="00EE2FB0" w:rsidR="00EE2FB0" w:rsidP="00EE2FB0" w:rsidRDefault="00EE2FB0" w14:paraId="6B5C4AA7" w14:textId="77777777">
      <w:pPr>
        <w:rPr>
          <w:rFonts w:ascii="Times New Roman" w:hAnsi="Times New Roman"/>
          <w:b/>
        </w:rPr>
      </w:pPr>
      <w:r w:rsidRPr="00EE2FB0">
        <w:rPr>
          <w:rFonts w:ascii="Times New Roman" w:hAnsi="Times New Roman"/>
          <w:b/>
        </w:rPr>
        <w:t>17.</w:t>
      </w:r>
      <w:r w:rsidRPr="00EE2FB0">
        <w:rPr>
          <w:rFonts w:ascii="Times New Roman" w:hAnsi="Times New Roman"/>
          <w:b/>
        </w:rPr>
        <w:tab/>
        <w:t>Request non-display the expiration date of the OMB control number.</w:t>
      </w:r>
    </w:p>
    <w:p w:rsidRPr="00534A39" w:rsidR="003215BD" w:rsidP="00F621AC" w:rsidRDefault="003215BD" w14:paraId="4EA8E6D9" w14:textId="77777777">
      <w:pPr>
        <w:rPr>
          <w:rFonts w:ascii="Times New Roman" w:hAnsi="Times New Roman"/>
        </w:rPr>
      </w:pPr>
    </w:p>
    <w:p w:rsidRPr="00534A39" w:rsidR="007D1AEA" w:rsidP="00AF0153" w:rsidRDefault="00AF0153" w14:paraId="40ACE82D" w14:textId="77777777">
      <w:pPr>
        <w:tabs>
          <w:tab w:val="left" w:pos="720"/>
        </w:tabs>
        <w:ind w:left="720" w:hanging="720"/>
        <w:rPr>
          <w:rFonts w:ascii="Times New Roman" w:hAnsi="Times New Roman"/>
        </w:rPr>
      </w:pPr>
      <w:r w:rsidRPr="00534A39">
        <w:rPr>
          <w:rFonts w:ascii="Times New Roman" w:hAnsi="Times New Roman"/>
        </w:rPr>
        <w:tab/>
      </w:r>
      <w:r w:rsidRPr="00534A39" w:rsidR="007D1AEA">
        <w:rPr>
          <w:rFonts w:ascii="Times New Roman" w:hAnsi="Times New Roman"/>
        </w:rPr>
        <w:t xml:space="preserve">The OMB control number and expiration date associated with this PRA submission will be displayed on the Federal Government’s electronic PRA docket </w:t>
      </w:r>
      <w:r w:rsidR="00DB0B2A">
        <w:rPr>
          <w:rFonts w:ascii="Times New Roman" w:hAnsi="Times New Roman"/>
        </w:rPr>
        <w:t xml:space="preserve">site </w:t>
      </w:r>
      <w:r w:rsidRPr="00534A39" w:rsidR="007D1AEA">
        <w:rPr>
          <w:rFonts w:ascii="Times New Roman" w:hAnsi="Times New Roman"/>
        </w:rPr>
        <w:t xml:space="preserve">at </w:t>
      </w:r>
      <w:hyperlink w:history="1" r:id="rId8">
        <w:r w:rsidRPr="00534A39" w:rsidR="007D1AEA">
          <w:rPr>
            <w:rStyle w:val="Hyperlink"/>
            <w:rFonts w:ascii="Times New Roman" w:hAnsi="Times New Roman"/>
          </w:rPr>
          <w:t>www.reginfo.gov</w:t>
        </w:r>
      </w:hyperlink>
      <w:r w:rsidRPr="00534A39" w:rsidR="007D1AEA">
        <w:rPr>
          <w:rFonts w:ascii="Times New Roman" w:hAnsi="Times New Roman"/>
        </w:rPr>
        <w:t>.</w:t>
      </w:r>
    </w:p>
    <w:p w:rsidRPr="00534A39" w:rsidR="003215BD" w:rsidP="00F621AC" w:rsidRDefault="003215BD" w14:paraId="4453DBEA" w14:textId="77777777">
      <w:pPr>
        <w:rPr>
          <w:rFonts w:ascii="Times New Roman" w:hAnsi="Times New Roman"/>
        </w:rPr>
      </w:pPr>
    </w:p>
    <w:p w:rsidRPr="00EE2FB0" w:rsidR="00EE2FB0" w:rsidP="00EE2FB0" w:rsidRDefault="00EE2FB0" w14:paraId="60288A7B" w14:textId="77777777">
      <w:pPr>
        <w:rPr>
          <w:rFonts w:ascii="Times New Roman" w:hAnsi="Times New Roman"/>
          <w:b/>
        </w:rPr>
      </w:pPr>
      <w:r w:rsidRPr="00EE2FB0">
        <w:rPr>
          <w:rFonts w:ascii="Times New Roman" w:hAnsi="Times New Roman"/>
          <w:b/>
        </w:rPr>
        <w:t>18.</w:t>
      </w:r>
      <w:r w:rsidRPr="00EE2FB0">
        <w:rPr>
          <w:rFonts w:ascii="Times New Roman" w:hAnsi="Times New Roman"/>
          <w:b/>
        </w:rPr>
        <w:tab/>
        <w:t>Exceptions to the Certification for Paperwork Reduction Act Submission.</w:t>
      </w:r>
    </w:p>
    <w:p w:rsidRPr="00534A39" w:rsidR="003215BD" w:rsidP="00F621AC" w:rsidRDefault="003215BD" w14:paraId="0E556ECC" w14:textId="77777777">
      <w:pPr>
        <w:rPr>
          <w:rFonts w:ascii="Times New Roman" w:hAnsi="Times New Roman"/>
        </w:rPr>
      </w:pPr>
    </w:p>
    <w:p w:rsidRPr="00534A39" w:rsidR="003215BD" w:rsidP="00F621AC" w:rsidRDefault="00F621AC" w14:paraId="7E8840FA" w14:textId="77777777">
      <w:pPr>
        <w:rPr>
          <w:rFonts w:ascii="Times New Roman" w:hAnsi="Times New Roman"/>
        </w:rPr>
      </w:pPr>
      <w:r w:rsidRPr="00534A39">
        <w:rPr>
          <w:rFonts w:ascii="Times New Roman" w:hAnsi="Times New Roman"/>
        </w:rPr>
        <w:tab/>
      </w:r>
      <w:r w:rsidRPr="00534A39" w:rsidR="007D1AEA">
        <w:rPr>
          <w:rFonts w:ascii="Times New Roman" w:hAnsi="Times New Roman"/>
        </w:rPr>
        <w:t>There are no exceptions to the certification statement.</w:t>
      </w:r>
    </w:p>
    <w:p w:rsidRPr="00534A39" w:rsidR="007D1AEA" w:rsidP="00F621AC" w:rsidRDefault="007D1AEA" w14:paraId="4C31B1DA" w14:textId="77777777">
      <w:pPr>
        <w:rPr>
          <w:rFonts w:ascii="Times New Roman" w:hAnsi="Times New Roman"/>
        </w:rPr>
      </w:pPr>
    </w:p>
    <w:p w:rsidRPr="002853C9" w:rsidR="00DB0B2A" w:rsidP="00F621AC" w:rsidRDefault="00DB0B2A" w14:paraId="2980DBED" w14:textId="77777777">
      <w:pPr>
        <w:rPr>
          <w:rFonts w:ascii="Times New Roman" w:hAnsi="Times New Roman"/>
          <w:bCs/>
        </w:rPr>
      </w:pPr>
    </w:p>
    <w:p w:rsidRPr="002853C9" w:rsidR="002853C9" w:rsidP="00F621AC" w:rsidRDefault="002853C9" w14:paraId="4F81E3DF" w14:textId="77777777">
      <w:pPr>
        <w:rPr>
          <w:rFonts w:ascii="Times New Roman" w:hAnsi="Times New Roman"/>
          <w:bCs/>
        </w:rPr>
      </w:pPr>
    </w:p>
    <w:p w:rsidRPr="00534A39" w:rsidR="007D1AEA" w:rsidP="00F621AC" w:rsidRDefault="007D1AEA" w14:paraId="450FB482" w14:textId="77777777">
      <w:pPr>
        <w:rPr>
          <w:rFonts w:ascii="Times New Roman" w:hAnsi="Times New Roman"/>
          <w:b/>
        </w:rPr>
      </w:pPr>
      <w:r w:rsidRPr="00534A39">
        <w:rPr>
          <w:rFonts w:ascii="Times New Roman" w:hAnsi="Times New Roman"/>
          <w:b/>
        </w:rPr>
        <w:t>B.</w:t>
      </w:r>
      <w:r w:rsidRPr="00534A39">
        <w:rPr>
          <w:rFonts w:ascii="Times New Roman" w:hAnsi="Times New Roman"/>
          <w:b/>
        </w:rPr>
        <w:tab/>
        <w:t>COLLECTIONS OF INFORMATION EMPLOYING STATISTICAL METHODS</w:t>
      </w:r>
    </w:p>
    <w:p w:rsidRPr="00534A39" w:rsidR="007D1AEA" w:rsidP="00F621AC" w:rsidRDefault="007D1AEA" w14:paraId="068CB88B" w14:textId="77777777">
      <w:pPr>
        <w:rPr>
          <w:rFonts w:ascii="Times New Roman" w:hAnsi="Times New Roman"/>
        </w:rPr>
      </w:pPr>
    </w:p>
    <w:p w:rsidRPr="00F621AC" w:rsidR="007D1AEA" w:rsidP="00F621AC" w:rsidRDefault="007D1AEA" w14:paraId="5F9073C0" w14:textId="77777777">
      <w:pPr>
        <w:rPr>
          <w:rFonts w:ascii="Times New Roman" w:hAnsi="Times New Roman"/>
        </w:rPr>
      </w:pPr>
      <w:r w:rsidRPr="00534A39">
        <w:rPr>
          <w:rFonts w:ascii="Times New Roman" w:hAnsi="Times New Roman"/>
        </w:rPr>
        <w:tab/>
        <w:t>This collection does not employ statistical methods.</w:t>
      </w:r>
    </w:p>
    <w:p w:rsidR="003215BD" w:rsidP="00F621AC" w:rsidRDefault="003215BD" w14:paraId="43B582FD" w14:textId="77777777">
      <w:pPr>
        <w:widowControl/>
        <w:tabs>
          <w:tab w:val="left" w:pos="432"/>
          <w:tab w:val="left" w:pos="720"/>
          <w:tab w:val="left" w:pos="1296"/>
          <w:tab w:val="left" w:pos="1728"/>
          <w:tab w:val="left" w:pos="4176"/>
        </w:tabs>
        <w:ind w:left="720" w:hanging="720"/>
        <w:rPr>
          <w:rFonts w:ascii="Times New Roman" w:hAnsi="Times New Roman"/>
          <w:color w:val="000000"/>
          <w:szCs w:val="24"/>
        </w:rPr>
      </w:pPr>
    </w:p>
    <w:sectPr w:rsidR="003215BD" w:rsidSect="00F621AC">
      <w:footerReference w:type="even"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9E058" w14:textId="77777777" w:rsidR="00877E9F" w:rsidRDefault="00877E9F">
      <w:r>
        <w:separator/>
      </w:r>
    </w:p>
  </w:endnote>
  <w:endnote w:type="continuationSeparator" w:id="0">
    <w:p w14:paraId="7D321284" w14:textId="77777777" w:rsidR="00877E9F" w:rsidRDefault="008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1CDE" w14:textId="77777777" w:rsidR="001D71AA" w:rsidRDefault="001D7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BC3057" w14:textId="77777777" w:rsidR="001D71AA" w:rsidRDefault="001D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F62E" w14:textId="77777777" w:rsidR="001D71AA" w:rsidRPr="00F621AC" w:rsidRDefault="00F621AC" w:rsidP="00F621AC">
    <w:pPr>
      <w:pStyle w:val="Footer"/>
      <w:tabs>
        <w:tab w:val="clear" w:pos="4320"/>
        <w:tab w:val="clear" w:pos="8640"/>
        <w:tab w:val="right" w:pos="9360"/>
      </w:tabs>
      <w:rPr>
        <w:rFonts w:ascii="Times New Roman" w:hAnsi="Times New Roman"/>
      </w:rPr>
    </w:pPr>
    <w:r w:rsidRPr="00F621AC">
      <w:rPr>
        <w:rFonts w:ascii="Times New Roman" w:hAnsi="Times New Roman"/>
        <w:i/>
        <w:sz w:val="20"/>
      </w:rPr>
      <w:t>OMB No. 3133-</w:t>
    </w:r>
    <w:r w:rsidR="00720E52">
      <w:rPr>
        <w:rFonts w:ascii="Times New Roman" w:hAnsi="Times New Roman"/>
        <w:i/>
        <w:sz w:val="20"/>
      </w:rPr>
      <w:t>0197</w:t>
    </w:r>
    <w:r w:rsidR="00DC0836">
      <w:rPr>
        <w:rFonts w:ascii="Times New Roman" w:hAnsi="Times New Roman"/>
        <w:i/>
        <w:sz w:val="20"/>
      </w:rPr>
      <w:t xml:space="preserve">; </w:t>
    </w:r>
    <w:r w:rsidR="002853C9">
      <w:rPr>
        <w:rFonts w:ascii="Times New Roman" w:hAnsi="Times New Roman"/>
        <w:i/>
        <w:sz w:val="20"/>
      </w:rPr>
      <w:t>October 2021</w:t>
    </w:r>
    <w:r w:rsidRPr="00F621AC">
      <w:rPr>
        <w:rFonts w:ascii="Times New Roman" w:hAnsi="Times New Roman"/>
      </w:rPr>
      <w:tab/>
    </w:r>
    <w:r w:rsidRPr="00F621AC">
      <w:rPr>
        <w:rFonts w:ascii="Times New Roman" w:hAnsi="Times New Roman"/>
      </w:rPr>
      <w:fldChar w:fldCharType="begin"/>
    </w:r>
    <w:r w:rsidRPr="00F621AC">
      <w:rPr>
        <w:rFonts w:ascii="Times New Roman" w:hAnsi="Times New Roman"/>
      </w:rPr>
      <w:instrText xml:space="preserve"> PAGE   \* MERGEFORMAT </w:instrText>
    </w:r>
    <w:r w:rsidRPr="00F621AC">
      <w:rPr>
        <w:rFonts w:ascii="Times New Roman" w:hAnsi="Times New Roman"/>
      </w:rPr>
      <w:fldChar w:fldCharType="separate"/>
    </w:r>
    <w:r w:rsidR="00012678">
      <w:rPr>
        <w:rFonts w:ascii="Times New Roman" w:hAnsi="Times New Roman"/>
        <w:noProof/>
      </w:rPr>
      <w:t>1</w:t>
    </w:r>
    <w:r w:rsidRPr="00F621AC">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EF84" w14:textId="77777777" w:rsidR="00877E9F" w:rsidRDefault="00877E9F">
      <w:r>
        <w:separator/>
      </w:r>
    </w:p>
  </w:footnote>
  <w:footnote w:type="continuationSeparator" w:id="0">
    <w:p w14:paraId="654DF165" w14:textId="77777777" w:rsidR="00877E9F" w:rsidRDefault="00877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6" w15:restartNumberingAfterBreak="0">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7" w15:restartNumberingAfterBreak="0">
    <w:nsid w:val="30503B3C"/>
    <w:multiLevelType w:val="hybridMultilevel"/>
    <w:tmpl w:val="1EA89792"/>
    <w:lvl w:ilvl="0" w:tplc="49F221A6">
      <w:start w:val="12"/>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9" w15:restartNumberingAfterBreak="0">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10" w15:restartNumberingAfterBreak="0">
    <w:nsid w:val="401E6FA6"/>
    <w:multiLevelType w:val="hybridMultilevel"/>
    <w:tmpl w:val="BE4E676C"/>
    <w:lvl w:ilvl="0" w:tplc="9F90DD5C">
      <w:start w:val="4"/>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E65642"/>
    <w:multiLevelType w:val="hybridMultilevel"/>
    <w:tmpl w:val="F9FAAE1A"/>
    <w:lvl w:ilvl="0" w:tplc="04090017">
      <w:start w:val="1"/>
      <w:numFmt w:val="lowerLetter"/>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78442D35"/>
    <w:multiLevelType w:val="hybridMultilevel"/>
    <w:tmpl w:val="05307BF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9"/>
  </w:num>
  <w:num w:numId="2">
    <w:abstractNumId w:val="5"/>
  </w:num>
  <w:num w:numId="3">
    <w:abstractNumId w:val="8"/>
  </w:num>
  <w:num w:numId="4">
    <w:abstractNumId w:val="6"/>
  </w:num>
  <w:num w:numId="5">
    <w:abstractNumId w:val="12"/>
  </w:num>
  <w:num w:numId="6">
    <w:abstractNumId w:val="14"/>
  </w:num>
  <w:num w:numId="7">
    <w:abstractNumId w:val="16"/>
  </w:num>
  <w:num w:numId="8">
    <w:abstractNumId w:val="10"/>
  </w:num>
  <w:num w:numId="9">
    <w:abstractNumId w:val="1"/>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4"/>
  </w:num>
  <w:num w:numId="11">
    <w:abstractNumId w:val="7"/>
  </w:num>
  <w:num w:numId="12">
    <w:abstractNumId w:val="11"/>
  </w:num>
  <w:num w:numId="1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5"/>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CB1"/>
    <w:rsid w:val="00010626"/>
    <w:rsid w:val="00012678"/>
    <w:rsid w:val="00023F03"/>
    <w:rsid w:val="000317D4"/>
    <w:rsid w:val="00094576"/>
    <w:rsid w:val="0009757D"/>
    <w:rsid w:val="000A3F8E"/>
    <w:rsid w:val="000D6624"/>
    <w:rsid w:val="00104B16"/>
    <w:rsid w:val="00197FCE"/>
    <w:rsid w:val="001C46E1"/>
    <w:rsid w:val="001C52A4"/>
    <w:rsid w:val="001D5AD0"/>
    <w:rsid w:val="001D71AA"/>
    <w:rsid w:val="002101C6"/>
    <w:rsid w:val="0022507D"/>
    <w:rsid w:val="00251EA6"/>
    <w:rsid w:val="00263FE6"/>
    <w:rsid w:val="00265D63"/>
    <w:rsid w:val="00280BB2"/>
    <w:rsid w:val="002853C9"/>
    <w:rsid w:val="002C1413"/>
    <w:rsid w:val="002E35C3"/>
    <w:rsid w:val="002F16D8"/>
    <w:rsid w:val="00304CB1"/>
    <w:rsid w:val="003215BD"/>
    <w:rsid w:val="0032187E"/>
    <w:rsid w:val="00332255"/>
    <w:rsid w:val="0036772D"/>
    <w:rsid w:val="00374138"/>
    <w:rsid w:val="00375FC7"/>
    <w:rsid w:val="00380F64"/>
    <w:rsid w:val="003B420C"/>
    <w:rsid w:val="003D32AF"/>
    <w:rsid w:val="003D721F"/>
    <w:rsid w:val="00403529"/>
    <w:rsid w:val="00405F97"/>
    <w:rsid w:val="00425AC8"/>
    <w:rsid w:val="00470832"/>
    <w:rsid w:val="004743F4"/>
    <w:rsid w:val="004A530F"/>
    <w:rsid w:val="004D05B7"/>
    <w:rsid w:val="005012DC"/>
    <w:rsid w:val="0050678E"/>
    <w:rsid w:val="005267FD"/>
    <w:rsid w:val="00534A39"/>
    <w:rsid w:val="005A4AA6"/>
    <w:rsid w:val="005C3AB0"/>
    <w:rsid w:val="005D2336"/>
    <w:rsid w:val="005E133B"/>
    <w:rsid w:val="005E386C"/>
    <w:rsid w:val="00622946"/>
    <w:rsid w:val="006300B3"/>
    <w:rsid w:val="00633F20"/>
    <w:rsid w:val="006357E5"/>
    <w:rsid w:val="006730B8"/>
    <w:rsid w:val="006B5F9C"/>
    <w:rsid w:val="006C7D54"/>
    <w:rsid w:val="006F084A"/>
    <w:rsid w:val="006F2F34"/>
    <w:rsid w:val="00720E52"/>
    <w:rsid w:val="007353EC"/>
    <w:rsid w:val="007370A7"/>
    <w:rsid w:val="00776AA3"/>
    <w:rsid w:val="007A5537"/>
    <w:rsid w:val="007C4AD1"/>
    <w:rsid w:val="007D1AEA"/>
    <w:rsid w:val="00840D0C"/>
    <w:rsid w:val="00877E9F"/>
    <w:rsid w:val="00890232"/>
    <w:rsid w:val="00895CA9"/>
    <w:rsid w:val="008B22B3"/>
    <w:rsid w:val="008E2706"/>
    <w:rsid w:val="00907210"/>
    <w:rsid w:val="009245FD"/>
    <w:rsid w:val="00926B43"/>
    <w:rsid w:val="009D00F9"/>
    <w:rsid w:val="009E5C7A"/>
    <w:rsid w:val="00A40AC6"/>
    <w:rsid w:val="00A50AB6"/>
    <w:rsid w:val="00A608B4"/>
    <w:rsid w:val="00AA14FC"/>
    <w:rsid w:val="00AD2E08"/>
    <w:rsid w:val="00AF0153"/>
    <w:rsid w:val="00B04F31"/>
    <w:rsid w:val="00B61A3D"/>
    <w:rsid w:val="00B85483"/>
    <w:rsid w:val="00BC53FB"/>
    <w:rsid w:val="00BD4435"/>
    <w:rsid w:val="00BD7969"/>
    <w:rsid w:val="00BE1FC3"/>
    <w:rsid w:val="00C0263D"/>
    <w:rsid w:val="00C70777"/>
    <w:rsid w:val="00C75CBD"/>
    <w:rsid w:val="00C81A3E"/>
    <w:rsid w:val="00CB18FE"/>
    <w:rsid w:val="00D017BD"/>
    <w:rsid w:val="00D52A0B"/>
    <w:rsid w:val="00D66F79"/>
    <w:rsid w:val="00D70AC2"/>
    <w:rsid w:val="00D951A3"/>
    <w:rsid w:val="00DA1AA6"/>
    <w:rsid w:val="00DB0B2A"/>
    <w:rsid w:val="00DB161D"/>
    <w:rsid w:val="00DC0836"/>
    <w:rsid w:val="00DC6118"/>
    <w:rsid w:val="00E27C3B"/>
    <w:rsid w:val="00E35668"/>
    <w:rsid w:val="00E51F39"/>
    <w:rsid w:val="00E92F45"/>
    <w:rsid w:val="00EC6E75"/>
    <w:rsid w:val="00EE2FB0"/>
    <w:rsid w:val="00F35FD6"/>
    <w:rsid w:val="00F621AC"/>
    <w:rsid w:val="00F63E65"/>
    <w:rsid w:val="00F64125"/>
    <w:rsid w:val="00F6619B"/>
    <w:rsid w:val="00F83B3B"/>
    <w:rsid w:val="00FD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62E88D"/>
  <w15:chartTrackingRefBased/>
  <w15:docId w15:val="{E0CE2345-5E44-45AE-9904-F1D3DC22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FootnoteText">
    <w:name w:val="footnote text"/>
    <w:basedOn w:val="Normal"/>
    <w:semiHidden/>
    <w:pPr>
      <w:widowControl/>
    </w:pPr>
    <w:rPr>
      <w:rFonts w:ascii="Times New Roman" w:hAnsi="Times New Roman"/>
      <w:snapToGrid/>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F621AC"/>
    <w:rPr>
      <w:rFonts w:ascii="Courier" w:hAnsi="Courier"/>
      <w:snapToGrid w:val="0"/>
      <w:sz w:val="24"/>
    </w:rPr>
  </w:style>
  <w:style w:type="character" w:styleId="Strong">
    <w:name w:val="Strong"/>
    <w:uiPriority w:val="22"/>
    <w:qFormat/>
    <w:rsid w:val="006357E5"/>
    <w:rPr>
      <w:b/>
      <w:bCs/>
    </w:rPr>
  </w:style>
  <w:style w:type="character" w:styleId="Hyperlink">
    <w:name w:val="Hyperlink"/>
    <w:uiPriority w:val="99"/>
    <w:unhideWhenUsed/>
    <w:rsid w:val="007D1AEA"/>
    <w:rPr>
      <w:color w:val="0000FF"/>
      <w:u w:val="single"/>
    </w:rPr>
  </w:style>
  <w:style w:type="paragraph" w:styleId="ListParagraph">
    <w:name w:val="List Paragraph"/>
    <w:basedOn w:val="Normal"/>
    <w:uiPriority w:val="34"/>
    <w:qFormat/>
    <w:rsid w:val="00BE1FC3"/>
    <w:pPr>
      <w:widowControl/>
      <w:ind w:left="720"/>
      <w:contextualSpacing/>
    </w:pPr>
    <w:rPr>
      <w:rFonts w:ascii="Times New Roman" w:hAnsi="Times New Roman"/>
      <w:snapToGrid/>
      <w:szCs w:val="24"/>
    </w:rPr>
  </w:style>
  <w:style w:type="paragraph" w:customStyle="1" w:styleId="Level1">
    <w:name w:val="Level 1"/>
    <w:basedOn w:val="Normal"/>
    <w:rsid w:val="00BE1FC3"/>
    <w:pPr>
      <w:numPr>
        <w:numId w:val="13"/>
      </w:numPr>
      <w:autoSpaceDE w:val="0"/>
      <w:autoSpaceDN w:val="0"/>
      <w:adjustRightInd w:val="0"/>
      <w:ind w:left="474" w:hanging="186"/>
      <w:outlineLvl w:val="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D6DE-99E1-412B-915E-FA3052BB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9884</CharactersWithSpaces>
  <SharedDoc>false</SharedDoc>
  <HLinks>
    <vt:vector size="6" baseType="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leneta gregorie</dc:creator>
  <cp:keywords/>
  <dc:description/>
  <cp:lastModifiedBy>Wolfgang, Dawn</cp:lastModifiedBy>
  <cp:revision>3</cp:revision>
  <cp:lastPrinted>2021-10-29T19:05:00Z</cp:lastPrinted>
  <dcterms:created xsi:type="dcterms:W3CDTF">2021-10-29T19:22:00Z</dcterms:created>
  <dcterms:modified xsi:type="dcterms:W3CDTF">2021-10-29T19:24:00Z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