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13E" w:rsidP="005E413E" w:rsidRDefault="005E413E" w14:paraId="1CA90618" w14:textId="77777777">
      <w:pPr>
        <w:jc w:val="center"/>
        <w:rPr>
          <w:b/>
          <w:sz w:val="24"/>
        </w:rPr>
      </w:pPr>
      <w:r>
        <w:rPr>
          <w:b/>
          <w:sz w:val="24"/>
        </w:rPr>
        <w:t xml:space="preserve"> SUPPORTING STATEMENT</w:t>
      </w:r>
    </w:p>
    <w:p w:rsidR="005E413E" w:rsidP="005E413E" w:rsidRDefault="005E413E" w14:paraId="1B5B87FC" w14:textId="77777777">
      <w:pPr>
        <w:jc w:val="center"/>
        <w:rPr>
          <w:b/>
          <w:sz w:val="24"/>
        </w:rPr>
      </w:pPr>
    </w:p>
    <w:p w:rsidR="002C26E3" w:rsidP="005E413E" w:rsidRDefault="002C26E3" w14:paraId="217C8A0B" w14:textId="77777777">
      <w:pPr>
        <w:jc w:val="center"/>
        <w:rPr>
          <w:b/>
          <w:sz w:val="24"/>
        </w:rPr>
      </w:pPr>
      <w:r w:rsidRPr="002C26E3">
        <w:rPr>
          <w:b/>
          <w:sz w:val="24"/>
        </w:rPr>
        <w:t>Request for a Medical Exemption to the COVID-19 Vaccination Requirement</w:t>
      </w:r>
    </w:p>
    <w:p w:rsidRPr="005E413E" w:rsidR="005E413E" w:rsidP="005E413E" w:rsidRDefault="005E413E" w14:paraId="41C88404" w14:textId="77777777">
      <w:pPr>
        <w:jc w:val="center"/>
        <w:rPr>
          <w:b/>
          <w:sz w:val="24"/>
        </w:rPr>
      </w:pPr>
      <w:r>
        <w:rPr>
          <w:b/>
          <w:sz w:val="24"/>
        </w:rPr>
        <w:t xml:space="preserve">OMB </w:t>
      </w:r>
      <w:r w:rsidR="002703E0">
        <w:rPr>
          <w:b/>
          <w:sz w:val="24"/>
        </w:rPr>
        <w:t xml:space="preserve">Control No. </w:t>
      </w:r>
      <w:r w:rsidR="00D52E19">
        <w:rPr>
          <w:b/>
          <w:sz w:val="24"/>
        </w:rPr>
        <w:t>0503</w:t>
      </w:r>
      <w:r>
        <w:rPr>
          <w:b/>
          <w:sz w:val="24"/>
        </w:rPr>
        <w:t>-</w:t>
      </w:r>
      <w:r w:rsidR="00D52E19">
        <w:rPr>
          <w:b/>
          <w:sz w:val="24"/>
        </w:rPr>
        <w:t>New</w:t>
      </w:r>
    </w:p>
    <w:p w:rsidR="005E413E" w:rsidRDefault="005E413E" w14:paraId="447D53E3" w14:textId="77777777">
      <w:pPr>
        <w:jc w:val="both"/>
        <w:rPr>
          <w:b/>
          <w:sz w:val="24"/>
          <w:u w:val="single"/>
        </w:rPr>
      </w:pPr>
    </w:p>
    <w:p w:rsidR="005E413E" w:rsidRDefault="005E413E" w14:paraId="1707FB6B" w14:textId="77777777">
      <w:pPr>
        <w:jc w:val="both"/>
        <w:rPr>
          <w:b/>
          <w:sz w:val="24"/>
          <w:u w:val="single"/>
        </w:rPr>
      </w:pPr>
    </w:p>
    <w:p w:rsidRPr="009A3085" w:rsidR="00071F56" w:rsidP="009A3085" w:rsidRDefault="00431A09" w14:paraId="2844E415"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75EEB38C" w14:textId="77777777">
      <w:pPr>
        <w:rPr>
          <w:sz w:val="24"/>
          <w:szCs w:val="24"/>
        </w:rPr>
      </w:pPr>
    </w:p>
    <w:p w:rsidRPr="009A3085" w:rsidR="00071F56" w:rsidP="009A3085" w:rsidRDefault="00071F56" w14:paraId="616AEB5B" w14:textId="77777777">
      <w:pPr>
        <w:rPr>
          <w:b/>
          <w:sz w:val="24"/>
          <w:szCs w:val="24"/>
        </w:rPr>
      </w:pPr>
      <w:r w:rsidRPr="009A3085">
        <w:rPr>
          <w:b/>
          <w:sz w:val="24"/>
          <w:szCs w:val="24"/>
        </w:rPr>
        <w:t>A.  Justification</w:t>
      </w:r>
    </w:p>
    <w:p w:rsidRPr="009A3085" w:rsidR="00071F56" w:rsidP="009A3085" w:rsidRDefault="00071F56" w14:paraId="5DD3F8AB" w14:textId="77777777">
      <w:pPr>
        <w:rPr>
          <w:b/>
          <w:sz w:val="24"/>
          <w:szCs w:val="24"/>
        </w:rPr>
      </w:pPr>
    </w:p>
    <w:p w:rsidR="00071F56" w:rsidP="009A3085" w:rsidRDefault="00071F56" w14:paraId="27F7A691" w14:textId="77777777">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04B9" w:rsidP="009A3085" w:rsidRDefault="005404B9" w14:paraId="62BDD879" w14:textId="77777777">
      <w:pPr>
        <w:ind w:left="720" w:hanging="720"/>
        <w:rPr>
          <w:b/>
          <w:sz w:val="24"/>
          <w:szCs w:val="24"/>
        </w:rPr>
      </w:pPr>
    </w:p>
    <w:p w:rsidRPr="00BE0B9C" w:rsidR="005404B9" w:rsidP="009A3085" w:rsidRDefault="005404B9" w14:paraId="282684F5" w14:textId="77777777">
      <w:pPr>
        <w:ind w:left="720" w:hanging="720"/>
        <w:rPr>
          <w:sz w:val="24"/>
          <w:szCs w:val="24"/>
        </w:rPr>
      </w:pPr>
      <w:r>
        <w:rPr>
          <w:b/>
          <w:sz w:val="24"/>
          <w:szCs w:val="24"/>
        </w:rPr>
        <w:tab/>
      </w:r>
      <w:r w:rsidRPr="00BE0B9C">
        <w:rPr>
          <w:sz w:val="24"/>
          <w:szCs w:val="24"/>
        </w:rPr>
        <w:t>On September 9, 2021, the President signed Executive Order (EO) 14043, titled, “Requiring Coronavirus Disease 2019 Vaccination for Federal Employees.” As reflected in Section 1 of the EO, the President has determined that in order to promote the health and safety of the workforce and the efficiency of the civil service, it is necessary to require COVID–19 vaccination for Federal employees, subject to such exceptions as are required by law.</w:t>
      </w:r>
    </w:p>
    <w:p w:rsidRPr="00BE0B9C" w:rsidR="005404B9" w:rsidP="009A3085" w:rsidRDefault="005404B9" w14:paraId="68C76D2A" w14:textId="77777777">
      <w:pPr>
        <w:ind w:left="720" w:hanging="720"/>
        <w:rPr>
          <w:sz w:val="24"/>
          <w:szCs w:val="24"/>
        </w:rPr>
      </w:pPr>
    </w:p>
    <w:p w:rsidR="005404B9" w:rsidP="009A3085" w:rsidRDefault="005404B9" w14:paraId="45B3CD02" w14:textId="77777777">
      <w:pPr>
        <w:ind w:left="720" w:hanging="720"/>
        <w:rPr>
          <w:sz w:val="24"/>
          <w:szCs w:val="24"/>
        </w:rPr>
      </w:pPr>
      <w:r w:rsidRPr="00BE0B9C">
        <w:rPr>
          <w:sz w:val="24"/>
          <w:szCs w:val="24"/>
        </w:rPr>
        <w:tab/>
        <w:t>Safer Federal Workforce Task Force guidance specifies that agencies should require all of their employees, with exceptions only as required by law, to be fully vaccinated by November 22, 2021. That means employees must complete required vaccination dose(s) by November 8, as they will not become “fully vaccinated” until 2 weeks after their final dose (the second of 2 doses for Pfizer and Moderna, and the first dose for Johnson and Johnson)</w:t>
      </w:r>
      <w:r w:rsidR="00AF709F">
        <w:rPr>
          <w:sz w:val="24"/>
          <w:szCs w:val="24"/>
        </w:rPr>
        <w:t xml:space="preserve"> or request an </w:t>
      </w:r>
      <w:r w:rsidRPr="00BE0B9C">
        <w:rPr>
          <w:sz w:val="24"/>
          <w:szCs w:val="24"/>
        </w:rPr>
        <w:t>exception</w:t>
      </w:r>
      <w:r w:rsidR="00AF709F">
        <w:rPr>
          <w:sz w:val="24"/>
          <w:szCs w:val="24"/>
        </w:rPr>
        <w:t>.  The only exception</w:t>
      </w:r>
      <w:r w:rsidRPr="00BE0B9C">
        <w:rPr>
          <w:sz w:val="24"/>
          <w:szCs w:val="24"/>
        </w:rPr>
        <w:t xml:space="preserve"> is for individuals who receive a legally required exception approved under established agency processes.</w:t>
      </w:r>
    </w:p>
    <w:p w:rsidR="000345AB" w:rsidP="009A3085" w:rsidRDefault="000345AB" w14:paraId="1DCC9D05" w14:textId="77777777">
      <w:pPr>
        <w:ind w:left="720" w:hanging="720"/>
        <w:rPr>
          <w:sz w:val="24"/>
          <w:szCs w:val="24"/>
        </w:rPr>
      </w:pPr>
    </w:p>
    <w:p w:rsidRPr="00A64408" w:rsidR="000345AB" w:rsidP="000345AB" w:rsidRDefault="00393923" w14:paraId="4DB093BF" w14:textId="0EED71EE">
      <w:pPr>
        <w:ind w:left="720"/>
        <w:rPr>
          <w:sz w:val="24"/>
          <w:szCs w:val="24"/>
        </w:rPr>
      </w:pPr>
      <w:r w:rsidRPr="00393923">
        <w:rPr>
          <w:sz w:val="24"/>
          <w:szCs w:val="24"/>
        </w:rPr>
        <w:t xml:space="preserve">The U.S. Department of Agriculture is administering requests for Reasonable Accommodation, which are submitted as medical exceptions to the COVID-19 vaccination requirement, in accordance with the Rehabilitation Act of 1973, as amended, requires Federal Agencies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00393923">
        <w:rPr>
          <w:i/>
          <w:iCs/>
          <w:sz w:val="24"/>
          <w:szCs w:val="24"/>
        </w:rPr>
        <w:t>Requiring Federal Agencies to Establish Procedures to Facilitate the Provision of Reasonable Accommodation</w:t>
      </w:r>
      <w:r w:rsidRPr="00393923">
        <w:rPr>
          <w:sz w:val="24"/>
          <w:szCs w:val="24"/>
        </w:rPr>
        <w:t>.  Section 2 of E.O. 14043 mandates that each agency “implement, to the extent consistent with applicable law, a program to require COVID-19 vaccination for all of its Federal employees, with exceptions only as required by law.”  This medical exemption form is necessary for USDA to determine legal exemptions to the vaccine requirement under the Rehabilitation Act. This includes the requisite confidentiality requirements, subject to the applicable Rehabilitation Act standards, and maintenance of supporting documents.</w:t>
      </w:r>
    </w:p>
    <w:p w:rsidRPr="00BE0B9C" w:rsidR="000345AB" w:rsidP="009A3085" w:rsidRDefault="000345AB" w14:paraId="0A20D271" w14:textId="77777777">
      <w:pPr>
        <w:ind w:left="720" w:hanging="720"/>
        <w:rPr>
          <w:b/>
          <w:sz w:val="24"/>
          <w:szCs w:val="24"/>
        </w:rPr>
      </w:pPr>
    </w:p>
    <w:p w:rsidRPr="00BE0B9C" w:rsidR="005404B9" w:rsidP="009A3085" w:rsidRDefault="005404B9" w14:paraId="2835FA8A" w14:textId="77777777">
      <w:pPr>
        <w:ind w:left="720" w:hanging="720"/>
        <w:rPr>
          <w:b/>
          <w:sz w:val="24"/>
          <w:szCs w:val="24"/>
        </w:rPr>
      </w:pPr>
    </w:p>
    <w:p w:rsidRPr="009A3085" w:rsidR="00071F56" w:rsidP="009A3085" w:rsidRDefault="00071F56" w14:paraId="39D95088" w14:textId="77777777">
      <w:pPr>
        <w:ind w:left="720"/>
        <w:rPr>
          <w:b/>
          <w:sz w:val="24"/>
          <w:szCs w:val="24"/>
        </w:rPr>
      </w:pPr>
    </w:p>
    <w:p w:rsidR="00071F56" w:rsidP="009A3085" w:rsidRDefault="00071F56" w14:paraId="60F3476C" w14:textId="77777777">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AC5F64" w:rsidP="009A3085" w:rsidRDefault="00AC5F64" w14:paraId="7007E827" w14:textId="77777777">
      <w:pPr>
        <w:ind w:left="720" w:hanging="720"/>
        <w:rPr>
          <w:b/>
          <w:sz w:val="24"/>
          <w:szCs w:val="24"/>
        </w:rPr>
      </w:pPr>
    </w:p>
    <w:p w:rsidRPr="00A64408" w:rsidR="00AC5F64" w:rsidP="00AC5F64" w:rsidRDefault="00AC5F64" w14:paraId="7A620BE9" w14:textId="77777777">
      <w:pPr>
        <w:ind w:left="720"/>
        <w:rPr>
          <w:rFonts w:eastAsia="Calibri"/>
          <w:sz w:val="24"/>
          <w:szCs w:val="24"/>
        </w:rPr>
      </w:pPr>
      <w:r w:rsidRPr="00AC5F64">
        <w:rPr>
          <w:rFonts w:eastAsia="Calibri"/>
          <w:sz w:val="24"/>
          <w:szCs w:val="24"/>
        </w:rPr>
        <w:lastRenderedPageBreak/>
        <w:t xml:space="preserve">This information is being requested to promote </w:t>
      </w:r>
      <w:r w:rsidR="00AF709F">
        <w:rPr>
          <w:rFonts w:eastAsia="Calibri"/>
          <w:sz w:val="24"/>
          <w:szCs w:val="24"/>
        </w:rPr>
        <w:t xml:space="preserve">the safety of </w:t>
      </w:r>
      <w:r w:rsidRPr="00AC5F64">
        <w:rPr>
          <w:rFonts w:eastAsia="Calibri"/>
          <w:sz w:val="24"/>
          <w:szCs w:val="24"/>
        </w:rPr>
        <w:t xml:space="preserve">the Federal workforce, the safety of Federal buildings, and others on site at agency facilities or those interacting with the public consistent with the COVID-19 Workplace Safety: Agency Model Safety Principles established by the Safer Federal Workforce Task Force and guidance from the Centers for Disease Control and Prevention.  To request a medical exemption from the COVID-19 vaccination requirement, an employee must </w:t>
      </w:r>
      <w:r w:rsidR="002C26E3">
        <w:rPr>
          <w:rFonts w:eastAsia="Calibri"/>
          <w:sz w:val="24"/>
          <w:szCs w:val="24"/>
        </w:rPr>
        <w:t xml:space="preserve">provide </w:t>
      </w:r>
      <w:r w:rsidRPr="00A64408" w:rsidR="00DE1E9A">
        <w:rPr>
          <w:rFonts w:eastAsia="Calibri"/>
          <w:sz w:val="24"/>
          <w:szCs w:val="24"/>
        </w:rPr>
        <w:t>documentation f</w:t>
      </w:r>
      <w:r w:rsidRPr="00A64408" w:rsidR="006139D8">
        <w:rPr>
          <w:rFonts w:eastAsia="Calibri"/>
          <w:sz w:val="24"/>
          <w:szCs w:val="24"/>
        </w:rPr>
        <w:t>rom</w:t>
      </w:r>
      <w:r w:rsidRPr="00A64408" w:rsidR="00DE1E9A">
        <w:rPr>
          <w:rFonts w:eastAsia="Calibri"/>
          <w:sz w:val="24"/>
          <w:szCs w:val="24"/>
        </w:rPr>
        <w:t xml:space="preserve"> their medical provider</w:t>
      </w:r>
      <w:r w:rsidRPr="00A64408" w:rsidR="006139D8">
        <w:rPr>
          <w:rFonts w:eastAsia="Calibri"/>
          <w:sz w:val="24"/>
          <w:szCs w:val="24"/>
        </w:rPr>
        <w:t>.</w:t>
      </w:r>
    </w:p>
    <w:p w:rsidR="00AC5F64" w:rsidP="009A3085" w:rsidRDefault="00AC5F64" w14:paraId="1E6FF1A4" w14:textId="77777777">
      <w:pPr>
        <w:ind w:left="720" w:hanging="720"/>
        <w:rPr>
          <w:b/>
          <w:sz w:val="24"/>
          <w:szCs w:val="24"/>
        </w:rPr>
      </w:pPr>
      <w:r>
        <w:rPr>
          <w:b/>
          <w:sz w:val="24"/>
          <w:szCs w:val="24"/>
        </w:rPr>
        <w:tab/>
      </w:r>
    </w:p>
    <w:p w:rsidRPr="00D87FF5" w:rsidR="00AC5F64" w:rsidP="00AC5F64" w:rsidRDefault="00AC5F64" w14:paraId="4795EE21" w14:textId="77777777">
      <w:pPr>
        <w:ind w:left="720"/>
        <w:rPr>
          <w:rFonts w:eastAsia="Calibri"/>
          <w:sz w:val="24"/>
          <w:szCs w:val="24"/>
        </w:rPr>
      </w:pPr>
      <w:r w:rsidRPr="00D87FF5">
        <w:rPr>
          <w:rFonts w:eastAsia="Calibri"/>
          <w:sz w:val="24"/>
          <w:szCs w:val="24"/>
        </w:rPr>
        <w:t xml:space="preserve">This will ensure the information collected is consistent among the agencies and staff offices and minimize the need to seek additional evidence.  </w:t>
      </w:r>
    </w:p>
    <w:p w:rsidRPr="00D87FF5" w:rsidR="00AC5F64" w:rsidP="00AC5F64" w:rsidRDefault="00AC5F64" w14:paraId="5DDD41C0" w14:textId="77777777">
      <w:pPr>
        <w:ind w:left="720"/>
        <w:rPr>
          <w:rFonts w:eastAsia="Calibri"/>
          <w:sz w:val="24"/>
          <w:szCs w:val="24"/>
        </w:rPr>
      </w:pPr>
    </w:p>
    <w:p w:rsidRPr="00D87FF5" w:rsidR="00AC5F64" w:rsidP="00AC5F64" w:rsidRDefault="00AC5F64" w14:paraId="0C3053D2" w14:textId="7C05A250">
      <w:pPr>
        <w:spacing w:after="160"/>
        <w:ind w:left="720"/>
        <w:rPr>
          <w:rFonts w:eastAsia="Calibri"/>
          <w:sz w:val="24"/>
          <w:szCs w:val="24"/>
        </w:rPr>
      </w:pPr>
      <w:r w:rsidRPr="00D87FF5">
        <w:rPr>
          <w:rFonts w:eastAsia="Calibri"/>
          <w:sz w:val="24"/>
          <w:szCs w:val="24"/>
        </w:rPr>
        <w:t xml:space="preserve">USDA seeks OMB’s approval to process the </w:t>
      </w:r>
      <w:r w:rsidR="00E44CB6">
        <w:rPr>
          <w:rFonts w:eastAsia="Calibri"/>
          <w:sz w:val="24"/>
          <w:szCs w:val="24"/>
        </w:rPr>
        <w:t>request</w:t>
      </w:r>
      <w:r w:rsidRPr="00D87FF5">
        <w:rPr>
          <w:rFonts w:eastAsia="Calibri"/>
          <w:sz w:val="24"/>
          <w:szCs w:val="24"/>
        </w:rPr>
        <w:t xml:space="preserve"> as emergency clearance requests in accordance with 5 C.F.R. § 1320.13, Emergency Processing.</w:t>
      </w:r>
    </w:p>
    <w:p w:rsidRPr="009A3085" w:rsidR="00AC5F64" w:rsidP="009A3085" w:rsidRDefault="00AC5F64" w14:paraId="350C5670" w14:textId="77777777">
      <w:pPr>
        <w:ind w:left="720" w:hanging="720"/>
        <w:rPr>
          <w:b/>
          <w:sz w:val="24"/>
          <w:szCs w:val="24"/>
        </w:rPr>
      </w:pPr>
    </w:p>
    <w:p w:rsidRPr="009A3085" w:rsidR="00071F56" w:rsidP="009A3085" w:rsidRDefault="00071F56" w14:paraId="355CD48A" w14:textId="77777777">
      <w:pPr>
        <w:ind w:left="720"/>
        <w:rPr>
          <w:b/>
          <w:sz w:val="24"/>
          <w:szCs w:val="24"/>
        </w:rPr>
      </w:pPr>
    </w:p>
    <w:p w:rsidR="00071F56" w:rsidP="009A3085" w:rsidRDefault="00071F56" w14:paraId="45528168" w14:textId="77777777">
      <w:pPr>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87FF5" w:rsidP="009A3085" w:rsidRDefault="00D87FF5" w14:paraId="093B535E" w14:textId="77777777">
      <w:pPr>
        <w:ind w:left="720" w:hanging="720"/>
        <w:rPr>
          <w:b/>
          <w:sz w:val="24"/>
          <w:szCs w:val="24"/>
        </w:rPr>
      </w:pPr>
    </w:p>
    <w:p w:rsidRPr="00D87FF5" w:rsidR="00D87FF5" w:rsidP="00D87FF5" w:rsidRDefault="00D87FF5" w14:paraId="43F9F5CB" w14:textId="77777777">
      <w:pPr>
        <w:ind w:left="720"/>
        <w:rPr>
          <w:rFonts w:eastAsia="Calibri"/>
          <w:sz w:val="24"/>
          <w:szCs w:val="24"/>
        </w:rPr>
      </w:pPr>
      <w:r w:rsidRPr="00D87FF5">
        <w:rPr>
          <w:rFonts w:eastAsia="Calibri"/>
          <w:sz w:val="24"/>
          <w:szCs w:val="24"/>
        </w:rPr>
        <w:t>This information collection is paper-based</w:t>
      </w:r>
      <w:r w:rsidR="002C26E3">
        <w:rPr>
          <w:rFonts w:eastAsia="Calibri"/>
          <w:sz w:val="24"/>
          <w:szCs w:val="24"/>
        </w:rPr>
        <w:t xml:space="preserve">. </w:t>
      </w:r>
      <w:r w:rsidRPr="00D87FF5">
        <w:rPr>
          <w:rFonts w:eastAsia="Calibri"/>
          <w:sz w:val="24"/>
          <w:szCs w:val="24"/>
        </w:rPr>
        <w:t>We will continue to explore options to use technology to reduce the burden on individuals.</w:t>
      </w:r>
    </w:p>
    <w:p w:rsidRPr="009A3085" w:rsidR="00D87FF5" w:rsidP="009A3085" w:rsidRDefault="00D87FF5" w14:paraId="675752DF" w14:textId="77777777">
      <w:pPr>
        <w:ind w:left="720" w:hanging="720"/>
        <w:rPr>
          <w:b/>
          <w:sz w:val="24"/>
          <w:szCs w:val="24"/>
        </w:rPr>
      </w:pPr>
    </w:p>
    <w:p w:rsidRPr="009A3085" w:rsidR="00071F56" w:rsidP="009A3085" w:rsidRDefault="00071F56" w14:paraId="1C1324F5" w14:textId="77777777">
      <w:pPr>
        <w:ind w:left="720"/>
        <w:rPr>
          <w:sz w:val="24"/>
          <w:szCs w:val="24"/>
        </w:rPr>
      </w:pPr>
    </w:p>
    <w:p w:rsidR="00071F56" w:rsidP="009A3085" w:rsidRDefault="00071F56" w14:paraId="257D8CB8" w14:textId="77777777">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p>
    <w:p w:rsidRPr="009A3085" w:rsidR="00D87FF5" w:rsidP="009A3085" w:rsidRDefault="00D87FF5" w14:paraId="5C8C2DC8" w14:textId="77777777">
      <w:pPr>
        <w:ind w:left="720" w:hanging="720"/>
        <w:rPr>
          <w:b/>
          <w:sz w:val="24"/>
          <w:szCs w:val="24"/>
        </w:rPr>
      </w:pPr>
    </w:p>
    <w:p w:rsidRPr="00A773D7" w:rsidR="00D87FF5" w:rsidP="00D87FF5" w:rsidRDefault="00D87FF5" w14:paraId="08C541AE" w14:textId="77777777">
      <w:pPr>
        <w:ind w:left="720"/>
        <w:rPr>
          <w:rFonts w:eastAsia="Calibri"/>
          <w:sz w:val="24"/>
          <w:szCs w:val="24"/>
        </w:rPr>
      </w:pPr>
      <w:r w:rsidRPr="00A773D7">
        <w:rPr>
          <w:rFonts w:eastAsia="Calibri"/>
          <w:sz w:val="24"/>
          <w:szCs w:val="24"/>
        </w:rPr>
        <w:t>We are unaware of other sources of similar information available for use by the respondents.</w:t>
      </w:r>
    </w:p>
    <w:p w:rsidRPr="009A3085" w:rsidR="00071F56" w:rsidP="009A3085" w:rsidRDefault="00071F56" w14:paraId="12755288" w14:textId="77777777">
      <w:pPr>
        <w:rPr>
          <w:sz w:val="24"/>
          <w:szCs w:val="24"/>
        </w:rPr>
      </w:pPr>
    </w:p>
    <w:p w:rsidR="00071F56" w:rsidP="009A3085" w:rsidRDefault="00071F56" w14:paraId="39EBE63A"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p>
    <w:p w:rsidR="00636FF5" w:rsidP="009A3085" w:rsidRDefault="00636FF5" w14:paraId="29EC091A" w14:textId="77777777">
      <w:pPr>
        <w:ind w:left="720" w:hanging="720"/>
        <w:rPr>
          <w:b/>
          <w:sz w:val="24"/>
          <w:szCs w:val="24"/>
        </w:rPr>
      </w:pPr>
    </w:p>
    <w:p w:rsidRPr="00A773D7" w:rsidR="00636FF5" w:rsidP="00636FF5" w:rsidRDefault="00636FF5" w14:paraId="5F25EF9A" w14:textId="77777777">
      <w:pPr>
        <w:rPr>
          <w:rFonts w:eastAsia="Calibri"/>
          <w:sz w:val="24"/>
          <w:szCs w:val="24"/>
        </w:rPr>
      </w:pPr>
      <w:r>
        <w:rPr>
          <w:b/>
          <w:sz w:val="24"/>
          <w:szCs w:val="24"/>
        </w:rPr>
        <w:tab/>
      </w:r>
      <w:r w:rsidRPr="00A773D7">
        <w:rPr>
          <w:rFonts w:eastAsia="Calibri"/>
          <w:sz w:val="24"/>
          <w:szCs w:val="24"/>
        </w:rPr>
        <w:t xml:space="preserve">This information collection request has no identified impact on small businesses and </w:t>
      </w:r>
    </w:p>
    <w:p w:rsidRPr="00A773D7" w:rsidR="00636FF5" w:rsidP="00636FF5" w:rsidRDefault="00636FF5" w14:paraId="4D65D9E3" w14:textId="77777777">
      <w:pPr>
        <w:ind w:firstLine="720"/>
        <w:rPr>
          <w:rFonts w:eastAsia="Calibri"/>
          <w:sz w:val="24"/>
          <w:szCs w:val="24"/>
        </w:rPr>
      </w:pPr>
      <w:r w:rsidRPr="00A773D7">
        <w:rPr>
          <w:rFonts w:eastAsia="Calibri"/>
          <w:sz w:val="24"/>
          <w:szCs w:val="24"/>
        </w:rPr>
        <w:t>organizations.</w:t>
      </w:r>
    </w:p>
    <w:p w:rsidRPr="009A3085" w:rsidR="00636FF5" w:rsidP="009A3085" w:rsidRDefault="00636FF5" w14:paraId="5764A55E" w14:textId="77777777">
      <w:pPr>
        <w:ind w:left="720" w:hanging="720"/>
        <w:rPr>
          <w:sz w:val="24"/>
          <w:szCs w:val="24"/>
        </w:rPr>
      </w:pPr>
    </w:p>
    <w:p w:rsidRPr="009A3085" w:rsidR="00071F56" w:rsidP="009A3085" w:rsidRDefault="00071F56" w14:paraId="4B28E110" w14:textId="77777777">
      <w:pPr>
        <w:ind w:left="720"/>
        <w:rPr>
          <w:sz w:val="24"/>
          <w:szCs w:val="24"/>
        </w:rPr>
      </w:pPr>
    </w:p>
    <w:p w:rsidRPr="009A3085" w:rsidR="00071F56" w:rsidP="009A3085" w:rsidRDefault="00071F56" w14:paraId="7A4EFB73"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 as well as any technical or legal obstacles to reducing burden.</w:t>
      </w:r>
    </w:p>
    <w:p w:rsidR="00071F56" w:rsidP="009A3085" w:rsidRDefault="00071F56" w14:paraId="43116669" w14:textId="77777777">
      <w:pPr>
        <w:rPr>
          <w:sz w:val="24"/>
          <w:szCs w:val="24"/>
        </w:rPr>
      </w:pPr>
    </w:p>
    <w:p w:rsidRPr="00A773D7" w:rsidR="00636FF5" w:rsidP="00636FF5" w:rsidRDefault="00636FF5" w14:paraId="0D9298E6" w14:textId="77777777">
      <w:pPr>
        <w:ind w:left="720"/>
        <w:rPr>
          <w:rFonts w:eastAsia="Calibri"/>
          <w:sz w:val="24"/>
          <w:szCs w:val="24"/>
        </w:rPr>
      </w:pPr>
      <w:r w:rsidRPr="00A773D7">
        <w:rPr>
          <w:rFonts w:eastAsia="Calibri"/>
          <w:sz w:val="24"/>
          <w:szCs w:val="24"/>
        </w:rPr>
        <w:t>Less frequent collection would inhibit USDA’s ability to meet the mandates of the Safer Federal Workforce Task Force and USDA’s specific established COVID-19 workplace safety protocols.</w:t>
      </w:r>
    </w:p>
    <w:p w:rsidRPr="009A3085" w:rsidR="00636FF5" w:rsidP="009A3085" w:rsidRDefault="00636FF5" w14:paraId="4C005F5C" w14:textId="77777777">
      <w:pPr>
        <w:rPr>
          <w:sz w:val="24"/>
          <w:szCs w:val="24"/>
        </w:rPr>
      </w:pPr>
    </w:p>
    <w:p w:rsidRPr="009A3085" w:rsidR="00071F56" w:rsidP="009A3085" w:rsidRDefault="00071F56" w14:paraId="455721EA" w14:textId="77777777">
      <w:pPr>
        <w:pStyle w:val="BodyTextIndent"/>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Pr="009A3085" w:rsidR="00071F56" w:rsidP="009A3085" w:rsidRDefault="00071F56" w14:paraId="3ABCF183" w14:textId="77777777">
      <w:pPr>
        <w:numPr>
          <w:ilvl w:val="0"/>
          <w:numId w:val="2"/>
        </w:numPr>
        <w:tabs>
          <w:tab w:val="clear" w:pos="360"/>
        </w:tabs>
        <w:spacing w:after="80"/>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Pr="009A3085" w:rsidR="00071F56" w:rsidP="009A3085" w:rsidRDefault="00071F56" w14:paraId="7D8A10D1" w14:textId="77777777">
      <w:pPr>
        <w:numPr>
          <w:ilvl w:val="0"/>
          <w:numId w:val="3"/>
        </w:numPr>
        <w:tabs>
          <w:tab w:val="clear" w:pos="360"/>
        </w:tabs>
        <w:spacing w:after="80"/>
        <w:ind w:left="1170" w:hanging="450"/>
        <w:rPr>
          <w:b/>
          <w:sz w:val="24"/>
          <w:szCs w:val="24"/>
        </w:rPr>
      </w:pPr>
      <w:r w:rsidRPr="009A3085">
        <w:rPr>
          <w:b/>
          <w:sz w:val="24"/>
          <w:szCs w:val="24"/>
        </w:rPr>
        <w:lastRenderedPageBreak/>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Pr="009A3085" w:rsidR="00071F56" w:rsidP="009A3085" w:rsidRDefault="00071F56" w14:paraId="34B42726" w14:textId="77777777">
      <w:pPr>
        <w:numPr>
          <w:ilvl w:val="0"/>
          <w:numId w:val="4"/>
        </w:numPr>
        <w:tabs>
          <w:tab w:val="clear" w:pos="360"/>
        </w:tabs>
        <w:spacing w:after="80"/>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Pr="009A3085" w:rsidR="00071F56" w:rsidP="009A3085" w:rsidRDefault="00071F56" w14:paraId="7E4EB524" w14:textId="77777777">
      <w:pPr>
        <w:numPr>
          <w:ilvl w:val="0"/>
          <w:numId w:val="5"/>
        </w:numPr>
        <w:tabs>
          <w:tab w:val="clear" w:pos="360"/>
        </w:tabs>
        <w:spacing w:after="80"/>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Pr="009A3085" w:rsidR="00071F56" w:rsidP="009A3085" w:rsidRDefault="00071F56" w14:paraId="2C882C34" w14:textId="77777777">
      <w:pPr>
        <w:numPr>
          <w:ilvl w:val="0"/>
          <w:numId w:val="6"/>
        </w:numPr>
        <w:tabs>
          <w:tab w:val="clear" w:pos="360"/>
        </w:tabs>
        <w:spacing w:after="80"/>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Pr="009A3085" w:rsidR="00071F56" w:rsidP="009A3085" w:rsidRDefault="00071F56" w14:paraId="7F147FC2" w14:textId="77777777">
      <w:pPr>
        <w:numPr>
          <w:ilvl w:val="0"/>
          <w:numId w:val="7"/>
        </w:numPr>
        <w:tabs>
          <w:tab w:val="clear" w:pos="360"/>
        </w:tabs>
        <w:spacing w:after="80"/>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Pr="009A3085" w:rsidR="00071F56" w:rsidP="009A3085" w:rsidRDefault="00071F56" w14:paraId="50763082" w14:textId="77777777">
      <w:pPr>
        <w:numPr>
          <w:ilvl w:val="0"/>
          <w:numId w:val="8"/>
        </w:numPr>
        <w:tabs>
          <w:tab w:val="clear" w:pos="360"/>
        </w:tabs>
        <w:spacing w:after="80"/>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Pr="00636FF5" w:rsidR="00071F56" w:rsidP="009A3085" w:rsidRDefault="00071F56" w14:paraId="612FCEF4" w14:textId="77777777">
      <w:pPr>
        <w:numPr>
          <w:ilvl w:val="0"/>
          <w:numId w:val="10"/>
        </w:numPr>
        <w:tabs>
          <w:tab w:val="clear" w:pos="360"/>
          <w:tab w:val="num" w:pos="648"/>
        </w:tabs>
        <w:spacing w:after="80"/>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36FF5" w:rsidP="00636FF5" w:rsidRDefault="00636FF5" w14:paraId="02235DC8" w14:textId="77777777">
      <w:pPr>
        <w:spacing w:after="80"/>
        <w:rPr>
          <w:b/>
          <w:sz w:val="24"/>
          <w:szCs w:val="24"/>
        </w:rPr>
      </w:pPr>
    </w:p>
    <w:p w:rsidRPr="00A773D7" w:rsidR="00636FF5" w:rsidP="00636FF5" w:rsidRDefault="00636FF5" w14:paraId="21D16DCB" w14:textId="77777777">
      <w:pPr>
        <w:spacing w:line="259" w:lineRule="auto"/>
        <w:ind w:firstLine="720"/>
        <w:rPr>
          <w:rFonts w:eastAsia="Calibri"/>
          <w:sz w:val="24"/>
          <w:szCs w:val="24"/>
        </w:rPr>
      </w:pPr>
      <w:r w:rsidRPr="00A773D7">
        <w:rPr>
          <w:rFonts w:eastAsia="Calibri"/>
          <w:sz w:val="24"/>
          <w:szCs w:val="24"/>
        </w:rPr>
        <w:t>There are no other special circumstances involved in the collection of this information.</w:t>
      </w:r>
    </w:p>
    <w:p w:rsidRPr="00636FF5" w:rsidR="00636FF5" w:rsidP="00636FF5" w:rsidRDefault="00636FF5" w14:paraId="7A6DB7B2" w14:textId="77777777">
      <w:pPr>
        <w:spacing w:line="259" w:lineRule="auto"/>
        <w:rPr>
          <w:rFonts w:ascii="Arial" w:hAnsi="Arial" w:eastAsia="Calibri" w:cs="Arial"/>
          <w:sz w:val="10"/>
          <w:szCs w:val="10"/>
        </w:rPr>
      </w:pPr>
    </w:p>
    <w:p w:rsidRPr="009A3085" w:rsidR="00636FF5" w:rsidP="00636FF5" w:rsidRDefault="00636FF5" w14:paraId="5E2D2C49" w14:textId="77777777">
      <w:pPr>
        <w:spacing w:after="80"/>
        <w:ind w:left="720"/>
        <w:rPr>
          <w:sz w:val="24"/>
          <w:szCs w:val="24"/>
        </w:rPr>
      </w:pPr>
    </w:p>
    <w:p w:rsidR="00071F56" w:rsidP="009A3085" w:rsidRDefault="00071F56" w14:paraId="0608D9D8" w14:textId="77777777">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636FF5" w:rsidP="00636FF5" w:rsidRDefault="00636FF5" w14:paraId="1C99E779" w14:textId="77777777">
      <w:pPr>
        <w:ind w:left="720"/>
        <w:rPr>
          <w:b/>
          <w:sz w:val="24"/>
          <w:szCs w:val="24"/>
        </w:rPr>
      </w:pPr>
    </w:p>
    <w:p w:rsidR="00636FF5" w:rsidP="00636FF5" w:rsidRDefault="00636FF5" w14:paraId="5751C2AE" w14:textId="77777777">
      <w:pPr>
        <w:ind w:left="720"/>
        <w:rPr>
          <w:bCs/>
          <w:sz w:val="24"/>
          <w:szCs w:val="24"/>
        </w:rPr>
      </w:pPr>
      <w:r w:rsidRPr="00636FF5">
        <w:rPr>
          <w:bCs/>
          <w:sz w:val="24"/>
          <w:szCs w:val="24"/>
        </w:rPr>
        <w:t>USDA is requesting emergency approval and therefore no notice has been published.</w:t>
      </w:r>
    </w:p>
    <w:p w:rsidR="00A773D7" w:rsidP="00636FF5" w:rsidRDefault="00A773D7" w14:paraId="76A6701D" w14:textId="77777777">
      <w:pPr>
        <w:ind w:left="720"/>
        <w:rPr>
          <w:bCs/>
          <w:sz w:val="24"/>
          <w:szCs w:val="24"/>
        </w:rPr>
      </w:pPr>
    </w:p>
    <w:p w:rsidR="00071F56" w:rsidP="009A3085" w:rsidRDefault="00071F56" w14:paraId="6A27FFBE" w14:textId="77777777">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636FF5" w:rsidP="009A3085" w:rsidRDefault="00636FF5" w14:paraId="1B8B1BEE" w14:textId="77777777">
      <w:pPr>
        <w:pStyle w:val="BodyTextIndent2"/>
        <w:jc w:val="left"/>
        <w:rPr>
          <w:szCs w:val="24"/>
        </w:rPr>
      </w:pPr>
    </w:p>
    <w:p w:rsidRPr="00A773D7" w:rsidR="00A773D7" w:rsidP="00A773D7" w:rsidRDefault="00A773D7" w14:paraId="42BB2F42" w14:textId="77777777">
      <w:pPr>
        <w:ind w:left="720"/>
        <w:rPr>
          <w:rFonts w:eastAsia="Calibri"/>
          <w:sz w:val="24"/>
          <w:szCs w:val="24"/>
        </w:rPr>
      </w:pPr>
      <w:r w:rsidRPr="00A773D7">
        <w:rPr>
          <w:rFonts w:eastAsia="Calibri"/>
          <w:sz w:val="24"/>
          <w:szCs w:val="24"/>
        </w:rPr>
        <w:t>Aside from discussions with Office of Management and Budget (OMB) personnel, and other Federal agencies, no additional consultation was conducted for this submission.</w:t>
      </w:r>
    </w:p>
    <w:p w:rsidRPr="00A773D7" w:rsidR="00636FF5" w:rsidP="009A3085" w:rsidRDefault="00636FF5" w14:paraId="2210E0DA" w14:textId="77777777">
      <w:pPr>
        <w:pStyle w:val="BodyTextIndent2"/>
        <w:jc w:val="left"/>
        <w:rPr>
          <w:szCs w:val="24"/>
        </w:rPr>
      </w:pPr>
    </w:p>
    <w:p w:rsidRPr="009A3085" w:rsidR="00071F56" w:rsidP="009A3085" w:rsidRDefault="00071F56" w14:paraId="7C8ED7EB" w14:textId="77777777">
      <w:pPr>
        <w:ind w:left="720"/>
        <w:rPr>
          <w:sz w:val="24"/>
          <w:szCs w:val="24"/>
        </w:rPr>
      </w:pPr>
    </w:p>
    <w:p w:rsidR="00071F56" w:rsidP="00636FF5" w:rsidRDefault="00071F56" w14:paraId="0EFE5294" w14:textId="77777777">
      <w:pPr>
        <w:numPr>
          <w:ilvl w:val="0"/>
          <w:numId w:val="11"/>
        </w:numPr>
        <w:rPr>
          <w:b/>
          <w:sz w:val="24"/>
          <w:szCs w:val="24"/>
        </w:rPr>
      </w:pPr>
      <w:r w:rsidRPr="009A3085">
        <w:rPr>
          <w:b/>
          <w:sz w:val="24"/>
          <w:szCs w:val="24"/>
        </w:rPr>
        <w:t>Explain any decision to provide any payment or gift to respondents, other than reenumeration of contractors or grantees.</w:t>
      </w:r>
    </w:p>
    <w:p w:rsidR="00636FF5" w:rsidP="00636FF5" w:rsidRDefault="00636FF5" w14:paraId="4DB2A326" w14:textId="77777777">
      <w:pPr>
        <w:rPr>
          <w:sz w:val="24"/>
          <w:szCs w:val="24"/>
        </w:rPr>
      </w:pPr>
    </w:p>
    <w:p w:rsidRPr="009A3085" w:rsidR="00636FF5" w:rsidP="00636FF5" w:rsidRDefault="00636FF5" w14:paraId="5929C929" w14:textId="77777777">
      <w:pPr>
        <w:ind w:left="720"/>
        <w:rPr>
          <w:sz w:val="24"/>
          <w:szCs w:val="24"/>
        </w:rPr>
      </w:pPr>
      <w:r>
        <w:rPr>
          <w:sz w:val="24"/>
          <w:szCs w:val="24"/>
        </w:rPr>
        <w:t>No gifts or payments has been or will be provided to any individuals who are connected to this collection.</w:t>
      </w:r>
    </w:p>
    <w:p w:rsidRPr="009A3085" w:rsidR="00071F56" w:rsidP="009A3085" w:rsidRDefault="00071F56" w14:paraId="33171A5D" w14:textId="77777777">
      <w:pPr>
        <w:rPr>
          <w:sz w:val="24"/>
          <w:szCs w:val="24"/>
        </w:rPr>
      </w:pPr>
    </w:p>
    <w:p w:rsidR="00071F56" w:rsidP="009A3085" w:rsidRDefault="00071F56" w14:paraId="185B2DEA" w14:textId="77777777">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rsidR="007839E6" w:rsidP="007839E6" w:rsidRDefault="007839E6" w14:paraId="7CFD3276" w14:textId="77777777">
      <w:pPr>
        <w:rPr>
          <w:b/>
          <w:sz w:val="24"/>
          <w:szCs w:val="24"/>
        </w:rPr>
      </w:pPr>
    </w:p>
    <w:p w:rsidRPr="00B02255" w:rsidR="007839E6" w:rsidP="007839E6" w:rsidRDefault="007839E6" w14:paraId="1885CB83" w14:textId="77777777">
      <w:pPr>
        <w:ind w:left="720"/>
        <w:rPr>
          <w:sz w:val="24"/>
        </w:rPr>
      </w:pPr>
      <w:r w:rsidRPr="00B02255">
        <w:rPr>
          <w:sz w:val="24"/>
        </w:rPr>
        <w:t xml:space="preserve">The </w:t>
      </w:r>
      <w:r w:rsidR="002C26E3">
        <w:rPr>
          <w:sz w:val="24"/>
        </w:rPr>
        <w:t xml:space="preserve">information is </w:t>
      </w:r>
      <w:r w:rsidRPr="00B02255">
        <w:rPr>
          <w:sz w:val="24"/>
        </w:rPr>
        <w:t>consistent with OMB’s guidance for requesting a medical exemption.</w:t>
      </w:r>
      <w:r w:rsidRPr="00B02255" w:rsidR="00994783">
        <w:rPr>
          <w:sz w:val="24"/>
        </w:rPr>
        <w:t xml:space="preserve"> </w:t>
      </w:r>
    </w:p>
    <w:p w:rsidRPr="00B02255" w:rsidR="00B02255" w:rsidP="007839E6" w:rsidRDefault="00B02255" w14:paraId="5FDD10C4" w14:textId="77777777">
      <w:pPr>
        <w:ind w:left="720"/>
        <w:rPr>
          <w:sz w:val="24"/>
        </w:rPr>
      </w:pPr>
    </w:p>
    <w:p w:rsidR="00AF030F" w:rsidP="00AF030F" w:rsidRDefault="00AF030F" w14:paraId="3ED9278A" w14:textId="77777777">
      <w:pPr>
        <w:ind w:left="720"/>
        <w:rPr>
          <w:sz w:val="24"/>
          <w:szCs w:val="24"/>
        </w:rPr>
      </w:pPr>
      <w:r>
        <w:rPr>
          <w:sz w:val="24"/>
          <w:szCs w:val="24"/>
        </w:rPr>
        <w:lastRenderedPageBreak/>
        <w:t xml:space="preserve">This collection is covered under USDA Personnel Public Health Emergency Records System, USDA/OSEC 01, published on Monday, November 8, 2021, Vol 86, Number 213, Page 61747, </w:t>
      </w:r>
    </w:p>
    <w:p w:rsidR="00AF709F" w:rsidP="00AF030F" w:rsidRDefault="00AF030F" w14:paraId="2BCEA809" w14:textId="77777777">
      <w:pPr>
        <w:autoSpaceDE w:val="0"/>
        <w:autoSpaceDN w:val="0"/>
        <w:ind w:left="720"/>
        <w:rPr>
          <w:sz w:val="24"/>
          <w:szCs w:val="24"/>
        </w:rPr>
      </w:pPr>
      <w:r>
        <w:rPr>
          <w:sz w:val="24"/>
          <w:szCs w:val="24"/>
        </w:rPr>
        <w:t xml:space="preserve">and USDA/OSEC-02 Contractors and Visitors Public Health and Emergency Records, published on  November 9, 2021, Vol 86, Number 214, Page 62142.  This section describes the safeguards of records in this system according to applicable rules and policies, including all applicable USDA automated systems security and access policies. The Department has imposed strict controls to minimize the risk of compromising the information that is being stored.  </w:t>
      </w:r>
      <w:r w:rsidRPr="00A64408" w:rsidR="00AF709F">
        <w:rPr>
          <w:sz w:val="24"/>
          <w:szCs w:val="24"/>
        </w:rPr>
        <w:t xml:space="preserve">Users of individual computers can only gain access to the data by a valid user identification and password. Paper records are maintained in a secure, access-controlled room, with access limited to authorized personnel.  </w:t>
      </w:r>
    </w:p>
    <w:p w:rsidR="0047062D" w:rsidP="00AF709F" w:rsidRDefault="0047062D" w14:paraId="32111F03" w14:textId="77777777">
      <w:pPr>
        <w:autoSpaceDE w:val="0"/>
        <w:autoSpaceDN w:val="0"/>
        <w:ind w:left="720"/>
        <w:rPr>
          <w:sz w:val="24"/>
          <w:szCs w:val="24"/>
        </w:rPr>
      </w:pPr>
    </w:p>
    <w:p w:rsidRPr="00B02255" w:rsidR="00AF709F" w:rsidP="00B02255" w:rsidRDefault="00AF709F" w14:paraId="55DF8357" w14:textId="77777777">
      <w:pPr>
        <w:ind w:left="720"/>
        <w:rPr>
          <w:sz w:val="24"/>
          <w:szCs w:val="24"/>
        </w:rPr>
      </w:pPr>
    </w:p>
    <w:p w:rsidRPr="009A3085" w:rsidR="00071F56" w:rsidP="009A3085" w:rsidRDefault="00071F56" w14:paraId="7ABE84DB" w14:textId="77777777">
      <w:pPr>
        <w:rPr>
          <w:sz w:val="24"/>
          <w:szCs w:val="24"/>
        </w:rPr>
      </w:pPr>
    </w:p>
    <w:p w:rsidR="00071F56" w:rsidP="00DE1E9A" w:rsidRDefault="00071F56" w14:paraId="79FBC71B" w14:textId="77777777">
      <w:pPr>
        <w:numPr>
          <w:ilvl w:val="0"/>
          <w:numId w:val="1"/>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E1E9A" w:rsidP="00DE1E9A" w:rsidRDefault="00DE1E9A" w14:paraId="4B125942" w14:textId="77777777">
      <w:pPr>
        <w:rPr>
          <w:b/>
          <w:sz w:val="24"/>
          <w:szCs w:val="24"/>
        </w:rPr>
      </w:pPr>
    </w:p>
    <w:p w:rsidR="00071F56" w:rsidP="009A3085" w:rsidRDefault="00CF7995" w14:paraId="37F85DD2" w14:textId="43B38D01">
      <w:pPr>
        <w:ind w:left="720"/>
        <w:rPr>
          <w:sz w:val="24"/>
          <w:szCs w:val="24"/>
        </w:rPr>
      </w:pPr>
      <w:r w:rsidRPr="00CF7995">
        <w:rPr>
          <w:sz w:val="24"/>
          <w:szCs w:val="24"/>
        </w:rPr>
        <w:t>Any information collected will only be used to determine whether an individual is legally entitled to an accommodation. The information is consistent with OMB’s guidance for requesting a medical exemption.</w:t>
      </w:r>
    </w:p>
    <w:p w:rsidRPr="009A3085" w:rsidR="00CF7995" w:rsidP="009A3085" w:rsidRDefault="00CF7995" w14:paraId="5A353634" w14:textId="77777777">
      <w:pPr>
        <w:ind w:left="720"/>
        <w:rPr>
          <w:sz w:val="24"/>
          <w:szCs w:val="24"/>
        </w:rPr>
      </w:pPr>
    </w:p>
    <w:p w:rsidRPr="009A3085" w:rsidR="00071F56" w:rsidP="009A3085" w:rsidRDefault="00071F56" w14:paraId="4E3416A2" w14:textId="77777777">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Pr="009A3085" w:rsidR="00071F56" w:rsidP="009A3085" w:rsidRDefault="00071F56" w14:paraId="3F551A6C" w14:textId="77777777">
      <w:pPr>
        <w:rPr>
          <w:b/>
          <w:sz w:val="24"/>
          <w:szCs w:val="24"/>
        </w:rPr>
      </w:pPr>
    </w:p>
    <w:p w:rsidR="00071F56" w:rsidP="009A3085" w:rsidRDefault="00071F56" w14:paraId="3EE36558"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estimated. If this request for approval covers more than one form, provide separate hour burden estimates for each form and aggregate the hour burdens in Item 13 of OMB Form 83-I.</w:t>
      </w:r>
      <w:r w:rsidR="007D02A2">
        <w:rPr>
          <w:b/>
          <w:sz w:val="24"/>
          <w:szCs w:val="24"/>
        </w:rPr>
        <w:t xml:space="preserve">  </w:t>
      </w:r>
    </w:p>
    <w:p w:rsidR="007D02A2" w:rsidP="007D02A2" w:rsidRDefault="007D02A2" w14:paraId="34B3BF14" w14:textId="77777777">
      <w:pPr>
        <w:rPr>
          <w:b/>
          <w:sz w:val="24"/>
          <w:szCs w:val="24"/>
        </w:rPr>
      </w:pPr>
    </w:p>
    <w:p w:rsidRPr="007D02A2" w:rsidR="007D02A2" w:rsidP="007D02A2" w:rsidRDefault="007D02A2" w14:paraId="6EB6417F" w14:textId="77777777">
      <w:pPr>
        <w:ind w:left="1440"/>
        <w:rPr>
          <w:bCs/>
          <w:sz w:val="24"/>
          <w:szCs w:val="24"/>
        </w:rPr>
      </w:pPr>
      <w:r w:rsidRPr="007D02A2">
        <w:rPr>
          <w:bCs/>
          <w:sz w:val="24"/>
          <w:szCs w:val="24"/>
        </w:rPr>
        <w:t xml:space="preserve">USDA estimates that about </w:t>
      </w:r>
      <w:r w:rsidR="00AF709F">
        <w:rPr>
          <w:bCs/>
          <w:sz w:val="24"/>
          <w:szCs w:val="24"/>
        </w:rPr>
        <w:t>2</w:t>
      </w:r>
      <w:r w:rsidRPr="007D02A2">
        <w:rPr>
          <w:bCs/>
          <w:sz w:val="24"/>
          <w:szCs w:val="24"/>
        </w:rPr>
        <w:t>,000 would request a medical exception.</w:t>
      </w:r>
      <w:r>
        <w:rPr>
          <w:bCs/>
          <w:sz w:val="24"/>
          <w:szCs w:val="24"/>
        </w:rPr>
        <w:t xml:space="preserve">  The time it takes to request the medical exception is </w:t>
      </w:r>
      <w:r w:rsidR="00DE1E9A">
        <w:rPr>
          <w:bCs/>
          <w:sz w:val="24"/>
          <w:szCs w:val="24"/>
        </w:rPr>
        <w:t>10</w:t>
      </w:r>
      <w:r>
        <w:rPr>
          <w:bCs/>
          <w:sz w:val="24"/>
          <w:szCs w:val="24"/>
        </w:rPr>
        <w:t xml:space="preserve"> minutes, resulting in </w:t>
      </w:r>
      <w:r w:rsidR="00DE1E9A">
        <w:rPr>
          <w:bCs/>
          <w:sz w:val="24"/>
          <w:szCs w:val="24"/>
        </w:rPr>
        <w:t>333</w:t>
      </w:r>
      <w:r>
        <w:rPr>
          <w:bCs/>
          <w:sz w:val="24"/>
          <w:szCs w:val="24"/>
        </w:rPr>
        <w:t xml:space="preserve"> burden hours.</w:t>
      </w:r>
    </w:p>
    <w:p w:rsidRPr="009A3085" w:rsidR="00071F56" w:rsidP="009A3085" w:rsidRDefault="00071F56" w14:paraId="60FBA02B" w14:textId="77777777">
      <w:pPr>
        <w:rPr>
          <w:sz w:val="24"/>
          <w:szCs w:val="24"/>
        </w:rPr>
      </w:pPr>
    </w:p>
    <w:p w:rsidRPr="00DE1E9A" w:rsidR="00071F56" w:rsidP="009A3085" w:rsidRDefault="00071F56" w14:paraId="303C755A" w14:textId="77777777">
      <w:pPr>
        <w:numPr>
          <w:ilvl w:val="0"/>
          <w:numId w:val="13"/>
        </w:numPr>
        <w:tabs>
          <w:tab w:val="clear" w:pos="360"/>
          <w:tab w:val="num" w:pos="1440"/>
        </w:tabs>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DE1E9A" w:rsidP="00DE1E9A" w:rsidRDefault="00DE1E9A" w14:paraId="1A6ECE78" w14:textId="77777777">
      <w:pPr>
        <w:rPr>
          <w:b/>
          <w:sz w:val="24"/>
          <w:szCs w:val="24"/>
        </w:rPr>
      </w:pPr>
    </w:p>
    <w:p w:rsidR="00DE1E9A" w:rsidP="00DE1E9A" w:rsidRDefault="00DB28EE" w14:paraId="27F3A417" w14:textId="77777777">
      <w:pPr>
        <w:ind w:left="1440"/>
        <w:rPr>
          <w:bCs/>
          <w:sz w:val="24"/>
          <w:szCs w:val="24"/>
        </w:rPr>
      </w:pPr>
      <w:r>
        <w:rPr>
          <w:bCs/>
          <w:sz w:val="24"/>
          <w:szCs w:val="24"/>
        </w:rPr>
        <w:t>The cost to the medical provider is $34,318.98.  (333x$103.06*)</w:t>
      </w:r>
    </w:p>
    <w:p w:rsidR="00DB28EE" w:rsidP="00DE1E9A" w:rsidRDefault="00DB28EE" w14:paraId="48EADFAB" w14:textId="77777777">
      <w:pPr>
        <w:ind w:left="1440"/>
        <w:rPr>
          <w:bCs/>
          <w:sz w:val="24"/>
          <w:szCs w:val="24"/>
        </w:rPr>
      </w:pPr>
    </w:p>
    <w:p w:rsidRPr="00DE1E9A" w:rsidR="00DB28EE" w:rsidP="00DE1E9A" w:rsidRDefault="00DB28EE" w14:paraId="759390BD" w14:textId="77777777">
      <w:pPr>
        <w:ind w:left="1440"/>
        <w:rPr>
          <w:bCs/>
          <w:sz w:val="24"/>
          <w:szCs w:val="24"/>
        </w:rPr>
      </w:pPr>
      <w:r>
        <w:rPr>
          <w:bCs/>
          <w:sz w:val="24"/>
          <w:szCs w:val="24"/>
        </w:rPr>
        <w:t>*</w:t>
      </w:r>
      <w:r>
        <w:t xml:space="preserve">* National estimate for Family Medicine Physicians mean hourly wage </w:t>
      </w:r>
      <w:hyperlink w:history="1" r:id="rId7">
        <w:r>
          <w:rPr>
            <w:rStyle w:val="Hyperlink"/>
          </w:rPr>
          <w:t>https://www.bls.gov/oes/current/oes291215.htm</w:t>
        </w:r>
      </w:hyperlink>
    </w:p>
    <w:p w:rsidRPr="009A3085" w:rsidR="00071F56" w:rsidP="009A3085" w:rsidRDefault="00071F56" w14:paraId="392498E6" w14:textId="77777777">
      <w:pPr>
        <w:rPr>
          <w:sz w:val="24"/>
          <w:szCs w:val="24"/>
        </w:rPr>
      </w:pPr>
    </w:p>
    <w:p w:rsidR="00071F56" w:rsidP="009A3085" w:rsidRDefault="00071F56" w14:paraId="4C0A7B4F" w14:textId="77777777">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F93B68">
        <w:rPr>
          <w:b/>
          <w:sz w:val="24"/>
          <w:szCs w:val="24"/>
        </w:rPr>
        <w:t xml:space="preserve">nance and purchase of services </w:t>
      </w:r>
      <w:r w:rsidRPr="009A3085">
        <w:rPr>
          <w:b/>
          <w:sz w:val="24"/>
          <w:szCs w:val="24"/>
        </w:rPr>
        <w:t>component.</w:t>
      </w:r>
    </w:p>
    <w:p w:rsidR="00950968" w:rsidP="009A3085" w:rsidRDefault="00950968" w14:paraId="492951AD" w14:textId="77777777">
      <w:pPr>
        <w:ind w:left="720" w:hanging="720"/>
        <w:rPr>
          <w:b/>
          <w:sz w:val="24"/>
          <w:szCs w:val="24"/>
        </w:rPr>
      </w:pPr>
    </w:p>
    <w:p w:rsidRPr="00950968" w:rsidR="00950968" w:rsidP="009A3085" w:rsidRDefault="00950968" w14:paraId="512F3ABB" w14:textId="77777777">
      <w:pPr>
        <w:ind w:left="720" w:hanging="720"/>
        <w:rPr>
          <w:bCs/>
          <w:sz w:val="24"/>
          <w:szCs w:val="24"/>
        </w:rPr>
      </w:pPr>
      <w:r>
        <w:rPr>
          <w:b/>
          <w:sz w:val="24"/>
          <w:szCs w:val="24"/>
        </w:rPr>
        <w:tab/>
      </w:r>
      <w:r w:rsidRPr="00950968">
        <w:rPr>
          <w:bCs/>
          <w:sz w:val="24"/>
          <w:szCs w:val="24"/>
        </w:rPr>
        <w:t>There is no capital or start-up cost associated with this collection.</w:t>
      </w:r>
    </w:p>
    <w:p w:rsidRPr="00950968" w:rsidR="00071F56" w:rsidP="009A3085" w:rsidRDefault="00071F56" w14:paraId="1BECEC75" w14:textId="77777777">
      <w:pPr>
        <w:rPr>
          <w:bCs/>
          <w:sz w:val="24"/>
          <w:szCs w:val="24"/>
        </w:rPr>
      </w:pPr>
    </w:p>
    <w:p w:rsidR="00071F56" w:rsidP="009A3085" w:rsidRDefault="00071F56" w14:paraId="6B37F3C8" w14:textId="77777777">
      <w:pPr>
        <w:ind w:left="720" w:hanging="720"/>
        <w:rPr>
          <w:b/>
          <w:sz w:val="24"/>
          <w:szCs w:val="24"/>
        </w:rPr>
      </w:pPr>
      <w:r w:rsidRPr="009A3085">
        <w:rPr>
          <w:b/>
          <w:sz w:val="24"/>
          <w:szCs w:val="24"/>
        </w:rPr>
        <w:lastRenderedPageBreak/>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DB28EE" w:rsidP="009A3085" w:rsidRDefault="00DB28EE" w14:paraId="5C903119" w14:textId="77777777">
      <w:pPr>
        <w:ind w:left="720" w:hanging="720"/>
        <w:rPr>
          <w:b/>
          <w:sz w:val="24"/>
          <w:szCs w:val="24"/>
        </w:rPr>
      </w:pPr>
    </w:p>
    <w:p w:rsidRPr="00AD6452" w:rsidR="00DB28EE" w:rsidP="009A3085" w:rsidRDefault="00DB28EE" w14:paraId="22B86639" w14:textId="77777777">
      <w:pPr>
        <w:ind w:left="720" w:hanging="720"/>
        <w:rPr>
          <w:bCs/>
          <w:sz w:val="24"/>
          <w:szCs w:val="24"/>
        </w:rPr>
      </w:pPr>
      <w:r>
        <w:rPr>
          <w:b/>
          <w:sz w:val="24"/>
          <w:szCs w:val="24"/>
        </w:rPr>
        <w:tab/>
      </w:r>
      <w:r w:rsidRPr="00AD6452" w:rsidR="00AD6452">
        <w:rPr>
          <w:bCs/>
          <w:sz w:val="24"/>
          <w:szCs w:val="24"/>
        </w:rPr>
        <w:t>There is no cost to the Federal Government</w:t>
      </w:r>
      <w:r w:rsidR="00AD6452">
        <w:rPr>
          <w:bCs/>
          <w:sz w:val="24"/>
          <w:szCs w:val="24"/>
        </w:rPr>
        <w:t>.</w:t>
      </w:r>
    </w:p>
    <w:p w:rsidRPr="009A3085" w:rsidR="00071F56" w:rsidP="009A3085" w:rsidRDefault="00071F56" w14:paraId="17365FE4" w14:textId="77777777">
      <w:pPr>
        <w:rPr>
          <w:sz w:val="24"/>
          <w:szCs w:val="24"/>
        </w:rPr>
      </w:pPr>
    </w:p>
    <w:p w:rsidR="00071F56" w:rsidP="009A3085" w:rsidRDefault="00071F56" w14:paraId="1C0976BC" w14:textId="77777777">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p>
    <w:p w:rsidR="00950968" w:rsidP="009A3085" w:rsidRDefault="00950968" w14:paraId="321CDA06" w14:textId="77777777">
      <w:pPr>
        <w:ind w:left="720" w:hanging="720"/>
        <w:rPr>
          <w:b/>
          <w:sz w:val="24"/>
          <w:szCs w:val="24"/>
        </w:rPr>
      </w:pPr>
    </w:p>
    <w:p w:rsidRPr="009A3085" w:rsidR="00950968" w:rsidP="009A3085" w:rsidRDefault="00950968" w14:paraId="17E4D5D9" w14:textId="77777777">
      <w:pPr>
        <w:ind w:left="720" w:hanging="720"/>
        <w:rPr>
          <w:b/>
          <w:sz w:val="24"/>
          <w:szCs w:val="24"/>
        </w:rPr>
      </w:pPr>
      <w:r>
        <w:rPr>
          <w:b/>
          <w:sz w:val="24"/>
          <w:szCs w:val="24"/>
        </w:rPr>
        <w:tab/>
      </w:r>
      <w:r w:rsidRPr="00950968">
        <w:rPr>
          <w:bCs/>
          <w:sz w:val="24"/>
          <w:szCs w:val="24"/>
        </w:rPr>
        <w:t>This is a new collection of information</w:t>
      </w:r>
      <w:r>
        <w:rPr>
          <w:b/>
          <w:sz w:val="24"/>
          <w:szCs w:val="24"/>
        </w:rPr>
        <w:t>.</w:t>
      </w:r>
    </w:p>
    <w:p w:rsidRPr="009A3085" w:rsidR="00071F56" w:rsidP="009A3085" w:rsidRDefault="00071F56" w14:paraId="40ECAC1D" w14:textId="77777777">
      <w:pPr>
        <w:rPr>
          <w:sz w:val="24"/>
          <w:szCs w:val="24"/>
        </w:rPr>
      </w:pPr>
    </w:p>
    <w:p w:rsidR="00071F56" w:rsidP="009A3085" w:rsidRDefault="00071F56" w14:paraId="5293BCE9"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p>
    <w:p w:rsidR="00950968" w:rsidP="009A3085" w:rsidRDefault="00950968" w14:paraId="08C31176" w14:textId="77777777">
      <w:pPr>
        <w:ind w:left="720" w:hanging="720"/>
        <w:rPr>
          <w:b/>
          <w:sz w:val="24"/>
          <w:szCs w:val="24"/>
        </w:rPr>
      </w:pPr>
    </w:p>
    <w:p w:rsidRPr="00950968" w:rsidR="00950968" w:rsidP="009A3085" w:rsidRDefault="00950968" w14:paraId="3E81950A" w14:textId="77777777">
      <w:pPr>
        <w:ind w:left="720" w:hanging="720"/>
        <w:rPr>
          <w:bCs/>
          <w:sz w:val="24"/>
          <w:szCs w:val="24"/>
        </w:rPr>
      </w:pPr>
      <w:r>
        <w:rPr>
          <w:b/>
          <w:sz w:val="24"/>
          <w:szCs w:val="24"/>
        </w:rPr>
        <w:tab/>
      </w:r>
      <w:r w:rsidRPr="00950968">
        <w:rPr>
          <w:bCs/>
          <w:sz w:val="24"/>
          <w:szCs w:val="24"/>
        </w:rPr>
        <w:t>No information will be published from this information collection.</w:t>
      </w:r>
    </w:p>
    <w:p w:rsidRPr="009A3085" w:rsidR="00071F56" w:rsidP="009A3085" w:rsidRDefault="00071F56" w14:paraId="0C3F6AD1" w14:textId="77777777">
      <w:pPr>
        <w:ind w:left="720"/>
        <w:rPr>
          <w:b/>
          <w:sz w:val="24"/>
          <w:szCs w:val="24"/>
        </w:rPr>
      </w:pPr>
    </w:p>
    <w:p w:rsidR="00071F56" w:rsidP="009A3085" w:rsidRDefault="00071F56" w14:paraId="77F180A8"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p>
    <w:p w:rsidR="00950968" w:rsidP="009A3085" w:rsidRDefault="00950968" w14:paraId="06E197BC" w14:textId="77777777">
      <w:pPr>
        <w:ind w:left="720" w:hanging="720"/>
        <w:rPr>
          <w:b/>
          <w:sz w:val="24"/>
          <w:szCs w:val="24"/>
        </w:rPr>
      </w:pPr>
    </w:p>
    <w:p w:rsidRPr="00950968" w:rsidR="00950968" w:rsidP="009A3085" w:rsidRDefault="00950968" w14:paraId="1786AD97" w14:textId="77777777">
      <w:pPr>
        <w:ind w:left="720" w:hanging="720"/>
        <w:rPr>
          <w:bCs/>
          <w:sz w:val="24"/>
          <w:szCs w:val="24"/>
        </w:rPr>
      </w:pPr>
      <w:r>
        <w:rPr>
          <w:b/>
          <w:sz w:val="24"/>
          <w:szCs w:val="24"/>
        </w:rPr>
        <w:tab/>
      </w:r>
      <w:r w:rsidRPr="00950968">
        <w:rPr>
          <w:bCs/>
          <w:sz w:val="24"/>
          <w:szCs w:val="24"/>
        </w:rPr>
        <w:t>The OMB Control Number and Expiration date will be displayed on each instrument.</w:t>
      </w:r>
    </w:p>
    <w:p w:rsidRPr="009A3085" w:rsidR="00071F56" w:rsidP="009A3085" w:rsidRDefault="00071F56" w14:paraId="24BE265D" w14:textId="77777777">
      <w:pPr>
        <w:ind w:left="720"/>
        <w:rPr>
          <w:b/>
          <w:sz w:val="24"/>
          <w:szCs w:val="24"/>
        </w:rPr>
      </w:pPr>
    </w:p>
    <w:p w:rsidRPr="009A3085" w:rsidR="00071F56" w:rsidP="009A3085" w:rsidRDefault="00071F56" w14:paraId="2DD29394" w14:textId="77777777">
      <w:pPr>
        <w:ind w:left="720" w:hanging="720"/>
        <w:rPr>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p>
    <w:p w:rsidRPr="009A3085" w:rsidR="00071F56" w:rsidP="009A3085" w:rsidRDefault="00071F56" w14:paraId="02746DC9" w14:textId="77777777">
      <w:pPr>
        <w:rPr>
          <w:sz w:val="24"/>
          <w:szCs w:val="24"/>
        </w:rPr>
      </w:pPr>
    </w:p>
    <w:p w:rsidR="00071F56" w:rsidRDefault="00071F56" w14:paraId="47A46367" w14:textId="77777777">
      <w:pPr>
        <w:jc w:val="both"/>
        <w:rPr>
          <w:b/>
          <w:sz w:val="24"/>
        </w:rPr>
      </w:pPr>
    </w:p>
    <w:sectPr w:rsidR="00071F56"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B1EF" w14:textId="77777777" w:rsidR="00EC42B4" w:rsidRDefault="00EC42B4">
      <w:r>
        <w:separator/>
      </w:r>
    </w:p>
  </w:endnote>
  <w:endnote w:type="continuationSeparator" w:id="0">
    <w:p w14:paraId="361E7868" w14:textId="77777777" w:rsidR="00EC42B4" w:rsidRDefault="00EC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646C8" w14:textId="77777777" w:rsidR="00EC42B4" w:rsidRDefault="00EC42B4">
      <w:r>
        <w:separator/>
      </w:r>
    </w:p>
  </w:footnote>
  <w:footnote w:type="continuationSeparator" w:id="0">
    <w:p w14:paraId="5D4C2F7A" w14:textId="77777777" w:rsidR="00EC42B4" w:rsidRDefault="00EC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4"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0"/>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A09"/>
    <w:rsid w:val="000345AB"/>
    <w:rsid w:val="00071F56"/>
    <w:rsid w:val="000E1E98"/>
    <w:rsid w:val="000F0FB3"/>
    <w:rsid w:val="000F20F4"/>
    <w:rsid w:val="001834E5"/>
    <w:rsid w:val="00210104"/>
    <w:rsid w:val="002703E0"/>
    <w:rsid w:val="002C26E3"/>
    <w:rsid w:val="002D64A4"/>
    <w:rsid w:val="00393923"/>
    <w:rsid w:val="003B33B6"/>
    <w:rsid w:val="00431A09"/>
    <w:rsid w:val="0047062D"/>
    <w:rsid w:val="004F4DF2"/>
    <w:rsid w:val="00525958"/>
    <w:rsid w:val="005404B9"/>
    <w:rsid w:val="00592808"/>
    <w:rsid w:val="005E413E"/>
    <w:rsid w:val="006139D8"/>
    <w:rsid w:val="00622AE3"/>
    <w:rsid w:val="00636FF5"/>
    <w:rsid w:val="00694172"/>
    <w:rsid w:val="007839E6"/>
    <w:rsid w:val="007A5D39"/>
    <w:rsid w:val="007D02A2"/>
    <w:rsid w:val="00803CE3"/>
    <w:rsid w:val="008E11A7"/>
    <w:rsid w:val="00931163"/>
    <w:rsid w:val="00950968"/>
    <w:rsid w:val="00994783"/>
    <w:rsid w:val="009A3085"/>
    <w:rsid w:val="009F0C11"/>
    <w:rsid w:val="00A64408"/>
    <w:rsid w:val="00A773D7"/>
    <w:rsid w:val="00AC5F64"/>
    <w:rsid w:val="00AD6452"/>
    <w:rsid w:val="00AF030F"/>
    <w:rsid w:val="00AF709F"/>
    <w:rsid w:val="00B02255"/>
    <w:rsid w:val="00B04589"/>
    <w:rsid w:val="00B62FE5"/>
    <w:rsid w:val="00BE0B9C"/>
    <w:rsid w:val="00CD1ECC"/>
    <w:rsid w:val="00CE7854"/>
    <w:rsid w:val="00CF4EC5"/>
    <w:rsid w:val="00CF7995"/>
    <w:rsid w:val="00D24C2A"/>
    <w:rsid w:val="00D52E19"/>
    <w:rsid w:val="00D87FF5"/>
    <w:rsid w:val="00DB28EE"/>
    <w:rsid w:val="00DE1E9A"/>
    <w:rsid w:val="00E1095E"/>
    <w:rsid w:val="00E44CB6"/>
    <w:rsid w:val="00E465D2"/>
    <w:rsid w:val="00E835D2"/>
    <w:rsid w:val="00EC42B4"/>
    <w:rsid w:val="00F9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BC164"/>
  <w15:chartTrackingRefBased/>
  <w15:docId w15:val="{AD09B8A5-7016-41D3-A015-96DAC61F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character" w:styleId="Hyperlink">
    <w:name w:val="Hyperlink"/>
    <w:uiPriority w:val="99"/>
    <w:unhideWhenUsed/>
    <w:rsid w:val="00DB2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33335">
      <w:bodyDiv w:val="1"/>
      <w:marLeft w:val="0"/>
      <w:marRight w:val="0"/>
      <w:marTop w:val="0"/>
      <w:marBottom w:val="0"/>
      <w:divBdr>
        <w:top w:val="none" w:sz="0" w:space="0" w:color="auto"/>
        <w:left w:val="none" w:sz="0" w:space="0" w:color="auto"/>
        <w:bottom w:val="none" w:sz="0" w:space="0" w:color="auto"/>
        <w:right w:val="none" w:sz="0" w:space="0" w:color="auto"/>
      </w:divBdr>
    </w:div>
    <w:div w:id="291521080">
      <w:bodyDiv w:val="1"/>
      <w:marLeft w:val="0"/>
      <w:marRight w:val="0"/>
      <w:marTop w:val="0"/>
      <w:marBottom w:val="0"/>
      <w:divBdr>
        <w:top w:val="none" w:sz="0" w:space="0" w:color="auto"/>
        <w:left w:val="none" w:sz="0" w:space="0" w:color="auto"/>
        <w:bottom w:val="none" w:sz="0" w:space="0" w:color="auto"/>
        <w:right w:val="none" w:sz="0" w:space="0" w:color="auto"/>
      </w:divBdr>
    </w:div>
    <w:div w:id="383526980">
      <w:bodyDiv w:val="1"/>
      <w:marLeft w:val="0"/>
      <w:marRight w:val="0"/>
      <w:marTop w:val="0"/>
      <w:marBottom w:val="0"/>
      <w:divBdr>
        <w:top w:val="none" w:sz="0" w:space="0" w:color="auto"/>
        <w:left w:val="none" w:sz="0" w:space="0" w:color="auto"/>
        <w:bottom w:val="none" w:sz="0" w:space="0" w:color="auto"/>
        <w:right w:val="none" w:sz="0" w:space="0" w:color="auto"/>
      </w:divBdr>
    </w:div>
    <w:div w:id="2093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2912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11996</CharactersWithSpaces>
  <SharedDoc>false</SharedDoc>
  <HLinks>
    <vt:vector size="6" baseType="variant">
      <vt:variant>
        <vt:i4>4915222</vt:i4>
      </vt:variant>
      <vt:variant>
        <vt:i4>0</vt:i4>
      </vt:variant>
      <vt:variant>
        <vt:i4>0</vt:i4>
      </vt:variant>
      <vt:variant>
        <vt:i4>5</vt:i4>
      </vt:variant>
      <vt:variant>
        <vt:lpwstr>https://www.bls.gov/oes/current/oes291215.htm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OCIO-IRMC, Washington, DC</cp:lastModifiedBy>
  <cp:revision>5</cp:revision>
  <cp:lastPrinted>2001-03-02T19:58:00Z</cp:lastPrinted>
  <dcterms:created xsi:type="dcterms:W3CDTF">2021-12-09T18:53:00Z</dcterms:created>
  <dcterms:modified xsi:type="dcterms:W3CDTF">2021-12-20T12:50:00Z</dcterms:modified>
</cp:coreProperties>
</file>