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D619D" w:rsidR="008E0A73" w:rsidP="00CD619D" w:rsidRDefault="008E0A73" w14:paraId="4342FDAA" w14:textId="77777777">
      <w:pPr>
        <w:pStyle w:val="BodyText"/>
        <w:spacing w:line="276" w:lineRule="auto"/>
        <w:ind w:left="360" w:hanging="360"/>
        <w:jc w:val="center"/>
        <w:rPr>
          <w:sz w:val="28"/>
          <w:szCs w:val="28"/>
        </w:rPr>
      </w:pPr>
      <w:r w:rsidRPr="00CD619D">
        <w:rPr>
          <w:sz w:val="28"/>
          <w:szCs w:val="28"/>
        </w:rPr>
        <w:t>OMB</w:t>
      </w:r>
      <w:r w:rsidRPr="00CD619D" w:rsidR="006B52D3">
        <w:rPr>
          <w:sz w:val="28"/>
          <w:szCs w:val="28"/>
        </w:rPr>
        <w:t xml:space="preserve"> Information Collection Request</w:t>
      </w:r>
    </w:p>
    <w:p w:rsidRPr="00CD619D" w:rsidR="006B52D3" w:rsidP="00CD619D" w:rsidRDefault="006B52D3" w14:paraId="7C0A351A" w14:textId="77777777">
      <w:pPr>
        <w:pStyle w:val="BodyText"/>
        <w:spacing w:line="276" w:lineRule="auto"/>
        <w:ind w:left="360" w:hanging="360"/>
        <w:jc w:val="center"/>
        <w:rPr>
          <w:sz w:val="28"/>
          <w:szCs w:val="28"/>
        </w:rPr>
      </w:pPr>
      <w:r w:rsidRPr="00CD619D">
        <w:rPr>
          <w:sz w:val="28"/>
          <w:szCs w:val="28"/>
        </w:rPr>
        <w:t>Supporting Statement A</w:t>
      </w:r>
    </w:p>
    <w:p w:rsidRPr="00CD619D" w:rsidR="006B52D3" w:rsidP="00CD619D" w:rsidRDefault="006B52D3" w14:paraId="2EA41830" w14:textId="77777777">
      <w:pPr>
        <w:pStyle w:val="BodyText"/>
        <w:spacing w:line="276" w:lineRule="auto"/>
        <w:ind w:left="360" w:hanging="360"/>
        <w:jc w:val="center"/>
        <w:rPr>
          <w:sz w:val="28"/>
          <w:szCs w:val="28"/>
        </w:rPr>
      </w:pPr>
      <w:r w:rsidRPr="00CD619D">
        <w:rPr>
          <w:sz w:val="28"/>
          <w:szCs w:val="28"/>
        </w:rPr>
        <w:t>U.S. Department of Commerce</w:t>
      </w:r>
    </w:p>
    <w:p w:rsidRPr="00CD619D" w:rsidR="006B52D3" w:rsidP="00CD619D" w:rsidRDefault="006B52D3" w14:paraId="6840B916" w14:textId="77777777">
      <w:pPr>
        <w:pStyle w:val="BodyText"/>
        <w:spacing w:line="276" w:lineRule="auto"/>
        <w:ind w:left="360" w:hanging="360"/>
        <w:jc w:val="center"/>
        <w:rPr>
          <w:sz w:val="28"/>
          <w:szCs w:val="28"/>
        </w:rPr>
      </w:pPr>
      <w:r w:rsidRPr="00CD619D">
        <w:rPr>
          <w:sz w:val="28"/>
          <w:szCs w:val="28"/>
        </w:rPr>
        <w:t>U.S. Census Bureau</w:t>
      </w:r>
    </w:p>
    <w:p w:rsidRPr="00C30B6A" w:rsidR="00F45693" w:rsidP="00F45693" w:rsidRDefault="00F45693" w14:paraId="48511252" w14:textId="77777777">
      <w:pPr>
        <w:pStyle w:val="BodyText"/>
        <w:tabs>
          <w:tab w:val="left" w:pos="0"/>
        </w:tabs>
        <w:spacing w:line="276" w:lineRule="auto"/>
        <w:ind w:left="360" w:hanging="360"/>
        <w:jc w:val="center"/>
        <w:rPr>
          <w:sz w:val="28"/>
          <w:szCs w:val="28"/>
        </w:rPr>
      </w:pPr>
      <w:r w:rsidRPr="00C30B6A">
        <w:rPr>
          <w:sz w:val="28"/>
          <w:szCs w:val="28"/>
        </w:rPr>
        <w:t>Annual Social and Economic Supplement</w:t>
      </w:r>
    </w:p>
    <w:p w:rsidRPr="00C30B6A" w:rsidR="00F45693" w:rsidP="00F45693" w:rsidRDefault="00F45693" w14:paraId="13AD911F" w14:textId="77777777">
      <w:pPr>
        <w:pStyle w:val="BodyText"/>
        <w:tabs>
          <w:tab w:val="left" w:pos="0"/>
        </w:tabs>
        <w:spacing w:line="276" w:lineRule="auto"/>
        <w:ind w:left="360" w:hanging="360"/>
        <w:jc w:val="center"/>
        <w:rPr>
          <w:sz w:val="28"/>
          <w:szCs w:val="28"/>
        </w:rPr>
      </w:pPr>
      <w:r w:rsidRPr="00C30B6A">
        <w:rPr>
          <w:sz w:val="28"/>
          <w:szCs w:val="28"/>
        </w:rPr>
        <w:t>to the Current Population Survey</w:t>
      </w:r>
    </w:p>
    <w:p w:rsidRPr="00CD619D" w:rsidR="000148AA" w:rsidP="00F45693" w:rsidRDefault="008E0A73" w14:paraId="006A097E" w14:textId="7A8D71EC">
      <w:pPr>
        <w:pStyle w:val="BodyText"/>
        <w:tabs>
          <w:tab w:val="left" w:pos="0"/>
        </w:tabs>
        <w:spacing w:line="276" w:lineRule="auto"/>
        <w:ind w:left="360" w:hanging="360"/>
        <w:jc w:val="center"/>
        <w:rPr>
          <w:sz w:val="28"/>
          <w:szCs w:val="28"/>
        </w:rPr>
      </w:pPr>
      <w:r w:rsidRPr="00CD619D">
        <w:rPr>
          <w:sz w:val="28"/>
          <w:szCs w:val="28"/>
        </w:rPr>
        <w:t xml:space="preserve">OMB Control Number </w:t>
      </w:r>
      <w:r w:rsidR="00C25E82">
        <w:rPr>
          <w:sz w:val="28"/>
          <w:szCs w:val="28"/>
        </w:rPr>
        <w:t>(</w:t>
      </w:r>
      <w:r w:rsidRPr="00CD619D">
        <w:rPr>
          <w:sz w:val="28"/>
          <w:szCs w:val="28"/>
        </w:rPr>
        <w:t>0607</w:t>
      </w:r>
      <w:r w:rsidR="00F45693">
        <w:rPr>
          <w:sz w:val="28"/>
          <w:szCs w:val="28"/>
        </w:rPr>
        <w:t>-0354</w:t>
      </w:r>
      <w:r w:rsidR="00C25E82">
        <w:rPr>
          <w:sz w:val="28"/>
          <w:szCs w:val="28"/>
        </w:rPr>
        <w:t>)</w:t>
      </w:r>
    </w:p>
    <w:p w:rsidRPr="00CD619D" w:rsidR="000148AA" w:rsidP="0051294C" w:rsidRDefault="000148AA" w14:paraId="7EFAE868" w14:textId="77777777">
      <w:pPr>
        <w:pStyle w:val="BodyText"/>
        <w:spacing w:before="4" w:line="276" w:lineRule="auto"/>
      </w:pPr>
    </w:p>
    <w:p w:rsidRPr="00CD619D" w:rsidR="000148AA" w:rsidP="00CD619D" w:rsidRDefault="009471AF" w14:paraId="7AB2E27A" w14:textId="77777777">
      <w:pPr>
        <w:pStyle w:val="ListParagraph"/>
        <w:tabs>
          <w:tab w:val="left" w:pos="360"/>
        </w:tabs>
        <w:spacing w:line="276" w:lineRule="auto"/>
        <w:ind w:left="360" w:hanging="360"/>
        <w:rPr>
          <w:b/>
          <w:sz w:val="24"/>
          <w:szCs w:val="24"/>
          <w:lang w:bidi="he-IL"/>
        </w:rPr>
      </w:pPr>
      <w:r w:rsidRPr="00CD619D">
        <w:rPr>
          <w:b/>
          <w:sz w:val="24"/>
          <w:szCs w:val="24"/>
          <w:lang w:bidi="he-IL"/>
        </w:rPr>
        <w:t xml:space="preserve">A. </w:t>
      </w:r>
      <w:r w:rsidRPr="00CD619D">
        <w:rPr>
          <w:b/>
          <w:sz w:val="24"/>
          <w:szCs w:val="24"/>
          <w:lang w:bidi="he-IL"/>
        </w:rPr>
        <w:tab/>
      </w:r>
      <w:r w:rsidRPr="00CD619D" w:rsidR="008E0A73">
        <w:rPr>
          <w:b/>
          <w:sz w:val="24"/>
          <w:szCs w:val="24"/>
          <w:lang w:bidi="he-IL"/>
        </w:rPr>
        <w:t>JUSTIFICATION</w:t>
      </w:r>
    </w:p>
    <w:p w:rsidRPr="00CD619D" w:rsidR="000148AA" w:rsidP="00CD619D" w:rsidRDefault="000148AA" w14:paraId="3BA764EC" w14:textId="77777777">
      <w:pPr>
        <w:pStyle w:val="BodyText"/>
        <w:spacing w:before="10" w:line="276" w:lineRule="auto"/>
        <w:ind w:left="360" w:hanging="360"/>
      </w:pPr>
    </w:p>
    <w:p w:rsidRPr="00CD619D" w:rsidR="00EC79A9" w:rsidP="00EC79A9" w:rsidRDefault="00DE3363" w14:paraId="4474FA50" w14:textId="77777777">
      <w:pPr>
        <w:tabs>
          <w:tab w:val="left" w:pos="840"/>
        </w:tabs>
        <w:spacing w:before="1" w:line="276" w:lineRule="auto"/>
        <w:ind w:left="360" w:right="536" w:hanging="360"/>
        <w:rPr>
          <w:b/>
          <w:sz w:val="24"/>
          <w:szCs w:val="24"/>
          <w:lang w:bidi="he-IL"/>
        </w:rPr>
      </w:pPr>
      <w:r w:rsidRPr="00CD619D">
        <w:rPr>
          <w:b/>
          <w:sz w:val="24"/>
          <w:szCs w:val="24"/>
          <w:lang w:bidi="he-IL"/>
        </w:rPr>
        <w:t xml:space="preserve">1. </w:t>
      </w:r>
      <w:r w:rsidRPr="00CD619D" w:rsidR="009471AF">
        <w:rPr>
          <w:b/>
          <w:sz w:val="24"/>
          <w:szCs w:val="24"/>
          <w:lang w:bidi="he-IL"/>
        </w:rPr>
        <w:tab/>
      </w:r>
      <w:r w:rsidRPr="004F0887" w:rsidR="00EC79A9">
        <w:rPr>
          <w:b/>
          <w:sz w:val="24"/>
        </w:rPr>
        <w:t>Circumstances Making the Collection of Information Necessary</w:t>
      </w:r>
    </w:p>
    <w:p w:rsidRPr="00CD619D" w:rsidR="00DE3363" w:rsidP="00CD619D" w:rsidRDefault="00DE3363" w14:paraId="1FD77C4A" w14:textId="56B3A29B">
      <w:pPr>
        <w:tabs>
          <w:tab w:val="left" w:pos="840"/>
        </w:tabs>
        <w:spacing w:before="1" w:line="276" w:lineRule="auto"/>
        <w:ind w:left="360" w:right="536" w:hanging="360"/>
        <w:rPr>
          <w:b/>
          <w:sz w:val="24"/>
          <w:szCs w:val="24"/>
          <w:lang w:bidi="he-IL"/>
        </w:rPr>
      </w:pPr>
    </w:p>
    <w:p w:rsidRPr="00F45693" w:rsidR="00F45693" w:rsidP="00AA14CF" w:rsidRDefault="00F45693" w14:paraId="6964055B" w14:textId="47D797FA">
      <w:pPr>
        <w:tabs>
          <w:tab w:val="left" w:pos="480"/>
          <w:tab w:val="left" w:pos="1440"/>
        </w:tabs>
        <w:spacing w:line="276" w:lineRule="auto"/>
        <w:ind w:left="360"/>
        <w:rPr>
          <w:sz w:val="24"/>
          <w:szCs w:val="24"/>
          <w:lang w:bidi="ar-SA"/>
        </w:rPr>
      </w:pPr>
      <w:r w:rsidRPr="00F45693">
        <w:rPr>
          <w:sz w:val="24"/>
          <w:szCs w:val="24"/>
          <w:lang w:bidi="ar-SA"/>
        </w:rPr>
        <w:t xml:space="preserve">This request is for </w:t>
      </w:r>
      <w:r w:rsidR="00FA788F">
        <w:rPr>
          <w:sz w:val="24"/>
          <w:szCs w:val="24"/>
          <w:lang w:bidi="ar-SA"/>
        </w:rPr>
        <w:t>a revision</w:t>
      </w:r>
      <w:r w:rsidRPr="00F45693">
        <w:rPr>
          <w:sz w:val="24"/>
          <w:szCs w:val="24"/>
          <w:lang w:bidi="ar-SA"/>
        </w:rPr>
        <w:t xml:space="preserve"> of a currently approved collection.  The Annual Social and Economic Supplement (ASEC) is currently approved through December 31, 20</w:t>
      </w:r>
      <w:r w:rsidR="00EC79A9">
        <w:rPr>
          <w:sz w:val="24"/>
          <w:szCs w:val="24"/>
          <w:lang w:bidi="ar-SA"/>
        </w:rPr>
        <w:t>21,</w:t>
      </w:r>
      <w:r w:rsidRPr="00F45693">
        <w:rPr>
          <w:sz w:val="24"/>
          <w:szCs w:val="24"/>
          <w:lang w:bidi="ar-SA"/>
        </w:rPr>
        <w:t xml:space="preserve"> with OMB Control Number 0607-0354.  </w:t>
      </w:r>
    </w:p>
    <w:p w:rsidRPr="00F45693" w:rsidR="00F45693" w:rsidP="00AA14CF" w:rsidRDefault="00F45693" w14:paraId="3D2E55B1" w14:textId="77777777">
      <w:pPr>
        <w:tabs>
          <w:tab w:val="left" w:pos="480"/>
          <w:tab w:val="left" w:pos="1440"/>
        </w:tabs>
        <w:adjustRightInd w:val="0"/>
        <w:spacing w:line="276" w:lineRule="auto"/>
        <w:ind w:left="360"/>
        <w:rPr>
          <w:sz w:val="24"/>
          <w:szCs w:val="24"/>
          <w:lang w:bidi="ar-SA"/>
        </w:rPr>
      </w:pPr>
    </w:p>
    <w:p w:rsidRPr="00F45693" w:rsidR="00F45693" w:rsidP="00AA14CF" w:rsidRDefault="00F45693" w14:paraId="359A34C7" w14:textId="77777777">
      <w:pPr>
        <w:tabs>
          <w:tab w:val="left" w:pos="480"/>
          <w:tab w:val="left" w:pos="900"/>
          <w:tab w:val="left" w:pos="1440"/>
        </w:tabs>
        <w:adjustRightInd w:val="0"/>
        <w:spacing w:line="276" w:lineRule="auto"/>
        <w:ind w:left="360"/>
        <w:rPr>
          <w:sz w:val="24"/>
          <w:szCs w:val="24"/>
          <w:lang w:bidi="ar-SA"/>
        </w:rPr>
      </w:pPr>
      <w:r w:rsidRPr="00F45693">
        <w:rPr>
          <w:sz w:val="24"/>
          <w:szCs w:val="24"/>
          <w:lang w:bidi="ar-SA"/>
        </w:rPr>
        <w:t>The U.S. Census Bureau has conducted the ASEC annually for over 70 years, and will conduct it in conjunction with the February, March, and April Current Population Survey (CPS).  The following authorities establish the legal sufficiency for conducting this work.</w:t>
      </w:r>
    </w:p>
    <w:p w:rsidRPr="00F45693" w:rsidR="00F45693" w:rsidP="00AA14CF" w:rsidRDefault="00F45693" w14:paraId="77E78916" w14:textId="77777777">
      <w:pPr>
        <w:tabs>
          <w:tab w:val="left" w:pos="480"/>
          <w:tab w:val="left" w:pos="1440"/>
        </w:tabs>
        <w:adjustRightInd w:val="0"/>
        <w:spacing w:line="276" w:lineRule="auto"/>
        <w:ind w:left="360"/>
        <w:rPr>
          <w:sz w:val="24"/>
          <w:szCs w:val="24"/>
          <w:lang w:bidi="ar-SA"/>
        </w:rPr>
      </w:pPr>
      <w:r w:rsidRPr="00F45693">
        <w:rPr>
          <w:sz w:val="24"/>
          <w:szCs w:val="24"/>
          <w:lang w:bidi="ar-SA"/>
        </w:rPr>
        <w:t xml:space="preserve">  </w:t>
      </w:r>
    </w:p>
    <w:p w:rsidRPr="00F45693" w:rsidR="00F45693" w:rsidP="00AA14CF" w:rsidRDefault="00F45693" w14:paraId="0883062F" w14:textId="79BF3723">
      <w:pPr>
        <w:tabs>
          <w:tab w:val="left" w:pos="480"/>
          <w:tab w:val="left" w:pos="1440"/>
        </w:tabs>
        <w:adjustRightInd w:val="0"/>
        <w:spacing w:line="276" w:lineRule="auto"/>
        <w:ind w:left="360"/>
        <w:rPr>
          <w:sz w:val="24"/>
          <w:szCs w:val="24"/>
          <w:lang w:bidi="ar-SA"/>
        </w:rPr>
      </w:pPr>
      <w:r w:rsidRPr="00F45693">
        <w:rPr>
          <w:sz w:val="24"/>
          <w:szCs w:val="24"/>
          <w:lang w:bidi="ar-SA"/>
        </w:rPr>
        <w:t xml:space="preserve">For the U.S. Census Bureau:  1) Title 13, United States Code, Sections 141 and 182; and for the Bureau of Labor Statistics, 2) Title 29, United States Code, Sections 1-9.  </w:t>
      </w:r>
      <w:r w:rsidR="00EC79A9">
        <w:rPr>
          <w:sz w:val="24"/>
          <w:szCs w:val="24"/>
          <w:lang w:bidi="ar-SA"/>
        </w:rPr>
        <w:t xml:space="preserve">See </w:t>
      </w:r>
      <w:r w:rsidRPr="00F50BCC" w:rsidR="00EC79A9">
        <w:rPr>
          <w:sz w:val="24"/>
          <w:szCs w:val="24"/>
          <w:lang w:bidi="ar-SA"/>
        </w:rPr>
        <w:t>Attachment L</w:t>
      </w:r>
      <w:r w:rsidR="00EC79A9">
        <w:rPr>
          <w:sz w:val="24"/>
          <w:szCs w:val="24"/>
          <w:lang w:bidi="ar-SA"/>
        </w:rPr>
        <w:t xml:space="preserve"> for the full text of these statutes.  </w:t>
      </w:r>
    </w:p>
    <w:p w:rsidRPr="00F45693" w:rsidR="00F45693" w:rsidP="00AA14CF" w:rsidRDefault="00F45693" w14:paraId="2590EFD9" w14:textId="77777777">
      <w:pPr>
        <w:tabs>
          <w:tab w:val="left" w:pos="480"/>
          <w:tab w:val="left" w:pos="1440"/>
        </w:tabs>
        <w:adjustRightInd w:val="0"/>
        <w:spacing w:line="276" w:lineRule="auto"/>
        <w:ind w:left="360"/>
        <w:rPr>
          <w:sz w:val="24"/>
          <w:szCs w:val="24"/>
          <w:lang w:bidi="ar-SA"/>
        </w:rPr>
      </w:pPr>
    </w:p>
    <w:p w:rsidRPr="00F45693" w:rsidR="00F45693" w:rsidP="00AA14CF" w:rsidRDefault="00F45693" w14:paraId="444E2934" w14:textId="77777777">
      <w:pPr>
        <w:tabs>
          <w:tab w:val="left" w:pos="480"/>
          <w:tab w:val="left" w:pos="810"/>
          <w:tab w:val="left" w:pos="1440"/>
        </w:tabs>
        <w:adjustRightInd w:val="0"/>
        <w:spacing w:line="276" w:lineRule="auto"/>
        <w:ind w:left="360"/>
        <w:rPr>
          <w:sz w:val="24"/>
          <w:szCs w:val="24"/>
          <w:lang w:bidi="ar-SA"/>
        </w:rPr>
      </w:pPr>
      <w:r w:rsidRPr="00F45693">
        <w:rPr>
          <w:sz w:val="24"/>
          <w:szCs w:val="24"/>
          <w:lang w:bidi="ar-SA"/>
        </w:rPr>
        <w:t xml:space="preserve">For the Bureau of Labor Statistics (BLS) who co-sponsors this supplement, and on whose behalf the U.S. Census Bureau will conduct this survey, Title 29, United States Code, Sections 2 and 8, authorizes the collection, collation, and reporting of statistics related to labor force conditions (Section 8 is specific to unemployment for those of Hispanic origin).  </w:t>
      </w:r>
    </w:p>
    <w:p w:rsidRPr="00F45693" w:rsidR="00F45693" w:rsidP="00AA14CF" w:rsidRDefault="00F45693" w14:paraId="058F93C6" w14:textId="77777777">
      <w:pPr>
        <w:tabs>
          <w:tab w:val="left" w:pos="480"/>
          <w:tab w:val="left" w:pos="1440"/>
        </w:tabs>
        <w:adjustRightInd w:val="0"/>
        <w:spacing w:line="276" w:lineRule="auto"/>
        <w:ind w:left="360"/>
        <w:rPr>
          <w:sz w:val="24"/>
          <w:szCs w:val="24"/>
          <w:lang w:bidi="ar-SA"/>
        </w:rPr>
      </w:pPr>
    </w:p>
    <w:p w:rsidR="00B621C8" w:rsidP="00AA14CF" w:rsidRDefault="00F45693" w14:paraId="052ADD81" w14:textId="3D9E77DF">
      <w:pPr>
        <w:tabs>
          <w:tab w:val="left" w:pos="480"/>
          <w:tab w:val="left" w:pos="1440"/>
        </w:tabs>
        <w:adjustRightInd w:val="0"/>
        <w:spacing w:line="276" w:lineRule="auto"/>
        <w:ind w:left="360"/>
        <w:rPr>
          <w:sz w:val="24"/>
          <w:szCs w:val="24"/>
          <w:lang w:bidi="ar-SA"/>
        </w:rPr>
      </w:pPr>
      <w:r w:rsidRPr="00F45693">
        <w:rPr>
          <w:sz w:val="24"/>
          <w:szCs w:val="24"/>
          <w:lang w:bidi="ar-SA"/>
        </w:rPr>
        <w:t xml:space="preserve">The proposed supplement, as it will appear in the CPS instrument, is shown in Attachment A.  The instrument questionnaire, which is </w:t>
      </w:r>
      <w:r w:rsidR="00B621C8">
        <w:rPr>
          <w:sz w:val="24"/>
          <w:szCs w:val="24"/>
          <w:lang w:bidi="ar-SA"/>
        </w:rPr>
        <w:t xml:space="preserve">mostly </w:t>
      </w:r>
      <w:r w:rsidRPr="00F45693">
        <w:rPr>
          <w:sz w:val="24"/>
          <w:szCs w:val="24"/>
          <w:lang w:bidi="ar-SA"/>
        </w:rPr>
        <w:t xml:space="preserve">unchanged since its redesign in 2015, </w:t>
      </w:r>
      <w:r w:rsidR="00B621C8">
        <w:rPr>
          <w:sz w:val="24"/>
          <w:szCs w:val="24"/>
          <w:lang w:bidi="ar-SA"/>
        </w:rPr>
        <w:t>will consist of some changes compared to the collection in 2021.  These changes are highlighted in Attachment A</w:t>
      </w:r>
      <w:r w:rsidR="00813276">
        <w:rPr>
          <w:sz w:val="24"/>
          <w:szCs w:val="24"/>
          <w:lang w:bidi="ar-SA"/>
        </w:rPr>
        <w:t xml:space="preserve"> (pp.</w:t>
      </w:r>
      <w:r w:rsidR="008827BD">
        <w:rPr>
          <w:sz w:val="24"/>
          <w:szCs w:val="24"/>
          <w:lang w:bidi="ar-SA"/>
        </w:rPr>
        <w:t xml:space="preserve"> 12</w:t>
      </w:r>
      <w:r w:rsidR="005A722B">
        <w:rPr>
          <w:sz w:val="24"/>
          <w:szCs w:val="24"/>
          <w:lang w:bidi="ar-SA"/>
        </w:rPr>
        <w:t>1-122</w:t>
      </w:r>
      <w:r w:rsidR="008827BD">
        <w:rPr>
          <w:sz w:val="24"/>
          <w:szCs w:val="24"/>
          <w:lang w:bidi="ar-SA"/>
        </w:rPr>
        <w:t>, 13</w:t>
      </w:r>
      <w:r w:rsidR="005A722B">
        <w:rPr>
          <w:sz w:val="24"/>
          <w:szCs w:val="24"/>
          <w:lang w:bidi="ar-SA"/>
        </w:rPr>
        <w:t>3-134</w:t>
      </w:r>
      <w:r w:rsidR="00956138">
        <w:rPr>
          <w:sz w:val="24"/>
          <w:szCs w:val="24"/>
          <w:lang w:bidi="ar-SA"/>
        </w:rPr>
        <w:t>)</w:t>
      </w:r>
      <w:r w:rsidR="00B621C8">
        <w:rPr>
          <w:sz w:val="24"/>
          <w:szCs w:val="24"/>
          <w:lang w:bidi="ar-SA"/>
        </w:rPr>
        <w:t xml:space="preserve"> and are summarized here.</w:t>
      </w:r>
    </w:p>
    <w:p w:rsidR="00B621C8" w:rsidP="00B621C8" w:rsidRDefault="00B621C8" w14:paraId="0614FDE9" w14:textId="77777777">
      <w:pPr>
        <w:tabs>
          <w:tab w:val="left" w:pos="480"/>
          <w:tab w:val="left" w:pos="1080"/>
        </w:tabs>
        <w:adjustRightInd w:val="0"/>
        <w:spacing w:line="276" w:lineRule="auto"/>
        <w:ind w:left="360"/>
        <w:rPr>
          <w:sz w:val="24"/>
          <w:szCs w:val="24"/>
          <w:lang w:bidi="ar-SA"/>
        </w:rPr>
      </w:pPr>
    </w:p>
    <w:p w:rsidR="00F45693" w:rsidP="000C66C6" w:rsidRDefault="000C66C6" w14:paraId="7024CB46" w14:textId="3295EAE4">
      <w:pPr>
        <w:pStyle w:val="ListParagraph"/>
        <w:numPr>
          <w:ilvl w:val="0"/>
          <w:numId w:val="9"/>
        </w:numPr>
        <w:tabs>
          <w:tab w:val="left" w:pos="480"/>
          <w:tab w:val="left" w:pos="1080"/>
        </w:tabs>
        <w:adjustRightInd w:val="0"/>
        <w:spacing w:line="276" w:lineRule="auto"/>
        <w:ind w:left="1350" w:hanging="180"/>
        <w:rPr>
          <w:sz w:val="24"/>
          <w:szCs w:val="24"/>
          <w:lang w:bidi="ar-SA"/>
        </w:rPr>
      </w:pPr>
      <w:bookmarkStart w:name="_Hlk79486371" w:id="0"/>
      <w:r>
        <w:rPr>
          <w:sz w:val="24"/>
          <w:szCs w:val="24"/>
        </w:rPr>
        <w:t>A minor</w:t>
      </w:r>
      <w:r w:rsidRPr="000C66C6">
        <w:rPr>
          <w:sz w:val="24"/>
          <w:szCs w:val="24"/>
        </w:rPr>
        <w:t xml:space="preserve"> wording change to the legacy free and reduced school lunch question </w:t>
      </w:r>
      <w:r>
        <w:rPr>
          <w:sz w:val="24"/>
          <w:szCs w:val="24"/>
        </w:rPr>
        <w:t xml:space="preserve">(Q83) </w:t>
      </w:r>
      <w:r w:rsidRPr="000C66C6">
        <w:rPr>
          <w:sz w:val="24"/>
          <w:szCs w:val="24"/>
        </w:rPr>
        <w:t>to reflect current program rules</w:t>
      </w:r>
      <w:r>
        <w:rPr>
          <w:sz w:val="24"/>
          <w:szCs w:val="24"/>
        </w:rPr>
        <w:t>.</w:t>
      </w:r>
    </w:p>
    <w:p w:rsidR="000C66C6" w:rsidP="000C66C6" w:rsidRDefault="00791645" w14:paraId="3C60EA7F" w14:textId="66BC7884">
      <w:pPr>
        <w:pStyle w:val="ListParagraph"/>
        <w:numPr>
          <w:ilvl w:val="0"/>
          <w:numId w:val="9"/>
        </w:numPr>
        <w:tabs>
          <w:tab w:val="left" w:pos="480"/>
          <w:tab w:val="left" w:pos="1080"/>
        </w:tabs>
        <w:adjustRightInd w:val="0"/>
        <w:spacing w:line="276" w:lineRule="auto"/>
        <w:ind w:left="1350" w:hanging="180"/>
        <w:rPr>
          <w:sz w:val="24"/>
          <w:szCs w:val="24"/>
          <w:lang w:bidi="ar-SA"/>
        </w:rPr>
      </w:pPr>
      <w:r>
        <w:rPr>
          <w:sz w:val="24"/>
          <w:szCs w:val="24"/>
        </w:rPr>
        <w:t>A m</w:t>
      </w:r>
      <w:r w:rsidRPr="00791645">
        <w:rPr>
          <w:sz w:val="24"/>
          <w:szCs w:val="24"/>
        </w:rPr>
        <w:t>odif</w:t>
      </w:r>
      <w:r>
        <w:rPr>
          <w:sz w:val="24"/>
          <w:szCs w:val="24"/>
        </w:rPr>
        <w:t>ication to</w:t>
      </w:r>
      <w:r w:rsidRPr="00791645">
        <w:rPr>
          <w:sz w:val="24"/>
          <w:szCs w:val="24"/>
        </w:rPr>
        <w:t xml:space="preserve"> the pandemic school meals question</w:t>
      </w:r>
      <w:r>
        <w:rPr>
          <w:sz w:val="24"/>
          <w:szCs w:val="24"/>
        </w:rPr>
        <w:t xml:space="preserve"> (ECVD</w:t>
      </w:r>
      <w:r w:rsidR="00956138">
        <w:rPr>
          <w:sz w:val="24"/>
          <w:szCs w:val="24"/>
        </w:rPr>
        <w:t>PEBT</w:t>
      </w:r>
      <w:r>
        <w:rPr>
          <w:sz w:val="24"/>
          <w:szCs w:val="24"/>
        </w:rPr>
        <w:t>)</w:t>
      </w:r>
      <w:r w:rsidRPr="00791645">
        <w:rPr>
          <w:sz w:val="24"/>
          <w:szCs w:val="24"/>
        </w:rPr>
        <w:t xml:space="preserve"> to capture receipt of debit cards under the P-EBT program and expand the universe for the question to include all households with children 5 to 18.</w:t>
      </w:r>
    </w:p>
    <w:p w:rsidR="0040360E" w:rsidP="000C66C6" w:rsidRDefault="0040360E" w14:paraId="7F3CD730" w14:textId="540DF339">
      <w:pPr>
        <w:pStyle w:val="ListParagraph"/>
        <w:numPr>
          <w:ilvl w:val="0"/>
          <w:numId w:val="9"/>
        </w:numPr>
        <w:tabs>
          <w:tab w:val="left" w:pos="480"/>
          <w:tab w:val="left" w:pos="1080"/>
        </w:tabs>
        <w:adjustRightInd w:val="0"/>
        <w:spacing w:line="276" w:lineRule="auto"/>
        <w:ind w:left="1350" w:hanging="180"/>
        <w:rPr>
          <w:sz w:val="24"/>
          <w:szCs w:val="24"/>
          <w:lang w:bidi="ar-SA"/>
        </w:rPr>
      </w:pPr>
      <w:r>
        <w:rPr>
          <w:sz w:val="24"/>
          <w:szCs w:val="24"/>
        </w:rPr>
        <w:t>Simplify the stimulus payment question (ECVD_EIP)</w:t>
      </w:r>
      <w:r w:rsidR="00103CC3">
        <w:rPr>
          <w:sz w:val="24"/>
          <w:szCs w:val="24"/>
        </w:rPr>
        <w:t xml:space="preserve"> related to the Economic </w:t>
      </w:r>
      <w:r w:rsidR="00591128">
        <w:rPr>
          <w:sz w:val="24"/>
          <w:szCs w:val="24"/>
        </w:rPr>
        <w:t xml:space="preserve">Impact Payment from the Federal </w:t>
      </w:r>
      <w:proofErr w:type="gramStart"/>
      <w:r w:rsidR="00591128">
        <w:rPr>
          <w:sz w:val="24"/>
          <w:szCs w:val="24"/>
        </w:rPr>
        <w:t>Government</w:t>
      </w:r>
      <w:r w:rsidR="00103CC3">
        <w:rPr>
          <w:sz w:val="24"/>
          <w:szCs w:val="24"/>
        </w:rPr>
        <w:t>, and</w:t>
      </w:r>
      <w:proofErr w:type="gramEnd"/>
      <w:r w:rsidR="00103CC3">
        <w:rPr>
          <w:sz w:val="24"/>
          <w:szCs w:val="24"/>
        </w:rPr>
        <w:t xml:space="preserve"> remove two follow-up questions </w:t>
      </w:r>
      <w:r w:rsidR="00591128">
        <w:rPr>
          <w:sz w:val="24"/>
          <w:szCs w:val="24"/>
        </w:rPr>
        <w:lastRenderedPageBreak/>
        <w:t xml:space="preserve">asking about who was covered and the dollar amount </w:t>
      </w:r>
      <w:r w:rsidR="00103CC3">
        <w:rPr>
          <w:sz w:val="24"/>
          <w:szCs w:val="24"/>
        </w:rPr>
        <w:t>(ECVD_COV and ECVD_AMT).</w:t>
      </w:r>
    </w:p>
    <w:p w:rsidRPr="00791645" w:rsidR="00103CC3" w:rsidP="000C66C6" w:rsidRDefault="00813276" w14:paraId="0D50460B" w14:textId="044DB30B">
      <w:pPr>
        <w:pStyle w:val="ListParagraph"/>
        <w:numPr>
          <w:ilvl w:val="0"/>
          <w:numId w:val="9"/>
        </w:numPr>
        <w:tabs>
          <w:tab w:val="left" w:pos="480"/>
          <w:tab w:val="left" w:pos="1080"/>
        </w:tabs>
        <w:adjustRightInd w:val="0"/>
        <w:spacing w:line="276" w:lineRule="auto"/>
        <w:ind w:left="1350" w:hanging="180"/>
        <w:rPr>
          <w:sz w:val="24"/>
          <w:szCs w:val="24"/>
          <w:lang w:bidi="ar-SA"/>
        </w:rPr>
      </w:pPr>
      <w:r>
        <w:rPr>
          <w:sz w:val="24"/>
          <w:szCs w:val="24"/>
          <w:lang w:bidi="ar-SA"/>
        </w:rPr>
        <w:t xml:space="preserve">Addition of </w:t>
      </w:r>
      <w:r w:rsidR="00956138">
        <w:rPr>
          <w:sz w:val="24"/>
          <w:szCs w:val="24"/>
          <w:lang w:bidi="ar-SA"/>
        </w:rPr>
        <w:t>a</w:t>
      </w:r>
      <w:r>
        <w:rPr>
          <w:sz w:val="24"/>
          <w:szCs w:val="24"/>
          <w:lang w:bidi="ar-SA"/>
        </w:rPr>
        <w:t xml:space="preserve"> question ask</w:t>
      </w:r>
      <w:r w:rsidR="00956138">
        <w:rPr>
          <w:sz w:val="24"/>
          <w:szCs w:val="24"/>
          <w:lang w:bidi="ar-SA"/>
        </w:rPr>
        <w:t>ing</w:t>
      </w:r>
      <w:r>
        <w:rPr>
          <w:sz w:val="24"/>
          <w:szCs w:val="24"/>
          <w:lang w:bidi="ar-SA"/>
        </w:rPr>
        <w:t xml:space="preserve"> about Advanced Child Tax Credit payments received.</w:t>
      </w:r>
    </w:p>
    <w:bookmarkEnd w:id="0"/>
    <w:p w:rsidR="00F45693" w:rsidP="00AA14CF" w:rsidRDefault="00F45693" w14:paraId="4E972D0C" w14:textId="330692FF">
      <w:pPr>
        <w:tabs>
          <w:tab w:val="left" w:pos="480"/>
          <w:tab w:val="left" w:pos="1440"/>
        </w:tabs>
        <w:adjustRightInd w:val="0"/>
        <w:spacing w:line="276" w:lineRule="auto"/>
        <w:ind w:left="360"/>
        <w:rPr>
          <w:sz w:val="24"/>
          <w:szCs w:val="24"/>
          <w:lang w:bidi="ar-SA"/>
        </w:rPr>
      </w:pPr>
    </w:p>
    <w:p w:rsidR="00E1002F" w:rsidP="0043244C" w:rsidRDefault="0043244C" w14:paraId="7452F9A4" w14:textId="77777777">
      <w:pPr>
        <w:widowControl/>
        <w:tabs>
          <w:tab w:val="left" w:pos="2160"/>
          <w:tab w:val="left" w:pos="5760"/>
        </w:tabs>
        <w:autoSpaceDE/>
        <w:autoSpaceDN/>
        <w:spacing w:line="276" w:lineRule="auto"/>
        <w:ind w:left="360"/>
        <w:contextualSpacing/>
        <w:rPr>
          <w:color w:val="1B1B1B"/>
          <w:sz w:val="24"/>
          <w:szCs w:val="24"/>
          <w:shd w:val="clear" w:color="auto" w:fill="FFFFFF"/>
        </w:rPr>
      </w:pPr>
      <w:r w:rsidRPr="0043244C">
        <w:rPr>
          <w:color w:val="1B1B1B"/>
          <w:sz w:val="24"/>
          <w:szCs w:val="24"/>
          <w:shd w:val="clear" w:color="auto" w:fill="FFFFFF"/>
        </w:rPr>
        <w:t>The slight change to the free and reduced school lunch question is necessary to reflect USDA FNS’s Community Eligibility Provision</w:t>
      </w:r>
      <w:r>
        <w:rPr>
          <w:color w:val="1B1B1B"/>
          <w:sz w:val="24"/>
          <w:szCs w:val="24"/>
          <w:shd w:val="clear" w:color="auto" w:fill="FFFFFF"/>
        </w:rPr>
        <w:t xml:space="preserve"> </w:t>
      </w:r>
      <w:r w:rsidRPr="0043244C">
        <w:rPr>
          <w:color w:val="1B1B1B"/>
          <w:sz w:val="24"/>
          <w:szCs w:val="24"/>
          <w:shd w:val="clear" w:color="auto" w:fill="FFFFFF"/>
        </w:rPr>
        <w:t>(CEP).  CEP allows the nation’s highest poverty schools and districts to serve breakfast and lunch at no cost to all enrolled students without collecting household applications.  For the 2021-2022 school year, more than 30,000 school were eligible for the program.</w:t>
      </w:r>
    </w:p>
    <w:p w:rsidR="00E1002F" w:rsidP="0043244C" w:rsidRDefault="00E1002F" w14:paraId="6A782892" w14:textId="77777777">
      <w:pPr>
        <w:widowControl/>
        <w:tabs>
          <w:tab w:val="left" w:pos="2160"/>
          <w:tab w:val="left" w:pos="5760"/>
        </w:tabs>
        <w:autoSpaceDE/>
        <w:autoSpaceDN/>
        <w:spacing w:line="276" w:lineRule="auto"/>
        <w:ind w:left="360"/>
        <w:contextualSpacing/>
        <w:rPr>
          <w:color w:val="1B1B1B"/>
          <w:sz w:val="24"/>
          <w:szCs w:val="24"/>
          <w:shd w:val="clear" w:color="auto" w:fill="FFFFFF"/>
        </w:rPr>
      </w:pPr>
    </w:p>
    <w:p w:rsidR="00425F4F" w:rsidP="00425F4F" w:rsidRDefault="00425F4F" w14:paraId="70DD1C3A" w14:textId="32129881">
      <w:pPr>
        <w:widowControl/>
        <w:tabs>
          <w:tab w:val="left" w:pos="2160"/>
          <w:tab w:val="left" w:pos="5760"/>
        </w:tabs>
        <w:autoSpaceDE/>
        <w:autoSpaceDN/>
        <w:spacing w:line="276" w:lineRule="auto"/>
        <w:ind w:left="360"/>
        <w:contextualSpacing/>
        <w:rPr>
          <w:color w:val="1B1B1B"/>
          <w:sz w:val="24"/>
          <w:szCs w:val="24"/>
          <w:shd w:val="clear" w:color="auto" w:fill="FFFFFF"/>
        </w:rPr>
      </w:pPr>
      <w:r w:rsidRPr="00425F4F">
        <w:rPr>
          <w:color w:val="1B1B1B"/>
          <w:sz w:val="24"/>
          <w:szCs w:val="24"/>
          <w:shd w:val="clear" w:color="auto" w:fill="FFFFFF"/>
        </w:rPr>
        <w:t>Pandemic Electronic Benefit Transfer (P-EBT) is part of the U.S. government response to the COVID-19 pandemic. The Families First Coronavirus Response Act of 2020 (</w:t>
      </w:r>
      <w:hyperlink w:history="1" r:id="rId11">
        <w:r w:rsidRPr="00425F4F">
          <w:rPr>
            <w:color w:val="1B1B1B"/>
            <w:sz w:val="24"/>
            <w:szCs w:val="24"/>
          </w:rPr>
          <w:t>PL 116–127</w:t>
        </w:r>
      </w:hyperlink>
      <w:r w:rsidRPr="00425F4F">
        <w:rPr>
          <w:color w:val="1B1B1B"/>
          <w:sz w:val="24"/>
          <w:szCs w:val="24"/>
          <w:shd w:val="clear" w:color="auto" w:fill="FFFFFF"/>
        </w:rPr>
        <w:t>), as amended by the Continuing Appropriations Act 2021 and Other Extensions Act (</w:t>
      </w:r>
      <w:hyperlink w:history="1" r:id="rId12">
        <w:r w:rsidRPr="00425F4F">
          <w:rPr>
            <w:color w:val="1B1B1B"/>
            <w:sz w:val="24"/>
            <w:szCs w:val="24"/>
          </w:rPr>
          <w:t>PL 116-159</w:t>
        </w:r>
      </w:hyperlink>
      <w:r w:rsidRPr="00425F4F">
        <w:rPr>
          <w:color w:val="1B1B1B"/>
          <w:sz w:val="24"/>
          <w:szCs w:val="24"/>
          <w:shd w:val="clear" w:color="auto" w:fill="FFFFFF"/>
        </w:rPr>
        <w:t>), the Consolidated Appropriations Act 2021 (</w:t>
      </w:r>
      <w:hyperlink w:history="1" r:id="rId13">
        <w:r w:rsidRPr="00425F4F">
          <w:rPr>
            <w:color w:val="1B1B1B"/>
            <w:sz w:val="24"/>
            <w:szCs w:val="24"/>
          </w:rPr>
          <w:t>PL 116-260</w:t>
        </w:r>
      </w:hyperlink>
      <w:r w:rsidRPr="00425F4F">
        <w:rPr>
          <w:color w:val="1B1B1B"/>
          <w:sz w:val="24"/>
          <w:szCs w:val="24"/>
          <w:shd w:val="clear" w:color="auto" w:fill="FFFFFF"/>
        </w:rPr>
        <w:t>), and the American Rescue Plan Act of 2021 (</w:t>
      </w:r>
      <w:hyperlink w:history="1" r:id="rId14">
        <w:r w:rsidRPr="00425F4F">
          <w:rPr>
            <w:color w:val="1B1B1B"/>
            <w:sz w:val="24"/>
            <w:szCs w:val="24"/>
          </w:rPr>
          <w:t>PL 117-2</w:t>
        </w:r>
      </w:hyperlink>
      <w:r w:rsidRPr="00425F4F">
        <w:rPr>
          <w:color w:val="1B1B1B"/>
          <w:sz w:val="24"/>
          <w:szCs w:val="24"/>
          <w:shd w:val="clear" w:color="auto" w:fill="FFFFFF"/>
        </w:rPr>
        <w:t>) provides the Secretary of Agriculture authority to approve state agency plans to administer P-EBT. Through P-EBT, eligible school children receive temporary emergency nutrition benefits loaded on EBT cards that are used to purchase food. Children who would have received free or reduced-price meals under the National School Lunch Act if their schools were not closed or operating with reduced hours or attendance for at least 5 consecutive days are eligible to receive P-EBT benefits.</w:t>
      </w:r>
    </w:p>
    <w:p w:rsidR="00425F4F" w:rsidP="00425F4F" w:rsidRDefault="00425F4F" w14:paraId="0E715506" w14:textId="2CD77796">
      <w:pPr>
        <w:widowControl/>
        <w:tabs>
          <w:tab w:val="left" w:pos="2160"/>
          <w:tab w:val="left" w:pos="5760"/>
        </w:tabs>
        <w:autoSpaceDE/>
        <w:autoSpaceDN/>
        <w:spacing w:line="276" w:lineRule="auto"/>
        <w:ind w:left="360"/>
        <w:contextualSpacing/>
        <w:rPr>
          <w:color w:val="1B1B1B"/>
          <w:sz w:val="24"/>
          <w:szCs w:val="24"/>
          <w:shd w:val="clear" w:color="auto" w:fill="FFFFFF"/>
        </w:rPr>
      </w:pPr>
    </w:p>
    <w:p w:rsidRPr="00425F4F" w:rsidR="00425F4F" w:rsidP="00425F4F" w:rsidRDefault="00425F4F" w14:paraId="7F750890" w14:textId="7914793F">
      <w:pPr>
        <w:widowControl/>
        <w:tabs>
          <w:tab w:val="left" w:pos="2160"/>
          <w:tab w:val="left" w:pos="5760"/>
        </w:tabs>
        <w:autoSpaceDE/>
        <w:autoSpaceDN/>
        <w:spacing w:line="276" w:lineRule="auto"/>
        <w:ind w:left="360"/>
        <w:contextualSpacing/>
        <w:rPr>
          <w:color w:val="1B1B1B"/>
          <w:sz w:val="24"/>
          <w:szCs w:val="24"/>
          <w:shd w:val="clear" w:color="auto" w:fill="FFFFFF"/>
        </w:rPr>
      </w:pPr>
      <w:r w:rsidRPr="00425F4F">
        <w:rPr>
          <w:color w:val="1B1B1B"/>
          <w:sz w:val="24"/>
          <w:szCs w:val="24"/>
          <w:shd w:val="clear" w:color="auto" w:fill="FFFFFF"/>
        </w:rPr>
        <w:t>The expanded and newly-advanceable Child Tax Credit was authorized by the American Rescue Plan Act, enacted in March</w:t>
      </w:r>
      <w:r>
        <w:rPr>
          <w:color w:val="1B1B1B"/>
          <w:sz w:val="24"/>
          <w:szCs w:val="24"/>
          <w:shd w:val="clear" w:color="auto" w:fill="FFFFFF"/>
        </w:rPr>
        <w:t xml:space="preserve"> 2021</w:t>
      </w:r>
      <w:r w:rsidRPr="00425F4F">
        <w:rPr>
          <w:color w:val="1B1B1B"/>
          <w:sz w:val="24"/>
          <w:szCs w:val="24"/>
          <w:shd w:val="clear" w:color="auto" w:fill="FFFFFF"/>
        </w:rPr>
        <w:t>.  For 2021 this credit has been expanded to $3,000 per child for dependents ages 6 through 17 and $3,600 per child for dependents age 5 and under</w:t>
      </w:r>
      <w:r>
        <w:rPr>
          <w:color w:val="1B1B1B"/>
          <w:sz w:val="24"/>
          <w:szCs w:val="24"/>
          <w:shd w:val="clear" w:color="auto" w:fill="FFFFFF"/>
        </w:rPr>
        <w:t>,</w:t>
      </w:r>
      <w:r w:rsidRPr="00425F4F">
        <w:rPr>
          <w:color w:val="1B1B1B"/>
          <w:sz w:val="24"/>
          <w:szCs w:val="24"/>
          <w:shd w:val="clear" w:color="auto" w:fill="FFFFFF"/>
        </w:rPr>
        <w:t xml:space="preserve"> up from $2,000 per child in the past.  Also, the credit is fully refundable for 2021. Before this year, the refundable portion was limited to $1,400 per child. From July through December 2021, up to half the credit will be advanced to eligible families by Treasury and the IRS.   Eligible families can choose to decline receiving the advance payments.  The IRS estimated that in the first month roughly $15 billion was paid out to families that include nearly 60 million eligible children. Experts have projected the American Rescue Plan will lift more than five million children out of poverty this year, cutting child poverty by more than half.  </w:t>
      </w:r>
    </w:p>
    <w:p w:rsidRPr="00F45693" w:rsidR="0043244C" w:rsidP="00AA14CF" w:rsidRDefault="0043244C" w14:paraId="4534D85A" w14:textId="77777777">
      <w:pPr>
        <w:tabs>
          <w:tab w:val="left" w:pos="480"/>
          <w:tab w:val="left" w:pos="1440"/>
        </w:tabs>
        <w:adjustRightInd w:val="0"/>
        <w:spacing w:line="276" w:lineRule="auto"/>
        <w:ind w:left="360"/>
        <w:rPr>
          <w:sz w:val="24"/>
          <w:szCs w:val="24"/>
          <w:lang w:bidi="ar-SA"/>
        </w:rPr>
      </w:pPr>
    </w:p>
    <w:p w:rsidRPr="00F45693" w:rsidR="00F45693" w:rsidP="00AA14CF" w:rsidRDefault="00F45693" w14:paraId="18A7FF80" w14:textId="77777777">
      <w:pPr>
        <w:tabs>
          <w:tab w:val="left" w:pos="480"/>
          <w:tab w:val="left" w:pos="990"/>
          <w:tab w:val="left" w:pos="1440"/>
        </w:tabs>
        <w:adjustRightInd w:val="0"/>
        <w:spacing w:line="276" w:lineRule="auto"/>
        <w:ind w:left="360"/>
        <w:rPr>
          <w:sz w:val="24"/>
          <w:szCs w:val="24"/>
          <w:lang w:bidi="ar-SA"/>
        </w:rPr>
      </w:pPr>
      <w:r w:rsidRPr="00F45693">
        <w:rPr>
          <w:sz w:val="24"/>
          <w:szCs w:val="24"/>
          <w:lang w:bidi="ar-SA"/>
        </w:rPr>
        <w:t>This request also asks for clearance for the forms that are used in conjunction with the ASEC supplement.  These forms include:</w:t>
      </w:r>
    </w:p>
    <w:p w:rsidRPr="00F45693" w:rsidR="00F45693" w:rsidP="00AA14CF" w:rsidRDefault="00F45693" w14:paraId="000198B0" w14:textId="77777777">
      <w:pPr>
        <w:tabs>
          <w:tab w:val="left" w:pos="480"/>
          <w:tab w:val="left" w:pos="960"/>
          <w:tab w:val="left" w:pos="1440"/>
        </w:tabs>
        <w:adjustRightInd w:val="0"/>
        <w:ind w:left="360"/>
        <w:rPr>
          <w:sz w:val="24"/>
          <w:szCs w:val="24"/>
          <w:lang w:bidi="ar-SA"/>
        </w:rPr>
      </w:pPr>
    </w:p>
    <w:tbl>
      <w:tblPr>
        <w:tblW w:w="0" w:type="auto"/>
        <w:tblInd w:w="480" w:type="dxa"/>
        <w:tblLayout w:type="fixed"/>
        <w:tblCellMar>
          <w:left w:w="120" w:type="dxa"/>
          <w:right w:w="120" w:type="dxa"/>
        </w:tblCellMar>
        <w:tblLook w:val="0000" w:firstRow="0" w:lastRow="0" w:firstColumn="0" w:lastColumn="0" w:noHBand="0" w:noVBand="0"/>
      </w:tblPr>
      <w:tblGrid>
        <w:gridCol w:w="3060"/>
        <w:gridCol w:w="4590"/>
        <w:gridCol w:w="1468"/>
      </w:tblGrid>
      <w:tr w:rsidRPr="00F45693" w:rsidR="00F45693" w:rsidTr="00680C33" w14:paraId="1BA37EEC" w14:textId="77777777">
        <w:trPr>
          <w:cantSplit/>
          <w:tblHeader/>
        </w:trPr>
        <w:tc>
          <w:tcPr>
            <w:tcW w:w="3060" w:type="dxa"/>
          </w:tcPr>
          <w:p w:rsidRPr="00F45693" w:rsidR="00F45693" w:rsidP="00AA14CF" w:rsidRDefault="00F45693" w14:paraId="584B3A7A" w14:textId="77777777">
            <w:pPr>
              <w:tabs>
                <w:tab w:val="left" w:pos="480"/>
                <w:tab w:val="left" w:pos="960"/>
                <w:tab w:val="left" w:pos="1440"/>
              </w:tabs>
              <w:adjustRightInd w:val="0"/>
              <w:spacing w:before="144"/>
              <w:ind w:left="360"/>
              <w:rPr>
                <w:rFonts w:ascii="Courier" w:hAnsi="Courier"/>
                <w:sz w:val="24"/>
                <w:szCs w:val="24"/>
                <w:lang w:bidi="ar-SA"/>
              </w:rPr>
            </w:pPr>
            <w:r w:rsidRPr="00F45693">
              <w:rPr>
                <w:b/>
                <w:bCs/>
                <w:sz w:val="24"/>
                <w:szCs w:val="24"/>
                <w:lang w:bidi="ar-SA"/>
              </w:rPr>
              <w:tab/>
            </w:r>
            <w:r w:rsidRPr="00F45693">
              <w:rPr>
                <w:b/>
                <w:bCs/>
                <w:sz w:val="24"/>
                <w:szCs w:val="24"/>
                <w:u w:val="single"/>
                <w:lang w:bidi="ar-SA"/>
              </w:rPr>
              <w:t>Form No.</w:t>
            </w:r>
          </w:p>
        </w:tc>
        <w:tc>
          <w:tcPr>
            <w:tcW w:w="4590" w:type="dxa"/>
          </w:tcPr>
          <w:p w:rsidRPr="00F45693" w:rsidR="00F45693" w:rsidP="00AA14CF" w:rsidRDefault="00F45693" w14:paraId="590F5068" w14:textId="77777777">
            <w:pPr>
              <w:tabs>
                <w:tab w:val="left" w:pos="480"/>
                <w:tab w:val="left" w:pos="960"/>
                <w:tab w:val="left" w:pos="1440"/>
              </w:tabs>
              <w:adjustRightInd w:val="0"/>
              <w:spacing w:before="144"/>
              <w:ind w:left="360"/>
              <w:rPr>
                <w:rFonts w:ascii="Courier" w:hAnsi="Courier"/>
                <w:sz w:val="24"/>
                <w:szCs w:val="24"/>
                <w:lang w:bidi="ar-SA"/>
              </w:rPr>
            </w:pPr>
            <w:r w:rsidRPr="00F45693">
              <w:rPr>
                <w:b/>
                <w:bCs/>
                <w:sz w:val="24"/>
                <w:szCs w:val="24"/>
                <w:u w:val="single"/>
                <w:lang w:bidi="ar-SA"/>
              </w:rPr>
              <w:t>Description</w:t>
            </w:r>
          </w:p>
        </w:tc>
        <w:tc>
          <w:tcPr>
            <w:tcW w:w="1468" w:type="dxa"/>
          </w:tcPr>
          <w:p w:rsidRPr="00F45693" w:rsidR="00F45693" w:rsidP="00AA14CF" w:rsidRDefault="00F45693" w14:paraId="3B8C97AC" w14:textId="77777777">
            <w:pPr>
              <w:tabs>
                <w:tab w:val="left" w:pos="480"/>
                <w:tab w:val="left" w:pos="960"/>
                <w:tab w:val="left" w:pos="1440"/>
              </w:tabs>
              <w:adjustRightInd w:val="0"/>
              <w:spacing w:before="144"/>
              <w:ind w:left="360"/>
              <w:rPr>
                <w:rFonts w:ascii="Courier" w:hAnsi="Courier"/>
                <w:sz w:val="24"/>
                <w:szCs w:val="24"/>
                <w:lang w:bidi="ar-SA"/>
              </w:rPr>
            </w:pPr>
            <w:r w:rsidRPr="00F45693">
              <w:rPr>
                <w:b/>
                <w:bCs/>
                <w:sz w:val="24"/>
                <w:szCs w:val="24"/>
                <w:u w:val="single"/>
                <w:lang w:bidi="ar-SA"/>
              </w:rPr>
              <w:t>Attachment</w:t>
            </w:r>
          </w:p>
        </w:tc>
      </w:tr>
      <w:tr w:rsidRPr="00F45693" w:rsidR="00F45693" w:rsidTr="00680C33" w14:paraId="18D8549A" w14:textId="77777777">
        <w:trPr>
          <w:cantSplit/>
        </w:trPr>
        <w:tc>
          <w:tcPr>
            <w:tcW w:w="3060" w:type="dxa"/>
          </w:tcPr>
          <w:p w:rsidRPr="00F45693" w:rsidR="00F45693" w:rsidP="00AA14CF" w:rsidRDefault="00F45693" w14:paraId="6A48EA9D" w14:textId="77777777">
            <w:pPr>
              <w:tabs>
                <w:tab w:val="left" w:pos="480"/>
                <w:tab w:val="left" w:pos="960"/>
                <w:tab w:val="left" w:pos="1440"/>
              </w:tabs>
              <w:adjustRightInd w:val="0"/>
              <w:spacing w:before="144"/>
              <w:ind w:left="360"/>
              <w:rPr>
                <w:sz w:val="24"/>
                <w:szCs w:val="24"/>
                <w:lang w:bidi="ar-SA"/>
              </w:rPr>
            </w:pPr>
            <w:r w:rsidRPr="00F45693">
              <w:rPr>
                <w:sz w:val="24"/>
                <w:szCs w:val="24"/>
                <w:lang w:bidi="ar-SA"/>
              </w:rPr>
              <w:tab/>
              <w:t>BC-1428</w:t>
            </w:r>
          </w:p>
          <w:p w:rsidRPr="00F45693" w:rsidR="00F45693" w:rsidP="00AA14CF" w:rsidRDefault="00F45693" w14:paraId="0A5D82CC" w14:textId="1B47F59F">
            <w:pPr>
              <w:tabs>
                <w:tab w:val="left" w:pos="480"/>
                <w:tab w:val="left" w:pos="960"/>
                <w:tab w:val="left" w:pos="1440"/>
              </w:tabs>
              <w:adjustRightInd w:val="0"/>
              <w:spacing w:before="144"/>
              <w:ind w:left="360"/>
              <w:rPr>
                <w:rFonts w:ascii="Courier" w:hAnsi="Courier"/>
                <w:sz w:val="24"/>
                <w:szCs w:val="24"/>
                <w:lang w:bidi="ar-SA"/>
              </w:rPr>
            </w:pPr>
            <w:r w:rsidRPr="00F45693">
              <w:rPr>
                <w:sz w:val="24"/>
                <w:szCs w:val="24"/>
                <w:lang w:bidi="ar-SA"/>
              </w:rPr>
              <w:t xml:space="preserve">  BC-1428 (SP)</w:t>
            </w:r>
          </w:p>
        </w:tc>
        <w:tc>
          <w:tcPr>
            <w:tcW w:w="4590" w:type="dxa"/>
          </w:tcPr>
          <w:p w:rsidRPr="00F45693" w:rsidR="00F45693" w:rsidP="00AA14CF" w:rsidRDefault="00F45693" w14:paraId="406F85F4" w14:textId="77777777">
            <w:pPr>
              <w:tabs>
                <w:tab w:val="left" w:pos="480"/>
                <w:tab w:val="left" w:pos="960"/>
                <w:tab w:val="left" w:pos="1440"/>
              </w:tabs>
              <w:adjustRightInd w:val="0"/>
              <w:spacing w:before="144"/>
              <w:ind w:left="360"/>
              <w:rPr>
                <w:sz w:val="24"/>
                <w:szCs w:val="24"/>
                <w:lang w:bidi="ar-SA"/>
              </w:rPr>
            </w:pPr>
            <w:r w:rsidRPr="00F45693">
              <w:rPr>
                <w:sz w:val="24"/>
                <w:szCs w:val="24"/>
                <w:lang w:bidi="ar-SA"/>
              </w:rPr>
              <w:t>Confidentiality Brochure.</w:t>
            </w:r>
          </w:p>
          <w:p w:rsidRPr="00F45693" w:rsidR="00F45693" w:rsidP="00AA14CF" w:rsidRDefault="00F45693" w14:paraId="1172C42D" w14:textId="77777777">
            <w:pPr>
              <w:tabs>
                <w:tab w:val="left" w:pos="480"/>
                <w:tab w:val="left" w:pos="960"/>
                <w:tab w:val="left" w:pos="1440"/>
              </w:tabs>
              <w:adjustRightInd w:val="0"/>
              <w:spacing w:before="144"/>
              <w:ind w:left="360"/>
              <w:rPr>
                <w:sz w:val="24"/>
                <w:szCs w:val="24"/>
                <w:lang w:bidi="ar-SA"/>
              </w:rPr>
            </w:pPr>
            <w:r w:rsidRPr="00F45693">
              <w:rPr>
                <w:sz w:val="24"/>
                <w:szCs w:val="24"/>
                <w:lang w:bidi="ar-SA"/>
              </w:rPr>
              <w:t>Same letter as above translated into Spanish.</w:t>
            </w:r>
          </w:p>
        </w:tc>
        <w:tc>
          <w:tcPr>
            <w:tcW w:w="1468" w:type="dxa"/>
          </w:tcPr>
          <w:p w:rsidRPr="00F45693" w:rsidR="00F45693" w:rsidP="00AA14CF" w:rsidRDefault="00F45693" w14:paraId="7ADCA05A" w14:textId="77777777">
            <w:pPr>
              <w:tabs>
                <w:tab w:val="left" w:pos="451"/>
                <w:tab w:val="left" w:pos="480"/>
                <w:tab w:val="left" w:pos="960"/>
                <w:tab w:val="left" w:pos="1440"/>
              </w:tabs>
              <w:adjustRightInd w:val="0"/>
              <w:spacing w:before="144"/>
              <w:ind w:left="360"/>
              <w:rPr>
                <w:sz w:val="24"/>
                <w:szCs w:val="24"/>
                <w:lang w:bidi="ar-SA"/>
              </w:rPr>
            </w:pPr>
            <w:r w:rsidRPr="00F45693">
              <w:rPr>
                <w:sz w:val="24"/>
                <w:szCs w:val="24"/>
                <w:lang w:bidi="ar-SA"/>
              </w:rPr>
              <w:tab/>
              <w:t>F</w:t>
            </w:r>
          </w:p>
          <w:p w:rsidRPr="00F45693" w:rsidR="00F45693" w:rsidP="00AA14CF" w:rsidRDefault="00F45693" w14:paraId="7D008AC3" w14:textId="77777777">
            <w:pPr>
              <w:tabs>
                <w:tab w:val="left" w:pos="451"/>
                <w:tab w:val="left" w:pos="480"/>
                <w:tab w:val="left" w:pos="960"/>
                <w:tab w:val="left" w:pos="1440"/>
              </w:tabs>
              <w:adjustRightInd w:val="0"/>
              <w:spacing w:before="144"/>
              <w:ind w:left="360"/>
              <w:rPr>
                <w:rFonts w:ascii="Courier" w:hAnsi="Courier"/>
                <w:sz w:val="24"/>
                <w:szCs w:val="24"/>
                <w:lang w:bidi="ar-SA"/>
              </w:rPr>
            </w:pPr>
            <w:r w:rsidRPr="00F45693">
              <w:rPr>
                <w:sz w:val="24"/>
                <w:szCs w:val="24"/>
                <w:lang w:bidi="ar-SA"/>
              </w:rPr>
              <w:tab/>
              <w:t>G</w:t>
            </w:r>
          </w:p>
        </w:tc>
      </w:tr>
      <w:tr w:rsidRPr="00F45693" w:rsidR="00F45693" w:rsidTr="00680C33" w14:paraId="2DBC0626" w14:textId="77777777">
        <w:trPr>
          <w:cantSplit/>
        </w:trPr>
        <w:tc>
          <w:tcPr>
            <w:tcW w:w="3060" w:type="dxa"/>
          </w:tcPr>
          <w:p w:rsidRPr="00F45693" w:rsidR="00F45693" w:rsidP="00AA14CF" w:rsidRDefault="00F45693" w14:paraId="3E3251DE" w14:textId="77777777">
            <w:pPr>
              <w:tabs>
                <w:tab w:val="left" w:pos="387"/>
                <w:tab w:val="left" w:pos="480"/>
                <w:tab w:val="left" w:pos="960"/>
                <w:tab w:val="center" w:pos="1410"/>
                <w:tab w:val="left" w:pos="1440"/>
              </w:tabs>
              <w:adjustRightInd w:val="0"/>
              <w:spacing w:before="144"/>
              <w:ind w:left="360"/>
              <w:rPr>
                <w:sz w:val="24"/>
                <w:szCs w:val="24"/>
                <w:lang w:bidi="ar-SA"/>
              </w:rPr>
            </w:pPr>
            <w:r w:rsidRPr="00F45693">
              <w:rPr>
                <w:sz w:val="24"/>
                <w:szCs w:val="24"/>
                <w:lang w:bidi="ar-SA"/>
              </w:rPr>
              <w:tab/>
            </w:r>
            <w:r w:rsidRPr="00F45693">
              <w:rPr>
                <w:sz w:val="24"/>
                <w:szCs w:val="24"/>
                <w:lang w:bidi="ar-SA"/>
              </w:rPr>
              <w:tab/>
              <w:t>CPS-580 (ASEC)(L)</w:t>
            </w:r>
          </w:p>
        </w:tc>
        <w:tc>
          <w:tcPr>
            <w:tcW w:w="4590" w:type="dxa"/>
          </w:tcPr>
          <w:p w:rsidRPr="00F45693" w:rsidR="00F45693" w:rsidP="00AA14CF" w:rsidRDefault="00F45693" w14:paraId="2B7B74C9" w14:textId="77777777">
            <w:pPr>
              <w:tabs>
                <w:tab w:val="left" w:pos="480"/>
                <w:tab w:val="left" w:pos="960"/>
                <w:tab w:val="left" w:pos="1440"/>
              </w:tabs>
              <w:adjustRightInd w:val="0"/>
              <w:spacing w:before="144"/>
              <w:ind w:left="360"/>
              <w:rPr>
                <w:sz w:val="24"/>
                <w:szCs w:val="24"/>
                <w:lang w:bidi="ar-SA"/>
              </w:rPr>
            </w:pPr>
            <w:r w:rsidRPr="00F45693">
              <w:rPr>
                <w:sz w:val="24"/>
                <w:szCs w:val="24"/>
                <w:lang w:bidi="ar-SA"/>
              </w:rPr>
              <w:t>Advance letter sent to each household in sample.</w:t>
            </w:r>
          </w:p>
        </w:tc>
        <w:tc>
          <w:tcPr>
            <w:tcW w:w="1468" w:type="dxa"/>
          </w:tcPr>
          <w:p w:rsidRPr="00F45693" w:rsidR="00F45693" w:rsidP="00AA14CF" w:rsidRDefault="00F45693" w14:paraId="3A3C1345" w14:textId="77777777">
            <w:pPr>
              <w:tabs>
                <w:tab w:val="left" w:pos="451"/>
                <w:tab w:val="left" w:pos="477"/>
                <w:tab w:val="left" w:pos="960"/>
                <w:tab w:val="left" w:pos="1440"/>
              </w:tabs>
              <w:adjustRightInd w:val="0"/>
              <w:spacing w:before="144"/>
              <w:ind w:left="360"/>
              <w:rPr>
                <w:sz w:val="24"/>
                <w:szCs w:val="24"/>
                <w:lang w:bidi="ar-SA"/>
              </w:rPr>
            </w:pPr>
            <w:r w:rsidRPr="00F45693">
              <w:rPr>
                <w:sz w:val="24"/>
                <w:szCs w:val="24"/>
                <w:lang w:bidi="ar-SA"/>
              </w:rPr>
              <w:t xml:space="preserve"> H</w:t>
            </w:r>
          </w:p>
        </w:tc>
      </w:tr>
      <w:tr w:rsidRPr="00F45693" w:rsidR="00F45693" w:rsidTr="00680C33" w14:paraId="329AC8A7" w14:textId="77777777">
        <w:trPr>
          <w:cantSplit/>
        </w:trPr>
        <w:tc>
          <w:tcPr>
            <w:tcW w:w="3060" w:type="dxa"/>
          </w:tcPr>
          <w:p w:rsidRPr="00F45693" w:rsidR="00F45693" w:rsidP="00AA14CF" w:rsidRDefault="00F45693" w14:paraId="2144AF9B" w14:textId="77777777">
            <w:pPr>
              <w:tabs>
                <w:tab w:val="left" w:pos="480"/>
                <w:tab w:val="left" w:pos="960"/>
                <w:tab w:val="left" w:pos="1440"/>
              </w:tabs>
              <w:adjustRightInd w:val="0"/>
              <w:spacing w:before="144"/>
              <w:ind w:left="360"/>
              <w:rPr>
                <w:rFonts w:ascii="Courier" w:hAnsi="Courier"/>
                <w:sz w:val="24"/>
                <w:szCs w:val="24"/>
                <w:lang w:bidi="ar-SA"/>
              </w:rPr>
            </w:pPr>
            <w:r w:rsidRPr="00F45693">
              <w:rPr>
                <w:sz w:val="24"/>
                <w:szCs w:val="24"/>
                <w:lang w:bidi="ar-SA"/>
              </w:rPr>
              <w:lastRenderedPageBreak/>
              <w:tab/>
              <w:t>CPS-580 (L)SP</w:t>
            </w:r>
          </w:p>
        </w:tc>
        <w:tc>
          <w:tcPr>
            <w:tcW w:w="4590" w:type="dxa"/>
          </w:tcPr>
          <w:p w:rsidRPr="00F45693" w:rsidR="00F45693" w:rsidP="00AA14CF" w:rsidRDefault="00F45693" w14:paraId="631191F1" w14:textId="77777777">
            <w:pPr>
              <w:tabs>
                <w:tab w:val="left" w:pos="480"/>
                <w:tab w:val="left" w:pos="960"/>
                <w:tab w:val="left" w:pos="1440"/>
              </w:tabs>
              <w:adjustRightInd w:val="0"/>
              <w:spacing w:before="144"/>
              <w:ind w:left="360"/>
              <w:rPr>
                <w:rFonts w:ascii="Courier" w:hAnsi="Courier"/>
                <w:sz w:val="24"/>
                <w:szCs w:val="24"/>
                <w:lang w:bidi="ar-SA"/>
              </w:rPr>
            </w:pPr>
            <w:r w:rsidRPr="00F45693">
              <w:rPr>
                <w:sz w:val="24"/>
                <w:szCs w:val="24"/>
                <w:lang w:bidi="ar-SA"/>
              </w:rPr>
              <w:t xml:space="preserve">Same letter as above translated into Spanish. </w:t>
            </w:r>
          </w:p>
        </w:tc>
        <w:tc>
          <w:tcPr>
            <w:tcW w:w="1468" w:type="dxa"/>
          </w:tcPr>
          <w:p w:rsidRPr="00F45693" w:rsidR="00F45693" w:rsidP="00AA14CF" w:rsidRDefault="00F45693" w14:paraId="3418B314" w14:textId="77777777">
            <w:pPr>
              <w:keepNext/>
              <w:tabs>
                <w:tab w:val="left" w:pos="480"/>
                <w:tab w:val="left" w:pos="960"/>
                <w:tab w:val="left" w:pos="1440"/>
              </w:tabs>
              <w:adjustRightInd w:val="0"/>
              <w:spacing w:before="144"/>
              <w:ind w:left="360"/>
              <w:outlineLvl w:val="0"/>
              <w:rPr>
                <w:sz w:val="24"/>
                <w:szCs w:val="24"/>
                <w:lang w:bidi="ar-SA"/>
              </w:rPr>
            </w:pPr>
            <w:r w:rsidRPr="00F45693">
              <w:rPr>
                <w:sz w:val="24"/>
                <w:szCs w:val="24"/>
                <w:lang w:bidi="ar-SA"/>
              </w:rPr>
              <w:tab/>
              <w:t>I</w:t>
            </w:r>
          </w:p>
        </w:tc>
      </w:tr>
      <w:tr w:rsidRPr="00F45693" w:rsidR="00F45693" w:rsidTr="00680C33" w14:paraId="3F28CF3F" w14:textId="77777777">
        <w:trPr>
          <w:cantSplit/>
        </w:trPr>
        <w:tc>
          <w:tcPr>
            <w:tcW w:w="3060" w:type="dxa"/>
          </w:tcPr>
          <w:p w:rsidRPr="00F45693" w:rsidR="00F45693" w:rsidP="00AA14CF" w:rsidRDefault="00F45693" w14:paraId="771085F5" w14:textId="77777777">
            <w:pPr>
              <w:keepNext/>
              <w:tabs>
                <w:tab w:val="left" w:pos="480"/>
                <w:tab w:val="left" w:pos="960"/>
                <w:tab w:val="left" w:pos="1440"/>
              </w:tabs>
              <w:adjustRightInd w:val="0"/>
              <w:spacing w:before="144"/>
              <w:ind w:left="360"/>
              <w:outlineLvl w:val="0"/>
              <w:rPr>
                <w:sz w:val="24"/>
                <w:szCs w:val="24"/>
                <w:lang w:bidi="ar-SA"/>
              </w:rPr>
            </w:pPr>
            <w:r w:rsidRPr="00F45693">
              <w:rPr>
                <w:sz w:val="24"/>
                <w:szCs w:val="24"/>
                <w:lang w:bidi="ar-SA"/>
              </w:rPr>
              <w:tab/>
              <w:t>CPS-676</w:t>
            </w:r>
          </w:p>
        </w:tc>
        <w:tc>
          <w:tcPr>
            <w:tcW w:w="4590" w:type="dxa"/>
          </w:tcPr>
          <w:p w:rsidRPr="00F45693" w:rsidR="00F45693" w:rsidP="00AA14CF" w:rsidRDefault="00F45693" w14:paraId="4FEFF94B" w14:textId="77777777">
            <w:pPr>
              <w:tabs>
                <w:tab w:val="left" w:pos="480"/>
                <w:tab w:val="left" w:pos="960"/>
                <w:tab w:val="left" w:pos="1440"/>
              </w:tabs>
              <w:adjustRightInd w:val="0"/>
              <w:spacing w:before="144"/>
              <w:ind w:left="360"/>
              <w:rPr>
                <w:rFonts w:ascii="Courier" w:hAnsi="Courier"/>
                <w:sz w:val="24"/>
                <w:szCs w:val="24"/>
                <w:lang w:bidi="ar-SA"/>
              </w:rPr>
            </w:pPr>
            <w:r w:rsidRPr="00F45693">
              <w:rPr>
                <w:sz w:val="24"/>
                <w:szCs w:val="24"/>
                <w:lang w:bidi="ar-SA"/>
              </w:rPr>
              <w:t>Pamphlet with information from the ASEC.</w:t>
            </w:r>
          </w:p>
        </w:tc>
        <w:tc>
          <w:tcPr>
            <w:tcW w:w="1468" w:type="dxa"/>
          </w:tcPr>
          <w:p w:rsidRPr="00F45693" w:rsidR="00F45693" w:rsidP="00AA14CF" w:rsidRDefault="00F45693" w14:paraId="443BA4A9" w14:textId="77777777">
            <w:pPr>
              <w:tabs>
                <w:tab w:val="left" w:pos="480"/>
                <w:tab w:val="left" w:pos="960"/>
                <w:tab w:val="left" w:pos="1440"/>
              </w:tabs>
              <w:adjustRightInd w:val="0"/>
              <w:spacing w:before="144"/>
              <w:ind w:left="360"/>
              <w:rPr>
                <w:rFonts w:ascii="Courier" w:hAnsi="Courier"/>
                <w:sz w:val="24"/>
                <w:szCs w:val="24"/>
                <w:lang w:bidi="ar-SA"/>
              </w:rPr>
            </w:pPr>
            <w:r w:rsidRPr="00F45693">
              <w:rPr>
                <w:sz w:val="24"/>
                <w:szCs w:val="24"/>
                <w:lang w:bidi="ar-SA"/>
              </w:rPr>
              <w:tab/>
              <w:t>J</w:t>
            </w:r>
          </w:p>
        </w:tc>
      </w:tr>
      <w:tr w:rsidRPr="00F45693" w:rsidR="00F45693" w:rsidTr="00680C33" w14:paraId="535686AF" w14:textId="77777777">
        <w:trPr>
          <w:cantSplit/>
        </w:trPr>
        <w:tc>
          <w:tcPr>
            <w:tcW w:w="3060" w:type="dxa"/>
          </w:tcPr>
          <w:p w:rsidRPr="00F45693" w:rsidR="00F45693" w:rsidP="00AA14CF" w:rsidRDefault="00F45693" w14:paraId="1BA3744A" w14:textId="77777777">
            <w:pPr>
              <w:tabs>
                <w:tab w:val="left" w:pos="480"/>
                <w:tab w:val="left" w:pos="960"/>
                <w:tab w:val="left" w:pos="1440"/>
              </w:tabs>
              <w:adjustRightInd w:val="0"/>
              <w:spacing w:before="144"/>
              <w:ind w:left="360"/>
              <w:rPr>
                <w:rFonts w:ascii="Courier" w:hAnsi="Courier"/>
                <w:sz w:val="24"/>
                <w:szCs w:val="24"/>
                <w:lang w:bidi="ar-SA"/>
              </w:rPr>
            </w:pPr>
            <w:r w:rsidRPr="00F45693">
              <w:rPr>
                <w:sz w:val="24"/>
                <w:szCs w:val="24"/>
                <w:lang w:bidi="ar-SA"/>
              </w:rPr>
              <w:tab/>
              <w:t>CPS-676 (SP)</w:t>
            </w:r>
          </w:p>
        </w:tc>
        <w:tc>
          <w:tcPr>
            <w:tcW w:w="4590" w:type="dxa"/>
          </w:tcPr>
          <w:p w:rsidRPr="00F45693" w:rsidR="00F45693" w:rsidP="00AA14CF" w:rsidRDefault="00F45693" w14:paraId="68B0EA89" w14:textId="77777777">
            <w:pPr>
              <w:tabs>
                <w:tab w:val="left" w:pos="480"/>
                <w:tab w:val="left" w:pos="960"/>
                <w:tab w:val="left" w:pos="1440"/>
              </w:tabs>
              <w:adjustRightInd w:val="0"/>
              <w:spacing w:before="144"/>
              <w:ind w:left="360"/>
              <w:rPr>
                <w:rFonts w:ascii="Courier" w:hAnsi="Courier"/>
                <w:sz w:val="24"/>
                <w:szCs w:val="24"/>
                <w:lang w:bidi="ar-SA"/>
              </w:rPr>
            </w:pPr>
            <w:r w:rsidRPr="00F45693">
              <w:rPr>
                <w:sz w:val="24"/>
                <w:szCs w:val="24"/>
                <w:lang w:bidi="ar-SA"/>
              </w:rPr>
              <w:t>Same pamphlet as above but in Spanish.</w:t>
            </w:r>
          </w:p>
        </w:tc>
        <w:tc>
          <w:tcPr>
            <w:tcW w:w="1468" w:type="dxa"/>
          </w:tcPr>
          <w:p w:rsidRPr="00F45693" w:rsidR="00F45693" w:rsidP="00AA14CF" w:rsidRDefault="00F45693" w14:paraId="662277B0" w14:textId="77777777">
            <w:pPr>
              <w:tabs>
                <w:tab w:val="left" w:pos="480"/>
                <w:tab w:val="left" w:pos="960"/>
                <w:tab w:val="left" w:pos="1440"/>
              </w:tabs>
              <w:adjustRightInd w:val="0"/>
              <w:spacing w:before="144"/>
              <w:ind w:left="360"/>
              <w:rPr>
                <w:rFonts w:ascii="Courier" w:hAnsi="Courier"/>
                <w:sz w:val="24"/>
                <w:szCs w:val="24"/>
                <w:lang w:bidi="ar-SA"/>
              </w:rPr>
            </w:pPr>
            <w:r w:rsidRPr="00F45693">
              <w:rPr>
                <w:sz w:val="24"/>
                <w:szCs w:val="24"/>
                <w:lang w:bidi="ar-SA"/>
              </w:rPr>
              <w:tab/>
              <w:t>K</w:t>
            </w:r>
          </w:p>
        </w:tc>
      </w:tr>
    </w:tbl>
    <w:p w:rsidRPr="00F45693" w:rsidR="00F45693" w:rsidP="00AA14CF" w:rsidRDefault="00F45693" w14:paraId="3979C90F" w14:textId="77777777">
      <w:pPr>
        <w:tabs>
          <w:tab w:val="left" w:pos="480"/>
          <w:tab w:val="left" w:pos="960"/>
          <w:tab w:val="left" w:pos="1440"/>
        </w:tabs>
        <w:adjustRightInd w:val="0"/>
        <w:ind w:left="360"/>
        <w:rPr>
          <w:sz w:val="24"/>
          <w:szCs w:val="24"/>
          <w:lang w:bidi="ar-SA"/>
        </w:rPr>
      </w:pPr>
    </w:p>
    <w:p w:rsidRPr="00F45693" w:rsidR="00F45693" w:rsidP="00AA14CF" w:rsidRDefault="00F45693" w14:paraId="102303FE" w14:textId="77777777">
      <w:pPr>
        <w:tabs>
          <w:tab w:val="left" w:pos="480"/>
          <w:tab w:val="left" w:pos="1440"/>
        </w:tabs>
        <w:adjustRightInd w:val="0"/>
        <w:ind w:left="360"/>
        <w:rPr>
          <w:sz w:val="24"/>
          <w:szCs w:val="24"/>
          <w:lang w:bidi="ar-SA"/>
        </w:rPr>
      </w:pPr>
      <w:r w:rsidRPr="00F45693">
        <w:rPr>
          <w:sz w:val="24"/>
          <w:szCs w:val="24"/>
          <w:lang w:bidi="ar-SA"/>
        </w:rPr>
        <w:t xml:space="preserve">These forms are made available so that the respondents will have a clear understanding of the purpose and uses of the CPS ASEC supplement.  </w:t>
      </w:r>
    </w:p>
    <w:p w:rsidRPr="00CD619D" w:rsidR="002B279C" w:rsidP="00CD619D" w:rsidRDefault="002B279C" w14:paraId="27C6E41C" w14:textId="77777777">
      <w:pPr>
        <w:pStyle w:val="BodyText"/>
        <w:spacing w:before="9" w:line="276" w:lineRule="auto"/>
        <w:ind w:left="360" w:hanging="360"/>
      </w:pPr>
    </w:p>
    <w:p w:rsidRPr="00AA230A" w:rsidR="000148AA" w:rsidP="00AA230A" w:rsidRDefault="009471AF" w14:paraId="3B71751E" w14:textId="2D16D4AB">
      <w:pPr>
        <w:tabs>
          <w:tab w:val="left" w:pos="840"/>
        </w:tabs>
        <w:spacing w:before="1" w:line="276" w:lineRule="auto"/>
        <w:ind w:left="360" w:right="122" w:hanging="360"/>
        <w:rPr>
          <w:b/>
          <w:spacing w:val="-4"/>
          <w:sz w:val="24"/>
          <w:szCs w:val="24"/>
        </w:rPr>
      </w:pPr>
      <w:r w:rsidRPr="00CD619D">
        <w:rPr>
          <w:b/>
          <w:spacing w:val="-3"/>
          <w:sz w:val="24"/>
          <w:szCs w:val="24"/>
        </w:rPr>
        <w:t xml:space="preserve">2. </w:t>
      </w:r>
      <w:r w:rsidRPr="00CD619D">
        <w:rPr>
          <w:b/>
          <w:spacing w:val="-3"/>
          <w:sz w:val="24"/>
          <w:szCs w:val="24"/>
        </w:rPr>
        <w:tab/>
      </w:r>
      <w:r w:rsidR="00AA230A">
        <w:rPr>
          <w:b/>
          <w:spacing w:val="-3"/>
          <w:sz w:val="24"/>
          <w:szCs w:val="24"/>
        </w:rPr>
        <w:t>Purposes and Uses of the Information Collection</w:t>
      </w:r>
    </w:p>
    <w:p w:rsidR="000148AA" w:rsidP="00CD619D" w:rsidRDefault="00214F97" w14:paraId="0AA6D28C" w14:textId="49D20EEE">
      <w:pPr>
        <w:tabs>
          <w:tab w:val="left" w:pos="0"/>
        </w:tabs>
        <w:spacing w:before="1" w:line="276" w:lineRule="auto"/>
        <w:ind w:left="360" w:right="536" w:hanging="360"/>
        <w:rPr>
          <w:b/>
          <w:color w:val="FF0000"/>
          <w:sz w:val="24"/>
          <w:szCs w:val="24"/>
        </w:rPr>
      </w:pPr>
      <w:r w:rsidRPr="00CD619D">
        <w:rPr>
          <w:b/>
          <w:color w:val="FF0000"/>
          <w:sz w:val="24"/>
          <w:szCs w:val="24"/>
        </w:rPr>
        <w:tab/>
      </w:r>
    </w:p>
    <w:p w:rsidRPr="004D2645" w:rsidR="004D2645" w:rsidP="00AA14CF" w:rsidRDefault="004D2645" w14:paraId="4BAD6E16" w14:textId="446F88CB">
      <w:pPr>
        <w:tabs>
          <w:tab w:val="left" w:pos="360"/>
          <w:tab w:val="left" w:pos="1440"/>
          <w:tab w:val="left" w:pos="1530"/>
        </w:tabs>
        <w:rPr>
          <w:sz w:val="24"/>
          <w:szCs w:val="24"/>
          <w:lang w:bidi="ar-SA"/>
        </w:rPr>
      </w:pPr>
      <w:r>
        <w:rPr>
          <w:b/>
          <w:color w:val="FF0000"/>
          <w:sz w:val="24"/>
          <w:szCs w:val="24"/>
        </w:rPr>
        <w:tab/>
      </w:r>
      <w:r w:rsidRPr="004D2645">
        <w:rPr>
          <w:sz w:val="24"/>
          <w:szCs w:val="24"/>
          <w:lang w:bidi="ar-SA"/>
        </w:rPr>
        <w:t>The ASEC questionnaire can be divided into five logical series of questions as follows:</w:t>
      </w:r>
    </w:p>
    <w:p w:rsidRPr="004D2645" w:rsidR="004D2645" w:rsidP="004D2645" w:rsidRDefault="004D2645" w14:paraId="57652918" w14:textId="77777777">
      <w:pPr>
        <w:tabs>
          <w:tab w:val="left" w:pos="480"/>
          <w:tab w:val="left" w:pos="1440"/>
          <w:tab w:val="left" w:pos="1530"/>
        </w:tabs>
        <w:adjustRightInd w:val="0"/>
        <w:ind w:left="1440"/>
        <w:rPr>
          <w:sz w:val="24"/>
          <w:szCs w:val="24"/>
          <w:lang w:bidi="ar-SA"/>
        </w:rPr>
      </w:pPr>
    </w:p>
    <w:p w:rsidRPr="004D2645" w:rsidR="004D2645" w:rsidP="0035712E" w:rsidRDefault="004D2645" w14:paraId="5EE65529" w14:textId="77777777">
      <w:pPr>
        <w:numPr>
          <w:ilvl w:val="0"/>
          <w:numId w:val="6"/>
        </w:numPr>
        <w:tabs>
          <w:tab w:val="left" w:pos="480"/>
          <w:tab w:val="left" w:pos="1440"/>
          <w:tab w:val="left" w:pos="1530"/>
        </w:tabs>
        <w:adjustRightInd w:val="0"/>
        <w:spacing w:line="276" w:lineRule="auto"/>
        <w:contextualSpacing/>
        <w:rPr>
          <w:sz w:val="24"/>
          <w:szCs w:val="24"/>
          <w:lang w:bidi="ar-SA"/>
        </w:rPr>
      </w:pPr>
      <w:r w:rsidRPr="004D2645">
        <w:rPr>
          <w:sz w:val="24"/>
          <w:szCs w:val="24"/>
          <w:u w:val="single"/>
          <w:lang w:bidi="ar-SA"/>
        </w:rPr>
        <w:t>Work Experience (See Attachment A: Items Q29A-Q4788)</w:t>
      </w:r>
      <w:r w:rsidRPr="004D2645">
        <w:rPr>
          <w:sz w:val="24"/>
          <w:szCs w:val="24"/>
          <w:lang w:bidi="ar-SA"/>
        </w:rPr>
        <w:t xml:space="preserve"> </w:t>
      </w:r>
    </w:p>
    <w:p w:rsidRPr="004D2645" w:rsidR="004D2645" w:rsidP="004D2645" w:rsidRDefault="004D2645" w14:paraId="455DDEC2" w14:textId="77777777">
      <w:pPr>
        <w:tabs>
          <w:tab w:val="left" w:pos="480"/>
          <w:tab w:val="left" w:pos="1440"/>
          <w:tab w:val="left" w:pos="1530"/>
        </w:tabs>
        <w:adjustRightInd w:val="0"/>
        <w:ind w:left="1440"/>
        <w:rPr>
          <w:sz w:val="24"/>
          <w:szCs w:val="24"/>
          <w:lang w:bidi="ar-SA"/>
        </w:rPr>
      </w:pPr>
    </w:p>
    <w:p w:rsidRPr="004D2645" w:rsidR="004D2645" w:rsidP="008E1D2C" w:rsidRDefault="004D2645" w14:paraId="1A67A2E8" w14:textId="1187C26E">
      <w:pPr>
        <w:tabs>
          <w:tab w:val="left" w:pos="480"/>
          <w:tab w:val="left" w:pos="1440"/>
          <w:tab w:val="left" w:pos="1530"/>
        </w:tabs>
        <w:adjustRightInd w:val="0"/>
        <w:spacing w:line="276" w:lineRule="auto"/>
        <w:ind w:left="1440"/>
        <w:rPr>
          <w:sz w:val="24"/>
          <w:szCs w:val="24"/>
          <w:lang w:bidi="ar-SA"/>
        </w:rPr>
      </w:pPr>
      <w:r w:rsidRPr="004D2645">
        <w:rPr>
          <w:sz w:val="24"/>
          <w:szCs w:val="24"/>
          <w:lang w:bidi="ar-SA"/>
        </w:rPr>
        <w:t xml:space="preserve">The work experience items provide a unique measure of the dynamic nature of the labor force as viewed over a 1-year period.  These items produce statistics that show movements in and out of the labor force by measuring the number of periods of unemployment experienced by people, the number of different employers worked for during the year, the principal reasons for unemployment, and part-/full-time attachment to the labor force.  We can make indirect measurements of discouraged workers and others with a casual attachment to the labor market. </w:t>
      </w:r>
    </w:p>
    <w:p w:rsidRPr="004D2645" w:rsidR="004D2645" w:rsidP="004D2645" w:rsidRDefault="004D2645" w14:paraId="14E167A4" w14:textId="77777777">
      <w:pPr>
        <w:tabs>
          <w:tab w:val="left" w:pos="480"/>
          <w:tab w:val="left" w:pos="1440"/>
          <w:tab w:val="left" w:pos="1530"/>
        </w:tabs>
        <w:adjustRightInd w:val="0"/>
        <w:spacing w:line="360" w:lineRule="auto"/>
        <w:ind w:left="1440"/>
        <w:rPr>
          <w:sz w:val="24"/>
          <w:szCs w:val="24"/>
          <w:lang w:bidi="ar-SA"/>
        </w:rPr>
      </w:pPr>
    </w:p>
    <w:p w:rsidRPr="004D2645" w:rsidR="004D2645" w:rsidP="0035712E" w:rsidRDefault="004D2645" w14:paraId="2651AB63" w14:textId="77777777">
      <w:pPr>
        <w:numPr>
          <w:ilvl w:val="0"/>
          <w:numId w:val="6"/>
        </w:numPr>
        <w:tabs>
          <w:tab w:val="left" w:pos="1530"/>
        </w:tabs>
        <w:adjustRightInd w:val="0"/>
        <w:spacing w:line="276" w:lineRule="auto"/>
        <w:contextualSpacing/>
        <w:rPr>
          <w:sz w:val="24"/>
          <w:szCs w:val="24"/>
          <w:lang w:bidi="ar-SA"/>
        </w:rPr>
      </w:pPr>
      <w:r w:rsidRPr="004D2645">
        <w:rPr>
          <w:sz w:val="24"/>
          <w:szCs w:val="24"/>
          <w:u w:val="single"/>
          <w:lang w:bidi="ar-SA"/>
        </w:rPr>
        <w:t>Personal Income and Noncash Benefits (See Attachment A: Items Q48AA-Q52Cs1 Q56a-Q73A1Rc, Q74a)</w:t>
      </w:r>
    </w:p>
    <w:p w:rsidRPr="004D2645" w:rsidR="004D2645" w:rsidP="004D2645" w:rsidRDefault="004D2645" w14:paraId="2628C045" w14:textId="77777777">
      <w:pPr>
        <w:tabs>
          <w:tab w:val="left" w:pos="480"/>
          <w:tab w:val="left" w:pos="1440"/>
          <w:tab w:val="left" w:pos="1530"/>
        </w:tabs>
        <w:adjustRightInd w:val="0"/>
        <w:ind w:left="1440"/>
        <w:rPr>
          <w:sz w:val="24"/>
          <w:szCs w:val="24"/>
          <w:lang w:bidi="ar-SA"/>
        </w:rPr>
      </w:pPr>
    </w:p>
    <w:p w:rsidR="004D2645" w:rsidP="000E6F74" w:rsidRDefault="004D2645" w14:paraId="127F6E4A" w14:textId="54B35402">
      <w:pPr>
        <w:tabs>
          <w:tab w:val="left" w:pos="480"/>
          <w:tab w:val="left" w:pos="1440"/>
          <w:tab w:val="left" w:pos="1530"/>
          <w:tab w:val="left" w:pos="1980"/>
        </w:tabs>
        <w:adjustRightInd w:val="0"/>
        <w:spacing w:line="360" w:lineRule="auto"/>
        <w:ind w:left="1440"/>
        <w:rPr>
          <w:b/>
          <w:bCs/>
          <w:sz w:val="24"/>
          <w:szCs w:val="24"/>
          <w:u w:val="single"/>
          <w:lang w:bidi="ar-SA"/>
        </w:rPr>
      </w:pPr>
      <w:r w:rsidRPr="004D2645">
        <w:rPr>
          <w:sz w:val="24"/>
          <w:szCs w:val="24"/>
          <w:lang w:bidi="ar-SA"/>
        </w:rPr>
        <w:t xml:space="preserve">The ASEC supplement collects data on a number of personal income and noncash benefit sources as listed below: </w:t>
      </w:r>
    </w:p>
    <w:p w:rsidR="00AA14CF" w:rsidP="00AA230A" w:rsidRDefault="00AA14CF" w14:paraId="3A90E22C" w14:textId="77777777">
      <w:pPr>
        <w:tabs>
          <w:tab w:val="left" w:pos="480"/>
          <w:tab w:val="left" w:pos="960"/>
          <w:tab w:val="left" w:pos="1440"/>
          <w:tab w:val="left" w:pos="2160"/>
          <w:tab w:val="left" w:pos="2880"/>
          <w:tab w:val="left" w:pos="3600"/>
          <w:tab w:val="left" w:pos="4320"/>
        </w:tabs>
        <w:adjustRightInd w:val="0"/>
        <w:spacing w:line="276" w:lineRule="auto"/>
        <w:ind w:left="2160"/>
        <w:rPr>
          <w:b/>
          <w:bCs/>
          <w:sz w:val="24"/>
          <w:szCs w:val="24"/>
          <w:u w:val="single"/>
          <w:lang w:bidi="ar-SA"/>
        </w:rPr>
      </w:pPr>
    </w:p>
    <w:p w:rsidRPr="004D2645" w:rsidR="004D2645" w:rsidP="00AA230A" w:rsidRDefault="004D2645" w14:paraId="3DB6D14B" w14:textId="0A820F48">
      <w:pPr>
        <w:tabs>
          <w:tab w:val="left" w:pos="480"/>
          <w:tab w:val="left" w:pos="960"/>
          <w:tab w:val="left" w:pos="1440"/>
          <w:tab w:val="left" w:pos="2160"/>
          <w:tab w:val="left" w:pos="2880"/>
          <w:tab w:val="left" w:pos="3600"/>
          <w:tab w:val="left" w:pos="4320"/>
        </w:tabs>
        <w:adjustRightInd w:val="0"/>
        <w:spacing w:line="276" w:lineRule="auto"/>
        <w:ind w:left="2160"/>
        <w:rPr>
          <w:b/>
          <w:bCs/>
          <w:sz w:val="24"/>
          <w:szCs w:val="24"/>
          <w:lang w:bidi="ar-SA"/>
        </w:rPr>
      </w:pPr>
      <w:r w:rsidRPr="004D2645">
        <w:rPr>
          <w:b/>
          <w:bCs/>
          <w:sz w:val="24"/>
          <w:szCs w:val="24"/>
          <w:u w:val="single"/>
          <w:lang w:bidi="ar-SA"/>
        </w:rPr>
        <w:t>Sources of Income</w:t>
      </w:r>
    </w:p>
    <w:p w:rsidRPr="004D2645" w:rsidR="004D2645" w:rsidP="00AA230A" w:rsidRDefault="004D2645" w14:paraId="2987FDDE" w14:textId="77777777">
      <w:pPr>
        <w:tabs>
          <w:tab w:val="left" w:pos="480"/>
          <w:tab w:val="left" w:pos="960"/>
          <w:tab w:val="left" w:pos="1440"/>
          <w:tab w:val="left" w:pos="2160"/>
          <w:tab w:val="left" w:pos="2880"/>
          <w:tab w:val="left" w:pos="3600"/>
          <w:tab w:val="left" w:pos="4320"/>
        </w:tabs>
        <w:adjustRightInd w:val="0"/>
        <w:spacing w:line="276" w:lineRule="auto"/>
        <w:ind w:left="2160"/>
        <w:rPr>
          <w:sz w:val="24"/>
          <w:szCs w:val="24"/>
          <w:lang w:bidi="ar-SA"/>
        </w:rPr>
      </w:pPr>
      <w:r w:rsidRPr="004D2645">
        <w:rPr>
          <w:sz w:val="24"/>
          <w:szCs w:val="24"/>
          <w:lang w:bidi="ar-SA"/>
        </w:rPr>
        <w:t>Earned Income</w:t>
      </w:r>
    </w:p>
    <w:p w:rsidRPr="004D2645" w:rsidR="004D2645" w:rsidP="00AA230A" w:rsidRDefault="004D2645" w14:paraId="6122FC65" w14:textId="77777777">
      <w:pPr>
        <w:tabs>
          <w:tab w:val="left" w:pos="480"/>
          <w:tab w:val="left" w:pos="960"/>
          <w:tab w:val="left" w:pos="1440"/>
          <w:tab w:val="left" w:pos="2160"/>
          <w:tab w:val="left" w:pos="2880"/>
          <w:tab w:val="left" w:pos="3600"/>
          <w:tab w:val="left" w:pos="4320"/>
        </w:tabs>
        <w:adjustRightInd w:val="0"/>
        <w:spacing w:line="276" w:lineRule="auto"/>
        <w:ind w:left="2160"/>
        <w:rPr>
          <w:sz w:val="24"/>
          <w:szCs w:val="24"/>
          <w:lang w:bidi="ar-SA"/>
        </w:rPr>
      </w:pPr>
      <w:r w:rsidRPr="004D2645">
        <w:rPr>
          <w:sz w:val="24"/>
          <w:szCs w:val="24"/>
          <w:lang w:bidi="ar-SA"/>
        </w:rPr>
        <w:t>Unemployment and Workers' Compensation</w:t>
      </w:r>
    </w:p>
    <w:p w:rsidRPr="004D2645" w:rsidR="004D2645" w:rsidP="00AA230A" w:rsidRDefault="004D2645" w14:paraId="1639AB3A" w14:textId="77777777">
      <w:pPr>
        <w:tabs>
          <w:tab w:val="left" w:pos="480"/>
          <w:tab w:val="left" w:pos="960"/>
          <w:tab w:val="left" w:pos="1440"/>
          <w:tab w:val="left" w:pos="2160"/>
          <w:tab w:val="left" w:pos="2880"/>
          <w:tab w:val="left" w:pos="3600"/>
          <w:tab w:val="left" w:pos="4320"/>
        </w:tabs>
        <w:adjustRightInd w:val="0"/>
        <w:spacing w:line="276" w:lineRule="auto"/>
        <w:ind w:left="2160"/>
        <w:rPr>
          <w:sz w:val="24"/>
          <w:szCs w:val="24"/>
          <w:lang w:bidi="ar-SA"/>
        </w:rPr>
      </w:pPr>
      <w:r w:rsidRPr="004D2645">
        <w:rPr>
          <w:sz w:val="24"/>
          <w:szCs w:val="24"/>
          <w:lang w:bidi="ar-SA"/>
        </w:rPr>
        <w:t>Social Security and Supplemental Security Income</w:t>
      </w:r>
    </w:p>
    <w:p w:rsidRPr="004D2645" w:rsidR="004D2645" w:rsidP="00AA230A" w:rsidRDefault="004D2645" w14:paraId="3D6A7F33" w14:textId="77777777">
      <w:pPr>
        <w:tabs>
          <w:tab w:val="left" w:pos="480"/>
          <w:tab w:val="left" w:pos="960"/>
          <w:tab w:val="left" w:pos="1440"/>
          <w:tab w:val="left" w:pos="2160"/>
          <w:tab w:val="left" w:pos="2880"/>
          <w:tab w:val="left" w:pos="3600"/>
          <w:tab w:val="left" w:pos="4320"/>
        </w:tabs>
        <w:adjustRightInd w:val="0"/>
        <w:spacing w:line="276" w:lineRule="auto"/>
        <w:ind w:left="2160"/>
        <w:rPr>
          <w:sz w:val="24"/>
          <w:szCs w:val="24"/>
          <w:lang w:bidi="ar-SA"/>
        </w:rPr>
      </w:pPr>
      <w:r w:rsidRPr="004D2645">
        <w:rPr>
          <w:sz w:val="24"/>
          <w:szCs w:val="24"/>
          <w:lang w:bidi="ar-SA"/>
        </w:rPr>
        <w:t>Public Assistance and Veterans Payments</w:t>
      </w:r>
    </w:p>
    <w:p w:rsidRPr="004D2645" w:rsidR="004D2645" w:rsidP="00AA230A" w:rsidRDefault="004D2645" w14:paraId="399EAB08" w14:textId="77777777">
      <w:pPr>
        <w:tabs>
          <w:tab w:val="left" w:pos="480"/>
          <w:tab w:val="left" w:pos="960"/>
          <w:tab w:val="left" w:pos="1440"/>
          <w:tab w:val="left" w:pos="2160"/>
          <w:tab w:val="left" w:pos="2880"/>
          <w:tab w:val="left" w:pos="3600"/>
          <w:tab w:val="left" w:pos="4320"/>
        </w:tabs>
        <w:adjustRightInd w:val="0"/>
        <w:spacing w:line="276" w:lineRule="auto"/>
        <w:ind w:left="2160"/>
        <w:rPr>
          <w:sz w:val="24"/>
          <w:szCs w:val="24"/>
          <w:lang w:bidi="ar-SA"/>
        </w:rPr>
      </w:pPr>
      <w:r w:rsidRPr="004D2645">
        <w:rPr>
          <w:sz w:val="24"/>
          <w:szCs w:val="24"/>
          <w:lang w:bidi="ar-SA"/>
        </w:rPr>
        <w:t>Survivor Benefits and Disability Income</w:t>
      </w:r>
    </w:p>
    <w:p w:rsidRPr="004D2645" w:rsidR="004D2645" w:rsidP="00AA230A" w:rsidRDefault="004D2645" w14:paraId="17143424" w14:textId="77777777">
      <w:pPr>
        <w:tabs>
          <w:tab w:val="left" w:pos="480"/>
          <w:tab w:val="left" w:pos="960"/>
          <w:tab w:val="left" w:pos="1440"/>
          <w:tab w:val="left" w:pos="2160"/>
          <w:tab w:val="left" w:pos="2880"/>
          <w:tab w:val="left" w:pos="3600"/>
          <w:tab w:val="left" w:pos="4320"/>
        </w:tabs>
        <w:adjustRightInd w:val="0"/>
        <w:spacing w:line="276" w:lineRule="auto"/>
        <w:ind w:left="2160"/>
        <w:rPr>
          <w:sz w:val="24"/>
          <w:szCs w:val="24"/>
          <w:lang w:bidi="ar-SA"/>
        </w:rPr>
      </w:pPr>
      <w:r w:rsidRPr="004D2645">
        <w:rPr>
          <w:sz w:val="24"/>
          <w:szCs w:val="24"/>
          <w:lang w:bidi="ar-SA"/>
        </w:rPr>
        <w:t xml:space="preserve">Pensions, Annuities, and Retirement </w:t>
      </w:r>
    </w:p>
    <w:p w:rsidRPr="004D2645" w:rsidR="004D2645" w:rsidP="00AA230A" w:rsidRDefault="004D2645" w14:paraId="7D210192" w14:textId="77777777">
      <w:pPr>
        <w:tabs>
          <w:tab w:val="left" w:pos="480"/>
          <w:tab w:val="left" w:pos="960"/>
          <w:tab w:val="left" w:pos="1440"/>
          <w:tab w:val="left" w:pos="2160"/>
          <w:tab w:val="left" w:pos="2880"/>
          <w:tab w:val="left" w:pos="3600"/>
          <w:tab w:val="left" w:pos="4320"/>
        </w:tabs>
        <w:adjustRightInd w:val="0"/>
        <w:spacing w:line="276" w:lineRule="auto"/>
        <w:ind w:left="2160"/>
        <w:rPr>
          <w:sz w:val="24"/>
          <w:szCs w:val="24"/>
          <w:lang w:bidi="ar-SA"/>
        </w:rPr>
      </w:pPr>
      <w:r w:rsidRPr="004D2645">
        <w:rPr>
          <w:sz w:val="24"/>
          <w:szCs w:val="24"/>
          <w:lang w:bidi="ar-SA"/>
        </w:rPr>
        <w:t>Income-Earning Accounts outside of Retirement and Property Income</w:t>
      </w:r>
    </w:p>
    <w:p w:rsidRPr="004D2645" w:rsidR="004D2645" w:rsidP="00AA230A" w:rsidRDefault="004D2645" w14:paraId="76463C97" w14:textId="77777777">
      <w:pPr>
        <w:tabs>
          <w:tab w:val="left" w:pos="480"/>
          <w:tab w:val="left" w:pos="960"/>
          <w:tab w:val="left" w:pos="1440"/>
          <w:tab w:val="left" w:pos="2160"/>
          <w:tab w:val="left" w:pos="2880"/>
          <w:tab w:val="left" w:pos="3600"/>
          <w:tab w:val="left" w:pos="4320"/>
        </w:tabs>
        <w:adjustRightInd w:val="0"/>
        <w:spacing w:line="276" w:lineRule="auto"/>
        <w:ind w:left="2160"/>
        <w:rPr>
          <w:sz w:val="24"/>
          <w:szCs w:val="24"/>
          <w:lang w:bidi="ar-SA"/>
        </w:rPr>
      </w:pPr>
      <w:r w:rsidRPr="004D2645">
        <w:rPr>
          <w:sz w:val="24"/>
          <w:szCs w:val="24"/>
          <w:lang w:bidi="ar-SA"/>
        </w:rPr>
        <w:t>Education Assistance</w:t>
      </w:r>
    </w:p>
    <w:p w:rsidRPr="004D2645" w:rsidR="004D2645" w:rsidP="00AA230A" w:rsidRDefault="004D2645" w14:paraId="7F8F651D" w14:textId="77777777">
      <w:pPr>
        <w:tabs>
          <w:tab w:val="left" w:pos="480"/>
          <w:tab w:val="left" w:pos="960"/>
          <w:tab w:val="left" w:pos="1440"/>
          <w:tab w:val="left" w:pos="2160"/>
          <w:tab w:val="left" w:pos="2880"/>
          <w:tab w:val="left" w:pos="3600"/>
          <w:tab w:val="left" w:pos="4320"/>
        </w:tabs>
        <w:adjustRightInd w:val="0"/>
        <w:spacing w:line="276" w:lineRule="auto"/>
        <w:ind w:left="2160"/>
        <w:rPr>
          <w:sz w:val="24"/>
          <w:szCs w:val="24"/>
          <w:lang w:bidi="ar-SA"/>
        </w:rPr>
      </w:pPr>
      <w:r w:rsidRPr="004D2645">
        <w:rPr>
          <w:sz w:val="24"/>
          <w:szCs w:val="24"/>
          <w:lang w:bidi="ar-SA"/>
        </w:rPr>
        <w:t xml:space="preserve">Child Support </w:t>
      </w:r>
    </w:p>
    <w:p w:rsidRPr="004D2645" w:rsidR="004D2645" w:rsidP="00AA230A" w:rsidRDefault="004D2645" w14:paraId="3B26F7E8" w14:textId="77777777">
      <w:pPr>
        <w:tabs>
          <w:tab w:val="left" w:pos="480"/>
          <w:tab w:val="left" w:pos="960"/>
          <w:tab w:val="left" w:pos="1440"/>
          <w:tab w:val="left" w:pos="2160"/>
          <w:tab w:val="left" w:pos="2880"/>
          <w:tab w:val="left" w:pos="3600"/>
          <w:tab w:val="left" w:pos="4320"/>
        </w:tabs>
        <w:adjustRightInd w:val="0"/>
        <w:spacing w:line="276" w:lineRule="auto"/>
        <w:ind w:left="2160"/>
        <w:rPr>
          <w:sz w:val="24"/>
          <w:szCs w:val="24"/>
          <w:lang w:bidi="ar-SA"/>
        </w:rPr>
      </w:pPr>
      <w:r w:rsidRPr="004D2645">
        <w:rPr>
          <w:sz w:val="24"/>
          <w:szCs w:val="24"/>
          <w:lang w:bidi="ar-SA"/>
        </w:rPr>
        <w:t>Regular Financial Assistance and Other Income</w:t>
      </w:r>
    </w:p>
    <w:p w:rsidRPr="004D2645" w:rsidR="004D2645" w:rsidP="004D2645" w:rsidRDefault="004D2645" w14:paraId="6101482F" w14:textId="77777777">
      <w:pPr>
        <w:tabs>
          <w:tab w:val="left" w:pos="480"/>
          <w:tab w:val="left" w:pos="960"/>
          <w:tab w:val="left" w:pos="1440"/>
          <w:tab w:val="left" w:pos="2160"/>
          <w:tab w:val="left" w:pos="2880"/>
          <w:tab w:val="left" w:pos="3600"/>
          <w:tab w:val="left" w:pos="4320"/>
        </w:tabs>
        <w:adjustRightInd w:val="0"/>
        <w:rPr>
          <w:sz w:val="24"/>
          <w:szCs w:val="24"/>
          <w:lang w:bidi="ar-SA"/>
        </w:rPr>
      </w:pPr>
    </w:p>
    <w:p w:rsidRPr="004D2645" w:rsidR="004D2645" w:rsidP="00AA230A" w:rsidRDefault="004D2645" w14:paraId="3DA6EDED" w14:textId="76B43372">
      <w:pPr>
        <w:tabs>
          <w:tab w:val="left" w:pos="480"/>
          <w:tab w:val="left" w:pos="960"/>
          <w:tab w:val="left" w:pos="1440"/>
          <w:tab w:val="left" w:pos="1980"/>
        </w:tabs>
        <w:adjustRightInd w:val="0"/>
        <w:spacing w:line="276" w:lineRule="auto"/>
        <w:ind w:left="1440"/>
        <w:rPr>
          <w:sz w:val="24"/>
          <w:szCs w:val="24"/>
          <w:lang w:bidi="ar-SA"/>
        </w:rPr>
      </w:pPr>
      <w:r w:rsidRPr="004D2645">
        <w:rPr>
          <w:sz w:val="24"/>
          <w:szCs w:val="24"/>
          <w:lang w:bidi="ar-SA"/>
        </w:rPr>
        <w:t>Data from the ASEC are used for statistical purposes only</w:t>
      </w:r>
      <w:r w:rsidR="000E6F74">
        <w:rPr>
          <w:sz w:val="24"/>
          <w:szCs w:val="24"/>
          <w:lang w:bidi="ar-SA"/>
        </w:rPr>
        <w:t xml:space="preserve"> </w:t>
      </w:r>
      <w:r w:rsidRPr="004D2645">
        <w:rPr>
          <w:sz w:val="24"/>
          <w:szCs w:val="24"/>
          <w:lang w:bidi="ar-SA"/>
        </w:rPr>
        <w:t>and cannot be used to reveal a person’s identity or responses to the survey.  Analysis of the data is performed in a variety of ways by various users.  The income data from the ASEC are used by social planners, economists, government officials, and market researchers to gauge the economic well-being of the country as a whole and of selected population groups of interest.  Government planners and researchers use these data to monitor and evaluate the effectiveness of various assistance programs.  Market researchers use these data to identify and isolate potential customers.  Social planners use these data to forecast economic conditions and to identify special groups that seem to be especially sensitive to economic fluctuations.  Economists use ASEC data to determine the effects of various economic forces, such as inflation, recession, recovery, and so on, and their differential effects on various population groups.  A prime statistic of interest is the classification of people in poverty and how this measurement has changed over time for various groups.  Researchers evaluate ASEC income data not only to determine poverty levels but also to determine whether government programs are reaching eligible households.</w:t>
      </w:r>
    </w:p>
    <w:p w:rsidRPr="004D2645" w:rsidR="004D2645" w:rsidP="004D2645" w:rsidRDefault="004D2645" w14:paraId="48026361" w14:textId="77777777">
      <w:pPr>
        <w:tabs>
          <w:tab w:val="left" w:pos="480"/>
          <w:tab w:val="left" w:pos="960"/>
          <w:tab w:val="left" w:pos="1440"/>
          <w:tab w:val="left" w:pos="2160"/>
          <w:tab w:val="left" w:pos="2880"/>
          <w:tab w:val="left" w:pos="3600"/>
          <w:tab w:val="left" w:pos="4320"/>
        </w:tabs>
        <w:adjustRightInd w:val="0"/>
        <w:spacing w:line="360" w:lineRule="auto"/>
        <w:ind w:left="1440"/>
        <w:rPr>
          <w:sz w:val="24"/>
          <w:szCs w:val="24"/>
          <w:lang w:bidi="ar-SA"/>
        </w:rPr>
      </w:pPr>
    </w:p>
    <w:p w:rsidRPr="004D2645" w:rsidR="004D2645" w:rsidP="00AA230A" w:rsidRDefault="004D2645" w14:paraId="1EAB689E" w14:textId="5EF7C7B9">
      <w:pPr>
        <w:tabs>
          <w:tab w:val="left" w:pos="480"/>
          <w:tab w:val="left" w:pos="960"/>
          <w:tab w:val="left" w:pos="1440"/>
          <w:tab w:val="left" w:pos="2160"/>
          <w:tab w:val="left" w:pos="2880"/>
          <w:tab w:val="left" w:pos="3600"/>
          <w:tab w:val="left" w:pos="4320"/>
        </w:tabs>
        <w:adjustRightInd w:val="0"/>
        <w:spacing w:line="276" w:lineRule="auto"/>
        <w:ind w:left="1440"/>
        <w:rPr>
          <w:sz w:val="24"/>
          <w:szCs w:val="24"/>
          <w:lang w:bidi="ar-SA"/>
        </w:rPr>
      </w:pPr>
      <w:r w:rsidRPr="004D2645">
        <w:rPr>
          <w:sz w:val="24"/>
          <w:szCs w:val="24"/>
          <w:lang w:bidi="ar-SA"/>
        </w:rPr>
        <w:t>The</w:t>
      </w:r>
      <w:r w:rsidRPr="004D2645">
        <w:rPr>
          <w:bCs/>
          <w:sz w:val="24"/>
          <w:szCs w:val="24"/>
          <w:lang w:bidi="ar-SA"/>
        </w:rPr>
        <w:t xml:space="preserve"> health insurance items</w:t>
      </w:r>
      <w:r w:rsidRPr="004D2645">
        <w:rPr>
          <w:sz w:val="24"/>
          <w:szCs w:val="24"/>
          <w:lang w:bidi="ar-SA"/>
        </w:rPr>
        <w:t xml:space="preserve"> (pages 104-117 in Attachment A) collect data on five possible categories of health insurance coverage, as listed below: </w:t>
      </w:r>
    </w:p>
    <w:p w:rsidRPr="004D2645" w:rsidR="004D2645" w:rsidP="004D2645" w:rsidRDefault="004D2645" w14:paraId="30D929D9" w14:textId="77777777">
      <w:pPr>
        <w:tabs>
          <w:tab w:val="left" w:pos="480"/>
          <w:tab w:val="left" w:pos="960"/>
          <w:tab w:val="left" w:pos="1440"/>
          <w:tab w:val="left" w:pos="2160"/>
          <w:tab w:val="left" w:pos="2880"/>
          <w:tab w:val="left" w:pos="3600"/>
          <w:tab w:val="left" w:pos="4320"/>
        </w:tabs>
        <w:adjustRightInd w:val="0"/>
        <w:spacing w:line="360" w:lineRule="auto"/>
        <w:ind w:left="1440"/>
        <w:rPr>
          <w:sz w:val="24"/>
          <w:szCs w:val="24"/>
          <w:lang w:bidi="ar-SA"/>
        </w:rPr>
      </w:pPr>
    </w:p>
    <w:p w:rsidRPr="004D2645" w:rsidR="004D2645" w:rsidP="00AA230A" w:rsidRDefault="004D2645" w14:paraId="1627495E" w14:textId="77777777">
      <w:pPr>
        <w:numPr>
          <w:ilvl w:val="2"/>
          <w:numId w:val="5"/>
        </w:numPr>
        <w:tabs>
          <w:tab w:val="left" w:pos="480"/>
          <w:tab w:val="left" w:pos="960"/>
          <w:tab w:val="left" w:pos="1440"/>
          <w:tab w:val="left" w:pos="2340"/>
          <w:tab w:val="left" w:pos="5760"/>
          <w:tab w:val="left" w:pos="7200"/>
        </w:tabs>
        <w:adjustRightInd w:val="0"/>
        <w:spacing w:line="276" w:lineRule="auto"/>
        <w:contextualSpacing/>
        <w:rPr>
          <w:sz w:val="24"/>
          <w:szCs w:val="24"/>
          <w:lang w:bidi="ar-SA"/>
        </w:rPr>
      </w:pPr>
      <w:r w:rsidRPr="004D2645">
        <w:rPr>
          <w:sz w:val="24"/>
          <w:szCs w:val="24"/>
          <w:lang w:bidi="ar-SA"/>
        </w:rPr>
        <w:t xml:space="preserve">Coverage provided through a current or former employer. </w:t>
      </w:r>
    </w:p>
    <w:p w:rsidRPr="004D2645" w:rsidR="004D2645" w:rsidP="00AA230A" w:rsidRDefault="004D2645" w14:paraId="7C366553" w14:textId="77777777">
      <w:pPr>
        <w:numPr>
          <w:ilvl w:val="2"/>
          <w:numId w:val="5"/>
        </w:numPr>
        <w:tabs>
          <w:tab w:val="left" w:pos="480"/>
          <w:tab w:val="left" w:pos="960"/>
          <w:tab w:val="left" w:pos="1440"/>
          <w:tab w:val="left" w:pos="2340"/>
          <w:tab w:val="left" w:pos="5760"/>
          <w:tab w:val="left" w:pos="7200"/>
        </w:tabs>
        <w:adjustRightInd w:val="0"/>
        <w:spacing w:line="276" w:lineRule="auto"/>
        <w:contextualSpacing/>
        <w:rPr>
          <w:sz w:val="24"/>
          <w:szCs w:val="24"/>
          <w:lang w:bidi="ar-SA"/>
        </w:rPr>
      </w:pPr>
      <w:r w:rsidRPr="004D2645">
        <w:rPr>
          <w:sz w:val="24"/>
          <w:szCs w:val="24"/>
          <w:lang w:bidi="ar-SA"/>
        </w:rPr>
        <w:t>Coverage through a private health insurance plan purchased directly.</w:t>
      </w:r>
    </w:p>
    <w:p w:rsidRPr="004D2645" w:rsidR="004D2645" w:rsidP="00AA230A" w:rsidRDefault="004D2645" w14:paraId="4DDA1A9C" w14:textId="77777777">
      <w:pPr>
        <w:numPr>
          <w:ilvl w:val="2"/>
          <w:numId w:val="5"/>
        </w:numPr>
        <w:tabs>
          <w:tab w:val="left" w:pos="480"/>
          <w:tab w:val="left" w:pos="960"/>
          <w:tab w:val="left" w:pos="1440"/>
          <w:tab w:val="left" w:pos="2340"/>
          <w:tab w:val="left" w:pos="5760"/>
          <w:tab w:val="left" w:pos="7200"/>
        </w:tabs>
        <w:adjustRightInd w:val="0"/>
        <w:spacing w:line="276" w:lineRule="auto"/>
        <w:ind w:left="2340" w:hanging="360"/>
        <w:contextualSpacing/>
        <w:rPr>
          <w:sz w:val="24"/>
          <w:szCs w:val="24"/>
          <w:lang w:bidi="ar-SA"/>
        </w:rPr>
      </w:pPr>
      <w:r w:rsidRPr="004D2645">
        <w:rPr>
          <w:sz w:val="24"/>
          <w:szCs w:val="24"/>
          <w:lang w:bidi="ar-SA"/>
        </w:rPr>
        <w:t xml:space="preserve">Coverage on any health insurance plan, including that of a </w:t>
      </w:r>
      <w:proofErr w:type="spellStart"/>
      <w:r w:rsidRPr="004D2645">
        <w:rPr>
          <w:sz w:val="24"/>
          <w:szCs w:val="24"/>
          <w:lang w:bidi="ar-SA"/>
        </w:rPr>
        <w:t>nonhousehold</w:t>
      </w:r>
      <w:proofErr w:type="spellEnd"/>
      <w:r w:rsidRPr="004D2645">
        <w:rPr>
          <w:sz w:val="24"/>
          <w:szCs w:val="24"/>
          <w:lang w:bidi="ar-SA"/>
        </w:rPr>
        <w:t xml:space="preserve"> member.</w:t>
      </w:r>
    </w:p>
    <w:p w:rsidRPr="004D2645" w:rsidR="004D2645" w:rsidP="00AA230A" w:rsidRDefault="004D2645" w14:paraId="433BBD72" w14:textId="77777777">
      <w:pPr>
        <w:numPr>
          <w:ilvl w:val="2"/>
          <w:numId w:val="5"/>
        </w:numPr>
        <w:tabs>
          <w:tab w:val="left" w:pos="480"/>
          <w:tab w:val="left" w:pos="960"/>
          <w:tab w:val="left" w:pos="1440"/>
          <w:tab w:val="left" w:pos="2340"/>
          <w:tab w:val="left" w:pos="5760"/>
          <w:tab w:val="left" w:pos="7200"/>
        </w:tabs>
        <w:adjustRightInd w:val="0"/>
        <w:spacing w:line="276" w:lineRule="auto"/>
        <w:ind w:left="2340" w:hanging="360"/>
        <w:contextualSpacing/>
        <w:rPr>
          <w:sz w:val="24"/>
          <w:szCs w:val="24"/>
          <w:lang w:bidi="ar-SA"/>
        </w:rPr>
      </w:pPr>
      <w:r w:rsidRPr="004D2645">
        <w:rPr>
          <w:sz w:val="24"/>
          <w:szCs w:val="24"/>
          <w:lang w:bidi="ar-SA"/>
        </w:rPr>
        <w:t xml:space="preserve">Government-sponsored coverage, including </w:t>
      </w:r>
      <w:proofErr w:type="spellStart"/>
      <w:r w:rsidRPr="004D2645">
        <w:rPr>
          <w:sz w:val="24"/>
          <w:szCs w:val="24"/>
          <w:lang w:bidi="ar-SA"/>
        </w:rPr>
        <w:t>medicare</w:t>
      </w:r>
      <w:proofErr w:type="spellEnd"/>
      <w:r w:rsidRPr="004D2645">
        <w:rPr>
          <w:sz w:val="24"/>
          <w:szCs w:val="24"/>
          <w:lang w:bidi="ar-SA"/>
        </w:rPr>
        <w:t xml:space="preserve">, </w:t>
      </w:r>
      <w:proofErr w:type="spellStart"/>
      <w:r w:rsidRPr="004D2645">
        <w:rPr>
          <w:sz w:val="24"/>
          <w:szCs w:val="24"/>
          <w:lang w:bidi="ar-SA"/>
        </w:rPr>
        <w:t>medicaid</w:t>
      </w:r>
      <w:proofErr w:type="spellEnd"/>
      <w:r w:rsidRPr="004D2645">
        <w:rPr>
          <w:sz w:val="24"/>
          <w:szCs w:val="24"/>
          <w:lang w:bidi="ar-SA"/>
        </w:rPr>
        <w:t>, and State Children’s Health Insurance Program (SCHIP).</w:t>
      </w:r>
    </w:p>
    <w:p w:rsidRPr="004D2645" w:rsidR="004D2645" w:rsidP="00AA230A" w:rsidRDefault="004D2645" w14:paraId="65DF9208" w14:textId="77777777">
      <w:pPr>
        <w:numPr>
          <w:ilvl w:val="2"/>
          <w:numId w:val="5"/>
        </w:numPr>
        <w:tabs>
          <w:tab w:val="left" w:pos="480"/>
          <w:tab w:val="left" w:pos="960"/>
          <w:tab w:val="left" w:pos="1440"/>
          <w:tab w:val="left" w:pos="2340"/>
          <w:tab w:val="left" w:pos="5760"/>
          <w:tab w:val="left" w:pos="7200"/>
        </w:tabs>
        <w:adjustRightInd w:val="0"/>
        <w:spacing w:line="276" w:lineRule="auto"/>
        <w:contextualSpacing/>
        <w:rPr>
          <w:sz w:val="24"/>
          <w:szCs w:val="24"/>
          <w:lang w:bidi="ar-SA"/>
        </w:rPr>
      </w:pPr>
      <w:r w:rsidRPr="004D2645">
        <w:rPr>
          <w:sz w:val="24"/>
          <w:szCs w:val="24"/>
          <w:lang w:bidi="ar-SA"/>
        </w:rPr>
        <w:t>State-specific coverage for low-income uninsured individuals.</w:t>
      </w:r>
    </w:p>
    <w:p w:rsidRPr="004D2645" w:rsidR="004D2645" w:rsidP="004D2645" w:rsidRDefault="004D2645" w14:paraId="4CF23205" w14:textId="77777777">
      <w:pPr>
        <w:tabs>
          <w:tab w:val="left" w:pos="480"/>
          <w:tab w:val="left" w:pos="960"/>
          <w:tab w:val="left" w:pos="1440"/>
          <w:tab w:val="left" w:pos="2160"/>
          <w:tab w:val="left" w:pos="2880"/>
          <w:tab w:val="left" w:pos="3600"/>
          <w:tab w:val="left" w:pos="4320"/>
        </w:tabs>
        <w:adjustRightInd w:val="0"/>
        <w:ind w:left="1440"/>
        <w:rPr>
          <w:sz w:val="24"/>
          <w:szCs w:val="24"/>
          <w:lang w:bidi="ar-SA"/>
        </w:rPr>
      </w:pPr>
    </w:p>
    <w:p w:rsidRPr="003C2CE1" w:rsidR="004D2645" w:rsidP="00AA230A" w:rsidRDefault="004D2645" w14:paraId="0275BFFD" w14:textId="1ECC9C3A">
      <w:pPr>
        <w:pStyle w:val="ListParagraph"/>
        <w:numPr>
          <w:ilvl w:val="0"/>
          <w:numId w:val="6"/>
        </w:numPr>
        <w:tabs>
          <w:tab w:val="left" w:pos="1800"/>
        </w:tabs>
        <w:adjustRightInd w:val="0"/>
        <w:spacing w:line="276" w:lineRule="auto"/>
        <w:rPr>
          <w:sz w:val="24"/>
          <w:szCs w:val="24"/>
          <w:u w:val="single"/>
          <w:lang w:bidi="ar-SA"/>
        </w:rPr>
      </w:pPr>
      <w:r w:rsidRPr="003C2CE1">
        <w:rPr>
          <w:sz w:val="24"/>
          <w:szCs w:val="24"/>
          <w:u w:val="single"/>
          <w:lang w:bidi="ar-SA"/>
        </w:rPr>
        <w:t>Household Noncash Benefits (See Attachment A: Items Q80-Q94)</w:t>
      </w:r>
    </w:p>
    <w:p w:rsidRPr="003C2CE1" w:rsidR="003C2CE1" w:rsidP="00AA230A" w:rsidRDefault="003C2CE1" w14:paraId="6385CB14" w14:textId="77777777">
      <w:pPr>
        <w:pStyle w:val="ListParagraph"/>
        <w:tabs>
          <w:tab w:val="left" w:pos="1800"/>
        </w:tabs>
        <w:adjustRightInd w:val="0"/>
        <w:spacing w:line="276" w:lineRule="auto"/>
        <w:ind w:left="1800" w:firstLine="0"/>
        <w:rPr>
          <w:sz w:val="24"/>
          <w:szCs w:val="24"/>
          <w:lang w:bidi="ar-SA"/>
        </w:rPr>
      </w:pPr>
    </w:p>
    <w:p w:rsidR="000E6F74" w:rsidP="00AA230A" w:rsidRDefault="004D2645" w14:paraId="2628968F" w14:textId="1D8A2631">
      <w:pPr>
        <w:tabs>
          <w:tab w:val="left" w:pos="480"/>
          <w:tab w:val="left" w:pos="960"/>
          <w:tab w:val="left" w:pos="1440"/>
          <w:tab w:val="left" w:pos="4320"/>
          <w:tab w:val="left" w:pos="5760"/>
          <w:tab w:val="left" w:pos="7200"/>
        </w:tabs>
        <w:adjustRightInd w:val="0"/>
        <w:spacing w:line="276" w:lineRule="auto"/>
        <w:ind w:left="1440"/>
        <w:rPr>
          <w:sz w:val="24"/>
          <w:szCs w:val="24"/>
          <w:lang w:bidi="ar-SA"/>
        </w:rPr>
      </w:pPr>
      <w:r w:rsidRPr="004D2645">
        <w:rPr>
          <w:sz w:val="24"/>
          <w:szCs w:val="24"/>
          <w:lang w:bidi="ar-SA"/>
        </w:rPr>
        <w:t xml:space="preserve">These items collect data on participation in the school lunch, public housing, </w:t>
      </w:r>
      <w:r w:rsidR="003C2CE1">
        <w:rPr>
          <w:sz w:val="24"/>
          <w:szCs w:val="24"/>
          <w:lang w:bidi="ar-SA"/>
        </w:rPr>
        <w:t>S</w:t>
      </w:r>
      <w:r w:rsidRPr="004D2645">
        <w:rPr>
          <w:sz w:val="24"/>
          <w:szCs w:val="24"/>
          <w:lang w:bidi="ar-SA"/>
        </w:rPr>
        <w:t xml:space="preserve">upplemental </w:t>
      </w:r>
      <w:r w:rsidR="003C2CE1">
        <w:rPr>
          <w:sz w:val="24"/>
          <w:szCs w:val="24"/>
          <w:lang w:bidi="ar-SA"/>
        </w:rPr>
        <w:t>N</w:t>
      </w:r>
      <w:r w:rsidRPr="004D2645">
        <w:rPr>
          <w:sz w:val="24"/>
          <w:szCs w:val="24"/>
          <w:lang w:bidi="ar-SA"/>
        </w:rPr>
        <w:t xml:space="preserve">utrition </w:t>
      </w:r>
      <w:r w:rsidR="003C2CE1">
        <w:rPr>
          <w:sz w:val="24"/>
          <w:szCs w:val="24"/>
          <w:lang w:bidi="ar-SA"/>
        </w:rPr>
        <w:t>A</w:t>
      </w:r>
      <w:r w:rsidRPr="004D2645">
        <w:rPr>
          <w:sz w:val="24"/>
          <w:szCs w:val="24"/>
          <w:lang w:bidi="ar-SA"/>
        </w:rPr>
        <w:t xml:space="preserve">ssistance </w:t>
      </w:r>
      <w:r w:rsidR="003C2CE1">
        <w:rPr>
          <w:sz w:val="24"/>
          <w:szCs w:val="24"/>
          <w:lang w:bidi="ar-SA"/>
        </w:rPr>
        <w:t>P</w:t>
      </w:r>
      <w:r w:rsidRPr="004D2645">
        <w:rPr>
          <w:sz w:val="24"/>
          <w:szCs w:val="24"/>
          <w:lang w:bidi="ar-SA"/>
        </w:rPr>
        <w:t xml:space="preserve">rogram (SNAP), and fuel assistance programs. </w:t>
      </w:r>
    </w:p>
    <w:p w:rsidRPr="004D2645" w:rsidR="004D2645" w:rsidP="00AA230A" w:rsidRDefault="004D2645" w14:paraId="4BDDC1F1" w14:textId="344DC26D">
      <w:pPr>
        <w:tabs>
          <w:tab w:val="left" w:pos="480"/>
          <w:tab w:val="left" w:pos="960"/>
          <w:tab w:val="left" w:pos="1440"/>
          <w:tab w:val="left" w:pos="4320"/>
          <w:tab w:val="left" w:pos="5760"/>
          <w:tab w:val="left" w:pos="7200"/>
        </w:tabs>
        <w:adjustRightInd w:val="0"/>
        <w:spacing w:line="276" w:lineRule="auto"/>
        <w:ind w:left="1440"/>
        <w:rPr>
          <w:sz w:val="24"/>
          <w:szCs w:val="24"/>
          <w:lang w:bidi="ar-SA"/>
        </w:rPr>
      </w:pPr>
      <w:r w:rsidRPr="004D2645">
        <w:rPr>
          <w:sz w:val="24"/>
          <w:szCs w:val="24"/>
          <w:lang w:bidi="ar-SA"/>
        </w:rPr>
        <w:t xml:space="preserve">The questions (Q80 and Q83) concerning school lunches identify households with children who participated in the Federal School Lunch Program during the previous year.  These data allow for more effective analyses of the program and, along with the SNAP benefits data, show where the client groups of the two food nutrition programs overlap. </w:t>
      </w:r>
    </w:p>
    <w:p w:rsidRPr="004D2645" w:rsidR="004D2645" w:rsidP="00AA230A" w:rsidRDefault="004D2645" w14:paraId="15660F73" w14:textId="041202AD">
      <w:pPr>
        <w:tabs>
          <w:tab w:val="left" w:pos="480"/>
        </w:tabs>
        <w:adjustRightInd w:val="0"/>
        <w:spacing w:line="276" w:lineRule="auto"/>
        <w:ind w:left="1440"/>
        <w:rPr>
          <w:sz w:val="24"/>
          <w:szCs w:val="24"/>
          <w:lang w:bidi="ar-SA"/>
        </w:rPr>
      </w:pPr>
      <w:r w:rsidRPr="004D2645">
        <w:rPr>
          <w:sz w:val="24"/>
          <w:szCs w:val="24"/>
          <w:lang w:bidi="ar-SA"/>
        </w:rPr>
        <w:t xml:space="preserve">The questions (Q85 and Q86) on public housing identify households that are owned by a housing authority or other public agency and households where a government agency is paying for part of the rent.  These data allow for more effective analysis of public housing programs and measure the extent of participation among eligible families.  </w:t>
      </w:r>
      <w:r w:rsidR="000E6F74">
        <w:rPr>
          <w:sz w:val="24"/>
          <w:szCs w:val="24"/>
          <w:lang w:bidi="ar-SA"/>
        </w:rPr>
        <w:t xml:space="preserve">Item </w:t>
      </w:r>
      <w:r w:rsidRPr="004D2645">
        <w:rPr>
          <w:sz w:val="24"/>
          <w:szCs w:val="24"/>
          <w:lang w:bidi="ar-SA"/>
        </w:rPr>
        <w:t xml:space="preserve">SPHS8 determines the specific source of housing assistance.  </w:t>
      </w:r>
    </w:p>
    <w:p w:rsidRPr="004D2645" w:rsidR="004D2645" w:rsidP="00AA230A" w:rsidRDefault="004D2645" w14:paraId="076B5A8A" w14:textId="77777777">
      <w:pPr>
        <w:tabs>
          <w:tab w:val="left" w:pos="480"/>
          <w:tab w:val="left" w:pos="960"/>
          <w:tab w:val="left" w:pos="1440"/>
          <w:tab w:val="left" w:pos="4320"/>
          <w:tab w:val="left" w:pos="5760"/>
          <w:tab w:val="left" w:pos="7200"/>
        </w:tabs>
        <w:adjustRightInd w:val="0"/>
        <w:spacing w:line="276" w:lineRule="auto"/>
        <w:ind w:left="1440"/>
        <w:rPr>
          <w:sz w:val="24"/>
          <w:szCs w:val="24"/>
          <w:lang w:bidi="ar-SA"/>
        </w:rPr>
      </w:pPr>
      <w:r w:rsidRPr="004D2645">
        <w:rPr>
          <w:sz w:val="24"/>
          <w:szCs w:val="24"/>
          <w:lang w:bidi="ar-SA"/>
        </w:rPr>
        <w:lastRenderedPageBreak/>
        <w:t xml:space="preserve">The questions (Q87r through Q88) on the SNAP benefits identify which household members received SNAP benefits during the previous year.  These data, along with the detailed supplemental income data, allow for a more comprehensive evaluation of the SNAP benefits program and measure the extent of participation among eligible families.  </w:t>
      </w:r>
    </w:p>
    <w:p w:rsidRPr="004D2645" w:rsidR="004D2645" w:rsidP="00AA230A" w:rsidRDefault="004D2645" w14:paraId="3C7D169B" w14:textId="77777777">
      <w:pPr>
        <w:tabs>
          <w:tab w:val="left" w:pos="480"/>
          <w:tab w:val="left" w:pos="960"/>
          <w:tab w:val="left" w:pos="1440"/>
          <w:tab w:val="left" w:pos="4320"/>
          <w:tab w:val="left" w:pos="5760"/>
          <w:tab w:val="left" w:pos="7200"/>
        </w:tabs>
        <w:adjustRightInd w:val="0"/>
        <w:spacing w:line="276" w:lineRule="auto"/>
        <w:ind w:left="1440"/>
        <w:rPr>
          <w:sz w:val="24"/>
          <w:szCs w:val="24"/>
          <w:lang w:bidi="ar-SA"/>
        </w:rPr>
      </w:pPr>
      <w:r w:rsidRPr="004D2645">
        <w:rPr>
          <w:sz w:val="24"/>
          <w:szCs w:val="24"/>
          <w:lang w:bidi="ar-SA"/>
        </w:rPr>
        <w:t xml:space="preserve">Items Q93-Q94rn2 provide a measurement of the number of households that have received government heating or cooling assistance in the previous calendar year, and the amount of such assistance.  State agencies provide the only other available data relevant to the energy assistance program in the form of summary counts of households receiving this type of assistance, cross-classified by their annual income levels.  The ASEC is the only current data set capable of cross-tabulating fuel assistance recipients/nonrecipients with their socioeconomic characteristics.  This allows analysts to determine whether funds are reaching eligible households.  </w:t>
      </w:r>
    </w:p>
    <w:p w:rsidRPr="004D2645" w:rsidR="004D2645" w:rsidP="00AA230A" w:rsidRDefault="004D2645" w14:paraId="25D9142C" w14:textId="77777777">
      <w:pPr>
        <w:tabs>
          <w:tab w:val="left" w:pos="480"/>
          <w:tab w:val="left" w:pos="960"/>
          <w:tab w:val="left" w:pos="1440"/>
          <w:tab w:val="left" w:pos="4320"/>
          <w:tab w:val="left" w:pos="5760"/>
          <w:tab w:val="left" w:pos="7200"/>
        </w:tabs>
        <w:adjustRightInd w:val="0"/>
        <w:spacing w:line="276" w:lineRule="auto"/>
        <w:ind w:left="1440" w:firstLine="475"/>
        <w:rPr>
          <w:sz w:val="24"/>
          <w:szCs w:val="24"/>
          <w:lang w:bidi="ar-SA"/>
        </w:rPr>
      </w:pPr>
    </w:p>
    <w:p w:rsidRPr="0035712E" w:rsidR="004D2645" w:rsidP="00AA230A" w:rsidRDefault="004D2645" w14:paraId="13E7A9FD" w14:textId="3CE08473">
      <w:pPr>
        <w:pStyle w:val="ListParagraph"/>
        <w:numPr>
          <w:ilvl w:val="0"/>
          <w:numId w:val="6"/>
        </w:numPr>
        <w:adjustRightInd w:val="0"/>
        <w:spacing w:line="276" w:lineRule="auto"/>
        <w:jc w:val="both"/>
        <w:rPr>
          <w:sz w:val="24"/>
          <w:szCs w:val="24"/>
          <w:u w:val="single"/>
          <w:lang w:bidi="ar-SA"/>
        </w:rPr>
      </w:pPr>
      <w:r w:rsidRPr="0035712E">
        <w:rPr>
          <w:sz w:val="24"/>
          <w:szCs w:val="24"/>
          <w:u w:val="single"/>
          <w:lang w:bidi="ar-SA"/>
        </w:rPr>
        <w:t>Supplemental Poverty Measures (See Attachment A: Items VALPROP-SMORTYN)</w:t>
      </w:r>
    </w:p>
    <w:p w:rsidRPr="0035712E" w:rsidR="0035712E" w:rsidP="00AA230A" w:rsidRDefault="0035712E" w14:paraId="01F55C3F" w14:textId="77777777">
      <w:pPr>
        <w:pStyle w:val="ListParagraph"/>
        <w:adjustRightInd w:val="0"/>
        <w:spacing w:line="276" w:lineRule="auto"/>
        <w:ind w:left="1800" w:firstLine="0"/>
        <w:jc w:val="both"/>
        <w:rPr>
          <w:sz w:val="24"/>
          <w:szCs w:val="24"/>
          <w:lang w:bidi="ar-SA"/>
        </w:rPr>
      </w:pPr>
    </w:p>
    <w:p w:rsidRPr="004D2645" w:rsidR="004D2645" w:rsidP="00AA230A" w:rsidRDefault="004D2645" w14:paraId="397105C2" w14:textId="77777777">
      <w:pPr>
        <w:widowControl/>
        <w:tabs>
          <w:tab w:val="left" w:pos="480"/>
          <w:tab w:val="left" w:pos="990"/>
          <w:tab w:val="left" w:pos="1440"/>
          <w:tab w:val="left" w:pos="3840"/>
          <w:tab w:val="left" w:pos="5280"/>
          <w:tab w:val="left" w:pos="6720"/>
        </w:tabs>
        <w:adjustRightInd w:val="0"/>
        <w:spacing w:line="276" w:lineRule="auto"/>
        <w:ind w:left="1440"/>
        <w:rPr>
          <w:color w:val="000000"/>
          <w:sz w:val="24"/>
          <w:szCs w:val="24"/>
          <w:lang w:bidi="ar-SA"/>
        </w:rPr>
      </w:pPr>
      <w:r w:rsidRPr="004D2645">
        <w:rPr>
          <w:color w:val="000000"/>
          <w:sz w:val="24"/>
          <w:szCs w:val="24"/>
          <w:lang w:bidi="ar-SA"/>
        </w:rPr>
        <w:t xml:space="preserve">Questions designed to produce a supplemental poverty measure can be divided into four parts:  1) Property value and presence of mortgage; 2) Medical expenditures; 3) Child support paid; and 4) </w:t>
      </w:r>
      <w:proofErr w:type="gramStart"/>
      <w:r w:rsidRPr="004D2645">
        <w:rPr>
          <w:color w:val="000000"/>
          <w:sz w:val="24"/>
          <w:szCs w:val="24"/>
          <w:lang w:bidi="ar-SA"/>
        </w:rPr>
        <w:t>Child care</w:t>
      </w:r>
      <w:proofErr w:type="gramEnd"/>
      <w:r w:rsidRPr="004D2645">
        <w:rPr>
          <w:color w:val="000000"/>
          <w:sz w:val="24"/>
          <w:szCs w:val="24"/>
          <w:lang w:bidi="ar-SA"/>
        </w:rPr>
        <w:t xml:space="preserve"> expenses paid.</w:t>
      </w:r>
    </w:p>
    <w:p w:rsidRPr="004D2645" w:rsidR="004D2645" w:rsidP="00AA230A" w:rsidRDefault="004D2645" w14:paraId="3FF6BBD1" w14:textId="77777777">
      <w:pPr>
        <w:tabs>
          <w:tab w:val="left" w:pos="480"/>
          <w:tab w:val="left" w:pos="960"/>
          <w:tab w:val="left" w:pos="1440"/>
          <w:tab w:val="left" w:pos="4320"/>
          <w:tab w:val="left" w:pos="5760"/>
          <w:tab w:val="left" w:pos="7200"/>
        </w:tabs>
        <w:adjustRightInd w:val="0"/>
        <w:spacing w:line="276" w:lineRule="auto"/>
        <w:ind w:left="1440" w:firstLine="475"/>
        <w:rPr>
          <w:sz w:val="24"/>
          <w:szCs w:val="24"/>
          <w:lang w:bidi="ar-SA"/>
        </w:rPr>
      </w:pPr>
    </w:p>
    <w:p w:rsidR="004D2645" w:rsidP="00AA230A" w:rsidRDefault="004D2645" w14:paraId="779020AE" w14:textId="1C8D86F7">
      <w:pPr>
        <w:tabs>
          <w:tab w:val="left" w:pos="480"/>
          <w:tab w:val="left" w:pos="960"/>
          <w:tab w:val="left" w:pos="990"/>
          <w:tab w:val="left" w:pos="1440"/>
        </w:tabs>
        <w:adjustRightInd w:val="0"/>
        <w:spacing w:line="276" w:lineRule="auto"/>
        <w:ind w:left="1440"/>
        <w:rPr>
          <w:color w:val="000000"/>
          <w:sz w:val="24"/>
          <w:szCs w:val="20"/>
          <w:lang w:bidi="ar-SA"/>
        </w:rPr>
      </w:pPr>
      <w:r w:rsidRPr="004D2645">
        <w:rPr>
          <w:color w:val="000000"/>
          <w:sz w:val="24"/>
          <w:szCs w:val="20"/>
          <w:lang w:bidi="ar-SA"/>
        </w:rPr>
        <w:t>Many agencies use poverty data from the Census Bureau, including the U.S. Department of Health and Human Services, the U.S. Department of Housing and Urban Development, and the U.S. Department of Agriculture.  Each of these agencies, and many more, are eager for the Census Bureau to release improved poverty measures so they can ascertain how such a measure can enhance their ability to provide assistance and services to those in need.  Agencies which publish documents based on the traditional (current) poverty measure are encouraged to also produce information based on a supplemental poverty measure to the fullest extent possible.</w:t>
      </w:r>
    </w:p>
    <w:p w:rsidRPr="004D2645" w:rsidR="00ED03CA" w:rsidP="00AA230A" w:rsidRDefault="0035712E" w14:paraId="7C7F6BA6" w14:textId="45DD6CF9">
      <w:pPr>
        <w:tabs>
          <w:tab w:val="left" w:pos="480"/>
          <w:tab w:val="left" w:pos="960"/>
          <w:tab w:val="left" w:pos="990"/>
          <w:tab w:val="left" w:pos="1440"/>
        </w:tabs>
        <w:adjustRightInd w:val="0"/>
        <w:spacing w:line="276" w:lineRule="auto"/>
        <w:ind w:left="1440"/>
        <w:rPr>
          <w:sz w:val="24"/>
          <w:szCs w:val="24"/>
          <w:lang w:bidi="ar-SA"/>
        </w:rPr>
      </w:pPr>
      <w:r>
        <w:rPr>
          <w:color w:val="000000"/>
          <w:sz w:val="24"/>
          <w:szCs w:val="20"/>
          <w:lang w:bidi="ar-SA"/>
        </w:rPr>
        <w:t>Information on health care expenditures is important to the Bureau of Economic Analysis as it develops its health care satellite account in response to the growing economic importance of health care spending in the United States.</w:t>
      </w:r>
    </w:p>
    <w:p w:rsidRPr="004D2645" w:rsidR="004D2645" w:rsidP="00AA230A" w:rsidRDefault="004D2645" w14:paraId="6F42B8A8" w14:textId="77777777">
      <w:pPr>
        <w:tabs>
          <w:tab w:val="left" w:pos="480"/>
          <w:tab w:val="left" w:pos="960"/>
          <w:tab w:val="left" w:pos="1440"/>
          <w:tab w:val="left" w:pos="4320"/>
          <w:tab w:val="left" w:pos="5760"/>
          <w:tab w:val="left" w:pos="7200"/>
        </w:tabs>
        <w:adjustRightInd w:val="0"/>
        <w:spacing w:line="276" w:lineRule="auto"/>
        <w:ind w:left="1440" w:firstLine="475"/>
        <w:rPr>
          <w:sz w:val="24"/>
          <w:szCs w:val="24"/>
          <w:lang w:bidi="ar-SA"/>
        </w:rPr>
      </w:pPr>
    </w:p>
    <w:p w:rsidRPr="004D2645" w:rsidR="004D2645" w:rsidP="00AA230A" w:rsidRDefault="004D2645" w14:paraId="6DB2F233" w14:textId="77777777">
      <w:pPr>
        <w:tabs>
          <w:tab w:val="left" w:pos="1800"/>
        </w:tabs>
        <w:adjustRightInd w:val="0"/>
        <w:spacing w:line="276" w:lineRule="auto"/>
        <w:ind w:left="1440"/>
        <w:jc w:val="both"/>
        <w:rPr>
          <w:sz w:val="24"/>
          <w:szCs w:val="24"/>
          <w:lang w:bidi="ar-SA"/>
        </w:rPr>
      </w:pPr>
      <w:r w:rsidRPr="004D2645">
        <w:rPr>
          <w:sz w:val="24"/>
          <w:szCs w:val="24"/>
          <w:lang w:bidi="ar-SA"/>
        </w:rPr>
        <w:t xml:space="preserve">e.   </w:t>
      </w:r>
      <w:r w:rsidRPr="004D2645">
        <w:rPr>
          <w:sz w:val="24"/>
          <w:szCs w:val="24"/>
          <w:u w:val="single"/>
          <w:lang w:bidi="ar-SA"/>
        </w:rPr>
        <w:t>Migration (See Attachment A: Items MIGSAM-NX1OTH)</w:t>
      </w:r>
    </w:p>
    <w:p w:rsidRPr="004D2645" w:rsidR="004D2645" w:rsidP="00AA230A" w:rsidRDefault="004D2645" w14:paraId="05028165" w14:textId="77777777">
      <w:pPr>
        <w:tabs>
          <w:tab w:val="left" w:pos="480"/>
          <w:tab w:val="left" w:pos="960"/>
          <w:tab w:val="left" w:pos="1440"/>
          <w:tab w:val="left" w:pos="4320"/>
          <w:tab w:val="left" w:pos="5760"/>
          <w:tab w:val="left" w:pos="7200"/>
        </w:tabs>
        <w:adjustRightInd w:val="0"/>
        <w:spacing w:line="276" w:lineRule="auto"/>
        <w:ind w:left="1440"/>
        <w:rPr>
          <w:sz w:val="24"/>
          <w:szCs w:val="24"/>
          <w:lang w:bidi="ar-SA"/>
        </w:rPr>
      </w:pPr>
      <w:r w:rsidRPr="004D2645">
        <w:rPr>
          <w:sz w:val="24"/>
          <w:szCs w:val="24"/>
          <w:lang w:bidi="ar-SA"/>
        </w:rPr>
        <w:t>The migration questions refer to one year ago and collect information on residency including state, county, and city.  Private and government analysts use migration statistics from this supplement to determine the mobility of the country's population.  Specifically, it is important to determine which areas are losing/gaining in population over the decade and to monitor the population shifts between regions and between cities, suburbs, and nonmetropolitan areas of the country.  These migration patterns provide researchers the ability to predict future population decline/growth and general socioeconomic conditions for these areas.</w:t>
      </w:r>
    </w:p>
    <w:p w:rsidRPr="004D2645" w:rsidR="004D2645" w:rsidP="00AA230A" w:rsidRDefault="004D2645" w14:paraId="4C2AC4B3" w14:textId="77777777">
      <w:pPr>
        <w:tabs>
          <w:tab w:val="left" w:pos="480"/>
          <w:tab w:val="left" w:pos="960"/>
          <w:tab w:val="left" w:pos="1440"/>
          <w:tab w:val="left" w:pos="4320"/>
          <w:tab w:val="left" w:pos="5760"/>
          <w:tab w:val="left" w:pos="7200"/>
        </w:tabs>
        <w:adjustRightInd w:val="0"/>
        <w:spacing w:line="276" w:lineRule="auto"/>
        <w:ind w:firstLine="475"/>
        <w:rPr>
          <w:sz w:val="24"/>
          <w:szCs w:val="20"/>
          <w:lang w:bidi="ar-SA"/>
        </w:rPr>
      </w:pPr>
    </w:p>
    <w:p w:rsidRPr="004D2645" w:rsidR="004D2645" w:rsidP="00AA230A" w:rsidRDefault="004D2645" w14:paraId="1FC8EC08" w14:textId="77777777">
      <w:pPr>
        <w:adjustRightInd w:val="0"/>
        <w:spacing w:line="276" w:lineRule="auto"/>
        <w:ind w:left="1440"/>
        <w:rPr>
          <w:sz w:val="24"/>
          <w:szCs w:val="20"/>
          <w:lang w:bidi="ar-SA"/>
        </w:rPr>
      </w:pPr>
      <w:r w:rsidRPr="004D2645">
        <w:rPr>
          <w:sz w:val="24"/>
          <w:szCs w:val="20"/>
          <w:lang w:bidi="ar-SA"/>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Pr="004D2645" w:rsidR="004D2645" w:rsidP="00CD619D" w:rsidRDefault="004D2645" w14:paraId="1A939907" w14:textId="7A13C30C">
      <w:pPr>
        <w:tabs>
          <w:tab w:val="left" w:pos="0"/>
        </w:tabs>
        <w:spacing w:before="1" w:line="276" w:lineRule="auto"/>
        <w:ind w:left="360" w:right="536" w:hanging="360"/>
        <w:rPr>
          <w:bCs/>
          <w:sz w:val="24"/>
          <w:szCs w:val="24"/>
        </w:rPr>
      </w:pPr>
    </w:p>
    <w:p w:rsidRPr="00163FBE" w:rsidR="004D2645" w:rsidP="00163FBE" w:rsidRDefault="009471AF" w14:paraId="6FDE12E7" w14:textId="0D034FE7">
      <w:pPr>
        <w:pStyle w:val="ListParagraph"/>
        <w:tabs>
          <w:tab w:val="left" w:pos="0"/>
        </w:tabs>
        <w:spacing w:before="227" w:line="276" w:lineRule="auto"/>
        <w:ind w:left="360" w:right="105" w:hanging="360"/>
        <w:rPr>
          <w:b/>
          <w:sz w:val="24"/>
          <w:szCs w:val="24"/>
          <w:lang w:bidi="he-IL"/>
        </w:rPr>
      </w:pPr>
      <w:r w:rsidRPr="00CD619D">
        <w:rPr>
          <w:b/>
          <w:sz w:val="24"/>
          <w:szCs w:val="24"/>
          <w:lang w:bidi="he-IL"/>
        </w:rPr>
        <w:t xml:space="preserve">3. </w:t>
      </w:r>
      <w:r w:rsidRPr="00CD619D">
        <w:rPr>
          <w:b/>
          <w:sz w:val="24"/>
          <w:szCs w:val="24"/>
          <w:lang w:bidi="he-IL"/>
        </w:rPr>
        <w:tab/>
      </w:r>
      <w:r w:rsidR="00163FBE">
        <w:rPr>
          <w:b/>
          <w:sz w:val="24"/>
          <w:szCs w:val="24"/>
          <w:lang w:bidi="he-IL"/>
        </w:rPr>
        <w:t>Use of Internet Technology and Burden Reduction</w:t>
      </w:r>
    </w:p>
    <w:p w:rsidR="004D2645" w:rsidP="004D2645" w:rsidRDefault="004D2645" w14:paraId="42052FC4" w14:textId="77777777">
      <w:pPr>
        <w:tabs>
          <w:tab w:val="left" w:pos="480"/>
          <w:tab w:val="left" w:pos="990"/>
          <w:tab w:val="left" w:pos="1440"/>
          <w:tab w:val="left" w:pos="4320"/>
          <w:tab w:val="left" w:pos="5760"/>
          <w:tab w:val="left" w:pos="7200"/>
        </w:tabs>
        <w:spacing w:line="360" w:lineRule="auto"/>
        <w:ind w:left="480"/>
        <w:rPr>
          <w:sz w:val="24"/>
          <w:szCs w:val="24"/>
        </w:rPr>
      </w:pPr>
    </w:p>
    <w:p w:rsidRPr="004D2645" w:rsidR="004D2645" w:rsidP="00AA14CF" w:rsidRDefault="004D2645" w14:paraId="02FDF784" w14:textId="35881E75">
      <w:pPr>
        <w:tabs>
          <w:tab w:val="left" w:pos="360"/>
          <w:tab w:val="left" w:pos="990"/>
          <w:tab w:val="left" w:pos="1440"/>
          <w:tab w:val="left" w:pos="4320"/>
          <w:tab w:val="left" w:pos="5760"/>
          <w:tab w:val="left" w:pos="7200"/>
        </w:tabs>
        <w:spacing w:line="276" w:lineRule="auto"/>
        <w:ind w:left="360"/>
        <w:rPr>
          <w:sz w:val="24"/>
          <w:szCs w:val="24"/>
        </w:rPr>
      </w:pPr>
      <w:r w:rsidRPr="004D2645">
        <w:rPr>
          <w:sz w:val="24"/>
          <w:szCs w:val="24"/>
        </w:rPr>
        <w:t xml:space="preserve">We deem the use of personal visits and telephone interviews, using computer-assisted telephone interviewing and computer-assisted personal interviewing, the most appropriate collection methodology given existing available information technology. We are examining the Internet as a reporting </w:t>
      </w:r>
      <w:proofErr w:type="gramStart"/>
      <w:r w:rsidRPr="004D2645">
        <w:rPr>
          <w:sz w:val="24"/>
          <w:szCs w:val="24"/>
        </w:rPr>
        <w:t>option, but</w:t>
      </w:r>
      <w:proofErr w:type="gramEnd"/>
      <w:r w:rsidRPr="004D2645">
        <w:rPr>
          <w:sz w:val="24"/>
          <w:szCs w:val="24"/>
        </w:rPr>
        <w:t xml:space="preserve"> have not yet determined whether the Internet is feasible for a complex demographic survey such as the CPS, and CPS supplements such as the ASEC. </w:t>
      </w:r>
    </w:p>
    <w:p w:rsidRPr="00CD619D" w:rsidR="004D2645" w:rsidP="00CD619D" w:rsidRDefault="004D2645" w14:paraId="126EEB6F" w14:textId="640D3DB2">
      <w:pPr>
        <w:pStyle w:val="BodyText"/>
        <w:spacing w:before="10" w:line="276" w:lineRule="auto"/>
        <w:ind w:left="360" w:hanging="360"/>
      </w:pPr>
    </w:p>
    <w:p w:rsidRPr="00CD619D" w:rsidR="000148AA" w:rsidP="00CD619D" w:rsidRDefault="009471AF" w14:paraId="22B6EE2F" w14:textId="2CE37F7D">
      <w:pPr>
        <w:pStyle w:val="ListParagraph"/>
        <w:tabs>
          <w:tab w:val="left" w:pos="839"/>
        </w:tabs>
        <w:spacing w:before="1" w:line="276" w:lineRule="auto"/>
        <w:ind w:left="360" w:right="455" w:hanging="360"/>
        <w:rPr>
          <w:b/>
          <w:sz w:val="24"/>
          <w:szCs w:val="24"/>
        </w:rPr>
      </w:pPr>
      <w:r w:rsidRPr="00CD619D">
        <w:rPr>
          <w:b/>
          <w:spacing w:val="1"/>
          <w:sz w:val="24"/>
          <w:szCs w:val="24"/>
        </w:rPr>
        <w:t xml:space="preserve">4. </w:t>
      </w:r>
      <w:r w:rsidRPr="00CD619D">
        <w:rPr>
          <w:b/>
          <w:spacing w:val="1"/>
          <w:sz w:val="24"/>
          <w:szCs w:val="24"/>
        </w:rPr>
        <w:tab/>
      </w:r>
      <w:r w:rsidR="00163FBE">
        <w:rPr>
          <w:b/>
          <w:sz w:val="24"/>
          <w:szCs w:val="24"/>
          <w:lang w:bidi="he-IL"/>
        </w:rPr>
        <w:t>E</w:t>
      </w:r>
      <w:r w:rsidRPr="00CD619D" w:rsidR="008E0A73">
        <w:rPr>
          <w:b/>
          <w:sz w:val="24"/>
          <w:szCs w:val="24"/>
          <w:lang w:bidi="he-IL"/>
        </w:rPr>
        <w:t xml:space="preserve">fforts to </w:t>
      </w:r>
      <w:r w:rsidR="00163FBE">
        <w:rPr>
          <w:b/>
          <w:sz w:val="24"/>
          <w:szCs w:val="24"/>
          <w:lang w:bidi="he-IL"/>
        </w:rPr>
        <w:t>I</w:t>
      </w:r>
      <w:r w:rsidRPr="00CD619D" w:rsidR="00696D6D">
        <w:rPr>
          <w:b/>
          <w:sz w:val="24"/>
          <w:szCs w:val="24"/>
          <w:lang w:bidi="he-IL"/>
        </w:rPr>
        <w:t>de</w:t>
      </w:r>
      <w:r w:rsidRPr="00CD619D" w:rsidR="008E0A73">
        <w:rPr>
          <w:b/>
          <w:sz w:val="24"/>
          <w:szCs w:val="24"/>
          <w:lang w:bidi="he-IL"/>
        </w:rPr>
        <w:t xml:space="preserve">ntify </w:t>
      </w:r>
      <w:r w:rsidR="00163FBE">
        <w:rPr>
          <w:b/>
          <w:sz w:val="24"/>
          <w:szCs w:val="24"/>
          <w:lang w:bidi="he-IL"/>
        </w:rPr>
        <w:t>D</w:t>
      </w:r>
      <w:r w:rsidRPr="00CD619D" w:rsidR="008E0A73">
        <w:rPr>
          <w:b/>
          <w:sz w:val="24"/>
          <w:szCs w:val="24"/>
          <w:lang w:bidi="he-IL"/>
        </w:rPr>
        <w:t>uplication</w:t>
      </w:r>
      <w:r w:rsidR="003E12AC">
        <w:rPr>
          <w:b/>
          <w:sz w:val="24"/>
          <w:szCs w:val="24"/>
          <w:lang w:bidi="he-IL"/>
        </w:rPr>
        <w:t xml:space="preserve"> and Use of S</w:t>
      </w:r>
      <w:r w:rsidRPr="00CD619D" w:rsidR="008E0A73">
        <w:rPr>
          <w:b/>
          <w:sz w:val="24"/>
          <w:szCs w:val="24"/>
          <w:lang w:bidi="he-IL"/>
        </w:rPr>
        <w:t xml:space="preserve">imilar </w:t>
      </w:r>
      <w:r w:rsidR="003E12AC">
        <w:rPr>
          <w:b/>
          <w:sz w:val="24"/>
          <w:szCs w:val="24"/>
          <w:lang w:bidi="he-IL"/>
        </w:rPr>
        <w:t>I</w:t>
      </w:r>
      <w:r w:rsidRPr="00CD619D" w:rsidR="008E0A73">
        <w:rPr>
          <w:b/>
          <w:sz w:val="24"/>
          <w:szCs w:val="24"/>
          <w:lang w:bidi="he-IL"/>
        </w:rPr>
        <w:t>nformation</w:t>
      </w:r>
    </w:p>
    <w:p w:rsidR="00AD2F4A" w:rsidP="00AD2F4A" w:rsidRDefault="00AD2F4A" w14:paraId="529798C9" w14:textId="77777777">
      <w:pPr>
        <w:pStyle w:val="BodyText"/>
        <w:spacing w:before="10" w:line="276" w:lineRule="auto"/>
        <w:ind w:left="360"/>
        <w:rPr>
          <w:color w:val="FF0000"/>
        </w:rPr>
      </w:pPr>
    </w:p>
    <w:p w:rsidRPr="00AD2F4A" w:rsidR="00AD2F4A" w:rsidP="00AD2F4A" w:rsidRDefault="00AD2F4A" w14:paraId="0FF89C14" w14:textId="426FB5A0">
      <w:pPr>
        <w:pStyle w:val="BodyText"/>
        <w:spacing w:before="10" w:line="276" w:lineRule="auto"/>
        <w:ind w:left="360"/>
        <w:rPr>
          <w:b w:val="0"/>
          <w:bCs w:val="0"/>
        </w:rPr>
      </w:pPr>
      <w:r w:rsidRPr="00AD2F4A">
        <w:rPr>
          <w:b w:val="0"/>
          <w:bCs w:val="0"/>
        </w:rPr>
        <w:t xml:space="preserve">The ASEC and the Survey of Income and Program Participation (SIPP) contain similar content, but the ASEC remains a vital data source.  It provides a database for measuring economic activity dating back to 1947.  The ASEC is often matched to the other CPS supplements conducted in adjacent months, thereby greatly enhancing the utility of those datasets at minimal cost to the sponsors without increasing respondent burden.  ASEC provides a higher level of statistical reliability than SIPP because the SIPP sample size is smaller than the CPS.  However, SIPP collects considerably more detail on program benefits and assets, which enables measurements of wealth and well-being.  </w:t>
      </w:r>
    </w:p>
    <w:p w:rsidRPr="00AD2F4A" w:rsidR="00AD2F4A" w:rsidP="00AD2F4A" w:rsidRDefault="00AD2F4A" w14:paraId="4F887538" w14:textId="77777777">
      <w:pPr>
        <w:pStyle w:val="BodyText"/>
        <w:spacing w:before="10" w:line="276" w:lineRule="auto"/>
        <w:ind w:firstLine="360"/>
        <w:rPr>
          <w:b w:val="0"/>
          <w:bCs w:val="0"/>
        </w:rPr>
      </w:pPr>
    </w:p>
    <w:p w:rsidRPr="00AD2F4A" w:rsidR="00AD2F4A" w:rsidP="00AD2F4A" w:rsidRDefault="00AD2F4A" w14:paraId="161F4D41" w14:textId="5A3871B9">
      <w:pPr>
        <w:pStyle w:val="BodyText"/>
        <w:spacing w:before="10" w:line="276" w:lineRule="auto"/>
        <w:ind w:left="360"/>
        <w:rPr>
          <w:b w:val="0"/>
          <w:bCs w:val="0"/>
        </w:rPr>
      </w:pPr>
      <w:r w:rsidRPr="00AD2F4A">
        <w:rPr>
          <w:b w:val="0"/>
          <w:bCs w:val="0"/>
        </w:rPr>
        <w:t xml:space="preserve">The ASEC focuses on accurate cross-sectional data (providing a clear snapshot), while SIPP focuses on accurate longitudinal data (providing a moving picture). A number of independent surveys and supplements to the CPS have contained selected income and noncash benefit items.  Until the implementation of the SIPP, however, no other data source was available that provided the depth and scope of information of the kind described in Question 2.  </w:t>
      </w:r>
    </w:p>
    <w:p w:rsidRPr="00011F91" w:rsidR="00011F91" w:rsidP="00011F91" w:rsidRDefault="00011F91" w14:paraId="1F795354" w14:textId="58963A63">
      <w:pPr>
        <w:widowControl/>
        <w:shd w:val="clear" w:color="auto" w:fill="FFFFFF"/>
        <w:autoSpaceDE/>
        <w:autoSpaceDN/>
        <w:spacing w:before="100" w:beforeAutospacing="1" w:after="150" w:line="276" w:lineRule="auto"/>
        <w:ind w:left="360"/>
        <w:textAlignment w:val="baseline"/>
        <w:rPr>
          <w:color w:val="000000"/>
          <w:sz w:val="24"/>
          <w:szCs w:val="24"/>
          <w:lang w:bidi="ar-SA"/>
        </w:rPr>
      </w:pPr>
      <w:r w:rsidRPr="00011F91">
        <w:rPr>
          <w:sz w:val="24"/>
          <w:szCs w:val="24"/>
        </w:rPr>
        <w:t xml:space="preserve">The American Community Survey (ACS) also collects information on health </w:t>
      </w:r>
      <w:proofErr w:type="gramStart"/>
      <w:r w:rsidRPr="00011F91">
        <w:rPr>
          <w:sz w:val="24"/>
          <w:szCs w:val="24"/>
        </w:rPr>
        <w:t>insurance,</w:t>
      </w:r>
      <w:proofErr w:type="gramEnd"/>
      <w:r w:rsidRPr="00011F91">
        <w:rPr>
          <w:sz w:val="24"/>
          <w:szCs w:val="24"/>
        </w:rPr>
        <w:t xml:space="preserve"> however, this information was not collected prior to 2008.  The CPS ASEC</w:t>
      </w:r>
      <w:r w:rsidRPr="00011F91">
        <w:rPr>
          <w:b/>
          <w:bCs/>
          <w:sz w:val="24"/>
          <w:szCs w:val="24"/>
        </w:rPr>
        <w:t xml:space="preserve"> </w:t>
      </w:r>
      <w:r w:rsidRPr="00011F91">
        <w:rPr>
          <w:color w:val="000000"/>
          <w:sz w:val="24"/>
          <w:szCs w:val="24"/>
          <w:lang w:bidi="ar-SA"/>
        </w:rPr>
        <w:t>is the most widely used source of data on health insurance coverage in the United States, with a consistent time series of estimates from 1999 to 2012 and another time series that begins with 2013.</w:t>
      </w:r>
    </w:p>
    <w:p w:rsidR="004D2645" w:rsidP="00011F91" w:rsidRDefault="004D2645" w14:paraId="5228CF59" w14:textId="203AA086">
      <w:pPr>
        <w:pStyle w:val="BodyText"/>
        <w:spacing w:before="10" w:line="276" w:lineRule="auto"/>
        <w:ind w:left="360"/>
        <w:rPr>
          <w:b w:val="0"/>
          <w:bCs w:val="0"/>
        </w:rPr>
      </w:pPr>
    </w:p>
    <w:p w:rsidR="008E1D2C" w:rsidP="00011F91" w:rsidRDefault="008E1D2C" w14:paraId="042CEEC1" w14:textId="4AD00CD2">
      <w:pPr>
        <w:pStyle w:val="BodyText"/>
        <w:spacing w:before="10" w:line="276" w:lineRule="auto"/>
        <w:ind w:left="360"/>
        <w:rPr>
          <w:b w:val="0"/>
          <w:bCs w:val="0"/>
        </w:rPr>
      </w:pPr>
    </w:p>
    <w:p w:rsidRPr="00011F91" w:rsidR="008E1D2C" w:rsidP="00011F91" w:rsidRDefault="008E1D2C" w14:paraId="2A88C2A9" w14:textId="77777777">
      <w:pPr>
        <w:pStyle w:val="BodyText"/>
        <w:spacing w:before="10" w:line="276" w:lineRule="auto"/>
        <w:ind w:left="360"/>
        <w:rPr>
          <w:b w:val="0"/>
          <w:bCs w:val="0"/>
        </w:rPr>
      </w:pPr>
    </w:p>
    <w:p w:rsidRPr="00CD619D" w:rsidR="000148AA" w:rsidP="00DB5998" w:rsidRDefault="009471AF" w14:paraId="598DC45D" w14:textId="13497149">
      <w:pPr>
        <w:pStyle w:val="ListParagraph"/>
        <w:tabs>
          <w:tab w:val="left" w:pos="839"/>
        </w:tabs>
        <w:spacing w:line="276" w:lineRule="auto"/>
        <w:ind w:left="360" w:right="631" w:hanging="360"/>
        <w:rPr>
          <w:b/>
          <w:sz w:val="24"/>
          <w:szCs w:val="24"/>
        </w:rPr>
      </w:pPr>
      <w:r w:rsidRPr="00CD619D">
        <w:rPr>
          <w:b/>
          <w:sz w:val="24"/>
          <w:szCs w:val="24"/>
        </w:rPr>
        <w:t xml:space="preserve">5. </w:t>
      </w:r>
      <w:r w:rsidRPr="00CD619D">
        <w:rPr>
          <w:b/>
          <w:sz w:val="24"/>
          <w:szCs w:val="24"/>
        </w:rPr>
        <w:tab/>
      </w:r>
      <w:r w:rsidRPr="00CD619D" w:rsidR="008E0A73">
        <w:rPr>
          <w:b/>
          <w:sz w:val="24"/>
          <w:szCs w:val="24"/>
          <w:lang w:bidi="he-IL"/>
        </w:rPr>
        <w:t>Impacts</w:t>
      </w:r>
      <w:r w:rsidR="006B4604">
        <w:rPr>
          <w:b/>
          <w:sz w:val="24"/>
          <w:szCs w:val="24"/>
          <w:lang w:bidi="he-IL"/>
        </w:rPr>
        <w:t xml:space="preserve"> on</w:t>
      </w:r>
      <w:r w:rsidRPr="00CD619D" w:rsidR="008E0A73">
        <w:rPr>
          <w:b/>
          <w:sz w:val="24"/>
          <w:szCs w:val="24"/>
          <w:lang w:bidi="he-IL"/>
        </w:rPr>
        <w:t xml:space="preserve"> </w:t>
      </w:r>
      <w:r w:rsidR="006B4604">
        <w:rPr>
          <w:b/>
          <w:sz w:val="24"/>
          <w:szCs w:val="24"/>
          <w:lang w:bidi="he-IL"/>
        </w:rPr>
        <w:t>S</w:t>
      </w:r>
      <w:r w:rsidRPr="00CD619D" w:rsidR="008E0A73">
        <w:rPr>
          <w:b/>
          <w:sz w:val="24"/>
          <w:szCs w:val="24"/>
          <w:lang w:bidi="he-IL"/>
        </w:rPr>
        <w:t xml:space="preserve">mall </w:t>
      </w:r>
      <w:r w:rsidR="006B4604">
        <w:rPr>
          <w:b/>
          <w:sz w:val="24"/>
          <w:szCs w:val="24"/>
          <w:lang w:bidi="he-IL"/>
        </w:rPr>
        <w:t>B</w:t>
      </w:r>
      <w:r w:rsidRPr="00CD619D" w:rsidR="008E0A73">
        <w:rPr>
          <w:b/>
          <w:sz w:val="24"/>
          <w:szCs w:val="24"/>
          <w:lang w:bidi="he-IL"/>
        </w:rPr>
        <w:t xml:space="preserve">usinesses or </w:t>
      </w:r>
      <w:r w:rsidR="006B4604">
        <w:rPr>
          <w:b/>
          <w:sz w:val="24"/>
          <w:szCs w:val="24"/>
          <w:lang w:bidi="he-IL"/>
        </w:rPr>
        <w:t>O</w:t>
      </w:r>
      <w:r w:rsidRPr="00CD619D" w:rsidR="008E0A73">
        <w:rPr>
          <w:b/>
          <w:sz w:val="24"/>
          <w:szCs w:val="24"/>
          <w:lang w:bidi="he-IL"/>
        </w:rPr>
        <w:t xml:space="preserve">ther </w:t>
      </w:r>
      <w:r w:rsidR="006B4604">
        <w:rPr>
          <w:b/>
          <w:sz w:val="24"/>
          <w:szCs w:val="24"/>
          <w:lang w:bidi="he-IL"/>
        </w:rPr>
        <w:t>S</w:t>
      </w:r>
      <w:r w:rsidRPr="00CD619D" w:rsidR="008E0A73">
        <w:rPr>
          <w:b/>
          <w:sz w:val="24"/>
          <w:szCs w:val="24"/>
          <w:lang w:bidi="he-IL"/>
        </w:rPr>
        <w:t xml:space="preserve">mall </w:t>
      </w:r>
      <w:r w:rsidR="006B4604">
        <w:rPr>
          <w:b/>
          <w:sz w:val="24"/>
          <w:szCs w:val="24"/>
          <w:lang w:bidi="he-IL"/>
        </w:rPr>
        <w:t>E</w:t>
      </w:r>
      <w:r w:rsidRPr="00CD619D" w:rsidR="008E0A73">
        <w:rPr>
          <w:b/>
          <w:sz w:val="24"/>
          <w:szCs w:val="24"/>
          <w:lang w:bidi="he-IL"/>
        </w:rPr>
        <w:t>ntities</w:t>
      </w:r>
    </w:p>
    <w:p w:rsidR="00DB5998" w:rsidP="006B4604" w:rsidRDefault="00DB5998" w14:paraId="27756D64" w14:textId="77777777">
      <w:pPr>
        <w:spacing w:before="62" w:line="276" w:lineRule="auto"/>
        <w:ind w:right="166" w:firstLine="360"/>
        <w:rPr>
          <w:sz w:val="24"/>
          <w:szCs w:val="24"/>
        </w:rPr>
      </w:pPr>
    </w:p>
    <w:p w:rsidRPr="00AD2F4A" w:rsidR="00214F97" w:rsidP="006B4604" w:rsidRDefault="00AD2F4A" w14:paraId="24738C65" w14:textId="52732C40">
      <w:pPr>
        <w:spacing w:before="62" w:line="276" w:lineRule="auto"/>
        <w:ind w:right="166" w:firstLine="360"/>
        <w:rPr>
          <w:b/>
          <w:bCs/>
          <w:sz w:val="24"/>
          <w:szCs w:val="24"/>
        </w:rPr>
      </w:pPr>
      <w:r w:rsidRPr="00AD2F4A">
        <w:rPr>
          <w:sz w:val="24"/>
          <w:szCs w:val="24"/>
        </w:rPr>
        <w:lastRenderedPageBreak/>
        <w:t>This collection does not involve small businesses or other small entities</w:t>
      </w:r>
    </w:p>
    <w:p w:rsidRPr="00CD619D" w:rsidR="00CD619D" w:rsidP="00CD619D" w:rsidRDefault="00CD619D" w14:paraId="7FDDB263" w14:textId="77777777">
      <w:pPr>
        <w:tabs>
          <w:tab w:val="left" w:pos="840"/>
        </w:tabs>
        <w:spacing w:before="62" w:line="276" w:lineRule="auto"/>
        <w:ind w:right="166"/>
        <w:rPr>
          <w:b/>
          <w:bCs/>
          <w:sz w:val="24"/>
          <w:szCs w:val="24"/>
        </w:rPr>
      </w:pPr>
    </w:p>
    <w:p w:rsidRPr="00CD619D" w:rsidR="00046B07" w:rsidP="00CD619D" w:rsidRDefault="00214F97" w14:paraId="77118CE7" w14:textId="611C7A32">
      <w:pPr>
        <w:pStyle w:val="ListParagraph"/>
        <w:tabs>
          <w:tab w:val="left" w:pos="840"/>
        </w:tabs>
        <w:spacing w:before="62" w:line="276" w:lineRule="auto"/>
        <w:ind w:left="360" w:right="166" w:hanging="360"/>
        <w:rPr>
          <w:b/>
          <w:sz w:val="24"/>
          <w:szCs w:val="24"/>
        </w:rPr>
      </w:pPr>
      <w:r w:rsidRPr="00CD619D">
        <w:rPr>
          <w:b/>
          <w:bCs/>
          <w:sz w:val="24"/>
          <w:szCs w:val="24"/>
        </w:rPr>
        <w:t xml:space="preserve">6. </w:t>
      </w:r>
      <w:r w:rsidRPr="00CD619D">
        <w:rPr>
          <w:b/>
          <w:bCs/>
          <w:sz w:val="24"/>
          <w:szCs w:val="24"/>
        </w:rPr>
        <w:tab/>
      </w:r>
      <w:r w:rsidR="006C6634">
        <w:rPr>
          <w:b/>
          <w:bCs/>
          <w:sz w:val="24"/>
          <w:szCs w:val="24"/>
        </w:rPr>
        <w:t>C</w:t>
      </w:r>
      <w:r w:rsidRPr="00CD619D" w:rsidR="008E0A73">
        <w:rPr>
          <w:b/>
          <w:sz w:val="24"/>
          <w:szCs w:val="24"/>
          <w:lang w:bidi="he-IL"/>
        </w:rPr>
        <w:t>onsequences</w:t>
      </w:r>
      <w:r w:rsidR="00DB5998">
        <w:rPr>
          <w:b/>
          <w:sz w:val="24"/>
          <w:szCs w:val="24"/>
          <w:lang w:bidi="he-IL"/>
        </w:rPr>
        <w:t xml:space="preserve"> of Collecting the Information Less F</w:t>
      </w:r>
      <w:r w:rsidRPr="00CD619D" w:rsidR="008E0A73">
        <w:rPr>
          <w:b/>
          <w:sz w:val="24"/>
          <w:szCs w:val="24"/>
          <w:lang w:bidi="he-IL"/>
        </w:rPr>
        <w:t>requently</w:t>
      </w:r>
      <w:r w:rsidRPr="00CD619D" w:rsidR="008E0A73">
        <w:rPr>
          <w:b/>
          <w:sz w:val="24"/>
          <w:szCs w:val="24"/>
        </w:rPr>
        <w:t xml:space="preserve"> </w:t>
      </w:r>
    </w:p>
    <w:p w:rsidR="000148AA" w:rsidP="00CD619D" w:rsidRDefault="00214F97" w14:paraId="77576D61" w14:textId="13BC496D">
      <w:pPr>
        <w:pStyle w:val="ListParagraph"/>
        <w:tabs>
          <w:tab w:val="left" w:pos="840"/>
        </w:tabs>
        <w:spacing w:before="62" w:line="276" w:lineRule="auto"/>
        <w:ind w:left="360" w:right="166" w:hanging="360"/>
        <w:rPr>
          <w:b/>
          <w:color w:val="FF0000"/>
          <w:sz w:val="24"/>
          <w:szCs w:val="24"/>
        </w:rPr>
      </w:pPr>
      <w:r w:rsidRPr="00CD619D">
        <w:rPr>
          <w:b/>
          <w:color w:val="FF0000"/>
          <w:sz w:val="24"/>
          <w:szCs w:val="24"/>
        </w:rPr>
        <w:tab/>
      </w:r>
    </w:p>
    <w:p w:rsidRPr="00CD619D" w:rsidR="00812481" w:rsidP="00CD619D" w:rsidRDefault="00812481" w14:paraId="39599DCF" w14:textId="5EF25C82">
      <w:pPr>
        <w:pStyle w:val="ListParagraph"/>
        <w:tabs>
          <w:tab w:val="left" w:pos="840"/>
        </w:tabs>
        <w:spacing w:before="62" w:line="276" w:lineRule="auto"/>
        <w:ind w:left="360" w:right="166" w:hanging="360"/>
        <w:rPr>
          <w:b/>
          <w:color w:val="FF0000"/>
          <w:sz w:val="24"/>
          <w:szCs w:val="24"/>
        </w:rPr>
      </w:pPr>
      <w:r>
        <w:rPr>
          <w:b/>
          <w:color w:val="FF0000"/>
          <w:sz w:val="24"/>
          <w:szCs w:val="24"/>
        </w:rPr>
        <w:tab/>
      </w:r>
      <w:r w:rsidRPr="00C30B6A">
        <w:rPr>
          <w:bCs/>
          <w:sz w:val="24"/>
          <w:szCs w:val="24"/>
        </w:rPr>
        <w:t>We collect the ASEC annually to detect shifts in household composition, labor force activity, migration patterns, and income levels.  These measurements are very sensitive to the general economic climate, and to collect these data less frequently would mask some trends and disrupt time series analyses.</w:t>
      </w:r>
    </w:p>
    <w:p w:rsidRPr="00CD619D" w:rsidR="000148AA" w:rsidP="00CD619D" w:rsidRDefault="000148AA" w14:paraId="700C1EFE" w14:textId="77777777">
      <w:pPr>
        <w:pStyle w:val="BodyText"/>
        <w:spacing w:line="276" w:lineRule="auto"/>
        <w:ind w:left="360" w:hanging="360"/>
      </w:pPr>
    </w:p>
    <w:p w:rsidRPr="00CD619D" w:rsidR="000148AA" w:rsidP="00CD619D" w:rsidRDefault="00214F97" w14:paraId="1C0DE0C0" w14:textId="18D5F6D2">
      <w:pPr>
        <w:pStyle w:val="ListParagraph"/>
        <w:tabs>
          <w:tab w:val="left" w:pos="840"/>
        </w:tabs>
        <w:spacing w:before="217" w:line="276" w:lineRule="auto"/>
        <w:ind w:left="360" w:right="255" w:hanging="360"/>
        <w:rPr>
          <w:b/>
          <w:sz w:val="24"/>
          <w:szCs w:val="24"/>
        </w:rPr>
      </w:pPr>
      <w:r w:rsidRPr="00CD619D">
        <w:rPr>
          <w:b/>
          <w:spacing w:val="-3"/>
          <w:sz w:val="24"/>
          <w:szCs w:val="24"/>
        </w:rPr>
        <w:t xml:space="preserve">7. </w:t>
      </w:r>
      <w:r w:rsidRPr="00CD619D">
        <w:rPr>
          <w:b/>
          <w:spacing w:val="-3"/>
          <w:sz w:val="24"/>
          <w:szCs w:val="24"/>
        </w:rPr>
        <w:tab/>
      </w:r>
      <w:r w:rsidR="00DB5998">
        <w:rPr>
          <w:b/>
          <w:sz w:val="24"/>
          <w:szCs w:val="24"/>
          <w:lang w:bidi="he-IL"/>
        </w:rPr>
        <w:t>S</w:t>
      </w:r>
      <w:r w:rsidRPr="00CD619D" w:rsidR="008E0A73">
        <w:rPr>
          <w:b/>
          <w:sz w:val="24"/>
          <w:szCs w:val="24"/>
          <w:lang w:bidi="he-IL"/>
        </w:rPr>
        <w:t>pecial circumstances</w:t>
      </w:r>
    </w:p>
    <w:p w:rsidRPr="00CD619D" w:rsidR="000148AA" w:rsidP="00CD619D" w:rsidRDefault="000148AA" w14:paraId="5B73DD92" w14:textId="77777777">
      <w:pPr>
        <w:pStyle w:val="BodyText"/>
        <w:spacing w:before="2" w:line="276" w:lineRule="auto"/>
        <w:ind w:left="360" w:hanging="360"/>
      </w:pPr>
    </w:p>
    <w:p w:rsidRPr="00812481" w:rsidR="00812481" w:rsidP="00812481" w:rsidRDefault="00812481" w14:paraId="60E20586" w14:textId="77777777">
      <w:pPr>
        <w:pStyle w:val="BodyText"/>
        <w:spacing w:line="276" w:lineRule="auto"/>
        <w:ind w:left="360"/>
        <w:rPr>
          <w:b w:val="0"/>
          <w:bCs w:val="0"/>
        </w:rPr>
      </w:pPr>
      <w:r w:rsidRPr="00812481">
        <w:rPr>
          <w:b w:val="0"/>
          <w:bCs w:val="0"/>
        </w:rPr>
        <w:t>There are no special circumstances.  We collect the CPS and ASEC data in a manner that is consistent with the Office of Management and Budget (OMB) guidelines.</w:t>
      </w:r>
    </w:p>
    <w:p w:rsidRPr="00CD619D" w:rsidR="00812481" w:rsidP="00812481" w:rsidRDefault="00812481" w14:paraId="6F4A193A" w14:textId="77777777">
      <w:pPr>
        <w:pStyle w:val="BodyText"/>
        <w:spacing w:line="276" w:lineRule="auto"/>
        <w:ind w:left="360"/>
        <w:rPr>
          <w:color w:val="FF0000"/>
        </w:rPr>
      </w:pPr>
    </w:p>
    <w:p w:rsidRPr="00CD619D" w:rsidR="000148AA" w:rsidP="003A6D5C" w:rsidRDefault="00214F97" w14:paraId="6B0E51C5" w14:textId="5B4868F1">
      <w:pPr>
        <w:pStyle w:val="ListParagraph"/>
        <w:tabs>
          <w:tab w:val="left" w:pos="857"/>
        </w:tabs>
        <w:spacing w:before="62" w:line="276" w:lineRule="auto"/>
        <w:ind w:left="360" w:right="107" w:hanging="360"/>
        <w:rPr>
          <w:bCs/>
          <w:lang w:bidi="he-IL"/>
        </w:rPr>
      </w:pPr>
      <w:r w:rsidRPr="00CD619D">
        <w:rPr>
          <w:b/>
          <w:sz w:val="24"/>
          <w:szCs w:val="24"/>
        </w:rPr>
        <w:t xml:space="preserve">8. </w:t>
      </w:r>
      <w:r w:rsidRPr="00CD619D">
        <w:rPr>
          <w:b/>
          <w:sz w:val="24"/>
          <w:szCs w:val="24"/>
        </w:rPr>
        <w:tab/>
      </w:r>
      <w:r w:rsidRPr="004F0887" w:rsidR="003A6D5C">
        <w:rPr>
          <w:b/>
          <w:iCs/>
          <w:sz w:val="24"/>
        </w:rPr>
        <w:t>Comments in Response to the Federal Register</w:t>
      </w:r>
      <w:r w:rsidRPr="004F0887" w:rsidR="003A6D5C">
        <w:rPr>
          <w:b/>
          <w:sz w:val="24"/>
        </w:rPr>
        <w:t xml:space="preserve"> Notice/Outside Consultation</w:t>
      </w:r>
    </w:p>
    <w:p w:rsidR="000148AA" w:rsidP="009B6D2D" w:rsidRDefault="000148AA" w14:paraId="1F63F4CB" w14:textId="665FC140">
      <w:pPr>
        <w:pStyle w:val="BodyText"/>
        <w:spacing w:line="276" w:lineRule="auto"/>
        <w:ind w:firstLine="360"/>
        <w:rPr>
          <w:color w:val="FF0000"/>
        </w:rPr>
      </w:pPr>
    </w:p>
    <w:p w:rsidRPr="00614199" w:rsidR="002D4593" w:rsidP="002D4593" w:rsidRDefault="002D4593" w14:paraId="7FCB2791" w14:textId="6F0EF876">
      <w:pPr>
        <w:pStyle w:val="BodyText"/>
        <w:spacing w:before="10" w:line="276" w:lineRule="auto"/>
        <w:ind w:left="360"/>
        <w:rPr>
          <w:b w:val="0"/>
          <w:bCs w:val="0"/>
        </w:rPr>
      </w:pPr>
      <w:r w:rsidRPr="001C1C8C">
        <w:rPr>
          <w:b w:val="0"/>
          <w:bCs w:val="0"/>
        </w:rPr>
        <w:t xml:space="preserve">A notice of intent to ask the ASEC supplement questions </w:t>
      </w:r>
      <w:r w:rsidRPr="001C1C8C" w:rsidR="00E60FBD">
        <w:rPr>
          <w:b w:val="0"/>
          <w:bCs w:val="0"/>
        </w:rPr>
        <w:t xml:space="preserve">was published </w:t>
      </w:r>
      <w:r w:rsidRPr="001C1C8C">
        <w:rPr>
          <w:b w:val="0"/>
          <w:bCs w:val="0"/>
        </w:rPr>
        <w:t>in the April 1, 2021 edition of the Federal Register (86 FR, p. 17121).</w:t>
      </w:r>
      <w:r w:rsidRPr="00614199">
        <w:rPr>
          <w:b w:val="0"/>
          <w:bCs w:val="0"/>
        </w:rPr>
        <w:t xml:space="preserve">  </w:t>
      </w:r>
      <w:r w:rsidR="001C1C8C">
        <w:rPr>
          <w:b w:val="0"/>
          <w:bCs w:val="0"/>
        </w:rPr>
        <w:t>A second notice was published in the September 3, 2021 edition of the Federal Register, asking for comments on questions added to the data collection.  Both</w:t>
      </w:r>
      <w:r w:rsidRPr="00614199">
        <w:rPr>
          <w:b w:val="0"/>
          <w:bCs w:val="0"/>
        </w:rPr>
        <w:t xml:space="preserve"> notice</w:t>
      </w:r>
      <w:r w:rsidR="001C1C8C">
        <w:rPr>
          <w:b w:val="0"/>
          <w:bCs w:val="0"/>
        </w:rPr>
        <w:t>s</w:t>
      </w:r>
      <w:r w:rsidRPr="00614199">
        <w:rPr>
          <w:b w:val="0"/>
          <w:bCs w:val="0"/>
        </w:rPr>
        <w:t xml:space="preserve"> invited comments on the necessity and practicality of the data collection and comments on various other aspects of the proposed collection. </w:t>
      </w:r>
      <w:r>
        <w:rPr>
          <w:b w:val="0"/>
          <w:bCs w:val="0"/>
        </w:rPr>
        <w:t xml:space="preserve"> </w:t>
      </w:r>
      <w:r w:rsidRPr="00614199">
        <w:rPr>
          <w:b w:val="0"/>
          <w:bCs w:val="0"/>
        </w:rPr>
        <w:t>In response to the notice</w:t>
      </w:r>
      <w:r w:rsidR="001C1C8C">
        <w:rPr>
          <w:b w:val="0"/>
          <w:bCs w:val="0"/>
        </w:rPr>
        <w:t>s</w:t>
      </w:r>
      <w:r w:rsidRPr="00614199">
        <w:rPr>
          <w:b w:val="0"/>
          <w:bCs w:val="0"/>
        </w:rPr>
        <w:t xml:space="preserve">, we received </w:t>
      </w:r>
      <w:r>
        <w:rPr>
          <w:b w:val="0"/>
          <w:bCs w:val="0"/>
        </w:rPr>
        <w:t>one</w:t>
      </w:r>
      <w:r w:rsidRPr="00614199">
        <w:rPr>
          <w:b w:val="0"/>
          <w:bCs w:val="0"/>
        </w:rPr>
        <w:t xml:space="preserve"> comment from</w:t>
      </w:r>
      <w:r>
        <w:rPr>
          <w:b w:val="0"/>
          <w:bCs w:val="0"/>
        </w:rPr>
        <w:t xml:space="preserve"> the Bureau of Economic Analysis, supporting the collection of this information.</w:t>
      </w:r>
      <w:r w:rsidR="001C1C8C">
        <w:rPr>
          <w:b w:val="0"/>
          <w:bCs w:val="0"/>
        </w:rPr>
        <w:t xml:space="preserve">  We received no other comments.</w:t>
      </w:r>
    </w:p>
    <w:p w:rsidR="002D4593" w:rsidP="00614199" w:rsidRDefault="002D4593" w14:paraId="713AC7D3" w14:textId="77777777">
      <w:pPr>
        <w:pStyle w:val="BodyText"/>
        <w:spacing w:before="10" w:line="276" w:lineRule="auto"/>
        <w:ind w:left="360"/>
        <w:rPr>
          <w:b w:val="0"/>
          <w:bCs w:val="0"/>
        </w:rPr>
      </w:pPr>
    </w:p>
    <w:p w:rsidR="00323E88" w:rsidP="00614199" w:rsidRDefault="00614199" w14:paraId="1579976A" w14:textId="5176A7C8">
      <w:pPr>
        <w:pStyle w:val="BodyText"/>
        <w:spacing w:before="10" w:line="276" w:lineRule="auto"/>
        <w:ind w:left="360"/>
        <w:rPr>
          <w:b w:val="0"/>
          <w:bCs w:val="0"/>
        </w:rPr>
      </w:pPr>
      <w:r w:rsidRPr="00614199">
        <w:rPr>
          <w:b w:val="0"/>
          <w:bCs w:val="0"/>
        </w:rPr>
        <w:t xml:space="preserve">The following individuals have contributed to the development of the ASEC supplement by providing valuable feedback </w:t>
      </w:r>
      <w:r w:rsidR="00E60FBD">
        <w:rPr>
          <w:b w:val="0"/>
          <w:bCs w:val="0"/>
        </w:rPr>
        <w:t>on the usefulness of the data for policymaking</w:t>
      </w:r>
      <w:r w:rsidRPr="00614199">
        <w:rPr>
          <w:b w:val="0"/>
          <w:bCs w:val="0"/>
        </w:rPr>
        <w:t>:</w:t>
      </w:r>
    </w:p>
    <w:p w:rsidR="002D4593" w:rsidP="00614199" w:rsidRDefault="002D4593" w14:paraId="4D7D409A" w14:textId="59243294">
      <w:pPr>
        <w:pStyle w:val="BodyText"/>
        <w:spacing w:before="10" w:line="276" w:lineRule="auto"/>
        <w:ind w:left="360"/>
        <w:rPr>
          <w:b w:val="0"/>
          <w:bCs w:val="0"/>
        </w:rPr>
      </w:pPr>
    </w:p>
    <w:p w:rsidRPr="00614199" w:rsidR="00497671" w:rsidP="00497671" w:rsidRDefault="00497671" w14:paraId="122F1E29" w14:textId="297E83DD">
      <w:pPr>
        <w:pStyle w:val="BodyText"/>
        <w:spacing w:before="10" w:line="276" w:lineRule="auto"/>
        <w:ind w:left="720" w:hanging="360"/>
        <w:rPr>
          <w:b w:val="0"/>
          <w:bCs w:val="0"/>
        </w:rPr>
      </w:pPr>
      <w:r>
        <w:rPr>
          <w:b w:val="0"/>
          <w:bCs w:val="0"/>
        </w:rPr>
        <w:t>Dori Allard</w:t>
      </w:r>
      <w:r w:rsidR="0029371B">
        <w:rPr>
          <w:b w:val="0"/>
          <w:bCs w:val="0"/>
        </w:rPr>
        <w:tab/>
      </w:r>
      <w:r w:rsidR="0029371B">
        <w:rPr>
          <w:b w:val="0"/>
          <w:bCs w:val="0"/>
        </w:rPr>
        <w:tab/>
      </w:r>
      <w:r w:rsidR="0029371B">
        <w:rPr>
          <w:b w:val="0"/>
          <w:bCs w:val="0"/>
        </w:rPr>
        <w:tab/>
      </w:r>
      <w:r w:rsidR="0029371B">
        <w:rPr>
          <w:b w:val="0"/>
          <w:bCs w:val="0"/>
        </w:rPr>
        <w:tab/>
      </w:r>
      <w:proofErr w:type="spellStart"/>
      <w:r w:rsidR="0029371B">
        <w:rPr>
          <w:b w:val="0"/>
          <w:bCs w:val="0"/>
        </w:rPr>
        <w:t>Arloc</w:t>
      </w:r>
      <w:proofErr w:type="spellEnd"/>
      <w:r w:rsidR="0029371B">
        <w:rPr>
          <w:b w:val="0"/>
          <w:bCs w:val="0"/>
        </w:rPr>
        <w:t xml:space="preserve"> Sherman</w:t>
      </w:r>
      <w:r w:rsidR="0029371B">
        <w:rPr>
          <w:b w:val="0"/>
          <w:bCs w:val="0"/>
        </w:rPr>
        <w:tab/>
      </w:r>
    </w:p>
    <w:p w:rsidRPr="00614199" w:rsidR="00497671" w:rsidP="00497671" w:rsidRDefault="00497671" w14:paraId="34A4C0FE" w14:textId="75E46DDC">
      <w:pPr>
        <w:pStyle w:val="BodyText"/>
        <w:spacing w:before="10" w:line="276" w:lineRule="auto"/>
        <w:ind w:left="720" w:hanging="360"/>
        <w:rPr>
          <w:b w:val="0"/>
          <w:bCs w:val="0"/>
        </w:rPr>
      </w:pPr>
      <w:r w:rsidRPr="00614199">
        <w:rPr>
          <w:b w:val="0"/>
          <w:bCs w:val="0"/>
        </w:rPr>
        <w:t>Bureau of Labor Statistics</w:t>
      </w:r>
      <w:r w:rsidR="0029371B">
        <w:rPr>
          <w:b w:val="0"/>
          <w:bCs w:val="0"/>
        </w:rPr>
        <w:tab/>
      </w:r>
      <w:r w:rsidR="0029371B">
        <w:rPr>
          <w:b w:val="0"/>
          <w:bCs w:val="0"/>
        </w:rPr>
        <w:tab/>
      </w:r>
      <w:r w:rsidR="0029371B">
        <w:rPr>
          <w:b w:val="0"/>
          <w:bCs w:val="0"/>
        </w:rPr>
        <w:tab/>
        <w:t>Center on Budget and Policy Priorities</w:t>
      </w:r>
    </w:p>
    <w:p w:rsidRPr="00614199" w:rsidR="00497671" w:rsidP="00497671" w:rsidRDefault="00497671" w14:paraId="2F8CAFA9" w14:textId="20D330E9">
      <w:pPr>
        <w:pStyle w:val="BodyText"/>
        <w:spacing w:before="10" w:line="276" w:lineRule="auto"/>
        <w:ind w:left="720" w:hanging="360"/>
        <w:rPr>
          <w:b w:val="0"/>
          <w:bCs w:val="0"/>
        </w:rPr>
      </w:pPr>
      <w:r w:rsidRPr="00614199">
        <w:rPr>
          <w:b w:val="0"/>
          <w:bCs w:val="0"/>
        </w:rPr>
        <w:t>Department of Labor</w:t>
      </w:r>
      <w:r w:rsidR="0029371B">
        <w:rPr>
          <w:b w:val="0"/>
          <w:bCs w:val="0"/>
        </w:rPr>
        <w:tab/>
      </w:r>
      <w:r w:rsidR="0029371B">
        <w:rPr>
          <w:b w:val="0"/>
          <w:bCs w:val="0"/>
        </w:rPr>
        <w:tab/>
      </w:r>
      <w:r w:rsidR="0029371B">
        <w:rPr>
          <w:b w:val="0"/>
          <w:bCs w:val="0"/>
        </w:rPr>
        <w:tab/>
        <w:t>center@cbpp.org</w:t>
      </w:r>
    </w:p>
    <w:p w:rsidR="002D4593" w:rsidP="00497671" w:rsidRDefault="00497671" w14:paraId="5CB5416A" w14:textId="27CD69B3">
      <w:pPr>
        <w:pStyle w:val="BodyText"/>
        <w:spacing w:before="10" w:line="276" w:lineRule="auto"/>
        <w:ind w:left="720" w:hanging="360"/>
        <w:rPr>
          <w:b w:val="0"/>
          <w:bCs w:val="0"/>
        </w:rPr>
      </w:pPr>
      <w:r w:rsidRPr="00614199">
        <w:rPr>
          <w:b w:val="0"/>
          <w:bCs w:val="0"/>
        </w:rPr>
        <w:t>(202) 691-</w:t>
      </w:r>
      <w:r>
        <w:rPr>
          <w:b w:val="0"/>
          <w:bCs w:val="0"/>
        </w:rPr>
        <w:t>6378</w:t>
      </w:r>
      <w:r w:rsidR="0029371B">
        <w:rPr>
          <w:b w:val="0"/>
          <w:bCs w:val="0"/>
        </w:rPr>
        <w:tab/>
      </w:r>
      <w:r w:rsidR="0029371B">
        <w:rPr>
          <w:b w:val="0"/>
          <w:bCs w:val="0"/>
        </w:rPr>
        <w:tab/>
      </w:r>
      <w:r w:rsidR="0029371B">
        <w:rPr>
          <w:b w:val="0"/>
          <w:bCs w:val="0"/>
        </w:rPr>
        <w:tab/>
      </w:r>
      <w:r w:rsidR="0029371B">
        <w:rPr>
          <w:b w:val="0"/>
          <w:bCs w:val="0"/>
        </w:rPr>
        <w:tab/>
        <w:t>(202) 408-1080</w:t>
      </w:r>
    </w:p>
    <w:p w:rsidR="00497671" w:rsidP="00497671" w:rsidRDefault="00497671" w14:paraId="44630F85" w14:textId="27572A4C">
      <w:pPr>
        <w:pStyle w:val="BodyText"/>
        <w:spacing w:before="10" w:line="276" w:lineRule="auto"/>
        <w:ind w:left="720" w:hanging="360"/>
        <w:rPr>
          <w:b w:val="0"/>
          <w:bCs w:val="0"/>
        </w:rPr>
      </w:pPr>
    </w:p>
    <w:p w:rsidR="00323E88" w:rsidP="00614199" w:rsidRDefault="0029371B" w14:paraId="7E1E7898" w14:textId="5F2E0638">
      <w:pPr>
        <w:pStyle w:val="BodyText"/>
        <w:spacing w:before="10" w:line="276" w:lineRule="auto"/>
        <w:ind w:left="360"/>
        <w:rPr>
          <w:b w:val="0"/>
          <w:bCs w:val="0"/>
        </w:rPr>
      </w:pPr>
      <w:r>
        <w:rPr>
          <w:b w:val="0"/>
          <w:bCs w:val="0"/>
        </w:rPr>
        <w:t xml:space="preserve">Anne </w:t>
      </w:r>
      <w:proofErr w:type="spellStart"/>
      <w:r>
        <w:rPr>
          <w:b w:val="0"/>
          <w:bCs w:val="0"/>
        </w:rPr>
        <w:t>Polivka</w:t>
      </w:r>
      <w:proofErr w:type="spellEnd"/>
      <w:r>
        <w:rPr>
          <w:b w:val="0"/>
          <w:bCs w:val="0"/>
        </w:rPr>
        <w:tab/>
      </w:r>
      <w:r>
        <w:rPr>
          <w:b w:val="0"/>
          <w:bCs w:val="0"/>
        </w:rPr>
        <w:tab/>
      </w:r>
      <w:r>
        <w:rPr>
          <w:b w:val="0"/>
          <w:bCs w:val="0"/>
        </w:rPr>
        <w:tab/>
      </w:r>
      <w:r>
        <w:rPr>
          <w:b w:val="0"/>
          <w:bCs w:val="0"/>
        </w:rPr>
        <w:tab/>
        <w:t>Kathleen Call</w:t>
      </w:r>
    </w:p>
    <w:p w:rsidR="0029371B" w:rsidP="00614199" w:rsidRDefault="0029371B" w14:paraId="76B918DF" w14:textId="1C142925">
      <w:pPr>
        <w:pStyle w:val="BodyText"/>
        <w:spacing w:before="10" w:line="276" w:lineRule="auto"/>
        <w:ind w:left="360"/>
        <w:rPr>
          <w:b w:val="0"/>
          <w:bCs w:val="0"/>
        </w:rPr>
      </w:pPr>
      <w:r>
        <w:rPr>
          <w:b w:val="0"/>
          <w:bCs w:val="0"/>
        </w:rPr>
        <w:t>Bureau of Labor Statistics</w:t>
      </w:r>
      <w:r>
        <w:rPr>
          <w:b w:val="0"/>
          <w:bCs w:val="0"/>
        </w:rPr>
        <w:tab/>
      </w:r>
      <w:r>
        <w:rPr>
          <w:b w:val="0"/>
          <w:bCs w:val="0"/>
        </w:rPr>
        <w:tab/>
      </w:r>
      <w:r>
        <w:rPr>
          <w:b w:val="0"/>
          <w:bCs w:val="0"/>
        </w:rPr>
        <w:tab/>
        <w:t>SHADAC</w:t>
      </w:r>
    </w:p>
    <w:p w:rsidR="0029371B" w:rsidP="00614199" w:rsidRDefault="0029371B" w14:paraId="0E6D3F91" w14:textId="40FC7CDD">
      <w:pPr>
        <w:pStyle w:val="BodyText"/>
        <w:spacing w:before="10" w:line="276" w:lineRule="auto"/>
        <w:ind w:left="360"/>
        <w:rPr>
          <w:b w:val="0"/>
          <w:bCs w:val="0"/>
        </w:rPr>
      </w:pPr>
      <w:r>
        <w:rPr>
          <w:b w:val="0"/>
          <w:bCs w:val="0"/>
        </w:rPr>
        <w:t>Department of Labor</w:t>
      </w:r>
      <w:r>
        <w:rPr>
          <w:b w:val="0"/>
          <w:bCs w:val="0"/>
        </w:rPr>
        <w:tab/>
      </w:r>
      <w:r>
        <w:rPr>
          <w:b w:val="0"/>
          <w:bCs w:val="0"/>
        </w:rPr>
        <w:tab/>
      </w:r>
      <w:r>
        <w:rPr>
          <w:b w:val="0"/>
          <w:bCs w:val="0"/>
        </w:rPr>
        <w:tab/>
        <w:t>shadac@umn.edi</w:t>
      </w:r>
    </w:p>
    <w:p w:rsidR="0029371B" w:rsidP="00614199" w:rsidRDefault="0029371B" w14:paraId="6A97D5B6" w14:textId="0C07B59B">
      <w:pPr>
        <w:pStyle w:val="BodyText"/>
        <w:spacing w:before="10" w:line="276" w:lineRule="auto"/>
        <w:ind w:left="360"/>
        <w:rPr>
          <w:b w:val="0"/>
          <w:bCs w:val="0"/>
        </w:rPr>
      </w:pPr>
      <w:r>
        <w:rPr>
          <w:b w:val="0"/>
          <w:bCs w:val="0"/>
        </w:rPr>
        <w:t>(202) 306-7395</w:t>
      </w:r>
      <w:r>
        <w:rPr>
          <w:b w:val="0"/>
          <w:bCs w:val="0"/>
        </w:rPr>
        <w:tab/>
      </w:r>
      <w:r>
        <w:rPr>
          <w:b w:val="0"/>
          <w:bCs w:val="0"/>
        </w:rPr>
        <w:tab/>
      </w:r>
      <w:r>
        <w:rPr>
          <w:b w:val="0"/>
          <w:bCs w:val="0"/>
        </w:rPr>
        <w:tab/>
      </w:r>
      <w:r>
        <w:rPr>
          <w:b w:val="0"/>
          <w:bCs w:val="0"/>
        </w:rPr>
        <w:tab/>
        <w:t>(612) 624-4802</w:t>
      </w:r>
    </w:p>
    <w:p w:rsidR="00323E88" w:rsidP="00614199" w:rsidRDefault="00323E88" w14:paraId="51EB7243" w14:textId="77777777">
      <w:pPr>
        <w:pStyle w:val="BodyText"/>
        <w:spacing w:before="10" w:line="276" w:lineRule="auto"/>
        <w:ind w:left="360"/>
        <w:rPr>
          <w:b w:val="0"/>
          <w:bCs w:val="0"/>
        </w:rPr>
      </w:pPr>
    </w:p>
    <w:p w:rsidRPr="00614199" w:rsidR="00614199" w:rsidP="00614199" w:rsidRDefault="00614199" w14:paraId="764D0DCD" w14:textId="06EF1176">
      <w:pPr>
        <w:pStyle w:val="BodyText"/>
        <w:spacing w:before="10" w:line="276" w:lineRule="auto"/>
        <w:ind w:left="360"/>
        <w:rPr>
          <w:b w:val="0"/>
          <w:bCs w:val="0"/>
        </w:rPr>
      </w:pPr>
      <w:r w:rsidRPr="00614199">
        <w:rPr>
          <w:b w:val="0"/>
          <w:bCs w:val="0"/>
        </w:rPr>
        <w:t>In addition, a statement soliciting comments for improving this supplement is prominently placed in all Census Bureau publications that cite ASEC data and a similar statement is included in the technical documentation that accompanies the ASEC microdata files.</w:t>
      </w:r>
    </w:p>
    <w:p w:rsidRPr="00614199" w:rsidR="00614199" w:rsidP="00614199" w:rsidRDefault="00614199" w14:paraId="0517585A" w14:textId="77777777">
      <w:pPr>
        <w:pStyle w:val="BodyText"/>
        <w:spacing w:before="10" w:line="276" w:lineRule="auto"/>
        <w:ind w:left="360" w:hanging="360"/>
        <w:rPr>
          <w:b w:val="0"/>
          <w:bCs w:val="0"/>
        </w:rPr>
      </w:pPr>
    </w:p>
    <w:p w:rsidRPr="00614199" w:rsidR="00DC7E21" w:rsidP="00614199" w:rsidRDefault="00614199" w14:paraId="749B1E24" w14:textId="1838D169">
      <w:pPr>
        <w:pStyle w:val="BodyText"/>
        <w:spacing w:before="10" w:line="276" w:lineRule="auto"/>
        <w:ind w:left="360"/>
        <w:rPr>
          <w:b w:val="0"/>
          <w:bCs w:val="0"/>
        </w:rPr>
      </w:pPr>
      <w:r w:rsidRPr="00614199">
        <w:rPr>
          <w:b w:val="0"/>
          <w:bCs w:val="0"/>
        </w:rPr>
        <w:lastRenderedPageBreak/>
        <w:t>Finally, advance letters (see Attachments D and H) provide respondents with an address at the Census Bureau and at the OMB to which they can submit general comments on the survey, specifically those regarding respondent burden.</w:t>
      </w:r>
    </w:p>
    <w:p w:rsidRPr="00CD619D" w:rsidR="00641B5A" w:rsidP="00CD619D" w:rsidRDefault="00641B5A" w14:paraId="60F78556" w14:textId="77777777">
      <w:pPr>
        <w:pStyle w:val="BodyText"/>
        <w:spacing w:before="10" w:line="276" w:lineRule="auto"/>
        <w:ind w:left="360" w:hanging="360"/>
      </w:pPr>
    </w:p>
    <w:p w:rsidRPr="00CD619D" w:rsidR="000148AA" w:rsidP="00CD619D" w:rsidRDefault="00214F97" w14:paraId="12C32AB5" w14:textId="64D4BB96">
      <w:pPr>
        <w:pStyle w:val="ListParagraph"/>
        <w:tabs>
          <w:tab w:val="left" w:pos="872"/>
        </w:tabs>
        <w:spacing w:line="276" w:lineRule="auto"/>
        <w:ind w:left="360" w:right="638" w:hanging="360"/>
        <w:rPr>
          <w:b/>
          <w:sz w:val="24"/>
          <w:szCs w:val="24"/>
          <w:lang w:bidi="he-IL"/>
        </w:rPr>
      </w:pPr>
      <w:r w:rsidRPr="00CD619D">
        <w:rPr>
          <w:b/>
          <w:spacing w:val="-3"/>
          <w:sz w:val="24"/>
          <w:szCs w:val="24"/>
        </w:rPr>
        <w:t xml:space="preserve">9. </w:t>
      </w:r>
      <w:r w:rsidRPr="00CD619D">
        <w:rPr>
          <w:b/>
          <w:spacing w:val="-3"/>
          <w:sz w:val="24"/>
          <w:szCs w:val="24"/>
        </w:rPr>
        <w:tab/>
      </w:r>
      <w:r w:rsidR="00EC2FC4">
        <w:rPr>
          <w:b/>
          <w:sz w:val="24"/>
          <w:szCs w:val="24"/>
          <w:lang w:bidi="he-IL"/>
        </w:rPr>
        <w:t>Explanation of A</w:t>
      </w:r>
      <w:r w:rsidRPr="00CD619D" w:rsidR="008E0A73">
        <w:rPr>
          <w:b/>
          <w:sz w:val="24"/>
          <w:szCs w:val="24"/>
          <w:lang w:bidi="he-IL"/>
        </w:rPr>
        <w:t xml:space="preserve">ny </w:t>
      </w:r>
      <w:r w:rsidR="00EC2FC4">
        <w:rPr>
          <w:b/>
          <w:sz w:val="24"/>
          <w:szCs w:val="24"/>
          <w:lang w:bidi="he-IL"/>
        </w:rPr>
        <w:t>Pa</w:t>
      </w:r>
      <w:r w:rsidRPr="00CD619D" w:rsidR="008E0A73">
        <w:rPr>
          <w:b/>
          <w:sz w:val="24"/>
          <w:szCs w:val="24"/>
          <w:lang w:bidi="he-IL"/>
        </w:rPr>
        <w:t xml:space="preserve">yment or </w:t>
      </w:r>
      <w:r w:rsidR="00EC2FC4">
        <w:rPr>
          <w:b/>
          <w:sz w:val="24"/>
          <w:szCs w:val="24"/>
          <w:lang w:bidi="he-IL"/>
        </w:rPr>
        <w:t>G</w:t>
      </w:r>
      <w:r w:rsidRPr="00CD619D" w:rsidR="008E0A73">
        <w:rPr>
          <w:b/>
          <w:sz w:val="24"/>
          <w:szCs w:val="24"/>
          <w:lang w:bidi="he-IL"/>
        </w:rPr>
        <w:t xml:space="preserve">ift to </w:t>
      </w:r>
      <w:r w:rsidR="00EC2FC4">
        <w:rPr>
          <w:b/>
          <w:sz w:val="24"/>
          <w:szCs w:val="24"/>
          <w:lang w:bidi="he-IL"/>
        </w:rPr>
        <w:t>R</w:t>
      </w:r>
      <w:r w:rsidRPr="00CD619D" w:rsidR="008E0A73">
        <w:rPr>
          <w:b/>
          <w:sz w:val="24"/>
          <w:szCs w:val="24"/>
          <w:lang w:bidi="he-IL"/>
        </w:rPr>
        <w:t>espondents</w:t>
      </w:r>
    </w:p>
    <w:p w:rsidR="000148AA" w:rsidP="00CD619D" w:rsidRDefault="006A4BC5" w14:paraId="0A1D1E99" w14:textId="6DF6060A">
      <w:pPr>
        <w:pStyle w:val="BodyText"/>
        <w:spacing w:before="10" w:line="276" w:lineRule="auto"/>
        <w:ind w:left="360" w:hanging="360"/>
        <w:rPr>
          <w:color w:val="FF0000"/>
        </w:rPr>
      </w:pPr>
      <w:r>
        <w:rPr>
          <w:color w:val="FF0000"/>
        </w:rPr>
        <w:tab/>
      </w:r>
    </w:p>
    <w:p w:rsidRPr="00CD619D" w:rsidR="006A4BC5" w:rsidP="00DC7E21" w:rsidRDefault="006A4BC5" w14:paraId="12529350" w14:textId="7DE03626">
      <w:pPr>
        <w:pStyle w:val="BodyText"/>
        <w:spacing w:line="276" w:lineRule="auto"/>
        <w:ind w:left="360" w:hanging="360"/>
      </w:pPr>
      <w:r>
        <w:rPr>
          <w:color w:val="FF0000"/>
        </w:rPr>
        <w:tab/>
      </w:r>
      <w:r w:rsidRPr="00C30B6A" w:rsidR="003572B1">
        <w:rPr>
          <w:b w:val="0"/>
          <w:bCs w:val="0"/>
        </w:rPr>
        <w:t>We do not pay the CPS respondents or provide them with gifts.</w:t>
      </w:r>
    </w:p>
    <w:p w:rsidRPr="00CD619D" w:rsidR="00641B5A" w:rsidP="00CD619D" w:rsidRDefault="00641B5A" w14:paraId="1A2B9778" w14:textId="77777777">
      <w:pPr>
        <w:pStyle w:val="BodyText"/>
        <w:spacing w:before="10" w:line="276" w:lineRule="auto"/>
        <w:ind w:left="360" w:hanging="360"/>
      </w:pPr>
    </w:p>
    <w:p w:rsidRPr="00CD619D" w:rsidR="000148AA" w:rsidP="00CD619D" w:rsidRDefault="00214F97" w14:paraId="155E9FCD" w14:textId="579C4B09">
      <w:pPr>
        <w:pStyle w:val="ListParagraph"/>
        <w:tabs>
          <w:tab w:val="left" w:pos="872"/>
        </w:tabs>
        <w:spacing w:before="1" w:line="276" w:lineRule="auto"/>
        <w:ind w:left="360" w:right="201" w:hanging="360"/>
        <w:rPr>
          <w:b/>
          <w:sz w:val="24"/>
          <w:szCs w:val="24"/>
        </w:rPr>
      </w:pPr>
      <w:r w:rsidRPr="00CD619D">
        <w:rPr>
          <w:b/>
          <w:spacing w:val="1"/>
          <w:sz w:val="24"/>
          <w:szCs w:val="24"/>
        </w:rPr>
        <w:t>10.</w:t>
      </w:r>
      <w:r w:rsidR="00EC2FC4">
        <w:rPr>
          <w:b/>
          <w:spacing w:val="1"/>
          <w:sz w:val="24"/>
          <w:szCs w:val="24"/>
        </w:rPr>
        <w:t xml:space="preserve"> A</w:t>
      </w:r>
      <w:r w:rsidRPr="00CD619D" w:rsidR="008E0A73">
        <w:rPr>
          <w:b/>
          <w:sz w:val="24"/>
          <w:szCs w:val="24"/>
          <w:lang w:bidi="he-IL"/>
        </w:rPr>
        <w:t xml:space="preserve">ssurance of </w:t>
      </w:r>
      <w:r w:rsidR="00EC2FC4">
        <w:rPr>
          <w:b/>
          <w:sz w:val="24"/>
          <w:szCs w:val="24"/>
          <w:lang w:bidi="he-IL"/>
        </w:rPr>
        <w:t>C</w:t>
      </w:r>
      <w:r w:rsidRPr="00CD619D" w:rsidR="008E0A73">
        <w:rPr>
          <w:b/>
          <w:sz w:val="24"/>
          <w:szCs w:val="24"/>
          <w:lang w:bidi="he-IL"/>
        </w:rPr>
        <w:t xml:space="preserve">onfidentiality </w:t>
      </w:r>
      <w:r w:rsidR="00EC2FC4">
        <w:rPr>
          <w:b/>
          <w:sz w:val="24"/>
          <w:szCs w:val="24"/>
          <w:lang w:bidi="he-IL"/>
        </w:rPr>
        <w:t>Given</w:t>
      </w:r>
      <w:r w:rsidRPr="00CD619D" w:rsidR="008E0A73">
        <w:rPr>
          <w:b/>
          <w:sz w:val="24"/>
          <w:szCs w:val="24"/>
          <w:lang w:bidi="he-IL"/>
        </w:rPr>
        <w:t xml:space="preserve"> to </w:t>
      </w:r>
      <w:r w:rsidR="00EC2FC4">
        <w:rPr>
          <w:b/>
          <w:sz w:val="24"/>
          <w:szCs w:val="24"/>
          <w:lang w:bidi="he-IL"/>
        </w:rPr>
        <w:t>R</w:t>
      </w:r>
      <w:r w:rsidRPr="00CD619D" w:rsidR="008E0A73">
        <w:rPr>
          <w:b/>
          <w:sz w:val="24"/>
          <w:szCs w:val="24"/>
          <w:lang w:bidi="he-IL"/>
        </w:rPr>
        <w:t>espondents</w:t>
      </w:r>
    </w:p>
    <w:p w:rsidR="000148AA" w:rsidP="00CD619D" w:rsidRDefault="000148AA" w14:paraId="3230334D" w14:textId="4FAA25E7">
      <w:pPr>
        <w:pStyle w:val="BodyText"/>
        <w:spacing w:before="4" w:line="276" w:lineRule="auto"/>
        <w:ind w:left="360" w:hanging="360"/>
        <w:rPr>
          <w:color w:val="FF0000"/>
        </w:rPr>
      </w:pPr>
    </w:p>
    <w:p w:rsidRPr="003572B1" w:rsidR="003572B1" w:rsidP="003572B1" w:rsidRDefault="003572B1" w14:paraId="1E568245" w14:textId="77777777">
      <w:pPr>
        <w:pStyle w:val="BodyText"/>
        <w:spacing w:before="4" w:line="276" w:lineRule="auto"/>
        <w:ind w:left="360"/>
        <w:rPr>
          <w:b w:val="0"/>
          <w:bCs w:val="0"/>
        </w:rPr>
      </w:pPr>
      <w:r w:rsidRPr="003572B1">
        <w:rPr>
          <w:b w:val="0"/>
          <w:bCs w:val="0"/>
        </w:rPr>
        <w:t xml:space="preserve">We will collect these supplemental data in compliance with the Privacy Act of 1974.  Each sample household will receive an advance letter approximately one week before the start of the initial CPS interview (see Attachments D &amp; E).  The letter includes the information required by the Privacy Act of 1974, informs each respondent of the voluntary nature of the survey, and states the estimated time required for participating in the survey.  </w:t>
      </w:r>
    </w:p>
    <w:p w:rsidRPr="003572B1" w:rsidR="003572B1" w:rsidP="003572B1" w:rsidRDefault="003572B1" w14:paraId="77D042E4" w14:textId="77777777">
      <w:pPr>
        <w:pStyle w:val="BodyText"/>
        <w:spacing w:before="4" w:line="276" w:lineRule="auto"/>
        <w:ind w:left="360" w:hanging="360"/>
        <w:rPr>
          <w:b w:val="0"/>
          <w:bCs w:val="0"/>
        </w:rPr>
      </w:pPr>
    </w:p>
    <w:p w:rsidRPr="00CD619D" w:rsidR="003572B1" w:rsidP="00DC7E21" w:rsidRDefault="003572B1" w14:paraId="4D7CFE09" w14:textId="1D8A3F60">
      <w:pPr>
        <w:pStyle w:val="BodyText"/>
        <w:spacing w:before="4" w:line="276" w:lineRule="auto"/>
        <w:ind w:left="360"/>
      </w:pPr>
      <w:r w:rsidRPr="003572B1">
        <w:rPr>
          <w:b w:val="0"/>
          <w:bCs w:val="0"/>
        </w:rPr>
        <w:t>Additionally, interviewers must ask each respondent if he/she received the advance letter and, if not, will provide a copy of the letter to each respondent and allow sufficient time for him/her to read its contents.  Upon request, interviewers also provide households with the pamphlet on "How the Census Bureau Keeps Your Information Strictly Confidential," which reaffirms the confidentiality assurances and mentions the Census Bureau's past performance in assuring confidentiality (see Attachments F &amp; G).  All information given by respondents to Census Bureau employees is held in strict confidence under Title 13, United States Code, Section 9.  Each Census Bureau employee has taken an oath to that effect and is subject to a jail penalty and/or a substantial fine if he/she discloses any information given to him/her.</w:t>
      </w:r>
    </w:p>
    <w:p w:rsidRPr="00CD619D" w:rsidR="00641B5A" w:rsidP="00CD619D" w:rsidRDefault="00641B5A" w14:paraId="7E2CD8C0" w14:textId="77777777">
      <w:pPr>
        <w:pStyle w:val="BodyText"/>
        <w:spacing w:before="4" w:line="276" w:lineRule="auto"/>
        <w:ind w:left="360" w:hanging="360"/>
      </w:pPr>
    </w:p>
    <w:p w:rsidRPr="00CD619D" w:rsidR="000148AA" w:rsidP="00CD619D" w:rsidRDefault="00214F97" w14:paraId="19843E68" w14:textId="7DA512E4">
      <w:pPr>
        <w:pStyle w:val="ListParagraph"/>
        <w:tabs>
          <w:tab w:val="left" w:pos="872"/>
        </w:tabs>
        <w:spacing w:before="1" w:line="276" w:lineRule="auto"/>
        <w:ind w:left="360" w:right="726" w:hanging="360"/>
        <w:rPr>
          <w:b/>
          <w:sz w:val="24"/>
          <w:szCs w:val="24"/>
        </w:rPr>
      </w:pPr>
      <w:r w:rsidRPr="00CD619D">
        <w:rPr>
          <w:b/>
          <w:sz w:val="24"/>
          <w:szCs w:val="24"/>
        </w:rPr>
        <w:t xml:space="preserve">11. </w:t>
      </w:r>
      <w:r w:rsidR="00EC2FC4">
        <w:rPr>
          <w:b/>
          <w:sz w:val="24"/>
          <w:szCs w:val="24"/>
          <w:lang w:bidi="he-IL"/>
        </w:rPr>
        <w:t>J</w:t>
      </w:r>
      <w:r w:rsidRPr="00CD619D" w:rsidR="008E0A73">
        <w:rPr>
          <w:b/>
          <w:sz w:val="24"/>
          <w:szCs w:val="24"/>
          <w:lang w:bidi="he-IL"/>
        </w:rPr>
        <w:t>ustification f</w:t>
      </w:r>
      <w:r w:rsidR="00EC2FC4">
        <w:rPr>
          <w:b/>
          <w:sz w:val="24"/>
          <w:szCs w:val="24"/>
          <w:lang w:bidi="he-IL"/>
        </w:rPr>
        <w:t>or</w:t>
      </w:r>
      <w:r w:rsidRPr="00CD619D" w:rsidR="008E0A73">
        <w:rPr>
          <w:b/>
          <w:sz w:val="24"/>
          <w:szCs w:val="24"/>
          <w:lang w:bidi="he-IL"/>
        </w:rPr>
        <w:t xml:space="preserve"> </w:t>
      </w:r>
      <w:r w:rsidR="00EC2FC4">
        <w:rPr>
          <w:b/>
          <w:sz w:val="24"/>
          <w:szCs w:val="24"/>
          <w:lang w:bidi="he-IL"/>
        </w:rPr>
        <w:t>S</w:t>
      </w:r>
      <w:r w:rsidRPr="00CD619D" w:rsidR="008E0A73">
        <w:rPr>
          <w:b/>
          <w:sz w:val="24"/>
          <w:szCs w:val="24"/>
          <w:lang w:bidi="he-IL"/>
        </w:rPr>
        <w:t xml:space="preserve">ensitive </w:t>
      </w:r>
      <w:r w:rsidR="00EC2FC4">
        <w:rPr>
          <w:b/>
          <w:sz w:val="24"/>
          <w:szCs w:val="24"/>
          <w:lang w:bidi="he-IL"/>
        </w:rPr>
        <w:t>Questions</w:t>
      </w:r>
    </w:p>
    <w:p w:rsidR="000148AA" w:rsidP="00CD619D" w:rsidRDefault="000148AA" w14:paraId="131BB0AB" w14:textId="1332684B">
      <w:pPr>
        <w:pStyle w:val="BodyText"/>
        <w:spacing w:before="4" w:line="276" w:lineRule="auto"/>
        <w:ind w:left="360" w:hanging="360"/>
        <w:rPr>
          <w:color w:val="FF0000"/>
        </w:rPr>
      </w:pPr>
    </w:p>
    <w:p w:rsidRPr="00CD619D" w:rsidR="003572B1" w:rsidP="00DC7E21" w:rsidRDefault="003572B1" w14:paraId="0FD7C217" w14:textId="5BAE0B2F">
      <w:pPr>
        <w:pStyle w:val="BodyText"/>
        <w:spacing w:before="4" w:line="276" w:lineRule="auto"/>
        <w:ind w:left="360"/>
      </w:pPr>
      <w:r w:rsidRPr="003572B1">
        <w:rPr>
          <w:b w:val="0"/>
          <w:bCs w:val="0"/>
        </w:rPr>
        <w:t>The sources of income and assets are among the kinds of data collected and possibly considered of a sensitive nature. The Census Bureau takes the position that the collection of these types of data is necessary for the analysis of important policy and program issues, and consequently has structured the questions to lessen their sensitivity.  The Census Bureau pledges its commitment to keep all survey responses confidential (Attachment D), and response is voluntary, however, each unanswered question lessens the accuracy of the final data.</w:t>
      </w:r>
    </w:p>
    <w:p w:rsidRPr="00CD619D" w:rsidR="00641B5A" w:rsidP="0051294C" w:rsidRDefault="00641B5A" w14:paraId="28555C7A" w14:textId="77777777">
      <w:pPr>
        <w:pStyle w:val="BodyText"/>
        <w:spacing w:before="4" w:line="276" w:lineRule="auto"/>
      </w:pPr>
    </w:p>
    <w:p w:rsidRPr="00CD619D" w:rsidR="000148AA" w:rsidP="00CD619D" w:rsidRDefault="00214F97" w14:paraId="6DC976D1" w14:textId="3B56D127">
      <w:pPr>
        <w:pStyle w:val="ListParagraph"/>
        <w:tabs>
          <w:tab w:val="left" w:pos="856"/>
        </w:tabs>
        <w:spacing w:line="276" w:lineRule="auto"/>
        <w:ind w:left="360" w:right="1134" w:hanging="360"/>
        <w:rPr>
          <w:b/>
          <w:sz w:val="24"/>
          <w:szCs w:val="24"/>
        </w:rPr>
      </w:pPr>
      <w:r w:rsidRPr="00CD619D">
        <w:rPr>
          <w:b/>
          <w:sz w:val="24"/>
          <w:szCs w:val="24"/>
        </w:rPr>
        <w:t xml:space="preserve">12. </w:t>
      </w:r>
      <w:r w:rsidR="00EC2FC4">
        <w:rPr>
          <w:b/>
          <w:sz w:val="24"/>
          <w:szCs w:val="24"/>
          <w:lang w:bidi="he-IL"/>
        </w:rPr>
        <w:t>E</w:t>
      </w:r>
      <w:r w:rsidRPr="00CD619D" w:rsidR="008E0A73">
        <w:rPr>
          <w:b/>
          <w:sz w:val="24"/>
          <w:szCs w:val="24"/>
          <w:lang w:bidi="he-IL"/>
        </w:rPr>
        <w:t xml:space="preserve">stimates of </w:t>
      </w:r>
      <w:r w:rsidR="00EC2FC4">
        <w:rPr>
          <w:b/>
          <w:sz w:val="24"/>
          <w:szCs w:val="24"/>
          <w:lang w:bidi="he-IL"/>
        </w:rPr>
        <w:t>Annualized H</w:t>
      </w:r>
      <w:r w:rsidRPr="00CD619D" w:rsidR="008E0A73">
        <w:rPr>
          <w:b/>
          <w:sz w:val="24"/>
          <w:szCs w:val="24"/>
          <w:lang w:bidi="he-IL"/>
        </w:rPr>
        <w:t>our</w:t>
      </w:r>
      <w:r w:rsidR="00EC2FC4">
        <w:rPr>
          <w:b/>
          <w:sz w:val="24"/>
          <w:szCs w:val="24"/>
          <w:lang w:bidi="he-IL"/>
        </w:rPr>
        <w:t>s and Cost</w:t>
      </w:r>
      <w:r w:rsidRPr="00CD619D" w:rsidR="008E0A73">
        <w:rPr>
          <w:b/>
          <w:sz w:val="24"/>
          <w:szCs w:val="24"/>
          <w:lang w:bidi="he-IL"/>
        </w:rPr>
        <w:t xml:space="preserve"> </w:t>
      </w:r>
      <w:r w:rsidR="00EC2FC4">
        <w:rPr>
          <w:b/>
          <w:sz w:val="24"/>
          <w:szCs w:val="24"/>
          <w:lang w:bidi="he-IL"/>
        </w:rPr>
        <w:t>B</w:t>
      </w:r>
      <w:r w:rsidRPr="00CD619D" w:rsidR="008E0A73">
        <w:rPr>
          <w:b/>
          <w:sz w:val="24"/>
          <w:szCs w:val="24"/>
          <w:lang w:bidi="he-IL"/>
        </w:rPr>
        <w:t>urden</w:t>
      </w:r>
    </w:p>
    <w:p w:rsidRPr="00CD619D" w:rsidR="000148AA" w:rsidP="00CD619D" w:rsidRDefault="000148AA" w14:paraId="64E024D9" w14:textId="77777777">
      <w:pPr>
        <w:pStyle w:val="BodyText"/>
        <w:spacing w:before="7" w:line="276" w:lineRule="auto"/>
        <w:ind w:left="360" w:hanging="360"/>
      </w:pPr>
    </w:p>
    <w:p w:rsidRPr="003572B1" w:rsidR="003572B1" w:rsidP="00570363" w:rsidRDefault="003572B1" w14:paraId="5BC51B1B" w14:textId="63D84453">
      <w:pPr>
        <w:pStyle w:val="BodyText"/>
        <w:spacing w:line="276" w:lineRule="auto"/>
        <w:ind w:left="360"/>
        <w:rPr>
          <w:b w:val="0"/>
          <w:bCs w:val="0"/>
        </w:rPr>
      </w:pPr>
      <w:r w:rsidRPr="003572B1">
        <w:rPr>
          <w:b w:val="0"/>
          <w:bCs w:val="0"/>
        </w:rPr>
        <w:t>The total estimated respondent burden is 32,500 hours for fiscal year 20</w:t>
      </w:r>
      <w:r w:rsidR="00570363">
        <w:rPr>
          <w:b w:val="0"/>
          <w:bCs w:val="0"/>
        </w:rPr>
        <w:t>22</w:t>
      </w:r>
      <w:r w:rsidRPr="003572B1">
        <w:rPr>
          <w:b w:val="0"/>
          <w:bCs w:val="0"/>
        </w:rPr>
        <w:t xml:space="preserve">.  We base this estimate on previously conducted ASEC supplements and previous use of automated interviewing procedures in the CPS.  The actual interview time is dependent upon the size of the household. </w:t>
      </w:r>
    </w:p>
    <w:p w:rsidRPr="003572B1" w:rsidR="003572B1" w:rsidP="003572B1" w:rsidRDefault="003572B1" w14:paraId="33ADB89F" w14:textId="77777777">
      <w:pPr>
        <w:pStyle w:val="BodyText"/>
        <w:spacing w:line="276" w:lineRule="auto"/>
        <w:ind w:left="1080" w:hanging="360"/>
        <w:rPr>
          <w:b w:val="0"/>
          <w:bCs w:val="0"/>
        </w:rPr>
      </w:pPr>
    </w:p>
    <w:p w:rsidR="00570363" w:rsidP="00570363" w:rsidRDefault="003572B1" w14:paraId="1447B60C" w14:textId="2B7626CC">
      <w:pPr>
        <w:pStyle w:val="BodyText"/>
        <w:spacing w:line="276" w:lineRule="auto"/>
        <w:ind w:left="360"/>
        <w:rPr>
          <w:b w:val="0"/>
          <w:bCs w:val="0"/>
        </w:rPr>
      </w:pPr>
      <w:r w:rsidRPr="003572B1">
        <w:rPr>
          <w:b w:val="0"/>
          <w:bCs w:val="0"/>
        </w:rPr>
        <w:t xml:space="preserve">For the ASEC, there will be approximately </w:t>
      </w:r>
      <w:r w:rsidR="00E90FA9">
        <w:rPr>
          <w:b w:val="0"/>
          <w:bCs w:val="0"/>
        </w:rPr>
        <w:t>7</w:t>
      </w:r>
      <w:r w:rsidRPr="003572B1">
        <w:rPr>
          <w:b w:val="0"/>
          <w:bCs w:val="0"/>
        </w:rPr>
        <w:t xml:space="preserve">8,000 households interviewed with one respondent </w:t>
      </w:r>
      <w:r w:rsidRPr="003572B1">
        <w:rPr>
          <w:b w:val="0"/>
          <w:bCs w:val="0"/>
        </w:rPr>
        <w:lastRenderedPageBreak/>
        <w:t xml:space="preserve">per household.  The average time of the interview is 25 minutes; therefore, the total estimated respondent burden is </w:t>
      </w:r>
      <w:r w:rsidR="00DC7E21">
        <w:rPr>
          <w:b w:val="0"/>
          <w:bCs w:val="0"/>
        </w:rPr>
        <w:t>32,500</w:t>
      </w:r>
      <w:r w:rsidRPr="003572B1">
        <w:rPr>
          <w:b w:val="0"/>
          <w:bCs w:val="0"/>
        </w:rPr>
        <w:t xml:space="preserve"> hours for fiscal year 20</w:t>
      </w:r>
      <w:r w:rsidR="00570363">
        <w:rPr>
          <w:b w:val="0"/>
          <w:bCs w:val="0"/>
        </w:rPr>
        <w:t>22</w:t>
      </w:r>
      <w:r w:rsidRPr="003572B1">
        <w:rPr>
          <w:b w:val="0"/>
          <w:bCs w:val="0"/>
        </w:rPr>
        <w:t xml:space="preserve">.  See Part B for a size breakdown of the various segments of the sample. </w:t>
      </w:r>
    </w:p>
    <w:p w:rsidR="00570363" w:rsidP="00570363" w:rsidRDefault="00570363" w14:paraId="4038B26B" w14:textId="77777777">
      <w:pPr>
        <w:pStyle w:val="BodyText"/>
        <w:spacing w:line="276" w:lineRule="auto"/>
        <w:ind w:left="360"/>
        <w:rPr>
          <w:b w:val="0"/>
          <w:bCs w:val="0"/>
        </w:rPr>
      </w:pPr>
    </w:p>
    <w:p w:rsidRPr="00570363" w:rsidR="003572B1" w:rsidP="00570363" w:rsidRDefault="00570363" w14:paraId="2A906F20" w14:textId="18FDA97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color w:val="000000"/>
          <w:sz w:val="24"/>
          <w:szCs w:val="24"/>
          <w:lang w:bidi="ar-SA"/>
        </w:rPr>
      </w:pPr>
      <w:r w:rsidRPr="00E405B5">
        <w:rPr>
          <w:color w:val="000000"/>
          <w:sz w:val="24"/>
          <w:szCs w:val="24"/>
          <w:lang w:bidi="ar-SA"/>
        </w:rPr>
        <w:t>The estimated total annual respondent cost burden based on these hours is $</w:t>
      </w:r>
      <w:r w:rsidR="0063462A">
        <w:rPr>
          <w:color w:val="000000"/>
          <w:sz w:val="24"/>
          <w:szCs w:val="24"/>
          <w:lang w:bidi="ar-SA"/>
        </w:rPr>
        <w:t>2,307,240</w:t>
      </w:r>
      <w:r w:rsidRPr="00E405B5">
        <w:rPr>
          <w:color w:val="000000"/>
          <w:sz w:val="24"/>
          <w:szCs w:val="24"/>
          <w:lang w:bidi="ar-SA"/>
        </w:rPr>
        <w:t>.  For individuals, the wage rate is $</w:t>
      </w:r>
      <w:r>
        <w:rPr>
          <w:color w:val="000000"/>
          <w:sz w:val="24"/>
          <w:szCs w:val="24"/>
          <w:lang w:bidi="ar-SA"/>
        </w:rPr>
        <w:t>29.58</w:t>
      </w:r>
      <w:r w:rsidRPr="00E405B5">
        <w:rPr>
          <w:color w:val="000000"/>
          <w:sz w:val="24"/>
          <w:szCs w:val="24"/>
          <w:lang w:bidi="ar-SA"/>
        </w:rPr>
        <w:t xml:space="preserve"> per hour based on hourly earnings for employees as reported by the Bureau of Labor Statistics. </w:t>
      </w:r>
      <w:r w:rsidRPr="003572B1" w:rsidR="003572B1">
        <w:t xml:space="preserve">  </w:t>
      </w:r>
    </w:p>
    <w:p w:rsidR="00570363" w:rsidP="00570363" w:rsidRDefault="00570363" w14:paraId="5B556008" w14:textId="77777777">
      <w:pPr>
        <w:widowControl/>
        <w:autoSpaceDE/>
        <w:autoSpaceDN/>
        <w:rPr>
          <w:b/>
          <w:sz w:val="24"/>
        </w:rPr>
      </w:pPr>
    </w:p>
    <w:p w:rsidR="00570363" w:rsidP="00570363" w:rsidRDefault="00570363" w14:paraId="755202B2" w14:textId="77777777">
      <w:pPr>
        <w:widowControl/>
        <w:autoSpaceDE/>
        <w:autoSpaceDN/>
        <w:rPr>
          <w:b/>
          <w:sz w:val="24"/>
        </w:rPr>
      </w:pPr>
    </w:p>
    <w:p w:rsidRPr="0045203B" w:rsidR="00570363" w:rsidP="00570363" w:rsidRDefault="00570363" w14:paraId="663E672A" w14:textId="77777777">
      <w:pPr>
        <w:widowControl/>
        <w:autoSpaceDE/>
        <w:autoSpaceDN/>
        <w:rPr>
          <w:b/>
          <w:sz w:val="24"/>
        </w:rPr>
      </w:pPr>
      <w:r w:rsidRPr="0045203B">
        <w:rPr>
          <w:b/>
          <w:sz w:val="24"/>
        </w:rPr>
        <w:t>12A. Estimated Annualized Burden Hours</w:t>
      </w:r>
    </w:p>
    <w:p w:rsidRPr="00CD619D" w:rsidR="00570363" w:rsidP="00570363" w:rsidRDefault="00570363" w14:paraId="0308A3E2" w14:textId="77777777">
      <w:pPr>
        <w:pStyle w:val="BodyText"/>
        <w:spacing w:line="276" w:lineRule="auto"/>
        <w:ind w:left="360" w:hanging="360"/>
      </w:pPr>
    </w:p>
    <w:tbl>
      <w:tblPr>
        <w:tblpPr w:leftFromText="180" w:rightFromText="180" w:vertAnchor="text" w:horzAnchor="margin" w:tblpY="-28"/>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20"/>
        <w:gridCol w:w="1620"/>
        <w:gridCol w:w="2155"/>
        <w:gridCol w:w="2160"/>
        <w:gridCol w:w="1980"/>
      </w:tblGrid>
      <w:tr w:rsidRPr="00C66CF1" w:rsidR="00570363" w:rsidTr="007063E0" w14:paraId="03352439" w14:textId="77777777">
        <w:trPr>
          <w:trHeight w:val="800"/>
        </w:trPr>
        <w:tc>
          <w:tcPr>
            <w:tcW w:w="1620" w:type="dxa"/>
            <w:shd w:val="clear" w:color="auto" w:fill="A6A6A6" w:themeFill="background1" w:themeFillShade="A6"/>
            <w:vAlign w:val="bottom"/>
          </w:tcPr>
          <w:p w:rsidRPr="0045203B" w:rsidR="00570363" w:rsidP="007063E0" w:rsidRDefault="00570363" w14:paraId="7D83BE9C" w14:textId="77777777">
            <w:pPr>
              <w:widowControl/>
              <w:tabs>
                <w:tab w:val="num" w:pos="1080"/>
              </w:tabs>
              <w:jc w:val="center"/>
              <w:rPr>
                <w:b/>
                <w:bCs/>
              </w:rPr>
            </w:pPr>
            <w:r w:rsidRPr="0045203B">
              <w:rPr>
                <w:b/>
                <w:bCs/>
              </w:rPr>
              <w:t>Type of Respondent</w:t>
            </w:r>
          </w:p>
        </w:tc>
        <w:tc>
          <w:tcPr>
            <w:tcW w:w="1620" w:type="dxa"/>
            <w:shd w:val="clear" w:color="auto" w:fill="A6A6A6" w:themeFill="background1" w:themeFillShade="A6"/>
            <w:vAlign w:val="bottom"/>
          </w:tcPr>
          <w:p w:rsidRPr="0084458A" w:rsidR="00570363" w:rsidP="007063E0" w:rsidRDefault="00570363" w14:paraId="423458A4" w14:textId="2EBA7F04">
            <w:pPr>
              <w:widowControl/>
              <w:tabs>
                <w:tab w:val="num" w:pos="1080"/>
              </w:tabs>
              <w:jc w:val="center"/>
              <w:rPr>
                <w:b/>
                <w:bCs/>
              </w:rPr>
            </w:pPr>
            <w:r w:rsidRPr="0045203B">
              <w:rPr>
                <w:b/>
                <w:bCs/>
              </w:rPr>
              <w:t>Expected Number of Respondents</w:t>
            </w:r>
          </w:p>
        </w:tc>
        <w:tc>
          <w:tcPr>
            <w:tcW w:w="2155" w:type="dxa"/>
            <w:shd w:val="clear" w:color="auto" w:fill="A6A6A6" w:themeFill="background1" w:themeFillShade="A6"/>
            <w:vAlign w:val="bottom"/>
          </w:tcPr>
          <w:p w:rsidRPr="0084458A" w:rsidR="00570363" w:rsidP="007063E0" w:rsidRDefault="00570363" w14:paraId="6D39609F" w14:textId="77777777">
            <w:pPr>
              <w:widowControl/>
              <w:tabs>
                <w:tab w:val="num" w:pos="1080"/>
              </w:tabs>
              <w:jc w:val="center"/>
              <w:rPr>
                <w:b/>
                <w:bCs/>
              </w:rPr>
            </w:pPr>
            <w:r w:rsidRPr="0084458A">
              <w:rPr>
                <w:b/>
                <w:bCs/>
              </w:rPr>
              <w:t>Number of Responses per Respondent</w:t>
            </w:r>
          </w:p>
        </w:tc>
        <w:tc>
          <w:tcPr>
            <w:tcW w:w="2160" w:type="dxa"/>
            <w:shd w:val="clear" w:color="auto" w:fill="A6A6A6" w:themeFill="background1" w:themeFillShade="A6"/>
            <w:vAlign w:val="bottom"/>
          </w:tcPr>
          <w:p w:rsidRPr="0084458A" w:rsidR="00570363" w:rsidP="007063E0" w:rsidRDefault="00570363" w14:paraId="4D3C93D2" w14:textId="77777777">
            <w:pPr>
              <w:widowControl/>
              <w:tabs>
                <w:tab w:val="num" w:pos="1080"/>
              </w:tabs>
              <w:jc w:val="center"/>
              <w:rPr>
                <w:b/>
                <w:bCs/>
              </w:rPr>
            </w:pPr>
            <w:r w:rsidRPr="0084458A">
              <w:rPr>
                <w:b/>
                <w:bCs/>
              </w:rPr>
              <w:t>Average Burden per Response</w:t>
            </w:r>
          </w:p>
          <w:p w:rsidRPr="0084458A" w:rsidR="00570363" w:rsidP="007063E0" w:rsidRDefault="00570363" w14:paraId="27FFB409" w14:textId="77777777">
            <w:pPr>
              <w:widowControl/>
              <w:tabs>
                <w:tab w:val="num" w:pos="1080"/>
              </w:tabs>
              <w:jc w:val="center"/>
              <w:rPr>
                <w:b/>
                <w:bCs/>
              </w:rPr>
            </w:pPr>
            <w:r w:rsidRPr="0084458A">
              <w:rPr>
                <w:b/>
                <w:bCs/>
              </w:rPr>
              <w:t>(in hours)</w:t>
            </w:r>
          </w:p>
        </w:tc>
        <w:tc>
          <w:tcPr>
            <w:tcW w:w="1980" w:type="dxa"/>
            <w:shd w:val="clear" w:color="auto" w:fill="A6A6A6" w:themeFill="background1" w:themeFillShade="A6"/>
            <w:vAlign w:val="bottom"/>
          </w:tcPr>
          <w:p w:rsidRPr="0084458A" w:rsidR="00570363" w:rsidP="007063E0" w:rsidRDefault="00570363" w14:paraId="17AA8175" w14:textId="77777777">
            <w:pPr>
              <w:widowControl/>
              <w:tabs>
                <w:tab w:val="num" w:pos="1080"/>
              </w:tabs>
              <w:jc w:val="center"/>
              <w:rPr>
                <w:b/>
                <w:bCs/>
              </w:rPr>
            </w:pPr>
            <w:r w:rsidRPr="0084458A">
              <w:rPr>
                <w:b/>
                <w:bCs/>
              </w:rPr>
              <w:t>Total Burden Hours</w:t>
            </w:r>
          </w:p>
        </w:tc>
      </w:tr>
      <w:tr w:rsidRPr="00C66CF1" w:rsidR="00570363" w:rsidTr="007063E0" w14:paraId="31622E2D" w14:textId="77777777">
        <w:trPr>
          <w:trHeight w:val="576"/>
        </w:trPr>
        <w:tc>
          <w:tcPr>
            <w:tcW w:w="1620" w:type="dxa"/>
            <w:vAlign w:val="center"/>
          </w:tcPr>
          <w:p w:rsidRPr="0084458A" w:rsidR="00570363" w:rsidP="007063E0" w:rsidRDefault="00570363" w14:paraId="28BB5375" w14:textId="77777777">
            <w:pPr>
              <w:widowControl/>
              <w:tabs>
                <w:tab w:val="num" w:pos="1080"/>
              </w:tabs>
              <w:spacing w:before="120"/>
              <w:jc w:val="center"/>
              <w:rPr>
                <w:b/>
                <w:bCs/>
              </w:rPr>
            </w:pPr>
            <w:r>
              <w:rPr>
                <w:b/>
                <w:bCs/>
              </w:rPr>
              <w:t>CPS Household Respondent</w:t>
            </w:r>
          </w:p>
        </w:tc>
        <w:tc>
          <w:tcPr>
            <w:tcW w:w="1620" w:type="dxa"/>
            <w:vAlign w:val="center"/>
          </w:tcPr>
          <w:p w:rsidRPr="001367EE" w:rsidR="00570363" w:rsidP="007063E0" w:rsidRDefault="00E90FA9" w14:paraId="357D848D" w14:textId="335AD7DB">
            <w:pPr>
              <w:jc w:val="center"/>
            </w:pPr>
            <w:r>
              <w:t>7</w:t>
            </w:r>
            <w:r w:rsidR="00570363">
              <w:t>8,000</w:t>
            </w:r>
          </w:p>
        </w:tc>
        <w:tc>
          <w:tcPr>
            <w:tcW w:w="2155" w:type="dxa"/>
            <w:vAlign w:val="center"/>
          </w:tcPr>
          <w:p w:rsidRPr="001367EE" w:rsidR="00570363" w:rsidP="007063E0" w:rsidRDefault="00570363" w14:paraId="2B52E5EC" w14:textId="77777777">
            <w:pPr>
              <w:widowControl/>
              <w:tabs>
                <w:tab w:val="num" w:pos="1080"/>
              </w:tabs>
              <w:spacing w:before="120"/>
              <w:jc w:val="center"/>
            </w:pPr>
            <w:r w:rsidRPr="001367EE">
              <w:t>1</w:t>
            </w:r>
          </w:p>
        </w:tc>
        <w:tc>
          <w:tcPr>
            <w:tcW w:w="2160" w:type="dxa"/>
            <w:vAlign w:val="center"/>
          </w:tcPr>
          <w:p w:rsidRPr="001367EE" w:rsidR="00570363" w:rsidP="007063E0" w:rsidRDefault="00570363" w14:paraId="264B5A44" w14:textId="5F0F5FEA">
            <w:pPr>
              <w:widowControl/>
              <w:tabs>
                <w:tab w:val="num" w:pos="1080"/>
              </w:tabs>
              <w:spacing w:before="120"/>
              <w:jc w:val="center"/>
            </w:pPr>
            <w:r>
              <w:t>0</w:t>
            </w:r>
            <w:r w:rsidRPr="001367EE">
              <w:t>.</w:t>
            </w:r>
            <w:r>
              <w:t>4167</w:t>
            </w:r>
          </w:p>
        </w:tc>
        <w:tc>
          <w:tcPr>
            <w:tcW w:w="1980" w:type="dxa"/>
            <w:vAlign w:val="center"/>
          </w:tcPr>
          <w:p w:rsidRPr="001367EE" w:rsidR="00570363" w:rsidP="007063E0" w:rsidRDefault="00E90FA9" w14:paraId="33D299C7" w14:textId="3B4CFE11">
            <w:pPr>
              <w:jc w:val="center"/>
              <w:rPr>
                <w:color w:val="000000"/>
              </w:rPr>
            </w:pPr>
            <w:r>
              <w:rPr>
                <w:color w:val="000000"/>
              </w:rPr>
              <w:t>32,500</w:t>
            </w:r>
          </w:p>
        </w:tc>
      </w:tr>
    </w:tbl>
    <w:p w:rsidRPr="0063462A" w:rsidR="00570363" w:rsidP="0063462A" w:rsidRDefault="00570363" w14:paraId="6CD7243B" w14:textId="77777777">
      <w:pPr>
        <w:tabs>
          <w:tab w:val="left" w:pos="920"/>
        </w:tabs>
        <w:spacing w:line="276" w:lineRule="auto"/>
        <w:ind w:right="545"/>
        <w:rPr>
          <w:b/>
          <w:sz w:val="24"/>
          <w:szCs w:val="24"/>
        </w:rPr>
      </w:pPr>
    </w:p>
    <w:p w:rsidR="00570363" w:rsidP="00570363" w:rsidRDefault="00570363" w14:paraId="1495CDF8" w14:textId="77777777">
      <w:pPr>
        <w:pStyle w:val="ListParagraph"/>
        <w:tabs>
          <w:tab w:val="left" w:pos="920"/>
        </w:tabs>
        <w:spacing w:line="276" w:lineRule="auto"/>
        <w:ind w:left="360" w:right="545" w:hanging="360"/>
        <w:rPr>
          <w:b/>
          <w:sz w:val="24"/>
          <w:szCs w:val="24"/>
        </w:rPr>
      </w:pPr>
    </w:p>
    <w:p w:rsidR="00570363" w:rsidP="00570363" w:rsidRDefault="00570363" w14:paraId="520B512D" w14:textId="77777777">
      <w:pPr>
        <w:widowControl/>
        <w:spacing w:before="120"/>
        <w:rPr>
          <w:b/>
          <w:sz w:val="24"/>
        </w:rPr>
      </w:pPr>
      <w:r w:rsidRPr="008979A0">
        <w:rPr>
          <w:b/>
          <w:sz w:val="24"/>
        </w:rPr>
        <w:t>12B. Estimated Annualized Burden Costs</w:t>
      </w:r>
    </w:p>
    <w:p w:rsidRPr="007A70B2" w:rsidR="00570363" w:rsidP="00570363" w:rsidRDefault="00570363" w14:paraId="1735FA06" w14:textId="77777777">
      <w:pPr>
        <w:widowControl/>
        <w:spacing w:before="120"/>
        <w:rPr>
          <w:b/>
        </w:rPr>
      </w:pPr>
    </w:p>
    <w:tbl>
      <w:tblPr>
        <w:tblW w:w="9067"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07"/>
        <w:gridCol w:w="1733"/>
        <w:gridCol w:w="1800"/>
        <w:gridCol w:w="2227"/>
      </w:tblGrid>
      <w:tr w:rsidRPr="002132B9" w:rsidR="00570363" w:rsidTr="007063E0" w14:paraId="04B55A48" w14:textId="77777777">
        <w:trPr>
          <w:trHeight w:val="602"/>
        </w:trPr>
        <w:tc>
          <w:tcPr>
            <w:tcW w:w="3307" w:type="dxa"/>
            <w:shd w:val="clear" w:color="auto" w:fill="A6A6A6" w:themeFill="background1" w:themeFillShade="A6"/>
            <w:vAlign w:val="bottom"/>
          </w:tcPr>
          <w:p w:rsidRPr="007A70B2" w:rsidR="00570363" w:rsidP="007063E0" w:rsidRDefault="00570363" w14:paraId="0CC58762" w14:textId="77777777">
            <w:pPr>
              <w:jc w:val="center"/>
              <w:rPr>
                <w:b/>
                <w:bCs/>
              </w:rPr>
            </w:pPr>
            <w:r w:rsidRPr="007A70B2">
              <w:rPr>
                <w:b/>
                <w:bCs/>
              </w:rPr>
              <w:t>Type of</w:t>
            </w:r>
          </w:p>
          <w:p w:rsidRPr="007A70B2" w:rsidR="00570363" w:rsidP="007063E0" w:rsidRDefault="00570363" w14:paraId="10E76DDB" w14:textId="77777777">
            <w:pPr>
              <w:jc w:val="center"/>
            </w:pPr>
            <w:r w:rsidRPr="007A70B2">
              <w:rPr>
                <w:b/>
                <w:bCs/>
              </w:rPr>
              <w:t>Respondent</w:t>
            </w:r>
          </w:p>
        </w:tc>
        <w:tc>
          <w:tcPr>
            <w:tcW w:w="1733" w:type="dxa"/>
            <w:shd w:val="clear" w:color="auto" w:fill="A6A6A6" w:themeFill="background1" w:themeFillShade="A6"/>
            <w:vAlign w:val="bottom"/>
          </w:tcPr>
          <w:p w:rsidRPr="007A70B2" w:rsidR="00570363" w:rsidP="007063E0" w:rsidRDefault="00570363" w14:paraId="196E2754" w14:textId="77777777">
            <w:pPr>
              <w:jc w:val="center"/>
              <w:rPr>
                <w:b/>
                <w:bCs/>
              </w:rPr>
            </w:pPr>
            <w:r w:rsidRPr="007A70B2">
              <w:rPr>
                <w:b/>
                <w:bCs/>
              </w:rPr>
              <w:t>Total Burden</w:t>
            </w:r>
          </w:p>
          <w:p w:rsidRPr="007A70B2" w:rsidR="00570363" w:rsidP="007063E0" w:rsidRDefault="00570363" w14:paraId="31E780E8" w14:textId="77777777">
            <w:pPr>
              <w:jc w:val="center"/>
            </w:pPr>
            <w:r w:rsidRPr="007A70B2">
              <w:rPr>
                <w:b/>
                <w:bCs/>
              </w:rPr>
              <w:t>Hours</w:t>
            </w:r>
          </w:p>
        </w:tc>
        <w:tc>
          <w:tcPr>
            <w:tcW w:w="1800" w:type="dxa"/>
            <w:shd w:val="clear" w:color="auto" w:fill="A6A6A6" w:themeFill="background1" w:themeFillShade="A6"/>
            <w:vAlign w:val="bottom"/>
          </w:tcPr>
          <w:p w:rsidRPr="007A70B2" w:rsidR="00570363" w:rsidP="007063E0" w:rsidRDefault="00570363" w14:paraId="19491163" w14:textId="77777777">
            <w:pPr>
              <w:jc w:val="center"/>
              <w:rPr>
                <w:b/>
                <w:bCs/>
              </w:rPr>
            </w:pPr>
            <w:r w:rsidRPr="007A70B2">
              <w:rPr>
                <w:b/>
                <w:bCs/>
              </w:rPr>
              <w:t>Hourly</w:t>
            </w:r>
          </w:p>
          <w:p w:rsidRPr="007A70B2" w:rsidR="00570363" w:rsidP="007063E0" w:rsidRDefault="00570363" w14:paraId="232CB2EC" w14:textId="77777777">
            <w:pPr>
              <w:jc w:val="center"/>
            </w:pPr>
            <w:r w:rsidRPr="007A70B2">
              <w:rPr>
                <w:b/>
                <w:bCs/>
              </w:rPr>
              <w:t>Wage Rate</w:t>
            </w:r>
          </w:p>
        </w:tc>
        <w:tc>
          <w:tcPr>
            <w:tcW w:w="2227" w:type="dxa"/>
            <w:shd w:val="clear" w:color="auto" w:fill="A6A6A6" w:themeFill="background1" w:themeFillShade="A6"/>
            <w:vAlign w:val="bottom"/>
          </w:tcPr>
          <w:p w:rsidR="00570363" w:rsidP="007063E0" w:rsidRDefault="00570363" w14:paraId="04D8C4CE" w14:textId="77777777">
            <w:pPr>
              <w:jc w:val="center"/>
              <w:rPr>
                <w:b/>
                <w:bCs/>
              </w:rPr>
            </w:pPr>
            <w:r w:rsidRPr="007A70B2">
              <w:rPr>
                <w:b/>
                <w:bCs/>
              </w:rPr>
              <w:t>Total Respondent Costs</w:t>
            </w:r>
            <w:r>
              <w:rPr>
                <w:b/>
                <w:bCs/>
              </w:rPr>
              <w:t xml:space="preserve"> </w:t>
            </w:r>
          </w:p>
          <w:p w:rsidRPr="007A70B2" w:rsidR="00570363" w:rsidP="007063E0" w:rsidRDefault="00570363" w14:paraId="0B02C7BD" w14:textId="77777777">
            <w:pPr>
              <w:jc w:val="center"/>
            </w:pPr>
            <w:r w:rsidRPr="007A70B2">
              <w:rPr>
                <w:b/>
                <w:bCs/>
                <w:sz w:val="16"/>
              </w:rPr>
              <w:t>(rounded to nearest dollar)</w:t>
            </w:r>
          </w:p>
        </w:tc>
      </w:tr>
      <w:tr w:rsidRPr="002132B9" w:rsidR="00570363" w:rsidTr="007063E0" w14:paraId="6A53A8FE" w14:textId="77777777">
        <w:trPr>
          <w:trHeight w:val="440"/>
        </w:trPr>
        <w:tc>
          <w:tcPr>
            <w:tcW w:w="3307" w:type="dxa"/>
          </w:tcPr>
          <w:p w:rsidRPr="002132B9" w:rsidR="00570363" w:rsidP="007063E0" w:rsidRDefault="00570363" w14:paraId="3C552D9C" w14:textId="77777777">
            <w:pPr>
              <w:tabs>
                <w:tab w:val="num" w:pos="1080"/>
              </w:tabs>
              <w:spacing w:before="100" w:beforeAutospacing="1" w:after="100" w:afterAutospacing="1"/>
              <w:rPr>
                <w:b/>
                <w:bCs/>
              </w:rPr>
            </w:pPr>
            <w:r>
              <w:rPr>
                <w:b/>
                <w:bCs/>
              </w:rPr>
              <w:t>Household Respondent</w:t>
            </w:r>
          </w:p>
        </w:tc>
        <w:tc>
          <w:tcPr>
            <w:tcW w:w="1733" w:type="dxa"/>
            <w:vAlign w:val="center"/>
          </w:tcPr>
          <w:p w:rsidRPr="002132B9" w:rsidR="00570363" w:rsidP="007063E0" w:rsidRDefault="009036BE" w14:paraId="2AC38F04" w14:textId="7F5B1DE6">
            <w:pPr>
              <w:spacing w:before="100" w:beforeAutospacing="1" w:after="100" w:afterAutospacing="1"/>
              <w:jc w:val="right"/>
              <w:rPr>
                <w:color w:val="000000"/>
              </w:rPr>
            </w:pPr>
            <w:r>
              <w:rPr>
                <w:color w:val="000000"/>
              </w:rPr>
              <w:t>78,000</w:t>
            </w:r>
          </w:p>
        </w:tc>
        <w:tc>
          <w:tcPr>
            <w:tcW w:w="1800" w:type="dxa"/>
            <w:vAlign w:val="center"/>
          </w:tcPr>
          <w:p w:rsidRPr="002132B9" w:rsidR="00570363" w:rsidP="007063E0" w:rsidRDefault="00570363" w14:paraId="2B526206" w14:textId="77777777">
            <w:pPr>
              <w:spacing w:before="100" w:beforeAutospacing="1" w:after="100" w:afterAutospacing="1"/>
              <w:jc w:val="right"/>
            </w:pPr>
            <w:r w:rsidRPr="002132B9">
              <w:rPr>
                <w:color w:val="000000"/>
              </w:rPr>
              <w:t>$</w:t>
            </w:r>
            <w:r>
              <w:rPr>
                <w:color w:val="000000"/>
              </w:rPr>
              <w:t>29.58</w:t>
            </w:r>
            <w:r w:rsidRPr="002132B9">
              <w:rPr>
                <w:color w:val="000000"/>
              </w:rPr>
              <w:t xml:space="preserve"> </w:t>
            </w:r>
          </w:p>
        </w:tc>
        <w:tc>
          <w:tcPr>
            <w:tcW w:w="2227" w:type="dxa"/>
            <w:vAlign w:val="center"/>
          </w:tcPr>
          <w:p w:rsidRPr="002132B9" w:rsidR="00570363" w:rsidP="007063E0" w:rsidRDefault="00570363" w14:paraId="1287444B" w14:textId="47E31B60">
            <w:pPr>
              <w:spacing w:before="100" w:beforeAutospacing="1" w:after="100" w:afterAutospacing="1"/>
              <w:jc w:val="right"/>
              <w:rPr>
                <w:color w:val="000000"/>
              </w:rPr>
            </w:pPr>
            <w:r w:rsidRPr="002132B9">
              <w:rPr>
                <w:color w:val="000000"/>
              </w:rPr>
              <w:t>$</w:t>
            </w:r>
            <w:r w:rsidR="009036BE">
              <w:rPr>
                <w:color w:val="000000"/>
              </w:rPr>
              <w:t>2,307,240</w:t>
            </w:r>
            <w:r w:rsidRPr="002132B9">
              <w:rPr>
                <w:color w:val="000000"/>
              </w:rPr>
              <w:t xml:space="preserve"> </w:t>
            </w:r>
          </w:p>
        </w:tc>
      </w:tr>
      <w:tr w:rsidRPr="002132B9" w:rsidR="00570363" w:rsidTr="007063E0" w14:paraId="474635F1" w14:textId="77777777">
        <w:trPr>
          <w:trHeight w:val="440"/>
        </w:trPr>
        <w:tc>
          <w:tcPr>
            <w:tcW w:w="3307" w:type="dxa"/>
          </w:tcPr>
          <w:p w:rsidRPr="002132B9" w:rsidR="00570363" w:rsidP="007063E0" w:rsidRDefault="00570363" w14:paraId="2686F782" w14:textId="77777777">
            <w:pPr>
              <w:rPr>
                <w:b/>
                <w:bCs/>
              </w:rPr>
            </w:pPr>
            <w:r w:rsidRPr="002132B9">
              <w:rPr>
                <w:b/>
                <w:bCs/>
              </w:rPr>
              <w:t>Total</w:t>
            </w:r>
          </w:p>
        </w:tc>
        <w:tc>
          <w:tcPr>
            <w:tcW w:w="1733" w:type="dxa"/>
            <w:vAlign w:val="center"/>
          </w:tcPr>
          <w:p w:rsidRPr="00F2269C" w:rsidR="00570363" w:rsidP="007063E0" w:rsidRDefault="009036BE" w14:paraId="22D20AE6" w14:textId="3538CD3A">
            <w:pPr>
              <w:spacing w:before="100" w:beforeAutospacing="1" w:after="100" w:afterAutospacing="1"/>
              <w:jc w:val="right"/>
              <w:rPr>
                <w:b/>
                <w:bCs/>
                <w:color w:val="000000"/>
              </w:rPr>
            </w:pPr>
            <w:r>
              <w:rPr>
                <w:b/>
                <w:bCs/>
                <w:color w:val="000000"/>
              </w:rPr>
              <w:t>78,00</w:t>
            </w:r>
            <w:r w:rsidRPr="00F2269C" w:rsidR="00570363">
              <w:rPr>
                <w:b/>
                <w:bCs/>
                <w:color w:val="000000"/>
              </w:rPr>
              <w:t>0</w:t>
            </w:r>
          </w:p>
        </w:tc>
        <w:tc>
          <w:tcPr>
            <w:tcW w:w="1800" w:type="dxa"/>
            <w:vAlign w:val="center"/>
          </w:tcPr>
          <w:p w:rsidRPr="002132B9" w:rsidR="00570363" w:rsidP="007063E0" w:rsidRDefault="00570363" w14:paraId="6EF8D6C5" w14:textId="77777777">
            <w:pPr>
              <w:jc w:val="right"/>
              <w:rPr>
                <w:color w:val="000000"/>
              </w:rPr>
            </w:pPr>
            <w:r w:rsidRPr="002132B9">
              <w:rPr>
                <w:b/>
                <w:bCs/>
                <w:color w:val="000000"/>
              </w:rPr>
              <w:t> </w:t>
            </w:r>
          </w:p>
        </w:tc>
        <w:tc>
          <w:tcPr>
            <w:tcW w:w="2227" w:type="dxa"/>
            <w:vAlign w:val="center"/>
          </w:tcPr>
          <w:p w:rsidRPr="002132B9" w:rsidR="00570363" w:rsidP="007063E0" w:rsidRDefault="00570363" w14:paraId="5B542CC4" w14:textId="2AEAE552">
            <w:pPr>
              <w:spacing w:before="100" w:beforeAutospacing="1" w:after="100" w:afterAutospacing="1"/>
              <w:jc w:val="right"/>
              <w:rPr>
                <w:color w:val="000000"/>
              </w:rPr>
            </w:pPr>
            <w:r w:rsidRPr="002132B9">
              <w:rPr>
                <w:b/>
                <w:bCs/>
                <w:color w:val="000000"/>
              </w:rPr>
              <w:t>$</w:t>
            </w:r>
            <w:r w:rsidR="009036BE">
              <w:rPr>
                <w:b/>
                <w:bCs/>
                <w:color w:val="000000"/>
              </w:rPr>
              <w:t>2,307,240</w:t>
            </w:r>
          </w:p>
        </w:tc>
      </w:tr>
    </w:tbl>
    <w:p w:rsidR="00570363" w:rsidP="00570363" w:rsidRDefault="00570363" w14:paraId="6B90371D" w14:textId="77777777">
      <w:pPr>
        <w:pStyle w:val="ListParagraph"/>
        <w:tabs>
          <w:tab w:val="left" w:pos="920"/>
        </w:tabs>
        <w:spacing w:line="276" w:lineRule="auto"/>
        <w:ind w:left="360" w:right="545" w:hanging="360"/>
        <w:rPr>
          <w:b/>
          <w:sz w:val="24"/>
          <w:szCs w:val="24"/>
        </w:rPr>
      </w:pPr>
    </w:p>
    <w:p w:rsidRPr="00CD619D" w:rsidR="000148AA" w:rsidP="00CD619D" w:rsidRDefault="000148AA" w14:paraId="201E0BBC" w14:textId="77777777">
      <w:pPr>
        <w:pStyle w:val="BodyText"/>
        <w:spacing w:before="6" w:line="276" w:lineRule="auto"/>
        <w:ind w:left="360" w:hanging="360"/>
      </w:pPr>
    </w:p>
    <w:p w:rsidRPr="0063462A" w:rsidR="000148AA" w:rsidP="0063462A" w:rsidRDefault="00214F97" w14:paraId="1BB5E63B" w14:textId="77E8A9E8">
      <w:pPr>
        <w:pStyle w:val="ListParagraph"/>
        <w:tabs>
          <w:tab w:val="left" w:pos="920"/>
        </w:tabs>
        <w:spacing w:line="276" w:lineRule="auto"/>
        <w:ind w:left="360" w:right="545" w:hanging="360"/>
        <w:rPr>
          <w:b/>
          <w:sz w:val="24"/>
          <w:szCs w:val="24"/>
        </w:rPr>
      </w:pPr>
      <w:r w:rsidRPr="00CD619D">
        <w:rPr>
          <w:b/>
          <w:sz w:val="24"/>
          <w:szCs w:val="24"/>
        </w:rPr>
        <w:t xml:space="preserve">13. </w:t>
      </w:r>
      <w:r w:rsidR="0063462A">
        <w:rPr>
          <w:b/>
          <w:spacing w:val="3"/>
          <w:sz w:val="24"/>
          <w:szCs w:val="24"/>
        </w:rPr>
        <w:t>Estimates of Other Total Annual Cost Burden to Respondents</w:t>
      </w:r>
    </w:p>
    <w:p w:rsidR="000148AA" w:rsidP="003572B1" w:rsidRDefault="000148AA" w14:paraId="4FE6FD39" w14:textId="4E2F9E86">
      <w:pPr>
        <w:pStyle w:val="BodyText"/>
        <w:spacing w:before="3" w:line="276" w:lineRule="auto"/>
        <w:ind w:left="720" w:hanging="360"/>
        <w:rPr>
          <w:color w:val="FF0000"/>
        </w:rPr>
      </w:pPr>
    </w:p>
    <w:p w:rsidRPr="00CD619D" w:rsidR="003572B1" w:rsidP="00DC7E21" w:rsidRDefault="003572B1" w14:paraId="13E16694" w14:textId="565A20C7">
      <w:pPr>
        <w:pStyle w:val="BodyText"/>
        <w:spacing w:before="3" w:line="276" w:lineRule="auto"/>
        <w:ind w:left="360"/>
      </w:pPr>
      <w:r w:rsidRPr="003572B1">
        <w:rPr>
          <w:b w:val="0"/>
          <w:bCs w:val="0"/>
        </w:rPr>
        <w:t xml:space="preserve">There are no </w:t>
      </w:r>
      <w:r w:rsidR="000A76B5">
        <w:rPr>
          <w:b w:val="0"/>
          <w:bCs w:val="0"/>
        </w:rPr>
        <w:t xml:space="preserve">direct </w:t>
      </w:r>
      <w:r w:rsidRPr="003572B1">
        <w:rPr>
          <w:b w:val="0"/>
          <w:bCs w:val="0"/>
        </w:rPr>
        <w:t>costs to the respondents other than that of their time to respond.</w:t>
      </w:r>
    </w:p>
    <w:p w:rsidRPr="00CD619D" w:rsidR="00D941D0" w:rsidP="00CD619D" w:rsidRDefault="00D941D0" w14:paraId="6B8D563C" w14:textId="77777777">
      <w:pPr>
        <w:pStyle w:val="BodyText"/>
        <w:spacing w:before="3" w:line="276" w:lineRule="auto"/>
        <w:ind w:left="360" w:hanging="360"/>
      </w:pPr>
    </w:p>
    <w:p w:rsidRPr="00CD619D" w:rsidR="0085220A" w:rsidP="00CD619D" w:rsidRDefault="00DE3363" w14:paraId="28323688" w14:textId="3D35E190">
      <w:pPr>
        <w:pStyle w:val="ListParagraph"/>
        <w:tabs>
          <w:tab w:val="left" w:pos="857"/>
        </w:tabs>
        <w:spacing w:line="276" w:lineRule="auto"/>
        <w:ind w:left="360" w:right="260" w:hanging="360"/>
        <w:rPr>
          <w:spacing w:val="2"/>
          <w:sz w:val="24"/>
          <w:szCs w:val="24"/>
        </w:rPr>
      </w:pPr>
      <w:r w:rsidRPr="00CD619D">
        <w:rPr>
          <w:b/>
          <w:sz w:val="24"/>
          <w:szCs w:val="24"/>
        </w:rPr>
        <w:t xml:space="preserve">14. </w:t>
      </w:r>
      <w:r w:rsidR="000A76B5">
        <w:rPr>
          <w:b/>
          <w:sz w:val="24"/>
          <w:szCs w:val="24"/>
          <w:lang w:bidi="he-IL"/>
        </w:rPr>
        <w:t>A</w:t>
      </w:r>
      <w:r w:rsidRPr="0051294C" w:rsidR="0085220A">
        <w:rPr>
          <w:b/>
          <w:sz w:val="24"/>
          <w:szCs w:val="24"/>
          <w:lang w:bidi="he-IL"/>
        </w:rPr>
        <w:t>nnualize</w:t>
      </w:r>
      <w:r w:rsidRPr="0051294C" w:rsidR="008E0A73">
        <w:rPr>
          <w:b/>
          <w:sz w:val="24"/>
          <w:szCs w:val="24"/>
          <w:lang w:bidi="he-IL"/>
        </w:rPr>
        <w:t xml:space="preserve">d </w:t>
      </w:r>
      <w:r w:rsidR="000A76B5">
        <w:rPr>
          <w:b/>
          <w:sz w:val="24"/>
          <w:szCs w:val="24"/>
          <w:lang w:bidi="he-IL"/>
        </w:rPr>
        <w:t>C</w:t>
      </w:r>
      <w:r w:rsidRPr="0051294C" w:rsidR="008E0A73">
        <w:rPr>
          <w:b/>
          <w:sz w:val="24"/>
          <w:szCs w:val="24"/>
          <w:lang w:bidi="he-IL"/>
        </w:rPr>
        <w:t xml:space="preserve">ost </w:t>
      </w:r>
      <w:r w:rsidRPr="0051294C" w:rsidR="00D941D0">
        <w:rPr>
          <w:b/>
          <w:sz w:val="24"/>
          <w:szCs w:val="24"/>
          <w:lang w:bidi="he-IL"/>
        </w:rPr>
        <w:t>to the Fede</w:t>
      </w:r>
      <w:r w:rsidRPr="0051294C" w:rsidR="008E0A73">
        <w:rPr>
          <w:b/>
          <w:sz w:val="24"/>
          <w:szCs w:val="24"/>
          <w:lang w:bidi="he-IL"/>
        </w:rPr>
        <w:t xml:space="preserve">ral </w:t>
      </w:r>
      <w:r w:rsidR="000A76B5">
        <w:rPr>
          <w:b/>
          <w:sz w:val="24"/>
          <w:szCs w:val="24"/>
          <w:lang w:bidi="he-IL"/>
        </w:rPr>
        <w:t>G</w:t>
      </w:r>
      <w:r w:rsidRPr="0051294C" w:rsidR="00D941D0">
        <w:rPr>
          <w:b/>
          <w:sz w:val="24"/>
          <w:szCs w:val="24"/>
          <w:lang w:bidi="he-IL"/>
        </w:rPr>
        <w:t>overnme</w:t>
      </w:r>
      <w:r w:rsidRPr="0051294C" w:rsidR="008E0A73">
        <w:rPr>
          <w:b/>
          <w:sz w:val="24"/>
          <w:szCs w:val="24"/>
          <w:lang w:bidi="he-IL"/>
        </w:rPr>
        <w:t>nt</w:t>
      </w:r>
      <w:r w:rsidRPr="00CD619D" w:rsidR="00D941D0">
        <w:rPr>
          <w:spacing w:val="2"/>
          <w:sz w:val="24"/>
          <w:szCs w:val="24"/>
        </w:rPr>
        <w:t xml:space="preserve"> </w:t>
      </w:r>
    </w:p>
    <w:p w:rsidR="00C30B6A" w:rsidP="00C30B6A" w:rsidRDefault="009B6D2D" w14:paraId="16FC512D" w14:textId="77777777">
      <w:pPr>
        <w:pStyle w:val="ListParagraph"/>
        <w:tabs>
          <w:tab w:val="left" w:pos="0"/>
        </w:tabs>
        <w:spacing w:line="276" w:lineRule="auto"/>
        <w:ind w:left="360" w:right="260" w:hanging="360"/>
        <w:rPr>
          <w:b/>
          <w:color w:val="FF0000"/>
          <w:sz w:val="24"/>
          <w:szCs w:val="24"/>
        </w:rPr>
      </w:pPr>
      <w:r>
        <w:rPr>
          <w:spacing w:val="2"/>
          <w:sz w:val="24"/>
          <w:szCs w:val="24"/>
        </w:rPr>
        <w:tab/>
      </w:r>
    </w:p>
    <w:p w:rsidRPr="00CD619D" w:rsidR="000148AA" w:rsidP="00DC7E21" w:rsidRDefault="00C30B6A" w14:paraId="4D833699" w14:textId="77777777">
      <w:pPr>
        <w:pStyle w:val="ListParagraph"/>
        <w:tabs>
          <w:tab w:val="left" w:pos="0"/>
        </w:tabs>
        <w:spacing w:line="276" w:lineRule="auto"/>
        <w:ind w:left="360" w:right="260" w:hanging="360"/>
      </w:pPr>
      <w:r>
        <w:rPr>
          <w:b/>
          <w:color w:val="FF0000"/>
          <w:sz w:val="24"/>
          <w:szCs w:val="24"/>
        </w:rPr>
        <w:tab/>
      </w:r>
      <w:r w:rsidRPr="00C30B6A">
        <w:rPr>
          <w:bCs/>
          <w:sz w:val="24"/>
          <w:szCs w:val="24"/>
        </w:rPr>
        <w:t>We estimate the cost to the government of the CPS program to be $</w:t>
      </w:r>
      <w:r w:rsidR="00DC7E21">
        <w:rPr>
          <w:bCs/>
          <w:sz w:val="24"/>
          <w:szCs w:val="24"/>
        </w:rPr>
        <w:t>88</w:t>
      </w:r>
      <w:r w:rsidRPr="00C30B6A">
        <w:rPr>
          <w:bCs/>
          <w:sz w:val="24"/>
          <w:szCs w:val="24"/>
        </w:rPr>
        <w:t xml:space="preserve"> million in fiscal year 20</w:t>
      </w:r>
      <w:r w:rsidR="00DC7E21">
        <w:rPr>
          <w:bCs/>
          <w:sz w:val="24"/>
          <w:szCs w:val="24"/>
        </w:rPr>
        <w:t>22</w:t>
      </w:r>
      <w:r w:rsidRPr="00C30B6A">
        <w:rPr>
          <w:bCs/>
          <w:sz w:val="24"/>
          <w:szCs w:val="24"/>
        </w:rPr>
        <w:t>.  The costs are to be borne by the Census Bureau, BLS, and other government agencies, if involved.  The estimated cost of including the ASEC questions is $2 million in fiscal year 20</w:t>
      </w:r>
      <w:r w:rsidR="000A76B5">
        <w:rPr>
          <w:bCs/>
          <w:sz w:val="24"/>
          <w:szCs w:val="24"/>
        </w:rPr>
        <w:t>22</w:t>
      </w:r>
      <w:r w:rsidRPr="00C30B6A">
        <w:rPr>
          <w:bCs/>
          <w:sz w:val="24"/>
          <w:szCs w:val="24"/>
        </w:rPr>
        <w:t xml:space="preserve"> and is borne by the Census Bureau and the BLS.</w:t>
      </w:r>
    </w:p>
    <w:p w:rsidRPr="00CD619D" w:rsidR="006665ED" w:rsidP="00CD619D" w:rsidRDefault="006665ED" w14:paraId="3DD25C94" w14:textId="77777777">
      <w:pPr>
        <w:pStyle w:val="BodyText"/>
        <w:spacing w:before="10" w:line="276" w:lineRule="auto"/>
        <w:ind w:left="360" w:hanging="360"/>
      </w:pPr>
    </w:p>
    <w:p w:rsidRPr="0051294C" w:rsidR="0085220A" w:rsidP="00CD619D" w:rsidRDefault="0085220A" w14:paraId="4A36812B" w14:textId="50D691D1">
      <w:pPr>
        <w:pStyle w:val="ListParagraph"/>
        <w:tabs>
          <w:tab w:val="left" w:pos="856"/>
        </w:tabs>
        <w:spacing w:line="276" w:lineRule="auto"/>
        <w:ind w:left="360" w:right="2470" w:hanging="360"/>
        <w:rPr>
          <w:b/>
          <w:sz w:val="24"/>
          <w:szCs w:val="24"/>
          <w:lang w:bidi="he-IL"/>
        </w:rPr>
      </w:pPr>
      <w:r w:rsidRPr="00CD619D">
        <w:rPr>
          <w:b/>
          <w:spacing w:val="-3"/>
          <w:sz w:val="24"/>
          <w:szCs w:val="24"/>
        </w:rPr>
        <w:t xml:space="preserve">15. </w:t>
      </w:r>
      <w:r w:rsidRPr="0051294C" w:rsidR="008E0A73">
        <w:rPr>
          <w:b/>
          <w:sz w:val="24"/>
          <w:szCs w:val="24"/>
          <w:lang w:bidi="he-IL"/>
        </w:rPr>
        <w:t>Explan</w:t>
      </w:r>
      <w:r w:rsidR="00D61C94">
        <w:rPr>
          <w:b/>
          <w:sz w:val="24"/>
          <w:szCs w:val="24"/>
          <w:lang w:bidi="he-IL"/>
        </w:rPr>
        <w:t>ation</w:t>
      </w:r>
      <w:r w:rsidRPr="0051294C" w:rsidR="008E0A73">
        <w:rPr>
          <w:b/>
          <w:sz w:val="24"/>
          <w:szCs w:val="24"/>
          <w:lang w:bidi="he-IL"/>
        </w:rPr>
        <w:t xml:space="preserve"> for </w:t>
      </w:r>
      <w:r w:rsidR="00D61C94">
        <w:rPr>
          <w:b/>
          <w:sz w:val="24"/>
          <w:szCs w:val="24"/>
          <w:lang w:bidi="he-IL"/>
        </w:rPr>
        <w:t>P</w:t>
      </w:r>
      <w:r w:rsidRPr="0051294C" w:rsidR="008E0A73">
        <w:rPr>
          <w:b/>
          <w:sz w:val="24"/>
          <w:szCs w:val="24"/>
          <w:lang w:bidi="he-IL"/>
        </w:rPr>
        <w:t xml:space="preserve">rogram </w:t>
      </w:r>
      <w:r w:rsidR="00D61C94">
        <w:rPr>
          <w:b/>
          <w:sz w:val="24"/>
          <w:szCs w:val="24"/>
          <w:lang w:bidi="he-IL"/>
        </w:rPr>
        <w:t>C</w:t>
      </w:r>
      <w:r w:rsidRPr="0051294C" w:rsidR="008E0A73">
        <w:rPr>
          <w:b/>
          <w:sz w:val="24"/>
          <w:szCs w:val="24"/>
          <w:lang w:bidi="he-IL"/>
        </w:rPr>
        <w:t xml:space="preserve">hanges or </w:t>
      </w:r>
      <w:r w:rsidR="00D61C94">
        <w:rPr>
          <w:b/>
          <w:sz w:val="24"/>
          <w:szCs w:val="24"/>
          <w:lang w:bidi="he-IL"/>
        </w:rPr>
        <w:t>A</w:t>
      </w:r>
      <w:r w:rsidRPr="0051294C" w:rsidR="008E0A73">
        <w:rPr>
          <w:b/>
          <w:sz w:val="24"/>
          <w:szCs w:val="24"/>
          <w:lang w:bidi="he-IL"/>
        </w:rPr>
        <w:t>djustments</w:t>
      </w:r>
      <w:r w:rsidR="0051294C">
        <w:rPr>
          <w:b/>
          <w:sz w:val="24"/>
          <w:szCs w:val="24"/>
          <w:lang w:bidi="he-IL"/>
        </w:rPr>
        <w:t>.</w:t>
      </w:r>
    </w:p>
    <w:p w:rsidR="00C30B6A" w:rsidP="00CD619D" w:rsidRDefault="0085220A" w14:paraId="531E380F" w14:textId="77777777">
      <w:pPr>
        <w:pStyle w:val="ListParagraph"/>
        <w:tabs>
          <w:tab w:val="left" w:pos="0"/>
        </w:tabs>
        <w:spacing w:line="276" w:lineRule="auto"/>
        <w:ind w:left="360" w:right="2470" w:hanging="360"/>
        <w:rPr>
          <w:b/>
          <w:color w:val="FF0000"/>
          <w:sz w:val="24"/>
          <w:szCs w:val="24"/>
        </w:rPr>
      </w:pPr>
      <w:r w:rsidRPr="00CD619D">
        <w:rPr>
          <w:b/>
          <w:color w:val="FF0000"/>
          <w:sz w:val="24"/>
          <w:szCs w:val="24"/>
        </w:rPr>
        <w:tab/>
      </w:r>
    </w:p>
    <w:p w:rsidRPr="00CD619D" w:rsidR="000148AA" w:rsidP="00DC7E21" w:rsidRDefault="00C30B6A" w14:paraId="0D5C9EC9" w14:textId="3B8B6D92">
      <w:pPr>
        <w:pStyle w:val="ListParagraph"/>
        <w:tabs>
          <w:tab w:val="left" w:pos="0"/>
        </w:tabs>
        <w:spacing w:line="276" w:lineRule="auto"/>
        <w:ind w:left="360" w:right="2470" w:hanging="360"/>
      </w:pPr>
      <w:r>
        <w:rPr>
          <w:b/>
          <w:color w:val="FF0000"/>
          <w:sz w:val="24"/>
          <w:szCs w:val="24"/>
        </w:rPr>
        <w:tab/>
      </w:r>
      <w:r w:rsidRPr="00C30B6A">
        <w:rPr>
          <w:bCs/>
          <w:spacing w:val="2"/>
          <w:sz w:val="24"/>
          <w:szCs w:val="24"/>
        </w:rPr>
        <w:t>There is no change in burden.</w:t>
      </w:r>
    </w:p>
    <w:p w:rsidRPr="00CD619D" w:rsidR="006665ED" w:rsidP="00CD619D" w:rsidRDefault="006665ED" w14:paraId="35444A54" w14:textId="77777777">
      <w:pPr>
        <w:pStyle w:val="BodyText"/>
        <w:spacing w:before="9" w:line="276" w:lineRule="auto"/>
        <w:ind w:left="360" w:hanging="360"/>
      </w:pPr>
    </w:p>
    <w:p w:rsidRPr="00CD619D" w:rsidR="000148AA" w:rsidP="00CD619D" w:rsidRDefault="0085220A" w14:paraId="17E45308" w14:textId="356511BC">
      <w:pPr>
        <w:pStyle w:val="ListParagraph"/>
        <w:tabs>
          <w:tab w:val="left" w:pos="856"/>
        </w:tabs>
        <w:spacing w:before="1" w:line="276" w:lineRule="auto"/>
        <w:ind w:left="360" w:right="591" w:hanging="360"/>
        <w:rPr>
          <w:b/>
          <w:sz w:val="24"/>
          <w:szCs w:val="24"/>
        </w:rPr>
      </w:pPr>
      <w:r w:rsidRPr="00CD619D">
        <w:rPr>
          <w:b/>
          <w:sz w:val="24"/>
          <w:szCs w:val="24"/>
        </w:rPr>
        <w:lastRenderedPageBreak/>
        <w:t xml:space="preserve">16. </w:t>
      </w:r>
      <w:r w:rsidRPr="004F0887" w:rsidR="00D61C94">
        <w:rPr>
          <w:b/>
          <w:sz w:val="24"/>
        </w:rPr>
        <w:t>Plans for Tabulation, Publication, and Project Time Schedule</w:t>
      </w:r>
    </w:p>
    <w:p w:rsidR="000148AA" w:rsidP="00CD619D" w:rsidRDefault="000148AA" w14:paraId="42451E57" w14:textId="09FF772B">
      <w:pPr>
        <w:pStyle w:val="BodyText"/>
        <w:spacing w:before="3" w:line="276" w:lineRule="auto"/>
        <w:ind w:left="360" w:hanging="360"/>
        <w:rPr>
          <w:color w:val="FF0000"/>
        </w:rPr>
      </w:pPr>
    </w:p>
    <w:p w:rsidRPr="00C30B6A" w:rsidR="00C30B6A" w:rsidP="00C30B6A" w:rsidRDefault="00C30B6A" w14:paraId="2C866A42" w14:textId="674FF8A1">
      <w:pPr>
        <w:pStyle w:val="BodyText"/>
        <w:spacing w:before="3" w:line="276" w:lineRule="auto"/>
        <w:ind w:left="360" w:hanging="360"/>
        <w:rPr>
          <w:b w:val="0"/>
          <w:bCs w:val="0"/>
        </w:rPr>
      </w:pPr>
      <w:r>
        <w:tab/>
      </w:r>
      <w:r w:rsidRPr="00C30B6A">
        <w:rPr>
          <w:b w:val="0"/>
          <w:bCs w:val="0"/>
        </w:rPr>
        <w:t>We will conduct the CPS, of which this supplement is a part, during the months of February, March</w:t>
      </w:r>
      <w:r w:rsidR="005F4C57">
        <w:rPr>
          <w:b w:val="0"/>
          <w:bCs w:val="0"/>
        </w:rPr>
        <w:t>,</w:t>
      </w:r>
      <w:r w:rsidRPr="00C30B6A">
        <w:rPr>
          <w:b w:val="0"/>
          <w:bCs w:val="0"/>
        </w:rPr>
        <w:t xml:space="preserve"> and April.  Processing of this supplement will commence in May. The Public Use file will be released in September. We will publish advance reports based on the CPS data in September.  Final reports will follow throughout the middle of the following year.</w:t>
      </w:r>
    </w:p>
    <w:p w:rsidRPr="00C30B6A" w:rsidR="00C30B6A" w:rsidP="00C30B6A" w:rsidRDefault="00C30B6A" w14:paraId="3BA732C7" w14:textId="77777777">
      <w:pPr>
        <w:pStyle w:val="BodyText"/>
        <w:spacing w:before="3" w:line="276" w:lineRule="auto"/>
        <w:ind w:left="360" w:hanging="360"/>
        <w:rPr>
          <w:b w:val="0"/>
          <w:bCs w:val="0"/>
        </w:rPr>
      </w:pPr>
    </w:p>
    <w:p w:rsidRPr="00C30B6A" w:rsidR="00C30B6A" w:rsidP="00C30B6A" w:rsidRDefault="00C30B6A" w14:paraId="1853DD1A" w14:textId="6DE2F34C">
      <w:pPr>
        <w:pStyle w:val="BodyText"/>
        <w:spacing w:before="3" w:line="276" w:lineRule="auto"/>
        <w:ind w:left="360" w:hanging="360"/>
        <w:rPr>
          <w:b w:val="0"/>
          <w:bCs w:val="0"/>
        </w:rPr>
      </w:pPr>
      <w:r w:rsidRPr="00C30B6A">
        <w:rPr>
          <w:b w:val="0"/>
          <w:bCs w:val="0"/>
        </w:rPr>
        <w:tab/>
      </w:r>
      <w:r w:rsidRPr="00C30B6A">
        <w:rPr>
          <w:b w:val="0"/>
          <w:bCs w:val="0"/>
          <w:u w:val="single"/>
        </w:rPr>
        <w:t>ASEC Publications</w:t>
      </w:r>
    </w:p>
    <w:p w:rsidRPr="00C30B6A" w:rsidR="00C30B6A" w:rsidP="00C30B6A" w:rsidRDefault="00C30B6A" w14:paraId="6455FBFF" w14:textId="77777777">
      <w:pPr>
        <w:pStyle w:val="BodyText"/>
        <w:spacing w:before="3" w:line="276" w:lineRule="auto"/>
        <w:ind w:left="360"/>
        <w:rPr>
          <w:b w:val="0"/>
          <w:bCs w:val="0"/>
        </w:rPr>
      </w:pPr>
      <w:r w:rsidRPr="00C30B6A">
        <w:rPr>
          <w:b w:val="0"/>
          <w:bCs w:val="0"/>
        </w:rPr>
        <w:t>The following publications are released annually based on the ASEC data:</w:t>
      </w:r>
    </w:p>
    <w:p w:rsidRPr="00C30B6A" w:rsidR="00C30B6A" w:rsidP="00C30B6A" w:rsidRDefault="00C30B6A" w14:paraId="51B13F66" w14:textId="77777777">
      <w:pPr>
        <w:pStyle w:val="BodyText"/>
        <w:numPr>
          <w:ilvl w:val="0"/>
          <w:numId w:val="7"/>
        </w:numPr>
        <w:spacing w:before="3" w:line="276" w:lineRule="auto"/>
        <w:rPr>
          <w:b w:val="0"/>
          <w:bCs w:val="0"/>
        </w:rPr>
      </w:pPr>
      <w:r w:rsidRPr="00C30B6A">
        <w:rPr>
          <w:b w:val="0"/>
          <w:bCs w:val="0"/>
          <w:i/>
          <w:iCs/>
        </w:rPr>
        <w:t>Income and Poverty in the United States</w:t>
      </w:r>
    </w:p>
    <w:p w:rsidRPr="00C30B6A" w:rsidR="00C30B6A" w:rsidP="00C30B6A" w:rsidRDefault="00C30B6A" w14:paraId="17DA1D20" w14:textId="77777777">
      <w:pPr>
        <w:pStyle w:val="BodyText"/>
        <w:numPr>
          <w:ilvl w:val="0"/>
          <w:numId w:val="7"/>
        </w:numPr>
        <w:spacing w:before="3" w:line="276" w:lineRule="auto"/>
        <w:rPr>
          <w:b w:val="0"/>
          <w:bCs w:val="0"/>
        </w:rPr>
      </w:pPr>
      <w:r w:rsidRPr="00C30B6A">
        <w:rPr>
          <w:b w:val="0"/>
          <w:bCs w:val="0"/>
          <w:i/>
          <w:iCs/>
        </w:rPr>
        <w:t>Health Insurance in the United States</w:t>
      </w:r>
    </w:p>
    <w:p w:rsidRPr="00C30B6A" w:rsidR="00C30B6A" w:rsidP="00C30B6A" w:rsidRDefault="00C30B6A" w14:paraId="259C0BC6" w14:textId="77777777">
      <w:pPr>
        <w:pStyle w:val="BodyText"/>
        <w:numPr>
          <w:ilvl w:val="0"/>
          <w:numId w:val="7"/>
        </w:numPr>
        <w:spacing w:before="3" w:line="276" w:lineRule="auto"/>
        <w:rPr>
          <w:b w:val="0"/>
          <w:bCs w:val="0"/>
        </w:rPr>
      </w:pPr>
      <w:r w:rsidRPr="00C30B6A">
        <w:rPr>
          <w:b w:val="0"/>
          <w:bCs w:val="0"/>
          <w:i/>
          <w:iCs/>
        </w:rPr>
        <w:t>Alternative Income Estimates in the United States</w:t>
      </w:r>
    </w:p>
    <w:p w:rsidRPr="00C30B6A" w:rsidR="00C30B6A" w:rsidP="00C30B6A" w:rsidRDefault="00C30B6A" w14:paraId="6E7C78C7" w14:textId="77777777">
      <w:pPr>
        <w:pStyle w:val="BodyText"/>
        <w:spacing w:before="3" w:line="276" w:lineRule="auto"/>
        <w:ind w:left="600" w:firstLine="360"/>
        <w:rPr>
          <w:b w:val="0"/>
          <w:bCs w:val="0"/>
        </w:rPr>
      </w:pPr>
      <w:r w:rsidRPr="00C30B6A">
        <w:rPr>
          <w:b w:val="0"/>
          <w:bCs w:val="0"/>
        </w:rPr>
        <w:t>d)</w:t>
      </w:r>
      <w:r w:rsidRPr="00C30B6A">
        <w:rPr>
          <w:b w:val="0"/>
          <w:bCs w:val="0"/>
        </w:rPr>
        <w:tab/>
      </w:r>
      <w:r w:rsidRPr="00C30B6A">
        <w:rPr>
          <w:b w:val="0"/>
          <w:bCs w:val="0"/>
          <w:i/>
          <w:iCs/>
        </w:rPr>
        <w:t>America’s Families and Living Arrangements</w:t>
      </w:r>
    </w:p>
    <w:p w:rsidRPr="00C30B6A" w:rsidR="00C30B6A" w:rsidP="00C30B6A" w:rsidRDefault="00C30B6A" w14:paraId="38325FEE" w14:textId="77777777">
      <w:pPr>
        <w:pStyle w:val="BodyText"/>
        <w:spacing w:before="3" w:line="276" w:lineRule="auto"/>
        <w:ind w:left="600" w:firstLine="360"/>
        <w:rPr>
          <w:b w:val="0"/>
          <w:bCs w:val="0"/>
        </w:rPr>
      </w:pPr>
      <w:r w:rsidRPr="00C30B6A">
        <w:rPr>
          <w:b w:val="0"/>
          <w:bCs w:val="0"/>
        </w:rPr>
        <w:t>e)</w:t>
      </w:r>
      <w:r w:rsidRPr="00C30B6A">
        <w:rPr>
          <w:b w:val="0"/>
          <w:bCs w:val="0"/>
        </w:rPr>
        <w:tab/>
      </w:r>
      <w:r w:rsidRPr="00C30B6A">
        <w:rPr>
          <w:b w:val="0"/>
          <w:bCs w:val="0"/>
          <w:i/>
          <w:iCs/>
        </w:rPr>
        <w:t>Geographic Mobility</w:t>
      </w:r>
    </w:p>
    <w:p w:rsidRPr="00C30B6A" w:rsidR="00C30B6A" w:rsidP="00C30B6A" w:rsidRDefault="00C30B6A" w14:paraId="7F970E31" w14:textId="77777777">
      <w:pPr>
        <w:pStyle w:val="BodyText"/>
        <w:spacing w:before="3" w:line="276" w:lineRule="auto"/>
        <w:ind w:left="600" w:firstLine="360"/>
        <w:rPr>
          <w:b w:val="0"/>
          <w:bCs w:val="0"/>
        </w:rPr>
      </w:pPr>
      <w:r w:rsidRPr="00C30B6A">
        <w:rPr>
          <w:b w:val="0"/>
          <w:bCs w:val="0"/>
        </w:rPr>
        <w:t>f)</w:t>
      </w:r>
      <w:r w:rsidRPr="00C30B6A">
        <w:rPr>
          <w:b w:val="0"/>
          <w:bCs w:val="0"/>
        </w:rPr>
        <w:tab/>
      </w:r>
      <w:r w:rsidRPr="00C30B6A">
        <w:rPr>
          <w:b w:val="0"/>
          <w:bCs w:val="0"/>
          <w:i/>
          <w:iCs/>
        </w:rPr>
        <w:t>Educational Attainment</w:t>
      </w:r>
      <w:r w:rsidRPr="00C30B6A">
        <w:rPr>
          <w:b w:val="0"/>
          <w:bCs w:val="0"/>
        </w:rPr>
        <w:t xml:space="preserve"> (since 1947).</w:t>
      </w:r>
    </w:p>
    <w:p w:rsidRPr="00CD619D" w:rsidR="00C30B6A" w:rsidP="005F4C57" w:rsidRDefault="00C30B6A" w14:paraId="288B5648" w14:textId="02023686">
      <w:pPr>
        <w:pStyle w:val="BodyText"/>
        <w:spacing w:before="3" w:line="276" w:lineRule="auto"/>
        <w:ind w:left="1440" w:hanging="480"/>
      </w:pPr>
      <w:r w:rsidRPr="00C30B6A">
        <w:rPr>
          <w:b w:val="0"/>
          <w:bCs w:val="0"/>
        </w:rPr>
        <w:t>g)</w:t>
      </w:r>
      <w:r w:rsidRPr="00C30B6A">
        <w:rPr>
          <w:b w:val="0"/>
          <w:bCs w:val="0"/>
        </w:rPr>
        <w:tab/>
        <w:t xml:space="preserve">In addition to the Census Bureau publications listed above, BLS has published yearly results from the ASEC supplement (educational attainment, marital history, and work experience) in news releases, articles in the </w:t>
      </w:r>
      <w:r w:rsidRPr="00C30B6A">
        <w:rPr>
          <w:b w:val="0"/>
          <w:bCs w:val="0"/>
          <w:i/>
          <w:iCs/>
        </w:rPr>
        <w:t>Monthly Labor Review</w:t>
      </w:r>
      <w:r w:rsidRPr="00C30B6A">
        <w:rPr>
          <w:b w:val="0"/>
          <w:bCs w:val="0"/>
        </w:rPr>
        <w:t>, and special bulletins.</w:t>
      </w:r>
    </w:p>
    <w:p w:rsidRPr="00CD619D" w:rsidR="006665ED" w:rsidP="00CD619D" w:rsidRDefault="006665ED" w14:paraId="70A9C133" w14:textId="77777777">
      <w:pPr>
        <w:pStyle w:val="BodyText"/>
        <w:spacing w:before="3" w:line="276" w:lineRule="auto"/>
        <w:ind w:left="360" w:hanging="360"/>
      </w:pPr>
    </w:p>
    <w:p w:rsidRPr="00CD619D" w:rsidR="000148AA" w:rsidP="00CD619D" w:rsidRDefault="0085220A" w14:paraId="3B65BA50" w14:textId="487D3C54">
      <w:pPr>
        <w:pStyle w:val="ListParagraph"/>
        <w:tabs>
          <w:tab w:val="left" w:pos="856"/>
        </w:tabs>
        <w:spacing w:line="276" w:lineRule="auto"/>
        <w:ind w:left="360" w:right="702" w:hanging="360"/>
        <w:rPr>
          <w:b/>
          <w:sz w:val="24"/>
          <w:szCs w:val="24"/>
        </w:rPr>
      </w:pPr>
      <w:r w:rsidRPr="00CD619D">
        <w:rPr>
          <w:b/>
          <w:sz w:val="24"/>
          <w:szCs w:val="24"/>
        </w:rPr>
        <w:t xml:space="preserve">17. </w:t>
      </w:r>
      <w:r w:rsidRPr="00C74CD7" w:rsidR="00D61C94">
        <w:rPr>
          <w:b/>
          <w:sz w:val="24"/>
        </w:rPr>
        <w:t>Reason(s) Display of OMB Expiration Date is Inappropriate</w:t>
      </w:r>
      <w:r w:rsidRPr="00CD619D" w:rsidR="008E0A73">
        <w:rPr>
          <w:b/>
          <w:sz w:val="24"/>
          <w:szCs w:val="24"/>
          <w:lang w:bidi="he-IL"/>
        </w:rPr>
        <w:t>.</w:t>
      </w:r>
    </w:p>
    <w:p w:rsidRPr="00CD619D" w:rsidR="00C30B6A" w:rsidP="00C30B6A" w:rsidRDefault="00C30B6A" w14:paraId="07633156" w14:textId="7BF85ED1">
      <w:pPr>
        <w:pStyle w:val="BodyText"/>
        <w:spacing w:before="6" w:line="276" w:lineRule="auto"/>
      </w:pPr>
    </w:p>
    <w:p w:rsidRPr="00C30B6A" w:rsidR="00C30B6A" w:rsidP="00C30B6A" w:rsidRDefault="00C30B6A" w14:paraId="1501B049" w14:textId="77777777">
      <w:pPr>
        <w:pStyle w:val="BodyText"/>
        <w:spacing w:before="6" w:line="276" w:lineRule="auto"/>
        <w:ind w:left="360"/>
        <w:rPr>
          <w:b w:val="0"/>
          <w:bCs w:val="0"/>
        </w:rPr>
      </w:pPr>
      <w:r w:rsidRPr="00C30B6A">
        <w:rPr>
          <w:b w:val="0"/>
          <w:bCs w:val="0"/>
        </w:rPr>
        <w:t>The ASEC Supplement is administered as part of the CPS monthly interview.  However, this supplement (as well as all the CPS supplements) bears an OMB control number and expiration date which is different from the basic CPS interview.  The OMB control number for the CPS basic interview is included in the advance letter we give respondents (see Attachment D).  Because of these complexities and the anticipated respondent confusion involved with expressing a separate control number and expiration date to respondents for the supplement questions, we request a waiver of the requirement to display the OMB control number and expiration date for the CPS ASEC Supplement.</w:t>
      </w:r>
    </w:p>
    <w:p w:rsidRPr="00CD619D" w:rsidR="006665ED" w:rsidP="00CD619D" w:rsidRDefault="006665ED" w14:paraId="2922182E" w14:textId="77777777">
      <w:pPr>
        <w:pStyle w:val="BodyText"/>
        <w:spacing w:before="6" w:line="276" w:lineRule="auto"/>
        <w:ind w:left="360" w:hanging="360"/>
      </w:pPr>
    </w:p>
    <w:p w:rsidRPr="00CD619D" w:rsidR="000148AA" w:rsidP="00CD619D" w:rsidRDefault="0085220A" w14:paraId="1C066BD6" w14:textId="3BBD4592">
      <w:pPr>
        <w:pStyle w:val="ListParagraph"/>
        <w:tabs>
          <w:tab w:val="left" w:pos="856"/>
          <w:tab w:val="left" w:pos="900"/>
        </w:tabs>
        <w:spacing w:line="276" w:lineRule="auto"/>
        <w:ind w:left="360" w:right="334" w:hanging="360"/>
        <w:rPr>
          <w:b/>
          <w:sz w:val="24"/>
          <w:szCs w:val="24"/>
        </w:rPr>
      </w:pPr>
      <w:r w:rsidRPr="00CD619D">
        <w:rPr>
          <w:b/>
          <w:spacing w:val="-3"/>
          <w:sz w:val="24"/>
          <w:szCs w:val="24"/>
        </w:rPr>
        <w:t xml:space="preserve">18. </w:t>
      </w:r>
      <w:r w:rsidRPr="0051294C" w:rsidR="008E0A73">
        <w:rPr>
          <w:b/>
          <w:sz w:val="24"/>
          <w:szCs w:val="24"/>
          <w:lang w:bidi="he-IL"/>
        </w:rPr>
        <w:t>Exce</w:t>
      </w:r>
      <w:r w:rsidRPr="00CD619D" w:rsidR="008E0A73">
        <w:rPr>
          <w:b/>
          <w:sz w:val="24"/>
          <w:szCs w:val="24"/>
          <w:lang w:bidi="he-IL"/>
        </w:rPr>
        <w:t>ption</w:t>
      </w:r>
      <w:r w:rsidR="00D61C94">
        <w:rPr>
          <w:b/>
          <w:sz w:val="24"/>
          <w:szCs w:val="24"/>
          <w:lang w:bidi="he-IL"/>
        </w:rPr>
        <w:t>s</w:t>
      </w:r>
      <w:r w:rsidRPr="0051294C" w:rsidR="008E0A73">
        <w:rPr>
          <w:b/>
          <w:sz w:val="24"/>
          <w:szCs w:val="24"/>
          <w:lang w:bidi="he-IL"/>
        </w:rPr>
        <w:t xml:space="preserve"> </w:t>
      </w:r>
      <w:r w:rsidRPr="00CD619D" w:rsidR="008E0A73">
        <w:rPr>
          <w:b/>
          <w:sz w:val="24"/>
          <w:szCs w:val="24"/>
          <w:lang w:bidi="he-IL"/>
        </w:rPr>
        <w:t>to</w:t>
      </w:r>
      <w:r w:rsidRPr="0051294C" w:rsidR="008E0A73">
        <w:rPr>
          <w:b/>
          <w:sz w:val="24"/>
          <w:szCs w:val="24"/>
          <w:lang w:bidi="he-IL"/>
        </w:rPr>
        <w:t xml:space="preserve"> </w:t>
      </w:r>
      <w:r w:rsidRPr="00CD619D" w:rsidR="008E0A73">
        <w:rPr>
          <w:b/>
          <w:sz w:val="24"/>
          <w:szCs w:val="24"/>
          <w:lang w:bidi="he-IL"/>
        </w:rPr>
        <w:t>the</w:t>
      </w:r>
      <w:r w:rsidRPr="0051294C" w:rsidR="008E0A73">
        <w:rPr>
          <w:b/>
          <w:sz w:val="24"/>
          <w:szCs w:val="24"/>
          <w:lang w:bidi="he-IL"/>
        </w:rPr>
        <w:t xml:space="preserve"> </w:t>
      </w:r>
      <w:r w:rsidR="00D61C94">
        <w:rPr>
          <w:b/>
          <w:sz w:val="24"/>
          <w:szCs w:val="24"/>
          <w:lang w:bidi="he-IL"/>
        </w:rPr>
        <w:t>C</w:t>
      </w:r>
      <w:r w:rsidRPr="00CD619D" w:rsidR="008E0A73">
        <w:rPr>
          <w:b/>
          <w:sz w:val="24"/>
          <w:szCs w:val="24"/>
          <w:lang w:bidi="he-IL"/>
        </w:rPr>
        <w:t>ertification</w:t>
      </w:r>
      <w:r w:rsidRPr="0051294C" w:rsidR="008E0A73">
        <w:rPr>
          <w:b/>
          <w:sz w:val="24"/>
          <w:szCs w:val="24"/>
          <w:lang w:bidi="he-IL"/>
        </w:rPr>
        <w:t xml:space="preserve"> </w:t>
      </w:r>
      <w:r w:rsidR="00D61C94">
        <w:rPr>
          <w:b/>
          <w:sz w:val="24"/>
          <w:szCs w:val="24"/>
          <w:lang w:bidi="he-IL"/>
        </w:rPr>
        <w:t>for</w:t>
      </w:r>
      <w:r w:rsidRPr="0051294C" w:rsidR="008E0A73">
        <w:rPr>
          <w:b/>
          <w:sz w:val="24"/>
          <w:szCs w:val="24"/>
          <w:lang w:bidi="he-IL"/>
        </w:rPr>
        <w:t xml:space="preserve"> Paperwork </w:t>
      </w:r>
      <w:r w:rsidRPr="00CD619D" w:rsidR="008E0A73">
        <w:rPr>
          <w:b/>
          <w:sz w:val="24"/>
          <w:szCs w:val="24"/>
          <w:lang w:bidi="he-IL"/>
        </w:rPr>
        <w:t>Reduction</w:t>
      </w:r>
      <w:r w:rsidRPr="0051294C" w:rsidR="008E0A73">
        <w:rPr>
          <w:b/>
          <w:sz w:val="24"/>
          <w:szCs w:val="24"/>
          <w:lang w:bidi="he-IL"/>
        </w:rPr>
        <w:t xml:space="preserve"> </w:t>
      </w:r>
      <w:r w:rsidRPr="00CD619D" w:rsidR="008E0A73">
        <w:rPr>
          <w:b/>
          <w:sz w:val="24"/>
          <w:szCs w:val="24"/>
          <w:lang w:bidi="he-IL"/>
        </w:rPr>
        <w:t>Act</w:t>
      </w:r>
      <w:r w:rsidR="008D0C02">
        <w:rPr>
          <w:b/>
          <w:sz w:val="24"/>
          <w:szCs w:val="24"/>
          <w:lang w:bidi="he-IL"/>
        </w:rPr>
        <w:t xml:space="preserve"> Submissions</w:t>
      </w:r>
    </w:p>
    <w:p w:rsidR="000148AA" w:rsidP="009B6D2D" w:rsidRDefault="000148AA" w14:paraId="3D63C363" w14:textId="0D390F7B">
      <w:pPr>
        <w:pStyle w:val="BodyText"/>
        <w:spacing w:line="276" w:lineRule="auto"/>
        <w:ind w:firstLine="360"/>
        <w:rPr>
          <w:color w:val="FF0000"/>
        </w:rPr>
      </w:pPr>
    </w:p>
    <w:p w:rsidRPr="00C30B6A" w:rsidR="00C30B6A" w:rsidP="00C30B6A" w:rsidRDefault="00C30B6A" w14:paraId="73029283" w14:textId="77777777">
      <w:pPr>
        <w:pStyle w:val="BodyText"/>
        <w:spacing w:line="276" w:lineRule="auto"/>
        <w:ind w:firstLine="360"/>
        <w:rPr>
          <w:b w:val="0"/>
          <w:bCs w:val="0"/>
        </w:rPr>
      </w:pPr>
      <w:r w:rsidRPr="00C30B6A">
        <w:rPr>
          <w:b w:val="0"/>
          <w:bCs w:val="0"/>
        </w:rPr>
        <w:t>There are no exceptions to the certification.</w:t>
      </w:r>
    </w:p>
    <w:p w:rsidRPr="00CD619D" w:rsidR="00C30B6A" w:rsidP="009B6D2D" w:rsidRDefault="00C30B6A" w14:paraId="1DD7D44D" w14:textId="77777777">
      <w:pPr>
        <w:pStyle w:val="BodyText"/>
        <w:spacing w:line="276" w:lineRule="auto"/>
        <w:ind w:firstLine="360"/>
      </w:pPr>
    </w:p>
    <w:sectPr w:rsidRPr="00CD619D" w:rsidR="00C30B6A">
      <w:footerReference w:type="default" r:id="rId15"/>
      <w:pgSz w:w="12240" w:h="15840"/>
      <w:pgMar w:top="1380" w:right="1340" w:bottom="740" w:left="1320" w:header="0" w:footer="5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4BD53A" w14:textId="77777777" w:rsidR="00AA0CC2" w:rsidRDefault="008E0A73">
      <w:r>
        <w:separator/>
      </w:r>
    </w:p>
  </w:endnote>
  <w:endnote w:type="continuationSeparator" w:id="0">
    <w:p w14:paraId="3C3FD369" w14:textId="77777777" w:rsidR="00AA0CC2" w:rsidRDefault="008E0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1E75B" w14:textId="07F9FA14" w:rsidR="000148AA" w:rsidRDefault="000148AA">
    <w:pPr>
      <w:pStyle w:val="BodyText"/>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551F19" w14:textId="77777777" w:rsidR="00AA0CC2" w:rsidRDefault="008E0A73">
      <w:r>
        <w:separator/>
      </w:r>
    </w:p>
  </w:footnote>
  <w:footnote w:type="continuationSeparator" w:id="0">
    <w:p w14:paraId="0196E13F" w14:textId="77777777" w:rsidR="00AA0CC2" w:rsidRDefault="008E0A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C306E"/>
    <w:multiLevelType w:val="hybridMultilevel"/>
    <w:tmpl w:val="360003C4"/>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 w15:restartNumberingAfterBreak="0">
    <w:nsid w:val="09633A8C"/>
    <w:multiLevelType w:val="hybridMultilevel"/>
    <w:tmpl w:val="8A06A9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A17139"/>
    <w:multiLevelType w:val="hybridMultilevel"/>
    <w:tmpl w:val="21562626"/>
    <w:lvl w:ilvl="0" w:tplc="584012AE">
      <w:start w:val="1"/>
      <w:numFmt w:val="lowerLetter"/>
      <w:lvlText w:val="%1)"/>
      <w:lvlJc w:val="left"/>
      <w:pPr>
        <w:tabs>
          <w:tab w:val="num" w:pos="1440"/>
        </w:tabs>
        <w:ind w:left="1440" w:hanging="48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3" w15:restartNumberingAfterBreak="0">
    <w:nsid w:val="135274E0"/>
    <w:multiLevelType w:val="multilevel"/>
    <w:tmpl w:val="034CE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3D1843"/>
    <w:multiLevelType w:val="hybridMultilevel"/>
    <w:tmpl w:val="E09090A8"/>
    <w:lvl w:ilvl="0" w:tplc="0B4A8A7E">
      <w:start w:val="1"/>
      <w:numFmt w:val="upperLetter"/>
      <w:lvlText w:val="%1."/>
      <w:lvlJc w:val="left"/>
      <w:pPr>
        <w:ind w:left="407" w:hanging="288"/>
        <w:jc w:val="left"/>
      </w:pPr>
      <w:rPr>
        <w:rFonts w:ascii="Times New Roman" w:eastAsia="Times New Roman" w:hAnsi="Times New Roman" w:cs="Times New Roman" w:hint="default"/>
        <w:b/>
        <w:bCs/>
        <w:spacing w:val="0"/>
        <w:w w:val="99"/>
        <w:sz w:val="24"/>
        <w:szCs w:val="24"/>
        <w:lang w:val="en-US" w:eastAsia="en-US" w:bidi="en-US"/>
      </w:rPr>
    </w:lvl>
    <w:lvl w:ilvl="1" w:tplc="E75A2AC6">
      <w:start w:val="1"/>
      <w:numFmt w:val="decimal"/>
      <w:lvlText w:val="%2."/>
      <w:lvlJc w:val="left"/>
      <w:pPr>
        <w:ind w:left="839" w:hanging="352"/>
        <w:jc w:val="left"/>
      </w:pPr>
      <w:rPr>
        <w:rFonts w:ascii="Times New Roman" w:eastAsia="Times New Roman" w:hAnsi="Times New Roman" w:cs="Times New Roman" w:hint="default"/>
        <w:b/>
        <w:bCs/>
        <w:spacing w:val="-39"/>
        <w:w w:val="99"/>
        <w:sz w:val="24"/>
        <w:szCs w:val="24"/>
        <w:lang w:val="en-US" w:eastAsia="en-US" w:bidi="en-US"/>
      </w:rPr>
    </w:lvl>
    <w:lvl w:ilvl="2" w:tplc="BFDCFC14">
      <w:numFmt w:val="bullet"/>
      <w:lvlText w:val=""/>
      <w:lvlJc w:val="left"/>
      <w:pPr>
        <w:ind w:left="1207" w:hanging="369"/>
      </w:pPr>
      <w:rPr>
        <w:rFonts w:ascii="Wingdings" w:eastAsia="Wingdings" w:hAnsi="Wingdings" w:cs="Wingdings" w:hint="default"/>
        <w:w w:val="100"/>
        <w:sz w:val="24"/>
        <w:szCs w:val="24"/>
        <w:lang w:val="en-US" w:eastAsia="en-US" w:bidi="en-US"/>
      </w:rPr>
    </w:lvl>
    <w:lvl w:ilvl="3" w:tplc="4E64DEDA">
      <w:numFmt w:val="bullet"/>
      <w:lvlText w:val="•"/>
      <w:lvlJc w:val="left"/>
      <w:pPr>
        <w:ind w:left="1200" w:hanging="369"/>
      </w:pPr>
      <w:rPr>
        <w:rFonts w:hint="default"/>
        <w:lang w:val="en-US" w:eastAsia="en-US" w:bidi="en-US"/>
      </w:rPr>
    </w:lvl>
    <w:lvl w:ilvl="4" w:tplc="EF12471E">
      <w:numFmt w:val="bullet"/>
      <w:lvlText w:val="•"/>
      <w:lvlJc w:val="left"/>
      <w:pPr>
        <w:ind w:left="1540" w:hanging="369"/>
      </w:pPr>
      <w:rPr>
        <w:rFonts w:hint="default"/>
        <w:lang w:val="en-US" w:eastAsia="en-US" w:bidi="en-US"/>
      </w:rPr>
    </w:lvl>
    <w:lvl w:ilvl="5" w:tplc="DC705188">
      <w:numFmt w:val="bullet"/>
      <w:lvlText w:val="•"/>
      <w:lvlJc w:val="left"/>
      <w:pPr>
        <w:ind w:left="2880" w:hanging="369"/>
      </w:pPr>
      <w:rPr>
        <w:rFonts w:hint="default"/>
        <w:lang w:val="en-US" w:eastAsia="en-US" w:bidi="en-US"/>
      </w:rPr>
    </w:lvl>
    <w:lvl w:ilvl="6" w:tplc="43CC58C4">
      <w:numFmt w:val="bullet"/>
      <w:lvlText w:val="•"/>
      <w:lvlJc w:val="left"/>
      <w:pPr>
        <w:ind w:left="4220" w:hanging="369"/>
      </w:pPr>
      <w:rPr>
        <w:rFonts w:hint="default"/>
        <w:lang w:val="en-US" w:eastAsia="en-US" w:bidi="en-US"/>
      </w:rPr>
    </w:lvl>
    <w:lvl w:ilvl="7" w:tplc="DC52BCA8">
      <w:numFmt w:val="bullet"/>
      <w:lvlText w:val="•"/>
      <w:lvlJc w:val="left"/>
      <w:pPr>
        <w:ind w:left="5560" w:hanging="369"/>
      </w:pPr>
      <w:rPr>
        <w:rFonts w:hint="default"/>
        <w:lang w:val="en-US" w:eastAsia="en-US" w:bidi="en-US"/>
      </w:rPr>
    </w:lvl>
    <w:lvl w:ilvl="8" w:tplc="EEC0CF38">
      <w:numFmt w:val="bullet"/>
      <w:lvlText w:val="•"/>
      <w:lvlJc w:val="left"/>
      <w:pPr>
        <w:ind w:left="6900" w:hanging="369"/>
      </w:pPr>
      <w:rPr>
        <w:rFonts w:hint="default"/>
        <w:lang w:val="en-US" w:eastAsia="en-US" w:bidi="en-US"/>
      </w:rPr>
    </w:lvl>
  </w:abstractNum>
  <w:abstractNum w:abstractNumId="5" w15:restartNumberingAfterBreak="0">
    <w:nsid w:val="3DED7713"/>
    <w:multiLevelType w:val="hybridMultilevel"/>
    <w:tmpl w:val="E856CA66"/>
    <w:lvl w:ilvl="0" w:tplc="425E7F6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3A7387"/>
    <w:multiLevelType w:val="hybridMultilevel"/>
    <w:tmpl w:val="92BA54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3100C4"/>
    <w:multiLevelType w:val="hybridMultilevel"/>
    <w:tmpl w:val="1BFE30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E5C1404"/>
    <w:multiLevelType w:val="hybridMultilevel"/>
    <w:tmpl w:val="120A519C"/>
    <w:lvl w:ilvl="0" w:tplc="04090001">
      <w:start w:val="1"/>
      <w:numFmt w:val="bullet"/>
      <w:lvlText w:val=""/>
      <w:lvlJc w:val="left"/>
      <w:pPr>
        <w:ind w:left="1144" w:hanging="360"/>
      </w:pPr>
      <w:rPr>
        <w:rFonts w:ascii="Symbol" w:hAnsi="Symbol"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9" w15:restartNumberingAfterBreak="0">
    <w:nsid w:val="7DEC0CE6"/>
    <w:multiLevelType w:val="hybridMultilevel"/>
    <w:tmpl w:val="8BF6ECE8"/>
    <w:lvl w:ilvl="0" w:tplc="F4A4C8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1"/>
  </w:num>
  <w:num w:numId="3">
    <w:abstractNumId w:val="7"/>
  </w:num>
  <w:num w:numId="4">
    <w:abstractNumId w:val="0"/>
  </w:num>
  <w:num w:numId="5">
    <w:abstractNumId w:val="6"/>
  </w:num>
  <w:num w:numId="6">
    <w:abstractNumId w:val="9"/>
  </w:num>
  <w:num w:numId="7">
    <w:abstractNumId w:val="2"/>
  </w:num>
  <w:num w:numId="8">
    <w:abstractNumId w:val="3"/>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AA"/>
    <w:rsid w:val="00011F91"/>
    <w:rsid w:val="000145BB"/>
    <w:rsid w:val="000148AA"/>
    <w:rsid w:val="000428C1"/>
    <w:rsid w:val="00046B07"/>
    <w:rsid w:val="000A4EAA"/>
    <w:rsid w:val="000A76B5"/>
    <w:rsid w:val="000C66C6"/>
    <w:rsid w:val="000E6F74"/>
    <w:rsid w:val="00103CC3"/>
    <w:rsid w:val="001204EA"/>
    <w:rsid w:val="00163FBE"/>
    <w:rsid w:val="001713DE"/>
    <w:rsid w:val="00171C51"/>
    <w:rsid w:val="00175AE4"/>
    <w:rsid w:val="001C1C8C"/>
    <w:rsid w:val="001D0A53"/>
    <w:rsid w:val="00214F97"/>
    <w:rsid w:val="00245973"/>
    <w:rsid w:val="00251E7C"/>
    <w:rsid w:val="0029371B"/>
    <w:rsid w:val="002B279C"/>
    <w:rsid w:val="002D4593"/>
    <w:rsid w:val="00323E88"/>
    <w:rsid w:val="00332640"/>
    <w:rsid w:val="0035712E"/>
    <w:rsid w:val="003572B1"/>
    <w:rsid w:val="003A6D5C"/>
    <w:rsid w:val="003C2CE1"/>
    <w:rsid w:val="003E12AC"/>
    <w:rsid w:val="003F0285"/>
    <w:rsid w:val="0040360E"/>
    <w:rsid w:val="0041047C"/>
    <w:rsid w:val="00413F20"/>
    <w:rsid w:val="00425F4F"/>
    <w:rsid w:val="00430030"/>
    <w:rsid w:val="0043244C"/>
    <w:rsid w:val="00497671"/>
    <w:rsid w:val="004D2645"/>
    <w:rsid w:val="0051294C"/>
    <w:rsid w:val="005554E6"/>
    <w:rsid w:val="00570363"/>
    <w:rsid w:val="00591128"/>
    <w:rsid w:val="005A722B"/>
    <w:rsid w:val="005C1500"/>
    <w:rsid w:val="005F4C57"/>
    <w:rsid w:val="00614199"/>
    <w:rsid w:val="0063462A"/>
    <w:rsid w:val="00641B5A"/>
    <w:rsid w:val="006665ED"/>
    <w:rsid w:val="00696D6D"/>
    <w:rsid w:val="006A4BC5"/>
    <w:rsid w:val="006B0174"/>
    <w:rsid w:val="006B4604"/>
    <w:rsid w:val="006B52D3"/>
    <w:rsid w:val="006C6634"/>
    <w:rsid w:val="00731ADD"/>
    <w:rsid w:val="00791645"/>
    <w:rsid w:val="007E5D05"/>
    <w:rsid w:val="00812481"/>
    <w:rsid w:val="00813276"/>
    <w:rsid w:val="00837F3C"/>
    <w:rsid w:val="0085220A"/>
    <w:rsid w:val="008827BD"/>
    <w:rsid w:val="008B250E"/>
    <w:rsid w:val="008D0C02"/>
    <w:rsid w:val="008D3C10"/>
    <w:rsid w:val="008E0A73"/>
    <w:rsid w:val="008E1D2C"/>
    <w:rsid w:val="009036BE"/>
    <w:rsid w:val="009471AF"/>
    <w:rsid w:val="00956138"/>
    <w:rsid w:val="009B6D2D"/>
    <w:rsid w:val="009D0ACE"/>
    <w:rsid w:val="00A26CB0"/>
    <w:rsid w:val="00A740AB"/>
    <w:rsid w:val="00AA0CC2"/>
    <w:rsid w:val="00AA14CF"/>
    <w:rsid w:val="00AA230A"/>
    <w:rsid w:val="00AD2F4A"/>
    <w:rsid w:val="00B621C8"/>
    <w:rsid w:val="00BC2C1B"/>
    <w:rsid w:val="00C25E82"/>
    <w:rsid w:val="00C30B6A"/>
    <w:rsid w:val="00C76C9F"/>
    <w:rsid w:val="00CD619D"/>
    <w:rsid w:val="00CE7E54"/>
    <w:rsid w:val="00D61C94"/>
    <w:rsid w:val="00D941D0"/>
    <w:rsid w:val="00DA0FCF"/>
    <w:rsid w:val="00DB5998"/>
    <w:rsid w:val="00DC7E21"/>
    <w:rsid w:val="00DD7FFE"/>
    <w:rsid w:val="00DE3363"/>
    <w:rsid w:val="00E1002F"/>
    <w:rsid w:val="00E60FBD"/>
    <w:rsid w:val="00E84A7D"/>
    <w:rsid w:val="00E90FA9"/>
    <w:rsid w:val="00EB6D62"/>
    <w:rsid w:val="00EC2FC4"/>
    <w:rsid w:val="00EC79A9"/>
    <w:rsid w:val="00ED03CA"/>
    <w:rsid w:val="00F274F8"/>
    <w:rsid w:val="00F45693"/>
    <w:rsid w:val="00F50BCC"/>
    <w:rsid w:val="00F72679"/>
    <w:rsid w:val="00FA7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5264D36"/>
  <w15:docId w15:val="{662116C7-7B89-493B-8283-6F50433B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329" w:right="2328"/>
      <w:jc w:val="center"/>
      <w:outlineLvl w:val="0"/>
    </w:pPr>
    <w:rPr>
      <w:b/>
      <w:bCs/>
      <w:sz w:val="32"/>
      <w:szCs w:val="32"/>
    </w:rPr>
  </w:style>
  <w:style w:type="paragraph" w:styleId="Heading2">
    <w:name w:val="heading 2"/>
    <w:basedOn w:val="Normal"/>
    <w:uiPriority w:val="1"/>
    <w:qFormat/>
    <w:pPr>
      <w:ind w:left="2331" w:right="1982"/>
      <w:jc w:val="center"/>
      <w:outlineLvl w:val="1"/>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24"/>
      <w:szCs w:val="24"/>
    </w:rPr>
  </w:style>
  <w:style w:type="paragraph" w:styleId="ListParagraph">
    <w:name w:val="List Paragraph"/>
    <w:basedOn w:val="Normal"/>
    <w:uiPriority w:val="34"/>
    <w:qFormat/>
    <w:pPr>
      <w:ind w:left="1208" w:hanging="368"/>
    </w:pPr>
  </w:style>
  <w:style w:type="paragraph" w:customStyle="1" w:styleId="TableParagraph">
    <w:name w:val="Table Paragraph"/>
    <w:basedOn w:val="Normal"/>
    <w:uiPriority w:val="1"/>
    <w:qFormat/>
  </w:style>
  <w:style w:type="paragraph" w:styleId="BodyTextIndent">
    <w:name w:val="Body Text Indent"/>
    <w:basedOn w:val="Normal"/>
    <w:link w:val="BodyTextIndentChar"/>
    <w:uiPriority w:val="99"/>
    <w:semiHidden/>
    <w:unhideWhenUsed/>
    <w:rsid w:val="00F45693"/>
    <w:pPr>
      <w:spacing w:after="120"/>
      <w:ind w:left="360"/>
    </w:pPr>
  </w:style>
  <w:style w:type="character" w:customStyle="1" w:styleId="BodyTextIndentChar">
    <w:name w:val="Body Text Indent Char"/>
    <w:basedOn w:val="DefaultParagraphFont"/>
    <w:link w:val="BodyTextIndent"/>
    <w:uiPriority w:val="99"/>
    <w:semiHidden/>
    <w:rsid w:val="00F45693"/>
    <w:rPr>
      <w:rFonts w:ascii="Times New Roman" w:eastAsia="Times New Roman" w:hAnsi="Times New Roman" w:cs="Times New Roman"/>
      <w:lang w:bidi="en-US"/>
    </w:rPr>
  </w:style>
  <w:style w:type="paragraph" w:styleId="BodyTextIndent2">
    <w:name w:val="Body Text Indent 2"/>
    <w:basedOn w:val="Normal"/>
    <w:link w:val="BodyTextIndent2Char"/>
    <w:uiPriority w:val="99"/>
    <w:semiHidden/>
    <w:unhideWhenUsed/>
    <w:rsid w:val="004D2645"/>
    <w:pPr>
      <w:spacing w:after="120" w:line="480" w:lineRule="auto"/>
      <w:ind w:left="360"/>
    </w:pPr>
  </w:style>
  <w:style w:type="character" w:customStyle="1" w:styleId="BodyTextIndent2Char">
    <w:name w:val="Body Text Indent 2 Char"/>
    <w:basedOn w:val="DefaultParagraphFont"/>
    <w:link w:val="BodyTextIndent2"/>
    <w:uiPriority w:val="99"/>
    <w:semiHidden/>
    <w:rsid w:val="004D2645"/>
    <w:rPr>
      <w:rFonts w:ascii="Times New Roman" w:eastAsia="Times New Roman" w:hAnsi="Times New Roman" w:cs="Times New Roman"/>
      <w:lang w:bidi="en-US"/>
    </w:rPr>
  </w:style>
  <w:style w:type="table" w:styleId="TableGrid">
    <w:name w:val="Table Grid"/>
    <w:basedOn w:val="TableNormal"/>
    <w:uiPriority w:val="39"/>
    <w:rsid w:val="00614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C30B6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30B6A"/>
    <w:rPr>
      <w:rFonts w:ascii="Times New Roman" w:eastAsia="Times New Roman" w:hAnsi="Times New Roman" w:cs="Times New Roman"/>
      <w:sz w:val="16"/>
      <w:szCs w:val="16"/>
      <w:lang w:bidi="en-US"/>
    </w:rPr>
  </w:style>
  <w:style w:type="character" w:styleId="FootnoteReference">
    <w:name w:val="footnote reference"/>
    <w:semiHidden/>
    <w:rsid w:val="00570363"/>
  </w:style>
  <w:style w:type="paragraph" w:styleId="FootnoteText">
    <w:name w:val="footnote text"/>
    <w:basedOn w:val="Normal"/>
    <w:link w:val="FootnoteTextChar"/>
    <w:semiHidden/>
    <w:unhideWhenUsed/>
    <w:rsid w:val="00570363"/>
    <w:pPr>
      <w:adjustRightInd w:val="0"/>
    </w:pPr>
    <w:rPr>
      <w:sz w:val="20"/>
      <w:szCs w:val="20"/>
      <w:lang w:bidi="ar-SA"/>
    </w:rPr>
  </w:style>
  <w:style w:type="character" w:customStyle="1" w:styleId="FootnoteTextChar">
    <w:name w:val="Footnote Text Char"/>
    <w:basedOn w:val="DefaultParagraphFont"/>
    <w:link w:val="FootnoteText"/>
    <w:semiHidden/>
    <w:rsid w:val="00570363"/>
    <w:rPr>
      <w:rFonts w:ascii="Times New Roman" w:eastAsia="Times New Roman" w:hAnsi="Times New Roman" w:cs="Times New Roman"/>
      <w:sz w:val="20"/>
      <w:szCs w:val="20"/>
    </w:rPr>
  </w:style>
  <w:style w:type="character" w:styleId="Hyperlink">
    <w:name w:val="Hyperlink"/>
    <w:basedOn w:val="DefaultParagraphFont"/>
    <w:uiPriority w:val="99"/>
    <w:unhideWhenUsed/>
    <w:rsid w:val="001D0A53"/>
    <w:rPr>
      <w:color w:val="0000FF" w:themeColor="hyperlink"/>
      <w:u w:val="single"/>
    </w:rPr>
  </w:style>
  <w:style w:type="character" w:styleId="UnresolvedMention">
    <w:name w:val="Unresolved Mention"/>
    <w:basedOn w:val="DefaultParagraphFont"/>
    <w:uiPriority w:val="99"/>
    <w:semiHidden/>
    <w:unhideWhenUsed/>
    <w:rsid w:val="001D0A53"/>
    <w:rPr>
      <w:color w:val="605E5C"/>
      <w:shd w:val="clear" w:color="auto" w:fill="E1DFDD"/>
    </w:rPr>
  </w:style>
  <w:style w:type="character" w:customStyle="1" w:styleId="BodyTextChar">
    <w:name w:val="Body Text Char"/>
    <w:basedOn w:val="DefaultParagraphFont"/>
    <w:link w:val="BodyText"/>
    <w:uiPriority w:val="1"/>
    <w:rsid w:val="00497671"/>
    <w:rPr>
      <w:rFonts w:ascii="Times New Roman" w:eastAsia="Times New Roman" w:hAnsi="Times New Roman" w:cs="Times New Roman"/>
      <w:b/>
      <w:bCs/>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3448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ns.usda.gov/pl-116-26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ns.usda.gov/pl-116%E2%80%9315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ns.usda.gov/pl-116-12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ns.usda.gov/pl-1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_x0020_Version xmlns="ddf89d24-da51-4c04-a6b5-936a153adb8f" xsi:nil="true"/>
    <Publish_x0020_Date xmlns="ddf89d24-da51-4c04-a6b5-936a153adb8f" xsi:nil="true"/>
    <Document_x0020_Status xmlns="683294c6-37a3-4ef1-8fc0-8d465748c9d6" xsi:nil="true"/>
    <_dlc_DocId xmlns="683294c6-37a3-4ef1-8fc0-8d465748c9d6">TJJP2XWZRXXJ-1088814921-83</_dlc_DocId>
    <_dlc_DocIdUrl xmlns="683294c6-37a3-4ef1-8fc0-8d465748c9d6">
      <Url>https://collab.ecm.census.gov/div/pco/PRAintranet/_layouts/DocIdRedir.aspx?ID=TJJP2XWZRXXJ-1088814921-83</Url>
      <Description>TJJP2XWZRXXJ-1088814921-83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665E4F46D42A48A820B0A2997263F1" ma:contentTypeVersion="2" ma:contentTypeDescription="Create a new document." ma:contentTypeScope="" ma:versionID="c64e07fd2122210efab4eedbdc8967a3">
  <xsd:schema xmlns:xsd="http://www.w3.org/2001/XMLSchema" xmlns:xs="http://www.w3.org/2001/XMLSchema" xmlns:p="http://schemas.microsoft.com/office/2006/metadata/properties" xmlns:ns2="ddf89d24-da51-4c04-a6b5-936a153adb8f" xmlns:ns3="683294c6-37a3-4ef1-8fc0-8d465748c9d6" targetNamespace="http://schemas.microsoft.com/office/2006/metadata/properties" ma:root="true" ma:fieldsID="7eaeac0a31488277a3c428ee14ef64dc" ns2:_="" ns3:_="">
    <xsd:import namespace="ddf89d24-da51-4c04-a6b5-936a153adb8f"/>
    <xsd:import namespace="683294c6-37a3-4ef1-8fc0-8d465748c9d6"/>
    <xsd:element name="properties">
      <xsd:complexType>
        <xsd:sequence>
          <xsd:element name="documentManagement">
            <xsd:complexType>
              <xsd:all>
                <xsd:element ref="ns2:Doc_x0020_Version" minOccurs="0"/>
                <xsd:element ref="ns2:Publish_x0020_Date" minOccurs="0"/>
                <xsd:element ref="ns3:Document_x0020_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89d24-da51-4c04-a6b5-936a153adb8f" elementFormDefault="qualified">
    <xsd:import namespace="http://schemas.microsoft.com/office/2006/documentManagement/types"/>
    <xsd:import namespace="http://schemas.microsoft.com/office/infopath/2007/PartnerControls"/>
    <xsd:element name="Doc_x0020_Version" ma:index="8" nillable="true" ma:displayName="Doc Version" ma:description="OMB Version" ma:internalName="Doc_x0020_Version">
      <xsd:simpleType>
        <xsd:restriction base="dms:Text">
          <xsd:maxLength value="255"/>
        </xsd:restriction>
      </xsd:simpleType>
    </xsd:element>
    <xsd:element name="Publish_x0020_Date" ma:index="9" nillable="true" ma:displayName="Publish Date" ma:format="DateOnly" ma:internalName="Publish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538B30-E56D-4EAC-B14C-1DB8B151729A}">
  <ds:schemaRefs>
    <ds:schemaRef ds:uri="http://schemas.microsoft.com/sharepoint/events"/>
  </ds:schemaRefs>
</ds:datastoreItem>
</file>

<file path=customXml/itemProps2.xml><?xml version="1.0" encoding="utf-8"?>
<ds:datastoreItem xmlns:ds="http://schemas.openxmlformats.org/officeDocument/2006/customXml" ds:itemID="{ADBAD937-EB6B-42DE-8DEE-27874DA27B81}">
  <ds:schemaRefs>
    <ds:schemaRef ds:uri="http://schemas.microsoft.com/sharepoint/v3/contenttype/forms"/>
  </ds:schemaRefs>
</ds:datastoreItem>
</file>

<file path=customXml/itemProps3.xml><?xml version="1.0" encoding="utf-8"?>
<ds:datastoreItem xmlns:ds="http://schemas.openxmlformats.org/officeDocument/2006/customXml" ds:itemID="{75F5D599-3059-404A-AD48-DC4A439B4F5E}">
  <ds:schemaRefs>
    <ds:schemaRef ds:uri="http://purl.org/dc/dcmitype/"/>
    <ds:schemaRef ds:uri="http://schemas.microsoft.com/office/infopath/2007/PartnerControls"/>
    <ds:schemaRef ds:uri="http://www.w3.org/XML/1998/namespace"/>
    <ds:schemaRef ds:uri="http://schemas.openxmlformats.org/package/2006/metadata/core-properties"/>
    <ds:schemaRef ds:uri="ddf89d24-da51-4c04-a6b5-936a153adb8f"/>
    <ds:schemaRef ds:uri="http://schemas.microsoft.com/office/2006/metadata/properties"/>
    <ds:schemaRef ds:uri="http://purl.org/dc/elements/1.1/"/>
    <ds:schemaRef ds:uri="http://schemas.microsoft.com/office/2006/documentManagement/types"/>
    <ds:schemaRef ds:uri="683294c6-37a3-4ef1-8fc0-8d465748c9d6"/>
    <ds:schemaRef ds:uri="http://purl.org/dc/terms/"/>
  </ds:schemaRefs>
</ds:datastoreItem>
</file>

<file path=customXml/itemProps4.xml><?xml version="1.0" encoding="utf-8"?>
<ds:datastoreItem xmlns:ds="http://schemas.openxmlformats.org/officeDocument/2006/customXml" ds:itemID="{7B59B9B8-3CC2-4971-B502-18BC62A08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89d24-da51-4c04-a6b5-936a153adb8f"/>
    <ds:schemaRef ds:uri="683294c6-37a3-4ef1-8fc0-8d465748c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3436</Words>
  <Characters>19586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the Census</Company>
  <LinksUpToDate>false</LinksUpToDate>
  <CharactersWithSpaces>22977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Tim Marshall</dc:creator>
  <cp:lastModifiedBy>Tim J Marshall (CENSUS/ADDP FED)</cp:lastModifiedBy>
  <cp:revision>5</cp:revision>
  <dcterms:created xsi:type="dcterms:W3CDTF">2021-11-02T19:50:00Z</dcterms:created>
  <dcterms:modified xsi:type="dcterms:W3CDTF">2021-11-03T12:18:00Z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2015-05-07T00:00:00Z</vt:filetime>
  </property>
  <property fmtid="{D5CDD505-2E9C-101B-9397-08002B2CF9AE}" pid="3" name="Creator">
    <vt:lpwstr>Acrobat PDFMaker 11 for Word</vt:lpwstr>
  </property>
  <property fmtid="{D5CDD505-2E9C-101B-9397-08002B2CF9AE}" pid="4" name="LastSaved">
    <vt:filetime>2019-07-23T00:00:00Z</vt:filetime>
  </property>
  <property fmtid="{D5CDD505-2E9C-101B-9397-08002B2CF9AE}" pid="5" name="ContentTypeId">
    <vt:lpwstr>0x01010066665E4F46D42A48A820B0A2997263F1</vt:lpwstr>
  </property>
  <property fmtid="{D5CDD505-2E9C-101B-9397-08002B2CF9AE}" pid="6" name="_dlc_DocIdItemGuid">
    <vt:lpwstr>c7f34e46-3615-4a44-a236-81cc7a93c8f8</vt:lpwstr>
  </property>
</Properties>
</file>