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EF6BF8" w:rsidR="00207075" w:rsidP="00207075" w:rsidRDefault="00207075" w14:paraId="4CCF3E3D" w14:textId="77777777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EF6BF8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OMB </w:t>
      </w:r>
      <w:proofErr w:type="spellStart"/>
      <w:r w:rsidRPr="00EF6BF8">
        <w:rPr>
          <w:rFonts w:asciiTheme="minorHAnsi" w:hAnsiTheme="minorHAnsi" w:cstheme="minorHAnsi"/>
          <w:b/>
          <w:color w:val="000000"/>
          <w:sz w:val="24"/>
          <w:szCs w:val="24"/>
        </w:rPr>
        <w:t>Nonsubstantive</w:t>
      </w:r>
      <w:proofErr w:type="spellEnd"/>
      <w:r w:rsidRPr="00EF6BF8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Change Request</w:t>
      </w:r>
    </w:p>
    <w:p w:rsidRPr="00EF6BF8" w:rsidR="00207075" w:rsidP="00207075" w:rsidRDefault="00207075" w14:paraId="459385CC" w14:textId="77777777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EF6BF8">
        <w:rPr>
          <w:rFonts w:asciiTheme="minorHAnsi" w:hAnsiTheme="minorHAnsi" w:cstheme="minorHAnsi"/>
          <w:b/>
          <w:color w:val="000000"/>
          <w:sz w:val="24"/>
          <w:szCs w:val="24"/>
        </w:rPr>
        <w:t>Department: Commerce</w:t>
      </w:r>
    </w:p>
    <w:p w:rsidRPr="00EF6BF8" w:rsidR="00207075" w:rsidP="00207075" w:rsidRDefault="00207075" w14:paraId="4780C291" w14:textId="77777777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EF6BF8">
        <w:rPr>
          <w:rFonts w:asciiTheme="minorHAnsi" w:hAnsiTheme="minorHAnsi" w:cstheme="minorHAnsi"/>
          <w:b/>
          <w:color w:val="000000"/>
          <w:sz w:val="24"/>
          <w:szCs w:val="24"/>
        </w:rPr>
        <w:t>Agency: U.S. Census Bureau</w:t>
      </w:r>
    </w:p>
    <w:p w:rsidRPr="00EF6BF8" w:rsidR="00207075" w:rsidP="00207075" w:rsidRDefault="00207075" w14:paraId="31B51E40" w14:textId="77777777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EF6BF8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Title: 2020 Census Post-Enumeration Survey </w:t>
      </w:r>
      <w:r w:rsidRPr="005D377E">
        <w:rPr>
          <w:rFonts w:asciiTheme="minorHAnsi" w:hAnsiTheme="minorHAnsi" w:cstheme="minorHAnsi"/>
          <w:b/>
          <w:sz w:val="24"/>
          <w:szCs w:val="24"/>
        </w:rPr>
        <w:t>Initial and Final Housing Unit Follow-up Operation</w:t>
      </w:r>
      <w:r>
        <w:rPr>
          <w:rFonts w:asciiTheme="minorHAnsi" w:hAnsiTheme="minorHAnsi" w:cstheme="minorHAnsi"/>
          <w:b/>
          <w:sz w:val="24"/>
          <w:szCs w:val="24"/>
        </w:rPr>
        <w:t>s</w:t>
      </w:r>
    </w:p>
    <w:p w:rsidRPr="00EF6BF8" w:rsidR="00207075" w:rsidP="00207075" w:rsidRDefault="00207075" w14:paraId="0C565478" w14:textId="77777777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EF6BF8">
        <w:rPr>
          <w:rFonts w:asciiTheme="minorHAnsi" w:hAnsiTheme="minorHAnsi" w:cstheme="minorHAnsi"/>
          <w:b/>
          <w:color w:val="000000"/>
          <w:sz w:val="24"/>
          <w:szCs w:val="24"/>
        </w:rPr>
        <w:t>OMB Control Number: 0607-101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>0</w:t>
      </w:r>
    </w:p>
    <w:p w:rsidRPr="00EF6BF8" w:rsidR="00207075" w:rsidP="00207075" w:rsidRDefault="00207075" w14:paraId="66F3438D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F6BF8">
        <w:rPr>
          <w:rFonts w:asciiTheme="minorHAnsi" w:hAnsiTheme="minorHAnsi" w:cstheme="minorHAnsi"/>
          <w:b/>
          <w:color w:val="000000"/>
          <w:sz w:val="24"/>
          <w:szCs w:val="24"/>
        </w:rPr>
        <w:t>Expiration Date</w:t>
      </w:r>
      <w:r w:rsidRPr="00EF6BF8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1978ED">
        <w:rPr>
          <w:rFonts w:ascii="Calibri" w:hAnsi="Calibri" w:cs="Calibri"/>
          <w:b/>
          <w:sz w:val="24"/>
          <w:szCs w:val="24"/>
        </w:rPr>
        <w:t>11/30/2022</w:t>
      </w:r>
    </w:p>
    <w:p w:rsidRPr="00EF6BF8" w:rsidR="00207075" w:rsidP="00207075" w:rsidRDefault="00207075" w14:paraId="1D736EC3" w14:textId="77777777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521B4C" w:rsidP="00207075" w:rsidRDefault="00207075" w14:paraId="026DE8D4" w14:textId="13B9DECF">
      <w:pPr>
        <w:rPr>
          <w:rFonts w:ascii="Calibri" w:hAnsi="Calibri" w:eastAsia="Calibri" w:cs="Calibri"/>
          <w:sz w:val="24"/>
          <w:szCs w:val="24"/>
        </w:rPr>
      </w:pPr>
      <w:r w:rsidRPr="00EF6BF8">
        <w:rPr>
          <w:rFonts w:asciiTheme="minorHAnsi" w:hAnsiTheme="minorHAnsi" w:cstheme="minorHAnsi"/>
          <w:b/>
          <w:color w:val="000000"/>
          <w:sz w:val="24"/>
          <w:szCs w:val="24"/>
        </w:rPr>
        <w:t>Request</w:t>
      </w:r>
      <w:r w:rsidRPr="00EF6BF8">
        <w:rPr>
          <w:rFonts w:asciiTheme="minorHAnsi" w:hAnsiTheme="minorHAnsi" w:cstheme="minorHAnsi"/>
          <w:color w:val="000000"/>
          <w:sz w:val="24"/>
          <w:szCs w:val="24"/>
        </w:rPr>
        <w:t>:</w:t>
      </w:r>
      <w:r w:rsidRPr="00EF6BF8">
        <w:rPr>
          <w:rFonts w:asciiTheme="minorHAnsi" w:hAnsiTheme="minorHAnsi" w:cstheme="minorHAnsi"/>
          <w:color w:val="33333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The Census Bureau is submitting this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Nonsubstantive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Change</w:t>
      </w:r>
      <w:r w:rsidR="00672E9B">
        <w:rPr>
          <w:rFonts w:ascii="Calibri" w:hAnsi="Calibri" w:cs="Calibri"/>
          <w:color w:val="000000"/>
          <w:sz w:val="24"/>
          <w:szCs w:val="24"/>
        </w:rPr>
        <w:t xml:space="preserve"> Request</w:t>
      </w:r>
      <w:r>
        <w:rPr>
          <w:rFonts w:ascii="Calibri" w:hAnsi="Calibri" w:cs="Calibri"/>
          <w:color w:val="000000"/>
          <w:sz w:val="24"/>
          <w:szCs w:val="24"/>
        </w:rPr>
        <w:t xml:space="preserve"> to provide a schedule change for the 2020 Census Post-Enumeration Survey (PES) Final Housing Unit Follow-Up (FHUFU) operation. The</w:t>
      </w:r>
      <w:r w:rsidRPr="00EF6BF8">
        <w:rPr>
          <w:rFonts w:asciiTheme="minorHAnsi" w:hAnsiTheme="minorHAnsi" w:cstheme="minorHAnsi"/>
          <w:sz w:val="24"/>
          <w:szCs w:val="24"/>
        </w:rPr>
        <w:t xml:space="preserve"> PES </w:t>
      </w:r>
      <w:r>
        <w:rPr>
          <w:rFonts w:asciiTheme="minorHAnsi" w:hAnsiTheme="minorHAnsi" w:cstheme="minorHAnsi"/>
          <w:sz w:val="24"/>
          <w:szCs w:val="24"/>
        </w:rPr>
        <w:t>FHUFU</w:t>
      </w:r>
      <w:r w:rsidRPr="00EF6BF8">
        <w:rPr>
          <w:rFonts w:asciiTheme="minorHAnsi" w:hAnsiTheme="minorHAnsi" w:cstheme="minorHAnsi"/>
          <w:sz w:val="24"/>
          <w:szCs w:val="24"/>
        </w:rPr>
        <w:t xml:space="preserve"> and </w:t>
      </w:r>
      <w:r>
        <w:rPr>
          <w:rFonts w:asciiTheme="minorHAnsi" w:hAnsiTheme="minorHAnsi" w:cstheme="minorHAnsi"/>
          <w:sz w:val="24"/>
          <w:szCs w:val="24"/>
        </w:rPr>
        <w:t>FHUFU</w:t>
      </w:r>
      <w:r w:rsidRPr="00EF6BF8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Quality Control</w:t>
      </w:r>
      <w:r w:rsidRPr="00EF6BF8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(QC) </w:t>
      </w:r>
      <w:r w:rsidRPr="00EF6BF8">
        <w:rPr>
          <w:rFonts w:asciiTheme="minorHAnsi" w:hAnsiTheme="minorHAnsi" w:cstheme="minorHAnsi"/>
          <w:sz w:val="24"/>
          <w:szCs w:val="24"/>
        </w:rPr>
        <w:t>operations were</w:t>
      </w:r>
      <w:r>
        <w:rPr>
          <w:rFonts w:asciiTheme="minorHAnsi" w:hAnsiTheme="minorHAnsi" w:cstheme="minorHAnsi"/>
          <w:sz w:val="24"/>
          <w:szCs w:val="24"/>
        </w:rPr>
        <w:t xml:space="preserve"> planned </w:t>
      </w:r>
      <w:r w:rsidRPr="00EF6BF8">
        <w:rPr>
          <w:rFonts w:asciiTheme="minorHAnsi" w:hAnsiTheme="minorHAnsi" w:cstheme="minorHAnsi"/>
          <w:sz w:val="24"/>
          <w:szCs w:val="24"/>
        </w:rPr>
        <w:t xml:space="preserve">to occur </w:t>
      </w:r>
      <w:r>
        <w:rPr>
          <w:rFonts w:asciiTheme="minorHAnsi" w:hAnsiTheme="minorHAnsi" w:cstheme="minorHAnsi"/>
          <w:sz w:val="24"/>
          <w:szCs w:val="24"/>
        </w:rPr>
        <w:t xml:space="preserve">November </w:t>
      </w:r>
      <w:r w:rsidRPr="00EF6BF8">
        <w:rPr>
          <w:rFonts w:asciiTheme="minorHAnsi" w:hAnsiTheme="minorHAnsi" w:cstheme="minorHAnsi"/>
          <w:sz w:val="24"/>
          <w:szCs w:val="24"/>
        </w:rPr>
        <w:t>2021</w:t>
      </w:r>
      <w:r>
        <w:rPr>
          <w:rFonts w:asciiTheme="minorHAnsi" w:hAnsiTheme="minorHAnsi" w:cstheme="minorHAnsi"/>
          <w:sz w:val="24"/>
          <w:szCs w:val="24"/>
        </w:rPr>
        <w:t xml:space="preserve"> through February 2022</w:t>
      </w:r>
      <w:r w:rsidRPr="00EF6BF8"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 xml:space="preserve">his </w:t>
      </w:r>
      <w:r w:rsidR="000F5567">
        <w:rPr>
          <w:rFonts w:ascii="Calibri" w:hAnsi="Calibri" w:cs="Calibri"/>
          <w:color w:val="000000"/>
          <w:sz w:val="24"/>
          <w:szCs w:val="24"/>
        </w:rPr>
        <w:t>date</w:t>
      </w:r>
      <w:r>
        <w:rPr>
          <w:rFonts w:ascii="Calibri" w:hAnsi="Calibri" w:cs="Calibri"/>
          <w:color w:val="000000"/>
          <w:sz w:val="24"/>
          <w:szCs w:val="24"/>
        </w:rPr>
        <w:t xml:space="preserve"> was</w:t>
      </w:r>
      <w:r w:rsidRPr="00EF6BF8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approved by OMB on 10/25/2021. </w:t>
      </w:r>
      <w:r w:rsidRPr="00EF6BF8">
        <w:rPr>
          <w:rFonts w:asciiTheme="minorHAnsi" w:hAnsiTheme="minorHAnsi" w:cstheme="minorHAnsi"/>
          <w:sz w:val="24"/>
          <w:szCs w:val="24"/>
        </w:rPr>
        <w:t xml:space="preserve">As a result of the </w:t>
      </w:r>
      <w:r w:rsidR="00A560B8">
        <w:rPr>
          <w:rFonts w:asciiTheme="minorHAnsi" w:hAnsiTheme="minorHAnsi" w:cstheme="minorHAnsi"/>
          <w:sz w:val="24"/>
          <w:szCs w:val="24"/>
        </w:rPr>
        <w:t xml:space="preserve">ongoing </w:t>
      </w:r>
      <w:r>
        <w:rPr>
          <w:rFonts w:asciiTheme="minorHAnsi" w:hAnsiTheme="minorHAnsi" w:cstheme="minorHAnsi"/>
          <w:sz w:val="24"/>
          <w:szCs w:val="24"/>
        </w:rPr>
        <w:t xml:space="preserve">impact of the </w:t>
      </w:r>
      <w:r w:rsidRPr="00EF6BF8">
        <w:rPr>
          <w:rFonts w:asciiTheme="minorHAnsi" w:hAnsiTheme="minorHAnsi" w:cstheme="minorHAnsi"/>
          <w:sz w:val="24"/>
          <w:szCs w:val="24"/>
        </w:rPr>
        <w:t>coronavirus pandemic</w:t>
      </w:r>
      <w:r>
        <w:rPr>
          <w:rFonts w:asciiTheme="minorHAnsi" w:hAnsiTheme="minorHAnsi" w:cstheme="minorHAnsi"/>
          <w:sz w:val="24"/>
          <w:szCs w:val="24"/>
        </w:rPr>
        <w:t xml:space="preserve"> on the schedule of the preceding </w:t>
      </w:r>
      <w:r w:rsidR="009E1125">
        <w:rPr>
          <w:rFonts w:asciiTheme="minorHAnsi" w:hAnsiTheme="minorHAnsi" w:cstheme="minorHAnsi"/>
          <w:sz w:val="24"/>
          <w:szCs w:val="24"/>
        </w:rPr>
        <w:t>PES</w:t>
      </w:r>
      <w:r>
        <w:rPr>
          <w:rFonts w:asciiTheme="minorHAnsi" w:hAnsiTheme="minorHAnsi" w:cstheme="minorHAnsi"/>
          <w:sz w:val="24"/>
          <w:szCs w:val="24"/>
        </w:rPr>
        <w:t xml:space="preserve"> operations and staffing challenges</w:t>
      </w:r>
      <w:r w:rsidRPr="00EF6BF8">
        <w:rPr>
          <w:rFonts w:asciiTheme="minorHAnsi" w:hAnsiTheme="minorHAnsi" w:cstheme="minorHAnsi"/>
          <w:sz w:val="24"/>
          <w:szCs w:val="24"/>
        </w:rPr>
        <w:t xml:space="preserve">, the Census Bureau is proposing to </w:t>
      </w:r>
      <w:r w:rsidR="009E1125">
        <w:rPr>
          <w:rFonts w:asciiTheme="minorHAnsi" w:hAnsiTheme="minorHAnsi" w:cstheme="minorHAnsi"/>
          <w:sz w:val="24"/>
          <w:szCs w:val="24"/>
        </w:rPr>
        <w:t>delay</w:t>
      </w:r>
      <w:r w:rsidRPr="00EF6BF8" w:rsidR="009E1125">
        <w:rPr>
          <w:rFonts w:asciiTheme="minorHAnsi" w:hAnsiTheme="minorHAnsi" w:cstheme="minorHAnsi"/>
          <w:sz w:val="24"/>
          <w:szCs w:val="24"/>
        </w:rPr>
        <w:t xml:space="preserve"> </w:t>
      </w:r>
      <w:r w:rsidRPr="00EF6BF8">
        <w:rPr>
          <w:rFonts w:asciiTheme="minorHAnsi" w:hAnsiTheme="minorHAnsi" w:cstheme="minorHAnsi"/>
          <w:sz w:val="24"/>
          <w:szCs w:val="24"/>
        </w:rPr>
        <w:t xml:space="preserve">the data collection schedule for the PES </w:t>
      </w:r>
      <w:r>
        <w:rPr>
          <w:rFonts w:asciiTheme="minorHAnsi" w:hAnsiTheme="minorHAnsi" w:cstheme="minorHAnsi"/>
          <w:sz w:val="24"/>
          <w:szCs w:val="24"/>
        </w:rPr>
        <w:t>FHUFU and FHUFU QC</w:t>
      </w:r>
      <w:r w:rsidRPr="00EF6BF8">
        <w:rPr>
          <w:rFonts w:asciiTheme="minorHAnsi" w:hAnsiTheme="minorHAnsi" w:cstheme="minorHAnsi"/>
          <w:sz w:val="24"/>
          <w:szCs w:val="24"/>
        </w:rPr>
        <w:t xml:space="preserve"> operations from what was </w:t>
      </w:r>
      <w:r w:rsidRPr="00521B4C">
        <w:rPr>
          <w:rFonts w:ascii="Calibri" w:hAnsi="Calibri" w:cs="Calibri"/>
          <w:sz w:val="24"/>
          <w:szCs w:val="24"/>
        </w:rPr>
        <w:t xml:space="preserve">previously stated </w:t>
      </w:r>
      <w:r w:rsidRPr="00521B4C">
        <w:rPr>
          <w:rFonts w:ascii="Calibri" w:hAnsi="Calibri" w:eastAsia="Calibri" w:cs="Calibri"/>
          <w:sz w:val="24"/>
          <w:szCs w:val="24"/>
        </w:rPr>
        <w:t>to</w:t>
      </w:r>
      <w:r w:rsidRPr="00521B4C">
        <w:rPr>
          <w:rFonts w:ascii="Calibri" w:hAnsi="Calibri" w:cs="Calibri"/>
          <w:sz w:val="24"/>
          <w:szCs w:val="24"/>
        </w:rPr>
        <w:t xml:space="preserve"> November 2021 through March 2022</w:t>
      </w:r>
      <w:r w:rsidRPr="00521B4C">
        <w:rPr>
          <w:rFonts w:ascii="Calibri" w:hAnsi="Calibri" w:eastAsia="Calibri" w:cs="Calibri"/>
          <w:sz w:val="24"/>
          <w:szCs w:val="24"/>
        </w:rPr>
        <w:t>.</w:t>
      </w:r>
      <w:r w:rsidRPr="00521B4C" w:rsidR="00521B4C">
        <w:rPr>
          <w:rFonts w:ascii="Calibri" w:hAnsi="Calibri" w:eastAsia="Calibri" w:cs="Calibri"/>
          <w:sz w:val="24"/>
          <w:szCs w:val="24"/>
        </w:rPr>
        <w:t xml:space="preserve"> </w:t>
      </w:r>
      <w:r w:rsidR="00521B4C">
        <w:rPr>
          <w:rFonts w:ascii="Calibri" w:hAnsi="Calibri" w:eastAsia="Calibri" w:cs="Calibri"/>
          <w:sz w:val="24"/>
          <w:szCs w:val="24"/>
        </w:rPr>
        <w:t>We will follow up with households beginning with a soft launch</w:t>
      </w:r>
      <w:r w:rsidR="00EB6E9F">
        <w:rPr>
          <w:rFonts w:ascii="Calibri" w:hAnsi="Calibri" w:eastAsia="Calibri" w:cs="Calibri"/>
          <w:sz w:val="24"/>
          <w:szCs w:val="24"/>
        </w:rPr>
        <w:t xml:space="preserve"> in late November 2021, </w:t>
      </w:r>
      <w:r w:rsidR="00521B4C">
        <w:rPr>
          <w:rFonts w:ascii="Calibri" w:hAnsi="Calibri" w:eastAsia="Calibri" w:cs="Calibri"/>
          <w:sz w:val="24"/>
          <w:szCs w:val="24"/>
        </w:rPr>
        <w:t>and with full production starting in late December</w:t>
      </w:r>
      <w:r w:rsidR="000F5567">
        <w:rPr>
          <w:rFonts w:ascii="Calibri" w:hAnsi="Calibri" w:eastAsia="Calibri" w:cs="Calibri"/>
          <w:sz w:val="24"/>
          <w:szCs w:val="24"/>
        </w:rPr>
        <w:t xml:space="preserve"> 2021</w:t>
      </w:r>
      <w:r w:rsidR="00521B4C">
        <w:rPr>
          <w:rFonts w:ascii="Calibri" w:hAnsi="Calibri" w:eastAsia="Calibri" w:cs="Calibri"/>
          <w:sz w:val="24"/>
          <w:szCs w:val="24"/>
        </w:rPr>
        <w:t xml:space="preserve"> through March 2022</w:t>
      </w:r>
      <w:r w:rsidR="000F5567">
        <w:rPr>
          <w:rFonts w:ascii="Calibri" w:hAnsi="Calibri" w:eastAsia="Calibri" w:cs="Calibri"/>
          <w:sz w:val="24"/>
          <w:szCs w:val="24"/>
        </w:rPr>
        <w:t xml:space="preserve">. </w:t>
      </w:r>
    </w:p>
    <w:p w:rsidR="00B4455E" w:rsidP="00207075" w:rsidRDefault="00B4455E" w14:paraId="59243F54" w14:textId="5E9E5EAB">
      <w:pPr>
        <w:rPr>
          <w:rFonts w:ascii="Calibri" w:hAnsi="Calibri" w:eastAsia="Calibri" w:cs="Calibri"/>
          <w:sz w:val="24"/>
          <w:szCs w:val="24"/>
        </w:rPr>
      </w:pPr>
    </w:p>
    <w:p w:rsidRPr="00521B4C" w:rsidR="00B4455E" w:rsidP="00207075" w:rsidRDefault="00B4455E" w14:paraId="7CA2A833" w14:textId="3A675E4F">
      <w:p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This schedule change should not impact the release date of the</w:t>
      </w:r>
      <w:r w:rsidR="00A71179">
        <w:rPr>
          <w:rFonts w:ascii="Calibri" w:hAnsi="Calibri" w:eastAsia="Calibri" w:cs="Calibri"/>
          <w:sz w:val="24"/>
          <w:szCs w:val="24"/>
        </w:rPr>
        <w:t xml:space="preserve"> PES</w:t>
      </w:r>
      <w:r>
        <w:rPr>
          <w:rFonts w:ascii="Calibri" w:hAnsi="Calibri" w:eastAsia="Calibri" w:cs="Calibri"/>
          <w:sz w:val="24"/>
          <w:szCs w:val="24"/>
        </w:rPr>
        <w:t xml:space="preserve"> housing unit estimates, which is</w:t>
      </w:r>
      <w:r w:rsidR="00A71179">
        <w:rPr>
          <w:rFonts w:ascii="Calibri" w:hAnsi="Calibri" w:eastAsia="Calibri" w:cs="Calibri"/>
          <w:sz w:val="24"/>
          <w:szCs w:val="24"/>
        </w:rPr>
        <w:t xml:space="preserve"> scheduled for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 w:rsidR="00A71179">
        <w:rPr>
          <w:rFonts w:ascii="Calibri" w:hAnsi="Calibri" w:eastAsia="Calibri" w:cs="Calibri"/>
          <w:sz w:val="24"/>
          <w:szCs w:val="24"/>
        </w:rPr>
        <w:t>s</w:t>
      </w:r>
      <w:r>
        <w:rPr>
          <w:rFonts w:ascii="Calibri" w:hAnsi="Calibri" w:eastAsia="Calibri" w:cs="Calibri"/>
          <w:sz w:val="24"/>
          <w:szCs w:val="24"/>
        </w:rPr>
        <w:t xml:space="preserve">ummer </w:t>
      </w:r>
      <w:r w:rsidR="00A71179">
        <w:rPr>
          <w:rFonts w:ascii="Calibri" w:hAnsi="Calibri" w:eastAsia="Calibri" w:cs="Calibri"/>
          <w:sz w:val="24"/>
          <w:szCs w:val="24"/>
        </w:rPr>
        <w:t xml:space="preserve">of </w:t>
      </w:r>
      <w:r>
        <w:rPr>
          <w:rFonts w:ascii="Calibri" w:hAnsi="Calibri" w:eastAsia="Calibri" w:cs="Calibri"/>
          <w:sz w:val="24"/>
          <w:szCs w:val="24"/>
        </w:rPr>
        <w:t>2022.</w:t>
      </w:r>
    </w:p>
    <w:p w:rsidRPr="00EF6BF8" w:rsidR="00207075" w:rsidP="00207075" w:rsidRDefault="00207075" w14:paraId="4620F416" w14:textId="77777777">
      <w:pPr>
        <w:ind w:right="72"/>
        <w:rPr>
          <w:rFonts w:asciiTheme="minorHAnsi" w:hAnsiTheme="minorHAnsi" w:cstheme="minorHAnsi"/>
          <w:sz w:val="24"/>
          <w:szCs w:val="24"/>
        </w:rPr>
      </w:pPr>
    </w:p>
    <w:p w:rsidRPr="005622B8" w:rsidR="00207075" w:rsidP="00207075" w:rsidRDefault="00207075" w14:paraId="7940C6FB" w14:textId="77777777">
      <w:pPr>
        <w:ind w:right="72"/>
        <w:rPr>
          <w:rFonts w:asciiTheme="minorHAnsi" w:hAnsiTheme="minorHAnsi" w:cstheme="minorHAnsi"/>
          <w:b/>
          <w:bCs/>
          <w:sz w:val="24"/>
          <w:szCs w:val="24"/>
        </w:rPr>
      </w:pPr>
      <w:r w:rsidRPr="005622B8">
        <w:rPr>
          <w:rFonts w:asciiTheme="minorHAnsi" w:hAnsiTheme="minorHAnsi" w:cstheme="minorHAnsi"/>
          <w:b/>
          <w:bCs/>
          <w:sz w:val="24"/>
          <w:szCs w:val="24"/>
        </w:rPr>
        <w:t>Table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1</w:t>
      </w:r>
      <w:r w:rsidRPr="005622B8">
        <w:rPr>
          <w:rFonts w:asciiTheme="minorHAnsi" w:hAnsiTheme="minorHAnsi" w:cstheme="minorHAnsi"/>
          <w:b/>
          <w:bCs/>
          <w:sz w:val="24"/>
          <w:szCs w:val="24"/>
        </w:rPr>
        <w:t>: Schedule Revision</w:t>
      </w:r>
    </w:p>
    <w:p w:rsidRPr="00EF6BF8" w:rsidR="00207075" w:rsidP="00207075" w:rsidRDefault="00207075" w14:paraId="451E86F7" w14:textId="77777777">
      <w:pPr>
        <w:ind w:right="72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2292"/>
        <w:gridCol w:w="2292"/>
        <w:gridCol w:w="2296"/>
        <w:gridCol w:w="2295"/>
      </w:tblGrid>
      <w:tr w:rsidRPr="00EF6BF8" w:rsidR="007D6A9E" w:rsidTr="007D6A9E" w14:paraId="37274CC1" w14:textId="567295DE">
        <w:tc>
          <w:tcPr>
            <w:tcW w:w="2304" w:type="dxa"/>
          </w:tcPr>
          <w:p w:rsidRPr="005622B8" w:rsidR="00521B4C" w:rsidP="002C45EC" w:rsidRDefault="00521B4C" w14:paraId="3F2C8E44" w14:textId="77777777">
            <w:pPr>
              <w:ind w:right="72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622B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2304" w:type="dxa"/>
          </w:tcPr>
          <w:p w:rsidRPr="005622B8" w:rsidR="00521B4C" w:rsidP="002C45EC" w:rsidRDefault="00521B4C" w14:paraId="2B5AAD0F" w14:textId="77777777">
            <w:pPr>
              <w:ind w:right="72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622B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Original Date</w:t>
            </w:r>
          </w:p>
        </w:tc>
        <w:tc>
          <w:tcPr>
            <w:tcW w:w="2304" w:type="dxa"/>
          </w:tcPr>
          <w:p w:rsidRPr="005622B8" w:rsidR="00521B4C" w:rsidP="002C45EC" w:rsidRDefault="00521B4C" w14:paraId="50ADD092" w14:textId="4E620242">
            <w:pPr>
              <w:ind w:right="72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622B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Date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Approved on 10/25/2021</w:t>
            </w:r>
          </w:p>
        </w:tc>
        <w:tc>
          <w:tcPr>
            <w:tcW w:w="2304" w:type="dxa"/>
          </w:tcPr>
          <w:p w:rsidRPr="005622B8" w:rsidR="00521B4C" w:rsidP="002C45EC" w:rsidRDefault="00521B4C" w14:paraId="04EC5AFD" w14:textId="20FD78A4">
            <w:pPr>
              <w:ind w:right="72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Revised Date</w:t>
            </w:r>
          </w:p>
        </w:tc>
      </w:tr>
      <w:tr w:rsidRPr="00EF6BF8" w:rsidR="007D6A9E" w:rsidTr="007D6A9E" w14:paraId="00E3BF5C" w14:textId="7A6B609E">
        <w:tc>
          <w:tcPr>
            <w:tcW w:w="2304" w:type="dxa"/>
          </w:tcPr>
          <w:p w:rsidRPr="00E548D4" w:rsidR="00521B4C" w:rsidP="002C45EC" w:rsidRDefault="00521B4C" w14:paraId="79B8482C" w14:textId="77777777">
            <w:pPr>
              <w:ind w:right="72"/>
              <w:rPr>
                <w:rFonts w:asciiTheme="minorHAnsi" w:hAnsiTheme="minorHAnsi" w:cstheme="minorHAnsi"/>
                <w:sz w:val="24"/>
                <w:szCs w:val="24"/>
              </w:rPr>
            </w:pPr>
            <w:r w:rsidRPr="00EF6BF8">
              <w:rPr>
                <w:rFonts w:asciiTheme="minorHAnsi" w:hAnsiTheme="minorHAnsi" w:cstheme="minorHAnsi"/>
                <w:sz w:val="24"/>
                <w:szCs w:val="24"/>
              </w:rPr>
              <w:t>PES Final Housing Unit Follow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EF6BF8">
              <w:rPr>
                <w:rFonts w:asciiTheme="minorHAnsi" w:hAnsiTheme="minorHAnsi" w:cstheme="minorHAnsi"/>
                <w:sz w:val="24"/>
                <w:szCs w:val="24"/>
              </w:rPr>
              <w:t>up</w:t>
            </w:r>
          </w:p>
        </w:tc>
        <w:tc>
          <w:tcPr>
            <w:tcW w:w="2304" w:type="dxa"/>
          </w:tcPr>
          <w:p w:rsidRPr="00EF6BF8" w:rsidR="00521B4C" w:rsidP="002C45EC" w:rsidRDefault="00521B4C" w14:paraId="2DB5CBCD" w14:textId="77777777">
            <w:pPr>
              <w:ind w:right="72"/>
              <w:rPr>
                <w:rFonts w:asciiTheme="minorHAnsi" w:hAnsiTheme="minorHAnsi" w:cstheme="minorHAnsi"/>
                <w:sz w:val="24"/>
                <w:szCs w:val="24"/>
              </w:rPr>
            </w:pPr>
            <w:r w:rsidRPr="00EF6BF8">
              <w:rPr>
                <w:rFonts w:asciiTheme="minorHAnsi" w:hAnsiTheme="minorHAnsi" w:cstheme="minorHAnsi"/>
                <w:sz w:val="24"/>
                <w:szCs w:val="24"/>
              </w:rPr>
              <w:t>May 2021 - June 2021</w:t>
            </w:r>
          </w:p>
        </w:tc>
        <w:tc>
          <w:tcPr>
            <w:tcW w:w="2304" w:type="dxa"/>
          </w:tcPr>
          <w:p w:rsidRPr="00EF6BF8" w:rsidR="00521B4C" w:rsidP="002C45EC" w:rsidRDefault="00521B4C" w14:paraId="32584F37" w14:textId="77777777">
            <w:pPr>
              <w:ind w:right="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November</w:t>
            </w:r>
            <w:r w:rsidRPr="00EF6BF8">
              <w:rPr>
                <w:rFonts w:asciiTheme="minorHAnsi" w:hAnsiTheme="minorHAnsi" w:cstheme="minorHAnsi"/>
                <w:sz w:val="24"/>
                <w:szCs w:val="24"/>
              </w:rPr>
              <w:t xml:space="preserve"> 2021 -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February</w:t>
            </w:r>
            <w:r w:rsidRPr="00EF6BF8">
              <w:rPr>
                <w:rFonts w:asciiTheme="minorHAnsi" w:hAnsiTheme="minorHAnsi" w:cstheme="minorHAnsi"/>
                <w:sz w:val="24"/>
                <w:szCs w:val="24"/>
              </w:rPr>
              <w:t xml:space="preserve"> 202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2304" w:type="dxa"/>
          </w:tcPr>
          <w:p w:rsidR="00521B4C" w:rsidP="002C45EC" w:rsidRDefault="00521B4C" w14:paraId="04667CE5" w14:textId="7C4F13D5">
            <w:pPr>
              <w:ind w:right="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November</w:t>
            </w:r>
            <w:r w:rsidRPr="00EF6BF8">
              <w:rPr>
                <w:rFonts w:asciiTheme="minorHAnsi" w:hAnsiTheme="minorHAnsi" w:cstheme="minorHAnsi"/>
                <w:sz w:val="24"/>
                <w:szCs w:val="24"/>
              </w:rPr>
              <w:t xml:space="preserve"> 2021 -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March</w:t>
            </w:r>
            <w:r w:rsidRPr="00EF6BF8">
              <w:rPr>
                <w:rFonts w:asciiTheme="minorHAnsi" w:hAnsiTheme="minorHAnsi" w:cstheme="minorHAnsi"/>
                <w:sz w:val="24"/>
                <w:szCs w:val="24"/>
              </w:rPr>
              <w:t xml:space="preserve"> 202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</w:tbl>
    <w:p w:rsidR="00237FE5" w:rsidRDefault="00724926" w14:paraId="7D44E38C" w14:textId="72A47A52"/>
    <w:p w:rsidR="007B618F" w:rsidRDefault="007B618F" w14:paraId="2AF5842A" w14:textId="2AD43EA0">
      <w:r>
        <w:rPr>
          <w:rFonts w:asciiTheme="minorHAnsi" w:hAnsiTheme="minorHAnsi" w:cstheme="minorHAnsi"/>
          <w:sz w:val="24"/>
          <w:szCs w:val="24"/>
        </w:rPr>
        <w:t>There are no substantive changes to the program resulting from this proposed schedule change.</w:t>
      </w:r>
    </w:p>
    <w:sectPr w:rsidR="007B61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75"/>
    <w:rsid w:val="000F5567"/>
    <w:rsid w:val="00207075"/>
    <w:rsid w:val="00521B4C"/>
    <w:rsid w:val="00672E9B"/>
    <w:rsid w:val="007162AE"/>
    <w:rsid w:val="00795A7E"/>
    <w:rsid w:val="007B618F"/>
    <w:rsid w:val="007D6A9E"/>
    <w:rsid w:val="00936B23"/>
    <w:rsid w:val="009E1125"/>
    <w:rsid w:val="00A560B8"/>
    <w:rsid w:val="00A71179"/>
    <w:rsid w:val="00AE7FE4"/>
    <w:rsid w:val="00B430F9"/>
    <w:rsid w:val="00B4455E"/>
    <w:rsid w:val="00E52ADB"/>
    <w:rsid w:val="00EB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72404"/>
  <w15:chartTrackingRefBased/>
  <w15:docId w15:val="{F1D5FE36-3FD4-4DAE-958D-4C707241D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0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7075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070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707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707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0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707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521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Trang Ta Nguyen (CENSUS/DSSD FED)</dc:creator>
  <cp:keywords/>
  <dc:description/>
  <cp:lastModifiedBy>Beth Clarke Tyszka (CENSUS/DCMD FED)</cp:lastModifiedBy>
  <cp:revision>2</cp:revision>
  <dcterms:created xsi:type="dcterms:W3CDTF">2021-11-12T17:11:00Z</dcterms:created>
  <dcterms:modified xsi:type="dcterms:W3CDTF">2021-11-12T17:11:00Z</dcterms:modified>
</cp:coreProperties>
</file>