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7DBE" w:rsidRPr="004425F4" w:rsidRDefault="00F92ACC" w:rsidP="00A37DBE">
      <w:pPr>
        <w:pStyle w:val="NormalWeb"/>
        <w:tabs>
          <w:tab w:val="left" w:pos="360"/>
          <w:tab w:val="left" w:pos="720"/>
          <w:tab w:val="left" w:pos="1080"/>
          <w:tab w:val="left" w:pos="1440"/>
        </w:tabs>
        <w:spacing w:before="0" w:beforeAutospacing="0" w:after="0" w:afterAutospacing="0"/>
        <w:jc w:val="center"/>
      </w:pPr>
      <w:bookmarkStart w:id="0" w:name="cs31d"/>
      <w:bookmarkStart w:id="1" w:name="_GoBack"/>
      <w:bookmarkEnd w:id="1"/>
      <w:r w:rsidRPr="004425F4">
        <w:t>SUPPORTING STATEMENT</w:t>
      </w:r>
    </w:p>
    <w:p w:rsidR="00F32885" w:rsidRPr="004425F4" w:rsidRDefault="00F32885" w:rsidP="00A37DBE">
      <w:pPr>
        <w:pStyle w:val="NormalWeb"/>
        <w:tabs>
          <w:tab w:val="left" w:pos="360"/>
          <w:tab w:val="left" w:pos="720"/>
          <w:tab w:val="left" w:pos="1080"/>
          <w:tab w:val="left" w:pos="1440"/>
        </w:tabs>
        <w:spacing w:before="0" w:beforeAutospacing="0" w:after="0" w:afterAutospacing="0"/>
        <w:jc w:val="center"/>
      </w:pPr>
      <w:r w:rsidRPr="004425F4">
        <w:t>OMB Control Number</w:t>
      </w:r>
      <w:r w:rsidR="0019239B" w:rsidRPr="004425F4">
        <w:t xml:space="preserve"> </w:t>
      </w:r>
      <w:r w:rsidR="006A2C1E" w:rsidRPr="004425F4">
        <w:t>0704-</w:t>
      </w:r>
      <w:r w:rsidR="00641E21" w:rsidRPr="004425F4">
        <w:t>05</w:t>
      </w:r>
      <w:r w:rsidR="0019239B" w:rsidRPr="004425F4">
        <w:t>57</w:t>
      </w:r>
      <w:r w:rsidR="00A37DBE" w:rsidRPr="004425F4">
        <w:t>, Use of the Government Property Clause for Repair of Government-furnished Property</w:t>
      </w:r>
    </w:p>
    <w:p w:rsidR="005E0A0F" w:rsidRPr="00137870" w:rsidRDefault="00A37DBE" w:rsidP="00137870">
      <w:pPr>
        <w:pStyle w:val="NormalWeb"/>
        <w:tabs>
          <w:tab w:val="left" w:pos="360"/>
          <w:tab w:val="left" w:pos="720"/>
          <w:tab w:val="left" w:pos="1080"/>
          <w:tab w:val="left" w:pos="1440"/>
        </w:tabs>
      </w:pPr>
      <w:r>
        <w:t xml:space="preserve">A. </w:t>
      </w:r>
      <w:r w:rsidR="005E0A0F" w:rsidRPr="00137870">
        <w:t xml:space="preserve"> </w:t>
      </w:r>
      <w:r w:rsidR="005E0A0F" w:rsidRPr="00137870">
        <w:rPr>
          <w:u w:val="single"/>
        </w:rPr>
        <w:t>JUSTIFICATION</w:t>
      </w:r>
    </w:p>
    <w:p w:rsidR="0019239B" w:rsidRDefault="0024783D" w:rsidP="000D664D">
      <w:pPr>
        <w:pStyle w:val="NormalWeb"/>
        <w:tabs>
          <w:tab w:val="left" w:pos="360"/>
          <w:tab w:val="left" w:pos="720"/>
          <w:tab w:val="left" w:pos="1080"/>
          <w:tab w:val="left" w:pos="1440"/>
        </w:tabs>
      </w:pPr>
      <w:bookmarkStart w:id="2" w:name="cp432"/>
      <w:bookmarkEnd w:id="0"/>
      <w:r w:rsidRPr="00137870">
        <w:tab/>
      </w:r>
      <w:r w:rsidR="005E0A0F" w:rsidRPr="00137870">
        <w:t>1.</w:t>
      </w:r>
      <w:r w:rsidR="00917784">
        <w:t xml:space="preserve"> </w:t>
      </w:r>
      <w:r w:rsidR="005E0A0F" w:rsidRPr="00137870">
        <w:t xml:space="preserve"> </w:t>
      </w:r>
      <w:r w:rsidR="005E0A0F" w:rsidRPr="00137870">
        <w:rPr>
          <w:u w:val="single"/>
        </w:rPr>
        <w:t>Need for the Information Collection</w:t>
      </w:r>
      <w:r w:rsidRPr="00137870">
        <w:t>.</w:t>
      </w:r>
      <w:bookmarkEnd w:id="2"/>
      <w:r w:rsidR="00A37DBE">
        <w:t xml:space="preserve">  </w:t>
      </w:r>
      <w:r w:rsidR="002606A9">
        <w:t>This supporting statement is in support of a new information collection requirement associated with Defense Federal Acquisition Regulation Supplement (DFARS) Case 2015-D035, Use of the Government Property Clause.</w:t>
      </w:r>
    </w:p>
    <w:p w:rsidR="00137870" w:rsidRPr="00137870" w:rsidRDefault="00DC5EF5" w:rsidP="000D664D">
      <w:pPr>
        <w:pStyle w:val="NormalWeb"/>
        <w:tabs>
          <w:tab w:val="left" w:pos="360"/>
          <w:tab w:val="left" w:pos="720"/>
          <w:tab w:val="left" w:pos="1080"/>
          <w:tab w:val="left" w:pos="1440"/>
        </w:tabs>
      </w:pPr>
      <w:r w:rsidRPr="00137870">
        <w:tab/>
      </w:r>
      <w:r w:rsidR="000D664D">
        <w:t>T</w:t>
      </w:r>
      <w:r w:rsidR="00137870" w:rsidRPr="00137870">
        <w:t>he language at FAR 45.107,</w:t>
      </w:r>
      <w:r w:rsidR="000D664D">
        <w:t xml:space="preserve"> </w:t>
      </w:r>
      <w:r w:rsidR="00137870" w:rsidRPr="00137870">
        <w:t>Contract Clause</w:t>
      </w:r>
      <w:r w:rsidR="000D664D">
        <w:t>,</w:t>
      </w:r>
      <w:r w:rsidR="00137870" w:rsidRPr="00137870">
        <w:t xml:space="preserve"> is discretionary relative to the use of FAR 52.245-1, Government Property</w:t>
      </w:r>
      <w:r w:rsidR="000D664D">
        <w:t>,</w:t>
      </w:r>
      <w:r w:rsidR="00137870" w:rsidRPr="00137870">
        <w:t xml:space="preserve"> in DoD purchase orders awarded for repair, </w:t>
      </w:r>
      <w:r w:rsidR="000D664D">
        <w:t xml:space="preserve">maintenance, </w:t>
      </w:r>
      <w:r w:rsidR="00137870" w:rsidRPr="00137870">
        <w:t>overhaul</w:t>
      </w:r>
      <w:r w:rsidR="000B592C">
        <w:t>,</w:t>
      </w:r>
      <w:r w:rsidR="00137870" w:rsidRPr="00137870">
        <w:t xml:space="preserve"> or </w:t>
      </w:r>
      <w:r w:rsidR="000D664D">
        <w:t>modification</w:t>
      </w:r>
      <w:r w:rsidR="00137870" w:rsidRPr="00137870">
        <w:t xml:space="preserve"> of </w:t>
      </w:r>
      <w:r w:rsidR="00DA15A0">
        <w:t>Government property</w:t>
      </w:r>
      <w:r w:rsidR="000D664D">
        <w:t>.  S</w:t>
      </w:r>
      <w:r w:rsidR="00137870" w:rsidRPr="00137870">
        <w:t>pecifically, contracting officers need not include FAR 52.245-1 in purchase orders (identified with a P, M, W, or V in the ninth position of the Procurement Instrument Identification Number) awarded for repair,</w:t>
      </w:r>
      <w:r w:rsidR="000D664D">
        <w:t xml:space="preserve"> maintenance,</w:t>
      </w:r>
      <w:r w:rsidR="00137870" w:rsidRPr="00137870">
        <w:t xml:space="preserve"> overhaul</w:t>
      </w:r>
      <w:r w:rsidR="000D664D">
        <w:t>,</w:t>
      </w:r>
      <w:r w:rsidR="00137870" w:rsidRPr="00137870">
        <w:t xml:space="preserve"> </w:t>
      </w:r>
      <w:r w:rsidR="000B592C">
        <w:t>or</w:t>
      </w:r>
      <w:r w:rsidR="00137870" w:rsidRPr="00137870">
        <w:t xml:space="preserve"> </w:t>
      </w:r>
      <w:r w:rsidR="000D664D">
        <w:t>modification</w:t>
      </w:r>
      <w:r w:rsidR="00137870" w:rsidRPr="00137870">
        <w:t xml:space="preserve"> </w:t>
      </w:r>
      <w:r w:rsidR="00A17A0E">
        <w:t xml:space="preserve">of Government property </w:t>
      </w:r>
      <w:r w:rsidR="00137870" w:rsidRPr="00137870">
        <w:t xml:space="preserve">when the aggregate acquisition value of </w:t>
      </w:r>
      <w:r w:rsidR="00DA15A0">
        <w:t xml:space="preserve">the </w:t>
      </w:r>
      <w:r w:rsidR="00137870" w:rsidRPr="00137870">
        <w:t>items</w:t>
      </w:r>
      <w:r w:rsidR="00DA15A0">
        <w:t xml:space="preserve"> for repair does</w:t>
      </w:r>
      <w:r w:rsidR="00410589">
        <w:t xml:space="preserve"> not </w:t>
      </w:r>
      <w:r w:rsidR="00137870" w:rsidRPr="00137870">
        <w:t>exceed the simplified acquisition threshold (and assuming no other Government furnish</w:t>
      </w:r>
      <w:r w:rsidR="00FC0524">
        <w:t>ed property (GFP) is involved).</w:t>
      </w:r>
    </w:p>
    <w:p w:rsidR="00191110" w:rsidRDefault="00137870" w:rsidP="00313033">
      <w:pPr>
        <w:autoSpaceDE w:val="0"/>
        <w:autoSpaceDN w:val="0"/>
        <w:adjustRightInd w:val="0"/>
        <w:ind w:firstLine="360"/>
      </w:pPr>
      <w:r w:rsidRPr="00137870">
        <w:rPr>
          <w:color w:val="000000"/>
        </w:rPr>
        <w:t xml:space="preserve">Given the current prescription at DFARS 245.107, when FAR 52.245-1 is excluded from purchase orders awarded </w:t>
      </w:r>
      <w:r w:rsidRPr="00137870">
        <w:rPr>
          <w:rFonts w:eastAsia="Calibri"/>
          <w:color w:val="000000"/>
        </w:rPr>
        <w:t xml:space="preserve">for repair, </w:t>
      </w:r>
      <w:r w:rsidR="00A81EBD">
        <w:rPr>
          <w:rFonts w:eastAsia="Calibri"/>
          <w:color w:val="000000"/>
        </w:rPr>
        <w:t xml:space="preserve">maintenance, </w:t>
      </w:r>
      <w:r w:rsidRPr="00137870">
        <w:rPr>
          <w:rFonts w:eastAsia="Calibri"/>
          <w:color w:val="000000"/>
        </w:rPr>
        <w:t>overhaul</w:t>
      </w:r>
      <w:r w:rsidR="00A81EBD">
        <w:rPr>
          <w:rFonts w:eastAsia="Calibri"/>
          <w:color w:val="000000"/>
        </w:rPr>
        <w:t>,</w:t>
      </w:r>
      <w:r w:rsidRPr="00137870">
        <w:rPr>
          <w:rFonts w:eastAsia="Calibri"/>
          <w:color w:val="000000"/>
        </w:rPr>
        <w:t xml:space="preserve"> </w:t>
      </w:r>
      <w:r w:rsidR="00A81EBD">
        <w:rPr>
          <w:rFonts w:eastAsia="Calibri"/>
          <w:color w:val="000000"/>
        </w:rPr>
        <w:t>or modification</w:t>
      </w:r>
      <w:r w:rsidRPr="00137870">
        <w:rPr>
          <w:color w:val="000000"/>
        </w:rPr>
        <w:t xml:space="preserve">, </w:t>
      </w:r>
      <w:r w:rsidR="002139F5">
        <w:rPr>
          <w:color w:val="000000"/>
        </w:rPr>
        <w:t>the</w:t>
      </w:r>
      <w:r w:rsidR="00742A99">
        <w:rPr>
          <w:color w:val="000000"/>
        </w:rPr>
        <w:t xml:space="preserve"> </w:t>
      </w:r>
      <w:r w:rsidR="00FD39BA">
        <w:rPr>
          <w:color w:val="000000"/>
        </w:rPr>
        <w:t xml:space="preserve">associated </w:t>
      </w:r>
      <w:r w:rsidR="00DA15A0">
        <w:rPr>
          <w:color w:val="000000"/>
        </w:rPr>
        <w:t>DFARS</w:t>
      </w:r>
      <w:r>
        <w:rPr>
          <w:color w:val="000000"/>
        </w:rPr>
        <w:t xml:space="preserve"> </w:t>
      </w:r>
      <w:r w:rsidR="002139F5">
        <w:rPr>
          <w:color w:val="000000"/>
        </w:rPr>
        <w:t xml:space="preserve">property </w:t>
      </w:r>
      <w:r>
        <w:rPr>
          <w:color w:val="000000"/>
        </w:rPr>
        <w:t xml:space="preserve">clauses </w:t>
      </w:r>
      <w:r w:rsidRPr="00137870">
        <w:rPr>
          <w:color w:val="000000"/>
        </w:rPr>
        <w:t>are</w:t>
      </w:r>
      <w:r w:rsidR="00313033">
        <w:rPr>
          <w:color w:val="000000"/>
        </w:rPr>
        <w:t>,</w:t>
      </w:r>
      <w:r w:rsidRPr="00137870">
        <w:rPr>
          <w:color w:val="000000"/>
        </w:rPr>
        <w:t xml:space="preserve"> by extension</w:t>
      </w:r>
      <w:r w:rsidR="00313033">
        <w:rPr>
          <w:color w:val="000000"/>
        </w:rPr>
        <w:t>,</w:t>
      </w:r>
      <w:r w:rsidRPr="00137870">
        <w:rPr>
          <w:color w:val="000000"/>
        </w:rPr>
        <w:t xml:space="preserve"> also excluded</w:t>
      </w:r>
      <w:r w:rsidR="00313033">
        <w:rPr>
          <w:color w:val="000000"/>
        </w:rPr>
        <w:t xml:space="preserve">. </w:t>
      </w:r>
      <w:r w:rsidR="000D664D">
        <w:rPr>
          <w:color w:val="000000"/>
        </w:rPr>
        <w:t xml:space="preserve"> </w:t>
      </w:r>
      <w:r w:rsidR="00313033">
        <w:t xml:space="preserve">Such practice </w:t>
      </w:r>
      <w:r w:rsidR="0022533D" w:rsidRPr="00137870">
        <w:rPr>
          <w:color w:val="000000"/>
        </w:rPr>
        <w:t xml:space="preserve">predates </w:t>
      </w:r>
      <w:r w:rsidR="00B27CE7" w:rsidRPr="00137870">
        <w:rPr>
          <w:color w:val="000000"/>
        </w:rPr>
        <w:t xml:space="preserve">DoD </w:t>
      </w:r>
      <w:r w:rsidR="0022533D" w:rsidRPr="00137870">
        <w:rPr>
          <w:color w:val="000000"/>
        </w:rPr>
        <w:t>efforts aimed at</w:t>
      </w:r>
      <w:r w:rsidR="0022533D" w:rsidRPr="00137870">
        <w:t xml:space="preserve"> achieving accountability and visibility of equipment </w:t>
      </w:r>
      <w:r w:rsidR="00B27CE7" w:rsidRPr="00137870">
        <w:t xml:space="preserve">provided </w:t>
      </w:r>
      <w:r w:rsidR="0022533D" w:rsidRPr="00137870">
        <w:t xml:space="preserve">to contractors as </w:t>
      </w:r>
      <w:r w:rsidR="00DC5EF5" w:rsidRPr="00137870">
        <w:t xml:space="preserve">GFP, and is now </w:t>
      </w:r>
      <w:r w:rsidR="005D005F">
        <w:t>viewed</w:t>
      </w:r>
      <w:r w:rsidR="00DC5EF5" w:rsidRPr="00137870">
        <w:t xml:space="preserve"> by </w:t>
      </w:r>
      <w:r w:rsidR="000D664D">
        <w:t>DoD</w:t>
      </w:r>
      <w:r w:rsidR="00DC5EF5" w:rsidRPr="00137870">
        <w:t xml:space="preserve"> as an accountability gap.</w:t>
      </w:r>
      <w:r w:rsidR="0022533D" w:rsidRPr="00137870">
        <w:t xml:space="preserve">  </w:t>
      </w:r>
      <w:r w:rsidR="006F12A1" w:rsidRPr="00137870">
        <w:t xml:space="preserve">DFARS </w:t>
      </w:r>
      <w:r w:rsidR="000B592C">
        <w:t>C</w:t>
      </w:r>
      <w:r w:rsidR="006F12A1" w:rsidRPr="00137870">
        <w:t xml:space="preserve">ase 2015-D035 </w:t>
      </w:r>
      <w:r w:rsidR="00DC5EF5" w:rsidRPr="00137870">
        <w:t xml:space="preserve">closes this gap by </w:t>
      </w:r>
      <w:r w:rsidR="0022533D" w:rsidRPr="00137870">
        <w:t>treat</w:t>
      </w:r>
      <w:r w:rsidR="00DC5EF5" w:rsidRPr="00137870">
        <w:t xml:space="preserve">ing </w:t>
      </w:r>
      <w:r w:rsidR="00D86924" w:rsidRPr="00137870">
        <w:t xml:space="preserve">purchase orders </w:t>
      </w:r>
      <w:r w:rsidR="00DC5EF5" w:rsidRPr="00137870">
        <w:t>for repair</w:t>
      </w:r>
      <w:r w:rsidR="00191110" w:rsidRPr="00137870">
        <w:t>,</w:t>
      </w:r>
      <w:r w:rsidR="000D664D">
        <w:t xml:space="preserve"> maintenance,</w:t>
      </w:r>
      <w:r w:rsidR="00191110" w:rsidRPr="00137870">
        <w:t xml:space="preserve"> overhaul</w:t>
      </w:r>
      <w:r w:rsidR="000D664D">
        <w:t>,</w:t>
      </w:r>
      <w:r w:rsidR="00191110" w:rsidRPr="00137870">
        <w:t xml:space="preserve"> </w:t>
      </w:r>
      <w:r w:rsidR="00410589">
        <w:t>or</w:t>
      </w:r>
      <w:r w:rsidR="00191110" w:rsidRPr="00137870">
        <w:t xml:space="preserve"> </w:t>
      </w:r>
      <w:r w:rsidR="000D664D">
        <w:t>modification</w:t>
      </w:r>
      <w:r w:rsidR="00DC5EF5" w:rsidRPr="00137870">
        <w:t xml:space="preserve"> no differently</w:t>
      </w:r>
      <w:r w:rsidR="0022533D" w:rsidRPr="00137870">
        <w:t xml:space="preserve"> </w:t>
      </w:r>
      <w:r w:rsidR="00DC5EF5" w:rsidRPr="00137870">
        <w:t xml:space="preserve">from </w:t>
      </w:r>
      <w:r w:rsidR="00D86924" w:rsidRPr="00137870">
        <w:t>other contract</w:t>
      </w:r>
      <w:r w:rsidR="00191110" w:rsidRPr="00137870">
        <w:t>ual</w:t>
      </w:r>
      <w:r w:rsidR="00D86924" w:rsidRPr="00137870">
        <w:t xml:space="preserve"> instruments</w:t>
      </w:r>
      <w:r w:rsidR="00DC5EF5" w:rsidRPr="00137870">
        <w:t xml:space="preserve"> involving repair of </w:t>
      </w:r>
      <w:r w:rsidR="005D005F">
        <w:t>GFP</w:t>
      </w:r>
      <w:r w:rsidR="00410589">
        <w:t xml:space="preserve"> </w:t>
      </w:r>
      <w:r w:rsidR="00B27CE7" w:rsidRPr="00137870">
        <w:t>(</w:t>
      </w:r>
      <w:r w:rsidR="000D664D">
        <w:t xml:space="preserve">e.g., </w:t>
      </w:r>
      <w:r w:rsidR="00D86924" w:rsidRPr="00137870">
        <w:t xml:space="preserve">delivery orders awarded under </w:t>
      </w:r>
      <w:r w:rsidR="006F12A1" w:rsidRPr="00137870">
        <w:t>Basic Ordering Agreement</w:t>
      </w:r>
      <w:r w:rsidR="00DC5EF5" w:rsidRPr="00137870">
        <w:t xml:space="preserve">s </w:t>
      </w:r>
      <w:r w:rsidR="006F12A1" w:rsidRPr="00137870">
        <w:t>or issued under Indefinite Delivery Contracts</w:t>
      </w:r>
      <w:r w:rsidR="00B27CE7" w:rsidRPr="00137870">
        <w:t>)</w:t>
      </w:r>
      <w:r w:rsidR="006F12A1" w:rsidRPr="00137870">
        <w:t xml:space="preserve">. </w:t>
      </w:r>
    </w:p>
    <w:p w:rsidR="005D005F" w:rsidRDefault="005D005F" w:rsidP="00313033">
      <w:pPr>
        <w:autoSpaceDE w:val="0"/>
        <w:autoSpaceDN w:val="0"/>
        <w:adjustRightInd w:val="0"/>
        <w:ind w:firstLine="360"/>
      </w:pPr>
    </w:p>
    <w:p w:rsidR="005D005F" w:rsidRDefault="005D005F" w:rsidP="005D005F">
      <w:pPr>
        <w:autoSpaceDE w:val="0"/>
        <w:autoSpaceDN w:val="0"/>
        <w:adjustRightInd w:val="0"/>
        <w:ind w:firstLine="360"/>
      </w:pPr>
      <w:r w:rsidRPr="005D005F">
        <w:t xml:space="preserve">The rule also facilitates compliance with DoD Instruction 4161.02 entitled “Accountability and Management of Government Contract Property,” which requires DoD components to use electronic transactions when transferring Government property to a contractor and upon return of property to DoD.  Use of FAR clause 52.245-1, in conjunction with the following associated DFARS clauses, creates an electronic end-to-end process for </w:t>
      </w:r>
      <w:r>
        <w:t>GFP</w:t>
      </w:r>
      <w:r w:rsidRPr="005D005F">
        <w:t xml:space="preserve"> management—</w:t>
      </w:r>
    </w:p>
    <w:p w:rsidR="005D005F" w:rsidRPr="005D005F" w:rsidRDefault="005D005F" w:rsidP="005D005F">
      <w:pPr>
        <w:autoSpaceDE w:val="0"/>
        <w:autoSpaceDN w:val="0"/>
        <w:adjustRightInd w:val="0"/>
        <w:ind w:firstLine="360"/>
      </w:pPr>
    </w:p>
    <w:p w:rsidR="005D005F" w:rsidRPr="005D005F" w:rsidRDefault="005D005F" w:rsidP="005D005F">
      <w:pPr>
        <w:numPr>
          <w:ilvl w:val="0"/>
          <w:numId w:val="2"/>
        </w:numPr>
        <w:autoSpaceDE w:val="0"/>
        <w:autoSpaceDN w:val="0"/>
        <w:adjustRightInd w:val="0"/>
      </w:pPr>
      <w:r w:rsidRPr="005D005F">
        <w:t>252.245-7001, Tagging, Labeling, and Marking of Government-Furnished Property;</w:t>
      </w:r>
    </w:p>
    <w:p w:rsidR="005D005F" w:rsidRPr="005D005F" w:rsidRDefault="005D005F" w:rsidP="005D005F">
      <w:pPr>
        <w:numPr>
          <w:ilvl w:val="0"/>
          <w:numId w:val="2"/>
        </w:numPr>
        <w:autoSpaceDE w:val="0"/>
        <w:autoSpaceDN w:val="0"/>
        <w:adjustRightInd w:val="0"/>
      </w:pPr>
      <w:r w:rsidRPr="005D005F">
        <w:t>252.245-7002, Reporting Loss of Government Property;</w:t>
      </w:r>
    </w:p>
    <w:p w:rsidR="005D005F" w:rsidRPr="005D005F" w:rsidRDefault="005D005F" w:rsidP="005D005F">
      <w:pPr>
        <w:numPr>
          <w:ilvl w:val="0"/>
          <w:numId w:val="2"/>
        </w:numPr>
        <w:autoSpaceDE w:val="0"/>
        <w:autoSpaceDN w:val="0"/>
        <w:adjustRightInd w:val="0"/>
      </w:pPr>
      <w:r w:rsidRPr="005D005F">
        <w:t>252.245-7003, Contractor Property Management System Admin</w:t>
      </w:r>
      <w:r>
        <w:t>i</w:t>
      </w:r>
      <w:r w:rsidRPr="005D005F">
        <w:t>stration; and</w:t>
      </w:r>
    </w:p>
    <w:p w:rsidR="005D005F" w:rsidRDefault="005D005F" w:rsidP="005D005F">
      <w:pPr>
        <w:numPr>
          <w:ilvl w:val="0"/>
          <w:numId w:val="2"/>
        </w:numPr>
        <w:autoSpaceDE w:val="0"/>
        <w:autoSpaceDN w:val="0"/>
        <w:adjustRightInd w:val="0"/>
      </w:pPr>
      <w:r w:rsidRPr="005D005F">
        <w:t>252.211-7007, Reporting of Government-Furnished Property.</w:t>
      </w:r>
    </w:p>
    <w:p w:rsidR="00FC0524" w:rsidRDefault="00A37DBE" w:rsidP="00FC0524">
      <w:pPr>
        <w:pStyle w:val="NormalWeb"/>
        <w:tabs>
          <w:tab w:val="left" w:pos="360"/>
          <w:tab w:val="left" w:pos="720"/>
          <w:tab w:val="left" w:pos="1080"/>
          <w:tab w:val="left" w:pos="1440"/>
        </w:tabs>
        <w:rPr>
          <w:color w:val="000000"/>
        </w:rPr>
      </w:pPr>
      <w:r>
        <w:tab/>
      </w:r>
      <w:r w:rsidR="00FC0524" w:rsidRPr="00137870">
        <w:t xml:space="preserve">The </w:t>
      </w:r>
      <w:r w:rsidR="00FC0524">
        <w:t>DFARS</w:t>
      </w:r>
      <w:r w:rsidR="00FC0524" w:rsidRPr="00137870">
        <w:t xml:space="preserve"> rule is an extension of DoD’s commitment to establish an electronic end-to-end process </w:t>
      </w:r>
      <w:r w:rsidR="00FC0524">
        <w:t xml:space="preserve">to bolster oversight and management </w:t>
      </w:r>
      <w:r w:rsidR="00FC0524" w:rsidRPr="00137870">
        <w:t xml:space="preserve">of GFP. </w:t>
      </w:r>
      <w:r w:rsidR="00FC0524">
        <w:t xml:space="preserve"> </w:t>
      </w:r>
      <w:r w:rsidR="00FC0524" w:rsidRPr="00137870">
        <w:t xml:space="preserve">This commitment is demonstrated through a variety of DFARS provisions and clauses, Procedures, Guidance and Information documents, and the associated deployment of standardized tools and </w:t>
      </w:r>
      <w:r w:rsidR="00FC0524" w:rsidRPr="00137870">
        <w:rPr>
          <w:color w:val="000000"/>
        </w:rPr>
        <w:t>transactional information technology solutions</w:t>
      </w:r>
      <w:r w:rsidR="00FC0524">
        <w:rPr>
          <w:color w:val="000000"/>
        </w:rPr>
        <w:t>.</w:t>
      </w:r>
    </w:p>
    <w:p w:rsidR="00742A99" w:rsidRPr="00137870" w:rsidRDefault="00742A99" w:rsidP="00FC0524">
      <w:pPr>
        <w:pStyle w:val="NormalWeb"/>
        <w:tabs>
          <w:tab w:val="left" w:pos="360"/>
          <w:tab w:val="left" w:pos="720"/>
          <w:tab w:val="left" w:pos="1080"/>
          <w:tab w:val="left" w:pos="1440"/>
        </w:tabs>
        <w:rPr>
          <w:color w:val="000000"/>
        </w:rPr>
      </w:pPr>
    </w:p>
    <w:p w:rsidR="0022533D" w:rsidRPr="00137870" w:rsidRDefault="0024783D" w:rsidP="00137870">
      <w:pPr>
        <w:pStyle w:val="NormalWeb"/>
        <w:tabs>
          <w:tab w:val="left" w:pos="360"/>
          <w:tab w:val="left" w:pos="720"/>
          <w:tab w:val="left" w:pos="1080"/>
          <w:tab w:val="left" w:pos="1440"/>
        </w:tabs>
      </w:pPr>
      <w:r w:rsidRPr="00137870">
        <w:lastRenderedPageBreak/>
        <w:tab/>
      </w:r>
      <w:r w:rsidR="0022533D" w:rsidRPr="00137870">
        <w:t>2.</w:t>
      </w:r>
      <w:r w:rsidR="0022533D" w:rsidRPr="00137870">
        <w:tab/>
      </w:r>
      <w:r w:rsidR="0022533D" w:rsidRPr="00137870">
        <w:rPr>
          <w:u w:val="single"/>
        </w:rPr>
        <w:t>Use of the Information</w:t>
      </w:r>
    </w:p>
    <w:p w:rsidR="00EB65C9" w:rsidRPr="00EB65C9" w:rsidRDefault="00A37DBE" w:rsidP="00EB65C9">
      <w:pPr>
        <w:pStyle w:val="NormalWeb"/>
        <w:tabs>
          <w:tab w:val="left" w:pos="360"/>
          <w:tab w:val="left" w:pos="720"/>
          <w:tab w:val="left" w:pos="1080"/>
          <w:tab w:val="left" w:pos="1440"/>
        </w:tabs>
      </w:pPr>
      <w:r>
        <w:tab/>
      </w:r>
      <w:r w:rsidR="00EB65C9" w:rsidRPr="00EB65C9">
        <w:t>The property records</w:t>
      </w:r>
      <w:r w:rsidR="005D005F">
        <w:t>,</w:t>
      </w:r>
      <w:r w:rsidR="00EB65C9" w:rsidRPr="00EB65C9">
        <w:t xml:space="preserve"> receiving reports</w:t>
      </w:r>
      <w:r w:rsidR="005D005F">
        <w:t>, and receipt in the Wide Area Work</w:t>
      </w:r>
      <w:r w:rsidR="00A81EBD">
        <w:t>F</w:t>
      </w:r>
      <w:r w:rsidR="005D005F">
        <w:t xml:space="preserve">low </w:t>
      </w:r>
      <w:r w:rsidR="00E6687C">
        <w:t xml:space="preserve">(WAWF) </w:t>
      </w:r>
      <w:r w:rsidR="005D005F">
        <w:t>system</w:t>
      </w:r>
      <w:r w:rsidR="00EB65C9" w:rsidRPr="00EB65C9">
        <w:t xml:space="preserve"> are used by DoD for Government property accountability.  The DFARS</w:t>
      </w:r>
      <w:r w:rsidR="00A81EBD">
        <w:t xml:space="preserve"> requirement for </w:t>
      </w:r>
      <w:r w:rsidR="00EB65C9" w:rsidRPr="00EB65C9">
        <w:t xml:space="preserve">electronic notification of receipt </w:t>
      </w:r>
      <w:r w:rsidR="00EB65C9">
        <w:t>provides</w:t>
      </w:r>
      <w:r w:rsidR="00EB65C9" w:rsidRPr="00EB65C9">
        <w:t xml:space="preserve"> assurance </w:t>
      </w:r>
      <w:r w:rsidR="00EB65C9">
        <w:t xml:space="preserve">to the Government </w:t>
      </w:r>
      <w:r w:rsidR="00EB65C9" w:rsidRPr="00EB65C9">
        <w:t xml:space="preserve">that repair assets have arrived at the contractor’s repair facility. </w:t>
      </w:r>
      <w:r w:rsidR="00EB65C9">
        <w:t xml:space="preserve"> </w:t>
      </w:r>
      <w:r w:rsidR="00EB65C9" w:rsidRPr="00EB65C9">
        <w:t xml:space="preserve">Moreover, in the case of repair items provided under purchase orders, contractors need only report the receipt of the repair item; no other reporting </w:t>
      </w:r>
      <w:r w:rsidR="00EB65C9">
        <w:t>is required.</w:t>
      </w:r>
    </w:p>
    <w:p w:rsidR="005E0A0F" w:rsidRPr="00137870" w:rsidRDefault="00EB65C9" w:rsidP="00137870">
      <w:pPr>
        <w:pStyle w:val="NormalWeb"/>
        <w:tabs>
          <w:tab w:val="left" w:pos="360"/>
          <w:tab w:val="left" w:pos="720"/>
          <w:tab w:val="left" w:pos="1080"/>
          <w:tab w:val="left" w:pos="1440"/>
        </w:tabs>
        <w:rPr>
          <w:color w:val="000000"/>
        </w:rPr>
      </w:pPr>
      <w:r>
        <w:tab/>
      </w:r>
      <w:r w:rsidR="005E0A0F" w:rsidRPr="00137870">
        <w:t>3.</w:t>
      </w:r>
      <w:r w:rsidR="00AC5BD4" w:rsidRPr="00137870">
        <w:tab/>
      </w:r>
      <w:r w:rsidR="005E0A0F" w:rsidRPr="00137870">
        <w:rPr>
          <w:u w:val="single"/>
        </w:rPr>
        <w:t>Use of Information Technology</w:t>
      </w:r>
    </w:p>
    <w:p w:rsidR="00F77B7E" w:rsidRDefault="00423E6E" w:rsidP="00423E6E">
      <w:pPr>
        <w:pStyle w:val="Default"/>
        <w:tabs>
          <w:tab w:val="left" w:pos="360"/>
        </w:tabs>
        <w:rPr>
          <w:sz w:val="23"/>
          <w:szCs w:val="23"/>
        </w:rPr>
      </w:pPr>
      <w:r>
        <w:tab/>
      </w:r>
      <w:r w:rsidR="00761418">
        <w:t xml:space="preserve">All of the </w:t>
      </w:r>
      <w:r w:rsidR="005D005F">
        <w:t xml:space="preserve">information to be reported </w:t>
      </w:r>
      <w:r w:rsidR="00761418">
        <w:t xml:space="preserve">(100%) </w:t>
      </w:r>
      <w:r w:rsidR="005D005F">
        <w:t xml:space="preserve">is collected electronically.  </w:t>
      </w:r>
      <w:r w:rsidR="00F77B7E" w:rsidRPr="00137870">
        <w:t xml:space="preserve">The deployment of standardized tools and transactional information technology solutions using the </w:t>
      </w:r>
      <w:r w:rsidR="00A37DBE">
        <w:t xml:space="preserve">WAWF </w:t>
      </w:r>
      <w:r w:rsidR="00F77B7E" w:rsidRPr="00137870">
        <w:t xml:space="preserve">suite of tools is an inherent part of the end-to-end process described </w:t>
      </w:r>
      <w:r w:rsidR="00A1784D">
        <w:t>in paragraph 1</w:t>
      </w:r>
      <w:r w:rsidR="00F77B7E" w:rsidRPr="00137870">
        <w:t xml:space="preserve">.  </w:t>
      </w:r>
      <w:r w:rsidR="00B65D99" w:rsidRPr="00137870">
        <w:rPr>
          <w:sz w:val="23"/>
          <w:szCs w:val="23"/>
        </w:rPr>
        <w:t xml:space="preserve">DoD Components </w:t>
      </w:r>
      <w:r w:rsidR="000B592C">
        <w:rPr>
          <w:sz w:val="23"/>
          <w:szCs w:val="23"/>
        </w:rPr>
        <w:t>u</w:t>
      </w:r>
      <w:r w:rsidR="00B65D99" w:rsidRPr="000B592C">
        <w:rPr>
          <w:sz w:val="23"/>
          <w:szCs w:val="23"/>
        </w:rPr>
        <w:t xml:space="preserve">se electronic transactions when transferring Government property to a contractor and upon return of property to DoD and </w:t>
      </w:r>
      <w:r w:rsidR="00A1784D">
        <w:rPr>
          <w:sz w:val="23"/>
          <w:szCs w:val="23"/>
        </w:rPr>
        <w:t>contractors</w:t>
      </w:r>
      <w:r w:rsidR="00B65D99" w:rsidRPr="000B592C">
        <w:rPr>
          <w:sz w:val="23"/>
          <w:szCs w:val="23"/>
        </w:rPr>
        <w:t xml:space="preserve"> use the </w:t>
      </w:r>
      <w:r w:rsidR="00A37DBE">
        <w:rPr>
          <w:sz w:val="23"/>
          <w:szCs w:val="23"/>
        </w:rPr>
        <w:t>WAWF</w:t>
      </w:r>
      <w:r w:rsidR="00A81EBD">
        <w:rPr>
          <w:sz w:val="23"/>
          <w:szCs w:val="23"/>
        </w:rPr>
        <w:t xml:space="preserve"> system</w:t>
      </w:r>
      <w:r w:rsidR="00B65D99" w:rsidRPr="000B592C">
        <w:rPr>
          <w:sz w:val="23"/>
          <w:szCs w:val="23"/>
        </w:rPr>
        <w:t xml:space="preserve"> to</w:t>
      </w:r>
      <w:r w:rsidR="000B592C">
        <w:rPr>
          <w:sz w:val="23"/>
          <w:szCs w:val="23"/>
        </w:rPr>
        <w:t xml:space="preserve"> document</w:t>
      </w:r>
      <w:r w:rsidR="00B65D99" w:rsidRPr="000B592C">
        <w:rPr>
          <w:sz w:val="23"/>
          <w:szCs w:val="23"/>
        </w:rPr>
        <w:t xml:space="preserve"> receipt </w:t>
      </w:r>
      <w:r w:rsidR="00A81EBD">
        <w:rPr>
          <w:sz w:val="23"/>
          <w:szCs w:val="23"/>
        </w:rPr>
        <w:t>and</w:t>
      </w:r>
      <w:r w:rsidR="000B592C">
        <w:rPr>
          <w:sz w:val="23"/>
          <w:szCs w:val="23"/>
        </w:rPr>
        <w:t xml:space="preserve"> </w:t>
      </w:r>
      <w:r w:rsidR="00B65D99" w:rsidRPr="000B592C">
        <w:rPr>
          <w:sz w:val="23"/>
          <w:szCs w:val="23"/>
        </w:rPr>
        <w:t>property transfers.</w:t>
      </w:r>
    </w:p>
    <w:p w:rsidR="00DD178C" w:rsidRDefault="00DD178C" w:rsidP="00137870">
      <w:pPr>
        <w:pStyle w:val="Default"/>
        <w:rPr>
          <w:sz w:val="23"/>
          <w:szCs w:val="23"/>
        </w:rPr>
      </w:pPr>
    </w:p>
    <w:p w:rsidR="00DD178C" w:rsidRPr="000B592C" w:rsidRDefault="00DD178C" w:rsidP="00423E6E">
      <w:pPr>
        <w:pStyle w:val="Default"/>
        <w:tabs>
          <w:tab w:val="left" w:pos="360"/>
        </w:tabs>
      </w:pPr>
      <w:r>
        <w:tab/>
        <w:t>O</w:t>
      </w:r>
      <w:r w:rsidRPr="00137870">
        <w:t xml:space="preserve">n </w:t>
      </w:r>
      <w:r>
        <w:t>August 30</w:t>
      </w:r>
      <w:r w:rsidRPr="00137870">
        <w:t xml:space="preserve">, 2016, </w:t>
      </w:r>
      <w:r w:rsidR="00A81EBD">
        <w:t xml:space="preserve">DoD </w:t>
      </w:r>
      <w:r w:rsidR="00A1784D">
        <w:t>published</w:t>
      </w:r>
      <w:r w:rsidRPr="00137870">
        <w:t xml:space="preserve"> a </w:t>
      </w:r>
      <w:r>
        <w:t>final</w:t>
      </w:r>
      <w:r w:rsidRPr="00137870">
        <w:t xml:space="preserve"> rule </w:t>
      </w:r>
      <w:r w:rsidR="00A1784D">
        <w:t>revising</w:t>
      </w:r>
      <w:r>
        <w:t xml:space="preserve"> DFARS</w:t>
      </w:r>
      <w:r w:rsidRPr="00137870">
        <w:t xml:space="preserve"> Appendix F (DFARS </w:t>
      </w:r>
      <w:r>
        <w:t>C</w:t>
      </w:r>
      <w:r w:rsidRPr="00137870">
        <w:t>ase 2016-D004)</w:t>
      </w:r>
      <w:r w:rsidR="00A1784D">
        <w:t xml:space="preserve"> to</w:t>
      </w:r>
      <w:r w:rsidRPr="00137870">
        <w:t xml:space="preserve"> add instructions for the use, preparation, and distribution of the WAWF Reparable Receiving Report (WAWF RRR) to differentiate between deliveries of Government assets (new deliveries) and contractor repair services of existing Government assets </w:t>
      </w:r>
      <w:r w:rsidR="00A1784D">
        <w:t>(</w:t>
      </w:r>
      <w:r w:rsidRPr="00137870">
        <w:t>i.e., assets furnished to contractors for repair, modification or overhaul</w:t>
      </w:r>
      <w:r w:rsidR="00A1784D">
        <w:t>)</w:t>
      </w:r>
      <w:r w:rsidRPr="00137870">
        <w:t xml:space="preserve">.  </w:t>
      </w:r>
      <w:r w:rsidR="00A1784D">
        <w:t>The</w:t>
      </w:r>
      <w:r w:rsidRPr="00137870">
        <w:t xml:space="preserve"> WAWF RRR functionality includes the ability to automatically report to the UID registry the movement of repair item</w:t>
      </w:r>
      <w:r>
        <w:t>s asset</w:t>
      </w:r>
      <w:r w:rsidR="00A81EBD">
        <w:t>s</w:t>
      </w:r>
      <w:r>
        <w:t xml:space="preserve"> back to the Government.</w:t>
      </w:r>
    </w:p>
    <w:p w:rsidR="005E0A0F" w:rsidRPr="00137870" w:rsidRDefault="0024783D" w:rsidP="00137870">
      <w:pPr>
        <w:pStyle w:val="NormalWeb"/>
        <w:tabs>
          <w:tab w:val="left" w:pos="360"/>
          <w:tab w:val="left" w:pos="720"/>
          <w:tab w:val="left" w:pos="1080"/>
          <w:tab w:val="left" w:pos="1440"/>
        </w:tabs>
      </w:pPr>
      <w:r w:rsidRPr="00137870">
        <w:tab/>
      </w:r>
      <w:r w:rsidR="005E0A0F" w:rsidRPr="00137870">
        <w:t>4.</w:t>
      </w:r>
      <w:r w:rsidR="00AC5BD4" w:rsidRPr="00137870">
        <w:tab/>
      </w:r>
      <w:r w:rsidR="005E0A0F" w:rsidRPr="00137870">
        <w:rPr>
          <w:u w:val="single"/>
        </w:rPr>
        <w:t>Non-duplication</w:t>
      </w:r>
    </w:p>
    <w:p w:rsidR="00F77B7E" w:rsidRPr="00137870" w:rsidRDefault="00A37DBE" w:rsidP="00A37DBE">
      <w:pPr>
        <w:tabs>
          <w:tab w:val="left" w:pos="360"/>
        </w:tabs>
      </w:pPr>
      <w:bookmarkStart w:id="3" w:name="cp440"/>
      <w:r>
        <w:tab/>
      </w:r>
      <w:r w:rsidR="00F77B7E" w:rsidRPr="00137870">
        <w:t>There is no duplication or overlap with existing acquisition regulations.</w:t>
      </w:r>
    </w:p>
    <w:p w:rsidR="005E0A0F" w:rsidRPr="00137870" w:rsidRDefault="0024783D" w:rsidP="00137870">
      <w:pPr>
        <w:pStyle w:val="NormalWeb"/>
        <w:tabs>
          <w:tab w:val="left" w:pos="360"/>
          <w:tab w:val="left" w:pos="720"/>
          <w:tab w:val="left" w:pos="1080"/>
          <w:tab w:val="left" w:pos="1440"/>
        </w:tabs>
        <w:rPr>
          <w:u w:val="single"/>
        </w:rPr>
      </w:pPr>
      <w:r w:rsidRPr="00137870">
        <w:tab/>
      </w:r>
      <w:r w:rsidR="005E0A0F" w:rsidRPr="00137870">
        <w:t>5.</w:t>
      </w:r>
      <w:r w:rsidR="00AC5BD4" w:rsidRPr="00137870">
        <w:tab/>
      </w:r>
      <w:r w:rsidR="005E0A0F" w:rsidRPr="00137870">
        <w:rPr>
          <w:u w:val="single"/>
        </w:rPr>
        <w:t>Burden on Small Business</w:t>
      </w:r>
    </w:p>
    <w:p w:rsidR="00F77B7E" w:rsidRPr="00137870" w:rsidRDefault="00F77B7E" w:rsidP="00137870">
      <w:pPr>
        <w:pStyle w:val="NormalWeb"/>
        <w:tabs>
          <w:tab w:val="left" w:pos="360"/>
          <w:tab w:val="left" w:pos="720"/>
          <w:tab w:val="left" w:pos="1080"/>
          <w:tab w:val="left" w:pos="1440"/>
        </w:tabs>
      </w:pPr>
      <w:r w:rsidRPr="00137870">
        <w:tab/>
        <w:t xml:space="preserve">The use of purchase orders for repair </w:t>
      </w:r>
      <w:r w:rsidR="005D005F">
        <w:t>is</w:t>
      </w:r>
      <w:r w:rsidRPr="00137870">
        <w:t xml:space="preserve"> not exclusive to small business</w:t>
      </w:r>
      <w:r w:rsidR="002139F5">
        <w:t>es;</w:t>
      </w:r>
      <w:r w:rsidRPr="00137870">
        <w:t xml:space="preserve"> both large and small firms receive purchase orders</w:t>
      </w:r>
      <w:r w:rsidR="002139F5">
        <w:t>.  M</w:t>
      </w:r>
      <w:r w:rsidRPr="00137870">
        <w:t xml:space="preserve">any such firms have other contracts with </w:t>
      </w:r>
      <w:r w:rsidR="005D005F">
        <w:t>GFP</w:t>
      </w:r>
      <w:r w:rsidRPr="00137870">
        <w:t xml:space="preserve"> and</w:t>
      </w:r>
      <w:r w:rsidR="002139F5">
        <w:t>, therefore,</w:t>
      </w:r>
      <w:r w:rsidRPr="00137870">
        <w:t xml:space="preserve"> have existing property management systems.  The</w:t>
      </w:r>
      <w:bookmarkEnd w:id="3"/>
      <w:r w:rsidRPr="00137870">
        <w:t xml:space="preserve"> use of existing electronic tools mitigates the impact to industry, generally.</w:t>
      </w:r>
    </w:p>
    <w:p w:rsidR="005E0A0F" w:rsidRPr="00137870" w:rsidRDefault="0024783D" w:rsidP="00137870">
      <w:pPr>
        <w:pStyle w:val="NormalWeb"/>
        <w:tabs>
          <w:tab w:val="left" w:pos="360"/>
          <w:tab w:val="left" w:pos="720"/>
          <w:tab w:val="left" w:pos="1080"/>
          <w:tab w:val="left" w:pos="1440"/>
        </w:tabs>
      </w:pPr>
      <w:r w:rsidRPr="00137870">
        <w:tab/>
      </w:r>
      <w:r w:rsidR="005E0A0F" w:rsidRPr="00137870">
        <w:t>6.</w:t>
      </w:r>
      <w:r w:rsidR="00AC5BD4" w:rsidRPr="00137870">
        <w:tab/>
      </w:r>
      <w:r w:rsidR="005E0A0F" w:rsidRPr="00137870">
        <w:rPr>
          <w:u w:val="single"/>
        </w:rPr>
        <w:t>Less Frequent Collection</w:t>
      </w:r>
    </w:p>
    <w:p w:rsidR="00F77B7E" w:rsidRPr="00137870" w:rsidRDefault="00A37DBE" w:rsidP="00A37DBE">
      <w:pPr>
        <w:tabs>
          <w:tab w:val="left" w:pos="360"/>
        </w:tabs>
        <w:rPr>
          <w:b/>
        </w:rPr>
      </w:pPr>
      <w:bookmarkStart w:id="4" w:name="cp444"/>
      <w:r>
        <w:tab/>
      </w:r>
      <w:r w:rsidR="00F77B7E" w:rsidRPr="00137870">
        <w:t>The reporting requirements described above occur on an as needed basis</w:t>
      </w:r>
      <w:r w:rsidR="00E43AC6" w:rsidRPr="00137870">
        <w:t xml:space="preserve">, </w:t>
      </w:r>
      <w:r w:rsidR="00437BCC" w:rsidRPr="00137870">
        <w:t xml:space="preserve">i.e., </w:t>
      </w:r>
      <w:r w:rsidR="00E43AC6" w:rsidRPr="00137870">
        <w:t>upon receipt of GFP.</w:t>
      </w:r>
      <w:r w:rsidR="00F77B7E" w:rsidRPr="00137870">
        <w:t xml:space="preserve"> </w:t>
      </w:r>
    </w:p>
    <w:p w:rsidR="005E0A0F" w:rsidRPr="00137870" w:rsidRDefault="0024783D" w:rsidP="00137870">
      <w:pPr>
        <w:pStyle w:val="NormalWeb"/>
        <w:tabs>
          <w:tab w:val="left" w:pos="360"/>
          <w:tab w:val="left" w:pos="720"/>
          <w:tab w:val="left" w:pos="1080"/>
          <w:tab w:val="left" w:pos="1440"/>
        </w:tabs>
      </w:pPr>
      <w:r w:rsidRPr="00137870">
        <w:tab/>
      </w:r>
      <w:r w:rsidR="005E0A0F" w:rsidRPr="00137870">
        <w:t>7.</w:t>
      </w:r>
      <w:r w:rsidR="00AC5BD4" w:rsidRPr="00137870">
        <w:tab/>
      </w:r>
      <w:r w:rsidR="005E0A0F" w:rsidRPr="00137870">
        <w:rPr>
          <w:u w:val="single"/>
        </w:rPr>
        <w:t>Paperwork Reduction Act Guidelines</w:t>
      </w:r>
    </w:p>
    <w:p w:rsidR="00FB3212" w:rsidRDefault="00AC5BD4" w:rsidP="00137870">
      <w:pPr>
        <w:pStyle w:val="NormalWeb"/>
        <w:tabs>
          <w:tab w:val="left" w:pos="360"/>
          <w:tab w:val="left" w:pos="720"/>
          <w:tab w:val="left" w:pos="1080"/>
          <w:tab w:val="left" w:pos="1440"/>
        </w:tabs>
      </w:pPr>
      <w:bookmarkStart w:id="5" w:name="cp446"/>
      <w:bookmarkEnd w:id="4"/>
      <w:r w:rsidRPr="00137870">
        <w:tab/>
      </w:r>
      <w:r w:rsidR="00A37DE8">
        <w:t>Collection is consistent with guidelines in</w:t>
      </w:r>
      <w:r w:rsidR="00FB3212" w:rsidRPr="00137870">
        <w:t xml:space="preserve"> 5 CFR 1320.5(d)(2).</w:t>
      </w:r>
    </w:p>
    <w:p w:rsidR="005E0A0F" w:rsidRPr="00137870" w:rsidRDefault="0024783D" w:rsidP="00137870">
      <w:pPr>
        <w:pStyle w:val="NormalWeb"/>
        <w:tabs>
          <w:tab w:val="left" w:pos="360"/>
          <w:tab w:val="left" w:pos="720"/>
          <w:tab w:val="left" w:pos="1080"/>
          <w:tab w:val="left" w:pos="1440"/>
        </w:tabs>
      </w:pPr>
      <w:r w:rsidRPr="00137870">
        <w:tab/>
      </w:r>
      <w:r w:rsidR="005E0A0F" w:rsidRPr="00137870">
        <w:t>8.</w:t>
      </w:r>
      <w:r w:rsidR="00AC5BD4" w:rsidRPr="00137870">
        <w:tab/>
      </w:r>
      <w:r w:rsidR="005E0A0F" w:rsidRPr="00137870">
        <w:rPr>
          <w:u w:val="single"/>
        </w:rPr>
        <w:t>Consultation and Public Comments</w:t>
      </w:r>
    </w:p>
    <w:p w:rsidR="002139EC" w:rsidRPr="00404054" w:rsidRDefault="00AC5BD4" w:rsidP="00404054">
      <w:pPr>
        <w:tabs>
          <w:tab w:val="left" w:pos="360"/>
        </w:tabs>
        <w:autoSpaceDE w:val="0"/>
        <w:autoSpaceDN w:val="0"/>
        <w:adjustRightInd w:val="0"/>
      </w:pPr>
      <w:bookmarkStart w:id="6" w:name="cp447"/>
      <w:bookmarkEnd w:id="5"/>
      <w:r w:rsidRPr="00404054">
        <w:lastRenderedPageBreak/>
        <w:tab/>
      </w:r>
      <w:bookmarkStart w:id="7" w:name="cp449"/>
      <w:bookmarkEnd w:id="6"/>
      <w:r w:rsidR="006C1F09" w:rsidRPr="00404054">
        <w:t xml:space="preserve">a.  </w:t>
      </w:r>
      <w:r w:rsidR="00F77B7E" w:rsidRPr="00404054">
        <w:t xml:space="preserve">Public comments </w:t>
      </w:r>
      <w:r w:rsidR="00A37DE8" w:rsidRPr="00404054">
        <w:t>were</w:t>
      </w:r>
      <w:r w:rsidR="00F77B7E" w:rsidRPr="00404054">
        <w:t xml:space="preserve"> solicited</w:t>
      </w:r>
      <w:r w:rsidR="0019239B" w:rsidRPr="00404054">
        <w:t xml:space="preserve"> i</w:t>
      </w:r>
      <w:r w:rsidR="00A37DE8" w:rsidRPr="00404054">
        <w:t>n the proposed</w:t>
      </w:r>
      <w:r w:rsidR="008A36E7" w:rsidRPr="00404054">
        <w:t xml:space="preserve"> rule</w:t>
      </w:r>
      <w:r w:rsidR="00A37DE8" w:rsidRPr="00404054">
        <w:t xml:space="preserve"> (DFARS Case 2015-D035)</w:t>
      </w:r>
      <w:r w:rsidR="00F77B7E" w:rsidRPr="00404054">
        <w:t xml:space="preserve"> in the </w:t>
      </w:r>
      <w:r w:rsidR="00F77B7E" w:rsidRPr="00404054">
        <w:rPr>
          <w:i/>
        </w:rPr>
        <w:t>Federal Register</w:t>
      </w:r>
      <w:r w:rsidR="00F77B7E" w:rsidRPr="00404054">
        <w:t xml:space="preserve"> </w:t>
      </w:r>
      <w:r w:rsidR="00A37DE8" w:rsidRPr="00404054">
        <w:t xml:space="preserve">on </w:t>
      </w:r>
      <w:r w:rsidR="0019239B" w:rsidRPr="00404054">
        <w:t>October 21, 2016 (</w:t>
      </w:r>
      <w:hyperlink r:id="rId9" w:history="1">
        <w:r w:rsidR="0019239B" w:rsidRPr="00404054">
          <w:rPr>
            <w:rStyle w:val="Hyperlink"/>
          </w:rPr>
          <w:t>81</w:t>
        </w:r>
        <w:r w:rsidR="00A37DE8" w:rsidRPr="00404054">
          <w:rPr>
            <w:rStyle w:val="Hyperlink"/>
          </w:rPr>
          <w:t xml:space="preserve"> FR </w:t>
        </w:r>
        <w:r w:rsidR="0019239B" w:rsidRPr="00404054">
          <w:rPr>
            <w:rStyle w:val="Hyperlink"/>
          </w:rPr>
          <w:t>73002</w:t>
        </w:r>
      </w:hyperlink>
      <w:r w:rsidR="00A37DE8" w:rsidRPr="00404054">
        <w:t xml:space="preserve"> as required by 5 CFR 1320.8(d)</w:t>
      </w:r>
      <w:r w:rsidR="00FC6B16" w:rsidRPr="00404054">
        <w:t xml:space="preserve">. </w:t>
      </w:r>
      <w:r w:rsidR="002139EC" w:rsidRPr="00404054">
        <w:t xml:space="preserve"> </w:t>
      </w:r>
      <w:r w:rsidR="0019239B" w:rsidRPr="00404054">
        <w:t xml:space="preserve">The proposed rule included a notice that </w:t>
      </w:r>
      <w:r w:rsidR="0019239B" w:rsidRPr="00404054">
        <w:rPr>
          <w:rFonts w:eastAsia="Calibri"/>
        </w:rPr>
        <w:t xml:space="preserve">DoD submitted a request for approval of a new information collection requirement to the Office of Management and Budget (OMB). </w:t>
      </w:r>
      <w:r w:rsidR="0019239B" w:rsidRPr="00404054">
        <w:rPr>
          <w:color w:val="000000"/>
        </w:rPr>
        <w:t xml:space="preserve"> This information collection requirement was assigned OMB Control Number 0704-0557, entitled DFARS Part 245; Use of the Government Property Clause for Repair of Government-furnished Property.</w:t>
      </w:r>
      <w:r w:rsidR="001D7B31">
        <w:rPr>
          <w:color w:val="000000"/>
        </w:rPr>
        <w:t xml:space="preserve">  </w:t>
      </w:r>
      <w:r w:rsidR="00404054">
        <w:t>Four</w:t>
      </w:r>
      <w:r w:rsidR="002139EC" w:rsidRPr="00404054">
        <w:t xml:space="preserve"> comments were received from one respondent as follows:</w:t>
      </w:r>
    </w:p>
    <w:p w:rsidR="002139EC" w:rsidRPr="00404054" w:rsidRDefault="002139EC" w:rsidP="00404054">
      <w:pPr>
        <w:tabs>
          <w:tab w:val="left" w:pos="360"/>
        </w:tabs>
        <w:autoSpaceDE w:val="0"/>
        <w:autoSpaceDN w:val="0"/>
        <w:adjustRightInd w:val="0"/>
      </w:pPr>
    </w:p>
    <w:p w:rsidR="00542E7E" w:rsidRDefault="00542E7E" w:rsidP="00404054">
      <w:pPr>
        <w:pStyle w:val="ListParagraph"/>
        <w:numPr>
          <w:ilvl w:val="0"/>
          <w:numId w:val="3"/>
        </w:numPr>
        <w:tabs>
          <w:tab w:val="left" w:pos="360"/>
          <w:tab w:val="left" w:pos="720"/>
        </w:tabs>
      </w:pPr>
      <w:r w:rsidRPr="00404054">
        <w:t>Support for Continued Discretionary Use of the FAR clause</w:t>
      </w:r>
    </w:p>
    <w:p w:rsidR="00404054" w:rsidRPr="00404054" w:rsidRDefault="00404054" w:rsidP="00404054">
      <w:pPr>
        <w:pStyle w:val="ListParagraph"/>
        <w:tabs>
          <w:tab w:val="left" w:pos="360"/>
          <w:tab w:val="left" w:pos="720"/>
        </w:tabs>
        <w:ind w:left="1080"/>
      </w:pPr>
    </w:p>
    <w:p w:rsidR="00404054" w:rsidRPr="00404054" w:rsidRDefault="00542E7E" w:rsidP="00404054">
      <w:pPr>
        <w:tabs>
          <w:tab w:val="left" w:pos="360"/>
          <w:tab w:val="left" w:pos="720"/>
        </w:tabs>
      </w:pPr>
      <w:r w:rsidRPr="00404054">
        <w:tab/>
      </w:r>
      <w:r w:rsidR="00404054">
        <w:tab/>
      </w:r>
      <w:r w:rsidRPr="00404054">
        <w:rPr>
          <w:u w:val="single"/>
        </w:rPr>
        <w:t>Comment</w:t>
      </w:r>
      <w:r w:rsidRPr="00404054">
        <w:t>:  The respondent recommends that DFARS 245.107 be left “as is” and that contracting officers should insert FAR clause 52.245-1 into purchase orders for repair based on the type and cost of property to be repaired.</w:t>
      </w:r>
    </w:p>
    <w:p w:rsidR="00542E7E" w:rsidRDefault="00542E7E" w:rsidP="00404054">
      <w:pPr>
        <w:tabs>
          <w:tab w:val="left" w:pos="360"/>
          <w:tab w:val="left" w:pos="720"/>
        </w:tabs>
      </w:pPr>
      <w:r w:rsidRPr="00404054">
        <w:tab/>
      </w:r>
      <w:r w:rsidR="00404054">
        <w:tab/>
      </w:r>
      <w:r w:rsidRPr="00404054">
        <w:rPr>
          <w:u w:val="single"/>
        </w:rPr>
        <w:t>Response</w:t>
      </w:r>
      <w:r w:rsidRPr="00404054">
        <w:t xml:space="preserve">:  A determination for when provisions and clauses are used is driven primarily by the goods or services being procured and the type of contract being contemplated; tying the use of FAR 52.245-1 to only some forms of Government-furnished property (GFP) and not others would be impractical given the variety of property classes, types, values, uses, and conditions.  </w:t>
      </w:r>
      <w:r w:rsidRPr="00404054">
        <w:rPr>
          <w:bCs/>
        </w:rPr>
        <w:t xml:space="preserve">Discretion, in the case of inserting FAR clause 52.245-1 in purchase orders for repair, has led to inconsistent treatment of GFP.  </w:t>
      </w:r>
      <w:r w:rsidRPr="00404054">
        <w:t>Moreover, the discretionary use of FAR 52.245-1 has been shown to drive process inconsistency, compromise accountability, and promote non-standard processes.  This complicates administration of contracts, particularly upon contract closeout when proper disposition and adjudication of remaining Government property is crucial.</w:t>
      </w:r>
    </w:p>
    <w:p w:rsidR="00404054" w:rsidRPr="00404054" w:rsidRDefault="00404054" w:rsidP="00404054">
      <w:pPr>
        <w:tabs>
          <w:tab w:val="left" w:pos="360"/>
          <w:tab w:val="left" w:pos="720"/>
        </w:tabs>
      </w:pPr>
    </w:p>
    <w:p w:rsidR="00542E7E" w:rsidRDefault="00542E7E" w:rsidP="00404054">
      <w:pPr>
        <w:pStyle w:val="ListParagraph"/>
        <w:numPr>
          <w:ilvl w:val="0"/>
          <w:numId w:val="3"/>
        </w:numPr>
        <w:tabs>
          <w:tab w:val="left" w:pos="360"/>
          <w:tab w:val="left" w:pos="720"/>
        </w:tabs>
      </w:pPr>
      <w:r w:rsidRPr="00404054">
        <w:t>Training for Contracting Officers</w:t>
      </w:r>
    </w:p>
    <w:p w:rsidR="00404054" w:rsidRPr="00404054" w:rsidRDefault="00404054" w:rsidP="00404054">
      <w:pPr>
        <w:pStyle w:val="ListParagraph"/>
        <w:tabs>
          <w:tab w:val="left" w:pos="360"/>
          <w:tab w:val="left" w:pos="720"/>
        </w:tabs>
        <w:ind w:left="1080"/>
      </w:pPr>
    </w:p>
    <w:p w:rsidR="00404054" w:rsidRPr="00404054" w:rsidRDefault="00542E7E" w:rsidP="00404054">
      <w:pPr>
        <w:tabs>
          <w:tab w:val="left" w:pos="360"/>
          <w:tab w:val="left" w:pos="720"/>
        </w:tabs>
      </w:pPr>
      <w:r w:rsidRPr="00404054">
        <w:tab/>
      </w:r>
      <w:r w:rsidR="00404054">
        <w:tab/>
      </w:r>
      <w:r w:rsidRPr="00404054">
        <w:rPr>
          <w:u w:val="single"/>
        </w:rPr>
        <w:t>Comment</w:t>
      </w:r>
      <w:r w:rsidRPr="00404054">
        <w:t xml:space="preserve">:  The respondent also stated that appropriate training should be provided to Contracting Officers on use of the Government property clause, rather than require a blanket prescription that fails to incorporate materiality. </w:t>
      </w:r>
    </w:p>
    <w:p w:rsidR="00542E7E" w:rsidRDefault="00542E7E" w:rsidP="00404054">
      <w:pPr>
        <w:tabs>
          <w:tab w:val="left" w:pos="360"/>
          <w:tab w:val="left" w:pos="720"/>
        </w:tabs>
        <w:rPr>
          <w:bCs/>
        </w:rPr>
      </w:pPr>
      <w:r w:rsidRPr="00404054">
        <w:tab/>
      </w:r>
      <w:r w:rsidR="00404054">
        <w:tab/>
      </w:r>
      <w:r w:rsidRPr="00404054">
        <w:rPr>
          <w:u w:val="single"/>
        </w:rPr>
        <w:t>Response</w:t>
      </w:r>
      <w:r w:rsidRPr="00404054">
        <w:t xml:space="preserve">:  The purpose of this rule is to achieve greater accountability of GFP, decrease the risk of misuse or loss of Government property, and mitigate potential ownership issues.  As stated previously, tying the use of FAR clause 52.245-1 to a specific property class or type would be impractical given the variety of property types, values, uses, and conditions. Moreover, the discretionary use of FAR 52.245-1 drives process inconsistencies, compromises accountability, and promotes non-standard processes.  By extension, training contracting officers on the potential materiality of asset types relative to the use FAR clause 52.245-1 would be unrealistic and ultimately exacerbate the accountability gap </w:t>
      </w:r>
      <w:r w:rsidRPr="00404054">
        <w:rPr>
          <w:bCs/>
        </w:rPr>
        <w:t xml:space="preserve">this rule seeks to close. </w:t>
      </w:r>
    </w:p>
    <w:p w:rsidR="00404054" w:rsidRPr="00404054" w:rsidRDefault="00404054" w:rsidP="00404054">
      <w:pPr>
        <w:tabs>
          <w:tab w:val="left" w:pos="360"/>
          <w:tab w:val="left" w:pos="720"/>
        </w:tabs>
      </w:pPr>
    </w:p>
    <w:p w:rsidR="00542E7E" w:rsidRDefault="00542E7E" w:rsidP="00404054">
      <w:pPr>
        <w:pStyle w:val="ListParagraph"/>
        <w:numPr>
          <w:ilvl w:val="0"/>
          <w:numId w:val="3"/>
        </w:numPr>
        <w:tabs>
          <w:tab w:val="left" w:pos="360"/>
          <w:tab w:val="left" w:pos="720"/>
        </w:tabs>
      </w:pPr>
      <w:r w:rsidRPr="00404054">
        <w:t>Impact to Small Business</w:t>
      </w:r>
    </w:p>
    <w:p w:rsidR="00404054" w:rsidRPr="00404054" w:rsidRDefault="00404054" w:rsidP="00404054">
      <w:pPr>
        <w:pStyle w:val="ListParagraph"/>
        <w:tabs>
          <w:tab w:val="left" w:pos="360"/>
          <w:tab w:val="left" w:pos="720"/>
        </w:tabs>
        <w:ind w:left="1080"/>
      </w:pPr>
    </w:p>
    <w:p w:rsidR="00542E7E" w:rsidRPr="00404054" w:rsidRDefault="00404054" w:rsidP="00404054">
      <w:pPr>
        <w:pStyle w:val="Default"/>
        <w:tabs>
          <w:tab w:val="left" w:pos="360"/>
          <w:tab w:val="left" w:pos="720"/>
        </w:tabs>
        <w:ind w:firstLine="360"/>
        <w:rPr>
          <w:rFonts w:eastAsia="Times New Roman"/>
          <w:color w:val="auto"/>
        </w:rPr>
      </w:pPr>
      <w:r>
        <w:rPr>
          <w:rFonts w:eastAsia="Times New Roman"/>
          <w:color w:val="auto"/>
        </w:rPr>
        <w:tab/>
      </w:r>
      <w:r w:rsidR="00542E7E" w:rsidRPr="00404054">
        <w:rPr>
          <w:rFonts w:eastAsia="Times New Roman"/>
          <w:color w:val="auto"/>
          <w:u w:val="single"/>
        </w:rPr>
        <w:t>Comment</w:t>
      </w:r>
      <w:r w:rsidR="00542E7E" w:rsidRPr="00404054">
        <w:rPr>
          <w:rFonts w:eastAsia="Times New Roman"/>
          <w:color w:val="auto"/>
        </w:rPr>
        <w:t xml:space="preserve">:  The respondent states the rule would adversely impact small business participation in repair, maintenance, and calibration activities, and that small businesses would be required to implement costly property systems to comply with the Government property clause and associated DFARS clauses invoked by its use. </w:t>
      </w:r>
    </w:p>
    <w:p w:rsidR="00542E7E" w:rsidRDefault="00542E7E" w:rsidP="00404054">
      <w:pPr>
        <w:pStyle w:val="PlainText"/>
        <w:tabs>
          <w:tab w:val="left" w:pos="360"/>
          <w:tab w:val="left" w:pos="720"/>
        </w:tabs>
        <w:rPr>
          <w:rFonts w:ascii="Times New Roman" w:hAnsi="Times New Roman"/>
          <w:sz w:val="24"/>
          <w:szCs w:val="24"/>
        </w:rPr>
      </w:pPr>
      <w:r w:rsidRPr="00404054">
        <w:rPr>
          <w:rFonts w:ascii="Times New Roman" w:hAnsi="Times New Roman"/>
          <w:sz w:val="24"/>
          <w:szCs w:val="24"/>
        </w:rPr>
        <w:tab/>
      </w:r>
      <w:r w:rsidR="00404054">
        <w:rPr>
          <w:rFonts w:ascii="Times New Roman" w:hAnsi="Times New Roman"/>
          <w:sz w:val="24"/>
          <w:szCs w:val="24"/>
        </w:rPr>
        <w:tab/>
      </w:r>
      <w:r w:rsidRPr="00404054">
        <w:rPr>
          <w:rFonts w:ascii="Times New Roman" w:hAnsi="Times New Roman"/>
          <w:sz w:val="24"/>
          <w:szCs w:val="24"/>
          <w:u w:val="single"/>
        </w:rPr>
        <w:t>Respons</w:t>
      </w:r>
      <w:r w:rsidRPr="00404054">
        <w:rPr>
          <w:rFonts w:ascii="Times New Roman" w:hAnsi="Times New Roman"/>
          <w:sz w:val="24"/>
          <w:szCs w:val="24"/>
        </w:rPr>
        <w:t xml:space="preserve">e:  Many small businesses that do business with the Federal Government have well-established property management systems by virtue of existing purchase orders for repair or other contracts that contain FAR clause 52.245-1.  Further, many of the requirements contained in FAR 52.245-1, e.g., receiving reports, discrepancy reports and property records, are typical commercial practices, and so not unduly burdensome.  For example, customary commercial practice is to create receiving reports and keep records for incoming assets regardless of the source of such assets.  In addition, the policy at FAR 45.103(b) permits contractors to use their own existing property management procedures, practices, and systems to account for and manage Government property. </w:t>
      </w:r>
    </w:p>
    <w:p w:rsidR="00404054" w:rsidRPr="00404054" w:rsidRDefault="00404054" w:rsidP="00404054">
      <w:pPr>
        <w:pStyle w:val="PlainText"/>
        <w:tabs>
          <w:tab w:val="left" w:pos="360"/>
          <w:tab w:val="left" w:pos="720"/>
        </w:tabs>
        <w:rPr>
          <w:rFonts w:ascii="Times New Roman" w:hAnsi="Times New Roman"/>
          <w:sz w:val="24"/>
          <w:szCs w:val="24"/>
        </w:rPr>
      </w:pPr>
    </w:p>
    <w:p w:rsidR="00542E7E" w:rsidRDefault="00542E7E" w:rsidP="00404054">
      <w:pPr>
        <w:pStyle w:val="ListParagraph"/>
        <w:numPr>
          <w:ilvl w:val="0"/>
          <w:numId w:val="3"/>
        </w:numPr>
        <w:tabs>
          <w:tab w:val="left" w:pos="360"/>
        </w:tabs>
      </w:pPr>
      <w:r w:rsidRPr="00404054">
        <w:t>Need for Further Analysis by DoD</w:t>
      </w:r>
    </w:p>
    <w:p w:rsidR="00404054" w:rsidRPr="00404054" w:rsidRDefault="00404054" w:rsidP="00404054">
      <w:pPr>
        <w:pStyle w:val="ListParagraph"/>
        <w:tabs>
          <w:tab w:val="left" w:pos="360"/>
        </w:tabs>
        <w:ind w:left="1080"/>
      </w:pPr>
    </w:p>
    <w:p w:rsidR="00542E7E" w:rsidRPr="00404054" w:rsidRDefault="00542E7E" w:rsidP="00404054">
      <w:pPr>
        <w:pStyle w:val="Default"/>
        <w:tabs>
          <w:tab w:val="left" w:pos="360"/>
        </w:tabs>
        <w:rPr>
          <w:rFonts w:eastAsia="Times New Roman"/>
          <w:color w:val="auto"/>
        </w:rPr>
      </w:pPr>
      <w:r w:rsidRPr="00404054">
        <w:rPr>
          <w:rFonts w:eastAsia="Times New Roman"/>
          <w:color w:val="auto"/>
        </w:rPr>
        <w:tab/>
      </w:r>
      <w:r w:rsidR="00404054">
        <w:rPr>
          <w:rFonts w:eastAsia="Times New Roman"/>
          <w:color w:val="auto"/>
        </w:rPr>
        <w:tab/>
      </w:r>
      <w:r w:rsidRPr="00404054">
        <w:rPr>
          <w:rFonts w:eastAsia="Times New Roman"/>
          <w:color w:val="auto"/>
          <w:u w:val="single"/>
        </w:rPr>
        <w:t>Comment</w:t>
      </w:r>
      <w:r w:rsidRPr="00404054">
        <w:rPr>
          <w:rFonts w:eastAsia="Times New Roman"/>
          <w:color w:val="auto"/>
        </w:rPr>
        <w:t xml:space="preserve">:  The respondent states that DoD should perform further analysis to ensure that its proposal is cost effective, and that the Government should ensure that cost savings from greater tracking of Government property included in contracts that meet the simplified acquisition threshold outweighs the increased cost of repair and possible contracting delays. </w:t>
      </w:r>
    </w:p>
    <w:p w:rsidR="00542E7E" w:rsidRPr="00404054" w:rsidRDefault="00542E7E" w:rsidP="00404054">
      <w:pPr>
        <w:tabs>
          <w:tab w:val="left" w:pos="360"/>
          <w:tab w:val="left" w:pos="720"/>
        </w:tabs>
      </w:pPr>
      <w:r w:rsidRPr="00404054">
        <w:tab/>
      </w:r>
      <w:r w:rsidR="00404054">
        <w:tab/>
      </w:r>
      <w:r w:rsidRPr="00404054">
        <w:rPr>
          <w:u w:val="single"/>
        </w:rPr>
        <w:t>Response</w:t>
      </w:r>
      <w:r w:rsidRPr="00404054">
        <w:t>:  This rule is part of a larger DoD effort to resolve DoD’s material weakness relative to Government furnished property</w:t>
      </w:r>
      <w:r w:rsidR="00401120" w:rsidRPr="00404054">
        <w:t xml:space="preserve"> and</w:t>
      </w:r>
      <w:r w:rsidRPr="00404054">
        <w:t xml:space="preserve"> accountability of assets is an important part of audit readiness.</w:t>
      </w:r>
    </w:p>
    <w:p w:rsidR="00404054" w:rsidRPr="00404054" w:rsidRDefault="00542E7E" w:rsidP="00404054">
      <w:pPr>
        <w:pStyle w:val="NormalWeb"/>
        <w:tabs>
          <w:tab w:val="left" w:pos="360"/>
          <w:tab w:val="left" w:pos="720"/>
          <w:tab w:val="left" w:pos="1080"/>
          <w:tab w:val="left" w:pos="1440"/>
        </w:tabs>
      </w:pPr>
      <w:r w:rsidRPr="00404054">
        <w:tab/>
        <w:t xml:space="preserve">b.  </w:t>
      </w:r>
      <w:r w:rsidR="00404054" w:rsidRPr="00404054">
        <w:t xml:space="preserve">A notice of submission to OMB for clearance of this information collection was published in the Federal Register on </w:t>
      </w:r>
      <w:r w:rsidR="009462BF">
        <w:t>March 26, 2019</w:t>
      </w:r>
      <w:r w:rsidR="00404054" w:rsidRPr="00404054">
        <w:t xml:space="preserve"> </w:t>
      </w:r>
      <w:r w:rsidR="00404054">
        <w:t>(</w:t>
      </w:r>
      <w:hyperlink r:id="rId10" w:history="1">
        <w:r w:rsidR="009462BF" w:rsidRPr="00765F45">
          <w:rPr>
            <w:rStyle w:val="Hyperlink"/>
          </w:rPr>
          <w:t>84</w:t>
        </w:r>
        <w:r w:rsidR="00404054" w:rsidRPr="00765F45">
          <w:rPr>
            <w:rStyle w:val="Hyperlink"/>
          </w:rPr>
          <w:t xml:space="preserve"> FR </w:t>
        </w:r>
        <w:r w:rsidR="009462BF" w:rsidRPr="00765F45">
          <w:rPr>
            <w:rStyle w:val="Hyperlink"/>
          </w:rPr>
          <w:t>11290</w:t>
        </w:r>
      </w:hyperlink>
      <w:r w:rsidR="00404054" w:rsidRPr="00404054">
        <w:t>).</w:t>
      </w:r>
    </w:p>
    <w:p w:rsidR="009C111D" w:rsidRPr="00404054" w:rsidRDefault="009C111D" w:rsidP="00404054">
      <w:pPr>
        <w:tabs>
          <w:tab w:val="left" w:pos="360"/>
          <w:tab w:val="left" w:pos="720"/>
          <w:tab w:val="left" w:pos="1080"/>
        </w:tabs>
      </w:pPr>
      <w:r w:rsidRPr="00404054">
        <w:tab/>
        <w:t xml:space="preserve">c.  For the purpose of calculating respondent burden, subject matter experts were contacted to obtain current data. </w:t>
      </w:r>
    </w:p>
    <w:p w:rsidR="005E0A0F" w:rsidRPr="00137870" w:rsidRDefault="0024783D" w:rsidP="00137870">
      <w:pPr>
        <w:pStyle w:val="NormalWeb"/>
        <w:tabs>
          <w:tab w:val="left" w:pos="360"/>
          <w:tab w:val="left" w:pos="720"/>
          <w:tab w:val="left" w:pos="1080"/>
          <w:tab w:val="left" w:pos="1440"/>
        </w:tabs>
      </w:pPr>
      <w:r w:rsidRPr="00137870">
        <w:tab/>
      </w:r>
      <w:r w:rsidR="005E0A0F" w:rsidRPr="00137870">
        <w:t xml:space="preserve">9.  </w:t>
      </w:r>
      <w:r w:rsidR="005E0A0F" w:rsidRPr="00137870">
        <w:rPr>
          <w:u w:val="single"/>
        </w:rPr>
        <w:t>Gifts or Payment</w:t>
      </w:r>
    </w:p>
    <w:p w:rsidR="00AC5BD4" w:rsidRPr="00137870" w:rsidRDefault="00AC5BD4" w:rsidP="00137870">
      <w:pPr>
        <w:pStyle w:val="NormalWeb"/>
        <w:tabs>
          <w:tab w:val="left" w:pos="360"/>
          <w:tab w:val="left" w:pos="720"/>
          <w:tab w:val="left" w:pos="1080"/>
          <w:tab w:val="left" w:pos="1440"/>
        </w:tabs>
      </w:pPr>
      <w:bookmarkStart w:id="8" w:name="cp450"/>
      <w:bookmarkEnd w:id="7"/>
      <w:r w:rsidRPr="00137870">
        <w:tab/>
      </w:r>
      <w:bookmarkEnd w:id="8"/>
      <w:r w:rsidR="00A37DE8">
        <w:t>No payment or gift will be provided to respondents, other than remuneration of contractors under the</w:t>
      </w:r>
      <w:r w:rsidR="008A36E7">
        <w:t xml:space="preserve"> terms of their</w:t>
      </w:r>
      <w:r w:rsidR="00A37DE8">
        <w:t xml:space="preserve"> contracts</w:t>
      </w:r>
      <w:r w:rsidR="00FC6B16" w:rsidRPr="00137870">
        <w:t xml:space="preserve">. </w:t>
      </w:r>
    </w:p>
    <w:p w:rsidR="005E0A0F" w:rsidRPr="00137870" w:rsidRDefault="0024783D" w:rsidP="00137870">
      <w:pPr>
        <w:pStyle w:val="NormalWeb"/>
        <w:tabs>
          <w:tab w:val="left" w:pos="360"/>
          <w:tab w:val="left" w:pos="720"/>
          <w:tab w:val="left" w:pos="1080"/>
          <w:tab w:val="left" w:pos="1440"/>
        </w:tabs>
      </w:pPr>
      <w:r w:rsidRPr="00137870">
        <w:tab/>
      </w:r>
      <w:r w:rsidR="005E0A0F" w:rsidRPr="00137870">
        <w:t xml:space="preserve">10.  </w:t>
      </w:r>
      <w:r w:rsidR="005E0A0F" w:rsidRPr="00137870">
        <w:rPr>
          <w:u w:val="single"/>
        </w:rPr>
        <w:t>Confidentiality</w:t>
      </w:r>
    </w:p>
    <w:p w:rsidR="00FB3212" w:rsidRPr="00137870" w:rsidRDefault="00FB3212" w:rsidP="00137870">
      <w:pPr>
        <w:pStyle w:val="NormalWeb"/>
        <w:tabs>
          <w:tab w:val="left" w:pos="360"/>
          <w:tab w:val="left" w:pos="720"/>
          <w:tab w:val="left" w:pos="1080"/>
          <w:tab w:val="left" w:pos="1440"/>
        </w:tabs>
      </w:pPr>
      <w:r w:rsidRPr="00137870">
        <w:tab/>
      </w:r>
      <w:r w:rsidR="00A37DE8">
        <w:t>This information is</w:t>
      </w:r>
      <w:r w:rsidR="00FC6B16" w:rsidRPr="00137870">
        <w:t xml:space="preserve"> </w:t>
      </w:r>
      <w:r w:rsidR="00FC6B16" w:rsidRPr="00137870">
        <w:rPr>
          <w:color w:val="000000"/>
        </w:rPr>
        <w:t>disclosed only to the extent consistent with prudent business practices and current regulations.</w:t>
      </w:r>
    </w:p>
    <w:p w:rsidR="005E0A0F" w:rsidRPr="00137870" w:rsidRDefault="0024783D" w:rsidP="00137870">
      <w:pPr>
        <w:pStyle w:val="NormalWeb"/>
        <w:tabs>
          <w:tab w:val="left" w:pos="360"/>
          <w:tab w:val="left" w:pos="720"/>
          <w:tab w:val="left" w:pos="1080"/>
          <w:tab w:val="left" w:pos="1440"/>
        </w:tabs>
      </w:pPr>
      <w:r w:rsidRPr="00137870">
        <w:tab/>
      </w:r>
      <w:r w:rsidR="005E0A0F" w:rsidRPr="00137870">
        <w:t xml:space="preserve">11.  </w:t>
      </w:r>
      <w:r w:rsidR="005E0A0F" w:rsidRPr="00137870">
        <w:rPr>
          <w:u w:val="single"/>
        </w:rPr>
        <w:t xml:space="preserve">Sensitive </w:t>
      </w:r>
      <w:r w:rsidR="00FC6B16" w:rsidRPr="00137870">
        <w:rPr>
          <w:u w:val="single"/>
        </w:rPr>
        <w:t xml:space="preserve">Issues or </w:t>
      </w:r>
      <w:r w:rsidR="005E0A0F" w:rsidRPr="00137870">
        <w:rPr>
          <w:u w:val="single"/>
        </w:rPr>
        <w:t>Questions</w:t>
      </w:r>
    </w:p>
    <w:p w:rsidR="00FC6B16" w:rsidRPr="00137870" w:rsidRDefault="00AC5BD4" w:rsidP="00423E6E">
      <w:pPr>
        <w:tabs>
          <w:tab w:val="left" w:pos="360"/>
          <w:tab w:val="left" w:pos="560"/>
          <w:tab w:val="left" w:pos="1120"/>
          <w:tab w:val="left" w:pos="1680"/>
          <w:tab w:val="left" w:pos="2240"/>
        </w:tabs>
        <w:spacing w:before="240"/>
        <w:rPr>
          <w:color w:val="000000"/>
        </w:rPr>
      </w:pPr>
      <w:bookmarkStart w:id="9" w:name="cp456"/>
      <w:r w:rsidRPr="00137870">
        <w:tab/>
      </w:r>
      <w:r w:rsidR="00FC6B16" w:rsidRPr="00137870">
        <w:rPr>
          <w:color w:val="000000"/>
        </w:rPr>
        <w:t>There are no issues or questions of a sensitive nature.</w:t>
      </w:r>
    </w:p>
    <w:p w:rsidR="005E0A0F" w:rsidRPr="00137870" w:rsidRDefault="0024783D" w:rsidP="00137870">
      <w:pPr>
        <w:pStyle w:val="NormalWeb"/>
        <w:tabs>
          <w:tab w:val="left" w:pos="360"/>
          <w:tab w:val="left" w:pos="720"/>
          <w:tab w:val="left" w:pos="1080"/>
          <w:tab w:val="left" w:pos="1440"/>
        </w:tabs>
      </w:pPr>
      <w:r w:rsidRPr="00137870">
        <w:tab/>
      </w:r>
      <w:r w:rsidR="005E0A0F" w:rsidRPr="00137870">
        <w:t xml:space="preserve">12.  </w:t>
      </w:r>
      <w:r w:rsidR="005E0A0F" w:rsidRPr="00137870">
        <w:rPr>
          <w:u w:val="single"/>
        </w:rPr>
        <w:t>Respondent Burden, and its Labor Costs</w:t>
      </w:r>
    </w:p>
    <w:p w:rsidR="003002A0" w:rsidRPr="00137870" w:rsidRDefault="003C26F7" w:rsidP="00137870">
      <w:pPr>
        <w:pStyle w:val="NormalWeb"/>
        <w:tabs>
          <w:tab w:val="left" w:pos="360"/>
          <w:tab w:val="left" w:pos="720"/>
          <w:tab w:val="left" w:pos="1080"/>
          <w:tab w:val="left" w:pos="1440"/>
        </w:tabs>
      </w:pPr>
      <w:bookmarkStart w:id="10" w:name="cp457"/>
      <w:bookmarkEnd w:id="9"/>
      <w:r w:rsidRPr="00137870">
        <w:tab/>
      </w:r>
      <w:r w:rsidRPr="00137870">
        <w:tab/>
        <w:t>a.</w:t>
      </w:r>
      <w:r w:rsidRPr="00137870">
        <w:tab/>
      </w:r>
      <w:r w:rsidR="005E0A0F" w:rsidRPr="00137870">
        <w:rPr>
          <w:u w:val="single"/>
        </w:rPr>
        <w:t>Estimation of Respondent Burden</w:t>
      </w:r>
      <w:r w:rsidRPr="00137870">
        <w:t xml:space="preserve"> </w:t>
      </w:r>
    </w:p>
    <w:p w:rsidR="007412CE" w:rsidRDefault="00FB3212" w:rsidP="00137870">
      <w:r w:rsidRPr="00137870">
        <w:tab/>
      </w:r>
      <w:r w:rsidR="00437BCC" w:rsidRPr="00137870">
        <w:t xml:space="preserve">The annual </w:t>
      </w:r>
      <w:r w:rsidR="00A54A10">
        <w:t xml:space="preserve">estimated cost to the public is based on </w:t>
      </w:r>
      <w:r w:rsidR="00427B90">
        <w:t>Electronic Document Asses</w:t>
      </w:r>
      <w:r w:rsidR="00A54A10">
        <w:t xml:space="preserve"> System data for fiscal year 201</w:t>
      </w:r>
      <w:r w:rsidR="00427B90">
        <w:t>8</w:t>
      </w:r>
      <w:r w:rsidR="009F0611">
        <w:t xml:space="preserve"> for purchase orders for repairs of equipment</w:t>
      </w:r>
      <w:r w:rsidR="00A54A10">
        <w:t>.</w:t>
      </w:r>
      <w:r w:rsidR="0041146D">
        <w:t xml:space="preserve">  Use of FAR clause 52.245-1, pursuant to DFARS 245.107(1)(i) in DoD purchase orders for repair of Government property, </w:t>
      </w:r>
      <w:r w:rsidR="00872116">
        <w:t xml:space="preserve">is estimated to </w:t>
      </w:r>
      <w:r w:rsidR="0041146D">
        <w:t xml:space="preserve">impose public burden </w:t>
      </w:r>
      <w:r w:rsidR="009B274E">
        <w:t>discussed as</w:t>
      </w:r>
      <w:r w:rsidR="0041146D">
        <w:t xml:space="preserve"> follows</w:t>
      </w:r>
      <w:r w:rsidR="009B274E">
        <w:t xml:space="preserve">.  The number of respondents of 766 reflects the number of contractors that received purchase orders for repairs in fiscal year </w:t>
      </w:r>
      <w:r w:rsidR="00000CC8">
        <w:t xml:space="preserve">(FY) </w:t>
      </w:r>
      <w:r w:rsidR="009B274E">
        <w:t xml:space="preserve">2018 where the orders did not contain the Government property clause. </w:t>
      </w:r>
      <w:r w:rsidR="00D90C2C">
        <w:t xml:space="preserve"> This universe of vendors represents the estimated number of vendors expected to be impacted</w:t>
      </w:r>
      <w:r w:rsidR="00BD49C4">
        <w:t xml:space="preserve"> when the Government property clause is included in these orders</w:t>
      </w:r>
      <w:r w:rsidR="00D90C2C">
        <w:t xml:space="preserve">. </w:t>
      </w:r>
      <w:r w:rsidR="009B274E">
        <w:t xml:space="preserve"> </w:t>
      </w:r>
      <w:r w:rsidR="00F9231C">
        <w:t xml:space="preserve">Per </w:t>
      </w:r>
      <w:r w:rsidR="00000CC8">
        <w:t>FY 2018 Federal Procurement Data System data there were</w:t>
      </w:r>
      <w:r w:rsidR="00D90C2C">
        <w:t xml:space="preserve"> 1,562 vendors that received 3,666 repair orders where the Government property clause was included</w:t>
      </w:r>
      <w:r w:rsidR="00000CC8">
        <w:t>,</w:t>
      </w:r>
      <w:r w:rsidR="00F9231C">
        <w:t xml:space="preserve"> indicating that each vendor received an average of 2.3 contracts per vendor</w:t>
      </w:r>
      <w:r w:rsidR="00D90C2C">
        <w:t>.</w:t>
      </w:r>
      <w:r w:rsidR="00F9231C">
        <w:t xml:space="preserve">  For the estimated 766 vendors estimated to be affected by this rule, a total of 1,76</w:t>
      </w:r>
      <w:r w:rsidR="00C6698F">
        <w:t>2</w:t>
      </w:r>
      <w:r w:rsidR="00F9231C">
        <w:t xml:space="preserve"> new purchase orders each year are expected to be impacted</w:t>
      </w:r>
      <w:r w:rsidR="00000CC8">
        <w:t xml:space="preserve"> (766 x 2.3 = 1,76</w:t>
      </w:r>
      <w:r w:rsidR="00FA0796">
        <w:t>2 (rounded)</w:t>
      </w:r>
      <w:r w:rsidR="00000CC8">
        <w:t>)</w:t>
      </w:r>
      <w:r w:rsidR="00F9231C">
        <w:t xml:space="preserve">.  Each of the </w:t>
      </w:r>
      <w:r w:rsidR="00000CC8">
        <w:t xml:space="preserve">estimated </w:t>
      </w:r>
      <w:r w:rsidR="00F9231C">
        <w:t>1,76</w:t>
      </w:r>
      <w:r w:rsidR="002B0038">
        <w:t>2</w:t>
      </w:r>
      <w:r w:rsidR="00F9231C">
        <w:t xml:space="preserve"> orders would require two submissions, or a total of 3,52</w:t>
      </w:r>
      <w:r w:rsidR="00FA0796">
        <w:t>4</w:t>
      </w:r>
      <w:r w:rsidR="00F9231C">
        <w:t xml:space="preserve"> responses.</w:t>
      </w:r>
    </w:p>
    <w:p w:rsidR="00A81EBD" w:rsidRPr="00137870" w:rsidRDefault="00A81EBD" w:rsidP="00137870"/>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0"/>
        <w:gridCol w:w="2250"/>
      </w:tblGrid>
      <w:tr w:rsidR="006E7819" w:rsidRPr="00137870" w:rsidTr="00746F33">
        <w:trPr>
          <w:trHeight w:val="386"/>
        </w:trPr>
        <w:tc>
          <w:tcPr>
            <w:tcW w:w="9270" w:type="dxa"/>
            <w:gridSpan w:val="2"/>
            <w:shd w:val="clear" w:color="auto" w:fill="auto"/>
            <w:vAlign w:val="center"/>
          </w:tcPr>
          <w:p w:rsidR="006E7819" w:rsidRPr="00137870" w:rsidRDefault="00533827" w:rsidP="0041146D">
            <w:pPr>
              <w:pStyle w:val="NormalWeb"/>
              <w:jc w:val="center"/>
            </w:pPr>
            <w:r w:rsidRPr="00137870">
              <w:t xml:space="preserve">Estimation of Respondent </w:t>
            </w:r>
            <w:r w:rsidR="006E7819" w:rsidRPr="00137870">
              <w:t>Burden Hours</w:t>
            </w:r>
            <w:r w:rsidR="00872116">
              <w:t>:  Reporting</w:t>
            </w:r>
            <w:r w:rsidR="0041146D">
              <w:t xml:space="preserve"> </w:t>
            </w:r>
          </w:p>
        </w:tc>
      </w:tr>
      <w:tr w:rsidR="00533827" w:rsidRPr="00137870" w:rsidTr="00746F33">
        <w:trPr>
          <w:trHeight w:val="386"/>
        </w:trPr>
        <w:tc>
          <w:tcPr>
            <w:tcW w:w="7020" w:type="dxa"/>
            <w:shd w:val="clear" w:color="auto" w:fill="auto"/>
            <w:vAlign w:val="center"/>
          </w:tcPr>
          <w:p w:rsidR="00533827" w:rsidRPr="00137870" w:rsidRDefault="00533827" w:rsidP="00137870">
            <w:pPr>
              <w:tabs>
                <w:tab w:val="left" w:pos="360"/>
              </w:tabs>
              <w:rPr>
                <w:color w:val="000000"/>
              </w:rPr>
            </w:pPr>
            <w:bookmarkStart w:id="11" w:name="cp458"/>
            <w:bookmarkEnd w:id="10"/>
            <w:r w:rsidRPr="00137870">
              <w:rPr>
                <w:color w:val="000000"/>
              </w:rPr>
              <w:t xml:space="preserve">Number of respondents </w:t>
            </w:r>
          </w:p>
        </w:tc>
        <w:tc>
          <w:tcPr>
            <w:tcW w:w="2250" w:type="dxa"/>
            <w:shd w:val="clear" w:color="auto" w:fill="auto"/>
            <w:vAlign w:val="center"/>
          </w:tcPr>
          <w:p w:rsidR="00533827" w:rsidRPr="00137870" w:rsidRDefault="005F4BE2" w:rsidP="00137870">
            <w:pPr>
              <w:pStyle w:val="NormalWeb"/>
              <w:spacing w:before="0" w:beforeAutospacing="0" w:after="0" w:afterAutospacing="0"/>
              <w:jc w:val="center"/>
            </w:pPr>
            <w:r>
              <w:t>766</w:t>
            </w:r>
          </w:p>
        </w:tc>
      </w:tr>
      <w:tr w:rsidR="00533827" w:rsidRPr="00137870" w:rsidTr="00746F33">
        <w:trPr>
          <w:trHeight w:val="422"/>
        </w:trPr>
        <w:tc>
          <w:tcPr>
            <w:tcW w:w="7020" w:type="dxa"/>
            <w:shd w:val="clear" w:color="auto" w:fill="auto"/>
            <w:vAlign w:val="center"/>
          </w:tcPr>
          <w:p w:rsidR="00533827" w:rsidRPr="00137870" w:rsidRDefault="00533827" w:rsidP="00137870">
            <w:pPr>
              <w:tabs>
                <w:tab w:val="left" w:pos="360"/>
              </w:tabs>
              <w:rPr>
                <w:color w:val="000000"/>
              </w:rPr>
            </w:pPr>
            <w:r w:rsidRPr="00137870">
              <w:rPr>
                <w:color w:val="000000"/>
              </w:rPr>
              <w:t xml:space="preserve">Responses per respondent </w:t>
            </w:r>
            <w:r w:rsidR="00157390">
              <w:rPr>
                <w:color w:val="000000"/>
              </w:rPr>
              <w:t xml:space="preserve"> (approximately)</w:t>
            </w:r>
          </w:p>
        </w:tc>
        <w:tc>
          <w:tcPr>
            <w:tcW w:w="2250" w:type="dxa"/>
            <w:shd w:val="clear" w:color="auto" w:fill="auto"/>
            <w:vAlign w:val="center"/>
          </w:tcPr>
          <w:p w:rsidR="00533827" w:rsidRPr="00137870" w:rsidRDefault="006C027D" w:rsidP="00157390">
            <w:pPr>
              <w:pStyle w:val="NormalWeb"/>
              <w:spacing w:before="0" w:beforeAutospacing="0" w:after="0" w:afterAutospacing="0"/>
              <w:contextualSpacing/>
              <w:jc w:val="center"/>
            </w:pPr>
            <w:r>
              <w:t>4.6</w:t>
            </w:r>
          </w:p>
        </w:tc>
      </w:tr>
      <w:tr w:rsidR="00533827" w:rsidRPr="00137870" w:rsidTr="00746F33">
        <w:trPr>
          <w:trHeight w:val="431"/>
        </w:trPr>
        <w:tc>
          <w:tcPr>
            <w:tcW w:w="7020" w:type="dxa"/>
            <w:shd w:val="clear" w:color="auto" w:fill="auto"/>
            <w:vAlign w:val="center"/>
          </w:tcPr>
          <w:p w:rsidR="00533827" w:rsidRPr="00137870" w:rsidRDefault="00533827" w:rsidP="00137870">
            <w:pPr>
              <w:tabs>
                <w:tab w:val="left" w:pos="360"/>
              </w:tabs>
              <w:rPr>
                <w:color w:val="000000"/>
              </w:rPr>
            </w:pPr>
            <w:r w:rsidRPr="00137870">
              <w:rPr>
                <w:color w:val="000000"/>
              </w:rPr>
              <w:t xml:space="preserve">Number of responses </w:t>
            </w:r>
          </w:p>
        </w:tc>
        <w:tc>
          <w:tcPr>
            <w:tcW w:w="2250" w:type="dxa"/>
            <w:shd w:val="clear" w:color="auto" w:fill="auto"/>
            <w:vAlign w:val="center"/>
          </w:tcPr>
          <w:p w:rsidR="00533827" w:rsidRPr="00137870" w:rsidRDefault="0007219B" w:rsidP="00137870">
            <w:pPr>
              <w:pStyle w:val="NormalWeb"/>
              <w:spacing w:before="0" w:beforeAutospacing="0" w:after="0" w:afterAutospacing="0"/>
              <w:contextualSpacing/>
              <w:jc w:val="center"/>
            </w:pPr>
            <w:r>
              <w:t>3,52</w:t>
            </w:r>
            <w:r w:rsidR="002B0038">
              <w:t>4</w:t>
            </w:r>
          </w:p>
        </w:tc>
      </w:tr>
      <w:tr w:rsidR="00533827" w:rsidRPr="00137870" w:rsidTr="00746F33">
        <w:trPr>
          <w:trHeight w:val="440"/>
        </w:trPr>
        <w:tc>
          <w:tcPr>
            <w:tcW w:w="7020" w:type="dxa"/>
            <w:shd w:val="clear" w:color="auto" w:fill="auto"/>
            <w:vAlign w:val="center"/>
          </w:tcPr>
          <w:p w:rsidR="00533827" w:rsidRPr="00137870" w:rsidRDefault="00533827" w:rsidP="00137870">
            <w:pPr>
              <w:tabs>
                <w:tab w:val="left" w:pos="360"/>
              </w:tabs>
              <w:rPr>
                <w:color w:val="000000"/>
              </w:rPr>
            </w:pPr>
            <w:r w:rsidRPr="00137870">
              <w:rPr>
                <w:color w:val="000000"/>
              </w:rPr>
              <w:t xml:space="preserve">Hours per response </w:t>
            </w:r>
          </w:p>
        </w:tc>
        <w:tc>
          <w:tcPr>
            <w:tcW w:w="2250" w:type="dxa"/>
            <w:shd w:val="clear" w:color="auto" w:fill="auto"/>
            <w:vAlign w:val="center"/>
          </w:tcPr>
          <w:p w:rsidR="00533827" w:rsidRPr="00137870" w:rsidRDefault="00437BCC" w:rsidP="00A54A10">
            <w:pPr>
              <w:pStyle w:val="NormalWeb"/>
              <w:spacing w:before="0" w:beforeAutospacing="0" w:after="0" w:afterAutospacing="0"/>
              <w:contextualSpacing/>
              <w:jc w:val="center"/>
            </w:pPr>
            <w:r w:rsidRPr="00137870">
              <w:t>.</w:t>
            </w:r>
            <w:r w:rsidR="00A54A10">
              <w:t>5</w:t>
            </w:r>
          </w:p>
        </w:tc>
      </w:tr>
      <w:tr w:rsidR="00533827" w:rsidRPr="00137870" w:rsidTr="00746F33">
        <w:trPr>
          <w:trHeight w:val="449"/>
        </w:trPr>
        <w:tc>
          <w:tcPr>
            <w:tcW w:w="7020" w:type="dxa"/>
            <w:shd w:val="clear" w:color="auto" w:fill="auto"/>
            <w:vAlign w:val="center"/>
          </w:tcPr>
          <w:p w:rsidR="00533827" w:rsidRPr="00137870" w:rsidRDefault="00533827" w:rsidP="00137870">
            <w:pPr>
              <w:tabs>
                <w:tab w:val="left" w:pos="360"/>
              </w:tabs>
              <w:rPr>
                <w:color w:val="000000"/>
              </w:rPr>
            </w:pPr>
            <w:r w:rsidRPr="00137870">
              <w:rPr>
                <w:color w:val="000000"/>
              </w:rPr>
              <w:t>Estimated hours</w:t>
            </w:r>
            <w:r w:rsidR="00746F33" w:rsidRPr="00137870">
              <w:rPr>
                <w:color w:val="000000"/>
              </w:rPr>
              <w:t xml:space="preserve"> (number of responses multiplied hours per response)</w:t>
            </w:r>
          </w:p>
        </w:tc>
        <w:tc>
          <w:tcPr>
            <w:tcW w:w="2250" w:type="dxa"/>
            <w:shd w:val="clear" w:color="auto" w:fill="auto"/>
            <w:vAlign w:val="center"/>
          </w:tcPr>
          <w:p w:rsidR="00533827" w:rsidRPr="00137870" w:rsidRDefault="0007219B" w:rsidP="00137870">
            <w:pPr>
              <w:pStyle w:val="NormalWeb"/>
              <w:spacing w:before="0" w:beforeAutospacing="0" w:after="0" w:afterAutospacing="0"/>
              <w:contextualSpacing/>
              <w:jc w:val="center"/>
            </w:pPr>
            <w:r>
              <w:t>1,76</w:t>
            </w:r>
            <w:r w:rsidR="002B0038">
              <w:t>2</w:t>
            </w:r>
          </w:p>
        </w:tc>
      </w:tr>
      <w:tr w:rsidR="00533827" w:rsidRPr="00137870" w:rsidTr="00746F33">
        <w:trPr>
          <w:trHeight w:val="431"/>
        </w:trPr>
        <w:tc>
          <w:tcPr>
            <w:tcW w:w="7020" w:type="dxa"/>
            <w:shd w:val="clear" w:color="auto" w:fill="auto"/>
            <w:vAlign w:val="center"/>
          </w:tcPr>
          <w:p w:rsidR="00533827" w:rsidRPr="00137870" w:rsidRDefault="00533827" w:rsidP="00137870">
            <w:pPr>
              <w:tabs>
                <w:tab w:val="left" w:pos="360"/>
              </w:tabs>
              <w:rPr>
                <w:color w:val="000000"/>
              </w:rPr>
            </w:pPr>
            <w:r w:rsidRPr="00137870">
              <w:rPr>
                <w:color w:val="000000"/>
              </w:rPr>
              <w:t xml:space="preserve">Cost per hour </w:t>
            </w:r>
            <w:r w:rsidR="00746F33" w:rsidRPr="00137870">
              <w:rPr>
                <w:color w:val="000000"/>
              </w:rPr>
              <w:t>(hourly wage)</w:t>
            </w:r>
          </w:p>
        </w:tc>
        <w:tc>
          <w:tcPr>
            <w:tcW w:w="2250" w:type="dxa"/>
            <w:shd w:val="clear" w:color="auto" w:fill="auto"/>
            <w:vAlign w:val="center"/>
          </w:tcPr>
          <w:p w:rsidR="00533827" w:rsidRPr="00137870" w:rsidRDefault="00437BCC" w:rsidP="00A37DE8">
            <w:pPr>
              <w:pStyle w:val="NormalWeb"/>
              <w:spacing w:before="0" w:beforeAutospacing="0" w:after="0" w:afterAutospacing="0"/>
              <w:contextualSpacing/>
              <w:jc w:val="center"/>
            </w:pPr>
            <w:r w:rsidRPr="00137870">
              <w:t>$</w:t>
            </w:r>
            <w:r w:rsidR="006B74B2">
              <w:t>54</w:t>
            </w:r>
          </w:p>
        </w:tc>
      </w:tr>
      <w:tr w:rsidR="00533827" w:rsidRPr="00137870" w:rsidTr="00746F33">
        <w:trPr>
          <w:trHeight w:val="440"/>
        </w:trPr>
        <w:tc>
          <w:tcPr>
            <w:tcW w:w="7020" w:type="dxa"/>
            <w:shd w:val="clear" w:color="auto" w:fill="auto"/>
            <w:vAlign w:val="center"/>
          </w:tcPr>
          <w:p w:rsidR="00533827" w:rsidRPr="00137870" w:rsidRDefault="00533827" w:rsidP="00137870">
            <w:pPr>
              <w:tabs>
                <w:tab w:val="left" w:pos="360"/>
              </w:tabs>
              <w:rPr>
                <w:color w:val="000000"/>
              </w:rPr>
            </w:pPr>
            <w:r w:rsidRPr="00137870">
              <w:rPr>
                <w:color w:val="000000"/>
              </w:rPr>
              <w:t>Annual public burden</w:t>
            </w:r>
            <w:r w:rsidR="00746F33" w:rsidRPr="00137870">
              <w:rPr>
                <w:color w:val="000000"/>
              </w:rPr>
              <w:t xml:space="preserve"> (estimated hours multiplied by cost per hour)</w:t>
            </w:r>
          </w:p>
        </w:tc>
        <w:tc>
          <w:tcPr>
            <w:tcW w:w="2250" w:type="dxa"/>
            <w:shd w:val="clear" w:color="auto" w:fill="auto"/>
            <w:vAlign w:val="center"/>
          </w:tcPr>
          <w:p w:rsidR="00533827" w:rsidRPr="00137870" w:rsidRDefault="00A54A10" w:rsidP="009F0611">
            <w:pPr>
              <w:pStyle w:val="NormalWeb"/>
              <w:spacing w:before="0" w:beforeAutospacing="0" w:after="0" w:afterAutospacing="0"/>
              <w:contextualSpacing/>
              <w:jc w:val="center"/>
            </w:pPr>
            <w:r>
              <w:t>$</w:t>
            </w:r>
            <w:r w:rsidR="0007219B">
              <w:t>95,</w:t>
            </w:r>
            <w:r w:rsidR="002B0038">
              <w:t>148</w:t>
            </w:r>
          </w:p>
        </w:tc>
      </w:tr>
    </w:tbl>
    <w:p w:rsidR="001D7B31" w:rsidRDefault="001D7B31" w:rsidP="00137870">
      <w:pPr>
        <w:pStyle w:val="NormalWeb"/>
        <w:tabs>
          <w:tab w:val="left" w:pos="360"/>
          <w:tab w:val="left" w:pos="720"/>
          <w:tab w:val="left" w:pos="1080"/>
          <w:tab w:val="left" w:pos="1440"/>
        </w:tabs>
        <w:spacing w:before="0" w:beforeAutospacing="0" w:after="0" w:afterAutospacing="0"/>
      </w:pPr>
      <w:bookmarkStart w:id="12" w:name="cp462"/>
      <w:bookmarkEnd w:id="11"/>
    </w:p>
    <w:p w:rsidR="009F0611" w:rsidRDefault="009F0611" w:rsidP="00137870">
      <w:pPr>
        <w:pStyle w:val="NormalWeb"/>
        <w:tabs>
          <w:tab w:val="left" w:pos="360"/>
          <w:tab w:val="left" w:pos="720"/>
          <w:tab w:val="left" w:pos="1080"/>
          <w:tab w:val="left" w:pos="1440"/>
        </w:tabs>
        <w:spacing w:before="0" w:beforeAutospacing="0" w:after="0" w:afterAutospacing="0"/>
      </w:pPr>
      <w:r>
        <w:tab/>
      </w:r>
      <w:r w:rsidR="00423E6E">
        <w:tab/>
      </w:r>
      <w:r>
        <w:t xml:space="preserve">The respondent burden hours </w:t>
      </w:r>
      <w:r w:rsidR="00872116">
        <w:t xml:space="preserve">shown </w:t>
      </w:r>
      <w:r>
        <w:t xml:space="preserve">above represent the time required to comply with FAR 52.245-1(f)(1)(ii) to prepare records of receipt and </w:t>
      </w:r>
      <w:r w:rsidR="00872116">
        <w:t xml:space="preserve">to </w:t>
      </w:r>
      <w:r>
        <w:t xml:space="preserve">input </w:t>
      </w:r>
      <w:r w:rsidR="00872116">
        <w:t xml:space="preserve">receipt </w:t>
      </w:r>
      <w:r>
        <w:t xml:space="preserve">records into the </w:t>
      </w:r>
      <w:r w:rsidR="00E6687C">
        <w:t xml:space="preserve">WAWF </w:t>
      </w:r>
      <w:r>
        <w:t>system</w:t>
      </w:r>
      <w:r w:rsidR="0061544D">
        <w:t xml:space="preserve"> (see</w:t>
      </w:r>
      <w:r w:rsidR="00C730CE">
        <w:t xml:space="preserve"> DFARS Appendix F</w:t>
      </w:r>
      <w:r w:rsidR="0061544D">
        <w:t>) in accordance with DFARS clause 252.211-7007</w:t>
      </w:r>
      <w:r>
        <w:t>.</w:t>
      </w:r>
      <w:r w:rsidR="00DA73A3">
        <w:t xml:space="preserve">  </w:t>
      </w:r>
      <w:r w:rsidR="00DA73A3" w:rsidRPr="00DA73A3">
        <w:t>The Contractor</w:t>
      </w:r>
      <w:r w:rsidR="0041146D">
        <w:t xml:space="preserve">, upon receipt of </w:t>
      </w:r>
      <w:r w:rsidR="00DA73A3" w:rsidRPr="00DA73A3">
        <w:t>Government property</w:t>
      </w:r>
      <w:r w:rsidR="0041146D">
        <w:t>, must</w:t>
      </w:r>
      <w:r w:rsidR="00DA73A3" w:rsidRPr="00DA73A3">
        <w:t xml:space="preserve"> document receipt</w:t>
      </w:r>
      <w:r w:rsidR="0041146D">
        <w:t xml:space="preserve"> and</w:t>
      </w:r>
      <w:r w:rsidR="00DA73A3" w:rsidRPr="00DA73A3">
        <w:t xml:space="preserve"> record the information necessary to meet the record requirements th</w:t>
      </w:r>
      <w:r w:rsidR="0041146D">
        <w:t>e</w:t>
      </w:r>
      <w:r w:rsidR="00DA73A3" w:rsidRPr="00DA73A3">
        <w:t xml:space="preserve"> clause, identify </w:t>
      </w:r>
      <w:r w:rsidR="0041146D">
        <w:t xml:space="preserve">the property </w:t>
      </w:r>
      <w:r w:rsidR="00DA73A3" w:rsidRPr="00DA73A3">
        <w:t>as Government owned in a manner appropriate to the type of property (</w:t>
      </w:r>
      <w:r w:rsidR="00DA73A3" w:rsidRPr="0041146D">
        <w:rPr>
          <w:iCs/>
        </w:rPr>
        <w:t>e.g</w:t>
      </w:r>
      <w:r w:rsidR="00DA73A3" w:rsidRPr="00DA73A3">
        <w:rPr>
          <w:i/>
          <w:iCs/>
        </w:rPr>
        <w:t>.</w:t>
      </w:r>
      <w:r w:rsidR="00DA73A3" w:rsidRPr="00DA73A3">
        <w:t>, stamp, tag, mark, or other identification), and manage any discrepancies incident to shipment.</w:t>
      </w:r>
    </w:p>
    <w:p w:rsidR="00A81EBD" w:rsidRDefault="00A81EBD" w:rsidP="00137870">
      <w:pPr>
        <w:pStyle w:val="NormalWeb"/>
        <w:tabs>
          <w:tab w:val="left" w:pos="360"/>
          <w:tab w:val="left" w:pos="720"/>
          <w:tab w:val="left" w:pos="1080"/>
          <w:tab w:val="left" w:pos="1440"/>
        </w:tabs>
        <w:spacing w:before="0" w:beforeAutospacing="0" w:after="0" w:afterAutospacing="0"/>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0"/>
        <w:gridCol w:w="2250"/>
      </w:tblGrid>
      <w:tr w:rsidR="009F0611" w:rsidRPr="00137870" w:rsidTr="00CA0B75">
        <w:trPr>
          <w:trHeight w:val="386"/>
        </w:trPr>
        <w:tc>
          <w:tcPr>
            <w:tcW w:w="9270" w:type="dxa"/>
            <w:gridSpan w:val="2"/>
            <w:shd w:val="clear" w:color="auto" w:fill="auto"/>
            <w:vAlign w:val="center"/>
          </w:tcPr>
          <w:p w:rsidR="009F0611" w:rsidRPr="00137870" w:rsidRDefault="009F0611" w:rsidP="009F0611">
            <w:pPr>
              <w:pStyle w:val="NormalWeb"/>
              <w:jc w:val="center"/>
            </w:pPr>
            <w:r w:rsidRPr="00137870">
              <w:t>Estimation of Burden Hours:</w:t>
            </w:r>
            <w:r>
              <w:t xml:space="preserve">  Recordkeeping</w:t>
            </w:r>
          </w:p>
        </w:tc>
      </w:tr>
      <w:tr w:rsidR="009F0611" w:rsidRPr="00137870" w:rsidTr="00CA0B75">
        <w:trPr>
          <w:trHeight w:val="386"/>
        </w:trPr>
        <w:tc>
          <w:tcPr>
            <w:tcW w:w="7020" w:type="dxa"/>
            <w:shd w:val="clear" w:color="auto" w:fill="auto"/>
            <w:vAlign w:val="center"/>
          </w:tcPr>
          <w:p w:rsidR="009F0611" w:rsidRPr="00137870" w:rsidRDefault="009F0611" w:rsidP="00CA0B75">
            <w:pPr>
              <w:tabs>
                <w:tab w:val="left" w:pos="360"/>
              </w:tabs>
              <w:rPr>
                <w:color w:val="000000"/>
              </w:rPr>
            </w:pPr>
            <w:r w:rsidRPr="00137870">
              <w:rPr>
                <w:color w:val="000000"/>
              </w:rPr>
              <w:t xml:space="preserve">Number of respondents </w:t>
            </w:r>
            <w:r>
              <w:rPr>
                <w:color w:val="000000"/>
              </w:rPr>
              <w:t>(Record Keepers)</w:t>
            </w:r>
          </w:p>
        </w:tc>
        <w:tc>
          <w:tcPr>
            <w:tcW w:w="2250" w:type="dxa"/>
            <w:shd w:val="clear" w:color="auto" w:fill="auto"/>
            <w:vAlign w:val="center"/>
          </w:tcPr>
          <w:p w:rsidR="009F0611" w:rsidRPr="00137870" w:rsidRDefault="005F4BE2" w:rsidP="00CA0B75">
            <w:pPr>
              <w:pStyle w:val="NormalWeb"/>
              <w:spacing w:before="0" w:beforeAutospacing="0" w:after="0" w:afterAutospacing="0"/>
              <w:jc w:val="center"/>
            </w:pPr>
            <w:r>
              <w:t>766</w:t>
            </w:r>
          </w:p>
        </w:tc>
      </w:tr>
      <w:tr w:rsidR="009F0611" w:rsidRPr="00137870" w:rsidTr="00CA0B75">
        <w:trPr>
          <w:trHeight w:val="422"/>
        </w:trPr>
        <w:tc>
          <w:tcPr>
            <w:tcW w:w="7020" w:type="dxa"/>
            <w:shd w:val="clear" w:color="auto" w:fill="auto"/>
            <w:vAlign w:val="center"/>
          </w:tcPr>
          <w:p w:rsidR="009F0611" w:rsidRPr="00137870" w:rsidRDefault="009F0611" w:rsidP="00CA0B75">
            <w:pPr>
              <w:tabs>
                <w:tab w:val="left" w:pos="360"/>
              </w:tabs>
              <w:rPr>
                <w:color w:val="000000"/>
              </w:rPr>
            </w:pPr>
            <w:r w:rsidRPr="00137870">
              <w:rPr>
                <w:color w:val="000000"/>
              </w:rPr>
              <w:t xml:space="preserve">Responses per respondent </w:t>
            </w:r>
            <w:r>
              <w:rPr>
                <w:color w:val="000000"/>
              </w:rPr>
              <w:t xml:space="preserve"> (approximately)</w:t>
            </w:r>
          </w:p>
        </w:tc>
        <w:tc>
          <w:tcPr>
            <w:tcW w:w="2250" w:type="dxa"/>
            <w:shd w:val="clear" w:color="auto" w:fill="auto"/>
            <w:vAlign w:val="center"/>
          </w:tcPr>
          <w:p w:rsidR="009F0611" w:rsidRPr="00137870" w:rsidRDefault="009F0611" w:rsidP="00CA0B75">
            <w:pPr>
              <w:pStyle w:val="NormalWeb"/>
              <w:spacing w:before="0" w:beforeAutospacing="0" w:after="0" w:afterAutospacing="0"/>
              <w:contextualSpacing/>
              <w:jc w:val="center"/>
            </w:pPr>
            <w:r>
              <w:t>1</w:t>
            </w:r>
          </w:p>
        </w:tc>
      </w:tr>
      <w:tr w:rsidR="009F0611" w:rsidRPr="00137870" w:rsidTr="00CA0B75">
        <w:trPr>
          <w:trHeight w:val="431"/>
        </w:trPr>
        <w:tc>
          <w:tcPr>
            <w:tcW w:w="7020" w:type="dxa"/>
            <w:shd w:val="clear" w:color="auto" w:fill="auto"/>
            <w:vAlign w:val="center"/>
          </w:tcPr>
          <w:p w:rsidR="009F0611" w:rsidRPr="00137870" w:rsidRDefault="009F0611" w:rsidP="00CA0B75">
            <w:pPr>
              <w:tabs>
                <w:tab w:val="left" w:pos="360"/>
              </w:tabs>
              <w:rPr>
                <w:color w:val="000000"/>
              </w:rPr>
            </w:pPr>
            <w:r w:rsidRPr="00137870">
              <w:rPr>
                <w:color w:val="000000"/>
              </w:rPr>
              <w:t xml:space="preserve">Number of responses </w:t>
            </w:r>
          </w:p>
        </w:tc>
        <w:tc>
          <w:tcPr>
            <w:tcW w:w="2250" w:type="dxa"/>
            <w:shd w:val="clear" w:color="auto" w:fill="auto"/>
            <w:vAlign w:val="center"/>
          </w:tcPr>
          <w:p w:rsidR="009F0611" w:rsidRPr="00137870" w:rsidRDefault="005F4BE2" w:rsidP="00CA0B75">
            <w:pPr>
              <w:pStyle w:val="NormalWeb"/>
              <w:spacing w:before="0" w:beforeAutospacing="0" w:after="0" w:afterAutospacing="0"/>
              <w:contextualSpacing/>
              <w:jc w:val="center"/>
            </w:pPr>
            <w:r>
              <w:t>766</w:t>
            </w:r>
          </w:p>
        </w:tc>
      </w:tr>
      <w:tr w:rsidR="009F0611" w:rsidRPr="00137870" w:rsidTr="00CA0B75">
        <w:trPr>
          <w:trHeight w:val="440"/>
        </w:trPr>
        <w:tc>
          <w:tcPr>
            <w:tcW w:w="7020" w:type="dxa"/>
            <w:shd w:val="clear" w:color="auto" w:fill="auto"/>
            <w:vAlign w:val="center"/>
          </w:tcPr>
          <w:p w:rsidR="009F0611" w:rsidRPr="00137870" w:rsidRDefault="009F0611" w:rsidP="00CA0B75">
            <w:pPr>
              <w:tabs>
                <w:tab w:val="left" w:pos="360"/>
              </w:tabs>
              <w:rPr>
                <w:color w:val="000000"/>
              </w:rPr>
            </w:pPr>
            <w:r w:rsidRPr="00137870">
              <w:rPr>
                <w:color w:val="000000"/>
              </w:rPr>
              <w:t xml:space="preserve">Hours per response </w:t>
            </w:r>
          </w:p>
        </w:tc>
        <w:tc>
          <w:tcPr>
            <w:tcW w:w="2250" w:type="dxa"/>
            <w:shd w:val="clear" w:color="auto" w:fill="auto"/>
            <w:vAlign w:val="center"/>
          </w:tcPr>
          <w:p w:rsidR="009F0611" w:rsidRPr="00137870" w:rsidRDefault="009F0611" w:rsidP="00CA0B75">
            <w:pPr>
              <w:pStyle w:val="NormalWeb"/>
              <w:spacing w:before="0" w:beforeAutospacing="0" w:after="0" w:afterAutospacing="0"/>
              <w:contextualSpacing/>
              <w:jc w:val="center"/>
            </w:pPr>
            <w:r w:rsidRPr="00137870">
              <w:t>.</w:t>
            </w:r>
            <w:r>
              <w:t>5</w:t>
            </w:r>
          </w:p>
        </w:tc>
      </w:tr>
      <w:tr w:rsidR="009F0611" w:rsidRPr="00137870" w:rsidTr="00CA0B75">
        <w:trPr>
          <w:trHeight w:val="449"/>
        </w:trPr>
        <w:tc>
          <w:tcPr>
            <w:tcW w:w="7020" w:type="dxa"/>
            <w:shd w:val="clear" w:color="auto" w:fill="auto"/>
            <w:vAlign w:val="center"/>
          </w:tcPr>
          <w:p w:rsidR="009F0611" w:rsidRPr="00137870" w:rsidRDefault="009F0611" w:rsidP="00CA0B75">
            <w:pPr>
              <w:tabs>
                <w:tab w:val="left" w:pos="360"/>
              </w:tabs>
              <w:rPr>
                <w:color w:val="000000"/>
              </w:rPr>
            </w:pPr>
            <w:r w:rsidRPr="00137870">
              <w:rPr>
                <w:color w:val="000000"/>
              </w:rPr>
              <w:t>Estimated hours (number of responses multiplied hours per response)</w:t>
            </w:r>
          </w:p>
        </w:tc>
        <w:tc>
          <w:tcPr>
            <w:tcW w:w="2250" w:type="dxa"/>
            <w:shd w:val="clear" w:color="auto" w:fill="auto"/>
            <w:vAlign w:val="center"/>
          </w:tcPr>
          <w:p w:rsidR="009F0611" w:rsidRPr="00137870" w:rsidRDefault="005F4BE2" w:rsidP="00CA0B75">
            <w:pPr>
              <w:pStyle w:val="NormalWeb"/>
              <w:spacing w:before="0" w:beforeAutospacing="0" w:after="0" w:afterAutospacing="0"/>
              <w:contextualSpacing/>
              <w:jc w:val="center"/>
            </w:pPr>
            <w:r>
              <w:t>383</w:t>
            </w:r>
          </w:p>
        </w:tc>
      </w:tr>
      <w:tr w:rsidR="009F0611" w:rsidRPr="00137870" w:rsidTr="00CA0B75">
        <w:trPr>
          <w:trHeight w:val="431"/>
        </w:trPr>
        <w:tc>
          <w:tcPr>
            <w:tcW w:w="7020" w:type="dxa"/>
            <w:shd w:val="clear" w:color="auto" w:fill="auto"/>
            <w:vAlign w:val="center"/>
          </w:tcPr>
          <w:p w:rsidR="009F0611" w:rsidRPr="00137870" w:rsidRDefault="009F0611" w:rsidP="00CA0B75">
            <w:pPr>
              <w:tabs>
                <w:tab w:val="left" w:pos="360"/>
              </w:tabs>
              <w:rPr>
                <w:color w:val="000000"/>
              </w:rPr>
            </w:pPr>
            <w:r w:rsidRPr="00137870">
              <w:rPr>
                <w:color w:val="000000"/>
              </w:rPr>
              <w:t>Cost per hour (hourly wage)</w:t>
            </w:r>
          </w:p>
        </w:tc>
        <w:tc>
          <w:tcPr>
            <w:tcW w:w="2250" w:type="dxa"/>
            <w:shd w:val="clear" w:color="auto" w:fill="auto"/>
            <w:vAlign w:val="center"/>
          </w:tcPr>
          <w:p w:rsidR="009F0611" w:rsidRPr="00137870" w:rsidRDefault="009F0611" w:rsidP="00CA0B75">
            <w:pPr>
              <w:pStyle w:val="NormalWeb"/>
              <w:spacing w:before="0" w:beforeAutospacing="0" w:after="0" w:afterAutospacing="0"/>
              <w:contextualSpacing/>
              <w:jc w:val="center"/>
            </w:pPr>
            <w:r w:rsidRPr="00137870">
              <w:t>$</w:t>
            </w:r>
            <w:r w:rsidR="006B74B2">
              <w:t>54</w:t>
            </w:r>
          </w:p>
        </w:tc>
      </w:tr>
      <w:tr w:rsidR="009F0611" w:rsidRPr="00137870" w:rsidTr="00CA0B75">
        <w:trPr>
          <w:trHeight w:val="440"/>
        </w:trPr>
        <w:tc>
          <w:tcPr>
            <w:tcW w:w="7020" w:type="dxa"/>
            <w:shd w:val="clear" w:color="auto" w:fill="auto"/>
            <w:vAlign w:val="center"/>
          </w:tcPr>
          <w:p w:rsidR="009F0611" w:rsidRPr="00137870" w:rsidRDefault="009F0611" w:rsidP="00CA0B75">
            <w:pPr>
              <w:tabs>
                <w:tab w:val="left" w:pos="360"/>
              </w:tabs>
              <w:rPr>
                <w:color w:val="000000"/>
              </w:rPr>
            </w:pPr>
            <w:r w:rsidRPr="00137870">
              <w:rPr>
                <w:color w:val="000000"/>
              </w:rPr>
              <w:t>Annual public burden (estimated hours multiplied by cost per hour)</w:t>
            </w:r>
          </w:p>
        </w:tc>
        <w:tc>
          <w:tcPr>
            <w:tcW w:w="2250" w:type="dxa"/>
            <w:shd w:val="clear" w:color="auto" w:fill="auto"/>
            <w:vAlign w:val="center"/>
          </w:tcPr>
          <w:p w:rsidR="009F0611" w:rsidRPr="00137870" w:rsidRDefault="009F0611" w:rsidP="009F0611">
            <w:pPr>
              <w:pStyle w:val="NormalWeb"/>
              <w:spacing w:before="0" w:beforeAutospacing="0" w:after="0" w:afterAutospacing="0"/>
              <w:contextualSpacing/>
              <w:jc w:val="center"/>
            </w:pPr>
            <w:r>
              <w:t>$</w:t>
            </w:r>
            <w:r w:rsidR="005F4BE2">
              <w:t>20,682</w:t>
            </w:r>
          </w:p>
        </w:tc>
      </w:tr>
    </w:tbl>
    <w:p w:rsidR="009F0611" w:rsidRDefault="009F0611" w:rsidP="00137870">
      <w:pPr>
        <w:pStyle w:val="NormalWeb"/>
        <w:tabs>
          <w:tab w:val="left" w:pos="360"/>
          <w:tab w:val="left" w:pos="720"/>
          <w:tab w:val="left" w:pos="1080"/>
          <w:tab w:val="left" w:pos="1440"/>
        </w:tabs>
        <w:spacing w:before="0" w:beforeAutospacing="0" w:after="0" w:afterAutospacing="0"/>
      </w:pPr>
    </w:p>
    <w:p w:rsidR="00DA73A3" w:rsidRDefault="009F0611" w:rsidP="00DA73A3">
      <w:pPr>
        <w:pStyle w:val="NormalWeb"/>
        <w:tabs>
          <w:tab w:val="left" w:pos="360"/>
          <w:tab w:val="left" w:pos="720"/>
          <w:tab w:val="left" w:pos="1080"/>
          <w:tab w:val="left" w:pos="1440"/>
        </w:tabs>
        <w:spacing w:before="0" w:beforeAutospacing="0" w:after="0" w:afterAutospacing="0"/>
      </w:pPr>
      <w:r>
        <w:tab/>
      </w:r>
      <w:r w:rsidR="00423E6E">
        <w:tab/>
      </w:r>
      <w:r w:rsidR="00DA73A3">
        <w:t xml:space="preserve">The </w:t>
      </w:r>
      <w:r w:rsidR="00A81EBD">
        <w:t xml:space="preserve">recordkeeping </w:t>
      </w:r>
      <w:r w:rsidR="00DA73A3">
        <w:t xml:space="preserve">burden hours </w:t>
      </w:r>
      <w:r w:rsidR="00A81EBD">
        <w:t>shown above</w:t>
      </w:r>
      <w:r w:rsidR="00DA73A3">
        <w:t xml:space="preserve"> represent the time required to comply with FAR 52.245-1(f)(1)(iii) to</w:t>
      </w:r>
      <w:r w:rsidR="00DA73A3" w:rsidRPr="00DA73A3">
        <w:t xml:space="preserve"> create and maintain records of all Government property accountable to the contract, including Government-furnished and Contractor-acquired property.</w:t>
      </w:r>
      <w:r w:rsidR="00DA73A3">
        <w:t xml:space="preserve">  </w:t>
      </w:r>
      <w:r w:rsidR="00A81EBD">
        <w:t>Additionally, p</w:t>
      </w:r>
      <w:r w:rsidR="00DA73A3">
        <w:t>ursuant to 52.245-1(f)(2)</w:t>
      </w:r>
      <w:r w:rsidR="00A81EBD">
        <w:t>,</w:t>
      </w:r>
      <w:r w:rsidR="00DA73A3">
        <w:t xml:space="preserve"> the</w:t>
      </w:r>
      <w:r w:rsidR="00DA73A3" w:rsidRPr="00DA73A3">
        <w:t xml:space="preserve"> Contractor </w:t>
      </w:r>
      <w:r w:rsidR="00DA73A3">
        <w:t>must</w:t>
      </w:r>
      <w:r w:rsidR="00DA73A3" w:rsidRPr="00DA73A3">
        <w:t xml:space="preserve"> establish and maintain Government accounting source data, as may be required by th</w:t>
      </w:r>
      <w:r w:rsidR="00DA73A3">
        <w:t>e</w:t>
      </w:r>
      <w:r w:rsidR="00DA73A3" w:rsidRPr="00DA73A3">
        <w:t xml:space="preserve"> contract, particularly in the areas of recognition of acquisitions, loss of Government property, and disposition of material and equipment.</w:t>
      </w:r>
    </w:p>
    <w:p w:rsidR="00A81EBD" w:rsidRDefault="00A81EBD" w:rsidP="00137870">
      <w:pPr>
        <w:pStyle w:val="NormalWeb"/>
        <w:tabs>
          <w:tab w:val="left" w:pos="360"/>
          <w:tab w:val="left" w:pos="720"/>
          <w:tab w:val="left" w:pos="1080"/>
          <w:tab w:val="left" w:pos="1440"/>
        </w:tabs>
        <w:spacing w:before="0" w:beforeAutospacing="0" w:after="0" w:afterAutospacing="0"/>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0"/>
        <w:gridCol w:w="2250"/>
      </w:tblGrid>
      <w:tr w:rsidR="009F0611" w:rsidRPr="00137870" w:rsidTr="00CA0B75">
        <w:trPr>
          <w:trHeight w:val="386"/>
        </w:trPr>
        <w:tc>
          <w:tcPr>
            <w:tcW w:w="9270" w:type="dxa"/>
            <w:gridSpan w:val="2"/>
            <w:shd w:val="clear" w:color="auto" w:fill="auto"/>
            <w:vAlign w:val="center"/>
          </w:tcPr>
          <w:p w:rsidR="009F0611" w:rsidRPr="00137870" w:rsidRDefault="009F0611" w:rsidP="009F0611">
            <w:pPr>
              <w:pStyle w:val="NormalWeb"/>
              <w:jc w:val="center"/>
            </w:pPr>
            <w:r w:rsidRPr="00137870">
              <w:t xml:space="preserve">Estimation of Burden Hours: </w:t>
            </w:r>
            <w:r>
              <w:t xml:space="preserve"> Total</w:t>
            </w:r>
            <w:r w:rsidR="00872116">
              <w:t xml:space="preserve"> Reporting + Recordkeeping</w:t>
            </w:r>
          </w:p>
        </w:tc>
      </w:tr>
      <w:tr w:rsidR="009F0611" w:rsidRPr="00137870" w:rsidTr="00CA0B75">
        <w:trPr>
          <w:trHeight w:val="386"/>
        </w:trPr>
        <w:tc>
          <w:tcPr>
            <w:tcW w:w="7020" w:type="dxa"/>
            <w:shd w:val="clear" w:color="auto" w:fill="auto"/>
            <w:vAlign w:val="center"/>
          </w:tcPr>
          <w:p w:rsidR="009F0611" w:rsidRPr="00137870" w:rsidRDefault="009F0611" w:rsidP="00CA0B75">
            <w:pPr>
              <w:tabs>
                <w:tab w:val="left" w:pos="360"/>
              </w:tabs>
              <w:rPr>
                <w:color w:val="000000"/>
              </w:rPr>
            </w:pPr>
            <w:r w:rsidRPr="00137870">
              <w:rPr>
                <w:color w:val="000000"/>
              </w:rPr>
              <w:t xml:space="preserve">Number of respondents </w:t>
            </w:r>
          </w:p>
        </w:tc>
        <w:tc>
          <w:tcPr>
            <w:tcW w:w="2250" w:type="dxa"/>
            <w:shd w:val="clear" w:color="auto" w:fill="auto"/>
            <w:vAlign w:val="center"/>
          </w:tcPr>
          <w:p w:rsidR="009F0611" w:rsidRPr="00137870" w:rsidRDefault="005F4BE2" w:rsidP="00CA0B75">
            <w:pPr>
              <w:pStyle w:val="NormalWeb"/>
              <w:spacing w:before="0" w:beforeAutospacing="0" w:after="0" w:afterAutospacing="0"/>
              <w:jc w:val="center"/>
            </w:pPr>
            <w:r>
              <w:t>766</w:t>
            </w:r>
          </w:p>
        </w:tc>
      </w:tr>
      <w:tr w:rsidR="009F0611" w:rsidRPr="00137870" w:rsidTr="00CA0B75">
        <w:trPr>
          <w:trHeight w:val="422"/>
        </w:trPr>
        <w:tc>
          <w:tcPr>
            <w:tcW w:w="7020" w:type="dxa"/>
            <w:shd w:val="clear" w:color="auto" w:fill="auto"/>
            <w:vAlign w:val="center"/>
          </w:tcPr>
          <w:p w:rsidR="009F0611" w:rsidRPr="00137870" w:rsidRDefault="009F0611" w:rsidP="00CA0B75">
            <w:pPr>
              <w:tabs>
                <w:tab w:val="left" w:pos="360"/>
              </w:tabs>
              <w:rPr>
                <w:color w:val="000000"/>
              </w:rPr>
            </w:pPr>
            <w:r w:rsidRPr="00137870">
              <w:rPr>
                <w:color w:val="000000"/>
              </w:rPr>
              <w:t xml:space="preserve">Responses per respondent </w:t>
            </w:r>
            <w:r>
              <w:rPr>
                <w:color w:val="000000"/>
              </w:rPr>
              <w:t xml:space="preserve"> (approximately)</w:t>
            </w:r>
          </w:p>
        </w:tc>
        <w:tc>
          <w:tcPr>
            <w:tcW w:w="2250" w:type="dxa"/>
            <w:shd w:val="clear" w:color="auto" w:fill="auto"/>
            <w:vAlign w:val="center"/>
          </w:tcPr>
          <w:p w:rsidR="009F0611" w:rsidRPr="00137870" w:rsidRDefault="00FA0796" w:rsidP="00CA0B75">
            <w:pPr>
              <w:pStyle w:val="NormalWeb"/>
              <w:spacing w:before="0" w:beforeAutospacing="0" w:after="0" w:afterAutospacing="0"/>
              <w:contextualSpacing/>
              <w:jc w:val="center"/>
            </w:pPr>
            <w:r>
              <w:t>5.6</w:t>
            </w:r>
          </w:p>
        </w:tc>
      </w:tr>
      <w:tr w:rsidR="009F0611" w:rsidRPr="00137870" w:rsidTr="00CA0B75">
        <w:trPr>
          <w:trHeight w:val="431"/>
        </w:trPr>
        <w:tc>
          <w:tcPr>
            <w:tcW w:w="7020" w:type="dxa"/>
            <w:shd w:val="clear" w:color="auto" w:fill="auto"/>
            <w:vAlign w:val="center"/>
          </w:tcPr>
          <w:p w:rsidR="009F0611" w:rsidRPr="00137870" w:rsidRDefault="009F0611" w:rsidP="00CA0B75">
            <w:pPr>
              <w:tabs>
                <w:tab w:val="left" w:pos="360"/>
              </w:tabs>
              <w:rPr>
                <w:color w:val="000000"/>
              </w:rPr>
            </w:pPr>
            <w:r w:rsidRPr="00137870">
              <w:rPr>
                <w:color w:val="000000"/>
              </w:rPr>
              <w:t xml:space="preserve">Number of responses </w:t>
            </w:r>
          </w:p>
        </w:tc>
        <w:tc>
          <w:tcPr>
            <w:tcW w:w="2250" w:type="dxa"/>
            <w:shd w:val="clear" w:color="auto" w:fill="auto"/>
            <w:vAlign w:val="center"/>
          </w:tcPr>
          <w:p w:rsidR="009F0611" w:rsidRPr="00137870" w:rsidRDefault="00FA0796" w:rsidP="00CA0B75">
            <w:pPr>
              <w:pStyle w:val="NormalWeb"/>
              <w:spacing w:before="0" w:beforeAutospacing="0" w:after="0" w:afterAutospacing="0"/>
              <w:contextualSpacing/>
              <w:jc w:val="center"/>
            </w:pPr>
            <w:r>
              <w:t>4,290</w:t>
            </w:r>
          </w:p>
        </w:tc>
      </w:tr>
      <w:tr w:rsidR="009F0611" w:rsidRPr="00137870" w:rsidTr="00CA0B75">
        <w:trPr>
          <w:trHeight w:val="440"/>
        </w:trPr>
        <w:tc>
          <w:tcPr>
            <w:tcW w:w="7020" w:type="dxa"/>
            <w:shd w:val="clear" w:color="auto" w:fill="auto"/>
            <w:vAlign w:val="center"/>
          </w:tcPr>
          <w:p w:rsidR="009F0611" w:rsidRPr="00137870" w:rsidRDefault="009F0611" w:rsidP="00CA0B75">
            <w:pPr>
              <w:tabs>
                <w:tab w:val="left" w:pos="360"/>
              </w:tabs>
              <w:rPr>
                <w:color w:val="000000"/>
              </w:rPr>
            </w:pPr>
            <w:r w:rsidRPr="00137870">
              <w:rPr>
                <w:color w:val="000000"/>
              </w:rPr>
              <w:t xml:space="preserve">Hours per response </w:t>
            </w:r>
          </w:p>
        </w:tc>
        <w:tc>
          <w:tcPr>
            <w:tcW w:w="2250" w:type="dxa"/>
            <w:shd w:val="clear" w:color="auto" w:fill="auto"/>
            <w:vAlign w:val="center"/>
          </w:tcPr>
          <w:p w:rsidR="009F0611" w:rsidRPr="00137870" w:rsidRDefault="009F0611" w:rsidP="00CA0B75">
            <w:pPr>
              <w:pStyle w:val="NormalWeb"/>
              <w:spacing w:before="0" w:beforeAutospacing="0" w:after="0" w:afterAutospacing="0"/>
              <w:contextualSpacing/>
              <w:jc w:val="center"/>
            </w:pPr>
            <w:r w:rsidRPr="00137870">
              <w:t>.</w:t>
            </w:r>
            <w:r>
              <w:t>5</w:t>
            </w:r>
          </w:p>
        </w:tc>
      </w:tr>
      <w:tr w:rsidR="009F0611" w:rsidRPr="00137870" w:rsidTr="00CA0B75">
        <w:trPr>
          <w:trHeight w:val="449"/>
        </w:trPr>
        <w:tc>
          <w:tcPr>
            <w:tcW w:w="7020" w:type="dxa"/>
            <w:shd w:val="clear" w:color="auto" w:fill="auto"/>
            <w:vAlign w:val="center"/>
          </w:tcPr>
          <w:p w:rsidR="009F0611" w:rsidRPr="00137870" w:rsidRDefault="009F0611" w:rsidP="00CA0B75">
            <w:pPr>
              <w:tabs>
                <w:tab w:val="left" w:pos="360"/>
              </w:tabs>
              <w:rPr>
                <w:color w:val="000000"/>
              </w:rPr>
            </w:pPr>
            <w:r w:rsidRPr="00137870">
              <w:rPr>
                <w:color w:val="000000"/>
              </w:rPr>
              <w:t>Estimated hours (number of responses multiplied hours per response)</w:t>
            </w:r>
          </w:p>
        </w:tc>
        <w:tc>
          <w:tcPr>
            <w:tcW w:w="2250" w:type="dxa"/>
            <w:shd w:val="clear" w:color="auto" w:fill="auto"/>
            <w:vAlign w:val="center"/>
          </w:tcPr>
          <w:p w:rsidR="009F0611" w:rsidRPr="00137870" w:rsidRDefault="00FA0796" w:rsidP="009F0611">
            <w:pPr>
              <w:pStyle w:val="NormalWeb"/>
              <w:spacing w:before="0" w:beforeAutospacing="0" w:after="0" w:afterAutospacing="0"/>
              <w:contextualSpacing/>
              <w:jc w:val="center"/>
            </w:pPr>
            <w:r>
              <w:t>2,145</w:t>
            </w:r>
          </w:p>
        </w:tc>
      </w:tr>
      <w:tr w:rsidR="009F0611" w:rsidRPr="00137870" w:rsidTr="00CA0B75">
        <w:trPr>
          <w:trHeight w:val="431"/>
        </w:trPr>
        <w:tc>
          <w:tcPr>
            <w:tcW w:w="7020" w:type="dxa"/>
            <w:shd w:val="clear" w:color="auto" w:fill="auto"/>
            <w:vAlign w:val="center"/>
          </w:tcPr>
          <w:p w:rsidR="009F0611" w:rsidRPr="00137870" w:rsidRDefault="009F0611" w:rsidP="00CA0B75">
            <w:pPr>
              <w:tabs>
                <w:tab w:val="left" w:pos="360"/>
              </w:tabs>
              <w:rPr>
                <w:color w:val="000000"/>
              </w:rPr>
            </w:pPr>
            <w:r w:rsidRPr="00137870">
              <w:rPr>
                <w:color w:val="000000"/>
              </w:rPr>
              <w:t>Cost per hour (hourly wage)</w:t>
            </w:r>
          </w:p>
        </w:tc>
        <w:tc>
          <w:tcPr>
            <w:tcW w:w="2250" w:type="dxa"/>
            <w:shd w:val="clear" w:color="auto" w:fill="auto"/>
            <w:vAlign w:val="center"/>
          </w:tcPr>
          <w:p w:rsidR="009F0611" w:rsidRPr="00137870" w:rsidRDefault="009F0611" w:rsidP="00CA0B75">
            <w:pPr>
              <w:pStyle w:val="NormalWeb"/>
              <w:spacing w:before="0" w:beforeAutospacing="0" w:after="0" w:afterAutospacing="0"/>
              <w:contextualSpacing/>
              <w:jc w:val="center"/>
            </w:pPr>
            <w:r w:rsidRPr="00137870">
              <w:t>$</w:t>
            </w:r>
            <w:r w:rsidR="00C01DD3">
              <w:t>54</w:t>
            </w:r>
          </w:p>
        </w:tc>
      </w:tr>
      <w:tr w:rsidR="009F0611" w:rsidRPr="00137870" w:rsidTr="00CA0B75">
        <w:trPr>
          <w:trHeight w:val="440"/>
        </w:trPr>
        <w:tc>
          <w:tcPr>
            <w:tcW w:w="7020" w:type="dxa"/>
            <w:shd w:val="clear" w:color="auto" w:fill="auto"/>
            <w:vAlign w:val="center"/>
          </w:tcPr>
          <w:p w:rsidR="009F0611" w:rsidRPr="00137870" w:rsidRDefault="009F0611" w:rsidP="00CA0B75">
            <w:pPr>
              <w:tabs>
                <w:tab w:val="left" w:pos="360"/>
              </w:tabs>
              <w:rPr>
                <w:color w:val="000000"/>
              </w:rPr>
            </w:pPr>
            <w:r w:rsidRPr="00137870">
              <w:rPr>
                <w:color w:val="000000"/>
              </w:rPr>
              <w:t>Annual public burden (estimated hours multiplied by cost per hour)</w:t>
            </w:r>
          </w:p>
        </w:tc>
        <w:tc>
          <w:tcPr>
            <w:tcW w:w="2250" w:type="dxa"/>
            <w:shd w:val="clear" w:color="auto" w:fill="auto"/>
            <w:vAlign w:val="center"/>
          </w:tcPr>
          <w:p w:rsidR="009F0611" w:rsidRPr="00137870" w:rsidRDefault="009F0611" w:rsidP="009F0611">
            <w:pPr>
              <w:pStyle w:val="NormalWeb"/>
              <w:spacing w:before="0" w:beforeAutospacing="0" w:after="0" w:afterAutospacing="0"/>
              <w:contextualSpacing/>
              <w:jc w:val="center"/>
            </w:pPr>
            <w:r>
              <w:t>$</w:t>
            </w:r>
            <w:r w:rsidR="00FA0796">
              <w:t>115,830</w:t>
            </w:r>
          </w:p>
        </w:tc>
      </w:tr>
    </w:tbl>
    <w:p w:rsidR="00E06EB8" w:rsidRPr="00E06EB8" w:rsidRDefault="0041146D" w:rsidP="00E06EB8">
      <w:pPr>
        <w:pStyle w:val="NormalWeb"/>
        <w:tabs>
          <w:tab w:val="left" w:pos="360"/>
          <w:tab w:val="left" w:pos="720"/>
          <w:tab w:val="left" w:pos="1080"/>
          <w:tab w:val="left" w:pos="1440"/>
        </w:tabs>
      </w:pPr>
      <w:r>
        <w:t xml:space="preserve">(Hourly rate computation:  </w:t>
      </w:r>
      <w:r w:rsidRPr="0041146D">
        <w:t>201</w:t>
      </w:r>
      <w:r w:rsidR="00FA0796">
        <w:t>9</w:t>
      </w:r>
      <w:r w:rsidRPr="0041146D">
        <w:t xml:space="preserve"> OPM rate of $</w:t>
      </w:r>
      <w:r w:rsidR="00E06EB8">
        <w:t>39.85</w:t>
      </w:r>
      <w:r w:rsidRPr="0041146D">
        <w:t xml:space="preserve"> x 1.3625 O/H rate = $</w:t>
      </w:r>
      <w:r w:rsidR="00E06EB8">
        <w:t>54.</w:t>
      </w:r>
      <w:r w:rsidR="00C01DD3">
        <w:t>29</w:t>
      </w:r>
      <w:r w:rsidRPr="0041146D">
        <w:t xml:space="preserve"> rounded to $</w:t>
      </w:r>
      <w:r w:rsidR="00C01DD3">
        <w:t>54</w:t>
      </w:r>
      <w:r w:rsidRPr="0041146D">
        <w:t>.</w:t>
      </w:r>
      <w:r w:rsidR="00E06EB8">
        <w:t xml:space="preserve">  Reference: OPM General Schedule Locality Pay Area “Rest of U.S.”</w:t>
      </w:r>
      <w:r w:rsidR="00C01DD3">
        <w:t>.)</w:t>
      </w:r>
    </w:p>
    <w:p w:rsidR="005E0A0F" w:rsidRPr="00137870" w:rsidRDefault="0024783D" w:rsidP="00137870">
      <w:pPr>
        <w:pStyle w:val="NormalWeb"/>
        <w:tabs>
          <w:tab w:val="left" w:pos="360"/>
          <w:tab w:val="left" w:pos="720"/>
          <w:tab w:val="left" w:pos="1080"/>
          <w:tab w:val="left" w:pos="1440"/>
        </w:tabs>
        <w:spacing w:before="0" w:beforeAutospacing="0" w:after="0" w:afterAutospacing="0"/>
      </w:pPr>
      <w:r w:rsidRPr="00137870">
        <w:tab/>
      </w:r>
      <w:r w:rsidR="005E0A0F" w:rsidRPr="00137870">
        <w:t>13.</w:t>
      </w:r>
      <w:r w:rsidR="00127C69" w:rsidRPr="00137870">
        <w:tab/>
      </w:r>
      <w:r w:rsidR="005E0A0F" w:rsidRPr="00137870">
        <w:rPr>
          <w:u w:val="single"/>
        </w:rPr>
        <w:t>Respondent Costs Other Than Burden Hour Costs</w:t>
      </w:r>
    </w:p>
    <w:p w:rsidR="00EB0C6C" w:rsidRDefault="006E7819" w:rsidP="00137870">
      <w:pPr>
        <w:pStyle w:val="NormalWeb"/>
        <w:tabs>
          <w:tab w:val="left" w:pos="360"/>
          <w:tab w:val="left" w:pos="720"/>
          <w:tab w:val="left" w:pos="1080"/>
          <w:tab w:val="left" w:pos="1440"/>
        </w:tabs>
      </w:pPr>
      <w:bookmarkStart w:id="13" w:name="cp464"/>
      <w:bookmarkEnd w:id="12"/>
      <w:r w:rsidRPr="00137870">
        <w:tab/>
      </w:r>
      <w:bookmarkStart w:id="14" w:name="cp466"/>
      <w:bookmarkEnd w:id="13"/>
      <w:r w:rsidR="00A54A10">
        <w:t>There are no capital, start-up costs, or operation and maintenance costs associated with this collection.</w:t>
      </w:r>
    </w:p>
    <w:p w:rsidR="00D141EB" w:rsidRPr="00137870" w:rsidRDefault="0024783D" w:rsidP="00137870">
      <w:pPr>
        <w:pStyle w:val="NormalWeb"/>
        <w:tabs>
          <w:tab w:val="left" w:pos="360"/>
          <w:tab w:val="left" w:pos="720"/>
          <w:tab w:val="left" w:pos="1080"/>
          <w:tab w:val="left" w:pos="1440"/>
        </w:tabs>
      </w:pPr>
      <w:r w:rsidRPr="00137870">
        <w:tab/>
      </w:r>
      <w:r w:rsidR="005E0A0F" w:rsidRPr="00137870">
        <w:t>14.</w:t>
      </w:r>
      <w:r w:rsidR="00D141EB" w:rsidRPr="00137870">
        <w:tab/>
      </w:r>
      <w:r w:rsidR="005E0A0F" w:rsidRPr="00137870">
        <w:rPr>
          <w:u w:val="single"/>
        </w:rPr>
        <w:t>Cost to the Federal Government</w:t>
      </w:r>
      <w:bookmarkEnd w:id="14"/>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0"/>
        <w:gridCol w:w="2250"/>
      </w:tblGrid>
      <w:tr w:rsidR="00746F33" w:rsidRPr="00137870" w:rsidTr="001B410D">
        <w:trPr>
          <w:trHeight w:val="386"/>
        </w:trPr>
        <w:tc>
          <w:tcPr>
            <w:tcW w:w="9270" w:type="dxa"/>
            <w:gridSpan w:val="2"/>
            <w:shd w:val="clear" w:color="auto" w:fill="auto"/>
            <w:vAlign w:val="center"/>
          </w:tcPr>
          <w:p w:rsidR="00746F33" w:rsidRPr="00137870" w:rsidRDefault="00746F33" w:rsidP="002877D1">
            <w:pPr>
              <w:pStyle w:val="NormalWeb"/>
              <w:jc w:val="center"/>
            </w:pPr>
            <w:r w:rsidRPr="00137870">
              <w:t>Estimation of Respondent Burden Hours</w:t>
            </w:r>
          </w:p>
        </w:tc>
      </w:tr>
      <w:tr w:rsidR="00746F33" w:rsidRPr="00137870" w:rsidTr="001B410D">
        <w:trPr>
          <w:trHeight w:val="431"/>
        </w:trPr>
        <w:tc>
          <w:tcPr>
            <w:tcW w:w="7020" w:type="dxa"/>
            <w:shd w:val="clear" w:color="auto" w:fill="auto"/>
            <w:vAlign w:val="center"/>
          </w:tcPr>
          <w:p w:rsidR="00746F33" w:rsidRPr="00137870" w:rsidRDefault="00746F33" w:rsidP="00137870">
            <w:pPr>
              <w:tabs>
                <w:tab w:val="left" w:pos="360"/>
              </w:tabs>
              <w:rPr>
                <w:color w:val="000000"/>
              </w:rPr>
            </w:pPr>
            <w:r w:rsidRPr="00137870">
              <w:rPr>
                <w:color w:val="000000"/>
              </w:rPr>
              <w:t xml:space="preserve">Number of responses </w:t>
            </w:r>
            <w:r w:rsidR="006530AE">
              <w:rPr>
                <w:color w:val="000000"/>
              </w:rPr>
              <w:t>(excludes recordkeeping)</w:t>
            </w:r>
          </w:p>
        </w:tc>
        <w:tc>
          <w:tcPr>
            <w:tcW w:w="2250" w:type="dxa"/>
            <w:shd w:val="clear" w:color="auto" w:fill="auto"/>
            <w:vAlign w:val="center"/>
          </w:tcPr>
          <w:p w:rsidR="00746F33" w:rsidRPr="00137870" w:rsidRDefault="009F0611" w:rsidP="00A54A10">
            <w:pPr>
              <w:pStyle w:val="NormalWeb"/>
              <w:spacing w:before="0" w:beforeAutospacing="0" w:after="0" w:afterAutospacing="0"/>
              <w:contextualSpacing/>
              <w:jc w:val="center"/>
            </w:pPr>
            <w:r>
              <w:t>1,</w:t>
            </w:r>
            <w:r w:rsidR="005F4BE2">
              <w:t>532</w:t>
            </w:r>
          </w:p>
        </w:tc>
      </w:tr>
      <w:tr w:rsidR="00746F33" w:rsidRPr="00137870" w:rsidTr="001B410D">
        <w:trPr>
          <w:trHeight w:val="440"/>
        </w:trPr>
        <w:tc>
          <w:tcPr>
            <w:tcW w:w="7020" w:type="dxa"/>
            <w:shd w:val="clear" w:color="auto" w:fill="auto"/>
            <w:vAlign w:val="center"/>
          </w:tcPr>
          <w:p w:rsidR="00746F33" w:rsidRPr="00137870" w:rsidRDefault="00746F33" w:rsidP="00137870">
            <w:pPr>
              <w:tabs>
                <w:tab w:val="left" w:pos="360"/>
              </w:tabs>
              <w:rPr>
                <w:color w:val="000000"/>
              </w:rPr>
            </w:pPr>
            <w:r w:rsidRPr="00137870">
              <w:rPr>
                <w:color w:val="000000"/>
              </w:rPr>
              <w:t xml:space="preserve">Hours per response </w:t>
            </w:r>
          </w:p>
        </w:tc>
        <w:tc>
          <w:tcPr>
            <w:tcW w:w="2250" w:type="dxa"/>
            <w:shd w:val="clear" w:color="auto" w:fill="auto"/>
            <w:vAlign w:val="center"/>
          </w:tcPr>
          <w:p w:rsidR="00746F33" w:rsidRPr="00137870" w:rsidRDefault="00A54A10" w:rsidP="00137870">
            <w:pPr>
              <w:pStyle w:val="NormalWeb"/>
              <w:spacing w:before="0" w:beforeAutospacing="0" w:after="0" w:afterAutospacing="0"/>
              <w:contextualSpacing/>
              <w:jc w:val="center"/>
            </w:pPr>
            <w:r>
              <w:t>.3</w:t>
            </w:r>
          </w:p>
        </w:tc>
      </w:tr>
      <w:tr w:rsidR="00746F33" w:rsidRPr="00137870" w:rsidTr="001B410D">
        <w:trPr>
          <w:trHeight w:val="449"/>
        </w:trPr>
        <w:tc>
          <w:tcPr>
            <w:tcW w:w="7020" w:type="dxa"/>
            <w:shd w:val="clear" w:color="auto" w:fill="auto"/>
            <w:vAlign w:val="center"/>
          </w:tcPr>
          <w:p w:rsidR="00746F33" w:rsidRPr="00137870" w:rsidRDefault="00746F33" w:rsidP="00137870">
            <w:pPr>
              <w:tabs>
                <w:tab w:val="left" w:pos="360"/>
              </w:tabs>
              <w:rPr>
                <w:color w:val="000000"/>
              </w:rPr>
            </w:pPr>
            <w:r w:rsidRPr="00137870">
              <w:rPr>
                <w:color w:val="000000"/>
              </w:rPr>
              <w:t>Estimated hours (number of responses multiplied hours per response)</w:t>
            </w:r>
          </w:p>
        </w:tc>
        <w:tc>
          <w:tcPr>
            <w:tcW w:w="2250" w:type="dxa"/>
            <w:shd w:val="clear" w:color="auto" w:fill="auto"/>
            <w:vAlign w:val="center"/>
          </w:tcPr>
          <w:p w:rsidR="00746F33" w:rsidRPr="00137870" w:rsidRDefault="005F4BE2" w:rsidP="00035AB3">
            <w:pPr>
              <w:pStyle w:val="NormalWeb"/>
              <w:spacing w:before="0" w:beforeAutospacing="0" w:after="0" w:afterAutospacing="0"/>
              <w:contextualSpacing/>
              <w:jc w:val="center"/>
            </w:pPr>
            <w:r>
              <w:t>460</w:t>
            </w:r>
          </w:p>
        </w:tc>
      </w:tr>
      <w:tr w:rsidR="00746F33" w:rsidRPr="00137870" w:rsidTr="001B410D">
        <w:trPr>
          <w:trHeight w:val="431"/>
        </w:trPr>
        <w:tc>
          <w:tcPr>
            <w:tcW w:w="7020" w:type="dxa"/>
            <w:shd w:val="clear" w:color="auto" w:fill="auto"/>
            <w:vAlign w:val="center"/>
          </w:tcPr>
          <w:p w:rsidR="00746F33" w:rsidRPr="00137870" w:rsidRDefault="00746F33" w:rsidP="00137870">
            <w:pPr>
              <w:tabs>
                <w:tab w:val="left" w:pos="360"/>
              </w:tabs>
              <w:rPr>
                <w:color w:val="000000"/>
              </w:rPr>
            </w:pPr>
            <w:r w:rsidRPr="00137870">
              <w:rPr>
                <w:color w:val="000000"/>
              </w:rPr>
              <w:t>Cost per hour (hourly wage)</w:t>
            </w:r>
          </w:p>
        </w:tc>
        <w:tc>
          <w:tcPr>
            <w:tcW w:w="2250" w:type="dxa"/>
            <w:shd w:val="clear" w:color="auto" w:fill="auto"/>
            <w:vAlign w:val="center"/>
          </w:tcPr>
          <w:p w:rsidR="00746F33" w:rsidRPr="00137870" w:rsidRDefault="00A54A10" w:rsidP="00137870">
            <w:pPr>
              <w:pStyle w:val="NormalWeb"/>
              <w:spacing w:before="0" w:beforeAutospacing="0" w:after="0" w:afterAutospacing="0"/>
              <w:contextualSpacing/>
              <w:jc w:val="center"/>
            </w:pPr>
            <w:r>
              <w:t>$</w:t>
            </w:r>
            <w:r w:rsidR="00EF72A3">
              <w:t>54</w:t>
            </w:r>
          </w:p>
        </w:tc>
      </w:tr>
      <w:tr w:rsidR="00746F33" w:rsidRPr="00137870" w:rsidTr="001B410D">
        <w:trPr>
          <w:trHeight w:val="440"/>
        </w:trPr>
        <w:tc>
          <w:tcPr>
            <w:tcW w:w="7020" w:type="dxa"/>
            <w:shd w:val="clear" w:color="auto" w:fill="auto"/>
            <w:vAlign w:val="center"/>
          </w:tcPr>
          <w:p w:rsidR="00746F33" w:rsidRPr="00137870" w:rsidRDefault="00746F33" w:rsidP="00137870">
            <w:pPr>
              <w:tabs>
                <w:tab w:val="left" w:pos="360"/>
              </w:tabs>
              <w:rPr>
                <w:color w:val="000000"/>
              </w:rPr>
            </w:pPr>
            <w:r w:rsidRPr="00137870">
              <w:rPr>
                <w:color w:val="000000"/>
              </w:rPr>
              <w:t>Annual public burden (estimated hours multiplied by cost per hour)</w:t>
            </w:r>
          </w:p>
        </w:tc>
        <w:tc>
          <w:tcPr>
            <w:tcW w:w="2250" w:type="dxa"/>
            <w:shd w:val="clear" w:color="auto" w:fill="auto"/>
            <w:vAlign w:val="center"/>
          </w:tcPr>
          <w:p w:rsidR="00746F33" w:rsidRPr="00137870" w:rsidRDefault="00A54A10" w:rsidP="009F0611">
            <w:pPr>
              <w:pStyle w:val="NormalWeb"/>
              <w:spacing w:before="0" w:beforeAutospacing="0" w:after="0" w:afterAutospacing="0"/>
              <w:contextualSpacing/>
              <w:jc w:val="center"/>
            </w:pPr>
            <w:r>
              <w:t>$</w:t>
            </w:r>
            <w:r w:rsidR="00EF72A3">
              <w:t>2</w:t>
            </w:r>
            <w:r w:rsidR="005F4BE2">
              <w:t>4,8</w:t>
            </w:r>
            <w:r w:rsidR="00BC219F">
              <w:t>40</w:t>
            </w:r>
          </w:p>
        </w:tc>
      </w:tr>
    </w:tbl>
    <w:p w:rsidR="005E0A0F" w:rsidRPr="00137870" w:rsidRDefault="0024783D" w:rsidP="00137870">
      <w:pPr>
        <w:pStyle w:val="NormalWeb"/>
        <w:tabs>
          <w:tab w:val="left" w:pos="360"/>
          <w:tab w:val="left" w:pos="720"/>
          <w:tab w:val="left" w:pos="1080"/>
          <w:tab w:val="left" w:pos="1440"/>
        </w:tabs>
        <w:rPr>
          <w:u w:val="single"/>
        </w:rPr>
      </w:pPr>
      <w:bookmarkStart w:id="15" w:name="cp468"/>
      <w:r w:rsidRPr="00137870">
        <w:tab/>
      </w:r>
      <w:r w:rsidR="005E0A0F" w:rsidRPr="00137870">
        <w:t>15.</w:t>
      </w:r>
      <w:r w:rsidR="00FE0A7E">
        <w:t xml:space="preserve">  </w:t>
      </w:r>
      <w:r w:rsidR="005E0A0F" w:rsidRPr="00137870">
        <w:rPr>
          <w:u w:val="single"/>
        </w:rPr>
        <w:t>Reasons for Change in Burden</w:t>
      </w:r>
    </w:p>
    <w:p w:rsidR="006A2C1E" w:rsidRPr="00137870" w:rsidRDefault="006A2C1E" w:rsidP="00137870">
      <w:pPr>
        <w:pStyle w:val="NormalWeb"/>
        <w:tabs>
          <w:tab w:val="left" w:pos="360"/>
          <w:tab w:val="left" w:pos="720"/>
          <w:tab w:val="left" w:pos="1080"/>
          <w:tab w:val="left" w:pos="1440"/>
        </w:tabs>
      </w:pPr>
      <w:r w:rsidRPr="00137870">
        <w:tab/>
      </w:r>
      <w:r w:rsidR="00A54A10">
        <w:t xml:space="preserve">This submission requests a new OMB approval for an information collection requirement in the DFARS.  </w:t>
      </w:r>
    </w:p>
    <w:bookmarkEnd w:id="15"/>
    <w:p w:rsidR="005E0A0F" w:rsidRPr="00137870" w:rsidRDefault="0024783D" w:rsidP="00137870">
      <w:pPr>
        <w:pStyle w:val="NormalWeb"/>
        <w:tabs>
          <w:tab w:val="left" w:pos="360"/>
          <w:tab w:val="left" w:pos="720"/>
          <w:tab w:val="left" w:pos="1080"/>
          <w:tab w:val="left" w:pos="1440"/>
        </w:tabs>
        <w:rPr>
          <w:u w:val="single"/>
        </w:rPr>
      </w:pPr>
      <w:r w:rsidRPr="00137870">
        <w:tab/>
      </w:r>
      <w:r w:rsidR="005E0A0F" w:rsidRPr="00137870">
        <w:t xml:space="preserve">16.  </w:t>
      </w:r>
      <w:r w:rsidR="005E0A0F" w:rsidRPr="00137870">
        <w:rPr>
          <w:u w:val="single"/>
        </w:rPr>
        <w:t>Publication of Results</w:t>
      </w:r>
    </w:p>
    <w:p w:rsidR="00BC219F" w:rsidRDefault="00D141EB" w:rsidP="00137870">
      <w:pPr>
        <w:pStyle w:val="NormalWeb"/>
        <w:tabs>
          <w:tab w:val="left" w:pos="360"/>
          <w:tab w:val="left" w:pos="720"/>
          <w:tab w:val="left" w:pos="1080"/>
          <w:tab w:val="left" w:pos="1440"/>
        </w:tabs>
      </w:pPr>
      <w:bookmarkStart w:id="16" w:name="cp471"/>
      <w:r w:rsidRPr="00137870">
        <w:tab/>
      </w:r>
      <w:r w:rsidR="00A54A10">
        <w:t>Results will not be tabulated or published.</w:t>
      </w:r>
    </w:p>
    <w:p w:rsidR="005E0A0F" w:rsidRPr="00137870" w:rsidRDefault="0024783D" w:rsidP="00137870">
      <w:pPr>
        <w:pStyle w:val="NormalWeb"/>
        <w:tabs>
          <w:tab w:val="left" w:pos="360"/>
          <w:tab w:val="left" w:pos="720"/>
          <w:tab w:val="left" w:pos="1080"/>
          <w:tab w:val="left" w:pos="1440"/>
        </w:tabs>
      </w:pPr>
      <w:r w:rsidRPr="00137870">
        <w:tab/>
      </w:r>
      <w:r w:rsidR="005E0A0F" w:rsidRPr="00137870">
        <w:t xml:space="preserve">17.  </w:t>
      </w:r>
      <w:r w:rsidR="005E0A0F" w:rsidRPr="00137870">
        <w:rPr>
          <w:u w:val="single"/>
        </w:rPr>
        <w:t>Non-Display of OMB Expiration Date</w:t>
      </w:r>
    </w:p>
    <w:p w:rsidR="00D141EB" w:rsidRPr="00137870" w:rsidRDefault="00D141EB" w:rsidP="00137870">
      <w:pPr>
        <w:pStyle w:val="NormalWeb"/>
        <w:tabs>
          <w:tab w:val="left" w:pos="360"/>
          <w:tab w:val="left" w:pos="720"/>
          <w:tab w:val="left" w:pos="1080"/>
          <w:tab w:val="left" w:pos="1440"/>
        </w:tabs>
      </w:pPr>
      <w:bookmarkStart w:id="17" w:name="cp473"/>
      <w:bookmarkEnd w:id="16"/>
      <w:r w:rsidRPr="00137870">
        <w:tab/>
      </w:r>
      <w:r w:rsidR="00A54A10">
        <w:t>DoD does not seek approval not to display the expiration date for OMB approval of the information collection.</w:t>
      </w:r>
    </w:p>
    <w:p w:rsidR="005E0A0F" w:rsidRPr="00137870" w:rsidRDefault="005E0A0F" w:rsidP="00137870">
      <w:pPr>
        <w:pStyle w:val="NormalWeb"/>
        <w:tabs>
          <w:tab w:val="left" w:pos="360"/>
          <w:tab w:val="left" w:pos="720"/>
          <w:tab w:val="left" w:pos="1080"/>
          <w:tab w:val="left" w:pos="1440"/>
        </w:tabs>
      </w:pPr>
      <w:r w:rsidRPr="00137870">
        <w:t xml:space="preserve">18.  </w:t>
      </w:r>
      <w:r w:rsidRPr="00137870">
        <w:rPr>
          <w:u w:val="single"/>
        </w:rPr>
        <w:t>Exceptions to "Certification for Paperwork Reduction Submissions"</w:t>
      </w:r>
    </w:p>
    <w:p w:rsidR="00437BCC" w:rsidRPr="00137870" w:rsidRDefault="00437BCC" w:rsidP="00137870">
      <w:pPr>
        <w:pStyle w:val="NormalWeb"/>
        <w:tabs>
          <w:tab w:val="left" w:pos="360"/>
          <w:tab w:val="left" w:pos="720"/>
          <w:tab w:val="left" w:pos="1080"/>
          <w:tab w:val="left" w:pos="1440"/>
        </w:tabs>
      </w:pPr>
      <w:bookmarkStart w:id="18" w:name="cp474"/>
      <w:bookmarkEnd w:id="17"/>
      <w:r w:rsidRPr="00137870">
        <w:tab/>
      </w:r>
      <w:bookmarkEnd w:id="18"/>
      <w:r w:rsidR="002F1D3F">
        <w:t>There are no exceptions to the certification accompanying this Paperwork Reduction Act submission.</w:t>
      </w:r>
    </w:p>
    <w:p w:rsidR="00D141EB" w:rsidRPr="00137870" w:rsidRDefault="00D141EB" w:rsidP="00137870">
      <w:pPr>
        <w:pStyle w:val="NormalWeb"/>
        <w:tabs>
          <w:tab w:val="left" w:pos="360"/>
          <w:tab w:val="left" w:pos="720"/>
          <w:tab w:val="left" w:pos="1080"/>
          <w:tab w:val="left" w:pos="1440"/>
        </w:tabs>
      </w:pPr>
      <w:r w:rsidRPr="00137870">
        <w:t xml:space="preserve">B.  </w:t>
      </w:r>
      <w:r w:rsidRPr="00137870">
        <w:rPr>
          <w:u w:val="single"/>
        </w:rPr>
        <w:t>COLLECTION OF INFORMATION EMPLOYING STATISTICAL METHODS</w:t>
      </w:r>
    </w:p>
    <w:p w:rsidR="00D141EB" w:rsidRPr="00137870" w:rsidRDefault="00D141EB" w:rsidP="00137870">
      <w:pPr>
        <w:tabs>
          <w:tab w:val="left" w:pos="360"/>
        </w:tabs>
      </w:pPr>
      <w:r w:rsidRPr="00137870">
        <w:tab/>
        <w:t>Statistical methods will not be employed.</w:t>
      </w:r>
    </w:p>
    <w:sectPr w:rsidR="00D141EB" w:rsidRPr="00137870" w:rsidSect="00A7063B">
      <w:headerReference w:type="default" r:id="rId11"/>
      <w:footerReference w:type="default" r:id="rId12"/>
      <w:pgSz w:w="12240" w:h="15840"/>
      <w:pgMar w:top="1440" w:right="1440" w:bottom="1440" w:left="1440" w:header="720" w:footer="1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4992" w:rsidRDefault="00B84992" w:rsidP="00D74D55">
      <w:r>
        <w:separator/>
      </w:r>
    </w:p>
  </w:endnote>
  <w:endnote w:type="continuationSeparator" w:id="0">
    <w:p w:rsidR="00B84992" w:rsidRDefault="00B84992" w:rsidP="00D74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D55" w:rsidRDefault="00D74D55">
    <w:pPr>
      <w:pStyle w:val="Footer"/>
      <w:jc w:val="center"/>
    </w:pPr>
    <w:r>
      <w:fldChar w:fldCharType="begin"/>
    </w:r>
    <w:r>
      <w:instrText xml:space="preserve"> PAGE   \* MERGEFORMAT </w:instrText>
    </w:r>
    <w:r>
      <w:fldChar w:fldCharType="separate"/>
    </w:r>
    <w:r w:rsidR="006D69A1">
      <w:rPr>
        <w:noProof/>
      </w:rPr>
      <w:t>1</w:t>
    </w:r>
    <w:r>
      <w:fldChar w:fldCharType="end"/>
    </w:r>
  </w:p>
  <w:p w:rsidR="005F6C41" w:rsidRDefault="005F6C4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4992" w:rsidRDefault="00B84992" w:rsidP="00D74D55">
      <w:r>
        <w:separator/>
      </w:r>
    </w:p>
  </w:footnote>
  <w:footnote w:type="continuationSeparator" w:id="0">
    <w:p w:rsidR="00B84992" w:rsidRDefault="00B84992" w:rsidP="00D74D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35EB" w:rsidRPr="00C735EB" w:rsidRDefault="00C735EB" w:rsidP="00C735EB">
    <w:pPr>
      <w:pStyle w:val="Header"/>
      <w:jc w:val="right"/>
      <w:rPr>
        <w:color w:val="FF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91C23"/>
    <w:multiLevelType w:val="hybridMultilevel"/>
    <w:tmpl w:val="A02E9DEA"/>
    <w:lvl w:ilvl="0" w:tplc="F8EAB3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92E102A"/>
    <w:multiLevelType w:val="hybridMultilevel"/>
    <w:tmpl w:val="C2C6CB9C"/>
    <w:lvl w:ilvl="0" w:tplc="D57C6C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AF17008"/>
    <w:multiLevelType w:val="hybridMultilevel"/>
    <w:tmpl w:val="7A465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A0F"/>
    <w:rsid w:val="00000CC8"/>
    <w:rsid w:val="000035B2"/>
    <w:rsid w:val="00013ECB"/>
    <w:rsid w:val="000305CD"/>
    <w:rsid w:val="0003260F"/>
    <w:rsid w:val="00035AB3"/>
    <w:rsid w:val="000611B8"/>
    <w:rsid w:val="0007219B"/>
    <w:rsid w:val="000A2459"/>
    <w:rsid w:val="000A2A03"/>
    <w:rsid w:val="000B592C"/>
    <w:rsid w:val="000D664D"/>
    <w:rsid w:val="00102066"/>
    <w:rsid w:val="00127C69"/>
    <w:rsid w:val="00137870"/>
    <w:rsid w:val="00157390"/>
    <w:rsid w:val="00191110"/>
    <w:rsid w:val="00191C5D"/>
    <w:rsid w:val="0019239B"/>
    <w:rsid w:val="001A372E"/>
    <w:rsid w:val="001D7B31"/>
    <w:rsid w:val="001E12F1"/>
    <w:rsid w:val="002139EC"/>
    <w:rsid w:val="002139F5"/>
    <w:rsid w:val="0021465B"/>
    <w:rsid w:val="00215A88"/>
    <w:rsid w:val="002230B5"/>
    <w:rsid w:val="0022533D"/>
    <w:rsid w:val="002429FD"/>
    <w:rsid w:val="00246FA7"/>
    <w:rsid w:val="0024783D"/>
    <w:rsid w:val="002606A9"/>
    <w:rsid w:val="002877D1"/>
    <w:rsid w:val="002B0038"/>
    <w:rsid w:val="002C268D"/>
    <w:rsid w:val="002D1A1C"/>
    <w:rsid w:val="002F1D3F"/>
    <w:rsid w:val="0030008B"/>
    <w:rsid w:val="003002A0"/>
    <w:rsid w:val="00305997"/>
    <w:rsid w:val="00313033"/>
    <w:rsid w:val="00317E48"/>
    <w:rsid w:val="0032295F"/>
    <w:rsid w:val="0034798C"/>
    <w:rsid w:val="00377B7E"/>
    <w:rsid w:val="003A5CE6"/>
    <w:rsid w:val="003C26F7"/>
    <w:rsid w:val="003D1A85"/>
    <w:rsid w:val="003F74D9"/>
    <w:rsid w:val="00401120"/>
    <w:rsid w:val="00404054"/>
    <w:rsid w:val="00410589"/>
    <w:rsid w:val="0041146D"/>
    <w:rsid w:val="00423E6E"/>
    <w:rsid w:val="00427B90"/>
    <w:rsid w:val="00437BCC"/>
    <w:rsid w:val="004425F4"/>
    <w:rsid w:val="004A0C47"/>
    <w:rsid w:val="004B23EE"/>
    <w:rsid w:val="004B27AF"/>
    <w:rsid w:val="004B6441"/>
    <w:rsid w:val="004C7516"/>
    <w:rsid w:val="004E7D5D"/>
    <w:rsid w:val="00533827"/>
    <w:rsid w:val="00542E7E"/>
    <w:rsid w:val="00552BE9"/>
    <w:rsid w:val="00586B67"/>
    <w:rsid w:val="005A65E5"/>
    <w:rsid w:val="005C4463"/>
    <w:rsid w:val="005D005F"/>
    <w:rsid w:val="005E0A0F"/>
    <w:rsid w:val="005F4BE2"/>
    <w:rsid w:val="005F6C41"/>
    <w:rsid w:val="0060388A"/>
    <w:rsid w:val="0061544D"/>
    <w:rsid w:val="00635430"/>
    <w:rsid w:val="00641E21"/>
    <w:rsid w:val="006530AE"/>
    <w:rsid w:val="006A2C1E"/>
    <w:rsid w:val="006B2B17"/>
    <w:rsid w:val="006B74B2"/>
    <w:rsid w:val="006C027D"/>
    <w:rsid w:val="006C0580"/>
    <w:rsid w:val="006C1F09"/>
    <w:rsid w:val="006D69A1"/>
    <w:rsid w:val="006E7819"/>
    <w:rsid w:val="006F12A1"/>
    <w:rsid w:val="007412CE"/>
    <w:rsid w:val="00741680"/>
    <w:rsid w:val="00742A99"/>
    <w:rsid w:val="00746F33"/>
    <w:rsid w:val="00761418"/>
    <w:rsid w:val="00765F45"/>
    <w:rsid w:val="007B5FD3"/>
    <w:rsid w:val="007D31C4"/>
    <w:rsid w:val="007E37F4"/>
    <w:rsid w:val="007E450E"/>
    <w:rsid w:val="00823EF4"/>
    <w:rsid w:val="008458DA"/>
    <w:rsid w:val="0085379F"/>
    <w:rsid w:val="00872116"/>
    <w:rsid w:val="008972BD"/>
    <w:rsid w:val="008A36E7"/>
    <w:rsid w:val="0091288A"/>
    <w:rsid w:val="00917784"/>
    <w:rsid w:val="009206ED"/>
    <w:rsid w:val="009265AD"/>
    <w:rsid w:val="009462BF"/>
    <w:rsid w:val="00974F88"/>
    <w:rsid w:val="00986918"/>
    <w:rsid w:val="009B274E"/>
    <w:rsid w:val="009C111D"/>
    <w:rsid w:val="009F0611"/>
    <w:rsid w:val="00A1784D"/>
    <w:rsid w:val="00A17A0E"/>
    <w:rsid w:val="00A37DBE"/>
    <w:rsid w:val="00A37DE8"/>
    <w:rsid w:val="00A440FA"/>
    <w:rsid w:val="00A54A10"/>
    <w:rsid w:val="00A6761C"/>
    <w:rsid w:val="00A7063B"/>
    <w:rsid w:val="00A81EBD"/>
    <w:rsid w:val="00A84CED"/>
    <w:rsid w:val="00A93CBF"/>
    <w:rsid w:val="00AC3144"/>
    <w:rsid w:val="00AC5BD4"/>
    <w:rsid w:val="00AE34F0"/>
    <w:rsid w:val="00AF66E0"/>
    <w:rsid w:val="00B040C0"/>
    <w:rsid w:val="00B10A3C"/>
    <w:rsid w:val="00B11FDF"/>
    <w:rsid w:val="00B27CE7"/>
    <w:rsid w:val="00B60361"/>
    <w:rsid w:val="00B65D99"/>
    <w:rsid w:val="00B75E8A"/>
    <w:rsid w:val="00B8323E"/>
    <w:rsid w:val="00B84992"/>
    <w:rsid w:val="00B87445"/>
    <w:rsid w:val="00BA57DC"/>
    <w:rsid w:val="00BC219F"/>
    <w:rsid w:val="00BD49C4"/>
    <w:rsid w:val="00BF6680"/>
    <w:rsid w:val="00C00C1A"/>
    <w:rsid w:val="00C01DD3"/>
    <w:rsid w:val="00C27142"/>
    <w:rsid w:val="00C34D08"/>
    <w:rsid w:val="00C6698F"/>
    <w:rsid w:val="00C66D8C"/>
    <w:rsid w:val="00C730CE"/>
    <w:rsid w:val="00C735EB"/>
    <w:rsid w:val="00D141EB"/>
    <w:rsid w:val="00D34B50"/>
    <w:rsid w:val="00D37A50"/>
    <w:rsid w:val="00D46148"/>
    <w:rsid w:val="00D74D55"/>
    <w:rsid w:val="00D86924"/>
    <w:rsid w:val="00D90C2C"/>
    <w:rsid w:val="00DA15A0"/>
    <w:rsid w:val="00DA3F1F"/>
    <w:rsid w:val="00DA73A3"/>
    <w:rsid w:val="00DC5EF5"/>
    <w:rsid w:val="00DD178C"/>
    <w:rsid w:val="00E06EB8"/>
    <w:rsid w:val="00E43AC6"/>
    <w:rsid w:val="00E53C2C"/>
    <w:rsid w:val="00E6687C"/>
    <w:rsid w:val="00E90B41"/>
    <w:rsid w:val="00E92829"/>
    <w:rsid w:val="00EA0651"/>
    <w:rsid w:val="00EB0C6C"/>
    <w:rsid w:val="00EB65C9"/>
    <w:rsid w:val="00EF72A3"/>
    <w:rsid w:val="00F1447C"/>
    <w:rsid w:val="00F32885"/>
    <w:rsid w:val="00F357EB"/>
    <w:rsid w:val="00F508E6"/>
    <w:rsid w:val="00F5622A"/>
    <w:rsid w:val="00F77B7E"/>
    <w:rsid w:val="00F92085"/>
    <w:rsid w:val="00F9231C"/>
    <w:rsid w:val="00F92ACC"/>
    <w:rsid w:val="00FA0796"/>
    <w:rsid w:val="00FB3212"/>
    <w:rsid w:val="00FC0524"/>
    <w:rsid w:val="00FC6B16"/>
    <w:rsid w:val="00FD0AA7"/>
    <w:rsid w:val="00FD39BA"/>
    <w:rsid w:val="00FE0A7E"/>
    <w:rsid w:val="00FF4710"/>
    <w:rsid w:val="00FF71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unhideWhenUsed/>
    <w:rsid w:val="00D74D55"/>
    <w:pPr>
      <w:tabs>
        <w:tab w:val="center" w:pos="4680"/>
        <w:tab w:val="right" w:pos="9360"/>
      </w:tabs>
    </w:pPr>
  </w:style>
  <w:style w:type="character" w:customStyle="1" w:styleId="HeaderChar">
    <w:name w:val="Header Char"/>
    <w:link w:val="Header"/>
    <w:uiPriority w:val="99"/>
    <w:rsid w:val="00D74D55"/>
    <w:rPr>
      <w:rFonts w:ascii="Times New Roman" w:eastAsia="Times New Roman" w:hAnsi="Times New Roman"/>
      <w:sz w:val="24"/>
      <w:szCs w:val="24"/>
    </w:rPr>
  </w:style>
  <w:style w:type="paragraph" w:styleId="Footer">
    <w:name w:val="footer"/>
    <w:basedOn w:val="Normal"/>
    <w:link w:val="FooterChar"/>
    <w:uiPriority w:val="99"/>
    <w:unhideWhenUsed/>
    <w:rsid w:val="00D74D55"/>
    <w:pPr>
      <w:tabs>
        <w:tab w:val="center" w:pos="4680"/>
        <w:tab w:val="right" w:pos="9360"/>
      </w:tabs>
    </w:pPr>
  </w:style>
  <w:style w:type="character" w:customStyle="1" w:styleId="FooterChar">
    <w:name w:val="Footer Char"/>
    <w:link w:val="Footer"/>
    <w:uiPriority w:val="99"/>
    <w:rsid w:val="00D74D55"/>
    <w:rPr>
      <w:rFonts w:ascii="Times New Roman" w:eastAsia="Times New Roman" w:hAnsi="Times New Roman"/>
      <w:sz w:val="24"/>
      <w:szCs w:val="24"/>
    </w:rPr>
  </w:style>
  <w:style w:type="paragraph" w:styleId="FootnoteText">
    <w:name w:val="footnote text"/>
    <w:basedOn w:val="Normal"/>
    <w:link w:val="FootnoteTextChar"/>
    <w:semiHidden/>
    <w:unhideWhenUsed/>
    <w:rsid w:val="006E7819"/>
    <w:rPr>
      <w:sz w:val="20"/>
      <w:szCs w:val="20"/>
    </w:rPr>
  </w:style>
  <w:style w:type="character" w:customStyle="1" w:styleId="FootnoteTextChar">
    <w:name w:val="Footnote Text Char"/>
    <w:basedOn w:val="DefaultParagraphFont"/>
    <w:link w:val="FootnoteText"/>
    <w:semiHidden/>
    <w:rsid w:val="006E7819"/>
    <w:rPr>
      <w:rFonts w:ascii="Times New Roman" w:eastAsia="Times New Roman" w:hAnsi="Times New Roman"/>
    </w:rPr>
  </w:style>
  <w:style w:type="character" w:styleId="FootnoteReference">
    <w:name w:val="footnote reference"/>
    <w:basedOn w:val="DefaultParagraphFont"/>
    <w:uiPriority w:val="99"/>
    <w:semiHidden/>
    <w:unhideWhenUsed/>
    <w:rsid w:val="006E7819"/>
    <w:rPr>
      <w:vertAlign w:val="superscript"/>
    </w:rPr>
  </w:style>
  <w:style w:type="paragraph" w:styleId="BalloonText">
    <w:name w:val="Balloon Text"/>
    <w:basedOn w:val="Normal"/>
    <w:link w:val="BalloonTextChar"/>
    <w:uiPriority w:val="99"/>
    <w:semiHidden/>
    <w:unhideWhenUsed/>
    <w:rsid w:val="00C735EB"/>
    <w:rPr>
      <w:rFonts w:ascii="Tahoma" w:hAnsi="Tahoma" w:cs="Tahoma"/>
      <w:sz w:val="16"/>
      <w:szCs w:val="16"/>
    </w:rPr>
  </w:style>
  <w:style w:type="character" w:customStyle="1" w:styleId="BalloonTextChar">
    <w:name w:val="Balloon Text Char"/>
    <w:basedOn w:val="DefaultParagraphFont"/>
    <w:link w:val="BalloonText"/>
    <w:uiPriority w:val="99"/>
    <w:semiHidden/>
    <w:rsid w:val="00C735EB"/>
    <w:rPr>
      <w:rFonts w:ascii="Tahoma" w:eastAsia="Times New Roman" w:hAnsi="Tahoma" w:cs="Tahoma"/>
      <w:sz w:val="16"/>
      <w:szCs w:val="16"/>
    </w:rPr>
  </w:style>
  <w:style w:type="paragraph" w:customStyle="1" w:styleId="Default">
    <w:name w:val="Default"/>
    <w:rsid w:val="00B65D99"/>
    <w:pPr>
      <w:autoSpaceDE w:val="0"/>
      <w:autoSpaceDN w:val="0"/>
      <w:adjustRightInd w:val="0"/>
    </w:pPr>
    <w:rPr>
      <w:rFonts w:ascii="Times New Roman" w:hAnsi="Times New Roman"/>
      <w:color w:val="000000"/>
      <w:sz w:val="24"/>
      <w:szCs w:val="24"/>
    </w:rPr>
  </w:style>
  <w:style w:type="character" w:styleId="Hyperlink">
    <w:name w:val="Hyperlink"/>
    <w:basedOn w:val="DefaultParagraphFont"/>
    <w:uiPriority w:val="99"/>
    <w:unhideWhenUsed/>
    <w:rsid w:val="002139EC"/>
    <w:rPr>
      <w:color w:val="0000FF" w:themeColor="hyperlink"/>
      <w:u w:val="single"/>
    </w:rPr>
  </w:style>
  <w:style w:type="character" w:customStyle="1" w:styleId="UnresolvedMention">
    <w:name w:val="Unresolved Mention"/>
    <w:basedOn w:val="DefaultParagraphFont"/>
    <w:uiPriority w:val="99"/>
    <w:semiHidden/>
    <w:unhideWhenUsed/>
    <w:rsid w:val="002139EC"/>
    <w:rPr>
      <w:color w:val="605E5C"/>
      <w:shd w:val="clear" w:color="auto" w:fill="E1DFDD"/>
    </w:rPr>
  </w:style>
  <w:style w:type="paragraph" w:styleId="PlainText">
    <w:name w:val="Plain Text"/>
    <w:basedOn w:val="Normal"/>
    <w:link w:val="PlainTextChar"/>
    <w:uiPriority w:val="99"/>
    <w:unhideWhenUsed/>
    <w:rsid w:val="00542E7E"/>
    <w:rPr>
      <w:rFonts w:ascii="Calibri" w:hAnsi="Calibri"/>
      <w:sz w:val="28"/>
      <w:szCs w:val="21"/>
    </w:rPr>
  </w:style>
  <w:style w:type="character" w:customStyle="1" w:styleId="PlainTextChar">
    <w:name w:val="Plain Text Char"/>
    <w:basedOn w:val="DefaultParagraphFont"/>
    <w:link w:val="PlainText"/>
    <w:uiPriority w:val="99"/>
    <w:rsid w:val="00542E7E"/>
    <w:rPr>
      <w:rFonts w:eastAsia="Times New Roman"/>
      <w:sz w:val="28"/>
      <w:szCs w:val="21"/>
    </w:rPr>
  </w:style>
  <w:style w:type="character" w:styleId="Strong">
    <w:name w:val="Strong"/>
    <w:basedOn w:val="DefaultParagraphFont"/>
    <w:uiPriority w:val="22"/>
    <w:qFormat/>
    <w:rsid w:val="00542E7E"/>
    <w:rPr>
      <w:b/>
      <w:bCs/>
    </w:rPr>
  </w:style>
  <w:style w:type="character" w:styleId="FollowedHyperlink">
    <w:name w:val="FollowedHyperlink"/>
    <w:basedOn w:val="DefaultParagraphFont"/>
    <w:uiPriority w:val="99"/>
    <w:semiHidden/>
    <w:unhideWhenUsed/>
    <w:rsid w:val="00542E7E"/>
    <w:rPr>
      <w:color w:val="800080" w:themeColor="followedHyperlink"/>
      <w:u w:val="single"/>
    </w:rPr>
  </w:style>
  <w:style w:type="paragraph" w:styleId="ListParagraph">
    <w:name w:val="List Paragraph"/>
    <w:basedOn w:val="Normal"/>
    <w:uiPriority w:val="34"/>
    <w:qFormat/>
    <w:rsid w:val="00404054"/>
    <w:pPr>
      <w:ind w:left="720"/>
      <w:contextualSpacing/>
    </w:pPr>
  </w:style>
  <w:style w:type="character" w:styleId="CommentReference">
    <w:name w:val="annotation reference"/>
    <w:basedOn w:val="DefaultParagraphFont"/>
    <w:uiPriority w:val="99"/>
    <w:semiHidden/>
    <w:unhideWhenUsed/>
    <w:rsid w:val="004A0C47"/>
    <w:rPr>
      <w:sz w:val="16"/>
      <w:szCs w:val="16"/>
    </w:rPr>
  </w:style>
  <w:style w:type="paragraph" w:styleId="CommentText">
    <w:name w:val="annotation text"/>
    <w:basedOn w:val="Normal"/>
    <w:link w:val="CommentTextChar"/>
    <w:uiPriority w:val="99"/>
    <w:semiHidden/>
    <w:unhideWhenUsed/>
    <w:rsid w:val="004A0C47"/>
    <w:rPr>
      <w:sz w:val="20"/>
      <w:szCs w:val="20"/>
    </w:rPr>
  </w:style>
  <w:style w:type="character" w:customStyle="1" w:styleId="CommentTextChar">
    <w:name w:val="Comment Text Char"/>
    <w:basedOn w:val="DefaultParagraphFont"/>
    <w:link w:val="CommentText"/>
    <w:uiPriority w:val="99"/>
    <w:semiHidden/>
    <w:rsid w:val="004A0C47"/>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4A0C47"/>
    <w:rPr>
      <w:b/>
      <w:bCs/>
    </w:rPr>
  </w:style>
  <w:style w:type="character" w:customStyle="1" w:styleId="CommentSubjectChar">
    <w:name w:val="Comment Subject Char"/>
    <w:basedOn w:val="CommentTextChar"/>
    <w:link w:val="CommentSubject"/>
    <w:uiPriority w:val="99"/>
    <w:semiHidden/>
    <w:rsid w:val="004A0C47"/>
    <w:rPr>
      <w:rFonts w:ascii="Times New Roman" w:eastAsia="Times New Roman" w:hAnsi="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unhideWhenUsed/>
    <w:rsid w:val="00D74D55"/>
    <w:pPr>
      <w:tabs>
        <w:tab w:val="center" w:pos="4680"/>
        <w:tab w:val="right" w:pos="9360"/>
      </w:tabs>
    </w:pPr>
  </w:style>
  <w:style w:type="character" w:customStyle="1" w:styleId="HeaderChar">
    <w:name w:val="Header Char"/>
    <w:link w:val="Header"/>
    <w:uiPriority w:val="99"/>
    <w:rsid w:val="00D74D55"/>
    <w:rPr>
      <w:rFonts w:ascii="Times New Roman" w:eastAsia="Times New Roman" w:hAnsi="Times New Roman"/>
      <w:sz w:val="24"/>
      <w:szCs w:val="24"/>
    </w:rPr>
  </w:style>
  <w:style w:type="paragraph" w:styleId="Footer">
    <w:name w:val="footer"/>
    <w:basedOn w:val="Normal"/>
    <w:link w:val="FooterChar"/>
    <w:uiPriority w:val="99"/>
    <w:unhideWhenUsed/>
    <w:rsid w:val="00D74D55"/>
    <w:pPr>
      <w:tabs>
        <w:tab w:val="center" w:pos="4680"/>
        <w:tab w:val="right" w:pos="9360"/>
      </w:tabs>
    </w:pPr>
  </w:style>
  <w:style w:type="character" w:customStyle="1" w:styleId="FooterChar">
    <w:name w:val="Footer Char"/>
    <w:link w:val="Footer"/>
    <w:uiPriority w:val="99"/>
    <w:rsid w:val="00D74D55"/>
    <w:rPr>
      <w:rFonts w:ascii="Times New Roman" w:eastAsia="Times New Roman" w:hAnsi="Times New Roman"/>
      <w:sz w:val="24"/>
      <w:szCs w:val="24"/>
    </w:rPr>
  </w:style>
  <w:style w:type="paragraph" w:styleId="FootnoteText">
    <w:name w:val="footnote text"/>
    <w:basedOn w:val="Normal"/>
    <w:link w:val="FootnoteTextChar"/>
    <w:semiHidden/>
    <w:unhideWhenUsed/>
    <w:rsid w:val="006E7819"/>
    <w:rPr>
      <w:sz w:val="20"/>
      <w:szCs w:val="20"/>
    </w:rPr>
  </w:style>
  <w:style w:type="character" w:customStyle="1" w:styleId="FootnoteTextChar">
    <w:name w:val="Footnote Text Char"/>
    <w:basedOn w:val="DefaultParagraphFont"/>
    <w:link w:val="FootnoteText"/>
    <w:semiHidden/>
    <w:rsid w:val="006E7819"/>
    <w:rPr>
      <w:rFonts w:ascii="Times New Roman" w:eastAsia="Times New Roman" w:hAnsi="Times New Roman"/>
    </w:rPr>
  </w:style>
  <w:style w:type="character" w:styleId="FootnoteReference">
    <w:name w:val="footnote reference"/>
    <w:basedOn w:val="DefaultParagraphFont"/>
    <w:uiPriority w:val="99"/>
    <w:semiHidden/>
    <w:unhideWhenUsed/>
    <w:rsid w:val="006E7819"/>
    <w:rPr>
      <w:vertAlign w:val="superscript"/>
    </w:rPr>
  </w:style>
  <w:style w:type="paragraph" w:styleId="BalloonText">
    <w:name w:val="Balloon Text"/>
    <w:basedOn w:val="Normal"/>
    <w:link w:val="BalloonTextChar"/>
    <w:uiPriority w:val="99"/>
    <w:semiHidden/>
    <w:unhideWhenUsed/>
    <w:rsid w:val="00C735EB"/>
    <w:rPr>
      <w:rFonts w:ascii="Tahoma" w:hAnsi="Tahoma" w:cs="Tahoma"/>
      <w:sz w:val="16"/>
      <w:szCs w:val="16"/>
    </w:rPr>
  </w:style>
  <w:style w:type="character" w:customStyle="1" w:styleId="BalloonTextChar">
    <w:name w:val="Balloon Text Char"/>
    <w:basedOn w:val="DefaultParagraphFont"/>
    <w:link w:val="BalloonText"/>
    <w:uiPriority w:val="99"/>
    <w:semiHidden/>
    <w:rsid w:val="00C735EB"/>
    <w:rPr>
      <w:rFonts w:ascii="Tahoma" w:eastAsia="Times New Roman" w:hAnsi="Tahoma" w:cs="Tahoma"/>
      <w:sz w:val="16"/>
      <w:szCs w:val="16"/>
    </w:rPr>
  </w:style>
  <w:style w:type="paragraph" w:customStyle="1" w:styleId="Default">
    <w:name w:val="Default"/>
    <w:rsid w:val="00B65D99"/>
    <w:pPr>
      <w:autoSpaceDE w:val="0"/>
      <w:autoSpaceDN w:val="0"/>
      <w:adjustRightInd w:val="0"/>
    </w:pPr>
    <w:rPr>
      <w:rFonts w:ascii="Times New Roman" w:hAnsi="Times New Roman"/>
      <w:color w:val="000000"/>
      <w:sz w:val="24"/>
      <w:szCs w:val="24"/>
    </w:rPr>
  </w:style>
  <w:style w:type="character" w:styleId="Hyperlink">
    <w:name w:val="Hyperlink"/>
    <w:basedOn w:val="DefaultParagraphFont"/>
    <w:uiPriority w:val="99"/>
    <w:unhideWhenUsed/>
    <w:rsid w:val="002139EC"/>
    <w:rPr>
      <w:color w:val="0000FF" w:themeColor="hyperlink"/>
      <w:u w:val="single"/>
    </w:rPr>
  </w:style>
  <w:style w:type="character" w:customStyle="1" w:styleId="UnresolvedMention">
    <w:name w:val="Unresolved Mention"/>
    <w:basedOn w:val="DefaultParagraphFont"/>
    <w:uiPriority w:val="99"/>
    <w:semiHidden/>
    <w:unhideWhenUsed/>
    <w:rsid w:val="002139EC"/>
    <w:rPr>
      <w:color w:val="605E5C"/>
      <w:shd w:val="clear" w:color="auto" w:fill="E1DFDD"/>
    </w:rPr>
  </w:style>
  <w:style w:type="paragraph" w:styleId="PlainText">
    <w:name w:val="Plain Text"/>
    <w:basedOn w:val="Normal"/>
    <w:link w:val="PlainTextChar"/>
    <w:uiPriority w:val="99"/>
    <w:unhideWhenUsed/>
    <w:rsid w:val="00542E7E"/>
    <w:rPr>
      <w:rFonts w:ascii="Calibri" w:hAnsi="Calibri"/>
      <w:sz w:val="28"/>
      <w:szCs w:val="21"/>
    </w:rPr>
  </w:style>
  <w:style w:type="character" w:customStyle="1" w:styleId="PlainTextChar">
    <w:name w:val="Plain Text Char"/>
    <w:basedOn w:val="DefaultParagraphFont"/>
    <w:link w:val="PlainText"/>
    <w:uiPriority w:val="99"/>
    <w:rsid w:val="00542E7E"/>
    <w:rPr>
      <w:rFonts w:eastAsia="Times New Roman"/>
      <w:sz w:val="28"/>
      <w:szCs w:val="21"/>
    </w:rPr>
  </w:style>
  <w:style w:type="character" w:styleId="Strong">
    <w:name w:val="Strong"/>
    <w:basedOn w:val="DefaultParagraphFont"/>
    <w:uiPriority w:val="22"/>
    <w:qFormat/>
    <w:rsid w:val="00542E7E"/>
    <w:rPr>
      <w:b/>
      <w:bCs/>
    </w:rPr>
  </w:style>
  <w:style w:type="character" w:styleId="FollowedHyperlink">
    <w:name w:val="FollowedHyperlink"/>
    <w:basedOn w:val="DefaultParagraphFont"/>
    <w:uiPriority w:val="99"/>
    <w:semiHidden/>
    <w:unhideWhenUsed/>
    <w:rsid w:val="00542E7E"/>
    <w:rPr>
      <w:color w:val="800080" w:themeColor="followedHyperlink"/>
      <w:u w:val="single"/>
    </w:rPr>
  </w:style>
  <w:style w:type="paragraph" w:styleId="ListParagraph">
    <w:name w:val="List Paragraph"/>
    <w:basedOn w:val="Normal"/>
    <w:uiPriority w:val="34"/>
    <w:qFormat/>
    <w:rsid w:val="00404054"/>
    <w:pPr>
      <w:ind w:left="720"/>
      <w:contextualSpacing/>
    </w:pPr>
  </w:style>
  <w:style w:type="character" w:styleId="CommentReference">
    <w:name w:val="annotation reference"/>
    <w:basedOn w:val="DefaultParagraphFont"/>
    <w:uiPriority w:val="99"/>
    <w:semiHidden/>
    <w:unhideWhenUsed/>
    <w:rsid w:val="004A0C47"/>
    <w:rPr>
      <w:sz w:val="16"/>
      <w:szCs w:val="16"/>
    </w:rPr>
  </w:style>
  <w:style w:type="paragraph" w:styleId="CommentText">
    <w:name w:val="annotation text"/>
    <w:basedOn w:val="Normal"/>
    <w:link w:val="CommentTextChar"/>
    <w:uiPriority w:val="99"/>
    <w:semiHidden/>
    <w:unhideWhenUsed/>
    <w:rsid w:val="004A0C47"/>
    <w:rPr>
      <w:sz w:val="20"/>
      <w:szCs w:val="20"/>
    </w:rPr>
  </w:style>
  <w:style w:type="character" w:customStyle="1" w:styleId="CommentTextChar">
    <w:name w:val="Comment Text Char"/>
    <w:basedOn w:val="DefaultParagraphFont"/>
    <w:link w:val="CommentText"/>
    <w:uiPriority w:val="99"/>
    <w:semiHidden/>
    <w:rsid w:val="004A0C47"/>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4A0C47"/>
    <w:rPr>
      <w:b/>
      <w:bCs/>
    </w:rPr>
  </w:style>
  <w:style w:type="character" w:customStyle="1" w:styleId="CommentSubjectChar">
    <w:name w:val="Comment Subject Char"/>
    <w:basedOn w:val="CommentTextChar"/>
    <w:link w:val="CommentSubject"/>
    <w:uiPriority w:val="99"/>
    <w:semiHidden/>
    <w:rsid w:val="004A0C47"/>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312483">
      <w:bodyDiv w:val="1"/>
      <w:marLeft w:val="0"/>
      <w:marRight w:val="0"/>
      <w:marTop w:val="0"/>
      <w:marBottom w:val="0"/>
      <w:divBdr>
        <w:top w:val="none" w:sz="0" w:space="0" w:color="auto"/>
        <w:left w:val="none" w:sz="0" w:space="0" w:color="auto"/>
        <w:bottom w:val="none" w:sz="0" w:space="0" w:color="auto"/>
        <w:right w:val="none" w:sz="0" w:space="0" w:color="auto"/>
      </w:divBdr>
    </w:div>
    <w:div w:id="176118645">
      <w:bodyDiv w:val="1"/>
      <w:marLeft w:val="0"/>
      <w:marRight w:val="0"/>
      <w:marTop w:val="0"/>
      <w:marBottom w:val="0"/>
      <w:divBdr>
        <w:top w:val="none" w:sz="0" w:space="0" w:color="auto"/>
        <w:left w:val="none" w:sz="0" w:space="0" w:color="auto"/>
        <w:bottom w:val="none" w:sz="0" w:space="0" w:color="auto"/>
        <w:right w:val="none" w:sz="0" w:space="0" w:color="auto"/>
      </w:divBdr>
    </w:div>
    <w:div w:id="436218933">
      <w:bodyDiv w:val="1"/>
      <w:marLeft w:val="0"/>
      <w:marRight w:val="0"/>
      <w:marTop w:val="0"/>
      <w:marBottom w:val="0"/>
      <w:divBdr>
        <w:top w:val="none" w:sz="0" w:space="0" w:color="auto"/>
        <w:left w:val="none" w:sz="0" w:space="0" w:color="auto"/>
        <w:bottom w:val="none" w:sz="0" w:space="0" w:color="auto"/>
        <w:right w:val="none" w:sz="0" w:space="0" w:color="auto"/>
      </w:divBdr>
    </w:div>
    <w:div w:id="885533331">
      <w:bodyDiv w:val="1"/>
      <w:marLeft w:val="0"/>
      <w:marRight w:val="0"/>
      <w:marTop w:val="0"/>
      <w:marBottom w:val="0"/>
      <w:divBdr>
        <w:top w:val="none" w:sz="0" w:space="0" w:color="auto"/>
        <w:left w:val="none" w:sz="0" w:space="0" w:color="auto"/>
        <w:bottom w:val="none" w:sz="0" w:space="0" w:color="auto"/>
        <w:right w:val="none" w:sz="0" w:space="0" w:color="auto"/>
      </w:divBdr>
    </w:div>
    <w:div w:id="898828419">
      <w:bodyDiv w:val="1"/>
      <w:marLeft w:val="0"/>
      <w:marRight w:val="0"/>
      <w:marTop w:val="0"/>
      <w:marBottom w:val="0"/>
      <w:divBdr>
        <w:top w:val="none" w:sz="0" w:space="0" w:color="auto"/>
        <w:left w:val="none" w:sz="0" w:space="0" w:color="auto"/>
        <w:bottom w:val="none" w:sz="0" w:space="0" w:color="auto"/>
        <w:right w:val="none" w:sz="0" w:space="0" w:color="auto"/>
      </w:divBdr>
    </w:div>
    <w:div w:id="1358695952">
      <w:bodyDiv w:val="1"/>
      <w:marLeft w:val="0"/>
      <w:marRight w:val="0"/>
      <w:marTop w:val="0"/>
      <w:marBottom w:val="0"/>
      <w:divBdr>
        <w:top w:val="none" w:sz="0" w:space="0" w:color="auto"/>
        <w:left w:val="none" w:sz="0" w:space="0" w:color="auto"/>
        <w:bottom w:val="none" w:sz="0" w:space="0" w:color="auto"/>
        <w:right w:val="none" w:sz="0" w:space="0" w:color="auto"/>
      </w:divBdr>
    </w:div>
    <w:div w:id="1672680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govinfo.gov/content/pkg/FR-2019-03-26/pdf/2019-05750.pdf" TargetMode="External"/><Relationship Id="rId4" Type="http://schemas.microsoft.com/office/2007/relationships/stylesWithEffects" Target="stylesWithEffects.xml"/><Relationship Id="rId9" Type="http://schemas.openxmlformats.org/officeDocument/2006/relationships/hyperlink" Target="https://www.gpo.gov/fdsys/pkg/FR-2016-10-21/pdf/2016-25316.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041280-068B-4085-8F52-0A63B8B35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2284</Words>
  <Characters>13023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WHS</Company>
  <LinksUpToDate>false</LinksUpToDate>
  <CharactersWithSpaces>15277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Toppings</dc:creator>
  <cp:lastModifiedBy>SYSTEM</cp:lastModifiedBy>
  <cp:revision>2</cp:revision>
  <cp:lastPrinted>2019-03-12T17:21:00Z</cp:lastPrinted>
  <dcterms:created xsi:type="dcterms:W3CDTF">2019-04-15T18:07:00Z</dcterms:created>
  <dcterms:modified xsi:type="dcterms:W3CDTF">2019-04-15T18:07:00Z</dcterms:modified>
</cp:coreProperties>
</file>