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240" w:rsidRDefault="008E38C6" w14:paraId="71B6D1FF" w14:textId="77777777">
      <w:pPr>
        <w:pStyle w:val="Heading1"/>
        <w:spacing w:before="66" w:line="247" w:lineRule="auto"/>
        <w:ind w:left="3008" w:right="102" w:hanging="2604"/>
      </w:pPr>
      <w:r>
        <w:t>Supporting Statement for the Survey Report Form Clinical Laboratory Improvement Amendments (CLIA) (CMS-1557)</w:t>
      </w:r>
    </w:p>
    <w:p w:rsidR="00B54240" w:rsidRDefault="00B54240" w14:paraId="0DA31049" w14:textId="77777777">
      <w:pPr>
        <w:pStyle w:val="BodyText"/>
        <w:rPr>
          <w:b/>
          <w:sz w:val="26"/>
        </w:rPr>
      </w:pPr>
    </w:p>
    <w:p w:rsidR="00B54240" w:rsidRDefault="00B54240" w14:paraId="43B482AE" w14:textId="77777777">
      <w:pPr>
        <w:pStyle w:val="BodyText"/>
        <w:spacing w:before="1"/>
        <w:rPr>
          <w:b/>
          <w:sz w:val="23"/>
        </w:rPr>
      </w:pPr>
    </w:p>
    <w:p w:rsidR="00B54240" w:rsidRDefault="008E38C6" w14:paraId="7F0635F5" w14:textId="77777777">
      <w:pPr>
        <w:pStyle w:val="ListParagraph"/>
        <w:numPr>
          <w:ilvl w:val="0"/>
          <w:numId w:val="1"/>
        </w:numPr>
        <w:tabs>
          <w:tab w:val="left" w:pos="819"/>
          <w:tab w:val="left" w:pos="820"/>
        </w:tabs>
        <w:rPr>
          <w:b/>
          <w:sz w:val="24"/>
          <w:u w:val="none"/>
        </w:rPr>
      </w:pPr>
      <w:r>
        <w:rPr>
          <w:b/>
          <w:sz w:val="24"/>
          <w:u w:val="thick"/>
        </w:rPr>
        <w:t>Background</w:t>
      </w:r>
    </w:p>
    <w:p w:rsidR="00B54240" w:rsidRDefault="00B54240" w14:paraId="2C50F5A9" w14:textId="77777777">
      <w:pPr>
        <w:pStyle w:val="BodyText"/>
        <w:rPr>
          <w:b/>
          <w:sz w:val="17"/>
        </w:rPr>
      </w:pPr>
    </w:p>
    <w:p w:rsidR="00B54240" w:rsidRDefault="008E38C6" w14:paraId="38ED1F66" w14:textId="77777777">
      <w:pPr>
        <w:pStyle w:val="BodyText"/>
        <w:spacing w:before="90" w:line="247" w:lineRule="auto"/>
        <w:ind w:left="100" w:right="102"/>
      </w:pPr>
      <w:r>
        <w:t xml:space="preserve">The Clinical Laboratory Improvement Amendments of 1988 (CLIA), Public Law 100-578, was enacted on October 31, 1988. </w:t>
      </w:r>
      <w:r w:rsidR="00E279BD">
        <w:t xml:space="preserve"> </w:t>
      </w:r>
      <w:r>
        <w:t xml:space="preserve">CLIA established a new section 353 of the Public Health Service Act to replace the existing section 353. </w:t>
      </w:r>
      <w:r w:rsidR="00E279BD">
        <w:t xml:space="preserve"> </w:t>
      </w:r>
      <w:r>
        <w:t xml:space="preserve">Section 353 requires the Department of Health and Human Services (HHS) to establish certification requirements for any laboratory that performs tests on human specimens, and to certify through the issuance of a certificate that those laboratories meet the requirements established by HHS. </w:t>
      </w:r>
      <w:r w:rsidR="004B0AFB">
        <w:t xml:space="preserve"> </w:t>
      </w:r>
      <w:r>
        <w:t>Also, the legislation contains certificate requirements and specifies circumstances that permit certificates of waiver to be issued.</w:t>
      </w:r>
      <w:r w:rsidR="00E279BD">
        <w:t xml:space="preserve"> </w:t>
      </w:r>
      <w:r>
        <w:t xml:space="preserve"> The law also includes requirements for inspections, sanctions, judicial review, fees and disclosure of information to the public.</w:t>
      </w:r>
    </w:p>
    <w:p w:rsidR="00B54240" w:rsidRDefault="00B54240" w14:paraId="7BDA5F12" w14:textId="77777777">
      <w:pPr>
        <w:pStyle w:val="BodyText"/>
        <w:spacing w:before="9"/>
        <w:rPr>
          <w:sz w:val="23"/>
        </w:rPr>
      </w:pPr>
    </w:p>
    <w:p w:rsidR="00B54240" w:rsidRDefault="008E38C6" w14:paraId="037E3FA3" w14:textId="77777777">
      <w:pPr>
        <w:pStyle w:val="BodyText"/>
        <w:ind w:left="100"/>
      </w:pPr>
      <w:r>
        <w:t>Section 6141 of the Omnibus Budget Reconciliation Act of 1989 (OBRA ‘89), Public</w:t>
      </w:r>
    </w:p>
    <w:p w:rsidR="00B54240" w:rsidRDefault="008E38C6" w14:paraId="1D5BFAB4" w14:textId="77777777">
      <w:pPr>
        <w:pStyle w:val="BodyText"/>
        <w:spacing w:before="7" w:line="247" w:lineRule="auto"/>
        <w:ind w:left="100"/>
      </w:pPr>
      <w:r>
        <w:t xml:space="preserve">Law 101-239, requires that laboratories participating in the Medicare program comply with CLIA requirements. </w:t>
      </w:r>
      <w:r w:rsidR="004B0AFB">
        <w:t xml:space="preserve"> </w:t>
      </w:r>
      <w:r>
        <w:t>Subject to specified exceptions, laboratories must have a current unrevoked and unsuspended certificate to operate and to be eligible for reimbursement in the Medicare or Medicaid programs or both.</w:t>
      </w:r>
    </w:p>
    <w:p w:rsidR="00B54240" w:rsidRDefault="00B54240" w14:paraId="6CAD7E7D" w14:textId="77777777">
      <w:pPr>
        <w:pStyle w:val="BodyText"/>
        <w:spacing w:before="3"/>
      </w:pPr>
    </w:p>
    <w:p w:rsidR="00B54240" w:rsidRDefault="008E38C6" w14:paraId="56DA7CF7" w14:textId="77777777">
      <w:pPr>
        <w:pStyle w:val="BodyText"/>
        <w:spacing w:line="247" w:lineRule="auto"/>
        <w:ind w:left="100" w:right="659"/>
      </w:pPr>
      <w:r>
        <w:t xml:space="preserve">Final </w:t>
      </w:r>
      <w:r>
        <w:rPr>
          <w:spacing w:val="-3"/>
        </w:rPr>
        <w:t xml:space="preserve">CLIA </w:t>
      </w:r>
      <w:r>
        <w:t xml:space="preserve">regulations (with comment) were published in the </w:t>
      </w:r>
      <w:r>
        <w:rPr>
          <w:i/>
        </w:rPr>
        <w:t xml:space="preserve">Federal Register </w:t>
      </w:r>
      <w:r>
        <w:t xml:space="preserve">on February 28, 1992. </w:t>
      </w:r>
      <w:r w:rsidR="00E279BD">
        <w:t xml:space="preserve"> </w:t>
      </w:r>
      <w:r>
        <w:t xml:space="preserve">Compliance surveys of laboratories began September of 1992. </w:t>
      </w:r>
      <w:r w:rsidR="004B0AFB">
        <w:t xml:space="preserve"> </w:t>
      </w:r>
      <w:r>
        <w:t>The law provides for inspections on an announced or unannounced basis during regular hours of operation.</w:t>
      </w:r>
      <w:r w:rsidR="004B0AFB">
        <w:t xml:space="preserve"> </w:t>
      </w:r>
      <w:r>
        <w:t xml:space="preserve"> </w:t>
      </w:r>
      <w:r>
        <w:rPr>
          <w:spacing w:val="-3"/>
        </w:rPr>
        <w:t xml:space="preserve">In </w:t>
      </w:r>
      <w:r>
        <w:t>conducting such inspections, all records and information having a bearing on whether</w:t>
      </w:r>
      <w:r>
        <w:rPr>
          <w:spacing w:val="-3"/>
        </w:rPr>
        <w:t xml:space="preserve"> </w:t>
      </w:r>
      <w:r>
        <w:t>the</w:t>
      </w:r>
      <w:r>
        <w:rPr>
          <w:spacing w:val="-3"/>
        </w:rPr>
        <w:t xml:space="preserve"> </w:t>
      </w:r>
      <w:r>
        <w:t>laboratory</w:t>
      </w:r>
      <w:r>
        <w:rPr>
          <w:spacing w:val="-10"/>
        </w:rPr>
        <w:t xml:space="preserve"> </w:t>
      </w:r>
      <w:r>
        <w:t>is</w:t>
      </w:r>
      <w:r>
        <w:rPr>
          <w:spacing w:val="-2"/>
        </w:rPr>
        <w:t xml:space="preserve"> </w:t>
      </w:r>
      <w:r>
        <w:t>being</w:t>
      </w:r>
      <w:r>
        <w:rPr>
          <w:spacing w:val="-5"/>
        </w:rPr>
        <w:t xml:space="preserve"> </w:t>
      </w:r>
      <w:r>
        <w:t>operated</w:t>
      </w:r>
      <w:r>
        <w:rPr>
          <w:spacing w:val="-2"/>
        </w:rPr>
        <w:t xml:space="preserve"> </w:t>
      </w:r>
      <w:r>
        <w:t>in</w:t>
      </w:r>
      <w:r>
        <w:rPr>
          <w:spacing w:val="-1"/>
        </w:rPr>
        <w:t xml:space="preserve"> </w:t>
      </w:r>
      <w:r>
        <w:t>accordance</w:t>
      </w:r>
      <w:r>
        <w:rPr>
          <w:spacing w:val="-3"/>
        </w:rPr>
        <w:t xml:space="preserve"> </w:t>
      </w:r>
      <w:r>
        <w:t>with</w:t>
      </w:r>
      <w:r>
        <w:rPr>
          <w:spacing w:val="-2"/>
        </w:rPr>
        <w:t xml:space="preserve"> </w:t>
      </w:r>
      <w:r>
        <w:t>the</w:t>
      </w:r>
      <w:r>
        <w:rPr>
          <w:spacing w:val="-3"/>
        </w:rPr>
        <w:t xml:space="preserve"> </w:t>
      </w:r>
      <w:r>
        <w:t>law</w:t>
      </w:r>
      <w:r>
        <w:rPr>
          <w:spacing w:val="-3"/>
        </w:rPr>
        <w:t xml:space="preserve"> </w:t>
      </w:r>
      <w:r>
        <w:t>can</w:t>
      </w:r>
      <w:r>
        <w:rPr>
          <w:spacing w:val="-2"/>
        </w:rPr>
        <w:t xml:space="preserve"> </w:t>
      </w:r>
      <w:r>
        <w:t>be</w:t>
      </w:r>
      <w:r>
        <w:rPr>
          <w:spacing w:val="-3"/>
        </w:rPr>
        <w:t xml:space="preserve"> </w:t>
      </w:r>
      <w:r>
        <w:t>requested</w:t>
      </w:r>
      <w:r>
        <w:rPr>
          <w:spacing w:val="-2"/>
        </w:rPr>
        <w:t xml:space="preserve"> </w:t>
      </w:r>
      <w:r>
        <w:t>by</w:t>
      </w:r>
      <w:r>
        <w:rPr>
          <w:spacing w:val="-9"/>
        </w:rPr>
        <w:t xml:space="preserve"> </w:t>
      </w:r>
      <w:r>
        <w:t xml:space="preserve">the surveyor. </w:t>
      </w:r>
      <w:r w:rsidR="004B0AFB">
        <w:t xml:space="preserve"> </w:t>
      </w:r>
      <w:r>
        <w:t>These inspections are conducted on a biennial</w:t>
      </w:r>
      <w:r>
        <w:rPr>
          <w:spacing w:val="-7"/>
        </w:rPr>
        <w:t xml:space="preserve"> </w:t>
      </w:r>
      <w:r>
        <w:t>basis.</w:t>
      </w:r>
    </w:p>
    <w:p w:rsidR="00B54240" w:rsidRDefault="00B54240" w14:paraId="16F8FDCE" w14:textId="77777777">
      <w:pPr>
        <w:pStyle w:val="BodyText"/>
        <w:spacing w:before="1"/>
      </w:pPr>
    </w:p>
    <w:p w:rsidR="00B54240" w:rsidRDefault="008E38C6" w14:paraId="692D74CA" w14:textId="77777777">
      <w:pPr>
        <w:pStyle w:val="BodyText"/>
        <w:ind w:left="100"/>
      </w:pPr>
      <w:r>
        <w:t xml:space="preserve">For this submission, we are making </w:t>
      </w:r>
      <w:r w:rsidR="004B0AFB">
        <w:t>no</w:t>
      </w:r>
      <w:r>
        <w:t xml:space="preserve"> revisions to the collection instrument.</w:t>
      </w:r>
    </w:p>
    <w:p w:rsidR="00B54240" w:rsidRDefault="00B54240" w14:paraId="0FE668FD" w14:textId="77777777">
      <w:pPr>
        <w:pStyle w:val="BodyText"/>
        <w:spacing w:before="8"/>
        <w:rPr>
          <w:sz w:val="25"/>
        </w:rPr>
      </w:pPr>
    </w:p>
    <w:p w:rsidR="00B54240" w:rsidRDefault="008E38C6" w14:paraId="15567234" w14:textId="77777777">
      <w:pPr>
        <w:pStyle w:val="Heading1"/>
        <w:numPr>
          <w:ilvl w:val="0"/>
          <w:numId w:val="1"/>
        </w:numPr>
        <w:tabs>
          <w:tab w:val="left" w:pos="819"/>
          <w:tab w:val="left" w:pos="820"/>
        </w:tabs>
      </w:pPr>
      <w:r>
        <w:rPr>
          <w:u w:val="thick"/>
        </w:rPr>
        <w:t>Justification</w:t>
      </w:r>
    </w:p>
    <w:p w:rsidR="00B54240" w:rsidRDefault="00B54240" w14:paraId="3067E286" w14:textId="77777777">
      <w:pPr>
        <w:pStyle w:val="BodyText"/>
        <w:rPr>
          <w:b/>
          <w:sz w:val="17"/>
        </w:rPr>
      </w:pPr>
    </w:p>
    <w:p w:rsidR="00B54240" w:rsidRDefault="008E38C6" w14:paraId="1C69F9E9" w14:textId="77777777">
      <w:pPr>
        <w:pStyle w:val="ListParagraph"/>
        <w:numPr>
          <w:ilvl w:val="1"/>
          <w:numId w:val="1"/>
        </w:numPr>
        <w:tabs>
          <w:tab w:val="left" w:pos="819"/>
          <w:tab w:val="left" w:pos="820"/>
        </w:tabs>
        <w:spacing w:before="90"/>
        <w:rPr>
          <w:sz w:val="24"/>
          <w:u w:val="none"/>
        </w:rPr>
      </w:pPr>
      <w:r>
        <w:rPr>
          <w:sz w:val="24"/>
        </w:rPr>
        <w:t xml:space="preserve">Need and </w:t>
      </w:r>
      <w:r>
        <w:rPr>
          <w:spacing w:val="-3"/>
          <w:sz w:val="24"/>
        </w:rPr>
        <w:t>Legal</w:t>
      </w:r>
      <w:r>
        <w:rPr>
          <w:spacing w:val="-1"/>
          <w:sz w:val="24"/>
        </w:rPr>
        <w:t xml:space="preserve"> </w:t>
      </w:r>
      <w:r>
        <w:rPr>
          <w:sz w:val="24"/>
        </w:rPr>
        <w:t>Basis</w:t>
      </w:r>
    </w:p>
    <w:p w:rsidR="00B54240" w:rsidRDefault="00B54240" w14:paraId="28A52135" w14:textId="77777777">
      <w:pPr>
        <w:pStyle w:val="BodyText"/>
        <w:spacing w:before="5"/>
        <w:rPr>
          <w:sz w:val="17"/>
        </w:rPr>
      </w:pPr>
    </w:p>
    <w:p w:rsidR="00B54240" w:rsidRDefault="008E38C6" w14:paraId="61F7C59E" w14:textId="77777777">
      <w:pPr>
        <w:pStyle w:val="BodyText"/>
        <w:spacing w:before="90" w:line="247" w:lineRule="auto"/>
        <w:ind w:left="820" w:right="102"/>
      </w:pPr>
      <w:r>
        <w:t>The information collected on this survey form is used in the administrative pursuit of the Congressionally-mandated program with regard to regulation of laboratories participating in CLIA.</w:t>
      </w:r>
    </w:p>
    <w:p w:rsidR="00B54240" w:rsidRDefault="00B54240" w14:paraId="796536A8" w14:textId="77777777">
      <w:pPr>
        <w:pStyle w:val="BodyText"/>
        <w:spacing w:before="4"/>
      </w:pPr>
    </w:p>
    <w:p w:rsidR="00B54240" w:rsidRDefault="008E38C6" w14:paraId="3AEEB954" w14:textId="77777777">
      <w:pPr>
        <w:pStyle w:val="BodyText"/>
        <w:ind w:left="820"/>
      </w:pPr>
      <w:r>
        <w:t>Legislative regulatory authority for this activity is Public Law 100-578.</w:t>
      </w:r>
    </w:p>
    <w:p w:rsidR="00B54240" w:rsidRDefault="00B54240" w14:paraId="73488D60" w14:textId="77777777">
      <w:pPr>
        <w:pStyle w:val="BodyText"/>
        <w:spacing w:before="3"/>
        <w:rPr>
          <w:sz w:val="25"/>
        </w:rPr>
      </w:pPr>
    </w:p>
    <w:p w:rsidR="00B54240" w:rsidRDefault="008E38C6" w14:paraId="41648F1D" w14:textId="77777777">
      <w:pPr>
        <w:pStyle w:val="BodyText"/>
        <w:spacing w:line="247" w:lineRule="auto"/>
        <w:ind w:left="820" w:right="102"/>
      </w:pPr>
      <w:r>
        <w:t xml:space="preserve">To determine compliance, the Secretary has authorized States [in Section 1864(a) of the Social Security Act] through contracts to conduct surveys of laboratories under CLIA. </w:t>
      </w:r>
      <w:r w:rsidR="004B0AFB">
        <w:t xml:space="preserve"> </w:t>
      </w:r>
      <w:r>
        <w:t>In order for the State survey agency to report to the Centers for Medicare &amp; Medicaid Services (CMS) its findings on facility compliance with the individual standards on</w:t>
      </w:r>
    </w:p>
    <w:p w:rsidR="00B54240" w:rsidRDefault="00B54240" w14:paraId="49D33376" w14:textId="77777777">
      <w:pPr>
        <w:spacing w:line="247" w:lineRule="auto"/>
        <w:sectPr w:rsidR="00B54240">
          <w:type w:val="continuous"/>
          <w:pgSz w:w="12240" w:h="15840"/>
          <w:pgMar w:top="1380" w:right="1340" w:bottom="280" w:left="1340" w:header="720" w:footer="720" w:gutter="0"/>
          <w:cols w:space="720"/>
        </w:sectPr>
      </w:pPr>
    </w:p>
    <w:p w:rsidR="00B54240" w:rsidRDefault="008E38C6" w14:paraId="466A0D3C" w14:textId="77777777">
      <w:pPr>
        <w:pStyle w:val="BodyText"/>
        <w:spacing w:before="61" w:line="247" w:lineRule="auto"/>
        <w:ind w:left="819" w:right="102"/>
      </w:pPr>
      <w:r>
        <w:lastRenderedPageBreak/>
        <w:t xml:space="preserve">which CMS determines compliance, the surveyor completes the Survey Report Form (CLIA) (CMS-1557). </w:t>
      </w:r>
    </w:p>
    <w:p w:rsidR="00B54240" w:rsidRDefault="00B54240" w14:paraId="6D8A88B1" w14:textId="77777777">
      <w:pPr>
        <w:pStyle w:val="BodyText"/>
        <w:spacing w:before="4"/>
      </w:pPr>
    </w:p>
    <w:p w:rsidRPr="008E38C6" w:rsidR="00B54240" w:rsidRDefault="008E38C6" w14:paraId="76AADC98" w14:textId="77777777">
      <w:pPr>
        <w:pStyle w:val="BodyText"/>
        <w:spacing w:line="247" w:lineRule="auto"/>
        <w:ind w:left="819" w:right="1135"/>
      </w:pPr>
      <w:r>
        <w:t xml:space="preserve">To facilitate validation of information submitted by the laboratory to CMS, the CMS-1557 </w:t>
      </w:r>
      <w:r w:rsidRPr="008E38C6">
        <w:t>follows the format of the CLIA application (CMS-116,</w:t>
      </w:r>
    </w:p>
    <w:p w:rsidR="00B54240" w:rsidRDefault="008E38C6" w14:paraId="13DD9B72" w14:textId="77777777">
      <w:pPr>
        <w:pStyle w:val="BodyText"/>
        <w:spacing w:line="247" w:lineRule="auto"/>
        <w:ind w:left="819" w:right="203"/>
      </w:pPr>
      <w:r w:rsidRPr="008E38C6">
        <w:t>OMB Number: 0938-0581) where possible.</w:t>
      </w:r>
      <w:r>
        <w:t xml:space="preserve"> </w:t>
      </w:r>
      <w:r w:rsidR="004B0AFB">
        <w:t xml:space="preserve"> </w:t>
      </w:r>
      <w:r>
        <w:t xml:space="preserve">This form will require an estimated range from 5 minutes to 60 minutes to complete. </w:t>
      </w:r>
      <w:r w:rsidR="004B0AFB">
        <w:t xml:space="preserve"> </w:t>
      </w:r>
      <w:r>
        <w:t xml:space="preserve">This is based on information available in the Regulatory Impact Analysis of HSQ-176-FC. </w:t>
      </w:r>
      <w:r w:rsidR="004B0AFB">
        <w:t xml:space="preserve"> </w:t>
      </w:r>
      <w:r>
        <w:t xml:space="preserve">There are approximately </w:t>
      </w:r>
      <w:r w:rsidRPr="00880336">
        <w:t>1</w:t>
      </w:r>
      <w:r w:rsidRPr="00880336" w:rsidR="004E1431">
        <w:t>5,975</w:t>
      </w:r>
      <w:r>
        <w:t xml:space="preserve"> laboratories in the CLIA data base that require a State survey for CLIA compliance. </w:t>
      </w:r>
      <w:r w:rsidR="004B0AFB">
        <w:t xml:space="preserve"> </w:t>
      </w:r>
      <w:r>
        <w:t xml:space="preserve">An average time of 30 minutes for form completion was </w:t>
      </w:r>
      <w:r w:rsidR="00840251">
        <w:t>used</w:t>
      </w:r>
      <w:r>
        <w:t>.</w:t>
      </w:r>
    </w:p>
    <w:p w:rsidR="00B54240" w:rsidRDefault="00B54240" w14:paraId="37A1315E" w14:textId="77777777">
      <w:pPr>
        <w:pStyle w:val="BodyText"/>
      </w:pPr>
    </w:p>
    <w:p w:rsidR="00B54240" w:rsidRDefault="008E38C6" w14:paraId="3DEFAB88" w14:textId="77777777">
      <w:pPr>
        <w:pStyle w:val="BodyText"/>
        <w:spacing w:line="247" w:lineRule="auto"/>
        <w:ind w:left="819" w:right="102"/>
      </w:pPr>
      <w:r>
        <w:t xml:space="preserve">Portions of the form will be filled out prior to the onsite survey (e.g., general information, survey status, State license number, State/county/State region code, Medicare provider number, personnel, specialties/subspecialties, accredited program, annual test volume) and verified onsite. </w:t>
      </w:r>
      <w:r w:rsidR="004B0AFB">
        <w:t xml:space="preserve"> </w:t>
      </w:r>
      <w:r>
        <w:t xml:space="preserve">As necessary, the surveyor will enter the addition or deletion of specialty/subspecialty testing and the appropriate effective date. </w:t>
      </w:r>
      <w:r w:rsidR="004B0AFB">
        <w:t xml:space="preserve"> </w:t>
      </w:r>
      <w:r w:rsidRPr="00E279BD">
        <w:t>The surveyor can record pertinent proficiency testing information (i.e., program, score, unsuccessful participation for an analyte, etc.) in the column provided.</w:t>
      </w:r>
    </w:p>
    <w:p w:rsidR="00B54240" w:rsidRDefault="00B54240" w14:paraId="2E9445B7" w14:textId="77777777">
      <w:pPr>
        <w:pStyle w:val="BodyText"/>
      </w:pPr>
    </w:p>
    <w:p w:rsidR="00B54240" w:rsidRDefault="008E38C6" w14:paraId="094357FF" w14:textId="77777777">
      <w:pPr>
        <w:pStyle w:val="ListParagraph"/>
        <w:numPr>
          <w:ilvl w:val="1"/>
          <w:numId w:val="1"/>
        </w:numPr>
        <w:tabs>
          <w:tab w:val="left" w:pos="819"/>
          <w:tab w:val="left" w:pos="820"/>
        </w:tabs>
        <w:rPr>
          <w:sz w:val="24"/>
          <w:u w:val="none"/>
        </w:rPr>
      </w:pPr>
      <w:r>
        <w:rPr>
          <w:sz w:val="24"/>
        </w:rPr>
        <w:t>Information</w:t>
      </w:r>
      <w:r>
        <w:rPr>
          <w:spacing w:val="-1"/>
          <w:sz w:val="24"/>
        </w:rPr>
        <w:t xml:space="preserve"> </w:t>
      </w:r>
      <w:r>
        <w:rPr>
          <w:sz w:val="24"/>
        </w:rPr>
        <w:t>Users</w:t>
      </w:r>
    </w:p>
    <w:p w:rsidR="00B54240" w:rsidRDefault="00B54240" w14:paraId="7793954B" w14:textId="77777777">
      <w:pPr>
        <w:pStyle w:val="BodyText"/>
        <w:spacing w:before="5"/>
        <w:rPr>
          <w:sz w:val="17"/>
        </w:rPr>
      </w:pPr>
    </w:p>
    <w:p w:rsidR="00B54240" w:rsidRDefault="008E38C6" w14:paraId="73D35F45" w14:textId="77777777">
      <w:pPr>
        <w:pStyle w:val="BodyText"/>
        <w:spacing w:before="90" w:line="247" w:lineRule="auto"/>
        <w:ind w:left="819" w:right="203"/>
      </w:pPr>
      <w:r>
        <w:t xml:space="preserve">CMS-1557 is used to report surveyor findings during a CLIA survey. </w:t>
      </w:r>
      <w:r w:rsidR="005D089F">
        <w:t xml:space="preserve"> </w:t>
      </w:r>
      <w:r>
        <w:t xml:space="preserve">For each type of survey conducted (i.e., initial certification, recertification, validation, complaint, addition/deletion of specialty/subspecialty, transfusion fatality investigation, or revisit inspections), the Survey Report Form (CLIA) incorporates requirements as specified by the CLIA regulations. </w:t>
      </w:r>
      <w:r w:rsidR="005D089F">
        <w:t xml:space="preserve"> </w:t>
      </w:r>
      <w:r>
        <w:t>The laboratory surveyor uses the CMS-1557 to record the number of personnel and the positions they serve under CLIA (i.e., laboratory director, technical consultant, clinical consultant, technical supervisor, general supervisor, cytology general supervisor, cytotechnologist, and testing personnel), the CLIA specialties and subspecialties performed in the laboratory and pertinent proficiency testing information.</w:t>
      </w:r>
    </w:p>
    <w:p w:rsidR="00B54240" w:rsidRDefault="00B54240" w14:paraId="0EFAD22E" w14:textId="77777777">
      <w:pPr>
        <w:pStyle w:val="BodyText"/>
        <w:spacing w:before="9"/>
        <w:rPr>
          <w:sz w:val="23"/>
        </w:rPr>
      </w:pPr>
    </w:p>
    <w:p w:rsidR="00B54240" w:rsidRDefault="008E38C6" w14:paraId="475DE8C8" w14:textId="77777777">
      <w:pPr>
        <w:pStyle w:val="ListParagraph"/>
        <w:numPr>
          <w:ilvl w:val="1"/>
          <w:numId w:val="1"/>
        </w:numPr>
        <w:tabs>
          <w:tab w:val="left" w:pos="819"/>
          <w:tab w:val="left" w:pos="820"/>
        </w:tabs>
        <w:rPr>
          <w:sz w:val="24"/>
          <w:u w:val="none"/>
        </w:rPr>
      </w:pPr>
      <w:r>
        <w:rPr>
          <w:sz w:val="24"/>
        </w:rPr>
        <w:t>Use of Information</w:t>
      </w:r>
      <w:r>
        <w:rPr>
          <w:spacing w:val="-3"/>
          <w:sz w:val="24"/>
        </w:rPr>
        <w:t xml:space="preserve"> </w:t>
      </w:r>
      <w:r>
        <w:rPr>
          <w:sz w:val="24"/>
        </w:rPr>
        <w:t>Technology</w:t>
      </w:r>
    </w:p>
    <w:p w:rsidR="00B54240" w:rsidRDefault="00B54240" w14:paraId="78B811BA" w14:textId="77777777">
      <w:pPr>
        <w:pStyle w:val="BodyText"/>
        <w:spacing w:before="5"/>
        <w:rPr>
          <w:sz w:val="17"/>
        </w:rPr>
      </w:pPr>
    </w:p>
    <w:p w:rsidR="002F54EB" w:rsidRDefault="008E38C6" w14:paraId="488CFAF1" w14:textId="77777777">
      <w:pPr>
        <w:pStyle w:val="BodyText"/>
        <w:spacing w:before="90" w:line="247" w:lineRule="auto"/>
        <w:ind w:left="820" w:right="102"/>
      </w:pPr>
      <w:r>
        <w:t xml:space="preserve">The form is available electronically on the CMS Internet at </w:t>
      </w:r>
      <w:hyperlink r:id="rId8">
        <w:r>
          <w:rPr>
            <w:color w:val="0000FF"/>
            <w:u w:val="single" w:color="0000FF"/>
          </w:rPr>
          <w:t>http://www.cms.hhs.gov/forms/</w:t>
        </w:r>
        <w:r>
          <w:t>.</w:t>
        </w:r>
      </w:hyperlink>
      <w:r>
        <w:t xml:space="preserve"> </w:t>
      </w:r>
      <w:r w:rsidR="002F54EB">
        <w:t xml:space="preserve"> The majority of the</w:t>
      </w:r>
      <w:r w:rsidR="002E3810">
        <w:t xml:space="preserve"> information is captured </w:t>
      </w:r>
      <w:r w:rsidR="002F54EB">
        <w:t>electronically in the</w:t>
      </w:r>
      <w:r w:rsidR="007132C3">
        <w:t xml:space="preserve"> </w:t>
      </w:r>
      <w:r w:rsidR="007132C3">
        <w:rPr>
          <w:sz w:val="23"/>
          <w:szCs w:val="23"/>
        </w:rPr>
        <w:t>Automated Survey Processing Environment (ASPEN)</w:t>
      </w:r>
      <w:r w:rsidR="008C49F5">
        <w:rPr>
          <w:sz w:val="23"/>
          <w:szCs w:val="23"/>
        </w:rPr>
        <w:t xml:space="preserve"> system</w:t>
      </w:r>
      <w:r w:rsidR="007132C3">
        <w:rPr>
          <w:sz w:val="23"/>
          <w:szCs w:val="23"/>
        </w:rPr>
        <w:t xml:space="preserve">. </w:t>
      </w:r>
      <w:r w:rsidR="002F54EB">
        <w:t xml:space="preserve"> However, a few are collected as a hardcopy.</w:t>
      </w:r>
    </w:p>
    <w:p w:rsidR="002E3810" w:rsidRDefault="002E3810" w14:paraId="6383B874" w14:textId="77777777">
      <w:pPr>
        <w:pStyle w:val="BodyText"/>
        <w:spacing w:before="90" w:line="247" w:lineRule="auto"/>
        <w:ind w:left="820" w:right="102"/>
      </w:pPr>
    </w:p>
    <w:p w:rsidR="00B54240" w:rsidRDefault="002E3810" w14:paraId="4F48303A" w14:textId="77777777">
      <w:pPr>
        <w:pStyle w:val="ListParagraph"/>
        <w:numPr>
          <w:ilvl w:val="1"/>
          <w:numId w:val="1"/>
        </w:numPr>
        <w:tabs>
          <w:tab w:val="left" w:pos="819"/>
          <w:tab w:val="left" w:pos="820"/>
        </w:tabs>
        <w:rPr>
          <w:sz w:val="24"/>
          <w:u w:val="none"/>
        </w:rPr>
      </w:pPr>
      <w:r>
        <w:rPr>
          <w:sz w:val="24"/>
        </w:rPr>
        <w:t>D</w:t>
      </w:r>
      <w:r w:rsidR="008E38C6">
        <w:rPr>
          <w:sz w:val="24"/>
        </w:rPr>
        <w:t>uplication of</w:t>
      </w:r>
      <w:r w:rsidR="008E38C6">
        <w:rPr>
          <w:spacing w:val="-2"/>
          <w:sz w:val="24"/>
        </w:rPr>
        <w:t xml:space="preserve"> </w:t>
      </w:r>
      <w:r w:rsidR="008E38C6">
        <w:rPr>
          <w:sz w:val="24"/>
        </w:rPr>
        <w:t>Efforts</w:t>
      </w:r>
    </w:p>
    <w:p w:rsidR="00B54240" w:rsidRDefault="00B54240" w14:paraId="1F6F051A" w14:textId="77777777">
      <w:pPr>
        <w:pStyle w:val="BodyText"/>
        <w:spacing w:before="5"/>
        <w:rPr>
          <w:sz w:val="17"/>
        </w:rPr>
      </w:pPr>
    </w:p>
    <w:p w:rsidR="00B54240" w:rsidRDefault="008E38C6" w14:paraId="01237CBB" w14:textId="77777777">
      <w:pPr>
        <w:pStyle w:val="BodyText"/>
        <w:spacing w:before="90" w:line="247" w:lineRule="auto"/>
        <w:ind w:left="820" w:right="160"/>
        <w:jc w:val="both"/>
      </w:pPr>
      <w:r>
        <w:t>Information</w:t>
      </w:r>
      <w:r>
        <w:rPr>
          <w:spacing w:val="-7"/>
        </w:rPr>
        <w:t xml:space="preserve"> </w:t>
      </w:r>
      <w:r>
        <w:t>(general,</w:t>
      </w:r>
      <w:r>
        <w:rPr>
          <w:spacing w:val="-7"/>
        </w:rPr>
        <w:t xml:space="preserve"> </w:t>
      </w:r>
      <w:r>
        <w:t>specialty/subspecialty,</w:t>
      </w:r>
      <w:r>
        <w:rPr>
          <w:spacing w:val="-7"/>
        </w:rPr>
        <w:t xml:space="preserve"> </w:t>
      </w:r>
      <w:r>
        <w:t>accredited</w:t>
      </w:r>
      <w:r>
        <w:rPr>
          <w:spacing w:val="-6"/>
        </w:rPr>
        <w:t xml:space="preserve"> </w:t>
      </w:r>
      <w:r>
        <w:t>program,</w:t>
      </w:r>
      <w:r>
        <w:rPr>
          <w:spacing w:val="-7"/>
        </w:rPr>
        <w:t xml:space="preserve"> </w:t>
      </w:r>
      <w:r>
        <w:t>and</w:t>
      </w:r>
      <w:r>
        <w:rPr>
          <w:spacing w:val="-7"/>
        </w:rPr>
        <w:t xml:space="preserve"> </w:t>
      </w:r>
      <w:r>
        <w:t>annual</w:t>
      </w:r>
      <w:r>
        <w:rPr>
          <w:spacing w:val="-7"/>
        </w:rPr>
        <w:t xml:space="preserve"> </w:t>
      </w:r>
      <w:r>
        <w:t>test</w:t>
      </w:r>
      <w:r>
        <w:rPr>
          <w:spacing w:val="-7"/>
        </w:rPr>
        <w:t xml:space="preserve"> </w:t>
      </w:r>
      <w:r>
        <w:t xml:space="preserve">volume) collected on the application is validated by the inspection process. </w:t>
      </w:r>
      <w:r w:rsidR="004A4E7D">
        <w:t xml:space="preserve"> </w:t>
      </w:r>
      <w:r>
        <w:t>The number of</w:t>
      </w:r>
      <w:r>
        <w:rPr>
          <w:spacing w:val="-31"/>
        </w:rPr>
        <w:t xml:space="preserve"> </w:t>
      </w:r>
      <w:r>
        <w:t>people qualified under each applicable regulatory section, addition/deletion</w:t>
      </w:r>
      <w:r>
        <w:rPr>
          <w:spacing w:val="-15"/>
        </w:rPr>
        <w:t xml:space="preserve"> </w:t>
      </w:r>
      <w:r>
        <w:t>of</w:t>
      </w:r>
    </w:p>
    <w:p w:rsidR="00B54240" w:rsidRDefault="00B54240" w14:paraId="4974D3F2" w14:textId="77777777">
      <w:pPr>
        <w:spacing w:line="247" w:lineRule="auto"/>
        <w:jc w:val="both"/>
        <w:sectPr w:rsidR="00B54240">
          <w:pgSz w:w="12240" w:h="15840"/>
          <w:pgMar w:top="1380" w:right="1340" w:bottom="280" w:left="1340" w:header="720" w:footer="720" w:gutter="0"/>
          <w:cols w:space="720"/>
        </w:sectPr>
      </w:pPr>
    </w:p>
    <w:p w:rsidR="00B54240" w:rsidRDefault="008E38C6" w14:paraId="21F3C5BB" w14:textId="77777777">
      <w:pPr>
        <w:pStyle w:val="BodyText"/>
        <w:spacing w:before="61" w:line="247" w:lineRule="auto"/>
        <w:ind w:left="820" w:right="102"/>
      </w:pPr>
      <w:r>
        <w:lastRenderedPageBreak/>
        <w:t>specialty/subspecialty and effective dates, and proficiency testing data is not collected on any other CLIA survey report form.</w:t>
      </w:r>
    </w:p>
    <w:p w:rsidR="00B54240" w:rsidRDefault="008E38C6" w14:paraId="1FF55B92" w14:textId="77777777">
      <w:pPr>
        <w:pStyle w:val="ListParagraph"/>
        <w:numPr>
          <w:ilvl w:val="1"/>
          <w:numId w:val="1"/>
        </w:numPr>
        <w:tabs>
          <w:tab w:val="left" w:pos="819"/>
          <w:tab w:val="left" w:pos="820"/>
        </w:tabs>
        <w:spacing w:before="195"/>
        <w:rPr>
          <w:sz w:val="24"/>
          <w:u w:val="none"/>
        </w:rPr>
      </w:pPr>
      <w:r>
        <w:rPr>
          <w:sz w:val="24"/>
        </w:rPr>
        <w:t>Small</w:t>
      </w:r>
      <w:r>
        <w:rPr>
          <w:spacing w:val="-1"/>
          <w:sz w:val="24"/>
        </w:rPr>
        <w:t xml:space="preserve"> </w:t>
      </w:r>
      <w:r>
        <w:rPr>
          <w:sz w:val="24"/>
        </w:rPr>
        <w:t>Business</w:t>
      </w:r>
    </w:p>
    <w:p w:rsidR="00B54240" w:rsidRDefault="00B54240" w14:paraId="22C6B234" w14:textId="77777777">
      <w:pPr>
        <w:pStyle w:val="BodyText"/>
        <w:spacing w:before="5"/>
        <w:rPr>
          <w:sz w:val="17"/>
        </w:rPr>
      </w:pPr>
    </w:p>
    <w:p w:rsidR="00B54240" w:rsidRDefault="008E38C6" w14:paraId="3BAF3747" w14:textId="77777777">
      <w:pPr>
        <w:pStyle w:val="BodyText"/>
        <w:spacing w:before="90" w:line="247" w:lineRule="auto"/>
        <w:ind w:left="820" w:right="203"/>
      </w:pPr>
      <w:r>
        <w:t>These requirements do not significantly affect small businesses.</w:t>
      </w:r>
      <w:r w:rsidR="004A4E7D">
        <w:t xml:space="preserve"> </w:t>
      </w:r>
      <w:r>
        <w:t xml:space="preserve"> </w:t>
      </w:r>
      <w:r w:rsidRPr="00ED1982" w:rsidR="00ED1982">
        <w:t xml:space="preserve">We believe that the number of small business entities is similar to the number of low </w:t>
      </w:r>
      <w:proofErr w:type="gramStart"/>
      <w:r w:rsidRPr="00ED1982" w:rsidR="00ED1982">
        <w:t>volume</w:t>
      </w:r>
      <w:proofErr w:type="gramEnd"/>
      <w:r w:rsidRPr="00ED1982" w:rsidR="00ED1982">
        <w:t xml:space="preserve"> A CLIA certificate of compliance facilities.  As of </w:t>
      </w:r>
      <w:r w:rsidR="00ED1982">
        <w:t>May</w:t>
      </w:r>
      <w:r w:rsidRPr="00ED1982" w:rsidR="00ED1982">
        <w:t xml:space="preserve"> 202</w:t>
      </w:r>
      <w:r w:rsidR="00ED1982">
        <w:t>1</w:t>
      </w:r>
      <w:r w:rsidRPr="00ED1982" w:rsidR="00ED1982">
        <w:t xml:space="preserve">, there are </w:t>
      </w:r>
      <w:r w:rsidR="00ED1982">
        <w:t>5,658</w:t>
      </w:r>
      <w:r w:rsidRPr="00ED1982" w:rsidR="00ED1982">
        <w:t xml:space="preserve"> low volume A CLIA certificate of compliance facilities.  </w:t>
      </w:r>
      <w:r>
        <w:t>To reduce impact to small businesses, the form was designed to only collect the information necessary to establish compliance with the CLIA regulations.</w:t>
      </w:r>
    </w:p>
    <w:p w:rsidR="00B54240" w:rsidRDefault="00B54240" w14:paraId="4BE87616" w14:textId="77777777">
      <w:pPr>
        <w:pStyle w:val="BodyText"/>
        <w:spacing w:before="4"/>
      </w:pPr>
    </w:p>
    <w:p w:rsidR="00B54240" w:rsidRDefault="008E38C6" w14:paraId="3006F4EC" w14:textId="77777777">
      <w:pPr>
        <w:pStyle w:val="ListParagraph"/>
        <w:numPr>
          <w:ilvl w:val="1"/>
          <w:numId w:val="1"/>
        </w:numPr>
        <w:tabs>
          <w:tab w:val="left" w:pos="819"/>
          <w:tab w:val="left" w:pos="820"/>
        </w:tabs>
        <w:rPr>
          <w:sz w:val="24"/>
          <w:u w:val="none"/>
        </w:rPr>
      </w:pPr>
      <w:r>
        <w:rPr>
          <w:sz w:val="24"/>
        </w:rPr>
        <w:t>Less Frequent</w:t>
      </w:r>
      <w:r>
        <w:rPr>
          <w:spacing w:val="-1"/>
          <w:sz w:val="24"/>
        </w:rPr>
        <w:t xml:space="preserve"> </w:t>
      </w:r>
      <w:r>
        <w:rPr>
          <w:sz w:val="24"/>
        </w:rPr>
        <w:t>Collection</w:t>
      </w:r>
    </w:p>
    <w:p w:rsidR="00B54240" w:rsidRDefault="00B54240" w14:paraId="15EECDCA" w14:textId="77777777">
      <w:pPr>
        <w:pStyle w:val="BodyText"/>
        <w:spacing w:before="5"/>
        <w:rPr>
          <w:sz w:val="17"/>
        </w:rPr>
      </w:pPr>
    </w:p>
    <w:p w:rsidR="00B54240" w:rsidRDefault="008E38C6" w14:paraId="05597FE0" w14:textId="77777777">
      <w:pPr>
        <w:pStyle w:val="BodyText"/>
        <w:spacing w:before="90" w:line="247" w:lineRule="auto"/>
        <w:ind w:left="820" w:right="102"/>
      </w:pPr>
      <w:r>
        <w:t xml:space="preserve">Under CLIA, laboratories are required to be surveyed once every 2 years. </w:t>
      </w:r>
      <w:r w:rsidR="004A4E7D">
        <w:t xml:space="preserve"> </w:t>
      </w:r>
      <w:r>
        <w:t>If this information would be collected less frequently, the CLIA survey findings would be negatively impacted.</w:t>
      </w:r>
    </w:p>
    <w:p w:rsidR="00B54240" w:rsidRDefault="00B54240" w14:paraId="558B5E69" w14:textId="77777777">
      <w:pPr>
        <w:pStyle w:val="BodyText"/>
        <w:spacing w:before="4"/>
      </w:pPr>
    </w:p>
    <w:p w:rsidR="00B54240" w:rsidRDefault="008E38C6" w14:paraId="5EB1B829" w14:textId="77777777">
      <w:pPr>
        <w:pStyle w:val="ListParagraph"/>
        <w:numPr>
          <w:ilvl w:val="1"/>
          <w:numId w:val="1"/>
        </w:numPr>
        <w:tabs>
          <w:tab w:val="left" w:pos="819"/>
          <w:tab w:val="left" w:pos="820"/>
        </w:tabs>
        <w:rPr>
          <w:sz w:val="24"/>
          <w:u w:val="none"/>
        </w:rPr>
      </w:pPr>
      <w:r>
        <w:rPr>
          <w:sz w:val="24"/>
        </w:rPr>
        <w:t>Special Circumstances for Information</w:t>
      </w:r>
      <w:r>
        <w:rPr>
          <w:spacing w:val="-3"/>
          <w:sz w:val="24"/>
        </w:rPr>
        <w:t xml:space="preserve"> </w:t>
      </w:r>
      <w:r>
        <w:rPr>
          <w:sz w:val="24"/>
        </w:rPr>
        <w:t>Collection</w:t>
      </w:r>
    </w:p>
    <w:p w:rsidR="00B54240" w:rsidRDefault="00B54240" w14:paraId="62F2EAD0" w14:textId="77777777">
      <w:pPr>
        <w:pStyle w:val="BodyText"/>
        <w:spacing w:before="5"/>
        <w:rPr>
          <w:sz w:val="17"/>
        </w:rPr>
      </w:pPr>
    </w:p>
    <w:p w:rsidR="00B54240" w:rsidRDefault="008E38C6" w14:paraId="1C271950" w14:textId="77777777">
      <w:pPr>
        <w:pStyle w:val="BodyText"/>
        <w:spacing w:before="90"/>
        <w:ind w:left="820"/>
      </w:pPr>
      <w:r>
        <w:t>There are no special circumstances associated with this collection.</w:t>
      </w:r>
    </w:p>
    <w:p w:rsidR="00B54240" w:rsidRDefault="00B54240" w14:paraId="2302CD2F" w14:textId="77777777">
      <w:pPr>
        <w:pStyle w:val="BodyText"/>
        <w:spacing w:before="3"/>
        <w:rPr>
          <w:sz w:val="25"/>
        </w:rPr>
      </w:pPr>
    </w:p>
    <w:p w:rsidR="00B54240" w:rsidRDefault="008E38C6" w14:paraId="3D86439D" w14:textId="77777777">
      <w:pPr>
        <w:pStyle w:val="ListParagraph"/>
        <w:numPr>
          <w:ilvl w:val="1"/>
          <w:numId w:val="1"/>
        </w:numPr>
        <w:tabs>
          <w:tab w:val="left" w:pos="819"/>
          <w:tab w:val="left" w:pos="820"/>
        </w:tabs>
        <w:rPr>
          <w:sz w:val="24"/>
          <w:u w:val="none"/>
        </w:rPr>
      </w:pPr>
      <w:r>
        <w:rPr>
          <w:sz w:val="24"/>
        </w:rPr>
        <w:t>Federal Register/Outside</w:t>
      </w:r>
      <w:r>
        <w:rPr>
          <w:spacing w:val="-2"/>
          <w:sz w:val="24"/>
        </w:rPr>
        <w:t xml:space="preserve"> </w:t>
      </w:r>
      <w:r>
        <w:rPr>
          <w:sz w:val="24"/>
        </w:rPr>
        <w:t>Consultation</w:t>
      </w:r>
    </w:p>
    <w:p w:rsidR="00B54240" w:rsidRDefault="00B54240" w14:paraId="62DCB912" w14:textId="77777777">
      <w:pPr>
        <w:pStyle w:val="BodyText"/>
        <w:spacing w:before="5"/>
        <w:rPr>
          <w:sz w:val="17"/>
        </w:rPr>
      </w:pPr>
    </w:p>
    <w:p w:rsidR="00C65FA0" w:rsidP="00C65FA0" w:rsidRDefault="008E38C6" w14:paraId="5585A91D" w14:textId="7ECDBAEB">
      <w:pPr>
        <w:pStyle w:val="BodyText"/>
        <w:spacing w:before="90" w:line="491" w:lineRule="auto"/>
        <w:ind w:left="819" w:right="290"/>
      </w:pPr>
      <w:r>
        <w:t xml:space="preserve">The 60-day Federal Register notice published on </w:t>
      </w:r>
      <w:r w:rsidR="00C65FA0">
        <w:t>August 20, 2021 (86 FR 46854)</w:t>
      </w:r>
      <w:r>
        <w:t xml:space="preserve">. </w:t>
      </w:r>
      <w:r w:rsidR="00C65FA0">
        <w:t xml:space="preserve"> There were no public comments received.</w:t>
      </w:r>
    </w:p>
    <w:p w:rsidR="00B54240" w:rsidP="00C65FA0" w:rsidRDefault="008E38C6" w14:paraId="48B4DBFA" w14:textId="05B37F5C">
      <w:pPr>
        <w:pStyle w:val="BodyText"/>
        <w:spacing w:before="90" w:line="491" w:lineRule="auto"/>
        <w:ind w:left="819" w:right="200"/>
      </w:pPr>
      <w:r>
        <w:t xml:space="preserve">The 30-day Federal Register notice published on </w:t>
      </w:r>
      <w:r w:rsidR="00C65FA0">
        <w:t>November 1, 2021 (86 FR 60244)</w:t>
      </w:r>
      <w:r>
        <w:t>.</w:t>
      </w:r>
    </w:p>
    <w:p w:rsidR="00B54240" w:rsidRDefault="008E38C6" w14:paraId="5D67E9FF" w14:textId="77777777">
      <w:pPr>
        <w:pStyle w:val="BodyText"/>
        <w:spacing w:before="1" w:line="247" w:lineRule="auto"/>
        <w:ind w:left="819" w:right="102"/>
      </w:pPr>
      <w:r>
        <w:t>The publication of this notice was used to solicit outside consultation.</w:t>
      </w:r>
      <w:r w:rsidR="00E279BD">
        <w:t xml:space="preserve"> </w:t>
      </w:r>
      <w:r>
        <w:t xml:space="preserve"> No other outside consultation was sought.</w:t>
      </w:r>
    </w:p>
    <w:p w:rsidR="00B54240" w:rsidRDefault="00B54240" w14:paraId="7688D637" w14:textId="77777777">
      <w:pPr>
        <w:pStyle w:val="BodyText"/>
        <w:spacing w:before="5"/>
      </w:pPr>
    </w:p>
    <w:p w:rsidR="00B54240" w:rsidRDefault="008E38C6" w14:paraId="7A8F0279" w14:textId="77777777">
      <w:pPr>
        <w:pStyle w:val="ListParagraph"/>
        <w:numPr>
          <w:ilvl w:val="1"/>
          <w:numId w:val="1"/>
        </w:numPr>
        <w:tabs>
          <w:tab w:val="left" w:pos="819"/>
          <w:tab w:val="left" w:pos="820"/>
        </w:tabs>
        <w:rPr>
          <w:sz w:val="24"/>
          <w:u w:val="none"/>
        </w:rPr>
      </w:pPr>
      <w:r>
        <w:rPr>
          <w:sz w:val="24"/>
        </w:rPr>
        <w:t>Payments or Gifts to</w:t>
      </w:r>
      <w:r>
        <w:rPr>
          <w:spacing w:val="-2"/>
          <w:sz w:val="24"/>
        </w:rPr>
        <w:t xml:space="preserve"> </w:t>
      </w:r>
      <w:r>
        <w:rPr>
          <w:sz w:val="24"/>
        </w:rPr>
        <w:t>Respondents</w:t>
      </w:r>
    </w:p>
    <w:p w:rsidR="00B54240" w:rsidRDefault="00B54240" w14:paraId="5B5EDDF5" w14:textId="77777777">
      <w:pPr>
        <w:pStyle w:val="BodyText"/>
        <w:spacing w:before="5"/>
        <w:rPr>
          <w:sz w:val="17"/>
        </w:rPr>
      </w:pPr>
    </w:p>
    <w:p w:rsidR="00B54240" w:rsidRDefault="008E38C6" w14:paraId="6175DF89" w14:textId="77777777">
      <w:pPr>
        <w:pStyle w:val="BodyText"/>
        <w:spacing w:before="90"/>
        <w:ind w:left="820"/>
      </w:pPr>
      <w:r>
        <w:t>There are no payments or gifts to respondents associated with this collection.</w:t>
      </w:r>
    </w:p>
    <w:p w:rsidR="00B54240" w:rsidRDefault="00B54240" w14:paraId="020D7B51" w14:textId="77777777">
      <w:pPr>
        <w:pStyle w:val="BodyText"/>
        <w:spacing w:before="3"/>
        <w:rPr>
          <w:sz w:val="25"/>
        </w:rPr>
      </w:pPr>
    </w:p>
    <w:p w:rsidR="00B54240" w:rsidRDefault="008E38C6" w14:paraId="5A407F28" w14:textId="77777777">
      <w:pPr>
        <w:pStyle w:val="ListParagraph"/>
        <w:numPr>
          <w:ilvl w:val="1"/>
          <w:numId w:val="1"/>
        </w:numPr>
        <w:tabs>
          <w:tab w:val="left" w:pos="819"/>
          <w:tab w:val="left" w:pos="820"/>
        </w:tabs>
        <w:rPr>
          <w:sz w:val="24"/>
          <w:u w:val="none"/>
        </w:rPr>
      </w:pPr>
      <w:r>
        <w:rPr>
          <w:sz w:val="24"/>
        </w:rPr>
        <w:t>Confidentiality</w:t>
      </w:r>
    </w:p>
    <w:p w:rsidR="00B54240" w:rsidRDefault="00B54240" w14:paraId="775B0C3A" w14:textId="77777777">
      <w:pPr>
        <w:pStyle w:val="BodyText"/>
        <w:spacing w:before="5"/>
        <w:rPr>
          <w:sz w:val="17"/>
        </w:rPr>
      </w:pPr>
    </w:p>
    <w:p w:rsidR="00B54240" w:rsidRDefault="008E38C6" w14:paraId="7AF11716" w14:textId="77777777">
      <w:pPr>
        <w:pStyle w:val="BodyText"/>
        <w:spacing w:before="90"/>
        <w:ind w:left="820"/>
      </w:pPr>
      <w:r>
        <w:t>We do not pledge confidentiality.</w:t>
      </w:r>
    </w:p>
    <w:p w:rsidR="00B54240" w:rsidRDefault="00B54240" w14:paraId="0E0F9750" w14:textId="77777777">
      <w:pPr>
        <w:pStyle w:val="BodyText"/>
        <w:spacing w:before="3"/>
        <w:rPr>
          <w:sz w:val="25"/>
        </w:rPr>
      </w:pPr>
    </w:p>
    <w:p w:rsidR="00B54240" w:rsidRDefault="008E38C6" w14:paraId="072C9655" w14:textId="77777777">
      <w:pPr>
        <w:pStyle w:val="ListParagraph"/>
        <w:numPr>
          <w:ilvl w:val="1"/>
          <w:numId w:val="1"/>
        </w:numPr>
        <w:tabs>
          <w:tab w:val="left" w:pos="819"/>
          <w:tab w:val="left" w:pos="820"/>
        </w:tabs>
        <w:rPr>
          <w:sz w:val="24"/>
          <w:u w:val="none"/>
        </w:rPr>
      </w:pPr>
      <w:r>
        <w:rPr>
          <w:sz w:val="24"/>
        </w:rPr>
        <w:t>Sensitive</w:t>
      </w:r>
      <w:r>
        <w:rPr>
          <w:spacing w:val="-2"/>
          <w:sz w:val="24"/>
        </w:rPr>
        <w:t xml:space="preserve"> </w:t>
      </w:r>
      <w:r>
        <w:rPr>
          <w:sz w:val="24"/>
        </w:rPr>
        <w:t>Questions</w:t>
      </w:r>
    </w:p>
    <w:p w:rsidR="00B54240" w:rsidRDefault="00B54240" w14:paraId="548FEC2E" w14:textId="77777777">
      <w:pPr>
        <w:pStyle w:val="BodyText"/>
        <w:spacing w:before="5"/>
        <w:rPr>
          <w:sz w:val="17"/>
        </w:rPr>
      </w:pPr>
    </w:p>
    <w:p w:rsidR="00B54240" w:rsidRDefault="008E38C6" w14:paraId="30648E7B" w14:textId="77777777">
      <w:pPr>
        <w:pStyle w:val="BodyText"/>
        <w:spacing w:before="90"/>
        <w:ind w:left="820"/>
      </w:pPr>
      <w:r>
        <w:t>There are no questions of a sensitive nature associated with these forms.</w:t>
      </w:r>
    </w:p>
    <w:p w:rsidR="00B54240" w:rsidRDefault="00B54240" w14:paraId="1CBAE27F" w14:textId="77777777">
      <w:pPr>
        <w:pStyle w:val="BodyText"/>
        <w:spacing w:before="3"/>
        <w:rPr>
          <w:sz w:val="25"/>
        </w:rPr>
      </w:pPr>
    </w:p>
    <w:p w:rsidR="00B54240" w:rsidRDefault="008E38C6" w14:paraId="488FE57F" w14:textId="77777777">
      <w:pPr>
        <w:pStyle w:val="ListParagraph"/>
        <w:numPr>
          <w:ilvl w:val="1"/>
          <w:numId w:val="1"/>
        </w:numPr>
        <w:tabs>
          <w:tab w:val="left" w:pos="819"/>
          <w:tab w:val="left" w:pos="820"/>
        </w:tabs>
        <w:rPr>
          <w:sz w:val="24"/>
          <w:u w:val="none"/>
        </w:rPr>
      </w:pPr>
      <w:r>
        <w:rPr>
          <w:sz w:val="24"/>
        </w:rPr>
        <w:t>Burden</w:t>
      </w:r>
      <w:r>
        <w:rPr>
          <w:spacing w:val="-1"/>
          <w:sz w:val="24"/>
        </w:rPr>
        <w:t xml:space="preserve"> </w:t>
      </w:r>
      <w:r>
        <w:rPr>
          <w:sz w:val="24"/>
        </w:rPr>
        <w:t>Estimates</w:t>
      </w:r>
    </w:p>
    <w:p w:rsidR="00B54240" w:rsidRDefault="00B54240" w14:paraId="53641E4A" w14:textId="77777777">
      <w:pPr>
        <w:pStyle w:val="BodyText"/>
        <w:spacing w:before="5"/>
        <w:rPr>
          <w:sz w:val="17"/>
        </w:rPr>
      </w:pPr>
    </w:p>
    <w:p w:rsidR="00B54240" w:rsidRDefault="008E38C6" w14:paraId="42EADEF7" w14:textId="77777777">
      <w:pPr>
        <w:pStyle w:val="BodyText"/>
        <w:spacing w:before="90" w:line="247" w:lineRule="auto"/>
        <w:ind w:left="820" w:right="254"/>
        <w:jc w:val="both"/>
      </w:pPr>
      <w:r>
        <w:t>This form contains information necessary</w:t>
      </w:r>
      <w:r>
        <w:rPr>
          <w:spacing w:val="-44"/>
        </w:rPr>
        <w:t xml:space="preserve"> </w:t>
      </w:r>
      <w:r>
        <w:t xml:space="preserve">for the surveyor to determine compliance with </w:t>
      </w:r>
      <w:r>
        <w:rPr>
          <w:spacing w:val="-3"/>
        </w:rPr>
        <w:t xml:space="preserve">CLIA. </w:t>
      </w:r>
      <w:r w:rsidR="004E1431">
        <w:rPr>
          <w:spacing w:val="-3"/>
        </w:rPr>
        <w:t xml:space="preserve"> </w:t>
      </w:r>
      <w:r>
        <w:t xml:space="preserve">We anticipate the time requirement for completion of this form to range between </w:t>
      </w:r>
      <w:r>
        <w:lastRenderedPageBreak/>
        <w:t xml:space="preserve">5 and 60 minutes. </w:t>
      </w:r>
      <w:r w:rsidR="004E1431">
        <w:t xml:space="preserve"> </w:t>
      </w:r>
      <w:r>
        <w:t>The average length of time to report this information is 30</w:t>
      </w:r>
      <w:r>
        <w:rPr>
          <w:spacing w:val="-22"/>
        </w:rPr>
        <w:t xml:space="preserve"> </w:t>
      </w:r>
      <w:r>
        <w:t>minutes.</w:t>
      </w:r>
    </w:p>
    <w:p w:rsidR="00B54240" w:rsidP="002B6B23" w:rsidRDefault="008E38C6" w14:paraId="2DC96B85" w14:textId="77271350">
      <w:pPr>
        <w:pStyle w:val="BodyText"/>
        <w:spacing w:line="273" w:lineRule="exact"/>
        <w:ind w:left="820"/>
        <w:jc w:val="both"/>
      </w:pPr>
      <w:r>
        <w:t>Since</w:t>
      </w:r>
      <w:r>
        <w:rPr>
          <w:spacing w:val="-4"/>
        </w:rPr>
        <w:t xml:space="preserve"> </w:t>
      </w:r>
      <w:r>
        <w:rPr>
          <w:spacing w:val="-3"/>
        </w:rPr>
        <w:t>CLIA</w:t>
      </w:r>
      <w:r>
        <w:rPr>
          <w:spacing w:val="-4"/>
        </w:rPr>
        <w:t xml:space="preserve"> </w:t>
      </w:r>
      <w:r>
        <w:t>surveys</w:t>
      </w:r>
      <w:r>
        <w:rPr>
          <w:spacing w:val="-3"/>
        </w:rPr>
        <w:t xml:space="preserve"> </w:t>
      </w:r>
      <w:r>
        <w:t>are</w:t>
      </w:r>
      <w:r>
        <w:rPr>
          <w:spacing w:val="-4"/>
        </w:rPr>
        <w:t xml:space="preserve"> </w:t>
      </w:r>
      <w:r>
        <w:t>biennial</w:t>
      </w:r>
      <w:r>
        <w:rPr>
          <w:spacing w:val="-3"/>
        </w:rPr>
        <w:t xml:space="preserve"> </w:t>
      </w:r>
      <w:r>
        <w:t>(i.e.,</w:t>
      </w:r>
      <w:r>
        <w:rPr>
          <w:spacing w:val="-3"/>
        </w:rPr>
        <w:t xml:space="preserve"> </w:t>
      </w:r>
      <w:r>
        <w:t>a</w:t>
      </w:r>
      <w:r>
        <w:rPr>
          <w:spacing w:val="-4"/>
        </w:rPr>
        <w:t xml:space="preserve"> </w:t>
      </w:r>
      <w:r>
        <w:rPr>
          <w:spacing w:val="-3"/>
        </w:rPr>
        <w:t>CLIA</w:t>
      </w:r>
      <w:r>
        <w:rPr>
          <w:spacing w:val="-4"/>
        </w:rPr>
        <w:t xml:space="preserve"> </w:t>
      </w:r>
      <w:r>
        <w:t>survey</w:t>
      </w:r>
      <w:r>
        <w:rPr>
          <w:spacing w:val="-10"/>
        </w:rPr>
        <w:t xml:space="preserve"> </w:t>
      </w:r>
      <w:r>
        <w:t>occurs</w:t>
      </w:r>
      <w:r>
        <w:rPr>
          <w:spacing w:val="-3"/>
        </w:rPr>
        <w:t xml:space="preserve"> </w:t>
      </w:r>
      <w:r>
        <w:t>once</w:t>
      </w:r>
      <w:r>
        <w:rPr>
          <w:spacing w:val="-4"/>
        </w:rPr>
        <w:t xml:space="preserve"> </w:t>
      </w:r>
      <w:r>
        <w:t>every</w:t>
      </w:r>
      <w:r>
        <w:rPr>
          <w:spacing w:val="-11"/>
        </w:rPr>
        <w:t xml:space="preserve"> </w:t>
      </w:r>
      <w:r>
        <w:t>two</w:t>
      </w:r>
      <w:r>
        <w:rPr>
          <w:spacing w:val="-3"/>
        </w:rPr>
        <w:t xml:space="preserve"> </w:t>
      </w:r>
      <w:r>
        <w:t>years),</w:t>
      </w:r>
      <w:r>
        <w:rPr>
          <w:spacing w:val="-3"/>
        </w:rPr>
        <w:t xml:space="preserve"> </w:t>
      </w:r>
      <w:r>
        <w:t>the</w:t>
      </w:r>
      <w:r w:rsidR="002B6B23">
        <w:t xml:space="preserve"> </w:t>
      </w:r>
      <w:bookmarkStart w:name="_GoBack" w:id="0"/>
      <w:bookmarkEnd w:id="0"/>
      <w:r>
        <w:t>annual frequency is 0.5 times a year per laboratory respondent.</w:t>
      </w:r>
      <w:r w:rsidR="00E279BD">
        <w:t xml:space="preserve"> </w:t>
      </w:r>
      <w:r>
        <w:t xml:space="preserve"> Based on the number of laboratory respondents as </w:t>
      </w:r>
      <w:r w:rsidRPr="00880336">
        <w:t>1</w:t>
      </w:r>
      <w:r w:rsidRPr="00880336" w:rsidR="004E1431">
        <w:t>5</w:t>
      </w:r>
      <w:r w:rsidRPr="00880336">
        <w:t>,</w:t>
      </w:r>
      <w:r w:rsidRPr="00880336" w:rsidR="004E1431">
        <w:t>975</w:t>
      </w:r>
      <w:r>
        <w:t xml:space="preserve"> the following computations are appropriate.</w:t>
      </w:r>
    </w:p>
    <w:p w:rsidR="00B54240" w:rsidRDefault="00B54240" w14:paraId="232E9579" w14:textId="77777777">
      <w:pPr>
        <w:pStyle w:val="BodyText"/>
        <w:spacing w:before="5"/>
      </w:pPr>
    </w:p>
    <w:p w:rsidRPr="00576840" w:rsidR="00633700" w:rsidP="00576840" w:rsidRDefault="00633700" w14:paraId="4D2919B9" w14:textId="77777777">
      <w:pPr>
        <w:pStyle w:val="BodyText"/>
        <w:spacing w:before="90" w:line="247" w:lineRule="auto"/>
        <w:ind w:left="820" w:right="254"/>
        <w:jc w:val="both"/>
        <w:rPr>
          <w:u w:val="single"/>
        </w:rPr>
      </w:pPr>
      <w:r w:rsidRPr="00576840">
        <w:rPr>
          <w:u w:val="single"/>
        </w:rPr>
        <w:t xml:space="preserve">Hourly Burden </w:t>
      </w:r>
      <w:r w:rsidR="00576840">
        <w:rPr>
          <w:u w:val="single"/>
        </w:rPr>
        <w:t>C</w:t>
      </w:r>
      <w:r w:rsidRPr="00576840">
        <w:rPr>
          <w:u w:val="single"/>
        </w:rPr>
        <w:t xml:space="preserve">omputation </w:t>
      </w:r>
    </w:p>
    <w:p w:rsidR="00633700" w:rsidP="00576840" w:rsidRDefault="004E1431" w14:paraId="3CCCB516" w14:textId="77777777">
      <w:pPr>
        <w:pStyle w:val="BodyText"/>
        <w:spacing w:before="90" w:line="247" w:lineRule="auto"/>
        <w:ind w:left="820" w:right="254"/>
        <w:jc w:val="both"/>
      </w:pPr>
      <w:r>
        <w:t>15,975</w:t>
      </w:r>
      <w:r w:rsidR="00633700">
        <w:t xml:space="preserve"> (laboratories) (biennial review)/2 = </w:t>
      </w:r>
      <w:r>
        <w:t>7</w:t>
      </w:r>
      <w:r w:rsidR="00633700">
        <w:t>,</w:t>
      </w:r>
      <w:r>
        <w:t>987</w:t>
      </w:r>
      <w:r w:rsidR="00633700">
        <w:t xml:space="preserve">.5 laboratories per year X 0.50 hours per response = </w:t>
      </w:r>
      <w:r>
        <w:t>3</w:t>
      </w:r>
      <w:r w:rsidR="00633700">
        <w:t>,</w:t>
      </w:r>
      <w:r>
        <w:t>994</w:t>
      </w:r>
      <w:r w:rsidR="00633700">
        <w:t xml:space="preserve"> annual burden hours</w:t>
      </w:r>
    </w:p>
    <w:p w:rsidR="00B54240" w:rsidRDefault="00B54240" w14:paraId="144BCF88" w14:textId="77777777">
      <w:pPr>
        <w:pStyle w:val="BodyText"/>
        <w:spacing w:before="4"/>
      </w:pPr>
    </w:p>
    <w:p w:rsidR="0061554A" w:rsidP="0061554A" w:rsidRDefault="0061554A" w14:paraId="3B655346" w14:textId="77777777">
      <w:pPr>
        <w:pStyle w:val="BodyText"/>
        <w:spacing w:before="4"/>
        <w:ind w:left="820"/>
      </w:pPr>
      <w:r w:rsidRPr="00D063D9">
        <w:rPr>
          <w:u w:val="single"/>
        </w:rPr>
        <w:t>Wage Burden computation</w:t>
      </w:r>
    </w:p>
    <w:p w:rsidRPr="002D1B7A" w:rsidR="00B54240" w:rsidRDefault="008E38C6" w14:paraId="6AAFCC4A" w14:textId="77777777">
      <w:pPr>
        <w:spacing w:before="1" w:line="247" w:lineRule="auto"/>
        <w:ind w:left="819" w:right="102"/>
        <w:rPr>
          <w:sz w:val="24"/>
        </w:rPr>
      </w:pPr>
      <w:r w:rsidRPr="002D1B7A">
        <w:rPr>
          <w:sz w:val="24"/>
        </w:rPr>
        <w:t>We estimated that the Federal costs involved in collecting the CMS-1557 information for administering the CLIA program would be based on an employee earning an average of</w:t>
      </w:r>
    </w:p>
    <w:p w:rsidRPr="002D1B7A" w:rsidR="00B54240" w:rsidP="00242544" w:rsidRDefault="008E38C6" w14:paraId="753D3315" w14:textId="77777777">
      <w:pPr>
        <w:spacing w:line="247" w:lineRule="auto"/>
        <w:ind w:left="819" w:right="127"/>
        <w:rPr>
          <w:sz w:val="24"/>
        </w:rPr>
      </w:pPr>
      <w:r w:rsidRPr="002D1B7A">
        <w:rPr>
          <w:sz w:val="24"/>
        </w:rPr>
        <w:t>$</w:t>
      </w:r>
      <w:r w:rsidR="000340C8">
        <w:rPr>
          <w:sz w:val="24"/>
        </w:rPr>
        <w:t>72</w:t>
      </w:r>
      <w:r w:rsidRPr="002D1B7A" w:rsidR="00576840">
        <w:rPr>
          <w:sz w:val="24"/>
        </w:rPr>
        <w:t>.</w:t>
      </w:r>
      <w:r w:rsidR="000340C8">
        <w:rPr>
          <w:sz w:val="24"/>
        </w:rPr>
        <w:t>58</w:t>
      </w:r>
      <w:r w:rsidRPr="002D1B7A">
        <w:rPr>
          <w:sz w:val="24"/>
        </w:rPr>
        <w:t xml:space="preserve"> per hour.</w:t>
      </w:r>
      <w:r w:rsidRPr="002D1B7A" w:rsidR="004A4E7D">
        <w:rPr>
          <w:sz w:val="24"/>
        </w:rPr>
        <w:t xml:space="preserve"> </w:t>
      </w:r>
      <w:r w:rsidRPr="002D1B7A">
        <w:rPr>
          <w:sz w:val="24"/>
        </w:rPr>
        <w:t xml:space="preserve"> The tasks involved range from</w:t>
      </w:r>
      <w:r w:rsidR="002D1B7A">
        <w:rPr>
          <w:sz w:val="24"/>
        </w:rPr>
        <w:t xml:space="preserve"> </w:t>
      </w:r>
      <w:r w:rsidRPr="002D1B7A" w:rsidR="00FF613D">
        <w:rPr>
          <w:sz w:val="24"/>
        </w:rPr>
        <w:t xml:space="preserve">collecting the information, </w:t>
      </w:r>
      <w:r w:rsidRPr="002D1B7A">
        <w:rPr>
          <w:sz w:val="24"/>
        </w:rPr>
        <w:t>reviewing</w:t>
      </w:r>
      <w:r w:rsidRPr="002D1B7A" w:rsidR="00FF613D">
        <w:rPr>
          <w:sz w:val="24"/>
        </w:rPr>
        <w:t xml:space="preserve"> the information collected</w:t>
      </w:r>
      <w:r w:rsidRPr="002D1B7A">
        <w:rPr>
          <w:sz w:val="24"/>
        </w:rPr>
        <w:t xml:space="preserve"> and </w:t>
      </w:r>
      <w:r w:rsidRPr="002D1B7A" w:rsidR="00FF613D">
        <w:rPr>
          <w:sz w:val="24"/>
        </w:rPr>
        <w:t xml:space="preserve">then </w:t>
      </w:r>
      <w:r w:rsidRPr="002D1B7A">
        <w:rPr>
          <w:sz w:val="24"/>
        </w:rPr>
        <w:t>entering the data into the CLIA data system.</w:t>
      </w:r>
      <w:r w:rsidRPr="002D1B7A" w:rsidR="004A4E7D">
        <w:rPr>
          <w:sz w:val="24"/>
        </w:rPr>
        <w:t xml:space="preserve"> </w:t>
      </w:r>
      <w:r w:rsidRPr="002D1B7A">
        <w:rPr>
          <w:sz w:val="24"/>
        </w:rPr>
        <w:t xml:space="preserve"> We estimate that these tasks would be completed by a Federal employee at the GS-1</w:t>
      </w:r>
      <w:r w:rsidRPr="002D1B7A" w:rsidR="00896DCE">
        <w:rPr>
          <w:sz w:val="24"/>
        </w:rPr>
        <w:t>2</w:t>
      </w:r>
      <w:r w:rsidRPr="002D1B7A">
        <w:rPr>
          <w:sz w:val="24"/>
        </w:rPr>
        <w:t xml:space="preserve"> grade level. </w:t>
      </w:r>
      <w:r w:rsidR="00A929FB">
        <w:rPr>
          <w:sz w:val="24"/>
        </w:rPr>
        <w:t xml:space="preserve"> </w:t>
      </w:r>
      <w:r w:rsidRPr="002D1B7A">
        <w:rPr>
          <w:sz w:val="24"/>
        </w:rPr>
        <w:t>According to the 20</w:t>
      </w:r>
      <w:r w:rsidRPr="002D1B7A" w:rsidR="00576840">
        <w:rPr>
          <w:sz w:val="24"/>
        </w:rPr>
        <w:t>21</w:t>
      </w:r>
      <w:r w:rsidRPr="002D1B7A">
        <w:rPr>
          <w:sz w:val="24"/>
        </w:rPr>
        <w:t xml:space="preserve"> GS Salary Table, as shown on </w:t>
      </w:r>
      <w:proofErr w:type="spellStart"/>
      <w:r w:rsidRPr="002D1B7A">
        <w:rPr>
          <w:sz w:val="24"/>
        </w:rPr>
        <w:t>opm.gov’s</w:t>
      </w:r>
      <w:proofErr w:type="spellEnd"/>
      <w:r w:rsidRPr="002D1B7A">
        <w:rPr>
          <w:sz w:val="24"/>
        </w:rPr>
        <w:t xml:space="preserve"> web site (</w:t>
      </w:r>
      <w:hyperlink w:history="1" r:id="rId9">
        <w:r w:rsidRPr="002D1B7A" w:rsidR="00576840">
          <w:rPr>
            <w:rStyle w:val="Hyperlink"/>
          </w:rPr>
          <w:t>https://www.opm.gov/policy-data-oversight/pay-leave/salaries-wages/salary-tables/pdf/2021/GS_h.pdf</w:t>
        </w:r>
      </w:hyperlink>
      <w:r w:rsidRPr="002D1B7A">
        <w:rPr>
          <w:sz w:val="24"/>
        </w:rPr>
        <w:t>), the salary for a GS-1</w:t>
      </w:r>
      <w:r w:rsidRPr="002D1B7A" w:rsidR="00896DCE">
        <w:rPr>
          <w:sz w:val="24"/>
        </w:rPr>
        <w:t>2</w:t>
      </w:r>
      <w:r w:rsidRPr="002D1B7A">
        <w:rPr>
          <w:sz w:val="24"/>
        </w:rPr>
        <w:t xml:space="preserve"> employee ranges from $</w:t>
      </w:r>
      <w:r w:rsidRPr="002D1B7A" w:rsidR="00896DCE">
        <w:rPr>
          <w:sz w:val="24"/>
        </w:rPr>
        <w:t>32.02</w:t>
      </w:r>
      <w:r w:rsidRPr="002D1B7A">
        <w:rPr>
          <w:sz w:val="24"/>
        </w:rPr>
        <w:t xml:space="preserve"> through $</w:t>
      </w:r>
      <w:r w:rsidRPr="002D1B7A" w:rsidR="00576840">
        <w:rPr>
          <w:sz w:val="24"/>
        </w:rPr>
        <w:t>41.63</w:t>
      </w:r>
      <w:r w:rsidRPr="002D1B7A">
        <w:rPr>
          <w:sz w:val="24"/>
        </w:rPr>
        <w:t xml:space="preserve">. </w:t>
      </w:r>
      <w:r w:rsidRPr="002D1B7A" w:rsidR="004A4E7D">
        <w:rPr>
          <w:sz w:val="24"/>
        </w:rPr>
        <w:t xml:space="preserve"> </w:t>
      </w:r>
      <w:r w:rsidRPr="002D1B7A">
        <w:rPr>
          <w:sz w:val="24"/>
        </w:rPr>
        <w:t>We selected the mid-range hourly wage of</w:t>
      </w:r>
      <w:r w:rsidRPr="002D1B7A" w:rsidR="004A4E7D">
        <w:rPr>
          <w:sz w:val="24"/>
        </w:rPr>
        <w:t xml:space="preserve"> </w:t>
      </w:r>
      <w:r w:rsidRPr="002D1B7A">
        <w:rPr>
          <w:sz w:val="24"/>
        </w:rPr>
        <w:t>$</w:t>
      </w:r>
      <w:r w:rsidRPr="002D1B7A" w:rsidR="00576840">
        <w:rPr>
          <w:sz w:val="24"/>
        </w:rPr>
        <w:t>36.29</w:t>
      </w:r>
      <w:r w:rsidRPr="002D1B7A">
        <w:rPr>
          <w:sz w:val="24"/>
        </w:rPr>
        <w:t xml:space="preserve"> and included a 100% fringe.</w:t>
      </w:r>
    </w:p>
    <w:p w:rsidR="00B54240" w:rsidRDefault="00B54240" w14:paraId="47DDA4AA" w14:textId="77777777">
      <w:pPr>
        <w:rPr>
          <w:sz w:val="24"/>
        </w:rPr>
      </w:pPr>
    </w:p>
    <w:p w:rsidR="00B54240" w:rsidP="00576840" w:rsidRDefault="00E931A3" w14:paraId="1D02E74D" w14:textId="77777777">
      <w:pPr>
        <w:pStyle w:val="BodyText"/>
        <w:spacing w:before="90"/>
        <w:ind w:left="820"/>
        <w:rPr>
          <w:u w:val="single"/>
        </w:rPr>
      </w:pPr>
      <w:r w:rsidRPr="00E931A3">
        <w:rPr>
          <w:u w:val="single"/>
        </w:rPr>
        <w:t>Annual Cost Burden</w:t>
      </w:r>
      <w:r>
        <w:rPr>
          <w:u w:val="single"/>
        </w:rPr>
        <w:t xml:space="preserve"> </w:t>
      </w:r>
      <w:r w:rsidRPr="00576840" w:rsidR="00576840">
        <w:rPr>
          <w:u w:val="single"/>
        </w:rPr>
        <w:t>Computation</w:t>
      </w:r>
    </w:p>
    <w:p w:rsidR="00E931A3" w:rsidP="00576840" w:rsidRDefault="0061554A" w14:paraId="13702AC6" w14:textId="3B8DC970">
      <w:pPr>
        <w:pStyle w:val="BodyText"/>
        <w:spacing w:before="90"/>
        <w:ind w:left="820"/>
      </w:pPr>
      <w:r w:rsidRPr="0061554A">
        <w:t>3,994</w:t>
      </w:r>
      <w:r w:rsidRPr="002D1B7A" w:rsidR="002D1B7A">
        <w:t xml:space="preserve"> annual bur</w:t>
      </w:r>
      <w:r w:rsidR="00F149D0">
        <w:t xml:space="preserve">den hours X </w:t>
      </w:r>
      <w:r w:rsidRPr="0061554A">
        <w:t>$</w:t>
      </w:r>
      <w:r w:rsidR="00A549C3">
        <w:t>72.58</w:t>
      </w:r>
      <w:r w:rsidR="00F149D0">
        <w:t xml:space="preserve"> = $</w:t>
      </w:r>
      <w:bookmarkStart w:name="_Hlk76124592" w:id="1"/>
      <w:r w:rsidR="00A549C3">
        <w:t>289,885</w:t>
      </w:r>
      <w:bookmarkEnd w:id="1"/>
    </w:p>
    <w:p w:rsidRPr="002D1B7A" w:rsidR="00F149D0" w:rsidP="00576840" w:rsidRDefault="00F149D0" w14:paraId="5125B170" w14:textId="77777777">
      <w:pPr>
        <w:pStyle w:val="BodyText"/>
        <w:spacing w:before="90"/>
        <w:ind w:left="820"/>
      </w:pPr>
    </w:p>
    <w:p w:rsidR="00B54240" w:rsidRDefault="008E38C6" w14:paraId="2E1508C7" w14:textId="77777777">
      <w:pPr>
        <w:pStyle w:val="ListParagraph"/>
        <w:numPr>
          <w:ilvl w:val="1"/>
          <w:numId w:val="1"/>
        </w:numPr>
        <w:tabs>
          <w:tab w:val="left" w:pos="819"/>
          <w:tab w:val="left" w:pos="820"/>
        </w:tabs>
        <w:spacing w:before="90"/>
        <w:rPr>
          <w:sz w:val="24"/>
          <w:u w:val="none"/>
        </w:rPr>
      </w:pPr>
      <w:r>
        <w:rPr>
          <w:sz w:val="24"/>
        </w:rPr>
        <w:t>Capital</w:t>
      </w:r>
      <w:r>
        <w:rPr>
          <w:spacing w:val="-1"/>
          <w:sz w:val="24"/>
        </w:rPr>
        <w:t xml:space="preserve"> </w:t>
      </w:r>
      <w:r>
        <w:rPr>
          <w:sz w:val="24"/>
        </w:rPr>
        <w:t>Costs</w:t>
      </w:r>
    </w:p>
    <w:p w:rsidR="00B54240" w:rsidRDefault="00B54240" w14:paraId="77FE9421" w14:textId="77777777">
      <w:pPr>
        <w:pStyle w:val="BodyText"/>
        <w:spacing w:before="5"/>
        <w:rPr>
          <w:sz w:val="17"/>
        </w:rPr>
      </w:pPr>
    </w:p>
    <w:p w:rsidR="00B54240" w:rsidRDefault="008E38C6" w14:paraId="7C85AE05" w14:textId="77777777">
      <w:pPr>
        <w:pStyle w:val="BodyText"/>
        <w:spacing w:before="90"/>
        <w:ind w:left="820"/>
      </w:pPr>
      <w:r>
        <w:t>There is no capital cost associated with this collection.</w:t>
      </w:r>
    </w:p>
    <w:p w:rsidR="00B54240" w:rsidRDefault="00B54240" w14:paraId="2F71F5B8" w14:textId="77777777">
      <w:pPr>
        <w:pStyle w:val="BodyText"/>
        <w:spacing w:before="3"/>
        <w:rPr>
          <w:sz w:val="25"/>
        </w:rPr>
      </w:pPr>
    </w:p>
    <w:p w:rsidR="00B54240" w:rsidRDefault="008E38C6" w14:paraId="41EC7015" w14:textId="77777777">
      <w:pPr>
        <w:pStyle w:val="ListParagraph"/>
        <w:numPr>
          <w:ilvl w:val="1"/>
          <w:numId w:val="1"/>
        </w:numPr>
        <w:tabs>
          <w:tab w:val="left" w:pos="819"/>
          <w:tab w:val="left" w:pos="820"/>
        </w:tabs>
        <w:rPr>
          <w:sz w:val="24"/>
          <w:u w:val="none"/>
        </w:rPr>
      </w:pPr>
      <w:r>
        <w:rPr>
          <w:sz w:val="24"/>
        </w:rPr>
        <w:t>Cost to Federal</w:t>
      </w:r>
      <w:r>
        <w:rPr>
          <w:spacing w:val="-1"/>
          <w:sz w:val="24"/>
        </w:rPr>
        <w:t xml:space="preserve"> </w:t>
      </w:r>
      <w:r>
        <w:rPr>
          <w:sz w:val="24"/>
        </w:rPr>
        <w:t>Government</w:t>
      </w:r>
    </w:p>
    <w:p w:rsidR="00B54240" w:rsidRDefault="00B54240" w14:paraId="2694A01C" w14:textId="77777777">
      <w:pPr>
        <w:pStyle w:val="BodyText"/>
        <w:spacing w:before="5"/>
        <w:rPr>
          <w:sz w:val="17"/>
        </w:rPr>
      </w:pPr>
    </w:p>
    <w:p w:rsidR="00B54240" w:rsidRDefault="00633700" w14:paraId="2ECF1AC7" w14:textId="77777777">
      <w:pPr>
        <w:pStyle w:val="BodyText"/>
        <w:spacing w:before="90" w:line="247" w:lineRule="auto"/>
        <w:ind w:left="820" w:right="102"/>
      </w:pPr>
      <w:r w:rsidRPr="00633700">
        <w:t>There is no cost estimate to the Federal Government.</w:t>
      </w:r>
    </w:p>
    <w:p w:rsidR="00B54240" w:rsidRDefault="00B54240" w14:paraId="5A431E81" w14:textId="77777777">
      <w:pPr>
        <w:pStyle w:val="BodyText"/>
        <w:spacing w:before="5"/>
      </w:pPr>
    </w:p>
    <w:p w:rsidR="00B54240" w:rsidRDefault="008E38C6" w14:paraId="5BF62F60" w14:textId="77777777">
      <w:pPr>
        <w:pStyle w:val="ListParagraph"/>
        <w:numPr>
          <w:ilvl w:val="1"/>
          <w:numId w:val="1"/>
        </w:numPr>
        <w:tabs>
          <w:tab w:val="left" w:pos="819"/>
          <w:tab w:val="left" w:pos="820"/>
        </w:tabs>
        <w:rPr>
          <w:sz w:val="24"/>
          <w:u w:val="none"/>
        </w:rPr>
      </w:pPr>
      <w:r>
        <w:rPr>
          <w:sz w:val="24"/>
        </w:rPr>
        <w:t>Changes in Burden/Program</w:t>
      </w:r>
      <w:r>
        <w:rPr>
          <w:spacing w:val="-1"/>
          <w:sz w:val="24"/>
        </w:rPr>
        <w:t xml:space="preserve"> </w:t>
      </w:r>
      <w:r>
        <w:rPr>
          <w:sz w:val="24"/>
        </w:rPr>
        <w:t>Changes</w:t>
      </w:r>
    </w:p>
    <w:p w:rsidR="00B54240" w:rsidRDefault="00B54240" w14:paraId="0E846107" w14:textId="77777777">
      <w:pPr>
        <w:pStyle w:val="BodyText"/>
        <w:spacing w:before="5"/>
        <w:rPr>
          <w:sz w:val="17"/>
        </w:rPr>
      </w:pPr>
    </w:p>
    <w:p w:rsidR="00B54240" w:rsidRDefault="008E38C6" w14:paraId="078AF348" w14:textId="637076C6">
      <w:pPr>
        <w:pStyle w:val="BodyText"/>
        <w:spacing w:before="90" w:line="247" w:lineRule="auto"/>
        <w:ind w:left="820"/>
      </w:pPr>
      <w:r w:rsidRPr="00E21CE0">
        <w:t xml:space="preserve">Changes in burden are the result of </w:t>
      </w:r>
      <w:r w:rsidRPr="00E21CE0" w:rsidR="0071725D">
        <w:t>decrease in the number of</w:t>
      </w:r>
      <w:r w:rsidRPr="00E21CE0">
        <w:t xml:space="preserve"> respondents in the CLIA program</w:t>
      </w:r>
      <w:r w:rsidR="00D0727A">
        <w:t xml:space="preserve"> and an increase in the ICR</w:t>
      </w:r>
      <w:r w:rsidRPr="00E21CE0">
        <w:t xml:space="preserve">. </w:t>
      </w:r>
      <w:r w:rsidRPr="0071725D" w:rsidR="004A4E7D">
        <w:t xml:space="preserve"> </w:t>
      </w:r>
      <w:r w:rsidRPr="0071725D">
        <w:t xml:space="preserve">The respondents </w:t>
      </w:r>
      <w:r w:rsidRPr="0071725D" w:rsidR="0071725D">
        <w:t>de</w:t>
      </w:r>
      <w:r w:rsidRPr="0071725D">
        <w:t>creased from 19,183</w:t>
      </w:r>
      <w:r w:rsidRPr="0071725D" w:rsidR="0071725D">
        <w:t xml:space="preserve"> to 15,975</w:t>
      </w:r>
      <w:r w:rsidRPr="0071725D">
        <w:t xml:space="preserve">. </w:t>
      </w:r>
      <w:r w:rsidR="00E21CE0">
        <w:t xml:space="preserve"> </w:t>
      </w:r>
      <w:r w:rsidRPr="0071725D">
        <w:t>The</w:t>
      </w:r>
      <w:r w:rsidRPr="0061554A">
        <w:t xml:space="preserve"> burden hours </w:t>
      </w:r>
      <w:r w:rsidRPr="0061554A" w:rsidR="0061554A">
        <w:t>de</w:t>
      </w:r>
      <w:r w:rsidRPr="0061554A">
        <w:t>creased from 4796</w:t>
      </w:r>
      <w:r w:rsidRPr="0061554A" w:rsidR="0061554A">
        <w:t xml:space="preserve"> to 3,994</w:t>
      </w:r>
      <w:r w:rsidRPr="0061554A">
        <w:t xml:space="preserve">. </w:t>
      </w:r>
      <w:r w:rsidRPr="0061554A" w:rsidR="004A4E7D">
        <w:t xml:space="preserve"> </w:t>
      </w:r>
      <w:r w:rsidR="00E21CE0">
        <w:t xml:space="preserve">The </w:t>
      </w:r>
      <w:r w:rsidR="00EB35F5">
        <w:t xml:space="preserve">wage rate </w:t>
      </w:r>
      <w:r w:rsidR="00E21CE0">
        <w:t>increased from $29.00 to</w:t>
      </w:r>
      <w:r w:rsidRPr="00576840" w:rsidR="00E21CE0">
        <w:t xml:space="preserve"> $36.29</w:t>
      </w:r>
      <w:r w:rsidR="00EB35F5">
        <w:t xml:space="preserve"> thus the total costs increased from $</w:t>
      </w:r>
      <w:r w:rsidRPr="002D0ED6" w:rsidR="002D0ED6">
        <w:t>139,084.</w:t>
      </w:r>
      <w:r w:rsidR="00EB35F5">
        <w:t xml:space="preserve"> to $</w:t>
      </w:r>
      <w:r w:rsidR="00BD21AF">
        <w:t>289,885</w:t>
      </w:r>
      <w:r w:rsidR="00E21CE0">
        <w:t xml:space="preserve">.  </w:t>
      </w:r>
      <w:r w:rsidRPr="0061554A">
        <w:t>There are no program changes.</w:t>
      </w:r>
    </w:p>
    <w:p w:rsidR="00B54240" w:rsidRDefault="00B54240" w14:paraId="78A3CB4C" w14:textId="77777777">
      <w:pPr>
        <w:pStyle w:val="BodyText"/>
        <w:spacing w:before="3"/>
      </w:pPr>
    </w:p>
    <w:p w:rsidR="00B54240" w:rsidRDefault="008E38C6" w14:paraId="3EBB2104" w14:textId="77777777">
      <w:pPr>
        <w:pStyle w:val="ListParagraph"/>
        <w:numPr>
          <w:ilvl w:val="1"/>
          <w:numId w:val="1"/>
        </w:numPr>
        <w:tabs>
          <w:tab w:val="left" w:pos="819"/>
          <w:tab w:val="left" w:pos="820"/>
        </w:tabs>
        <w:rPr>
          <w:sz w:val="24"/>
          <w:u w:val="none"/>
        </w:rPr>
      </w:pPr>
      <w:r>
        <w:rPr>
          <w:sz w:val="24"/>
        </w:rPr>
        <w:t>Publication and Tabulation</w:t>
      </w:r>
      <w:r>
        <w:rPr>
          <w:spacing w:val="-1"/>
          <w:sz w:val="24"/>
        </w:rPr>
        <w:t xml:space="preserve"> </w:t>
      </w:r>
      <w:r>
        <w:rPr>
          <w:sz w:val="24"/>
        </w:rPr>
        <w:t>Dates</w:t>
      </w:r>
    </w:p>
    <w:p w:rsidR="00B54240" w:rsidRDefault="00B54240" w14:paraId="2BEE5A6A" w14:textId="77777777">
      <w:pPr>
        <w:pStyle w:val="BodyText"/>
        <w:spacing w:before="5"/>
        <w:rPr>
          <w:sz w:val="17"/>
        </w:rPr>
      </w:pPr>
    </w:p>
    <w:p w:rsidR="00B54240" w:rsidRDefault="008E38C6" w14:paraId="720F64AE" w14:textId="77777777">
      <w:pPr>
        <w:pStyle w:val="BodyText"/>
        <w:spacing w:before="90"/>
        <w:ind w:left="820"/>
      </w:pPr>
      <w:r>
        <w:t>There are no publication and tabulation dates associated with this collection.</w:t>
      </w:r>
    </w:p>
    <w:p w:rsidR="00B54240" w:rsidRDefault="00B54240" w14:paraId="53964EB0" w14:textId="77777777">
      <w:pPr>
        <w:pStyle w:val="BodyText"/>
        <w:spacing w:before="3"/>
        <w:rPr>
          <w:sz w:val="25"/>
        </w:rPr>
      </w:pPr>
    </w:p>
    <w:p w:rsidR="00B54240" w:rsidRDefault="008E38C6" w14:paraId="485589EF" w14:textId="77777777">
      <w:pPr>
        <w:pStyle w:val="ListParagraph"/>
        <w:numPr>
          <w:ilvl w:val="1"/>
          <w:numId w:val="1"/>
        </w:numPr>
        <w:tabs>
          <w:tab w:val="left" w:pos="819"/>
          <w:tab w:val="left" w:pos="820"/>
        </w:tabs>
        <w:rPr>
          <w:sz w:val="24"/>
          <w:u w:val="none"/>
        </w:rPr>
      </w:pPr>
      <w:r>
        <w:rPr>
          <w:sz w:val="24"/>
        </w:rPr>
        <w:t>Expiration</w:t>
      </w:r>
      <w:r>
        <w:rPr>
          <w:spacing w:val="-1"/>
          <w:sz w:val="24"/>
        </w:rPr>
        <w:t xml:space="preserve"> </w:t>
      </w:r>
      <w:r>
        <w:rPr>
          <w:sz w:val="24"/>
        </w:rPr>
        <w:t>Date</w:t>
      </w:r>
    </w:p>
    <w:p w:rsidR="00B54240" w:rsidRDefault="00B54240" w14:paraId="1499610E" w14:textId="77777777">
      <w:pPr>
        <w:pStyle w:val="BodyText"/>
        <w:spacing w:before="5"/>
        <w:rPr>
          <w:sz w:val="17"/>
        </w:rPr>
      </w:pPr>
    </w:p>
    <w:p w:rsidR="00B54240" w:rsidRDefault="008E38C6" w14:paraId="5B2D17A6" w14:textId="77777777">
      <w:pPr>
        <w:pStyle w:val="BodyText"/>
        <w:spacing w:before="90"/>
        <w:ind w:left="820"/>
      </w:pPr>
      <w:r>
        <w:t>CMS will display the expiration date on the form.</w:t>
      </w:r>
    </w:p>
    <w:p w:rsidR="00B54240" w:rsidRDefault="00B54240" w14:paraId="6BF112AB" w14:textId="77777777">
      <w:pPr>
        <w:pStyle w:val="BodyText"/>
        <w:spacing w:before="2"/>
        <w:rPr>
          <w:sz w:val="25"/>
        </w:rPr>
      </w:pPr>
    </w:p>
    <w:p w:rsidR="00B54240" w:rsidRDefault="008E38C6" w14:paraId="1A662262" w14:textId="77777777">
      <w:pPr>
        <w:pStyle w:val="ListParagraph"/>
        <w:numPr>
          <w:ilvl w:val="1"/>
          <w:numId w:val="1"/>
        </w:numPr>
        <w:tabs>
          <w:tab w:val="left" w:pos="819"/>
          <w:tab w:val="left" w:pos="820"/>
        </w:tabs>
        <w:spacing w:before="1"/>
        <w:rPr>
          <w:sz w:val="24"/>
          <w:u w:val="none"/>
        </w:rPr>
      </w:pPr>
      <w:r>
        <w:rPr>
          <w:sz w:val="24"/>
        </w:rPr>
        <w:lastRenderedPageBreak/>
        <w:t>Certification</w:t>
      </w:r>
      <w:r>
        <w:rPr>
          <w:spacing w:val="-1"/>
          <w:sz w:val="24"/>
        </w:rPr>
        <w:t xml:space="preserve"> </w:t>
      </w:r>
      <w:r>
        <w:rPr>
          <w:sz w:val="24"/>
        </w:rPr>
        <w:t>Statement</w:t>
      </w:r>
    </w:p>
    <w:p w:rsidR="00B54240" w:rsidRDefault="00B54240" w14:paraId="5B41D19B" w14:textId="77777777">
      <w:pPr>
        <w:pStyle w:val="BodyText"/>
        <w:spacing w:before="5"/>
        <w:rPr>
          <w:sz w:val="17"/>
        </w:rPr>
      </w:pPr>
    </w:p>
    <w:p w:rsidR="00B54240" w:rsidRDefault="008E38C6" w14:paraId="07131682" w14:textId="77777777">
      <w:pPr>
        <w:pStyle w:val="BodyText"/>
        <w:spacing w:before="90"/>
        <w:ind w:left="820"/>
      </w:pPr>
      <w:r>
        <w:t>There are no exceptions to the certification statement.</w:t>
      </w:r>
    </w:p>
    <w:p w:rsidR="00B54240" w:rsidRDefault="00B54240" w14:paraId="02531B9F" w14:textId="77777777">
      <w:pPr>
        <w:pStyle w:val="BodyText"/>
        <w:spacing w:before="7"/>
        <w:rPr>
          <w:sz w:val="25"/>
        </w:rPr>
      </w:pPr>
    </w:p>
    <w:p w:rsidR="00B54240" w:rsidRDefault="008E38C6" w14:paraId="4957648C" w14:textId="77777777">
      <w:pPr>
        <w:pStyle w:val="Heading1"/>
        <w:numPr>
          <w:ilvl w:val="0"/>
          <w:numId w:val="1"/>
        </w:numPr>
        <w:tabs>
          <w:tab w:val="left" w:pos="819"/>
          <w:tab w:val="left" w:pos="820"/>
        </w:tabs>
      </w:pPr>
      <w:r>
        <w:rPr>
          <w:u w:val="thick"/>
        </w:rPr>
        <w:t>Collections of Information Employing Statistical</w:t>
      </w:r>
      <w:r>
        <w:rPr>
          <w:spacing w:val="-1"/>
          <w:u w:val="thick"/>
        </w:rPr>
        <w:t xml:space="preserve"> </w:t>
      </w:r>
      <w:r>
        <w:rPr>
          <w:u w:val="thick"/>
        </w:rPr>
        <w:t>Methods</w:t>
      </w:r>
    </w:p>
    <w:p w:rsidR="00B54240" w:rsidRDefault="00B54240" w14:paraId="38B93B22" w14:textId="77777777">
      <w:pPr>
        <w:pStyle w:val="BodyText"/>
        <w:spacing w:before="5"/>
        <w:rPr>
          <w:b/>
          <w:sz w:val="17"/>
        </w:rPr>
      </w:pPr>
    </w:p>
    <w:p w:rsidR="00B54240" w:rsidRDefault="008E38C6" w14:paraId="351E63E4" w14:textId="77777777">
      <w:pPr>
        <w:pStyle w:val="BodyText"/>
        <w:spacing w:before="90"/>
        <w:ind w:left="820"/>
      </w:pPr>
      <w:r>
        <w:t>There are no statistical methods employed in this information collection.</w:t>
      </w:r>
    </w:p>
    <w:sectPr w:rsidR="00B54240">
      <w:pgSz w:w="12240" w:h="15840"/>
      <w:pgMar w:top="150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2496F" w14:textId="77777777" w:rsidR="00576840" w:rsidRDefault="00576840" w:rsidP="00576840">
      <w:r>
        <w:separator/>
      </w:r>
    </w:p>
  </w:endnote>
  <w:endnote w:type="continuationSeparator" w:id="0">
    <w:p w14:paraId="4DD5CAAF" w14:textId="77777777" w:rsidR="00576840" w:rsidRDefault="00576840" w:rsidP="0057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53B89" w14:textId="77777777" w:rsidR="00576840" w:rsidRDefault="00576840" w:rsidP="00576840">
      <w:r>
        <w:separator/>
      </w:r>
    </w:p>
  </w:footnote>
  <w:footnote w:type="continuationSeparator" w:id="0">
    <w:p w14:paraId="0FD3470F" w14:textId="77777777" w:rsidR="00576840" w:rsidRDefault="00576840" w:rsidP="0057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5A049C"/>
    <w:multiLevelType w:val="hybridMultilevel"/>
    <w:tmpl w:val="0CBCEDE0"/>
    <w:lvl w:ilvl="0" w:tplc="295ACF68">
      <w:start w:val="1"/>
      <w:numFmt w:val="upperLetter"/>
      <w:lvlText w:val="%1."/>
      <w:lvlJc w:val="left"/>
      <w:pPr>
        <w:ind w:left="820" w:hanging="720"/>
        <w:jc w:val="left"/>
      </w:pPr>
      <w:rPr>
        <w:rFonts w:ascii="Times New Roman" w:eastAsia="Times New Roman" w:hAnsi="Times New Roman" w:cs="Times New Roman" w:hint="default"/>
        <w:b/>
        <w:bCs/>
        <w:spacing w:val="-1"/>
        <w:w w:val="99"/>
        <w:sz w:val="24"/>
        <w:szCs w:val="24"/>
        <w:lang w:val="en-US" w:eastAsia="en-US" w:bidi="en-US"/>
      </w:rPr>
    </w:lvl>
    <w:lvl w:ilvl="1" w:tplc="4DBC7E40">
      <w:start w:val="1"/>
      <w:numFmt w:val="decimal"/>
      <w:lvlText w:val="%2."/>
      <w:lvlJc w:val="left"/>
      <w:pPr>
        <w:ind w:left="820" w:hanging="720"/>
        <w:jc w:val="left"/>
      </w:pPr>
      <w:rPr>
        <w:rFonts w:ascii="Times New Roman" w:eastAsia="Times New Roman" w:hAnsi="Times New Roman" w:cs="Times New Roman" w:hint="default"/>
        <w:spacing w:val="-6"/>
        <w:w w:val="99"/>
        <w:sz w:val="24"/>
        <w:szCs w:val="24"/>
        <w:lang w:val="en-US" w:eastAsia="en-US" w:bidi="en-US"/>
      </w:rPr>
    </w:lvl>
    <w:lvl w:ilvl="2" w:tplc="F1F045E8">
      <w:numFmt w:val="bullet"/>
      <w:lvlText w:val="•"/>
      <w:lvlJc w:val="left"/>
      <w:pPr>
        <w:ind w:left="2568" w:hanging="720"/>
      </w:pPr>
      <w:rPr>
        <w:rFonts w:hint="default"/>
        <w:lang w:val="en-US" w:eastAsia="en-US" w:bidi="en-US"/>
      </w:rPr>
    </w:lvl>
    <w:lvl w:ilvl="3" w:tplc="2F948CDA">
      <w:numFmt w:val="bullet"/>
      <w:lvlText w:val="•"/>
      <w:lvlJc w:val="left"/>
      <w:pPr>
        <w:ind w:left="3442" w:hanging="720"/>
      </w:pPr>
      <w:rPr>
        <w:rFonts w:hint="default"/>
        <w:lang w:val="en-US" w:eastAsia="en-US" w:bidi="en-US"/>
      </w:rPr>
    </w:lvl>
    <w:lvl w:ilvl="4" w:tplc="FD1EF27C">
      <w:numFmt w:val="bullet"/>
      <w:lvlText w:val="•"/>
      <w:lvlJc w:val="left"/>
      <w:pPr>
        <w:ind w:left="4316" w:hanging="720"/>
      </w:pPr>
      <w:rPr>
        <w:rFonts w:hint="default"/>
        <w:lang w:val="en-US" w:eastAsia="en-US" w:bidi="en-US"/>
      </w:rPr>
    </w:lvl>
    <w:lvl w:ilvl="5" w:tplc="0634557A">
      <w:numFmt w:val="bullet"/>
      <w:lvlText w:val="•"/>
      <w:lvlJc w:val="left"/>
      <w:pPr>
        <w:ind w:left="5190" w:hanging="720"/>
      </w:pPr>
      <w:rPr>
        <w:rFonts w:hint="default"/>
        <w:lang w:val="en-US" w:eastAsia="en-US" w:bidi="en-US"/>
      </w:rPr>
    </w:lvl>
    <w:lvl w:ilvl="6" w:tplc="AFA86D6C">
      <w:numFmt w:val="bullet"/>
      <w:lvlText w:val="•"/>
      <w:lvlJc w:val="left"/>
      <w:pPr>
        <w:ind w:left="6064" w:hanging="720"/>
      </w:pPr>
      <w:rPr>
        <w:rFonts w:hint="default"/>
        <w:lang w:val="en-US" w:eastAsia="en-US" w:bidi="en-US"/>
      </w:rPr>
    </w:lvl>
    <w:lvl w:ilvl="7" w:tplc="31EA4286">
      <w:numFmt w:val="bullet"/>
      <w:lvlText w:val="•"/>
      <w:lvlJc w:val="left"/>
      <w:pPr>
        <w:ind w:left="6938" w:hanging="720"/>
      </w:pPr>
      <w:rPr>
        <w:rFonts w:hint="default"/>
        <w:lang w:val="en-US" w:eastAsia="en-US" w:bidi="en-US"/>
      </w:rPr>
    </w:lvl>
    <w:lvl w:ilvl="8" w:tplc="952645A4">
      <w:numFmt w:val="bullet"/>
      <w:lvlText w:val="•"/>
      <w:lvlJc w:val="left"/>
      <w:pPr>
        <w:ind w:left="7812" w:hanging="7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40"/>
    <w:rsid w:val="000340C8"/>
    <w:rsid w:val="00034EB5"/>
    <w:rsid w:val="00083781"/>
    <w:rsid w:val="00242544"/>
    <w:rsid w:val="002A1D9F"/>
    <w:rsid w:val="002B6B23"/>
    <w:rsid w:val="002D0ED6"/>
    <w:rsid w:val="002D1B7A"/>
    <w:rsid w:val="002E3810"/>
    <w:rsid w:val="002F54EB"/>
    <w:rsid w:val="004A4E7D"/>
    <w:rsid w:val="004B0AFB"/>
    <w:rsid w:val="004E1431"/>
    <w:rsid w:val="00530FCC"/>
    <w:rsid w:val="00576840"/>
    <w:rsid w:val="005D089F"/>
    <w:rsid w:val="0061554A"/>
    <w:rsid w:val="00633700"/>
    <w:rsid w:val="00696F46"/>
    <w:rsid w:val="007132C3"/>
    <w:rsid w:val="0071725D"/>
    <w:rsid w:val="007B1611"/>
    <w:rsid w:val="00840251"/>
    <w:rsid w:val="00880336"/>
    <w:rsid w:val="00883207"/>
    <w:rsid w:val="0088393B"/>
    <w:rsid w:val="00896DCE"/>
    <w:rsid w:val="008C49F5"/>
    <w:rsid w:val="008D5FFD"/>
    <w:rsid w:val="008E38C6"/>
    <w:rsid w:val="00A05A92"/>
    <w:rsid w:val="00A549C3"/>
    <w:rsid w:val="00A929FB"/>
    <w:rsid w:val="00B54240"/>
    <w:rsid w:val="00BD21AF"/>
    <w:rsid w:val="00C65FA0"/>
    <w:rsid w:val="00D0727A"/>
    <w:rsid w:val="00DC73DB"/>
    <w:rsid w:val="00E21CE0"/>
    <w:rsid w:val="00E279BD"/>
    <w:rsid w:val="00E931A3"/>
    <w:rsid w:val="00EB35F5"/>
    <w:rsid w:val="00ED1982"/>
    <w:rsid w:val="00F149D0"/>
    <w:rsid w:val="00FF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A96F"/>
  <w15:docId w15:val="{C2CDBB4E-827B-45B7-BFC1-EDB235A6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76840"/>
    <w:rPr>
      <w:color w:val="0000FF" w:themeColor="hyperlink"/>
      <w:u w:val="single"/>
    </w:rPr>
  </w:style>
  <w:style w:type="paragraph" w:styleId="Header">
    <w:name w:val="header"/>
    <w:basedOn w:val="Normal"/>
    <w:link w:val="HeaderChar"/>
    <w:uiPriority w:val="99"/>
    <w:unhideWhenUsed/>
    <w:rsid w:val="00576840"/>
    <w:pPr>
      <w:tabs>
        <w:tab w:val="center" w:pos="4680"/>
        <w:tab w:val="right" w:pos="9360"/>
      </w:tabs>
    </w:pPr>
  </w:style>
  <w:style w:type="character" w:customStyle="1" w:styleId="HeaderChar">
    <w:name w:val="Header Char"/>
    <w:basedOn w:val="DefaultParagraphFont"/>
    <w:link w:val="Header"/>
    <w:uiPriority w:val="99"/>
    <w:rsid w:val="00576840"/>
    <w:rPr>
      <w:rFonts w:ascii="Times New Roman" w:eastAsia="Times New Roman" w:hAnsi="Times New Roman" w:cs="Times New Roman"/>
      <w:lang w:bidi="en-US"/>
    </w:rPr>
  </w:style>
  <w:style w:type="paragraph" w:styleId="Footer">
    <w:name w:val="footer"/>
    <w:basedOn w:val="Normal"/>
    <w:link w:val="FooterChar"/>
    <w:uiPriority w:val="99"/>
    <w:unhideWhenUsed/>
    <w:rsid w:val="00576840"/>
    <w:pPr>
      <w:tabs>
        <w:tab w:val="center" w:pos="4680"/>
        <w:tab w:val="right" w:pos="9360"/>
      </w:tabs>
    </w:pPr>
  </w:style>
  <w:style w:type="character" w:customStyle="1" w:styleId="FooterChar">
    <w:name w:val="Footer Char"/>
    <w:basedOn w:val="DefaultParagraphFont"/>
    <w:link w:val="Footer"/>
    <w:uiPriority w:val="99"/>
    <w:rsid w:val="0057684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A549C3"/>
    <w:rPr>
      <w:sz w:val="16"/>
      <w:szCs w:val="16"/>
    </w:rPr>
  </w:style>
  <w:style w:type="paragraph" w:styleId="CommentText">
    <w:name w:val="annotation text"/>
    <w:basedOn w:val="Normal"/>
    <w:link w:val="CommentTextChar"/>
    <w:uiPriority w:val="99"/>
    <w:semiHidden/>
    <w:unhideWhenUsed/>
    <w:rsid w:val="00A549C3"/>
    <w:rPr>
      <w:sz w:val="20"/>
      <w:szCs w:val="20"/>
    </w:rPr>
  </w:style>
  <w:style w:type="character" w:customStyle="1" w:styleId="CommentTextChar">
    <w:name w:val="Comment Text Char"/>
    <w:basedOn w:val="DefaultParagraphFont"/>
    <w:link w:val="CommentText"/>
    <w:uiPriority w:val="99"/>
    <w:semiHidden/>
    <w:rsid w:val="00A549C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549C3"/>
    <w:rPr>
      <w:b/>
      <w:bCs/>
    </w:rPr>
  </w:style>
  <w:style w:type="character" w:customStyle="1" w:styleId="CommentSubjectChar">
    <w:name w:val="Comment Subject Char"/>
    <w:basedOn w:val="CommentTextChar"/>
    <w:link w:val="CommentSubject"/>
    <w:uiPriority w:val="99"/>
    <w:semiHidden/>
    <w:rsid w:val="00A549C3"/>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A54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9C3"/>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ms.hhs.gov/for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E3709-2DFD-4E16-84F9-6C2FF279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CMS-1557 Supporting Statement 2018</vt:lpstr>
    </vt:vector>
  </TitlesOfParts>
  <Company>CMS</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CMS-1557 Supporting Statement 2018</dc:title>
  <dc:creator>CMS</dc:creator>
  <cp:lastModifiedBy>Denise King</cp:lastModifiedBy>
  <cp:revision>4</cp:revision>
  <dcterms:created xsi:type="dcterms:W3CDTF">2021-07-02T17:29:00Z</dcterms:created>
  <dcterms:modified xsi:type="dcterms:W3CDTF">2021-11-02T16:05:00Z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Acrobat PDFMaker 15 for Word</vt:lpwstr>
  </property>
  <property fmtid="{D5CDD505-2E9C-101B-9397-08002B2CF9AE}" pid="4" name="LastSaved">
    <vt:filetime>2021-05-17T00:00:00Z</vt:filetime>
  </property>
</Properties>
</file>