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C73" w:rsidP="00D12965" w:rsidRDefault="001D1C73" w14:paraId="6A2FA238" w14:textId="77777777">
      <w:pPr>
        <w:spacing w:after="0"/>
        <w:rPr>
          <w:b/>
          <w:sz w:val="40"/>
        </w:rPr>
      </w:pPr>
    </w:p>
    <w:p w:rsidR="001D1C73" w:rsidP="001D1C73" w:rsidRDefault="001D1C73" w14:paraId="406F2BAB" w14:textId="77777777">
      <w:pPr>
        <w:spacing w:after="0"/>
        <w:jc w:val="center"/>
        <w:rPr>
          <w:b/>
          <w:sz w:val="40"/>
        </w:rPr>
      </w:pPr>
    </w:p>
    <w:p w:rsidRPr="009139B3" w:rsidR="001D1C73" w:rsidP="001D1C73" w:rsidRDefault="002F1DD6" w14:paraId="5C437A34" w14:textId="6FA0B743">
      <w:pPr>
        <w:pStyle w:val="ReportCover-Title"/>
        <w:jc w:val="center"/>
        <w:rPr>
          <w:rFonts w:ascii="Arial" w:hAnsi="Arial" w:cs="Arial"/>
          <w:color w:val="auto"/>
        </w:rPr>
      </w:pPr>
      <w:r>
        <w:rPr>
          <w:rFonts w:ascii="Arial" w:hAnsi="Arial" w:eastAsia="Arial Unicode MS" w:cs="Arial"/>
          <w:noProof/>
          <w:color w:val="auto"/>
        </w:rPr>
        <w:t>Understanding the Value of Centralized Services</w:t>
      </w:r>
      <w:r w:rsidRPr="009139B3" w:rsidR="001D1C73">
        <w:rPr>
          <w:rFonts w:ascii="Arial" w:hAnsi="Arial" w:eastAsia="Arial Unicode MS" w:cs="Arial"/>
          <w:noProof/>
          <w:color w:val="auto"/>
        </w:rPr>
        <w:t xml:space="preserve"> Study</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2F1DD6" w14:paraId="195B12A0" w14:textId="6FD59D17">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0E45E3" w14:paraId="25EC0787" w14:textId="08E77462">
      <w:pPr>
        <w:pStyle w:val="ReportCover-Date"/>
        <w:spacing w:after="0"/>
        <w:jc w:val="center"/>
        <w:rPr>
          <w:rFonts w:ascii="Arial" w:hAnsi="Arial" w:cs="Arial"/>
          <w:color w:val="auto"/>
        </w:rPr>
      </w:pPr>
      <w:r>
        <w:rPr>
          <w:rFonts w:ascii="Arial" w:hAnsi="Arial" w:cs="Arial"/>
          <w:color w:val="auto"/>
        </w:rPr>
        <w:t xml:space="preserve">November </w:t>
      </w:r>
      <w:r w:rsidR="002F1DD6">
        <w:rPr>
          <w:rFonts w:ascii="Arial" w:hAnsi="Arial" w:cs="Arial"/>
          <w:color w:val="auto"/>
        </w:rPr>
        <w:t>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507A4C" w:rsidRDefault="001D1C73" w14:paraId="77B06B0F" w14:textId="77777777">
      <w:pPr>
        <w:spacing w:after="0" w:line="240" w:lineRule="auto"/>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1D1C73" w:rsidP="001D1C73" w:rsidRDefault="001D1C73" w14:paraId="32BC72CD" w14:textId="47495946">
      <w:pPr>
        <w:spacing w:after="0" w:line="240" w:lineRule="auto"/>
        <w:jc w:val="center"/>
        <w:rPr>
          <w:rFonts w:ascii="Arial" w:hAnsi="Arial" w:cs="Arial"/>
        </w:rPr>
      </w:pPr>
      <w:r w:rsidRPr="009139B3">
        <w:rPr>
          <w:rFonts w:ascii="Arial" w:hAnsi="Arial" w:cs="Arial"/>
        </w:rPr>
        <w:t>Project Officers:</w:t>
      </w:r>
    </w:p>
    <w:p w:rsidR="002F1DD6" w:rsidP="002F1DD6" w:rsidRDefault="002F1DD6" w14:paraId="6D85DEBB" w14:textId="77777777">
      <w:pPr>
        <w:spacing w:after="0" w:line="240" w:lineRule="auto"/>
        <w:jc w:val="center"/>
        <w:rPr>
          <w:rFonts w:cstheme="minorHAnsi"/>
        </w:rPr>
      </w:pPr>
      <w:r>
        <w:rPr>
          <w:rFonts w:cstheme="minorHAnsi"/>
        </w:rPr>
        <w:t>Marie Lawrence</w:t>
      </w:r>
    </w:p>
    <w:p w:rsidRPr="002F1DD6" w:rsidR="002F1DD6" w:rsidP="002F1DD6" w:rsidRDefault="002F1DD6" w14:paraId="63F29D35" w14:textId="325E1FB9">
      <w:pPr>
        <w:spacing w:after="0" w:line="240" w:lineRule="auto"/>
        <w:jc w:val="center"/>
        <w:rPr>
          <w:rFonts w:cstheme="minorHAnsi"/>
        </w:rPr>
      </w:pPr>
      <w:r>
        <w:rPr>
          <w:rFonts w:cstheme="minorHAnsi"/>
        </w:rPr>
        <w:t>Kathleen Dwyer</w:t>
      </w:r>
    </w:p>
    <w:p w:rsidRPr="009139B3" w:rsidR="001D1C73" w:rsidP="001D1C73" w:rsidRDefault="001D1C73" w14:paraId="028CE6F6" w14:textId="77777777">
      <w:pPr>
        <w:spacing w:after="0" w:line="240" w:lineRule="auto"/>
        <w:jc w:val="center"/>
        <w:rPr>
          <w:b/>
        </w:rPr>
      </w:pPr>
    </w:p>
    <w:p w:rsidR="009C3792" w:rsidP="000E45E3" w:rsidRDefault="009C3792" w14:paraId="46399376" w14:textId="77777777">
      <w:pPr>
        <w:spacing w:after="0" w:line="240" w:lineRule="auto"/>
        <w:jc w:val="center"/>
        <w:rPr>
          <w:b/>
          <w:sz w:val="32"/>
          <w:szCs w:val="32"/>
        </w:rPr>
      </w:pPr>
    </w:p>
    <w:p w:rsidRPr="009139B3" w:rsidR="001D1C73" w:rsidP="000E45E3" w:rsidRDefault="001D1C73" w14:paraId="43581017" w14:textId="4C71D65D">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41A63E13">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CF3F7E">
        <w:t xml:space="preserve">new </w:t>
      </w:r>
      <w:r w:rsidRPr="009139B3">
        <w:t xml:space="preserve">request. We are requesting </w:t>
      </w:r>
      <w:r w:rsidR="00CF3F7E">
        <w:t>one</w:t>
      </w:r>
      <w:r w:rsidRPr="009139B3">
        <w:t xml:space="preserve"> year of approval. </w:t>
      </w:r>
    </w:p>
    <w:p w:rsidRPr="009139B3" w:rsidR="001D1C73" w:rsidP="00CF3F7E" w:rsidRDefault="001D1C73" w14:paraId="3D729D59" w14:textId="77777777">
      <w:pPr>
        <w:spacing w:after="0"/>
      </w:pPr>
    </w:p>
    <w:p w:rsidRPr="00486BEC" w:rsidR="001D1C73" w:rsidP="00486BEC" w:rsidRDefault="001D1C73" w14:paraId="5826ECF0" w14:textId="76AB2DCB">
      <w:pPr>
        <w:pStyle w:val="ListParagraph"/>
        <w:numPr>
          <w:ilvl w:val="0"/>
          <w:numId w:val="27"/>
        </w:numPr>
        <w:spacing w:after="0" w:line="240" w:lineRule="auto"/>
      </w:pPr>
      <w:r w:rsidRPr="009139B3">
        <w:rPr>
          <w:b/>
        </w:rPr>
        <w:t xml:space="preserve">Description of Request: </w:t>
      </w:r>
      <w:r w:rsidRPr="0072416E" w:rsidR="0072416E">
        <w:rPr>
          <w:rFonts w:cstheme="minorHAnsi"/>
        </w:rPr>
        <w:t xml:space="preserve"> </w:t>
      </w:r>
      <w:r w:rsidR="0072416E">
        <w:rPr>
          <w:rFonts w:cstheme="minorHAnsi"/>
        </w:rPr>
        <w:t xml:space="preserve">The </w:t>
      </w:r>
      <w:r w:rsidRPr="00D15302" w:rsidR="00D15302">
        <w:t>Understanding the Value of Centralized Services S</w:t>
      </w:r>
      <w:r w:rsidR="0072416E">
        <w:rPr>
          <w:rFonts w:cstheme="minorHAnsi"/>
        </w:rPr>
        <w:t xml:space="preserve">tudy </w:t>
      </w:r>
      <w:r w:rsidR="000D1D2C">
        <w:rPr>
          <w:rFonts w:cstheme="minorHAnsi"/>
        </w:rPr>
        <w:t xml:space="preserve">is a descriptive study that </w:t>
      </w:r>
      <w:r w:rsidR="0072416E">
        <w:rPr>
          <w:rFonts w:cstheme="minorHAnsi"/>
        </w:rPr>
        <w:t>intends to document different models for centralizing services</w:t>
      </w:r>
      <w:r w:rsidR="00CA5851">
        <w:rPr>
          <w:rFonts w:cstheme="minorHAnsi"/>
        </w:rPr>
        <w:t>;</w:t>
      </w:r>
      <w:r w:rsidR="0072416E">
        <w:rPr>
          <w:rFonts w:cstheme="minorHAnsi"/>
        </w:rPr>
        <w:t xml:space="preserve"> the advantages, disadvantages, and costs </w:t>
      </w:r>
      <w:r w:rsidR="00CA5851">
        <w:rPr>
          <w:rFonts w:cstheme="minorHAnsi"/>
        </w:rPr>
        <w:t>of</w:t>
      </w:r>
      <w:r w:rsidR="0072416E">
        <w:rPr>
          <w:rFonts w:cstheme="minorHAnsi"/>
        </w:rPr>
        <w:t xml:space="preserve"> centralizing services</w:t>
      </w:r>
      <w:r w:rsidR="00CA5851">
        <w:rPr>
          <w:rFonts w:cstheme="minorHAnsi"/>
        </w:rPr>
        <w:t>;</w:t>
      </w:r>
      <w:r w:rsidR="0072416E">
        <w:rPr>
          <w:rFonts w:cstheme="minorHAnsi"/>
        </w:rPr>
        <w:t xml:space="preserve"> and the perspectives of staff and clients.</w:t>
      </w:r>
      <w:r w:rsidR="00486BEC">
        <w:rPr>
          <w:rFonts w:cstheme="minorHAnsi"/>
        </w:rPr>
        <w:t xml:space="preserve"> </w:t>
      </w:r>
      <w:r w:rsidR="000D1D2C">
        <w:rPr>
          <w:rFonts w:cstheme="minorHAnsi"/>
        </w:rPr>
        <w:t xml:space="preserve">The data collection effort will include one-time, individual and group interviews with program staff; focus groups with program clients; and observations of activities at centralized community resource centers (CCRCs). </w:t>
      </w:r>
      <w:r w:rsidR="00486BEC">
        <w:rPr>
          <w:rFonts w:cstheme="minorHAnsi"/>
        </w:rPr>
        <w:t xml:space="preserve">We do not intend for this information to be generalized to a broader population. </w:t>
      </w:r>
      <w:r w:rsidRPr="00486BEC">
        <w:rPr>
          <w:rFonts w:cs="Calibri"/>
        </w:rPr>
        <w:t>We do not intend for this information to be used as the principal basis for public policy decisions.</w:t>
      </w:r>
    </w:p>
    <w:p w:rsidRPr="009139B3" w:rsidR="001D1C73" w:rsidP="001D1C73" w:rsidRDefault="001D1C73" w14:paraId="685C9784" w14:textId="77777777">
      <w:pPr>
        <w:pStyle w:val="ListParagraph"/>
        <w:spacing w:after="0"/>
      </w:pPr>
    </w:p>
    <w:p w:rsidRPr="009139B3" w:rsidR="001D1C73" w:rsidP="001D1C73" w:rsidRDefault="001D1C73" w14:paraId="432D851C" w14:textId="6F15FD18">
      <w:pPr>
        <w:pStyle w:val="ListParagraph"/>
        <w:numPr>
          <w:ilvl w:val="0"/>
          <w:numId w:val="27"/>
        </w:numPr>
        <w:spacing w:after="0" w:line="240" w:lineRule="auto"/>
        <w:rPr>
          <w:b/>
        </w:rPr>
      </w:pPr>
      <w:r w:rsidRPr="009139B3">
        <w:rPr>
          <w:b/>
        </w:rPr>
        <w:t xml:space="preserve">Time Sensitivity: </w:t>
      </w:r>
      <w:r w:rsidR="00736D79">
        <w:rPr>
          <w:bCs/>
        </w:rPr>
        <w:t>The contract for this project ends in September 2022.</w:t>
      </w:r>
    </w:p>
    <w:p w:rsidRPr="009139B3" w:rsidR="001D1C73" w:rsidP="001D1C73" w:rsidRDefault="001D1C73" w14:paraId="44585B10" w14:textId="77777777">
      <w:pPr>
        <w:spacing w:after="0" w:line="240" w:lineRule="auto"/>
        <w:rPr>
          <w:b/>
        </w:rPr>
      </w:pPr>
    </w:p>
    <w:p w:rsidRPr="009139B3" w:rsidR="001D1C73" w:rsidP="001D1C73" w:rsidRDefault="001D1C73" w14:paraId="0CAA5121" w14:textId="77777777">
      <w:pPr>
        <w:spacing w:after="0" w:line="240" w:lineRule="auto"/>
        <w:rPr>
          <w:b/>
        </w:rPr>
      </w:pPr>
    </w:p>
    <w:p w:rsidRPr="00D15302" w:rsidR="00D15302" w:rsidP="00D15302" w:rsidRDefault="001D1C73" w14:paraId="4123DDEB" w14:textId="71E144D8">
      <w:r w:rsidRPr="009139B3">
        <w:br w:type="page"/>
      </w:r>
    </w:p>
    <w:p w:rsidRPr="009139B3" w:rsidR="001D1C73" w:rsidP="001D1C73" w:rsidRDefault="001D1C73" w14:paraId="7CF70A12" w14:textId="180554BE">
      <w:pPr>
        <w:spacing w:after="0"/>
      </w:pPr>
    </w:p>
    <w:p w:rsidRPr="009139B3" w:rsidR="001D1C73" w:rsidP="001D1C73" w:rsidRDefault="001D1C73" w14:paraId="2C4A3F63" w14:textId="77777777">
      <w:pPr>
        <w:spacing w:after="0" w:line="240" w:lineRule="auto"/>
      </w:pPr>
    </w:p>
    <w:p w:rsidR="00D15302" w:rsidP="008B3A3B" w:rsidRDefault="001D1C73" w14:paraId="51EBDB7A"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r w:rsidRPr="003641D9" w:rsidR="003641D9">
        <w:t xml:space="preserve"> </w:t>
      </w:r>
    </w:p>
    <w:p w:rsidRPr="009139B3" w:rsidR="001D1C73" w:rsidP="002941C2" w:rsidRDefault="008B3A3B" w14:paraId="282538F5" w14:textId="65292E5D">
      <w:pPr>
        <w:spacing w:after="0" w:line="240" w:lineRule="auto"/>
      </w:pPr>
      <w:r>
        <w:t xml:space="preserve">This study is being </w:t>
      </w:r>
      <w:r w:rsidR="00CA5851">
        <w:t xml:space="preserve">conducted </w:t>
      </w:r>
      <w:r>
        <w:t>pursuant to the directive from Congress to</w:t>
      </w:r>
      <w:r w:rsidRPr="003641D9" w:rsidR="003641D9">
        <w:t xml:space="preserve"> the Administration for Children and Families</w:t>
      </w:r>
      <w:r>
        <w:t xml:space="preserve"> </w:t>
      </w:r>
      <w:r w:rsidRPr="003641D9" w:rsidR="003641D9">
        <w:t>(ACF)</w:t>
      </w:r>
      <w:r>
        <w:t xml:space="preserve"> </w:t>
      </w:r>
      <w:r w:rsidRPr="003641D9" w:rsidR="003641D9">
        <w:t>to “research how centralized community resource centers, which allow citizens to apply for several Federal</w:t>
      </w:r>
      <w:r>
        <w:t xml:space="preserve"> </w:t>
      </w:r>
      <w:r w:rsidRPr="003641D9" w:rsidR="003641D9">
        <w:t>social services in a single location, can reduce the burden on constituents and ensure the cost-effective allocation of Federal resources”</w:t>
      </w:r>
      <w:r>
        <w:t xml:space="preserve"> (</w:t>
      </w:r>
      <w:r w:rsidRPr="00D063A2" w:rsidR="000E45E3">
        <w:rPr>
          <w:rFonts w:cs="Times New Roman"/>
          <w:szCs w:val="24"/>
        </w:rPr>
        <w:t>H</w:t>
      </w:r>
      <w:r w:rsidR="000E45E3">
        <w:rPr>
          <w:rFonts w:cs="Times New Roman"/>
          <w:szCs w:val="24"/>
        </w:rPr>
        <w:t xml:space="preserve">. Rept. </w:t>
      </w:r>
      <w:r w:rsidRPr="00D063A2" w:rsidR="000E45E3">
        <w:rPr>
          <w:rFonts w:cs="Times New Roman"/>
          <w:szCs w:val="24"/>
        </w:rPr>
        <w:t>116-62 Departments of Labor, Health and Human Services, and Education, and Related Agencies Appropriations Bill, 2020</w:t>
      </w:r>
      <w:r>
        <w:t>).</w:t>
      </w:r>
      <w:r w:rsidR="00131057">
        <w:t xml:space="preserve"> ACF has contracted with MEF Associates and Mathematica</w:t>
      </w:r>
      <w:r w:rsidR="00E45E05">
        <w:t>, as a subcontractor,</w:t>
      </w:r>
      <w:r w:rsidR="00131057">
        <w:t xml:space="preserve"> to conduct this study. </w:t>
      </w:r>
    </w:p>
    <w:p w:rsidR="001D1C73" w:rsidP="001D1C73" w:rsidRDefault="001D1C73" w14:paraId="3706DD4E" w14:textId="63240933">
      <w:pPr>
        <w:pStyle w:val="ListParagraph"/>
        <w:spacing w:after="0" w:line="240" w:lineRule="auto"/>
        <w:ind w:left="360"/>
      </w:pPr>
    </w:p>
    <w:p w:rsidRPr="009139B3" w:rsidR="003A7373" w:rsidP="001D1C73" w:rsidRDefault="003A7373" w14:paraId="7881E036"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P="001D1C73" w:rsidRDefault="001D1C73" w14:paraId="3EF5234E" w14:textId="2CE0D3C9">
      <w:pPr>
        <w:spacing w:after="60" w:line="240" w:lineRule="auto"/>
        <w:rPr>
          <w:i/>
        </w:rPr>
      </w:pPr>
      <w:r w:rsidRPr="009139B3">
        <w:rPr>
          <w:i/>
        </w:rPr>
        <w:t xml:space="preserve">Purpose and Use </w:t>
      </w:r>
    </w:p>
    <w:p w:rsidR="000111EB" w:rsidP="002941C2" w:rsidRDefault="000111EB" w14:paraId="7DB325F0" w14:textId="041D4564">
      <w:pPr>
        <w:spacing w:after="120" w:line="240" w:lineRule="auto"/>
        <w:rPr>
          <w:rFonts w:cstheme="minorHAnsi"/>
        </w:rPr>
      </w:pPr>
      <w:r>
        <w:rPr>
          <w:rFonts w:cstheme="minorHAnsi"/>
        </w:rPr>
        <w:t>Th</w:t>
      </w:r>
      <w:r w:rsidR="00463ABF">
        <w:rPr>
          <w:rFonts w:cstheme="minorHAnsi"/>
        </w:rPr>
        <w:t>is information collection consists of one-time site visits to three sites,</w:t>
      </w:r>
      <w:r w:rsidR="00AA4DDA">
        <w:rPr>
          <w:rFonts w:cstheme="minorHAnsi"/>
        </w:rPr>
        <w:t xml:space="preserve"> which will involve </w:t>
      </w:r>
      <w:r w:rsidR="00463ABF">
        <w:rPr>
          <w:rFonts w:cstheme="minorHAnsi"/>
        </w:rPr>
        <w:t>group and individual interviews with staff</w:t>
      </w:r>
      <w:r w:rsidR="00124C7B">
        <w:rPr>
          <w:rFonts w:cstheme="minorHAnsi"/>
        </w:rPr>
        <w:t xml:space="preserve"> and </w:t>
      </w:r>
      <w:r w:rsidR="00463ABF">
        <w:rPr>
          <w:rFonts w:cstheme="minorHAnsi"/>
        </w:rPr>
        <w:t>focus groups with clients</w:t>
      </w:r>
      <w:r w:rsidR="00124C7B">
        <w:rPr>
          <w:rFonts w:cstheme="minorHAnsi"/>
        </w:rPr>
        <w:t xml:space="preserve">.  The site visits will also include direct </w:t>
      </w:r>
      <w:r w:rsidR="00463ABF">
        <w:rPr>
          <w:rFonts w:cstheme="minorHAnsi"/>
        </w:rPr>
        <w:t>observations of program services. The data collection is part of a study designed to better understand social service delivery in a centralized location</w:t>
      </w:r>
      <w:r w:rsidR="005F6E0C">
        <w:rPr>
          <w:rFonts w:cstheme="minorHAnsi"/>
        </w:rPr>
        <w:t xml:space="preserve">, in response to the Congressional directive in </w:t>
      </w:r>
      <w:r w:rsidRPr="00D063A2" w:rsidR="000E45E3">
        <w:rPr>
          <w:rFonts w:cs="Times New Roman"/>
          <w:szCs w:val="24"/>
        </w:rPr>
        <w:t>H</w:t>
      </w:r>
      <w:r w:rsidR="000E45E3">
        <w:rPr>
          <w:rFonts w:cs="Times New Roman"/>
          <w:szCs w:val="24"/>
        </w:rPr>
        <w:t xml:space="preserve">. Rept. </w:t>
      </w:r>
      <w:r w:rsidRPr="00D063A2" w:rsidR="000E45E3">
        <w:rPr>
          <w:rFonts w:cs="Times New Roman"/>
          <w:szCs w:val="24"/>
        </w:rPr>
        <w:t>116-62 Departments of Labor, Health and Human Services, and Education, and Related Agencies Appropriations Bill, 2020</w:t>
      </w:r>
      <w:r w:rsidR="00463ABF">
        <w:rPr>
          <w:rFonts w:cstheme="minorHAnsi"/>
        </w:rPr>
        <w:t xml:space="preserve">. </w:t>
      </w:r>
      <w:r>
        <w:rPr>
          <w:rFonts w:cstheme="minorHAnsi"/>
        </w:rPr>
        <w:t>The objectives of this research are to:</w:t>
      </w:r>
    </w:p>
    <w:p w:rsidR="000111EB" w:rsidP="000111EB" w:rsidRDefault="00004A2D" w14:paraId="3A8E8D87" w14:textId="0B643555">
      <w:pPr>
        <w:pStyle w:val="ListParagraph"/>
        <w:numPr>
          <w:ilvl w:val="0"/>
          <w:numId w:val="44"/>
        </w:numPr>
        <w:spacing w:after="0" w:line="240" w:lineRule="auto"/>
        <w:rPr>
          <w:rFonts w:cstheme="minorHAnsi"/>
        </w:rPr>
      </w:pPr>
      <w:r>
        <w:rPr>
          <w:rFonts w:cstheme="minorHAnsi"/>
        </w:rPr>
        <w:t>Document</w:t>
      </w:r>
      <w:r w:rsidR="000111EB">
        <w:rPr>
          <w:rFonts w:cstheme="minorHAnsi"/>
        </w:rPr>
        <w:t xml:space="preserve"> different models for centralizing services</w:t>
      </w:r>
    </w:p>
    <w:p w:rsidR="000111EB" w:rsidP="000111EB" w:rsidRDefault="00004A2D" w14:paraId="36A3EFC8" w14:textId="71FBAD2C">
      <w:pPr>
        <w:pStyle w:val="ListParagraph"/>
        <w:numPr>
          <w:ilvl w:val="0"/>
          <w:numId w:val="44"/>
        </w:numPr>
        <w:spacing w:after="0" w:line="240" w:lineRule="auto"/>
        <w:rPr>
          <w:rFonts w:cstheme="minorHAnsi"/>
        </w:rPr>
      </w:pPr>
      <w:r>
        <w:rPr>
          <w:rFonts w:cstheme="minorHAnsi"/>
        </w:rPr>
        <w:t>Document</w:t>
      </w:r>
      <w:r w:rsidR="000111EB">
        <w:rPr>
          <w:rFonts w:cstheme="minorHAnsi"/>
        </w:rPr>
        <w:t xml:space="preserve"> the advantages, disadvantages, and costs </w:t>
      </w:r>
      <w:r w:rsidR="000E45E3">
        <w:rPr>
          <w:rFonts w:cstheme="minorHAnsi"/>
        </w:rPr>
        <w:t>of</w:t>
      </w:r>
      <w:r w:rsidR="000111EB">
        <w:rPr>
          <w:rFonts w:cstheme="minorHAnsi"/>
        </w:rPr>
        <w:t xml:space="preserve"> centralizing services, from the perspective of staff and clients</w:t>
      </w:r>
    </w:p>
    <w:p w:rsidRPr="000111EB" w:rsidR="000111EB" w:rsidP="000111EB" w:rsidRDefault="000111EB" w14:paraId="4406F6EA" w14:textId="78519EFC">
      <w:pPr>
        <w:pStyle w:val="ListParagraph"/>
        <w:numPr>
          <w:ilvl w:val="0"/>
          <w:numId w:val="44"/>
        </w:numPr>
        <w:spacing w:after="0" w:line="240" w:lineRule="auto"/>
        <w:rPr>
          <w:rFonts w:cstheme="minorHAnsi"/>
        </w:rPr>
      </w:pPr>
      <w:r>
        <w:rPr>
          <w:rFonts w:cstheme="minorHAnsi"/>
        </w:rPr>
        <w:t>Help establish a basis for future research and evaluation in this area</w:t>
      </w:r>
    </w:p>
    <w:p w:rsidR="000111EB" w:rsidP="000111EB" w:rsidRDefault="000111EB" w14:paraId="381025C3" w14:textId="06127F84">
      <w:pPr>
        <w:spacing w:after="0" w:line="240" w:lineRule="auto"/>
        <w:rPr>
          <w:rFonts w:cstheme="minorHAnsi"/>
        </w:rPr>
      </w:pPr>
    </w:p>
    <w:p w:rsidR="000111EB" w:rsidP="000111EB" w:rsidRDefault="000111EB" w14:paraId="0EB2A52E" w14:textId="1FC1B017">
      <w:pPr>
        <w:spacing w:after="0" w:line="240" w:lineRule="auto"/>
        <w:rPr>
          <w:rFonts w:cstheme="minorHAnsi"/>
        </w:rPr>
      </w:pPr>
      <w:r>
        <w:rPr>
          <w:rFonts w:cstheme="minorHAnsi"/>
        </w:rPr>
        <w:t xml:space="preserve">Findings from this research will be used to </w:t>
      </w:r>
      <w:r w:rsidR="00004A2D">
        <w:rPr>
          <w:rFonts w:cstheme="minorHAnsi"/>
        </w:rPr>
        <w:t>contribute to the body of knowledge</w:t>
      </w:r>
      <w:r>
        <w:rPr>
          <w:rFonts w:cstheme="minorHAnsi"/>
        </w:rPr>
        <w:t xml:space="preserve"> about the </w:t>
      </w:r>
      <w:r w:rsidR="00463ABF">
        <w:rPr>
          <w:rFonts w:cstheme="minorHAnsi"/>
        </w:rPr>
        <w:t xml:space="preserve">advantages, disadvantages, and costs of providing services </w:t>
      </w:r>
      <w:r w:rsidR="00D60A78">
        <w:rPr>
          <w:rFonts w:cstheme="minorHAnsi"/>
        </w:rPr>
        <w:t xml:space="preserve">in a single location </w:t>
      </w:r>
      <w:r w:rsidR="00463ABF">
        <w:rPr>
          <w:rFonts w:cstheme="minorHAnsi"/>
        </w:rPr>
        <w:t>for families and individuals with low</w:t>
      </w:r>
      <w:r w:rsidR="00AA4DDA">
        <w:rPr>
          <w:rFonts w:cstheme="minorHAnsi"/>
        </w:rPr>
        <w:t xml:space="preserve"> </w:t>
      </w:r>
      <w:r w:rsidR="00463ABF">
        <w:rPr>
          <w:rFonts w:cstheme="minorHAnsi"/>
        </w:rPr>
        <w:t>income</w:t>
      </w:r>
      <w:r w:rsidR="00D60A78">
        <w:rPr>
          <w:rFonts w:cstheme="minorHAnsi"/>
        </w:rPr>
        <w:t>s</w:t>
      </w:r>
      <w:r w:rsidR="00463ABF">
        <w:rPr>
          <w:rFonts w:cstheme="minorHAnsi"/>
        </w:rPr>
        <w:t>.</w:t>
      </w:r>
      <w:r w:rsidRPr="00463ABF" w:rsidR="00463ABF">
        <w:rPr>
          <w:rFonts w:eastAsia="Times New Roman" w:cstheme="minorHAnsi"/>
          <w:iCs/>
          <w:color w:val="000000"/>
        </w:rPr>
        <w:t xml:space="preserve"> </w:t>
      </w:r>
      <w:r w:rsidR="002D1653">
        <w:rPr>
          <w:rFonts w:eastAsia="Times New Roman" w:cstheme="minorHAnsi"/>
          <w:iCs/>
          <w:color w:val="000000"/>
        </w:rPr>
        <w:t>The research team</w:t>
      </w:r>
      <w:r w:rsidRPr="00230321" w:rsidR="002D1653">
        <w:rPr>
          <w:rFonts w:eastAsia="Times New Roman" w:cstheme="minorHAnsi"/>
          <w:iCs/>
          <w:color w:val="000000"/>
        </w:rPr>
        <w:t xml:space="preserve"> </w:t>
      </w:r>
      <w:r w:rsidRPr="00230321" w:rsidR="00463ABF">
        <w:rPr>
          <w:rFonts w:eastAsia="Times New Roman" w:cstheme="minorHAnsi"/>
          <w:iCs/>
          <w:color w:val="000000"/>
        </w:rPr>
        <w:t xml:space="preserve">will not </w:t>
      </w:r>
      <w:r w:rsidR="00CA5851">
        <w:rPr>
          <w:rFonts w:eastAsia="Times New Roman" w:cstheme="minorHAnsi"/>
          <w:iCs/>
          <w:color w:val="000000"/>
        </w:rPr>
        <w:t>use</w:t>
      </w:r>
      <w:r w:rsidRPr="00230321" w:rsidR="00463ABF">
        <w:rPr>
          <w:rFonts w:eastAsia="Times New Roman" w:cstheme="minorHAnsi"/>
          <w:iCs/>
          <w:color w:val="000000"/>
        </w:rPr>
        <w:t xml:space="preserve"> the data to make statistical inferences or generalize findings beyond the study sample. However, the information gathered will provide an initial understanding of </w:t>
      </w:r>
      <w:r w:rsidR="005F6E0C">
        <w:rPr>
          <w:rFonts w:eastAsia="Times New Roman" w:cstheme="minorHAnsi"/>
          <w:iCs/>
          <w:color w:val="000000"/>
        </w:rPr>
        <w:t>centralized service provision</w:t>
      </w:r>
      <w:r w:rsidR="00463ABF">
        <w:rPr>
          <w:rFonts w:eastAsia="Times New Roman" w:cstheme="minorHAnsi"/>
          <w:iCs/>
          <w:color w:val="000000"/>
        </w:rPr>
        <w:t xml:space="preserve"> for </w:t>
      </w:r>
      <w:r w:rsidR="005F6E0C">
        <w:rPr>
          <w:rFonts w:eastAsia="Times New Roman" w:cstheme="minorHAnsi"/>
          <w:iCs/>
          <w:color w:val="000000"/>
        </w:rPr>
        <w:t>families and individuals with low</w:t>
      </w:r>
      <w:r w:rsidR="00AA4DDA">
        <w:rPr>
          <w:rFonts w:eastAsia="Times New Roman" w:cstheme="minorHAnsi"/>
          <w:iCs/>
          <w:color w:val="000000"/>
        </w:rPr>
        <w:t xml:space="preserve"> </w:t>
      </w:r>
      <w:r w:rsidR="005F6E0C">
        <w:rPr>
          <w:rFonts w:eastAsia="Times New Roman" w:cstheme="minorHAnsi"/>
          <w:iCs/>
          <w:color w:val="000000"/>
        </w:rPr>
        <w:t>income</w:t>
      </w:r>
      <w:r w:rsidR="00D60A78">
        <w:rPr>
          <w:rFonts w:eastAsia="Times New Roman" w:cstheme="minorHAnsi"/>
          <w:iCs/>
          <w:color w:val="000000"/>
        </w:rPr>
        <w:t>s</w:t>
      </w:r>
      <w:r w:rsidR="000B0B94">
        <w:rPr>
          <w:rFonts w:eastAsia="Times New Roman" w:cstheme="minorHAnsi"/>
          <w:iCs/>
          <w:color w:val="000000"/>
        </w:rPr>
        <w:t xml:space="preserve">, which will </w:t>
      </w:r>
      <w:r w:rsidRPr="00230321" w:rsidR="00463ABF">
        <w:rPr>
          <w:rFonts w:eastAsia="Times New Roman" w:cstheme="minorHAnsi"/>
          <w:iCs/>
          <w:color w:val="000000"/>
        </w:rPr>
        <w:t xml:space="preserve">help inform </w:t>
      </w:r>
      <w:r w:rsidR="00463ABF">
        <w:rPr>
          <w:rFonts w:eastAsia="Times New Roman" w:cstheme="minorHAnsi"/>
          <w:iCs/>
          <w:color w:val="000000"/>
        </w:rPr>
        <w:t xml:space="preserve">ACF’s </w:t>
      </w:r>
      <w:r w:rsidRPr="00230321" w:rsidR="00463ABF">
        <w:rPr>
          <w:rFonts w:eastAsia="Times New Roman" w:cstheme="minorHAnsi"/>
          <w:iCs/>
          <w:color w:val="000000"/>
        </w:rPr>
        <w:t>future research and evaluation in this area.</w:t>
      </w:r>
      <w:r w:rsidR="003F6269">
        <w:rPr>
          <w:rFonts w:eastAsia="Times New Roman" w:cstheme="minorHAnsi"/>
          <w:iCs/>
          <w:color w:val="000000"/>
        </w:rPr>
        <w:t xml:space="preserve"> </w:t>
      </w:r>
      <w:r w:rsidR="000E0FF0">
        <w:rPr>
          <w:rFonts w:eastAsia="Times New Roman" w:cstheme="minorHAnsi"/>
          <w:iCs/>
          <w:color w:val="000000"/>
        </w:rPr>
        <w:t>Findings from this study will also be used to inform Congress</w:t>
      </w:r>
      <w:r w:rsidR="00B7203B">
        <w:rPr>
          <w:rFonts w:eastAsia="Times New Roman" w:cstheme="minorHAnsi"/>
          <w:iCs/>
          <w:color w:val="000000"/>
        </w:rPr>
        <w:t xml:space="preserve"> and </w:t>
      </w:r>
      <w:r w:rsidR="000E0FF0">
        <w:rPr>
          <w:rFonts w:eastAsia="Times New Roman" w:cstheme="minorHAnsi"/>
          <w:iCs/>
          <w:color w:val="000000"/>
        </w:rPr>
        <w:t xml:space="preserve">community stakeholders of </w:t>
      </w:r>
      <w:r w:rsidR="00B7203B">
        <w:rPr>
          <w:rFonts w:eastAsia="Times New Roman" w:cstheme="minorHAnsi"/>
          <w:iCs/>
          <w:color w:val="000000"/>
        </w:rPr>
        <w:t xml:space="preserve">different </w:t>
      </w:r>
      <w:r w:rsidR="000E0FF0">
        <w:rPr>
          <w:rFonts w:eastAsia="Times New Roman" w:cstheme="minorHAnsi"/>
          <w:iCs/>
          <w:color w:val="000000"/>
        </w:rPr>
        <w:t>approaches</w:t>
      </w:r>
      <w:r w:rsidR="00B7203B">
        <w:rPr>
          <w:rFonts w:eastAsia="Times New Roman" w:cstheme="minorHAnsi"/>
          <w:iCs/>
          <w:color w:val="000000"/>
        </w:rPr>
        <w:t xml:space="preserve"> that have been </w:t>
      </w:r>
      <w:r w:rsidR="000E0FF0">
        <w:rPr>
          <w:rFonts w:eastAsia="Times New Roman" w:cstheme="minorHAnsi"/>
          <w:iCs/>
          <w:color w:val="000000"/>
        </w:rPr>
        <w:t xml:space="preserve">used to centralize services to reduce constituents’ burden and </w:t>
      </w:r>
      <w:r w:rsidR="00B7203B">
        <w:rPr>
          <w:rFonts w:eastAsia="Times New Roman" w:cstheme="minorHAnsi"/>
          <w:iCs/>
          <w:color w:val="000000"/>
        </w:rPr>
        <w:t>contribute to the</w:t>
      </w:r>
      <w:r w:rsidR="000E0FF0">
        <w:rPr>
          <w:rFonts w:eastAsia="Times New Roman" w:cstheme="minorHAnsi"/>
          <w:iCs/>
          <w:color w:val="000000"/>
        </w:rPr>
        <w:t xml:space="preserve"> cost-effective allocation of resources. </w:t>
      </w:r>
    </w:p>
    <w:p w:rsidRPr="000E0FF0" w:rsidR="000111EB" w:rsidP="000E0FF0" w:rsidRDefault="000111EB" w14:paraId="4829912C" w14:textId="6D97D5DA">
      <w:pPr>
        <w:spacing w:after="0" w:line="240" w:lineRule="auto"/>
        <w:rPr>
          <w:rFonts w:cstheme="minorHAnsi"/>
        </w:rPr>
      </w:pPr>
    </w:p>
    <w:p w:rsidRPr="009139B3" w:rsidR="001D1C73" w:rsidP="001D1C73" w:rsidRDefault="001D1C73" w14:paraId="5D584897" w14:textId="77777777">
      <w:pPr>
        <w:spacing w:after="0" w:line="240" w:lineRule="auto"/>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001D1C73" w14:paraId="6F0BE561" w14:textId="136D7565">
      <w:pPr>
        <w:spacing w:after="60" w:line="240" w:lineRule="auto"/>
        <w:rPr>
          <w:i/>
        </w:rPr>
      </w:pPr>
      <w:r w:rsidRPr="009139B3">
        <w:rPr>
          <w:i/>
        </w:rPr>
        <w:t>Research Questions</w:t>
      </w:r>
    </w:p>
    <w:p w:rsidRPr="00D51793" w:rsidR="000111EB" w:rsidP="000111EB" w:rsidRDefault="000111EB" w14:paraId="6A7B75C6" w14:textId="77777777">
      <w:pPr>
        <w:pStyle w:val="ListParagraph"/>
        <w:numPr>
          <w:ilvl w:val="0"/>
          <w:numId w:val="42"/>
        </w:numPr>
        <w:spacing w:after="0" w:line="240" w:lineRule="auto"/>
        <w:rPr>
          <w:rFonts w:cstheme="minorHAnsi"/>
        </w:rPr>
      </w:pPr>
      <w:r w:rsidRPr="00D51793">
        <w:rPr>
          <w:rFonts w:cstheme="minorHAnsi"/>
        </w:rPr>
        <w:t xml:space="preserve">What is the range of models that have been used to provide centralized social services? </w:t>
      </w:r>
    </w:p>
    <w:p w:rsidRPr="00D51793" w:rsidR="000111EB" w:rsidP="000111EB" w:rsidRDefault="000111EB" w14:paraId="1D62256B" w14:textId="77777777">
      <w:pPr>
        <w:pStyle w:val="ListParagraph"/>
        <w:numPr>
          <w:ilvl w:val="0"/>
          <w:numId w:val="42"/>
        </w:numPr>
        <w:spacing w:after="0" w:line="240" w:lineRule="auto"/>
        <w:rPr>
          <w:rFonts w:cstheme="minorHAnsi"/>
        </w:rPr>
      </w:pPr>
      <w:r w:rsidRPr="00D51793">
        <w:rPr>
          <w:rFonts w:cstheme="minorHAnsi"/>
        </w:rPr>
        <w:t xml:space="preserve">What do we know about the different models used to deliver services centrally? </w:t>
      </w:r>
    </w:p>
    <w:p w:rsidRPr="00D51793" w:rsidR="000111EB" w:rsidP="00CD2D0E" w:rsidRDefault="000111EB" w14:paraId="59423058" w14:textId="77777777">
      <w:pPr>
        <w:pStyle w:val="ListParagraph"/>
        <w:numPr>
          <w:ilvl w:val="1"/>
          <w:numId w:val="43"/>
        </w:numPr>
        <w:spacing w:after="0" w:line="240" w:lineRule="auto"/>
        <w:ind w:left="1260"/>
        <w:rPr>
          <w:rFonts w:cstheme="minorHAnsi"/>
        </w:rPr>
      </w:pPr>
      <w:r w:rsidRPr="00D51793">
        <w:rPr>
          <w:rFonts w:cstheme="minorHAnsi"/>
        </w:rPr>
        <w:t xml:space="preserve">What are the benefits and challenges from the perspectives of staff and clients? </w:t>
      </w:r>
    </w:p>
    <w:p w:rsidRPr="00D51793" w:rsidR="000111EB" w:rsidP="00CD2D0E" w:rsidRDefault="000111EB" w14:paraId="5B457BD4" w14:textId="77777777">
      <w:pPr>
        <w:pStyle w:val="ListParagraph"/>
        <w:numPr>
          <w:ilvl w:val="1"/>
          <w:numId w:val="43"/>
        </w:numPr>
        <w:spacing w:after="0" w:line="240" w:lineRule="auto"/>
        <w:ind w:left="1260"/>
        <w:rPr>
          <w:rFonts w:cstheme="minorHAnsi"/>
        </w:rPr>
      </w:pPr>
      <w:r w:rsidRPr="00D51793">
        <w:rPr>
          <w:rFonts w:cstheme="minorHAnsi"/>
        </w:rPr>
        <w:t>How does centralizing services in a single location enable or hinder access to services for potential clients? How does this vary for different groups, if at all?</w:t>
      </w:r>
    </w:p>
    <w:p w:rsidRPr="00D51793" w:rsidR="000111EB" w:rsidP="00CD2D0E" w:rsidRDefault="000111EB" w14:paraId="13AC6862" w14:textId="77777777">
      <w:pPr>
        <w:pStyle w:val="ListParagraph"/>
        <w:numPr>
          <w:ilvl w:val="1"/>
          <w:numId w:val="43"/>
        </w:numPr>
        <w:spacing w:after="0" w:line="240" w:lineRule="auto"/>
        <w:ind w:left="1260"/>
        <w:rPr>
          <w:rFonts w:cstheme="minorHAnsi"/>
        </w:rPr>
      </w:pPr>
      <w:r w:rsidRPr="00D51793">
        <w:rPr>
          <w:rFonts w:cstheme="minorHAnsi"/>
        </w:rPr>
        <w:t xml:space="preserve">What are the costs and benefits associated with different models of centralized services? </w:t>
      </w:r>
    </w:p>
    <w:p w:rsidRPr="00D51793" w:rsidR="000111EB" w:rsidP="00CD2D0E" w:rsidRDefault="000111EB" w14:paraId="582D2E73" w14:textId="77777777">
      <w:pPr>
        <w:pStyle w:val="ListParagraph"/>
        <w:numPr>
          <w:ilvl w:val="1"/>
          <w:numId w:val="43"/>
        </w:numPr>
        <w:spacing w:after="0" w:line="240" w:lineRule="auto"/>
        <w:ind w:left="1260"/>
        <w:rPr>
          <w:rFonts w:cstheme="minorHAnsi"/>
        </w:rPr>
      </w:pPr>
      <w:r w:rsidRPr="00D51793">
        <w:rPr>
          <w:rFonts w:cstheme="minorHAnsi"/>
        </w:rPr>
        <w:t>Do different models work better for particular programs, in different settings, or for different populations? What role does community context play?</w:t>
      </w:r>
    </w:p>
    <w:p w:rsidRPr="00D51793" w:rsidR="000111EB" w:rsidP="00CD2D0E" w:rsidRDefault="000111EB" w14:paraId="585BCA1E" w14:textId="77777777">
      <w:pPr>
        <w:pStyle w:val="ListParagraph"/>
        <w:numPr>
          <w:ilvl w:val="1"/>
          <w:numId w:val="43"/>
        </w:numPr>
        <w:spacing w:after="0" w:line="240" w:lineRule="auto"/>
        <w:ind w:left="1260"/>
        <w:rPr>
          <w:rFonts w:cstheme="minorHAnsi"/>
        </w:rPr>
      </w:pPr>
      <w:r w:rsidRPr="00D51793">
        <w:rPr>
          <w:rFonts w:cstheme="minorHAnsi"/>
        </w:rPr>
        <w:lastRenderedPageBreak/>
        <w:t>How does centralization contribute to cost-effective allocation of resources for different models?</w:t>
      </w:r>
    </w:p>
    <w:p w:rsidRPr="00D51793" w:rsidR="000111EB" w:rsidP="000111EB" w:rsidRDefault="000111EB" w14:paraId="5465C0A8" w14:textId="01932E34">
      <w:pPr>
        <w:pStyle w:val="ListParagraph"/>
        <w:numPr>
          <w:ilvl w:val="0"/>
          <w:numId w:val="42"/>
        </w:numPr>
        <w:spacing w:after="0" w:line="240" w:lineRule="auto"/>
        <w:rPr>
          <w:rFonts w:cstheme="minorHAnsi"/>
        </w:rPr>
      </w:pPr>
      <w:r w:rsidRPr="00D51793">
        <w:rPr>
          <w:rFonts w:cstheme="minorHAnsi"/>
        </w:rPr>
        <w:t xml:space="preserve">What is the motivation for </w:t>
      </w:r>
      <w:r w:rsidR="000E45E3">
        <w:rPr>
          <w:rFonts w:cstheme="minorHAnsi"/>
        </w:rPr>
        <w:t>centralizing</w:t>
      </w:r>
      <w:r w:rsidRPr="00D51793">
        <w:rPr>
          <w:rFonts w:cstheme="minorHAnsi"/>
        </w:rPr>
        <w:t xml:space="preserve"> services? How does the impetus for centralization relate to the types or models of centralization?</w:t>
      </w:r>
    </w:p>
    <w:p w:rsidRPr="00D51793" w:rsidR="000111EB" w:rsidP="000111EB" w:rsidRDefault="000111EB" w14:paraId="5E9CCC1D" w14:textId="77777777">
      <w:pPr>
        <w:pStyle w:val="ListParagraph"/>
        <w:numPr>
          <w:ilvl w:val="0"/>
          <w:numId w:val="42"/>
        </w:numPr>
        <w:spacing w:after="0" w:line="240" w:lineRule="auto"/>
        <w:rPr>
          <w:rFonts w:cstheme="minorHAnsi"/>
        </w:rPr>
      </w:pPr>
      <w:r w:rsidRPr="00D51793">
        <w:rPr>
          <w:rFonts w:cstheme="minorHAnsi"/>
        </w:rPr>
        <w:t>How are services being coordinated virtually and how does it differ from physical co-location? How does virtual coordination complement centralized services provided in person? What are the costs and benefits of virtual co-location? What lessons can practitioners learn from the COVID-19 pandemic as it relates to centralized services?</w:t>
      </w:r>
    </w:p>
    <w:p w:rsidRPr="009139B3" w:rsidR="001D1C73" w:rsidP="001D1C73" w:rsidRDefault="001D1C73" w14:paraId="366BAD8E" w14:textId="77777777">
      <w:pPr>
        <w:spacing w:after="0" w:line="240" w:lineRule="auto"/>
        <w:rPr>
          <w:i/>
        </w:rPr>
      </w:pPr>
    </w:p>
    <w:p w:rsidR="001D1C73" w:rsidP="001D1C73" w:rsidRDefault="001D1C73" w14:paraId="51121746" w14:textId="1CC93FA4">
      <w:pPr>
        <w:spacing w:after="60" w:line="240" w:lineRule="auto"/>
        <w:rPr>
          <w:i/>
        </w:rPr>
      </w:pPr>
      <w:r w:rsidRPr="009139B3">
        <w:rPr>
          <w:i/>
        </w:rPr>
        <w:t>Study Design</w:t>
      </w:r>
    </w:p>
    <w:p w:rsidR="00FA4833" w:rsidP="00CD2D0E" w:rsidRDefault="00AA4DDA" w14:paraId="66CC997F" w14:textId="06F459E1">
      <w:pPr>
        <w:spacing w:after="0" w:line="240" w:lineRule="auto"/>
        <w:rPr>
          <w:rFonts w:cstheme="minorHAnsi"/>
          <w:iCs/>
        </w:rPr>
      </w:pPr>
      <w:r>
        <w:rPr>
          <w:rFonts w:cstheme="minorHAnsi"/>
          <w:iCs/>
        </w:rPr>
        <w:t xml:space="preserve">At each of the three sites, </w:t>
      </w:r>
      <w:r w:rsidR="002D1653">
        <w:rPr>
          <w:rFonts w:cstheme="minorHAnsi"/>
          <w:iCs/>
        </w:rPr>
        <w:t xml:space="preserve">the research team </w:t>
      </w:r>
      <w:r w:rsidR="00497C49">
        <w:rPr>
          <w:rFonts w:cstheme="minorHAnsi"/>
          <w:iCs/>
        </w:rPr>
        <w:t xml:space="preserve">will conduct a one-time data collection effort including </w:t>
      </w:r>
      <w:r w:rsidR="002416AF">
        <w:rPr>
          <w:rFonts w:cstheme="minorHAnsi"/>
          <w:iCs/>
        </w:rPr>
        <w:t xml:space="preserve">in-person </w:t>
      </w:r>
      <w:r w:rsidR="00497C49">
        <w:rPr>
          <w:rFonts w:cstheme="minorHAnsi"/>
          <w:iCs/>
        </w:rPr>
        <w:t xml:space="preserve">staff interviews, client focus groups, and program observations. The three sites will operate different </w:t>
      </w:r>
      <w:r w:rsidR="002416AF">
        <w:rPr>
          <w:rFonts w:cstheme="minorHAnsi"/>
          <w:iCs/>
        </w:rPr>
        <w:t>models of centralization</w:t>
      </w:r>
      <w:r w:rsidR="00F06B2E">
        <w:rPr>
          <w:rFonts w:cstheme="minorHAnsi"/>
          <w:iCs/>
        </w:rPr>
        <w:t xml:space="preserve"> (as described in Supporting Statement B, Section B2) </w:t>
      </w:r>
      <w:r w:rsidR="002416AF">
        <w:rPr>
          <w:rFonts w:cstheme="minorHAnsi"/>
          <w:iCs/>
        </w:rPr>
        <w:t xml:space="preserve"> and will be varied across dimensions such as primary service domain, </w:t>
      </w:r>
      <w:r w:rsidR="00FA4833">
        <w:rPr>
          <w:rFonts w:cstheme="minorHAnsi"/>
          <w:iCs/>
        </w:rPr>
        <w:t>type of primary agency, and geographic region</w:t>
      </w:r>
      <w:r w:rsidR="002416AF">
        <w:rPr>
          <w:rFonts w:cstheme="minorHAnsi"/>
          <w:iCs/>
        </w:rPr>
        <w:t>. P</w:t>
      </w:r>
      <w:r w:rsidRPr="006B151B" w:rsidR="00AB75E5">
        <w:rPr>
          <w:rFonts w:cstheme="minorHAnsi"/>
          <w:iCs/>
        </w:rPr>
        <w:t xml:space="preserve">articipating </w:t>
      </w:r>
      <w:r w:rsidR="00AB75E5">
        <w:rPr>
          <w:rFonts w:cstheme="minorHAnsi"/>
          <w:iCs/>
        </w:rPr>
        <w:t>sites</w:t>
      </w:r>
      <w:r w:rsidRPr="006B151B" w:rsidR="00AB75E5">
        <w:rPr>
          <w:rFonts w:cstheme="minorHAnsi"/>
          <w:iCs/>
        </w:rPr>
        <w:t xml:space="preserve"> will not be representative of</w:t>
      </w:r>
      <w:r w:rsidR="00AB75E5">
        <w:rPr>
          <w:rFonts w:cstheme="minorHAnsi"/>
          <w:iCs/>
        </w:rPr>
        <w:t xml:space="preserve"> </w:t>
      </w:r>
      <w:r w:rsidR="009A41CD">
        <w:rPr>
          <w:rFonts w:cstheme="minorHAnsi"/>
          <w:iCs/>
        </w:rPr>
        <w:t xml:space="preserve">the </w:t>
      </w:r>
      <w:r w:rsidR="00AB75E5">
        <w:rPr>
          <w:rFonts w:cstheme="minorHAnsi"/>
          <w:iCs/>
        </w:rPr>
        <w:t>target population</w:t>
      </w:r>
      <w:r w:rsidR="000B0B94">
        <w:rPr>
          <w:rFonts w:cstheme="minorHAnsi"/>
          <w:iCs/>
        </w:rPr>
        <w:t xml:space="preserve"> (i.e., all</w:t>
      </w:r>
      <w:r w:rsidR="00186038">
        <w:rPr>
          <w:rFonts w:cstheme="minorHAnsi"/>
          <w:iCs/>
        </w:rPr>
        <w:t xml:space="preserve"> staff and</w:t>
      </w:r>
      <w:r w:rsidR="000B0B94">
        <w:rPr>
          <w:rFonts w:cstheme="minorHAnsi"/>
          <w:iCs/>
        </w:rPr>
        <w:t xml:space="preserve"> clients of </w:t>
      </w:r>
      <w:r w:rsidR="00AD315E">
        <w:rPr>
          <w:rFonts w:cstheme="minorHAnsi"/>
          <w:iCs/>
        </w:rPr>
        <w:t>CCRCs</w:t>
      </w:r>
      <w:r w:rsidR="000B0B94">
        <w:rPr>
          <w:rFonts w:cstheme="minorHAnsi"/>
          <w:iCs/>
        </w:rPr>
        <w:t>)</w:t>
      </w:r>
      <w:r w:rsidRPr="006B151B" w:rsidR="00AB75E5">
        <w:rPr>
          <w:rFonts w:cstheme="minorHAnsi"/>
          <w:iCs/>
        </w:rPr>
        <w:t>, and results are not intended to be generalized to this population.</w:t>
      </w:r>
    </w:p>
    <w:p w:rsidR="000960B4" w:rsidP="00CD2D0E" w:rsidRDefault="000960B4" w14:paraId="1F0A7093" w14:textId="77777777">
      <w:pPr>
        <w:spacing w:after="0" w:line="240" w:lineRule="auto"/>
        <w:rPr>
          <w:rFonts w:cstheme="minorHAnsi"/>
          <w:iCs/>
        </w:rPr>
      </w:pPr>
    </w:p>
    <w:p w:rsidR="00FA4833" w:rsidP="00CD2D0E" w:rsidRDefault="00FA4833" w14:paraId="200A755A" w14:textId="1D7AA89F">
      <w:pPr>
        <w:spacing w:after="0" w:line="240" w:lineRule="auto"/>
        <w:rPr>
          <w:rFonts w:cstheme="minorHAnsi"/>
          <w:iCs/>
        </w:rPr>
      </w:pPr>
      <w:r w:rsidRPr="006B151B">
        <w:rPr>
          <w:rFonts w:cstheme="minorHAnsi"/>
          <w:iCs/>
        </w:rPr>
        <w:t xml:space="preserve">This approach is intended to surface a diverse set of </w:t>
      </w:r>
      <w:r>
        <w:rPr>
          <w:rFonts w:cstheme="minorHAnsi"/>
          <w:iCs/>
        </w:rPr>
        <w:t xml:space="preserve">staff and client </w:t>
      </w:r>
      <w:r w:rsidRPr="006B151B">
        <w:rPr>
          <w:rFonts w:cstheme="minorHAnsi"/>
          <w:iCs/>
        </w:rPr>
        <w:t>perspectives</w:t>
      </w:r>
      <w:r>
        <w:rPr>
          <w:rFonts w:cstheme="minorHAnsi"/>
          <w:iCs/>
        </w:rPr>
        <w:t xml:space="preserve"> on the advantages, disadvantages, and costs associated with centralizing services.</w:t>
      </w:r>
      <w:r w:rsidR="000E45E3">
        <w:rPr>
          <w:rFonts w:cstheme="minorHAnsi"/>
          <w:iCs/>
        </w:rPr>
        <w:t xml:space="preserve"> The research team</w:t>
      </w:r>
      <w:r>
        <w:rPr>
          <w:rFonts w:cstheme="minorHAnsi"/>
          <w:iCs/>
        </w:rPr>
        <w:t xml:space="preserve"> will document </w:t>
      </w:r>
      <w:r w:rsidR="00632C89">
        <w:rPr>
          <w:rFonts w:cstheme="minorHAnsi"/>
          <w:iCs/>
        </w:rPr>
        <w:t xml:space="preserve">approaches and lessons learned from a small number of sites, to </w:t>
      </w:r>
      <w:r w:rsidR="000C2719">
        <w:rPr>
          <w:rFonts w:cstheme="minorHAnsi"/>
          <w:iCs/>
        </w:rPr>
        <w:t>provide examples on the range of centralization models, process</w:t>
      </w:r>
      <w:r w:rsidR="000B0B94">
        <w:rPr>
          <w:rFonts w:cstheme="minorHAnsi"/>
          <w:iCs/>
        </w:rPr>
        <w:t xml:space="preserve"> and costs</w:t>
      </w:r>
      <w:r w:rsidR="000C2719">
        <w:rPr>
          <w:rFonts w:cstheme="minorHAnsi"/>
          <w:iCs/>
        </w:rPr>
        <w:t xml:space="preserve"> for centralizing services, and benefits and challenges for staff and clients. </w:t>
      </w:r>
      <w:r w:rsidR="00135426">
        <w:rPr>
          <w:rFonts w:cstheme="minorHAnsi"/>
          <w:iCs/>
        </w:rPr>
        <w:t>The research team plans for all data collection to occur in person; however, recognizing that there may be public health constraints in place at the time of the site visits, the team is also planning for the possibility of conducting the site visits virtually (i.e., via videoconferencing).</w:t>
      </w:r>
    </w:p>
    <w:p w:rsidR="00FA4833" w:rsidP="00CD2D0E" w:rsidRDefault="00FA4833" w14:paraId="1D3A1859" w14:textId="77777777">
      <w:pPr>
        <w:spacing w:after="0" w:line="240" w:lineRule="auto"/>
        <w:rPr>
          <w:iCs/>
        </w:rPr>
      </w:pPr>
    </w:p>
    <w:p w:rsidRPr="00AB75E5" w:rsidR="00AB75E5" w:rsidP="001D1C73" w:rsidRDefault="00AB75E5" w14:paraId="6F9B32AB" w14:textId="473A6DF7">
      <w:pPr>
        <w:spacing w:after="60" w:line="240" w:lineRule="auto"/>
        <w:rPr>
          <w:iCs/>
        </w:rPr>
      </w:pPr>
      <w:r>
        <w:rPr>
          <w:iCs/>
        </w:rPr>
        <w:t>See Supporting Statement B, Section B1 for additional detail</w:t>
      </w:r>
      <w:r w:rsidR="00131057">
        <w:rPr>
          <w:iCs/>
        </w:rPr>
        <w:t>, including a description of limitations of the data collection</w:t>
      </w:r>
      <w:r>
        <w:rPr>
          <w:iCs/>
        </w:rPr>
        <w:t xml:space="preserve">. </w:t>
      </w:r>
    </w:p>
    <w:p w:rsidRPr="009139B3" w:rsidR="001D1C73" w:rsidP="001D1C73" w:rsidRDefault="001D1C73" w14:paraId="3E13AED3" w14:textId="77777777">
      <w:pPr>
        <w:spacing w:after="0" w:line="240" w:lineRule="auto"/>
        <w:rPr>
          <w:i/>
        </w:rPr>
      </w:pPr>
    </w:p>
    <w:tbl>
      <w:tblPr>
        <w:tblStyle w:val="TableGrid"/>
        <w:tblW w:w="9450" w:type="dxa"/>
        <w:tblInd w:w="-95" w:type="dxa"/>
        <w:tblLook w:val="04A0" w:firstRow="1" w:lastRow="0" w:firstColumn="1" w:lastColumn="0" w:noHBand="0" w:noVBand="1"/>
      </w:tblPr>
      <w:tblGrid>
        <w:gridCol w:w="1530"/>
        <w:gridCol w:w="1800"/>
        <w:gridCol w:w="4410"/>
        <w:gridCol w:w="1710"/>
      </w:tblGrid>
      <w:tr w:rsidRPr="009139B3" w:rsidR="001D1C73" w:rsidTr="00CD2D0E" w14:paraId="7A08A530" w14:textId="77777777">
        <w:tc>
          <w:tcPr>
            <w:tcW w:w="1530" w:type="dxa"/>
            <w:shd w:val="clear" w:color="auto" w:fill="D9D9D9" w:themeFill="background1" w:themeFillShade="D9"/>
          </w:tcPr>
          <w:p w:rsidRPr="009139B3" w:rsidR="001D1C73" w:rsidP="00CF12A9" w:rsidRDefault="001D1C7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800" w:type="dxa"/>
            <w:shd w:val="clear" w:color="auto" w:fill="D9D9D9" w:themeFill="background1" w:themeFillShade="D9"/>
          </w:tcPr>
          <w:p w:rsidRPr="009139B3" w:rsidR="001D1C73" w:rsidP="00CF12A9" w:rsidRDefault="001D1C73" w14:paraId="27BC6F15" w14:textId="5BA610E3">
            <w:pPr>
              <w:rPr>
                <w:rFonts w:asciiTheme="minorHAnsi" w:hAnsiTheme="minorHAnsi" w:cstheme="minorHAnsi"/>
                <w:i/>
              </w:rPr>
            </w:pPr>
            <w:r w:rsidRPr="009139B3">
              <w:rPr>
                <w:rFonts w:asciiTheme="minorHAnsi" w:hAnsiTheme="minorHAnsi" w:cstheme="minorHAnsi"/>
                <w:i/>
              </w:rPr>
              <w:t>Instruments</w:t>
            </w:r>
          </w:p>
        </w:tc>
        <w:tc>
          <w:tcPr>
            <w:tcW w:w="4410" w:type="dxa"/>
            <w:shd w:val="clear" w:color="auto" w:fill="D9D9D9" w:themeFill="background1" w:themeFillShade="D9"/>
          </w:tcPr>
          <w:p w:rsidRPr="009139B3" w:rsidR="001D1C73" w:rsidP="00CF12A9" w:rsidRDefault="001D1C7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710" w:type="dxa"/>
            <w:shd w:val="clear" w:color="auto" w:fill="D9D9D9" w:themeFill="background1" w:themeFillShade="D9"/>
          </w:tcPr>
          <w:p w:rsidRPr="009139B3" w:rsidR="001D1C73" w:rsidP="00CF12A9" w:rsidRDefault="001D1C73" w14:paraId="6D5BE90E"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1D1C73" w:rsidTr="00CD2D0E" w14:paraId="501EEB21" w14:textId="77777777">
        <w:tc>
          <w:tcPr>
            <w:tcW w:w="1530" w:type="dxa"/>
          </w:tcPr>
          <w:p w:rsidRPr="009139B3" w:rsidR="001D1C73" w:rsidP="00CF12A9" w:rsidRDefault="00D97A30" w14:paraId="38B610F5" w14:textId="526C2431">
            <w:pPr>
              <w:rPr>
                <w:rFonts w:asciiTheme="minorHAnsi" w:hAnsiTheme="minorHAnsi" w:cstheme="minorHAnsi"/>
              </w:rPr>
            </w:pPr>
            <w:r>
              <w:rPr>
                <w:rFonts w:asciiTheme="minorHAnsi" w:hAnsiTheme="minorHAnsi" w:cstheme="minorHAnsi"/>
              </w:rPr>
              <w:t>Semi-structured interview</w:t>
            </w:r>
          </w:p>
        </w:tc>
        <w:tc>
          <w:tcPr>
            <w:tcW w:w="1800" w:type="dxa"/>
          </w:tcPr>
          <w:p w:rsidRPr="009139B3" w:rsidR="001D1C73" w:rsidP="00CF12A9" w:rsidRDefault="00915632" w14:paraId="3BB55DD9" w14:textId="64A2DDE0">
            <w:pPr>
              <w:rPr>
                <w:rFonts w:asciiTheme="minorHAnsi" w:hAnsiTheme="minorHAnsi" w:cstheme="minorHAnsi"/>
              </w:rPr>
            </w:pPr>
            <w:r>
              <w:rPr>
                <w:rFonts w:asciiTheme="minorHAnsi" w:hAnsiTheme="minorHAnsi" w:cstheme="minorHAnsi"/>
              </w:rPr>
              <w:t xml:space="preserve">Instrument 1: </w:t>
            </w:r>
            <w:r w:rsidRPr="00E9000B" w:rsidR="00E9000B">
              <w:rPr>
                <w:rFonts w:asciiTheme="minorHAnsi" w:hAnsiTheme="minorHAnsi" w:cstheme="minorHAnsi"/>
              </w:rPr>
              <w:t>Interview Guide for Leadership and Administrative Staff</w:t>
            </w:r>
          </w:p>
        </w:tc>
        <w:tc>
          <w:tcPr>
            <w:tcW w:w="4410" w:type="dxa"/>
          </w:tcPr>
          <w:p w:rsidRPr="009139B3" w:rsidR="001D1C73" w:rsidP="00CF12A9" w:rsidRDefault="001D1C73" w14:paraId="37DE1550" w14:textId="0E42829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CA5851">
              <w:rPr>
                <w:rFonts w:asciiTheme="minorHAnsi" w:hAnsiTheme="minorHAnsi" w:cstheme="minorHAnsi"/>
              </w:rPr>
              <w:t xml:space="preserve">Up to </w:t>
            </w:r>
            <w:r w:rsidR="00AE3C3F">
              <w:rPr>
                <w:rFonts w:asciiTheme="minorHAnsi" w:hAnsiTheme="minorHAnsi" w:cstheme="minorHAnsi"/>
              </w:rPr>
              <w:t xml:space="preserve">six </w:t>
            </w:r>
            <w:r w:rsidR="00CA5851">
              <w:rPr>
                <w:rFonts w:asciiTheme="minorHAnsi" w:hAnsiTheme="minorHAnsi" w:cstheme="minorHAnsi"/>
              </w:rPr>
              <w:t>l</w:t>
            </w:r>
            <w:r w:rsidR="003967BD">
              <w:rPr>
                <w:rFonts w:asciiTheme="minorHAnsi" w:hAnsiTheme="minorHAnsi" w:cstheme="minorHAnsi"/>
              </w:rPr>
              <w:t>eadership staff at</w:t>
            </w:r>
            <w:r w:rsidR="00CA5851">
              <w:rPr>
                <w:rFonts w:asciiTheme="minorHAnsi" w:hAnsiTheme="minorHAnsi" w:cstheme="minorHAnsi"/>
              </w:rPr>
              <w:t xml:space="preserve"> each of</w:t>
            </w:r>
            <w:r w:rsidR="003967BD">
              <w:rPr>
                <w:rFonts w:asciiTheme="minorHAnsi" w:hAnsiTheme="minorHAnsi" w:cstheme="minorHAnsi"/>
              </w:rPr>
              <w:t xml:space="preserve"> three centralized community resource centers</w:t>
            </w:r>
            <w:r w:rsidR="00CF12A9">
              <w:rPr>
                <w:rFonts w:asciiTheme="minorHAnsi" w:hAnsiTheme="minorHAnsi" w:cstheme="minorHAnsi"/>
              </w:rPr>
              <w:t xml:space="preserve"> (CCRC</w:t>
            </w:r>
            <w:r w:rsidR="00C703C9">
              <w:rPr>
                <w:rFonts w:asciiTheme="minorHAnsi" w:hAnsiTheme="minorHAnsi" w:cstheme="minorHAnsi"/>
              </w:rPr>
              <w:t>s</w:t>
            </w:r>
            <w:r w:rsidR="00CF12A9">
              <w:rPr>
                <w:rFonts w:asciiTheme="minorHAnsi" w:hAnsiTheme="minorHAnsi" w:cstheme="minorHAnsi"/>
              </w:rPr>
              <w:t>)</w:t>
            </w:r>
          </w:p>
          <w:p w:rsidRPr="009139B3" w:rsidR="001D1C73" w:rsidP="00CF12A9" w:rsidRDefault="001D1C73" w14:paraId="5DE482D7" w14:textId="77777777">
            <w:pPr>
              <w:rPr>
                <w:rFonts w:asciiTheme="minorHAnsi" w:hAnsiTheme="minorHAnsi" w:cstheme="minorHAnsi"/>
              </w:rPr>
            </w:pPr>
          </w:p>
          <w:p w:rsidR="001D1C73" w:rsidP="00CF12A9" w:rsidRDefault="001D1C73" w14:paraId="227C57B6" w14:textId="09CD36CE">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3340F8" w:rsidR="00CF12A9" w:rsidP="00CF12A9" w:rsidRDefault="00CF12A9" w14:paraId="20BC2573" w14:textId="3D2A7BA3">
            <w:pPr>
              <w:pStyle w:val="ListParagraph"/>
              <w:numPr>
                <w:ilvl w:val="0"/>
                <w:numId w:val="45"/>
              </w:numPr>
              <w:rPr>
                <w:rFonts w:asciiTheme="minorHAnsi" w:hAnsiTheme="minorHAnsi" w:cstheme="minorHAnsi"/>
              </w:rPr>
            </w:pPr>
            <w:r w:rsidRPr="003340F8">
              <w:rPr>
                <w:rFonts w:asciiTheme="minorHAnsi" w:hAnsiTheme="minorHAnsi" w:cstheme="minorHAnsi"/>
              </w:rPr>
              <w:t>Respondent background</w:t>
            </w:r>
          </w:p>
          <w:p w:rsidRPr="003340F8" w:rsidR="00CF12A9" w:rsidP="00CF12A9" w:rsidRDefault="00CF12A9" w14:paraId="5E1C8CCE" w14:textId="1E51AC06">
            <w:pPr>
              <w:pStyle w:val="ListParagraph"/>
              <w:numPr>
                <w:ilvl w:val="0"/>
                <w:numId w:val="45"/>
              </w:numPr>
              <w:rPr>
                <w:rFonts w:asciiTheme="minorHAnsi" w:hAnsiTheme="minorHAnsi" w:cstheme="minorHAnsi"/>
              </w:rPr>
            </w:pPr>
            <w:r w:rsidRPr="003340F8">
              <w:rPr>
                <w:rFonts w:asciiTheme="minorHAnsi" w:hAnsiTheme="minorHAnsi" w:cstheme="minorHAnsi"/>
              </w:rPr>
              <w:t xml:space="preserve">Organization and site </w:t>
            </w:r>
            <w:r w:rsidRPr="003340F8" w:rsidR="003340F8">
              <w:rPr>
                <w:rFonts w:asciiTheme="minorHAnsi" w:hAnsiTheme="minorHAnsi" w:cstheme="minorHAnsi"/>
              </w:rPr>
              <w:t>characteristics</w:t>
            </w:r>
          </w:p>
          <w:p w:rsidRPr="003340F8" w:rsidR="00CF12A9" w:rsidP="00CF12A9" w:rsidRDefault="00CF12A9" w14:paraId="294FFD1F" w14:textId="138EBC0D">
            <w:pPr>
              <w:pStyle w:val="ListParagraph"/>
              <w:numPr>
                <w:ilvl w:val="0"/>
                <w:numId w:val="45"/>
              </w:numPr>
              <w:rPr>
                <w:rFonts w:asciiTheme="minorHAnsi" w:hAnsiTheme="minorHAnsi" w:cstheme="minorHAnsi"/>
              </w:rPr>
            </w:pPr>
            <w:r w:rsidRPr="003340F8">
              <w:rPr>
                <w:rFonts w:asciiTheme="minorHAnsi" w:hAnsiTheme="minorHAnsi" w:cstheme="minorHAnsi"/>
              </w:rPr>
              <w:t>Services offered at the CCRC, in</w:t>
            </w:r>
            <w:r w:rsidR="00A04159">
              <w:rPr>
                <w:rFonts w:asciiTheme="minorHAnsi" w:hAnsiTheme="minorHAnsi" w:cstheme="minorHAnsi"/>
              </w:rPr>
              <w:t xml:space="preserve"> </w:t>
            </w:r>
            <w:r w:rsidRPr="003340F8">
              <w:rPr>
                <w:rFonts w:asciiTheme="minorHAnsi" w:hAnsiTheme="minorHAnsi" w:cstheme="minorHAnsi"/>
              </w:rPr>
              <w:t>person and virtually</w:t>
            </w:r>
          </w:p>
          <w:p w:rsidRPr="003340F8" w:rsidR="00CF12A9" w:rsidP="00CF12A9" w:rsidRDefault="00CF12A9" w14:paraId="50861625" w14:textId="5EBBC50D">
            <w:pPr>
              <w:pStyle w:val="ListParagraph"/>
              <w:numPr>
                <w:ilvl w:val="0"/>
                <w:numId w:val="45"/>
              </w:numPr>
              <w:rPr>
                <w:rFonts w:asciiTheme="minorHAnsi" w:hAnsiTheme="minorHAnsi" w:cstheme="minorHAnsi"/>
              </w:rPr>
            </w:pPr>
            <w:r w:rsidRPr="003340F8">
              <w:rPr>
                <w:rFonts w:asciiTheme="minorHAnsi" w:hAnsiTheme="minorHAnsi" w:cstheme="minorHAnsi"/>
              </w:rPr>
              <w:t>Characteristics of clients served</w:t>
            </w:r>
          </w:p>
          <w:p w:rsidRPr="003340F8" w:rsidR="00CF12A9" w:rsidP="00CF12A9" w:rsidRDefault="00CF12A9" w14:paraId="63B868BD" w14:textId="64836E0B">
            <w:pPr>
              <w:pStyle w:val="ListParagraph"/>
              <w:numPr>
                <w:ilvl w:val="0"/>
                <w:numId w:val="45"/>
              </w:numPr>
              <w:rPr>
                <w:rFonts w:asciiTheme="minorHAnsi" w:hAnsiTheme="minorHAnsi" w:cstheme="minorHAnsi"/>
              </w:rPr>
            </w:pPr>
            <w:r w:rsidRPr="003340F8">
              <w:rPr>
                <w:rFonts w:asciiTheme="minorHAnsi" w:hAnsiTheme="minorHAnsi" w:cstheme="minorHAnsi"/>
              </w:rPr>
              <w:t>Community context</w:t>
            </w:r>
          </w:p>
          <w:p w:rsidRPr="003340F8" w:rsidR="00CF12A9" w:rsidP="00CF12A9" w:rsidRDefault="00CF12A9" w14:paraId="21219289" w14:textId="72E9C7DD">
            <w:pPr>
              <w:pStyle w:val="ListParagraph"/>
              <w:numPr>
                <w:ilvl w:val="0"/>
                <w:numId w:val="45"/>
              </w:numPr>
              <w:rPr>
                <w:rFonts w:asciiTheme="minorHAnsi" w:hAnsiTheme="minorHAnsi" w:cstheme="minorHAnsi"/>
              </w:rPr>
            </w:pPr>
            <w:r w:rsidRPr="003340F8">
              <w:rPr>
                <w:rFonts w:asciiTheme="minorHAnsi" w:hAnsiTheme="minorHAnsi" w:cstheme="minorHAnsi"/>
              </w:rPr>
              <w:t>History of centralized services at the CCRC and process of centralization</w:t>
            </w:r>
          </w:p>
          <w:p w:rsidRPr="003340F8" w:rsidR="00CF12A9" w:rsidP="00CF12A9" w:rsidRDefault="00CF12A9" w14:paraId="0DA54FCA" w14:textId="3EA1225B">
            <w:pPr>
              <w:pStyle w:val="ListParagraph"/>
              <w:numPr>
                <w:ilvl w:val="0"/>
                <w:numId w:val="45"/>
              </w:numPr>
              <w:rPr>
                <w:rFonts w:asciiTheme="minorHAnsi" w:hAnsiTheme="minorHAnsi" w:cstheme="minorHAnsi"/>
              </w:rPr>
            </w:pPr>
            <w:r w:rsidRPr="003340F8">
              <w:rPr>
                <w:rFonts w:asciiTheme="minorHAnsi" w:hAnsiTheme="minorHAnsi" w:cstheme="minorHAnsi"/>
              </w:rPr>
              <w:t xml:space="preserve">Funding sources and </w:t>
            </w:r>
            <w:r w:rsidRPr="003340F8" w:rsidR="003340F8">
              <w:rPr>
                <w:rFonts w:asciiTheme="minorHAnsi" w:hAnsiTheme="minorHAnsi" w:cstheme="minorHAnsi"/>
              </w:rPr>
              <w:t>cost of centralizing services</w:t>
            </w:r>
          </w:p>
          <w:p w:rsidRPr="003340F8" w:rsidR="003340F8" w:rsidP="00CF12A9" w:rsidRDefault="003340F8" w14:paraId="46AFDBEB" w14:textId="7D56AB74">
            <w:pPr>
              <w:pStyle w:val="ListParagraph"/>
              <w:numPr>
                <w:ilvl w:val="0"/>
                <w:numId w:val="45"/>
              </w:numPr>
              <w:rPr>
                <w:rFonts w:asciiTheme="minorHAnsi" w:hAnsiTheme="minorHAnsi" w:cstheme="minorHAnsi"/>
              </w:rPr>
            </w:pPr>
            <w:r w:rsidRPr="003340F8">
              <w:rPr>
                <w:rFonts w:asciiTheme="minorHAnsi" w:hAnsiTheme="minorHAnsi" w:cstheme="minorHAnsi"/>
              </w:rPr>
              <w:t>Organizational partnerships</w:t>
            </w:r>
          </w:p>
          <w:p w:rsidRPr="003340F8" w:rsidR="003340F8" w:rsidP="00CF12A9" w:rsidRDefault="003340F8" w14:paraId="00FC8D69" w14:textId="03CA349C">
            <w:pPr>
              <w:pStyle w:val="ListParagraph"/>
              <w:numPr>
                <w:ilvl w:val="0"/>
                <w:numId w:val="45"/>
              </w:numPr>
              <w:rPr>
                <w:rFonts w:asciiTheme="minorHAnsi" w:hAnsiTheme="minorHAnsi" w:cstheme="minorHAnsi"/>
              </w:rPr>
            </w:pPr>
            <w:r w:rsidRPr="003340F8">
              <w:rPr>
                <w:rFonts w:asciiTheme="minorHAnsi" w:hAnsiTheme="minorHAnsi" w:cstheme="minorHAnsi"/>
              </w:rPr>
              <w:t>Data collection and reporting on client outcomes</w:t>
            </w:r>
          </w:p>
          <w:p w:rsidRPr="003340F8" w:rsidR="003340F8" w:rsidP="00CF12A9" w:rsidRDefault="003340F8" w14:paraId="7F51076E" w14:textId="7C79B993">
            <w:pPr>
              <w:pStyle w:val="ListParagraph"/>
              <w:numPr>
                <w:ilvl w:val="0"/>
                <w:numId w:val="45"/>
              </w:numPr>
              <w:rPr>
                <w:rFonts w:asciiTheme="minorHAnsi" w:hAnsiTheme="minorHAnsi" w:cstheme="minorHAnsi"/>
              </w:rPr>
            </w:pPr>
            <w:r w:rsidRPr="003340F8">
              <w:rPr>
                <w:rFonts w:asciiTheme="minorHAnsi" w:hAnsiTheme="minorHAnsi" w:cstheme="minorHAnsi"/>
              </w:rPr>
              <w:lastRenderedPageBreak/>
              <w:t xml:space="preserve">Challenges, perceptions, and lessons learned </w:t>
            </w:r>
            <w:r w:rsidR="00537F0A">
              <w:rPr>
                <w:rFonts w:asciiTheme="minorHAnsi" w:hAnsiTheme="minorHAnsi" w:cstheme="minorHAnsi"/>
              </w:rPr>
              <w:t>about centralized service approach</w:t>
            </w:r>
          </w:p>
          <w:p w:rsidRPr="009139B3" w:rsidR="001D1C73" w:rsidP="00CF12A9" w:rsidRDefault="001D1C73" w14:paraId="173DA049" w14:textId="77777777">
            <w:pPr>
              <w:rPr>
                <w:rFonts w:asciiTheme="minorHAnsi" w:hAnsiTheme="minorHAnsi" w:cstheme="minorHAnsi"/>
              </w:rPr>
            </w:pPr>
          </w:p>
          <w:p w:rsidRPr="009139B3" w:rsidR="001D1C73" w:rsidP="00CA5851" w:rsidRDefault="001D1C73" w14:paraId="323AC8B8" w14:textId="4BBF8CC1">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3340F8">
              <w:rPr>
                <w:rFonts w:asciiTheme="minorHAnsi" w:hAnsiTheme="minorHAnsi" w:cstheme="minorHAnsi"/>
              </w:rPr>
              <w:t xml:space="preserve"> To document centralized service provision, the process for centralizing services, and benefits, challenges, and costs of centralization</w:t>
            </w:r>
            <w:r w:rsidR="00D12965">
              <w:rPr>
                <w:rFonts w:asciiTheme="minorHAnsi" w:hAnsiTheme="minorHAnsi" w:cstheme="minorHAnsi"/>
              </w:rPr>
              <w:t>, from perspective of leadership staff</w:t>
            </w:r>
            <w:r w:rsidR="003340F8">
              <w:rPr>
                <w:rFonts w:asciiTheme="minorHAnsi" w:hAnsiTheme="minorHAnsi" w:cstheme="minorHAnsi"/>
              </w:rPr>
              <w:t>.</w:t>
            </w:r>
            <w:r w:rsidR="00AB75E5">
              <w:rPr>
                <w:rFonts w:asciiTheme="minorHAnsi" w:hAnsiTheme="minorHAnsi" w:cstheme="minorHAnsi"/>
              </w:rPr>
              <w:t xml:space="preserve"> </w:t>
            </w:r>
          </w:p>
        </w:tc>
        <w:tc>
          <w:tcPr>
            <w:tcW w:w="1710" w:type="dxa"/>
          </w:tcPr>
          <w:p w:rsidRPr="009139B3" w:rsidR="001D1C73" w:rsidP="00CF12A9" w:rsidRDefault="001D1C73" w14:paraId="1432F72A" w14:textId="78DFF8F0">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sidR="005B0FA8">
              <w:rPr>
                <w:rFonts w:asciiTheme="minorHAnsi" w:hAnsiTheme="minorHAnsi" w:cstheme="minorHAnsi"/>
              </w:rPr>
              <w:t>in-person</w:t>
            </w:r>
            <w:r w:rsidR="00CD0787">
              <w:rPr>
                <w:rFonts w:asciiTheme="minorHAnsi" w:hAnsiTheme="minorHAnsi" w:cstheme="minorHAnsi"/>
              </w:rPr>
              <w:t>*</w:t>
            </w:r>
          </w:p>
          <w:p w:rsidRPr="009139B3" w:rsidR="001D1C73" w:rsidP="00CF12A9" w:rsidRDefault="001D1C73" w14:paraId="0240C234" w14:textId="77777777">
            <w:pPr>
              <w:rPr>
                <w:rFonts w:asciiTheme="minorHAnsi" w:hAnsiTheme="minorHAnsi" w:cstheme="minorHAnsi"/>
              </w:rPr>
            </w:pPr>
          </w:p>
          <w:p w:rsidRPr="009139B3" w:rsidR="001D1C73" w:rsidP="00CF12A9" w:rsidRDefault="001D1C73" w14:paraId="0967045C" w14:textId="28C433C6">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E477B4">
              <w:rPr>
                <w:rFonts w:asciiTheme="minorHAnsi" w:hAnsiTheme="minorHAnsi" w:cstheme="minorHAnsi"/>
              </w:rPr>
              <w:t xml:space="preserve"> </w:t>
            </w:r>
            <w:r w:rsidR="003967BD">
              <w:rPr>
                <w:rFonts w:asciiTheme="minorHAnsi" w:hAnsiTheme="minorHAnsi" w:cstheme="minorHAnsi"/>
              </w:rPr>
              <w:t>75</w:t>
            </w:r>
            <w:r w:rsidR="0042711C">
              <w:rPr>
                <w:rFonts w:asciiTheme="minorHAnsi" w:hAnsiTheme="minorHAnsi" w:cstheme="minorHAnsi"/>
              </w:rPr>
              <w:t xml:space="preserve"> minutes</w:t>
            </w:r>
            <w:r w:rsidR="003967BD">
              <w:rPr>
                <w:rFonts w:asciiTheme="minorHAnsi" w:hAnsiTheme="minorHAnsi" w:cstheme="minorHAnsi"/>
              </w:rPr>
              <w:t xml:space="preserve"> (average)</w:t>
            </w:r>
          </w:p>
        </w:tc>
      </w:tr>
      <w:tr w:rsidRPr="009139B3" w:rsidR="001D1C73" w:rsidTr="00CD2D0E" w14:paraId="148EF023" w14:textId="77777777">
        <w:tc>
          <w:tcPr>
            <w:tcW w:w="1530" w:type="dxa"/>
          </w:tcPr>
          <w:p w:rsidRPr="009139B3" w:rsidR="001D1C73" w:rsidP="00CF12A9" w:rsidRDefault="00D97A30" w14:paraId="4D2F3A2E" w14:textId="4F2AA880">
            <w:pPr>
              <w:rPr>
                <w:rFonts w:asciiTheme="minorHAnsi" w:hAnsiTheme="minorHAnsi" w:cstheme="minorHAnsi"/>
              </w:rPr>
            </w:pPr>
            <w:r>
              <w:rPr>
                <w:rFonts w:asciiTheme="minorHAnsi" w:hAnsiTheme="minorHAnsi" w:cstheme="minorHAnsi"/>
              </w:rPr>
              <w:t>Semi-structured interview</w:t>
            </w:r>
          </w:p>
        </w:tc>
        <w:tc>
          <w:tcPr>
            <w:tcW w:w="1800" w:type="dxa"/>
          </w:tcPr>
          <w:p w:rsidRPr="009139B3" w:rsidR="001D1C73" w:rsidP="00CF12A9" w:rsidRDefault="00915632" w14:paraId="27D7C22A" w14:textId="763EE8C4">
            <w:pPr>
              <w:rPr>
                <w:rFonts w:asciiTheme="minorHAnsi" w:hAnsiTheme="minorHAnsi" w:cstheme="minorHAnsi"/>
              </w:rPr>
            </w:pPr>
            <w:r>
              <w:rPr>
                <w:rFonts w:asciiTheme="minorHAnsi" w:hAnsiTheme="minorHAnsi" w:cstheme="minorHAnsi"/>
              </w:rPr>
              <w:t xml:space="preserve">Instrument 2: </w:t>
            </w:r>
            <w:r w:rsidRPr="00E9000B" w:rsidR="00E9000B">
              <w:rPr>
                <w:rFonts w:asciiTheme="minorHAnsi" w:hAnsiTheme="minorHAnsi" w:cstheme="minorHAnsi"/>
              </w:rPr>
              <w:t>Interview Guide for Frontline Staff</w:t>
            </w:r>
          </w:p>
        </w:tc>
        <w:tc>
          <w:tcPr>
            <w:tcW w:w="4410" w:type="dxa"/>
          </w:tcPr>
          <w:p w:rsidRPr="009139B3" w:rsidR="001D1C73" w:rsidP="00CF12A9" w:rsidRDefault="001D1C73" w14:paraId="1B409BBA" w14:textId="28988CC2">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CA5851">
              <w:rPr>
                <w:rFonts w:asciiTheme="minorHAnsi" w:hAnsiTheme="minorHAnsi" w:cstheme="minorHAnsi"/>
              </w:rPr>
              <w:t xml:space="preserve">Up to </w:t>
            </w:r>
            <w:r w:rsidR="00AE3C3F">
              <w:rPr>
                <w:rFonts w:asciiTheme="minorHAnsi" w:hAnsiTheme="minorHAnsi" w:cstheme="minorHAnsi"/>
              </w:rPr>
              <w:t>16</w:t>
            </w:r>
            <w:r w:rsidR="00CA5851">
              <w:rPr>
                <w:rFonts w:asciiTheme="minorHAnsi" w:hAnsiTheme="minorHAnsi" w:cstheme="minorHAnsi"/>
              </w:rPr>
              <w:t xml:space="preserve"> f</w:t>
            </w:r>
            <w:r w:rsidR="00C703C9">
              <w:rPr>
                <w:rFonts w:asciiTheme="minorHAnsi" w:hAnsiTheme="minorHAnsi" w:cstheme="minorHAnsi"/>
              </w:rPr>
              <w:t>rontline staff at</w:t>
            </w:r>
            <w:r w:rsidR="00CA5851">
              <w:rPr>
                <w:rFonts w:asciiTheme="minorHAnsi" w:hAnsiTheme="minorHAnsi" w:cstheme="minorHAnsi"/>
              </w:rPr>
              <w:t xml:space="preserve"> each of</w:t>
            </w:r>
            <w:r w:rsidR="00C703C9">
              <w:rPr>
                <w:rFonts w:asciiTheme="minorHAnsi" w:hAnsiTheme="minorHAnsi" w:cstheme="minorHAnsi"/>
              </w:rPr>
              <w:t xml:space="preserve"> three CCRCs</w:t>
            </w:r>
          </w:p>
          <w:p w:rsidRPr="009139B3" w:rsidR="001D1C73" w:rsidP="00CF12A9" w:rsidRDefault="001D1C73" w14:paraId="18A2F994" w14:textId="77777777">
            <w:pPr>
              <w:rPr>
                <w:rFonts w:asciiTheme="minorHAnsi" w:hAnsiTheme="minorHAnsi" w:cstheme="minorHAnsi"/>
              </w:rPr>
            </w:pPr>
          </w:p>
          <w:p w:rsidR="001D1C73" w:rsidP="00CF12A9" w:rsidRDefault="001D1C73" w14:paraId="3F4D4F6C" w14:textId="64D12693">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537F0A" w:rsidR="00537F0A" w:rsidP="00C116A0" w:rsidRDefault="00537F0A" w14:paraId="46C1BE14" w14:textId="2F15E970">
            <w:pPr>
              <w:pStyle w:val="ListParagraph"/>
              <w:numPr>
                <w:ilvl w:val="0"/>
                <w:numId w:val="46"/>
              </w:numPr>
              <w:rPr>
                <w:rFonts w:cstheme="minorHAnsi"/>
              </w:rPr>
            </w:pPr>
            <w:r>
              <w:rPr>
                <w:rFonts w:asciiTheme="minorHAnsi" w:hAnsiTheme="minorHAnsi" w:cstheme="minorHAnsi"/>
              </w:rPr>
              <w:t>Respondent background</w:t>
            </w:r>
          </w:p>
          <w:p w:rsidRPr="003340F8" w:rsidR="00537F0A" w:rsidP="00C116A0" w:rsidRDefault="00537F0A" w14:paraId="101CD294" w14:textId="77777777">
            <w:pPr>
              <w:pStyle w:val="ListParagraph"/>
              <w:numPr>
                <w:ilvl w:val="0"/>
                <w:numId w:val="46"/>
              </w:numPr>
              <w:rPr>
                <w:rFonts w:asciiTheme="minorHAnsi" w:hAnsiTheme="minorHAnsi" w:cstheme="minorHAnsi"/>
              </w:rPr>
            </w:pPr>
            <w:r w:rsidRPr="003340F8">
              <w:rPr>
                <w:rFonts w:asciiTheme="minorHAnsi" w:hAnsiTheme="minorHAnsi" w:cstheme="minorHAnsi"/>
              </w:rPr>
              <w:t>Characteristics of clients served</w:t>
            </w:r>
          </w:p>
          <w:p w:rsidRPr="003340F8" w:rsidR="00537F0A" w:rsidP="00C116A0" w:rsidRDefault="00537F0A" w14:paraId="3CC74099" w14:textId="77777777">
            <w:pPr>
              <w:pStyle w:val="ListParagraph"/>
              <w:numPr>
                <w:ilvl w:val="0"/>
                <w:numId w:val="46"/>
              </w:numPr>
              <w:rPr>
                <w:rFonts w:asciiTheme="minorHAnsi" w:hAnsiTheme="minorHAnsi" w:cstheme="minorHAnsi"/>
              </w:rPr>
            </w:pPr>
            <w:r w:rsidRPr="003340F8">
              <w:rPr>
                <w:rFonts w:asciiTheme="minorHAnsi" w:hAnsiTheme="minorHAnsi" w:cstheme="minorHAnsi"/>
              </w:rPr>
              <w:t>Community context</w:t>
            </w:r>
          </w:p>
          <w:p w:rsidRPr="00C116A0" w:rsidR="00537F0A" w:rsidP="00C116A0" w:rsidRDefault="00537F0A" w14:paraId="76A92967" w14:textId="65D0F74B">
            <w:pPr>
              <w:pStyle w:val="ListParagraph"/>
              <w:numPr>
                <w:ilvl w:val="0"/>
                <w:numId w:val="46"/>
              </w:numPr>
              <w:rPr>
                <w:rFonts w:cstheme="minorHAnsi"/>
              </w:rPr>
            </w:pPr>
            <w:r>
              <w:rPr>
                <w:rFonts w:asciiTheme="minorHAnsi" w:hAnsiTheme="minorHAnsi" w:cstheme="minorHAnsi"/>
              </w:rPr>
              <w:t xml:space="preserve">Services </w:t>
            </w:r>
            <w:r w:rsidR="00C116A0">
              <w:rPr>
                <w:rFonts w:asciiTheme="minorHAnsi" w:hAnsiTheme="minorHAnsi" w:cstheme="minorHAnsi"/>
              </w:rPr>
              <w:t>offered at the CCRC, in</w:t>
            </w:r>
            <w:r w:rsidR="00A04159">
              <w:rPr>
                <w:rFonts w:asciiTheme="minorHAnsi" w:hAnsiTheme="minorHAnsi" w:cstheme="minorHAnsi"/>
              </w:rPr>
              <w:t xml:space="preserve"> </w:t>
            </w:r>
            <w:r w:rsidR="00C116A0">
              <w:rPr>
                <w:rFonts w:asciiTheme="minorHAnsi" w:hAnsiTheme="minorHAnsi" w:cstheme="minorHAnsi"/>
              </w:rPr>
              <w:t>person and virtually</w:t>
            </w:r>
          </w:p>
          <w:p w:rsidRPr="00C116A0" w:rsidR="00C116A0" w:rsidP="00C116A0" w:rsidRDefault="00C116A0" w14:paraId="7DBFD0BC" w14:textId="1E9B5E0A">
            <w:pPr>
              <w:pStyle w:val="ListParagraph"/>
              <w:numPr>
                <w:ilvl w:val="0"/>
                <w:numId w:val="46"/>
              </w:numPr>
              <w:rPr>
                <w:rFonts w:asciiTheme="minorHAnsi" w:hAnsiTheme="minorHAnsi" w:cstheme="minorHAnsi"/>
              </w:rPr>
            </w:pPr>
            <w:r w:rsidRPr="00C116A0">
              <w:rPr>
                <w:rFonts w:asciiTheme="minorHAnsi" w:hAnsiTheme="minorHAnsi" w:cstheme="minorHAnsi"/>
              </w:rPr>
              <w:t>Typical client flow</w:t>
            </w:r>
          </w:p>
          <w:p w:rsidR="00537F0A" w:rsidP="00C116A0" w:rsidRDefault="00C116A0" w14:paraId="7421B981" w14:textId="2D6098AF">
            <w:pPr>
              <w:pStyle w:val="ListParagraph"/>
              <w:numPr>
                <w:ilvl w:val="0"/>
                <w:numId w:val="46"/>
              </w:numPr>
              <w:rPr>
                <w:rFonts w:asciiTheme="minorHAnsi" w:hAnsiTheme="minorHAnsi" w:cstheme="minorHAnsi"/>
              </w:rPr>
            </w:pPr>
            <w:r>
              <w:rPr>
                <w:rFonts w:asciiTheme="minorHAnsi" w:hAnsiTheme="minorHAnsi" w:cstheme="minorHAnsi"/>
              </w:rPr>
              <w:t>Organizational partnerships</w:t>
            </w:r>
          </w:p>
          <w:p w:rsidRPr="003340F8" w:rsidR="00C116A0" w:rsidP="00C116A0" w:rsidRDefault="00C116A0" w14:paraId="1DF0B607" w14:textId="77777777">
            <w:pPr>
              <w:pStyle w:val="ListParagraph"/>
              <w:numPr>
                <w:ilvl w:val="0"/>
                <w:numId w:val="46"/>
              </w:numPr>
              <w:rPr>
                <w:rFonts w:asciiTheme="minorHAnsi" w:hAnsiTheme="minorHAnsi" w:cstheme="minorHAnsi"/>
              </w:rPr>
            </w:pPr>
            <w:r w:rsidRPr="003340F8">
              <w:rPr>
                <w:rFonts w:asciiTheme="minorHAnsi" w:hAnsiTheme="minorHAnsi" w:cstheme="minorHAnsi"/>
              </w:rPr>
              <w:t>Data collection and reporting on client outcomes</w:t>
            </w:r>
          </w:p>
          <w:p w:rsidRPr="00C116A0" w:rsidR="00C116A0" w:rsidP="00C116A0" w:rsidRDefault="00C116A0" w14:paraId="6DCE49C3" w14:textId="72F5DA92">
            <w:pPr>
              <w:pStyle w:val="ListParagraph"/>
              <w:numPr>
                <w:ilvl w:val="0"/>
                <w:numId w:val="46"/>
              </w:numPr>
              <w:rPr>
                <w:rFonts w:asciiTheme="minorHAnsi" w:hAnsiTheme="minorHAnsi" w:cstheme="minorHAnsi"/>
              </w:rPr>
            </w:pPr>
            <w:r w:rsidRPr="003340F8">
              <w:rPr>
                <w:rFonts w:asciiTheme="minorHAnsi" w:hAnsiTheme="minorHAnsi" w:cstheme="minorHAnsi"/>
              </w:rPr>
              <w:t xml:space="preserve">Challenges, perceptions, and lessons learned </w:t>
            </w:r>
            <w:r>
              <w:rPr>
                <w:rFonts w:asciiTheme="minorHAnsi" w:hAnsiTheme="minorHAnsi" w:cstheme="minorHAnsi"/>
              </w:rPr>
              <w:t>about centralized service approach</w:t>
            </w:r>
          </w:p>
          <w:p w:rsidRPr="00C116A0" w:rsidR="001D1C73" w:rsidP="00CF12A9" w:rsidRDefault="001D1C73" w14:paraId="13ECC5F8" w14:textId="77777777">
            <w:pPr>
              <w:rPr>
                <w:rFonts w:asciiTheme="minorHAnsi" w:hAnsiTheme="minorHAnsi" w:cstheme="minorHAnsi"/>
              </w:rPr>
            </w:pPr>
          </w:p>
          <w:p w:rsidRPr="009139B3" w:rsidR="001D1C73" w:rsidP="00CA5851" w:rsidRDefault="001D1C73" w14:paraId="7D736580" w14:textId="1D24CB76">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C116A0">
              <w:rPr>
                <w:rFonts w:asciiTheme="minorHAnsi" w:hAnsiTheme="minorHAnsi" w:cstheme="minorHAnsi"/>
              </w:rPr>
              <w:t xml:space="preserve"> To document centralized service provision and benefits, challenges, and costs of centralization</w:t>
            </w:r>
            <w:r w:rsidR="00D12965">
              <w:rPr>
                <w:rFonts w:asciiTheme="minorHAnsi" w:hAnsiTheme="minorHAnsi" w:cstheme="minorHAnsi"/>
              </w:rPr>
              <w:t>, from perspective of frontline staff</w:t>
            </w:r>
            <w:r w:rsidR="00C116A0">
              <w:rPr>
                <w:rFonts w:asciiTheme="minorHAnsi" w:hAnsiTheme="minorHAnsi" w:cstheme="minorHAnsi"/>
              </w:rPr>
              <w:t>.</w:t>
            </w:r>
          </w:p>
        </w:tc>
        <w:tc>
          <w:tcPr>
            <w:tcW w:w="1710" w:type="dxa"/>
          </w:tcPr>
          <w:p w:rsidRPr="009139B3" w:rsidR="001D1C73" w:rsidP="00CF12A9" w:rsidRDefault="001D1C73" w14:paraId="4F09D85C" w14:textId="2B3D8BF6">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5B0FA8">
              <w:rPr>
                <w:rFonts w:asciiTheme="minorHAnsi" w:hAnsiTheme="minorHAnsi" w:cstheme="minorHAnsi"/>
              </w:rPr>
              <w:t>in-person</w:t>
            </w:r>
            <w:r w:rsidR="00CD0787">
              <w:rPr>
                <w:rFonts w:asciiTheme="minorHAnsi" w:hAnsiTheme="minorHAnsi" w:cstheme="minorHAnsi"/>
              </w:rPr>
              <w:t>*</w:t>
            </w:r>
          </w:p>
          <w:p w:rsidRPr="009139B3" w:rsidR="001D1C73" w:rsidP="00CF12A9" w:rsidRDefault="001D1C73" w14:paraId="47BE1AD0" w14:textId="77777777">
            <w:pPr>
              <w:rPr>
                <w:rFonts w:asciiTheme="minorHAnsi" w:hAnsiTheme="minorHAnsi" w:cstheme="minorHAnsi"/>
              </w:rPr>
            </w:pPr>
          </w:p>
          <w:p w:rsidRPr="009139B3" w:rsidR="001D1C73" w:rsidP="00CF12A9" w:rsidRDefault="001D1C73" w14:paraId="63176BC9" w14:textId="5E1B3899">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E477B4">
              <w:rPr>
                <w:rFonts w:asciiTheme="minorHAnsi" w:hAnsiTheme="minorHAnsi" w:cstheme="minorHAnsi"/>
              </w:rPr>
              <w:t xml:space="preserve"> </w:t>
            </w:r>
            <w:r w:rsidR="0042711C">
              <w:rPr>
                <w:rFonts w:asciiTheme="minorHAnsi" w:hAnsiTheme="minorHAnsi" w:cstheme="minorHAnsi"/>
              </w:rPr>
              <w:t>75 minutes</w:t>
            </w:r>
            <w:r w:rsidR="003967BD">
              <w:rPr>
                <w:rFonts w:asciiTheme="minorHAnsi" w:hAnsiTheme="minorHAnsi" w:cstheme="minorHAnsi"/>
              </w:rPr>
              <w:t xml:space="preserve"> (average)</w:t>
            </w:r>
          </w:p>
        </w:tc>
      </w:tr>
      <w:tr w:rsidRPr="009139B3" w:rsidR="001D1C73" w:rsidTr="00CD2D0E" w14:paraId="67F3C42B" w14:textId="77777777">
        <w:tc>
          <w:tcPr>
            <w:tcW w:w="1530" w:type="dxa"/>
          </w:tcPr>
          <w:p w:rsidRPr="009139B3" w:rsidR="001D1C73" w:rsidP="00CF12A9" w:rsidRDefault="00D97A30" w14:paraId="4A9F3AB1" w14:textId="3AA34DAA">
            <w:pPr>
              <w:rPr>
                <w:rFonts w:cstheme="minorHAnsi"/>
              </w:rPr>
            </w:pPr>
            <w:r>
              <w:rPr>
                <w:rFonts w:asciiTheme="minorHAnsi" w:hAnsiTheme="minorHAnsi" w:cstheme="minorHAnsi"/>
              </w:rPr>
              <w:t>Semi-structured interview</w:t>
            </w:r>
          </w:p>
        </w:tc>
        <w:tc>
          <w:tcPr>
            <w:tcW w:w="1800" w:type="dxa"/>
          </w:tcPr>
          <w:p w:rsidRPr="009139B3" w:rsidR="001D1C73" w:rsidP="00CF12A9" w:rsidRDefault="00915632" w14:paraId="599B792F" w14:textId="2C76CCFE">
            <w:pPr>
              <w:rPr>
                <w:rFonts w:cstheme="minorHAnsi"/>
              </w:rPr>
            </w:pPr>
            <w:r>
              <w:rPr>
                <w:rFonts w:asciiTheme="minorHAnsi" w:hAnsiTheme="minorHAnsi" w:cstheme="minorHAnsi"/>
              </w:rPr>
              <w:t xml:space="preserve">Instrument 3: </w:t>
            </w:r>
            <w:r w:rsidRPr="00E9000B" w:rsidR="00E9000B">
              <w:rPr>
                <w:rFonts w:asciiTheme="minorHAnsi" w:hAnsiTheme="minorHAnsi" w:cstheme="minorHAnsi"/>
              </w:rPr>
              <w:t>Interview Guide for Finance Staff</w:t>
            </w:r>
          </w:p>
        </w:tc>
        <w:tc>
          <w:tcPr>
            <w:tcW w:w="4410" w:type="dxa"/>
          </w:tcPr>
          <w:p w:rsidRPr="009139B3" w:rsidR="001D1C73" w:rsidP="00CF12A9" w:rsidRDefault="001D1C73" w14:paraId="3C84D498" w14:textId="279E1F52">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CA5851">
              <w:rPr>
                <w:rFonts w:asciiTheme="minorHAnsi" w:hAnsiTheme="minorHAnsi" w:cstheme="minorHAnsi"/>
              </w:rPr>
              <w:t>Up to three f</w:t>
            </w:r>
            <w:r w:rsidR="00C116A0">
              <w:rPr>
                <w:rFonts w:asciiTheme="minorHAnsi" w:hAnsiTheme="minorHAnsi" w:cstheme="minorHAnsi"/>
              </w:rPr>
              <w:t>inance staff at</w:t>
            </w:r>
            <w:r w:rsidR="00CA5851">
              <w:rPr>
                <w:rFonts w:asciiTheme="minorHAnsi" w:hAnsiTheme="minorHAnsi" w:cstheme="minorHAnsi"/>
              </w:rPr>
              <w:t xml:space="preserve"> each of</w:t>
            </w:r>
            <w:r w:rsidR="00C116A0">
              <w:rPr>
                <w:rFonts w:asciiTheme="minorHAnsi" w:hAnsiTheme="minorHAnsi" w:cstheme="minorHAnsi"/>
              </w:rPr>
              <w:t xml:space="preserve"> three CCRCs</w:t>
            </w:r>
          </w:p>
          <w:p w:rsidRPr="009139B3" w:rsidR="001D1C73" w:rsidP="00CF12A9" w:rsidRDefault="001D1C73" w14:paraId="4EDCA0DC" w14:textId="77777777">
            <w:pPr>
              <w:rPr>
                <w:rFonts w:asciiTheme="minorHAnsi" w:hAnsiTheme="minorHAnsi" w:cstheme="minorHAnsi"/>
              </w:rPr>
            </w:pPr>
          </w:p>
          <w:p w:rsidR="001D1C73" w:rsidP="00CF12A9" w:rsidRDefault="001D1C73" w14:paraId="0114095E" w14:textId="00061A40">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A94D67" w:rsidR="00C116A0" w:rsidP="00A94D67" w:rsidRDefault="00A94D67" w14:paraId="0529C306" w14:textId="7FF08B3C">
            <w:pPr>
              <w:pStyle w:val="ListParagraph"/>
              <w:numPr>
                <w:ilvl w:val="0"/>
                <w:numId w:val="47"/>
              </w:numPr>
              <w:rPr>
                <w:rFonts w:cstheme="minorHAnsi"/>
              </w:rPr>
            </w:pPr>
            <w:r>
              <w:rPr>
                <w:rFonts w:asciiTheme="minorHAnsi" w:hAnsiTheme="minorHAnsi" w:cstheme="minorHAnsi"/>
              </w:rPr>
              <w:t>Respondent background</w:t>
            </w:r>
          </w:p>
          <w:p w:rsidR="00A94D67" w:rsidP="00A94D67" w:rsidRDefault="00A94D67" w14:paraId="4A1A8098" w14:textId="0FA33F50">
            <w:pPr>
              <w:pStyle w:val="ListParagraph"/>
              <w:numPr>
                <w:ilvl w:val="0"/>
                <w:numId w:val="47"/>
              </w:numPr>
              <w:rPr>
                <w:rFonts w:asciiTheme="minorHAnsi" w:hAnsiTheme="minorHAnsi" w:cstheme="minorHAnsi"/>
              </w:rPr>
            </w:pPr>
            <w:r w:rsidRPr="00A94D67">
              <w:rPr>
                <w:rFonts w:asciiTheme="minorHAnsi" w:hAnsiTheme="minorHAnsi" w:cstheme="minorHAnsi"/>
              </w:rPr>
              <w:t>Funding sources and the cost of centralizing services</w:t>
            </w:r>
          </w:p>
          <w:p w:rsidR="00A94D67" w:rsidP="00A94D67" w:rsidRDefault="00A94D67" w14:paraId="04C08D06" w14:textId="566831A0">
            <w:pPr>
              <w:pStyle w:val="ListParagraph"/>
              <w:numPr>
                <w:ilvl w:val="0"/>
                <w:numId w:val="47"/>
              </w:numPr>
              <w:rPr>
                <w:rFonts w:asciiTheme="minorHAnsi" w:hAnsiTheme="minorHAnsi" w:cstheme="minorHAnsi"/>
              </w:rPr>
            </w:pPr>
            <w:r>
              <w:rPr>
                <w:rFonts w:asciiTheme="minorHAnsi" w:hAnsiTheme="minorHAnsi" w:cstheme="minorHAnsi"/>
              </w:rPr>
              <w:t>Organizational partnerships</w:t>
            </w:r>
          </w:p>
          <w:p w:rsidRPr="00A94D67" w:rsidR="00A94D67" w:rsidP="00A94D67" w:rsidRDefault="00A94D67" w14:paraId="76449F63" w14:textId="2A77ABFC">
            <w:pPr>
              <w:pStyle w:val="ListParagraph"/>
              <w:numPr>
                <w:ilvl w:val="0"/>
                <w:numId w:val="47"/>
              </w:numPr>
              <w:rPr>
                <w:rFonts w:asciiTheme="minorHAnsi" w:hAnsiTheme="minorHAnsi" w:cstheme="minorHAnsi"/>
              </w:rPr>
            </w:pPr>
            <w:r w:rsidRPr="003340F8">
              <w:rPr>
                <w:rFonts w:asciiTheme="minorHAnsi" w:hAnsiTheme="minorHAnsi" w:cstheme="minorHAnsi"/>
              </w:rPr>
              <w:t xml:space="preserve">Challenges, perceptions, and lessons learned </w:t>
            </w:r>
            <w:r>
              <w:rPr>
                <w:rFonts w:asciiTheme="minorHAnsi" w:hAnsiTheme="minorHAnsi" w:cstheme="minorHAnsi"/>
              </w:rPr>
              <w:t>about centralized service approach</w:t>
            </w:r>
            <w:r w:rsidR="00D12965">
              <w:rPr>
                <w:rFonts w:asciiTheme="minorHAnsi" w:hAnsiTheme="minorHAnsi" w:cstheme="minorHAnsi"/>
              </w:rPr>
              <w:t xml:space="preserve"> from a funding/finance perspective</w:t>
            </w:r>
          </w:p>
          <w:p w:rsidRPr="009139B3" w:rsidR="001D1C73" w:rsidP="00CF12A9" w:rsidRDefault="001D1C73" w14:paraId="78B80EC5" w14:textId="77777777">
            <w:pPr>
              <w:rPr>
                <w:rFonts w:asciiTheme="minorHAnsi" w:hAnsiTheme="minorHAnsi" w:cstheme="minorHAnsi"/>
              </w:rPr>
            </w:pPr>
          </w:p>
          <w:p w:rsidRPr="009139B3" w:rsidR="001D1C73" w:rsidP="00CA5851" w:rsidRDefault="001D1C73" w14:paraId="481BA18A" w14:textId="78246221">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sidR="00A94D67">
              <w:rPr>
                <w:rFonts w:asciiTheme="minorHAnsi" w:hAnsiTheme="minorHAnsi" w:cstheme="minorHAnsi"/>
              </w:rPr>
              <w:t xml:space="preserve"> To document centralized service provision and benefits, challenges, and costs of centralization</w:t>
            </w:r>
            <w:r w:rsidR="00D12965">
              <w:rPr>
                <w:rFonts w:asciiTheme="minorHAnsi" w:hAnsiTheme="minorHAnsi" w:cstheme="minorHAnsi"/>
              </w:rPr>
              <w:t>, from the perspective of finance staff</w:t>
            </w:r>
            <w:r w:rsidR="00A94D67">
              <w:rPr>
                <w:rFonts w:asciiTheme="minorHAnsi" w:hAnsiTheme="minorHAnsi" w:cstheme="minorHAnsi"/>
              </w:rPr>
              <w:t>.</w:t>
            </w:r>
          </w:p>
        </w:tc>
        <w:tc>
          <w:tcPr>
            <w:tcW w:w="1710" w:type="dxa"/>
          </w:tcPr>
          <w:p w:rsidRPr="009139B3" w:rsidR="001D1C73" w:rsidP="00CF12A9" w:rsidRDefault="001D1C73" w14:paraId="671107D1" w14:textId="08162B72">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5B0FA8">
              <w:rPr>
                <w:rFonts w:asciiTheme="minorHAnsi" w:hAnsiTheme="minorHAnsi" w:cstheme="minorHAnsi"/>
              </w:rPr>
              <w:t>in-person</w:t>
            </w:r>
            <w:r w:rsidR="00CD0787">
              <w:rPr>
                <w:rFonts w:asciiTheme="minorHAnsi" w:hAnsiTheme="minorHAnsi" w:cstheme="minorHAnsi"/>
              </w:rPr>
              <w:t>*</w:t>
            </w:r>
          </w:p>
          <w:p w:rsidRPr="009139B3" w:rsidR="001D1C73" w:rsidP="00CF12A9" w:rsidRDefault="001D1C73" w14:paraId="1365D138" w14:textId="77777777">
            <w:pPr>
              <w:rPr>
                <w:rFonts w:asciiTheme="minorHAnsi" w:hAnsiTheme="minorHAnsi" w:cstheme="minorHAnsi"/>
              </w:rPr>
            </w:pPr>
          </w:p>
          <w:p w:rsidRPr="009139B3" w:rsidR="001D1C73" w:rsidP="00CF12A9" w:rsidRDefault="001D1C73" w14:paraId="44180139" w14:textId="364E07EF">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sidR="005B0FA8">
              <w:rPr>
                <w:rFonts w:asciiTheme="minorHAnsi" w:hAnsiTheme="minorHAnsi" w:cstheme="minorHAnsi"/>
              </w:rPr>
              <w:t xml:space="preserve"> </w:t>
            </w:r>
            <w:r w:rsidR="005B3A92">
              <w:rPr>
                <w:rFonts w:asciiTheme="minorHAnsi" w:hAnsiTheme="minorHAnsi" w:cstheme="minorHAnsi"/>
              </w:rPr>
              <w:t>60</w:t>
            </w:r>
            <w:r w:rsidR="0042711C">
              <w:rPr>
                <w:rFonts w:asciiTheme="minorHAnsi" w:hAnsiTheme="minorHAnsi" w:cstheme="minorHAnsi"/>
              </w:rPr>
              <w:t xml:space="preserve"> minutes</w:t>
            </w:r>
            <w:r w:rsidR="003967BD">
              <w:rPr>
                <w:rFonts w:asciiTheme="minorHAnsi" w:hAnsiTheme="minorHAnsi" w:cstheme="minorHAnsi"/>
              </w:rPr>
              <w:t xml:space="preserve"> (average)</w:t>
            </w:r>
          </w:p>
        </w:tc>
      </w:tr>
      <w:tr w:rsidRPr="009139B3" w:rsidR="00D97A30" w:rsidTr="00CD2D0E" w14:paraId="63AA640F" w14:textId="77777777">
        <w:tc>
          <w:tcPr>
            <w:tcW w:w="1530" w:type="dxa"/>
          </w:tcPr>
          <w:p w:rsidR="00D97A30" w:rsidP="00D97A30" w:rsidRDefault="00D97A30" w14:paraId="4348A971" w14:textId="415BAA73">
            <w:pPr>
              <w:rPr>
                <w:rFonts w:cstheme="minorHAnsi"/>
              </w:rPr>
            </w:pPr>
            <w:r>
              <w:rPr>
                <w:rFonts w:asciiTheme="minorHAnsi" w:hAnsiTheme="minorHAnsi" w:cstheme="minorHAnsi"/>
              </w:rPr>
              <w:t>Semi-structured interview</w:t>
            </w:r>
          </w:p>
        </w:tc>
        <w:tc>
          <w:tcPr>
            <w:tcW w:w="1800" w:type="dxa"/>
          </w:tcPr>
          <w:p w:rsidRPr="009139B3" w:rsidR="00D97A30" w:rsidP="00D97A30" w:rsidRDefault="00915632" w14:paraId="559934DB" w14:textId="1F447393">
            <w:pPr>
              <w:rPr>
                <w:rFonts w:cstheme="minorHAnsi"/>
              </w:rPr>
            </w:pPr>
            <w:r>
              <w:rPr>
                <w:rFonts w:asciiTheme="minorHAnsi" w:hAnsiTheme="minorHAnsi" w:cstheme="minorHAnsi"/>
              </w:rPr>
              <w:t xml:space="preserve">Instrument 4: </w:t>
            </w:r>
            <w:r w:rsidRPr="00E9000B" w:rsidR="00E9000B">
              <w:rPr>
                <w:rFonts w:asciiTheme="minorHAnsi" w:hAnsiTheme="minorHAnsi" w:cstheme="minorHAnsi"/>
              </w:rPr>
              <w:t>Interview Guide for IT/Data Staff</w:t>
            </w:r>
          </w:p>
        </w:tc>
        <w:tc>
          <w:tcPr>
            <w:tcW w:w="4410" w:type="dxa"/>
          </w:tcPr>
          <w:p w:rsidRPr="009139B3" w:rsidR="00D97A30" w:rsidP="00D97A30" w:rsidRDefault="00D97A30" w14:paraId="74A6D6A4" w14:textId="415CF5E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CA5851">
              <w:rPr>
                <w:rFonts w:asciiTheme="minorHAnsi" w:hAnsiTheme="minorHAnsi" w:cstheme="minorHAnsi"/>
              </w:rPr>
              <w:t xml:space="preserve">Up to three </w:t>
            </w:r>
            <w:r w:rsidR="00A94D67">
              <w:rPr>
                <w:rFonts w:asciiTheme="minorHAnsi" w:hAnsiTheme="minorHAnsi" w:cstheme="minorHAnsi"/>
              </w:rPr>
              <w:t>IT/data staff at</w:t>
            </w:r>
            <w:r w:rsidR="00CA5851">
              <w:rPr>
                <w:rFonts w:asciiTheme="minorHAnsi" w:hAnsiTheme="minorHAnsi" w:cstheme="minorHAnsi"/>
              </w:rPr>
              <w:t xml:space="preserve"> each of</w:t>
            </w:r>
            <w:r w:rsidR="00A94D67">
              <w:rPr>
                <w:rFonts w:asciiTheme="minorHAnsi" w:hAnsiTheme="minorHAnsi" w:cstheme="minorHAnsi"/>
              </w:rPr>
              <w:t xml:space="preserve"> three CCRCs</w:t>
            </w:r>
          </w:p>
          <w:p w:rsidRPr="009139B3" w:rsidR="00D97A30" w:rsidP="00D97A30" w:rsidRDefault="00D97A30" w14:paraId="3F853BC0" w14:textId="77777777">
            <w:pPr>
              <w:rPr>
                <w:rFonts w:asciiTheme="minorHAnsi" w:hAnsiTheme="minorHAnsi" w:cstheme="minorHAnsi"/>
              </w:rPr>
            </w:pPr>
          </w:p>
          <w:p w:rsidRPr="009139B3" w:rsidR="00D97A30" w:rsidP="00D97A30" w:rsidRDefault="00D97A30" w14:paraId="75521D6C"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A94D67" w:rsidR="00D97A30" w:rsidP="00A94D67" w:rsidRDefault="00A94D67" w14:paraId="6A3FAEEB" w14:textId="40472014">
            <w:pPr>
              <w:pStyle w:val="ListParagraph"/>
              <w:numPr>
                <w:ilvl w:val="0"/>
                <w:numId w:val="48"/>
              </w:numPr>
              <w:rPr>
                <w:rFonts w:asciiTheme="minorHAnsi" w:hAnsiTheme="minorHAnsi" w:cstheme="minorHAnsi"/>
              </w:rPr>
            </w:pPr>
            <w:r w:rsidRPr="00A94D67">
              <w:rPr>
                <w:rFonts w:asciiTheme="minorHAnsi" w:hAnsiTheme="minorHAnsi" w:cstheme="minorHAnsi"/>
              </w:rPr>
              <w:t>Respondent background</w:t>
            </w:r>
          </w:p>
          <w:p w:rsidRPr="00A94D67" w:rsidR="00A94D67" w:rsidP="00A94D67" w:rsidRDefault="00A94D67" w14:paraId="03A67E5B" w14:textId="06B5E9C3">
            <w:pPr>
              <w:pStyle w:val="ListParagraph"/>
              <w:numPr>
                <w:ilvl w:val="0"/>
                <w:numId w:val="48"/>
              </w:numPr>
              <w:rPr>
                <w:rFonts w:asciiTheme="minorHAnsi" w:hAnsiTheme="minorHAnsi" w:cstheme="minorHAnsi"/>
              </w:rPr>
            </w:pPr>
            <w:r w:rsidRPr="00A94D67">
              <w:rPr>
                <w:rFonts w:asciiTheme="minorHAnsi" w:hAnsiTheme="minorHAnsi" w:cstheme="minorHAnsi"/>
              </w:rPr>
              <w:t>Data systems and metrics used to track client participation, outcomes, and demographic information</w:t>
            </w:r>
          </w:p>
          <w:p w:rsidRPr="00A94D67" w:rsidR="00A94D67" w:rsidP="00A94D67" w:rsidRDefault="00A94D67" w14:paraId="6ABE8370" w14:textId="7B20E391">
            <w:pPr>
              <w:pStyle w:val="ListParagraph"/>
              <w:numPr>
                <w:ilvl w:val="0"/>
                <w:numId w:val="48"/>
              </w:numPr>
              <w:rPr>
                <w:rFonts w:asciiTheme="minorHAnsi" w:hAnsiTheme="minorHAnsi" w:cstheme="minorHAnsi"/>
              </w:rPr>
            </w:pPr>
            <w:r w:rsidRPr="00A94D67">
              <w:rPr>
                <w:rFonts w:asciiTheme="minorHAnsi" w:hAnsiTheme="minorHAnsi" w:cstheme="minorHAnsi"/>
              </w:rPr>
              <w:t>Organizational partnerships</w:t>
            </w:r>
          </w:p>
          <w:p w:rsidRPr="00A94D67" w:rsidR="00A94D67" w:rsidP="00A94D67" w:rsidRDefault="00A94D67" w14:paraId="37C730C1" w14:textId="489F25F6">
            <w:pPr>
              <w:pStyle w:val="ListParagraph"/>
              <w:numPr>
                <w:ilvl w:val="0"/>
                <w:numId w:val="48"/>
              </w:numPr>
              <w:rPr>
                <w:rFonts w:asciiTheme="minorHAnsi" w:hAnsiTheme="minorHAnsi" w:cstheme="minorHAnsi"/>
              </w:rPr>
            </w:pPr>
            <w:r w:rsidRPr="003340F8">
              <w:rPr>
                <w:rFonts w:asciiTheme="minorHAnsi" w:hAnsiTheme="minorHAnsi" w:cstheme="minorHAnsi"/>
              </w:rPr>
              <w:lastRenderedPageBreak/>
              <w:t xml:space="preserve">Challenges, perceptions, and lessons learned </w:t>
            </w:r>
            <w:r>
              <w:rPr>
                <w:rFonts w:asciiTheme="minorHAnsi" w:hAnsiTheme="minorHAnsi" w:cstheme="minorHAnsi"/>
              </w:rPr>
              <w:t>about centralized service approach</w:t>
            </w:r>
          </w:p>
          <w:p w:rsidR="00A94D67" w:rsidP="00D97A30" w:rsidRDefault="00A94D67" w14:paraId="66F21D5B" w14:textId="77777777">
            <w:pPr>
              <w:rPr>
                <w:rFonts w:asciiTheme="minorHAnsi" w:hAnsiTheme="minorHAnsi" w:cstheme="minorHAnsi"/>
                <w:b/>
              </w:rPr>
            </w:pPr>
          </w:p>
          <w:p w:rsidRPr="009139B3" w:rsidR="00D97A30" w:rsidP="00CA5851" w:rsidRDefault="00D97A30" w14:paraId="718DA978" w14:textId="68CC2CFE">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sidR="00A94D67">
              <w:rPr>
                <w:rFonts w:asciiTheme="minorHAnsi" w:hAnsiTheme="minorHAnsi" w:cstheme="minorHAnsi"/>
              </w:rPr>
              <w:t xml:space="preserve"> To document centralized service provision and benefits, challenges, and costs of centralization</w:t>
            </w:r>
            <w:r w:rsidR="00D12965">
              <w:rPr>
                <w:rFonts w:asciiTheme="minorHAnsi" w:hAnsiTheme="minorHAnsi" w:cstheme="minorHAnsi"/>
              </w:rPr>
              <w:t>, from an IT/Data staff perspective</w:t>
            </w:r>
            <w:r w:rsidR="00A94D67">
              <w:rPr>
                <w:rFonts w:asciiTheme="minorHAnsi" w:hAnsiTheme="minorHAnsi" w:cstheme="minorHAnsi"/>
              </w:rPr>
              <w:t>.</w:t>
            </w:r>
          </w:p>
        </w:tc>
        <w:tc>
          <w:tcPr>
            <w:tcW w:w="1710" w:type="dxa"/>
          </w:tcPr>
          <w:p w:rsidRPr="009139B3" w:rsidR="00D97A30" w:rsidP="00D97A30" w:rsidRDefault="00D97A30" w14:paraId="52F78C09" w14:textId="32FB82CC">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sidR="005B0FA8">
              <w:rPr>
                <w:rFonts w:asciiTheme="minorHAnsi" w:hAnsiTheme="minorHAnsi" w:cstheme="minorHAnsi"/>
              </w:rPr>
              <w:t>in-person</w:t>
            </w:r>
            <w:r w:rsidR="00CD0787">
              <w:rPr>
                <w:rFonts w:asciiTheme="minorHAnsi" w:hAnsiTheme="minorHAnsi" w:cstheme="minorHAnsi"/>
              </w:rPr>
              <w:t>*</w:t>
            </w:r>
          </w:p>
          <w:p w:rsidRPr="009139B3" w:rsidR="00D97A30" w:rsidP="00D97A30" w:rsidRDefault="00D97A30" w14:paraId="7DC41A45" w14:textId="77777777">
            <w:pPr>
              <w:rPr>
                <w:rFonts w:asciiTheme="minorHAnsi" w:hAnsiTheme="minorHAnsi" w:cstheme="minorHAnsi"/>
              </w:rPr>
            </w:pPr>
          </w:p>
          <w:p w:rsidRPr="009139B3" w:rsidR="00D97A30" w:rsidP="00D97A30" w:rsidRDefault="00D97A30" w14:paraId="62AB60B8" w14:textId="1400A6E6">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sidR="005B0FA8">
              <w:rPr>
                <w:rFonts w:asciiTheme="minorHAnsi" w:hAnsiTheme="minorHAnsi" w:cstheme="minorHAnsi"/>
              </w:rPr>
              <w:t xml:space="preserve"> </w:t>
            </w:r>
            <w:r w:rsidR="005B3A92">
              <w:rPr>
                <w:rFonts w:asciiTheme="minorHAnsi" w:hAnsiTheme="minorHAnsi" w:cstheme="minorHAnsi"/>
              </w:rPr>
              <w:t>60</w:t>
            </w:r>
            <w:r w:rsidR="0042711C">
              <w:rPr>
                <w:rFonts w:asciiTheme="minorHAnsi" w:hAnsiTheme="minorHAnsi" w:cstheme="minorHAnsi"/>
              </w:rPr>
              <w:t xml:space="preserve"> minutes</w:t>
            </w:r>
            <w:r w:rsidR="003967BD">
              <w:rPr>
                <w:rFonts w:asciiTheme="minorHAnsi" w:hAnsiTheme="minorHAnsi" w:cstheme="minorHAnsi"/>
              </w:rPr>
              <w:t xml:space="preserve"> (average)</w:t>
            </w:r>
          </w:p>
        </w:tc>
      </w:tr>
      <w:tr w:rsidRPr="009139B3" w:rsidR="00D97A30" w:rsidTr="00CD2D0E" w14:paraId="6452ECE6" w14:textId="77777777">
        <w:tc>
          <w:tcPr>
            <w:tcW w:w="1530" w:type="dxa"/>
          </w:tcPr>
          <w:p w:rsidR="00D97A30" w:rsidP="00D97A30" w:rsidRDefault="00D97A30" w14:paraId="7CE901D3" w14:textId="13059BDC">
            <w:pPr>
              <w:rPr>
                <w:rFonts w:cstheme="minorHAnsi"/>
              </w:rPr>
            </w:pPr>
            <w:r>
              <w:rPr>
                <w:rFonts w:asciiTheme="minorHAnsi" w:hAnsiTheme="minorHAnsi" w:cstheme="minorHAnsi"/>
              </w:rPr>
              <w:t>Focus group</w:t>
            </w:r>
          </w:p>
        </w:tc>
        <w:tc>
          <w:tcPr>
            <w:tcW w:w="1800" w:type="dxa"/>
          </w:tcPr>
          <w:p w:rsidRPr="009139B3" w:rsidR="00D97A30" w:rsidP="00D97A30" w:rsidRDefault="00DA033A" w14:paraId="11F7E5AE" w14:textId="03C2273F">
            <w:pPr>
              <w:rPr>
                <w:rFonts w:cstheme="minorHAnsi"/>
              </w:rPr>
            </w:pPr>
            <w:r>
              <w:rPr>
                <w:rFonts w:asciiTheme="minorHAnsi" w:hAnsiTheme="minorHAnsi" w:cstheme="minorHAnsi"/>
              </w:rPr>
              <w:t xml:space="preserve">Instrument 5: </w:t>
            </w:r>
            <w:r w:rsidRPr="00E9000B" w:rsidR="00E9000B">
              <w:rPr>
                <w:rFonts w:asciiTheme="minorHAnsi" w:hAnsiTheme="minorHAnsi" w:cstheme="minorHAnsi"/>
              </w:rPr>
              <w:t>Focus Group Guide for Clients</w:t>
            </w:r>
          </w:p>
        </w:tc>
        <w:tc>
          <w:tcPr>
            <w:tcW w:w="4410" w:type="dxa"/>
          </w:tcPr>
          <w:p w:rsidRPr="009139B3" w:rsidR="00D97A30" w:rsidP="00D97A30" w:rsidRDefault="00D97A30" w14:paraId="1B715A0F" w14:textId="4BE9B124">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A94D67">
              <w:rPr>
                <w:rFonts w:asciiTheme="minorHAnsi" w:hAnsiTheme="minorHAnsi" w:cstheme="minorHAnsi"/>
              </w:rPr>
              <w:t xml:space="preserve">Up to 10 clients from </w:t>
            </w:r>
            <w:r w:rsidR="00363AC1">
              <w:rPr>
                <w:rFonts w:asciiTheme="minorHAnsi" w:hAnsiTheme="minorHAnsi" w:cstheme="minorHAnsi"/>
              </w:rPr>
              <w:t xml:space="preserve">each of </w:t>
            </w:r>
            <w:r w:rsidR="00A94D67">
              <w:rPr>
                <w:rFonts w:asciiTheme="minorHAnsi" w:hAnsiTheme="minorHAnsi" w:cstheme="minorHAnsi"/>
              </w:rPr>
              <w:t>three CCRCs</w:t>
            </w:r>
          </w:p>
          <w:p w:rsidRPr="009139B3" w:rsidR="00D97A30" w:rsidP="00D97A30" w:rsidRDefault="00D97A30" w14:paraId="6698C25F" w14:textId="77777777">
            <w:pPr>
              <w:rPr>
                <w:rFonts w:asciiTheme="minorHAnsi" w:hAnsiTheme="minorHAnsi" w:cstheme="minorHAnsi"/>
              </w:rPr>
            </w:pPr>
          </w:p>
          <w:p w:rsidR="00D97A30" w:rsidP="00D97A30" w:rsidRDefault="00D97A30" w14:paraId="0D6596F3" w14:textId="046DA581">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A04159" w:rsidR="00A94D67" w:rsidP="00A94D67" w:rsidRDefault="00A94D67" w14:paraId="7D73070C" w14:textId="0CCEE88F">
            <w:pPr>
              <w:pStyle w:val="ListParagraph"/>
              <w:numPr>
                <w:ilvl w:val="0"/>
                <w:numId w:val="49"/>
              </w:numPr>
              <w:rPr>
                <w:rFonts w:asciiTheme="minorHAnsi" w:hAnsiTheme="minorHAnsi" w:cstheme="minorHAnsi"/>
              </w:rPr>
            </w:pPr>
            <w:r w:rsidRPr="00A04159">
              <w:rPr>
                <w:rFonts w:asciiTheme="minorHAnsi" w:hAnsiTheme="minorHAnsi" w:cstheme="minorHAnsi"/>
              </w:rPr>
              <w:t>Services received</w:t>
            </w:r>
            <w:r w:rsidRPr="00A04159" w:rsidR="00A04159">
              <w:rPr>
                <w:rFonts w:asciiTheme="minorHAnsi" w:hAnsiTheme="minorHAnsi" w:cstheme="minorHAnsi"/>
              </w:rPr>
              <w:t>, in person and virtually</w:t>
            </w:r>
          </w:p>
          <w:p w:rsidRPr="00A04159" w:rsidR="00A04159" w:rsidP="00A94D67" w:rsidRDefault="00A04159" w14:paraId="78BC696C" w14:textId="1639A9CA">
            <w:pPr>
              <w:pStyle w:val="ListParagraph"/>
              <w:numPr>
                <w:ilvl w:val="0"/>
                <w:numId w:val="49"/>
              </w:numPr>
              <w:rPr>
                <w:rFonts w:asciiTheme="minorHAnsi" w:hAnsiTheme="minorHAnsi" w:cstheme="minorHAnsi"/>
              </w:rPr>
            </w:pPr>
            <w:r w:rsidRPr="00A04159">
              <w:rPr>
                <w:rFonts w:asciiTheme="minorHAnsi" w:hAnsiTheme="minorHAnsi" w:cstheme="minorHAnsi"/>
              </w:rPr>
              <w:t>Impressions of services received at the CCRC</w:t>
            </w:r>
            <w:r w:rsidR="00D12965">
              <w:rPr>
                <w:rFonts w:asciiTheme="minorHAnsi" w:hAnsiTheme="minorHAnsi" w:cstheme="minorHAnsi"/>
              </w:rPr>
              <w:t xml:space="preserve"> and how they feel about accessing services centrally</w:t>
            </w:r>
          </w:p>
          <w:p w:rsidR="00A04159" w:rsidP="00A94D67" w:rsidRDefault="00A04159" w14:paraId="667BAB14" w14:textId="4CDCCD6D">
            <w:pPr>
              <w:pStyle w:val="ListParagraph"/>
              <w:numPr>
                <w:ilvl w:val="0"/>
                <w:numId w:val="49"/>
              </w:numPr>
              <w:rPr>
                <w:rFonts w:asciiTheme="minorHAnsi" w:hAnsiTheme="minorHAnsi" w:cstheme="minorHAnsi"/>
              </w:rPr>
            </w:pPr>
            <w:r w:rsidRPr="00A04159">
              <w:rPr>
                <w:rFonts w:asciiTheme="minorHAnsi" w:hAnsiTheme="minorHAnsi" w:cstheme="minorHAnsi"/>
              </w:rPr>
              <w:t>Challenges and barriers to participation</w:t>
            </w:r>
          </w:p>
          <w:p w:rsidRPr="00A04159" w:rsidR="00A04159" w:rsidP="00A94D67" w:rsidRDefault="00A04159" w14:paraId="4DC19AE0" w14:textId="0B2DDDB7">
            <w:pPr>
              <w:pStyle w:val="ListParagraph"/>
              <w:numPr>
                <w:ilvl w:val="0"/>
                <w:numId w:val="49"/>
              </w:numPr>
              <w:rPr>
                <w:rFonts w:asciiTheme="minorHAnsi" w:hAnsiTheme="minorHAnsi" w:cstheme="minorHAnsi"/>
              </w:rPr>
            </w:pPr>
            <w:r>
              <w:rPr>
                <w:rFonts w:asciiTheme="minorHAnsi" w:hAnsiTheme="minorHAnsi" w:cstheme="minorHAnsi"/>
              </w:rPr>
              <w:t>Recommendations for other clients and staff members</w:t>
            </w:r>
          </w:p>
          <w:p w:rsidRPr="009139B3" w:rsidR="00D97A30" w:rsidP="00D97A30" w:rsidRDefault="00D97A30" w14:paraId="0D5C92FD" w14:textId="77777777">
            <w:pPr>
              <w:rPr>
                <w:rFonts w:asciiTheme="minorHAnsi" w:hAnsiTheme="minorHAnsi" w:cstheme="minorHAnsi"/>
              </w:rPr>
            </w:pPr>
          </w:p>
          <w:p w:rsidRPr="009139B3" w:rsidR="00D97A30" w:rsidP="00A96659" w:rsidRDefault="00D97A30" w14:paraId="6E32F895" w14:textId="037C262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sidR="00A94D67">
              <w:rPr>
                <w:rFonts w:asciiTheme="minorHAnsi" w:hAnsiTheme="minorHAnsi" w:cstheme="minorHAnsi"/>
              </w:rPr>
              <w:t xml:space="preserve"> To document client experiences and benefits and challenges of centralized services</w:t>
            </w:r>
            <w:r w:rsidR="00D12965">
              <w:rPr>
                <w:rFonts w:asciiTheme="minorHAnsi" w:hAnsiTheme="minorHAnsi" w:cstheme="minorHAnsi"/>
              </w:rPr>
              <w:t xml:space="preserve"> from a client perspective</w:t>
            </w:r>
            <w:r w:rsidR="00A94D67">
              <w:rPr>
                <w:rFonts w:asciiTheme="minorHAnsi" w:hAnsiTheme="minorHAnsi" w:cstheme="minorHAnsi"/>
              </w:rPr>
              <w:t>.</w:t>
            </w:r>
          </w:p>
        </w:tc>
        <w:tc>
          <w:tcPr>
            <w:tcW w:w="1710" w:type="dxa"/>
          </w:tcPr>
          <w:p w:rsidRPr="009139B3" w:rsidR="00D97A30" w:rsidP="00D97A30" w:rsidRDefault="00D97A30" w14:paraId="5CDD66A5" w14:textId="64917C8E">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5B0FA8">
              <w:rPr>
                <w:rFonts w:asciiTheme="minorHAnsi" w:hAnsiTheme="minorHAnsi" w:cstheme="minorHAnsi"/>
              </w:rPr>
              <w:t>in-person</w:t>
            </w:r>
            <w:r w:rsidR="00CD0787">
              <w:rPr>
                <w:rFonts w:asciiTheme="minorHAnsi" w:hAnsiTheme="minorHAnsi" w:cstheme="minorHAnsi"/>
              </w:rPr>
              <w:t>*</w:t>
            </w:r>
          </w:p>
          <w:p w:rsidRPr="009139B3" w:rsidR="00D97A30" w:rsidP="00D97A30" w:rsidRDefault="00D97A30" w14:paraId="34B7B018" w14:textId="77777777">
            <w:pPr>
              <w:rPr>
                <w:rFonts w:asciiTheme="minorHAnsi" w:hAnsiTheme="minorHAnsi" w:cstheme="minorHAnsi"/>
              </w:rPr>
            </w:pPr>
          </w:p>
          <w:p w:rsidRPr="009139B3" w:rsidR="00D97A30" w:rsidP="00D97A30" w:rsidRDefault="00D97A30" w14:paraId="34776B0F" w14:textId="47038371">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sidR="005B0FA8">
              <w:rPr>
                <w:rFonts w:asciiTheme="minorHAnsi" w:hAnsiTheme="minorHAnsi" w:cstheme="minorHAnsi"/>
              </w:rPr>
              <w:t xml:space="preserve"> 90 minutes</w:t>
            </w:r>
          </w:p>
        </w:tc>
      </w:tr>
    </w:tbl>
    <w:p w:rsidRPr="009A41CD" w:rsidR="001D1C73" w:rsidP="001D1C73" w:rsidRDefault="00CD0787" w14:paraId="0DB98502" w14:textId="42C6BA06">
      <w:pPr>
        <w:spacing w:after="0" w:line="240" w:lineRule="auto"/>
        <w:rPr>
          <w:i/>
          <w:sz w:val="20"/>
          <w:szCs w:val="20"/>
        </w:rPr>
      </w:pPr>
      <w:r w:rsidRPr="009A41CD">
        <w:rPr>
          <w:i/>
          <w:sz w:val="20"/>
          <w:szCs w:val="20"/>
        </w:rPr>
        <w:t xml:space="preserve">*As noted above, the research team is </w:t>
      </w:r>
      <w:r w:rsidRPr="009A41CD" w:rsidR="00B909A8">
        <w:rPr>
          <w:i/>
          <w:sz w:val="20"/>
          <w:szCs w:val="20"/>
        </w:rPr>
        <w:t>also planning for the possibility of conducting the site visits virtually via videoconference if in-person visits are not possible due to COVID-19.</w:t>
      </w:r>
    </w:p>
    <w:p w:rsidRPr="009139B3" w:rsidR="00CD0787" w:rsidP="001D1C73" w:rsidRDefault="00CD0787" w14:paraId="76E6BC0E" w14:textId="4BDC10A1">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A369CE" w:rsidP="001D1C73" w:rsidRDefault="00A369CE" w14:paraId="72F4EDAB" w14:textId="0CE2CE27">
      <w:pPr>
        <w:spacing w:after="0" w:line="240" w:lineRule="auto"/>
      </w:pPr>
      <w:r>
        <w:t>In addition to the information collection described above, the research team will conduct observations of program activities. These could include “front-door” observations of the lobby, program service observations such as orientations or program workshops, or partnership meetings. These will contribute to the study by documenting how clients experience the program, how CCRC staff communicate services and programs to clients, and how staff from different agencies collaborate to deliver services.</w:t>
      </w:r>
      <w:r w:rsidR="009305DB">
        <w:t xml:space="preserve"> The research team </w:t>
      </w:r>
      <w:r w:rsidR="003A7373">
        <w:t>review</w:t>
      </w:r>
      <w:r w:rsidR="009305DB">
        <w:t xml:space="preserve"> aggregate, readily available data from sites related to program services and client demographics, which will add context to the findings from </w:t>
      </w:r>
      <w:r w:rsidR="000E45E3">
        <w:t>the</w:t>
      </w:r>
      <w:r w:rsidR="009305DB">
        <w:t xml:space="preserve"> primary data collection.</w:t>
      </w:r>
    </w:p>
    <w:p w:rsidR="00A369CE" w:rsidP="001D1C73" w:rsidRDefault="00A369CE" w14:paraId="1D4AC9C4" w14:textId="77777777">
      <w:pPr>
        <w:spacing w:after="0" w:line="240" w:lineRule="auto"/>
      </w:pPr>
    </w:p>
    <w:p w:rsidRPr="009139B3" w:rsidR="001D1C73" w:rsidP="001D1C73" w:rsidRDefault="003A1C8D" w14:paraId="10B217EA" w14:textId="7E38F953">
      <w:pPr>
        <w:spacing w:after="0" w:line="240" w:lineRule="auto"/>
      </w:pPr>
      <w:r>
        <w:t xml:space="preserve">The research team </w:t>
      </w:r>
      <w:r w:rsidR="00DF00A2">
        <w:t>is</w:t>
      </w:r>
      <w:r>
        <w:t xml:space="preserve"> in the process of conducting a review of the literature regarding centralized service provision for families and adults with low</w:t>
      </w:r>
      <w:r w:rsidR="00AA4DDA">
        <w:t xml:space="preserve"> </w:t>
      </w:r>
      <w:r>
        <w:t>income</w:t>
      </w:r>
      <w:r w:rsidR="00F65EAF">
        <w:t>s</w:t>
      </w:r>
      <w:r>
        <w:t xml:space="preserve">. </w:t>
      </w:r>
      <w:r w:rsidR="00DF00A2">
        <w:t xml:space="preserve"> The final report for this project will synthesize findings from the literature review and the site visits to address the project’s research questions.</w:t>
      </w:r>
    </w:p>
    <w:p w:rsidR="001D1C73" w:rsidP="001D1C73" w:rsidRDefault="001D1C73" w14:paraId="1B4C1958" w14:textId="31FA97A9">
      <w:pPr>
        <w:spacing w:after="0" w:line="240" w:lineRule="auto"/>
      </w:pPr>
    </w:p>
    <w:p w:rsidRPr="009139B3" w:rsidR="003A7373" w:rsidP="001D1C73" w:rsidRDefault="003A7373" w14:paraId="7598FA5E" w14:textId="77777777">
      <w:pPr>
        <w:spacing w:after="0" w:line="240" w:lineRule="auto"/>
      </w:pPr>
    </w:p>
    <w:p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1D1C73" w:rsidP="003A7373" w:rsidRDefault="0051353D" w14:paraId="0C050866" w14:textId="1E691752">
      <w:pPr>
        <w:spacing w:after="0" w:line="240" w:lineRule="auto"/>
        <w:rPr>
          <w:bCs/>
        </w:rPr>
      </w:pPr>
      <w:r w:rsidRPr="0051353D">
        <w:rPr>
          <w:bCs/>
        </w:rPr>
        <w:t>The information from site visits will be collected through semi-structured discussions that are not conducive to information technology</w:t>
      </w:r>
      <w:r w:rsidR="00E93908">
        <w:rPr>
          <w:bCs/>
        </w:rPr>
        <w:t xml:space="preserve"> allowing the electronic submission of responses</w:t>
      </w:r>
      <w:r w:rsidRPr="0051353D">
        <w:rPr>
          <w:bCs/>
        </w:rPr>
        <w:t xml:space="preserve">. The research team will </w:t>
      </w:r>
      <w:r w:rsidR="00DA033A">
        <w:rPr>
          <w:bCs/>
        </w:rPr>
        <w:t>audio record interviews, with the permission of the respondent, in order to assist with written note-taking</w:t>
      </w:r>
      <w:r w:rsidRPr="0051353D">
        <w:rPr>
          <w:bCs/>
        </w:rPr>
        <w:t>.</w:t>
      </w:r>
    </w:p>
    <w:p w:rsidR="003A7373" w:rsidP="00CD2D0E" w:rsidRDefault="003A7373" w14:paraId="40B0788F" w14:textId="77777777">
      <w:pPr>
        <w:spacing w:after="0" w:line="240" w:lineRule="auto"/>
        <w:rPr>
          <w:bCs/>
        </w:rPr>
      </w:pPr>
    </w:p>
    <w:p w:rsidRPr="00CE1E63" w:rsidR="00DF00A2" w:rsidP="00CE1E63" w:rsidRDefault="0012093E" w14:paraId="7E58C0CE" w14:textId="29BCBA80">
      <w:pPr>
        <w:spacing w:after="120" w:line="240" w:lineRule="auto"/>
        <w:rPr>
          <w:bCs/>
        </w:rPr>
      </w:pPr>
      <w:r>
        <w:rPr>
          <w:bCs/>
        </w:rPr>
        <w:t xml:space="preserve">While the research team hopes to conduct all site visits in person, they </w:t>
      </w:r>
      <w:r w:rsidR="00DF00A2">
        <w:rPr>
          <w:bCs/>
        </w:rPr>
        <w:t xml:space="preserve">will also plan for the possibility of conducting interviews and focus groups remotely, depending on the public health situation at the time of the site visits. If necessary, the </w:t>
      </w:r>
      <w:r w:rsidR="00B900DC">
        <w:rPr>
          <w:bCs/>
        </w:rPr>
        <w:t>research</w:t>
      </w:r>
      <w:r w:rsidR="00DF00A2">
        <w:rPr>
          <w:bCs/>
        </w:rPr>
        <w:t xml:space="preserve"> team will </w:t>
      </w:r>
      <w:r w:rsidR="00813C48">
        <w:rPr>
          <w:bCs/>
        </w:rPr>
        <w:t xml:space="preserve">conduct interviews, focus groups, and observations via videoconferencing tools, such as Zoom. If there are public health concerns, </w:t>
      </w:r>
      <w:r w:rsidR="000E45E3">
        <w:rPr>
          <w:bCs/>
        </w:rPr>
        <w:t xml:space="preserve">use of videoconferencing </w:t>
      </w:r>
      <w:r w:rsidR="000E45E3">
        <w:rPr>
          <w:bCs/>
        </w:rPr>
        <w:lastRenderedPageBreak/>
        <w:t>tools</w:t>
      </w:r>
      <w:r w:rsidR="00813C48">
        <w:rPr>
          <w:bCs/>
        </w:rPr>
        <w:t xml:space="preserve"> will reduce burden on respondents by enabling them to meet with the research team safely in a remote setting.</w:t>
      </w:r>
    </w:p>
    <w:p w:rsidRPr="009139B3" w:rsidR="001D1C73" w:rsidP="001D1C73" w:rsidRDefault="001D1C73" w14:paraId="381FEAAD" w14:textId="77777777">
      <w:pPr>
        <w:pStyle w:val="ListParagraph"/>
        <w:spacing w:after="0" w:line="240" w:lineRule="auto"/>
        <w:ind w:left="360"/>
      </w:pPr>
    </w:p>
    <w:p w:rsidRPr="00F72CFE" w:rsidR="001D1C73" w:rsidP="00F72CFE" w:rsidRDefault="001D1C73" w14:paraId="6E9D4EB0" w14:textId="7A0B1F0D">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9139B3" w:rsidR="001D1C73" w:rsidP="001D1C73" w:rsidRDefault="00F72CFE" w14:paraId="23E0A2E3" w14:textId="252701D3">
      <w:pPr>
        <w:spacing w:after="0" w:line="240" w:lineRule="auto"/>
      </w:pPr>
      <w:r>
        <w:t>Based on consultations with experts and federal stakeholders, we are not awa</w:t>
      </w:r>
      <w:r w:rsidR="00E93908">
        <w:t>re</w:t>
      </w:r>
      <w:r>
        <w:t xml:space="preserve"> of any existing data that would meet the goals of this </w:t>
      </w:r>
      <w:r w:rsidR="00DA0218">
        <w:t>information collection</w:t>
      </w:r>
      <w:r>
        <w:t>.</w:t>
      </w:r>
      <w:r w:rsidR="00DA0218">
        <w:t xml:space="preserve"> This study aims to document staff and client perspectives on the centralized approach to service delivery, </w:t>
      </w:r>
      <w:r w:rsidR="004D059C">
        <w:t xml:space="preserve">from a small number of sites. </w:t>
      </w:r>
      <w:r w:rsidR="00B45A3E">
        <w:t xml:space="preserve">We have engaged with research teams from several other ACF projects focused on </w:t>
      </w:r>
      <w:r w:rsidR="00C73472">
        <w:t>integrated approaches to service delivery</w:t>
      </w:r>
      <w:r w:rsidR="00E86A6D">
        <w:rPr>
          <w:rStyle w:val="FootnoteReference"/>
        </w:rPr>
        <w:footnoteReference w:id="2"/>
      </w:r>
      <w:r w:rsidR="00B45A3E">
        <w:t>, and w</w:t>
      </w:r>
      <w:r w:rsidR="004D059C">
        <w:t xml:space="preserve">e will avoid sites that have been </w:t>
      </w:r>
      <w:r w:rsidR="00C73472">
        <w:t>involved in in-depth studies as part of</w:t>
      </w:r>
      <w:r w:rsidR="004D059C">
        <w:t xml:space="preserve"> recent research </w:t>
      </w:r>
      <w:r w:rsidR="009B3A9E">
        <w:t xml:space="preserve">projects. </w:t>
      </w:r>
      <w:r w:rsidR="00003462">
        <w:t>While this study is related to the other studies, it has a distinct focus on co</w:t>
      </w:r>
      <w:r w:rsidR="000E45E3">
        <w:t>-</w:t>
      </w:r>
      <w:r w:rsidR="00003462">
        <w:t>location of services</w:t>
      </w:r>
      <w:r w:rsidR="000E45E3">
        <w:t>,</w:t>
      </w:r>
      <w:r w:rsidR="00003462">
        <w:t xml:space="preserve"> which will add to ACF’s understanding of centralized services approaches not addressed by other research efforts. </w:t>
      </w:r>
      <w:r w:rsidRPr="00B45A3E" w:rsidR="00B45A3E">
        <w:t xml:space="preserve">To the extent possible, </w:t>
      </w:r>
      <w:r w:rsidR="00AD315E">
        <w:t>the research team</w:t>
      </w:r>
      <w:r w:rsidRPr="00B45A3E" w:rsidR="00B45A3E">
        <w:t xml:space="preserve"> will review information available from existing data sources, such as administrative data and publications, to avoid asking respondents questions </w:t>
      </w:r>
      <w:r w:rsidR="00AD315E">
        <w:t>the team</w:t>
      </w:r>
      <w:r w:rsidRPr="00B45A3E" w:rsidR="00AD315E">
        <w:t xml:space="preserve"> </w:t>
      </w:r>
      <w:r w:rsidRPr="00B45A3E" w:rsidR="00B45A3E">
        <w:t xml:space="preserve">can find answers to elsewhere. When necessary, </w:t>
      </w:r>
      <w:r w:rsidR="00AD315E">
        <w:t>the team</w:t>
      </w:r>
      <w:r w:rsidRPr="00B45A3E" w:rsidR="00B45A3E">
        <w:t xml:space="preserve"> will confirm information from other sources with respondents.</w:t>
      </w:r>
    </w:p>
    <w:p w:rsidR="001D1C73" w:rsidP="001D1C73" w:rsidRDefault="001D1C73" w14:paraId="7BD59622" w14:textId="08C9EF66">
      <w:pPr>
        <w:spacing w:after="0" w:line="240" w:lineRule="auto"/>
      </w:pPr>
    </w:p>
    <w:p w:rsidRPr="009139B3" w:rsidR="003A7373" w:rsidP="001D1C73" w:rsidRDefault="003A7373" w14:paraId="45F1CA49" w14:textId="77777777">
      <w:pPr>
        <w:spacing w:after="0" w:line="240" w:lineRule="auto"/>
      </w:pPr>
    </w:p>
    <w:p w:rsidRPr="009139B3" w:rsidR="001D1C73" w:rsidP="00B45A3E" w:rsidRDefault="001D1C73" w14:paraId="74793A1F" w14:textId="434C27AB">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6B151B" w:rsidR="0088752A" w:rsidP="00B45A3E" w:rsidRDefault="0088752A" w14:paraId="312CC748" w14:textId="45C4DA59">
      <w:pPr>
        <w:spacing w:after="0" w:line="240" w:lineRule="auto"/>
        <w:rPr>
          <w:rFonts w:cstheme="minorHAnsi"/>
        </w:rPr>
      </w:pPr>
      <w:r w:rsidRPr="0088752A">
        <w:rPr>
          <w:rFonts w:cstheme="minorHAnsi"/>
        </w:rPr>
        <w:t xml:space="preserve">The primary organizations involved in this study are </w:t>
      </w:r>
      <w:r w:rsidR="00AD315E">
        <w:rPr>
          <w:rFonts w:cstheme="minorHAnsi"/>
        </w:rPr>
        <w:t>CCRCs</w:t>
      </w:r>
      <w:r>
        <w:rPr>
          <w:rFonts w:cstheme="minorHAnsi"/>
        </w:rPr>
        <w:t xml:space="preserve"> </w:t>
      </w:r>
      <w:r w:rsidRPr="0088752A">
        <w:rPr>
          <w:rFonts w:cstheme="minorHAnsi"/>
        </w:rPr>
        <w:t xml:space="preserve">that provide </w:t>
      </w:r>
      <w:r>
        <w:rPr>
          <w:rFonts w:cstheme="minorHAnsi"/>
        </w:rPr>
        <w:t xml:space="preserve">multiple social </w:t>
      </w:r>
      <w:r w:rsidRPr="0088752A">
        <w:rPr>
          <w:rFonts w:cstheme="minorHAnsi"/>
        </w:rPr>
        <w:t xml:space="preserve">services </w:t>
      </w:r>
      <w:r>
        <w:rPr>
          <w:rFonts w:cstheme="minorHAnsi"/>
        </w:rPr>
        <w:t>in a single physical location</w:t>
      </w:r>
      <w:r w:rsidRPr="0088752A">
        <w:rPr>
          <w:rFonts w:cstheme="minorHAnsi"/>
        </w:rPr>
        <w:t xml:space="preserve">, some of which </w:t>
      </w:r>
      <w:r>
        <w:rPr>
          <w:rFonts w:cstheme="minorHAnsi"/>
        </w:rPr>
        <w:t>may be</w:t>
      </w:r>
      <w:r w:rsidRPr="0088752A">
        <w:rPr>
          <w:rFonts w:cstheme="minorHAnsi"/>
        </w:rPr>
        <w:t xml:space="preserve"> small organizations. The research team will minimize burden for all entities, including those that could be considered to be small organizations, by requesting only the information required to achieve the study’s objectives and </w:t>
      </w:r>
      <w:r>
        <w:rPr>
          <w:rFonts w:cstheme="minorHAnsi"/>
        </w:rPr>
        <w:t>scheduling interviews and focus groups at times that are convenient for staff and clients</w:t>
      </w:r>
      <w:r w:rsidRPr="0088752A">
        <w:rPr>
          <w:rFonts w:cstheme="minorHAnsi"/>
        </w:rPr>
        <w:t>. There should be no adverse impact for any organizations participating in the study.</w:t>
      </w:r>
    </w:p>
    <w:p w:rsidR="001D1C73" w:rsidP="001D1C73" w:rsidRDefault="001D1C73" w14:paraId="45C45C0C" w14:textId="67EA2F21">
      <w:pPr>
        <w:spacing w:after="0" w:line="240" w:lineRule="auto"/>
      </w:pPr>
    </w:p>
    <w:p w:rsidRPr="009139B3" w:rsidR="003A7373" w:rsidP="001D1C73" w:rsidRDefault="003A7373" w14:paraId="1E1EF250"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1D1C73" w:rsidP="001D1C73" w:rsidRDefault="0088752A" w14:paraId="7ECFA3F2" w14:textId="0C987837">
      <w:pPr>
        <w:spacing w:after="0"/>
      </w:pPr>
      <w:r>
        <w:t>This is a one-time data collection.</w:t>
      </w:r>
    </w:p>
    <w:p w:rsidRPr="009139B3" w:rsidR="001D1C73" w:rsidP="001D1C73" w:rsidRDefault="001D1C73" w14:paraId="7ED17F16"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3A1D9BE4">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w:t>
      </w:r>
      <w:r w:rsidRPr="009139B3">
        <w:lastRenderedPageBreak/>
        <w:t xml:space="preserve">information collection activity.  This notice was published on </w:t>
      </w:r>
      <w:r w:rsidR="000E45E3">
        <w:t>September 23, 2021</w:t>
      </w:r>
      <w:r w:rsidRPr="009139B3">
        <w:t>, Volume</w:t>
      </w:r>
      <w:r w:rsidR="00EB5387">
        <w:t xml:space="preserve"> 86</w:t>
      </w:r>
      <w:r w:rsidRPr="009139B3">
        <w:t xml:space="preserve">, Number </w:t>
      </w:r>
      <w:r w:rsidR="00EB5387">
        <w:t>182</w:t>
      </w:r>
      <w:r w:rsidRPr="009139B3">
        <w:t xml:space="preserve">, page </w:t>
      </w:r>
      <w:r w:rsidR="00EB5387">
        <w:t>52909</w:t>
      </w:r>
      <w:r w:rsidRPr="009139B3">
        <w:t xml:space="preserve">, and provided a sixty-day period for public comment.  During the notice and comment period, </w:t>
      </w:r>
      <w:r w:rsidR="00251CC4">
        <w:t xml:space="preserve">no comments </w:t>
      </w:r>
      <w:r w:rsidRPr="009139B3">
        <w:t>were</w:t>
      </w:r>
      <w:r w:rsidR="00251CC4">
        <w:t xml:space="preserve"> </w:t>
      </w:r>
      <w:r w:rsidRPr="009139B3">
        <w:t>received</w:t>
      </w:r>
      <w:r w:rsidR="00251CC4">
        <w:t xml:space="preserve">. </w:t>
      </w:r>
    </w:p>
    <w:p w:rsidRPr="009139B3" w:rsidR="001D1C73" w:rsidP="001D1C73" w:rsidRDefault="001D1C73" w14:paraId="68DB4E07" w14:textId="77777777">
      <w:pPr>
        <w:spacing w:after="0"/>
      </w:pPr>
    </w:p>
    <w:p w:rsidRPr="00622DBF" w:rsidR="001D1C73" w:rsidP="00622DBF" w:rsidRDefault="001D1C73" w14:paraId="404D40E1" w14:textId="68C42298">
      <w:pPr>
        <w:spacing w:after="60"/>
        <w:rPr>
          <w:b/>
          <w:i/>
        </w:rPr>
      </w:pPr>
      <w:r w:rsidRPr="00622DBF">
        <w:rPr>
          <w:i/>
        </w:rPr>
        <w:t>Consultation with Experts Outside of the Study</w:t>
      </w:r>
    </w:p>
    <w:p w:rsidR="001D1C73" w:rsidP="001D1C73" w:rsidRDefault="00D67B8C" w14:paraId="27AC2143" w14:textId="2E0BFF5B">
      <w:pPr>
        <w:spacing w:after="0"/>
      </w:pPr>
      <w:r>
        <w:t xml:space="preserve">The study consulted with several </w:t>
      </w:r>
      <w:r w:rsidR="00FF5786">
        <w:t xml:space="preserve">outside </w:t>
      </w:r>
      <w:r>
        <w:t>experts on the study design and data collection instruments. The experts are listed in Table A8.1.</w:t>
      </w:r>
    </w:p>
    <w:p w:rsidR="00D67B8C" w:rsidP="001D1C73" w:rsidRDefault="00D67B8C" w14:paraId="6A8D5F14" w14:textId="132EF8B6">
      <w:pPr>
        <w:spacing w:after="0"/>
      </w:pPr>
    </w:p>
    <w:p w:rsidRPr="00D67B8C" w:rsidR="00D67B8C" w:rsidP="001D1C73" w:rsidRDefault="00D67B8C" w14:paraId="0C0826BA" w14:textId="72592510">
      <w:pPr>
        <w:spacing w:after="0"/>
        <w:rPr>
          <w:b/>
          <w:bCs/>
        </w:rPr>
      </w:pPr>
      <w:r w:rsidRPr="00D67B8C">
        <w:rPr>
          <w:b/>
          <w:bCs/>
        </w:rPr>
        <w:t xml:space="preserve">Table A8.1 </w:t>
      </w:r>
      <w:r w:rsidR="00FF5786">
        <w:rPr>
          <w:b/>
          <w:bCs/>
        </w:rPr>
        <w:t>List of Experts Consulted</w:t>
      </w:r>
    </w:p>
    <w:tbl>
      <w:tblPr>
        <w:tblStyle w:val="TableGrid"/>
        <w:tblW w:w="0" w:type="auto"/>
        <w:tblInd w:w="0" w:type="dxa"/>
        <w:tblLook w:val="04A0" w:firstRow="1" w:lastRow="0" w:firstColumn="1" w:lastColumn="0" w:noHBand="0" w:noVBand="1"/>
      </w:tblPr>
      <w:tblGrid>
        <w:gridCol w:w="2515"/>
        <w:gridCol w:w="4680"/>
      </w:tblGrid>
      <w:tr w:rsidR="00D67B8C" w:rsidTr="00FF5786" w14:paraId="5E945BF4" w14:textId="77777777">
        <w:tc>
          <w:tcPr>
            <w:tcW w:w="2515" w:type="dxa"/>
            <w:shd w:val="clear" w:color="auto" w:fill="D9D9D9" w:themeFill="background1" w:themeFillShade="D9"/>
          </w:tcPr>
          <w:p w:rsidRPr="0047053E" w:rsidR="00D67B8C" w:rsidP="001D1C73" w:rsidRDefault="00D67B8C" w14:paraId="37F97A11" w14:textId="0858F94F">
            <w:pPr>
              <w:rPr>
                <w:rFonts w:asciiTheme="minorHAnsi" w:hAnsiTheme="minorHAnsi" w:cstheme="minorHAnsi"/>
                <w:b/>
                <w:bCs/>
                <w:sz w:val="22"/>
                <w:szCs w:val="22"/>
              </w:rPr>
            </w:pPr>
            <w:r w:rsidRPr="0047053E">
              <w:rPr>
                <w:rFonts w:asciiTheme="minorHAnsi" w:hAnsiTheme="minorHAnsi" w:cstheme="minorHAnsi"/>
                <w:b/>
                <w:bCs/>
                <w:sz w:val="22"/>
                <w:szCs w:val="22"/>
              </w:rPr>
              <w:t>Name</w:t>
            </w:r>
          </w:p>
        </w:tc>
        <w:tc>
          <w:tcPr>
            <w:tcW w:w="4680" w:type="dxa"/>
            <w:shd w:val="clear" w:color="auto" w:fill="D9D9D9" w:themeFill="background1" w:themeFillShade="D9"/>
          </w:tcPr>
          <w:p w:rsidRPr="0047053E" w:rsidR="00D67B8C" w:rsidP="001D1C73" w:rsidRDefault="00D67B8C" w14:paraId="78CCA9A0" w14:textId="1B26FF50">
            <w:pPr>
              <w:rPr>
                <w:rFonts w:asciiTheme="minorHAnsi" w:hAnsiTheme="minorHAnsi" w:cstheme="minorHAnsi"/>
                <w:b/>
                <w:bCs/>
                <w:sz w:val="22"/>
                <w:szCs w:val="22"/>
              </w:rPr>
            </w:pPr>
            <w:r w:rsidRPr="0047053E">
              <w:rPr>
                <w:rFonts w:asciiTheme="minorHAnsi" w:hAnsiTheme="minorHAnsi" w:cstheme="minorHAnsi"/>
                <w:b/>
                <w:bCs/>
                <w:sz w:val="22"/>
                <w:szCs w:val="22"/>
              </w:rPr>
              <w:t>Affiliation</w:t>
            </w:r>
          </w:p>
        </w:tc>
      </w:tr>
      <w:tr w:rsidR="00D67B8C" w:rsidTr="00FF5786" w14:paraId="63EB730C" w14:textId="77777777">
        <w:tc>
          <w:tcPr>
            <w:tcW w:w="2515" w:type="dxa"/>
          </w:tcPr>
          <w:p w:rsidRPr="0047053E" w:rsidR="00D67B8C" w:rsidP="001D1C73" w:rsidRDefault="00D67B8C" w14:paraId="7C989127" w14:textId="39F9D722">
            <w:pPr>
              <w:rPr>
                <w:rFonts w:asciiTheme="minorHAnsi" w:hAnsiTheme="minorHAnsi" w:cstheme="minorHAnsi"/>
                <w:sz w:val="22"/>
                <w:szCs w:val="22"/>
              </w:rPr>
            </w:pPr>
            <w:proofErr w:type="spellStart"/>
            <w:r w:rsidRPr="0047053E">
              <w:rPr>
                <w:rFonts w:asciiTheme="minorHAnsi" w:hAnsiTheme="minorHAnsi" w:cstheme="minorHAnsi"/>
                <w:sz w:val="22"/>
                <w:szCs w:val="22"/>
              </w:rPr>
              <w:t>Yulonda</w:t>
            </w:r>
            <w:proofErr w:type="spellEnd"/>
            <w:r w:rsidRPr="0047053E">
              <w:rPr>
                <w:rFonts w:asciiTheme="minorHAnsi" w:hAnsiTheme="minorHAnsi" w:cstheme="minorHAnsi"/>
                <w:sz w:val="22"/>
                <w:szCs w:val="22"/>
              </w:rPr>
              <w:t xml:space="preserve"> Griffin</w:t>
            </w:r>
          </w:p>
        </w:tc>
        <w:tc>
          <w:tcPr>
            <w:tcW w:w="4680" w:type="dxa"/>
          </w:tcPr>
          <w:p w:rsidRPr="0047053E" w:rsidR="00D67B8C" w:rsidP="001D1C73" w:rsidRDefault="00D67B8C" w14:paraId="04058C7E" w14:textId="321E940A">
            <w:pPr>
              <w:rPr>
                <w:rFonts w:asciiTheme="minorHAnsi" w:hAnsiTheme="minorHAnsi" w:cstheme="minorHAnsi"/>
                <w:sz w:val="22"/>
                <w:szCs w:val="22"/>
              </w:rPr>
            </w:pPr>
            <w:r w:rsidRPr="0047053E">
              <w:rPr>
                <w:rFonts w:asciiTheme="minorHAnsi" w:hAnsiTheme="minorHAnsi" w:cstheme="minorHAnsi"/>
                <w:sz w:val="22"/>
                <w:szCs w:val="22"/>
              </w:rPr>
              <w:t>Mecklenburg County Health and Human Services</w:t>
            </w:r>
          </w:p>
        </w:tc>
      </w:tr>
      <w:tr w:rsidR="00D67B8C" w:rsidTr="00FF5786" w14:paraId="6127F6B7" w14:textId="77777777">
        <w:tc>
          <w:tcPr>
            <w:tcW w:w="2515" w:type="dxa"/>
          </w:tcPr>
          <w:p w:rsidRPr="0047053E" w:rsidR="00D67B8C" w:rsidP="001D1C73" w:rsidRDefault="00D67B8C" w14:paraId="5AA972D1" w14:textId="36E59155">
            <w:pPr>
              <w:rPr>
                <w:rFonts w:asciiTheme="minorHAnsi" w:hAnsiTheme="minorHAnsi" w:cstheme="minorHAnsi"/>
                <w:sz w:val="22"/>
                <w:szCs w:val="22"/>
              </w:rPr>
            </w:pPr>
            <w:r w:rsidRPr="0047053E">
              <w:rPr>
                <w:rFonts w:asciiTheme="minorHAnsi" w:hAnsiTheme="minorHAnsi" w:cstheme="minorHAnsi"/>
                <w:sz w:val="22"/>
                <w:szCs w:val="22"/>
              </w:rPr>
              <w:t>Allison Holmes</w:t>
            </w:r>
          </w:p>
        </w:tc>
        <w:tc>
          <w:tcPr>
            <w:tcW w:w="4680" w:type="dxa"/>
          </w:tcPr>
          <w:p w:rsidRPr="0047053E" w:rsidR="00D67B8C" w:rsidP="001D1C73" w:rsidRDefault="00D67B8C" w14:paraId="31A6A580" w14:textId="0C4BC53B">
            <w:pPr>
              <w:rPr>
                <w:rFonts w:asciiTheme="minorHAnsi" w:hAnsiTheme="minorHAnsi" w:cstheme="minorHAnsi"/>
                <w:sz w:val="22"/>
                <w:szCs w:val="22"/>
              </w:rPr>
            </w:pPr>
            <w:r w:rsidRPr="0047053E">
              <w:rPr>
                <w:rFonts w:asciiTheme="minorHAnsi" w:hAnsiTheme="minorHAnsi" w:cstheme="minorHAnsi"/>
                <w:sz w:val="22"/>
                <w:szCs w:val="22"/>
              </w:rPr>
              <w:t>Annie E. Casey Foundation</w:t>
            </w:r>
          </w:p>
        </w:tc>
      </w:tr>
      <w:tr w:rsidR="00D67B8C" w:rsidTr="00FF5786" w14:paraId="1A071B35" w14:textId="77777777">
        <w:tc>
          <w:tcPr>
            <w:tcW w:w="2515" w:type="dxa"/>
          </w:tcPr>
          <w:p w:rsidRPr="0047053E" w:rsidR="00D67B8C" w:rsidP="001D1C73" w:rsidRDefault="00D67B8C" w14:paraId="5530B4CE" w14:textId="15D83E6E">
            <w:pPr>
              <w:rPr>
                <w:rFonts w:asciiTheme="minorHAnsi" w:hAnsiTheme="minorHAnsi" w:cstheme="minorHAnsi"/>
                <w:sz w:val="22"/>
                <w:szCs w:val="22"/>
              </w:rPr>
            </w:pPr>
            <w:r w:rsidRPr="0047053E">
              <w:rPr>
                <w:rFonts w:asciiTheme="minorHAnsi" w:hAnsiTheme="minorHAnsi" w:cstheme="minorHAnsi"/>
                <w:sz w:val="22"/>
                <w:szCs w:val="22"/>
              </w:rPr>
              <w:t>Joseph T. Jones</w:t>
            </w:r>
          </w:p>
        </w:tc>
        <w:tc>
          <w:tcPr>
            <w:tcW w:w="4680" w:type="dxa"/>
          </w:tcPr>
          <w:p w:rsidRPr="0047053E" w:rsidR="00D67B8C" w:rsidP="001D1C73" w:rsidRDefault="00D67B8C" w14:paraId="48951302" w14:textId="76D1F294">
            <w:pPr>
              <w:rPr>
                <w:rFonts w:asciiTheme="minorHAnsi" w:hAnsiTheme="minorHAnsi" w:cstheme="minorHAnsi"/>
                <w:sz w:val="22"/>
                <w:szCs w:val="22"/>
              </w:rPr>
            </w:pPr>
            <w:r w:rsidRPr="0047053E">
              <w:rPr>
                <w:rFonts w:asciiTheme="minorHAnsi" w:hAnsiTheme="minorHAnsi" w:cstheme="minorHAnsi"/>
                <w:sz w:val="22"/>
                <w:szCs w:val="22"/>
              </w:rPr>
              <w:t>Center for Urban Families</w:t>
            </w:r>
          </w:p>
        </w:tc>
      </w:tr>
      <w:tr w:rsidR="00D67B8C" w:rsidTr="00FF5786" w14:paraId="2DADCC56" w14:textId="77777777">
        <w:tc>
          <w:tcPr>
            <w:tcW w:w="2515" w:type="dxa"/>
          </w:tcPr>
          <w:p w:rsidRPr="0047053E" w:rsidR="00D67B8C" w:rsidP="001D1C73" w:rsidRDefault="00D67B8C" w14:paraId="1DAB6DD0" w14:textId="46D1722D">
            <w:pPr>
              <w:rPr>
                <w:rFonts w:asciiTheme="minorHAnsi" w:hAnsiTheme="minorHAnsi" w:cstheme="minorHAnsi"/>
                <w:sz w:val="22"/>
                <w:szCs w:val="22"/>
              </w:rPr>
            </w:pPr>
            <w:r w:rsidRPr="0047053E">
              <w:rPr>
                <w:rFonts w:asciiTheme="minorHAnsi" w:hAnsiTheme="minorHAnsi" w:cstheme="minorHAnsi"/>
                <w:sz w:val="22"/>
                <w:szCs w:val="22"/>
              </w:rPr>
              <w:t xml:space="preserve">Sherri </w:t>
            </w:r>
            <w:proofErr w:type="spellStart"/>
            <w:r w:rsidRPr="0047053E">
              <w:rPr>
                <w:rFonts w:asciiTheme="minorHAnsi" w:hAnsiTheme="minorHAnsi" w:cstheme="minorHAnsi"/>
                <w:sz w:val="22"/>
                <w:szCs w:val="22"/>
              </w:rPr>
              <w:t>Killins</w:t>
            </w:r>
            <w:proofErr w:type="spellEnd"/>
            <w:r w:rsidRPr="0047053E">
              <w:rPr>
                <w:rFonts w:asciiTheme="minorHAnsi" w:hAnsiTheme="minorHAnsi" w:cstheme="minorHAnsi"/>
                <w:sz w:val="22"/>
                <w:szCs w:val="22"/>
              </w:rPr>
              <w:t xml:space="preserve"> Stewart</w:t>
            </w:r>
          </w:p>
        </w:tc>
        <w:tc>
          <w:tcPr>
            <w:tcW w:w="4680" w:type="dxa"/>
          </w:tcPr>
          <w:p w:rsidRPr="0047053E" w:rsidR="00D67B8C" w:rsidP="001D1C73" w:rsidRDefault="00D67B8C" w14:paraId="54A088D2" w14:textId="26EE976C">
            <w:pPr>
              <w:rPr>
                <w:rFonts w:asciiTheme="minorHAnsi" w:hAnsiTheme="minorHAnsi" w:cstheme="minorHAnsi"/>
                <w:sz w:val="22"/>
                <w:szCs w:val="22"/>
              </w:rPr>
            </w:pPr>
            <w:r w:rsidRPr="0047053E">
              <w:rPr>
                <w:rFonts w:asciiTheme="minorHAnsi" w:hAnsiTheme="minorHAnsi" w:cstheme="minorHAnsi"/>
                <w:sz w:val="22"/>
                <w:szCs w:val="22"/>
              </w:rPr>
              <w:t>BUILD Initiative</w:t>
            </w:r>
          </w:p>
        </w:tc>
      </w:tr>
    </w:tbl>
    <w:p w:rsidRPr="009139B3" w:rsidR="00D67B8C" w:rsidP="001D1C73" w:rsidRDefault="00D67B8C" w14:paraId="35EB89CC" w14:textId="77777777">
      <w:pPr>
        <w:spacing w:after="0"/>
      </w:pPr>
    </w:p>
    <w:p w:rsidRPr="009139B3" w:rsidR="001D1C73" w:rsidP="001D1C73" w:rsidRDefault="001D1C73" w14:paraId="1184C5C2" w14:textId="77777777">
      <w:pPr>
        <w:spacing w:after="0"/>
      </w:pPr>
    </w:p>
    <w:p w:rsidRPr="009139B3" w:rsidR="001D1C73" w:rsidP="001D1C73" w:rsidRDefault="001D1C73" w14:paraId="2DA362B8" w14:textId="50FDDB70">
      <w:pPr>
        <w:spacing w:after="120" w:line="240" w:lineRule="auto"/>
      </w:pPr>
      <w:r w:rsidRPr="009139B3">
        <w:rPr>
          <w:b/>
        </w:rPr>
        <w:t>A9</w:t>
      </w:r>
      <w:r w:rsidRPr="009139B3">
        <w:t>.</w:t>
      </w:r>
      <w:r w:rsidRPr="009139B3">
        <w:tab/>
      </w:r>
      <w:r w:rsidRPr="009139B3" w:rsidR="003F6F43">
        <w:rPr>
          <w:b/>
        </w:rPr>
        <w:t>Tokens of Appreciation</w:t>
      </w:r>
    </w:p>
    <w:p w:rsidRPr="009139B3" w:rsidR="001D1C73" w:rsidP="001D1C73" w:rsidRDefault="001F40B2" w14:paraId="700EEC01" w14:textId="1D2D08F5">
      <w:pPr>
        <w:spacing w:after="0"/>
      </w:pPr>
      <w:r>
        <w:t>No tokens of appreciation are proposed for interview respondents</w:t>
      </w:r>
      <w:r w:rsidR="00550120">
        <w:t>, all of whom will be staff at the CCRCs</w:t>
      </w:r>
      <w:r>
        <w:t xml:space="preserve">. </w:t>
      </w:r>
      <w:r w:rsidR="000D5962">
        <w:t>Each focus group participant</w:t>
      </w:r>
      <w:r w:rsidR="00550120">
        <w:t xml:space="preserve">, who </w:t>
      </w:r>
      <w:r w:rsidR="00EB5387">
        <w:t>is a</w:t>
      </w:r>
      <w:r w:rsidR="00550120">
        <w:t xml:space="preserve"> client of the CCRC and </w:t>
      </w:r>
      <w:r w:rsidR="00EB5387">
        <w:t xml:space="preserve">an </w:t>
      </w:r>
      <w:r w:rsidR="00550120">
        <w:t>individual with low income,</w:t>
      </w:r>
      <w:r w:rsidR="000D5962">
        <w:t xml:space="preserve"> will receive a $</w:t>
      </w:r>
      <w:r w:rsidR="00F17B8C">
        <w:t xml:space="preserve">50 </w:t>
      </w:r>
      <w:r w:rsidR="000D5962">
        <w:t xml:space="preserve">gift card as a token of appreciation. </w:t>
      </w:r>
      <w:r w:rsidR="004E35AE">
        <w:t xml:space="preserve">The </w:t>
      </w:r>
      <w:r w:rsidR="000D0D33">
        <w:t xml:space="preserve">goal of the </w:t>
      </w:r>
      <w:r w:rsidR="004E35AE">
        <w:t xml:space="preserve">token of appreciation </w:t>
      </w:r>
      <w:r w:rsidR="000D0D33">
        <w:t>is to</w:t>
      </w:r>
      <w:r w:rsidRPr="004E35AE" w:rsidR="004E35AE">
        <w:t xml:space="preserve"> help with the recruitment of respondents</w:t>
      </w:r>
      <w:r w:rsidR="000D0D33">
        <w:t>. The team expects the token of appreciation</w:t>
      </w:r>
      <w:r w:rsidRPr="004E35AE" w:rsidR="004E35AE">
        <w:t xml:space="preserve"> to encourage </w:t>
      </w:r>
      <w:r w:rsidR="000D0D33">
        <w:t>clients</w:t>
      </w:r>
      <w:r w:rsidRPr="004E35AE" w:rsidR="000D0D33">
        <w:t xml:space="preserve"> </w:t>
      </w:r>
      <w:r w:rsidRPr="004E35AE" w:rsidR="004E35AE">
        <w:t>to participate in the focus groups</w:t>
      </w:r>
      <w:r w:rsidR="004E35AE">
        <w:t xml:space="preserve"> and </w:t>
      </w:r>
      <w:r w:rsidR="000D0D33">
        <w:t xml:space="preserve">to </w:t>
      </w:r>
      <w:r w:rsidRPr="009139B3" w:rsidR="004E35AE">
        <w:t>offset</w:t>
      </w:r>
      <w:r w:rsidR="000D0D33">
        <w:t xml:space="preserve"> any</w:t>
      </w:r>
      <w:r w:rsidRPr="009139B3" w:rsidR="004E35AE">
        <w:t xml:space="preserve"> incidental costs</w:t>
      </w:r>
      <w:r w:rsidR="000D0D33">
        <w:t xml:space="preserve"> incurred,</w:t>
      </w:r>
      <w:r w:rsidRPr="009139B3" w:rsidR="004E35AE">
        <w:t xml:space="preserve"> such as transportation or childcare costs needed for participatio</w:t>
      </w:r>
      <w:r w:rsidR="004E35AE">
        <w:t>n.</w:t>
      </w:r>
    </w:p>
    <w:p w:rsidR="001F40B2" w:rsidP="001D1C73" w:rsidRDefault="001F40B2" w14:paraId="3F3B2FF3" w14:textId="29A5C9F9">
      <w:pPr>
        <w:spacing w:after="0"/>
      </w:pPr>
    </w:p>
    <w:p w:rsidR="001B7DC0" w:rsidP="001D1C73" w:rsidRDefault="001B7DC0" w14:paraId="58420C74" w14:textId="64061099">
      <w:pPr>
        <w:spacing w:after="0"/>
      </w:pPr>
      <w:r w:rsidRPr="00655051">
        <w:t>Focus group data are not intended to be representative in a statistical sense, in that they will not be used to make statements about the prevalence of experiences in</w:t>
      </w:r>
      <w:r>
        <w:t xml:space="preserve"> population of individuals accessing centralized services</w:t>
      </w:r>
      <w:r w:rsidRPr="00655051">
        <w:t xml:space="preserve">. However, it is important to secure participants with a range of background characteristics to capture a variety of possible experiences.  All participants will be </w:t>
      </w:r>
      <w:r>
        <w:t xml:space="preserve">individuals who have accessed services at the centers </w:t>
      </w:r>
      <w:r w:rsidR="00AF7A4A">
        <w:t>that</w:t>
      </w:r>
      <w:r>
        <w:t xml:space="preserve"> provide services </w:t>
      </w:r>
      <w:r w:rsidR="00AF7A4A">
        <w:t>to</w:t>
      </w:r>
      <w:r>
        <w:t xml:space="preserve"> individuals with low-income</w:t>
      </w:r>
      <w:r w:rsidR="005D7B4E">
        <w:t>,</w:t>
      </w:r>
      <w:r w:rsidR="00AF7A4A">
        <w:t xml:space="preserve"> and therefore,</w:t>
      </w:r>
      <w:r w:rsidRPr="00655051">
        <w:t xml:space="preserve"> the target population is low income. Without offsetting the direct costs incurred by respondents for attending the focus groups, such as arranging child care or transportation, the research team increases the risk that only individuals able to overcome financial barriers to attend will participate in the study. Participants will receive a </w:t>
      </w:r>
      <w:r>
        <w:t>$50</w:t>
      </w:r>
      <w:r w:rsidRPr="00655051">
        <w:t xml:space="preserve"> gift card to account for incidental expenses such as transportation and/or child care that may otherwise prevent their participation.</w:t>
      </w:r>
    </w:p>
    <w:p w:rsidR="001B7DC0" w:rsidP="001D1C73" w:rsidRDefault="001B7DC0" w14:paraId="7210855C" w14:textId="77777777">
      <w:pPr>
        <w:spacing w:after="0"/>
      </w:pPr>
    </w:p>
    <w:p w:rsidR="007700E2" w:rsidP="001D1C73" w:rsidRDefault="007F6514" w14:paraId="39C7C554" w14:textId="0B1BC188">
      <w:pPr>
        <w:spacing w:after="0"/>
      </w:pPr>
      <w:r>
        <w:t>The amount proposed is based on research on tokens of appreciation and the study team’s experiences with other federal studies.</w:t>
      </w:r>
      <w:r w:rsidR="00B578D7">
        <w:t xml:space="preserve"> </w:t>
      </w:r>
      <w:r>
        <w:t xml:space="preserve">Research has shown </w:t>
      </w:r>
      <w:r w:rsidR="006C72BA">
        <w:t xml:space="preserve">that a token of appreciation can be an effective way to increase study participation among populations including </w:t>
      </w:r>
      <w:r w:rsidRPr="00763BA2" w:rsidR="006C72BA">
        <w:rPr>
          <w:color w:val="000000"/>
        </w:rPr>
        <w:t>individuals from low-income</w:t>
      </w:r>
      <w:r w:rsidRPr="00763BA2" w:rsidR="006C72BA">
        <w:rPr>
          <w:rStyle w:val="FootnoteReference"/>
          <w:color w:val="000000"/>
        </w:rPr>
        <w:footnoteReference w:id="3"/>
      </w:r>
      <w:r w:rsidRPr="00763BA2" w:rsidR="006C72BA">
        <w:rPr>
          <w:color w:val="000000"/>
        </w:rPr>
        <w:t xml:space="preserve"> or low-education </w:t>
      </w:r>
      <w:r w:rsidRPr="00763BA2" w:rsidR="006C72BA">
        <w:rPr>
          <w:color w:val="000000"/>
        </w:rPr>
        <w:lastRenderedPageBreak/>
        <w:t>households</w:t>
      </w:r>
      <w:r w:rsidRPr="00763BA2" w:rsidR="006C72BA">
        <w:rPr>
          <w:rStyle w:val="FootnoteReference"/>
          <w:color w:val="000000"/>
        </w:rPr>
        <w:footnoteReference w:id="4"/>
      </w:r>
      <w:r w:rsidRPr="00763BA2" w:rsidR="006C72BA">
        <w:rPr>
          <w:color w:val="000000"/>
        </w:rPr>
        <w:t xml:space="preserve">, </w:t>
      </w:r>
      <w:r w:rsidR="00F00AAF">
        <w:rPr>
          <w:color w:val="000000"/>
        </w:rPr>
        <w:t xml:space="preserve">which are demographics </w:t>
      </w:r>
      <w:r w:rsidR="00B578D7">
        <w:rPr>
          <w:color w:val="000000"/>
        </w:rPr>
        <w:t>of interest in the VOCS study.</w:t>
      </w:r>
      <w:r w:rsidR="00AA644C">
        <w:rPr>
          <w:color w:val="000000"/>
        </w:rPr>
        <w:t xml:space="preserve"> </w:t>
      </w:r>
      <w:r w:rsidR="00402F5A">
        <w:rPr>
          <w:color w:val="000000"/>
        </w:rPr>
        <w:t>A</w:t>
      </w:r>
      <w:r w:rsidR="00D53A41">
        <w:rPr>
          <w:color w:val="000000"/>
        </w:rPr>
        <w:t xml:space="preserve"> token of appreciation </w:t>
      </w:r>
      <w:r w:rsidR="00402F5A">
        <w:rPr>
          <w:color w:val="000000"/>
        </w:rPr>
        <w:t>of $50 is also supported by research. A</w:t>
      </w:r>
      <w:r w:rsidR="00AA644C">
        <w:rPr>
          <w:color w:val="000000"/>
        </w:rPr>
        <w:t xml:space="preserve"> study comparing how different </w:t>
      </w:r>
      <w:r w:rsidR="00D959AF">
        <w:rPr>
          <w:color w:val="000000"/>
        </w:rPr>
        <w:t>amounts</w:t>
      </w:r>
      <w:r w:rsidR="00AA644C">
        <w:rPr>
          <w:color w:val="000000"/>
        </w:rPr>
        <w:t xml:space="preserve"> affect willingness to participate in qualitative research found that participants offered a $50 </w:t>
      </w:r>
      <w:r w:rsidR="00D959AF">
        <w:rPr>
          <w:color w:val="000000"/>
        </w:rPr>
        <w:t>token of appreciation</w:t>
      </w:r>
      <w:r w:rsidR="00AA644C">
        <w:rPr>
          <w:color w:val="000000"/>
        </w:rPr>
        <w:t xml:space="preserve"> were more likely to participate in research than those who were offered smaller </w:t>
      </w:r>
      <w:r w:rsidR="00201831">
        <w:rPr>
          <w:color w:val="000000"/>
        </w:rPr>
        <w:t>tokens of appreciation</w:t>
      </w:r>
      <w:r w:rsidR="00AA644C">
        <w:rPr>
          <w:color w:val="000000"/>
        </w:rPr>
        <w:t>, but a rate higher than $50 had diminishing returns.</w:t>
      </w:r>
      <w:r w:rsidR="00402F5A">
        <w:rPr>
          <w:rStyle w:val="FootnoteReference"/>
          <w:color w:val="000000"/>
        </w:rPr>
        <w:footnoteReference w:id="5"/>
      </w:r>
      <w:r w:rsidR="00F00AAF">
        <w:rPr>
          <w:color w:val="000000"/>
        </w:rPr>
        <w:t xml:space="preserve"> </w:t>
      </w:r>
      <w:r w:rsidR="00402F5A">
        <w:t xml:space="preserve"> Given that previous studies have found tokens of appreciation of $50 effective in increasing willingness to participate in 90-minute qualitative research activities, we believe this is an appro</w:t>
      </w:r>
      <w:r w:rsidR="004F0859">
        <w:t>priate amount for the time and cost associated with participation in focus groups but is not so high as to appear coercive for potential participants.</w:t>
      </w:r>
    </w:p>
    <w:p w:rsidRPr="009139B3" w:rsidR="007700E2" w:rsidP="001D1C73" w:rsidRDefault="007700E2" w14:paraId="67BCC858" w14:textId="77777777">
      <w:pPr>
        <w:spacing w:after="0"/>
      </w:pPr>
    </w:p>
    <w:p w:rsidRPr="009139B3" w:rsidR="001D1C73" w:rsidP="001D1C73" w:rsidRDefault="001D1C73" w14:paraId="7735BE59"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00FD2A7D" w:rsidP="00FD2A7D" w:rsidRDefault="00550120" w14:paraId="6CF08153" w14:textId="57ABEA99">
      <w:pPr>
        <w:spacing w:after="0" w:line="240" w:lineRule="auto"/>
        <w:rPr>
          <w:rFonts w:cstheme="minorHAnsi"/>
        </w:rPr>
      </w:pPr>
      <w:r>
        <w:rPr>
          <w:rFonts w:cstheme="minorHAnsi"/>
        </w:rPr>
        <w:t xml:space="preserve">The research team </w:t>
      </w:r>
      <w:r w:rsidR="00FD2A7D">
        <w:rPr>
          <w:rFonts w:cstheme="minorHAnsi"/>
        </w:rPr>
        <w:t xml:space="preserve">will collect names </w:t>
      </w:r>
      <w:r w:rsidR="00A47945">
        <w:rPr>
          <w:rFonts w:cstheme="minorHAnsi"/>
        </w:rPr>
        <w:t xml:space="preserve">of program </w:t>
      </w:r>
      <w:r w:rsidR="00FD2A7D">
        <w:rPr>
          <w:rFonts w:cstheme="minorHAnsi"/>
        </w:rPr>
        <w:t>staff identified as potential interview respondents</w:t>
      </w:r>
      <w:r w:rsidR="00186038">
        <w:rPr>
          <w:rFonts w:cstheme="minorHAnsi"/>
        </w:rPr>
        <w:t xml:space="preserve"> to keep track of the notes and interviews for the data cleaning process</w:t>
      </w:r>
      <w:r w:rsidR="00FD2A7D">
        <w:rPr>
          <w:rFonts w:cstheme="minorHAnsi"/>
        </w:rPr>
        <w:t xml:space="preserve">. </w:t>
      </w:r>
      <w:r w:rsidR="00AD315E">
        <w:rPr>
          <w:rFonts w:cstheme="minorHAnsi"/>
        </w:rPr>
        <w:t>The team</w:t>
      </w:r>
      <w:r w:rsidR="00FD2A7D">
        <w:rPr>
          <w:rFonts w:cstheme="minorHAnsi"/>
        </w:rPr>
        <w:t xml:space="preserve"> will remove these names</w:t>
      </w:r>
      <w:r w:rsidR="00A47945">
        <w:rPr>
          <w:rFonts w:cstheme="minorHAnsi"/>
        </w:rPr>
        <w:t xml:space="preserve"> from interview notes</w:t>
      </w:r>
      <w:r w:rsidR="00FD2A7D">
        <w:rPr>
          <w:rFonts w:cstheme="minorHAnsi"/>
        </w:rPr>
        <w:t xml:space="preserve"> </w:t>
      </w:r>
      <w:r w:rsidR="00186038">
        <w:rPr>
          <w:rFonts w:cstheme="minorHAnsi"/>
        </w:rPr>
        <w:t xml:space="preserve">or transcripts </w:t>
      </w:r>
      <w:r w:rsidR="00FD2A7D">
        <w:rPr>
          <w:rFonts w:cstheme="minorHAnsi"/>
        </w:rPr>
        <w:t xml:space="preserve">after data cleaning and before transmitting data. </w:t>
      </w:r>
      <w:r w:rsidR="00AD315E">
        <w:rPr>
          <w:rFonts w:cstheme="minorHAnsi"/>
        </w:rPr>
        <w:t>The team</w:t>
      </w:r>
      <w:r w:rsidR="003457DD">
        <w:rPr>
          <w:rFonts w:cstheme="minorHAnsi"/>
        </w:rPr>
        <w:t xml:space="preserve"> will not collect full names during focus groups.</w:t>
      </w:r>
      <w:r w:rsidR="00FD2A7D">
        <w:rPr>
          <w:rFonts w:cstheme="minorHAnsi"/>
        </w:rPr>
        <w:t xml:space="preserve"> </w:t>
      </w:r>
    </w:p>
    <w:p w:rsidR="00FD2A7D" w:rsidP="00FD2A7D" w:rsidRDefault="00FD2A7D" w14:paraId="619E32AE" w14:textId="77777777">
      <w:pPr>
        <w:spacing w:after="0" w:line="240" w:lineRule="auto"/>
        <w:rPr>
          <w:rFonts w:cstheme="minorHAnsi"/>
        </w:rPr>
      </w:pPr>
    </w:p>
    <w:p w:rsidRPr="00FD2A7D" w:rsidR="00FD2A7D" w:rsidP="00CD2D0E" w:rsidRDefault="00FD2A7D" w14:paraId="23B5A95F" w14:textId="3F843901">
      <w:pPr>
        <w:spacing w:after="0" w:line="240" w:lineRule="auto"/>
        <w:rPr>
          <w:rFonts w:cstheme="minorHAnsi"/>
          <w:iCs/>
        </w:rPr>
      </w:pPr>
      <w:r>
        <w:rPr>
          <w:rFonts w:cstheme="minorHAnsi"/>
          <w:iCs/>
        </w:rPr>
        <w:t>While none of the interview questions solicit</w:t>
      </w:r>
      <w:r w:rsidR="00A47945">
        <w:rPr>
          <w:rFonts w:cstheme="minorHAnsi"/>
          <w:iCs/>
        </w:rPr>
        <w:t>s</w:t>
      </w:r>
      <w:r>
        <w:rPr>
          <w:rFonts w:cstheme="minorHAnsi"/>
          <w:iCs/>
        </w:rPr>
        <w:t xml:space="preserve"> personally identifiable </w:t>
      </w:r>
      <w:r w:rsidR="00A47945">
        <w:rPr>
          <w:rFonts w:cstheme="minorHAnsi"/>
          <w:iCs/>
        </w:rPr>
        <w:t>information</w:t>
      </w:r>
      <w:r w:rsidR="000D0D33">
        <w:rPr>
          <w:rFonts w:cstheme="minorHAnsi"/>
          <w:iCs/>
        </w:rPr>
        <w:t xml:space="preserve"> (PII)</w:t>
      </w:r>
      <w:r>
        <w:rPr>
          <w:rFonts w:cstheme="minorHAnsi"/>
          <w:iCs/>
        </w:rPr>
        <w:t xml:space="preserve">, participants’ responses, in combination, may be identifiable. For example, </w:t>
      </w:r>
      <w:r w:rsidR="00AD315E">
        <w:rPr>
          <w:rFonts w:cstheme="minorHAnsi"/>
          <w:iCs/>
        </w:rPr>
        <w:t>the research team</w:t>
      </w:r>
      <w:r>
        <w:rPr>
          <w:rFonts w:cstheme="minorHAnsi"/>
          <w:iCs/>
        </w:rPr>
        <w:t xml:space="preserve"> will ask respondents to identify their role and the number of years they have held that role. Taken together, this information could make responses identifiable. However, it should be noted that the interview protocols do not collect any </w:t>
      </w:r>
      <w:r w:rsidR="000D0D33">
        <w:rPr>
          <w:rFonts w:cstheme="minorHAnsi"/>
          <w:iCs/>
        </w:rPr>
        <w:t>PII</w:t>
      </w:r>
      <w:r>
        <w:rPr>
          <w:rFonts w:cstheme="minorHAnsi"/>
          <w:iCs/>
        </w:rPr>
        <w:t>.</w:t>
      </w:r>
    </w:p>
    <w:p w:rsidR="00FD2A7D" w:rsidP="001D1C73" w:rsidRDefault="00FD2A7D" w14:paraId="34DBBD0E" w14:textId="77777777">
      <w:pPr>
        <w:spacing w:after="0" w:line="240" w:lineRule="auto"/>
        <w:rPr>
          <w:rFonts w:cstheme="minorHAnsi"/>
        </w:rPr>
      </w:pPr>
    </w:p>
    <w:p w:rsidRPr="009139B3" w:rsidR="001D1C73" w:rsidP="001D1C73" w:rsidRDefault="001D1C73" w14:paraId="7688FE78" w14:textId="241FBCBD">
      <w:pPr>
        <w:spacing w:after="0" w:line="240" w:lineRule="auto"/>
        <w:rPr>
          <w:i/>
        </w:rPr>
      </w:pPr>
      <w:r w:rsidRPr="009139B3">
        <w:rPr>
          <w:rFonts w:cstheme="minorHAnsi"/>
        </w:rPr>
        <w:t>Information will not be maintained in a paper or electronic system from which data are actually or directly retrieved by an individual</w:t>
      </w:r>
      <w:r w:rsidR="00A47945">
        <w:rPr>
          <w:rFonts w:cstheme="minorHAnsi"/>
        </w:rPr>
        <w:t>’</w:t>
      </w:r>
      <w:r w:rsidRPr="009139B3">
        <w:rPr>
          <w:rFonts w:cstheme="minorHAnsi"/>
        </w:rPr>
        <w:t>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001D1C73" w:rsidP="001D1C73" w:rsidRDefault="001D1C73" w14:paraId="3B371F60" w14:textId="17F8FC79">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w:t>
      </w:r>
      <w:r w:rsidR="00A16D8B">
        <w:rPr>
          <w:rFonts w:cstheme="minorHAnsi"/>
        </w:rPr>
        <w:t>t</w:t>
      </w:r>
      <w:r w:rsidR="000C40A7">
        <w:rPr>
          <w:rFonts w:cstheme="minorHAnsi"/>
        </w:rPr>
        <w:t>he research team</w:t>
      </w:r>
      <w:r w:rsidR="00A16D8B">
        <w:rPr>
          <w:rFonts w:cstheme="minorHAnsi"/>
        </w:rPr>
        <w:t xml:space="preserve"> </w:t>
      </w:r>
      <w:r w:rsidRPr="009139B3">
        <w:rPr>
          <w:rFonts w:cstheme="minorHAnsi"/>
        </w:rPr>
        <w:t>will comply with all Federal and Departmental regulations for private information.</w:t>
      </w:r>
    </w:p>
    <w:p w:rsidR="005B6EB7" w:rsidP="001D1C73" w:rsidRDefault="005B6EB7" w14:paraId="2CBF6173" w14:textId="450A5610">
      <w:pPr>
        <w:spacing w:after="0" w:line="240" w:lineRule="auto"/>
        <w:rPr>
          <w:rFonts w:cstheme="minorHAnsi"/>
        </w:rPr>
      </w:pPr>
    </w:p>
    <w:p w:rsidRPr="009139B3" w:rsidR="005B6EB7" w:rsidP="001D1C73" w:rsidRDefault="005B6EB7" w14:paraId="3894831F" w14:textId="0CF1A049">
      <w:pPr>
        <w:spacing w:after="0" w:line="240" w:lineRule="auto"/>
        <w:rPr>
          <w:rFonts w:cstheme="minorHAnsi"/>
        </w:rPr>
      </w:pPr>
      <w:r>
        <w:rPr>
          <w:rFonts w:cstheme="minorHAnsi"/>
        </w:rPr>
        <w:t xml:space="preserve">The </w:t>
      </w:r>
      <w:r w:rsidR="009A41CD">
        <w:rPr>
          <w:rFonts w:cstheme="minorHAnsi"/>
        </w:rPr>
        <w:t xml:space="preserve">research </w:t>
      </w:r>
      <w:r>
        <w:rPr>
          <w:rFonts w:cstheme="minorHAnsi"/>
        </w:rPr>
        <w:t xml:space="preserve">team plans to audio-record interviews after receiving verbal </w:t>
      </w:r>
      <w:r w:rsidR="00470D47">
        <w:rPr>
          <w:rFonts w:cstheme="minorHAnsi"/>
        </w:rPr>
        <w:t>permission</w:t>
      </w:r>
      <w:r>
        <w:rPr>
          <w:rFonts w:cstheme="minorHAnsi"/>
        </w:rPr>
        <w:t xml:space="preserve"> from the respondent to do so. Respondents will be notified of the study’s plan to destroy the notes and recordings at the end of the study and </w:t>
      </w:r>
      <w:r w:rsidR="00470D47">
        <w:rPr>
          <w:rFonts w:cstheme="minorHAnsi"/>
        </w:rPr>
        <w:t xml:space="preserve">can ask the interviewer to pause or stop the recorder at any time during the interview. The consent script and information sheet </w:t>
      </w:r>
      <w:r w:rsidR="009A41CD">
        <w:rPr>
          <w:rFonts w:cstheme="minorHAnsi"/>
        </w:rPr>
        <w:t xml:space="preserve">are </w:t>
      </w:r>
      <w:r w:rsidR="00470D47">
        <w:rPr>
          <w:rFonts w:cstheme="minorHAnsi"/>
        </w:rPr>
        <w:t xml:space="preserve">included in </w:t>
      </w:r>
      <w:r w:rsidR="002B4457">
        <w:rPr>
          <w:rFonts w:cstheme="minorHAnsi"/>
        </w:rPr>
        <w:t>Appendices A-C</w:t>
      </w:r>
      <w:r w:rsidR="003B1A37">
        <w:rPr>
          <w:rFonts w:cstheme="minorHAnsi"/>
        </w:rPr>
        <w:t xml:space="preserve">. </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65D08D06">
      <w:pPr>
        <w:spacing w:after="60" w:line="240" w:lineRule="auto"/>
        <w:rPr>
          <w:rFonts w:cstheme="minorHAnsi"/>
          <w:i/>
        </w:rPr>
      </w:pPr>
      <w:r w:rsidRPr="009139B3">
        <w:rPr>
          <w:rFonts w:cstheme="minorHAnsi"/>
          <w:i/>
        </w:rPr>
        <w:lastRenderedPageBreak/>
        <w:t>Data Security and Monitoring</w:t>
      </w:r>
    </w:p>
    <w:p w:rsidRPr="009139B3" w:rsidR="001D1C73" w:rsidP="001D1C73" w:rsidRDefault="00A16D8B" w14:paraId="5E1F4C48" w14:textId="78ACBA79">
      <w:pPr>
        <w:spacing w:after="0" w:line="240" w:lineRule="auto"/>
        <w:rPr>
          <w:rFonts w:eastAsia="Times New Roman" w:cstheme="minorHAnsi"/>
        </w:rPr>
      </w:pPr>
      <w:r>
        <w:rPr>
          <w:rFonts w:eastAsia="Times New Roman" w:cstheme="minorHAnsi"/>
        </w:rPr>
        <w:t>The research team</w:t>
      </w:r>
      <w:r w:rsidRPr="009139B3" w:rsidR="001D1C73">
        <w:rPr>
          <w:rFonts w:eastAsia="Times New Roman" w:cstheme="minorHAnsi"/>
        </w:rPr>
        <w:t xml:space="preserve"> </w:t>
      </w:r>
      <w:r w:rsidR="00CB256F">
        <w:rPr>
          <w:rFonts w:eastAsia="Times New Roman" w:cstheme="minorHAnsi"/>
        </w:rPr>
        <w:t>will</w:t>
      </w:r>
      <w:r w:rsidRPr="009139B3" w:rsidR="001D1C73">
        <w:rPr>
          <w:rFonts w:eastAsia="Times New Roman" w:cstheme="minorHAnsi"/>
        </w:rPr>
        <w:t xml:space="preserve"> protect respondent privacy to the extent permitted by law and will comply with all Federal and Departmental regulations for private information. The </w:t>
      </w:r>
      <w:r>
        <w:rPr>
          <w:rFonts w:eastAsia="Times New Roman" w:cstheme="minorHAnsi"/>
        </w:rPr>
        <w:t>research team</w:t>
      </w:r>
      <w:r w:rsidRPr="009139B3">
        <w:rPr>
          <w:rFonts w:eastAsia="Times New Roman" w:cstheme="minorHAnsi"/>
        </w:rPr>
        <w:t xml:space="preserve"> </w:t>
      </w:r>
      <w:r w:rsidRPr="009139B3" w:rsidR="001D1C73">
        <w:rPr>
          <w:rFonts w:eastAsia="Times New Roman" w:cstheme="minorHAnsi"/>
        </w:rPr>
        <w:t xml:space="preserve">has developed a Data Safety and Monitoring Plan that assesses all protections of respondents’ PII. The </w:t>
      </w:r>
      <w:r>
        <w:rPr>
          <w:rFonts w:eastAsia="Times New Roman" w:cstheme="minorHAnsi"/>
        </w:rPr>
        <w:t xml:space="preserve">research team </w:t>
      </w:r>
      <w:r w:rsidRPr="009139B3" w:rsidR="001D1C73">
        <w:rPr>
          <w:rFonts w:eastAsia="Times New Roman" w:cstheme="minorHAnsi"/>
        </w:rPr>
        <w:t xml:space="preserve">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9139B3" w:rsidR="001D1C73" w:rsidP="001D1C73" w:rsidRDefault="001D1C73" w14:paraId="39D379A1" w14:textId="7A1BB9C7">
      <w:pPr>
        <w:spacing w:after="0" w:line="240" w:lineRule="auto"/>
        <w:rPr>
          <w:rFonts w:cstheme="minorHAnsi"/>
        </w:rPr>
      </w:pPr>
      <w:r w:rsidRPr="009139B3">
        <w:rPr>
          <w:rFonts w:eastAsia="Times New Roman" w:cstheme="minorHAnsi"/>
        </w:rPr>
        <w:t xml:space="preserve">As specified in the contract, </w:t>
      </w:r>
      <w:r w:rsidR="00A16D8B">
        <w:rPr>
          <w:rFonts w:eastAsia="Times New Roman" w:cstheme="minorHAnsi"/>
        </w:rPr>
        <w:t>the research team will</w:t>
      </w:r>
      <w:r w:rsidRPr="009139B3" w:rsidR="00A16D8B">
        <w:rPr>
          <w:rFonts w:eastAsia="Times New Roman" w:cstheme="minorHAnsi"/>
        </w:rPr>
        <w:t xml:space="preserve"> </w:t>
      </w:r>
      <w:r w:rsidRPr="009139B3">
        <w:rPr>
          <w:rFonts w:eastAsia="Times New Roman" w:cstheme="minorHAnsi"/>
        </w:rPr>
        <w:t xml:space="preserve">use Federal Information Processing Standard compliant encryption (Security Requirements for Cryptographic Module, as amended) to protect all instances of sensitive information during storage and transmission. The </w:t>
      </w:r>
      <w:r w:rsidR="00A16D8B">
        <w:rPr>
          <w:rFonts w:eastAsia="Times New Roman" w:cstheme="minorHAnsi"/>
        </w:rPr>
        <w:t>research team</w:t>
      </w:r>
      <w:r w:rsidRPr="009139B3" w:rsidR="00A16D8B">
        <w:rPr>
          <w:rFonts w:eastAsia="Times New Roman" w:cstheme="minorHAnsi"/>
        </w:rPr>
        <w:t xml:space="preserve"> </w:t>
      </w:r>
      <w:r w:rsidR="00A16D8B">
        <w:rPr>
          <w:rFonts w:eastAsia="Times New Roman" w:cstheme="minorHAnsi"/>
        </w:rPr>
        <w:t xml:space="preserve">will </w:t>
      </w:r>
      <w:r w:rsidRPr="009139B3">
        <w:rPr>
          <w:rFonts w:eastAsia="Times New Roman" w:cstheme="minorHAnsi"/>
        </w:rPr>
        <w:t xml:space="preserve">securely generate and manage encryption keys to prevent unauthorized decryption of information, in accordance with the Federal Processing Standard.  The </w:t>
      </w:r>
      <w:r w:rsidR="00A16D8B">
        <w:rPr>
          <w:rFonts w:eastAsia="Times New Roman" w:cstheme="minorHAnsi"/>
        </w:rPr>
        <w:t>research team</w:t>
      </w:r>
      <w:r w:rsidRPr="009139B3" w:rsidR="00A16D8B">
        <w:rPr>
          <w:rFonts w:eastAsia="Times New Roman" w:cstheme="minorHAnsi"/>
        </w:rPr>
        <w:t xml:space="preserve"> </w:t>
      </w:r>
      <w:r w:rsidR="00A16D8B">
        <w:rPr>
          <w:rFonts w:eastAsia="Times New Roman" w:cstheme="minorHAnsi"/>
        </w:rPr>
        <w:t>will</w:t>
      </w:r>
      <w:r w:rsidRPr="009139B3">
        <w:rPr>
          <w:rFonts w:eastAsia="Times New Roman" w:cstheme="minorHAnsi"/>
        </w:rPr>
        <w:t xml:space="preserve">: ensure that this standard is incorporated into the </w:t>
      </w:r>
      <w:r w:rsidR="00A16D8B">
        <w:rPr>
          <w:rFonts w:eastAsia="Times New Roman" w:cstheme="minorHAnsi"/>
        </w:rPr>
        <w:t>research team’s</w:t>
      </w:r>
      <w:r w:rsidRPr="009139B3" w:rsidR="00A16D8B">
        <w:rPr>
          <w:rFonts w:eastAsia="Times New Roman" w:cstheme="minorHAnsi"/>
        </w:rPr>
        <w:t xml:space="preserve"> </w:t>
      </w:r>
      <w:r w:rsidRPr="009139B3">
        <w:rPr>
          <w:rFonts w:eastAsia="Times New Roman" w:cstheme="minorHAnsi"/>
        </w:rPr>
        <w:t xml:space="preserve">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00A16D8B">
        <w:rPr>
          <w:rFonts w:eastAsia="Times New Roman" w:cstheme="minorHAnsi"/>
        </w:rPr>
        <w:t>research team</w:t>
      </w:r>
      <w:r w:rsidRPr="009139B3" w:rsidR="00A16D8B">
        <w:rPr>
          <w:rFonts w:eastAsia="Times New Roman" w:cstheme="minorHAnsi"/>
        </w:rPr>
        <w:t xml:space="preserve"> </w:t>
      </w:r>
      <w:r w:rsidRPr="009139B3">
        <w:rPr>
          <w:rFonts w:eastAsia="Times New Roman" w:cstheme="minorHAnsi"/>
        </w:rPr>
        <w:t xml:space="preserve">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6"/>
      </w:r>
    </w:p>
    <w:p w:rsidRPr="009139B3" w:rsidR="001D1C73" w:rsidP="001D1C73" w:rsidRDefault="00AD315E" w14:paraId="4BEC5A23" w14:textId="622E869A">
      <w:pPr>
        <w:spacing w:after="0" w:line="240" w:lineRule="auto"/>
        <w:rPr>
          <w:rFonts w:cstheme="minorHAnsi"/>
        </w:rPr>
      </w:pPr>
      <w:r>
        <w:rPr>
          <w:rFonts w:cstheme="minorHAnsi"/>
        </w:rPr>
        <w:t xml:space="preserve">The research team </w:t>
      </w:r>
      <w:r w:rsidR="00A96668">
        <w:rPr>
          <w:rFonts w:cstheme="minorHAnsi"/>
        </w:rPr>
        <w:t xml:space="preserve">may </w:t>
      </w:r>
      <w:r w:rsidR="00EA2075">
        <w:rPr>
          <w:rFonts w:cstheme="minorHAnsi"/>
        </w:rPr>
        <w:t>collect sensitive information</w:t>
      </w:r>
      <w:r w:rsidR="00A96668">
        <w:rPr>
          <w:rFonts w:cstheme="minorHAnsi"/>
        </w:rPr>
        <w:t xml:space="preserve"> related to receipt of economic assistance or immigration/citizenship status. While uncovering this type of information is not the focus of our study, it may be relevant to the types of services that focus group respondents (clients of CCRCs) receive from the centers</w:t>
      </w:r>
      <w:r w:rsidR="00EA2075">
        <w:rPr>
          <w:rFonts w:cstheme="minorHAnsi"/>
        </w:rPr>
        <w:t xml:space="preserve">. </w:t>
      </w:r>
      <w:r w:rsidR="00A96668">
        <w:rPr>
          <w:rFonts w:cstheme="minorHAnsi"/>
        </w:rPr>
        <w:t xml:space="preserve">This is important for informing how specific types of services or programs, including public assistance programs, can be integrated with other services and provided in a single location. It is also possible that respondents may speak critically of partners, services, or programs during conversations. </w:t>
      </w:r>
      <w:r w:rsidR="003F6F43">
        <w:rPr>
          <w:rFonts w:cstheme="minorHAnsi"/>
        </w:rPr>
        <w:t xml:space="preserve">Questions about their experiences are </w:t>
      </w:r>
      <w:r w:rsidR="00A96668">
        <w:rPr>
          <w:rFonts w:cstheme="minorHAnsi"/>
        </w:rPr>
        <w:t xml:space="preserve">necessary to learn about when informing a broader understanding of how different types of models and partnerships contribute to centralized services. </w:t>
      </w:r>
      <w:r w:rsidR="002C654A">
        <w:rPr>
          <w:rFonts w:cstheme="minorHAnsi"/>
        </w:rPr>
        <w:t xml:space="preserve">The IRB </w:t>
      </w:r>
      <w:r w:rsidR="00EB5387">
        <w:rPr>
          <w:rFonts w:cstheme="minorHAnsi"/>
        </w:rPr>
        <w:t xml:space="preserve">review </w:t>
      </w:r>
      <w:r w:rsidR="002C654A">
        <w:rPr>
          <w:rFonts w:cstheme="minorHAnsi"/>
        </w:rPr>
        <w:t>is in process and will be finalized by the time data collection begins.</w:t>
      </w:r>
      <w:r w:rsidR="00A96668">
        <w:rPr>
          <w:rFonts w:cstheme="minorHAnsi"/>
        </w:rPr>
        <w:t xml:space="preserve"> </w:t>
      </w:r>
    </w:p>
    <w:p w:rsidR="001D1C73" w:rsidP="001D1C73" w:rsidRDefault="001D1C73" w14:paraId="454AD3D8" w14:textId="7EEBA012">
      <w:pPr>
        <w:spacing w:after="0" w:line="240" w:lineRule="auto"/>
        <w:rPr>
          <w:rFonts w:cstheme="minorHAnsi"/>
        </w:rPr>
      </w:pPr>
    </w:p>
    <w:p w:rsidRPr="009139B3" w:rsidR="000D0D33" w:rsidP="001D1C73" w:rsidRDefault="000D0D33" w14:paraId="3068C0C3"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001D1C73" w:rsidP="001D1C73" w:rsidRDefault="002D1653" w14:paraId="52E2F984" w14:textId="3FB8EAAD">
      <w:pPr>
        <w:spacing w:after="0" w:line="240" w:lineRule="auto"/>
      </w:pPr>
      <w:r>
        <w:t xml:space="preserve">The research team </w:t>
      </w:r>
      <w:r w:rsidR="008C28DD">
        <w:t xml:space="preserve">will recruit staff from three </w:t>
      </w:r>
      <w:r w:rsidR="00AD315E">
        <w:t>CCRCs</w:t>
      </w:r>
      <w:r w:rsidR="008C28DD">
        <w:t xml:space="preserve"> to participate in </w:t>
      </w:r>
      <w:r w:rsidR="008D110C">
        <w:t>individual</w:t>
      </w:r>
      <w:r w:rsidR="008C28DD">
        <w:t xml:space="preserve"> and group interviews and clients to participate in focus groups. </w:t>
      </w:r>
      <w:r>
        <w:t>The</w:t>
      </w:r>
      <w:r w:rsidR="00EB5387">
        <w:t xml:space="preserve"> research team</w:t>
      </w:r>
      <w:r>
        <w:t xml:space="preserve"> </w:t>
      </w:r>
      <w:r w:rsidR="008C28DD">
        <w:t>plan</w:t>
      </w:r>
      <w:r w:rsidR="00EB5387">
        <w:t>s</w:t>
      </w:r>
      <w:r w:rsidR="008C28DD">
        <w:t xml:space="preserve"> to interview up to </w:t>
      </w:r>
      <w:r w:rsidR="00AC7C30">
        <w:t>28</w:t>
      </w:r>
      <w:r w:rsidR="008C28DD">
        <w:t xml:space="preserve"> staff and </w:t>
      </w:r>
      <w:r w:rsidR="008C28DD">
        <w:lastRenderedPageBreak/>
        <w:t xml:space="preserve">conduct focus groups with up to 10 </w:t>
      </w:r>
      <w:r w:rsidR="00BB3963">
        <w:t xml:space="preserve">clients from each site. </w:t>
      </w:r>
      <w:r>
        <w:t>The</w:t>
      </w:r>
      <w:r w:rsidR="00EB5387">
        <w:t xml:space="preserve"> team</w:t>
      </w:r>
      <w:r>
        <w:t xml:space="preserve"> </w:t>
      </w:r>
      <w:r w:rsidR="00BB3963">
        <w:t>will also conduct observations of program services.</w:t>
      </w:r>
    </w:p>
    <w:p w:rsidR="008C28DD" w:rsidP="001D1C73" w:rsidRDefault="008C28DD" w14:paraId="4605E33F" w14:textId="6AEBB0B7">
      <w:pPr>
        <w:spacing w:after="0" w:line="240" w:lineRule="auto"/>
      </w:pPr>
    </w:p>
    <w:p w:rsidR="008C28DD" w:rsidP="001D1C73" w:rsidRDefault="008C28DD" w14:paraId="6EE74B99" w14:textId="1EFBE8BC">
      <w:pPr>
        <w:spacing w:after="0" w:line="240" w:lineRule="auto"/>
      </w:pPr>
      <w:r>
        <w:t xml:space="preserve">These one-time site visits will take place between January and March of 2022. </w:t>
      </w:r>
      <w:r w:rsidR="00BB3963">
        <w:t xml:space="preserve">We estimate interviews will average 75 minutes (for leadership/admin and frontline staff) and </w:t>
      </w:r>
      <w:r w:rsidR="00CB1175">
        <w:t>60</w:t>
      </w:r>
      <w:r w:rsidR="00BB3963">
        <w:t xml:space="preserve"> minutes (for finance and IT/data staff), and focus groups will last up to 90 minutes.</w:t>
      </w:r>
      <w:r w:rsidR="000D0D33">
        <w:t xml:space="preserve"> The planned observations will not impose any burden on individuals.</w:t>
      </w:r>
    </w:p>
    <w:p w:rsidR="00842787" w:rsidP="001D1C73" w:rsidRDefault="00842787" w14:paraId="594E9A84" w14:textId="378A92E5">
      <w:pPr>
        <w:spacing w:after="0" w:line="240" w:lineRule="auto"/>
      </w:pPr>
    </w:p>
    <w:p w:rsidRPr="009139B3" w:rsidR="00915B41" w:rsidP="001D1C73" w:rsidRDefault="00842787" w14:paraId="2813691F" w14:textId="40B69648">
      <w:pPr>
        <w:spacing w:after="0" w:line="240" w:lineRule="auto"/>
      </w:pPr>
      <w:r>
        <w:t xml:space="preserve">We estimate respondents’ hourly wage </w:t>
      </w:r>
      <w:r w:rsidR="00BF7CD0">
        <w:t xml:space="preserve">rates </w:t>
      </w:r>
      <w:r>
        <w:t>by category</w:t>
      </w:r>
      <w:r w:rsidR="00BF7CD0">
        <w:t xml:space="preserve"> using the Bureau of Labor Statistics’ Occupation Employment Survey, 2020.</w:t>
      </w:r>
      <w:r>
        <w:t xml:space="preserve"> </w:t>
      </w:r>
      <w:r w:rsidR="00BF7CD0">
        <w:t xml:space="preserve">We then include 40 percent of the rate on top of the base average hourly rate to account for benefits, for all respondents except clients </w:t>
      </w:r>
      <w:r>
        <w:t xml:space="preserve">(see below). We estimate the total burden to be </w:t>
      </w:r>
      <w:r w:rsidR="003A2C7F">
        <w:rPr>
          <w:rFonts w:cstheme="minorHAnsi"/>
          <w:bCs/>
        </w:rPr>
        <w:t>$4,229.73</w:t>
      </w:r>
      <w:r>
        <w:rPr>
          <w:rFonts w:cstheme="minorHAnsi"/>
          <w:bCs/>
        </w:rPr>
        <w:t xml:space="preserve">, or </w:t>
      </w:r>
      <w:r w:rsidR="003A2C7F">
        <w:rPr>
          <w:rFonts w:cstheme="minorHAnsi"/>
          <w:bCs/>
        </w:rPr>
        <w:t>146</w:t>
      </w:r>
      <w:r>
        <w:rPr>
          <w:rFonts w:cstheme="minorHAnsi"/>
          <w:bCs/>
        </w:rPr>
        <w:t xml:space="preserve"> hours.</w:t>
      </w:r>
    </w:p>
    <w:p w:rsidRPr="009139B3" w:rsidR="001D1C73" w:rsidP="001D1C73" w:rsidRDefault="001D1C73" w14:paraId="3C662ADD" w14:textId="77777777">
      <w:pPr>
        <w:spacing w:after="0" w:line="240" w:lineRule="auto"/>
      </w:pPr>
    </w:p>
    <w:p w:rsidRPr="009139B3" w:rsidR="001D1C73" w:rsidP="001D1C73" w:rsidRDefault="001D1C73" w14:paraId="075946AA" w14:textId="57E5CC93">
      <w:pPr>
        <w:spacing w:after="0" w:line="240" w:lineRule="auto"/>
      </w:pPr>
      <w:r w:rsidRPr="009139B3">
        <w:rPr>
          <w:i/>
        </w:rPr>
        <w:t>Estimated Annualized Cost to Respondents</w:t>
      </w:r>
    </w:p>
    <w:p w:rsidRPr="009139B3" w:rsidR="001D1C73" w:rsidP="001D1C73" w:rsidRDefault="001D1C73" w14:paraId="06F8970B" w14:textId="77777777">
      <w:pPr>
        <w:spacing w:after="0" w:line="240" w:lineRule="auto"/>
      </w:pPr>
    </w:p>
    <w:tbl>
      <w:tblPr>
        <w:tblStyle w:val="TableGrid"/>
        <w:tblW w:w="9427" w:type="dxa"/>
        <w:tblInd w:w="108" w:type="dxa"/>
        <w:tblLayout w:type="fixed"/>
        <w:tblLook w:val="01E0" w:firstRow="1" w:lastRow="1" w:firstColumn="1" w:lastColumn="1" w:noHBand="0" w:noVBand="0"/>
      </w:tblPr>
      <w:tblGrid>
        <w:gridCol w:w="1957"/>
        <w:gridCol w:w="1350"/>
        <w:gridCol w:w="1440"/>
        <w:gridCol w:w="1170"/>
        <w:gridCol w:w="1350"/>
        <w:gridCol w:w="900"/>
        <w:gridCol w:w="1260"/>
      </w:tblGrid>
      <w:tr w:rsidRPr="009139B3" w:rsidR="00655AC1" w:rsidTr="00CA0D05" w14:paraId="4E2D066D" w14:textId="77777777">
        <w:tc>
          <w:tcPr>
            <w:tcW w:w="1957" w:type="dxa"/>
            <w:tcBorders>
              <w:top w:val="single" w:color="auto" w:sz="4" w:space="0"/>
              <w:left w:val="single" w:color="auto" w:sz="4" w:space="0"/>
              <w:bottom w:val="single" w:color="auto" w:sz="4" w:space="0"/>
              <w:right w:val="single" w:color="auto" w:sz="4" w:space="0"/>
            </w:tcBorders>
            <w:hideMark/>
          </w:tcPr>
          <w:p w:rsidRPr="009139B3" w:rsidR="00655AC1" w:rsidP="00CF12A9" w:rsidRDefault="00655AC1"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655AC1" w:rsidP="00CF12A9" w:rsidRDefault="00AE7288" w14:paraId="37FE911B" w14:textId="55669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9139B3" w:rsidR="00655AC1" w:rsidP="00CF12A9" w:rsidRDefault="00655AC1"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hideMark/>
          </w:tcPr>
          <w:p w:rsidRPr="009139B3" w:rsidR="00655AC1" w:rsidP="00CF12A9" w:rsidRDefault="00655AC1"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1350" w:type="dxa"/>
            <w:tcBorders>
              <w:top w:val="single" w:color="auto" w:sz="4" w:space="0"/>
              <w:left w:val="single" w:color="auto" w:sz="4" w:space="0"/>
              <w:bottom w:val="single" w:color="auto" w:sz="4" w:space="0"/>
              <w:right w:val="single" w:color="auto" w:sz="4" w:space="0"/>
            </w:tcBorders>
          </w:tcPr>
          <w:p w:rsidRPr="009139B3" w:rsidR="00655AC1" w:rsidP="00CF12A9" w:rsidRDefault="00655AC1" w14:paraId="4BED18CA" w14:textId="676C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w:t>
            </w:r>
            <w:r>
              <w:rPr>
                <w:rFonts w:asciiTheme="minorHAnsi" w:hAnsiTheme="minorHAnsi" w:cstheme="minorHAnsi"/>
                <w:bCs/>
              </w:rPr>
              <w:t>/Annual</w:t>
            </w:r>
            <w:r w:rsidRPr="009139B3">
              <w:rPr>
                <w:rFonts w:asciiTheme="minorHAnsi" w:hAnsiTheme="minorHAnsi" w:cstheme="minorHAnsi"/>
                <w:bCs/>
              </w:rPr>
              <w:t xml:space="preserve">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655AC1" w:rsidP="00CF12A9" w:rsidRDefault="00655AC1"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655AC1" w:rsidP="00CF12A9" w:rsidRDefault="00655AC1"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655AC1" w:rsidTr="00CA0D05" w14:paraId="5BC27676" w14:textId="77777777">
        <w:tc>
          <w:tcPr>
            <w:tcW w:w="1957" w:type="dxa"/>
            <w:tcBorders>
              <w:top w:val="single" w:color="auto" w:sz="4" w:space="0"/>
              <w:left w:val="single" w:color="auto" w:sz="4" w:space="0"/>
              <w:bottom w:val="single" w:color="auto" w:sz="4" w:space="0"/>
              <w:right w:val="single" w:color="auto" w:sz="4" w:space="0"/>
            </w:tcBorders>
          </w:tcPr>
          <w:p w:rsidRPr="009139B3" w:rsidR="00655AC1" w:rsidP="00CF06FC" w:rsidRDefault="00655AC1" w14:paraId="305C520D" w14:textId="1511B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Leadership/ Admin</w:t>
            </w:r>
            <w:r w:rsidR="000D0D33">
              <w:rPr>
                <w:rFonts w:asciiTheme="minorHAnsi" w:hAnsiTheme="minorHAnsi" w:cstheme="minorHAnsi"/>
                <w:bCs/>
              </w:rPr>
              <w:t xml:space="preserve">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655AC1" w:rsidP="00CF06FC" w:rsidRDefault="00263414" w14:paraId="60C47704" w14:textId="0F3B3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1440" w:type="dxa"/>
            <w:tcBorders>
              <w:top w:val="single" w:color="auto" w:sz="4" w:space="0"/>
              <w:left w:val="single" w:color="auto" w:sz="4" w:space="0"/>
              <w:bottom w:val="single" w:color="auto" w:sz="4" w:space="0"/>
              <w:right w:val="single" w:color="auto" w:sz="4" w:space="0"/>
            </w:tcBorders>
            <w:vAlign w:val="center"/>
          </w:tcPr>
          <w:p w:rsidRPr="009139B3" w:rsidR="00655AC1" w:rsidP="00CF06FC" w:rsidRDefault="00655AC1" w14:paraId="6C16BA6E" w14:textId="1A13C2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9139B3" w:rsidR="00655AC1" w:rsidP="00CF06FC" w:rsidRDefault="00655AC1" w14:paraId="3EFAEFF8" w14:textId="29D7C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1.25</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655AC1" w:rsidP="00CF06FC" w:rsidRDefault="00263414" w14:paraId="3BD4C70C" w14:textId="57AA07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EB5387">
              <w:rPr>
                <w:rFonts w:asciiTheme="minorHAnsi" w:hAnsiTheme="minorHAnsi" w:cstheme="minorHAnsi"/>
                <w:bCs/>
              </w:rPr>
              <w:t>3</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655AC1" w:rsidP="00CF06FC" w:rsidRDefault="00655AC1" w14:paraId="27A110B5" w14:textId="225D5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sidR="00BF7CD0">
              <w:rPr>
                <w:rFonts w:asciiTheme="minorHAnsi" w:hAnsiTheme="minorHAnsi" w:cstheme="minorHAnsi"/>
                <w:bCs/>
              </w:rPr>
              <w:t>50</w:t>
            </w:r>
            <w:r>
              <w:rPr>
                <w:rFonts w:asciiTheme="minorHAnsi" w:hAnsiTheme="minorHAnsi" w:cstheme="minorHAnsi"/>
                <w:bCs/>
              </w:rPr>
              <w:t>.</w:t>
            </w:r>
            <w:r w:rsidR="00BF7CD0">
              <w:rPr>
                <w:rFonts w:asciiTheme="minorHAnsi" w:hAnsiTheme="minorHAnsi" w:cstheme="minorHAnsi"/>
                <w:bCs/>
              </w:rPr>
              <w:t>58</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655AC1" w:rsidP="00222F34" w:rsidRDefault="00655AC1" w14:paraId="690ABB5B" w14:textId="37B0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1,</w:t>
            </w:r>
            <w:r w:rsidR="00BD707E">
              <w:rPr>
                <w:rFonts w:asciiTheme="minorHAnsi" w:hAnsiTheme="minorHAnsi" w:cstheme="minorHAnsi"/>
                <w:bCs/>
              </w:rPr>
              <w:t>163</w:t>
            </w:r>
            <w:r>
              <w:rPr>
                <w:rFonts w:asciiTheme="minorHAnsi" w:hAnsiTheme="minorHAnsi" w:cstheme="minorHAnsi"/>
                <w:bCs/>
              </w:rPr>
              <w:t>.</w:t>
            </w:r>
            <w:r w:rsidR="00BD707E">
              <w:rPr>
                <w:rFonts w:asciiTheme="minorHAnsi" w:hAnsiTheme="minorHAnsi" w:cstheme="minorHAnsi"/>
                <w:bCs/>
              </w:rPr>
              <w:t>3</w:t>
            </w:r>
            <w:r w:rsidR="003A2C7F">
              <w:rPr>
                <w:rFonts w:asciiTheme="minorHAnsi" w:hAnsiTheme="minorHAnsi" w:cstheme="minorHAnsi"/>
                <w:bCs/>
              </w:rPr>
              <w:t>4</w:t>
            </w:r>
          </w:p>
        </w:tc>
      </w:tr>
      <w:tr w:rsidRPr="009139B3" w:rsidR="00655AC1" w:rsidTr="00CA0D05" w14:paraId="766AB45D" w14:textId="77777777">
        <w:tc>
          <w:tcPr>
            <w:tcW w:w="1957" w:type="dxa"/>
            <w:tcBorders>
              <w:top w:val="single" w:color="auto" w:sz="4" w:space="0"/>
              <w:left w:val="single" w:color="auto" w:sz="4" w:space="0"/>
              <w:bottom w:val="single" w:color="auto" w:sz="4" w:space="0"/>
              <w:right w:val="single" w:color="auto" w:sz="4" w:space="0"/>
            </w:tcBorders>
          </w:tcPr>
          <w:p w:rsidRPr="00CF06FC" w:rsidR="00655AC1" w:rsidP="00CF06FC" w:rsidRDefault="00655AC1" w14:paraId="39CC8598" w14:textId="69F13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F06FC">
              <w:rPr>
                <w:rFonts w:asciiTheme="minorHAnsi" w:hAnsiTheme="minorHAnsi" w:cstheme="minorHAnsi"/>
                <w:bCs/>
              </w:rPr>
              <w:t>Frontline Staff</w:t>
            </w:r>
            <w:r w:rsidR="000D0D33">
              <w:rPr>
                <w:rFonts w:asciiTheme="minorHAnsi" w:hAnsiTheme="minorHAnsi" w:cstheme="minorHAnsi"/>
                <w:bCs/>
              </w:rPr>
              <w:t xml:space="preserve">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263414" w14:paraId="762DE578" w14:textId="6628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w:t>
            </w:r>
          </w:p>
        </w:tc>
        <w:tc>
          <w:tcPr>
            <w:tcW w:w="144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59C910D9" w14:textId="031C9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1198302C" w14:textId="27C15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1.25</w:t>
            </w:r>
          </w:p>
        </w:tc>
        <w:tc>
          <w:tcPr>
            <w:tcW w:w="135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263414" w14:paraId="167CCB93" w14:textId="2993F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90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5C56C903" w14:textId="00AE3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BF7CD0">
              <w:rPr>
                <w:rFonts w:asciiTheme="minorHAnsi" w:hAnsiTheme="minorHAnsi" w:cstheme="minorHAnsi"/>
                <w:bCs/>
              </w:rPr>
              <w:t>35</w:t>
            </w:r>
            <w:r>
              <w:rPr>
                <w:rFonts w:asciiTheme="minorHAnsi" w:hAnsiTheme="minorHAnsi" w:cstheme="minorHAnsi"/>
                <w:bCs/>
              </w:rPr>
              <w:t>.</w:t>
            </w:r>
            <w:r w:rsidR="00BF7CD0">
              <w:rPr>
                <w:rFonts w:asciiTheme="minorHAnsi" w:hAnsiTheme="minorHAnsi" w:cstheme="minorHAnsi"/>
                <w:bCs/>
              </w:rPr>
              <w:t>13</w:t>
            </w:r>
          </w:p>
        </w:tc>
        <w:tc>
          <w:tcPr>
            <w:tcW w:w="1260" w:type="dxa"/>
            <w:tcBorders>
              <w:top w:val="single" w:color="auto" w:sz="4" w:space="0"/>
              <w:left w:val="single" w:color="auto" w:sz="4" w:space="0"/>
              <w:bottom w:val="single" w:color="auto" w:sz="4" w:space="0"/>
              <w:right w:val="single" w:color="auto" w:sz="4" w:space="0"/>
            </w:tcBorders>
            <w:vAlign w:val="center"/>
          </w:tcPr>
          <w:p w:rsidRPr="00CF06FC" w:rsidR="00655AC1" w:rsidP="00222F34" w:rsidRDefault="00655AC1" w14:paraId="086A7081" w14:textId="7A5A2D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263414">
              <w:rPr>
                <w:rFonts w:asciiTheme="minorHAnsi" w:hAnsiTheme="minorHAnsi" w:cstheme="minorHAnsi"/>
                <w:bCs/>
              </w:rPr>
              <w:t>2</w:t>
            </w:r>
            <w:r>
              <w:rPr>
                <w:rFonts w:asciiTheme="minorHAnsi" w:hAnsiTheme="minorHAnsi" w:cstheme="minorHAnsi"/>
                <w:bCs/>
              </w:rPr>
              <w:t>,</w:t>
            </w:r>
            <w:r w:rsidR="00263414">
              <w:rPr>
                <w:rFonts w:asciiTheme="minorHAnsi" w:hAnsiTheme="minorHAnsi" w:cstheme="minorHAnsi"/>
                <w:bCs/>
              </w:rPr>
              <w:t>107</w:t>
            </w:r>
            <w:r>
              <w:rPr>
                <w:rFonts w:asciiTheme="minorHAnsi" w:hAnsiTheme="minorHAnsi" w:cstheme="minorHAnsi"/>
                <w:bCs/>
              </w:rPr>
              <w:t>.</w:t>
            </w:r>
            <w:r w:rsidR="003A2C7F">
              <w:rPr>
                <w:rFonts w:asciiTheme="minorHAnsi" w:hAnsiTheme="minorHAnsi" w:cstheme="minorHAnsi"/>
                <w:bCs/>
              </w:rPr>
              <w:t>80</w:t>
            </w:r>
          </w:p>
        </w:tc>
      </w:tr>
      <w:tr w:rsidRPr="009139B3" w:rsidR="00655AC1" w:rsidTr="00CA0D05" w14:paraId="4BAA48D9" w14:textId="77777777">
        <w:tc>
          <w:tcPr>
            <w:tcW w:w="1957" w:type="dxa"/>
            <w:tcBorders>
              <w:top w:val="single" w:color="auto" w:sz="4" w:space="0"/>
              <w:left w:val="single" w:color="auto" w:sz="4" w:space="0"/>
              <w:bottom w:val="single" w:color="auto" w:sz="4" w:space="0"/>
              <w:right w:val="single" w:color="auto" w:sz="4" w:space="0"/>
            </w:tcBorders>
          </w:tcPr>
          <w:p w:rsidRPr="00CF06FC" w:rsidR="00655AC1" w:rsidP="00CF06FC" w:rsidRDefault="00655AC1" w14:paraId="396ECE7F" w14:textId="1C4DB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Finance</w:t>
            </w:r>
            <w:r w:rsidR="000D0D33">
              <w:rPr>
                <w:rFonts w:asciiTheme="minorHAnsi" w:hAnsiTheme="minorHAnsi" w:cstheme="minorHAnsi"/>
                <w:bCs/>
              </w:rPr>
              <w:t xml:space="preserve">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6AF49D99" w14:textId="4086A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w:t>
            </w:r>
          </w:p>
        </w:tc>
        <w:tc>
          <w:tcPr>
            <w:tcW w:w="144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454EF104" w14:textId="7C1FD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CB1175" w14:paraId="0080F8CE" w14:textId="76B8C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tcPr>
          <w:p w:rsidRPr="00CF06FC" w:rsidR="00655AC1" w:rsidP="00CF06FC" w:rsidRDefault="00CB1175" w14:paraId="6ED59BD9" w14:textId="4145B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w:t>
            </w:r>
          </w:p>
        </w:tc>
        <w:tc>
          <w:tcPr>
            <w:tcW w:w="90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18EE8C68" w14:textId="1D9DC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BF7CD0">
              <w:rPr>
                <w:rFonts w:asciiTheme="minorHAnsi" w:hAnsiTheme="minorHAnsi" w:cstheme="minorHAnsi"/>
                <w:bCs/>
              </w:rPr>
              <w:t>35</w:t>
            </w:r>
            <w:r>
              <w:rPr>
                <w:rFonts w:asciiTheme="minorHAnsi" w:hAnsiTheme="minorHAnsi" w:cstheme="minorHAnsi"/>
                <w:bCs/>
              </w:rPr>
              <w:t>.</w:t>
            </w:r>
            <w:r w:rsidR="00BF7CD0">
              <w:rPr>
                <w:rFonts w:asciiTheme="minorHAnsi" w:hAnsiTheme="minorHAnsi" w:cstheme="minorHAnsi"/>
                <w:bCs/>
              </w:rPr>
              <w:t>13</w:t>
            </w:r>
          </w:p>
        </w:tc>
        <w:tc>
          <w:tcPr>
            <w:tcW w:w="1260" w:type="dxa"/>
            <w:tcBorders>
              <w:top w:val="single" w:color="auto" w:sz="4" w:space="0"/>
              <w:left w:val="single" w:color="auto" w:sz="4" w:space="0"/>
              <w:bottom w:val="single" w:color="auto" w:sz="4" w:space="0"/>
              <w:right w:val="single" w:color="auto" w:sz="4" w:space="0"/>
            </w:tcBorders>
            <w:vAlign w:val="center"/>
          </w:tcPr>
          <w:p w:rsidRPr="00CF06FC" w:rsidR="00655AC1" w:rsidP="00222F34" w:rsidRDefault="00CB1175" w14:paraId="128D23FC" w14:textId="70989E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$316.1</w:t>
            </w:r>
            <w:r w:rsidR="003A2C7F">
              <w:rPr>
                <w:rFonts w:asciiTheme="minorHAnsi" w:hAnsiTheme="minorHAnsi" w:cstheme="minorHAnsi"/>
                <w:bCs/>
              </w:rPr>
              <w:t>7</w:t>
            </w:r>
          </w:p>
        </w:tc>
      </w:tr>
      <w:tr w:rsidRPr="009139B3" w:rsidR="00655AC1" w:rsidTr="00CA0D05" w14:paraId="061CCD5E" w14:textId="77777777">
        <w:tc>
          <w:tcPr>
            <w:tcW w:w="1957" w:type="dxa"/>
            <w:tcBorders>
              <w:top w:val="single" w:color="auto" w:sz="4" w:space="0"/>
              <w:left w:val="single" w:color="auto" w:sz="4" w:space="0"/>
              <w:bottom w:val="single" w:color="auto" w:sz="4" w:space="0"/>
              <w:right w:val="single" w:color="auto" w:sz="4" w:space="0"/>
            </w:tcBorders>
          </w:tcPr>
          <w:p w:rsidRPr="00CF06FC" w:rsidR="00655AC1" w:rsidP="00CF06FC" w:rsidRDefault="00655AC1" w14:paraId="13F2B9B2" w14:textId="08F7A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IT/Data</w:t>
            </w:r>
            <w:r w:rsidR="000D0D33">
              <w:rPr>
                <w:rFonts w:asciiTheme="minorHAnsi" w:hAnsiTheme="minorHAnsi" w:cstheme="minorHAnsi"/>
                <w:bCs/>
              </w:rPr>
              <w:t xml:space="preserve">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61CAA5B2" w14:textId="07F39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w:t>
            </w:r>
          </w:p>
        </w:tc>
        <w:tc>
          <w:tcPr>
            <w:tcW w:w="144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36439B2B" w14:textId="6C49C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CB1175" w14:paraId="5AA4A3FA" w14:textId="3C305A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tcPr>
          <w:p w:rsidRPr="00CF06FC" w:rsidR="00655AC1" w:rsidP="00CF06FC" w:rsidRDefault="00CB1175" w14:paraId="7933821D" w14:textId="6D34C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w:t>
            </w:r>
          </w:p>
        </w:tc>
        <w:tc>
          <w:tcPr>
            <w:tcW w:w="90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2E2E39A8" w14:textId="754E6D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BF7CD0">
              <w:rPr>
                <w:rFonts w:asciiTheme="minorHAnsi" w:hAnsiTheme="minorHAnsi" w:cstheme="minorHAnsi"/>
                <w:bCs/>
              </w:rPr>
              <w:t>35</w:t>
            </w:r>
            <w:r>
              <w:rPr>
                <w:rFonts w:asciiTheme="minorHAnsi" w:hAnsiTheme="minorHAnsi" w:cstheme="minorHAnsi"/>
                <w:bCs/>
              </w:rPr>
              <w:t>.</w:t>
            </w:r>
            <w:r w:rsidR="00BF7CD0">
              <w:rPr>
                <w:rFonts w:asciiTheme="minorHAnsi" w:hAnsiTheme="minorHAnsi" w:cstheme="minorHAnsi"/>
                <w:bCs/>
              </w:rPr>
              <w:t>13</w:t>
            </w:r>
          </w:p>
        </w:tc>
        <w:tc>
          <w:tcPr>
            <w:tcW w:w="1260" w:type="dxa"/>
            <w:tcBorders>
              <w:top w:val="single" w:color="auto" w:sz="4" w:space="0"/>
              <w:left w:val="single" w:color="auto" w:sz="4" w:space="0"/>
              <w:bottom w:val="single" w:color="auto" w:sz="4" w:space="0"/>
              <w:right w:val="single" w:color="auto" w:sz="4" w:space="0"/>
            </w:tcBorders>
            <w:vAlign w:val="center"/>
          </w:tcPr>
          <w:p w:rsidRPr="00CF06FC" w:rsidR="00655AC1" w:rsidP="00222F34" w:rsidRDefault="00655AC1" w14:paraId="3E66BAE6" w14:textId="29F9C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B1175">
              <w:rPr>
                <w:rFonts w:asciiTheme="minorHAnsi" w:hAnsiTheme="minorHAnsi" w:cstheme="minorHAnsi"/>
                <w:bCs/>
              </w:rPr>
              <w:t>316.1</w:t>
            </w:r>
            <w:r w:rsidR="003A2C7F">
              <w:rPr>
                <w:rFonts w:asciiTheme="minorHAnsi" w:hAnsiTheme="minorHAnsi" w:cstheme="minorHAnsi"/>
                <w:bCs/>
              </w:rPr>
              <w:t>7</w:t>
            </w:r>
          </w:p>
        </w:tc>
      </w:tr>
      <w:tr w:rsidRPr="009139B3" w:rsidR="00655AC1" w:rsidTr="00CA0D05" w14:paraId="66A6F995" w14:textId="77777777">
        <w:tc>
          <w:tcPr>
            <w:tcW w:w="1957" w:type="dxa"/>
            <w:tcBorders>
              <w:top w:val="single" w:color="auto" w:sz="4" w:space="0"/>
              <w:left w:val="single" w:color="auto" w:sz="4" w:space="0"/>
              <w:bottom w:val="single" w:color="auto" w:sz="4" w:space="0"/>
              <w:right w:val="single" w:color="auto" w:sz="4" w:space="0"/>
            </w:tcBorders>
          </w:tcPr>
          <w:p w:rsidRPr="00CF06FC" w:rsidR="00655AC1" w:rsidP="00CF06FC" w:rsidRDefault="000D0D33" w14:paraId="01B4071D" w14:textId="4A9DC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Client </w:t>
            </w:r>
            <w:r w:rsidR="00655AC1">
              <w:rPr>
                <w:rFonts w:asciiTheme="minorHAnsi" w:hAnsiTheme="minorHAnsi" w:cstheme="minorHAnsi"/>
                <w:bCs/>
              </w:rPr>
              <w:t>Focus Groups</w:t>
            </w:r>
          </w:p>
        </w:tc>
        <w:tc>
          <w:tcPr>
            <w:tcW w:w="135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728196A3" w14:textId="529B7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144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707CD767" w14:textId="65AEF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00608E39" w14:textId="23446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1350" w:type="dxa"/>
            <w:tcBorders>
              <w:top w:val="single" w:color="auto" w:sz="4" w:space="0"/>
              <w:left w:val="single" w:color="auto" w:sz="4" w:space="0"/>
              <w:bottom w:val="single" w:color="auto" w:sz="4" w:space="0"/>
              <w:right w:val="single" w:color="auto" w:sz="4" w:space="0"/>
            </w:tcBorders>
          </w:tcPr>
          <w:p w:rsidRPr="00CF06FC" w:rsidR="00655AC1" w:rsidP="00CF06FC" w:rsidRDefault="00655AC1" w14:paraId="133CC14E" w14:textId="69AD9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w:t>
            </w:r>
          </w:p>
        </w:tc>
        <w:tc>
          <w:tcPr>
            <w:tcW w:w="900" w:type="dxa"/>
            <w:tcBorders>
              <w:top w:val="single" w:color="auto" w:sz="4" w:space="0"/>
              <w:left w:val="single" w:color="auto" w:sz="4" w:space="0"/>
              <w:bottom w:val="single" w:color="auto" w:sz="4" w:space="0"/>
              <w:right w:val="single" w:color="auto" w:sz="4" w:space="0"/>
            </w:tcBorders>
            <w:vAlign w:val="center"/>
          </w:tcPr>
          <w:p w:rsidRPr="00CF06FC" w:rsidR="00655AC1" w:rsidP="00CF06FC" w:rsidRDefault="00655AC1" w14:paraId="05FEAAB3" w14:textId="20D5D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CF06FC" w:rsidR="00655AC1" w:rsidP="00222F34" w:rsidRDefault="00655AC1" w14:paraId="15E754A5" w14:textId="79B6F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$326.25</w:t>
            </w:r>
          </w:p>
        </w:tc>
      </w:tr>
      <w:tr w:rsidRPr="009139B3" w:rsidR="00655AC1" w:rsidTr="00CA0D05" w14:paraId="718F3303" w14:textId="77777777">
        <w:tc>
          <w:tcPr>
            <w:tcW w:w="1957" w:type="dxa"/>
            <w:tcBorders>
              <w:top w:val="single" w:color="auto" w:sz="4" w:space="0"/>
              <w:left w:val="single" w:color="auto" w:sz="4" w:space="0"/>
              <w:bottom w:val="single" w:color="auto" w:sz="4" w:space="0"/>
              <w:right w:val="single" w:color="auto" w:sz="4" w:space="0"/>
            </w:tcBorders>
            <w:hideMark/>
          </w:tcPr>
          <w:p w:rsidRPr="009139B3" w:rsidR="00655AC1" w:rsidP="00CF06FC" w:rsidRDefault="00655AC1" w14:paraId="4E4775FE" w14:textId="6FB0C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655AC1" w:rsidP="00CF06FC" w:rsidRDefault="00655AC1" w14:paraId="2686650C" w14:textId="42DC45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9139B3" w:rsidR="00655AC1" w:rsidP="00CF06FC" w:rsidRDefault="00655AC1" w14:paraId="0CDF33B0" w14:textId="6D56F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color="auto" w:sz="4" w:space="0"/>
              <w:left w:val="single" w:color="auto" w:sz="4" w:space="0"/>
              <w:bottom w:val="single" w:color="auto" w:sz="4" w:space="0"/>
              <w:right w:val="single" w:color="auto" w:sz="4" w:space="0"/>
            </w:tcBorders>
            <w:vAlign w:val="center"/>
          </w:tcPr>
          <w:p w:rsidRPr="009139B3" w:rsidR="00655AC1" w:rsidP="00CF06FC" w:rsidRDefault="00655AC1" w14:paraId="69CE8E7F" w14:textId="2152F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tcPr>
          <w:p w:rsidRPr="009139B3" w:rsidR="00655AC1" w:rsidP="00CF06FC" w:rsidRDefault="00263414" w14:paraId="343D9ABE" w14:textId="27F6B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w:t>
            </w:r>
            <w:r w:rsidR="00EB5387">
              <w:rPr>
                <w:rFonts w:asciiTheme="minorHAnsi" w:hAnsiTheme="minorHAnsi"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655AC1" w:rsidP="00CF06FC" w:rsidRDefault="00655AC1" w14:paraId="00D13F6F" w14:textId="07C84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655AC1" w:rsidP="00222F34" w:rsidRDefault="003A2C7F" w14:paraId="767B4190" w14:textId="70DB1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$4,229.73</w:t>
            </w:r>
          </w:p>
        </w:tc>
      </w:tr>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0CBEFD4B">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B21EFC" w14:paraId="01ADACD0" w14:textId="78940566">
      <w:pPr>
        <w:autoSpaceDE w:val="0"/>
        <w:autoSpaceDN w:val="0"/>
        <w:adjustRightInd w:val="0"/>
        <w:spacing w:after="0" w:line="240" w:lineRule="auto"/>
        <w:rPr>
          <w:rFonts w:cstheme="minorHAnsi"/>
        </w:rPr>
      </w:pPr>
      <w:r w:rsidRPr="009139B3">
        <w:t>There are no additional costs to respondents.</w:t>
      </w:r>
    </w:p>
    <w:p w:rsidRPr="009139B3" w:rsidR="001D1C73" w:rsidP="001D1C73" w:rsidRDefault="001D1C73" w14:paraId="7ECB5AF6" w14:textId="77777777">
      <w:pPr>
        <w:autoSpaceDE w:val="0"/>
        <w:autoSpaceDN w:val="0"/>
        <w:adjustRightInd w:val="0"/>
        <w:spacing w:after="0" w:line="240" w:lineRule="auto"/>
        <w:rPr>
          <w:rFonts w:cstheme="minorHAnsi"/>
        </w:rPr>
      </w:pPr>
    </w:p>
    <w:p w:rsidR="00982F14" w:rsidP="00A16D8B" w:rsidRDefault="001D1C73" w14:paraId="2DA81675" w14:textId="53709744">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9139B3" w:rsidR="001D1C73" w:rsidP="001D1C73" w:rsidRDefault="00982F14" w14:paraId="35E516D7" w14:textId="17695AA2">
      <w:pPr>
        <w:spacing w:after="0" w:line="240" w:lineRule="auto"/>
        <w:rPr>
          <w:rFonts w:cstheme="minorHAnsi"/>
        </w:rPr>
      </w:pPr>
      <w:r w:rsidRPr="002D1A94">
        <w:rPr>
          <w:rFonts w:cstheme="minorHAnsi"/>
        </w:rPr>
        <w:t>The total</w:t>
      </w:r>
      <w:r>
        <w:rPr>
          <w:rFonts w:cstheme="minorHAnsi"/>
        </w:rPr>
        <w:t>/annual</w:t>
      </w:r>
      <w:r w:rsidRPr="002D1A94">
        <w:rPr>
          <w:rFonts w:cstheme="minorHAnsi"/>
        </w:rPr>
        <w:t xml:space="preserve"> cost for the data collection activities under this request will be $</w:t>
      </w:r>
      <w:r w:rsidR="00382FB0">
        <w:rPr>
          <w:rFonts w:cstheme="minorHAnsi"/>
        </w:rPr>
        <w:t>285,333</w:t>
      </w:r>
      <w:r w:rsidRPr="002D1A94">
        <w:rPr>
          <w:rFonts w:cstheme="minorHAnsi"/>
        </w:rPr>
        <w:t>.</w:t>
      </w:r>
    </w:p>
    <w:p w:rsidRPr="009139B3" w:rsidR="001D1C73" w:rsidP="001D1C73" w:rsidRDefault="001D1C73" w14:paraId="30A9FAE4" w14:textId="77777777">
      <w:pPr>
        <w:spacing w:after="0"/>
      </w:pP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CF12A9"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CF12A9"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CF12A9" w:rsidRDefault="001D1C73" w14:paraId="2D64809B" w14:textId="77777777">
            <w:pPr>
              <w:spacing w:after="0"/>
              <w:jc w:val="center"/>
              <w:rPr>
                <w:b/>
                <w:bCs/>
                <w:sz w:val="20"/>
              </w:rPr>
            </w:pPr>
            <w:r w:rsidRPr="009139B3">
              <w:rPr>
                <w:b/>
                <w:bCs/>
                <w:sz w:val="20"/>
              </w:rPr>
              <w:t>Estimated Costs</w:t>
            </w:r>
          </w:p>
        </w:tc>
      </w:tr>
      <w:tr w:rsidRPr="009139B3" w:rsidR="001D1C73" w:rsidTr="00CF12A9"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CF12A9"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CF12A9" w:rsidRDefault="001D1C73" w14:paraId="219CBE6F" w14:textId="25A9A273">
            <w:pPr>
              <w:spacing w:after="0"/>
              <w:jc w:val="center"/>
              <w:rPr>
                <w:sz w:val="20"/>
              </w:rPr>
            </w:pPr>
            <w:r w:rsidRPr="009139B3">
              <w:rPr>
                <w:sz w:val="20"/>
              </w:rPr>
              <w:t>$</w:t>
            </w:r>
            <w:r w:rsidR="00A126D4">
              <w:rPr>
                <w:sz w:val="20"/>
              </w:rPr>
              <w:t>106,684</w:t>
            </w:r>
          </w:p>
        </w:tc>
      </w:tr>
      <w:tr w:rsidRPr="009139B3" w:rsidR="001D1C73" w:rsidTr="00CF12A9"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CF12A9" w:rsidRDefault="001D1C73" w14:paraId="2DD9D85F" w14:textId="45703C26">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CF12A9" w:rsidRDefault="001D1C73" w14:paraId="194E752D" w14:textId="37C8E7B7">
            <w:pPr>
              <w:spacing w:after="0"/>
              <w:jc w:val="center"/>
              <w:rPr>
                <w:sz w:val="20"/>
              </w:rPr>
            </w:pPr>
            <w:r w:rsidRPr="009139B3">
              <w:rPr>
                <w:sz w:val="20"/>
              </w:rPr>
              <w:t>$</w:t>
            </w:r>
            <w:r w:rsidR="00A126D4">
              <w:rPr>
                <w:sz w:val="20"/>
              </w:rPr>
              <w:t>49,422</w:t>
            </w:r>
          </w:p>
        </w:tc>
      </w:tr>
      <w:tr w:rsidRPr="009139B3" w:rsidR="001D1C73" w:rsidTr="00CF12A9"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CF12A9"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CF12A9" w:rsidRDefault="001D1C73" w14:paraId="6BF10F4D" w14:textId="306A7C8F">
            <w:pPr>
              <w:spacing w:after="0"/>
              <w:jc w:val="center"/>
              <w:rPr>
                <w:sz w:val="20"/>
              </w:rPr>
            </w:pPr>
            <w:r w:rsidRPr="009139B3">
              <w:rPr>
                <w:sz w:val="20"/>
              </w:rPr>
              <w:t>$</w:t>
            </w:r>
            <w:r w:rsidR="008F735D">
              <w:rPr>
                <w:sz w:val="20"/>
              </w:rPr>
              <w:t>1</w:t>
            </w:r>
            <w:r w:rsidR="002E63C2">
              <w:rPr>
                <w:sz w:val="20"/>
              </w:rPr>
              <w:t>29</w:t>
            </w:r>
            <w:r w:rsidR="008F735D">
              <w:rPr>
                <w:sz w:val="20"/>
              </w:rPr>
              <w:t>,</w:t>
            </w:r>
            <w:r w:rsidR="002E63C2">
              <w:rPr>
                <w:sz w:val="20"/>
              </w:rPr>
              <w:t>227</w:t>
            </w:r>
          </w:p>
        </w:tc>
      </w:tr>
      <w:tr w:rsidRPr="009139B3" w:rsidR="001D1C73" w:rsidTr="00CF12A9"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CF12A9" w:rsidRDefault="001D1C73" w14:paraId="7EDD4F98" w14:textId="35C9DEB1">
            <w:pPr>
              <w:spacing w:after="0"/>
              <w:jc w:val="right"/>
              <w:rPr>
                <w:rFonts w:ascii="Calibri" w:hAnsi="Calibri" w:eastAsia="Calibri" w:cs="Calibri"/>
                <w:b/>
                <w:bCs/>
                <w:sz w:val="20"/>
              </w:rPr>
            </w:pPr>
            <w:r w:rsidRPr="009139B3">
              <w:rPr>
                <w:b/>
                <w:color w:val="000000"/>
                <w:sz w:val="20"/>
              </w:rPr>
              <w:t>Total</w:t>
            </w:r>
            <w:r w:rsidR="00982F14">
              <w:rPr>
                <w:b/>
                <w:color w:val="000000"/>
                <w:sz w:val="20"/>
              </w:rPr>
              <w:t>/annual</w:t>
            </w:r>
            <w:r w:rsidRPr="009139B3">
              <w:rPr>
                <w:b/>
                <w:color w:val="000000"/>
                <w:sz w:val="20"/>
              </w:rPr>
              <w:t xml:space="preserve">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CF12A9" w:rsidRDefault="001D1C73" w14:paraId="0B43751B" w14:textId="146C7790">
            <w:pPr>
              <w:spacing w:after="0"/>
              <w:jc w:val="center"/>
              <w:rPr>
                <w:b/>
                <w:bCs/>
                <w:sz w:val="20"/>
              </w:rPr>
            </w:pPr>
            <w:r w:rsidRPr="009139B3">
              <w:rPr>
                <w:sz w:val="20"/>
              </w:rPr>
              <w:t>$</w:t>
            </w:r>
            <w:r w:rsidR="00823153">
              <w:rPr>
                <w:sz w:val="20"/>
              </w:rPr>
              <w:t>285,333</w:t>
            </w:r>
          </w:p>
        </w:tc>
      </w:tr>
    </w:tbl>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E660B9" w14:paraId="2E8F0BA5" w14:textId="151E29A4">
      <w:pPr>
        <w:spacing w:after="0" w:line="240" w:lineRule="auto"/>
        <w:rPr>
          <w:rFonts w:cstheme="minorHAnsi"/>
        </w:rPr>
      </w:pPr>
      <w:r>
        <w:rPr>
          <w:rFonts w:cstheme="minorHAnsi"/>
        </w:rPr>
        <w:t>This is a new information collection request.</w:t>
      </w: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tbl>
      <w:tblPr>
        <w:tblStyle w:val="TableGrid"/>
        <w:tblW w:w="0" w:type="auto"/>
        <w:tblInd w:w="0" w:type="dxa"/>
        <w:tblLook w:val="04A0" w:firstRow="1" w:lastRow="0" w:firstColumn="1" w:lastColumn="0" w:noHBand="0" w:noVBand="1"/>
      </w:tblPr>
      <w:tblGrid>
        <w:gridCol w:w="4675"/>
        <w:gridCol w:w="4675"/>
      </w:tblGrid>
      <w:tr w:rsidR="0047053E" w:rsidTr="0047053E" w14:paraId="1A8FCF36" w14:textId="77777777">
        <w:tc>
          <w:tcPr>
            <w:tcW w:w="4675" w:type="dxa"/>
            <w:shd w:val="clear" w:color="auto" w:fill="D9D9D9" w:themeFill="background1" w:themeFillShade="D9"/>
          </w:tcPr>
          <w:p w:rsidRPr="0047053E" w:rsidR="0047053E" w:rsidP="001D1C73" w:rsidRDefault="0047053E" w14:paraId="72A08D2D" w14:textId="3E4B84C6">
            <w:pPr>
              <w:rPr>
                <w:rFonts w:asciiTheme="minorHAnsi" w:hAnsiTheme="minorHAnsi" w:cstheme="minorHAnsi"/>
                <w:b/>
                <w:bCs/>
                <w:sz w:val="22"/>
                <w:szCs w:val="22"/>
              </w:rPr>
            </w:pPr>
            <w:r w:rsidRPr="0047053E">
              <w:rPr>
                <w:rFonts w:asciiTheme="minorHAnsi" w:hAnsiTheme="minorHAnsi" w:cstheme="minorHAnsi"/>
                <w:b/>
                <w:bCs/>
                <w:sz w:val="22"/>
                <w:szCs w:val="22"/>
              </w:rPr>
              <w:t>Activity</w:t>
            </w:r>
          </w:p>
        </w:tc>
        <w:tc>
          <w:tcPr>
            <w:tcW w:w="4675" w:type="dxa"/>
            <w:shd w:val="clear" w:color="auto" w:fill="D9D9D9" w:themeFill="background1" w:themeFillShade="D9"/>
          </w:tcPr>
          <w:p w:rsidRPr="0047053E" w:rsidR="0047053E" w:rsidP="001D1C73" w:rsidRDefault="0047053E" w14:paraId="1454F6E1" w14:textId="0C363512">
            <w:pPr>
              <w:rPr>
                <w:rFonts w:asciiTheme="minorHAnsi" w:hAnsiTheme="minorHAnsi" w:cstheme="minorHAnsi"/>
                <w:b/>
                <w:bCs/>
                <w:sz w:val="22"/>
                <w:szCs w:val="22"/>
              </w:rPr>
            </w:pPr>
            <w:r w:rsidRPr="0047053E">
              <w:rPr>
                <w:rFonts w:asciiTheme="minorHAnsi" w:hAnsiTheme="minorHAnsi" w:cstheme="minorHAnsi"/>
                <w:b/>
                <w:bCs/>
                <w:sz w:val="22"/>
                <w:szCs w:val="22"/>
              </w:rPr>
              <w:t>Date</w:t>
            </w:r>
          </w:p>
        </w:tc>
      </w:tr>
      <w:tr w:rsidR="0047053E" w:rsidTr="0047053E" w14:paraId="245D31E6" w14:textId="77777777">
        <w:tc>
          <w:tcPr>
            <w:tcW w:w="4675" w:type="dxa"/>
          </w:tcPr>
          <w:p w:rsidRPr="0047053E" w:rsidR="0047053E" w:rsidP="001D1C73" w:rsidRDefault="0047053E" w14:paraId="1A0D0A4F" w14:textId="454641C3">
            <w:pPr>
              <w:rPr>
                <w:rFonts w:asciiTheme="minorHAnsi" w:hAnsiTheme="minorHAnsi" w:cstheme="minorHAnsi"/>
                <w:sz w:val="22"/>
                <w:szCs w:val="22"/>
              </w:rPr>
            </w:pPr>
            <w:r w:rsidRPr="0047053E">
              <w:rPr>
                <w:rFonts w:asciiTheme="minorHAnsi" w:hAnsiTheme="minorHAnsi" w:cstheme="minorHAnsi"/>
                <w:sz w:val="22"/>
                <w:szCs w:val="22"/>
              </w:rPr>
              <w:t>Site Visits</w:t>
            </w:r>
          </w:p>
        </w:tc>
        <w:tc>
          <w:tcPr>
            <w:tcW w:w="4675" w:type="dxa"/>
          </w:tcPr>
          <w:p w:rsidRPr="0047053E" w:rsidR="0047053E" w:rsidP="001D1C73" w:rsidRDefault="00E779ED" w14:paraId="01513B51" w14:textId="098050D3">
            <w:pPr>
              <w:rPr>
                <w:rFonts w:asciiTheme="minorHAnsi" w:hAnsiTheme="minorHAnsi" w:cstheme="minorHAnsi"/>
                <w:sz w:val="22"/>
                <w:szCs w:val="22"/>
              </w:rPr>
            </w:pPr>
            <w:r>
              <w:rPr>
                <w:rFonts w:asciiTheme="minorHAnsi" w:hAnsiTheme="minorHAnsi" w:cstheme="minorHAnsi"/>
                <w:sz w:val="22"/>
                <w:szCs w:val="22"/>
              </w:rPr>
              <w:t>S</w:t>
            </w:r>
            <w:r w:rsidR="0047053E">
              <w:rPr>
                <w:rFonts w:asciiTheme="minorHAnsi" w:hAnsiTheme="minorHAnsi" w:cstheme="minorHAnsi"/>
                <w:sz w:val="22"/>
                <w:szCs w:val="22"/>
              </w:rPr>
              <w:t>cheduled one month after OMB approval, and all three</w:t>
            </w:r>
            <w:r>
              <w:rPr>
                <w:rFonts w:asciiTheme="minorHAnsi" w:hAnsiTheme="minorHAnsi" w:cstheme="minorHAnsi"/>
                <w:sz w:val="22"/>
                <w:szCs w:val="22"/>
              </w:rPr>
              <w:t xml:space="preserve"> site</w:t>
            </w:r>
            <w:r w:rsidR="0047053E">
              <w:rPr>
                <w:rFonts w:asciiTheme="minorHAnsi" w:hAnsiTheme="minorHAnsi" w:cstheme="minorHAnsi"/>
                <w:sz w:val="22"/>
                <w:szCs w:val="22"/>
              </w:rPr>
              <w:t xml:space="preserve"> visits will be completed within two months</w:t>
            </w:r>
          </w:p>
        </w:tc>
      </w:tr>
      <w:tr w:rsidR="0047053E" w:rsidTr="0047053E" w14:paraId="3BC8D6FC" w14:textId="77777777">
        <w:tc>
          <w:tcPr>
            <w:tcW w:w="4675" w:type="dxa"/>
          </w:tcPr>
          <w:p w:rsidRPr="0047053E" w:rsidR="0047053E" w:rsidP="001D1C73" w:rsidRDefault="0047053E" w14:paraId="41212282" w14:textId="6EF171A7">
            <w:pPr>
              <w:rPr>
                <w:rFonts w:asciiTheme="minorHAnsi" w:hAnsiTheme="minorHAnsi" w:cstheme="minorHAnsi"/>
                <w:sz w:val="22"/>
                <w:szCs w:val="22"/>
              </w:rPr>
            </w:pPr>
            <w:r w:rsidRPr="0047053E">
              <w:rPr>
                <w:rFonts w:asciiTheme="minorHAnsi" w:hAnsiTheme="minorHAnsi" w:cstheme="minorHAnsi"/>
                <w:sz w:val="22"/>
                <w:szCs w:val="22"/>
              </w:rPr>
              <w:t>Data Analysis Completed</w:t>
            </w:r>
          </w:p>
        </w:tc>
        <w:tc>
          <w:tcPr>
            <w:tcW w:w="4675" w:type="dxa"/>
          </w:tcPr>
          <w:p w:rsidRPr="0047053E" w:rsidR="0047053E" w:rsidP="00E779ED" w:rsidRDefault="00E779ED" w14:paraId="2F35BE0D" w14:textId="6E2C48E9">
            <w:pPr>
              <w:rPr>
                <w:rFonts w:asciiTheme="minorHAnsi" w:hAnsiTheme="minorHAnsi" w:cstheme="minorHAnsi"/>
                <w:sz w:val="22"/>
                <w:szCs w:val="22"/>
              </w:rPr>
            </w:pPr>
            <w:r>
              <w:rPr>
                <w:rFonts w:asciiTheme="minorHAnsi" w:hAnsiTheme="minorHAnsi" w:cstheme="minorHAnsi"/>
                <w:sz w:val="22"/>
                <w:szCs w:val="22"/>
              </w:rPr>
              <w:t>T</w:t>
            </w:r>
            <w:r w:rsidR="00F60C68">
              <w:rPr>
                <w:rFonts w:asciiTheme="minorHAnsi" w:hAnsiTheme="minorHAnsi" w:cstheme="minorHAnsi"/>
                <w:sz w:val="22"/>
                <w:szCs w:val="22"/>
              </w:rPr>
              <w:t>hree weeks after each</w:t>
            </w:r>
            <w:r>
              <w:rPr>
                <w:rFonts w:asciiTheme="minorHAnsi" w:hAnsiTheme="minorHAnsi" w:cstheme="minorHAnsi"/>
                <w:sz w:val="22"/>
                <w:szCs w:val="22"/>
              </w:rPr>
              <w:t xml:space="preserve"> site</w:t>
            </w:r>
            <w:r w:rsidR="00F60C68">
              <w:rPr>
                <w:rFonts w:asciiTheme="minorHAnsi" w:hAnsiTheme="minorHAnsi" w:cstheme="minorHAnsi"/>
                <w:sz w:val="22"/>
                <w:szCs w:val="22"/>
              </w:rPr>
              <w:t xml:space="preserve"> visit</w:t>
            </w:r>
          </w:p>
        </w:tc>
      </w:tr>
      <w:tr w:rsidR="0047053E" w:rsidTr="0047053E" w14:paraId="573F4818" w14:textId="77777777">
        <w:tc>
          <w:tcPr>
            <w:tcW w:w="4675" w:type="dxa"/>
          </w:tcPr>
          <w:p w:rsidRPr="0047053E" w:rsidR="0047053E" w:rsidP="001D1C73" w:rsidRDefault="0047053E" w14:paraId="1E8E635B" w14:textId="1FB3280A">
            <w:pPr>
              <w:rPr>
                <w:rFonts w:asciiTheme="minorHAnsi" w:hAnsiTheme="minorHAnsi" w:cstheme="minorHAnsi"/>
                <w:sz w:val="22"/>
                <w:szCs w:val="22"/>
              </w:rPr>
            </w:pPr>
            <w:r w:rsidRPr="0047053E">
              <w:rPr>
                <w:rFonts w:asciiTheme="minorHAnsi" w:hAnsiTheme="minorHAnsi" w:cstheme="minorHAnsi"/>
                <w:sz w:val="22"/>
                <w:szCs w:val="22"/>
              </w:rPr>
              <w:t>Site Briefs</w:t>
            </w:r>
          </w:p>
        </w:tc>
        <w:tc>
          <w:tcPr>
            <w:tcW w:w="4675" w:type="dxa"/>
          </w:tcPr>
          <w:p w:rsidRPr="0047053E" w:rsidR="0047053E" w:rsidP="001D1C73" w:rsidRDefault="00F60C68" w14:paraId="57865387" w14:textId="3D6AA976">
            <w:pPr>
              <w:rPr>
                <w:rFonts w:asciiTheme="minorHAnsi" w:hAnsiTheme="minorHAnsi" w:cstheme="minorHAnsi"/>
                <w:sz w:val="22"/>
                <w:szCs w:val="22"/>
              </w:rPr>
            </w:pPr>
            <w:r>
              <w:rPr>
                <w:rFonts w:asciiTheme="minorHAnsi" w:hAnsiTheme="minorHAnsi" w:cstheme="minorHAnsi"/>
                <w:sz w:val="22"/>
                <w:szCs w:val="22"/>
              </w:rPr>
              <w:t>Four months after each site visit</w:t>
            </w:r>
          </w:p>
        </w:tc>
      </w:tr>
      <w:tr w:rsidR="00D801C1" w:rsidTr="0047053E" w14:paraId="6FD6BFB6" w14:textId="77777777">
        <w:tc>
          <w:tcPr>
            <w:tcW w:w="4675" w:type="dxa"/>
          </w:tcPr>
          <w:p w:rsidRPr="00D801C1" w:rsidR="00D801C1" w:rsidP="001D1C73" w:rsidRDefault="00D801C1" w14:paraId="5E85D1B9" w14:textId="3E76C4DF">
            <w:pPr>
              <w:rPr>
                <w:rFonts w:asciiTheme="minorHAnsi" w:hAnsiTheme="minorHAnsi" w:cstheme="minorHAnsi"/>
                <w:sz w:val="22"/>
                <w:szCs w:val="22"/>
              </w:rPr>
            </w:pPr>
            <w:r w:rsidRPr="00D801C1">
              <w:rPr>
                <w:rFonts w:asciiTheme="minorHAnsi" w:hAnsiTheme="minorHAnsi" w:cstheme="minorHAnsi"/>
                <w:sz w:val="22"/>
                <w:szCs w:val="22"/>
              </w:rPr>
              <w:t>Site Briefs Published</w:t>
            </w:r>
          </w:p>
        </w:tc>
        <w:tc>
          <w:tcPr>
            <w:tcW w:w="4675" w:type="dxa"/>
          </w:tcPr>
          <w:p w:rsidRPr="00D801C1" w:rsidR="00D801C1" w:rsidP="001D1C73" w:rsidRDefault="00D801C1" w14:paraId="4ECB7F12" w14:textId="43DF7FE0">
            <w:pPr>
              <w:rPr>
                <w:rFonts w:asciiTheme="minorHAnsi" w:hAnsiTheme="minorHAnsi" w:cstheme="minorHAnsi"/>
                <w:sz w:val="22"/>
                <w:szCs w:val="22"/>
              </w:rPr>
            </w:pPr>
            <w:r w:rsidRPr="00D801C1">
              <w:rPr>
                <w:rFonts w:asciiTheme="minorHAnsi" w:hAnsiTheme="minorHAnsi" w:cstheme="minorHAnsi"/>
                <w:sz w:val="22"/>
                <w:szCs w:val="22"/>
              </w:rPr>
              <w:t>Five months after last site visit is completed</w:t>
            </w:r>
          </w:p>
        </w:tc>
      </w:tr>
      <w:tr w:rsidR="000A56F7" w:rsidTr="0047053E" w14:paraId="7312AFB5" w14:textId="77777777">
        <w:tc>
          <w:tcPr>
            <w:tcW w:w="4675" w:type="dxa"/>
          </w:tcPr>
          <w:p w:rsidRPr="000A56F7" w:rsidR="000A56F7" w:rsidP="001D1C73" w:rsidRDefault="000A56F7" w14:paraId="14F1419F" w14:textId="307E1C95">
            <w:pPr>
              <w:rPr>
                <w:rFonts w:asciiTheme="minorHAnsi" w:hAnsiTheme="minorHAnsi" w:cstheme="minorHAnsi"/>
                <w:sz w:val="22"/>
                <w:szCs w:val="22"/>
              </w:rPr>
            </w:pPr>
            <w:r w:rsidRPr="000A56F7">
              <w:rPr>
                <w:rFonts w:asciiTheme="minorHAnsi" w:hAnsiTheme="minorHAnsi" w:cstheme="minorHAnsi"/>
                <w:sz w:val="22"/>
                <w:szCs w:val="22"/>
              </w:rPr>
              <w:t xml:space="preserve">Final Report </w:t>
            </w:r>
            <w:r w:rsidR="00674F81">
              <w:rPr>
                <w:rFonts w:asciiTheme="minorHAnsi" w:hAnsiTheme="minorHAnsi" w:cstheme="minorHAnsi"/>
                <w:sz w:val="22"/>
                <w:szCs w:val="22"/>
              </w:rPr>
              <w:t>C</w:t>
            </w:r>
            <w:r w:rsidRPr="000A56F7">
              <w:rPr>
                <w:rFonts w:asciiTheme="minorHAnsi" w:hAnsiTheme="minorHAnsi" w:cstheme="minorHAnsi"/>
                <w:sz w:val="22"/>
                <w:szCs w:val="22"/>
              </w:rPr>
              <w:t>ompleted</w:t>
            </w:r>
          </w:p>
        </w:tc>
        <w:tc>
          <w:tcPr>
            <w:tcW w:w="4675" w:type="dxa"/>
          </w:tcPr>
          <w:p w:rsidRPr="000A56F7" w:rsidR="000A56F7" w:rsidP="001D1C73" w:rsidRDefault="000A56F7" w14:paraId="066F3360" w14:textId="40F09242">
            <w:pPr>
              <w:rPr>
                <w:rFonts w:asciiTheme="minorHAnsi" w:hAnsiTheme="minorHAnsi" w:cstheme="minorHAnsi"/>
                <w:sz w:val="22"/>
                <w:szCs w:val="22"/>
              </w:rPr>
            </w:pPr>
            <w:r>
              <w:rPr>
                <w:rFonts w:asciiTheme="minorHAnsi" w:hAnsiTheme="minorHAnsi" w:cstheme="minorHAnsi"/>
                <w:sz w:val="22"/>
                <w:szCs w:val="22"/>
              </w:rPr>
              <w:t>Five months after site visits completed</w:t>
            </w:r>
          </w:p>
        </w:tc>
      </w:tr>
      <w:tr w:rsidR="0047053E" w:rsidTr="0047053E" w14:paraId="6D22A71F" w14:textId="77777777">
        <w:tc>
          <w:tcPr>
            <w:tcW w:w="4675" w:type="dxa"/>
          </w:tcPr>
          <w:p w:rsidRPr="0047053E" w:rsidR="0047053E" w:rsidP="001D1C73" w:rsidRDefault="0047053E" w14:paraId="2650031F" w14:textId="10C30CBF">
            <w:pPr>
              <w:rPr>
                <w:rFonts w:asciiTheme="minorHAnsi" w:hAnsiTheme="minorHAnsi" w:cstheme="minorHAnsi"/>
                <w:sz w:val="22"/>
                <w:szCs w:val="22"/>
              </w:rPr>
            </w:pPr>
            <w:r w:rsidRPr="0047053E">
              <w:rPr>
                <w:rFonts w:asciiTheme="minorHAnsi" w:hAnsiTheme="minorHAnsi" w:cstheme="minorHAnsi"/>
                <w:sz w:val="22"/>
                <w:szCs w:val="22"/>
              </w:rPr>
              <w:t>Final Report</w:t>
            </w:r>
            <w:r w:rsidR="000A56F7">
              <w:rPr>
                <w:rFonts w:asciiTheme="minorHAnsi" w:hAnsiTheme="minorHAnsi" w:cstheme="minorHAnsi"/>
                <w:sz w:val="22"/>
                <w:szCs w:val="22"/>
              </w:rPr>
              <w:t xml:space="preserve"> </w:t>
            </w:r>
            <w:r w:rsidR="00674F81">
              <w:rPr>
                <w:rFonts w:asciiTheme="minorHAnsi" w:hAnsiTheme="minorHAnsi" w:cstheme="minorHAnsi"/>
                <w:sz w:val="22"/>
                <w:szCs w:val="22"/>
              </w:rPr>
              <w:t>P</w:t>
            </w:r>
            <w:r w:rsidR="000A56F7">
              <w:rPr>
                <w:rFonts w:asciiTheme="minorHAnsi" w:hAnsiTheme="minorHAnsi" w:cstheme="minorHAnsi"/>
                <w:sz w:val="22"/>
                <w:szCs w:val="22"/>
              </w:rPr>
              <w:t>ublished</w:t>
            </w:r>
          </w:p>
        </w:tc>
        <w:tc>
          <w:tcPr>
            <w:tcW w:w="4675" w:type="dxa"/>
          </w:tcPr>
          <w:p w:rsidRPr="0047053E" w:rsidR="0047053E" w:rsidP="001D1C73" w:rsidRDefault="00F60C68" w14:paraId="669494F0" w14:textId="672EAE10">
            <w:pPr>
              <w:rPr>
                <w:rFonts w:asciiTheme="minorHAnsi" w:hAnsiTheme="minorHAnsi" w:cstheme="minorHAnsi"/>
                <w:sz w:val="22"/>
                <w:szCs w:val="22"/>
              </w:rPr>
            </w:pPr>
            <w:r>
              <w:rPr>
                <w:rFonts w:asciiTheme="minorHAnsi" w:hAnsiTheme="minorHAnsi" w:cstheme="minorHAnsi"/>
                <w:sz w:val="22"/>
                <w:szCs w:val="22"/>
              </w:rPr>
              <w:t>Six months after site visits completed</w:t>
            </w:r>
          </w:p>
        </w:tc>
      </w:tr>
    </w:tbl>
    <w:p w:rsidRPr="009139B3" w:rsidR="001D1C73" w:rsidP="001D1C73" w:rsidRDefault="001D1C73" w14:paraId="27FD86DB"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001D1C73" w:rsidP="009A41CD" w:rsidRDefault="001D1C73" w14:paraId="7BED44AA" w14:textId="77777777">
      <w:pPr>
        <w:spacing w:after="0"/>
        <w:rPr>
          <w:b/>
        </w:rPr>
      </w:pPr>
      <w:r w:rsidRPr="009139B3">
        <w:rPr>
          <w:b/>
        </w:rPr>
        <w:t>Attachments</w:t>
      </w:r>
    </w:p>
    <w:p w:rsidR="00E9000B" w:rsidP="00E9000B" w:rsidRDefault="00E9000B" w14:paraId="446E85F8" w14:textId="77777777">
      <w:r>
        <w:t>Instrument 1: Interview Guide for Leadership and Administrative Staff</w:t>
      </w:r>
    </w:p>
    <w:p w:rsidR="00E9000B" w:rsidP="00E9000B" w:rsidRDefault="00E9000B" w14:paraId="5F165827" w14:textId="77777777">
      <w:r>
        <w:t>Instrument 2: Interview Guide for Frontline Staff</w:t>
      </w:r>
    </w:p>
    <w:p w:rsidR="00E9000B" w:rsidP="00E9000B" w:rsidRDefault="00E9000B" w14:paraId="7740C0EF" w14:textId="77777777">
      <w:r>
        <w:t>Instrument 3: Interview Guide for Finance Staff</w:t>
      </w:r>
    </w:p>
    <w:p w:rsidR="00E9000B" w:rsidP="00E9000B" w:rsidRDefault="00E9000B" w14:paraId="0A3678D4" w14:textId="77777777">
      <w:r>
        <w:t>Instrument 4: Interview Guide for IT/Data Staff</w:t>
      </w:r>
    </w:p>
    <w:p w:rsidR="00E9000B" w:rsidP="00E9000B" w:rsidRDefault="00E9000B" w14:paraId="66C614FC" w14:textId="77777777">
      <w:r>
        <w:t>Instrument 5: Focus Group Guide for Clients</w:t>
      </w:r>
    </w:p>
    <w:p w:rsidR="00E779ED" w:rsidP="00E779ED" w:rsidRDefault="00E779ED" w14:paraId="62049B67" w14:textId="77777777">
      <w:r>
        <w:t>Appendix A: Staff Consent</w:t>
      </w:r>
    </w:p>
    <w:p w:rsidR="00E779ED" w:rsidP="00E779ED" w:rsidRDefault="00E779ED" w14:paraId="65CAB0E8" w14:textId="77777777">
      <w:r>
        <w:t>Appendix B: Client Consent</w:t>
      </w:r>
    </w:p>
    <w:p w:rsidR="00E779ED" w:rsidP="00E779ED" w:rsidRDefault="00E779ED" w14:paraId="2BF1A31A" w14:textId="77777777">
      <w:r>
        <w:t>Appendix C: Observation Consent</w:t>
      </w:r>
    </w:p>
    <w:p w:rsidR="00E779ED" w:rsidP="00E779ED" w:rsidRDefault="00E779ED" w14:paraId="700AE8B8" w14:textId="77777777">
      <w:r>
        <w:t xml:space="preserve">Appendix D: Observation Guides </w:t>
      </w:r>
    </w:p>
    <w:p w:rsidRPr="006B53F1" w:rsidR="003B1A37" w:rsidP="003B1A37" w:rsidRDefault="003B1A37" w14:paraId="0BA8542D" w14:textId="1914F316"/>
    <w:sectPr w:rsidRPr="006B53F1" w:rsidR="003B1A37"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EF961" w14:textId="77777777" w:rsidR="00B739E3" w:rsidRDefault="00B739E3" w:rsidP="0004063C">
      <w:pPr>
        <w:spacing w:after="0" w:line="240" w:lineRule="auto"/>
      </w:pPr>
      <w:r>
        <w:separator/>
      </w:r>
    </w:p>
  </w:endnote>
  <w:endnote w:type="continuationSeparator" w:id="0">
    <w:p w14:paraId="5F37555A" w14:textId="77777777" w:rsidR="00B739E3" w:rsidRDefault="00B739E3" w:rsidP="0004063C">
      <w:pPr>
        <w:spacing w:after="0" w:line="240" w:lineRule="auto"/>
      </w:pPr>
      <w:r>
        <w:continuationSeparator/>
      </w:r>
    </w:p>
  </w:endnote>
  <w:endnote w:type="continuationNotice" w:id="1">
    <w:p w14:paraId="65640086" w14:textId="77777777" w:rsidR="00B739E3" w:rsidRDefault="00B73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8D71B9F" w:rsidR="000E45E3" w:rsidRDefault="000E45E3">
        <w:pPr>
          <w:pStyle w:val="Footer"/>
          <w:jc w:val="right"/>
        </w:pPr>
        <w:r>
          <w:fldChar w:fldCharType="begin"/>
        </w:r>
        <w:r>
          <w:instrText xml:space="preserve"> PAGE   \* MERGEFORMAT </w:instrText>
        </w:r>
        <w:r>
          <w:fldChar w:fldCharType="separate"/>
        </w:r>
        <w:r w:rsidR="00CB0790">
          <w:rPr>
            <w:noProof/>
          </w:rPr>
          <w:t>8</w:t>
        </w:r>
        <w:r>
          <w:rPr>
            <w:noProof/>
          </w:rPr>
          <w:fldChar w:fldCharType="end"/>
        </w:r>
      </w:p>
    </w:sdtContent>
  </w:sdt>
  <w:p w14:paraId="04723F22" w14:textId="77777777" w:rsidR="000E45E3" w:rsidRDefault="000E4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8690E" w14:textId="77777777" w:rsidR="00B739E3" w:rsidRDefault="00B739E3" w:rsidP="0004063C">
      <w:pPr>
        <w:spacing w:after="0" w:line="240" w:lineRule="auto"/>
      </w:pPr>
      <w:r>
        <w:separator/>
      </w:r>
    </w:p>
  </w:footnote>
  <w:footnote w:type="continuationSeparator" w:id="0">
    <w:p w14:paraId="2371C99A" w14:textId="77777777" w:rsidR="00B739E3" w:rsidRDefault="00B739E3" w:rsidP="0004063C">
      <w:pPr>
        <w:spacing w:after="0" w:line="240" w:lineRule="auto"/>
      </w:pPr>
      <w:r>
        <w:continuationSeparator/>
      </w:r>
    </w:p>
  </w:footnote>
  <w:footnote w:type="continuationNotice" w:id="1">
    <w:p w14:paraId="16E8B44D" w14:textId="77777777" w:rsidR="00B739E3" w:rsidRDefault="00B739E3">
      <w:pPr>
        <w:spacing w:after="0" w:line="240" w:lineRule="auto"/>
      </w:pPr>
    </w:p>
  </w:footnote>
  <w:footnote w:id="2">
    <w:p w14:paraId="647DB619" w14:textId="6E1C4B48" w:rsidR="00E86A6D" w:rsidRDefault="00E86A6D" w:rsidP="00E86A6D">
      <w:pPr>
        <w:pStyle w:val="FootnoteText"/>
      </w:pPr>
      <w:r>
        <w:rPr>
          <w:rStyle w:val="FootnoteReference"/>
        </w:rPr>
        <w:footnoteRef/>
      </w:r>
      <w:r>
        <w:t xml:space="preserve"> Next Steps for Rigorous Research on Two-Generation Programs (NS2G) - OMB: 0970-0356; Assessing Models of Coordinated Services for Low-Income Children and Their Families (AMCS) - OMB: 0970-0356; </w:t>
      </w:r>
      <w:r w:rsidRPr="00E86A6D">
        <w:t>Building Capacity to Evaluate Community Collaborations to Strengthen and Preserve Families</w:t>
      </w:r>
      <w:r>
        <w:t xml:space="preserve"> - </w:t>
      </w:r>
      <w:r w:rsidRPr="00E86A6D">
        <w:t>OMB: 0970-0531</w:t>
      </w:r>
      <w:r>
        <w:t xml:space="preserve"> and </w:t>
      </w:r>
      <w:r w:rsidRPr="00E86A6D">
        <w:t>OMB</w:t>
      </w:r>
      <w:r>
        <w:t>:</w:t>
      </w:r>
      <w:r w:rsidRPr="00E86A6D">
        <w:t xml:space="preserve"> 0970-0541</w:t>
      </w:r>
      <w:r>
        <w:t xml:space="preserve">; </w:t>
      </w:r>
      <w:r w:rsidRPr="00E86A6D">
        <w:t>Head Start Connects: Individualizing and Connecting Families to Comprehensive Family Support Services</w:t>
      </w:r>
      <w:r>
        <w:t xml:space="preserve"> - </w:t>
      </w:r>
      <w:r w:rsidRPr="00E86A6D">
        <w:t>OMB: 0970-0538</w:t>
      </w:r>
    </w:p>
  </w:footnote>
  <w:footnote w:id="3">
    <w:p w14:paraId="55819EAA" w14:textId="77777777" w:rsidR="006C72BA" w:rsidRDefault="006C72BA" w:rsidP="006C72BA">
      <w:pPr>
        <w:pStyle w:val="FootnoteText"/>
        <w:rPr>
          <w:rFonts w:ascii="Times New Roman" w:hAnsi="Times New Roman"/>
        </w:rPr>
      </w:pPr>
      <w:r>
        <w:rPr>
          <w:rStyle w:val="FootnoteReference"/>
        </w:rPr>
        <w:footnoteRef/>
      </w:r>
      <w:r>
        <w:t xml:space="preserve"> Singer, Eleanor and Richard A. Kulka. (2002). “Paying Respondents for Survey Participation.” </w:t>
      </w:r>
      <w:r>
        <w:rPr>
          <w:i/>
        </w:rPr>
        <w:t>Studies of Welfare Populations: Data collection and Research Issues. Panel on Data and Methods for Measuring the Effects of Changes in Social Welfare Programs</w:t>
      </w:r>
      <w:r>
        <w:t>, edited by Michele Ver Ploeg, Robert A. Moffitt, and Constance F. Citro. Committee on National Statistics, Division of Behavioral and Social Sciences and Education. Washington, DC: National Academy Press.</w:t>
      </w:r>
    </w:p>
  </w:footnote>
  <w:footnote w:id="4">
    <w:p w14:paraId="68B0D3D2" w14:textId="5989B416" w:rsidR="006C72BA" w:rsidRDefault="006C72BA" w:rsidP="006C72BA">
      <w:pPr>
        <w:pStyle w:val="FootnoteText"/>
      </w:pPr>
      <w:r>
        <w:rPr>
          <w:rStyle w:val="FootnoteReference"/>
        </w:rPr>
        <w:footnoteRef/>
      </w:r>
      <w:r>
        <w:t xml:space="preserve"> Singer, Eleanor, John Van Hoewyk, and Mary P. Maher. (2000). Experiments with incentives in telephone surveys. </w:t>
      </w:r>
      <w:r>
        <w:rPr>
          <w:i/>
        </w:rPr>
        <w:t>Public Opinion Quarterly</w:t>
      </w:r>
      <w:r>
        <w:t>, 64:2, 171-188</w:t>
      </w:r>
      <w:r w:rsidR="00402F5A">
        <w:t>.</w:t>
      </w:r>
    </w:p>
  </w:footnote>
  <w:footnote w:id="5">
    <w:p w14:paraId="63DE92A2" w14:textId="7049C7FA" w:rsidR="00402F5A" w:rsidRPr="00402F5A" w:rsidRDefault="00402F5A">
      <w:pPr>
        <w:pStyle w:val="FootnoteText"/>
      </w:pPr>
      <w:r>
        <w:rPr>
          <w:rStyle w:val="FootnoteReference"/>
        </w:rPr>
        <w:footnoteRef/>
      </w:r>
      <w:r>
        <w:t xml:space="preserve"> Kelly, Bridget, Marjorie Margolis, Lauren McCormack, Patricia A. LeBaron, and Dhuly Chowdhury. (2017). What Affects People’s Willingness to Participate in Qualitative Research? An Experimental Comparison of Five Incentives. </w:t>
      </w:r>
      <w:r>
        <w:rPr>
          <w:i/>
          <w:iCs/>
        </w:rPr>
        <w:t xml:space="preserve">Field Methods, </w:t>
      </w:r>
      <w:r>
        <w:t>29:4, 333-350.</w:t>
      </w:r>
    </w:p>
  </w:footnote>
  <w:footnote w:id="6">
    <w:p w14:paraId="440255E6" w14:textId="77777777" w:rsidR="000E45E3" w:rsidRPr="00D82755" w:rsidRDefault="000E45E3"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0E45E3" w:rsidRPr="000D7D44" w:rsidRDefault="000E45E3"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0E45E3" w:rsidRPr="001D1C73" w:rsidRDefault="000E45E3"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B6A16"/>
    <w:multiLevelType w:val="hybridMultilevel"/>
    <w:tmpl w:val="3E244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521FF"/>
    <w:multiLevelType w:val="hybridMultilevel"/>
    <w:tmpl w:val="DBFA9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F11F5"/>
    <w:multiLevelType w:val="hybridMultilevel"/>
    <w:tmpl w:val="F17CA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B53CF"/>
    <w:multiLevelType w:val="hybridMultilevel"/>
    <w:tmpl w:val="CFA4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4E024D"/>
    <w:multiLevelType w:val="hybridMultilevel"/>
    <w:tmpl w:val="0706D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C5434"/>
    <w:multiLevelType w:val="hybridMultilevel"/>
    <w:tmpl w:val="4E847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27935"/>
    <w:multiLevelType w:val="hybridMultilevel"/>
    <w:tmpl w:val="48707E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E1466D"/>
    <w:multiLevelType w:val="hybridMultilevel"/>
    <w:tmpl w:val="1CFAE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E22119"/>
    <w:multiLevelType w:val="hybridMultilevel"/>
    <w:tmpl w:val="CC58C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6"/>
  </w:num>
  <w:num w:numId="4">
    <w:abstractNumId w:val="38"/>
  </w:num>
  <w:num w:numId="5">
    <w:abstractNumId w:val="24"/>
  </w:num>
  <w:num w:numId="6">
    <w:abstractNumId w:val="47"/>
  </w:num>
  <w:num w:numId="7">
    <w:abstractNumId w:val="4"/>
  </w:num>
  <w:num w:numId="8">
    <w:abstractNumId w:val="14"/>
  </w:num>
  <w:num w:numId="9">
    <w:abstractNumId w:val="23"/>
  </w:num>
  <w:num w:numId="10">
    <w:abstractNumId w:val="45"/>
  </w:num>
  <w:num w:numId="11">
    <w:abstractNumId w:val="49"/>
  </w:num>
  <w:num w:numId="12">
    <w:abstractNumId w:val="42"/>
  </w:num>
  <w:num w:numId="13">
    <w:abstractNumId w:val="37"/>
  </w:num>
  <w:num w:numId="14">
    <w:abstractNumId w:val="44"/>
  </w:num>
  <w:num w:numId="15">
    <w:abstractNumId w:val="27"/>
  </w:num>
  <w:num w:numId="16">
    <w:abstractNumId w:val="36"/>
  </w:num>
  <w:num w:numId="17">
    <w:abstractNumId w:val="22"/>
  </w:num>
  <w:num w:numId="18">
    <w:abstractNumId w:val="12"/>
  </w:num>
  <w:num w:numId="19">
    <w:abstractNumId w:val="11"/>
  </w:num>
  <w:num w:numId="20">
    <w:abstractNumId w:val="35"/>
  </w:num>
  <w:num w:numId="21">
    <w:abstractNumId w:val="0"/>
  </w:num>
  <w:num w:numId="22">
    <w:abstractNumId w:val="1"/>
  </w:num>
  <w:num w:numId="23">
    <w:abstractNumId w:val="29"/>
  </w:num>
  <w:num w:numId="24">
    <w:abstractNumId w:val="2"/>
  </w:num>
  <w:num w:numId="25">
    <w:abstractNumId w:val="16"/>
  </w:num>
  <w:num w:numId="26">
    <w:abstractNumId w:val="43"/>
  </w:num>
  <w:num w:numId="27">
    <w:abstractNumId w:val="18"/>
  </w:num>
  <w:num w:numId="28">
    <w:abstractNumId w:val="17"/>
  </w:num>
  <w:num w:numId="29">
    <w:abstractNumId w:val="3"/>
  </w:num>
  <w:num w:numId="30">
    <w:abstractNumId w:val="31"/>
  </w:num>
  <w:num w:numId="31">
    <w:abstractNumId w:val="39"/>
  </w:num>
  <w:num w:numId="32">
    <w:abstractNumId w:val="15"/>
  </w:num>
  <w:num w:numId="33">
    <w:abstractNumId w:val="25"/>
  </w:num>
  <w:num w:numId="34">
    <w:abstractNumId w:val="19"/>
  </w:num>
  <w:num w:numId="35">
    <w:abstractNumId w:val="40"/>
  </w:num>
  <w:num w:numId="36">
    <w:abstractNumId w:val="32"/>
  </w:num>
  <w:num w:numId="37">
    <w:abstractNumId w:val="10"/>
  </w:num>
  <w:num w:numId="38">
    <w:abstractNumId w:val="46"/>
  </w:num>
  <w:num w:numId="39">
    <w:abstractNumId w:val="41"/>
  </w:num>
  <w:num w:numId="40">
    <w:abstractNumId w:val="13"/>
  </w:num>
  <w:num w:numId="41">
    <w:abstractNumId w:val="33"/>
  </w:num>
  <w:num w:numId="42">
    <w:abstractNumId w:val="5"/>
  </w:num>
  <w:num w:numId="43">
    <w:abstractNumId w:val="28"/>
  </w:num>
  <w:num w:numId="44">
    <w:abstractNumId w:val="9"/>
  </w:num>
  <w:num w:numId="45">
    <w:abstractNumId w:val="21"/>
  </w:num>
  <w:num w:numId="46">
    <w:abstractNumId w:val="7"/>
  </w:num>
  <w:num w:numId="47">
    <w:abstractNumId w:val="20"/>
  </w:num>
  <w:num w:numId="48">
    <w:abstractNumId w:val="48"/>
  </w:num>
  <w:num w:numId="49">
    <w:abstractNumId w:val="30"/>
  </w:num>
  <w:num w:numId="50">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FDD"/>
    <w:rsid w:val="00003462"/>
    <w:rsid w:val="00004A2D"/>
    <w:rsid w:val="000111EB"/>
    <w:rsid w:val="0001255D"/>
    <w:rsid w:val="00027E79"/>
    <w:rsid w:val="0003214B"/>
    <w:rsid w:val="0004063C"/>
    <w:rsid w:val="0004247F"/>
    <w:rsid w:val="00057FD9"/>
    <w:rsid w:val="00062AFB"/>
    <w:rsid w:val="000655DD"/>
    <w:rsid w:val="00071F79"/>
    <w:rsid w:val="0007251B"/>
    <w:rsid w:val="000733A5"/>
    <w:rsid w:val="00082C5B"/>
    <w:rsid w:val="00083227"/>
    <w:rsid w:val="00086CBE"/>
    <w:rsid w:val="00090812"/>
    <w:rsid w:val="000921F0"/>
    <w:rsid w:val="000960B4"/>
    <w:rsid w:val="000A012A"/>
    <w:rsid w:val="000A56F7"/>
    <w:rsid w:val="000B0B94"/>
    <w:rsid w:val="000B152B"/>
    <w:rsid w:val="000C2719"/>
    <w:rsid w:val="000C40A7"/>
    <w:rsid w:val="000C7CFA"/>
    <w:rsid w:val="000D0D33"/>
    <w:rsid w:val="000D1D2C"/>
    <w:rsid w:val="000D4E9A"/>
    <w:rsid w:val="000D5962"/>
    <w:rsid w:val="000D7D44"/>
    <w:rsid w:val="000E0FF0"/>
    <w:rsid w:val="000E15DB"/>
    <w:rsid w:val="000E45E3"/>
    <w:rsid w:val="000E5068"/>
    <w:rsid w:val="000F1E4A"/>
    <w:rsid w:val="00100D34"/>
    <w:rsid w:val="00103EFD"/>
    <w:rsid w:val="00107D87"/>
    <w:rsid w:val="0012093E"/>
    <w:rsid w:val="00124C7B"/>
    <w:rsid w:val="001253F4"/>
    <w:rsid w:val="00131057"/>
    <w:rsid w:val="00132F2A"/>
    <w:rsid w:val="00135426"/>
    <w:rsid w:val="001369F8"/>
    <w:rsid w:val="00156A02"/>
    <w:rsid w:val="00157482"/>
    <w:rsid w:val="001707D8"/>
    <w:rsid w:val="00186038"/>
    <w:rsid w:val="001911D4"/>
    <w:rsid w:val="00191908"/>
    <w:rsid w:val="001A1BE8"/>
    <w:rsid w:val="001A7740"/>
    <w:rsid w:val="001B0A76"/>
    <w:rsid w:val="001B1684"/>
    <w:rsid w:val="001B4343"/>
    <w:rsid w:val="001B7DC0"/>
    <w:rsid w:val="001D1C73"/>
    <w:rsid w:val="001E7429"/>
    <w:rsid w:val="001F40B2"/>
    <w:rsid w:val="001F57F5"/>
    <w:rsid w:val="00201831"/>
    <w:rsid w:val="0020401C"/>
    <w:rsid w:val="0020629A"/>
    <w:rsid w:val="00206E11"/>
    <w:rsid w:val="00206FE3"/>
    <w:rsid w:val="00207554"/>
    <w:rsid w:val="00211261"/>
    <w:rsid w:val="00212F3F"/>
    <w:rsid w:val="00214D4E"/>
    <w:rsid w:val="00222F34"/>
    <w:rsid w:val="002339DD"/>
    <w:rsid w:val="002416AF"/>
    <w:rsid w:val="002455B8"/>
    <w:rsid w:val="002461F1"/>
    <w:rsid w:val="002517BB"/>
    <w:rsid w:val="00251CC4"/>
    <w:rsid w:val="00256E24"/>
    <w:rsid w:val="00263414"/>
    <w:rsid w:val="00265491"/>
    <w:rsid w:val="00274C23"/>
    <w:rsid w:val="00276CE2"/>
    <w:rsid w:val="00287885"/>
    <w:rsid w:val="00287AF1"/>
    <w:rsid w:val="002941C2"/>
    <w:rsid w:val="00294872"/>
    <w:rsid w:val="00294B86"/>
    <w:rsid w:val="002A41C6"/>
    <w:rsid w:val="002A5155"/>
    <w:rsid w:val="002B4457"/>
    <w:rsid w:val="002B785B"/>
    <w:rsid w:val="002C654A"/>
    <w:rsid w:val="002D1653"/>
    <w:rsid w:val="002E63C2"/>
    <w:rsid w:val="002E6CCF"/>
    <w:rsid w:val="002F1DD6"/>
    <w:rsid w:val="002F33D0"/>
    <w:rsid w:val="00300722"/>
    <w:rsid w:val="003029F5"/>
    <w:rsid w:val="0030316D"/>
    <w:rsid w:val="00331513"/>
    <w:rsid w:val="003340F8"/>
    <w:rsid w:val="003457DD"/>
    <w:rsid w:val="00360E2A"/>
    <w:rsid w:val="00363AC1"/>
    <w:rsid w:val="003641D9"/>
    <w:rsid w:val="00373D2F"/>
    <w:rsid w:val="00382FB0"/>
    <w:rsid w:val="003941AE"/>
    <w:rsid w:val="003967BD"/>
    <w:rsid w:val="0039752E"/>
    <w:rsid w:val="003A1C8D"/>
    <w:rsid w:val="003A2C7F"/>
    <w:rsid w:val="003A352F"/>
    <w:rsid w:val="003A7373"/>
    <w:rsid w:val="003A7774"/>
    <w:rsid w:val="003B1A37"/>
    <w:rsid w:val="003C7358"/>
    <w:rsid w:val="003E52CA"/>
    <w:rsid w:val="003E61F6"/>
    <w:rsid w:val="003F6269"/>
    <w:rsid w:val="003F6F43"/>
    <w:rsid w:val="00402C10"/>
    <w:rsid w:val="00402F5A"/>
    <w:rsid w:val="00407537"/>
    <w:rsid w:val="004165BD"/>
    <w:rsid w:val="00416D7A"/>
    <w:rsid w:val="0042220D"/>
    <w:rsid w:val="0042711C"/>
    <w:rsid w:val="0043377A"/>
    <w:rsid w:val="004379B6"/>
    <w:rsid w:val="00441E3A"/>
    <w:rsid w:val="0044428E"/>
    <w:rsid w:val="00446465"/>
    <w:rsid w:val="0044706E"/>
    <w:rsid w:val="0045422A"/>
    <w:rsid w:val="00460D54"/>
    <w:rsid w:val="00461D3E"/>
    <w:rsid w:val="0046226E"/>
    <w:rsid w:val="00463ABF"/>
    <w:rsid w:val="0047053E"/>
    <w:rsid w:val="004706CC"/>
    <w:rsid w:val="00470D47"/>
    <w:rsid w:val="00486BEC"/>
    <w:rsid w:val="004908E7"/>
    <w:rsid w:val="00497C49"/>
    <w:rsid w:val="004A111B"/>
    <w:rsid w:val="004B4FAD"/>
    <w:rsid w:val="004B75AC"/>
    <w:rsid w:val="004C3644"/>
    <w:rsid w:val="004D059C"/>
    <w:rsid w:val="004D12DD"/>
    <w:rsid w:val="004D603C"/>
    <w:rsid w:val="004E35AE"/>
    <w:rsid w:val="004E5778"/>
    <w:rsid w:val="004E7ED8"/>
    <w:rsid w:val="004F0859"/>
    <w:rsid w:val="004F379E"/>
    <w:rsid w:val="00500D6F"/>
    <w:rsid w:val="0050376D"/>
    <w:rsid w:val="00507A4C"/>
    <w:rsid w:val="00512C25"/>
    <w:rsid w:val="0051353D"/>
    <w:rsid w:val="00515288"/>
    <w:rsid w:val="00516C3F"/>
    <w:rsid w:val="0052659C"/>
    <w:rsid w:val="005302CB"/>
    <w:rsid w:val="00535403"/>
    <w:rsid w:val="00537F0A"/>
    <w:rsid w:val="00550120"/>
    <w:rsid w:val="00551C14"/>
    <w:rsid w:val="0055434C"/>
    <w:rsid w:val="005577C0"/>
    <w:rsid w:val="00567C38"/>
    <w:rsid w:val="005805FB"/>
    <w:rsid w:val="00591283"/>
    <w:rsid w:val="005970B5"/>
    <w:rsid w:val="005A61CE"/>
    <w:rsid w:val="005A7E5A"/>
    <w:rsid w:val="005B0FA8"/>
    <w:rsid w:val="005B1285"/>
    <w:rsid w:val="005B1410"/>
    <w:rsid w:val="005B3A92"/>
    <w:rsid w:val="005B6EB7"/>
    <w:rsid w:val="005D4A40"/>
    <w:rsid w:val="005D7B4E"/>
    <w:rsid w:val="005E493B"/>
    <w:rsid w:val="005E4A94"/>
    <w:rsid w:val="005E4B74"/>
    <w:rsid w:val="005F2951"/>
    <w:rsid w:val="005F6E0C"/>
    <w:rsid w:val="0061189A"/>
    <w:rsid w:val="00617D8A"/>
    <w:rsid w:val="00622DBF"/>
    <w:rsid w:val="00624DDC"/>
    <w:rsid w:val="006253B6"/>
    <w:rsid w:val="006257ED"/>
    <w:rsid w:val="0062686E"/>
    <w:rsid w:val="00630B30"/>
    <w:rsid w:val="00632C89"/>
    <w:rsid w:val="006340A6"/>
    <w:rsid w:val="00651FF6"/>
    <w:rsid w:val="00655AC1"/>
    <w:rsid w:val="00674F81"/>
    <w:rsid w:val="00682F3C"/>
    <w:rsid w:val="0068303E"/>
    <w:rsid w:val="0068383E"/>
    <w:rsid w:val="006A24D6"/>
    <w:rsid w:val="006A4D02"/>
    <w:rsid w:val="006B1BF9"/>
    <w:rsid w:val="006B31DA"/>
    <w:rsid w:val="006B48FC"/>
    <w:rsid w:val="006B4C19"/>
    <w:rsid w:val="006B53F1"/>
    <w:rsid w:val="006B6037"/>
    <w:rsid w:val="006C0E56"/>
    <w:rsid w:val="006C72BA"/>
    <w:rsid w:val="006D58D6"/>
    <w:rsid w:val="006D7F21"/>
    <w:rsid w:val="006E4F82"/>
    <w:rsid w:val="006F3190"/>
    <w:rsid w:val="00702466"/>
    <w:rsid w:val="00717BDC"/>
    <w:rsid w:val="00723A28"/>
    <w:rsid w:val="0072416E"/>
    <w:rsid w:val="00736B62"/>
    <w:rsid w:val="00736D79"/>
    <w:rsid w:val="007377F4"/>
    <w:rsid w:val="00764C85"/>
    <w:rsid w:val="007700E2"/>
    <w:rsid w:val="00777A30"/>
    <w:rsid w:val="00784C64"/>
    <w:rsid w:val="00793E3E"/>
    <w:rsid w:val="0079652E"/>
    <w:rsid w:val="007A29C5"/>
    <w:rsid w:val="007A685E"/>
    <w:rsid w:val="007C7B4B"/>
    <w:rsid w:val="007D653B"/>
    <w:rsid w:val="007E44E0"/>
    <w:rsid w:val="007F6514"/>
    <w:rsid w:val="008053BC"/>
    <w:rsid w:val="00813C48"/>
    <w:rsid w:val="00823153"/>
    <w:rsid w:val="00823428"/>
    <w:rsid w:val="00830DF9"/>
    <w:rsid w:val="008369BA"/>
    <w:rsid w:val="00840D32"/>
    <w:rsid w:val="00842001"/>
    <w:rsid w:val="00842787"/>
    <w:rsid w:val="00843933"/>
    <w:rsid w:val="00850162"/>
    <w:rsid w:val="008530BC"/>
    <w:rsid w:val="00854687"/>
    <w:rsid w:val="00864C1F"/>
    <w:rsid w:val="00870FA1"/>
    <w:rsid w:val="00875220"/>
    <w:rsid w:val="00881985"/>
    <w:rsid w:val="0088752A"/>
    <w:rsid w:val="00891CD9"/>
    <w:rsid w:val="00896FA5"/>
    <w:rsid w:val="008A1812"/>
    <w:rsid w:val="008A3D43"/>
    <w:rsid w:val="008B3A3B"/>
    <w:rsid w:val="008C28DD"/>
    <w:rsid w:val="008D0422"/>
    <w:rsid w:val="008D110C"/>
    <w:rsid w:val="008E0239"/>
    <w:rsid w:val="008E4718"/>
    <w:rsid w:val="008F1B29"/>
    <w:rsid w:val="008F2446"/>
    <w:rsid w:val="008F735D"/>
    <w:rsid w:val="00901040"/>
    <w:rsid w:val="009139B3"/>
    <w:rsid w:val="00915632"/>
    <w:rsid w:val="00915B41"/>
    <w:rsid w:val="00923F25"/>
    <w:rsid w:val="00925E05"/>
    <w:rsid w:val="009305DB"/>
    <w:rsid w:val="009428D3"/>
    <w:rsid w:val="00963503"/>
    <w:rsid w:val="00965DBD"/>
    <w:rsid w:val="00971760"/>
    <w:rsid w:val="00971944"/>
    <w:rsid w:val="00973294"/>
    <w:rsid w:val="009815C6"/>
    <w:rsid w:val="00982352"/>
    <w:rsid w:val="00982F14"/>
    <w:rsid w:val="00996201"/>
    <w:rsid w:val="009A39E1"/>
    <w:rsid w:val="009A3AD8"/>
    <w:rsid w:val="009A3DA2"/>
    <w:rsid w:val="009A41CD"/>
    <w:rsid w:val="009A6EE8"/>
    <w:rsid w:val="009B0F58"/>
    <w:rsid w:val="009B3A9E"/>
    <w:rsid w:val="009C3380"/>
    <w:rsid w:val="009C3792"/>
    <w:rsid w:val="009C4FD5"/>
    <w:rsid w:val="009D4A98"/>
    <w:rsid w:val="009E35F1"/>
    <w:rsid w:val="009E7E38"/>
    <w:rsid w:val="009F265B"/>
    <w:rsid w:val="009F482C"/>
    <w:rsid w:val="009F68DB"/>
    <w:rsid w:val="00A00F2C"/>
    <w:rsid w:val="00A03E3F"/>
    <w:rsid w:val="00A04159"/>
    <w:rsid w:val="00A043D5"/>
    <w:rsid w:val="00A048AE"/>
    <w:rsid w:val="00A04EF1"/>
    <w:rsid w:val="00A064B9"/>
    <w:rsid w:val="00A1108E"/>
    <w:rsid w:val="00A126D4"/>
    <w:rsid w:val="00A16D8B"/>
    <w:rsid w:val="00A277F6"/>
    <w:rsid w:val="00A27CD0"/>
    <w:rsid w:val="00A362B6"/>
    <w:rsid w:val="00A369CE"/>
    <w:rsid w:val="00A47945"/>
    <w:rsid w:val="00A63B9E"/>
    <w:rsid w:val="00A67DFF"/>
    <w:rsid w:val="00A71475"/>
    <w:rsid w:val="00A714DC"/>
    <w:rsid w:val="00A7179C"/>
    <w:rsid w:val="00A761CB"/>
    <w:rsid w:val="00A8011B"/>
    <w:rsid w:val="00A85701"/>
    <w:rsid w:val="00A93035"/>
    <w:rsid w:val="00A94D67"/>
    <w:rsid w:val="00A9500C"/>
    <w:rsid w:val="00A96659"/>
    <w:rsid w:val="00A96668"/>
    <w:rsid w:val="00AA0E73"/>
    <w:rsid w:val="00AA1AD1"/>
    <w:rsid w:val="00AA1D23"/>
    <w:rsid w:val="00AA4DDA"/>
    <w:rsid w:val="00AA644C"/>
    <w:rsid w:val="00AB75E5"/>
    <w:rsid w:val="00AC79BA"/>
    <w:rsid w:val="00AC7C30"/>
    <w:rsid w:val="00AD1258"/>
    <w:rsid w:val="00AD315E"/>
    <w:rsid w:val="00AD3261"/>
    <w:rsid w:val="00AD4355"/>
    <w:rsid w:val="00AD73E2"/>
    <w:rsid w:val="00AE3C3F"/>
    <w:rsid w:val="00AE3F5F"/>
    <w:rsid w:val="00AE7288"/>
    <w:rsid w:val="00AF6018"/>
    <w:rsid w:val="00AF7A4A"/>
    <w:rsid w:val="00B13DC4"/>
    <w:rsid w:val="00B17B7C"/>
    <w:rsid w:val="00B21EFC"/>
    <w:rsid w:val="00B23277"/>
    <w:rsid w:val="00B245AD"/>
    <w:rsid w:val="00B364B1"/>
    <w:rsid w:val="00B4182B"/>
    <w:rsid w:val="00B45A3E"/>
    <w:rsid w:val="00B55E54"/>
    <w:rsid w:val="00B56589"/>
    <w:rsid w:val="00B578D7"/>
    <w:rsid w:val="00B63229"/>
    <w:rsid w:val="00B642F6"/>
    <w:rsid w:val="00B64D05"/>
    <w:rsid w:val="00B70460"/>
    <w:rsid w:val="00B7203B"/>
    <w:rsid w:val="00B739E3"/>
    <w:rsid w:val="00B81481"/>
    <w:rsid w:val="00B900DC"/>
    <w:rsid w:val="00B909A8"/>
    <w:rsid w:val="00B9441B"/>
    <w:rsid w:val="00BA5034"/>
    <w:rsid w:val="00BB3963"/>
    <w:rsid w:val="00BB4BF8"/>
    <w:rsid w:val="00BB5007"/>
    <w:rsid w:val="00BB63D3"/>
    <w:rsid w:val="00BD6C37"/>
    <w:rsid w:val="00BD702B"/>
    <w:rsid w:val="00BD707E"/>
    <w:rsid w:val="00BD772C"/>
    <w:rsid w:val="00BD7B78"/>
    <w:rsid w:val="00BE773B"/>
    <w:rsid w:val="00BF7CD0"/>
    <w:rsid w:val="00C05352"/>
    <w:rsid w:val="00C10753"/>
    <w:rsid w:val="00C11311"/>
    <w:rsid w:val="00C116A0"/>
    <w:rsid w:val="00C11999"/>
    <w:rsid w:val="00C15082"/>
    <w:rsid w:val="00C318C6"/>
    <w:rsid w:val="00C32404"/>
    <w:rsid w:val="00C42D18"/>
    <w:rsid w:val="00C703C9"/>
    <w:rsid w:val="00C73360"/>
    <w:rsid w:val="00C73472"/>
    <w:rsid w:val="00C83671"/>
    <w:rsid w:val="00C86CB2"/>
    <w:rsid w:val="00C91C71"/>
    <w:rsid w:val="00C91EC6"/>
    <w:rsid w:val="00C95126"/>
    <w:rsid w:val="00C966D9"/>
    <w:rsid w:val="00CA0D05"/>
    <w:rsid w:val="00CA5851"/>
    <w:rsid w:val="00CA72A5"/>
    <w:rsid w:val="00CB0790"/>
    <w:rsid w:val="00CB1175"/>
    <w:rsid w:val="00CB256F"/>
    <w:rsid w:val="00CB3291"/>
    <w:rsid w:val="00CB7D74"/>
    <w:rsid w:val="00CC07BF"/>
    <w:rsid w:val="00CC3FD8"/>
    <w:rsid w:val="00CC4651"/>
    <w:rsid w:val="00CD0787"/>
    <w:rsid w:val="00CD2D0E"/>
    <w:rsid w:val="00CE018E"/>
    <w:rsid w:val="00CE1E63"/>
    <w:rsid w:val="00CE7A4A"/>
    <w:rsid w:val="00CF06FC"/>
    <w:rsid w:val="00CF12A9"/>
    <w:rsid w:val="00CF3F7E"/>
    <w:rsid w:val="00D03C23"/>
    <w:rsid w:val="00D04920"/>
    <w:rsid w:val="00D12965"/>
    <w:rsid w:val="00D1343F"/>
    <w:rsid w:val="00D13AA8"/>
    <w:rsid w:val="00D15302"/>
    <w:rsid w:val="00D239B5"/>
    <w:rsid w:val="00D31B45"/>
    <w:rsid w:val="00D32B72"/>
    <w:rsid w:val="00D4033C"/>
    <w:rsid w:val="00D40C16"/>
    <w:rsid w:val="00D45504"/>
    <w:rsid w:val="00D4585C"/>
    <w:rsid w:val="00D51300"/>
    <w:rsid w:val="00D5346A"/>
    <w:rsid w:val="00D53A41"/>
    <w:rsid w:val="00D55767"/>
    <w:rsid w:val="00D60A78"/>
    <w:rsid w:val="00D67B8C"/>
    <w:rsid w:val="00D71BA0"/>
    <w:rsid w:val="00D749DF"/>
    <w:rsid w:val="00D76847"/>
    <w:rsid w:val="00D801C1"/>
    <w:rsid w:val="00D82755"/>
    <w:rsid w:val="00D82E67"/>
    <w:rsid w:val="00D831AC"/>
    <w:rsid w:val="00D9482B"/>
    <w:rsid w:val="00D959AF"/>
    <w:rsid w:val="00D97926"/>
    <w:rsid w:val="00D97A30"/>
    <w:rsid w:val="00DA0218"/>
    <w:rsid w:val="00DA033A"/>
    <w:rsid w:val="00DA0BAE"/>
    <w:rsid w:val="00DA3557"/>
    <w:rsid w:val="00DA4701"/>
    <w:rsid w:val="00DC65F2"/>
    <w:rsid w:val="00DC6DBD"/>
    <w:rsid w:val="00DC7876"/>
    <w:rsid w:val="00DC7DD5"/>
    <w:rsid w:val="00DE3ED7"/>
    <w:rsid w:val="00DF00A2"/>
    <w:rsid w:val="00DF0D36"/>
    <w:rsid w:val="00DF1291"/>
    <w:rsid w:val="00E1392C"/>
    <w:rsid w:val="00E22AC6"/>
    <w:rsid w:val="00E24830"/>
    <w:rsid w:val="00E318A6"/>
    <w:rsid w:val="00E41C62"/>
    <w:rsid w:val="00E41EE9"/>
    <w:rsid w:val="00E45E05"/>
    <w:rsid w:val="00E461D4"/>
    <w:rsid w:val="00E477B4"/>
    <w:rsid w:val="00E56664"/>
    <w:rsid w:val="00E62285"/>
    <w:rsid w:val="00E62819"/>
    <w:rsid w:val="00E660B9"/>
    <w:rsid w:val="00E71E25"/>
    <w:rsid w:val="00E779ED"/>
    <w:rsid w:val="00E85A41"/>
    <w:rsid w:val="00E86A6D"/>
    <w:rsid w:val="00E9000B"/>
    <w:rsid w:val="00E9045F"/>
    <w:rsid w:val="00E93908"/>
    <w:rsid w:val="00EA0D4F"/>
    <w:rsid w:val="00EA1961"/>
    <w:rsid w:val="00EA2075"/>
    <w:rsid w:val="00EA405B"/>
    <w:rsid w:val="00EB4C26"/>
    <w:rsid w:val="00EB5387"/>
    <w:rsid w:val="00EB6134"/>
    <w:rsid w:val="00EC1A6C"/>
    <w:rsid w:val="00EC5FBD"/>
    <w:rsid w:val="00ED7509"/>
    <w:rsid w:val="00EE0980"/>
    <w:rsid w:val="00EE0D09"/>
    <w:rsid w:val="00EE38AF"/>
    <w:rsid w:val="00EF254B"/>
    <w:rsid w:val="00EF4FF2"/>
    <w:rsid w:val="00F00AAF"/>
    <w:rsid w:val="00F06B2E"/>
    <w:rsid w:val="00F07091"/>
    <w:rsid w:val="00F071CA"/>
    <w:rsid w:val="00F071DE"/>
    <w:rsid w:val="00F17B8C"/>
    <w:rsid w:val="00F211C9"/>
    <w:rsid w:val="00F42246"/>
    <w:rsid w:val="00F5568A"/>
    <w:rsid w:val="00F55C8B"/>
    <w:rsid w:val="00F60C68"/>
    <w:rsid w:val="00F63F7E"/>
    <w:rsid w:val="00F65EAF"/>
    <w:rsid w:val="00F72CFE"/>
    <w:rsid w:val="00F7360A"/>
    <w:rsid w:val="00F74630"/>
    <w:rsid w:val="00F81DD6"/>
    <w:rsid w:val="00F90C17"/>
    <w:rsid w:val="00F90D17"/>
    <w:rsid w:val="00F9122A"/>
    <w:rsid w:val="00F9764A"/>
    <w:rsid w:val="00FA4833"/>
    <w:rsid w:val="00FA6D2C"/>
    <w:rsid w:val="00FB5BF6"/>
    <w:rsid w:val="00FC0429"/>
    <w:rsid w:val="00FC5B26"/>
    <w:rsid w:val="00FC779A"/>
    <w:rsid w:val="00FD204C"/>
    <w:rsid w:val="00FD2A7D"/>
    <w:rsid w:val="00FE6943"/>
    <w:rsid w:val="00FF5786"/>
    <w:rsid w:val="00FF5C51"/>
    <w:rsid w:val="5E93B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E86A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ALT-F,F1,*Footnote Text,Footnote Text Char Char Char Char,Footnote Text Char Char,Footnote Text ERA,Footnote Text ERA1,Footnote Text ERA2,Footnote Text ERA11,Footnote Text ERA3,Footnote Text ERA12,Footnote Text ERA21,fn"/>
    <w:basedOn w:val="Normal"/>
    <w:link w:val="FootnoteTextChar"/>
    <w:uiPriority w:val="99"/>
    <w:semiHidden/>
    <w:unhideWhenUsed/>
    <w:qFormat/>
    <w:rsid w:val="00B55E54"/>
    <w:pPr>
      <w:spacing w:after="0" w:line="240" w:lineRule="auto"/>
    </w:pPr>
    <w:rPr>
      <w:sz w:val="20"/>
      <w:szCs w:val="20"/>
    </w:rPr>
  </w:style>
  <w:style w:type="character" w:customStyle="1" w:styleId="FootnoteTextChar">
    <w:name w:val="Footnote Text Char"/>
    <w:aliases w:val="*Footnote Text ALT-F Char,F1 Char,*Footnote Text Char,Footnote Text Char Char Char Char Char,Footnote Text Char Char Char,Footnote Text ERA Char,Footnote Text ERA1 Char,Footnote Text ERA2 Char,Footnote Text ERA11 Char,fn Char"/>
    <w:basedOn w:val="DefaultParagraphFont"/>
    <w:link w:val="FootnoteText"/>
    <w:uiPriority w:val="99"/>
    <w:semiHidden/>
    <w:rsid w:val="00B55E54"/>
    <w:rPr>
      <w:sz w:val="20"/>
      <w:szCs w:val="20"/>
    </w:rPr>
  </w:style>
  <w:style w:type="character" w:styleId="FootnoteReference">
    <w:name w:val="footnote reference"/>
    <w:aliases w:val="*Footnote Reference ALT-R,*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unhideWhenUsed/>
    <w:rsid w:val="001911D4"/>
    <w:rPr>
      <w:color w:val="605E5C"/>
      <w:shd w:val="clear" w:color="auto" w:fill="E1DFDD"/>
    </w:rPr>
  </w:style>
  <w:style w:type="character" w:customStyle="1" w:styleId="Mention1">
    <w:name w:val="Mention1"/>
    <w:basedOn w:val="DefaultParagraphFont"/>
    <w:uiPriority w:val="99"/>
    <w:unhideWhenUsed/>
    <w:rsid w:val="001911D4"/>
    <w:rPr>
      <w:color w:val="2B579A"/>
      <w:shd w:val="clear" w:color="auto" w:fill="E1DFDD"/>
    </w:rPr>
  </w:style>
  <w:style w:type="character" w:customStyle="1" w:styleId="UnresolvedMention2">
    <w:name w:val="Unresolved Mention2"/>
    <w:basedOn w:val="DefaultParagraphFont"/>
    <w:uiPriority w:val="99"/>
    <w:semiHidden/>
    <w:unhideWhenUsed/>
    <w:rsid w:val="00124C7B"/>
    <w:rPr>
      <w:color w:val="605E5C"/>
      <w:shd w:val="clear" w:color="auto" w:fill="E1DFDD"/>
    </w:rPr>
  </w:style>
  <w:style w:type="character" w:customStyle="1" w:styleId="Heading3Char">
    <w:name w:val="Heading 3 Char"/>
    <w:basedOn w:val="DefaultParagraphFont"/>
    <w:link w:val="Heading3"/>
    <w:uiPriority w:val="9"/>
    <w:semiHidden/>
    <w:rsid w:val="00E86A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47">
      <w:bodyDiv w:val="1"/>
      <w:marLeft w:val="0"/>
      <w:marRight w:val="0"/>
      <w:marTop w:val="0"/>
      <w:marBottom w:val="0"/>
      <w:divBdr>
        <w:top w:val="none" w:sz="0" w:space="0" w:color="auto"/>
        <w:left w:val="none" w:sz="0" w:space="0" w:color="auto"/>
        <w:bottom w:val="none" w:sz="0" w:space="0" w:color="auto"/>
        <w:right w:val="none" w:sz="0" w:space="0" w:color="auto"/>
      </w:divBdr>
    </w:div>
    <w:div w:id="210773146">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25618398">
      <w:bodyDiv w:val="1"/>
      <w:marLeft w:val="0"/>
      <w:marRight w:val="0"/>
      <w:marTop w:val="0"/>
      <w:marBottom w:val="0"/>
      <w:divBdr>
        <w:top w:val="none" w:sz="0" w:space="0" w:color="auto"/>
        <w:left w:val="none" w:sz="0" w:space="0" w:color="auto"/>
        <w:bottom w:val="none" w:sz="0" w:space="0" w:color="auto"/>
        <w:right w:val="none" w:sz="0" w:space="0" w:color="auto"/>
      </w:divBdr>
    </w:div>
    <w:div w:id="473647410">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41175359">
      <w:bodyDiv w:val="1"/>
      <w:marLeft w:val="0"/>
      <w:marRight w:val="0"/>
      <w:marTop w:val="0"/>
      <w:marBottom w:val="0"/>
      <w:divBdr>
        <w:top w:val="none" w:sz="0" w:space="0" w:color="auto"/>
        <w:left w:val="none" w:sz="0" w:space="0" w:color="auto"/>
        <w:bottom w:val="none" w:sz="0" w:space="0" w:color="auto"/>
        <w:right w:val="none" w:sz="0" w:space="0" w:color="auto"/>
      </w:divBdr>
      <w:divsChild>
        <w:div w:id="213392103">
          <w:marLeft w:val="720"/>
          <w:marRight w:val="0"/>
          <w:marTop w:val="200"/>
          <w:marBottom w:val="0"/>
          <w:divBdr>
            <w:top w:val="none" w:sz="0" w:space="0" w:color="auto"/>
            <w:left w:val="none" w:sz="0" w:space="0" w:color="auto"/>
            <w:bottom w:val="none" w:sz="0" w:space="0" w:color="auto"/>
            <w:right w:val="none" w:sz="0" w:space="0" w:color="auto"/>
          </w:divBdr>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61753063">
      <w:bodyDiv w:val="1"/>
      <w:marLeft w:val="0"/>
      <w:marRight w:val="0"/>
      <w:marTop w:val="0"/>
      <w:marBottom w:val="0"/>
      <w:divBdr>
        <w:top w:val="none" w:sz="0" w:space="0" w:color="auto"/>
        <w:left w:val="none" w:sz="0" w:space="0" w:color="auto"/>
        <w:bottom w:val="none" w:sz="0" w:space="0" w:color="auto"/>
        <w:right w:val="none" w:sz="0" w:space="0" w:color="auto"/>
      </w:divBdr>
    </w:div>
    <w:div w:id="111143409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02736457">
      <w:bodyDiv w:val="1"/>
      <w:marLeft w:val="0"/>
      <w:marRight w:val="0"/>
      <w:marTop w:val="0"/>
      <w:marBottom w:val="0"/>
      <w:divBdr>
        <w:top w:val="none" w:sz="0" w:space="0" w:color="auto"/>
        <w:left w:val="none" w:sz="0" w:space="0" w:color="auto"/>
        <w:bottom w:val="none" w:sz="0" w:space="0" w:color="auto"/>
        <w:right w:val="none" w:sz="0" w:space="0" w:color="auto"/>
      </w:divBdr>
      <w:divsChild>
        <w:div w:id="722680685">
          <w:marLeft w:val="360"/>
          <w:marRight w:val="0"/>
          <w:marTop w:val="200"/>
          <w:marBottom w:val="0"/>
          <w:divBdr>
            <w:top w:val="none" w:sz="0" w:space="0" w:color="auto"/>
            <w:left w:val="none" w:sz="0" w:space="0" w:color="auto"/>
            <w:bottom w:val="none" w:sz="0" w:space="0" w:color="auto"/>
            <w:right w:val="none" w:sz="0" w:space="0" w:color="auto"/>
          </w:divBdr>
        </w:div>
      </w:divsChild>
    </w:div>
    <w:div w:id="175073670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Mary Farrell</DisplayName>
        <AccountId>15</AccountId>
        <AccountType/>
      </UserInfo>
      <UserInfo>
        <DisplayName>Carly Morrison</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F04C9-9D3A-4581-AC52-ABF421050500}">
  <ds:schemaRefs>
    <ds:schemaRef ds:uri="http://schemas.openxmlformats.org/officeDocument/2006/bibliography"/>
  </ds:schemaRefs>
</ds:datastoreItem>
</file>

<file path=customXml/itemProps2.xml><?xml version="1.0" encoding="utf-8"?>
<ds:datastoreItem xmlns:ds="http://schemas.openxmlformats.org/officeDocument/2006/customXml" ds:itemID="{09682585-7A72-4A93-90BE-315C377AC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purl.org/dc/dcmitype/"/>
    <ds:schemaRef ds:uri="http://www.w3.org/XML/1998/namespace"/>
    <ds:schemaRef ds:uri="http://schemas.microsoft.com/office/2006/documentManagement/types"/>
    <ds:schemaRef ds:uri="http://purl.org/dc/elements/1.1/"/>
    <ds:schemaRef ds:uri="http://purl.org/dc/terms/"/>
    <ds:schemaRef ds:uri="e6d572b8-3416-4300-937c-37b0fc4038b5"/>
    <ds:schemaRef ds:uri="http://schemas.openxmlformats.org/package/2006/metadata/core-properties"/>
    <ds:schemaRef ds:uri="http://schemas.microsoft.com/office/infopath/2007/PartnerControls"/>
    <ds:schemaRef ds:uri="376dd361-3c7b-48c0-ad91-5dd9648e9fb2"/>
    <ds:schemaRef ds:uri="http://schemas.microsoft.com/office/2006/metadata/properties"/>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Carly Morrison</dc:creator>
  <cp:lastModifiedBy>Wilson, Camille (ACF) (CTR)</cp:lastModifiedBy>
  <cp:revision>4</cp:revision>
  <dcterms:created xsi:type="dcterms:W3CDTF">2021-10-28T14:08:00Z</dcterms:created>
  <dcterms:modified xsi:type="dcterms:W3CDTF">2021-11-23T19:27:00Z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y fmtid="{D5CDD505-2E9C-101B-9397-08002B2CF9AE}" pid="3" name="Order">
    <vt:r8>79500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