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65BD5" w:rsidR="00665BD5" w:rsidP="61642B73" w:rsidRDefault="449068A3" w14:paraId="59DFB096" w14:textId="639BF46C">
      <w:pPr>
        <w:keepNext/>
        <w:rPr>
          <w:b/>
          <w:bCs/>
        </w:rPr>
      </w:pPr>
      <w:r w:rsidRPr="6050BBAD">
        <w:rPr>
          <w:b/>
          <w:bCs/>
        </w:rPr>
        <w:t xml:space="preserve">Appendix </w:t>
      </w:r>
      <w:r w:rsidR="00B2090A">
        <w:rPr>
          <w:b/>
          <w:bCs/>
        </w:rPr>
        <w:t>F</w:t>
      </w:r>
    </w:p>
    <w:p w:rsidRPr="00665BD5" w:rsidR="008D368C" w:rsidP="61642B73" w:rsidRDefault="449068A3" w14:paraId="29E7CB68" w14:textId="4E63E22F">
      <w:pPr>
        <w:keepNext/>
        <w:rPr>
          <w:b/>
          <w:bCs/>
        </w:rPr>
      </w:pPr>
      <w:r w:rsidRPr="6050BBAD">
        <w:rPr>
          <w:b/>
          <w:bCs/>
        </w:rPr>
        <w:t xml:space="preserve">MIHOPE-K: </w:t>
      </w:r>
      <w:r w:rsidRPr="6050BBAD" w:rsidR="12B167FB">
        <w:rPr>
          <w:b/>
          <w:bCs/>
        </w:rPr>
        <w:t>Maximizing Response Rates</w:t>
      </w:r>
    </w:p>
    <w:p w:rsidRPr="00040A35" w:rsidR="008D368C" w:rsidP="00CA6893" w:rsidRDefault="008D368C" w14:paraId="3C731957" w14:textId="77777777">
      <w:pPr>
        <w:keepNext/>
        <w:rPr>
          <w:b/>
          <w:i/>
        </w:rPr>
      </w:pPr>
    </w:p>
    <w:p w:rsidRPr="00040A35" w:rsidR="00DF0E35" w:rsidP="00C34A8E" w:rsidRDefault="000C6D43" w14:paraId="26A0002A" w14:textId="1764B656">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Minimizing sample attrition is of utmost importance to any longitudinal study. </w:t>
      </w:r>
      <w:r w:rsidR="00C76F9B">
        <w:rPr>
          <w:rFonts w:ascii="Times New Roman" w:hAnsi="Times New Roman"/>
        </w:rPr>
        <w:t>Experience with this sample has demonstrated</w:t>
      </w:r>
      <w:r w:rsidRPr="00040A35">
        <w:rPr>
          <w:rFonts w:ascii="Times New Roman" w:hAnsi="Times New Roman"/>
        </w:rPr>
        <w:t xml:space="preserve"> that many MIHOPE families </w:t>
      </w:r>
      <w:r w:rsidR="00C76F9B">
        <w:rPr>
          <w:rFonts w:ascii="Times New Roman" w:hAnsi="Times New Roman"/>
        </w:rPr>
        <w:t>have been</w:t>
      </w:r>
      <w:r w:rsidRPr="00040A35">
        <w:rPr>
          <w:rFonts w:ascii="Times New Roman" w:hAnsi="Times New Roman"/>
        </w:rPr>
        <w:t xml:space="preserve"> highly mobile, and therefore </w:t>
      </w:r>
      <w:r w:rsidR="00C76F9B">
        <w:rPr>
          <w:rFonts w:ascii="Times New Roman" w:hAnsi="Times New Roman"/>
        </w:rPr>
        <w:t>are at continued</w:t>
      </w:r>
      <w:r w:rsidRPr="00040A35" w:rsidR="00976DFA">
        <w:rPr>
          <w:rFonts w:ascii="Times New Roman" w:hAnsi="Times New Roman"/>
        </w:rPr>
        <w:t xml:space="preserve"> risk of attrition at follow-</w:t>
      </w:r>
      <w:r w:rsidRPr="00040A35">
        <w:rPr>
          <w:rFonts w:ascii="Times New Roman" w:hAnsi="Times New Roman"/>
        </w:rPr>
        <w:t xml:space="preserve">up. </w:t>
      </w:r>
    </w:p>
    <w:p w:rsidRPr="00040A35" w:rsidR="009007F0" w:rsidP="00C34A8E" w:rsidRDefault="009007F0" w14:paraId="633311C3" w14:textId="77777777">
      <w:pPr>
        <w:pStyle w:val="NumberedBullet"/>
        <w:numPr>
          <w:ilvl w:val="0"/>
          <w:numId w:val="0"/>
        </w:numPr>
        <w:tabs>
          <w:tab w:val="clear" w:pos="360"/>
        </w:tabs>
        <w:spacing w:after="0"/>
        <w:ind w:right="0"/>
        <w:jc w:val="left"/>
        <w:rPr>
          <w:rFonts w:ascii="Times New Roman" w:hAnsi="Times New Roman"/>
        </w:rPr>
      </w:pPr>
    </w:p>
    <w:p w:rsidRPr="00040A35" w:rsidR="000C6D43" w:rsidP="00C34A8E" w:rsidRDefault="000C6D43" w14:paraId="393D631F" w14:textId="65E03258">
      <w:pPr>
        <w:pStyle w:val="NumberedBullet"/>
        <w:numPr>
          <w:ilvl w:val="0"/>
          <w:numId w:val="0"/>
        </w:numPr>
        <w:tabs>
          <w:tab w:val="clear" w:pos="360"/>
        </w:tabs>
        <w:spacing w:after="0"/>
        <w:ind w:right="0"/>
        <w:jc w:val="left"/>
        <w:rPr>
          <w:rFonts w:ascii="Times New Roman" w:hAnsi="Times New Roman"/>
        </w:rPr>
      </w:pPr>
      <w:r w:rsidRPr="671FB2DC">
        <w:rPr>
          <w:rFonts w:ascii="Times New Roman" w:hAnsi="Times New Roman"/>
        </w:rPr>
        <w:t xml:space="preserve">Several strategies </w:t>
      </w:r>
      <w:r w:rsidRPr="671FB2DC" w:rsidR="000607CB">
        <w:rPr>
          <w:rFonts w:ascii="Times New Roman" w:hAnsi="Times New Roman"/>
        </w:rPr>
        <w:t>have been</w:t>
      </w:r>
      <w:r w:rsidRPr="671FB2DC">
        <w:rPr>
          <w:rFonts w:ascii="Times New Roman" w:hAnsi="Times New Roman"/>
        </w:rPr>
        <w:t xml:space="preserve"> adopted to mitigate </w:t>
      </w:r>
      <w:r w:rsidRPr="671FB2DC" w:rsidR="00976DFA">
        <w:rPr>
          <w:rFonts w:ascii="Times New Roman" w:hAnsi="Times New Roman"/>
        </w:rPr>
        <w:t xml:space="preserve">the risk of attrition at </w:t>
      </w:r>
      <w:r w:rsidRPr="671FB2DC" w:rsidR="00806E3E">
        <w:rPr>
          <w:rFonts w:ascii="Times New Roman" w:hAnsi="Times New Roman"/>
        </w:rPr>
        <w:t xml:space="preserve">the kindergarten </w:t>
      </w:r>
      <w:r w:rsidRPr="671FB2DC" w:rsidR="00976DFA">
        <w:rPr>
          <w:rFonts w:ascii="Times New Roman" w:hAnsi="Times New Roman"/>
        </w:rPr>
        <w:t>follow-</w:t>
      </w:r>
      <w:r w:rsidRPr="671FB2DC">
        <w:rPr>
          <w:rFonts w:ascii="Times New Roman" w:hAnsi="Times New Roman"/>
        </w:rPr>
        <w:t>up:</w:t>
      </w:r>
    </w:p>
    <w:p w:rsidRPr="00040A35" w:rsidR="00CC34C7" w:rsidP="00C34A8E" w:rsidRDefault="00CC34C7" w14:paraId="03106AB7" w14:textId="77777777">
      <w:pPr>
        <w:pStyle w:val="NumberedBullet"/>
        <w:numPr>
          <w:ilvl w:val="0"/>
          <w:numId w:val="0"/>
        </w:numPr>
        <w:tabs>
          <w:tab w:val="clear" w:pos="360"/>
        </w:tabs>
        <w:spacing w:after="0"/>
        <w:jc w:val="left"/>
        <w:rPr>
          <w:rFonts w:ascii="Times New Roman" w:hAnsi="Times New Roman"/>
        </w:rPr>
      </w:pPr>
    </w:p>
    <w:p w:rsidRPr="003C4AE4" w:rsidR="00E136B8" w:rsidP="00C34A8E" w:rsidRDefault="00E136B8" w14:paraId="2C4F2FA6" w14:textId="7510618B">
      <w:pPr>
        <w:pStyle w:val="ListParagraph"/>
        <w:numPr>
          <w:ilvl w:val="0"/>
          <w:numId w:val="6"/>
        </w:numPr>
        <w:tabs>
          <w:tab w:val="clear" w:pos="720"/>
          <w:tab w:val="clear" w:pos="1080"/>
          <w:tab w:val="clear" w:pos="1440"/>
          <w:tab w:val="clear" w:pos="1800"/>
          <w:tab w:val="left" w:pos="432"/>
        </w:tabs>
        <w:spacing w:line="240" w:lineRule="auto"/>
        <w:rPr>
          <w:b/>
          <w:sz w:val="24"/>
          <w:szCs w:val="24"/>
        </w:rPr>
      </w:pPr>
      <w:r w:rsidRPr="003C4AE4">
        <w:rPr>
          <w:b/>
          <w:sz w:val="24"/>
          <w:szCs w:val="24"/>
        </w:rPr>
        <w:t>Implementing a multi-pronged tracing effort to minimize attrition from outdated contact information</w:t>
      </w:r>
    </w:p>
    <w:p w:rsidR="00AD5E18" w:rsidP="003C4AE4" w:rsidRDefault="00AD5E18" w14:paraId="1DEB16B4" w14:textId="77777777">
      <w:pPr>
        <w:pStyle w:val="ListParagraph"/>
        <w:tabs>
          <w:tab w:val="clear" w:pos="720"/>
          <w:tab w:val="clear" w:pos="1080"/>
          <w:tab w:val="clear" w:pos="1440"/>
          <w:tab w:val="clear" w:pos="1800"/>
          <w:tab w:val="left" w:pos="432"/>
        </w:tabs>
        <w:spacing w:line="240" w:lineRule="auto"/>
        <w:rPr>
          <w:sz w:val="24"/>
          <w:szCs w:val="24"/>
        </w:rPr>
      </w:pPr>
    </w:p>
    <w:p w:rsidRPr="00974FAE" w:rsidR="000C6D43" w:rsidP="003C4AE4" w:rsidRDefault="006E66CF" w14:paraId="27DAA8C7" w14:textId="75E60F12">
      <w:pPr>
        <w:tabs>
          <w:tab w:val="left" w:pos="432"/>
        </w:tabs>
        <w:ind w:left="432"/>
      </w:pPr>
      <w:r w:rsidRPr="00C23CA1">
        <w:t>We will</w:t>
      </w:r>
      <w:r w:rsidR="00C76F9B">
        <w:t xml:space="preserve"> continue to</w:t>
      </w:r>
      <w:r w:rsidRPr="00C23CA1">
        <w:t xml:space="preserve"> u</w:t>
      </w:r>
      <w:r w:rsidRPr="00C23CA1" w:rsidR="000C6D43">
        <w:t xml:space="preserve">se the </w:t>
      </w:r>
      <w:r w:rsidRPr="00AA5B05" w:rsidR="00685F0D">
        <w:t xml:space="preserve">detailed information collected in </w:t>
      </w:r>
      <w:r w:rsidRPr="00AA5B05" w:rsidR="00EB5DFD">
        <w:t>MIHOPE</w:t>
      </w:r>
      <w:r w:rsidRPr="00AA5B05" w:rsidR="00D46893">
        <w:t xml:space="preserve"> </w:t>
      </w:r>
      <w:r w:rsidRPr="00AA5B05" w:rsidR="00EB5DFD">
        <w:t>1</w:t>
      </w:r>
      <w:r w:rsidRPr="001A5AE0" w:rsidR="00B246B7">
        <w:t>,</w:t>
      </w:r>
      <w:r w:rsidRPr="001A5AE0" w:rsidR="00EB5DFD">
        <w:t xml:space="preserve"> MIHOPE 2</w:t>
      </w:r>
      <w:r w:rsidRPr="001A5AE0" w:rsidR="00B246B7">
        <w:t xml:space="preserve">, MIHOPE </w:t>
      </w:r>
      <w:r w:rsidRPr="00C23CA1" w:rsidR="00B246B7">
        <w:t>Check-in</w:t>
      </w:r>
      <w:r w:rsidR="00C76F9B">
        <w:t>, and the first rounds of MIHOPE-K data collection</w:t>
      </w:r>
      <w:r w:rsidRPr="00C23CA1" w:rsidR="00F55C34">
        <w:t xml:space="preserve"> (including </w:t>
      </w:r>
      <w:r w:rsidRPr="00C23CA1" w:rsidR="00685F0D">
        <w:t xml:space="preserve">names, dates of birth, Social Security numbers, addresses and phone numbers </w:t>
      </w:r>
      <w:r w:rsidR="00C76F9B">
        <w:t>[</w:t>
      </w:r>
      <w:r w:rsidRPr="00C23CA1" w:rsidR="00685F0D">
        <w:t>home and work</w:t>
      </w:r>
      <w:r w:rsidR="00C76F9B">
        <w:t>]</w:t>
      </w:r>
      <w:r w:rsidRPr="007336F7" w:rsidR="00CC34C7">
        <w:t>, and email addresses</w:t>
      </w:r>
      <w:r w:rsidRPr="007336F7" w:rsidR="00685F0D">
        <w:t xml:space="preserve"> for the family, </w:t>
      </w:r>
      <w:r w:rsidRPr="007336F7" w:rsidR="00165F9F">
        <w:t xml:space="preserve">as well as </w:t>
      </w:r>
      <w:r w:rsidRPr="007336F7" w:rsidR="00685F0D">
        <w:t>addresses and phone numbers for up to three relatives or friends who wi</w:t>
      </w:r>
      <w:r w:rsidRPr="00CF0514" w:rsidR="00685F0D">
        <w:t>ll know how to reach the family</w:t>
      </w:r>
      <w:r w:rsidRPr="00CF0514" w:rsidR="00F55C34">
        <w:t xml:space="preserve">) and </w:t>
      </w:r>
      <w:r w:rsidRPr="00974FAE" w:rsidR="000C6D43">
        <w:t>employ Mathematica’s highly effective locating techniques</w:t>
      </w:r>
      <w:r w:rsidRPr="00974FAE" w:rsidR="00F55C34">
        <w:t xml:space="preserve"> to reach families</w:t>
      </w:r>
      <w:r w:rsidRPr="00974FAE" w:rsidR="000C6D43">
        <w:t>.</w:t>
      </w:r>
    </w:p>
    <w:p w:rsidRPr="003C4AE4" w:rsidR="00AD5E18" w:rsidP="003C4AE4" w:rsidRDefault="00AD5E18" w14:paraId="6D015D4F" w14:textId="77777777">
      <w:pPr>
        <w:pStyle w:val="ListParagraph"/>
        <w:ind w:left="792"/>
        <w:rPr>
          <w:sz w:val="24"/>
          <w:szCs w:val="24"/>
        </w:rPr>
      </w:pPr>
    </w:p>
    <w:p w:rsidRPr="00040A35" w:rsidR="00C23CA1" w:rsidP="003C4AE4" w:rsidRDefault="3F4D4340" w14:paraId="019B2BD6" w14:textId="7C9DD69D">
      <w:pPr>
        <w:ind w:left="432"/>
      </w:pPr>
      <w:r w:rsidRPr="17B79458">
        <w:rPr>
          <w:u w:val="single"/>
        </w:rPr>
        <w:t>Updating Participant Contact Information</w:t>
      </w:r>
      <w:r>
        <w:t xml:space="preserve">. Mathematica’s Sample Management System (SMS) </w:t>
      </w:r>
      <w:r w:rsidR="2A5DD62A">
        <w:t>is</w:t>
      </w:r>
      <w:r>
        <w:t xml:space="preserve"> the central clearinghouse for all contact information on MIHOPE </w:t>
      </w:r>
      <w:proofErr w:type="gramStart"/>
      <w:r>
        <w:t>families, and</w:t>
      </w:r>
      <w:proofErr w:type="gramEnd"/>
      <w:r>
        <w:t xml:space="preserve"> </w:t>
      </w:r>
      <w:r w:rsidR="472197A7">
        <w:t>is</w:t>
      </w:r>
      <w:r>
        <w:t xml:space="preserve"> also used to track structured interview response rates. Contact between rounds of the structured interview</w:t>
      </w:r>
      <w:r w:rsidR="7B852013">
        <w:t xml:space="preserve"> </w:t>
      </w:r>
      <w:r>
        <w:t>increase sample retention and reduce the level of effort needed to locate families. To reduce the loss of families between follow-up points, we send families a study information packet that contain</w:t>
      </w:r>
      <w:r w:rsidR="660CAE5F">
        <w:t>s</w:t>
      </w:r>
      <w:r>
        <w:t xml:space="preserve"> a newsletter with updates about the study. Additionally, we sen</w:t>
      </w:r>
      <w:r w:rsidR="724323F9">
        <w:t>d</w:t>
      </w:r>
      <w:r>
        <w:t xml:space="preserve"> a birthday card to each child on a yearly basis (</w:t>
      </w:r>
      <w:r w:rsidR="5FB20747">
        <w:t>Appendix A</w:t>
      </w:r>
      <w:r>
        <w:t xml:space="preserve">) and a </w:t>
      </w:r>
      <w:r w:rsidR="4819DFA2">
        <w:t xml:space="preserve">seasonal greeting </w:t>
      </w:r>
      <w:r w:rsidR="125F1346">
        <w:t>(either in the winter or spring) (A</w:t>
      </w:r>
      <w:r w:rsidR="33F1EF60">
        <w:t>ppendix A</w:t>
      </w:r>
      <w:r w:rsidR="125F1346">
        <w:t>)</w:t>
      </w:r>
      <w:r>
        <w:t>.</w:t>
      </w:r>
      <w:r w:rsidR="09DD729C">
        <w:t xml:space="preserve"> A</w:t>
      </w:r>
      <w:r>
        <w:t>n example of the format and topics covered i</w:t>
      </w:r>
      <w:r w:rsidR="45794E28">
        <w:t>n the newsletter is</w:t>
      </w:r>
      <w:r>
        <w:t xml:space="preserve"> included in </w:t>
      </w:r>
      <w:r w:rsidR="35A6FE8A">
        <w:t>Appendix C</w:t>
      </w:r>
      <w:r>
        <w:t xml:space="preserve">. </w:t>
      </w:r>
    </w:p>
    <w:p w:rsidRPr="00040A35" w:rsidR="00C23CA1" w:rsidP="003C4AE4" w:rsidRDefault="00C23CA1" w14:paraId="38ED7201" w14:textId="77777777">
      <w:pPr>
        <w:ind w:left="432"/>
      </w:pPr>
    </w:p>
    <w:p w:rsidRPr="00040A35" w:rsidR="00C23CA1" w:rsidP="003C4AE4" w:rsidRDefault="00C23CA1" w14:paraId="083B7239" w14:textId="6A505DED">
      <w:pPr>
        <w:ind w:left="432"/>
      </w:pPr>
      <w:r>
        <w:t>If any updated contact information is provided after the mailing of the letters, postcards, birthday cards, or holiday cards, or they are returned from the post office with an updated address, we document the new address for the family in the SMS and re-mail the materials to the updated address.</w:t>
      </w:r>
    </w:p>
    <w:p w:rsidRPr="00040A35" w:rsidR="00C23CA1" w:rsidP="003C4AE4" w:rsidRDefault="00C23CA1" w14:paraId="6B99BC30" w14:textId="77777777">
      <w:pPr>
        <w:ind w:left="432"/>
      </w:pPr>
    </w:p>
    <w:p w:rsidRPr="00C34A8E" w:rsidR="00C23CA1" w:rsidP="003C4AE4" w:rsidRDefault="00C23CA1" w14:paraId="03D56238" w14:textId="5C6DF105">
      <w:pPr>
        <w:ind w:left="432"/>
      </w:pPr>
      <w:r w:rsidRPr="0E769501">
        <w:rPr>
          <w:u w:val="single"/>
        </w:rPr>
        <w:t>Locating Participants</w:t>
      </w:r>
      <w:r>
        <w:t>.</w:t>
      </w:r>
      <w:r w:rsidRPr="0E769501">
        <w:rPr>
          <w:i/>
          <w:iCs/>
        </w:rPr>
        <w:t xml:space="preserve"> </w:t>
      </w:r>
      <w:r>
        <w:t xml:space="preserve">Although the outlined strategies to track participants between follow-up rounds will likely result in lower attrition rates, additional techniques </w:t>
      </w:r>
      <w:r w:rsidR="4DBCAF4C">
        <w:t>are</w:t>
      </w:r>
      <w:r>
        <w:t xml:space="preserve"> used to ensure a high response rate is achieved at each follow-up round from this mobile population. Mathematica has extensive experience conducting studies with mobile and hard-to-reach populations and has developed several techniques to locate these populations. Locating can be costly, depending on which methods are used. In general, mailing letters and receiving updated information via returned mail is less expensive than electronic database searches; electronic database searches are less expensive than locators calling neighbors or other contacts; and telephone locating is less expensive than in-person field locating. The least expensive methods (mailing and electronic locating) </w:t>
      </w:r>
      <w:r w:rsidR="163B0FC1">
        <w:t>are</w:t>
      </w:r>
      <w:r>
        <w:t xml:space="preserve"> used before moving to more expensive methods (telephone and in-person locating). As preparations to conduct follow-up </w:t>
      </w:r>
      <w:r>
        <w:lastRenderedPageBreak/>
        <w:t xml:space="preserve">data collection get underway, the following process for locating participants </w:t>
      </w:r>
      <w:r w:rsidR="35F12EE0">
        <w:t>are</w:t>
      </w:r>
      <w:r>
        <w:t xml:space="preserve"> employed: (1) multiple pre-field mailings, (2) in-house locating, and as needed, (3) field locating. All materials used for locating and contacting participants are included in Attachment </w:t>
      </w:r>
      <w:r w:rsidR="00E32256">
        <w:t>7</w:t>
      </w:r>
      <w:r>
        <w:t xml:space="preserve">. </w:t>
      </w:r>
    </w:p>
    <w:p w:rsidRPr="00C34A8E" w:rsidR="00C23CA1" w:rsidP="003C4AE4" w:rsidRDefault="00C23CA1" w14:paraId="2C25BDA9" w14:textId="77777777">
      <w:pPr>
        <w:pStyle w:val="bullet"/>
        <w:numPr>
          <w:ilvl w:val="0"/>
          <w:numId w:val="0"/>
        </w:numPr>
        <w:spacing w:after="0"/>
        <w:ind w:left="792"/>
        <w:jc w:val="left"/>
        <w:rPr>
          <w:szCs w:val="24"/>
        </w:rPr>
      </w:pPr>
    </w:p>
    <w:p w:rsidRPr="00C34A8E" w:rsidR="00C23CA1" w:rsidP="003C4AE4" w:rsidRDefault="00C23CA1" w14:paraId="3EE9C287" w14:textId="1BC039E5">
      <w:pPr>
        <w:pStyle w:val="bullet"/>
        <w:numPr>
          <w:ilvl w:val="0"/>
          <w:numId w:val="4"/>
        </w:numPr>
        <w:spacing w:after="0"/>
        <w:ind w:left="792"/>
        <w:jc w:val="left"/>
      </w:pPr>
      <w:r w:rsidRPr="671FB2DC">
        <w:rPr>
          <w:i/>
          <w:iCs/>
        </w:rPr>
        <w:t>Pre-Field Mailings.</w:t>
      </w:r>
      <w:r>
        <w:t xml:space="preserve"> Any letters or postcards that are returned to Mathematica with updated information </w:t>
      </w:r>
      <w:r w:rsidR="16A0EF28">
        <w:t>are</w:t>
      </w:r>
      <w:r>
        <w:t xml:space="preserve"> re-mailed to the new address and the new address </w:t>
      </w:r>
      <w:r w:rsidR="4E26FE51">
        <w:t>is</w:t>
      </w:r>
      <w:r>
        <w:t xml:space="preserve"> entered into the SMS. Families</w:t>
      </w:r>
      <w:r w:rsidR="618159CC">
        <w:t xml:space="preserve"> are</w:t>
      </w:r>
      <w:r>
        <w:t xml:space="preserve"> then sent an additional mailing, an invitation letter, directly before calling for the structured interview begins. (We also send an email version of the letter.)</w:t>
      </w:r>
    </w:p>
    <w:p w:rsidRPr="00C34A8E" w:rsidR="00C23CA1" w:rsidP="003C4AE4" w:rsidRDefault="00C23CA1" w14:paraId="28D88F7C" w14:textId="77777777">
      <w:pPr>
        <w:pStyle w:val="bullet"/>
        <w:numPr>
          <w:ilvl w:val="0"/>
          <w:numId w:val="0"/>
        </w:numPr>
        <w:spacing w:after="0"/>
        <w:ind w:left="864"/>
        <w:jc w:val="left"/>
        <w:rPr>
          <w:szCs w:val="24"/>
        </w:rPr>
      </w:pPr>
      <w:r w:rsidRPr="00C34A8E">
        <w:rPr>
          <w:szCs w:val="24"/>
        </w:rPr>
        <w:t xml:space="preserve"> </w:t>
      </w:r>
    </w:p>
    <w:p w:rsidRPr="00C34A8E" w:rsidR="00C23CA1" w:rsidP="003C4AE4" w:rsidRDefault="00C23CA1" w14:paraId="170544BE" w14:textId="3538943A">
      <w:pPr>
        <w:pStyle w:val="BulletLAST"/>
        <w:numPr>
          <w:ilvl w:val="0"/>
          <w:numId w:val="4"/>
        </w:numPr>
        <w:tabs>
          <w:tab w:val="clear" w:pos="360"/>
        </w:tabs>
        <w:spacing w:after="0"/>
        <w:ind w:left="792"/>
        <w:jc w:val="left"/>
      </w:pPr>
      <w:r w:rsidRPr="671FB2DC">
        <w:rPr>
          <w:i/>
          <w:iCs/>
        </w:rPr>
        <w:t>In-House Locating</w:t>
      </w:r>
      <w:r>
        <w:t xml:space="preserve">. Custom database searches and telephone calls to contacts provided by the family during prior rounds of MIHOPE data collection </w:t>
      </w:r>
      <w:r w:rsidR="0E1F77A6">
        <w:t>are</w:t>
      </w:r>
      <w:r>
        <w:t xml:space="preserve"> conducted when the existing contact information we have for a family is not accurate and pre-field mailing does not yield an updated telephone number or address. Mathematica’s specialized locating staff uses searchable databases, directory assistance services, reverse directories, and contacts with neighbors and community organizations to obtain current contact information. Mathematica’s locating staff </w:t>
      </w:r>
      <w:proofErr w:type="spellStart"/>
      <w:r>
        <w:t>willsearch</w:t>
      </w:r>
      <w:proofErr w:type="spellEnd"/>
      <w:r>
        <w:t xml:space="preserve"> the Web and social networks such as Facebook and Instagram to find sample member contact information.</w:t>
      </w:r>
    </w:p>
    <w:p w:rsidRPr="00C34A8E" w:rsidR="00C23CA1" w:rsidP="003C4AE4" w:rsidRDefault="00C23CA1" w14:paraId="402AE572" w14:textId="77777777">
      <w:pPr>
        <w:ind w:left="432"/>
      </w:pPr>
    </w:p>
    <w:p w:rsidRPr="00C34A8E" w:rsidR="00C23CA1" w:rsidP="003C4AE4" w:rsidRDefault="00C23CA1" w14:paraId="48B117A3" w14:textId="1E96CBEC">
      <w:pPr>
        <w:pStyle w:val="BulletLAST"/>
        <w:numPr>
          <w:ilvl w:val="0"/>
          <w:numId w:val="4"/>
        </w:numPr>
        <w:tabs>
          <w:tab w:val="clear" w:pos="360"/>
        </w:tabs>
        <w:spacing w:after="0"/>
        <w:ind w:left="792"/>
        <w:jc w:val="left"/>
      </w:pPr>
      <w:r w:rsidRPr="671FB2DC">
        <w:rPr>
          <w:i/>
          <w:iCs/>
        </w:rPr>
        <w:t>Field locating.</w:t>
      </w:r>
      <w:r w:rsidRPr="671FB2DC">
        <w:rPr>
          <w:b/>
          <w:bCs/>
          <w:i/>
          <w:iCs/>
        </w:rPr>
        <w:t xml:space="preserve"> </w:t>
      </w:r>
      <w:r>
        <w:t xml:space="preserve">Some families </w:t>
      </w:r>
      <w:r w:rsidR="239F3F4B">
        <w:t>are</w:t>
      </w:r>
      <w:r>
        <w:t xml:space="preserve"> not locatable using in-house locating methods. These families</w:t>
      </w:r>
      <w:r w:rsidR="4896FA4C">
        <w:t xml:space="preserve"> are</w:t>
      </w:r>
      <w:r>
        <w:t xml:space="preserve"> assigned to field locators who employ proven techniques for finding hard-to-find populations. For instance, field staff may approach neighbors residing </w:t>
      </w:r>
      <w:proofErr w:type="gramStart"/>
      <w:r>
        <w:t>in close proximity to</w:t>
      </w:r>
      <w:proofErr w:type="gramEnd"/>
      <w:r>
        <w:t xml:space="preserve"> the families’ last known address or the contact persons provided during prior structured interview rounds. They also rely on neighborhood resources such as local post offices, churches, bars, homeless shelters, or community centers as sources of information. Field staff </w:t>
      </w:r>
      <w:r w:rsidR="6561591E">
        <w:t>are</w:t>
      </w:r>
      <w:r>
        <w:t xml:space="preserve"> trained not to reveal any private information about the participant to any informants, including the study’s name or unique details about the study. </w:t>
      </w:r>
    </w:p>
    <w:p w:rsidRPr="00040A35" w:rsidR="00AD5E18" w:rsidP="003C4AE4" w:rsidRDefault="00AD5E18" w14:paraId="27B08692" w14:textId="54F46D0D">
      <w:pPr>
        <w:pStyle w:val="ListParagraph"/>
        <w:tabs>
          <w:tab w:val="clear" w:pos="720"/>
          <w:tab w:val="clear" w:pos="1080"/>
          <w:tab w:val="clear" w:pos="1440"/>
          <w:tab w:val="clear" w:pos="1800"/>
          <w:tab w:val="left" w:pos="432"/>
        </w:tabs>
        <w:spacing w:line="240" w:lineRule="auto"/>
        <w:rPr>
          <w:sz w:val="24"/>
          <w:szCs w:val="24"/>
        </w:rPr>
      </w:pPr>
    </w:p>
    <w:p w:rsidRPr="00E4380E" w:rsidR="000C6D43" w:rsidP="00E4380E" w:rsidRDefault="00E136B8" w14:paraId="0A8999EA" w14:textId="252E6470">
      <w:pPr>
        <w:pStyle w:val="ListParagraph"/>
        <w:numPr>
          <w:ilvl w:val="0"/>
          <w:numId w:val="6"/>
        </w:numPr>
        <w:spacing w:line="240" w:lineRule="auto"/>
        <w:rPr>
          <w:sz w:val="24"/>
          <w:szCs w:val="24"/>
        </w:rPr>
      </w:pPr>
      <w:r w:rsidRPr="671FB2DC">
        <w:rPr>
          <w:b/>
          <w:bCs/>
          <w:sz w:val="24"/>
          <w:szCs w:val="24"/>
        </w:rPr>
        <w:t xml:space="preserve">Training telephone interviewers and field workers on techniques for building participant buy-in and converting caregivers to participation. </w:t>
      </w:r>
      <w:r w:rsidRPr="671FB2DC" w:rsidR="00AA5B05">
        <w:rPr>
          <w:sz w:val="24"/>
          <w:szCs w:val="24"/>
        </w:rPr>
        <w:t xml:space="preserve">Field </w:t>
      </w:r>
      <w:r w:rsidRPr="671FB2DC" w:rsidR="00C61030">
        <w:rPr>
          <w:sz w:val="24"/>
          <w:szCs w:val="24"/>
        </w:rPr>
        <w:t>staff</w:t>
      </w:r>
      <w:r w:rsidRPr="671FB2DC" w:rsidR="00B976F0">
        <w:rPr>
          <w:sz w:val="24"/>
          <w:szCs w:val="24"/>
        </w:rPr>
        <w:t xml:space="preserve"> and assessors</w:t>
      </w:r>
      <w:r w:rsidRPr="671FB2DC" w:rsidR="00C61030">
        <w:rPr>
          <w:sz w:val="24"/>
          <w:szCs w:val="24"/>
        </w:rPr>
        <w:t xml:space="preserve"> </w:t>
      </w:r>
      <w:r w:rsidRPr="671FB2DC" w:rsidR="7F4BDA07">
        <w:rPr>
          <w:sz w:val="24"/>
          <w:szCs w:val="24"/>
        </w:rPr>
        <w:t>are</w:t>
      </w:r>
      <w:r w:rsidRPr="671FB2DC" w:rsidR="00AA5B05">
        <w:rPr>
          <w:sz w:val="24"/>
          <w:szCs w:val="24"/>
        </w:rPr>
        <w:t xml:space="preserve"> trained to establish rapport with families so that they have a positive impression of the study and </w:t>
      </w:r>
      <w:r w:rsidRPr="671FB2DC" w:rsidR="7611B47B">
        <w:rPr>
          <w:sz w:val="24"/>
          <w:szCs w:val="24"/>
        </w:rPr>
        <w:t>are</w:t>
      </w:r>
      <w:r w:rsidRPr="671FB2DC" w:rsidR="00AA5B05">
        <w:rPr>
          <w:sz w:val="24"/>
          <w:szCs w:val="24"/>
        </w:rPr>
        <w:t xml:space="preserve"> more willing to participate in the future.</w:t>
      </w:r>
    </w:p>
    <w:p w:rsidRPr="003019B7" w:rsidR="00CC34C7" w:rsidP="003019B7" w:rsidRDefault="00CC34C7" w14:paraId="5BE2524A" w14:textId="05B8BB2F">
      <w:pPr>
        <w:pStyle w:val="ListParagraph"/>
        <w:tabs>
          <w:tab w:val="clear" w:pos="720"/>
          <w:tab w:val="clear" w:pos="1080"/>
          <w:tab w:val="clear" w:pos="1440"/>
          <w:tab w:val="clear" w:pos="1800"/>
          <w:tab w:val="left" w:pos="432"/>
        </w:tabs>
        <w:spacing w:line="240" w:lineRule="auto"/>
        <w:rPr>
          <w:sz w:val="24"/>
          <w:szCs w:val="24"/>
        </w:rPr>
      </w:pPr>
    </w:p>
    <w:p w:rsidRPr="003019B7" w:rsidR="000C6D43" w:rsidP="003019B7" w:rsidRDefault="00AD5E18" w14:paraId="147BC823" w14:textId="41F56A6A">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E4380E">
        <w:rPr>
          <w:b/>
          <w:sz w:val="24"/>
          <w:szCs w:val="24"/>
        </w:rPr>
        <w:t>Utilizing m</w:t>
      </w:r>
      <w:r w:rsidRPr="00E4380E" w:rsidR="00E136B8">
        <w:rPr>
          <w:b/>
          <w:sz w:val="24"/>
          <w:szCs w:val="24"/>
        </w:rPr>
        <w:t xml:space="preserve">ultimodal reminders based on behavioral science principals. </w:t>
      </w:r>
      <w:r w:rsidRPr="003019B7">
        <w:rPr>
          <w:sz w:val="24"/>
          <w:szCs w:val="24"/>
        </w:rPr>
        <w:t>We plan to u</w:t>
      </w:r>
      <w:r w:rsidRPr="003019B7" w:rsidR="0053652C">
        <w:rPr>
          <w:sz w:val="24"/>
          <w:szCs w:val="24"/>
        </w:rPr>
        <w:t>se t</w:t>
      </w:r>
      <w:r w:rsidRPr="003019B7" w:rsidR="0049559F">
        <w:rPr>
          <w:sz w:val="24"/>
          <w:szCs w:val="24"/>
        </w:rPr>
        <w:t>he email</w:t>
      </w:r>
      <w:r w:rsidRPr="003019B7" w:rsidR="004F0092">
        <w:rPr>
          <w:sz w:val="24"/>
          <w:szCs w:val="24"/>
        </w:rPr>
        <w:t xml:space="preserve"> addresses</w:t>
      </w:r>
      <w:r w:rsidRPr="000D7CCD" w:rsidR="0049559F">
        <w:rPr>
          <w:sz w:val="24"/>
          <w:szCs w:val="24"/>
        </w:rPr>
        <w:t xml:space="preserve"> and cellular telephone numbers of participants </w:t>
      </w:r>
      <w:r w:rsidRPr="000D7CCD" w:rsidR="0053652C">
        <w:rPr>
          <w:sz w:val="24"/>
          <w:szCs w:val="24"/>
        </w:rPr>
        <w:t>that have</w:t>
      </w:r>
      <w:r w:rsidRPr="000D7CCD" w:rsidR="0049559F">
        <w:rPr>
          <w:sz w:val="24"/>
          <w:szCs w:val="24"/>
        </w:rPr>
        <w:t xml:space="preserve"> been coll</w:t>
      </w:r>
      <w:r w:rsidRPr="003019B7" w:rsidR="0049559F">
        <w:rPr>
          <w:sz w:val="24"/>
          <w:szCs w:val="24"/>
        </w:rPr>
        <w:t>ected</w:t>
      </w:r>
      <w:r w:rsidRPr="003019B7" w:rsidR="0053652C">
        <w:rPr>
          <w:sz w:val="24"/>
          <w:szCs w:val="24"/>
        </w:rPr>
        <w:t xml:space="preserve"> in </w:t>
      </w:r>
      <w:r w:rsidRPr="003019B7" w:rsidR="00EB5DFD">
        <w:rPr>
          <w:sz w:val="24"/>
          <w:szCs w:val="24"/>
        </w:rPr>
        <w:t>MIHOPE</w:t>
      </w:r>
      <w:r w:rsidRPr="003019B7" w:rsidR="00D46893">
        <w:rPr>
          <w:sz w:val="24"/>
          <w:szCs w:val="24"/>
        </w:rPr>
        <w:t xml:space="preserve"> </w:t>
      </w:r>
      <w:r w:rsidRPr="003019B7" w:rsidR="00EB5DFD">
        <w:rPr>
          <w:sz w:val="24"/>
          <w:szCs w:val="24"/>
        </w:rPr>
        <w:t>1</w:t>
      </w:r>
      <w:r w:rsidRPr="003019B7" w:rsidR="00B246B7">
        <w:rPr>
          <w:sz w:val="24"/>
          <w:szCs w:val="24"/>
        </w:rPr>
        <w:t>,</w:t>
      </w:r>
      <w:r w:rsidRPr="003019B7" w:rsidR="00EB5DFD">
        <w:rPr>
          <w:sz w:val="24"/>
          <w:szCs w:val="24"/>
        </w:rPr>
        <w:t xml:space="preserve"> MIHOPE 2</w:t>
      </w:r>
      <w:r w:rsidRPr="003019B7" w:rsidR="00B246B7">
        <w:rPr>
          <w:sz w:val="24"/>
          <w:szCs w:val="24"/>
        </w:rPr>
        <w:t>, and MIHOPE Check-in</w:t>
      </w:r>
      <w:r w:rsidRPr="003019B7" w:rsidR="00EB5DFD">
        <w:rPr>
          <w:sz w:val="24"/>
          <w:szCs w:val="24"/>
        </w:rPr>
        <w:t xml:space="preserve"> </w:t>
      </w:r>
      <w:r w:rsidRPr="003019B7" w:rsidR="00097DE0">
        <w:rPr>
          <w:sz w:val="24"/>
          <w:szCs w:val="24"/>
        </w:rPr>
        <w:t>to send email and text mes</w:t>
      </w:r>
      <w:r w:rsidRPr="003019B7" w:rsidR="00976DFA">
        <w:rPr>
          <w:sz w:val="24"/>
          <w:szCs w:val="24"/>
        </w:rPr>
        <w:t>sage reminders about the follow-</w:t>
      </w:r>
      <w:r w:rsidRPr="003019B7" w:rsidR="00097DE0">
        <w:rPr>
          <w:sz w:val="24"/>
          <w:szCs w:val="24"/>
        </w:rPr>
        <w:t xml:space="preserve">up </w:t>
      </w:r>
      <w:r w:rsidRPr="003019B7" w:rsidR="00B9031A">
        <w:rPr>
          <w:sz w:val="24"/>
          <w:szCs w:val="24"/>
        </w:rPr>
        <w:t xml:space="preserve">data collection </w:t>
      </w:r>
      <w:r w:rsidRPr="003019B7" w:rsidR="00D16E87">
        <w:rPr>
          <w:sz w:val="24"/>
          <w:szCs w:val="24"/>
        </w:rPr>
        <w:t xml:space="preserve">during </w:t>
      </w:r>
      <w:r w:rsidRPr="003019B7" w:rsidR="00D27927">
        <w:rPr>
          <w:sz w:val="24"/>
          <w:szCs w:val="24"/>
        </w:rPr>
        <w:t xml:space="preserve">the </w:t>
      </w:r>
      <w:r w:rsidRPr="003019B7" w:rsidR="00D16E87">
        <w:rPr>
          <w:sz w:val="24"/>
          <w:szCs w:val="24"/>
        </w:rPr>
        <w:t>field</w:t>
      </w:r>
      <w:r w:rsidRPr="003019B7" w:rsidR="00B9031A">
        <w:rPr>
          <w:sz w:val="24"/>
          <w:szCs w:val="24"/>
        </w:rPr>
        <w:t>in</w:t>
      </w:r>
      <w:r w:rsidRPr="003019B7" w:rsidR="00CD2A96">
        <w:rPr>
          <w:sz w:val="24"/>
          <w:szCs w:val="24"/>
        </w:rPr>
        <w:t>g</w:t>
      </w:r>
      <w:r w:rsidRPr="003019B7" w:rsidR="00D16E87">
        <w:rPr>
          <w:sz w:val="24"/>
          <w:szCs w:val="24"/>
        </w:rPr>
        <w:t xml:space="preserve"> period</w:t>
      </w:r>
      <w:r w:rsidRPr="003019B7" w:rsidR="0053652C">
        <w:rPr>
          <w:sz w:val="24"/>
          <w:szCs w:val="24"/>
        </w:rPr>
        <w:t xml:space="preserve">. </w:t>
      </w:r>
    </w:p>
    <w:p w:rsidR="00AD5E18" w:rsidRDefault="00AD5E18" w14:paraId="689FFDEA" w14:textId="77777777">
      <w:pPr>
        <w:pStyle w:val="ListParagraph"/>
        <w:tabs>
          <w:tab w:val="clear" w:pos="720"/>
          <w:tab w:val="clear" w:pos="1080"/>
          <w:tab w:val="clear" w:pos="1440"/>
          <w:tab w:val="clear" w:pos="1800"/>
          <w:tab w:val="left" w:pos="432"/>
        </w:tabs>
        <w:spacing w:line="240" w:lineRule="auto"/>
        <w:ind w:left="1440"/>
        <w:rPr>
          <w:sz w:val="24"/>
          <w:szCs w:val="24"/>
        </w:rPr>
      </w:pPr>
    </w:p>
    <w:p w:rsidRPr="003C4AE4" w:rsidR="00E136B8" w:rsidRDefault="7BE3A658" w14:paraId="33292C1B" w14:textId="7FCFDCAC">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61642B73">
        <w:rPr>
          <w:b/>
          <w:bCs/>
          <w:sz w:val="24"/>
          <w:szCs w:val="24"/>
        </w:rPr>
        <w:t>Provid</w:t>
      </w:r>
      <w:r w:rsidRPr="61642B73" w:rsidR="451E8E70">
        <w:rPr>
          <w:b/>
          <w:bCs/>
          <w:sz w:val="24"/>
          <w:szCs w:val="24"/>
        </w:rPr>
        <w:t>ing</w:t>
      </w:r>
      <w:r w:rsidRPr="61642B73">
        <w:rPr>
          <w:b/>
          <w:bCs/>
          <w:sz w:val="24"/>
          <w:szCs w:val="24"/>
        </w:rPr>
        <w:t xml:space="preserve"> tokens of appreciation</w:t>
      </w:r>
      <w:r w:rsidRPr="61642B73">
        <w:rPr>
          <w:sz w:val="24"/>
          <w:szCs w:val="24"/>
        </w:rPr>
        <w:t>, as discussed in S</w:t>
      </w:r>
      <w:r w:rsidRPr="61642B73" w:rsidR="076F9AFD">
        <w:rPr>
          <w:sz w:val="24"/>
          <w:szCs w:val="24"/>
        </w:rPr>
        <w:t xml:space="preserve">upporting </w:t>
      </w:r>
      <w:r w:rsidRPr="61642B73">
        <w:rPr>
          <w:sz w:val="24"/>
          <w:szCs w:val="24"/>
        </w:rPr>
        <w:t>S</w:t>
      </w:r>
      <w:r w:rsidRPr="61642B73" w:rsidR="076F9AFD">
        <w:rPr>
          <w:sz w:val="24"/>
          <w:szCs w:val="24"/>
        </w:rPr>
        <w:t xml:space="preserve">tatement </w:t>
      </w:r>
      <w:r w:rsidRPr="61642B73">
        <w:rPr>
          <w:sz w:val="24"/>
          <w:szCs w:val="24"/>
        </w:rPr>
        <w:t>A.</w:t>
      </w:r>
    </w:p>
    <w:p w:rsidR="5AF34D94" w:rsidP="0D63FF99" w:rsidRDefault="5AF34D94" w14:paraId="1F663182" w14:textId="401FE78E">
      <w:pPr>
        <w:tabs>
          <w:tab w:val="left" w:pos="432"/>
        </w:tabs>
      </w:pPr>
    </w:p>
    <w:p w:rsidR="5AF34D94" w:rsidP="0D63FF99" w:rsidRDefault="000B43F7" w14:paraId="748F1C91" w14:textId="6451B755">
      <w:pPr>
        <w:tabs>
          <w:tab w:val="left" w:pos="720"/>
          <w:tab w:val="left" w:pos="1080"/>
          <w:tab w:val="left" w:pos="1440"/>
          <w:tab w:val="left" w:pos="1800"/>
        </w:tabs>
        <w:rPr>
          <w:color w:val="000000" w:themeColor="text1"/>
        </w:rPr>
      </w:pPr>
      <w:r>
        <w:rPr>
          <w:color w:val="000000" w:themeColor="text1"/>
        </w:rPr>
        <w:t>Tokens of appreciation</w:t>
      </w:r>
      <w:r w:rsidRPr="0D63FF99">
        <w:rPr>
          <w:color w:val="000000" w:themeColor="text1"/>
        </w:rPr>
        <w:t xml:space="preserve"> </w:t>
      </w:r>
      <w:r w:rsidRPr="0D63FF99" w:rsidR="5AF34D94">
        <w:rPr>
          <w:color w:val="000000" w:themeColor="text1"/>
        </w:rPr>
        <w:t xml:space="preserve">are intended to address the following concerns: </w:t>
      </w:r>
    </w:p>
    <w:p w:rsidR="0D63FF99" w:rsidP="0D63FF99" w:rsidRDefault="0D63FF99" w14:paraId="37EF03D7" w14:textId="690560BD">
      <w:pPr>
        <w:tabs>
          <w:tab w:val="left" w:pos="720"/>
          <w:tab w:val="left" w:pos="1080"/>
          <w:tab w:val="left" w:pos="1440"/>
          <w:tab w:val="left" w:pos="1800"/>
        </w:tabs>
        <w:rPr>
          <w:color w:val="000000" w:themeColor="text1"/>
        </w:rPr>
      </w:pPr>
    </w:p>
    <w:p w:rsidR="5AF34D94" w:rsidP="0D63FF99" w:rsidRDefault="5AF34D94" w14:paraId="1AABEF18" w14:textId="73B72B38">
      <w:pPr>
        <w:tabs>
          <w:tab w:val="left" w:pos="720"/>
          <w:tab w:val="left" w:pos="1080"/>
          <w:tab w:val="left" w:pos="1440"/>
          <w:tab w:val="left" w:pos="1800"/>
        </w:tabs>
        <w:ind w:left="720"/>
        <w:rPr>
          <w:color w:val="000000" w:themeColor="text1"/>
        </w:rPr>
      </w:pPr>
      <w:r w:rsidRPr="0D63FF99">
        <w:rPr>
          <w:b/>
          <w:bCs/>
          <w:color w:val="000000" w:themeColor="text1"/>
        </w:rPr>
        <w:t xml:space="preserve">Reducing nonresponse bias, differential attrition, and overall attrition to ensure that the study has enough statistical power and a sufficiently representative sample to </w:t>
      </w:r>
      <w:r w:rsidRPr="0D63FF99">
        <w:rPr>
          <w:b/>
          <w:bCs/>
          <w:color w:val="000000" w:themeColor="text1"/>
        </w:rPr>
        <w:lastRenderedPageBreak/>
        <w:t xml:space="preserve">answer its key research questions. </w:t>
      </w:r>
      <w:r w:rsidRPr="0D63FF99">
        <w:rPr>
          <w:color w:val="000000" w:themeColor="text1"/>
        </w:rPr>
        <w:t xml:space="preserve">A high response rate makes it more likely that interview respondents are representative of the initial sample (including ensuring equal representation among the program and control groups), which is important when estimating effects of home visiting for the study population. As has previously been communicated to OMB, MIHOPE struggled with overall attrition and attrition across subgroups of families in the MIHOPE Check-in </w:t>
      </w:r>
      <w:proofErr w:type="gramStart"/>
      <w:r w:rsidRPr="0D63FF99">
        <w:rPr>
          <w:color w:val="000000" w:themeColor="text1"/>
        </w:rPr>
        <w:t>2.5 year old</w:t>
      </w:r>
      <w:proofErr w:type="gramEnd"/>
      <w:r w:rsidRPr="0D63FF99">
        <w:rPr>
          <w:color w:val="000000" w:themeColor="text1"/>
        </w:rPr>
        <w:t xml:space="preserve"> survey.</w:t>
      </w:r>
    </w:p>
    <w:p w:rsidR="0D63FF99" w:rsidP="0D63FF99" w:rsidRDefault="0D63FF99" w14:paraId="0963CCDC" w14:textId="0AFBDBD1">
      <w:pPr>
        <w:tabs>
          <w:tab w:val="left" w:pos="720"/>
          <w:tab w:val="left" w:pos="1080"/>
          <w:tab w:val="left" w:pos="1440"/>
          <w:tab w:val="left" w:pos="1800"/>
        </w:tabs>
        <w:ind w:left="720"/>
        <w:rPr>
          <w:color w:val="000000" w:themeColor="text1"/>
        </w:rPr>
      </w:pPr>
    </w:p>
    <w:p w:rsidR="5AF34D94" w:rsidP="0D63FF99" w:rsidRDefault="5AF34D94" w14:paraId="264A8F7F" w14:textId="61464E27">
      <w:pPr>
        <w:tabs>
          <w:tab w:val="left" w:pos="720"/>
          <w:tab w:val="left" w:pos="1080"/>
          <w:tab w:val="left" w:pos="1440"/>
          <w:tab w:val="left" w:pos="1800"/>
        </w:tabs>
        <w:ind w:left="720"/>
        <w:rPr>
          <w:color w:val="000000" w:themeColor="text1"/>
        </w:rPr>
      </w:pPr>
      <w:r w:rsidRPr="0D63FF99">
        <w:rPr>
          <w:color w:val="000000" w:themeColor="text1"/>
        </w:rPr>
        <w:t xml:space="preserve">In the </w:t>
      </w:r>
      <w:proofErr w:type="gramStart"/>
      <w:r w:rsidRPr="0D63FF99">
        <w:rPr>
          <w:color w:val="000000" w:themeColor="text1"/>
        </w:rPr>
        <w:t>2.5 year</w:t>
      </w:r>
      <w:proofErr w:type="gramEnd"/>
      <w:r w:rsidRPr="0D63FF99">
        <w:rPr>
          <w:color w:val="000000" w:themeColor="text1"/>
        </w:rPr>
        <w:t xml:space="preserve"> sample, we conducted an experiment examining a pre-pay and an early bird </w:t>
      </w:r>
      <w:r w:rsidR="000B43F7">
        <w:rPr>
          <w:color w:val="000000" w:themeColor="text1"/>
        </w:rPr>
        <w:t>token of appreciation</w:t>
      </w:r>
      <w:r w:rsidRPr="0D63FF99" w:rsidR="000B43F7">
        <w:rPr>
          <w:color w:val="000000" w:themeColor="text1"/>
        </w:rPr>
        <w:t xml:space="preserve"> </w:t>
      </w:r>
      <w:r w:rsidRPr="0D63FF99">
        <w:rPr>
          <w:color w:val="000000" w:themeColor="text1"/>
        </w:rPr>
        <w:t xml:space="preserve">strategy (for additional information about the experiment and the results, please see the memorandum detailing this experiment). Overall attrition was 45.2% for the portion of the </w:t>
      </w:r>
      <w:proofErr w:type="gramStart"/>
      <w:r w:rsidRPr="0D63FF99">
        <w:rPr>
          <w:color w:val="000000" w:themeColor="text1"/>
        </w:rPr>
        <w:t>2.5 year</w:t>
      </w:r>
      <w:proofErr w:type="gramEnd"/>
      <w:r w:rsidRPr="0D63FF99">
        <w:rPr>
          <w:color w:val="000000" w:themeColor="text1"/>
        </w:rPr>
        <w:t xml:space="preserve"> follow-up sample that participated in our </w:t>
      </w:r>
      <w:r w:rsidR="000B43F7">
        <w:rPr>
          <w:color w:val="000000" w:themeColor="text1"/>
        </w:rPr>
        <w:t>token of appreciation</w:t>
      </w:r>
      <w:r w:rsidRPr="0D63FF99">
        <w:rPr>
          <w:color w:val="000000" w:themeColor="text1"/>
        </w:rPr>
        <w:t xml:space="preserve"> experiment (N = 1,705). As previously communicated to OMB, we also found some statistically significant differences in important baseline characteristics between </w:t>
      </w:r>
      <w:r w:rsidRPr="00FB50A7">
        <w:t xml:space="preserve">respondents and nonrespondents of the </w:t>
      </w:r>
      <w:proofErr w:type="gramStart"/>
      <w:r w:rsidRPr="00FB50A7">
        <w:t>2.5 year old</w:t>
      </w:r>
      <w:proofErr w:type="gramEnd"/>
      <w:r w:rsidRPr="00FB50A7">
        <w:t xml:space="preserve"> survey. For example, as shown in Table</w:t>
      </w:r>
      <w:r w:rsidR="00295DDD">
        <w:t>F</w:t>
      </w:r>
      <w:r w:rsidRPr="00FB50A7">
        <w:t xml:space="preserve">.1, </w:t>
      </w:r>
      <w:r w:rsidRPr="0D63FF99">
        <w:rPr>
          <w:color w:val="000000" w:themeColor="text1"/>
        </w:rPr>
        <w:t xml:space="preserve">nonrespondents were: </w:t>
      </w:r>
    </w:p>
    <w:p w:rsidR="0D63FF99" w:rsidP="0D63FF99" w:rsidRDefault="0D63FF99" w14:paraId="34E7E02C" w14:textId="3152D3C6">
      <w:pPr>
        <w:tabs>
          <w:tab w:val="left" w:pos="720"/>
          <w:tab w:val="left" w:pos="1080"/>
          <w:tab w:val="left" w:pos="1440"/>
          <w:tab w:val="left" w:pos="1800"/>
        </w:tabs>
        <w:rPr>
          <w:color w:val="000000" w:themeColor="text1"/>
        </w:rPr>
      </w:pPr>
    </w:p>
    <w:p w:rsidR="5AF34D94" w:rsidP="0D63FF99" w:rsidRDefault="5AF34D94" w14:paraId="56906C8C" w14:textId="681C5EFF">
      <w:pPr>
        <w:pStyle w:val="ListParagraph"/>
        <w:numPr>
          <w:ilvl w:val="0"/>
          <w:numId w:val="26"/>
        </w:numPr>
        <w:tabs>
          <w:tab w:val="clear" w:pos="720"/>
          <w:tab w:val="clear" w:pos="1080"/>
          <w:tab w:val="clear" w:pos="1440"/>
          <w:tab w:val="clear" w:pos="1800"/>
        </w:tabs>
        <w:spacing w:line="240" w:lineRule="auto"/>
        <w:rPr>
          <w:rFonts w:asciiTheme="minorHAnsi" w:hAnsiTheme="minorHAnsi" w:eastAsiaTheme="minorEastAsia" w:cstheme="minorBidi"/>
          <w:color w:val="000000" w:themeColor="text1"/>
          <w:sz w:val="24"/>
          <w:szCs w:val="24"/>
        </w:rPr>
      </w:pPr>
      <w:r w:rsidRPr="0D63FF99">
        <w:rPr>
          <w:color w:val="000000" w:themeColor="text1"/>
          <w:sz w:val="24"/>
          <w:szCs w:val="24"/>
        </w:rPr>
        <w:t xml:space="preserve">more likely to have entered the study while they were pregnant, which we expect to be an important predictor of the effectiveness of home visiting services </w:t>
      </w:r>
    </w:p>
    <w:p w:rsidR="5AF34D94" w:rsidP="0D63FF99" w:rsidRDefault="5AF34D94" w14:paraId="0DCD310F" w14:textId="114CA660">
      <w:pPr>
        <w:pStyle w:val="ListParagraph"/>
        <w:numPr>
          <w:ilvl w:val="0"/>
          <w:numId w:val="26"/>
        </w:numPr>
        <w:tabs>
          <w:tab w:val="clear" w:pos="720"/>
          <w:tab w:val="clear" w:pos="1080"/>
          <w:tab w:val="clear" w:pos="1440"/>
          <w:tab w:val="clear" w:pos="1800"/>
        </w:tabs>
        <w:spacing w:line="240" w:lineRule="auto"/>
        <w:rPr>
          <w:rFonts w:asciiTheme="minorHAnsi" w:hAnsiTheme="minorHAnsi" w:eastAsiaTheme="minorEastAsia" w:cstheme="minorBidi"/>
          <w:color w:val="000000" w:themeColor="text1"/>
          <w:sz w:val="24"/>
          <w:szCs w:val="24"/>
        </w:rPr>
      </w:pPr>
      <w:r w:rsidRPr="0D63FF99">
        <w:rPr>
          <w:color w:val="000000" w:themeColor="text1"/>
          <w:sz w:val="24"/>
          <w:szCs w:val="24"/>
        </w:rPr>
        <w:t>more likely to have moved in the year prior to entering the study, so survey responses might not accurately represent the effects for the most mobile part of the sample</w:t>
      </w:r>
    </w:p>
    <w:p w:rsidR="5AF34D94" w:rsidP="0D63FF99" w:rsidRDefault="5AF34D94" w14:paraId="5BE2BC4E" w14:textId="192B255E">
      <w:pPr>
        <w:pStyle w:val="ListParagraph"/>
        <w:numPr>
          <w:ilvl w:val="0"/>
          <w:numId w:val="26"/>
        </w:numPr>
        <w:tabs>
          <w:tab w:val="clear" w:pos="720"/>
          <w:tab w:val="clear" w:pos="1080"/>
          <w:tab w:val="clear" w:pos="1440"/>
          <w:tab w:val="clear" w:pos="1800"/>
        </w:tabs>
        <w:spacing w:line="240" w:lineRule="auto"/>
        <w:rPr>
          <w:rFonts w:asciiTheme="minorHAnsi" w:hAnsiTheme="minorHAnsi" w:eastAsiaTheme="minorEastAsia" w:cstheme="minorBidi"/>
          <w:color w:val="000000" w:themeColor="text1"/>
          <w:sz w:val="24"/>
          <w:szCs w:val="24"/>
        </w:rPr>
      </w:pPr>
      <w:r w:rsidRPr="0D63FF99">
        <w:rPr>
          <w:color w:val="000000" w:themeColor="text1"/>
          <w:sz w:val="24"/>
          <w:szCs w:val="24"/>
        </w:rPr>
        <w:t>less likely to live in a household with their child’s father figure, and are</w:t>
      </w:r>
    </w:p>
    <w:p w:rsidR="5AF34D94" w:rsidP="0D63FF99" w:rsidRDefault="5AF34D94" w14:paraId="6775293C" w14:textId="1C4A732B">
      <w:pPr>
        <w:pStyle w:val="ListParagraph"/>
        <w:numPr>
          <w:ilvl w:val="0"/>
          <w:numId w:val="26"/>
        </w:numPr>
        <w:tabs>
          <w:tab w:val="clear" w:pos="720"/>
          <w:tab w:val="clear" w:pos="1080"/>
          <w:tab w:val="clear" w:pos="1440"/>
          <w:tab w:val="clear" w:pos="1800"/>
        </w:tabs>
        <w:spacing w:line="240" w:lineRule="auto"/>
        <w:rPr>
          <w:rFonts w:asciiTheme="minorHAnsi" w:hAnsiTheme="minorHAnsi" w:eastAsiaTheme="minorEastAsia" w:cstheme="minorBidi"/>
          <w:color w:val="000000" w:themeColor="text1"/>
          <w:sz w:val="24"/>
          <w:szCs w:val="24"/>
        </w:rPr>
      </w:pPr>
      <w:r w:rsidRPr="0D63FF99">
        <w:rPr>
          <w:color w:val="000000" w:themeColor="text1"/>
          <w:sz w:val="24"/>
          <w:szCs w:val="24"/>
        </w:rPr>
        <w:t xml:space="preserve">less likely to be married to the biological father of their child. </w:t>
      </w:r>
    </w:p>
    <w:p w:rsidR="0D63FF99" w:rsidP="0D63FF99" w:rsidRDefault="0D63FF99" w14:paraId="6380D6B7" w14:textId="4FD45914">
      <w:pPr>
        <w:tabs>
          <w:tab w:val="left" w:pos="720"/>
          <w:tab w:val="left" w:pos="1080"/>
          <w:tab w:val="left" w:pos="1440"/>
          <w:tab w:val="left" w:pos="1800"/>
        </w:tabs>
        <w:rPr>
          <w:color w:val="000000" w:themeColor="text1"/>
          <w:sz w:val="22"/>
          <w:szCs w:val="22"/>
        </w:rPr>
      </w:pPr>
    </w:p>
    <w:p w:rsidR="5AF34D94" w:rsidP="0D63FF99" w:rsidRDefault="5AF34D94" w14:paraId="2D64ABEF" w14:textId="61310F80">
      <w:pPr>
        <w:tabs>
          <w:tab w:val="left" w:pos="720"/>
          <w:tab w:val="left" w:pos="1080"/>
          <w:tab w:val="left" w:pos="1440"/>
          <w:tab w:val="left" w:pos="1800"/>
        </w:tabs>
        <w:rPr>
          <w:color w:val="000000" w:themeColor="text1"/>
        </w:rPr>
      </w:pPr>
      <w:r w:rsidRPr="0D63FF99">
        <w:rPr>
          <w:color w:val="000000" w:themeColor="text1"/>
        </w:rPr>
        <w:t xml:space="preserve">Table </w:t>
      </w:r>
      <w:r w:rsidR="00295DDD">
        <w:t>F</w:t>
      </w:r>
      <w:r w:rsidRPr="00FB50A7">
        <w:t xml:space="preserve">.1: </w:t>
      </w:r>
      <w:r w:rsidRPr="0D63FF99">
        <w:rPr>
          <w:color w:val="000000" w:themeColor="text1"/>
        </w:rPr>
        <w:t xml:space="preserve">Differential response to the </w:t>
      </w:r>
      <w:proofErr w:type="gramStart"/>
      <w:r w:rsidRPr="0D63FF99">
        <w:rPr>
          <w:color w:val="000000" w:themeColor="text1"/>
        </w:rPr>
        <w:t>2.5 year old</w:t>
      </w:r>
      <w:proofErr w:type="gramEnd"/>
      <w:r w:rsidRPr="0D63FF99">
        <w:rPr>
          <w:color w:val="000000" w:themeColor="text1"/>
        </w:rPr>
        <w:t xml:space="preserve"> survey: Significant differences at end of </w:t>
      </w:r>
      <w:r w:rsidR="000B43F7">
        <w:rPr>
          <w:color w:val="000000" w:themeColor="text1"/>
        </w:rPr>
        <w:t>token of appreciation</w:t>
      </w:r>
      <w:r w:rsidRPr="0D63FF99">
        <w:rPr>
          <w:color w:val="000000" w:themeColor="text1"/>
        </w:rPr>
        <w:t xml:space="preserve"> experiment period</w:t>
      </w:r>
      <w:r w:rsidRPr="0D63FF99">
        <w:rPr>
          <w:color w:val="000000" w:themeColor="text1"/>
          <w:vertAlign w:val="superscript"/>
        </w:rPr>
        <w:t>1, 2</w:t>
      </w:r>
      <w:r w:rsidRPr="0D63FF99">
        <w:rPr>
          <w:color w:val="000000" w:themeColor="text1"/>
        </w:rPr>
        <w:t xml:space="preserve"> </w:t>
      </w:r>
    </w:p>
    <w:tbl>
      <w:tblPr>
        <w:tblW w:w="9442" w:type="dxa"/>
        <w:tblLayout w:type="fixed"/>
        <w:tblLook w:val="04A0" w:firstRow="1" w:lastRow="0" w:firstColumn="1" w:lastColumn="0" w:noHBand="0" w:noVBand="1"/>
      </w:tblPr>
      <w:tblGrid>
        <w:gridCol w:w="3870"/>
        <w:gridCol w:w="2070"/>
        <w:gridCol w:w="2160"/>
        <w:gridCol w:w="1342"/>
      </w:tblGrid>
      <w:tr w:rsidR="0D63FF99" w:rsidTr="00B548FB" w14:paraId="703702F3" w14:textId="77777777">
        <w:trPr>
          <w:trHeight w:val="300"/>
        </w:trPr>
        <w:tc>
          <w:tcPr>
            <w:tcW w:w="387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16465935" w14:textId="173BFC47">
            <w:pPr>
              <w:tabs>
                <w:tab w:val="left" w:pos="720"/>
                <w:tab w:val="left" w:pos="1080"/>
                <w:tab w:val="left" w:pos="1440"/>
                <w:tab w:val="left" w:pos="1800"/>
              </w:tabs>
              <w:rPr>
                <w:color w:val="000000" w:themeColor="text1"/>
                <w:sz w:val="22"/>
                <w:szCs w:val="22"/>
              </w:rPr>
            </w:pPr>
            <w:r w:rsidRPr="0D63FF99">
              <w:rPr>
                <w:b/>
                <w:bCs/>
                <w:color w:val="000000" w:themeColor="text1"/>
                <w:sz w:val="22"/>
                <w:szCs w:val="22"/>
              </w:rPr>
              <w:t>Characteristics (at study entry)</w:t>
            </w:r>
          </w:p>
        </w:tc>
        <w:tc>
          <w:tcPr>
            <w:tcW w:w="207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646CFACB" w14:textId="7B3296EB">
            <w:pPr>
              <w:tabs>
                <w:tab w:val="left" w:pos="720"/>
                <w:tab w:val="left" w:pos="1080"/>
                <w:tab w:val="left" w:pos="1440"/>
                <w:tab w:val="left" w:pos="1800"/>
              </w:tabs>
              <w:jc w:val="center"/>
              <w:rPr>
                <w:color w:val="000000" w:themeColor="text1"/>
                <w:sz w:val="22"/>
                <w:szCs w:val="22"/>
              </w:rPr>
            </w:pPr>
            <w:r w:rsidRPr="0D63FF99">
              <w:rPr>
                <w:b/>
                <w:bCs/>
                <w:color w:val="000000" w:themeColor="text1"/>
                <w:sz w:val="22"/>
                <w:szCs w:val="22"/>
              </w:rPr>
              <w:t>Respondents (%)</w:t>
            </w:r>
          </w:p>
        </w:tc>
        <w:tc>
          <w:tcPr>
            <w:tcW w:w="216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743B179F" w14:textId="60AF091B">
            <w:pPr>
              <w:tabs>
                <w:tab w:val="left" w:pos="720"/>
                <w:tab w:val="left" w:pos="1080"/>
                <w:tab w:val="left" w:pos="1440"/>
                <w:tab w:val="left" w:pos="1800"/>
              </w:tabs>
              <w:jc w:val="center"/>
              <w:rPr>
                <w:color w:val="000000" w:themeColor="text1"/>
                <w:sz w:val="22"/>
                <w:szCs w:val="22"/>
              </w:rPr>
            </w:pPr>
            <w:r w:rsidRPr="0D63FF99">
              <w:rPr>
                <w:b/>
                <w:bCs/>
                <w:color w:val="000000" w:themeColor="text1"/>
                <w:sz w:val="22"/>
                <w:szCs w:val="22"/>
              </w:rPr>
              <w:t>Nonrespondents (%)</w:t>
            </w:r>
          </w:p>
        </w:tc>
        <w:tc>
          <w:tcPr>
            <w:tcW w:w="1342"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2CF121B4" w14:textId="0606854B">
            <w:pPr>
              <w:tabs>
                <w:tab w:val="left" w:pos="720"/>
                <w:tab w:val="left" w:pos="1080"/>
                <w:tab w:val="left" w:pos="1440"/>
                <w:tab w:val="left" w:pos="1800"/>
              </w:tabs>
              <w:jc w:val="center"/>
              <w:rPr>
                <w:color w:val="000000" w:themeColor="text1"/>
                <w:sz w:val="22"/>
                <w:szCs w:val="22"/>
              </w:rPr>
            </w:pPr>
            <w:r w:rsidRPr="0D63FF99">
              <w:rPr>
                <w:b/>
                <w:bCs/>
                <w:color w:val="000000" w:themeColor="text1"/>
                <w:sz w:val="22"/>
                <w:szCs w:val="22"/>
              </w:rPr>
              <w:t>Difference</w:t>
            </w:r>
          </w:p>
        </w:tc>
      </w:tr>
      <w:tr w:rsidR="0D63FF99" w:rsidTr="00B548FB" w14:paraId="68BF86FD" w14:textId="77777777">
        <w:trPr>
          <w:trHeight w:val="300"/>
        </w:trPr>
        <w:tc>
          <w:tcPr>
            <w:tcW w:w="387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766D022C" w14:textId="40A161C8">
            <w:pPr>
              <w:tabs>
                <w:tab w:val="left" w:pos="720"/>
                <w:tab w:val="left" w:pos="1080"/>
                <w:tab w:val="left" w:pos="1440"/>
                <w:tab w:val="left" w:pos="1800"/>
              </w:tabs>
              <w:rPr>
                <w:color w:val="000000" w:themeColor="text1"/>
                <w:sz w:val="22"/>
                <w:szCs w:val="22"/>
              </w:rPr>
            </w:pPr>
            <w:r w:rsidRPr="0D63FF99">
              <w:rPr>
                <w:color w:val="000000" w:themeColor="text1"/>
                <w:sz w:val="22"/>
                <w:szCs w:val="22"/>
              </w:rPr>
              <w:t>Pregnant</w:t>
            </w:r>
          </w:p>
        </w:tc>
        <w:tc>
          <w:tcPr>
            <w:tcW w:w="207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4ADA5076" w14:textId="42156726">
            <w:pPr>
              <w:tabs>
                <w:tab w:val="left" w:pos="720"/>
                <w:tab w:val="left" w:pos="1080"/>
                <w:tab w:val="left" w:pos="1440"/>
                <w:tab w:val="left" w:pos="1800"/>
              </w:tabs>
              <w:jc w:val="center"/>
              <w:rPr>
                <w:sz w:val="22"/>
                <w:szCs w:val="22"/>
              </w:rPr>
            </w:pPr>
            <w:r w:rsidRPr="0D63FF99">
              <w:rPr>
                <w:sz w:val="22"/>
                <w:szCs w:val="22"/>
              </w:rPr>
              <w:t>47.2</w:t>
            </w:r>
          </w:p>
        </w:tc>
        <w:tc>
          <w:tcPr>
            <w:tcW w:w="216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638EA9F0" w14:textId="6BDE933D">
            <w:pPr>
              <w:tabs>
                <w:tab w:val="left" w:pos="720"/>
                <w:tab w:val="left" w:pos="1080"/>
                <w:tab w:val="left" w:pos="1440"/>
                <w:tab w:val="left" w:pos="1800"/>
              </w:tabs>
              <w:jc w:val="center"/>
              <w:rPr>
                <w:sz w:val="22"/>
                <w:szCs w:val="22"/>
              </w:rPr>
            </w:pPr>
            <w:r w:rsidRPr="0D63FF99">
              <w:rPr>
                <w:sz w:val="22"/>
                <w:szCs w:val="22"/>
              </w:rPr>
              <w:t>56.6</w:t>
            </w:r>
          </w:p>
        </w:tc>
        <w:tc>
          <w:tcPr>
            <w:tcW w:w="1342"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7B2EB88C" w14:textId="59734CCE">
            <w:pPr>
              <w:tabs>
                <w:tab w:val="left" w:pos="720"/>
                <w:tab w:val="left" w:pos="1080"/>
                <w:tab w:val="left" w:pos="1440"/>
                <w:tab w:val="left" w:pos="1800"/>
              </w:tabs>
              <w:jc w:val="center"/>
              <w:rPr>
                <w:color w:val="000000" w:themeColor="text1"/>
                <w:sz w:val="22"/>
                <w:szCs w:val="22"/>
              </w:rPr>
            </w:pPr>
            <w:r w:rsidRPr="0D63FF99">
              <w:rPr>
                <w:color w:val="000000" w:themeColor="text1"/>
                <w:sz w:val="22"/>
                <w:szCs w:val="22"/>
              </w:rPr>
              <w:t>-9.4</w:t>
            </w:r>
          </w:p>
        </w:tc>
      </w:tr>
      <w:tr w:rsidR="0D63FF99" w:rsidTr="00B548FB" w14:paraId="40B47AB0" w14:textId="77777777">
        <w:trPr>
          <w:trHeight w:val="300"/>
        </w:trPr>
        <w:tc>
          <w:tcPr>
            <w:tcW w:w="387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466DE123" w14:textId="7B9139CD">
            <w:pPr>
              <w:tabs>
                <w:tab w:val="left" w:pos="720"/>
                <w:tab w:val="left" w:pos="1080"/>
                <w:tab w:val="left" w:pos="1440"/>
                <w:tab w:val="left" w:pos="1800"/>
              </w:tabs>
              <w:rPr>
                <w:color w:val="000000" w:themeColor="text1"/>
                <w:sz w:val="22"/>
                <w:szCs w:val="22"/>
              </w:rPr>
            </w:pPr>
            <w:r w:rsidRPr="0D63FF99">
              <w:rPr>
                <w:color w:val="000000" w:themeColor="text1"/>
                <w:sz w:val="22"/>
                <w:szCs w:val="22"/>
              </w:rPr>
              <w:t>Moved in the prior year</w:t>
            </w:r>
          </w:p>
        </w:tc>
        <w:tc>
          <w:tcPr>
            <w:tcW w:w="207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32F304E1" w14:textId="7A66EB2F">
            <w:pPr>
              <w:tabs>
                <w:tab w:val="left" w:pos="720"/>
                <w:tab w:val="left" w:pos="1080"/>
                <w:tab w:val="left" w:pos="1440"/>
                <w:tab w:val="left" w:pos="1800"/>
              </w:tabs>
              <w:jc w:val="center"/>
              <w:rPr>
                <w:sz w:val="22"/>
                <w:szCs w:val="22"/>
              </w:rPr>
            </w:pPr>
            <w:r w:rsidRPr="0D63FF99">
              <w:rPr>
                <w:sz w:val="22"/>
                <w:szCs w:val="22"/>
              </w:rPr>
              <w:t>17.1</w:t>
            </w:r>
          </w:p>
        </w:tc>
        <w:tc>
          <w:tcPr>
            <w:tcW w:w="216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299A0654" w14:textId="00CEFC85">
            <w:pPr>
              <w:tabs>
                <w:tab w:val="left" w:pos="720"/>
                <w:tab w:val="left" w:pos="1080"/>
                <w:tab w:val="left" w:pos="1440"/>
                <w:tab w:val="left" w:pos="1800"/>
              </w:tabs>
              <w:jc w:val="center"/>
              <w:rPr>
                <w:sz w:val="22"/>
                <w:szCs w:val="22"/>
              </w:rPr>
            </w:pPr>
            <w:r w:rsidRPr="0D63FF99">
              <w:rPr>
                <w:sz w:val="22"/>
                <w:szCs w:val="22"/>
              </w:rPr>
              <w:t>25.1</w:t>
            </w:r>
          </w:p>
        </w:tc>
        <w:tc>
          <w:tcPr>
            <w:tcW w:w="1342"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3C85C8D7" w14:textId="3A911437">
            <w:pPr>
              <w:tabs>
                <w:tab w:val="left" w:pos="720"/>
                <w:tab w:val="left" w:pos="1080"/>
                <w:tab w:val="left" w:pos="1440"/>
                <w:tab w:val="left" w:pos="1800"/>
              </w:tabs>
              <w:jc w:val="center"/>
              <w:rPr>
                <w:color w:val="000000" w:themeColor="text1"/>
                <w:sz w:val="22"/>
                <w:szCs w:val="22"/>
              </w:rPr>
            </w:pPr>
            <w:r w:rsidRPr="0D63FF99">
              <w:rPr>
                <w:color w:val="000000" w:themeColor="text1"/>
                <w:sz w:val="22"/>
                <w:szCs w:val="22"/>
              </w:rPr>
              <w:t>-8.0</w:t>
            </w:r>
          </w:p>
        </w:tc>
      </w:tr>
      <w:tr w:rsidR="0D63FF99" w:rsidTr="00B548FB" w14:paraId="500BC4F0" w14:textId="77777777">
        <w:trPr>
          <w:trHeight w:val="300"/>
        </w:trPr>
        <w:tc>
          <w:tcPr>
            <w:tcW w:w="387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654434C5" w14:textId="233D80E3">
            <w:pPr>
              <w:tabs>
                <w:tab w:val="left" w:pos="720"/>
                <w:tab w:val="left" w:pos="1080"/>
                <w:tab w:val="left" w:pos="1440"/>
                <w:tab w:val="left" w:pos="1800"/>
              </w:tabs>
              <w:rPr>
                <w:color w:val="000000" w:themeColor="text1"/>
                <w:sz w:val="22"/>
                <w:szCs w:val="22"/>
              </w:rPr>
            </w:pPr>
            <w:r w:rsidRPr="0D63FF99">
              <w:rPr>
                <w:color w:val="000000" w:themeColor="text1"/>
                <w:sz w:val="22"/>
                <w:szCs w:val="22"/>
              </w:rPr>
              <w:t>Child’s father figure does not live in household</w:t>
            </w:r>
          </w:p>
        </w:tc>
        <w:tc>
          <w:tcPr>
            <w:tcW w:w="207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6968DDE6" w14:textId="0A3B09D7">
            <w:pPr>
              <w:tabs>
                <w:tab w:val="left" w:pos="720"/>
                <w:tab w:val="left" w:pos="1080"/>
                <w:tab w:val="left" w:pos="1440"/>
                <w:tab w:val="left" w:pos="1800"/>
              </w:tabs>
              <w:jc w:val="center"/>
              <w:rPr>
                <w:sz w:val="22"/>
                <w:szCs w:val="22"/>
              </w:rPr>
            </w:pPr>
            <w:r w:rsidRPr="0D63FF99">
              <w:rPr>
                <w:sz w:val="22"/>
                <w:szCs w:val="22"/>
              </w:rPr>
              <w:t>54.2</w:t>
            </w:r>
          </w:p>
        </w:tc>
        <w:tc>
          <w:tcPr>
            <w:tcW w:w="216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7296D113" w14:textId="222E22EB">
            <w:pPr>
              <w:tabs>
                <w:tab w:val="left" w:pos="720"/>
                <w:tab w:val="left" w:pos="1080"/>
                <w:tab w:val="left" w:pos="1440"/>
                <w:tab w:val="left" w:pos="1800"/>
              </w:tabs>
              <w:jc w:val="center"/>
              <w:rPr>
                <w:sz w:val="22"/>
                <w:szCs w:val="22"/>
              </w:rPr>
            </w:pPr>
            <w:r w:rsidRPr="0D63FF99">
              <w:rPr>
                <w:sz w:val="22"/>
                <w:szCs w:val="22"/>
              </w:rPr>
              <w:t>61.5</w:t>
            </w:r>
          </w:p>
        </w:tc>
        <w:tc>
          <w:tcPr>
            <w:tcW w:w="1342"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3F7F510E" w14:textId="278F3AE0">
            <w:pPr>
              <w:tabs>
                <w:tab w:val="left" w:pos="720"/>
                <w:tab w:val="left" w:pos="1080"/>
                <w:tab w:val="left" w:pos="1440"/>
                <w:tab w:val="left" w:pos="1800"/>
              </w:tabs>
              <w:jc w:val="center"/>
              <w:rPr>
                <w:color w:val="000000" w:themeColor="text1"/>
                <w:sz w:val="22"/>
                <w:szCs w:val="22"/>
              </w:rPr>
            </w:pPr>
            <w:r w:rsidRPr="0D63FF99">
              <w:rPr>
                <w:color w:val="000000" w:themeColor="text1"/>
                <w:sz w:val="22"/>
                <w:szCs w:val="22"/>
              </w:rPr>
              <w:t>-7.3</w:t>
            </w:r>
          </w:p>
        </w:tc>
      </w:tr>
      <w:tr w:rsidR="0D63FF99" w:rsidTr="00B548FB" w14:paraId="0A1C7236" w14:textId="77777777">
        <w:trPr>
          <w:trHeight w:val="315"/>
        </w:trPr>
        <w:tc>
          <w:tcPr>
            <w:tcW w:w="3870" w:type="dxa"/>
            <w:tcBorders>
              <w:top w:val="single" w:color="auto" w:sz="6" w:space="0"/>
              <w:left w:val="single" w:color="auto" w:sz="6" w:space="0"/>
              <w:bottom w:val="single" w:color="auto" w:sz="6" w:space="0"/>
              <w:right w:val="single" w:color="auto" w:sz="6" w:space="0"/>
            </w:tcBorders>
            <w:vAlign w:val="bottom"/>
          </w:tcPr>
          <w:p w:rsidR="0D63FF99" w:rsidP="0D63FF99" w:rsidRDefault="0D63FF99" w14:paraId="38A2FA8B" w14:textId="71299046">
            <w:pPr>
              <w:tabs>
                <w:tab w:val="left" w:pos="720"/>
                <w:tab w:val="left" w:pos="1080"/>
                <w:tab w:val="left" w:pos="1440"/>
                <w:tab w:val="left" w:pos="1800"/>
              </w:tabs>
              <w:rPr>
                <w:color w:val="000000" w:themeColor="text1"/>
                <w:sz w:val="22"/>
                <w:szCs w:val="22"/>
              </w:rPr>
            </w:pPr>
            <w:r w:rsidRPr="0D63FF99">
              <w:rPr>
                <w:color w:val="000000" w:themeColor="text1"/>
                <w:sz w:val="22"/>
                <w:szCs w:val="22"/>
              </w:rPr>
              <w:t>Not married to biological father of child</w:t>
            </w:r>
          </w:p>
        </w:tc>
        <w:tc>
          <w:tcPr>
            <w:tcW w:w="207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4727BE44" w14:textId="70B231A6">
            <w:pPr>
              <w:tabs>
                <w:tab w:val="left" w:pos="720"/>
                <w:tab w:val="left" w:pos="1080"/>
                <w:tab w:val="left" w:pos="1440"/>
                <w:tab w:val="left" w:pos="1800"/>
              </w:tabs>
              <w:jc w:val="center"/>
              <w:rPr>
                <w:sz w:val="22"/>
                <w:szCs w:val="22"/>
              </w:rPr>
            </w:pPr>
            <w:r w:rsidRPr="0D63FF99">
              <w:rPr>
                <w:sz w:val="22"/>
                <w:szCs w:val="22"/>
              </w:rPr>
              <w:t>77.9</w:t>
            </w:r>
          </w:p>
        </w:tc>
        <w:tc>
          <w:tcPr>
            <w:tcW w:w="2160"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08C1EE0F" w14:textId="50B72EB9">
            <w:pPr>
              <w:tabs>
                <w:tab w:val="left" w:pos="720"/>
                <w:tab w:val="left" w:pos="1080"/>
                <w:tab w:val="left" w:pos="1440"/>
                <w:tab w:val="left" w:pos="1800"/>
              </w:tabs>
              <w:jc w:val="center"/>
              <w:rPr>
                <w:sz w:val="22"/>
                <w:szCs w:val="22"/>
              </w:rPr>
            </w:pPr>
            <w:r w:rsidRPr="0D63FF99">
              <w:rPr>
                <w:sz w:val="22"/>
                <w:szCs w:val="22"/>
              </w:rPr>
              <w:t>85.3</w:t>
            </w:r>
          </w:p>
        </w:tc>
        <w:tc>
          <w:tcPr>
            <w:tcW w:w="1342" w:type="dxa"/>
            <w:tcBorders>
              <w:top w:val="single" w:color="auto" w:sz="6" w:space="0"/>
              <w:left w:val="single" w:color="auto" w:sz="6" w:space="0"/>
              <w:bottom w:val="single" w:color="auto" w:sz="6" w:space="0"/>
              <w:right w:val="single" w:color="auto" w:sz="6" w:space="0"/>
            </w:tcBorders>
            <w:vAlign w:val="center"/>
          </w:tcPr>
          <w:p w:rsidR="0D63FF99" w:rsidP="0D63FF99" w:rsidRDefault="0D63FF99" w14:paraId="03E3C065" w14:textId="44E9C740">
            <w:pPr>
              <w:tabs>
                <w:tab w:val="left" w:pos="720"/>
                <w:tab w:val="left" w:pos="1080"/>
                <w:tab w:val="left" w:pos="1440"/>
                <w:tab w:val="left" w:pos="1800"/>
              </w:tabs>
              <w:jc w:val="center"/>
              <w:rPr>
                <w:color w:val="000000" w:themeColor="text1"/>
                <w:sz w:val="22"/>
                <w:szCs w:val="22"/>
              </w:rPr>
            </w:pPr>
            <w:r w:rsidRPr="0D63FF99">
              <w:rPr>
                <w:color w:val="000000" w:themeColor="text1"/>
                <w:sz w:val="22"/>
                <w:szCs w:val="22"/>
              </w:rPr>
              <w:t>-7.4</w:t>
            </w:r>
          </w:p>
        </w:tc>
      </w:tr>
    </w:tbl>
    <w:p w:rsidR="0D63FF99" w:rsidP="0D63FF99" w:rsidRDefault="0D63FF99" w14:paraId="500B802F" w14:textId="7E9ABB57">
      <w:pPr>
        <w:tabs>
          <w:tab w:val="left" w:pos="720"/>
          <w:tab w:val="left" w:pos="1080"/>
          <w:tab w:val="left" w:pos="1440"/>
          <w:tab w:val="left" w:pos="1800"/>
        </w:tabs>
        <w:ind w:left="720"/>
        <w:rPr>
          <w:color w:val="000000" w:themeColor="text1"/>
        </w:rPr>
      </w:pPr>
    </w:p>
    <w:p w:rsidR="0D63FF99" w:rsidP="0D63FF99" w:rsidRDefault="0D63FF99" w14:paraId="22E553A3" w14:textId="7C728605">
      <w:pPr>
        <w:tabs>
          <w:tab w:val="left" w:pos="720"/>
          <w:tab w:val="left" w:pos="1080"/>
          <w:tab w:val="left" w:pos="1440"/>
          <w:tab w:val="left" w:pos="1800"/>
        </w:tabs>
        <w:ind w:left="720"/>
        <w:rPr>
          <w:color w:val="000000" w:themeColor="text1"/>
        </w:rPr>
      </w:pPr>
    </w:p>
    <w:p w:rsidR="755EBAF9" w:rsidP="0D63FF99" w:rsidRDefault="755EBAF9" w14:paraId="19F657F7" w14:textId="2A43EBC2">
      <w:pPr>
        <w:tabs>
          <w:tab w:val="left" w:pos="720"/>
          <w:tab w:val="left" w:pos="1080"/>
          <w:tab w:val="left" w:pos="1440"/>
          <w:tab w:val="left" w:pos="1800"/>
        </w:tabs>
        <w:ind w:left="720"/>
        <w:rPr>
          <w:color w:val="000000" w:themeColor="text1"/>
        </w:rPr>
      </w:pPr>
      <w:r w:rsidRPr="0D63FF99">
        <w:rPr>
          <w:color w:val="000000" w:themeColor="text1"/>
        </w:rPr>
        <w:t xml:space="preserve">Differential attrition across key subgroups is also a major concern for the kindergarten time point of MIHOPE, as subgroup representativeness is necessary to address a primary research question: </w:t>
      </w:r>
      <w:r w:rsidRPr="0D63FF99">
        <w:rPr>
          <w:i/>
          <w:iCs/>
          <w:color w:val="000000" w:themeColor="text1"/>
        </w:rPr>
        <w:t>Are the long-term effects of home visiting larger for some types of families than for others?</w:t>
      </w:r>
      <w:r w:rsidRPr="0D63FF99">
        <w:rPr>
          <w:color w:val="000000" w:themeColor="text1"/>
        </w:rPr>
        <w:t xml:space="preserve"> </w:t>
      </w:r>
    </w:p>
    <w:p w:rsidR="0D63FF99" w:rsidP="0D63FF99" w:rsidRDefault="0D63FF99" w14:paraId="5F0689D9" w14:textId="1170D3D6">
      <w:pPr>
        <w:tabs>
          <w:tab w:val="left" w:pos="720"/>
          <w:tab w:val="left" w:pos="1080"/>
          <w:tab w:val="left" w:pos="1440"/>
          <w:tab w:val="left" w:pos="1800"/>
        </w:tabs>
        <w:ind w:left="720"/>
        <w:rPr>
          <w:color w:val="000000" w:themeColor="text1"/>
        </w:rPr>
      </w:pPr>
    </w:p>
    <w:p w:rsidR="755EBAF9" w:rsidP="0D63FF99" w:rsidRDefault="755EBAF9" w14:paraId="47605313" w14:textId="2E286868">
      <w:pPr>
        <w:tabs>
          <w:tab w:val="left" w:pos="720"/>
          <w:tab w:val="left" w:pos="1080"/>
          <w:tab w:val="left" w:pos="1440"/>
          <w:tab w:val="left" w:pos="1800"/>
        </w:tabs>
        <w:ind w:left="720"/>
        <w:rPr>
          <w:color w:val="000000" w:themeColor="text1"/>
        </w:rPr>
      </w:pPr>
      <w:r w:rsidRPr="0D63FF99">
        <w:rPr>
          <w:b/>
          <w:bCs/>
          <w:color w:val="000000" w:themeColor="text1"/>
        </w:rPr>
        <w:t>Ensure the study meets quality rating standards set out by the What Works Clearinghouse (WWC)</w:t>
      </w:r>
      <w:r w:rsidRPr="0D63FF99">
        <w:rPr>
          <w:rStyle w:val="FootnoteReference"/>
          <w:b/>
          <w:bCs/>
          <w:color w:val="000000" w:themeColor="text1"/>
        </w:rPr>
        <w:t xml:space="preserve"> 3</w:t>
      </w:r>
      <w:r w:rsidRPr="0D63FF99">
        <w:rPr>
          <w:b/>
          <w:bCs/>
          <w:color w:val="000000" w:themeColor="text1"/>
        </w:rPr>
        <w:t xml:space="preserve"> and by HHS’s Home Visiting Evidence of Effectiveness review (HomVEE).</w:t>
      </w:r>
      <w:r w:rsidRPr="0D63FF99">
        <w:rPr>
          <w:b/>
          <w:bCs/>
          <w:color w:val="000000" w:themeColor="text1"/>
          <w:vertAlign w:val="superscript"/>
        </w:rPr>
        <w:t>4</w:t>
      </w:r>
      <w:r w:rsidRPr="0D63FF99">
        <w:rPr>
          <w:b/>
          <w:bCs/>
          <w:color w:val="000000" w:themeColor="text1"/>
        </w:rPr>
        <w:t xml:space="preserve"> </w:t>
      </w:r>
      <w:r w:rsidRPr="0D63FF99">
        <w:rPr>
          <w:color w:val="000000" w:themeColor="text1"/>
        </w:rPr>
        <w:t xml:space="preserve">It is especially important for MIHOPE to meet </w:t>
      </w:r>
      <w:proofErr w:type="spellStart"/>
      <w:r w:rsidRPr="0D63FF99">
        <w:rPr>
          <w:color w:val="000000" w:themeColor="text1"/>
        </w:rPr>
        <w:t>HomVEE’s</w:t>
      </w:r>
      <w:proofErr w:type="spellEnd"/>
      <w:r w:rsidRPr="0D63FF99">
        <w:rPr>
          <w:color w:val="000000" w:themeColor="text1"/>
        </w:rPr>
        <w:t xml:space="preserve"> standards, as this is the primary evidence review for the home visiting field. Study rating criteria include low overall attrition and low differential attrition. Meeting these standards is necessary for the study to be maximally useful for policymakers and practitioners.</w:t>
      </w:r>
    </w:p>
    <w:p w:rsidR="0D63FF99" w:rsidP="0D63FF99" w:rsidRDefault="0D63FF99" w14:paraId="160B8B0A" w14:textId="15BD883F">
      <w:pPr>
        <w:tabs>
          <w:tab w:val="left" w:pos="720"/>
          <w:tab w:val="left" w:pos="1080"/>
          <w:tab w:val="left" w:pos="1440"/>
          <w:tab w:val="left" w:pos="1800"/>
        </w:tabs>
        <w:rPr>
          <w:color w:val="000000" w:themeColor="text1"/>
        </w:rPr>
      </w:pPr>
    </w:p>
    <w:p w:rsidRPr="00E4380E" w:rsidR="006553F4" w:rsidP="00E4380E" w:rsidRDefault="451E8E70" w14:paraId="4C17C78E" w14:textId="322C7978">
      <w:pPr>
        <w:pStyle w:val="ListParagraph"/>
        <w:numPr>
          <w:ilvl w:val="0"/>
          <w:numId w:val="6"/>
        </w:numPr>
        <w:tabs>
          <w:tab w:val="left" w:pos="432"/>
        </w:tabs>
        <w:spacing w:line="240" w:lineRule="auto"/>
        <w:rPr>
          <w:sz w:val="24"/>
          <w:szCs w:val="24"/>
        </w:rPr>
      </w:pPr>
      <w:r w:rsidRPr="671FB2DC">
        <w:rPr>
          <w:b/>
          <w:bCs/>
          <w:sz w:val="24"/>
          <w:szCs w:val="24"/>
        </w:rPr>
        <w:lastRenderedPageBreak/>
        <w:t>Pro</w:t>
      </w:r>
      <w:r w:rsidRPr="671FB2DC" w:rsidR="1121A924">
        <w:rPr>
          <w:b/>
          <w:bCs/>
          <w:sz w:val="24"/>
          <w:szCs w:val="24"/>
        </w:rPr>
        <w:t xml:space="preserve">viding </w:t>
      </w:r>
      <w:r w:rsidRPr="671FB2DC" w:rsidR="1743680F">
        <w:rPr>
          <w:b/>
          <w:bCs/>
          <w:sz w:val="24"/>
          <w:szCs w:val="24"/>
        </w:rPr>
        <w:t>a study web page</w:t>
      </w:r>
      <w:r w:rsidRPr="671FB2DC" w:rsidR="1743680F">
        <w:rPr>
          <w:sz w:val="24"/>
          <w:szCs w:val="24"/>
        </w:rPr>
        <w:t xml:space="preserve"> </w:t>
      </w:r>
      <w:r w:rsidRPr="671FB2DC" w:rsidR="360EEF07">
        <w:rPr>
          <w:sz w:val="24"/>
          <w:szCs w:val="24"/>
        </w:rPr>
        <w:t>to relay information about the study to participating families.</w:t>
      </w:r>
      <w:r w:rsidRPr="671FB2DC" w:rsidR="3C8EBAD8">
        <w:rPr>
          <w:sz w:val="24"/>
          <w:szCs w:val="24"/>
        </w:rPr>
        <w:t xml:space="preserve"> (The website</w:t>
      </w:r>
      <w:r w:rsidRPr="671FB2DC" w:rsidR="5E4B61A4">
        <w:rPr>
          <w:sz w:val="24"/>
          <w:szCs w:val="24"/>
        </w:rPr>
        <w:t>, included as</w:t>
      </w:r>
      <w:r w:rsidRPr="671FB2DC" w:rsidR="0615B33F">
        <w:rPr>
          <w:sz w:val="24"/>
          <w:szCs w:val="24"/>
        </w:rPr>
        <w:t xml:space="preserve"> Instrument 6</w:t>
      </w:r>
      <w:r w:rsidRPr="671FB2DC" w:rsidR="5E4B61A4">
        <w:rPr>
          <w:sz w:val="24"/>
          <w:szCs w:val="24"/>
        </w:rPr>
        <w:t>,</w:t>
      </w:r>
      <w:r w:rsidRPr="671FB2DC" w:rsidR="3C8EBAD8">
        <w:rPr>
          <w:sz w:val="24"/>
          <w:szCs w:val="24"/>
        </w:rPr>
        <w:t xml:space="preserve"> allow</w:t>
      </w:r>
      <w:r w:rsidRPr="671FB2DC" w:rsidR="0AB57FAB">
        <w:rPr>
          <w:sz w:val="24"/>
          <w:szCs w:val="24"/>
        </w:rPr>
        <w:t>s</w:t>
      </w:r>
      <w:r w:rsidRPr="671FB2DC" w:rsidR="3C8EBAD8">
        <w:rPr>
          <w:sz w:val="24"/>
          <w:szCs w:val="24"/>
        </w:rPr>
        <w:t xml:space="preserve"> families to provide consent for the study to contact their child’s teacher.)</w:t>
      </w:r>
    </w:p>
    <w:p w:rsidRPr="00C34A8E" w:rsidR="000C6D43" w:rsidP="00C34A8E" w:rsidRDefault="000C6D43" w14:paraId="764DF67C" w14:textId="77777777">
      <w:pPr>
        <w:autoSpaceDE w:val="0"/>
        <w:autoSpaceDN w:val="0"/>
        <w:adjustRightInd w:val="0"/>
        <w:rPr>
          <w:b/>
        </w:rPr>
      </w:pPr>
    </w:p>
    <w:p w:rsidRPr="00C34A8E" w:rsidR="00982C12" w:rsidP="00C34A8E" w:rsidRDefault="00982C12" w14:paraId="684A03C3" w14:textId="77777777">
      <w:pPr>
        <w:rPr>
          <w:b/>
        </w:rPr>
      </w:pPr>
    </w:p>
    <w:sectPr w:rsidRPr="00C34A8E" w:rsidR="00982C12" w:rsidSect="002E42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56B77" w14:textId="77777777" w:rsidR="00A63570" w:rsidRDefault="00A63570" w:rsidP="00F779B0">
      <w:r>
        <w:separator/>
      </w:r>
    </w:p>
  </w:endnote>
  <w:endnote w:type="continuationSeparator" w:id="0">
    <w:p w14:paraId="10E31834" w14:textId="77777777" w:rsidR="00A63570" w:rsidRDefault="00A63570" w:rsidP="00F779B0">
      <w:r>
        <w:continuationSeparator/>
      </w:r>
    </w:p>
  </w:endnote>
  <w:endnote w:type="continuationNotice" w:id="1">
    <w:p w14:paraId="4DC27747" w14:textId="77777777" w:rsidR="00A63570" w:rsidRDefault="00A63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475551"/>
      <w:docPartObj>
        <w:docPartGallery w:val="Page Numbers (Bottom of Page)"/>
        <w:docPartUnique/>
      </w:docPartObj>
    </w:sdtPr>
    <w:sdtEndPr/>
    <w:sdtContent>
      <w:p w14:paraId="64BBF287" w14:textId="6A38A568" w:rsidR="00BA36B7" w:rsidRDefault="00BA36B7">
        <w:pPr>
          <w:pStyle w:val="Footer"/>
          <w:jc w:val="center"/>
        </w:pPr>
        <w:r>
          <w:fldChar w:fldCharType="begin"/>
        </w:r>
        <w:r>
          <w:instrText xml:space="preserve"> PAGE   \* MERGEFORMAT </w:instrText>
        </w:r>
        <w:r>
          <w:fldChar w:fldCharType="separate"/>
        </w:r>
        <w:r w:rsidR="006E55D7">
          <w:rPr>
            <w:noProof/>
          </w:rPr>
          <w:t>19</w:t>
        </w:r>
        <w:r>
          <w:rPr>
            <w:noProof/>
          </w:rPr>
          <w:fldChar w:fldCharType="end"/>
        </w:r>
      </w:p>
    </w:sdtContent>
  </w:sdt>
  <w:p w14:paraId="19540BD9" w14:textId="77777777" w:rsidR="00BA36B7" w:rsidRDefault="00BA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F1B67" w14:textId="77777777" w:rsidR="00A63570" w:rsidRDefault="00A63570" w:rsidP="00F779B0">
      <w:r>
        <w:separator/>
      </w:r>
    </w:p>
  </w:footnote>
  <w:footnote w:type="continuationSeparator" w:id="0">
    <w:p w14:paraId="43AF6C8F" w14:textId="77777777" w:rsidR="00A63570" w:rsidRDefault="00A63570" w:rsidP="00F779B0">
      <w:r>
        <w:continuationSeparator/>
      </w:r>
    </w:p>
  </w:footnote>
  <w:footnote w:type="continuationNotice" w:id="1">
    <w:p w14:paraId="46AF646E" w14:textId="77777777" w:rsidR="00A63570" w:rsidRDefault="00A635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613738"/>
    <w:multiLevelType w:val="hybridMultilevel"/>
    <w:tmpl w:val="6A222D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26890"/>
    <w:multiLevelType w:val="hybridMultilevel"/>
    <w:tmpl w:val="4DECAFAE"/>
    <w:lvl w:ilvl="0" w:tplc="608C4E4C">
      <w:start w:val="3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81F"/>
    <w:multiLevelType w:val="hybridMultilevel"/>
    <w:tmpl w:val="57DACE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65202"/>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38A4"/>
    <w:multiLevelType w:val="hybridMultilevel"/>
    <w:tmpl w:val="6686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5383"/>
    <w:multiLevelType w:val="hybridMultilevel"/>
    <w:tmpl w:val="FFFFFFFF"/>
    <w:lvl w:ilvl="0" w:tplc="0F8AA076">
      <w:start w:val="1"/>
      <w:numFmt w:val="bullet"/>
      <w:lvlText w:val=""/>
      <w:lvlJc w:val="left"/>
      <w:pPr>
        <w:ind w:left="720" w:hanging="360"/>
      </w:pPr>
      <w:rPr>
        <w:rFonts w:ascii="Symbol" w:hAnsi="Symbol" w:hint="default"/>
      </w:rPr>
    </w:lvl>
    <w:lvl w:ilvl="1" w:tplc="46EEA4DA">
      <w:start w:val="1"/>
      <w:numFmt w:val="bullet"/>
      <w:lvlText w:val="o"/>
      <w:lvlJc w:val="left"/>
      <w:pPr>
        <w:ind w:left="1440" w:hanging="360"/>
      </w:pPr>
      <w:rPr>
        <w:rFonts w:ascii="Courier New" w:hAnsi="Courier New" w:hint="default"/>
      </w:rPr>
    </w:lvl>
    <w:lvl w:ilvl="2" w:tplc="E5EE5B46">
      <w:start w:val="1"/>
      <w:numFmt w:val="bullet"/>
      <w:lvlText w:val=""/>
      <w:lvlJc w:val="left"/>
      <w:pPr>
        <w:ind w:left="2160" w:hanging="360"/>
      </w:pPr>
      <w:rPr>
        <w:rFonts w:ascii="Wingdings" w:hAnsi="Wingdings" w:hint="default"/>
      </w:rPr>
    </w:lvl>
    <w:lvl w:ilvl="3" w:tplc="E19CBF08">
      <w:start w:val="1"/>
      <w:numFmt w:val="bullet"/>
      <w:lvlText w:val=""/>
      <w:lvlJc w:val="left"/>
      <w:pPr>
        <w:ind w:left="2880" w:hanging="360"/>
      </w:pPr>
      <w:rPr>
        <w:rFonts w:ascii="Symbol" w:hAnsi="Symbol" w:hint="default"/>
      </w:rPr>
    </w:lvl>
    <w:lvl w:ilvl="4" w:tplc="142C1F7E">
      <w:start w:val="1"/>
      <w:numFmt w:val="bullet"/>
      <w:lvlText w:val="o"/>
      <w:lvlJc w:val="left"/>
      <w:pPr>
        <w:ind w:left="3600" w:hanging="360"/>
      </w:pPr>
      <w:rPr>
        <w:rFonts w:ascii="Courier New" w:hAnsi="Courier New" w:hint="default"/>
      </w:rPr>
    </w:lvl>
    <w:lvl w:ilvl="5" w:tplc="97AA02B8">
      <w:start w:val="1"/>
      <w:numFmt w:val="bullet"/>
      <w:lvlText w:val=""/>
      <w:lvlJc w:val="left"/>
      <w:pPr>
        <w:ind w:left="4320" w:hanging="360"/>
      </w:pPr>
      <w:rPr>
        <w:rFonts w:ascii="Wingdings" w:hAnsi="Wingdings" w:hint="default"/>
      </w:rPr>
    </w:lvl>
    <w:lvl w:ilvl="6" w:tplc="920EA05C">
      <w:start w:val="1"/>
      <w:numFmt w:val="bullet"/>
      <w:lvlText w:val=""/>
      <w:lvlJc w:val="left"/>
      <w:pPr>
        <w:ind w:left="5040" w:hanging="360"/>
      </w:pPr>
      <w:rPr>
        <w:rFonts w:ascii="Symbol" w:hAnsi="Symbol" w:hint="default"/>
      </w:rPr>
    </w:lvl>
    <w:lvl w:ilvl="7" w:tplc="6764DE86">
      <w:start w:val="1"/>
      <w:numFmt w:val="bullet"/>
      <w:lvlText w:val="o"/>
      <w:lvlJc w:val="left"/>
      <w:pPr>
        <w:ind w:left="5760" w:hanging="360"/>
      </w:pPr>
      <w:rPr>
        <w:rFonts w:ascii="Courier New" w:hAnsi="Courier New" w:hint="default"/>
      </w:rPr>
    </w:lvl>
    <w:lvl w:ilvl="8" w:tplc="57C6CDCE">
      <w:start w:val="1"/>
      <w:numFmt w:val="bullet"/>
      <w:lvlText w:val=""/>
      <w:lvlJc w:val="left"/>
      <w:pPr>
        <w:ind w:left="6480" w:hanging="360"/>
      </w:pPr>
      <w:rPr>
        <w:rFonts w:ascii="Wingdings" w:hAnsi="Wingdings" w:hint="default"/>
      </w:rPr>
    </w:lvl>
  </w:abstractNum>
  <w:abstractNum w:abstractNumId="7" w15:restartNumberingAfterBreak="0">
    <w:nsid w:val="29D22925"/>
    <w:multiLevelType w:val="hybridMultilevel"/>
    <w:tmpl w:val="1D4A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5D074A"/>
    <w:multiLevelType w:val="hybridMultilevel"/>
    <w:tmpl w:val="A56C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D3D18"/>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8078F"/>
    <w:multiLevelType w:val="hybridMultilevel"/>
    <w:tmpl w:val="35C8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81888"/>
    <w:multiLevelType w:val="hybridMultilevel"/>
    <w:tmpl w:val="DCA2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9C25F8"/>
    <w:multiLevelType w:val="hybridMultilevel"/>
    <w:tmpl w:val="A582E398"/>
    <w:lvl w:ilvl="0" w:tplc="D3E0BB10">
      <w:start w:val="1"/>
      <w:numFmt w:val="bullet"/>
      <w:lvlText w:val=""/>
      <w:lvlJc w:val="left"/>
      <w:pPr>
        <w:ind w:left="1080" w:hanging="360"/>
      </w:pPr>
      <w:rPr>
        <w:rFonts w:ascii="Symbol" w:hAnsi="Symbol" w:hint="default"/>
        <w:sz w:val="20"/>
      </w:rPr>
    </w:lvl>
    <w:lvl w:ilvl="1" w:tplc="81E014E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8E954C0"/>
    <w:multiLevelType w:val="hybridMultilevel"/>
    <w:tmpl w:val="B726CC54"/>
    <w:lvl w:ilvl="0" w:tplc="9CC82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4DF902C9"/>
    <w:multiLevelType w:val="hybridMultilevel"/>
    <w:tmpl w:val="FE7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D3270"/>
    <w:multiLevelType w:val="hybridMultilevel"/>
    <w:tmpl w:val="12082FAE"/>
    <w:lvl w:ilvl="0" w:tplc="D29663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5F226929"/>
    <w:multiLevelType w:val="hybridMultilevel"/>
    <w:tmpl w:val="87B0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3003A"/>
    <w:multiLevelType w:val="hybridMultilevel"/>
    <w:tmpl w:val="83B4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E5853F8"/>
    <w:multiLevelType w:val="hybridMultilevel"/>
    <w:tmpl w:val="160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C47EB"/>
    <w:multiLevelType w:val="hybridMultilevel"/>
    <w:tmpl w:val="FE7691CE"/>
    <w:lvl w:ilvl="0" w:tplc="EFB6C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0"/>
  </w:num>
  <w:num w:numId="4">
    <w:abstractNumId w:val="3"/>
  </w:num>
  <w:num w:numId="5">
    <w:abstractNumId w:val="8"/>
  </w:num>
  <w:num w:numId="6">
    <w:abstractNumId w:val="1"/>
  </w:num>
  <w:num w:numId="7">
    <w:abstractNumId w:val="20"/>
  </w:num>
  <w:num w:numId="8">
    <w:abstractNumId w:val="19"/>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12"/>
  </w:num>
  <w:num w:numId="14">
    <w:abstractNumId w:val="2"/>
  </w:num>
  <w:num w:numId="15">
    <w:abstractNumId w:val="7"/>
  </w:num>
  <w:num w:numId="16">
    <w:abstractNumId w:val="15"/>
  </w:num>
  <w:num w:numId="17">
    <w:abstractNumId w:val="22"/>
  </w:num>
  <w:num w:numId="18">
    <w:abstractNumId w:val="17"/>
  </w:num>
  <w:num w:numId="19">
    <w:abstractNumId w:val="11"/>
  </w:num>
  <w:num w:numId="20">
    <w:abstractNumId w:val="4"/>
  </w:num>
  <w:num w:numId="21">
    <w:abstractNumId w:val="18"/>
  </w:num>
  <w:num w:numId="22">
    <w:abstractNumId w:val="5"/>
  </w:num>
  <w:num w:numId="23">
    <w:abstractNumId w:val="13"/>
  </w:num>
  <w:num w:numId="24">
    <w:abstractNumId w:val="13"/>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43"/>
    <w:rsid w:val="000008AE"/>
    <w:rsid w:val="000014CE"/>
    <w:rsid w:val="000018BA"/>
    <w:rsid w:val="00003948"/>
    <w:rsid w:val="00003F31"/>
    <w:rsid w:val="00005131"/>
    <w:rsid w:val="00005E5D"/>
    <w:rsid w:val="00006187"/>
    <w:rsid w:val="00006A17"/>
    <w:rsid w:val="0000766A"/>
    <w:rsid w:val="00012349"/>
    <w:rsid w:val="000145C7"/>
    <w:rsid w:val="00015BCA"/>
    <w:rsid w:val="00016502"/>
    <w:rsid w:val="00020A5B"/>
    <w:rsid w:val="00021375"/>
    <w:rsid w:val="00022FD9"/>
    <w:rsid w:val="00024D25"/>
    <w:rsid w:val="000274EB"/>
    <w:rsid w:val="00030AA0"/>
    <w:rsid w:val="0003159D"/>
    <w:rsid w:val="00040531"/>
    <w:rsid w:val="00040A35"/>
    <w:rsid w:val="00040E9C"/>
    <w:rsid w:val="000447E8"/>
    <w:rsid w:val="000449D4"/>
    <w:rsid w:val="000514A2"/>
    <w:rsid w:val="00052F48"/>
    <w:rsid w:val="000607CB"/>
    <w:rsid w:val="00061735"/>
    <w:rsid w:val="000627E0"/>
    <w:rsid w:val="00062AB7"/>
    <w:rsid w:val="00062F56"/>
    <w:rsid w:val="000632A0"/>
    <w:rsid w:val="000651A4"/>
    <w:rsid w:val="00065F47"/>
    <w:rsid w:val="0006771C"/>
    <w:rsid w:val="000718B9"/>
    <w:rsid w:val="00072188"/>
    <w:rsid w:val="000726DE"/>
    <w:rsid w:val="00072A0D"/>
    <w:rsid w:val="00073753"/>
    <w:rsid w:val="000755FD"/>
    <w:rsid w:val="000756A9"/>
    <w:rsid w:val="000812CA"/>
    <w:rsid w:val="00082B96"/>
    <w:rsid w:val="00083828"/>
    <w:rsid w:val="00084E65"/>
    <w:rsid w:val="000875C5"/>
    <w:rsid w:val="0008773D"/>
    <w:rsid w:val="00090D77"/>
    <w:rsid w:val="0009150A"/>
    <w:rsid w:val="0009480D"/>
    <w:rsid w:val="000974DB"/>
    <w:rsid w:val="00097D75"/>
    <w:rsid w:val="00097DE0"/>
    <w:rsid w:val="000A044A"/>
    <w:rsid w:val="000A2DB4"/>
    <w:rsid w:val="000A4ACA"/>
    <w:rsid w:val="000A6349"/>
    <w:rsid w:val="000A6FEF"/>
    <w:rsid w:val="000B2187"/>
    <w:rsid w:val="000B2F84"/>
    <w:rsid w:val="000B43F7"/>
    <w:rsid w:val="000B4639"/>
    <w:rsid w:val="000B5A61"/>
    <w:rsid w:val="000C0915"/>
    <w:rsid w:val="000C5821"/>
    <w:rsid w:val="000C5C70"/>
    <w:rsid w:val="000C6D43"/>
    <w:rsid w:val="000C7747"/>
    <w:rsid w:val="000C77BB"/>
    <w:rsid w:val="000D01D6"/>
    <w:rsid w:val="000D2292"/>
    <w:rsid w:val="000D6D65"/>
    <w:rsid w:val="000D7CCD"/>
    <w:rsid w:val="000E4CDB"/>
    <w:rsid w:val="000F1509"/>
    <w:rsid w:val="000F28F7"/>
    <w:rsid w:val="000F29FE"/>
    <w:rsid w:val="000F47CB"/>
    <w:rsid w:val="000F4A99"/>
    <w:rsid w:val="000F54BF"/>
    <w:rsid w:val="0010084F"/>
    <w:rsid w:val="00100D48"/>
    <w:rsid w:val="00104ACA"/>
    <w:rsid w:val="0010727A"/>
    <w:rsid w:val="00107D5B"/>
    <w:rsid w:val="001100CC"/>
    <w:rsid w:val="00110F82"/>
    <w:rsid w:val="00111BF5"/>
    <w:rsid w:val="00111DBA"/>
    <w:rsid w:val="0011299B"/>
    <w:rsid w:val="00113E54"/>
    <w:rsid w:val="001160A0"/>
    <w:rsid w:val="00116543"/>
    <w:rsid w:val="00117D2D"/>
    <w:rsid w:val="00123190"/>
    <w:rsid w:val="00123605"/>
    <w:rsid w:val="00123A6C"/>
    <w:rsid w:val="00126190"/>
    <w:rsid w:val="001317BD"/>
    <w:rsid w:val="00132139"/>
    <w:rsid w:val="00133F8B"/>
    <w:rsid w:val="001356D3"/>
    <w:rsid w:val="00135C69"/>
    <w:rsid w:val="00146DA4"/>
    <w:rsid w:val="001513F4"/>
    <w:rsid w:val="00152121"/>
    <w:rsid w:val="00154A4C"/>
    <w:rsid w:val="00155FA2"/>
    <w:rsid w:val="00161A79"/>
    <w:rsid w:val="0016430B"/>
    <w:rsid w:val="00165F9F"/>
    <w:rsid w:val="00166223"/>
    <w:rsid w:val="00166A9A"/>
    <w:rsid w:val="00171D38"/>
    <w:rsid w:val="00175163"/>
    <w:rsid w:val="00175506"/>
    <w:rsid w:val="00175C49"/>
    <w:rsid w:val="00176D6A"/>
    <w:rsid w:val="001809A9"/>
    <w:rsid w:val="00183CA8"/>
    <w:rsid w:val="001841B6"/>
    <w:rsid w:val="0018486C"/>
    <w:rsid w:val="00186C97"/>
    <w:rsid w:val="00191CA2"/>
    <w:rsid w:val="00194325"/>
    <w:rsid w:val="00195854"/>
    <w:rsid w:val="001974E7"/>
    <w:rsid w:val="001A268A"/>
    <w:rsid w:val="001A2A53"/>
    <w:rsid w:val="001A5754"/>
    <w:rsid w:val="001A5AE0"/>
    <w:rsid w:val="001B06E5"/>
    <w:rsid w:val="001B5033"/>
    <w:rsid w:val="001B658C"/>
    <w:rsid w:val="001B7249"/>
    <w:rsid w:val="001C176E"/>
    <w:rsid w:val="001C414B"/>
    <w:rsid w:val="001C51F7"/>
    <w:rsid w:val="001C59D0"/>
    <w:rsid w:val="001D17F9"/>
    <w:rsid w:val="001D4FFB"/>
    <w:rsid w:val="001D7CB4"/>
    <w:rsid w:val="001E2293"/>
    <w:rsid w:val="001E2752"/>
    <w:rsid w:val="001E3D8E"/>
    <w:rsid w:val="001E4211"/>
    <w:rsid w:val="001E573E"/>
    <w:rsid w:val="001F1EA1"/>
    <w:rsid w:val="001F2F7C"/>
    <w:rsid w:val="001F3D68"/>
    <w:rsid w:val="001F6CA5"/>
    <w:rsid w:val="002014BF"/>
    <w:rsid w:val="002027E7"/>
    <w:rsid w:val="00203803"/>
    <w:rsid w:val="00203C70"/>
    <w:rsid w:val="00205101"/>
    <w:rsid w:val="00210E2E"/>
    <w:rsid w:val="00211269"/>
    <w:rsid w:val="002123AD"/>
    <w:rsid w:val="00212A23"/>
    <w:rsid w:val="00213E2A"/>
    <w:rsid w:val="0021432A"/>
    <w:rsid w:val="00214875"/>
    <w:rsid w:val="002152A5"/>
    <w:rsid w:val="00215B69"/>
    <w:rsid w:val="00220893"/>
    <w:rsid w:val="00220F5C"/>
    <w:rsid w:val="002238A8"/>
    <w:rsid w:val="00224FD4"/>
    <w:rsid w:val="00227873"/>
    <w:rsid w:val="00230CE3"/>
    <w:rsid w:val="00233621"/>
    <w:rsid w:val="0024009D"/>
    <w:rsid w:val="00241083"/>
    <w:rsid w:val="00241913"/>
    <w:rsid w:val="0024463C"/>
    <w:rsid w:val="0024796B"/>
    <w:rsid w:val="00251862"/>
    <w:rsid w:val="00252B01"/>
    <w:rsid w:val="00256A62"/>
    <w:rsid w:val="00260AA6"/>
    <w:rsid w:val="00260BF5"/>
    <w:rsid w:val="00262CB3"/>
    <w:rsid w:val="002640B3"/>
    <w:rsid w:val="002662A4"/>
    <w:rsid w:val="0026755C"/>
    <w:rsid w:val="002678A8"/>
    <w:rsid w:val="0027376E"/>
    <w:rsid w:val="00274AB6"/>
    <w:rsid w:val="002762F4"/>
    <w:rsid w:val="00276F89"/>
    <w:rsid w:val="0028139C"/>
    <w:rsid w:val="00292468"/>
    <w:rsid w:val="0029271C"/>
    <w:rsid w:val="0029297C"/>
    <w:rsid w:val="0029484D"/>
    <w:rsid w:val="002957E1"/>
    <w:rsid w:val="00295DDD"/>
    <w:rsid w:val="00297075"/>
    <w:rsid w:val="002A12FD"/>
    <w:rsid w:val="002A1382"/>
    <w:rsid w:val="002A1A89"/>
    <w:rsid w:val="002A52BA"/>
    <w:rsid w:val="002A5C35"/>
    <w:rsid w:val="002A65B2"/>
    <w:rsid w:val="002B03C4"/>
    <w:rsid w:val="002B335D"/>
    <w:rsid w:val="002B53F6"/>
    <w:rsid w:val="002B647E"/>
    <w:rsid w:val="002C126C"/>
    <w:rsid w:val="002C531B"/>
    <w:rsid w:val="002C56CC"/>
    <w:rsid w:val="002C7F95"/>
    <w:rsid w:val="002D00B9"/>
    <w:rsid w:val="002D1794"/>
    <w:rsid w:val="002D5329"/>
    <w:rsid w:val="002D7419"/>
    <w:rsid w:val="002E42EE"/>
    <w:rsid w:val="002E50C9"/>
    <w:rsid w:val="002E5244"/>
    <w:rsid w:val="002F35C6"/>
    <w:rsid w:val="002F3B4C"/>
    <w:rsid w:val="002F41AB"/>
    <w:rsid w:val="003008EC"/>
    <w:rsid w:val="003019B7"/>
    <w:rsid w:val="00302314"/>
    <w:rsid w:val="00303060"/>
    <w:rsid w:val="00304372"/>
    <w:rsid w:val="003051D6"/>
    <w:rsid w:val="00312364"/>
    <w:rsid w:val="003132ED"/>
    <w:rsid w:val="00314052"/>
    <w:rsid w:val="00316D81"/>
    <w:rsid w:val="003170D3"/>
    <w:rsid w:val="003216E9"/>
    <w:rsid w:val="00332E50"/>
    <w:rsid w:val="0033344B"/>
    <w:rsid w:val="003334CA"/>
    <w:rsid w:val="00334CD9"/>
    <w:rsid w:val="00336E9B"/>
    <w:rsid w:val="00337021"/>
    <w:rsid w:val="00341F6E"/>
    <w:rsid w:val="00343086"/>
    <w:rsid w:val="00344C49"/>
    <w:rsid w:val="00344D0B"/>
    <w:rsid w:val="0034656E"/>
    <w:rsid w:val="003504DA"/>
    <w:rsid w:val="0035248A"/>
    <w:rsid w:val="00353850"/>
    <w:rsid w:val="00356B70"/>
    <w:rsid w:val="003579F6"/>
    <w:rsid w:val="00357E0E"/>
    <w:rsid w:val="003602CC"/>
    <w:rsid w:val="00361BA9"/>
    <w:rsid w:val="0036205A"/>
    <w:rsid w:val="003631A7"/>
    <w:rsid w:val="003642C2"/>
    <w:rsid w:val="003651F2"/>
    <w:rsid w:val="00365B91"/>
    <w:rsid w:val="003663F1"/>
    <w:rsid w:val="0036717C"/>
    <w:rsid w:val="00372486"/>
    <w:rsid w:val="003736C6"/>
    <w:rsid w:val="00375D4F"/>
    <w:rsid w:val="0037739A"/>
    <w:rsid w:val="00377EF0"/>
    <w:rsid w:val="00385D22"/>
    <w:rsid w:val="003868A6"/>
    <w:rsid w:val="00386E39"/>
    <w:rsid w:val="00387050"/>
    <w:rsid w:val="00387C4E"/>
    <w:rsid w:val="00393B07"/>
    <w:rsid w:val="003947E1"/>
    <w:rsid w:val="00394E9D"/>
    <w:rsid w:val="003A15A7"/>
    <w:rsid w:val="003A537A"/>
    <w:rsid w:val="003B4F75"/>
    <w:rsid w:val="003B4FC9"/>
    <w:rsid w:val="003B6089"/>
    <w:rsid w:val="003C28EA"/>
    <w:rsid w:val="003C35B1"/>
    <w:rsid w:val="003C3A19"/>
    <w:rsid w:val="003C4AE4"/>
    <w:rsid w:val="003C5547"/>
    <w:rsid w:val="003C74A7"/>
    <w:rsid w:val="003C7633"/>
    <w:rsid w:val="003C7AFE"/>
    <w:rsid w:val="003D3285"/>
    <w:rsid w:val="003D3F29"/>
    <w:rsid w:val="003D57D5"/>
    <w:rsid w:val="003D61DF"/>
    <w:rsid w:val="003D7210"/>
    <w:rsid w:val="003D7526"/>
    <w:rsid w:val="003E2797"/>
    <w:rsid w:val="003E2DE0"/>
    <w:rsid w:val="003E3D37"/>
    <w:rsid w:val="003E521E"/>
    <w:rsid w:val="003E690B"/>
    <w:rsid w:val="003E6B69"/>
    <w:rsid w:val="003F359C"/>
    <w:rsid w:val="003F37AA"/>
    <w:rsid w:val="003F469B"/>
    <w:rsid w:val="003F5132"/>
    <w:rsid w:val="003F5939"/>
    <w:rsid w:val="0040143E"/>
    <w:rsid w:val="00402219"/>
    <w:rsid w:val="004049F9"/>
    <w:rsid w:val="00405673"/>
    <w:rsid w:val="00405BD5"/>
    <w:rsid w:val="0041028B"/>
    <w:rsid w:val="00410DBF"/>
    <w:rsid w:val="00410E68"/>
    <w:rsid w:val="00414135"/>
    <w:rsid w:val="00414B8D"/>
    <w:rsid w:val="00416BEF"/>
    <w:rsid w:val="00420317"/>
    <w:rsid w:val="004209B7"/>
    <w:rsid w:val="004220D6"/>
    <w:rsid w:val="004220E3"/>
    <w:rsid w:val="004228E7"/>
    <w:rsid w:val="00422FED"/>
    <w:rsid w:val="00430214"/>
    <w:rsid w:val="00433219"/>
    <w:rsid w:val="00434115"/>
    <w:rsid w:val="00434F16"/>
    <w:rsid w:val="00437546"/>
    <w:rsid w:val="00437CF1"/>
    <w:rsid w:val="00437E6F"/>
    <w:rsid w:val="00441C23"/>
    <w:rsid w:val="00442F25"/>
    <w:rsid w:val="004430E8"/>
    <w:rsid w:val="00447D9E"/>
    <w:rsid w:val="004512D6"/>
    <w:rsid w:val="004518FC"/>
    <w:rsid w:val="00452ABE"/>
    <w:rsid w:val="00453737"/>
    <w:rsid w:val="00454903"/>
    <w:rsid w:val="00454BE6"/>
    <w:rsid w:val="00455506"/>
    <w:rsid w:val="00455930"/>
    <w:rsid w:val="004579F7"/>
    <w:rsid w:val="00457CF7"/>
    <w:rsid w:val="0046644A"/>
    <w:rsid w:val="00466931"/>
    <w:rsid w:val="00470C9A"/>
    <w:rsid w:val="00471592"/>
    <w:rsid w:val="00471B2D"/>
    <w:rsid w:val="00472242"/>
    <w:rsid w:val="00473212"/>
    <w:rsid w:val="00474251"/>
    <w:rsid w:val="004750CB"/>
    <w:rsid w:val="0048197F"/>
    <w:rsid w:val="00482499"/>
    <w:rsid w:val="00484E7F"/>
    <w:rsid w:val="00485DA0"/>
    <w:rsid w:val="00486468"/>
    <w:rsid w:val="00487F9D"/>
    <w:rsid w:val="00491D05"/>
    <w:rsid w:val="00493E6D"/>
    <w:rsid w:val="0049559F"/>
    <w:rsid w:val="004A13D7"/>
    <w:rsid w:val="004A165A"/>
    <w:rsid w:val="004A64BF"/>
    <w:rsid w:val="004A706D"/>
    <w:rsid w:val="004A7380"/>
    <w:rsid w:val="004B0A6D"/>
    <w:rsid w:val="004B627D"/>
    <w:rsid w:val="004B6B29"/>
    <w:rsid w:val="004B7F5B"/>
    <w:rsid w:val="004C0A93"/>
    <w:rsid w:val="004C23B0"/>
    <w:rsid w:val="004C3FB3"/>
    <w:rsid w:val="004C4D2D"/>
    <w:rsid w:val="004C5322"/>
    <w:rsid w:val="004C61EF"/>
    <w:rsid w:val="004C70DD"/>
    <w:rsid w:val="004D1BC1"/>
    <w:rsid w:val="004D655E"/>
    <w:rsid w:val="004D7C42"/>
    <w:rsid w:val="004E0A1B"/>
    <w:rsid w:val="004E0FBF"/>
    <w:rsid w:val="004E1F47"/>
    <w:rsid w:val="004E3D51"/>
    <w:rsid w:val="004E42AC"/>
    <w:rsid w:val="004E4FEB"/>
    <w:rsid w:val="004E663E"/>
    <w:rsid w:val="004E7406"/>
    <w:rsid w:val="004F0092"/>
    <w:rsid w:val="004F04E2"/>
    <w:rsid w:val="004F1B27"/>
    <w:rsid w:val="004F4AD9"/>
    <w:rsid w:val="004F4BCC"/>
    <w:rsid w:val="00502114"/>
    <w:rsid w:val="00507507"/>
    <w:rsid w:val="005076A0"/>
    <w:rsid w:val="00511B6D"/>
    <w:rsid w:val="00511FF5"/>
    <w:rsid w:val="0051343F"/>
    <w:rsid w:val="00513D06"/>
    <w:rsid w:val="00514359"/>
    <w:rsid w:val="00517837"/>
    <w:rsid w:val="005207B5"/>
    <w:rsid w:val="005217B6"/>
    <w:rsid w:val="00524363"/>
    <w:rsid w:val="0052638C"/>
    <w:rsid w:val="0052689F"/>
    <w:rsid w:val="00526A5E"/>
    <w:rsid w:val="00531142"/>
    <w:rsid w:val="00534933"/>
    <w:rsid w:val="0053652C"/>
    <w:rsid w:val="00536B3C"/>
    <w:rsid w:val="00540E81"/>
    <w:rsid w:val="00543CE6"/>
    <w:rsid w:val="00546908"/>
    <w:rsid w:val="00546D9D"/>
    <w:rsid w:val="005516B3"/>
    <w:rsid w:val="0055423E"/>
    <w:rsid w:val="00561B5E"/>
    <w:rsid w:val="00561F7C"/>
    <w:rsid w:val="00570BC2"/>
    <w:rsid w:val="00571679"/>
    <w:rsid w:val="0058073A"/>
    <w:rsid w:val="005845FD"/>
    <w:rsid w:val="00585D0C"/>
    <w:rsid w:val="005870C9"/>
    <w:rsid w:val="005902A9"/>
    <w:rsid w:val="0059164C"/>
    <w:rsid w:val="00592318"/>
    <w:rsid w:val="00596993"/>
    <w:rsid w:val="005A226A"/>
    <w:rsid w:val="005A401C"/>
    <w:rsid w:val="005A7142"/>
    <w:rsid w:val="005B0590"/>
    <w:rsid w:val="005B20D3"/>
    <w:rsid w:val="005B3EE6"/>
    <w:rsid w:val="005C1C1A"/>
    <w:rsid w:val="005C3B05"/>
    <w:rsid w:val="005C5321"/>
    <w:rsid w:val="005C744C"/>
    <w:rsid w:val="005D2CB0"/>
    <w:rsid w:val="005D44A7"/>
    <w:rsid w:val="005D4CA6"/>
    <w:rsid w:val="005E091F"/>
    <w:rsid w:val="005E245D"/>
    <w:rsid w:val="005E2586"/>
    <w:rsid w:val="005E28A9"/>
    <w:rsid w:val="005E48BC"/>
    <w:rsid w:val="005E4C80"/>
    <w:rsid w:val="005E5EF2"/>
    <w:rsid w:val="005E7198"/>
    <w:rsid w:val="005F033A"/>
    <w:rsid w:val="005F081B"/>
    <w:rsid w:val="005F0E53"/>
    <w:rsid w:val="005F19BA"/>
    <w:rsid w:val="005F455D"/>
    <w:rsid w:val="005F56BB"/>
    <w:rsid w:val="005F60BB"/>
    <w:rsid w:val="00600177"/>
    <w:rsid w:val="00601A03"/>
    <w:rsid w:val="00603562"/>
    <w:rsid w:val="00603652"/>
    <w:rsid w:val="00604EAE"/>
    <w:rsid w:val="00605F62"/>
    <w:rsid w:val="00606822"/>
    <w:rsid w:val="006106BC"/>
    <w:rsid w:val="00610AFF"/>
    <w:rsid w:val="0061145E"/>
    <w:rsid w:val="006131FE"/>
    <w:rsid w:val="006155D2"/>
    <w:rsid w:val="006216B3"/>
    <w:rsid w:val="006229B3"/>
    <w:rsid w:val="00627A16"/>
    <w:rsid w:val="00627A6C"/>
    <w:rsid w:val="00627BE0"/>
    <w:rsid w:val="0063463E"/>
    <w:rsid w:val="00635363"/>
    <w:rsid w:val="006363D8"/>
    <w:rsid w:val="00636AE4"/>
    <w:rsid w:val="006408CD"/>
    <w:rsid w:val="00640931"/>
    <w:rsid w:val="006417E2"/>
    <w:rsid w:val="006438A6"/>
    <w:rsid w:val="00647350"/>
    <w:rsid w:val="0065162C"/>
    <w:rsid w:val="006523D6"/>
    <w:rsid w:val="00655244"/>
    <w:rsid w:val="006553F4"/>
    <w:rsid w:val="00655963"/>
    <w:rsid w:val="00656929"/>
    <w:rsid w:val="006573C8"/>
    <w:rsid w:val="0066293F"/>
    <w:rsid w:val="0066334D"/>
    <w:rsid w:val="0066417B"/>
    <w:rsid w:val="00664212"/>
    <w:rsid w:val="006649B1"/>
    <w:rsid w:val="006659E4"/>
    <w:rsid w:val="00665BD5"/>
    <w:rsid w:val="006665DD"/>
    <w:rsid w:val="006706A1"/>
    <w:rsid w:val="00672707"/>
    <w:rsid w:val="00680671"/>
    <w:rsid w:val="00681050"/>
    <w:rsid w:val="00681554"/>
    <w:rsid w:val="0068299B"/>
    <w:rsid w:val="00682AE3"/>
    <w:rsid w:val="00683BD8"/>
    <w:rsid w:val="0068421D"/>
    <w:rsid w:val="006844DD"/>
    <w:rsid w:val="0068517F"/>
    <w:rsid w:val="006852FF"/>
    <w:rsid w:val="00685F0D"/>
    <w:rsid w:val="00691666"/>
    <w:rsid w:val="00691BDE"/>
    <w:rsid w:val="00695C44"/>
    <w:rsid w:val="00695EB4"/>
    <w:rsid w:val="00696505"/>
    <w:rsid w:val="006A0883"/>
    <w:rsid w:val="006A1A2C"/>
    <w:rsid w:val="006A1CDF"/>
    <w:rsid w:val="006A5D0D"/>
    <w:rsid w:val="006A6008"/>
    <w:rsid w:val="006A7307"/>
    <w:rsid w:val="006B02C0"/>
    <w:rsid w:val="006B0356"/>
    <w:rsid w:val="006B1D77"/>
    <w:rsid w:val="006B2403"/>
    <w:rsid w:val="006B3F3A"/>
    <w:rsid w:val="006C104A"/>
    <w:rsid w:val="006C1B63"/>
    <w:rsid w:val="006C313E"/>
    <w:rsid w:val="006C3688"/>
    <w:rsid w:val="006C3F7B"/>
    <w:rsid w:val="006C57C6"/>
    <w:rsid w:val="006D3268"/>
    <w:rsid w:val="006D413B"/>
    <w:rsid w:val="006D492B"/>
    <w:rsid w:val="006D4937"/>
    <w:rsid w:val="006D54EE"/>
    <w:rsid w:val="006D6738"/>
    <w:rsid w:val="006E5477"/>
    <w:rsid w:val="006E55D7"/>
    <w:rsid w:val="006E57B4"/>
    <w:rsid w:val="006E66CF"/>
    <w:rsid w:val="006F0615"/>
    <w:rsid w:val="006F4297"/>
    <w:rsid w:val="006F5767"/>
    <w:rsid w:val="006F5FD4"/>
    <w:rsid w:val="00710CE4"/>
    <w:rsid w:val="00712759"/>
    <w:rsid w:val="00712DDC"/>
    <w:rsid w:val="00714A4B"/>
    <w:rsid w:val="00715B31"/>
    <w:rsid w:val="0071661E"/>
    <w:rsid w:val="007178BA"/>
    <w:rsid w:val="00720CEB"/>
    <w:rsid w:val="0072661E"/>
    <w:rsid w:val="007272AE"/>
    <w:rsid w:val="007336F7"/>
    <w:rsid w:val="007349D4"/>
    <w:rsid w:val="00736115"/>
    <w:rsid w:val="007409A8"/>
    <w:rsid w:val="00742844"/>
    <w:rsid w:val="00742FE8"/>
    <w:rsid w:val="00744825"/>
    <w:rsid w:val="00744835"/>
    <w:rsid w:val="00744EE4"/>
    <w:rsid w:val="007453BA"/>
    <w:rsid w:val="007518D8"/>
    <w:rsid w:val="00752D22"/>
    <w:rsid w:val="00753198"/>
    <w:rsid w:val="007537F5"/>
    <w:rsid w:val="0075388F"/>
    <w:rsid w:val="00754144"/>
    <w:rsid w:val="007546B8"/>
    <w:rsid w:val="007550FB"/>
    <w:rsid w:val="007562B4"/>
    <w:rsid w:val="0075753A"/>
    <w:rsid w:val="00757E83"/>
    <w:rsid w:val="00757F0E"/>
    <w:rsid w:val="00761486"/>
    <w:rsid w:val="007673AC"/>
    <w:rsid w:val="00770568"/>
    <w:rsid w:val="00771DE2"/>
    <w:rsid w:val="00775A04"/>
    <w:rsid w:val="00776F1A"/>
    <w:rsid w:val="00777117"/>
    <w:rsid w:val="00780D2C"/>
    <w:rsid w:val="00782B37"/>
    <w:rsid w:val="00783893"/>
    <w:rsid w:val="0078477B"/>
    <w:rsid w:val="007878F3"/>
    <w:rsid w:val="00787900"/>
    <w:rsid w:val="00791909"/>
    <w:rsid w:val="00792145"/>
    <w:rsid w:val="007923E5"/>
    <w:rsid w:val="00793950"/>
    <w:rsid w:val="00793BC7"/>
    <w:rsid w:val="00794083"/>
    <w:rsid w:val="007949F3"/>
    <w:rsid w:val="00796046"/>
    <w:rsid w:val="00796660"/>
    <w:rsid w:val="007A212A"/>
    <w:rsid w:val="007A2222"/>
    <w:rsid w:val="007A2551"/>
    <w:rsid w:val="007A361C"/>
    <w:rsid w:val="007A4652"/>
    <w:rsid w:val="007A51D6"/>
    <w:rsid w:val="007A5BD0"/>
    <w:rsid w:val="007A6491"/>
    <w:rsid w:val="007B0597"/>
    <w:rsid w:val="007B07CD"/>
    <w:rsid w:val="007B0D69"/>
    <w:rsid w:val="007B0FA0"/>
    <w:rsid w:val="007B2947"/>
    <w:rsid w:val="007B51AE"/>
    <w:rsid w:val="007B78EC"/>
    <w:rsid w:val="007C0A55"/>
    <w:rsid w:val="007C0CDC"/>
    <w:rsid w:val="007C1436"/>
    <w:rsid w:val="007C18D3"/>
    <w:rsid w:val="007C340A"/>
    <w:rsid w:val="007C39E5"/>
    <w:rsid w:val="007C3ACA"/>
    <w:rsid w:val="007C7444"/>
    <w:rsid w:val="007D1F67"/>
    <w:rsid w:val="007D3659"/>
    <w:rsid w:val="007D7527"/>
    <w:rsid w:val="007E1F33"/>
    <w:rsid w:val="007E38F1"/>
    <w:rsid w:val="007E5A0F"/>
    <w:rsid w:val="007E6027"/>
    <w:rsid w:val="007F065D"/>
    <w:rsid w:val="007F275C"/>
    <w:rsid w:val="007F387C"/>
    <w:rsid w:val="007F5FA6"/>
    <w:rsid w:val="008003AE"/>
    <w:rsid w:val="008006E6"/>
    <w:rsid w:val="00801922"/>
    <w:rsid w:val="00802C3D"/>
    <w:rsid w:val="008036BA"/>
    <w:rsid w:val="00803A42"/>
    <w:rsid w:val="00806E3E"/>
    <w:rsid w:val="00807B61"/>
    <w:rsid w:val="00810C6F"/>
    <w:rsid w:val="00812A69"/>
    <w:rsid w:val="00813E97"/>
    <w:rsid w:val="00817EBC"/>
    <w:rsid w:val="00824124"/>
    <w:rsid w:val="00830815"/>
    <w:rsid w:val="00832CB6"/>
    <w:rsid w:val="0083534C"/>
    <w:rsid w:val="00842413"/>
    <w:rsid w:val="00843397"/>
    <w:rsid w:val="00846D1A"/>
    <w:rsid w:val="00847D9E"/>
    <w:rsid w:val="00850892"/>
    <w:rsid w:val="00850A21"/>
    <w:rsid w:val="00855542"/>
    <w:rsid w:val="00857113"/>
    <w:rsid w:val="00857176"/>
    <w:rsid w:val="00864460"/>
    <w:rsid w:val="00864BFA"/>
    <w:rsid w:val="00865D25"/>
    <w:rsid w:val="00866831"/>
    <w:rsid w:val="0086717D"/>
    <w:rsid w:val="0087033A"/>
    <w:rsid w:val="00871E5C"/>
    <w:rsid w:val="008726AC"/>
    <w:rsid w:val="00873763"/>
    <w:rsid w:val="00875C87"/>
    <w:rsid w:val="0087699D"/>
    <w:rsid w:val="00882AAF"/>
    <w:rsid w:val="00882B62"/>
    <w:rsid w:val="0088332F"/>
    <w:rsid w:val="008838E1"/>
    <w:rsid w:val="00893E6B"/>
    <w:rsid w:val="008942B6"/>
    <w:rsid w:val="008946DE"/>
    <w:rsid w:val="008A08A8"/>
    <w:rsid w:val="008A2064"/>
    <w:rsid w:val="008A2B5A"/>
    <w:rsid w:val="008A2B81"/>
    <w:rsid w:val="008A61B6"/>
    <w:rsid w:val="008A6DCA"/>
    <w:rsid w:val="008A7EFD"/>
    <w:rsid w:val="008B224A"/>
    <w:rsid w:val="008B38F8"/>
    <w:rsid w:val="008B478E"/>
    <w:rsid w:val="008C1DE3"/>
    <w:rsid w:val="008C2083"/>
    <w:rsid w:val="008C2AAB"/>
    <w:rsid w:val="008C53C7"/>
    <w:rsid w:val="008D05D6"/>
    <w:rsid w:val="008D0DFC"/>
    <w:rsid w:val="008D172E"/>
    <w:rsid w:val="008D2FE2"/>
    <w:rsid w:val="008D368C"/>
    <w:rsid w:val="008D4ACA"/>
    <w:rsid w:val="008D6ED0"/>
    <w:rsid w:val="008D7B9C"/>
    <w:rsid w:val="008E0E7A"/>
    <w:rsid w:val="008E161B"/>
    <w:rsid w:val="008E21CF"/>
    <w:rsid w:val="008E21E2"/>
    <w:rsid w:val="008E2315"/>
    <w:rsid w:val="008E3117"/>
    <w:rsid w:val="008E79BE"/>
    <w:rsid w:val="008F00AA"/>
    <w:rsid w:val="008F0EC0"/>
    <w:rsid w:val="008F7246"/>
    <w:rsid w:val="009007F0"/>
    <w:rsid w:val="009010A6"/>
    <w:rsid w:val="0090762A"/>
    <w:rsid w:val="00910E5D"/>
    <w:rsid w:val="00911489"/>
    <w:rsid w:val="00911825"/>
    <w:rsid w:val="009130A7"/>
    <w:rsid w:val="009146B2"/>
    <w:rsid w:val="00914FF4"/>
    <w:rsid w:val="009150D5"/>
    <w:rsid w:val="0091606E"/>
    <w:rsid w:val="00916118"/>
    <w:rsid w:val="009166EC"/>
    <w:rsid w:val="009169DD"/>
    <w:rsid w:val="009175B3"/>
    <w:rsid w:val="00922C85"/>
    <w:rsid w:val="00923597"/>
    <w:rsid w:val="00923EE2"/>
    <w:rsid w:val="00925643"/>
    <w:rsid w:val="00925827"/>
    <w:rsid w:val="0092713F"/>
    <w:rsid w:val="009301FF"/>
    <w:rsid w:val="009308C4"/>
    <w:rsid w:val="00931929"/>
    <w:rsid w:val="00931C27"/>
    <w:rsid w:val="00933281"/>
    <w:rsid w:val="00933D21"/>
    <w:rsid w:val="00936DA4"/>
    <w:rsid w:val="00947EC0"/>
    <w:rsid w:val="0095011E"/>
    <w:rsid w:val="0095042D"/>
    <w:rsid w:val="0095049F"/>
    <w:rsid w:val="00950942"/>
    <w:rsid w:val="0095198D"/>
    <w:rsid w:val="00954CFC"/>
    <w:rsid w:val="00954EA0"/>
    <w:rsid w:val="0095558F"/>
    <w:rsid w:val="00957B3E"/>
    <w:rsid w:val="00957C67"/>
    <w:rsid w:val="0096083D"/>
    <w:rsid w:val="00962F4A"/>
    <w:rsid w:val="009633AE"/>
    <w:rsid w:val="009633EF"/>
    <w:rsid w:val="009650C0"/>
    <w:rsid w:val="00965640"/>
    <w:rsid w:val="009671A5"/>
    <w:rsid w:val="00970089"/>
    <w:rsid w:val="0097156A"/>
    <w:rsid w:val="00972E3B"/>
    <w:rsid w:val="00974BE9"/>
    <w:rsid w:val="00974FAE"/>
    <w:rsid w:val="00975D05"/>
    <w:rsid w:val="00976BAE"/>
    <w:rsid w:val="00976DFA"/>
    <w:rsid w:val="00980635"/>
    <w:rsid w:val="00980CAB"/>
    <w:rsid w:val="00980EC8"/>
    <w:rsid w:val="0098143A"/>
    <w:rsid w:val="00981674"/>
    <w:rsid w:val="00982C12"/>
    <w:rsid w:val="00985D48"/>
    <w:rsid w:val="009863ED"/>
    <w:rsid w:val="00990382"/>
    <w:rsid w:val="00992110"/>
    <w:rsid w:val="0099451A"/>
    <w:rsid w:val="00995A32"/>
    <w:rsid w:val="009974C8"/>
    <w:rsid w:val="00997ABC"/>
    <w:rsid w:val="009A0E30"/>
    <w:rsid w:val="009A6A5A"/>
    <w:rsid w:val="009A7FA3"/>
    <w:rsid w:val="009B0A0A"/>
    <w:rsid w:val="009B340F"/>
    <w:rsid w:val="009B37A0"/>
    <w:rsid w:val="009B39E5"/>
    <w:rsid w:val="009B657A"/>
    <w:rsid w:val="009C0E61"/>
    <w:rsid w:val="009C6335"/>
    <w:rsid w:val="009C6C0D"/>
    <w:rsid w:val="009D19DC"/>
    <w:rsid w:val="009D1FE3"/>
    <w:rsid w:val="009D237F"/>
    <w:rsid w:val="009D3439"/>
    <w:rsid w:val="009D5E6A"/>
    <w:rsid w:val="009E2051"/>
    <w:rsid w:val="009E4CB8"/>
    <w:rsid w:val="009E6FBE"/>
    <w:rsid w:val="009F15E1"/>
    <w:rsid w:val="009F2390"/>
    <w:rsid w:val="009F3F0E"/>
    <w:rsid w:val="00A006D4"/>
    <w:rsid w:val="00A0190A"/>
    <w:rsid w:val="00A01C7A"/>
    <w:rsid w:val="00A03441"/>
    <w:rsid w:val="00A03999"/>
    <w:rsid w:val="00A03F01"/>
    <w:rsid w:val="00A04474"/>
    <w:rsid w:val="00A06559"/>
    <w:rsid w:val="00A07AF2"/>
    <w:rsid w:val="00A12546"/>
    <w:rsid w:val="00A144FD"/>
    <w:rsid w:val="00A1550E"/>
    <w:rsid w:val="00A20D01"/>
    <w:rsid w:val="00A22B9A"/>
    <w:rsid w:val="00A30CEB"/>
    <w:rsid w:val="00A3118D"/>
    <w:rsid w:val="00A32F20"/>
    <w:rsid w:val="00A33C18"/>
    <w:rsid w:val="00A401AF"/>
    <w:rsid w:val="00A41882"/>
    <w:rsid w:val="00A41CC5"/>
    <w:rsid w:val="00A42750"/>
    <w:rsid w:val="00A44AF8"/>
    <w:rsid w:val="00A513B8"/>
    <w:rsid w:val="00A56C16"/>
    <w:rsid w:val="00A576FC"/>
    <w:rsid w:val="00A609A8"/>
    <w:rsid w:val="00A61C78"/>
    <w:rsid w:val="00A62CA1"/>
    <w:rsid w:val="00A630CC"/>
    <w:rsid w:val="00A63570"/>
    <w:rsid w:val="00A64029"/>
    <w:rsid w:val="00A64110"/>
    <w:rsid w:val="00A650C8"/>
    <w:rsid w:val="00A66413"/>
    <w:rsid w:val="00A72044"/>
    <w:rsid w:val="00A73B3D"/>
    <w:rsid w:val="00A769D5"/>
    <w:rsid w:val="00A84879"/>
    <w:rsid w:val="00A84E0A"/>
    <w:rsid w:val="00A84EA4"/>
    <w:rsid w:val="00A869F8"/>
    <w:rsid w:val="00A86F4F"/>
    <w:rsid w:val="00A90014"/>
    <w:rsid w:val="00A959F9"/>
    <w:rsid w:val="00A96AE2"/>
    <w:rsid w:val="00A96B3C"/>
    <w:rsid w:val="00A976E4"/>
    <w:rsid w:val="00AA0349"/>
    <w:rsid w:val="00AA1F98"/>
    <w:rsid w:val="00AA53CB"/>
    <w:rsid w:val="00AA5B05"/>
    <w:rsid w:val="00AA6FAA"/>
    <w:rsid w:val="00AB048A"/>
    <w:rsid w:val="00AB0E71"/>
    <w:rsid w:val="00AB21A5"/>
    <w:rsid w:val="00AB3782"/>
    <w:rsid w:val="00AB5401"/>
    <w:rsid w:val="00AD27DE"/>
    <w:rsid w:val="00AD2D17"/>
    <w:rsid w:val="00AD5E18"/>
    <w:rsid w:val="00AD74E0"/>
    <w:rsid w:val="00AD79B7"/>
    <w:rsid w:val="00AE03E9"/>
    <w:rsid w:val="00AE3DBC"/>
    <w:rsid w:val="00AF1F0D"/>
    <w:rsid w:val="00AF5817"/>
    <w:rsid w:val="00B0361D"/>
    <w:rsid w:val="00B04C17"/>
    <w:rsid w:val="00B05437"/>
    <w:rsid w:val="00B06006"/>
    <w:rsid w:val="00B066CA"/>
    <w:rsid w:val="00B10DBE"/>
    <w:rsid w:val="00B117A5"/>
    <w:rsid w:val="00B14506"/>
    <w:rsid w:val="00B14F76"/>
    <w:rsid w:val="00B2090A"/>
    <w:rsid w:val="00B22539"/>
    <w:rsid w:val="00B22A51"/>
    <w:rsid w:val="00B243E1"/>
    <w:rsid w:val="00B246B7"/>
    <w:rsid w:val="00B2640C"/>
    <w:rsid w:val="00B26BE1"/>
    <w:rsid w:val="00B27287"/>
    <w:rsid w:val="00B30E88"/>
    <w:rsid w:val="00B31358"/>
    <w:rsid w:val="00B31601"/>
    <w:rsid w:val="00B33C5F"/>
    <w:rsid w:val="00B34A91"/>
    <w:rsid w:val="00B362E3"/>
    <w:rsid w:val="00B37E4D"/>
    <w:rsid w:val="00B409EC"/>
    <w:rsid w:val="00B40F05"/>
    <w:rsid w:val="00B41383"/>
    <w:rsid w:val="00B43455"/>
    <w:rsid w:val="00B43A79"/>
    <w:rsid w:val="00B450C4"/>
    <w:rsid w:val="00B46C7F"/>
    <w:rsid w:val="00B536E3"/>
    <w:rsid w:val="00B548FB"/>
    <w:rsid w:val="00B56C43"/>
    <w:rsid w:val="00B5725C"/>
    <w:rsid w:val="00B63251"/>
    <w:rsid w:val="00B6470E"/>
    <w:rsid w:val="00B66D47"/>
    <w:rsid w:val="00B712FC"/>
    <w:rsid w:val="00B73E4E"/>
    <w:rsid w:val="00B757C8"/>
    <w:rsid w:val="00B7768F"/>
    <w:rsid w:val="00B8370B"/>
    <w:rsid w:val="00B83D3C"/>
    <w:rsid w:val="00B845AB"/>
    <w:rsid w:val="00B84C6C"/>
    <w:rsid w:val="00B85298"/>
    <w:rsid w:val="00B9031A"/>
    <w:rsid w:val="00B90463"/>
    <w:rsid w:val="00B91F85"/>
    <w:rsid w:val="00B92330"/>
    <w:rsid w:val="00B95F34"/>
    <w:rsid w:val="00B95F82"/>
    <w:rsid w:val="00B975CC"/>
    <w:rsid w:val="00B976F0"/>
    <w:rsid w:val="00BA36B7"/>
    <w:rsid w:val="00BA45E8"/>
    <w:rsid w:val="00BB0271"/>
    <w:rsid w:val="00BB1B3F"/>
    <w:rsid w:val="00BB24F5"/>
    <w:rsid w:val="00BB2765"/>
    <w:rsid w:val="00BB5B98"/>
    <w:rsid w:val="00BB5DA5"/>
    <w:rsid w:val="00BB77D8"/>
    <w:rsid w:val="00BB7F27"/>
    <w:rsid w:val="00BC3D0E"/>
    <w:rsid w:val="00BC5EF4"/>
    <w:rsid w:val="00BC69C3"/>
    <w:rsid w:val="00BD00F9"/>
    <w:rsid w:val="00BD0A5F"/>
    <w:rsid w:val="00BD4F97"/>
    <w:rsid w:val="00BD69A6"/>
    <w:rsid w:val="00BD791C"/>
    <w:rsid w:val="00BE095B"/>
    <w:rsid w:val="00BE1181"/>
    <w:rsid w:val="00BE1C0C"/>
    <w:rsid w:val="00BE229F"/>
    <w:rsid w:val="00BE4700"/>
    <w:rsid w:val="00BE4744"/>
    <w:rsid w:val="00BE649B"/>
    <w:rsid w:val="00BE79D4"/>
    <w:rsid w:val="00BF0C75"/>
    <w:rsid w:val="00BF3B8C"/>
    <w:rsid w:val="00BF4502"/>
    <w:rsid w:val="00BF5535"/>
    <w:rsid w:val="00C04DCC"/>
    <w:rsid w:val="00C06110"/>
    <w:rsid w:val="00C06F30"/>
    <w:rsid w:val="00C102E8"/>
    <w:rsid w:val="00C1487A"/>
    <w:rsid w:val="00C176B9"/>
    <w:rsid w:val="00C200F3"/>
    <w:rsid w:val="00C20A33"/>
    <w:rsid w:val="00C23CA1"/>
    <w:rsid w:val="00C23F1E"/>
    <w:rsid w:val="00C2460C"/>
    <w:rsid w:val="00C24CF5"/>
    <w:rsid w:val="00C30F86"/>
    <w:rsid w:val="00C33C48"/>
    <w:rsid w:val="00C34A8E"/>
    <w:rsid w:val="00C3642D"/>
    <w:rsid w:val="00C40F2F"/>
    <w:rsid w:val="00C41102"/>
    <w:rsid w:val="00C41817"/>
    <w:rsid w:val="00C42577"/>
    <w:rsid w:val="00C45DE4"/>
    <w:rsid w:val="00C45E99"/>
    <w:rsid w:val="00C46317"/>
    <w:rsid w:val="00C50011"/>
    <w:rsid w:val="00C53D37"/>
    <w:rsid w:val="00C5651E"/>
    <w:rsid w:val="00C60137"/>
    <w:rsid w:val="00C601B3"/>
    <w:rsid w:val="00C60E1A"/>
    <w:rsid w:val="00C61030"/>
    <w:rsid w:val="00C61C3F"/>
    <w:rsid w:val="00C62C17"/>
    <w:rsid w:val="00C746D8"/>
    <w:rsid w:val="00C74BE1"/>
    <w:rsid w:val="00C75045"/>
    <w:rsid w:val="00C76C8D"/>
    <w:rsid w:val="00C76F9B"/>
    <w:rsid w:val="00C77DAE"/>
    <w:rsid w:val="00C77F36"/>
    <w:rsid w:val="00C8260F"/>
    <w:rsid w:val="00C83545"/>
    <w:rsid w:val="00C8490B"/>
    <w:rsid w:val="00C86AC4"/>
    <w:rsid w:val="00C86C8E"/>
    <w:rsid w:val="00C87709"/>
    <w:rsid w:val="00C8770E"/>
    <w:rsid w:val="00C931A0"/>
    <w:rsid w:val="00C93E53"/>
    <w:rsid w:val="00C94F90"/>
    <w:rsid w:val="00C95822"/>
    <w:rsid w:val="00C95C19"/>
    <w:rsid w:val="00C9645D"/>
    <w:rsid w:val="00C96F17"/>
    <w:rsid w:val="00CA2415"/>
    <w:rsid w:val="00CA26D7"/>
    <w:rsid w:val="00CA2E15"/>
    <w:rsid w:val="00CA6893"/>
    <w:rsid w:val="00CA69A0"/>
    <w:rsid w:val="00CB3A75"/>
    <w:rsid w:val="00CB41CE"/>
    <w:rsid w:val="00CC24B9"/>
    <w:rsid w:val="00CC34C7"/>
    <w:rsid w:val="00CC465F"/>
    <w:rsid w:val="00CD0F9B"/>
    <w:rsid w:val="00CD117A"/>
    <w:rsid w:val="00CD2A96"/>
    <w:rsid w:val="00CD610A"/>
    <w:rsid w:val="00CD763E"/>
    <w:rsid w:val="00CE2BC7"/>
    <w:rsid w:val="00CE6750"/>
    <w:rsid w:val="00CF0514"/>
    <w:rsid w:val="00CF2DE4"/>
    <w:rsid w:val="00CF5059"/>
    <w:rsid w:val="00CF63D3"/>
    <w:rsid w:val="00CF76D0"/>
    <w:rsid w:val="00CF77AA"/>
    <w:rsid w:val="00D0045D"/>
    <w:rsid w:val="00D04AB5"/>
    <w:rsid w:val="00D06261"/>
    <w:rsid w:val="00D0748A"/>
    <w:rsid w:val="00D10255"/>
    <w:rsid w:val="00D11D1F"/>
    <w:rsid w:val="00D1649B"/>
    <w:rsid w:val="00D16E87"/>
    <w:rsid w:val="00D20C46"/>
    <w:rsid w:val="00D2152F"/>
    <w:rsid w:val="00D23BA4"/>
    <w:rsid w:val="00D26852"/>
    <w:rsid w:val="00D268E7"/>
    <w:rsid w:val="00D27927"/>
    <w:rsid w:val="00D27B69"/>
    <w:rsid w:val="00D34443"/>
    <w:rsid w:val="00D3482E"/>
    <w:rsid w:val="00D35124"/>
    <w:rsid w:val="00D40E73"/>
    <w:rsid w:val="00D40F4C"/>
    <w:rsid w:val="00D42341"/>
    <w:rsid w:val="00D43DD4"/>
    <w:rsid w:val="00D44C3D"/>
    <w:rsid w:val="00D45529"/>
    <w:rsid w:val="00D45663"/>
    <w:rsid w:val="00D4569E"/>
    <w:rsid w:val="00D46190"/>
    <w:rsid w:val="00D46893"/>
    <w:rsid w:val="00D50CC8"/>
    <w:rsid w:val="00D51095"/>
    <w:rsid w:val="00D5586E"/>
    <w:rsid w:val="00D56A2C"/>
    <w:rsid w:val="00D65582"/>
    <w:rsid w:val="00D66C94"/>
    <w:rsid w:val="00D66F53"/>
    <w:rsid w:val="00D67F39"/>
    <w:rsid w:val="00D7142D"/>
    <w:rsid w:val="00D75313"/>
    <w:rsid w:val="00D76F21"/>
    <w:rsid w:val="00D81C0D"/>
    <w:rsid w:val="00D84A04"/>
    <w:rsid w:val="00D871F4"/>
    <w:rsid w:val="00D9360E"/>
    <w:rsid w:val="00D93CF5"/>
    <w:rsid w:val="00D9522F"/>
    <w:rsid w:val="00D95396"/>
    <w:rsid w:val="00D95677"/>
    <w:rsid w:val="00D95DB1"/>
    <w:rsid w:val="00DA09FC"/>
    <w:rsid w:val="00DA34EC"/>
    <w:rsid w:val="00DA48CD"/>
    <w:rsid w:val="00DA63CC"/>
    <w:rsid w:val="00DB4E05"/>
    <w:rsid w:val="00DC00D0"/>
    <w:rsid w:val="00DC127B"/>
    <w:rsid w:val="00DC2424"/>
    <w:rsid w:val="00DC411F"/>
    <w:rsid w:val="00DC66A4"/>
    <w:rsid w:val="00DC6C4B"/>
    <w:rsid w:val="00DC7814"/>
    <w:rsid w:val="00DC7F04"/>
    <w:rsid w:val="00DD0994"/>
    <w:rsid w:val="00DD327A"/>
    <w:rsid w:val="00DD4490"/>
    <w:rsid w:val="00DD4A23"/>
    <w:rsid w:val="00DD535E"/>
    <w:rsid w:val="00DD6A6C"/>
    <w:rsid w:val="00DD73BA"/>
    <w:rsid w:val="00DD7D26"/>
    <w:rsid w:val="00DE45B9"/>
    <w:rsid w:val="00DE5B2B"/>
    <w:rsid w:val="00DE63B2"/>
    <w:rsid w:val="00DE779F"/>
    <w:rsid w:val="00DF0E35"/>
    <w:rsid w:val="00DF10C9"/>
    <w:rsid w:val="00DF1C20"/>
    <w:rsid w:val="00DF5921"/>
    <w:rsid w:val="00DF5DE8"/>
    <w:rsid w:val="00E01A62"/>
    <w:rsid w:val="00E02E38"/>
    <w:rsid w:val="00E03F9B"/>
    <w:rsid w:val="00E10F03"/>
    <w:rsid w:val="00E11704"/>
    <w:rsid w:val="00E136B8"/>
    <w:rsid w:val="00E22C04"/>
    <w:rsid w:val="00E32256"/>
    <w:rsid w:val="00E331AB"/>
    <w:rsid w:val="00E34E3E"/>
    <w:rsid w:val="00E3536B"/>
    <w:rsid w:val="00E35626"/>
    <w:rsid w:val="00E37AC9"/>
    <w:rsid w:val="00E42F05"/>
    <w:rsid w:val="00E4380E"/>
    <w:rsid w:val="00E454A8"/>
    <w:rsid w:val="00E51F2B"/>
    <w:rsid w:val="00E543D8"/>
    <w:rsid w:val="00E55C9D"/>
    <w:rsid w:val="00E55E4E"/>
    <w:rsid w:val="00E56ACD"/>
    <w:rsid w:val="00E5744B"/>
    <w:rsid w:val="00E62258"/>
    <w:rsid w:val="00E6226C"/>
    <w:rsid w:val="00E6343B"/>
    <w:rsid w:val="00E640B8"/>
    <w:rsid w:val="00E67728"/>
    <w:rsid w:val="00E67AA5"/>
    <w:rsid w:val="00E67AFD"/>
    <w:rsid w:val="00E70467"/>
    <w:rsid w:val="00E72319"/>
    <w:rsid w:val="00E72E77"/>
    <w:rsid w:val="00E72F05"/>
    <w:rsid w:val="00E73310"/>
    <w:rsid w:val="00E7352F"/>
    <w:rsid w:val="00E73602"/>
    <w:rsid w:val="00E7509F"/>
    <w:rsid w:val="00E7631D"/>
    <w:rsid w:val="00E76B54"/>
    <w:rsid w:val="00E7794E"/>
    <w:rsid w:val="00E814BA"/>
    <w:rsid w:val="00E82093"/>
    <w:rsid w:val="00E8219D"/>
    <w:rsid w:val="00E83F24"/>
    <w:rsid w:val="00E83F8F"/>
    <w:rsid w:val="00E92E98"/>
    <w:rsid w:val="00E944F2"/>
    <w:rsid w:val="00E97544"/>
    <w:rsid w:val="00E97D04"/>
    <w:rsid w:val="00EA083F"/>
    <w:rsid w:val="00EA0CBF"/>
    <w:rsid w:val="00EA1080"/>
    <w:rsid w:val="00EA530F"/>
    <w:rsid w:val="00EA58ED"/>
    <w:rsid w:val="00EB26D5"/>
    <w:rsid w:val="00EB5DFD"/>
    <w:rsid w:val="00EC1EA1"/>
    <w:rsid w:val="00EC2A01"/>
    <w:rsid w:val="00EC5A7F"/>
    <w:rsid w:val="00EC6F76"/>
    <w:rsid w:val="00ED33BD"/>
    <w:rsid w:val="00ED45D0"/>
    <w:rsid w:val="00ED46CB"/>
    <w:rsid w:val="00ED46FE"/>
    <w:rsid w:val="00ED52D9"/>
    <w:rsid w:val="00ED5834"/>
    <w:rsid w:val="00ED5EF4"/>
    <w:rsid w:val="00EE52BD"/>
    <w:rsid w:val="00EE6E86"/>
    <w:rsid w:val="00EF2FBD"/>
    <w:rsid w:val="00EF7C5A"/>
    <w:rsid w:val="00F009F9"/>
    <w:rsid w:val="00F03096"/>
    <w:rsid w:val="00F03EBC"/>
    <w:rsid w:val="00F04421"/>
    <w:rsid w:val="00F054BF"/>
    <w:rsid w:val="00F054E3"/>
    <w:rsid w:val="00F058D7"/>
    <w:rsid w:val="00F05CA6"/>
    <w:rsid w:val="00F10000"/>
    <w:rsid w:val="00F10159"/>
    <w:rsid w:val="00F13526"/>
    <w:rsid w:val="00F15B45"/>
    <w:rsid w:val="00F15CFA"/>
    <w:rsid w:val="00F162E8"/>
    <w:rsid w:val="00F17105"/>
    <w:rsid w:val="00F21D97"/>
    <w:rsid w:val="00F2232D"/>
    <w:rsid w:val="00F24E3F"/>
    <w:rsid w:val="00F25936"/>
    <w:rsid w:val="00F268CD"/>
    <w:rsid w:val="00F31A8F"/>
    <w:rsid w:val="00F33949"/>
    <w:rsid w:val="00F37DFA"/>
    <w:rsid w:val="00F40422"/>
    <w:rsid w:val="00F42FA4"/>
    <w:rsid w:val="00F4450B"/>
    <w:rsid w:val="00F44A15"/>
    <w:rsid w:val="00F44D54"/>
    <w:rsid w:val="00F46841"/>
    <w:rsid w:val="00F4717D"/>
    <w:rsid w:val="00F53DAF"/>
    <w:rsid w:val="00F53EC4"/>
    <w:rsid w:val="00F550E7"/>
    <w:rsid w:val="00F5512D"/>
    <w:rsid w:val="00F55C34"/>
    <w:rsid w:val="00F561FC"/>
    <w:rsid w:val="00F61BBB"/>
    <w:rsid w:val="00F6324B"/>
    <w:rsid w:val="00F63D14"/>
    <w:rsid w:val="00F64478"/>
    <w:rsid w:val="00F658BA"/>
    <w:rsid w:val="00F671E6"/>
    <w:rsid w:val="00F67B4E"/>
    <w:rsid w:val="00F72725"/>
    <w:rsid w:val="00F743D6"/>
    <w:rsid w:val="00F74D17"/>
    <w:rsid w:val="00F7587B"/>
    <w:rsid w:val="00F7593C"/>
    <w:rsid w:val="00F779B0"/>
    <w:rsid w:val="00F813B1"/>
    <w:rsid w:val="00F82E1B"/>
    <w:rsid w:val="00F856C2"/>
    <w:rsid w:val="00F8575C"/>
    <w:rsid w:val="00F8638D"/>
    <w:rsid w:val="00F8693D"/>
    <w:rsid w:val="00F86B8D"/>
    <w:rsid w:val="00F873E7"/>
    <w:rsid w:val="00FA1089"/>
    <w:rsid w:val="00FA3A44"/>
    <w:rsid w:val="00FA4079"/>
    <w:rsid w:val="00FA53DA"/>
    <w:rsid w:val="00FA7A19"/>
    <w:rsid w:val="00FB0E3B"/>
    <w:rsid w:val="00FB1D49"/>
    <w:rsid w:val="00FB2CBE"/>
    <w:rsid w:val="00FB3FDD"/>
    <w:rsid w:val="00FB45AF"/>
    <w:rsid w:val="00FB4CD4"/>
    <w:rsid w:val="00FB50A7"/>
    <w:rsid w:val="00FB5A17"/>
    <w:rsid w:val="00FB5DA8"/>
    <w:rsid w:val="00FB645A"/>
    <w:rsid w:val="00FC4F05"/>
    <w:rsid w:val="00FC6733"/>
    <w:rsid w:val="00FC6EA0"/>
    <w:rsid w:val="00FD15D6"/>
    <w:rsid w:val="00FD3050"/>
    <w:rsid w:val="00FD44D5"/>
    <w:rsid w:val="00FD461F"/>
    <w:rsid w:val="00FD5303"/>
    <w:rsid w:val="00FD5464"/>
    <w:rsid w:val="00FD563A"/>
    <w:rsid w:val="00FD6619"/>
    <w:rsid w:val="00FD725E"/>
    <w:rsid w:val="00FE1C83"/>
    <w:rsid w:val="00FE3217"/>
    <w:rsid w:val="00FE3E9A"/>
    <w:rsid w:val="00FE503A"/>
    <w:rsid w:val="00FE54C5"/>
    <w:rsid w:val="00FE5B0E"/>
    <w:rsid w:val="00FE6A63"/>
    <w:rsid w:val="00FE6BB4"/>
    <w:rsid w:val="00FF0055"/>
    <w:rsid w:val="00FF1D42"/>
    <w:rsid w:val="00FF3D14"/>
    <w:rsid w:val="00FF5364"/>
    <w:rsid w:val="00FF63EC"/>
    <w:rsid w:val="0170B00A"/>
    <w:rsid w:val="0223C013"/>
    <w:rsid w:val="02BFE7BA"/>
    <w:rsid w:val="02CECF75"/>
    <w:rsid w:val="043190ED"/>
    <w:rsid w:val="058744E7"/>
    <w:rsid w:val="061594A9"/>
    <w:rsid w:val="0615B33F"/>
    <w:rsid w:val="076F9AFD"/>
    <w:rsid w:val="079358DD"/>
    <w:rsid w:val="0849ABCA"/>
    <w:rsid w:val="091192AF"/>
    <w:rsid w:val="09DD729C"/>
    <w:rsid w:val="0A70C170"/>
    <w:rsid w:val="0AB57FAB"/>
    <w:rsid w:val="0BAC2BF2"/>
    <w:rsid w:val="0BAFD3BB"/>
    <w:rsid w:val="0BE60687"/>
    <w:rsid w:val="0D2BF2BE"/>
    <w:rsid w:val="0D63FF99"/>
    <w:rsid w:val="0E1F77A6"/>
    <w:rsid w:val="0E769501"/>
    <w:rsid w:val="0E87D6AF"/>
    <w:rsid w:val="0EB148EB"/>
    <w:rsid w:val="0F9F599C"/>
    <w:rsid w:val="0FFC49C1"/>
    <w:rsid w:val="100859B5"/>
    <w:rsid w:val="110830C2"/>
    <w:rsid w:val="1121A924"/>
    <w:rsid w:val="1179E90A"/>
    <w:rsid w:val="11A98D70"/>
    <w:rsid w:val="1213647D"/>
    <w:rsid w:val="125F1346"/>
    <w:rsid w:val="12B167FB"/>
    <w:rsid w:val="131F6131"/>
    <w:rsid w:val="147134F2"/>
    <w:rsid w:val="163B0FC1"/>
    <w:rsid w:val="16A0EF28"/>
    <w:rsid w:val="1743680F"/>
    <w:rsid w:val="1762F785"/>
    <w:rsid w:val="17B79458"/>
    <w:rsid w:val="19B6FBE5"/>
    <w:rsid w:val="1C5C3568"/>
    <w:rsid w:val="1C6AB716"/>
    <w:rsid w:val="1CD97FC0"/>
    <w:rsid w:val="1E5BAC66"/>
    <w:rsid w:val="1E778BDA"/>
    <w:rsid w:val="1FC9D2BC"/>
    <w:rsid w:val="2036B439"/>
    <w:rsid w:val="20F5277D"/>
    <w:rsid w:val="21D8241D"/>
    <w:rsid w:val="22D3B316"/>
    <w:rsid w:val="2328C694"/>
    <w:rsid w:val="239F3F4B"/>
    <w:rsid w:val="2666F11C"/>
    <w:rsid w:val="269EFD41"/>
    <w:rsid w:val="28C207C3"/>
    <w:rsid w:val="2A5DD62A"/>
    <w:rsid w:val="2A630F9A"/>
    <w:rsid w:val="2B8EBF0F"/>
    <w:rsid w:val="2BA53572"/>
    <w:rsid w:val="2C16CF70"/>
    <w:rsid w:val="2C3CA77D"/>
    <w:rsid w:val="2DB9FB2A"/>
    <w:rsid w:val="3013129D"/>
    <w:rsid w:val="324CAF85"/>
    <w:rsid w:val="32529680"/>
    <w:rsid w:val="334D6DD8"/>
    <w:rsid w:val="33F1EF60"/>
    <w:rsid w:val="34E7BAE5"/>
    <w:rsid w:val="34FF11FE"/>
    <w:rsid w:val="3594BBF1"/>
    <w:rsid w:val="35A6FE8A"/>
    <w:rsid w:val="35F12EE0"/>
    <w:rsid w:val="360EEF07"/>
    <w:rsid w:val="36407223"/>
    <w:rsid w:val="36C48A84"/>
    <w:rsid w:val="37108217"/>
    <w:rsid w:val="374793BA"/>
    <w:rsid w:val="3891C231"/>
    <w:rsid w:val="389FD550"/>
    <w:rsid w:val="391515CB"/>
    <w:rsid w:val="395E5B0C"/>
    <w:rsid w:val="3968474B"/>
    <w:rsid w:val="3A3EF99F"/>
    <w:rsid w:val="3A76C47D"/>
    <w:rsid w:val="3BB76D20"/>
    <w:rsid w:val="3BF66868"/>
    <w:rsid w:val="3C8EBAD8"/>
    <w:rsid w:val="3D75E6DE"/>
    <w:rsid w:val="3E848F15"/>
    <w:rsid w:val="3EE569C0"/>
    <w:rsid w:val="3F4D4340"/>
    <w:rsid w:val="3FF5895B"/>
    <w:rsid w:val="40323FA5"/>
    <w:rsid w:val="403A804A"/>
    <w:rsid w:val="41E1A7DE"/>
    <w:rsid w:val="42859C59"/>
    <w:rsid w:val="432C92A5"/>
    <w:rsid w:val="449068A3"/>
    <w:rsid w:val="451E8E70"/>
    <w:rsid w:val="45794E28"/>
    <w:rsid w:val="45AD1EAE"/>
    <w:rsid w:val="46410E72"/>
    <w:rsid w:val="469680A1"/>
    <w:rsid w:val="472197A7"/>
    <w:rsid w:val="4819DFA2"/>
    <w:rsid w:val="4896FA4C"/>
    <w:rsid w:val="48E19E53"/>
    <w:rsid w:val="4A7D6EB4"/>
    <w:rsid w:val="4C19ECB8"/>
    <w:rsid w:val="4C60F53D"/>
    <w:rsid w:val="4CBAABBB"/>
    <w:rsid w:val="4DBCAF4C"/>
    <w:rsid w:val="4E26FE51"/>
    <w:rsid w:val="4EDA4256"/>
    <w:rsid w:val="4F2C76CE"/>
    <w:rsid w:val="512CB59A"/>
    <w:rsid w:val="52DBBB49"/>
    <w:rsid w:val="549ED0C8"/>
    <w:rsid w:val="560E2615"/>
    <w:rsid w:val="58354DB4"/>
    <w:rsid w:val="59CDA34C"/>
    <w:rsid w:val="59DD1759"/>
    <w:rsid w:val="5A2E78F4"/>
    <w:rsid w:val="5A68E635"/>
    <w:rsid w:val="5AF34D94"/>
    <w:rsid w:val="5C70407A"/>
    <w:rsid w:val="5D910FA6"/>
    <w:rsid w:val="5E4B61A4"/>
    <w:rsid w:val="5E939D79"/>
    <w:rsid w:val="5F29723B"/>
    <w:rsid w:val="5FB20747"/>
    <w:rsid w:val="6050BBAD"/>
    <w:rsid w:val="60DF7AE5"/>
    <w:rsid w:val="60F6BB91"/>
    <w:rsid w:val="61642B73"/>
    <w:rsid w:val="618159CC"/>
    <w:rsid w:val="63E22783"/>
    <w:rsid w:val="643CAD2A"/>
    <w:rsid w:val="6561591E"/>
    <w:rsid w:val="65DB5160"/>
    <w:rsid w:val="660CAE5F"/>
    <w:rsid w:val="671FB2DC"/>
    <w:rsid w:val="6994C216"/>
    <w:rsid w:val="6B7501FA"/>
    <w:rsid w:val="6B9909F7"/>
    <w:rsid w:val="6F3E5189"/>
    <w:rsid w:val="7062D0A4"/>
    <w:rsid w:val="724323F9"/>
    <w:rsid w:val="733EDDB7"/>
    <w:rsid w:val="742F8DA1"/>
    <w:rsid w:val="755EBAF9"/>
    <w:rsid w:val="7611B47B"/>
    <w:rsid w:val="76764274"/>
    <w:rsid w:val="78969448"/>
    <w:rsid w:val="7B852013"/>
    <w:rsid w:val="7BE3A658"/>
    <w:rsid w:val="7C0D8641"/>
    <w:rsid w:val="7CE49E31"/>
    <w:rsid w:val="7F4BDA07"/>
    <w:rsid w:val="7F531ECE"/>
    <w:rsid w:val="7FECF1D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DE0C"/>
  <w15:docId w15:val="{A85362D7-59F9-4E2B-9CD7-47C7C4FD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0A044A"/>
    <w:pPr>
      <w:spacing w:line="240" w:lineRule="auto"/>
      <w:outlineLvl w:val="0"/>
    </w:pPr>
    <w:rPr>
      <w:rFonts w:ascii="Cambria" w:eastAsiaTheme="majorEastAsia" w:hAnsi="Cambria" w:cstheme="majorBidi"/>
      <w:b/>
      <w:bCs/>
      <w:color w:val="365F91" w:themeColor="accent1" w:themeShade="BF"/>
      <w:spacing w:val="-6"/>
      <w:kern w:val="3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iPriority w:val="99"/>
    <w:rsid w:val="000C6D43"/>
    <w:rPr>
      <w:sz w:val="16"/>
      <w:szCs w:val="16"/>
    </w:rPr>
  </w:style>
  <w:style w:type="paragraph" w:styleId="CommentText">
    <w:name w:val="annotation text"/>
    <w:basedOn w:val="Normal"/>
    <w:link w:val="CommentTextChar"/>
    <w:uiPriority w:val="99"/>
    <w:rsid w:val="000C6D43"/>
    <w:rPr>
      <w:sz w:val="20"/>
      <w:szCs w:val="20"/>
    </w:rPr>
  </w:style>
  <w:style w:type="character" w:customStyle="1" w:styleId="CommentTextChar">
    <w:name w:val="Comment Text Char"/>
    <w:basedOn w:val="DefaultParagraphFont"/>
    <w:link w:val="CommentText"/>
    <w:uiPriority w:val="99"/>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1">
    <w:name w:val="Unresolved Mention1"/>
    <w:basedOn w:val="DefaultParagraphFont"/>
    <w:uiPriority w:val="99"/>
    <w:semiHidden/>
    <w:unhideWhenUsed/>
    <w:rsid w:val="00720CEB"/>
    <w:rPr>
      <w:color w:val="605E5C"/>
      <w:shd w:val="clear" w:color="auto" w:fill="E1DFDD"/>
    </w:rPr>
  </w:style>
  <w:style w:type="character" w:customStyle="1" w:styleId="Heading1Char">
    <w:name w:val="Heading 1 Char"/>
    <w:basedOn w:val="DefaultParagraphFont"/>
    <w:link w:val="Heading1"/>
    <w:uiPriority w:val="9"/>
    <w:rsid w:val="000A044A"/>
    <w:rPr>
      <w:rFonts w:ascii="Cambria" w:eastAsiaTheme="majorEastAsia" w:hAnsi="Cambria" w:cstheme="majorBidi"/>
      <w:b/>
      <w:bCs/>
      <w:color w:val="365F91" w:themeColor="accent1" w:themeShade="BF"/>
      <w:spacing w:val="-6"/>
      <w:kern w:val="32"/>
      <w:sz w:val="34"/>
      <w:szCs w:val="34"/>
    </w:rPr>
  </w:style>
  <w:style w:type="character" w:styleId="UnresolvedMention">
    <w:name w:val="Unresolved Mention"/>
    <w:basedOn w:val="DefaultParagraphFont"/>
    <w:uiPriority w:val="99"/>
    <w:unhideWhenUsed/>
    <w:rsid w:val="00F8693D"/>
    <w:rPr>
      <w:color w:val="605E5C"/>
      <w:shd w:val="clear" w:color="auto" w:fill="E1DFDD"/>
    </w:rPr>
  </w:style>
  <w:style w:type="character" w:styleId="Mention">
    <w:name w:val="Mention"/>
    <w:basedOn w:val="DefaultParagraphFont"/>
    <w:uiPriority w:val="99"/>
    <w:unhideWhenUsed/>
    <w:rsid w:val="00F869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6882">
      <w:bodyDiv w:val="1"/>
      <w:marLeft w:val="0"/>
      <w:marRight w:val="0"/>
      <w:marTop w:val="0"/>
      <w:marBottom w:val="0"/>
      <w:divBdr>
        <w:top w:val="none" w:sz="0" w:space="0" w:color="auto"/>
        <w:left w:val="none" w:sz="0" w:space="0" w:color="auto"/>
        <w:bottom w:val="none" w:sz="0" w:space="0" w:color="auto"/>
        <w:right w:val="none" w:sz="0" w:space="0" w:color="auto"/>
      </w:divBdr>
    </w:div>
    <w:div w:id="280577846">
      <w:bodyDiv w:val="1"/>
      <w:marLeft w:val="0"/>
      <w:marRight w:val="0"/>
      <w:marTop w:val="0"/>
      <w:marBottom w:val="0"/>
      <w:divBdr>
        <w:top w:val="none" w:sz="0" w:space="0" w:color="auto"/>
        <w:left w:val="none" w:sz="0" w:space="0" w:color="auto"/>
        <w:bottom w:val="none" w:sz="0" w:space="0" w:color="auto"/>
        <w:right w:val="none" w:sz="0" w:space="0" w:color="auto"/>
      </w:divBdr>
    </w:div>
    <w:div w:id="289365794">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42980074">
      <w:bodyDiv w:val="1"/>
      <w:marLeft w:val="0"/>
      <w:marRight w:val="0"/>
      <w:marTop w:val="0"/>
      <w:marBottom w:val="0"/>
      <w:divBdr>
        <w:top w:val="none" w:sz="0" w:space="0" w:color="auto"/>
        <w:left w:val="none" w:sz="0" w:space="0" w:color="auto"/>
        <w:bottom w:val="none" w:sz="0" w:space="0" w:color="auto"/>
        <w:right w:val="none" w:sz="0" w:space="0" w:color="auto"/>
      </w:divBdr>
    </w:div>
    <w:div w:id="570778649">
      <w:bodyDiv w:val="1"/>
      <w:marLeft w:val="0"/>
      <w:marRight w:val="0"/>
      <w:marTop w:val="0"/>
      <w:marBottom w:val="0"/>
      <w:divBdr>
        <w:top w:val="none" w:sz="0" w:space="0" w:color="auto"/>
        <w:left w:val="none" w:sz="0" w:space="0" w:color="auto"/>
        <w:bottom w:val="none" w:sz="0" w:space="0" w:color="auto"/>
        <w:right w:val="none" w:sz="0" w:space="0" w:color="auto"/>
      </w:divBdr>
    </w:div>
    <w:div w:id="799156357">
      <w:bodyDiv w:val="1"/>
      <w:marLeft w:val="0"/>
      <w:marRight w:val="0"/>
      <w:marTop w:val="0"/>
      <w:marBottom w:val="0"/>
      <w:divBdr>
        <w:top w:val="none" w:sz="0" w:space="0" w:color="auto"/>
        <w:left w:val="none" w:sz="0" w:space="0" w:color="auto"/>
        <w:bottom w:val="none" w:sz="0" w:space="0" w:color="auto"/>
        <w:right w:val="none" w:sz="0" w:space="0" w:color="auto"/>
      </w:divBdr>
    </w:div>
    <w:div w:id="841432901">
      <w:bodyDiv w:val="1"/>
      <w:marLeft w:val="0"/>
      <w:marRight w:val="0"/>
      <w:marTop w:val="0"/>
      <w:marBottom w:val="0"/>
      <w:divBdr>
        <w:top w:val="none" w:sz="0" w:space="0" w:color="auto"/>
        <w:left w:val="none" w:sz="0" w:space="0" w:color="auto"/>
        <w:bottom w:val="none" w:sz="0" w:space="0" w:color="auto"/>
        <w:right w:val="none" w:sz="0" w:space="0" w:color="auto"/>
      </w:divBdr>
    </w:div>
    <w:div w:id="992375541">
      <w:bodyDiv w:val="1"/>
      <w:marLeft w:val="0"/>
      <w:marRight w:val="0"/>
      <w:marTop w:val="0"/>
      <w:marBottom w:val="0"/>
      <w:divBdr>
        <w:top w:val="none" w:sz="0" w:space="0" w:color="auto"/>
        <w:left w:val="none" w:sz="0" w:space="0" w:color="auto"/>
        <w:bottom w:val="none" w:sz="0" w:space="0" w:color="auto"/>
        <w:right w:val="none" w:sz="0" w:space="0" w:color="auto"/>
      </w:divBdr>
    </w:div>
    <w:div w:id="1257708549">
      <w:bodyDiv w:val="1"/>
      <w:marLeft w:val="0"/>
      <w:marRight w:val="0"/>
      <w:marTop w:val="0"/>
      <w:marBottom w:val="0"/>
      <w:divBdr>
        <w:top w:val="none" w:sz="0" w:space="0" w:color="auto"/>
        <w:left w:val="none" w:sz="0" w:space="0" w:color="auto"/>
        <w:bottom w:val="none" w:sz="0" w:space="0" w:color="auto"/>
        <w:right w:val="none" w:sz="0" w:space="0" w:color="auto"/>
      </w:divBdr>
    </w:div>
    <w:div w:id="1326586012">
      <w:bodyDiv w:val="1"/>
      <w:marLeft w:val="0"/>
      <w:marRight w:val="0"/>
      <w:marTop w:val="0"/>
      <w:marBottom w:val="0"/>
      <w:divBdr>
        <w:top w:val="none" w:sz="0" w:space="0" w:color="auto"/>
        <w:left w:val="none" w:sz="0" w:space="0" w:color="auto"/>
        <w:bottom w:val="none" w:sz="0" w:space="0" w:color="auto"/>
        <w:right w:val="none" w:sz="0" w:space="0" w:color="auto"/>
      </w:divBdr>
    </w:div>
    <w:div w:id="1530292596">
      <w:bodyDiv w:val="1"/>
      <w:marLeft w:val="0"/>
      <w:marRight w:val="0"/>
      <w:marTop w:val="0"/>
      <w:marBottom w:val="0"/>
      <w:divBdr>
        <w:top w:val="none" w:sz="0" w:space="0" w:color="auto"/>
        <w:left w:val="none" w:sz="0" w:space="0" w:color="auto"/>
        <w:bottom w:val="none" w:sz="0" w:space="0" w:color="auto"/>
        <w:right w:val="none" w:sz="0" w:space="0" w:color="auto"/>
      </w:divBdr>
    </w:div>
    <w:div w:id="1568416352">
      <w:bodyDiv w:val="1"/>
      <w:marLeft w:val="0"/>
      <w:marRight w:val="0"/>
      <w:marTop w:val="0"/>
      <w:marBottom w:val="0"/>
      <w:divBdr>
        <w:top w:val="none" w:sz="0" w:space="0" w:color="auto"/>
        <w:left w:val="none" w:sz="0" w:space="0" w:color="auto"/>
        <w:bottom w:val="none" w:sz="0" w:space="0" w:color="auto"/>
        <w:right w:val="none" w:sz="0" w:space="0" w:color="auto"/>
      </w:divBdr>
    </w:div>
    <w:div w:id="1709260748">
      <w:bodyDiv w:val="1"/>
      <w:marLeft w:val="0"/>
      <w:marRight w:val="0"/>
      <w:marTop w:val="0"/>
      <w:marBottom w:val="0"/>
      <w:divBdr>
        <w:top w:val="none" w:sz="0" w:space="0" w:color="auto"/>
        <w:left w:val="none" w:sz="0" w:space="0" w:color="auto"/>
        <w:bottom w:val="none" w:sz="0" w:space="0" w:color="auto"/>
        <w:right w:val="none" w:sz="0" w:space="0" w:color="auto"/>
      </w:divBdr>
    </w:div>
    <w:div w:id="1713652405">
      <w:bodyDiv w:val="1"/>
      <w:marLeft w:val="0"/>
      <w:marRight w:val="0"/>
      <w:marTop w:val="0"/>
      <w:marBottom w:val="0"/>
      <w:divBdr>
        <w:top w:val="none" w:sz="0" w:space="0" w:color="auto"/>
        <w:left w:val="none" w:sz="0" w:space="0" w:color="auto"/>
        <w:bottom w:val="none" w:sz="0" w:space="0" w:color="auto"/>
        <w:right w:val="none" w:sz="0" w:space="0" w:color="auto"/>
      </w:divBdr>
    </w:div>
    <w:div w:id="1732579341">
      <w:bodyDiv w:val="1"/>
      <w:marLeft w:val="0"/>
      <w:marRight w:val="0"/>
      <w:marTop w:val="0"/>
      <w:marBottom w:val="0"/>
      <w:divBdr>
        <w:top w:val="none" w:sz="0" w:space="0" w:color="auto"/>
        <w:left w:val="none" w:sz="0" w:space="0" w:color="auto"/>
        <w:bottom w:val="none" w:sz="0" w:space="0" w:color="auto"/>
        <w:right w:val="none" w:sz="0" w:space="0" w:color="auto"/>
      </w:divBdr>
    </w:div>
    <w:div w:id="1926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5DEE9-FFB5-4999-AB78-F0F83083E18B}">
  <ds:schemaRefs>
    <ds:schemaRef ds:uri="http://schemas.openxmlformats.org/officeDocument/2006/bibliography"/>
  </ds:schemaRefs>
</ds:datastoreItem>
</file>

<file path=customXml/itemProps2.xml><?xml version="1.0" encoding="utf-8"?>
<ds:datastoreItem xmlns:ds="http://schemas.openxmlformats.org/officeDocument/2006/customXml" ds:itemID="{652F5203-19D4-4F83-A93D-83E3CE9DE99F}">
  <ds:schemaRefs>
    <ds:schemaRef ds:uri="http://schemas.microsoft.com/sharepoint/v3/contenttype/forms"/>
  </ds:schemaRefs>
</ds:datastoreItem>
</file>

<file path=customXml/itemProps3.xml><?xml version="1.0" encoding="utf-8"?>
<ds:datastoreItem xmlns:ds="http://schemas.openxmlformats.org/officeDocument/2006/customXml" ds:itemID="{711FCF23-3521-4A7B-8CC3-304BACC3F5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33A78F-D48A-4331-8FDE-4E08BE285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Nerenberg, Laura (ACF)</dc:creator>
  <cp:keywords/>
  <cp:lastModifiedBy>OPRE</cp:lastModifiedBy>
  <cp:revision>2</cp:revision>
  <cp:lastPrinted>2019-07-16T02:17:00Z</cp:lastPrinted>
  <dcterms:created xsi:type="dcterms:W3CDTF">2021-11-16T15:18:00Z</dcterms:created>
  <dcterms:modified xsi:type="dcterms:W3CDTF">2021-11-16T15:18:00Z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AuthorIds_UIVersion_512">
    <vt:lpwstr>366</vt:lpwstr>
  </property>
  <property fmtid="{D5CDD505-2E9C-101B-9397-08002B2CF9AE}" pid="4" name="AuthorIds_UIVersion_2560">
    <vt:lpwstr>366</vt:lpwstr>
  </property>
</Properties>
</file>