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66CC" w:rsidP="41640EB7" w:rsidRDefault="158255C2" w14:paraId="6D7058C6" w14:textId="55D02088">
      <w:pPr>
        <w:autoSpaceDE w:val="0"/>
        <w:autoSpaceDN w:val="0"/>
        <w:adjustRightInd w:val="0"/>
        <w:rPr>
          <w:b/>
          <w:bCs/>
        </w:rPr>
      </w:pPr>
      <w:r w:rsidRPr="07DB063D">
        <w:rPr>
          <w:b/>
          <w:bCs/>
        </w:rPr>
        <w:t xml:space="preserve">Appendix </w:t>
      </w:r>
      <w:r w:rsidRPr="07DB063D" w:rsidR="00962E9D">
        <w:rPr>
          <w:b/>
          <w:bCs/>
        </w:rPr>
        <w:t>G</w:t>
      </w:r>
    </w:p>
    <w:p w:rsidRPr="00125BCD" w:rsidR="006155D2" w:rsidP="41640EB7" w:rsidRDefault="158255C2" w14:paraId="739D198E" w14:textId="5E5D785B">
      <w:pPr>
        <w:autoSpaceDE w:val="0"/>
        <w:autoSpaceDN w:val="0"/>
        <w:adjustRightInd w:val="0"/>
        <w:rPr>
          <w:b/>
          <w:bCs/>
        </w:rPr>
      </w:pPr>
      <w:r w:rsidRPr="7748A7CC">
        <w:rPr>
          <w:b/>
          <w:bCs/>
        </w:rPr>
        <w:t xml:space="preserve">MIHOPE-K: </w:t>
      </w:r>
      <w:r w:rsidRPr="7748A7CC" w:rsidR="44380B0D">
        <w:rPr>
          <w:b/>
          <w:bCs/>
        </w:rPr>
        <w:t>Power Calculations</w:t>
      </w:r>
    </w:p>
    <w:p w:rsidR="00832CB6" w:rsidP="00C34A8E" w:rsidRDefault="00832CB6" w14:paraId="0AECF947" w14:textId="24BC0E4A"/>
    <w:p w:rsidRPr="005A298D" w:rsidR="00603652" w:rsidP="00603652" w:rsidRDefault="00603652" w14:paraId="214A59AD" w14:textId="54B94932">
      <w:pPr>
        <w:rPr>
          <w:u w:val="single"/>
        </w:rPr>
      </w:pPr>
      <w:r w:rsidRPr="00125BCD">
        <w:rPr>
          <w:u w:val="single"/>
        </w:rPr>
        <w:t xml:space="preserve">Minimum Detectable Differences for </w:t>
      </w:r>
      <w:r w:rsidRPr="005A298D">
        <w:rPr>
          <w:u w:val="single"/>
        </w:rPr>
        <w:t xml:space="preserve">the Full </w:t>
      </w:r>
      <w:r w:rsidRPr="005A298D" w:rsidR="00345833">
        <w:rPr>
          <w:u w:val="single"/>
        </w:rPr>
        <w:t xml:space="preserve">MIHOPE </w:t>
      </w:r>
      <w:r w:rsidRPr="005A298D">
        <w:rPr>
          <w:u w:val="single"/>
        </w:rPr>
        <w:t>Sample</w:t>
      </w:r>
    </w:p>
    <w:p w:rsidRPr="005A298D" w:rsidR="00603652" w:rsidP="00603652" w:rsidRDefault="00603652" w14:paraId="3C5F04D6" w14:textId="77777777"/>
    <w:p w:rsidRPr="00125BCD" w:rsidR="00603652" w:rsidP="00603652" w:rsidRDefault="626560F5" w14:paraId="2449480E" w14:textId="1034B0FA">
      <w:r>
        <w:t xml:space="preserve">Table </w:t>
      </w:r>
      <w:r w:rsidR="00E527D9">
        <w:t>G</w:t>
      </w:r>
      <w:r>
        <w:t>.</w:t>
      </w:r>
      <w:r w:rsidR="01ED4702">
        <w:t>1</w:t>
      </w:r>
      <w:r>
        <w:t xml:space="preserve"> shows the minimum detectable differences of the study for analyses involving the full sample (subgroup analyses are shown in Table </w:t>
      </w:r>
      <w:r w:rsidR="00E527D9">
        <w:t>G</w:t>
      </w:r>
      <w:r w:rsidR="4AA15347">
        <w:t>.</w:t>
      </w:r>
      <w:r w:rsidR="01ED4702">
        <w:t>2</w:t>
      </w:r>
      <w:r>
        <w:t xml:space="preserve">). For reference, we have included the fielded sample, actual response rates, and minimum detectable differences for the 15-month follow-up. </w:t>
      </w:r>
    </w:p>
    <w:p w:rsidRPr="00125BCD" w:rsidR="00603652" w:rsidP="00603652" w:rsidRDefault="00603652" w14:paraId="2A5E1169" w14:textId="77777777"/>
    <w:p w:rsidRPr="00125BCD" w:rsidR="00603652" w:rsidP="00603652" w:rsidRDefault="00603652" w14:paraId="75CEB831" w14:textId="07108F9E">
      <w:r w:rsidRPr="00125BCD">
        <w:t xml:space="preserve">For MIHOPE-K, minimum detectable differences are shown for three types of data that will be collected at kindergarten that may have different response rates: </w:t>
      </w:r>
    </w:p>
    <w:p w:rsidRPr="00125BCD" w:rsidR="00603652" w:rsidP="00603652" w:rsidRDefault="00603652" w14:paraId="167D21D8" w14:textId="77777777">
      <w:pPr>
        <w:ind w:firstLine="720"/>
      </w:pPr>
    </w:p>
    <w:p w:rsidRPr="00125BCD" w:rsidR="00603652" w:rsidP="00603652" w:rsidRDefault="00603652" w14:paraId="598820A0" w14:textId="77777777">
      <w:pPr>
        <w:ind w:firstLine="720"/>
      </w:pPr>
      <w:r w:rsidRPr="00125BCD">
        <w:t xml:space="preserve">(1) the one-hour caregiver interview, </w:t>
      </w:r>
    </w:p>
    <w:p w:rsidRPr="00125BCD" w:rsidR="00603652" w:rsidP="00603652" w:rsidRDefault="00603652" w14:paraId="56588D10" w14:textId="77777777">
      <w:pPr>
        <w:ind w:firstLine="720"/>
      </w:pPr>
      <w:r w:rsidRPr="00125BCD">
        <w:t xml:space="preserve">(2) in-home assessments, and </w:t>
      </w:r>
    </w:p>
    <w:p w:rsidRPr="00125BCD" w:rsidR="00603652" w:rsidP="00603652" w:rsidRDefault="00603652" w14:paraId="1E289115" w14:textId="77777777">
      <w:pPr>
        <w:ind w:firstLine="720"/>
      </w:pPr>
      <w:r w:rsidRPr="00125BCD">
        <w:t xml:space="preserve">(3) teacher surveys. </w:t>
      </w:r>
    </w:p>
    <w:p w:rsidRPr="00125BCD" w:rsidR="00603652" w:rsidP="00603652" w:rsidRDefault="00603652" w14:paraId="1552862F" w14:textId="77777777">
      <w:pPr>
        <w:ind w:firstLine="720"/>
      </w:pPr>
    </w:p>
    <w:p w:rsidRPr="00125BCD" w:rsidR="00603652" w:rsidP="00603652" w:rsidRDefault="00603652" w14:paraId="19F26B5B" w14:textId="77777777">
      <w:r w:rsidRPr="00125BCD">
        <w:t xml:space="preserve">For the caregiver survey and in-home assessments, we show two different response rate scenarios:  </w:t>
      </w:r>
    </w:p>
    <w:p w:rsidRPr="00125BCD" w:rsidR="00603652" w:rsidP="00603652" w:rsidRDefault="00603652" w14:paraId="040D30F8" w14:textId="77777777">
      <w:pPr>
        <w:ind w:firstLine="720"/>
      </w:pPr>
    </w:p>
    <w:p w:rsidRPr="00125BCD" w:rsidR="00603652" w:rsidP="00603652" w:rsidRDefault="00603652" w14:paraId="091C4255" w14:textId="77777777">
      <w:pPr>
        <w:pStyle w:val="ListParagraph"/>
        <w:numPr>
          <w:ilvl w:val="0"/>
          <w:numId w:val="21"/>
        </w:numPr>
        <w:tabs>
          <w:tab w:val="clear" w:pos="720"/>
          <w:tab w:val="clear" w:pos="1080"/>
          <w:tab w:val="clear" w:pos="1440"/>
          <w:tab w:val="clear" w:pos="1800"/>
        </w:tabs>
        <w:spacing w:line="240" w:lineRule="auto"/>
        <w:rPr>
          <w:sz w:val="24"/>
          <w:szCs w:val="24"/>
        </w:rPr>
      </w:pPr>
      <w:r w:rsidRPr="00125BCD">
        <w:rPr>
          <w:sz w:val="24"/>
          <w:szCs w:val="24"/>
        </w:rPr>
        <w:t xml:space="preserve">a 75 percent response rate for the caregiver survey and a 70 percent response rate for in-home data collection. Both are calculated among the fielded sample (as described above, the sample available to be fielded at kindergarten is 4,115), and </w:t>
      </w:r>
    </w:p>
    <w:p w:rsidRPr="00125BCD" w:rsidR="00603652" w:rsidP="00603652" w:rsidRDefault="00603652" w14:paraId="1C297F1D" w14:textId="77777777">
      <w:pPr>
        <w:pStyle w:val="ListParagraph"/>
        <w:numPr>
          <w:ilvl w:val="0"/>
          <w:numId w:val="21"/>
        </w:numPr>
        <w:tabs>
          <w:tab w:val="clear" w:pos="720"/>
          <w:tab w:val="clear" w:pos="1080"/>
          <w:tab w:val="clear" w:pos="1440"/>
          <w:tab w:val="clear" w:pos="1800"/>
        </w:tabs>
        <w:spacing w:line="240" w:lineRule="auto"/>
        <w:rPr>
          <w:sz w:val="24"/>
          <w:szCs w:val="24"/>
        </w:rPr>
      </w:pPr>
      <w:r w:rsidRPr="00125BCD">
        <w:rPr>
          <w:sz w:val="24"/>
          <w:szCs w:val="24"/>
        </w:rPr>
        <w:t xml:space="preserve">a 50 percent response rate among the fielded sample. </w:t>
      </w:r>
    </w:p>
    <w:p w:rsidRPr="00125BCD" w:rsidR="00603652" w:rsidP="00603652" w:rsidRDefault="00603652" w14:paraId="7EFE32E7" w14:textId="77777777"/>
    <w:p w:rsidRPr="00125BCD" w:rsidR="00603652" w:rsidP="00603652" w:rsidRDefault="00603652" w14:paraId="78F3D109" w14:textId="56955E27">
      <w:r w:rsidRPr="00125BCD">
        <w:t xml:space="preserve">As noted elsewhere, the use of in-person locating in kindergarten data collection makes it </w:t>
      </w:r>
      <w:proofErr w:type="gramStart"/>
      <w:r w:rsidRPr="00125BCD">
        <w:t>similar to</w:t>
      </w:r>
      <w:proofErr w:type="gramEnd"/>
      <w:r w:rsidRPr="00125BCD">
        <w:t xml:space="preserve"> the 15-month follow-up, and we therefore expect response rates at kindergarten to be similar to the 15-month follow-up. By contrast, the 2.5 and 3.5-year surveys generally did not include in-person locating, which is why response rates were only about 50 percent. More information about expected response rates is available in Section B.</w:t>
      </w:r>
      <w:r w:rsidR="009F3571">
        <w:t>5</w:t>
      </w:r>
      <w:r w:rsidRPr="00125BCD">
        <w:t xml:space="preserve"> of </w:t>
      </w:r>
      <w:r w:rsidR="009F3571">
        <w:t>Supporting Statement B</w:t>
      </w:r>
      <w:r w:rsidRPr="00125BCD">
        <w:t>.</w:t>
      </w:r>
    </w:p>
    <w:p w:rsidRPr="00125BCD" w:rsidR="00603652" w:rsidP="00603652" w:rsidRDefault="00603652" w14:paraId="74DD8904" w14:textId="3138A7D9">
      <w:r w:rsidRPr="00125BCD">
        <w:t xml:space="preserve">The teacher survey is assumed to be completed with 75 percent of families who complete the caregiver survey, </w:t>
      </w:r>
      <w:r w:rsidRPr="00125BCD" w:rsidR="008A7EFD">
        <w:t>resulting</w:t>
      </w:r>
      <w:r w:rsidRPr="00125BCD">
        <w:t xml:space="preserve"> in a 56 percent response rate under </w:t>
      </w:r>
      <w:r w:rsidRPr="00125BCD" w:rsidR="006D3268">
        <w:t xml:space="preserve">the expected </w:t>
      </w:r>
      <w:r w:rsidRPr="00125BCD">
        <w:t xml:space="preserve">scenario and a 38 percent response rate under </w:t>
      </w:r>
      <w:r w:rsidRPr="00125BCD" w:rsidR="006D3268">
        <w:t xml:space="preserve">a </w:t>
      </w:r>
      <w:r w:rsidRPr="00125BCD">
        <w:t xml:space="preserve">scenario </w:t>
      </w:r>
      <w:r w:rsidRPr="00125BCD" w:rsidR="006D3268">
        <w:t>with a 50 percent caregiver response rate</w:t>
      </w:r>
      <w:r w:rsidRPr="00125BCD">
        <w:t xml:space="preserve">. </w:t>
      </w:r>
    </w:p>
    <w:p w:rsidRPr="00125BCD" w:rsidR="00603652" w:rsidP="00603652" w:rsidRDefault="00603652" w14:paraId="71DE57FC" w14:textId="77777777"/>
    <w:p w:rsidRPr="00843E20" w:rsidR="00603652" w:rsidP="00603652" w:rsidRDefault="626560F5" w14:paraId="79E2505C" w14:textId="606829EC">
      <w:r>
        <w:t xml:space="preserve">The results shown in Table </w:t>
      </w:r>
      <w:r w:rsidR="00E527D9">
        <w:t>G</w:t>
      </w:r>
      <w:r>
        <w:t>.</w:t>
      </w:r>
      <w:r w:rsidR="5EA262DD">
        <w:t>1</w:t>
      </w:r>
      <w:r>
        <w:t xml:space="preserve"> are the smallest true impact that would generate statistically significant impact estimates in 80 percent of studies with a similar design using two-tailed t-tests with a 10 percent significance level. We have assumed that baseline characteristics explain 20 percent of the variation in outcomes across individuals, which is </w:t>
      </w:r>
      <w:proofErr w:type="gramStart"/>
      <w:r>
        <w:t>similar to</w:t>
      </w:r>
      <w:proofErr w:type="gramEnd"/>
      <w:r>
        <w:t xml:space="preserve"> findings at the 15-month follow-up.</w:t>
      </w:r>
    </w:p>
    <w:p w:rsidRPr="00843E20" w:rsidR="00603652" w:rsidP="00603652" w:rsidRDefault="00603652" w14:paraId="7A31D653" w14:textId="77777777"/>
    <w:p w:rsidR="00603652" w:rsidP="00603652" w:rsidRDefault="00603652" w14:paraId="64F8268F" w14:textId="7EC2BD51">
      <w:r w:rsidRPr="00843E20">
        <w:t>The minimum detectable differences shown for the full sample are the minimum detectable differences between the program and control group estimates, which is the main effect of interest in this study.</w:t>
      </w:r>
    </w:p>
    <w:p w:rsidRPr="00843E20" w:rsidR="00E11704" w:rsidP="00603652" w:rsidRDefault="00E11704" w14:paraId="4AA916E1" w14:textId="77777777"/>
    <w:p w:rsidRPr="00843E20" w:rsidR="00603652" w:rsidP="00603652" w:rsidRDefault="00603652" w14:paraId="1EEC3842" w14:textId="7341EE0C">
      <w:r w:rsidRPr="00843E20">
        <w:t>Minimum detectable differences are shown in three ways:</w:t>
      </w:r>
    </w:p>
    <w:p w:rsidRPr="00843E20" w:rsidR="00603652" w:rsidP="00603652" w:rsidRDefault="00603652" w14:paraId="6736FC90" w14:textId="77777777"/>
    <w:p w:rsidRPr="00843E20" w:rsidR="00603652" w:rsidP="00603652" w:rsidRDefault="00603652" w14:paraId="4384102E" w14:textId="293BE313">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lastRenderedPageBreak/>
        <w:t xml:space="preserve">For an outcome that would be true for 20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experiencing depressive symptoms at the time of the survey. </w:t>
      </w:r>
    </w:p>
    <w:p w:rsidRPr="00843E20" w:rsidR="00603652" w:rsidP="00603652" w:rsidRDefault="00603652" w14:paraId="3C6D95D2" w14:textId="0ECCF7E1">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For an outcome that would be true for 50 percent of the control group. An example of an outcome </w:t>
      </w:r>
      <w:r w:rsidR="00C77DAE">
        <w:rPr>
          <w:sz w:val="24"/>
          <w:szCs w:val="24"/>
        </w:rPr>
        <w:t xml:space="preserve">with that sort of distribution </w:t>
      </w:r>
      <w:r w:rsidRPr="00843E20">
        <w:rPr>
          <w:sz w:val="24"/>
          <w:szCs w:val="24"/>
        </w:rPr>
        <w:t xml:space="preserve">in the MIHOPE sample is whether the caregiver is receiving SNAP benefits at the time of the survey. </w:t>
      </w:r>
    </w:p>
    <w:p w:rsidRPr="00843E20" w:rsidR="00603652" w:rsidP="00603652" w:rsidRDefault="00603652" w14:paraId="53195C59" w14:textId="77777777">
      <w:pPr>
        <w:pStyle w:val="ListParagraph"/>
        <w:numPr>
          <w:ilvl w:val="0"/>
          <w:numId w:val="18"/>
        </w:numPr>
        <w:tabs>
          <w:tab w:val="clear" w:pos="720"/>
          <w:tab w:val="clear" w:pos="1080"/>
          <w:tab w:val="clear" w:pos="1440"/>
          <w:tab w:val="clear" w:pos="1800"/>
        </w:tabs>
        <w:spacing w:line="240" w:lineRule="auto"/>
        <w:rPr>
          <w:sz w:val="24"/>
          <w:szCs w:val="24"/>
        </w:rPr>
      </w:pPr>
      <w:r w:rsidRPr="00843E20">
        <w:rPr>
          <w:sz w:val="24"/>
          <w:szCs w:val="24"/>
        </w:rPr>
        <w:t xml:space="preserve">As a percentage of the outcome’s standard deviation, which is commonly referred to as an effect size. The effect size can apply to any outcome measured through one of these data sources. Whether a given effect size is policy relevant depends on the context since small movements in some outcomes may be more meaningful than for other outcomes. </w:t>
      </w:r>
    </w:p>
    <w:p w:rsidRPr="00843E20" w:rsidR="00603652" w:rsidP="00603652" w:rsidRDefault="00603652" w14:paraId="0EF8B1FA" w14:textId="77777777"/>
    <w:p w:rsidRPr="00843E20" w:rsidR="00603652" w:rsidP="00603652" w:rsidRDefault="00603652" w14:paraId="75D09005" w14:textId="77777777">
      <w:r w:rsidRPr="00843E20">
        <w:t>The minimum detectable differences for the full sample show the following:</w:t>
      </w:r>
    </w:p>
    <w:p w:rsidRPr="00843E20" w:rsidR="00603652" w:rsidP="00603652" w:rsidRDefault="00603652" w14:paraId="5D32059A" w14:textId="77777777"/>
    <w:p w:rsidRPr="00843E20" w:rsidR="00603652" w:rsidP="00603652" w:rsidRDefault="00603652" w14:paraId="630DD376" w14:textId="3A522AA0">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Caregiver interview</w:t>
      </w:r>
      <w:r w:rsidRPr="00843E20">
        <w:rPr>
          <w:sz w:val="24"/>
          <w:szCs w:val="24"/>
        </w:rPr>
        <w:t xml:space="preserve">. At the 15-month follow up, the </w:t>
      </w:r>
      <w:r w:rsidR="00F15CFA">
        <w:rPr>
          <w:sz w:val="24"/>
          <w:szCs w:val="24"/>
        </w:rPr>
        <w:t xml:space="preserve">minimum detectable effect </w:t>
      </w:r>
      <w:r w:rsidRPr="00843E20">
        <w:rPr>
          <w:sz w:val="24"/>
          <w:szCs w:val="24"/>
        </w:rPr>
        <w:t>is 0.078 standard deviations</w:t>
      </w:r>
      <w:r w:rsidR="00022FD9">
        <w:rPr>
          <w:sz w:val="24"/>
          <w:szCs w:val="24"/>
        </w:rPr>
        <w:t xml:space="preserve">, which translated into impacts of 3.1 and 3.9 percentage points for outcomes with a 20 </w:t>
      </w:r>
      <w:proofErr w:type="spellStart"/>
      <w:r w:rsidR="00022FD9">
        <w:rPr>
          <w:sz w:val="24"/>
          <w:szCs w:val="24"/>
        </w:rPr>
        <w:t>prcent</w:t>
      </w:r>
      <w:proofErr w:type="spellEnd"/>
      <w:r w:rsidR="00022FD9">
        <w:rPr>
          <w:sz w:val="24"/>
          <w:szCs w:val="24"/>
        </w:rPr>
        <w:t xml:space="preserve"> and 50 percent prevalence rate</w:t>
      </w:r>
      <w:r w:rsidRPr="00843E20">
        <w:rPr>
          <w:sz w:val="24"/>
          <w:szCs w:val="24"/>
        </w:rPr>
        <w:t xml:space="preserve">. At the kindergarten follow-up, the minimum detectable effect size is 0.080 with a 75 percent response rate and 0.098 with a 50 percent response rate. For an outcome with a 20 percent prevalence rate, this translates into </w:t>
      </w:r>
      <w:r w:rsidR="008B478E">
        <w:rPr>
          <w:sz w:val="24"/>
          <w:szCs w:val="24"/>
        </w:rPr>
        <w:t>differences</w:t>
      </w:r>
      <w:r w:rsidRPr="00843E20">
        <w:rPr>
          <w:sz w:val="24"/>
          <w:szCs w:val="24"/>
        </w:rPr>
        <w:t xml:space="preserve"> of 3.1-3.9 percentage points while for an outcome with a 50 percent prevalence, they translate into </w:t>
      </w:r>
      <w:r w:rsidR="008B478E">
        <w:rPr>
          <w:sz w:val="24"/>
          <w:szCs w:val="24"/>
        </w:rPr>
        <w:t>differences</w:t>
      </w:r>
      <w:r w:rsidRPr="00843E20">
        <w:rPr>
          <w:sz w:val="24"/>
          <w:szCs w:val="24"/>
        </w:rPr>
        <w:t xml:space="preserve"> of 4.0-4.9 percentage points. </w:t>
      </w:r>
    </w:p>
    <w:p w:rsidRPr="00843E20" w:rsidR="00603652" w:rsidP="00603652" w:rsidRDefault="00603652" w14:paraId="24765300" w14:textId="20E78866">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At the 15-month follow up, the minimum detectable effect was 0.081 standard deviations</w:t>
      </w:r>
      <w:r w:rsidR="00022FD9">
        <w:rPr>
          <w:sz w:val="24"/>
          <w:szCs w:val="24"/>
        </w:rPr>
        <w:t>,</w:t>
      </w:r>
      <w:r w:rsidRPr="00843E20">
        <w:rPr>
          <w:sz w:val="24"/>
          <w:szCs w:val="24"/>
        </w:rPr>
        <w:t xml:space="preserve"> which translated into impacts of 3.3 and 4.1 percentage points for outcomes with a 20 percent and 50 percent prevalence rate. At the kindergarten follow-up, the minimum detectable effect size would range from 0.83 with a 70 percent response rate to 0.098 with a 50 percent response rate. For an outcome with a 20 percent prevalence rate, this translates into effects of 3.3-3.9 percentage points while for an outcome with a 50 percent prevalence, they translate into effects of 4.1-4.9 percentage points.</w:t>
      </w:r>
    </w:p>
    <w:p w:rsidR="00A90014" w:rsidP="00603652" w:rsidRDefault="00603652" w14:paraId="577B503E" w14:textId="53A113E1">
      <w:pPr>
        <w:pStyle w:val="ListParagraph"/>
        <w:numPr>
          <w:ilvl w:val="1"/>
          <w:numId w:val="17"/>
        </w:numPr>
        <w:tabs>
          <w:tab w:val="clear" w:pos="720"/>
          <w:tab w:val="clear" w:pos="1080"/>
          <w:tab w:val="clear" w:pos="1440"/>
          <w:tab w:val="clear" w:pos="1800"/>
        </w:tabs>
        <w:spacing w:line="240" w:lineRule="auto"/>
        <w:rPr>
          <w:sz w:val="24"/>
          <w:szCs w:val="24"/>
        </w:rPr>
        <w:sectPr w:rsidR="00A90014" w:rsidSect="00B243E1">
          <w:footerReference w:type="default" r:id="rId11"/>
          <w:pgSz w:w="12240" w:h="15840"/>
          <w:pgMar w:top="1440" w:right="1440" w:bottom="1440" w:left="1440" w:header="720" w:footer="720" w:gutter="0"/>
          <w:cols w:space="720"/>
          <w:docGrid w:linePitch="360"/>
        </w:sectPr>
      </w:pPr>
      <w:r w:rsidRPr="00843E20">
        <w:rPr>
          <w:b/>
          <w:sz w:val="24"/>
          <w:szCs w:val="24"/>
        </w:rPr>
        <w:t>Teacher surveys</w:t>
      </w:r>
      <w:r w:rsidRPr="00843E20">
        <w:rPr>
          <w:sz w:val="24"/>
          <w:szCs w:val="24"/>
        </w:rPr>
        <w:t xml:space="preserve">. Since teacher surveys were not part of the 15-month follow-up, the table shows only the minimum detectable effects for the two kindergarten response rate scenarios. As discussed </w:t>
      </w:r>
      <w:r w:rsidR="00682E89">
        <w:rPr>
          <w:sz w:val="24"/>
          <w:szCs w:val="24"/>
        </w:rPr>
        <w:t xml:space="preserve">in Appendix </w:t>
      </w:r>
      <w:r w:rsidR="00962E9D">
        <w:rPr>
          <w:sz w:val="24"/>
          <w:szCs w:val="24"/>
        </w:rPr>
        <w:t>F</w:t>
      </w:r>
      <w:r w:rsidR="00915D37">
        <w:rPr>
          <w:sz w:val="24"/>
          <w:szCs w:val="24"/>
        </w:rPr>
        <w:t xml:space="preserve">: </w:t>
      </w:r>
      <w:r w:rsidR="00962E9D">
        <w:rPr>
          <w:i/>
          <w:iCs/>
          <w:sz w:val="24"/>
          <w:szCs w:val="24"/>
        </w:rPr>
        <w:t>Maximizing Response Rates</w:t>
      </w:r>
      <w:r w:rsidR="00FF0FAF">
        <w:rPr>
          <w:sz w:val="24"/>
          <w:szCs w:val="24"/>
        </w:rPr>
        <w:t>,</w:t>
      </w:r>
      <w:r w:rsidRPr="00843E20">
        <w:rPr>
          <w:sz w:val="24"/>
          <w:szCs w:val="24"/>
        </w:rPr>
        <w:t xml:space="preserve"> we have assumed a 56 percent response rate for the teacher survey (assuming 75 percent of teachers respond </w:t>
      </w:r>
    </w:p>
    <w:p w:rsidRPr="00D2050F" w:rsidR="00E11704" w:rsidP="00F9070A" w:rsidRDefault="00603652" w14:paraId="452BF490" w14:textId="11CA68B9">
      <w:pPr>
        <w:pStyle w:val="ListParagraph"/>
        <w:numPr>
          <w:ilvl w:val="1"/>
          <w:numId w:val="17"/>
        </w:numPr>
        <w:tabs>
          <w:tab w:val="clear" w:pos="720"/>
          <w:tab w:val="clear" w:pos="1080"/>
          <w:tab w:val="clear" w:pos="1440"/>
          <w:tab w:val="clear" w:pos="1800"/>
        </w:tabs>
        <w:spacing w:line="240" w:lineRule="auto"/>
      </w:pPr>
      <w:r w:rsidRPr="00843E20">
        <w:rPr>
          <w:sz w:val="24"/>
          <w:szCs w:val="24"/>
        </w:rPr>
        <w:lastRenderedPageBreak/>
        <w:t>for the 75 percent of families who complete other parts of family data collection). The minimum detectable effect size ranges from 0.092 to 0.113, depending on the response rate. For an outcome with a 20 percent prevalence rate, this translates into effects of 3.7-4.5 percentage points while for an outcome with a 50 percent prevalence, they translate into effects of 4.6-5.7 percentage points.</w:t>
      </w:r>
    </w:p>
    <w:p w:rsidR="00D2050F" w:rsidP="00D2050F" w:rsidRDefault="00D2050F" w14:paraId="1D203B47" w14:textId="459EA245"/>
    <w:p w:rsidR="00D2050F" w:rsidP="00D2050F" w:rsidRDefault="5EA262DD" w14:paraId="71C40150" w14:textId="6584865D">
      <w:r w:rsidRPr="7748A7CC">
        <w:rPr>
          <w:b/>
          <w:bCs/>
        </w:rPr>
        <w:t xml:space="preserve">Table </w:t>
      </w:r>
      <w:r w:rsidR="00E527D9">
        <w:rPr>
          <w:b/>
          <w:bCs/>
        </w:rPr>
        <w:t>G</w:t>
      </w:r>
      <w:r w:rsidRPr="7748A7CC">
        <w:rPr>
          <w:b/>
          <w:bCs/>
        </w:rPr>
        <w:t>.1</w:t>
      </w:r>
      <w:r w:rsidR="00B20803">
        <w:rPr>
          <w:b/>
          <w:bCs/>
        </w:rPr>
        <w:t>: Minimum Detectable Differences at 15-Month and Kindergarten Follow Up</w:t>
      </w:r>
      <w:r>
        <w:t>:</w:t>
      </w:r>
    </w:p>
    <w:p w:rsidRPr="00E11704" w:rsidR="00E11704" w:rsidP="00C601B3" w:rsidRDefault="00EC6F76" w14:paraId="21104BCE" w14:textId="626996B8">
      <w:r w:rsidRPr="00B83D83">
        <w:rPr>
          <w:noProof/>
        </w:rPr>
        <w:drawing>
          <wp:inline distT="0" distB="0" distL="0" distR="0" wp14:anchorId="07C7ED89" wp14:editId="65CAF19E">
            <wp:extent cx="8152130" cy="3393911"/>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999"/>
                    <a:stretch/>
                  </pic:blipFill>
                  <pic:spPr bwMode="auto">
                    <a:xfrm>
                      <a:off x="0" y="0"/>
                      <a:ext cx="8179282" cy="3405215"/>
                    </a:xfrm>
                    <a:prstGeom prst="rect">
                      <a:avLst/>
                    </a:prstGeom>
                    <a:noFill/>
                    <a:ln>
                      <a:noFill/>
                    </a:ln>
                    <a:extLst>
                      <a:ext uri="{53640926-AAD7-44D8-BBD7-CCE9431645EC}">
                        <a14:shadowObscured xmlns:a14="http://schemas.microsoft.com/office/drawing/2010/main"/>
                      </a:ext>
                    </a:extLst>
                  </pic:spPr>
                </pic:pic>
              </a:graphicData>
            </a:graphic>
          </wp:inline>
        </w:drawing>
      </w:r>
    </w:p>
    <w:p w:rsidRPr="00341213" w:rsidR="00603652" w:rsidP="00603652" w:rsidRDefault="00603652" w14:paraId="3C70757D" w14:textId="77777777"/>
    <w:p w:rsidR="00507507" w:rsidP="00603652" w:rsidRDefault="00507507" w14:paraId="58C46AA0" w14:textId="77777777">
      <w:pPr>
        <w:sectPr w:rsidR="00507507" w:rsidSect="009F3F0E">
          <w:pgSz w:w="15840" w:h="12240" w:orient="landscape"/>
          <w:pgMar w:top="1440" w:right="1440" w:bottom="1440" w:left="1440" w:header="720" w:footer="720" w:gutter="0"/>
          <w:cols w:space="720"/>
          <w:docGrid w:linePitch="360"/>
        </w:sectPr>
      </w:pPr>
    </w:p>
    <w:p w:rsidRPr="00843E20" w:rsidR="00603652" w:rsidP="00603652" w:rsidRDefault="00603652" w14:paraId="415821A3" w14:textId="71D0D66E">
      <w:r w:rsidRPr="00843E20">
        <w:lastRenderedPageBreak/>
        <w:t>A major goal of the MIHOPE kindergarten follow-up is to examine school readiness. Since measures of child development are typically scale scores without a natural interpretation, it is common to analyze results in terms of effect sizes. From that perspective, these minimum detectable effect sizes are in line with those found in randomized trials examining academic skills in elementary school, which range from 0.07 to 0.23 standard deviations.</w:t>
      </w:r>
      <w:r w:rsidRPr="00843E20">
        <w:rPr>
          <w:rStyle w:val="FootnoteReference"/>
        </w:rPr>
        <w:footnoteReference w:id="2"/>
      </w:r>
      <w:r w:rsidRPr="00843E20">
        <w:t xml:space="preserve"> They translate into nearly 3-4 weeks of additional growth in oral language development. During the transition to kindergarten, children are learning language rapidly and three weeks of additional language development represents substantial growth in foundational skills over what would have been expected in the absence of the intervention</w:t>
      </w:r>
      <w:r>
        <w:t>.</w:t>
      </w:r>
      <w:r>
        <w:rPr>
          <w:rStyle w:val="FootnoteReference"/>
        </w:rPr>
        <w:footnoteReference w:id="3"/>
      </w:r>
      <w:r w:rsidRPr="00843E20">
        <w:t xml:space="preserve"> Given the importance of early language for literacy development and later academic outcomes,</w:t>
      </w:r>
      <w:r>
        <w:rPr>
          <w:rStyle w:val="FootnoteReference"/>
        </w:rPr>
        <w:footnoteReference w:id="4"/>
      </w:r>
      <w:r w:rsidRPr="00843E20">
        <w:t xml:space="preserve"> school districts have begun to implement resource-intensive 6-week programs to support children's developmental gains across the summer between academic years.</w:t>
      </w:r>
      <w:r>
        <w:rPr>
          <w:rStyle w:val="FootnoteReference"/>
        </w:rPr>
        <w:footnoteReference w:id="5"/>
      </w:r>
      <w:r w:rsidRPr="00843E20">
        <w:t xml:space="preserve"> The </w:t>
      </w:r>
      <w:r w:rsidR="00507507">
        <w:t xml:space="preserve">minimum detectable effect </w:t>
      </w:r>
      <w:r w:rsidRPr="00843E20">
        <w:t xml:space="preserve">in </w:t>
      </w:r>
      <w:r w:rsidR="00507507">
        <w:t>the current</w:t>
      </w:r>
      <w:r w:rsidRPr="00843E20">
        <w:t xml:space="preserve"> study is equivalent to half the time spent in an additional summer program, over and above typical instruction during the academic year. In addition, early interventions may have the ability to help close achievement gaps between lower- and higher-income children that begin in early childhood and tend to stay stable throughout childhood and adolescence. The </w:t>
      </w:r>
      <w:r w:rsidR="00507507">
        <w:t>minimum detectable effect</w:t>
      </w:r>
      <w:r w:rsidRPr="00843E20">
        <w:t xml:space="preserve"> in t</w:t>
      </w:r>
      <w:r w:rsidR="00507507">
        <w:t>he current</w:t>
      </w:r>
      <w:r w:rsidRPr="00843E20">
        <w:t xml:space="preserve"> study is equivalent to closing the gap in early language skills between lower- and middle-income children by about 20%.</w:t>
      </w:r>
      <w:r>
        <w:rPr>
          <w:rStyle w:val="FootnoteReference"/>
        </w:rPr>
        <w:footnoteReference w:id="6"/>
      </w:r>
    </w:p>
    <w:p w:rsidRPr="00341213" w:rsidR="00603652" w:rsidP="00603652" w:rsidRDefault="00603652" w14:paraId="6D0F5343" w14:textId="77777777"/>
    <w:p w:rsidRPr="00843E20" w:rsidR="00603652" w:rsidP="00603652" w:rsidRDefault="00603652" w14:paraId="7FFA2480" w14:textId="77777777">
      <w:r w:rsidRPr="00843E20">
        <w:t xml:space="preserve">Another goal of the long-term follow-up in MIHOPE is to conduct a benefit-cost analysis of the home visiting programs included in the study. In past studies of home visiting, benefits to the government have come from increased maternal earnings and reductions in public assistance receipt. A common source of public assistance in MIHOPE is SNAP benefits, which is expected to have a prevalence range of 50 percent. For such an outcome, the study would be powered to detect impacts of 4.0-4.9 percentage points using information from the parent survey. The average SNAP recipient receives about $250 in benefits each month, a 4 percentage point reduction in SNAP benefits would translate into savings of about $120 per year, which, accumulated over a period of time, would be sufficient to contribute to findings about whether home visiting is an investment that provides long-term benefits to the government. </w:t>
      </w:r>
    </w:p>
    <w:p w:rsidRPr="00341213" w:rsidR="00603652" w:rsidP="00603652" w:rsidRDefault="00603652" w14:paraId="3A5749BF" w14:textId="77777777"/>
    <w:p w:rsidRPr="00AF6006" w:rsidR="00603652" w:rsidP="00603652" w:rsidRDefault="00603652" w14:paraId="41B4F8FB" w14:textId="77777777">
      <w:pPr>
        <w:rPr>
          <w:u w:val="single"/>
        </w:rPr>
      </w:pPr>
      <w:r w:rsidRPr="00AF6006">
        <w:rPr>
          <w:u w:val="single"/>
        </w:rPr>
        <w:t>Minimum Detectable Differences for Subgroups</w:t>
      </w:r>
    </w:p>
    <w:p w:rsidRPr="00341213" w:rsidR="00603652" w:rsidP="00603652" w:rsidRDefault="00603652" w14:paraId="56C091CB" w14:textId="77777777"/>
    <w:p w:rsidRPr="00843E20" w:rsidR="00603652" w:rsidP="00603652" w:rsidRDefault="626560F5" w14:paraId="34A60611" w14:textId="599BBCBA">
      <w:r>
        <w:t xml:space="preserve">The MIHOPE design calls for an analysis of whether impacts differ across subgroups. To illustrate the statistical power regarding subgroups, Table </w:t>
      </w:r>
      <w:r w:rsidR="00E527D9">
        <w:t>G</w:t>
      </w:r>
      <w:r w:rsidRPr="00E527D9">
        <w:t>.</w:t>
      </w:r>
      <w:r w:rsidR="39C0FE5C">
        <w:t>2</w:t>
      </w:r>
      <w:r>
        <w:t xml:space="preserve"> presents the minimum detectable differences in effects between subgroups. Results are presented for two sets of subgroups, which were chosen because they illustrate how the statistical power varies with the size of a subgroup. </w:t>
      </w:r>
    </w:p>
    <w:p w:rsidRPr="00843E20" w:rsidR="00603652" w:rsidP="00603652" w:rsidRDefault="00603652" w14:paraId="6043948A" w14:textId="77777777"/>
    <w:p w:rsidRPr="00843E20" w:rsidR="00603652" w:rsidP="00603652" w:rsidRDefault="00603652" w14:paraId="1BA64E39" w14:textId="77777777">
      <w:pPr>
        <w:pStyle w:val="ListParagraph"/>
        <w:numPr>
          <w:ilvl w:val="1"/>
          <w:numId w:val="17"/>
        </w:numPr>
        <w:tabs>
          <w:tab w:val="clear" w:pos="720"/>
          <w:tab w:val="clear" w:pos="1080"/>
          <w:tab w:val="clear" w:pos="1440"/>
          <w:tab w:val="clear" w:pos="1800"/>
        </w:tabs>
        <w:spacing w:after="200" w:line="240" w:lineRule="auto"/>
        <w:rPr>
          <w:b/>
          <w:sz w:val="24"/>
          <w:szCs w:val="24"/>
        </w:rPr>
      </w:pPr>
      <w:r w:rsidRPr="00843E20">
        <w:rPr>
          <w:b/>
          <w:sz w:val="24"/>
          <w:szCs w:val="24"/>
        </w:rPr>
        <w:t>By maternal psychological resources</w:t>
      </w:r>
      <w:r w:rsidRPr="00843E20">
        <w:rPr>
          <w:sz w:val="24"/>
          <w:szCs w:val="24"/>
        </w:rPr>
        <w:t>. The concept of “psychological resources” is taken from the Nurse-Family Partnership, which found in two studies that effects were concentrated among for parents with low psychological resources.</w:t>
      </w:r>
      <w:r w:rsidRPr="00843E20">
        <w:rPr>
          <w:rStyle w:val="FootnoteReference"/>
          <w:sz w:val="24"/>
          <w:szCs w:val="24"/>
        </w:rPr>
        <w:footnoteReference w:id="7"/>
      </w:r>
      <w:r w:rsidRPr="00843E20">
        <w:rPr>
          <w:sz w:val="24"/>
          <w:szCs w:val="24"/>
        </w:rPr>
        <w:t xml:space="preserve"> It is based </w:t>
      </w:r>
      <w:r w:rsidRPr="00843E20">
        <w:rPr>
          <w:sz w:val="24"/>
          <w:szCs w:val="24"/>
        </w:rPr>
        <w:lastRenderedPageBreak/>
        <w:t xml:space="preserve">on a composite of (1) mental health, (2) mastery (the extent to which a person thinks life chances are under her control), and (3) verbal abstract reasoning. By construction, half the sample is considered to have low psychological resources. </w:t>
      </w:r>
    </w:p>
    <w:p w:rsidRPr="00843E20" w:rsidR="00603652" w:rsidP="7748A7CC" w:rsidRDefault="626560F5" w14:paraId="56139D40" w14:textId="214D3255">
      <w:pPr>
        <w:pStyle w:val="ListParagraph"/>
        <w:numPr>
          <w:ilvl w:val="1"/>
          <w:numId w:val="17"/>
        </w:numPr>
        <w:tabs>
          <w:tab w:val="clear" w:pos="720"/>
          <w:tab w:val="clear" w:pos="1080"/>
          <w:tab w:val="clear" w:pos="1440"/>
          <w:tab w:val="clear" w:pos="1800"/>
        </w:tabs>
        <w:spacing w:after="200" w:line="240" w:lineRule="auto"/>
        <w:rPr>
          <w:b/>
          <w:bCs/>
          <w:sz w:val="24"/>
          <w:szCs w:val="24"/>
        </w:rPr>
      </w:pPr>
      <w:r w:rsidRPr="7748A7CC">
        <w:rPr>
          <w:b/>
          <w:bCs/>
          <w:sz w:val="24"/>
          <w:szCs w:val="24"/>
        </w:rPr>
        <w:t>By presence of intimate partner violence (IPV)</w:t>
      </w:r>
      <w:r w:rsidRPr="7748A7CC">
        <w:rPr>
          <w:sz w:val="24"/>
          <w:szCs w:val="24"/>
        </w:rPr>
        <w:t xml:space="preserve">. When most of the sample is in one subgroup, differences in impacts </w:t>
      </w:r>
      <w:proofErr w:type="gramStart"/>
      <w:r w:rsidRPr="7748A7CC">
        <w:rPr>
          <w:sz w:val="24"/>
          <w:szCs w:val="24"/>
        </w:rPr>
        <w:t>have to</w:t>
      </w:r>
      <w:proofErr w:type="gramEnd"/>
      <w:r w:rsidRPr="7748A7CC">
        <w:rPr>
          <w:sz w:val="24"/>
          <w:szCs w:val="24"/>
        </w:rPr>
        <w:t xml:space="preserve"> be somewhat larger for them to generate statistically significant differences. To illustrate this, Table </w:t>
      </w:r>
      <w:r w:rsidR="00E527D9">
        <w:rPr>
          <w:sz w:val="24"/>
          <w:szCs w:val="24"/>
        </w:rPr>
        <w:t>G</w:t>
      </w:r>
      <w:r w:rsidRPr="7748A7CC" w:rsidR="12147B15">
        <w:rPr>
          <w:sz w:val="24"/>
          <w:szCs w:val="24"/>
        </w:rPr>
        <w:t>.2</w:t>
      </w:r>
      <w:r w:rsidRPr="7748A7CC">
        <w:rPr>
          <w:sz w:val="24"/>
          <w:szCs w:val="24"/>
        </w:rPr>
        <w:t xml:space="preserve"> shows power calculations for subgroups defined by whether there is IPV in the caregiver’s relationship, a subgroup comparison that is being made in the MIHOPE 15-month analysis. </w:t>
      </w:r>
    </w:p>
    <w:p w:rsidRPr="00843E20" w:rsidR="00603652" w:rsidP="00603652" w:rsidRDefault="626560F5" w14:paraId="49847119" w14:textId="1672C393">
      <w:proofErr w:type="gramStart"/>
      <w:r>
        <w:t>Similar to</w:t>
      </w:r>
      <w:proofErr w:type="gramEnd"/>
      <w:r>
        <w:t xml:space="preserve"> Table </w:t>
      </w:r>
      <w:r w:rsidR="00E527D9">
        <w:t>G</w:t>
      </w:r>
      <w:r w:rsidR="3D88D085">
        <w:t>.1</w:t>
      </w:r>
      <w:r>
        <w:t xml:space="preserve">, Table </w:t>
      </w:r>
      <w:r w:rsidR="00E527D9">
        <w:t>G</w:t>
      </w:r>
      <w:r w:rsidR="3D88D085">
        <w:t>.2</w:t>
      </w:r>
      <w:r>
        <w:t xml:space="preserve"> contains three panels, showing statistical power for</w:t>
      </w:r>
    </w:p>
    <w:p w:rsidRPr="00843E20" w:rsidR="00603652" w:rsidP="00603652" w:rsidRDefault="00603652" w14:paraId="78F3A58B" w14:textId="77777777">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15-month follow-up</w:t>
      </w:r>
    </w:p>
    <w:p w:rsidRPr="00843E20" w:rsidR="00603652" w:rsidP="00603652" w:rsidRDefault="00603652" w14:paraId="3622C10E" w14:textId="77777777">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75 percent response rate for the caregiver survey</w:t>
      </w:r>
    </w:p>
    <w:p w:rsidRPr="00843E20" w:rsidR="00603652" w:rsidP="00603652" w:rsidRDefault="00603652" w14:paraId="6E54FDCA" w14:textId="77777777">
      <w:pPr>
        <w:pStyle w:val="ListParagraph"/>
        <w:numPr>
          <w:ilvl w:val="0"/>
          <w:numId w:val="19"/>
        </w:numPr>
        <w:tabs>
          <w:tab w:val="clear" w:pos="720"/>
          <w:tab w:val="clear" w:pos="1080"/>
          <w:tab w:val="clear" w:pos="1440"/>
          <w:tab w:val="clear" w:pos="1800"/>
        </w:tabs>
        <w:spacing w:after="200" w:line="240" w:lineRule="auto"/>
        <w:rPr>
          <w:sz w:val="24"/>
          <w:szCs w:val="24"/>
        </w:rPr>
      </w:pPr>
      <w:r w:rsidRPr="00843E20">
        <w:rPr>
          <w:sz w:val="24"/>
          <w:szCs w:val="24"/>
        </w:rPr>
        <w:t>The kindergarten follow-up with a 50 percent response rate for the caregiver survey</w:t>
      </w:r>
    </w:p>
    <w:p w:rsidRPr="00843E20" w:rsidR="00603652" w:rsidP="00603652" w:rsidRDefault="626560F5" w14:paraId="07A2ED6B" w14:textId="47C859DD">
      <w:proofErr w:type="gramStart"/>
      <w:r>
        <w:t>Also</w:t>
      </w:r>
      <w:proofErr w:type="gramEnd"/>
      <w:r>
        <w:t xml:space="preserve"> like Table </w:t>
      </w:r>
      <w:r w:rsidR="00E527D9">
        <w:t>G</w:t>
      </w:r>
      <w:r w:rsidR="3D88D085">
        <w:t>.1</w:t>
      </w:r>
      <w:r>
        <w:t xml:space="preserve">, Table </w:t>
      </w:r>
      <w:r w:rsidR="00E527D9">
        <w:t>G</w:t>
      </w:r>
      <w:r w:rsidR="3D88D085">
        <w:t>.2</w:t>
      </w:r>
      <w:r>
        <w:t xml:space="preserve"> shows results for the three main data sources: the caregiver interview, in-home data collection, and the teacher survey. For each row, the table shows how the sample is split between the two subgroups and the number of families in the fielded sample for each subgroup. It then shows minimum detectable differences in the effects across subgroups in three ways:</w:t>
      </w:r>
    </w:p>
    <w:p w:rsidRPr="00843E20" w:rsidR="00603652" w:rsidP="00603652" w:rsidRDefault="00603652" w14:paraId="107AE22A" w14:textId="77777777">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20 percent</w:t>
      </w:r>
    </w:p>
    <w:p w:rsidRPr="00843E20" w:rsidR="00603652" w:rsidP="00603652" w:rsidRDefault="00603652" w14:paraId="554312E3" w14:textId="77777777">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For an outcome with a prevalence of 50 percent</w:t>
      </w:r>
    </w:p>
    <w:p w:rsidRPr="00843E20" w:rsidR="00603652" w:rsidP="00603652" w:rsidRDefault="00603652" w14:paraId="0938800F" w14:textId="77777777">
      <w:pPr>
        <w:pStyle w:val="ListParagraph"/>
        <w:numPr>
          <w:ilvl w:val="0"/>
          <w:numId w:val="20"/>
        </w:numPr>
        <w:tabs>
          <w:tab w:val="clear" w:pos="720"/>
          <w:tab w:val="clear" w:pos="1080"/>
          <w:tab w:val="clear" w:pos="1440"/>
          <w:tab w:val="clear" w:pos="1800"/>
        </w:tabs>
        <w:spacing w:after="200" w:line="240" w:lineRule="auto"/>
        <w:rPr>
          <w:sz w:val="24"/>
          <w:szCs w:val="24"/>
        </w:rPr>
      </w:pPr>
      <w:r w:rsidRPr="00843E20">
        <w:rPr>
          <w:sz w:val="24"/>
          <w:szCs w:val="24"/>
        </w:rPr>
        <w:t>Expressed as an effect size (that is, as the number of standard deviations of the outcome)</w:t>
      </w:r>
    </w:p>
    <w:p w:rsidRPr="00843E20" w:rsidR="00603652" w:rsidP="00603652" w:rsidRDefault="00603652" w14:paraId="57958103" w14:textId="77777777">
      <w:r w:rsidRPr="00843E20">
        <w:t xml:space="preserve">The minimum detectable differences across subgroups show the following: </w:t>
      </w:r>
    </w:p>
    <w:p w:rsidRPr="00843E20" w:rsidR="00603652" w:rsidP="00603652" w:rsidRDefault="00603652" w14:paraId="1D832775" w14:textId="77777777"/>
    <w:p w:rsidRPr="00843E20" w:rsidR="00603652" w:rsidP="00603652" w:rsidRDefault="00603652" w14:paraId="4B8D8566" w14:textId="77777777">
      <w:pPr>
        <w:pStyle w:val="ListParagraph"/>
        <w:numPr>
          <w:ilvl w:val="1"/>
          <w:numId w:val="17"/>
        </w:numPr>
        <w:tabs>
          <w:tab w:val="clear" w:pos="720"/>
          <w:tab w:val="clear" w:pos="1080"/>
          <w:tab w:val="clear" w:pos="1440"/>
        </w:tabs>
        <w:spacing w:line="240" w:lineRule="auto"/>
        <w:rPr>
          <w:sz w:val="24"/>
          <w:szCs w:val="24"/>
        </w:rPr>
      </w:pPr>
      <w:r w:rsidRPr="00843E20">
        <w:rPr>
          <w:b/>
          <w:sz w:val="24"/>
          <w:szCs w:val="24"/>
        </w:rPr>
        <w:t>Caregiver interview</w:t>
      </w:r>
      <w:r w:rsidRPr="00843E20">
        <w:rPr>
          <w:sz w:val="24"/>
          <w:szCs w:val="24"/>
        </w:rPr>
        <w:t>. At the 15-month follow up, the minimum detectable difference in effect sizes was 0.156 across the psychological resource subgroup and 0.176 across the IPV subgroups. These translate into differences of 6.2-7.0 percentage points for an outcome with a 20 percent prevalence (like maternal depression) and 7.8-8.8 percentage points for an outcome with a 50 percent prevalence (like SNAP receipt). At the kindergarten follow-up, the minimum detectable difference in terms of effect sizes is 0.160-0.180 standard deviations with a 75 percent response rate and 0.196-0.221 with a 50 percent response rate. For an outcome with a 20 percent prevalence rate, this translates into effects of 6.4-7.2 percentage points with a 75 percent response rate and 7.8-8.8 percentage points with a 50 percent response rate. For an outcome with a 50 percent prevalence rate, this translates into effects of 8.0-9.0 percentage points with a 75 percent response rate and 9.8-11.0 percentage points with a 50 percent response rate.</w:t>
      </w:r>
    </w:p>
    <w:p w:rsidRPr="00843E20" w:rsidR="00603652" w:rsidP="00603652" w:rsidRDefault="00603652" w14:paraId="0F43885A" w14:textId="0010803D">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In-home data collection</w:t>
      </w:r>
      <w:r w:rsidRPr="00843E20">
        <w:rPr>
          <w:sz w:val="24"/>
          <w:szCs w:val="24"/>
        </w:rPr>
        <w:t xml:space="preserve">. The minimum detectable differences are slightly larger for in-home data collection than for the caregiver interview because the </w:t>
      </w:r>
      <w:r w:rsidR="0087699D">
        <w:rPr>
          <w:sz w:val="24"/>
          <w:szCs w:val="24"/>
        </w:rPr>
        <w:t xml:space="preserve">expected </w:t>
      </w:r>
      <w:r w:rsidRPr="00843E20">
        <w:rPr>
          <w:sz w:val="24"/>
          <w:szCs w:val="24"/>
        </w:rPr>
        <w:t xml:space="preserve">response rates are slightly lower. For example, for an outcome with a prevalence of 50 percent, data collect in the home could detect differences across subgroups ranging from 8.3 to 11.0 percentage points.  </w:t>
      </w:r>
    </w:p>
    <w:p w:rsidR="00E66FCD" w:rsidP="00603652" w:rsidRDefault="00603652" w14:paraId="1DAE330A" w14:textId="19F04B76">
      <w:pPr>
        <w:pStyle w:val="ListParagraph"/>
        <w:numPr>
          <w:ilvl w:val="1"/>
          <w:numId w:val="17"/>
        </w:numPr>
        <w:tabs>
          <w:tab w:val="clear" w:pos="720"/>
          <w:tab w:val="clear" w:pos="1080"/>
          <w:tab w:val="clear" w:pos="1440"/>
          <w:tab w:val="clear" w:pos="1800"/>
        </w:tabs>
        <w:spacing w:line="240" w:lineRule="auto"/>
        <w:rPr>
          <w:sz w:val="24"/>
          <w:szCs w:val="24"/>
        </w:rPr>
      </w:pPr>
      <w:r w:rsidRPr="00843E20">
        <w:rPr>
          <w:b/>
          <w:sz w:val="24"/>
          <w:szCs w:val="24"/>
        </w:rPr>
        <w:t>Teacher surveys</w:t>
      </w:r>
      <w:r w:rsidRPr="00843E20">
        <w:rPr>
          <w:sz w:val="24"/>
          <w:szCs w:val="24"/>
        </w:rPr>
        <w:t xml:space="preserve">. Depending on the response rate and subgroup, the minimum detectable differences range from 0.185 to 0.225 when expressed as effect sizes, 7.4 </w:t>
      </w:r>
    </w:p>
    <w:p w:rsidR="00E66FCD" w:rsidRDefault="00E66FCD" w14:paraId="328BBE1E" w14:textId="77777777">
      <w:pPr>
        <w:spacing w:line="276" w:lineRule="auto"/>
      </w:pPr>
      <w:r>
        <w:br w:type="page"/>
      </w:r>
    </w:p>
    <w:p w:rsidR="000A6FEF" w:rsidP="00603652" w:rsidRDefault="000A6FEF" w14:paraId="733A2D7F" w14:textId="77777777">
      <w:pPr>
        <w:pStyle w:val="ListParagraph"/>
        <w:numPr>
          <w:ilvl w:val="1"/>
          <w:numId w:val="17"/>
        </w:numPr>
        <w:tabs>
          <w:tab w:val="clear" w:pos="720"/>
          <w:tab w:val="clear" w:pos="1080"/>
          <w:tab w:val="clear" w:pos="1440"/>
          <w:tab w:val="clear" w:pos="1800"/>
        </w:tabs>
        <w:spacing w:line="240" w:lineRule="auto"/>
        <w:rPr>
          <w:sz w:val="24"/>
          <w:szCs w:val="24"/>
        </w:rPr>
        <w:sectPr w:rsidR="000A6FEF" w:rsidSect="009F3F0E">
          <w:pgSz w:w="12240" w:h="15840"/>
          <w:pgMar w:top="1440" w:right="1440" w:bottom="1440" w:left="1440" w:header="720" w:footer="720" w:gutter="0"/>
          <w:cols w:space="720"/>
          <w:docGrid w:linePitch="360"/>
        </w:sectPr>
      </w:pPr>
    </w:p>
    <w:p w:rsidR="00603652" w:rsidP="00603652" w:rsidRDefault="00603652" w14:paraId="2CD2A68F" w14:textId="6EDF608B">
      <w:pPr>
        <w:pStyle w:val="ListParagraph"/>
        <w:numPr>
          <w:ilvl w:val="1"/>
          <w:numId w:val="17"/>
        </w:numPr>
        <w:tabs>
          <w:tab w:val="clear" w:pos="720"/>
          <w:tab w:val="clear" w:pos="1080"/>
          <w:tab w:val="clear" w:pos="1440"/>
          <w:tab w:val="clear" w:pos="1800"/>
        </w:tabs>
        <w:spacing w:line="240" w:lineRule="auto"/>
        <w:rPr>
          <w:sz w:val="24"/>
          <w:szCs w:val="24"/>
        </w:rPr>
      </w:pPr>
      <w:r w:rsidRPr="00843E20">
        <w:rPr>
          <w:sz w:val="24"/>
          <w:szCs w:val="24"/>
        </w:rPr>
        <w:lastRenderedPageBreak/>
        <w:t xml:space="preserve">to 10.2 percentage points for an outcome with 20 percent prevalence, and 9.2 to 12.8 for an outcome with 50 percent prevalence. </w:t>
      </w:r>
    </w:p>
    <w:p w:rsidR="00333BAB" w:rsidP="00333BAB" w:rsidRDefault="00333BAB" w14:paraId="0A87A8B7" w14:textId="565247EB"/>
    <w:p w:rsidRPr="00333BAB" w:rsidR="00333BAB" w:rsidP="00333BAB" w:rsidRDefault="39C0FE5C" w14:paraId="2D9DE98C" w14:textId="6FABE061">
      <w:r w:rsidRPr="7748A7CC">
        <w:rPr>
          <w:b/>
          <w:bCs/>
        </w:rPr>
        <w:t xml:space="preserve">Table </w:t>
      </w:r>
      <w:r w:rsidR="00E527D9">
        <w:rPr>
          <w:b/>
          <w:bCs/>
        </w:rPr>
        <w:t>G</w:t>
      </w:r>
      <w:r w:rsidRPr="7748A7CC">
        <w:rPr>
          <w:b/>
          <w:bCs/>
        </w:rPr>
        <w:t>.2</w:t>
      </w:r>
      <w:r>
        <w:t>:</w:t>
      </w:r>
      <w:r w:rsidR="00B20803">
        <w:t xml:space="preserve"> </w:t>
      </w:r>
      <w:r w:rsidR="00B20803">
        <w:rPr>
          <w:b/>
          <w:bCs/>
        </w:rPr>
        <w:t>Minimum Detectable Differences at 15-Month and Kindergarten Data Collection Across Subgroups</w:t>
      </w:r>
    </w:p>
    <w:p w:rsidRPr="00C34A8E" w:rsidR="00191CA2" w:rsidP="00C34A8E" w:rsidRDefault="00191CA2" w14:paraId="5D7CF2F0" w14:textId="0103D4A4"/>
    <w:p w:rsidR="002E42EE" w:rsidP="00FB64B2" w:rsidRDefault="00EC6F76" w14:paraId="39FBF108" w14:textId="77777777">
      <w:r w:rsidRPr="00B83D83">
        <w:rPr>
          <w:noProof/>
        </w:rPr>
        <w:drawing>
          <wp:inline distT="0" distB="0" distL="0" distR="0" wp14:anchorId="7596BDEC" wp14:editId="2D7C3626">
            <wp:extent cx="8643079" cy="36093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274"/>
                    <a:stretch/>
                  </pic:blipFill>
                  <pic:spPr bwMode="auto">
                    <a:xfrm>
                      <a:off x="0" y="0"/>
                      <a:ext cx="8669248" cy="3620268"/>
                    </a:xfrm>
                    <a:prstGeom prst="rect">
                      <a:avLst/>
                    </a:prstGeom>
                    <a:noFill/>
                    <a:ln>
                      <a:noFill/>
                    </a:ln>
                    <a:extLst>
                      <a:ext uri="{53640926-AAD7-44D8-BBD7-CCE9431645EC}">
                        <a14:shadowObscured xmlns:a14="http://schemas.microsoft.com/office/drawing/2010/main"/>
                      </a:ext>
                    </a:extLst>
                  </pic:spPr>
                </pic:pic>
              </a:graphicData>
            </a:graphic>
          </wp:inline>
        </w:drawing>
      </w:r>
    </w:p>
    <w:p w:rsidRPr="00E66FCD" w:rsidR="00982C12" w:rsidP="00FB64B2" w:rsidRDefault="00FB64B2" w14:paraId="684A03C3" w14:textId="00B89656">
      <w:pPr>
        <w:contextualSpacing/>
        <w:rPr>
          <w:b/>
          <w:sz w:val="2"/>
          <w:szCs w:val="2"/>
        </w:rPr>
      </w:pPr>
      <w:r w:rsidRPr="00E66FCD">
        <w:rPr>
          <w:b/>
          <w:sz w:val="2"/>
          <w:szCs w:val="2"/>
        </w:rPr>
        <w:softHyphen/>
      </w:r>
    </w:p>
    <w:sectPr w:rsidRPr="00E66FCD" w:rsidR="00982C12" w:rsidSect="00882C7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83A99" w14:textId="77777777" w:rsidR="0002447B" w:rsidRDefault="0002447B" w:rsidP="00F779B0">
      <w:r>
        <w:separator/>
      </w:r>
    </w:p>
  </w:endnote>
  <w:endnote w:type="continuationSeparator" w:id="0">
    <w:p w14:paraId="37B05EE8" w14:textId="77777777" w:rsidR="0002447B" w:rsidRDefault="0002447B" w:rsidP="00F779B0">
      <w:r>
        <w:continuationSeparator/>
      </w:r>
    </w:p>
  </w:endnote>
  <w:endnote w:type="continuationNotice" w:id="1">
    <w:p w14:paraId="1E66C2CA" w14:textId="77777777" w:rsidR="0002447B" w:rsidRDefault="00024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475551"/>
      <w:docPartObj>
        <w:docPartGallery w:val="Page Numbers (Bottom of Page)"/>
        <w:docPartUnique/>
      </w:docPartObj>
    </w:sdtPr>
    <w:sdtEndPr/>
    <w:sdtContent>
      <w:p w14:paraId="64BBF287" w14:textId="6A38A568" w:rsidR="00BA36B7" w:rsidRDefault="00BA36B7">
        <w:pPr>
          <w:pStyle w:val="Footer"/>
          <w:jc w:val="center"/>
        </w:pPr>
        <w:r>
          <w:fldChar w:fldCharType="begin"/>
        </w:r>
        <w:r>
          <w:instrText xml:space="preserve"> PAGE   \* MERGEFORMAT </w:instrText>
        </w:r>
        <w:r>
          <w:fldChar w:fldCharType="separate"/>
        </w:r>
        <w:r w:rsidR="006E55D7">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193CE" w14:textId="77777777" w:rsidR="0002447B" w:rsidRDefault="0002447B" w:rsidP="00F779B0">
      <w:r>
        <w:separator/>
      </w:r>
    </w:p>
  </w:footnote>
  <w:footnote w:type="continuationSeparator" w:id="0">
    <w:p w14:paraId="7BC2A976" w14:textId="77777777" w:rsidR="0002447B" w:rsidRDefault="0002447B" w:rsidP="00F779B0">
      <w:r>
        <w:continuationSeparator/>
      </w:r>
    </w:p>
  </w:footnote>
  <w:footnote w:type="continuationNotice" w:id="1">
    <w:p w14:paraId="7CD647C4" w14:textId="77777777" w:rsidR="0002447B" w:rsidRDefault="0002447B"/>
  </w:footnote>
  <w:footnote w:id="2">
    <w:p w14:paraId="284C88D4" w14:textId="77777777" w:rsidR="00603652" w:rsidRPr="00570128" w:rsidRDefault="00603652" w:rsidP="00603652">
      <w:pPr>
        <w:pStyle w:val="FootnoteText"/>
      </w:pPr>
      <w:r w:rsidRPr="00570128">
        <w:rPr>
          <w:rStyle w:val="FootnoteReference"/>
        </w:rPr>
        <w:footnoteRef/>
      </w:r>
      <w:r w:rsidRPr="00570128">
        <w:t xml:space="preserve"> Hill et al., 2008. </w:t>
      </w:r>
    </w:p>
  </w:footnote>
  <w:footnote w:id="3">
    <w:p w14:paraId="1B29EE6E" w14:textId="77777777" w:rsidR="00603652" w:rsidRPr="00570128" w:rsidRDefault="00603652" w:rsidP="00603652">
      <w:pPr>
        <w:pStyle w:val="FootnoteText"/>
      </w:pPr>
      <w:r w:rsidRPr="00570128">
        <w:rPr>
          <w:rStyle w:val="FootnoteReference"/>
        </w:rPr>
        <w:footnoteRef/>
      </w:r>
      <w:r w:rsidRPr="00570128">
        <w:t xml:space="preserve"> Bowne, Yoshikawa, &amp; Snow, 2017</w:t>
      </w:r>
    </w:p>
  </w:footnote>
  <w:footnote w:id="4">
    <w:p w14:paraId="32ACBB64" w14:textId="77777777" w:rsidR="00603652" w:rsidRPr="00123605" w:rsidRDefault="00603652" w:rsidP="00603652">
      <w:pPr>
        <w:pStyle w:val="FootnoteText"/>
        <w:rPr>
          <w:lang w:val="es-MX"/>
        </w:rPr>
      </w:pPr>
      <w:r w:rsidRPr="00570128">
        <w:rPr>
          <w:rStyle w:val="FootnoteReference"/>
        </w:rPr>
        <w:footnoteRef/>
      </w:r>
      <w:r w:rsidRPr="00123605">
        <w:rPr>
          <w:lang w:val="es-MX"/>
        </w:rPr>
        <w:t xml:space="preserve"> Duncan et al., 2007; Silva &amp; Cain, 2015</w:t>
      </w:r>
    </w:p>
  </w:footnote>
  <w:footnote w:id="5">
    <w:p w14:paraId="279DC578" w14:textId="77777777" w:rsidR="00603652" w:rsidRDefault="00603652" w:rsidP="00603652">
      <w:pPr>
        <w:pStyle w:val="FootnoteText"/>
      </w:pPr>
      <w:r w:rsidRPr="00570128">
        <w:rPr>
          <w:rStyle w:val="FootnoteReference"/>
        </w:rPr>
        <w:footnoteRef/>
      </w:r>
      <w:r w:rsidRPr="00570128">
        <w:t xml:space="preserve"> Quinn &amp; Polikoff, 2017</w:t>
      </w:r>
    </w:p>
  </w:footnote>
  <w:footnote w:id="6">
    <w:p w14:paraId="6AAD53C6" w14:textId="77777777" w:rsidR="00603652" w:rsidRPr="0096089E" w:rsidRDefault="00603652" w:rsidP="00603652">
      <w:pPr>
        <w:pStyle w:val="FootnoteText"/>
      </w:pPr>
      <w:r w:rsidRPr="0096089E">
        <w:rPr>
          <w:rStyle w:val="FootnoteReference"/>
        </w:rPr>
        <w:footnoteRef/>
      </w:r>
      <w:r w:rsidRPr="0096089E">
        <w:t xml:space="preserve"> Reardon &amp; Portilla, 2016</w:t>
      </w:r>
    </w:p>
  </w:footnote>
  <w:footnote w:id="7">
    <w:p w14:paraId="1673C233" w14:textId="77777777" w:rsidR="00603652" w:rsidRDefault="00603652" w:rsidP="00603652">
      <w:pPr>
        <w:pStyle w:val="FootnoteText"/>
      </w:pPr>
      <w:r w:rsidRPr="0096089E">
        <w:rPr>
          <w:rStyle w:val="FootnoteReference"/>
        </w:rPr>
        <w:footnoteRef/>
      </w:r>
      <w:r w:rsidRPr="0096089E">
        <w:t xml:space="preserve"> Kitzman et al.,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613738"/>
    <w:multiLevelType w:val="hybridMultilevel"/>
    <w:tmpl w:val="6A222DF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626890"/>
    <w:multiLevelType w:val="hybridMultilevel"/>
    <w:tmpl w:val="4DECAFAE"/>
    <w:lvl w:ilvl="0" w:tplc="608C4E4C">
      <w:start w:val="3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3281F"/>
    <w:multiLevelType w:val="hybridMultilevel"/>
    <w:tmpl w:val="57DACE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E65202"/>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438A4"/>
    <w:multiLevelType w:val="hybridMultilevel"/>
    <w:tmpl w:val="66868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22925"/>
    <w:multiLevelType w:val="hybridMultilevel"/>
    <w:tmpl w:val="1D4A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5D074A"/>
    <w:multiLevelType w:val="hybridMultilevel"/>
    <w:tmpl w:val="A56C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D3D18"/>
    <w:multiLevelType w:val="hybridMultilevel"/>
    <w:tmpl w:val="05A4C9D2"/>
    <w:lvl w:ilvl="0" w:tplc="70A016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8078F"/>
    <w:multiLevelType w:val="hybridMultilevel"/>
    <w:tmpl w:val="35C8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81888"/>
    <w:multiLevelType w:val="hybridMultilevel"/>
    <w:tmpl w:val="DCA2D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9C25F8"/>
    <w:multiLevelType w:val="hybridMultilevel"/>
    <w:tmpl w:val="A582E398"/>
    <w:lvl w:ilvl="0" w:tplc="D3E0BB10">
      <w:start w:val="1"/>
      <w:numFmt w:val="bullet"/>
      <w:lvlText w:val=""/>
      <w:lvlJc w:val="left"/>
      <w:pPr>
        <w:ind w:left="1080" w:hanging="360"/>
      </w:pPr>
      <w:rPr>
        <w:rFonts w:ascii="Symbol" w:hAnsi="Symbol" w:hint="default"/>
        <w:sz w:val="20"/>
      </w:rPr>
    </w:lvl>
    <w:lvl w:ilvl="1" w:tplc="81E014EA">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48E954C0"/>
    <w:multiLevelType w:val="hybridMultilevel"/>
    <w:tmpl w:val="B726CC54"/>
    <w:lvl w:ilvl="0" w:tplc="9CC82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15:restartNumberingAfterBreak="0">
    <w:nsid w:val="4DF902C9"/>
    <w:multiLevelType w:val="hybridMultilevel"/>
    <w:tmpl w:val="FE76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D3270"/>
    <w:multiLevelType w:val="hybridMultilevel"/>
    <w:tmpl w:val="12082FAE"/>
    <w:lvl w:ilvl="0" w:tplc="D29663A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8" w15:restartNumberingAfterBreak="0">
    <w:nsid w:val="5F226929"/>
    <w:multiLevelType w:val="hybridMultilevel"/>
    <w:tmpl w:val="87B00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3003A"/>
    <w:multiLevelType w:val="hybridMultilevel"/>
    <w:tmpl w:val="83B411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E5853F8"/>
    <w:multiLevelType w:val="hybridMultilevel"/>
    <w:tmpl w:val="160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C47EB"/>
    <w:multiLevelType w:val="hybridMultilevel"/>
    <w:tmpl w:val="FE7691CE"/>
    <w:lvl w:ilvl="0" w:tplc="EFB6C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0"/>
  </w:num>
  <w:num w:numId="4">
    <w:abstractNumId w:val="3"/>
  </w:num>
  <w:num w:numId="5">
    <w:abstractNumId w:val="7"/>
  </w:num>
  <w:num w:numId="6">
    <w:abstractNumId w:val="1"/>
  </w:num>
  <w:num w:numId="7">
    <w:abstractNumId w:val="19"/>
  </w:num>
  <w:num w:numId="8">
    <w:abstractNumId w:val="18"/>
  </w:num>
  <w:num w:numId="9">
    <w:abstractNumId w:val="2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11"/>
  </w:num>
  <w:num w:numId="14">
    <w:abstractNumId w:val="2"/>
  </w:num>
  <w:num w:numId="15">
    <w:abstractNumId w:val="6"/>
  </w:num>
  <w:num w:numId="16">
    <w:abstractNumId w:val="14"/>
  </w:num>
  <w:num w:numId="17">
    <w:abstractNumId w:val="21"/>
  </w:num>
  <w:num w:numId="18">
    <w:abstractNumId w:val="16"/>
  </w:num>
  <w:num w:numId="19">
    <w:abstractNumId w:val="10"/>
  </w:num>
  <w:num w:numId="20">
    <w:abstractNumId w:val="4"/>
  </w:num>
  <w:num w:numId="21">
    <w:abstractNumId w:val="17"/>
  </w:num>
  <w:num w:numId="22">
    <w:abstractNumId w:val="5"/>
  </w:num>
  <w:num w:numId="23">
    <w:abstractNumId w:val="12"/>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43"/>
    <w:rsid w:val="000008AE"/>
    <w:rsid w:val="000014CE"/>
    <w:rsid w:val="000018BA"/>
    <w:rsid w:val="00003948"/>
    <w:rsid w:val="00003F31"/>
    <w:rsid w:val="00005131"/>
    <w:rsid w:val="00005E5D"/>
    <w:rsid w:val="00006187"/>
    <w:rsid w:val="00006A17"/>
    <w:rsid w:val="0000766A"/>
    <w:rsid w:val="00012349"/>
    <w:rsid w:val="000145C7"/>
    <w:rsid w:val="00015BCA"/>
    <w:rsid w:val="00016502"/>
    <w:rsid w:val="00020A5B"/>
    <w:rsid w:val="00021375"/>
    <w:rsid w:val="00022FD9"/>
    <w:rsid w:val="0002447B"/>
    <w:rsid w:val="00024D25"/>
    <w:rsid w:val="000274EB"/>
    <w:rsid w:val="00030AA0"/>
    <w:rsid w:val="0003159D"/>
    <w:rsid w:val="00040531"/>
    <w:rsid w:val="00040A35"/>
    <w:rsid w:val="00040E9C"/>
    <w:rsid w:val="000447E8"/>
    <w:rsid w:val="000449D4"/>
    <w:rsid w:val="000514A2"/>
    <w:rsid w:val="00052F48"/>
    <w:rsid w:val="00061735"/>
    <w:rsid w:val="000627E0"/>
    <w:rsid w:val="00062AB7"/>
    <w:rsid w:val="000632A0"/>
    <w:rsid w:val="000651A4"/>
    <w:rsid w:val="00065F47"/>
    <w:rsid w:val="0006771C"/>
    <w:rsid w:val="000709E5"/>
    <w:rsid w:val="000718B9"/>
    <w:rsid w:val="00072188"/>
    <w:rsid w:val="000726DE"/>
    <w:rsid w:val="00072A0D"/>
    <w:rsid w:val="00073753"/>
    <w:rsid w:val="000755FD"/>
    <w:rsid w:val="000756A9"/>
    <w:rsid w:val="000812CA"/>
    <w:rsid w:val="00082B96"/>
    <w:rsid w:val="00083828"/>
    <w:rsid w:val="00084E65"/>
    <w:rsid w:val="000875C5"/>
    <w:rsid w:val="0008773D"/>
    <w:rsid w:val="00090D77"/>
    <w:rsid w:val="0009150A"/>
    <w:rsid w:val="0009480D"/>
    <w:rsid w:val="000974DB"/>
    <w:rsid w:val="00097D75"/>
    <w:rsid w:val="00097DE0"/>
    <w:rsid w:val="000A044A"/>
    <w:rsid w:val="000A2DB4"/>
    <w:rsid w:val="000A4ACA"/>
    <w:rsid w:val="000A6349"/>
    <w:rsid w:val="000A6FEF"/>
    <w:rsid w:val="000B2187"/>
    <w:rsid w:val="000B2F84"/>
    <w:rsid w:val="000B4639"/>
    <w:rsid w:val="000B5A61"/>
    <w:rsid w:val="000C0915"/>
    <w:rsid w:val="000C5821"/>
    <w:rsid w:val="000C5C70"/>
    <w:rsid w:val="000C6D43"/>
    <w:rsid w:val="000C7747"/>
    <w:rsid w:val="000C77BB"/>
    <w:rsid w:val="000D01D6"/>
    <w:rsid w:val="000D2292"/>
    <w:rsid w:val="000D6D65"/>
    <w:rsid w:val="000D7CCD"/>
    <w:rsid w:val="000E4CDB"/>
    <w:rsid w:val="000F1509"/>
    <w:rsid w:val="000F28F7"/>
    <w:rsid w:val="000F29FE"/>
    <w:rsid w:val="000F47CB"/>
    <w:rsid w:val="000F4A99"/>
    <w:rsid w:val="000F54BF"/>
    <w:rsid w:val="00100D48"/>
    <w:rsid w:val="00104ACA"/>
    <w:rsid w:val="0010727A"/>
    <w:rsid w:val="00107D5B"/>
    <w:rsid w:val="001100CC"/>
    <w:rsid w:val="00110F82"/>
    <w:rsid w:val="00111BF5"/>
    <w:rsid w:val="00111DBA"/>
    <w:rsid w:val="0011299B"/>
    <w:rsid w:val="00113E54"/>
    <w:rsid w:val="001160A0"/>
    <w:rsid w:val="00116543"/>
    <w:rsid w:val="00117D2D"/>
    <w:rsid w:val="00123605"/>
    <w:rsid w:val="00123A6C"/>
    <w:rsid w:val="00125BCD"/>
    <w:rsid w:val="00126190"/>
    <w:rsid w:val="001317BD"/>
    <w:rsid w:val="00132139"/>
    <w:rsid w:val="00133F8B"/>
    <w:rsid w:val="001356D3"/>
    <w:rsid w:val="00135C69"/>
    <w:rsid w:val="00146DA4"/>
    <w:rsid w:val="001513F4"/>
    <w:rsid w:val="00152121"/>
    <w:rsid w:val="00154A4C"/>
    <w:rsid w:val="00155FA2"/>
    <w:rsid w:val="00161A79"/>
    <w:rsid w:val="0016430B"/>
    <w:rsid w:val="00165F9F"/>
    <w:rsid w:val="00166223"/>
    <w:rsid w:val="00166A9A"/>
    <w:rsid w:val="00171D38"/>
    <w:rsid w:val="00175163"/>
    <w:rsid w:val="00175506"/>
    <w:rsid w:val="00175C49"/>
    <w:rsid w:val="00176D6A"/>
    <w:rsid w:val="001809A9"/>
    <w:rsid w:val="00183CA8"/>
    <w:rsid w:val="001841B6"/>
    <w:rsid w:val="0018486C"/>
    <w:rsid w:val="00186C97"/>
    <w:rsid w:val="00191CA2"/>
    <w:rsid w:val="00194325"/>
    <w:rsid w:val="00195854"/>
    <w:rsid w:val="001974E7"/>
    <w:rsid w:val="001A268A"/>
    <w:rsid w:val="001A2A53"/>
    <w:rsid w:val="001A5754"/>
    <w:rsid w:val="001A5AE0"/>
    <w:rsid w:val="001A5E39"/>
    <w:rsid w:val="001B06E5"/>
    <w:rsid w:val="001B5033"/>
    <w:rsid w:val="001B658C"/>
    <w:rsid w:val="001B7249"/>
    <w:rsid w:val="001C176E"/>
    <w:rsid w:val="001C414B"/>
    <w:rsid w:val="001C51F7"/>
    <w:rsid w:val="001C59D0"/>
    <w:rsid w:val="001D17F9"/>
    <w:rsid w:val="001D4FFB"/>
    <w:rsid w:val="001D7CB4"/>
    <w:rsid w:val="001E2293"/>
    <w:rsid w:val="001E2752"/>
    <w:rsid w:val="001E3D8E"/>
    <w:rsid w:val="001E4211"/>
    <w:rsid w:val="001E573E"/>
    <w:rsid w:val="001F2F7C"/>
    <w:rsid w:val="001F3D68"/>
    <w:rsid w:val="001F6CA5"/>
    <w:rsid w:val="002014BF"/>
    <w:rsid w:val="002027E7"/>
    <w:rsid w:val="00203803"/>
    <w:rsid w:val="00203C70"/>
    <w:rsid w:val="00205101"/>
    <w:rsid w:val="00210E2E"/>
    <w:rsid w:val="00211269"/>
    <w:rsid w:val="002123AD"/>
    <w:rsid w:val="00212A23"/>
    <w:rsid w:val="00213E2A"/>
    <w:rsid w:val="0021432A"/>
    <w:rsid w:val="00214875"/>
    <w:rsid w:val="002152A5"/>
    <w:rsid w:val="00215B69"/>
    <w:rsid w:val="00220893"/>
    <w:rsid w:val="00220F5C"/>
    <w:rsid w:val="002238A8"/>
    <w:rsid w:val="00227873"/>
    <w:rsid w:val="00230CE3"/>
    <w:rsid w:val="00233621"/>
    <w:rsid w:val="0024009D"/>
    <w:rsid w:val="00241083"/>
    <w:rsid w:val="00241913"/>
    <w:rsid w:val="0024463C"/>
    <w:rsid w:val="0024796B"/>
    <w:rsid w:val="00251862"/>
    <w:rsid w:val="00252B01"/>
    <w:rsid w:val="00256A62"/>
    <w:rsid w:val="00260AA6"/>
    <w:rsid w:val="00260BF5"/>
    <w:rsid w:val="00262CB3"/>
    <w:rsid w:val="002640B3"/>
    <w:rsid w:val="002662A4"/>
    <w:rsid w:val="0026755C"/>
    <w:rsid w:val="002678A8"/>
    <w:rsid w:val="0027376E"/>
    <w:rsid w:val="00274AB6"/>
    <w:rsid w:val="002762F4"/>
    <w:rsid w:val="0027674D"/>
    <w:rsid w:val="00276F89"/>
    <w:rsid w:val="0028139C"/>
    <w:rsid w:val="00284E56"/>
    <w:rsid w:val="00292468"/>
    <w:rsid w:val="0029271C"/>
    <w:rsid w:val="0029297C"/>
    <w:rsid w:val="0029484D"/>
    <w:rsid w:val="002957E1"/>
    <w:rsid w:val="00297075"/>
    <w:rsid w:val="002A12FD"/>
    <w:rsid w:val="002A1382"/>
    <w:rsid w:val="002A1A89"/>
    <w:rsid w:val="002A52BA"/>
    <w:rsid w:val="002A5C35"/>
    <w:rsid w:val="002A65B2"/>
    <w:rsid w:val="002B03C4"/>
    <w:rsid w:val="002B335D"/>
    <w:rsid w:val="002B53F6"/>
    <w:rsid w:val="002B647E"/>
    <w:rsid w:val="002C126C"/>
    <w:rsid w:val="002C531B"/>
    <w:rsid w:val="002C56CC"/>
    <w:rsid w:val="002C7F95"/>
    <w:rsid w:val="002D00B9"/>
    <w:rsid w:val="002D1794"/>
    <w:rsid w:val="002D5329"/>
    <w:rsid w:val="002E42EE"/>
    <w:rsid w:val="002E50C9"/>
    <w:rsid w:val="002E5244"/>
    <w:rsid w:val="002E7638"/>
    <w:rsid w:val="002F35C6"/>
    <w:rsid w:val="002F3B4C"/>
    <w:rsid w:val="002F41AB"/>
    <w:rsid w:val="003008EC"/>
    <w:rsid w:val="003019B7"/>
    <w:rsid w:val="00302314"/>
    <w:rsid w:val="00303060"/>
    <w:rsid w:val="00304372"/>
    <w:rsid w:val="003051D6"/>
    <w:rsid w:val="00312364"/>
    <w:rsid w:val="003132ED"/>
    <w:rsid w:val="00314052"/>
    <w:rsid w:val="00316D81"/>
    <w:rsid w:val="003170D3"/>
    <w:rsid w:val="003216E9"/>
    <w:rsid w:val="00332E50"/>
    <w:rsid w:val="0033344B"/>
    <w:rsid w:val="003334CA"/>
    <w:rsid w:val="00333BAB"/>
    <w:rsid w:val="00334CD9"/>
    <w:rsid w:val="00336E9B"/>
    <w:rsid w:val="00337021"/>
    <w:rsid w:val="00341F6E"/>
    <w:rsid w:val="00343086"/>
    <w:rsid w:val="00344C49"/>
    <w:rsid w:val="00344D0B"/>
    <w:rsid w:val="00345833"/>
    <w:rsid w:val="00345950"/>
    <w:rsid w:val="0034656E"/>
    <w:rsid w:val="003504DA"/>
    <w:rsid w:val="00350DA5"/>
    <w:rsid w:val="0035248A"/>
    <w:rsid w:val="00353850"/>
    <w:rsid w:val="00356B70"/>
    <w:rsid w:val="003579F6"/>
    <w:rsid w:val="00357E0E"/>
    <w:rsid w:val="003602CC"/>
    <w:rsid w:val="00361AEA"/>
    <w:rsid w:val="00361BA9"/>
    <w:rsid w:val="0036205A"/>
    <w:rsid w:val="003631A7"/>
    <w:rsid w:val="003642C2"/>
    <w:rsid w:val="003651F2"/>
    <w:rsid w:val="00365B91"/>
    <w:rsid w:val="003663F1"/>
    <w:rsid w:val="003666CC"/>
    <w:rsid w:val="0036717C"/>
    <w:rsid w:val="00372486"/>
    <w:rsid w:val="003736C6"/>
    <w:rsid w:val="00375D4F"/>
    <w:rsid w:val="0037739A"/>
    <w:rsid w:val="00377EF0"/>
    <w:rsid w:val="00385D22"/>
    <w:rsid w:val="003868A6"/>
    <w:rsid w:val="00386E39"/>
    <w:rsid w:val="00387050"/>
    <w:rsid w:val="00387C4E"/>
    <w:rsid w:val="003947E1"/>
    <w:rsid w:val="00394E9D"/>
    <w:rsid w:val="003A15A7"/>
    <w:rsid w:val="003A537A"/>
    <w:rsid w:val="003B4F75"/>
    <w:rsid w:val="003B4FC9"/>
    <w:rsid w:val="003B6089"/>
    <w:rsid w:val="003C28EA"/>
    <w:rsid w:val="003C35B1"/>
    <w:rsid w:val="003C3A19"/>
    <w:rsid w:val="003C4AE4"/>
    <w:rsid w:val="003C5547"/>
    <w:rsid w:val="003C74A7"/>
    <w:rsid w:val="003C7633"/>
    <w:rsid w:val="003C7AFE"/>
    <w:rsid w:val="003D3285"/>
    <w:rsid w:val="003D57D5"/>
    <w:rsid w:val="003D61DF"/>
    <w:rsid w:val="003D7210"/>
    <w:rsid w:val="003D7526"/>
    <w:rsid w:val="003E2797"/>
    <w:rsid w:val="003E2DE0"/>
    <w:rsid w:val="003E3D37"/>
    <w:rsid w:val="003E521E"/>
    <w:rsid w:val="003E690B"/>
    <w:rsid w:val="003E6B69"/>
    <w:rsid w:val="003F359C"/>
    <w:rsid w:val="003F37AA"/>
    <w:rsid w:val="003F469B"/>
    <w:rsid w:val="003F5132"/>
    <w:rsid w:val="003F5939"/>
    <w:rsid w:val="0040143E"/>
    <w:rsid w:val="00402219"/>
    <w:rsid w:val="004049F9"/>
    <w:rsid w:val="00405673"/>
    <w:rsid w:val="00405BD5"/>
    <w:rsid w:val="0041028B"/>
    <w:rsid w:val="00410DBF"/>
    <w:rsid w:val="00410E68"/>
    <w:rsid w:val="00414135"/>
    <w:rsid w:val="00414B8D"/>
    <w:rsid w:val="00415FC2"/>
    <w:rsid w:val="00416BEF"/>
    <w:rsid w:val="00420317"/>
    <w:rsid w:val="004209B7"/>
    <w:rsid w:val="004220D6"/>
    <w:rsid w:val="004220E3"/>
    <w:rsid w:val="004228E7"/>
    <w:rsid w:val="00422FED"/>
    <w:rsid w:val="00430214"/>
    <w:rsid w:val="00433219"/>
    <w:rsid w:val="00434115"/>
    <w:rsid w:val="00434F16"/>
    <w:rsid w:val="00437546"/>
    <w:rsid w:val="00437CF1"/>
    <w:rsid w:val="00437E6F"/>
    <w:rsid w:val="00441C23"/>
    <w:rsid w:val="00442F25"/>
    <w:rsid w:val="004430E8"/>
    <w:rsid w:val="00447D9E"/>
    <w:rsid w:val="004512D6"/>
    <w:rsid w:val="004518FC"/>
    <w:rsid w:val="00452ABE"/>
    <w:rsid w:val="00453737"/>
    <w:rsid w:val="00454903"/>
    <w:rsid w:val="00454BE6"/>
    <w:rsid w:val="00455506"/>
    <w:rsid w:val="00455930"/>
    <w:rsid w:val="004579F7"/>
    <w:rsid w:val="00457CF7"/>
    <w:rsid w:val="0046644A"/>
    <w:rsid w:val="00466931"/>
    <w:rsid w:val="00470C9A"/>
    <w:rsid w:val="00471592"/>
    <w:rsid w:val="00471B2D"/>
    <w:rsid w:val="00472242"/>
    <w:rsid w:val="00473212"/>
    <w:rsid w:val="00474251"/>
    <w:rsid w:val="004750CB"/>
    <w:rsid w:val="0048197F"/>
    <w:rsid w:val="00482499"/>
    <w:rsid w:val="00484E7F"/>
    <w:rsid w:val="00485DA0"/>
    <w:rsid w:val="00486468"/>
    <w:rsid w:val="00487F9D"/>
    <w:rsid w:val="00491D05"/>
    <w:rsid w:val="00493E6D"/>
    <w:rsid w:val="0049559F"/>
    <w:rsid w:val="004A13D7"/>
    <w:rsid w:val="004A165A"/>
    <w:rsid w:val="004A64BF"/>
    <w:rsid w:val="004A706D"/>
    <w:rsid w:val="004A7380"/>
    <w:rsid w:val="004B0A6D"/>
    <w:rsid w:val="004B22D1"/>
    <w:rsid w:val="004B627D"/>
    <w:rsid w:val="004B6B29"/>
    <w:rsid w:val="004B7F5B"/>
    <w:rsid w:val="004C0A93"/>
    <w:rsid w:val="004C23B0"/>
    <w:rsid w:val="004C3FB3"/>
    <w:rsid w:val="004C5322"/>
    <w:rsid w:val="004C61EF"/>
    <w:rsid w:val="004C70DD"/>
    <w:rsid w:val="004D1BC1"/>
    <w:rsid w:val="004D655E"/>
    <w:rsid w:val="004D7C42"/>
    <w:rsid w:val="004E0A1B"/>
    <w:rsid w:val="004E0FBF"/>
    <w:rsid w:val="004E1F47"/>
    <w:rsid w:val="004E3D51"/>
    <w:rsid w:val="004E42AC"/>
    <w:rsid w:val="004E4FEB"/>
    <w:rsid w:val="004E663E"/>
    <w:rsid w:val="004E7406"/>
    <w:rsid w:val="004F0092"/>
    <w:rsid w:val="004F04E2"/>
    <w:rsid w:val="004F1B27"/>
    <w:rsid w:val="004F4AD9"/>
    <w:rsid w:val="004F4BCC"/>
    <w:rsid w:val="00502114"/>
    <w:rsid w:val="00507507"/>
    <w:rsid w:val="005076A0"/>
    <w:rsid w:val="00511B6D"/>
    <w:rsid w:val="00511FF5"/>
    <w:rsid w:val="0051343F"/>
    <w:rsid w:val="00513D06"/>
    <w:rsid w:val="00514359"/>
    <w:rsid w:val="00517837"/>
    <w:rsid w:val="005207B5"/>
    <w:rsid w:val="005217B6"/>
    <w:rsid w:val="00524363"/>
    <w:rsid w:val="0052638C"/>
    <w:rsid w:val="0052689F"/>
    <w:rsid w:val="00526A5E"/>
    <w:rsid w:val="00531142"/>
    <w:rsid w:val="00534933"/>
    <w:rsid w:val="0053652C"/>
    <w:rsid w:val="00536B3C"/>
    <w:rsid w:val="00540E81"/>
    <w:rsid w:val="00543CE6"/>
    <w:rsid w:val="00546908"/>
    <w:rsid w:val="00546D9D"/>
    <w:rsid w:val="005516B3"/>
    <w:rsid w:val="0055423E"/>
    <w:rsid w:val="00561B5E"/>
    <w:rsid w:val="00561F7C"/>
    <w:rsid w:val="00570BC2"/>
    <w:rsid w:val="00571679"/>
    <w:rsid w:val="0058073A"/>
    <w:rsid w:val="005845FD"/>
    <w:rsid w:val="00585D0C"/>
    <w:rsid w:val="005870C9"/>
    <w:rsid w:val="005902A9"/>
    <w:rsid w:val="0059164C"/>
    <w:rsid w:val="00592318"/>
    <w:rsid w:val="00596993"/>
    <w:rsid w:val="005A226A"/>
    <w:rsid w:val="005A298D"/>
    <w:rsid w:val="005A401C"/>
    <w:rsid w:val="005A7142"/>
    <w:rsid w:val="005B0590"/>
    <w:rsid w:val="005B20D3"/>
    <w:rsid w:val="005B3EE6"/>
    <w:rsid w:val="005C1C1A"/>
    <w:rsid w:val="005C1F27"/>
    <w:rsid w:val="005C3B05"/>
    <w:rsid w:val="005C744C"/>
    <w:rsid w:val="005D2CB0"/>
    <w:rsid w:val="005D44A7"/>
    <w:rsid w:val="005D4CA6"/>
    <w:rsid w:val="005E091F"/>
    <w:rsid w:val="005E245D"/>
    <w:rsid w:val="005E2586"/>
    <w:rsid w:val="005E28A9"/>
    <w:rsid w:val="005E48BC"/>
    <w:rsid w:val="005E4C80"/>
    <w:rsid w:val="005E5EF2"/>
    <w:rsid w:val="005E7198"/>
    <w:rsid w:val="005F033A"/>
    <w:rsid w:val="005F081B"/>
    <w:rsid w:val="005F0E53"/>
    <w:rsid w:val="005F19BA"/>
    <w:rsid w:val="005F455D"/>
    <w:rsid w:val="005F56BB"/>
    <w:rsid w:val="005F60BB"/>
    <w:rsid w:val="00600177"/>
    <w:rsid w:val="00601A03"/>
    <w:rsid w:val="00603562"/>
    <w:rsid w:val="00603652"/>
    <w:rsid w:val="00604EAE"/>
    <w:rsid w:val="00605F62"/>
    <w:rsid w:val="00606822"/>
    <w:rsid w:val="006106BC"/>
    <w:rsid w:val="00610AFF"/>
    <w:rsid w:val="0061145E"/>
    <w:rsid w:val="006131FE"/>
    <w:rsid w:val="006155D2"/>
    <w:rsid w:val="006216B3"/>
    <w:rsid w:val="006229B3"/>
    <w:rsid w:val="00627A16"/>
    <w:rsid w:val="00627A6C"/>
    <w:rsid w:val="00627BE0"/>
    <w:rsid w:val="0063463E"/>
    <w:rsid w:val="00635363"/>
    <w:rsid w:val="006363D8"/>
    <w:rsid w:val="00636AE4"/>
    <w:rsid w:val="006408CD"/>
    <w:rsid w:val="00640931"/>
    <w:rsid w:val="006417E2"/>
    <w:rsid w:val="006438A6"/>
    <w:rsid w:val="00647350"/>
    <w:rsid w:val="0065162C"/>
    <w:rsid w:val="006523D6"/>
    <w:rsid w:val="00655244"/>
    <w:rsid w:val="006553F4"/>
    <w:rsid w:val="00655963"/>
    <w:rsid w:val="006573C8"/>
    <w:rsid w:val="0066293F"/>
    <w:rsid w:val="0066334D"/>
    <w:rsid w:val="0066417B"/>
    <w:rsid w:val="00664212"/>
    <w:rsid w:val="006649B1"/>
    <w:rsid w:val="006659E4"/>
    <w:rsid w:val="006665DD"/>
    <w:rsid w:val="006706A1"/>
    <w:rsid w:val="006721B7"/>
    <w:rsid w:val="00672707"/>
    <w:rsid w:val="00680671"/>
    <w:rsid w:val="00681050"/>
    <w:rsid w:val="00681554"/>
    <w:rsid w:val="0068299B"/>
    <w:rsid w:val="00682AE3"/>
    <w:rsid w:val="00682E89"/>
    <w:rsid w:val="00683BD8"/>
    <w:rsid w:val="0068421D"/>
    <w:rsid w:val="006844DD"/>
    <w:rsid w:val="006852FF"/>
    <w:rsid w:val="00685F0D"/>
    <w:rsid w:val="00691666"/>
    <w:rsid w:val="00691BDE"/>
    <w:rsid w:val="00695C44"/>
    <w:rsid w:val="00695EB4"/>
    <w:rsid w:val="00696505"/>
    <w:rsid w:val="006A0883"/>
    <w:rsid w:val="006A1A2C"/>
    <w:rsid w:val="006A1CDF"/>
    <w:rsid w:val="006A5D0D"/>
    <w:rsid w:val="006A6008"/>
    <w:rsid w:val="006A7307"/>
    <w:rsid w:val="006B02C0"/>
    <w:rsid w:val="006B0356"/>
    <w:rsid w:val="006B1D77"/>
    <w:rsid w:val="006B2403"/>
    <w:rsid w:val="006B3F3A"/>
    <w:rsid w:val="006C104A"/>
    <w:rsid w:val="006C1B63"/>
    <w:rsid w:val="006C313E"/>
    <w:rsid w:val="006C3688"/>
    <w:rsid w:val="006C3F7B"/>
    <w:rsid w:val="006C57C6"/>
    <w:rsid w:val="006D3268"/>
    <w:rsid w:val="006D413B"/>
    <w:rsid w:val="006D492B"/>
    <w:rsid w:val="006D4937"/>
    <w:rsid w:val="006D54EE"/>
    <w:rsid w:val="006D6738"/>
    <w:rsid w:val="006E5477"/>
    <w:rsid w:val="006E55D7"/>
    <w:rsid w:val="006E57B4"/>
    <w:rsid w:val="006E66CF"/>
    <w:rsid w:val="006F0615"/>
    <w:rsid w:val="006F4297"/>
    <w:rsid w:val="006F5767"/>
    <w:rsid w:val="006F5FD4"/>
    <w:rsid w:val="007035AE"/>
    <w:rsid w:val="00710CE4"/>
    <w:rsid w:val="00712759"/>
    <w:rsid w:val="00712DDC"/>
    <w:rsid w:val="00714A4B"/>
    <w:rsid w:val="00715B31"/>
    <w:rsid w:val="0071661E"/>
    <w:rsid w:val="007178BA"/>
    <w:rsid w:val="00720CEB"/>
    <w:rsid w:val="0072661E"/>
    <w:rsid w:val="007272AE"/>
    <w:rsid w:val="007336F7"/>
    <w:rsid w:val="007349D4"/>
    <w:rsid w:val="00736115"/>
    <w:rsid w:val="007409A8"/>
    <w:rsid w:val="00742844"/>
    <w:rsid w:val="00742FE8"/>
    <w:rsid w:val="00744825"/>
    <w:rsid w:val="00744835"/>
    <w:rsid w:val="00744EE4"/>
    <w:rsid w:val="007453BA"/>
    <w:rsid w:val="007518D8"/>
    <w:rsid w:val="00752D22"/>
    <w:rsid w:val="00753198"/>
    <w:rsid w:val="007537F5"/>
    <w:rsid w:val="0075388F"/>
    <w:rsid w:val="00753E0D"/>
    <w:rsid w:val="00754144"/>
    <w:rsid w:val="007546B8"/>
    <w:rsid w:val="007550FB"/>
    <w:rsid w:val="007562B4"/>
    <w:rsid w:val="0075753A"/>
    <w:rsid w:val="00757E83"/>
    <w:rsid w:val="00757F0E"/>
    <w:rsid w:val="00761486"/>
    <w:rsid w:val="007673AC"/>
    <w:rsid w:val="00770568"/>
    <w:rsid w:val="00771DE2"/>
    <w:rsid w:val="00775A04"/>
    <w:rsid w:val="00776F1A"/>
    <w:rsid w:val="00777117"/>
    <w:rsid w:val="00780D2C"/>
    <w:rsid w:val="00782B37"/>
    <w:rsid w:val="00783893"/>
    <w:rsid w:val="0078477B"/>
    <w:rsid w:val="007878F3"/>
    <w:rsid w:val="00787900"/>
    <w:rsid w:val="00791909"/>
    <w:rsid w:val="00792145"/>
    <w:rsid w:val="007923E5"/>
    <w:rsid w:val="00793950"/>
    <w:rsid w:val="00793BC7"/>
    <w:rsid w:val="00794083"/>
    <w:rsid w:val="007949F3"/>
    <w:rsid w:val="00796046"/>
    <w:rsid w:val="00796660"/>
    <w:rsid w:val="007A212A"/>
    <w:rsid w:val="007A2222"/>
    <w:rsid w:val="007A2551"/>
    <w:rsid w:val="007A361C"/>
    <w:rsid w:val="007A4652"/>
    <w:rsid w:val="007A51D6"/>
    <w:rsid w:val="007A5BD0"/>
    <w:rsid w:val="007A6491"/>
    <w:rsid w:val="007B0597"/>
    <w:rsid w:val="007B07CD"/>
    <w:rsid w:val="007B0D69"/>
    <w:rsid w:val="007B0FA0"/>
    <w:rsid w:val="007B2947"/>
    <w:rsid w:val="007B51AE"/>
    <w:rsid w:val="007B78EC"/>
    <w:rsid w:val="007C0A55"/>
    <w:rsid w:val="007C0CDC"/>
    <w:rsid w:val="007C1436"/>
    <w:rsid w:val="007C18D3"/>
    <w:rsid w:val="007C340A"/>
    <w:rsid w:val="007C3ACA"/>
    <w:rsid w:val="007C7444"/>
    <w:rsid w:val="007D1F67"/>
    <w:rsid w:val="007D3659"/>
    <w:rsid w:val="007D7527"/>
    <w:rsid w:val="007E1F33"/>
    <w:rsid w:val="007E38F1"/>
    <w:rsid w:val="007E5A0F"/>
    <w:rsid w:val="007E6027"/>
    <w:rsid w:val="007F065D"/>
    <w:rsid w:val="007F275C"/>
    <w:rsid w:val="007F387C"/>
    <w:rsid w:val="007F5FA6"/>
    <w:rsid w:val="008003AE"/>
    <w:rsid w:val="008006E6"/>
    <w:rsid w:val="00801922"/>
    <w:rsid w:val="00802C3D"/>
    <w:rsid w:val="008036BA"/>
    <w:rsid w:val="00803A42"/>
    <w:rsid w:val="00806E3E"/>
    <w:rsid w:val="00807B61"/>
    <w:rsid w:val="00810C6F"/>
    <w:rsid w:val="00812A69"/>
    <w:rsid w:val="00813E97"/>
    <w:rsid w:val="00817EBC"/>
    <w:rsid w:val="00824124"/>
    <w:rsid w:val="00830815"/>
    <w:rsid w:val="00832CB6"/>
    <w:rsid w:val="0083534C"/>
    <w:rsid w:val="00842413"/>
    <w:rsid w:val="00843397"/>
    <w:rsid w:val="00846D1A"/>
    <w:rsid w:val="00847D9E"/>
    <w:rsid w:val="00850892"/>
    <w:rsid w:val="00850A21"/>
    <w:rsid w:val="00855542"/>
    <w:rsid w:val="00857176"/>
    <w:rsid w:val="00864460"/>
    <w:rsid w:val="00864BFA"/>
    <w:rsid w:val="00865D25"/>
    <w:rsid w:val="00866831"/>
    <w:rsid w:val="0086717D"/>
    <w:rsid w:val="0087033A"/>
    <w:rsid w:val="00871E5C"/>
    <w:rsid w:val="008726AC"/>
    <w:rsid w:val="00873763"/>
    <w:rsid w:val="00875C87"/>
    <w:rsid w:val="0087699D"/>
    <w:rsid w:val="0088094C"/>
    <w:rsid w:val="00882AAF"/>
    <w:rsid w:val="00882B62"/>
    <w:rsid w:val="00882C7A"/>
    <w:rsid w:val="0088332F"/>
    <w:rsid w:val="008838E1"/>
    <w:rsid w:val="00886FD1"/>
    <w:rsid w:val="00893E6B"/>
    <w:rsid w:val="008942B6"/>
    <w:rsid w:val="008946DE"/>
    <w:rsid w:val="008A08A8"/>
    <w:rsid w:val="008A2064"/>
    <w:rsid w:val="008A2B5A"/>
    <w:rsid w:val="008A2B81"/>
    <w:rsid w:val="008A61B6"/>
    <w:rsid w:val="008A6DCA"/>
    <w:rsid w:val="008A7EFD"/>
    <w:rsid w:val="008B224A"/>
    <w:rsid w:val="008B38F8"/>
    <w:rsid w:val="008B478E"/>
    <w:rsid w:val="008C1DE3"/>
    <w:rsid w:val="008C2AAB"/>
    <w:rsid w:val="008C53C7"/>
    <w:rsid w:val="008C651B"/>
    <w:rsid w:val="008D05D6"/>
    <w:rsid w:val="008D0DFC"/>
    <w:rsid w:val="008D172E"/>
    <w:rsid w:val="008D2FE2"/>
    <w:rsid w:val="008D368C"/>
    <w:rsid w:val="008D4ACA"/>
    <w:rsid w:val="008D6ED0"/>
    <w:rsid w:val="008D7B9C"/>
    <w:rsid w:val="008E0E7A"/>
    <w:rsid w:val="008E161B"/>
    <w:rsid w:val="008E21CF"/>
    <w:rsid w:val="008E21E2"/>
    <w:rsid w:val="008E2315"/>
    <w:rsid w:val="008E3117"/>
    <w:rsid w:val="008E79BE"/>
    <w:rsid w:val="008F00AA"/>
    <w:rsid w:val="008F0EC0"/>
    <w:rsid w:val="008F7246"/>
    <w:rsid w:val="009007F0"/>
    <w:rsid w:val="009010A6"/>
    <w:rsid w:val="0090762A"/>
    <w:rsid w:val="00910E5D"/>
    <w:rsid w:val="00911489"/>
    <w:rsid w:val="00911825"/>
    <w:rsid w:val="009130A7"/>
    <w:rsid w:val="009146B2"/>
    <w:rsid w:val="00914FF4"/>
    <w:rsid w:val="00915D37"/>
    <w:rsid w:val="0091606E"/>
    <w:rsid w:val="00916118"/>
    <w:rsid w:val="009166EC"/>
    <w:rsid w:val="009169DD"/>
    <w:rsid w:val="009175B3"/>
    <w:rsid w:val="00922C85"/>
    <w:rsid w:val="00923597"/>
    <w:rsid w:val="00923EE2"/>
    <w:rsid w:val="00925643"/>
    <w:rsid w:val="00925827"/>
    <w:rsid w:val="0092713F"/>
    <w:rsid w:val="009301FF"/>
    <w:rsid w:val="009308C4"/>
    <w:rsid w:val="00931929"/>
    <w:rsid w:val="00931C27"/>
    <w:rsid w:val="00933281"/>
    <w:rsid w:val="00933D21"/>
    <w:rsid w:val="00936DA4"/>
    <w:rsid w:val="00947EC0"/>
    <w:rsid w:val="0095011E"/>
    <w:rsid w:val="0095042D"/>
    <w:rsid w:val="0095049F"/>
    <w:rsid w:val="00950942"/>
    <w:rsid w:val="0095198D"/>
    <w:rsid w:val="00954CFC"/>
    <w:rsid w:val="00954EA0"/>
    <w:rsid w:val="0095558F"/>
    <w:rsid w:val="00957B3E"/>
    <w:rsid w:val="00957C67"/>
    <w:rsid w:val="0096083D"/>
    <w:rsid w:val="00962286"/>
    <w:rsid w:val="00962E9D"/>
    <w:rsid w:val="00962F4A"/>
    <w:rsid w:val="009633AE"/>
    <w:rsid w:val="009633EF"/>
    <w:rsid w:val="009650C0"/>
    <w:rsid w:val="00965640"/>
    <w:rsid w:val="009671A5"/>
    <w:rsid w:val="00970089"/>
    <w:rsid w:val="0097156A"/>
    <w:rsid w:val="00972E3B"/>
    <w:rsid w:val="00974BE9"/>
    <w:rsid w:val="00974FAE"/>
    <w:rsid w:val="00975D05"/>
    <w:rsid w:val="00976BAE"/>
    <w:rsid w:val="00976DFA"/>
    <w:rsid w:val="00980635"/>
    <w:rsid w:val="00980CAB"/>
    <w:rsid w:val="00980EC8"/>
    <w:rsid w:val="0098143A"/>
    <w:rsid w:val="00981674"/>
    <w:rsid w:val="00982C12"/>
    <w:rsid w:val="00985D48"/>
    <w:rsid w:val="009863ED"/>
    <w:rsid w:val="00990382"/>
    <w:rsid w:val="00992110"/>
    <w:rsid w:val="0099451A"/>
    <w:rsid w:val="00995A32"/>
    <w:rsid w:val="009974C8"/>
    <w:rsid w:val="009A0E30"/>
    <w:rsid w:val="009A6A5A"/>
    <w:rsid w:val="009A7FA3"/>
    <w:rsid w:val="009B0A0A"/>
    <w:rsid w:val="009B340F"/>
    <w:rsid w:val="009B37A0"/>
    <w:rsid w:val="009B39E5"/>
    <w:rsid w:val="009B657A"/>
    <w:rsid w:val="009C0E61"/>
    <w:rsid w:val="009C6335"/>
    <w:rsid w:val="009C6C0D"/>
    <w:rsid w:val="009D19DC"/>
    <w:rsid w:val="009D1FE3"/>
    <w:rsid w:val="009D237F"/>
    <w:rsid w:val="009D3439"/>
    <w:rsid w:val="009D5E6A"/>
    <w:rsid w:val="009E2051"/>
    <w:rsid w:val="009E4CB8"/>
    <w:rsid w:val="009E6FBE"/>
    <w:rsid w:val="009F15E1"/>
    <w:rsid w:val="009F2390"/>
    <w:rsid w:val="009F3571"/>
    <w:rsid w:val="009F3F0E"/>
    <w:rsid w:val="00A006D4"/>
    <w:rsid w:val="00A0190A"/>
    <w:rsid w:val="00A01C7A"/>
    <w:rsid w:val="00A03999"/>
    <w:rsid w:val="00A03F01"/>
    <w:rsid w:val="00A04474"/>
    <w:rsid w:val="00A06559"/>
    <w:rsid w:val="00A07AF2"/>
    <w:rsid w:val="00A144FD"/>
    <w:rsid w:val="00A1550E"/>
    <w:rsid w:val="00A20D01"/>
    <w:rsid w:val="00A30CEB"/>
    <w:rsid w:val="00A3118D"/>
    <w:rsid w:val="00A32F20"/>
    <w:rsid w:val="00A33C18"/>
    <w:rsid w:val="00A401AF"/>
    <w:rsid w:val="00A41882"/>
    <w:rsid w:val="00A41CC5"/>
    <w:rsid w:val="00A42750"/>
    <w:rsid w:val="00A44AF8"/>
    <w:rsid w:val="00A513B8"/>
    <w:rsid w:val="00A56C16"/>
    <w:rsid w:val="00A576FC"/>
    <w:rsid w:val="00A609A8"/>
    <w:rsid w:val="00A61C78"/>
    <w:rsid w:val="00A62CA1"/>
    <w:rsid w:val="00A630CC"/>
    <w:rsid w:val="00A64029"/>
    <w:rsid w:val="00A64110"/>
    <w:rsid w:val="00A650C8"/>
    <w:rsid w:val="00A66413"/>
    <w:rsid w:val="00A72044"/>
    <w:rsid w:val="00A73B3D"/>
    <w:rsid w:val="00A769D5"/>
    <w:rsid w:val="00A84879"/>
    <w:rsid w:val="00A84E0A"/>
    <w:rsid w:val="00A84EA4"/>
    <w:rsid w:val="00A869F8"/>
    <w:rsid w:val="00A86F4F"/>
    <w:rsid w:val="00A90014"/>
    <w:rsid w:val="00A959F9"/>
    <w:rsid w:val="00A96AE2"/>
    <w:rsid w:val="00A976E4"/>
    <w:rsid w:val="00AA0349"/>
    <w:rsid w:val="00AA1F98"/>
    <w:rsid w:val="00AA53CB"/>
    <w:rsid w:val="00AA5B05"/>
    <w:rsid w:val="00AA68CE"/>
    <w:rsid w:val="00AA6FAA"/>
    <w:rsid w:val="00AB048A"/>
    <w:rsid w:val="00AB0E71"/>
    <w:rsid w:val="00AB21A5"/>
    <w:rsid w:val="00AB3782"/>
    <w:rsid w:val="00AB5401"/>
    <w:rsid w:val="00AD27DE"/>
    <w:rsid w:val="00AD2D17"/>
    <w:rsid w:val="00AD5E18"/>
    <w:rsid w:val="00AD74E0"/>
    <w:rsid w:val="00AD79B7"/>
    <w:rsid w:val="00AE03E9"/>
    <w:rsid w:val="00AE3DBC"/>
    <w:rsid w:val="00AF1F0D"/>
    <w:rsid w:val="00AF5817"/>
    <w:rsid w:val="00AF75B1"/>
    <w:rsid w:val="00B0361D"/>
    <w:rsid w:val="00B04C17"/>
    <w:rsid w:val="00B05437"/>
    <w:rsid w:val="00B06006"/>
    <w:rsid w:val="00B066CA"/>
    <w:rsid w:val="00B10DBE"/>
    <w:rsid w:val="00B14506"/>
    <w:rsid w:val="00B14F76"/>
    <w:rsid w:val="00B20803"/>
    <w:rsid w:val="00B22539"/>
    <w:rsid w:val="00B22A51"/>
    <w:rsid w:val="00B243E1"/>
    <w:rsid w:val="00B246B7"/>
    <w:rsid w:val="00B2640C"/>
    <w:rsid w:val="00B26BE1"/>
    <w:rsid w:val="00B27287"/>
    <w:rsid w:val="00B30E88"/>
    <w:rsid w:val="00B31358"/>
    <w:rsid w:val="00B31601"/>
    <w:rsid w:val="00B33C5F"/>
    <w:rsid w:val="00B34A91"/>
    <w:rsid w:val="00B362E3"/>
    <w:rsid w:val="00B409EC"/>
    <w:rsid w:val="00B40F05"/>
    <w:rsid w:val="00B41383"/>
    <w:rsid w:val="00B43A79"/>
    <w:rsid w:val="00B450C4"/>
    <w:rsid w:val="00B46C7F"/>
    <w:rsid w:val="00B536E3"/>
    <w:rsid w:val="00B56C43"/>
    <w:rsid w:val="00B5725C"/>
    <w:rsid w:val="00B63251"/>
    <w:rsid w:val="00B6470E"/>
    <w:rsid w:val="00B647E4"/>
    <w:rsid w:val="00B66D47"/>
    <w:rsid w:val="00B712FC"/>
    <w:rsid w:val="00B757C8"/>
    <w:rsid w:val="00B7768F"/>
    <w:rsid w:val="00B8370B"/>
    <w:rsid w:val="00B83D3C"/>
    <w:rsid w:val="00B845AB"/>
    <w:rsid w:val="00B84C6C"/>
    <w:rsid w:val="00B85298"/>
    <w:rsid w:val="00B9031A"/>
    <w:rsid w:val="00B90463"/>
    <w:rsid w:val="00B91F85"/>
    <w:rsid w:val="00B92330"/>
    <w:rsid w:val="00B95F34"/>
    <w:rsid w:val="00B95F82"/>
    <w:rsid w:val="00B975CC"/>
    <w:rsid w:val="00B976F0"/>
    <w:rsid w:val="00BA36B7"/>
    <w:rsid w:val="00BA45E8"/>
    <w:rsid w:val="00BB0271"/>
    <w:rsid w:val="00BB1B3F"/>
    <w:rsid w:val="00BB24F5"/>
    <w:rsid w:val="00BB2765"/>
    <w:rsid w:val="00BB5B98"/>
    <w:rsid w:val="00BB5DA5"/>
    <w:rsid w:val="00BB77D8"/>
    <w:rsid w:val="00BB7F27"/>
    <w:rsid w:val="00BC3D0E"/>
    <w:rsid w:val="00BC5EF4"/>
    <w:rsid w:val="00BC69C3"/>
    <w:rsid w:val="00BD009D"/>
    <w:rsid w:val="00BD00F9"/>
    <w:rsid w:val="00BD0A5F"/>
    <w:rsid w:val="00BD4F97"/>
    <w:rsid w:val="00BD69A6"/>
    <w:rsid w:val="00BD791C"/>
    <w:rsid w:val="00BE095B"/>
    <w:rsid w:val="00BE1181"/>
    <w:rsid w:val="00BE1C0C"/>
    <w:rsid w:val="00BE229F"/>
    <w:rsid w:val="00BE4700"/>
    <w:rsid w:val="00BE4744"/>
    <w:rsid w:val="00BE649B"/>
    <w:rsid w:val="00BE79D4"/>
    <w:rsid w:val="00BF0C75"/>
    <w:rsid w:val="00BF3B8C"/>
    <w:rsid w:val="00BF4502"/>
    <w:rsid w:val="00BF5535"/>
    <w:rsid w:val="00C04DCC"/>
    <w:rsid w:val="00C06110"/>
    <w:rsid w:val="00C06F30"/>
    <w:rsid w:val="00C102E8"/>
    <w:rsid w:val="00C1487A"/>
    <w:rsid w:val="00C176B9"/>
    <w:rsid w:val="00C200F3"/>
    <w:rsid w:val="00C20A33"/>
    <w:rsid w:val="00C23CA1"/>
    <w:rsid w:val="00C23F1E"/>
    <w:rsid w:val="00C2460C"/>
    <w:rsid w:val="00C24CF5"/>
    <w:rsid w:val="00C30F86"/>
    <w:rsid w:val="00C33C48"/>
    <w:rsid w:val="00C34A8E"/>
    <w:rsid w:val="00C3642D"/>
    <w:rsid w:val="00C40F2F"/>
    <w:rsid w:val="00C41102"/>
    <w:rsid w:val="00C41817"/>
    <w:rsid w:val="00C42577"/>
    <w:rsid w:val="00C45DE4"/>
    <w:rsid w:val="00C45E99"/>
    <w:rsid w:val="00C46317"/>
    <w:rsid w:val="00C50011"/>
    <w:rsid w:val="00C53D37"/>
    <w:rsid w:val="00C5651E"/>
    <w:rsid w:val="00C60137"/>
    <w:rsid w:val="00C601B3"/>
    <w:rsid w:val="00C60E1A"/>
    <w:rsid w:val="00C61030"/>
    <w:rsid w:val="00C61C3F"/>
    <w:rsid w:val="00C62C17"/>
    <w:rsid w:val="00C746D8"/>
    <w:rsid w:val="00C74BE1"/>
    <w:rsid w:val="00C75045"/>
    <w:rsid w:val="00C750DB"/>
    <w:rsid w:val="00C76C8D"/>
    <w:rsid w:val="00C77DAE"/>
    <w:rsid w:val="00C77F36"/>
    <w:rsid w:val="00C8260F"/>
    <w:rsid w:val="00C83545"/>
    <w:rsid w:val="00C8490B"/>
    <w:rsid w:val="00C86AC4"/>
    <w:rsid w:val="00C86C8E"/>
    <w:rsid w:val="00C87709"/>
    <w:rsid w:val="00C8770E"/>
    <w:rsid w:val="00C931A0"/>
    <w:rsid w:val="00C93E53"/>
    <w:rsid w:val="00C94F90"/>
    <w:rsid w:val="00C95822"/>
    <w:rsid w:val="00C95C19"/>
    <w:rsid w:val="00C96F17"/>
    <w:rsid w:val="00CA2415"/>
    <w:rsid w:val="00CA26D7"/>
    <w:rsid w:val="00CA2E15"/>
    <w:rsid w:val="00CA6893"/>
    <w:rsid w:val="00CA69A0"/>
    <w:rsid w:val="00CB3A75"/>
    <w:rsid w:val="00CB41CE"/>
    <w:rsid w:val="00CC24B9"/>
    <w:rsid w:val="00CC34C7"/>
    <w:rsid w:val="00CC465F"/>
    <w:rsid w:val="00CD0F9B"/>
    <w:rsid w:val="00CD117A"/>
    <w:rsid w:val="00CD2A96"/>
    <w:rsid w:val="00CD610A"/>
    <w:rsid w:val="00CD763E"/>
    <w:rsid w:val="00CE2BC7"/>
    <w:rsid w:val="00CE6750"/>
    <w:rsid w:val="00CF0514"/>
    <w:rsid w:val="00CF2DE4"/>
    <w:rsid w:val="00CF5059"/>
    <w:rsid w:val="00CF63D3"/>
    <w:rsid w:val="00CF76D0"/>
    <w:rsid w:val="00CF77AA"/>
    <w:rsid w:val="00D0045D"/>
    <w:rsid w:val="00D04AB5"/>
    <w:rsid w:val="00D06261"/>
    <w:rsid w:val="00D0748A"/>
    <w:rsid w:val="00D10255"/>
    <w:rsid w:val="00D11D1F"/>
    <w:rsid w:val="00D1649B"/>
    <w:rsid w:val="00D16E87"/>
    <w:rsid w:val="00D2050F"/>
    <w:rsid w:val="00D20C46"/>
    <w:rsid w:val="00D2152F"/>
    <w:rsid w:val="00D23BA4"/>
    <w:rsid w:val="00D26852"/>
    <w:rsid w:val="00D268E7"/>
    <w:rsid w:val="00D27927"/>
    <w:rsid w:val="00D27B69"/>
    <w:rsid w:val="00D34443"/>
    <w:rsid w:val="00D3482E"/>
    <w:rsid w:val="00D35124"/>
    <w:rsid w:val="00D40E73"/>
    <w:rsid w:val="00D40F4C"/>
    <w:rsid w:val="00D42341"/>
    <w:rsid w:val="00D43DD4"/>
    <w:rsid w:val="00D44C3D"/>
    <w:rsid w:val="00D45529"/>
    <w:rsid w:val="00D45663"/>
    <w:rsid w:val="00D4569E"/>
    <w:rsid w:val="00D46190"/>
    <w:rsid w:val="00D46893"/>
    <w:rsid w:val="00D50CC8"/>
    <w:rsid w:val="00D51095"/>
    <w:rsid w:val="00D5586E"/>
    <w:rsid w:val="00D56A2C"/>
    <w:rsid w:val="00D648B8"/>
    <w:rsid w:val="00D65582"/>
    <w:rsid w:val="00D66C94"/>
    <w:rsid w:val="00D66F53"/>
    <w:rsid w:val="00D67F39"/>
    <w:rsid w:val="00D7142D"/>
    <w:rsid w:val="00D75313"/>
    <w:rsid w:val="00D76F21"/>
    <w:rsid w:val="00D81C0D"/>
    <w:rsid w:val="00D84A04"/>
    <w:rsid w:val="00D871F4"/>
    <w:rsid w:val="00D9360E"/>
    <w:rsid w:val="00D93CF5"/>
    <w:rsid w:val="00D9522F"/>
    <w:rsid w:val="00D95396"/>
    <w:rsid w:val="00D95677"/>
    <w:rsid w:val="00D95DB1"/>
    <w:rsid w:val="00DA09FC"/>
    <w:rsid w:val="00DA34EC"/>
    <w:rsid w:val="00DA48CD"/>
    <w:rsid w:val="00DA63CC"/>
    <w:rsid w:val="00DB4E05"/>
    <w:rsid w:val="00DC00D0"/>
    <w:rsid w:val="00DC127B"/>
    <w:rsid w:val="00DC2424"/>
    <w:rsid w:val="00DC411F"/>
    <w:rsid w:val="00DC66A4"/>
    <w:rsid w:val="00DC6C4B"/>
    <w:rsid w:val="00DC7814"/>
    <w:rsid w:val="00DC7F04"/>
    <w:rsid w:val="00DD0994"/>
    <w:rsid w:val="00DD327A"/>
    <w:rsid w:val="00DD4490"/>
    <w:rsid w:val="00DD4A23"/>
    <w:rsid w:val="00DD6A6C"/>
    <w:rsid w:val="00DD73BA"/>
    <w:rsid w:val="00DE45B9"/>
    <w:rsid w:val="00DE5B2B"/>
    <w:rsid w:val="00DE63B2"/>
    <w:rsid w:val="00DE779F"/>
    <w:rsid w:val="00DF0E35"/>
    <w:rsid w:val="00DF10C9"/>
    <w:rsid w:val="00DF1C20"/>
    <w:rsid w:val="00DF5921"/>
    <w:rsid w:val="00DF5DE8"/>
    <w:rsid w:val="00E01A62"/>
    <w:rsid w:val="00E02E38"/>
    <w:rsid w:val="00E03F9B"/>
    <w:rsid w:val="00E10F03"/>
    <w:rsid w:val="00E11704"/>
    <w:rsid w:val="00E136B8"/>
    <w:rsid w:val="00E22C04"/>
    <w:rsid w:val="00E32256"/>
    <w:rsid w:val="00E331AB"/>
    <w:rsid w:val="00E34E3E"/>
    <w:rsid w:val="00E3536B"/>
    <w:rsid w:val="00E35626"/>
    <w:rsid w:val="00E37AC9"/>
    <w:rsid w:val="00E42F05"/>
    <w:rsid w:val="00E4380E"/>
    <w:rsid w:val="00E454A8"/>
    <w:rsid w:val="00E51F2B"/>
    <w:rsid w:val="00E527D9"/>
    <w:rsid w:val="00E543D8"/>
    <w:rsid w:val="00E55C9D"/>
    <w:rsid w:val="00E55E4E"/>
    <w:rsid w:val="00E56ACD"/>
    <w:rsid w:val="00E5744B"/>
    <w:rsid w:val="00E62258"/>
    <w:rsid w:val="00E6226C"/>
    <w:rsid w:val="00E6343B"/>
    <w:rsid w:val="00E640B8"/>
    <w:rsid w:val="00E66FCD"/>
    <w:rsid w:val="00E67728"/>
    <w:rsid w:val="00E67AA5"/>
    <w:rsid w:val="00E67AFD"/>
    <w:rsid w:val="00E70467"/>
    <w:rsid w:val="00E72319"/>
    <w:rsid w:val="00E72E77"/>
    <w:rsid w:val="00E72F05"/>
    <w:rsid w:val="00E73310"/>
    <w:rsid w:val="00E7352F"/>
    <w:rsid w:val="00E73602"/>
    <w:rsid w:val="00E7509F"/>
    <w:rsid w:val="00E7631D"/>
    <w:rsid w:val="00E76B54"/>
    <w:rsid w:val="00E814BA"/>
    <w:rsid w:val="00E82093"/>
    <w:rsid w:val="00E83F24"/>
    <w:rsid w:val="00E83F8F"/>
    <w:rsid w:val="00E84403"/>
    <w:rsid w:val="00E92E98"/>
    <w:rsid w:val="00E944F2"/>
    <w:rsid w:val="00E97544"/>
    <w:rsid w:val="00E97D04"/>
    <w:rsid w:val="00EA083F"/>
    <w:rsid w:val="00EA0CBF"/>
    <w:rsid w:val="00EA1080"/>
    <w:rsid w:val="00EA530F"/>
    <w:rsid w:val="00EA58ED"/>
    <w:rsid w:val="00EB26D5"/>
    <w:rsid w:val="00EB4064"/>
    <w:rsid w:val="00EB5DFD"/>
    <w:rsid w:val="00EC1EA1"/>
    <w:rsid w:val="00EC2A01"/>
    <w:rsid w:val="00EC5A7F"/>
    <w:rsid w:val="00EC6F76"/>
    <w:rsid w:val="00ED33BD"/>
    <w:rsid w:val="00ED45D0"/>
    <w:rsid w:val="00ED46CB"/>
    <w:rsid w:val="00ED46FE"/>
    <w:rsid w:val="00ED52D9"/>
    <w:rsid w:val="00ED5834"/>
    <w:rsid w:val="00ED5EF4"/>
    <w:rsid w:val="00EE52BD"/>
    <w:rsid w:val="00EE6E86"/>
    <w:rsid w:val="00EF2FBD"/>
    <w:rsid w:val="00EF7C5A"/>
    <w:rsid w:val="00F009F9"/>
    <w:rsid w:val="00F03096"/>
    <w:rsid w:val="00F03EBC"/>
    <w:rsid w:val="00F04421"/>
    <w:rsid w:val="00F054BF"/>
    <w:rsid w:val="00F054E3"/>
    <w:rsid w:val="00F058D7"/>
    <w:rsid w:val="00F05CA6"/>
    <w:rsid w:val="00F10000"/>
    <w:rsid w:val="00F10159"/>
    <w:rsid w:val="00F13526"/>
    <w:rsid w:val="00F15B45"/>
    <w:rsid w:val="00F15CFA"/>
    <w:rsid w:val="00F162E8"/>
    <w:rsid w:val="00F17105"/>
    <w:rsid w:val="00F21D97"/>
    <w:rsid w:val="00F2232D"/>
    <w:rsid w:val="00F24E3F"/>
    <w:rsid w:val="00F25936"/>
    <w:rsid w:val="00F268CD"/>
    <w:rsid w:val="00F31A8F"/>
    <w:rsid w:val="00F33949"/>
    <w:rsid w:val="00F37DFA"/>
    <w:rsid w:val="00F42FA4"/>
    <w:rsid w:val="00F4450B"/>
    <w:rsid w:val="00F44D54"/>
    <w:rsid w:val="00F46841"/>
    <w:rsid w:val="00F4717D"/>
    <w:rsid w:val="00F53DAF"/>
    <w:rsid w:val="00F53EC4"/>
    <w:rsid w:val="00F550E7"/>
    <w:rsid w:val="00F5512D"/>
    <w:rsid w:val="00F55C34"/>
    <w:rsid w:val="00F561FC"/>
    <w:rsid w:val="00F61BBB"/>
    <w:rsid w:val="00F6324B"/>
    <w:rsid w:val="00F63D14"/>
    <w:rsid w:val="00F64478"/>
    <w:rsid w:val="00F658BA"/>
    <w:rsid w:val="00F671E6"/>
    <w:rsid w:val="00F67B4E"/>
    <w:rsid w:val="00F72725"/>
    <w:rsid w:val="00F743D6"/>
    <w:rsid w:val="00F74D17"/>
    <w:rsid w:val="00F7587B"/>
    <w:rsid w:val="00F7593C"/>
    <w:rsid w:val="00F779B0"/>
    <w:rsid w:val="00F77D29"/>
    <w:rsid w:val="00F813B1"/>
    <w:rsid w:val="00F82E1B"/>
    <w:rsid w:val="00F856C2"/>
    <w:rsid w:val="00F8575C"/>
    <w:rsid w:val="00F8638D"/>
    <w:rsid w:val="00F8693D"/>
    <w:rsid w:val="00F86B8D"/>
    <w:rsid w:val="00F873E7"/>
    <w:rsid w:val="00F9070A"/>
    <w:rsid w:val="00FA1089"/>
    <w:rsid w:val="00FA3A44"/>
    <w:rsid w:val="00FA4079"/>
    <w:rsid w:val="00FA53DA"/>
    <w:rsid w:val="00FA7A19"/>
    <w:rsid w:val="00FB0E3B"/>
    <w:rsid w:val="00FB1D49"/>
    <w:rsid w:val="00FB2CBE"/>
    <w:rsid w:val="00FB3FDD"/>
    <w:rsid w:val="00FB45AF"/>
    <w:rsid w:val="00FB4CD4"/>
    <w:rsid w:val="00FB5A17"/>
    <w:rsid w:val="00FB645A"/>
    <w:rsid w:val="00FB64B2"/>
    <w:rsid w:val="00FC4F05"/>
    <w:rsid w:val="00FC6733"/>
    <w:rsid w:val="00FC6EA0"/>
    <w:rsid w:val="00FD15D6"/>
    <w:rsid w:val="00FD3050"/>
    <w:rsid w:val="00FD44D5"/>
    <w:rsid w:val="00FD461F"/>
    <w:rsid w:val="00FD5303"/>
    <w:rsid w:val="00FD5464"/>
    <w:rsid w:val="00FD563A"/>
    <w:rsid w:val="00FD6619"/>
    <w:rsid w:val="00FD725E"/>
    <w:rsid w:val="00FE1C83"/>
    <w:rsid w:val="00FE3217"/>
    <w:rsid w:val="00FE3E9A"/>
    <w:rsid w:val="00FE503A"/>
    <w:rsid w:val="00FE54C5"/>
    <w:rsid w:val="00FE5B0E"/>
    <w:rsid w:val="00FE6A63"/>
    <w:rsid w:val="00FE6BB4"/>
    <w:rsid w:val="00FF0055"/>
    <w:rsid w:val="00FF0FAF"/>
    <w:rsid w:val="00FF1D42"/>
    <w:rsid w:val="00FF3D14"/>
    <w:rsid w:val="00FF5364"/>
    <w:rsid w:val="00FF63EC"/>
    <w:rsid w:val="0170B00A"/>
    <w:rsid w:val="01ED4702"/>
    <w:rsid w:val="037D865E"/>
    <w:rsid w:val="043190ED"/>
    <w:rsid w:val="04897806"/>
    <w:rsid w:val="04DC34A9"/>
    <w:rsid w:val="07925C54"/>
    <w:rsid w:val="07DB063D"/>
    <w:rsid w:val="0A846EAF"/>
    <w:rsid w:val="0BAC2BF2"/>
    <w:rsid w:val="0BE60687"/>
    <w:rsid w:val="0E87D6AF"/>
    <w:rsid w:val="0F9F599C"/>
    <w:rsid w:val="100859B5"/>
    <w:rsid w:val="100ECB32"/>
    <w:rsid w:val="10F28143"/>
    <w:rsid w:val="1179E90A"/>
    <w:rsid w:val="11F29282"/>
    <w:rsid w:val="1213647D"/>
    <w:rsid w:val="12147B15"/>
    <w:rsid w:val="147134F2"/>
    <w:rsid w:val="158255C2"/>
    <w:rsid w:val="169E986F"/>
    <w:rsid w:val="182475D7"/>
    <w:rsid w:val="18541010"/>
    <w:rsid w:val="19B6FBE5"/>
    <w:rsid w:val="1A4E3F01"/>
    <w:rsid w:val="1D82C0FB"/>
    <w:rsid w:val="1E5BAC66"/>
    <w:rsid w:val="21D8241D"/>
    <w:rsid w:val="223C6046"/>
    <w:rsid w:val="22D3B316"/>
    <w:rsid w:val="2586F9B6"/>
    <w:rsid w:val="259F0CC7"/>
    <w:rsid w:val="2666F11C"/>
    <w:rsid w:val="2A630F9A"/>
    <w:rsid w:val="2B8EBF0F"/>
    <w:rsid w:val="2C3B10A9"/>
    <w:rsid w:val="2C6B2242"/>
    <w:rsid w:val="2D84ABF9"/>
    <w:rsid w:val="2DB9FB2A"/>
    <w:rsid w:val="2F6A44A3"/>
    <w:rsid w:val="3189B6D6"/>
    <w:rsid w:val="322FB01C"/>
    <w:rsid w:val="324CAF85"/>
    <w:rsid w:val="32529680"/>
    <w:rsid w:val="32BF7D75"/>
    <w:rsid w:val="32E764E4"/>
    <w:rsid w:val="334D6DD8"/>
    <w:rsid w:val="33FFA05B"/>
    <w:rsid w:val="34FF11FE"/>
    <w:rsid w:val="359070BF"/>
    <w:rsid w:val="3594BBF1"/>
    <w:rsid w:val="37CE391E"/>
    <w:rsid w:val="382DF4DE"/>
    <w:rsid w:val="3891C231"/>
    <w:rsid w:val="389FD550"/>
    <w:rsid w:val="39C0FE5C"/>
    <w:rsid w:val="3A3EF99F"/>
    <w:rsid w:val="3A76C47D"/>
    <w:rsid w:val="3B805FBB"/>
    <w:rsid w:val="3BF66868"/>
    <w:rsid w:val="3D75E6DE"/>
    <w:rsid w:val="3D88D085"/>
    <w:rsid w:val="3EE569C0"/>
    <w:rsid w:val="3FF5895B"/>
    <w:rsid w:val="403A804A"/>
    <w:rsid w:val="407D961F"/>
    <w:rsid w:val="40C04CCC"/>
    <w:rsid w:val="41640EB7"/>
    <w:rsid w:val="41E1A7DE"/>
    <w:rsid w:val="432C92A5"/>
    <w:rsid w:val="43E042A0"/>
    <w:rsid w:val="44380B0D"/>
    <w:rsid w:val="45497F5E"/>
    <w:rsid w:val="46410E72"/>
    <w:rsid w:val="469680A1"/>
    <w:rsid w:val="46AE39A8"/>
    <w:rsid w:val="48E19E53"/>
    <w:rsid w:val="4A28C324"/>
    <w:rsid w:val="4A7D6EB4"/>
    <w:rsid w:val="4AA15347"/>
    <w:rsid w:val="4AE8AD25"/>
    <w:rsid w:val="4C19ECB8"/>
    <w:rsid w:val="4C60F53D"/>
    <w:rsid w:val="4D27E585"/>
    <w:rsid w:val="4F442971"/>
    <w:rsid w:val="52497F6E"/>
    <w:rsid w:val="5321B9A6"/>
    <w:rsid w:val="53AA12F2"/>
    <w:rsid w:val="53EF09E1"/>
    <w:rsid w:val="53F691C5"/>
    <w:rsid w:val="545FA407"/>
    <w:rsid w:val="55C8E0C5"/>
    <w:rsid w:val="5A3CF26C"/>
    <w:rsid w:val="5B09BDF6"/>
    <w:rsid w:val="5BCB27C1"/>
    <w:rsid w:val="5BECDFD7"/>
    <w:rsid w:val="5C2681D0"/>
    <w:rsid w:val="5C3D53C3"/>
    <w:rsid w:val="5CB7F792"/>
    <w:rsid w:val="5D910FA6"/>
    <w:rsid w:val="5E0058B4"/>
    <w:rsid w:val="5E939D79"/>
    <w:rsid w:val="5EA262DD"/>
    <w:rsid w:val="5FCE2540"/>
    <w:rsid w:val="60DF7AE5"/>
    <w:rsid w:val="626560F5"/>
    <w:rsid w:val="63CFAC26"/>
    <w:rsid w:val="67863BE8"/>
    <w:rsid w:val="6994C216"/>
    <w:rsid w:val="6A004FAF"/>
    <w:rsid w:val="6AE17F75"/>
    <w:rsid w:val="6B9909F7"/>
    <w:rsid w:val="6CBCB52A"/>
    <w:rsid w:val="6CE2E5C2"/>
    <w:rsid w:val="6D677EA4"/>
    <w:rsid w:val="6DBAA1D9"/>
    <w:rsid w:val="6E3AC32C"/>
    <w:rsid w:val="6E7FBA1B"/>
    <w:rsid w:val="6F73358D"/>
    <w:rsid w:val="74963F50"/>
    <w:rsid w:val="76AE63AD"/>
    <w:rsid w:val="7748A7CC"/>
    <w:rsid w:val="78D188BC"/>
    <w:rsid w:val="79A32E28"/>
    <w:rsid w:val="7AAFD6C1"/>
    <w:rsid w:val="7C0D8641"/>
    <w:rsid w:val="7F8F69CA"/>
    <w:rsid w:val="7FBD8EC6"/>
    <w:rsid w:val="7FECF1D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E0C"/>
  <w15:docId w15:val="{A026C37E-E9E3-4816-8886-600C89C5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qFormat/>
    <w:rsid w:val="000A044A"/>
    <w:pPr>
      <w:spacing w:line="240" w:lineRule="auto"/>
      <w:outlineLvl w:val="0"/>
    </w:pPr>
    <w:rPr>
      <w:rFonts w:ascii="Cambria" w:eastAsiaTheme="majorEastAsia" w:hAnsi="Cambria" w:cstheme="majorBidi"/>
      <w:b/>
      <w:bCs/>
      <w:color w:val="365F91" w:themeColor="accent1" w:themeShade="BF"/>
      <w:spacing w:val="-6"/>
      <w:kern w:val="3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uiPriority w:val="99"/>
    <w:rsid w:val="000C6D43"/>
    <w:rPr>
      <w:sz w:val="16"/>
      <w:szCs w:val="16"/>
    </w:rPr>
  </w:style>
  <w:style w:type="paragraph" w:styleId="CommentText">
    <w:name w:val="annotation text"/>
    <w:basedOn w:val="Normal"/>
    <w:link w:val="CommentTextChar"/>
    <w:uiPriority w:val="99"/>
    <w:rsid w:val="000C6D43"/>
    <w:rPr>
      <w:sz w:val="20"/>
      <w:szCs w:val="20"/>
    </w:rPr>
  </w:style>
  <w:style w:type="character" w:customStyle="1" w:styleId="CommentTextChar">
    <w:name w:val="Comment Text Char"/>
    <w:basedOn w:val="DefaultParagraphFont"/>
    <w:link w:val="CommentText"/>
    <w:uiPriority w:val="99"/>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aliases w:val="*Footnote Text ALT-F,*Footnote Text,F1,Footnote Text Char Char Char Char,Footnote Text Char Char,Footnote Text ERA,Footnote Text ERA1,Footnote Text ERA2,Footnote Text ERA11,Footnote Text ERA3,Footnote Text ERA12,Footnote Text ERA21,fn,bv"/>
    <w:basedOn w:val="Normal"/>
    <w:link w:val="FootnoteTextChar"/>
    <w:uiPriority w:val="99"/>
    <w:unhideWhenUsed/>
    <w:qFormat/>
    <w:rsid w:val="007B78EC"/>
    <w:rPr>
      <w:sz w:val="20"/>
      <w:szCs w:val="20"/>
    </w:rPr>
  </w:style>
  <w:style w:type="character" w:customStyle="1" w:styleId="FootnoteTextChar">
    <w:name w:val="Footnote Text Char"/>
    <w:aliases w:val="*Footnote Text ALT-F Char,*Footnote Text Char,F1 Char,Footnote Text Char Char Char Char Char,Footnote Text Char Char Char,Footnote Text ERA Char,Footnote Text ERA1 Char,Footnote Text ERA2 Char,Footnote Text ERA11 Char,fn Char,bv Char"/>
    <w:basedOn w:val="DefaultParagraphFont"/>
    <w:link w:val="FootnoteText"/>
    <w:uiPriority w:val="99"/>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aliases w:val="*Footnote Reference ALT-R,*Footnote Reference"/>
    <w:basedOn w:val="DefaultParagraphFont"/>
    <w:uiPriority w:val="99"/>
    <w:unhideWhenUsed/>
    <w:qFormat/>
    <w:rsid w:val="007B78EC"/>
    <w:rPr>
      <w:vertAlign w:val="superscript"/>
    </w:rPr>
  </w:style>
  <w:style w:type="character" w:styleId="Hyperlink">
    <w:name w:val="Hyperlink"/>
    <w:basedOn w:val="DefaultParagraphFont"/>
    <w:uiPriority w:val="99"/>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E5244"/>
    <w:rPr>
      <w:rFonts w:ascii="Calibri" w:hAnsi="Calibri"/>
      <w:noProof/>
    </w:rPr>
  </w:style>
  <w:style w:type="character" w:customStyle="1" w:styleId="EndNoteBibliographyChar">
    <w:name w:val="EndNote Bibliography Char"/>
    <w:basedOn w:val="DefaultParagraphFont"/>
    <w:link w:val="EndNoteBibliography"/>
    <w:rsid w:val="002E5244"/>
    <w:rPr>
      <w:rFonts w:ascii="Calibri" w:eastAsia="Times New Roman" w:hAnsi="Calibri" w:cs="Times New Roman"/>
      <w:noProof/>
      <w:sz w:val="24"/>
      <w:szCs w:val="24"/>
    </w:rPr>
  </w:style>
  <w:style w:type="character" w:customStyle="1" w:styleId="UnresolvedMention1">
    <w:name w:val="Unresolved Mention1"/>
    <w:basedOn w:val="DefaultParagraphFont"/>
    <w:uiPriority w:val="99"/>
    <w:semiHidden/>
    <w:unhideWhenUsed/>
    <w:rsid w:val="00720CEB"/>
    <w:rPr>
      <w:color w:val="605E5C"/>
      <w:shd w:val="clear" w:color="auto" w:fill="E1DFDD"/>
    </w:rPr>
  </w:style>
  <w:style w:type="character" w:customStyle="1" w:styleId="Heading1Char">
    <w:name w:val="Heading 1 Char"/>
    <w:basedOn w:val="DefaultParagraphFont"/>
    <w:link w:val="Heading1"/>
    <w:uiPriority w:val="9"/>
    <w:rsid w:val="000A044A"/>
    <w:rPr>
      <w:rFonts w:ascii="Cambria" w:eastAsiaTheme="majorEastAsia" w:hAnsi="Cambria" w:cstheme="majorBidi"/>
      <w:b/>
      <w:bCs/>
      <w:color w:val="365F91" w:themeColor="accent1" w:themeShade="BF"/>
      <w:spacing w:val="-6"/>
      <w:kern w:val="32"/>
      <w:sz w:val="34"/>
      <w:szCs w:val="34"/>
    </w:rPr>
  </w:style>
  <w:style w:type="character" w:styleId="UnresolvedMention">
    <w:name w:val="Unresolved Mention"/>
    <w:basedOn w:val="DefaultParagraphFont"/>
    <w:uiPriority w:val="99"/>
    <w:unhideWhenUsed/>
    <w:rsid w:val="00F8693D"/>
    <w:rPr>
      <w:color w:val="605E5C"/>
      <w:shd w:val="clear" w:color="auto" w:fill="E1DFDD"/>
    </w:rPr>
  </w:style>
  <w:style w:type="character" w:styleId="Mention">
    <w:name w:val="Mention"/>
    <w:basedOn w:val="DefaultParagraphFont"/>
    <w:uiPriority w:val="99"/>
    <w:unhideWhenUsed/>
    <w:rsid w:val="00F869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6882">
      <w:bodyDiv w:val="1"/>
      <w:marLeft w:val="0"/>
      <w:marRight w:val="0"/>
      <w:marTop w:val="0"/>
      <w:marBottom w:val="0"/>
      <w:divBdr>
        <w:top w:val="none" w:sz="0" w:space="0" w:color="auto"/>
        <w:left w:val="none" w:sz="0" w:space="0" w:color="auto"/>
        <w:bottom w:val="none" w:sz="0" w:space="0" w:color="auto"/>
        <w:right w:val="none" w:sz="0" w:space="0" w:color="auto"/>
      </w:divBdr>
    </w:div>
    <w:div w:id="280577846">
      <w:bodyDiv w:val="1"/>
      <w:marLeft w:val="0"/>
      <w:marRight w:val="0"/>
      <w:marTop w:val="0"/>
      <w:marBottom w:val="0"/>
      <w:divBdr>
        <w:top w:val="none" w:sz="0" w:space="0" w:color="auto"/>
        <w:left w:val="none" w:sz="0" w:space="0" w:color="auto"/>
        <w:bottom w:val="none" w:sz="0" w:space="0" w:color="auto"/>
        <w:right w:val="none" w:sz="0" w:space="0" w:color="auto"/>
      </w:divBdr>
    </w:div>
    <w:div w:id="289365794">
      <w:bodyDiv w:val="1"/>
      <w:marLeft w:val="0"/>
      <w:marRight w:val="0"/>
      <w:marTop w:val="0"/>
      <w:marBottom w:val="0"/>
      <w:divBdr>
        <w:top w:val="none" w:sz="0" w:space="0" w:color="auto"/>
        <w:left w:val="none" w:sz="0" w:space="0" w:color="auto"/>
        <w:bottom w:val="none" w:sz="0" w:space="0" w:color="auto"/>
        <w:right w:val="none" w:sz="0" w:space="0" w:color="auto"/>
      </w:divBdr>
    </w:div>
    <w:div w:id="516775613">
      <w:bodyDiv w:val="1"/>
      <w:marLeft w:val="0"/>
      <w:marRight w:val="0"/>
      <w:marTop w:val="0"/>
      <w:marBottom w:val="0"/>
      <w:divBdr>
        <w:top w:val="none" w:sz="0" w:space="0" w:color="auto"/>
        <w:left w:val="none" w:sz="0" w:space="0" w:color="auto"/>
        <w:bottom w:val="none" w:sz="0" w:space="0" w:color="auto"/>
        <w:right w:val="none" w:sz="0" w:space="0" w:color="auto"/>
      </w:divBdr>
    </w:div>
    <w:div w:id="542980074">
      <w:bodyDiv w:val="1"/>
      <w:marLeft w:val="0"/>
      <w:marRight w:val="0"/>
      <w:marTop w:val="0"/>
      <w:marBottom w:val="0"/>
      <w:divBdr>
        <w:top w:val="none" w:sz="0" w:space="0" w:color="auto"/>
        <w:left w:val="none" w:sz="0" w:space="0" w:color="auto"/>
        <w:bottom w:val="none" w:sz="0" w:space="0" w:color="auto"/>
        <w:right w:val="none" w:sz="0" w:space="0" w:color="auto"/>
      </w:divBdr>
    </w:div>
    <w:div w:id="570778649">
      <w:bodyDiv w:val="1"/>
      <w:marLeft w:val="0"/>
      <w:marRight w:val="0"/>
      <w:marTop w:val="0"/>
      <w:marBottom w:val="0"/>
      <w:divBdr>
        <w:top w:val="none" w:sz="0" w:space="0" w:color="auto"/>
        <w:left w:val="none" w:sz="0" w:space="0" w:color="auto"/>
        <w:bottom w:val="none" w:sz="0" w:space="0" w:color="auto"/>
        <w:right w:val="none" w:sz="0" w:space="0" w:color="auto"/>
      </w:divBdr>
    </w:div>
    <w:div w:id="799156357">
      <w:bodyDiv w:val="1"/>
      <w:marLeft w:val="0"/>
      <w:marRight w:val="0"/>
      <w:marTop w:val="0"/>
      <w:marBottom w:val="0"/>
      <w:divBdr>
        <w:top w:val="none" w:sz="0" w:space="0" w:color="auto"/>
        <w:left w:val="none" w:sz="0" w:space="0" w:color="auto"/>
        <w:bottom w:val="none" w:sz="0" w:space="0" w:color="auto"/>
        <w:right w:val="none" w:sz="0" w:space="0" w:color="auto"/>
      </w:divBdr>
    </w:div>
    <w:div w:id="841432901">
      <w:bodyDiv w:val="1"/>
      <w:marLeft w:val="0"/>
      <w:marRight w:val="0"/>
      <w:marTop w:val="0"/>
      <w:marBottom w:val="0"/>
      <w:divBdr>
        <w:top w:val="none" w:sz="0" w:space="0" w:color="auto"/>
        <w:left w:val="none" w:sz="0" w:space="0" w:color="auto"/>
        <w:bottom w:val="none" w:sz="0" w:space="0" w:color="auto"/>
        <w:right w:val="none" w:sz="0" w:space="0" w:color="auto"/>
      </w:divBdr>
    </w:div>
    <w:div w:id="992375541">
      <w:bodyDiv w:val="1"/>
      <w:marLeft w:val="0"/>
      <w:marRight w:val="0"/>
      <w:marTop w:val="0"/>
      <w:marBottom w:val="0"/>
      <w:divBdr>
        <w:top w:val="none" w:sz="0" w:space="0" w:color="auto"/>
        <w:left w:val="none" w:sz="0" w:space="0" w:color="auto"/>
        <w:bottom w:val="none" w:sz="0" w:space="0" w:color="auto"/>
        <w:right w:val="none" w:sz="0" w:space="0" w:color="auto"/>
      </w:divBdr>
    </w:div>
    <w:div w:id="1257708549">
      <w:bodyDiv w:val="1"/>
      <w:marLeft w:val="0"/>
      <w:marRight w:val="0"/>
      <w:marTop w:val="0"/>
      <w:marBottom w:val="0"/>
      <w:divBdr>
        <w:top w:val="none" w:sz="0" w:space="0" w:color="auto"/>
        <w:left w:val="none" w:sz="0" w:space="0" w:color="auto"/>
        <w:bottom w:val="none" w:sz="0" w:space="0" w:color="auto"/>
        <w:right w:val="none" w:sz="0" w:space="0" w:color="auto"/>
      </w:divBdr>
    </w:div>
    <w:div w:id="1326586012">
      <w:bodyDiv w:val="1"/>
      <w:marLeft w:val="0"/>
      <w:marRight w:val="0"/>
      <w:marTop w:val="0"/>
      <w:marBottom w:val="0"/>
      <w:divBdr>
        <w:top w:val="none" w:sz="0" w:space="0" w:color="auto"/>
        <w:left w:val="none" w:sz="0" w:space="0" w:color="auto"/>
        <w:bottom w:val="none" w:sz="0" w:space="0" w:color="auto"/>
        <w:right w:val="none" w:sz="0" w:space="0" w:color="auto"/>
      </w:divBdr>
    </w:div>
    <w:div w:id="1530292596">
      <w:bodyDiv w:val="1"/>
      <w:marLeft w:val="0"/>
      <w:marRight w:val="0"/>
      <w:marTop w:val="0"/>
      <w:marBottom w:val="0"/>
      <w:divBdr>
        <w:top w:val="none" w:sz="0" w:space="0" w:color="auto"/>
        <w:left w:val="none" w:sz="0" w:space="0" w:color="auto"/>
        <w:bottom w:val="none" w:sz="0" w:space="0" w:color="auto"/>
        <w:right w:val="none" w:sz="0" w:space="0" w:color="auto"/>
      </w:divBdr>
    </w:div>
    <w:div w:id="1568416352">
      <w:bodyDiv w:val="1"/>
      <w:marLeft w:val="0"/>
      <w:marRight w:val="0"/>
      <w:marTop w:val="0"/>
      <w:marBottom w:val="0"/>
      <w:divBdr>
        <w:top w:val="none" w:sz="0" w:space="0" w:color="auto"/>
        <w:left w:val="none" w:sz="0" w:space="0" w:color="auto"/>
        <w:bottom w:val="none" w:sz="0" w:space="0" w:color="auto"/>
        <w:right w:val="none" w:sz="0" w:space="0" w:color="auto"/>
      </w:divBdr>
    </w:div>
    <w:div w:id="1709260748">
      <w:bodyDiv w:val="1"/>
      <w:marLeft w:val="0"/>
      <w:marRight w:val="0"/>
      <w:marTop w:val="0"/>
      <w:marBottom w:val="0"/>
      <w:divBdr>
        <w:top w:val="none" w:sz="0" w:space="0" w:color="auto"/>
        <w:left w:val="none" w:sz="0" w:space="0" w:color="auto"/>
        <w:bottom w:val="none" w:sz="0" w:space="0" w:color="auto"/>
        <w:right w:val="none" w:sz="0" w:space="0" w:color="auto"/>
      </w:divBdr>
    </w:div>
    <w:div w:id="1713652405">
      <w:bodyDiv w:val="1"/>
      <w:marLeft w:val="0"/>
      <w:marRight w:val="0"/>
      <w:marTop w:val="0"/>
      <w:marBottom w:val="0"/>
      <w:divBdr>
        <w:top w:val="none" w:sz="0" w:space="0" w:color="auto"/>
        <w:left w:val="none" w:sz="0" w:space="0" w:color="auto"/>
        <w:bottom w:val="none" w:sz="0" w:space="0" w:color="auto"/>
        <w:right w:val="none" w:sz="0" w:space="0" w:color="auto"/>
      </w:divBdr>
    </w:div>
    <w:div w:id="1732579341">
      <w:bodyDiv w:val="1"/>
      <w:marLeft w:val="0"/>
      <w:marRight w:val="0"/>
      <w:marTop w:val="0"/>
      <w:marBottom w:val="0"/>
      <w:divBdr>
        <w:top w:val="none" w:sz="0" w:space="0" w:color="auto"/>
        <w:left w:val="none" w:sz="0" w:space="0" w:color="auto"/>
        <w:bottom w:val="none" w:sz="0" w:space="0" w:color="auto"/>
        <w:right w:val="none" w:sz="0" w:space="0" w:color="auto"/>
      </w:divBdr>
    </w:div>
    <w:div w:id="1926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3A78F-D48A-4331-8FDE-4E08BE285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FCF23-3521-4A7B-8CC3-304BACC3F5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5203-19D4-4F83-A93D-83E3CE9DE99F}">
  <ds:schemaRefs>
    <ds:schemaRef ds:uri="http://schemas.microsoft.com/sharepoint/v3/contenttype/forms"/>
  </ds:schemaRefs>
</ds:datastoreItem>
</file>

<file path=customXml/itemProps4.xml><?xml version="1.0" encoding="utf-8"?>
<ds:datastoreItem xmlns:ds="http://schemas.openxmlformats.org/officeDocument/2006/customXml" ds:itemID="{2285DEE9-FFB5-4999-AB78-F0F83083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1784</Words>
  <Characters>10175</Characters>
  <Application>Microsoft Office Word</Application>
  <DocSecurity>0</DocSecurity>
  <Lines>84</Lines>
  <Paragraphs>23</Paragraphs>
  <ScaleCrop>false</ScaleCrop>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Nerenberg, Laura (ACF)</dc:creator>
  <cp:keywords/>
  <cp:lastModifiedBy>OPRE</cp:lastModifiedBy>
  <cp:revision>3</cp:revision>
  <cp:lastPrinted>2019-07-15T20:17:00Z</cp:lastPrinted>
  <dcterms:created xsi:type="dcterms:W3CDTF">2021-10-26T13:36:00Z</dcterms:created>
  <dcterms:modified xsi:type="dcterms:W3CDTF">2021-11-16T15:17:00Z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y fmtid="{D5CDD505-2E9C-101B-9397-08002B2CF9AE}" pid="3" name="AuthorIds_UIVersion_512">
    <vt:lpwstr>366</vt:lpwstr>
  </property>
  <property fmtid="{D5CDD505-2E9C-101B-9397-08002B2CF9AE}" pid="4" name="AuthorIds_UIVersion_2560">
    <vt:lpwstr>366</vt:lpwstr>
  </property>
</Properties>
</file>