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0C9B" w:rsidP="00217890" w:rsidRDefault="00F95D35" w14:paraId="671A23F6" w14:textId="3328C101">
      <w:pPr>
        <w:rPr>
          <w:rFonts w:ascii="Calibri" w:hAnsi="Calibri"/>
          <w:color w:val="00549E" w:themeColor="text2"/>
          <w:sz w:val="32"/>
          <w:szCs w:val="28"/>
        </w:rPr>
      </w:pPr>
      <w:bookmarkStart w:name="_Toc70317622" w:id="0"/>
      <w:r w:rsidRPr="00217890">
        <w:rPr>
          <w:noProof/>
        </w:rPr>
        <mc:AlternateContent>
          <mc:Choice Requires="wps">
            <w:drawing>
              <wp:anchor distT="45720" distB="45720" distL="114300" distR="114300" simplePos="0" relativeHeight="251659264" behindDoc="0" locked="0" layoutInCell="1" allowOverlap="1" wp14:editId="40087897" wp14:anchorId="575A003B">
                <wp:simplePos x="0" y="0"/>
                <wp:positionH relativeFrom="margin">
                  <wp:posOffset>-95250</wp:posOffset>
                </wp:positionH>
                <wp:positionV relativeFrom="margin">
                  <wp:posOffset>449581</wp:posOffset>
                </wp:positionV>
                <wp:extent cx="6322695" cy="7296150"/>
                <wp:effectExtent l="0" t="0" r="1905" b="0"/>
                <wp:wrapNone/>
                <wp:docPr id="3" name="Text Box 2"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7296150"/>
                        </a:xfrm>
                        <a:prstGeom prst="rect">
                          <a:avLst/>
                        </a:prstGeom>
                        <a:solidFill>
                          <a:srgbClr val="FFFFFF"/>
                        </a:solidFill>
                        <a:ln w="9525">
                          <a:noFill/>
                          <a:miter lim="800000"/>
                          <a:headEnd/>
                          <a:tailEnd/>
                        </a:ln>
                      </wps:spPr>
                      <wps:txbx>
                        <w:txbxContent>
                          <w:p w:rsidRPr="00D443CC" w:rsidR="00F95D35" w:rsidP="00D443CC" w:rsidRDefault="00F95D35" w14:paraId="177866B0" w14:textId="1A2D5EBC">
                            <w:pPr>
                              <w:pStyle w:val="HSAGTitlePage2"/>
                            </w:pPr>
                            <w:r w:rsidRPr="00D443CC">
                              <w:t>Administration for Community Living</w:t>
                            </w:r>
                          </w:p>
                          <w:p w:rsidR="00F95D35" w:rsidP="00D443CC" w:rsidRDefault="00F95D35" w14:paraId="59981AD4" w14:textId="44283B68">
                            <w:pPr>
                              <w:pStyle w:val="HSAGTitlePage2"/>
                            </w:pPr>
                            <w:r>
                              <w:t>Fidelity Evaluation of ACL’s Evidence-Based</w:t>
                            </w:r>
                            <w:r w:rsidR="005D6368">
                              <w:t xml:space="preserve"> P</w:t>
                            </w:r>
                            <w:r>
                              <w:t>rograms</w:t>
                            </w:r>
                          </w:p>
                          <w:p w:rsidRPr="00D443CC" w:rsidR="00BE5387" w:rsidP="00D443CC" w:rsidRDefault="00BE5387" w14:paraId="4D3614AA" w14:textId="0C169630">
                            <w:pPr>
                              <w:pStyle w:val="HSAGTitlePage1"/>
                            </w:pPr>
                            <w:r w:rsidRPr="00D443CC">
                              <w:t>OMB Supporting Statement – Part A</w:t>
                            </w:r>
                          </w:p>
                          <w:p w:rsidRPr="00D443CC" w:rsidR="00BE5387" w:rsidP="00D443CC" w:rsidRDefault="00F72074" w14:paraId="77ABD9F2" w14:textId="4C8645AD">
                            <w:pPr>
                              <w:pStyle w:val="HSAGTitlePage2"/>
                            </w:pPr>
                            <w:r>
                              <w:t>November</w:t>
                            </w:r>
                            <w:r w:rsidRPr="00D443CC" w:rsidR="00BE5387">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5A003B">
                <v:stroke joinstyle="miter"/>
                <v:path gradientshapeok="t" o:connecttype="rect"/>
              </v:shapetype>
              <v:shape id="Text Box 2" style="position:absolute;margin-left:-7.5pt;margin-top:35.4pt;width:497.85pt;height:57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lt="Report Tit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">
                <v:textbox>
                  <w:txbxContent>
                    <w:p w:rsidRPr="00D443CC" w:rsidR="00F95D35" w:rsidP="00D443CC" w:rsidRDefault="00F95D35" w14:paraId="177866B0" w14:textId="1A2D5EBC">
                      <w:pPr>
                        <w:pStyle w:val="HSAGTitlePage2"/>
                      </w:pPr>
                      <w:r w:rsidRPr="00D443CC">
                        <w:t>Administration for Community Living</w:t>
                      </w:r>
                    </w:p>
                    <w:p w:rsidR="00F95D35" w:rsidP="00D443CC" w:rsidRDefault="00F95D35" w14:paraId="59981AD4" w14:textId="44283B68">
                      <w:pPr>
                        <w:pStyle w:val="HSAGTitlePage2"/>
                      </w:pPr>
                      <w:r>
                        <w:t>Fidelity Evaluation of ACL’s Evidence-Based</w:t>
                      </w:r>
                      <w:r w:rsidR="005D6368">
                        <w:t xml:space="preserve"> P</w:t>
                      </w:r>
                      <w:r>
                        <w:t>rograms</w:t>
                      </w:r>
                    </w:p>
                    <w:p w:rsidRPr="00D443CC" w:rsidR="00BE5387" w:rsidP="00D443CC" w:rsidRDefault="00BE5387" w14:paraId="4D3614AA" w14:textId="0C169630">
                      <w:pPr>
                        <w:pStyle w:val="HSAGTitlePage1"/>
                      </w:pPr>
                      <w:r w:rsidRPr="00D443CC">
                        <w:t>OMB Supporting Statement – Part A</w:t>
                      </w:r>
                    </w:p>
                    <w:p w:rsidRPr="00D443CC" w:rsidR="00BE5387" w:rsidP="00D443CC" w:rsidRDefault="00F72074" w14:paraId="77ABD9F2" w14:textId="4C8645AD">
                      <w:pPr>
                        <w:pStyle w:val="HSAGTitlePage2"/>
                      </w:pPr>
                      <w:r>
                        <w:t>November</w:t>
                      </w:r>
                      <w:r w:rsidRPr="00D443CC" w:rsidR="00BE5387">
                        <w:t xml:space="preserve"> 2021</w:t>
                      </w:r>
                    </w:p>
                  </w:txbxContent>
                </v:textbox>
                <w10:wrap anchorx="margin" anchory="margin"/>
              </v:shape>
            </w:pict>
          </mc:Fallback>
        </mc:AlternateContent>
      </w:r>
    </w:p>
    <w:p w:rsidR="00A00C9B" w:rsidP="00A00C9B" w:rsidRDefault="00A00C9B" w14:paraId="030C3F93" w14:textId="77777777">
      <w:pPr>
        <w:rPr>
          <w:rFonts w:ascii="Calibri" w:hAnsi="Calibri"/>
          <w:color w:val="00549E" w:themeColor="text2"/>
          <w:sz w:val="32"/>
          <w:szCs w:val="28"/>
        </w:rPr>
        <w:sectPr w:rsidR="00A00C9B" w:rsidSect="003B3CFD">
          <w:headerReference w:type="default" r:id="rId8"/>
          <w:headerReference w:type="first" r:id="rId9"/>
          <w:pgSz w:w="12240" w:h="15840"/>
          <w:pgMar w:top="1872" w:right="1080" w:bottom="1440" w:left="1080" w:header="720" w:footer="720" w:gutter="0"/>
          <w:pgNumType w:start="1"/>
          <w:cols w:space="720"/>
          <w:titlePg/>
          <w:docGrid w:linePitch="360"/>
        </w:sectPr>
      </w:pPr>
    </w:p>
    <w:sdt>
      <w:sdtPr>
        <w:rPr>
          <w:rFonts w:ascii="Times New Roman" w:hAnsi="Times New Roman" w:eastAsiaTheme="minorHAnsi" w:cstheme="minorBidi"/>
          <w:b w:val="0"/>
          <w:bCs w:val="0"/>
          <w:color w:val="auto"/>
          <w:kern w:val="0"/>
          <w:sz w:val="24"/>
          <w:szCs w:val="22"/>
        </w:rPr>
        <w:id w:val="349769113"/>
        <w:docPartObj>
          <w:docPartGallery w:val="Table of Contents"/>
          <w:docPartUnique/>
        </w:docPartObj>
      </w:sdtPr>
      <w:sdtEndPr>
        <w:rPr>
          <w:noProof/>
        </w:rPr>
      </w:sdtEndPr>
      <w:sdtContent>
        <w:p w:rsidRPr="0026250D" w:rsidR="0026250D" w:rsidP="0026250D" w:rsidRDefault="0026250D" w14:paraId="01DECBE6" w14:textId="6FB8616C">
          <w:pPr>
            <w:pStyle w:val="TOCHeading"/>
          </w:pPr>
          <w:r w:rsidRPr="0026250D">
            <w:t>Table of Contents</w:t>
          </w:r>
        </w:p>
        <w:p w:rsidR="00FA005B" w:rsidRDefault="0026250D" w14:paraId="7C2DCD0B" w14:textId="38F5CE01">
          <w:pPr>
            <w:pStyle w:val="TOC2"/>
            <w:rPr>
              <w:rFonts w:asciiTheme="minorHAnsi" w:hAnsiTheme="minorHAnsi" w:eastAsiaTheme="minorEastAsia"/>
              <w:sz w:val="22"/>
            </w:rPr>
          </w:pPr>
          <w:r>
            <w:rPr>
              <w:b/>
            </w:rPr>
            <w:fldChar w:fldCharType="begin"/>
          </w:r>
          <w:r>
            <w:rPr>
              <w:b/>
            </w:rPr>
            <w:instrText xml:space="preserve"> TOC \h \z \t "Heading 2,2,Heading 3,3" </w:instrText>
          </w:r>
          <w:r>
            <w:rPr>
              <w:b/>
            </w:rPr>
            <w:fldChar w:fldCharType="separate"/>
          </w:r>
          <w:hyperlink w:history="1" w:anchor="_Toc72140627">
            <w:r w:rsidRPr="004B0DC8" w:rsidR="00FA005B">
              <w:rPr>
                <w:rStyle w:val="Hyperlink"/>
              </w:rPr>
              <w:t>A. Justification</w:t>
            </w:r>
            <w:r w:rsidR="00FA005B">
              <w:rPr>
                <w:webHidden/>
              </w:rPr>
              <w:tab/>
            </w:r>
            <w:r w:rsidR="00FA005B">
              <w:rPr>
                <w:webHidden/>
              </w:rPr>
              <w:fldChar w:fldCharType="begin"/>
            </w:r>
            <w:r w:rsidR="00FA005B">
              <w:rPr>
                <w:webHidden/>
              </w:rPr>
              <w:instrText xml:space="preserve"> PAGEREF _Toc72140627 \h </w:instrText>
            </w:r>
            <w:r w:rsidR="00FA005B">
              <w:rPr>
                <w:webHidden/>
              </w:rPr>
            </w:r>
            <w:r w:rsidR="00FA005B">
              <w:rPr>
                <w:webHidden/>
              </w:rPr>
              <w:fldChar w:fldCharType="separate"/>
            </w:r>
            <w:r w:rsidR="00045245">
              <w:rPr>
                <w:webHidden/>
              </w:rPr>
              <w:t>1</w:t>
            </w:r>
            <w:r w:rsidR="00FA005B">
              <w:rPr>
                <w:webHidden/>
              </w:rPr>
              <w:fldChar w:fldCharType="end"/>
            </w:r>
          </w:hyperlink>
        </w:p>
        <w:p w:rsidR="00FA005B" w:rsidRDefault="005925D0" w14:paraId="042007FA" w14:textId="4415D33C">
          <w:pPr>
            <w:pStyle w:val="TOC3"/>
            <w:rPr>
              <w:rFonts w:asciiTheme="minorHAnsi" w:hAnsiTheme="minorHAnsi" w:eastAsiaTheme="minorEastAsia"/>
              <w:sz w:val="22"/>
            </w:rPr>
          </w:pPr>
          <w:hyperlink w:history="1" w:anchor="_Toc72140628">
            <w:r w:rsidRPr="004B0DC8" w:rsidR="00FA005B">
              <w:rPr>
                <w:rStyle w:val="Hyperlink"/>
              </w:rPr>
              <w:t>A.1. Circumstances that Make the Collection of Information Necessary</w:t>
            </w:r>
            <w:r w:rsidR="00FA005B">
              <w:rPr>
                <w:webHidden/>
              </w:rPr>
              <w:tab/>
            </w:r>
            <w:r w:rsidR="00FA005B">
              <w:rPr>
                <w:webHidden/>
              </w:rPr>
              <w:fldChar w:fldCharType="begin"/>
            </w:r>
            <w:r w:rsidR="00FA005B">
              <w:rPr>
                <w:webHidden/>
              </w:rPr>
              <w:instrText xml:space="preserve"> PAGEREF _Toc72140628 \h </w:instrText>
            </w:r>
            <w:r w:rsidR="00FA005B">
              <w:rPr>
                <w:webHidden/>
              </w:rPr>
            </w:r>
            <w:r w:rsidR="00FA005B">
              <w:rPr>
                <w:webHidden/>
              </w:rPr>
              <w:fldChar w:fldCharType="separate"/>
            </w:r>
            <w:r w:rsidR="00045245">
              <w:rPr>
                <w:webHidden/>
              </w:rPr>
              <w:t>1</w:t>
            </w:r>
            <w:r w:rsidR="00FA005B">
              <w:rPr>
                <w:webHidden/>
              </w:rPr>
              <w:fldChar w:fldCharType="end"/>
            </w:r>
          </w:hyperlink>
        </w:p>
        <w:p w:rsidR="00FA005B" w:rsidRDefault="005925D0" w14:paraId="5BDEA15D" w14:textId="2C728136">
          <w:pPr>
            <w:pStyle w:val="TOC3"/>
            <w:rPr>
              <w:rFonts w:asciiTheme="minorHAnsi" w:hAnsiTheme="minorHAnsi" w:eastAsiaTheme="minorEastAsia"/>
              <w:sz w:val="22"/>
            </w:rPr>
          </w:pPr>
          <w:hyperlink w:history="1" w:anchor="_Toc72140629">
            <w:r w:rsidRPr="004B0DC8" w:rsidR="00FA005B">
              <w:rPr>
                <w:rStyle w:val="Hyperlink"/>
              </w:rPr>
              <w:t>A.2. Purpose and Use of Information Collection</w:t>
            </w:r>
            <w:r w:rsidR="00FA005B">
              <w:rPr>
                <w:webHidden/>
              </w:rPr>
              <w:tab/>
            </w:r>
            <w:r w:rsidR="00FA005B">
              <w:rPr>
                <w:webHidden/>
              </w:rPr>
              <w:fldChar w:fldCharType="begin"/>
            </w:r>
            <w:r w:rsidR="00FA005B">
              <w:rPr>
                <w:webHidden/>
              </w:rPr>
              <w:instrText xml:space="preserve"> PAGEREF _Toc72140629 \h </w:instrText>
            </w:r>
            <w:r w:rsidR="00FA005B">
              <w:rPr>
                <w:webHidden/>
              </w:rPr>
            </w:r>
            <w:r w:rsidR="00FA005B">
              <w:rPr>
                <w:webHidden/>
              </w:rPr>
              <w:fldChar w:fldCharType="separate"/>
            </w:r>
            <w:r w:rsidR="00045245">
              <w:rPr>
                <w:webHidden/>
              </w:rPr>
              <w:t>2</w:t>
            </w:r>
            <w:r w:rsidR="00FA005B">
              <w:rPr>
                <w:webHidden/>
              </w:rPr>
              <w:fldChar w:fldCharType="end"/>
            </w:r>
          </w:hyperlink>
        </w:p>
        <w:p w:rsidR="00FA005B" w:rsidRDefault="005925D0" w14:paraId="06E158B0" w14:textId="38D87061">
          <w:pPr>
            <w:pStyle w:val="TOC3"/>
            <w:rPr>
              <w:rFonts w:asciiTheme="minorHAnsi" w:hAnsiTheme="minorHAnsi" w:eastAsiaTheme="minorEastAsia"/>
              <w:sz w:val="22"/>
            </w:rPr>
          </w:pPr>
          <w:hyperlink w:history="1" w:anchor="_Toc72140630">
            <w:r w:rsidRPr="004B0DC8" w:rsidR="00FA005B">
              <w:rPr>
                <w:rStyle w:val="Hyperlink"/>
              </w:rPr>
              <w:t>A.3. Use of Improved Information Technology and Reduction Burden</w:t>
            </w:r>
            <w:r w:rsidR="00FA005B">
              <w:rPr>
                <w:webHidden/>
              </w:rPr>
              <w:tab/>
            </w:r>
            <w:r w:rsidR="00FA005B">
              <w:rPr>
                <w:webHidden/>
              </w:rPr>
              <w:fldChar w:fldCharType="begin"/>
            </w:r>
            <w:r w:rsidR="00FA005B">
              <w:rPr>
                <w:webHidden/>
              </w:rPr>
              <w:instrText xml:space="preserve"> PAGEREF _Toc72140630 \h </w:instrText>
            </w:r>
            <w:r w:rsidR="00FA005B">
              <w:rPr>
                <w:webHidden/>
              </w:rPr>
            </w:r>
            <w:r w:rsidR="00FA005B">
              <w:rPr>
                <w:webHidden/>
              </w:rPr>
              <w:fldChar w:fldCharType="separate"/>
            </w:r>
            <w:r w:rsidR="00045245">
              <w:rPr>
                <w:webHidden/>
              </w:rPr>
              <w:t>3</w:t>
            </w:r>
            <w:r w:rsidR="00FA005B">
              <w:rPr>
                <w:webHidden/>
              </w:rPr>
              <w:fldChar w:fldCharType="end"/>
            </w:r>
          </w:hyperlink>
        </w:p>
        <w:p w:rsidR="00FA005B" w:rsidRDefault="005925D0" w14:paraId="0E13FAA2" w14:textId="7FD0A965">
          <w:pPr>
            <w:pStyle w:val="TOC3"/>
            <w:rPr>
              <w:rFonts w:asciiTheme="minorHAnsi" w:hAnsiTheme="minorHAnsi" w:eastAsiaTheme="minorEastAsia"/>
              <w:sz w:val="22"/>
            </w:rPr>
          </w:pPr>
          <w:hyperlink w:history="1" w:anchor="_Toc72140631">
            <w:r w:rsidRPr="004B0DC8" w:rsidR="00FA005B">
              <w:rPr>
                <w:rStyle w:val="Hyperlink"/>
              </w:rPr>
              <w:t>A.4. Efforts to Identify Duplication</w:t>
            </w:r>
            <w:r w:rsidR="00FA005B">
              <w:rPr>
                <w:webHidden/>
              </w:rPr>
              <w:tab/>
            </w:r>
            <w:r w:rsidR="00FA005B">
              <w:rPr>
                <w:webHidden/>
              </w:rPr>
              <w:fldChar w:fldCharType="begin"/>
            </w:r>
            <w:r w:rsidR="00FA005B">
              <w:rPr>
                <w:webHidden/>
              </w:rPr>
              <w:instrText xml:space="preserve"> PAGEREF _Toc72140631 \h </w:instrText>
            </w:r>
            <w:r w:rsidR="00FA005B">
              <w:rPr>
                <w:webHidden/>
              </w:rPr>
            </w:r>
            <w:r w:rsidR="00FA005B">
              <w:rPr>
                <w:webHidden/>
              </w:rPr>
              <w:fldChar w:fldCharType="separate"/>
            </w:r>
            <w:r w:rsidR="00045245">
              <w:rPr>
                <w:webHidden/>
              </w:rPr>
              <w:t>3</w:t>
            </w:r>
            <w:r w:rsidR="00FA005B">
              <w:rPr>
                <w:webHidden/>
              </w:rPr>
              <w:fldChar w:fldCharType="end"/>
            </w:r>
          </w:hyperlink>
        </w:p>
        <w:p w:rsidR="00FA005B" w:rsidRDefault="005925D0" w14:paraId="2F82D026" w14:textId="1D1EEFC5">
          <w:pPr>
            <w:pStyle w:val="TOC3"/>
            <w:rPr>
              <w:rFonts w:asciiTheme="minorHAnsi" w:hAnsiTheme="minorHAnsi" w:eastAsiaTheme="minorEastAsia"/>
              <w:sz w:val="22"/>
            </w:rPr>
          </w:pPr>
          <w:hyperlink w:history="1" w:anchor="_Toc72140632">
            <w:r w:rsidRPr="004B0DC8" w:rsidR="00FA005B">
              <w:rPr>
                <w:rStyle w:val="Hyperlink"/>
              </w:rPr>
              <w:t>A.5. Impact on Small Businesses or Other Small Entities</w:t>
            </w:r>
            <w:r w:rsidR="00FA005B">
              <w:rPr>
                <w:webHidden/>
              </w:rPr>
              <w:tab/>
            </w:r>
            <w:r w:rsidR="00FA005B">
              <w:rPr>
                <w:webHidden/>
              </w:rPr>
              <w:fldChar w:fldCharType="begin"/>
            </w:r>
            <w:r w:rsidR="00FA005B">
              <w:rPr>
                <w:webHidden/>
              </w:rPr>
              <w:instrText xml:space="preserve"> PAGEREF _Toc72140632 \h </w:instrText>
            </w:r>
            <w:r w:rsidR="00FA005B">
              <w:rPr>
                <w:webHidden/>
              </w:rPr>
            </w:r>
            <w:r w:rsidR="00FA005B">
              <w:rPr>
                <w:webHidden/>
              </w:rPr>
              <w:fldChar w:fldCharType="separate"/>
            </w:r>
            <w:r w:rsidR="00045245">
              <w:rPr>
                <w:webHidden/>
              </w:rPr>
              <w:t>3</w:t>
            </w:r>
            <w:r w:rsidR="00FA005B">
              <w:rPr>
                <w:webHidden/>
              </w:rPr>
              <w:fldChar w:fldCharType="end"/>
            </w:r>
          </w:hyperlink>
        </w:p>
        <w:p w:rsidR="00FA005B" w:rsidRDefault="005925D0" w14:paraId="48781D97" w14:textId="44D3F0EF">
          <w:pPr>
            <w:pStyle w:val="TOC3"/>
            <w:rPr>
              <w:rFonts w:asciiTheme="minorHAnsi" w:hAnsiTheme="minorHAnsi" w:eastAsiaTheme="minorEastAsia"/>
              <w:sz w:val="22"/>
            </w:rPr>
          </w:pPr>
          <w:hyperlink w:history="1" w:anchor="_Toc72140633">
            <w:r w:rsidRPr="004B0DC8" w:rsidR="00FA005B">
              <w:rPr>
                <w:rStyle w:val="Hyperlink"/>
              </w:rPr>
              <w:t>A.6. Consequences if Information Not Collected or Collected Less Frequently</w:t>
            </w:r>
            <w:r w:rsidR="00FA005B">
              <w:rPr>
                <w:webHidden/>
              </w:rPr>
              <w:tab/>
            </w:r>
            <w:r w:rsidR="00FA005B">
              <w:rPr>
                <w:webHidden/>
              </w:rPr>
              <w:fldChar w:fldCharType="begin"/>
            </w:r>
            <w:r w:rsidR="00FA005B">
              <w:rPr>
                <w:webHidden/>
              </w:rPr>
              <w:instrText xml:space="preserve"> PAGEREF _Toc72140633 \h </w:instrText>
            </w:r>
            <w:r w:rsidR="00FA005B">
              <w:rPr>
                <w:webHidden/>
              </w:rPr>
            </w:r>
            <w:r w:rsidR="00FA005B">
              <w:rPr>
                <w:webHidden/>
              </w:rPr>
              <w:fldChar w:fldCharType="separate"/>
            </w:r>
            <w:r w:rsidR="00045245">
              <w:rPr>
                <w:webHidden/>
              </w:rPr>
              <w:t>4</w:t>
            </w:r>
            <w:r w:rsidR="00FA005B">
              <w:rPr>
                <w:webHidden/>
              </w:rPr>
              <w:fldChar w:fldCharType="end"/>
            </w:r>
          </w:hyperlink>
        </w:p>
        <w:p w:rsidR="00FA005B" w:rsidRDefault="005925D0" w14:paraId="43141740" w14:textId="49CF6499">
          <w:pPr>
            <w:pStyle w:val="TOC3"/>
            <w:rPr>
              <w:rFonts w:asciiTheme="minorHAnsi" w:hAnsiTheme="minorHAnsi" w:eastAsiaTheme="minorEastAsia"/>
              <w:sz w:val="22"/>
            </w:rPr>
          </w:pPr>
          <w:hyperlink w:history="1" w:anchor="_Toc72140634">
            <w:r w:rsidRPr="004B0DC8" w:rsidR="00FA005B">
              <w:rPr>
                <w:rStyle w:val="Hyperlink"/>
              </w:rPr>
              <w:t>A.7. Consistency with Guidelines of 5 CFR 1320(d)</w:t>
            </w:r>
            <w:r w:rsidR="00FA005B">
              <w:rPr>
                <w:webHidden/>
              </w:rPr>
              <w:tab/>
            </w:r>
            <w:r w:rsidR="00FA005B">
              <w:rPr>
                <w:webHidden/>
              </w:rPr>
              <w:fldChar w:fldCharType="begin"/>
            </w:r>
            <w:r w:rsidR="00FA005B">
              <w:rPr>
                <w:webHidden/>
              </w:rPr>
              <w:instrText xml:space="preserve"> PAGEREF _Toc72140634 \h </w:instrText>
            </w:r>
            <w:r w:rsidR="00FA005B">
              <w:rPr>
                <w:webHidden/>
              </w:rPr>
            </w:r>
            <w:r w:rsidR="00FA005B">
              <w:rPr>
                <w:webHidden/>
              </w:rPr>
              <w:fldChar w:fldCharType="separate"/>
            </w:r>
            <w:r w:rsidR="00045245">
              <w:rPr>
                <w:webHidden/>
              </w:rPr>
              <w:t>4</w:t>
            </w:r>
            <w:r w:rsidR="00FA005B">
              <w:rPr>
                <w:webHidden/>
              </w:rPr>
              <w:fldChar w:fldCharType="end"/>
            </w:r>
          </w:hyperlink>
        </w:p>
        <w:p w:rsidR="00FA005B" w:rsidRDefault="005925D0" w14:paraId="74CCD394" w14:textId="756677D9">
          <w:pPr>
            <w:pStyle w:val="TOC3"/>
            <w:rPr>
              <w:rFonts w:asciiTheme="minorHAnsi" w:hAnsiTheme="minorHAnsi" w:eastAsiaTheme="minorEastAsia"/>
              <w:sz w:val="22"/>
            </w:rPr>
          </w:pPr>
          <w:hyperlink w:history="1" w:anchor="_Toc72140635">
            <w:r w:rsidRPr="004B0DC8" w:rsidR="00FA005B">
              <w:rPr>
                <w:rStyle w:val="Hyperlink"/>
              </w:rPr>
              <w:t>A.8. Comments in Response to the Federal Register Notice and Efforts to Consult Outside the Agency</w:t>
            </w:r>
            <w:r w:rsidR="00FA005B">
              <w:rPr>
                <w:webHidden/>
              </w:rPr>
              <w:tab/>
            </w:r>
            <w:r w:rsidR="00FA005B">
              <w:rPr>
                <w:webHidden/>
              </w:rPr>
              <w:fldChar w:fldCharType="begin"/>
            </w:r>
            <w:r w:rsidR="00FA005B">
              <w:rPr>
                <w:webHidden/>
              </w:rPr>
              <w:instrText xml:space="preserve"> PAGEREF _Toc72140635 \h </w:instrText>
            </w:r>
            <w:r w:rsidR="00FA005B">
              <w:rPr>
                <w:webHidden/>
              </w:rPr>
            </w:r>
            <w:r w:rsidR="00FA005B">
              <w:rPr>
                <w:webHidden/>
              </w:rPr>
              <w:fldChar w:fldCharType="separate"/>
            </w:r>
            <w:r w:rsidR="00045245">
              <w:rPr>
                <w:webHidden/>
              </w:rPr>
              <w:t>4</w:t>
            </w:r>
            <w:r w:rsidR="00FA005B">
              <w:rPr>
                <w:webHidden/>
              </w:rPr>
              <w:fldChar w:fldCharType="end"/>
            </w:r>
          </w:hyperlink>
        </w:p>
        <w:p w:rsidR="00FA005B" w:rsidRDefault="005925D0" w14:paraId="70DDD318" w14:textId="58AF6A7F">
          <w:pPr>
            <w:pStyle w:val="TOC3"/>
            <w:rPr>
              <w:rFonts w:asciiTheme="minorHAnsi" w:hAnsiTheme="minorHAnsi" w:eastAsiaTheme="minorEastAsia"/>
              <w:sz w:val="22"/>
            </w:rPr>
          </w:pPr>
          <w:hyperlink w:history="1" w:anchor="_Toc72140636">
            <w:r w:rsidRPr="004B0DC8" w:rsidR="00FA005B">
              <w:rPr>
                <w:rStyle w:val="Hyperlink"/>
              </w:rPr>
              <w:t>A.9. Explanation of any Payment or Gift to Respondents</w:t>
            </w:r>
            <w:r w:rsidR="00FA005B">
              <w:rPr>
                <w:webHidden/>
              </w:rPr>
              <w:tab/>
            </w:r>
            <w:r w:rsidR="00FA005B">
              <w:rPr>
                <w:webHidden/>
              </w:rPr>
              <w:fldChar w:fldCharType="begin"/>
            </w:r>
            <w:r w:rsidR="00FA005B">
              <w:rPr>
                <w:webHidden/>
              </w:rPr>
              <w:instrText xml:space="preserve"> PAGEREF _Toc72140636 \h </w:instrText>
            </w:r>
            <w:r w:rsidR="00FA005B">
              <w:rPr>
                <w:webHidden/>
              </w:rPr>
            </w:r>
            <w:r w:rsidR="00FA005B">
              <w:rPr>
                <w:webHidden/>
              </w:rPr>
              <w:fldChar w:fldCharType="separate"/>
            </w:r>
            <w:r w:rsidR="00045245">
              <w:rPr>
                <w:webHidden/>
              </w:rPr>
              <w:t>4</w:t>
            </w:r>
            <w:r w:rsidR="00FA005B">
              <w:rPr>
                <w:webHidden/>
              </w:rPr>
              <w:fldChar w:fldCharType="end"/>
            </w:r>
          </w:hyperlink>
        </w:p>
        <w:p w:rsidR="00FA005B" w:rsidRDefault="005925D0" w14:paraId="08F82327" w14:textId="6E6D8E59">
          <w:pPr>
            <w:pStyle w:val="TOC3"/>
            <w:rPr>
              <w:rFonts w:asciiTheme="minorHAnsi" w:hAnsiTheme="minorHAnsi" w:eastAsiaTheme="minorEastAsia"/>
              <w:sz w:val="22"/>
            </w:rPr>
          </w:pPr>
          <w:hyperlink w:history="1" w:anchor="_Toc72140637">
            <w:r w:rsidRPr="004B0DC8" w:rsidR="00FA005B">
              <w:rPr>
                <w:rStyle w:val="Hyperlink"/>
              </w:rPr>
              <w:t>A.10. Assurance of Confidentiality Provided to Respondents</w:t>
            </w:r>
            <w:r w:rsidR="00FA005B">
              <w:rPr>
                <w:webHidden/>
              </w:rPr>
              <w:tab/>
            </w:r>
            <w:r w:rsidR="00FA005B">
              <w:rPr>
                <w:webHidden/>
              </w:rPr>
              <w:fldChar w:fldCharType="begin"/>
            </w:r>
            <w:r w:rsidR="00FA005B">
              <w:rPr>
                <w:webHidden/>
              </w:rPr>
              <w:instrText xml:space="preserve"> PAGEREF _Toc72140637 \h </w:instrText>
            </w:r>
            <w:r w:rsidR="00FA005B">
              <w:rPr>
                <w:webHidden/>
              </w:rPr>
            </w:r>
            <w:r w:rsidR="00FA005B">
              <w:rPr>
                <w:webHidden/>
              </w:rPr>
              <w:fldChar w:fldCharType="separate"/>
            </w:r>
            <w:r w:rsidR="00045245">
              <w:rPr>
                <w:webHidden/>
              </w:rPr>
              <w:t>4</w:t>
            </w:r>
            <w:r w:rsidR="00FA005B">
              <w:rPr>
                <w:webHidden/>
              </w:rPr>
              <w:fldChar w:fldCharType="end"/>
            </w:r>
          </w:hyperlink>
        </w:p>
        <w:p w:rsidR="00FA005B" w:rsidRDefault="005925D0" w14:paraId="32694425" w14:textId="5F888C9C">
          <w:pPr>
            <w:pStyle w:val="TOC3"/>
            <w:rPr>
              <w:rFonts w:asciiTheme="minorHAnsi" w:hAnsiTheme="minorHAnsi" w:eastAsiaTheme="minorEastAsia"/>
              <w:sz w:val="22"/>
            </w:rPr>
          </w:pPr>
          <w:hyperlink w:history="1" w:anchor="_Toc72140638">
            <w:r w:rsidRPr="004B0DC8" w:rsidR="00FA005B">
              <w:rPr>
                <w:rStyle w:val="Hyperlink"/>
              </w:rPr>
              <w:t>A.11. Justification for Sensitive Questions</w:t>
            </w:r>
            <w:r w:rsidR="00FA005B">
              <w:rPr>
                <w:webHidden/>
              </w:rPr>
              <w:tab/>
            </w:r>
            <w:r w:rsidR="00FA005B">
              <w:rPr>
                <w:webHidden/>
              </w:rPr>
              <w:fldChar w:fldCharType="begin"/>
            </w:r>
            <w:r w:rsidR="00FA005B">
              <w:rPr>
                <w:webHidden/>
              </w:rPr>
              <w:instrText xml:space="preserve"> PAGEREF _Toc72140638 \h </w:instrText>
            </w:r>
            <w:r w:rsidR="00FA005B">
              <w:rPr>
                <w:webHidden/>
              </w:rPr>
            </w:r>
            <w:r w:rsidR="00FA005B">
              <w:rPr>
                <w:webHidden/>
              </w:rPr>
              <w:fldChar w:fldCharType="separate"/>
            </w:r>
            <w:r w:rsidR="00045245">
              <w:rPr>
                <w:webHidden/>
              </w:rPr>
              <w:t>5</w:t>
            </w:r>
            <w:r w:rsidR="00FA005B">
              <w:rPr>
                <w:webHidden/>
              </w:rPr>
              <w:fldChar w:fldCharType="end"/>
            </w:r>
          </w:hyperlink>
        </w:p>
        <w:p w:rsidR="00FA005B" w:rsidRDefault="005925D0" w14:paraId="0B680308" w14:textId="1D15B5A9">
          <w:pPr>
            <w:pStyle w:val="TOC3"/>
            <w:rPr>
              <w:rFonts w:asciiTheme="minorHAnsi" w:hAnsiTheme="minorHAnsi" w:eastAsiaTheme="minorEastAsia"/>
              <w:sz w:val="22"/>
            </w:rPr>
          </w:pPr>
          <w:hyperlink w:history="1" w:anchor="_Toc72140639">
            <w:r w:rsidRPr="004B0DC8" w:rsidR="00FA005B">
              <w:rPr>
                <w:rStyle w:val="Hyperlink"/>
              </w:rPr>
              <w:t>A.12. Estimates of Annualized Hour Burden and Costs</w:t>
            </w:r>
            <w:r w:rsidR="00FA005B">
              <w:rPr>
                <w:webHidden/>
              </w:rPr>
              <w:tab/>
            </w:r>
            <w:r w:rsidR="00FA005B">
              <w:rPr>
                <w:webHidden/>
              </w:rPr>
              <w:fldChar w:fldCharType="begin"/>
            </w:r>
            <w:r w:rsidR="00FA005B">
              <w:rPr>
                <w:webHidden/>
              </w:rPr>
              <w:instrText xml:space="preserve"> PAGEREF _Toc72140639 \h </w:instrText>
            </w:r>
            <w:r w:rsidR="00FA005B">
              <w:rPr>
                <w:webHidden/>
              </w:rPr>
            </w:r>
            <w:r w:rsidR="00FA005B">
              <w:rPr>
                <w:webHidden/>
              </w:rPr>
              <w:fldChar w:fldCharType="separate"/>
            </w:r>
            <w:r w:rsidR="00045245">
              <w:rPr>
                <w:webHidden/>
              </w:rPr>
              <w:t>5</w:t>
            </w:r>
            <w:r w:rsidR="00FA005B">
              <w:rPr>
                <w:webHidden/>
              </w:rPr>
              <w:fldChar w:fldCharType="end"/>
            </w:r>
          </w:hyperlink>
        </w:p>
        <w:p w:rsidR="00FA005B" w:rsidRDefault="005925D0" w14:paraId="3048F73D" w14:textId="083D5D45">
          <w:pPr>
            <w:pStyle w:val="TOC3"/>
            <w:rPr>
              <w:rFonts w:asciiTheme="minorHAnsi" w:hAnsiTheme="minorHAnsi" w:eastAsiaTheme="minorEastAsia"/>
              <w:sz w:val="22"/>
            </w:rPr>
          </w:pPr>
          <w:hyperlink w:history="1" w:anchor="_Toc72140640">
            <w:r w:rsidRPr="004B0DC8" w:rsidR="00FA005B">
              <w:rPr>
                <w:rStyle w:val="Hyperlink"/>
              </w:rPr>
              <w:t>A.13. Estimates of Other Total Annual Cost Burden to Respondents and Record Keepers</w:t>
            </w:r>
            <w:r w:rsidR="00FA005B">
              <w:rPr>
                <w:webHidden/>
              </w:rPr>
              <w:tab/>
            </w:r>
            <w:r w:rsidR="00FA005B">
              <w:rPr>
                <w:webHidden/>
              </w:rPr>
              <w:fldChar w:fldCharType="begin"/>
            </w:r>
            <w:r w:rsidR="00FA005B">
              <w:rPr>
                <w:webHidden/>
              </w:rPr>
              <w:instrText xml:space="preserve"> PAGEREF _Toc72140640 \h </w:instrText>
            </w:r>
            <w:r w:rsidR="00FA005B">
              <w:rPr>
                <w:webHidden/>
              </w:rPr>
            </w:r>
            <w:r w:rsidR="00FA005B">
              <w:rPr>
                <w:webHidden/>
              </w:rPr>
              <w:fldChar w:fldCharType="separate"/>
            </w:r>
            <w:r w:rsidR="00045245">
              <w:rPr>
                <w:webHidden/>
              </w:rPr>
              <w:t>6</w:t>
            </w:r>
            <w:r w:rsidR="00FA005B">
              <w:rPr>
                <w:webHidden/>
              </w:rPr>
              <w:fldChar w:fldCharType="end"/>
            </w:r>
          </w:hyperlink>
        </w:p>
        <w:p w:rsidR="00FA005B" w:rsidRDefault="005925D0" w14:paraId="7A41B4E0" w14:textId="05691D78">
          <w:pPr>
            <w:pStyle w:val="TOC3"/>
            <w:rPr>
              <w:rFonts w:asciiTheme="minorHAnsi" w:hAnsiTheme="minorHAnsi" w:eastAsiaTheme="minorEastAsia"/>
              <w:sz w:val="22"/>
            </w:rPr>
          </w:pPr>
          <w:hyperlink w:history="1" w:anchor="_Toc72140641">
            <w:r w:rsidRPr="004B0DC8" w:rsidR="00FA005B">
              <w:rPr>
                <w:rStyle w:val="Hyperlink"/>
              </w:rPr>
              <w:t>A.14. Estimates of Annualized Costs to the Federal Government</w:t>
            </w:r>
            <w:r w:rsidR="00FA005B">
              <w:rPr>
                <w:webHidden/>
              </w:rPr>
              <w:tab/>
            </w:r>
            <w:r w:rsidR="00FA005B">
              <w:rPr>
                <w:webHidden/>
              </w:rPr>
              <w:fldChar w:fldCharType="begin"/>
            </w:r>
            <w:r w:rsidR="00FA005B">
              <w:rPr>
                <w:webHidden/>
              </w:rPr>
              <w:instrText xml:space="preserve"> PAGEREF _Toc72140641 \h </w:instrText>
            </w:r>
            <w:r w:rsidR="00FA005B">
              <w:rPr>
                <w:webHidden/>
              </w:rPr>
            </w:r>
            <w:r w:rsidR="00FA005B">
              <w:rPr>
                <w:webHidden/>
              </w:rPr>
              <w:fldChar w:fldCharType="separate"/>
            </w:r>
            <w:r w:rsidR="00045245">
              <w:rPr>
                <w:webHidden/>
              </w:rPr>
              <w:t>7</w:t>
            </w:r>
            <w:r w:rsidR="00FA005B">
              <w:rPr>
                <w:webHidden/>
              </w:rPr>
              <w:fldChar w:fldCharType="end"/>
            </w:r>
          </w:hyperlink>
        </w:p>
        <w:p w:rsidR="00FA005B" w:rsidRDefault="005925D0" w14:paraId="45C4EDC9" w14:textId="7D627BC3">
          <w:pPr>
            <w:pStyle w:val="TOC3"/>
            <w:rPr>
              <w:rFonts w:asciiTheme="minorHAnsi" w:hAnsiTheme="minorHAnsi" w:eastAsiaTheme="minorEastAsia"/>
              <w:sz w:val="22"/>
            </w:rPr>
          </w:pPr>
          <w:hyperlink w:history="1" w:anchor="_Toc72140642">
            <w:r w:rsidRPr="004B0DC8" w:rsidR="00FA005B">
              <w:rPr>
                <w:rStyle w:val="Hyperlink"/>
              </w:rPr>
              <w:t>A.15. Explanation for Program Changes or Adjustments</w:t>
            </w:r>
            <w:r w:rsidR="00FA005B">
              <w:rPr>
                <w:webHidden/>
              </w:rPr>
              <w:tab/>
            </w:r>
            <w:r w:rsidR="00FA005B">
              <w:rPr>
                <w:webHidden/>
              </w:rPr>
              <w:fldChar w:fldCharType="begin"/>
            </w:r>
            <w:r w:rsidR="00FA005B">
              <w:rPr>
                <w:webHidden/>
              </w:rPr>
              <w:instrText xml:space="preserve"> PAGEREF _Toc72140642 \h </w:instrText>
            </w:r>
            <w:r w:rsidR="00FA005B">
              <w:rPr>
                <w:webHidden/>
              </w:rPr>
            </w:r>
            <w:r w:rsidR="00FA005B">
              <w:rPr>
                <w:webHidden/>
              </w:rPr>
              <w:fldChar w:fldCharType="separate"/>
            </w:r>
            <w:r w:rsidR="00045245">
              <w:rPr>
                <w:webHidden/>
              </w:rPr>
              <w:t>7</w:t>
            </w:r>
            <w:r w:rsidR="00FA005B">
              <w:rPr>
                <w:webHidden/>
              </w:rPr>
              <w:fldChar w:fldCharType="end"/>
            </w:r>
          </w:hyperlink>
        </w:p>
        <w:p w:rsidR="00FA005B" w:rsidRDefault="005925D0" w14:paraId="2EE30DF7" w14:textId="2B21F28E">
          <w:pPr>
            <w:pStyle w:val="TOC3"/>
            <w:rPr>
              <w:rFonts w:asciiTheme="minorHAnsi" w:hAnsiTheme="minorHAnsi" w:eastAsiaTheme="minorEastAsia"/>
              <w:sz w:val="22"/>
            </w:rPr>
          </w:pPr>
          <w:hyperlink w:history="1" w:anchor="_Toc72140643">
            <w:r w:rsidRPr="004B0DC8" w:rsidR="00FA005B">
              <w:rPr>
                <w:rStyle w:val="Hyperlink"/>
              </w:rPr>
              <w:t>A.16. Plans for Tabulation and Publication and Project Time Schedule</w:t>
            </w:r>
            <w:r w:rsidR="00FA005B">
              <w:rPr>
                <w:webHidden/>
              </w:rPr>
              <w:tab/>
            </w:r>
            <w:r w:rsidR="00FA005B">
              <w:rPr>
                <w:webHidden/>
              </w:rPr>
              <w:fldChar w:fldCharType="begin"/>
            </w:r>
            <w:r w:rsidR="00FA005B">
              <w:rPr>
                <w:webHidden/>
              </w:rPr>
              <w:instrText xml:space="preserve"> PAGEREF _Toc72140643 \h </w:instrText>
            </w:r>
            <w:r w:rsidR="00FA005B">
              <w:rPr>
                <w:webHidden/>
              </w:rPr>
            </w:r>
            <w:r w:rsidR="00FA005B">
              <w:rPr>
                <w:webHidden/>
              </w:rPr>
              <w:fldChar w:fldCharType="separate"/>
            </w:r>
            <w:r w:rsidR="00045245">
              <w:rPr>
                <w:webHidden/>
              </w:rPr>
              <w:t>7</w:t>
            </w:r>
            <w:r w:rsidR="00FA005B">
              <w:rPr>
                <w:webHidden/>
              </w:rPr>
              <w:fldChar w:fldCharType="end"/>
            </w:r>
          </w:hyperlink>
        </w:p>
        <w:p w:rsidR="00FA005B" w:rsidRDefault="005925D0" w14:paraId="579B7D51" w14:textId="7E33BA62">
          <w:pPr>
            <w:pStyle w:val="TOC3"/>
            <w:rPr>
              <w:rFonts w:asciiTheme="minorHAnsi" w:hAnsiTheme="minorHAnsi" w:eastAsiaTheme="minorEastAsia"/>
              <w:sz w:val="22"/>
            </w:rPr>
          </w:pPr>
          <w:hyperlink w:history="1" w:anchor="_Toc72140644">
            <w:r w:rsidRPr="004B0DC8" w:rsidR="00FA005B">
              <w:rPr>
                <w:rStyle w:val="Hyperlink"/>
              </w:rPr>
              <w:t>A.17. Exception for Display of Expiration Date</w:t>
            </w:r>
            <w:r w:rsidR="00FA005B">
              <w:rPr>
                <w:webHidden/>
              </w:rPr>
              <w:tab/>
            </w:r>
            <w:r w:rsidR="00FA005B">
              <w:rPr>
                <w:webHidden/>
              </w:rPr>
              <w:fldChar w:fldCharType="begin"/>
            </w:r>
            <w:r w:rsidR="00FA005B">
              <w:rPr>
                <w:webHidden/>
              </w:rPr>
              <w:instrText xml:space="preserve"> PAGEREF _Toc72140644 \h </w:instrText>
            </w:r>
            <w:r w:rsidR="00FA005B">
              <w:rPr>
                <w:webHidden/>
              </w:rPr>
            </w:r>
            <w:r w:rsidR="00FA005B">
              <w:rPr>
                <w:webHidden/>
              </w:rPr>
              <w:fldChar w:fldCharType="separate"/>
            </w:r>
            <w:r w:rsidR="00045245">
              <w:rPr>
                <w:webHidden/>
              </w:rPr>
              <w:t>8</w:t>
            </w:r>
            <w:r w:rsidR="00FA005B">
              <w:rPr>
                <w:webHidden/>
              </w:rPr>
              <w:fldChar w:fldCharType="end"/>
            </w:r>
          </w:hyperlink>
        </w:p>
        <w:p w:rsidR="00FA005B" w:rsidRDefault="005925D0" w14:paraId="03237C4C" w14:textId="1EBE5B2B">
          <w:pPr>
            <w:pStyle w:val="TOC3"/>
            <w:rPr>
              <w:rFonts w:asciiTheme="minorHAnsi" w:hAnsiTheme="minorHAnsi" w:eastAsiaTheme="minorEastAsia"/>
              <w:sz w:val="22"/>
            </w:rPr>
          </w:pPr>
          <w:hyperlink w:history="1" w:anchor="_Toc72140645">
            <w:r w:rsidRPr="004B0DC8" w:rsidR="00FA005B">
              <w:rPr>
                <w:rStyle w:val="Hyperlink"/>
              </w:rPr>
              <w:t>A.18. Certifications</w:t>
            </w:r>
            <w:r w:rsidR="00FA005B">
              <w:rPr>
                <w:webHidden/>
              </w:rPr>
              <w:tab/>
            </w:r>
            <w:r w:rsidR="00FA005B">
              <w:rPr>
                <w:webHidden/>
              </w:rPr>
              <w:fldChar w:fldCharType="begin"/>
            </w:r>
            <w:r w:rsidR="00FA005B">
              <w:rPr>
                <w:webHidden/>
              </w:rPr>
              <w:instrText xml:space="preserve"> PAGEREF _Toc72140645 \h </w:instrText>
            </w:r>
            <w:r w:rsidR="00FA005B">
              <w:rPr>
                <w:webHidden/>
              </w:rPr>
            </w:r>
            <w:r w:rsidR="00FA005B">
              <w:rPr>
                <w:webHidden/>
              </w:rPr>
              <w:fldChar w:fldCharType="separate"/>
            </w:r>
            <w:r w:rsidR="00045245">
              <w:rPr>
                <w:webHidden/>
              </w:rPr>
              <w:t>8</w:t>
            </w:r>
            <w:r w:rsidR="00FA005B">
              <w:rPr>
                <w:webHidden/>
              </w:rPr>
              <w:fldChar w:fldCharType="end"/>
            </w:r>
          </w:hyperlink>
        </w:p>
        <w:p w:rsidR="0026250D" w:rsidRDefault="0026250D" w14:paraId="5B40EC94" w14:textId="03642A5B">
          <w:r>
            <w:rPr>
              <w:b/>
              <w:noProof/>
            </w:rPr>
            <w:fldChar w:fldCharType="end"/>
          </w:r>
        </w:p>
      </w:sdtContent>
    </w:sdt>
    <w:p w:rsidR="00E84A5E" w:rsidP="00A00C9B" w:rsidRDefault="00E84A5E" w14:paraId="37082FC9" w14:textId="77777777">
      <w:pPr>
        <w:rPr>
          <w:rFonts w:ascii="Calibri" w:hAnsi="Calibri"/>
          <w:color w:val="00549E" w:themeColor="text2"/>
          <w:sz w:val="32"/>
          <w:szCs w:val="28"/>
        </w:rPr>
      </w:pPr>
    </w:p>
    <w:p w:rsidR="00217890" w:rsidP="00A00C9B" w:rsidRDefault="00217890" w14:paraId="2837B218" w14:textId="1FE1DDD6">
      <w:pPr>
        <w:rPr>
          <w:rFonts w:ascii="Calibri" w:hAnsi="Calibri"/>
          <w:color w:val="00549E" w:themeColor="text2"/>
          <w:sz w:val="32"/>
          <w:szCs w:val="28"/>
        </w:rPr>
        <w:sectPr w:rsidR="00217890" w:rsidSect="003B3CFD">
          <w:headerReference w:type="first" r:id="rId10"/>
          <w:footerReference w:type="first" r:id="rId11"/>
          <w:pgSz w:w="12240" w:h="15840"/>
          <w:pgMar w:top="1872" w:right="1080" w:bottom="1440" w:left="1080" w:header="720" w:footer="720" w:gutter="0"/>
          <w:pgNumType w:start="1"/>
          <w:cols w:space="720"/>
          <w:titlePg/>
          <w:docGrid w:linePitch="360"/>
        </w:sectPr>
      </w:pPr>
    </w:p>
    <w:p w:rsidRPr="001C0435" w:rsidR="008D2C47" w:rsidP="001C0435" w:rsidRDefault="000E10F0" w14:paraId="38EBF0EC" w14:textId="158B6947">
      <w:pPr>
        <w:pStyle w:val="Heading2"/>
      </w:pPr>
      <w:bookmarkStart w:name="_Toc72140627" w:id="1"/>
      <w:r w:rsidRPr="001C0435">
        <w:lastRenderedPageBreak/>
        <w:t>A. Justification</w:t>
      </w:r>
      <w:bookmarkEnd w:id="0"/>
      <w:bookmarkEnd w:id="1"/>
    </w:p>
    <w:p w:rsidR="00EB6F37" w:rsidP="00AD595F" w:rsidRDefault="000E10F0" w14:paraId="25FD8B25" w14:textId="385B4631">
      <w:r w:rsidRPr="006A746B">
        <w:t xml:space="preserve">The Administration for Community Living (ACL), within the U.S. Department of Health and Human Services (DHHS), requests approval from the Office of Management and Budget (OMB) for data collection to support the execution of the </w:t>
      </w:r>
      <w:r w:rsidR="001D1CBC">
        <w:t>Fidelity Evaluation of ACL’s Evidence</w:t>
      </w:r>
      <w:r w:rsidR="00F93BEB">
        <w:t>-</w:t>
      </w:r>
      <w:r w:rsidR="001D1CBC">
        <w:t>Based Programs</w:t>
      </w:r>
      <w:r w:rsidRPr="00B41944">
        <w:t>.</w:t>
      </w:r>
      <w:r>
        <w:rPr>
          <w:rFonts w:ascii="Arial" w:hAnsi="Arial" w:cs="Arial"/>
          <w:sz w:val="20"/>
          <w:szCs w:val="20"/>
        </w:rPr>
        <w:t xml:space="preserve"> </w:t>
      </w:r>
      <w:r w:rsidR="0060202A">
        <w:t>ACL</w:t>
      </w:r>
      <w:r w:rsidR="003D7746">
        <w:t xml:space="preserve">’s mission is to maximize the independence, well-being, and health of older adults and people with disabilities across their lifespan. </w:t>
      </w:r>
      <w:r w:rsidR="0060202A">
        <w:t>ACL</w:t>
      </w:r>
      <w:r w:rsidR="00AD595F">
        <w:t xml:space="preserve"> provides mandatory</w:t>
      </w:r>
      <w:r w:rsidR="009960E5">
        <w:t xml:space="preserve"> funding </w:t>
      </w:r>
      <w:r w:rsidR="00AD595F">
        <w:t xml:space="preserve">to </w:t>
      </w:r>
      <w:r>
        <w:t>50 states</w:t>
      </w:r>
      <w:r w:rsidR="00B41944">
        <w:t xml:space="preserve"> and </w:t>
      </w:r>
      <w:r w:rsidR="00E0663D">
        <w:t>6 U.S. territories  (</w:t>
      </w:r>
      <w:r w:rsidR="00FE145D">
        <w:t xml:space="preserve">the </w:t>
      </w:r>
      <w:r>
        <w:t xml:space="preserve">District of Columbia, Puerto Rico, </w:t>
      </w:r>
      <w:r w:rsidR="001E3120">
        <w:t xml:space="preserve">American Samoa, </w:t>
      </w:r>
      <w:r>
        <w:t>Guam</w:t>
      </w:r>
      <w:r w:rsidR="00B41944">
        <w:t>,</w:t>
      </w:r>
      <w:r w:rsidRPr="00E0663D" w:rsidR="00E0663D">
        <w:t xml:space="preserve"> </w:t>
      </w:r>
      <w:r w:rsidR="00E0663D">
        <w:t>the Mariana Islands, and the Virgin Islands)</w:t>
      </w:r>
      <w:r>
        <w:t xml:space="preserve"> </w:t>
      </w:r>
      <w:r w:rsidR="009960E5">
        <w:t>under Title III-D of the O</w:t>
      </w:r>
      <w:r w:rsidR="00FF4BC3">
        <w:t xml:space="preserve">lder </w:t>
      </w:r>
      <w:r w:rsidR="009960E5">
        <w:t>A</w:t>
      </w:r>
      <w:r w:rsidR="00FF4BC3">
        <w:t xml:space="preserve">mericans </w:t>
      </w:r>
      <w:r w:rsidR="009960E5">
        <w:t>A</w:t>
      </w:r>
      <w:r w:rsidR="00FF4BC3">
        <w:t>ct</w:t>
      </w:r>
      <w:r w:rsidR="00B41944">
        <w:t xml:space="preserve"> (OAA)</w:t>
      </w:r>
      <w:r w:rsidR="001D1CBC">
        <w:t xml:space="preserve"> (</w:t>
      </w:r>
      <w:r w:rsidR="00B41944">
        <w:t xml:space="preserve">i.e., </w:t>
      </w:r>
      <w:r w:rsidR="001D1CBC">
        <w:t>mandatory grantees)</w:t>
      </w:r>
      <w:r w:rsidR="009960E5">
        <w:t>,</w:t>
      </w:r>
      <w:r w:rsidR="00AD595F">
        <w:t xml:space="preserve"> </w:t>
      </w:r>
      <w:r w:rsidR="001D1CBC">
        <w:t xml:space="preserve">and also awards grants on a competitive basis to applicants who seek to </w:t>
      </w:r>
      <w:r w:rsidR="00AD595F">
        <w:t xml:space="preserve">promote </w:t>
      </w:r>
      <w:r w:rsidR="003D7746">
        <w:t xml:space="preserve">the well-being </w:t>
      </w:r>
      <w:r w:rsidR="0013207F">
        <w:t xml:space="preserve">of </w:t>
      </w:r>
      <w:r w:rsidR="003D7746">
        <w:t>target population</w:t>
      </w:r>
      <w:r w:rsidR="009960E5">
        <w:t>s</w:t>
      </w:r>
      <w:r w:rsidR="00F6227D">
        <w:t xml:space="preserve"> through disease prevention and health promotion</w:t>
      </w:r>
      <w:r w:rsidR="001D1CBC">
        <w:t xml:space="preserve"> (</w:t>
      </w:r>
      <w:r w:rsidR="00B41944">
        <w:t xml:space="preserve">i.e., </w:t>
      </w:r>
      <w:r w:rsidR="001D1CBC">
        <w:t>discretionary grantees)</w:t>
      </w:r>
      <w:r w:rsidR="00640B3B">
        <w:t>.</w:t>
      </w:r>
      <w:r w:rsidR="003D7746">
        <w:rPr>
          <w:rStyle w:val="FootnoteReference"/>
        </w:rPr>
        <w:footnoteReference w:id="1"/>
      </w:r>
      <w:r w:rsidR="00AD595F">
        <w:t xml:space="preserve"> </w:t>
      </w:r>
      <w:r w:rsidR="00480D50">
        <w:t xml:space="preserve">Since </w:t>
      </w:r>
      <w:r w:rsidR="00AD595F">
        <w:t xml:space="preserve">2012, </w:t>
      </w:r>
      <w:r w:rsidR="00480D50">
        <w:t xml:space="preserve">the law </w:t>
      </w:r>
      <w:r w:rsidR="00EB6F37">
        <w:t>mandates</w:t>
      </w:r>
      <w:r w:rsidR="00480D50">
        <w:t xml:space="preserve"> that </w:t>
      </w:r>
      <w:r w:rsidR="00816F3D">
        <w:t xml:space="preserve">Title III-D funding be limited to </w:t>
      </w:r>
      <w:r w:rsidR="00DA19B9">
        <w:t>evidence-based</w:t>
      </w:r>
      <w:r w:rsidR="00816F3D">
        <w:t xml:space="preserve"> programs</w:t>
      </w:r>
      <w:r w:rsidR="00480D50">
        <w:t>.</w:t>
      </w:r>
      <w:r w:rsidR="003D7746">
        <w:rPr>
          <w:rStyle w:val="FootnoteReference"/>
        </w:rPr>
        <w:footnoteReference w:id="2"/>
      </w:r>
      <w:r w:rsidR="00AD595F">
        <w:t xml:space="preserve"> </w:t>
      </w:r>
    </w:p>
    <w:p w:rsidR="004A4D61" w:rsidP="008E27BC" w:rsidRDefault="00EB6F37" w14:paraId="0936F3D2" w14:textId="02C3384A">
      <w:r>
        <w:t>The authorizing legislation for this data collection is found in Title II of the OAA, which requires ACL to “measure and evaluate the impact of all programs authorized by this Act</w:t>
      </w:r>
      <w:r w:rsidR="00AB0756">
        <w:t>…”</w:t>
      </w:r>
      <w:r w:rsidR="00D823B7">
        <w:rPr>
          <w:rStyle w:val="FootnoteReference"/>
        </w:rPr>
        <w:footnoteReference w:id="3"/>
      </w:r>
    </w:p>
    <w:p w:rsidRPr="005444DF" w:rsidR="00F6227D" w:rsidP="00B41944" w:rsidRDefault="00F6227D" w14:paraId="3B09E712" w14:textId="56FDEEB9">
      <w:pPr>
        <w:pStyle w:val="Heading3"/>
      </w:pPr>
      <w:bookmarkStart w:name="_Toc70317623" w:id="2"/>
      <w:bookmarkStart w:name="_Toc72140628" w:id="3"/>
      <w:r w:rsidRPr="005444DF">
        <w:t>A.1. Circumstances that Make the Collection of Information Necessary</w:t>
      </w:r>
      <w:bookmarkEnd w:id="2"/>
      <w:bookmarkEnd w:id="3"/>
    </w:p>
    <w:p w:rsidR="00F6227D" w:rsidP="00AD595F" w:rsidRDefault="006C3FDD" w14:paraId="5801F08E" w14:textId="6F54CDD5">
      <w:r>
        <w:t xml:space="preserve">ACL </w:t>
      </w:r>
      <w:r w:rsidR="00EB3521">
        <w:t>has worked with stakeholders to develop</w:t>
      </w:r>
      <w:r>
        <w:t xml:space="preserve"> processes for evaluating the strength of the evidence supporting specific programs, </w:t>
      </w:r>
      <w:r w:rsidR="008E27BC">
        <w:t xml:space="preserve">as well as </w:t>
      </w:r>
      <w:r>
        <w:t>a variety of resources to educate prospective grantees about the importance of</w:t>
      </w:r>
      <w:r w:rsidR="00B41944">
        <w:t xml:space="preserve"> maintaining</w:t>
      </w:r>
      <w:r>
        <w:t xml:space="preserve"> fidelity to program models</w:t>
      </w:r>
      <w:r w:rsidR="008E27BC">
        <w:t>.</w:t>
      </w:r>
      <w:r w:rsidR="00816F3D">
        <w:rPr>
          <w:rStyle w:val="FootnoteReference"/>
        </w:rPr>
        <w:footnoteReference w:id="4"/>
      </w:r>
      <w:r w:rsidR="00F6240E">
        <w:t xml:space="preserve"> </w:t>
      </w:r>
      <w:r w:rsidR="00B41944">
        <w:t>ACL</w:t>
      </w:r>
      <w:r w:rsidR="00EB3521">
        <w:t xml:space="preserve"> </w:t>
      </w:r>
      <w:r w:rsidR="00902C42">
        <w:t>provides technical assistance to support evidence</w:t>
      </w:r>
      <w:r w:rsidR="00BA65DA">
        <w:t>-</w:t>
      </w:r>
      <w:r w:rsidR="00902C42">
        <w:t>based program</w:t>
      </w:r>
      <w:r w:rsidR="001413DA">
        <w:t>m</w:t>
      </w:r>
      <w:r w:rsidR="00902C42">
        <w:t>ing</w:t>
      </w:r>
      <w:r w:rsidR="00AB0756">
        <w:t>,</w:t>
      </w:r>
      <w:r w:rsidR="00902C42">
        <w:t xml:space="preserve"> which includes </w:t>
      </w:r>
      <w:r w:rsidR="00F6240E">
        <w:t xml:space="preserve">access to a variety of tools </w:t>
      </w:r>
      <w:r w:rsidR="003D6CBF">
        <w:t xml:space="preserve">for planning </w:t>
      </w:r>
      <w:r w:rsidR="00F6240E">
        <w:t xml:space="preserve">fidelity. </w:t>
      </w:r>
      <w:r w:rsidR="004E2697">
        <w:t xml:space="preserve">ACL, however, </w:t>
      </w:r>
      <w:r>
        <w:t xml:space="preserve">has not previously </w:t>
      </w:r>
      <w:r w:rsidR="004E2697">
        <w:t>studied</w:t>
      </w:r>
      <w:r>
        <w:t xml:space="preserve"> </w:t>
      </w:r>
      <w:r w:rsidR="004E2697">
        <w:t>how and how well grantees use these and other resources to ensure that</w:t>
      </w:r>
      <w:r>
        <w:t xml:space="preserve"> programs</w:t>
      </w:r>
      <w:r w:rsidR="004E2697">
        <w:t xml:space="preserve"> are implemented with fidelity</w:t>
      </w:r>
      <w:r>
        <w:t>.</w:t>
      </w:r>
      <w:r w:rsidDel="00816F3D" w:rsidR="00816F3D">
        <w:rPr>
          <w:rStyle w:val="FootnoteReference"/>
        </w:rPr>
        <w:t xml:space="preserve"> </w:t>
      </w:r>
      <w:r w:rsidR="00F6227D">
        <w:t>The primary goals of ACL’s Fidelity Evaluation are to understand</w:t>
      </w:r>
      <w:r w:rsidR="00EE0642">
        <w:t>:</w:t>
      </w:r>
      <w:r w:rsidR="00F6227D">
        <w:t xml:space="preserve"> </w:t>
      </w:r>
    </w:p>
    <w:p w:rsidR="00F6227D" w:rsidP="00B41944" w:rsidRDefault="00F6227D" w14:paraId="2E2501D7" w14:textId="625054A8">
      <w:pPr>
        <w:pStyle w:val="HSAGNumbers"/>
      </w:pPr>
      <w:r>
        <w:lastRenderedPageBreak/>
        <w:t xml:space="preserve">The process ACL staff use when making awards </w:t>
      </w:r>
      <w:r w:rsidR="00EE0642">
        <w:t xml:space="preserve">(i.e. discretionary grants) </w:t>
      </w:r>
      <w:r>
        <w:t xml:space="preserve">or otherwise verifying that grantees </w:t>
      </w:r>
      <w:r w:rsidR="00EE0642">
        <w:t xml:space="preserve">(e.g., </w:t>
      </w:r>
      <w:r w:rsidR="00F6240E">
        <w:t xml:space="preserve">mandatory </w:t>
      </w:r>
      <w:r w:rsidR="00EE0642">
        <w:t xml:space="preserve">grantees) </w:t>
      </w:r>
      <w:r>
        <w:t>are using funds for evidence</w:t>
      </w:r>
      <w:r w:rsidR="00EE0642">
        <w:t>-</w:t>
      </w:r>
      <w:r>
        <w:t>based programming</w:t>
      </w:r>
      <w:r w:rsidR="00EE0642">
        <w:t>;</w:t>
      </w:r>
    </w:p>
    <w:p w:rsidR="00F6227D" w:rsidP="00B41944" w:rsidRDefault="00F6227D" w14:paraId="3562BAD6" w14:textId="00D04895">
      <w:pPr>
        <w:pStyle w:val="HSAGNumbers"/>
      </w:pPr>
      <w:r>
        <w:t xml:space="preserve">How grantees select the </w:t>
      </w:r>
      <w:r w:rsidR="00EE0642">
        <w:t>evidence-based programs that they</w:t>
      </w:r>
      <w:r>
        <w:t xml:space="preserve"> implement or</w:t>
      </w:r>
      <w:r w:rsidR="00EE0642">
        <w:t xml:space="preserve">, for example for Chronic Disease </w:t>
      </w:r>
      <w:r w:rsidR="007E35EA">
        <w:t>Self-Management</w:t>
      </w:r>
      <w:r w:rsidR="00EE0642">
        <w:t xml:space="preserve"> Education (CDSME) grantees, h</w:t>
      </w:r>
      <w:r>
        <w:t xml:space="preserve">ow they determine </w:t>
      </w:r>
      <w:r w:rsidR="0027490F">
        <w:t xml:space="preserve">the </w:t>
      </w:r>
      <w:r>
        <w:t xml:space="preserve">grants </w:t>
      </w:r>
      <w:r w:rsidR="00846DA0">
        <w:t xml:space="preserve">for </w:t>
      </w:r>
      <w:r>
        <w:t>which they will apply;</w:t>
      </w:r>
    </w:p>
    <w:p w:rsidR="00F6227D" w:rsidP="00B41944" w:rsidRDefault="00F6227D" w14:paraId="7404FAB0" w14:textId="3ECCAED6">
      <w:pPr>
        <w:pStyle w:val="HSAGNumbers"/>
      </w:pPr>
      <w:r>
        <w:t xml:space="preserve">How grantees implement those programs and verify that they are being implemented with fidelity to their original models including the identification of intentional and unintentional </w:t>
      </w:r>
      <w:r w:rsidR="00EE0642">
        <w:t>adaptations;</w:t>
      </w:r>
    </w:p>
    <w:p w:rsidR="00F6227D" w:rsidP="00B41944" w:rsidRDefault="00F6227D" w14:paraId="3388FCBF" w14:textId="4D5C209B">
      <w:pPr>
        <w:pStyle w:val="HSAGNumbers"/>
      </w:pPr>
      <w:r>
        <w:t>The strengths and weaknesses of the current award and implementation process</w:t>
      </w:r>
      <w:r w:rsidR="00EE0642">
        <w:t>;</w:t>
      </w:r>
    </w:p>
    <w:p w:rsidR="00F6227D" w:rsidP="00B41944" w:rsidRDefault="00EE0642" w14:paraId="53CE5346" w14:textId="517D324D">
      <w:pPr>
        <w:pStyle w:val="HSAGNumbers"/>
      </w:pPr>
      <w:r>
        <w:t>H</w:t>
      </w:r>
      <w:r w:rsidR="00F6227D">
        <w:t xml:space="preserve">ow and for what reasons grantees and sub grantees work with the </w:t>
      </w:r>
      <w:r>
        <w:t>developers</w:t>
      </w:r>
      <w:r w:rsidR="00F6227D">
        <w:t xml:space="preserve"> of the </w:t>
      </w:r>
      <w:r>
        <w:t>evidence-based programs</w:t>
      </w:r>
      <w:r w:rsidR="00846DA0">
        <w:t>,</w:t>
      </w:r>
      <w:r>
        <w:t xml:space="preserve"> </w:t>
      </w:r>
      <w:r w:rsidR="00F6227D">
        <w:t>including</w:t>
      </w:r>
      <w:r>
        <w:t xml:space="preserve"> how grantees work with program developers to </w:t>
      </w:r>
      <w:r w:rsidR="00F6227D">
        <w:t xml:space="preserve">identify acceptable program adaptations that maintain the integrity of the </w:t>
      </w:r>
      <w:r>
        <w:t xml:space="preserve">evidence-based </w:t>
      </w:r>
      <w:r w:rsidR="00F6227D">
        <w:t>nature of the program</w:t>
      </w:r>
      <w:r>
        <w:t>.</w:t>
      </w:r>
    </w:p>
    <w:p w:rsidR="00F6227D" w:rsidP="00AD595F" w:rsidRDefault="00EE0642" w14:paraId="2DAC6BC3" w14:textId="6526062F">
      <w:r>
        <w:t>To understand these issues, data collection will be required from mandatory and discretionary grantees</w:t>
      </w:r>
      <w:r w:rsidR="00F6240E">
        <w:t>,</w:t>
      </w:r>
      <w:r>
        <w:t xml:space="preserve"> and </w:t>
      </w:r>
      <w:r w:rsidR="00F6240E">
        <w:t xml:space="preserve">from </w:t>
      </w:r>
      <w:r>
        <w:t>sub grantees</w:t>
      </w:r>
      <w:r w:rsidR="00F6240E">
        <w:t xml:space="preserve"> who actually implement the programs</w:t>
      </w:r>
      <w:r>
        <w:t xml:space="preserve">. For mandatory grants, selection of programs and supervision of fidelity are handled </w:t>
      </w:r>
      <w:r w:rsidR="006F0F07">
        <w:t xml:space="preserve">primarily </w:t>
      </w:r>
      <w:r>
        <w:t>by</w:t>
      </w:r>
      <w:r w:rsidR="006F0F07">
        <w:t xml:space="preserve"> </w:t>
      </w:r>
      <w:r>
        <w:t>the state units on aging</w:t>
      </w:r>
      <w:r w:rsidR="00C94E18">
        <w:t xml:space="preserve"> (SUAs)</w:t>
      </w:r>
      <w:r>
        <w:t xml:space="preserve"> for the 50 states and </w:t>
      </w:r>
      <w:r w:rsidR="00E0663D">
        <w:t xml:space="preserve">6 U.S. </w:t>
      </w:r>
      <w:r>
        <w:t xml:space="preserve">territories. For discretionary grant, selection of programs and supervision of fidelity are handled by </w:t>
      </w:r>
      <w:r w:rsidR="006F0F07">
        <w:t xml:space="preserve">the organizations that apply for </w:t>
      </w:r>
      <w:r>
        <w:t>grant</w:t>
      </w:r>
      <w:r w:rsidR="006F0F07">
        <w:t xml:space="preserve">s to implement specific programs. These applicants </w:t>
      </w:r>
      <w:r w:rsidR="00B140F1">
        <w:t xml:space="preserve">include </w:t>
      </w:r>
      <w:r>
        <w:t xml:space="preserve">a variety of organizations such as </w:t>
      </w:r>
      <w:r w:rsidR="00F6240E">
        <w:t>local non-profits, Area Agencies on Aging, academic partners, or interest groups</w:t>
      </w:r>
      <w:r w:rsidR="006F0F07">
        <w:t>, some of which implement programs directly, and others which subcontract implementation to other organizations</w:t>
      </w:r>
      <w:r w:rsidR="006C3FDD">
        <w:t xml:space="preserve">. </w:t>
      </w:r>
      <w:r w:rsidR="00D31F1F">
        <w:t xml:space="preserve">A flexible multi-layered approach is necessary to obtain the necessary information to better understand the community’s approach to supervision and maintenance of fidelity. </w:t>
      </w:r>
      <w:r w:rsidR="00AD312B">
        <w:t xml:space="preserve">Two </w:t>
      </w:r>
      <w:r w:rsidR="00D31F1F">
        <w:t xml:space="preserve">complimentary </w:t>
      </w:r>
      <w:r w:rsidR="00AD312B">
        <w:t xml:space="preserve">surveys have been designed as the most parsimonious approach to </w:t>
      </w:r>
      <w:r w:rsidR="006C3FDD">
        <w:t xml:space="preserve">obtaining </w:t>
      </w:r>
      <w:r w:rsidR="00AD312B">
        <w:t xml:space="preserve">this </w:t>
      </w:r>
      <w:r w:rsidR="006C3FDD">
        <w:t>data</w:t>
      </w:r>
      <w:r w:rsidR="00AD312B">
        <w:t xml:space="preserve">, which is </w:t>
      </w:r>
      <w:r w:rsidR="006C3FDD">
        <w:t>not currently being collected in any other fo</w:t>
      </w:r>
      <w:r w:rsidR="00DE21EE">
        <w:t>r</w:t>
      </w:r>
      <w:r w:rsidR="006C3FDD">
        <w:t>m</w:t>
      </w:r>
      <w:r w:rsidR="00E0663D">
        <w:t>.</w:t>
      </w:r>
    </w:p>
    <w:p w:rsidRPr="005444DF" w:rsidR="006C3FDD" w:rsidP="00E0663D" w:rsidRDefault="006C3FDD" w14:paraId="26C49D80" w14:textId="59D2FF14">
      <w:pPr>
        <w:pStyle w:val="Heading3"/>
      </w:pPr>
      <w:bookmarkStart w:name="_Toc70317624" w:id="4"/>
      <w:bookmarkStart w:name="_Toc72140629" w:id="5"/>
      <w:r w:rsidRPr="005444DF">
        <w:t>A.2.</w:t>
      </w:r>
      <w:r w:rsidR="005444DF">
        <w:t xml:space="preserve"> </w:t>
      </w:r>
      <w:r w:rsidRPr="005444DF">
        <w:t>Purpose and Use of Information Collection</w:t>
      </w:r>
      <w:bookmarkEnd w:id="4"/>
      <w:bookmarkEnd w:id="5"/>
    </w:p>
    <w:p w:rsidR="00817921" w:rsidP="00AD595F" w:rsidRDefault="00480D50" w14:paraId="276C1E90" w14:textId="2F04825F">
      <w:r>
        <w:t xml:space="preserve">The data collection tools developed pursuant to this contract will enable </w:t>
      </w:r>
      <w:r w:rsidR="0060202A">
        <w:t>ACL</w:t>
      </w:r>
      <w:r w:rsidR="00817921">
        <w:t xml:space="preserve"> </w:t>
      </w:r>
      <w:r w:rsidR="00D05973">
        <w:t xml:space="preserve">to </w:t>
      </w:r>
      <w:r w:rsidR="00817921">
        <w:t xml:space="preserve">collect information from </w:t>
      </w:r>
      <w:r w:rsidR="00AB6997">
        <w:t xml:space="preserve">mandatory and </w:t>
      </w:r>
      <w:r w:rsidR="00817921">
        <w:t xml:space="preserve">discretionary grantees to better understand the procedures </w:t>
      </w:r>
      <w:r w:rsidR="00D05973">
        <w:t>they use</w:t>
      </w:r>
      <w:r w:rsidR="00817921">
        <w:t xml:space="preserve"> to ensure that </w:t>
      </w:r>
      <w:r w:rsidR="006917DE">
        <w:t>gr</w:t>
      </w:r>
      <w:r w:rsidR="00817921">
        <w:t>ant-funded evidence-based programs are being implemented with fidelity to the program models</w:t>
      </w:r>
      <w:r w:rsidR="008E520E">
        <w:t>.</w:t>
      </w:r>
      <w:r w:rsidDel="006917DE" w:rsidR="006917DE">
        <w:rPr>
          <w:rStyle w:val="FootnoteReference"/>
        </w:rPr>
        <w:t xml:space="preserve"> </w:t>
      </w:r>
      <w:r w:rsidR="00817921">
        <w:t xml:space="preserve"> Specifically, </w:t>
      </w:r>
      <w:r w:rsidR="006C3FDD">
        <w:t xml:space="preserve">the information will be used to answer the research </w:t>
      </w:r>
      <w:r w:rsidR="00817921">
        <w:t>questions</w:t>
      </w:r>
      <w:r w:rsidR="00793937">
        <w:t xml:space="preserve"> provided below in Exhibit 1</w:t>
      </w:r>
      <w:r w:rsidR="00A47D32">
        <w:t>.</w:t>
      </w:r>
    </w:p>
    <w:tbl>
      <w:tblPr>
        <w:tblStyle w:val="TableGridLight"/>
        <w:tblW w:w="0" w:type="auto"/>
        <w:tblBorders>
          <w:top w:val="single" w:color="auto" w:sz="4" w:space="0"/>
          <w:left w:val="none" w:color="auto" w:sz="0" w:space="0"/>
          <w:bottom w:val="none" w:color="auto" w:sz="0" w:space="0"/>
          <w:right w:val="none" w:color="auto" w:sz="0" w:space="0"/>
          <w:insideH w:val="single" w:color="auto" w:sz="4" w:space="0"/>
          <w:insideV w:val="single" w:color="auto" w:sz="4" w:space="0"/>
        </w:tblBorders>
        <w:tblLook w:val="04A0" w:firstRow="1" w:lastRow="0" w:firstColumn="1" w:lastColumn="0" w:noHBand="0" w:noVBand="1"/>
      </w:tblPr>
      <w:tblGrid>
        <w:gridCol w:w="10070"/>
      </w:tblGrid>
      <w:tr w:rsidRPr="00C21047" w:rsidR="00AD0FBF" w:rsidTr="00C21047" w14:paraId="3DB00C1A" w14:textId="77777777">
        <w:trPr>
          <w:cantSplit/>
          <w:tblHeader/>
        </w:trPr>
        <w:tc>
          <w:tcPr>
            <w:tcW w:w="10070" w:type="dxa"/>
            <w:tcBorders>
              <w:top w:val="single" w:color="auto" w:sz="12" w:space="0"/>
              <w:bottom w:val="single" w:color="auto" w:sz="12" w:space="0"/>
            </w:tcBorders>
          </w:tcPr>
          <w:p w:rsidRPr="00C21047" w:rsidR="00AD0FBF" w:rsidP="00C21047" w:rsidRDefault="00AD0FBF" w14:paraId="7AD7A3B3" w14:textId="4C271E98">
            <w:pPr>
              <w:pStyle w:val="HSAGTableHeading"/>
            </w:pPr>
            <w:r w:rsidRPr="00C21047">
              <w:t>Exhibit 1: Key Research Questions</w:t>
            </w:r>
          </w:p>
        </w:tc>
      </w:tr>
      <w:tr w:rsidR="00AD0FBF" w:rsidTr="00C21047" w14:paraId="4A7F7B77" w14:textId="77777777">
        <w:trPr>
          <w:cantSplit/>
        </w:trPr>
        <w:tc>
          <w:tcPr>
            <w:tcW w:w="10070" w:type="dxa"/>
            <w:tcBorders>
              <w:top w:val="single" w:color="auto" w:sz="12" w:space="0"/>
            </w:tcBorders>
          </w:tcPr>
          <w:p w:rsidRPr="00AD0FBF" w:rsidR="00AD0FBF" w:rsidP="00AD0FBF" w:rsidRDefault="00AD0FBF" w14:paraId="659055B3" w14:textId="77777777">
            <w:pPr>
              <w:pStyle w:val="HSAGTableBullet1"/>
            </w:pPr>
            <w:r w:rsidRPr="00AD0FBF">
              <w:t>How do program implementation sites select appropriate evidence-based programs for their contexts (e.g., resources, populations)?</w:t>
            </w:r>
          </w:p>
          <w:p w:rsidRPr="00AD0FBF" w:rsidR="00AD0FBF" w:rsidP="00AD0FBF" w:rsidRDefault="00AD0FBF" w14:paraId="571653F5" w14:textId="77777777">
            <w:pPr>
              <w:pStyle w:val="HSAGTableBullet1"/>
            </w:pPr>
            <w:r w:rsidRPr="00AD0FBF">
              <w:t>To what extent do staff overseeing and implementing the programs fully understand and comply with the implementation guidelines/instructions?</w:t>
            </w:r>
          </w:p>
          <w:p w:rsidRPr="00AD0FBF" w:rsidR="00AD0FBF" w:rsidP="00AD0FBF" w:rsidRDefault="00AD0FBF" w14:paraId="5D07FBD9" w14:textId="77777777">
            <w:pPr>
              <w:pStyle w:val="HSAGTableBullet1"/>
            </w:pPr>
            <w:r w:rsidRPr="00AD0FBF">
              <w:t>While not recommended, what kinds of adaptations, if any, are grantees/sub grantees making to the evidence-based programs? And, why?</w:t>
            </w:r>
          </w:p>
          <w:p w:rsidRPr="00AD0FBF" w:rsidR="00AD0FBF" w:rsidP="00AD0FBF" w:rsidRDefault="00AD0FBF" w14:paraId="25CD27E0" w14:textId="7EE0B12E">
            <w:pPr>
              <w:pStyle w:val="HSAGTableBullet1"/>
            </w:pPr>
            <w:r w:rsidRPr="00AD0FBF">
              <w:t>What can ACL do to support and encourage the proper use and implementation of evidence-based programs?</w:t>
            </w:r>
          </w:p>
        </w:tc>
      </w:tr>
    </w:tbl>
    <w:p w:rsidR="00817921" w:rsidP="00AD595F" w:rsidRDefault="0060202A" w14:paraId="0662BA80" w14:textId="625C67D7">
      <w:r>
        <w:lastRenderedPageBreak/>
        <w:t>ACL</w:t>
      </w:r>
      <w:r w:rsidR="00B275F2">
        <w:t xml:space="preserve"> intends for this</w:t>
      </w:r>
      <w:r w:rsidR="00817921">
        <w:t xml:space="preserve"> new, one-time data collection effort</w:t>
      </w:r>
      <w:r w:rsidR="00B275F2">
        <w:t xml:space="preserve"> to inform steps it can take</w:t>
      </w:r>
      <w:r w:rsidR="00A230BD">
        <w:t xml:space="preserve"> to aid </w:t>
      </w:r>
      <w:r w:rsidR="00B275F2">
        <w:t>grantees</w:t>
      </w:r>
      <w:r w:rsidR="00A230BD">
        <w:t xml:space="preserve"> and improve processes for </w:t>
      </w:r>
      <w:r w:rsidR="00B275F2">
        <w:t>the selection, implementation, and fidelity monitoring of evidence-based programs.</w:t>
      </w:r>
    </w:p>
    <w:p w:rsidRPr="005444DF" w:rsidR="003159C0" w:rsidP="00E0663D" w:rsidRDefault="003159C0" w14:paraId="5BFADC81" w14:textId="58ADE134">
      <w:pPr>
        <w:pStyle w:val="Heading3"/>
      </w:pPr>
      <w:bookmarkStart w:name="_Toc70317625" w:id="6"/>
      <w:bookmarkStart w:name="_Toc72140630" w:id="7"/>
      <w:r w:rsidRPr="005444DF">
        <w:t>A.3.</w:t>
      </w:r>
      <w:r w:rsidR="005444DF">
        <w:t xml:space="preserve"> </w:t>
      </w:r>
      <w:r w:rsidRPr="005444DF">
        <w:t>Use of Improved Information Technology and Reduction Burden</w:t>
      </w:r>
      <w:bookmarkEnd w:id="6"/>
      <w:bookmarkEnd w:id="7"/>
    </w:p>
    <w:p w:rsidRPr="00956689" w:rsidR="00956689" w:rsidP="00956689" w:rsidRDefault="004E2697" w14:paraId="7E028642" w14:textId="30DF963D">
      <w:r>
        <w:t>S</w:t>
      </w:r>
      <w:r w:rsidRPr="00956689" w:rsidR="00956689">
        <w:t>urvey</w:t>
      </w:r>
      <w:r>
        <w:t>s</w:t>
      </w:r>
      <w:r w:rsidRPr="00956689" w:rsidR="00956689">
        <w:t xml:space="preserve"> will be used to gather data from </w:t>
      </w:r>
      <w:r w:rsidR="00AB6997">
        <w:t xml:space="preserve">grantee program </w:t>
      </w:r>
      <w:r w:rsidR="00E92C70">
        <w:t>administrators</w:t>
      </w:r>
      <w:r>
        <w:t xml:space="preserve"> and implementation organization program directors.</w:t>
      </w:r>
      <w:r w:rsidRPr="00956689" w:rsidR="00956689">
        <w:t xml:space="preserve"> The survey</w:t>
      </w:r>
      <w:r>
        <w:t>s</w:t>
      </w:r>
      <w:r w:rsidRPr="00956689" w:rsidR="00956689">
        <w:t xml:space="preserve"> </w:t>
      </w:r>
      <w:r w:rsidR="00216E92">
        <w:t xml:space="preserve">(one for grantees and one for implementation organizations) </w:t>
      </w:r>
      <w:r w:rsidRPr="00956689" w:rsidR="00956689">
        <w:t xml:space="preserve">will be administered electronically </w:t>
      </w:r>
      <w:r w:rsidR="0003763F">
        <w:t xml:space="preserve">over the internet </w:t>
      </w:r>
      <w:r w:rsidRPr="00956689" w:rsidR="00956689">
        <w:t>to minimize the burden on respondents.</w:t>
      </w:r>
      <w:r w:rsidRPr="00956689" w:rsidR="0015629A">
        <w:t xml:space="preserve"> All respondent groups will be emailed </w:t>
      </w:r>
      <w:r w:rsidR="0015629A">
        <w:t>a survey</w:t>
      </w:r>
      <w:r w:rsidRPr="00956689" w:rsidR="0015629A">
        <w:t xml:space="preserve"> invitation with instructions on web survey access, including a </w:t>
      </w:r>
      <w:r w:rsidR="0015629A">
        <w:t xml:space="preserve">link to the </w:t>
      </w:r>
      <w:r w:rsidR="006A29A6">
        <w:t xml:space="preserve">appropriate </w:t>
      </w:r>
      <w:r w:rsidR="0015629A">
        <w:t>survey and login information</w:t>
      </w:r>
      <w:r w:rsidR="006A29A6">
        <w:t xml:space="preserve"> unique to the respondent</w:t>
      </w:r>
      <w:r w:rsidRPr="00956689" w:rsidR="0015629A">
        <w:t xml:space="preserve">. </w:t>
      </w:r>
      <w:r w:rsidR="0015629A">
        <w:t xml:space="preserve">The unique </w:t>
      </w:r>
      <w:r w:rsidR="006A29A6">
        <w:t xml:space="preserve">login </w:t>
      </w:r>
      <w:r w:rsidR="0015629A">
        <w:t xml:space="preserve">will allow tracking of survey completions to inform follow-up efforts. </w:t>
      </w:r>
      <w:r w:rsidRPr="00956689" w:rsidR="00956689">
        <w:t xml:space="preserve">The web-based </w:t>
      </w:r>
      <w:r w:rsidR="0003763F">
        <w:t>format</w:t>
      </w:r>
      <w:r w:rsidRPr="00956689" w:rsidR="0003763F">
        <w:t xml:space="preserve"> </w:t>
      </w:r>
      <w:r w:rsidR="0003763F">
        <w:t xml:space="preserve">will </w:t>
      </w:r>
      <w:r w:rsidRPr="00956689" w:rsidR="00956689">
        <w:t>permit respondents to complete survey</w:t>
      </w:r>
      <w:r w:rsidR="00216E92">
        <w:t>s</w:t>
      </w:r>
      <w:r w:rsidRPr="00956689" w:rsidR="00956689">
        <w:t xml:space="preserve"> </w:t>
      </w:r>
      <w:r w:rsidR="0003763F">
        <w:t>on the first</w:t>
      </w:r>
      <w:r w:rsidRPr="00956689" w:rsidR="00956689">
        <w:t xml:space="preserve"> attempt</w:t>
      </w:r>
      <w:r w:rsidR="0003763F">
        <w:t xml:space="preserve"> or</w:t>
      </w:r>
      <w:r w:rsidRPr="00956689" w:rsidR="00956689">
        <w:t xml:space="preserve"> save their responses and resume work at a later time. The web-based </w:t>
      </w:r>
      <w:r w:rsidR="0003763F">
        <w:t>survey</w:t>
      </w:r>
      <w:r w:rsidR="00216E92">
        <w:t>s</w:t>
      </w:r>
      <w:r w:rsidRPr="00956689" w:rsidR="0003763F">
        <w:t xml:space="preserve"> </w:t>
      </w:r>
      <w:r w:rsidRPr="00956689" w:rsidR="00956689">
        <w:t xml:space="preserve">will incorporate skip patterns </w:t>
      </w:r>
      <w:r w:rsidR="00216E92">
        <w:t>to</w:t>
      </w:r>
      <w:r w:rsidRPr="00956689" w:rsidR="00956689">
        <w:t xml:space="preserve"> automatically skip sections not relevant </w:t>
      </w:r>
      <w:r w:rsidR="005F2717">
        <w:t xml:space="preserve">to </w:t>
      </w:r>
      <w:r w:rsidR="00216E92">
        <w:t xml:space="preserve">a specific respondent’s </w:t>
      </w:r>
      <w:r w:rsidRPr="00956689" w:rsidR="00956689">
        <w:t>experiences</w:t>
      </w:r>
      <w:r w:rsidR="0015629A">
        <w:t xml:space="preserve">. </w:t>
      </w:r>
      <w:r w:rsidR="000A27EE">
        <w:t xml:space="preserve">Respondents that have not yet completed the </w:t>
      </w:r>
      <w:r w:rsidR="00216E92">
        <w:t xml:space="preserve">appropriate </w:t>
      </w:r>
      <w:r w:rsidR="000A27EE">
        <w:t xml:space="preserve">survey will be sent reminders via </w:t>
      </w:r>
      <w:r w:rsidRPr="00956689" w:rsidR="00956689">
        <w:t xml:space="preserve">email to maximize </w:t>
      </w:r>
      <w:r w:rsidR="000A27EE">
        <w:t>the survey</w:t>
      </w:r>
      <w:r w:rsidRPr="00956689" w:rsidR="000A27EE">
        <w:t xml:space="preserve"> </w:t>
      </w:r>
      <w:r w:rsidRPr="00956689" w:rsidR="00956689">
        <w:t>response rate.</w:t>
      </w:r>
    </w:p>
    <w:p w:rsidRPr="005444DF" w:rsidR="00956689" w:rsidP="000A27EE" w:rsidRDefault="00956689" w14:paraId="2A5F0FE5" w14:textId="6149CD1A">
      <w:pPr>
        <w:pStyle w:val="Heading3"/>
      </w:pPr>
      <w:bookmarkStart w:name="_Toc267041908" w:id="8"/>
      <w:bookmarkStart w:name="_Toc451350296" w:id="9"/>
      <w:bookmarkStart w:name="_Toc70317626" w:id="10"/>
      <w:bookmarkStart w:name="_Toc72140631" w:id="11"/>
      <w:r w:rsidRPr="005444DF">
        <w:t>A.4.</w:t>
      </w:r>
      <w:r w:rsidR="005444DF">
        <w:t xml:space="preserve"> </w:t>
      </w:r>
      <w:r w:rsidRPr="005444DF">
        <w:t>Efforts to Identify Duplication</w:t>
      </w:r>
      <w:bookmarkEnd w:id="8"/>
      <w:bookmarkEnd w:id="9"/>
      <w:bookmarkEnd w:id="10"/>
      <w:bookmarkEnd w:id="11"/>
    </w:p>
    <w:p w:rsidRPr="00956689" w:rsidR="00956689" w:rsidP="00956689" w:rsidRDefault="00956689" w14:paraId="1BF19963" w14:textId="0DCF0099">
      <w:r w:rsidRPr="00956689">
        <w:t>The information sought as part of this study is unique</w:t>
      </w:r>
      <w:r w:rsidR="00AB6997">
        <w:t xml:space="preserve"> and </w:t>
      </w:r>
      <w:r w:rsidRPr="00956689">
        <w:t xml:space="preserve">has not been collected elsewhere in any format that could be adapted to address the research objectives of the evaluation. Based on our review of existing data sources, no survey or other mode of data collection has captured the needed information on the </w:t>
      </w:r>
      <w:r w:rsidR="00A5369E">
        <w:t xml:space="preserve">processes used by grantees and their contracted implementation organizations to ensure </w:t>
      </w:r>
      <w:r>
        <w:t xml:space="preserve">fidelity </w:t>
      </w:r>
      <w:r w:rsidR="00A5369E">
        <w:t>in their</w:t>
      </w:r>
      <w:r>
        <w:t xml:space="preserve"> evidence</w:t>
      </w:r>
      <w:r w:rsidR="00BA65DA">
        <w:t>-</w:t>
      </w:r>
      <w:r>
        <w:t>based programming</w:t>
      </w:r>
      <w:r w:rsidRPr="00956689">
        <w:t xml:space="preserve">. However, any existing information that might be useful to address the research questions can and will be used whenever possible. </w:t>
      </w:r>
    </w:p>
    <w:p w:rsidRPr="005444DF" w:rsidR="003159C0" w:rsidP="000A27EE" w:rsidRDefault="00956689" w14:paraId="4D401ADD" w14:textId="0F49CC22">
      <w:pPr>
        <w:pStyle w:val="Heading3"/>
      </w:pPr>
      <w:bookmarkStart w:name="_Toc70317627" w:id="12"/>
      <w:bookmarkStart w:name="_Toc72140632" w:id="13"/>
      <w:r w:rsidRPr="005444DF">
        <w:t>A.5</w:t>
      </w:r>
      <w:r w:rsidR="00FA005B">
        <w:t>.</w:t>
      </w:r>
      <w:r w:rsidR="005444DF">
        <w:t xml:space="preserve"> </w:t>
      </w:r>
      <w:r w:rsidRPr="005444DF">
        <w:t>Impact on Small Businesses or Other Small Entities</w:t>
      </w:r>
      <w:bookmarkEnd w:id="12"/>
      <w:bookmarkEnd w:id="13"/>
    </w:p>
    <w:p w:rsidRPr="00956689" w:rsidR="00956689" w:rsidP="00956689" w:rsidRDefault="00956689" w14:paraId="31E663D8" w14:textId="0C9364C6">
      <w:r w:rsidRPr="00956689">
        <w:t>The target population</w:t>
      </w:r>
      <w:r w:rsidR="00216E92">
        <w:t>s</w:t>
      </w:r>
      <w:r w:rsidRPr="00956689">
        <w:t xml:space="preserve"> for this effort, particularly the discretionary grantees and the </w:t>
      </w:r>
      <w:r w:rsidR="00216E92">
        <w:t>organizations</w:t>
      </w:r>
      <w:r w:rsidRPr="00956689" w:rsidR="00216E92">
        <w:t xml:space="preserve"> </w:t>
      </w:r>
      <w:r w:rsidRPr="00956689">
        <w:t>that implement programming on their behalf, are likely to include small businesses</w:t>
      </w:r>
      <w:r w:rsidR="00A5369E">
        <w:t>/non-profit</w:t>
      </w:r>
      <w:r w:rsidRPr="00956689">
        <w:t xml:space="preserve"> entities. ACL is committed to </w:t>
      </w:r>
      <w:r w:rsidRPr="00956689" w:rsidR="00216E92">
        <w:t>minimiz</w:t>
      </w:r>
      <w:r w:rsidR="00216E92">
        <w:t>ing</w:t>
      </w:r>
      <w:r w:rsidRPr="00956689" w:rsidR="00216E92">
        <w:t xml:space="preserve"> </w:t>
      </w:r>
      <w:r w:rsidRPr="00956689">
        <w:t xml:space="preserve">the reporting burden for all respondents to the extent possible. The survey will be administered </w:t>
      </w:r>
      <w:r w:rsidR="005C02E7">
        <w:t>electronically over</w:t>
      </w:r>
      <w:r w:rsidRPr="00956689" w:rsidR="005C02E7">
        <w:t xml:space="preserve"> </w:t>
      </w:r>
      <w:r w:rsidRPr="00956689">
        <w:t xml:space="preserve">the internet, with no special knowledge </w:t>
      </w:r>
      <w:r w:rsidR="00E92C70">
        <w:t xml:space="preserve">or </w:t>
      </w:r>
      <w:r w:rsidRPr="00956689">
        <w:t xml:space="preserve">software </w:t>
      </w:r>
      <w:r w:rsidR="00A5369E">
        <w:t xml:space="preserve">required </w:t>
      </w:r>
      <w:r w:rsidRPr="00956689">
        <w:t xml:space="preserve">aside from an up-to-date web browser. </w:t>
      </w:r>
      <w:r w:rsidR="00216E92">
        <w:t>Both</w:t>
      </w:r>
      <w:r w:rsidRPr="00956689" w:rsidR="00216E92">
        <w:t xml:space="preserve"> </w:t>
      </w:r>
      <w:r w:rsidRPr="00956689">
        <w:t>survey</w:t>
      </w:r>
      <w:r w:rsidR="00216E92">
        <w:t>s</w:t>
      </w:r>
      <w:r w:rsidRPr="00956689">
        <w:t xml:space="preserve"> </w:t>
      </w:r>
      <w:r w:rsidR="00216E92">
        <w:t>are</w:t>
      </w:r>
      <w:r w:rsidRPr="00956689" w:rsidR="00216E92">
        <w:t xml:space="preserve"> </w:t>
      </w:r>
      <w:r w:rsidRPr="00956689">
        <w:t xml:space="preserve">designed to be easily understandable by </w:t>
      </w:r>
      <w:r w:rsidR="00AB6997">
        <w:t xml:space="preserve">mandatory </w:t>
      </w:r>
      <w:r w:rsidRPr="00956689">
        <w:t>and discretionary grantee administrators</w:t>
      </w:r>
      <w:r w:rsidR="00E0726A">
        <w:t xml:space="preserve"> and program implementers</w:t>
      </w:r>
      <w:r w:rsidRPr="00956689">
        <w:t xml:space="preserve">. </w:t>
      </w:r>
      <w:r w:rsidR="00A5369E">
        <w:t>To reduce the burden of completing the survey</w:t>
      </w:r>
      <w:r w:rsidR="00216E92">
        <w:t>s</w:t>
      </w:r>
      <w:r w:rsidR="00A5369E">
        <w:t>,</w:t>
      </w:r>
      <w:r w:rsidRPr="00956689">
        <w:t xml:space="preserve"> </w:t>
      </w:r>
      <w:r w:rsidR="00A5369E">
        <w:t xml:space="preserve">simple </w:t>
      </w:r>
      <w:r w:rsidRPr="00956689">
        <w:t>response scales (e.g., yes/no or 5-level response scales) have been selected for most questions. No questions in the survey require arithmetic calculations or ask for exact numbers. Open text responses have been held to a minimum in the survey</w:t>
      </w:r>
      <w:r w:rsidR="00A5369E">
        <w:t>; there is</w:t>
      </w:r>
      <w:r w:rsidRPr="00956689">
        <w:t xml:space="preserve"> only one item where an open text response is </w:t>
      </w:r>
      <w:r w:rsidR="00A5369E">
        <w:t>expected</w:t>
      </w:r>
      <w:r w:rsidRPr="00956689">
        <w:t>. All information requested should be readily available in the survey respondents’ business records or in their direct knowledge</w:t>
      </w:r>
      <w:r w:rsidR="00216E92">
        <w:t>. T</w:t>
      </w:r>
      <w:r w:rsidRPr="00956689">
        <w:t xml:space="preserve">he </w:t>
      </w:r>
      <w:r w:rsidR="00216E92">
        <w:t xml:space="preserve">grantee </w:t>
      </w:r>
      <w:r w:rsidRPr="00956689">
        <w:t>survey should take no more than 40 minutes to complete under normal circumstances</w:t>
      </w:r>
      <w:r w:rsidR="00216E92">
        <w:t>, while the implementation survey should take no more than 35 minutes to complete</w:t>
      </w:r>
      <w:r w:rsidRPr="00956689">
        <w:t>.</w:t>
      </w:r>
      <w:r w:rsidR="00A5369E">
        <w:t xml:space="preserve"> </w:t>
      </w:r>
      <w:r w:rsidRPr="00956689" w:rsidR="00A5369E">
        <w:t>Additionally, the survey</w:t>
      </w:r>
      <w:r w:rsidR="005F2717">
        <w:t>s</w:t>
      </w:r>
      <w:r w:rsidRPr="00956689" w:rsidR="00A5369E">
        <w:t xml:space="preserve"> </w:t>
      </w:r>
      <w:r w:rsidRPr="00956689" w:rsidR="005F2717">
        <w:t>ha</w:t>
      </w:r>
      <w:r w:rsidR="005F2717">
        <w:t>ve</w:t>
      </w:r>
      <w:r w:rsidRPr="00956689" w:rsidR="005F2717">
        <w:t xml:space="preserve"> </w:t>
      </w:r>
      <w:r w:rsidRPr="00956689" w:rsidR="00A5369E">
        <w:t xml:space="preserve">been reviewed by subject matter experts to ensure that </w:t>
      </w:r>
      <w:r w:rsidR="00A5369E">
        <w:t>all components are</w:t>
      </w:r>
      <w:r w:rsidRPr="00956689" w:rsidR="00A5369E">
        <w:t xml:space="preserve"> necessary to the research purpose</w:t>
      </w:r>
      <w:r w:rsidR="00A5369E">
        <w:t>.</w:t>
      </w:r>
    </w:p>
    <w:p w:rsidRPr="005444DF" w:rsidR="00956689" w:rsidP="00E92C70" w:rsidRDefault="00956689" w14:paraId="2DF339F4" w14:textId="3B62A32C">
      <w:pPr>
        <w:pStyle w:val="Heading3"/>
      </w:pPr>
      <w:bookmarkStart w:name="_Toc70317628" w:id="14"/>
      <w:bookmarkStart w:name="_Toc72140633" w:id="15"/>
      <w:r w:rsidRPr="005444DF">
        <w:lastRenderedPageBreak/>
        <w:t xml:space="preserve">A.6. Consequences if Information </w:t>
      </w:r>
      <w:r w:rsidR="005F2717">
        <w:t xml:space="preserve">Not Collected or </w:t>
      </w:r>
      <w:r w:rsidRPr="005444DF">
        <w:t>Collected Less Frequently</w:t>
      </w:r>
      <w:bookmarkEnd w:id="14"/>
      <w:bookmarkEnd w:id="15"/>
    </w:p>
    <w:p w:rsidRPr="00734298" w:rsidR="00BC68CD" w:rsidP="00734298" w:rsidRDefault="006A4DFC" w14:paraId="53106D97" w14:textId="54154AFE">
      <w:r>
        <w:t xml:space="preserve">If the </w:t>
      </w:r>
      <w:r w:rsidRPr="00734298" w:rsidR="00BC68CD">
        <w:t xml:space="preserve">data collection </w:t>
      </w:r>
      <w:r>
        <w:t xml:space="preserve">is not conducted, ACL will not obtain the direct information necessary to </w:t>
      </w:r>
      <w:r w:rsidR="00BC68CD">
        <w:t>understand and improv</w:t>
      </w:r>
      <w:r w:rsidR="0089163F">
        <w:t>e</w:t>
      </w:r>
      <w:r w:rsidR="00BC68CD">
        <w:t xml:space="preserve"> current processes for maintaining fidelity to evidence-based program models</w:t>
      </w:r>
      <w:r>
        <w:t xml:space="preserve"> in the programs it funds</w:t>
      </w:r>
      <w:r w:rsidR="00BC68CD">
        <w:t xml:space="preserve">. </w:t>
      </w:r>
      <w:r w:rsidRPr="00956689" w:rsidR="00BC68CD">
        <w:t>Data for th</w:t>
      </w:r>
      <w:r w:rsidR="00BC68CD">
        <w:t>is</w:t>
      </w:r>
      <w:r w:rsidRPr="00956689" w:rsidR="00BC68CD">
        <w:t xml:space="preserve"> </w:t>
      </w:r>
      <w:r w:rsidR="00BC68CD">
        <w:t>Fidelity</w:t>
      </w:r>
      <w:r w:rsidRPr="00956689" w:rsidR="00BC68CD">
        <w:t xml:space="preserve"> </w:t>
      </w:r>
      <w:r w:rsidR="00BC68CD">
        <w:t>E</w:t>
      </w:r>
      <w:r w:rsidRPr="00956689" w:rsidR="00BC68CD">
        <w:t xml:space="preserve">valuation will only be collected once. </w:t>
      </w:r>
      <w:r>
        <w:t>There are no technical or legal obstacles to conducting the surveys as planned in order to minimize burden.</w:t>
      </w:r>
      <w:r w:rsidR="00BC68CD">
        <w:t xml:space="preserve"> </w:t>
      </w:r>
    </w:p>
    <w:p w:rsidRPr="005444DF" w:rsidR="003159C0" w:rsidP="00E92C70" w:rsidRDefault="00956689" w14:paraId="2F09B490" w14:textId="037C0916">
      <w:pPr>
        <w:pStyle w:val="Heading3"/>
      </w:pPr>
      <w:bookmarkStart w:name="_Toc70317629" w:id="16"/>
      <w:bookmarkStart w:name="_Toc72140634" w:id="17"/>
      <w:r w:rsidRPr="005444DF">
        <w:t>A.7. Consistency with Guidelines of 5 CFR 1320(d)</w:t>
      </w:r>
      <w:bookmarkEnd w:id="16"/>
      <w:bookmarkEnd w:id="17"/>
    </w:p>
    <w:p w:rsidRPr="00956689" w:rsidR="00956689" w:rsidP="00956689" w:rsidRDefault="00956689" w14:paraId="565FFEEB" w14:textId="77777777">
      <w:r w:rsidRPr="00956689">
        <w:t>This data collection request is fully consistent with the guidelines in 5 CFR 1320.8(d). There are no special circumstances required for the collection of information in this data collection.</w:t>
      </w:r>
    </w:p>
    <w:p w:rsidRPr="005444DF" w:rsidR="00956689" w:rsidP="00E92C70" w:rsidRDefault="00956689" w14:paraId="6E9F0C81" w14:textId="3FFC20C5">
      <w:pPr>
        <w:pStyle w:val="Heading3"/>
      </w:pPr>
      <w:bookmarkStart w:name="_Toc70317630" w:id="18"/>
      <w:bookmarkStart w:name="_Toc72140635" w:id="19"/>
      <w:r w:rsidRPr="005444DF">
        <w:t>A.8. Comments in Response to the Federal Register Notice and Efforts to Consult Outside the Agency</w:t>
      </w:r>
      <w:bookmarkEnd w:id="18"/>
      <w:bookmarkEnd w:id="19"/>
    </w:p>
    <w:p w:rsidRPr="00956689" w:rsidR="00956689" w:rsidP="00956689" w:rsidRDefault="00956689" w14:paraId="66AF993D" w14:textId="5F78DF75">
      <w:bookmarkStart w:name="_Hlk88041372" w:id="20"/>
      <w:r w:rsidRPr="00956689">
        <w:t xml:space="preserve">In accordance with the </w:t>
      </w:r>
      <w:r w:rsidR="005444DF">
        <w:t>P</w:t>
      </w:r>
      <w:r w:rsidRPr="00956689">
        <w:t xml:space="preserve">aperwork Reduction Act </w:t>
      </w:r>
      <w:r w:rsidR="005444DF">
        <w:t xml:space="preserve">(PRA) </w:t>
      </w:r>
      <w:r w:rsidRPr="00956689">
        <w:t xml:space="preserve">of 1995, the notice required in 5 CFR 1320.8(d) has been published in the </w:t>
      </w:r>
      <w:r w:rsidRPr="00956689">
        <w:rPr>
          <w:i/>
          <w:iCs/>
        </w:rPr>
        <w:t>Federal Register</w:t>
      </w:r>
      <w:r w:rsidRPr="00956689">
        <w:t xml:space="preserve"> announcing ACL’s intention to request an OMB review of data collection activities. T</w:t>
      </w:r>
      <w:bookmarkEnd w:id="20"/>
      <w:r w:rsidRPr="00956689">
        <w:t xml:space="preserve">his notice </w:t>
      </w:r>
      <w:r w:rsidR="005444DF">
        <w:t xml:space="preserve">was </w:t>
      </w:r>
      <w:r w:rsidRPr="00956689">
        <w:t>published on</w:t>
      </w:r>
      <w:r w:rsidR="00D748FF">
        <w:t xml:space="preserve"> July 12,</w:t>
      </w:r>
      <w:r w:rsidR="00A62041">
        <w:t xml:space="preserve"> 2021</w:t>
      </w:r>
      <w:r w:rsidRPr="00956689">
        <w:t xml:space="preserve">, in volume </w:t>
      </w:r>
      <w:r w:rsidR="007A7CD9">
        <w:t>86</w:t>
      </w:r>
      <w:r w:rsidRPr="00956689">
        <w:t xml:space="preserve">, number </w:t>
      </w:r>
      <w:r w:rsidR="007A7CD9">
        <w:t>13720</w:t>
      </w:r>
      <w:r w:rsidRPr="00956689">
        <w:t>, on page</w:t>
      </w:r>
      <w:r w:rsidR="007A7CD9">
        <w:t>s 36558-36559</w:t>
      </w:r>
      <w:r w:rsidRPr="00956689">
        <w:t xml:space="preserve"> and provided a 60-day period for public comment. ACL did not receive any comments during the 60-day public comment period for the </w:t>
      </w:r>
      <w:r>
        <w:t>Fidelity Evaluation</w:t>
      </w:r>
      <w:r w:rsidRPr="00956689">
        <w:t xml:space="preserve"> PRA</w:t>
      </w:r>
      <w:r w:rsidR="00A62041">
        <w:t xml:space="preserve"> notice</w:t>
      </w:r>
      <w:r w:rsidRPr="00956689">
        <w:t xml:space="preserve">. </w:t>
      </w:r>
    </w:p>
    <w:p w:rsidRPr="00956689" w:rsidR="00956689" w:rsidP="00956689" w:rsidRDefault="00DF6E6B" w14:paraId="20BA76DD" w14:textId="2FB4C0E0">
      <w:r w:rsidRPr="00DF6E6B">
        <w:t xml:space="preserve">In accordance with the Paperwork Reduction Act (PRA) of 1995, </w:t>
      </w:r>
      <w:r>
        <w:t xml:space="preserve">a 30-day Federal Notice </w:t>
      </w:r>
      <w:r w:rsidRPr="00DF6E6B">
        <w:t xml:space="preserve">published in the </w:t>
      </w:r>
      <w:r w:rsidRPr="00DF6E6B">
        <w:rPr>
          <w:i/>
          <w:iCs/>
        </w:rPr>
        <w:t>Federal Register</w:t>
      </w:r>
      <w:r w:rsidRPr="00DF6E6B">
        <w:t xml:space="preserve"> announcing ACL’s intention to request an OMB review of data collection activities. </w:t>
      </w:r>
      <w:r>
        <w:t xml:space="preserve">A </w:t>
      </w:r>
      <w:r w:rsidRPr="00956689" w:rsidR="00956689">
        <w:t xml:space="preserve">30-day notice </w:t>
      </w:r>
      <w:r w:rsidR="00956689">
        <w:t xml:space="preserve">was </w:t>
      </w:r>
      <w:r w:rsidRPr="00956689" w:rsidR="00956689">
        <w:t xml:space="preserve">published on </w:t>
      </w:r>
      <w:r>
        <w:t xml:space="preserve">November 16, </w:t>
      </w:r>
      <w:r w:rsidRPr="00956689" w:rsidR="00956689">
        <w:t>202</w:t>
      </w:r>
      <w:r w:rsidR="00956689">
        <w:t>1</w:t>
      </w:r>
      <w:r w:rsidRPr="00956689" w:rsidR="00956689">
        <w:t xml:space="preserve">, in volume </w:t>
      </w:r>
      <w:r w:rsidRPr="00DF6E6B">
        <w:t>86</w:t>
      </w:r>
      <w:r w:rsidRPr="00956689" w:rsidR="00956689">
        <w:t xml:space="preserve">, </w:t>
      </w:r>
      <w:r>
        <w:t xml:space="preserve">number </w:t>
      </w:r>
      <w:r w:rsidRPr="00DF6E6B">
        <w:t>24923</w:t>
      </w:r>
      <w:r>
        <w:t xml:space="preserve"> </w:t>
      </w:r>
      <w:r w:rsidRPr="00956689" w:rsidR="00956689">
        <w:t xml:space="preserve">on page </w:t>
      </w:r>
      <w:r w:rsidRPr="00DF6E6B">
        <w:t>63401</w:t>
      </w:r>
      <w:r>
        <w:t>.</w:t>
      </w:r>
    </w:p>
    <w:p w:rsidRPr="00956689" w:rsidR="00956689" w:rsidP="00956689" w:rsidRDefault="00956689" w14:paraId="30227D71" w14:textId="0C41B52D">
      <w:r w:rsidRPr="00956689">
        <w:t xml:space="preserve">The surveys were developed by ACL and its contractor, </w:t>
      </w:r>
      <w:r w:rsidR="00380791">
        <w:t>Health Services Advisory Group, Inc. (HSAG)</w:t>
      </w:r>
      <w:r w:rsidRPr="00956689">
        <w:t xml:space="preserve">. </w:t>
      </w:r>
      <w:r w:rsidR="00DF6E6B">
        <w:t>External i</w:t>
      </w:r>
      <w:r w:rsidRPr="00956689">
        <w:t xml:space="preserve">nput and feedback on the surveys were sought from </w:t>
      </w:r>
      <w:r w:rsidR="00380791">
        <w:t xml:space="preserve">Kathleen Zuke and Jennifer Tripken, </w:t>
      </w:r>
      <w:r w:rsidR="00A62041">
        <w:t>National Council on Aging (</w:t>
      </w:r>
      <w:r w:rsidR="00380791">
        <w:t>N</w:t>
      </w:r>
      <w:r w:rsidR="00E0726A">
        <w:t>COA</w:t>
      </w:r>
      <w:r w:rsidR="00A62041">
        <w:t>)</w:t>
      </w:r>
      <w:r w:rsidR="00E0726A">
        <w:t xml:space="preserve"> Center for Healthy Aging, and </w:t>
      </w:r>
      <w:r w:rsidR="00380791">
        <w:t>Lesl</w:t>
      </w:r>
      <w:r w:rsidR="00E0726A">
        <w:t>ey</w:t>
      </w:r>
      <w:r w:rsidR="00380791">
        <w:t xml:space="preserve"> Steinman, </w:t>
      </w:r>
      <w:r w:rsidR="00E0726A">
        <w:t>University of Washington</w:t>
      </w:r>
      <w:r w:rsidR="004B394C">
        <w:t xml:space="preserve">, Member of </w:t>
      </w:r>
      <w:r w:rsidR="00A62041">
        <w:t xml:space="preserve">the </w:t>
      </w:r>
      <w:r w:rsidR="004B394C">
        <w:t>Board of Directors, Evidence Based Leadership Collaborative</w:t>
      </w:r>
      <w:r w:rsidRPr="00956689">
        <w:t xml:space="preserve">. </w:t>
      </w:r>
    </w:p>
    <w:p w:rsidRPr="00380791" w:rsidR="00380791" w:rsidP="00BB3C9C" w:rsidRDefault="00380791" w14:paraId="77F31FBB" w14:textId="013C0C78">
      <w:pPr>
        <w:pStyle w:val="Heading3"/>
      </w:pPr>
      <w:bookmarkStart w:name="_Toc70317631" w:id="21"/>
      <w:bookmarkStart w:name="_Toc72140636" w:id="22"/>
      <w:r w:rsidRPr="00380791">
        <w:t>A.9.</w:t>
      </w:r>
      <w:r w:rsidR="005444DF">
        <w:t xml:space="preserve"> </w:t>
      </w:r>
      <w:r w:rsidRPr="00380791">
        <w:t>Explanation of any Payment or Gift to Respondents</w:t>
      </w:r>
      <w:bookmarkEnd w:id="21"/>
      <w:bookmarkEnd w:id="22"/>
    </w:p>
    <w:p w:rsidRPr="00380791" w:rsidR="00380791" w:rsidP="00380791" w:rsidRDefault="004518BF" w14:paraId="45152E63" w14:textId="6AE8C18D">
      <w:r>
        <w:t>N</w:t>
      </w:r>
      <w:r w:rsidRPr="00380791" w:rsidR="00380791">
        <w:t xml:space="preserve">o respondent group will be offered any payments or gifts for their participation in the study. </w:t>
      </w:r>
    </w:p>
    <w:p w:rsidRPr="001E3120" w:rsidR="00380791" w:rsidP="006D6420" w:rsidRDefault="00380791" w14:paraId="427AE521" w14:textId="3ADD8E18">
      <w:pPr>
        <w:pStyle w:val="Heading3"/>
      </w:pPr>
      <w:bookmarkStart w:name="_Toc267041914" w:id="23"/>
      <w:bookmarkStart w:name="_Toc451350302" w:id="24"/>
      <w:bookmarkStart w:name="_Toc70317632" w:id="25"/>
      <w:bookmarkStart w:name="_Toc72140637" w:id="26"/>
      <w:r w:rsidRPr="00380791">
        <w:t>A.10.</w:t>
      </w:r>
      <w:r w:rsidR="00A62041">
        <w:t xml:space="preserve"> </w:t>
      </w:r>
      <w:r w:rsidRPr="00380791">
        <w:t>Assurance of Confidentiality</w:t>
      </w:r>
      <w:bookmarkEnd w:id="23"/>
      <w:r w:rsidRPr="00380791">
        <w:t xml:space="preserve"> Provided to Respondents</w:t>
      </w:r>
      <w:bookmarkEnd w:id="24"/>
      <w:bookmarkEnd w:id="25"/>
      <w:bookmarkEnd w:id="26"/>
    </w:p>
    <w:p w:rsidR="00DF6E6B" w:rsidP="00380791" w:rsidRDefault="0015629A" w14:paraId="046255FD" w14:textId="77777777">
      <w:r>
        <w:t xml:space="preserve">No data will be sought from </w:t>
      </w:r>
      <w:r w:rsidR="00FB7640">
        <w:t xml:space="preserve">individuals participating in programs, and the survey questions do not request any data that could potentially be personally identifiable data. </w:t>
      </w:r>
      <w:r w:rsidR="006D6420">
        <w:t>Although n</w:t>
      </w:r>
      <w:r w:rsidR="00806CBA">
        <w:t xml:space="preserve">o assurance of confidentiality is provided to survey respondents, </w:t>
      </w:r>
      <w:r w:rsidR="006D6420">
        <w:t>ACL is committed to protecting</w:t>
      </w:r>
      <w:r w:rsidR="00806CBA">
        <w:t xml:space="preserve"> their privacy </w:t>
      </w:r>
      <w:r w:rsidR="006D6420">
        <w:t>as part of this data collection activity</w:t>
      </w:r>
      <w:r w:rsidR="00806CBA">
        <w:t xml:space="preserve">. </w:t>
      </w:r>
    </w:p>
    <w:p w:rsidR="008D370A" w:rsidP="00380791" w:rsidRDefault="00380791" w14:paraId="57D86550" w14:textId="4B8976D1">
      <w:r w:rsidRPr="00380791">
        <w:lastRenderedPageBreak/>
        <w:t>Respondents will be informed of the purposes for which the information is collected</w:t>
      </w:r>
      <w:r w:rsidR="0005004A">
        <w:t xml:space="preserve"> in a survey invitation email</w:t>
      </w:r>
      <w:r w:rsidR="00FB7640">
        <w:t>, which will inform them that their participation is strictly voluntary</w:t>
      </w:r>
      <w:r w:rsidR="0005004A">
        <w:t>. T</w:t>
      </w:r>
      <w:r w:rsidR="006D6420">
        <w:t xml:space="preserve">he invitation email </w:t>
      </w:r>
      <w:r w:rsidR="0005004A">
        <w:t xml:space="preserve">will provide a unique link and login information for </w:t>
      </w:r>
      <w:r w:rsidR="00FB7640">
        <w:t xml:space="preserve">each respondent to complete </w:t>
      </w:r>
      <w:r w:rsidR="0005004A">
        <w:t>the web-based survey</w:t>
      </w:r>
      <w:r w:rsidRPr="00380791">
        <w:t xml:space="preserve">. </w:t>
      </w:r>
    </w:p>
    <w:p w:rsidRPr="00380791" w:rsidR="00A811FE" w:rsidP="00A811FE" w:rsidRDefault="00A811FE" w14:paraId="40E55ECC" w14:textId="2B9E2CC9">
      <w:r w:rsidRPr="00380791">
        <w:t xml:space="preserve">Special steps will be taken to ensure that data collected via the </w:t>
      </w:r>
      <w:r>
        <w:t>w</w:t>
      </w:r>
      <w:r w:rsidRPr="00380791">
        <w:t xml:space="preserve">eb </w:t>
      </w:r>
      <w:r>
        <w:t>survey</w:t>
      </w:r>
      <w:r w:rsidR="00216E92">
        <w:t>s</w:t>
      </w:r>
      <w:r w:rsidRPr="00380791">
        <w:t xml:space="preserve"> are secure. </w:t>
      </w:r>
      <w:r>
        <w:t>A</w:t>
      </w:r>
      <w:r w:rsidRPr="00380791">
        <w:t xml:space="preserve">ccess to the </w:t>
      </w:r>
      <w:r w:rsidR="006A29A6">
        <w:t>survey</w:t>
      </w:r>
      <w:r w:rsidRPr="00380791">
        <w:t xml:space="preserve"> is only allowed with valid login </w:t>
      </w:r>
      <w:r>
        <w:t xml:space="preserve">information (i.e., </w:t>
      </w:r>
      <w:r w:rsidRPr="00380791">
        <w:t>username and password</w:t>
      </w:r>
      <w:r>
        <w:t>)</w:t>
      </w:r>
      <w:r w:rsidRPr="00380791">
        <w:t xml:space="preserve">. </w:t>
      </w:r>
    </w:p>
    <w:p w:rsidRPr="00380791" w:rsidR="00380791" w:rsidP="00380791" w:rsidRDefault="00380791" w14:paraId="404154D7" w14:textId="310E99F7">
      <w:r w:rsidRPr="00380791">
        <w:t xml:space="preserve">ACL </w:t>
      </w:r>
      <w:r w:rsidR="00A811FE">
        <w:t>will</w:t>
      </w:r>
      <w:r w:rsidRPr="00380791" w:rsidR="00A811FE">
        <w:t xml:space="preserve"> </w:t>
      </w:r>
      <w:r w:rsidRPr="00380791">
        <w:t xml:space="preserve">publish aggregate statistics </w:t>
      </w:r>
      <w:r w:rsidR="008D4E9C">
        <w:t>summarizing</w:t>
      </w:r>
      <w:r w:rsidRPr="00380791" w:rsidR="008D4E9C">
        <w:t xml:space="preserve"> </w:t>
      </w:r>
      <w:r w:rsidRPr="00380791">
        <w:t xml:space="preserve">the survey responses in a report. Individual respondents will not be identified in any report, publication, or presentation of this study or its results. </w:t>
      </w:r>
    </w:p>
    <w:p w:rsidRPr="00D443CC" w:rsidR="00BA26D7" w:rsidP="00D443CC" w:rsidRDefault="00BA26D7" w14:paraId="41F94364" w14:textId="6F5B7E41">
      <w:pPr>
        <w:pStyle w:val="Heading3"/>
      </w:pPr>
      <w:bookmarkStart w:name="_Toc267041915" w:id="27"/>
      <w:bookmarkStart w:name="_Toc451350303" w:id="28"/>
      <w:bookmarkStart w:name="_Toc72140638" w:id="29"/>
      <w:r w:rsidRPr="00D443CC">
        <w:t>A.11.</w:t>
      </w:r>
      <w:bookmarkEnd w:id="27"/>
      <w:r w:rsidRPr="00D443CC" w:rsidR="0092347D">
        <w:t xml:space="preserve"> </w:t>
      </w:r>
      <w:r w:rsidRPr="00D443CC">
        <w:t>Justification for Sensitive Questions</w:t>
      </w:r>
      <w:bookmarkEnd w:id="28"/>
      <w:bookmarkEnd w:id="29"/>
    </w:p>
    <w:p w:rsidR="00BA26D7" w:rsidP="00BA26D7" w:rsidRDefault="00BA26D7" w14:paraId="129B28C0" w14:textId="2FF0AE65">
      <w:r w:rsidRPr="00BA26D7">
        <w:t xml:space="preserve">No questions of a sensitive nature will be asked </w:t>
      </w:r>
      <w:r w:rsidR="00FB7640">
        <w:t xml:space="preserve">in </w:t>
      </w:r>
      <w:r w:rsidRPr="00BA26D7">
        <w:t xml:space="preserve">the surveys. Questions are restricted to </w:t>
      </w:r>
      <w:r w:rsidR="00B51227">
        <w:t>grantees</w:t>
      </w:r>
      <w:r w:rsidRPr="00BA26D7">
        <w:t xml:space="preserve">’ understanding of and experiences with </w:t>
      </w:r>
      <w:r w:rsidR="00224C96">
        <w:t>evidence-based</w:t>
      </w:r>
      <w:r w:rsidRPr="00BA26D7" w:rsidR="00B51227">
        <w:t xml:space="preserve"> </w:t>
      </w:r>
      <w:r w:rsidRPr="00BA26D7">
        <w:t>program</w:t>
      </w:r>
      <w:r w:rsidR="00B51227">
        <w:t>s</w:t>
      </w:r>
      <w:r w:rsidR="00FB7640">
        <w:t xml:space="preserve"> funded </w:t>
      </w:r>
      <w:r w:rsidR="00BB4208">
        <w:t xml:space="preserve">by ACL </w:t>
      </w:r>
      <w:r w:rsidR="00FB7640">
        <w:t>under the OAA</w:t>
      </w:r>
      <w:r w:rsidRPr="00BA26D7">
        <w:t>.</w:t>
      </w:r>
    </w:p>
    <w:p w:rsidRPr="001E3120" w:rsidR="00BA26D7" w:rsidP="00224C96" w:rsidRDefault="00BA26D7" w14:paraId="722FE0FA" w14:textId="1A68DBC0">
      <w:pPr>
        <w:pStyle w:val="Heading3"/>
      </w:pPr>
      <w:bookmarkStart w:name="_Toc451350304" w:id="30"/>
      <w:bookmarkStart w:name="_Toc70317633" w:id="31"/>
      <w:bookmarkStart w:name="_Toc72140639" w:id="32"/>
      <w:r w:rsidRPr="00BA26D7">
        <w:t>A.12.</w:t>
      </w:r>
      <w:r w:rsidR="007458B9">
        <w:t xml:space="preserve"> </w:t>
      </w:r>
      <w:r w:rsidRPr="00BA26D7">
        <w:t>Estimates of Annualized Hour Burden and Costs</w:t>
      </w:r>
      <w:bookmarkEnd w:id="30"/>
      <w:bookmarkEnd w:id="31"/>
      <w:bookmarkEnd w:id="32"/>
    </w:p>
    <w:p w:rsidRPr="00721B07" w:rsidR="00721B07" w:rsidP="00BA26D7" w:rsidRDefault="00FB7640" w14:paraId="7DF7C428" w14:textId="243E8020">
      <w:r>
        <w:t>The d</w:t>
      </w:r>
      <w:r w:rsidR="00721B07">
        <w:t xml:space="preserve">ata collection </w:t>
      </w:r>
      <w:r>
        <w:t>tool</w:t>
      </w:r>
      <w:r w:rsidR="00153DE4">
        <w:t>s</w:t>
      </w:r>
      <w:r>
        <w:t>/</w:t>
      </w:r>
      <w:r w:rsidR="00721B07">
        <w:t xml:space="preserve">survey instruments </w:t>
      </w:r>
      <w:r>
        <w:t xml:space="preserve">discussed here </w:t>
      </w:r>
      <w:r w:rsidR="00721B07">
        <w:t xml:space="preserve">will be fielded one time only to the appropriate grantee audience. </w:t>
      </w:r>
      <w:r w:rsidR="00A811FE">
        <w:t xml:space="preserve">Burdens, therefore, will be one-time only, not annual. Because the number of respondents is limited, the survey is relatively brief, and information requests will be limited to records and resources respondents are expected to have readily at hand as part of their business operations, the burden will be small. </w:t>
      </w:r>
      <w:r w:rsidR="00721B07">
        <w:t xml:space="preserve">Below are estimates of the </w:t>
      </w:r>
      <w:r w:rsidR="00A811FE">
        <w:t>expected</w:t>
      </w:r>
      <w:r w:rsidR="00721B07">
        <w:t xml:space="preserve"> time to complete the survey.</w:t>
      </w:r>
    </w:p>
    <w:p w:rsidR="000849B4" w:rsidP="00BA26D7" w:rsidRDefault="006C3DA2" w14:paraId="24A30BA7" w14:textId="369191DE">
      <w:r w:rsidRPr="00224C96">
        <w:rPr>
          <w:b/>
          <w:bCs/>
        </w:rPr>
        <w:t>Grantee Survey</w:t>
      </w:r>
      <w:r>
        <w:t xml:space="preserve">: </w:t>
      </w:r>
      <w:r w:rsidR="00BA26D7">
        <w:t xml:space="preserve">SUAs for all 50 states and </w:t>
      </w:r>
      <w:r w:rsidR="00721B07">
        <w:t>6</w:t>
      </w:r>
      <w:r w:rsidR="00F358A8">
        <w:t xml:space="preserve"> U.S.</w:t>
      </w:r>
      <w:r w:rsidR="00721B07">
        <w:t xml:space="preserve"> </w:t>
      </w:r>
      <w:r w:rsidR="00BA26D7">
        <w:t xml:space="preserve">territories </w:t>
      </w:r>
      <w:r w:rsidR="005C64A5">
        <w:t xml:space="preserve">and all 47 distinct discretionary grant recipients </w:t>
      </w:r>
      <w:r w:rsidR="00BA26D7">
        <w:t xml:space="preserve">will be invited to complete a survey estimated to take </w:t>
      </w:r>
      <w:r w:rsidR="00933333">
        <w:t xml:space="preserve">at most </w:t>
      </w:r>
      <w:r w:rsidR="00BA26D7">
        <w:t>40 minutes to complete.</w:t>
      </w:r>
      <w:r w:rsidR="002F02DB">
        <w:rPr>
          <w:rStyle w:val="FootnoteReference"/>
        </w:rPr>
        <w:footnoteReference w:id="5"/>
      </w:r>
      <w:r w:rsidR="005C64A5">
        <w:t xml:space="preserve"> The survey </w:t>
      </w:r>
      <w:r w:rsidRPr="00E13E99" w:rsidR="005C64A5">
        <w:t xml:space="preserve">includes </w:t>
      </w:r>
      <w:r w:rsidRPr="00E13E99" w:rsidR="0061435D">
        <w:t>7</w:t>
      </w:r>
      <w:r w:rsidRPr="00E13E99" w:rsidR="00E849D6">
        <w:t>1</w:t>
      </w:r>
      <w:r w:rsidRPr="00E13E99" w:rsidR="005C64A5">
        <w:t xml:space="preserve"> items</w:t>
      </w:r>
      <w:r w:rsidR="005F6BC9">
        <w:t xml:space="preserve">, most of which are single response or select all that apply types of items. </w:t>
      </w:r>
      <w:r w:rsidR="000849B4">
        <w:t xml:space="preserve">The survey includes skip patterns based on organizational characteristics and responses to gateway questions, meaning that many </w:t>
      </w:r>
      <w:r w:rsidR="00A811FE">
        <w:t xml:space="preserve">if not most </w:t>
      </w:r>
      <w:r w:rsidR="000849B4">
        <w:t xml:space="preserve">respondents will be asked to complete </w:t>
      </w:r>
      <w:r w:rsidRPr="00E13E99" w:rsidR="000849B4">
        <w:t>fewer than 7</w:t>
      </w:r>
      <w:r w:rsidRPr="00E13E99" w:rsidR="00E849D6">
        <w:t>1</w:t>
      </w:r>
      <w:r w:rsidRPr="00E13E99" w:rsidR="000849B4">
        <w:t xml:space="preserve"> items</w:t>
      </w:r>
      <w:r w:rsidR="000849B4">
        <w:t xml:space="preserve">. Because our time estimate was based on the time it would take to complete all items, it is likely an overestimate. No calculations or precise numeric responses are required. One item requests an open-text response that would not be expected to exceed 3 sentences in length. </w:t>
      </w:r>
    </w:p>
    <w:p w:rsidR="00DF6E6B" w:rsidRDefault="006C3DA2" w14:paraId="602D18A5" w14:textId="77777777">
      <w:r w:rsidRPr="00224C96">
        <w:rPr>
          <w:b/>
          <w:bCs/>
        </w:rPr>
        <w:t>Implementation Organization Survey</w:t>
      </w:r>
      <w:r>
        <w:t xml:space="preserve">: </w:t>
      </w:r>
      <w:r w:rsidR="00A72EE3">
        <w:t xml:space="preserve">We intend to sample 4 implementation organizations for each of the 56 SUAs and 47 discretionary grantees, so the </w:t>
      </w:r>
      <w:r w:rsidR="00665BDE">
        <w:t xml:space="preserve">theoretical maximum number of implementation organizations to be invited is 412. </w:t>
      </w:r>
      <w:r w:rsidR="002F02DB">
        <w:t xml:space="preserve">The actual number of implementation organizations that will be invited to participate in the survey </w:t>
      </w:r>
      <w:r w:rsidR="00CB1558">
        <w:t>may be smaller, since t</w:t>
      </w:r>
      <w:r w:rsidR="002F02DB">
        <w:t xml:space="preserve">hese organizations are subgrantees or contractors to the grantees, and sampling will </w:t>
      </w:r>
      <w:r w:rsidR="00CB1558">
        <w:t xml:space="preserve">depend on </w:t>
      </w:r>
      <w:r w:rsidR="002F02DB">
        <w:t xml:space="preserve">the cooperation of the grantees. </w:t>
      </w:r>
    </w:p>
    <w:p w:rsidR="00CB1558" w:rsidRDefault="002F02DB" w14:paraId="4A31FA9B" w14:textId="73A01AB2">
      <w:r>
        <w:lastRenderedPageBreak/>
        <w:t>See Part B of this statement for details on the sampling methodology.</w:t>
      </w:r>
      <w:r w:rsidR="00CB1558">
        <w:t xml:space="preserve"> </w:t>
      </w:r>
      <w:r w:rsidR="00C928F8">
        <w:t>The implementation organization survey is based on the grantee survey but is shorter at</w:t>
      </w:r>
      <w:r w:rsidR="00E13E99">
        <w:t xml:space="preserve"> 65 </w:t>
      </w:r>
      <w:r w:rsidR="00C928F8">
        <w:t>items. Estimated completion time is at most 35 minutes.</w:t>
      </w:r>
    </w:p>
    <w:p w:rsidR="00BA26D7" w:rsidP="00BA26D7" w:rsidRDefault="00BA26D7" w14:paraId="4A4F19CC" w14:textId="050C3208">
      <w:r w:rsidRPr="00BF140D">
        <w:t xml:space="preserve">Exhibit 2 presents estimates of the </w:t>
      </w:r>
      <w:r w:rsidR="00BE5387">
        <w:t xml:space="preserve">total one-time reporting </w:t>
      </w:r>
      <w:r w:rsidRPr="00BF140D">
        <w:t xml:space="preserve">burden for respondents and Exhibit 3 presents estimates of </w:t>
      </w:r>
      <w:r w:rsidR="00BE5387">
        <w:t xml:space="preserve">total one-time </w:t>
      </w:r>
      <w:r w:rsidRPr="00CB1558" w:rsidR="00BE5387">
        <w:t xml:space="preserve">reporting </w:t>
      </w:r>
      <w:r w:rsidRPr="00CB1558">
        <w:t>cost.</w:t>
      </w:r>
      <w:r w:rsidRPr="00BA26D7">
        <w:t xml:space="preserve"> </w:t>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4"/>
        <w:gridCol w:w="2014"/>
        <w:gridCol w:w="2014"/>
        <w:gridCol w:w="2014"/>
        <w:gridCol w:w="2014"/>
      </w:tblGrid>
      <w:tr w:rsidR="00C21047" w:rsidTr="00085093" w14:paraId="40D41495" w14:textId="77777777">
        <w:trPr>
          <w:cantSplit/>
          <w:tblHeader/>
        </w:trPr>
        <w:tc>
          <w:tcPr>
            <w:tcW w:w="10070" w:type="dxa"/>
            <w:gridSpan w:val="5"/>
            <w:tcBorders>
              <w:top w:val="single" w:color="auto" w:sz="12" w:space="0"/>
              <w:left w:val="nil"/>
              <w:bottom w:val="single" w:color="auto" w:sz="12" w:space="0"/>
              <w:right w:val="nil"/>
            </w:tcBorders>
          </w:tcPr>
          <w:p w:rsidR="00C21047" w:rsidP="00C21047" w:rsidRDefault="00C21047" w14:paraId="31D12DBA" w14:textId="30B47C65">
            <w:pPr>
              <w:pStyle w:val="HSAGTableHeading"/>
            </w:pPr>
            <w:r>
              <w:t>Exhibit 2: Estimated Reporting Burden for Respondents</w:t>
            </w:r>
          </w:p>
        </w:tc>
      </w:tr>
      <w:tr w:rsidR="00C21047" w:rsidTr="00085093" w14:paraId="5C756358" w14:textId="77777777">
        <w:trPr>
          <w:cantSplit/>
        </w:trPr>
        <w:tc>
          <w:tcPr>
            <w:tcW w:w="2014" w:type="dxa"/>
            <w:tcBorders>
              <w:top w:val="single" w:color="auto" w:sz="12" w:space="0"/>
            </w:tcBorders>
          </w:tcPr>
          <w:p w:rsidR="00C21047" w:rsidP="00C21047" w:rsidRDefault="00C21047" w14:paraId="1987E438" w14:textId="7699CE55">
            <w:pPr>
              <w:pStyle w:val="HSAGTableHeading"/>
            </w:pPr>
            <w:r>
              <w:t>Responded/Data Collection Activity</w:t>
            </w:r>
          </w:p>
        </w:tc>
        <w:tc>
          <w:tcPr>
            <w:tcW w:w="2014" w:type="dxa"/>
            <w:tcBorders>
              <w:top w:val="single" w:color="auto" w:sz="12" w:space="0"/>
            </w:tcBorders>
          </w:tcPr>
          <w:p w:rsidR="00C21047" w:rsidP="00C21047" w:rsidRDefault="00C21047" w14:paraId="0D4AEAD9" w14:textId="45BA32BA">
            <w:pPr>
              <w:pStyle w:val="HSAGTableHeading"/>
            </w:pPr>
            <w:r>
              <w:t>Number of Respondents</w:t>
            </w:r>
          </w:p>
        </w:tc>
        <w:tc>
          <w:tcPr>
            <w:tcW w:w="2014" w:type="dxa"/>
            <w:tcBorders>
              <w:top w:val="single" w:color="auto" w:sz="12" w:space="0"/>
            </w:tcBorders>
          </w:tcPr>
          <w:p w:rsidR="00C21047" w:rsidP="00C21047" w:rsidRDefault="00C21047" w14:paraId="0E204AA5" w14:textId="65335817">
            <w:pPr>
              <w:pStyle w:val="HSAGTableHeading"/>
            </w:pPr>
            <w:r>
              <w:t>Responses Per Respondent</w:t>
            </w:r>
          </w:p>
        </w:tc>
        <w:tc>
          <w:tcPr>
            <w:tcW w:w="2014" w:type="dxa"/>
            <w:tcBorders>
              <w:top w:val="single" w:color="auto" w:sz="12" w:space="0"/>
            </w:tcBorders>
          </w:tcPr>
          <w:p w:rsidR="00C21047" w:rsidP="00C21047" w:rsidRDefault="00C21047" w14:paraId="07DC5E2F" w14:textId="62DF37E0">
            <w:pPr>
              <w:pStyle w:val="HSAGTableHeading"/>
            </w:pPr>
            <w:r>
              <w:t>Hours Per Response</w:t>
            </w:r>
          </w:p>
        </w:tc>
        <w:tc>
          <w:tcPr>
            <w:tcW w:w="2014" w:type="dxa"/>
            <w:tcBorders>
              <w:top w:val="single" w:color="auto" w:sz="12" w:space="0"/>
            </w:tcBorders>
          </w:tcPr>
          <w:p w:rsidR="00C21047" w:rsidP="00C21047" w:rsidRDefault="00BE5387" w14:paraId="2C15D411" w14:textId="2209186B">
            <w:pPr>
              <w:pStyle w:val="HSAGTableHeading"/>
            </w:pPr>
            <w:r>
              <w:t>One-Time</w:t>
            </w:r>
            <w:r>
              <w:br/>
            </w:r>
            <w:r w:rsidR="00C21047">
              <w:t>Burden Hours</w:t>
            </w:r>
          </w:p>
        </w:tc>
      </w:tr>
      <w:tr w:rsidR="0061435D" w:rsidTr="00CB1558" w14:paraId="7D64E90D" w14:textId="77777777">
        <w:trPr>
          <w:cantSplit/>
        </w:trPr>
        <w:tc>
          <w:tcPr>
            <w:tcW w:w="2014" w:type="dxa"/>
          </w:tcPr>
          <w:p w:rsidR="0061435D" w:rsidP="0061435D" w:rsidRDefault="0061435D" w14:paraId="23267411" w14:textId="32A35A86">
            <w:pPr>
              <w:pStyle w:val="HSAGTableText"/>
            </w:pPr>
            <w:r>
              <w:t>Grantee</w:t>
            </w:r>
            <w:r w:rsidR="00CF531E">
              <w:t>: Program selection process and</w:t>
            </w:r>
            <w:r>
              <w:t xml:space="preserve"> </w:t>
            </w:r>
            <w:r w:rsidR="00CF531E">
              <w:t>s</w:t>
            </w:r>
            <w:r>
              <w:t>urvey</w:t>
            </w:r>
          </w:p>
        </w:tc>
        <w:tc>
          <w:tcPr>
            <w:tcW w:w="2014" w:type="dxa"/>
            <w:vAlign w:val="center"/>
          </w:tcPr>
          <w:p w:rsidR="0061435D" w:rsidP="0061435D" w:rsidRDefault="00CF531E" w14:paraId="153F8526" w14:textId="6BFA3B43">
            <w:pPr>
              <w:pStyle w:val="HSAGTableText"/>
              <w:jc w:val="center"/>
            </w:pPr>
            <w:r>
              <w:t>103</w:t>
            </w:r>
          </w:p>
        </w:tc>
        <w:tc>
          <w:tcPr>
            <w:tcW w:w="2014" w:type="dxa"/>
            <w:vAlign w:val="center"/>
          </w:tcPr>
          <w:p w:rsidR="0061435D" w:rsidP="0061435D" w:rsidRDefault="0061435D" w14:paraId="40E3B588" w14:textId="7C2B4E77">
            <w:pPr>
              <w:pStyle w:val="HSAGTableText"/>
              <w:jc w:val="center"/>
            </w:pPr>
            <w:r w:rsidRPr="00595C6A">
              <w:t>1</w:t>
            </w:r>
          </w:p>
        </w:tc>
        <w:tc>
          <w:tcPr>
            <w:tcW w:w="2014" w:type="dxa"/>
            <w:vAlign w:val="center"/>
          </w:tcPr>
          <w:p w:rsidR="0061435D" w:rsidP="0061435D" w:rsidRDefault="00CF531E" w14:paraId="7AB7FB1E" w14:textId="60957FF4">
            <w:pPr>
              <w:pStyle w:val="HSAGTableText"/>
              <w:jc w:val="center"/>
            </w:pPr>
            <w:r>
              <w:t>2.00</w:t>
            </w:r>
          </w:p>
        </w:tc>
        <w:tc>
          <w:tcPr>
            <w:tcW w:w="2014" w:type="dxa"/>
            <w:vAlign w:val="center"/>
          </w:tcPr>
          <w:p w:rsidR="0061435D" w:rsidP="0061435D" w:rsidRDefault="00CF531E" w14:paraId="7F29B07F" w14:textId="2505552E">
            <w:pPr>
              <w:pStyle w:val="HSAGTableText"/>
              <w:jc w:val="center"/>
            </w:pPr>
            <w:r>
              <w:t>206</w:t>
            </w:r>
          </w:p>
        </w:tc>
      </w:tr>
      <w:tr w:rsidR="0061435D" w:rsidTr="00CB1558" w14:paraId="64B3C74A" w14:textId="77777777">
        <w:trPr>
          <w:cantSplit/>
        </w:trPr>
        <w:tc>
          <w:tcPr>
            <w:tcW w:w="2014" w:type="dxa"/>
          </w:tcPr>
          <w:p w:rsidR="0061435D" w:rsidP="0061435D" w:rsidRDefault="0061435D" w14:paraId="234D8DBD" w14:textId="77104B66">
            <w:pPr>
              <w:pStyle w:val="HSAGTableText"/>
            </w:pPr>
            <w:r>
              <w:t>Implementation Organization Survey</w:t>
            </w:r>
          </w:p>
        </w:tc>
        <w:tc>
          <w:tcPr>
            <w:tcW w:w="2014" w:type="dxa"/>
            <w:vAlign w:val="center"/>
          </w:tcPr>
          <w:p w:rsidR="0061435D" w:rsidP="0061435D" w:rsidRDefault="0061435D" w14:paraId="7143426E" w14:textId="258A99CB">
            <w:pPr>
              <w:pStyle w:val="HSAGTableText"/>
              <w:jc w:val="center"/>
            </w:pPr>
            <w:r w:rsidRPr="00595C6A">
              <w:t>4</w:t>
            </w:r>
            <w:r w:rsidR="00665BDE">
              <w:t>12</w:t>
            </w:r>
          </w:p>
        </w:tc>
        <w:tc>
          <w:tcPr>
            <w:tcW w:w="2014" w:type="dxa"/>
            <w:vAlign w:val="center"/>
          </w:tcPr>
          <w:p w:rsidR="0061435D" w:rsidP="0061435D" w:rsidRDefault="0061435D" w14:paraId="3C586DB2" w14:textId="2FEA5FE2">
            <w:pPr>
              <w:pStyle w:val="HSAGTableText"/>
              <w:jc w:val="center"/>
            </w:pPr>
            <w:r w:rsidRPr="00595C6A">
              <w:t>1</w:t>
            </w:r>
          </w:p>
        </w:tc>
        <w:tc>
          <w:tcPr>
            <w:tcW w:w="2014" w:type="dxa"/>
            <w:vAlign w:val="center"/>
          </w:tcPr>
          <w:p w:rsidR="0061435D" w:rsidP="0061435D" w:rsidRDefault="0061435D" w14:paraId="277529B2" w14:textId="36CD24B3">
            <w:pPr>
              <w:pStyle w:val="HSAGTableText"/>
              <w:jc w:val="center"/>
            </w:pPr>
            <w:r w:rsidRPr="00595C6A">
              <w:t>0.</w:t>
            </w:r>
            <w:r w:rsidR="00BE5387">
              <w:t>58</w:t>
            </w:r>
          </w:p>
        </w:tc>
        <w:tc>
          <w:tcPr>
            <w:tcW w:w="2014" w:type="dxa"/>
            <w:vAlign w:val="center"/>
          </w:tcPr>
          <w:p w:rsidR="0061435D" w:rsidP="0061435D" w:rsidRDefault="0061435D" w14:paraId="54CD57F2" w14:textId="102CAD48">
            <w:pPr>
              <w:pStyle w:val="HSAGTableText"/>
              <w:jc w:val="center"/>
            </w:pPr>
            <w:r w:rsidRPr="00595C6A">
              <w:t>2</w:t>
            </w:r>
            <w:r w:rsidR="00BE5387">
              <w:t>3</w:t>
            </w:r>
            <w:r w:rsidR="00CF531E">
              <w:t>9</w:t>
            </w:r>
          </w:p>
        </w:tc>
      </w:tr>
      <w:tr w:rsidR="0061435D" w:rsidTr="00CB1558" w14:paraId="157B8110" w14:textId="77777777">
        <w:trPr>
          <w:cantSplit/>
        </w:trPr>
        <w:tc>
          <w:tcPr>
            <w:tcW w:w="2014" w:type="dxa"/>
          </w:tcPr>
          <w:p w:rsidRPr="00C21047" w:rsidR="0061435D" w:rsidP="0061435D" w:rsidRDefault="0061435D" w14:paraId="5FF13CB2" w14:textId="68378576">
            <w:pPr>
              <w:pStyle w:val="HSAGTableText"/>
              <w:rPr>
                <w:b/>
                <w:bCs/>
              </w:rPr>
            </w:pPr>
            <w:r>
              <w:rPr>
                <w:b/>
                <w:bCs/>
              </w:rPr>
              <w:t>Total</w:t>
            </w:r>
          </w:p>
        </w:tc>
        <w:tc>
          <w:tcPr>
            <w:tcW w:w="2014" w:type="dxa"/>
            <w:vAlign w:val="center"/>
          </w:tcPr>
          <w:p w:rsidRPr="00C21047" w:rsidR="0061435D" w:rsidP="0061435D" w:rsidRDefault="0061435D" w14:paraId="44B25833" w14:textId="12C8C94B">
            <w:pPr>
              <w:pStyle w:val="HSAGTableText"/>
              <w:jc w:val="center"/>
              <w:rPr>
                <w:b/>
                <w:bCs/>
              </w:rPr>
            </w:pPr>
            <w:r w:rsidRPr="00595C6A">
              <w:t>5</w:t>
            </w:r>
            <w:r w:rsidR="00CF531E">
              <w:t>15</w:t>
            </w:r>
          </w:p>
        </w:tc>
        <w:tc>
          <w:tcPr>
            <w:tcW w:w="2014" w:type="dxa"/>
            <w:vAlign w:val="center"/>
          </w:tcPr>
          <w:p w:rsidRPr="00C21047" w:rsidR="0061435D" w:rsidP="0061435D" w:rsidRDefault="00E13E99" w14:paraId="08EE66B6" w14:textId="5ED7377C">
            <w:pPr>
              <w:pStyle w:val="HSAGTableText"/>
              <w:jc w:val="center"/>
              <w:rPr>
                <w:b/>
                <w:bCs/>
              </w:rPr>
            </w:pPr>
            <w:r>
              <w:rPr>
                <w:b/>
                <w:bCs/>
              </w:rPr>
              <w:t>--</w:t>
            </w:r>
          </w:p>
        </w:tc>
        <w:tc>
          <w:tcPr>
            <w:tcW w:w="2014" w:type="dxa"/>
            <w:vAlign w:val="center"/>
          </w:tcPr>
          <w:p w:rsidRPr="00CF531E" w:rsidR="0061435D" w:rsidP="0061435D" w:rsidRDefault="00CF531E" w14:paraId="3CE700DA" w14:textId="3C843C64">
            <w:pPr>
              <w:pStyle w:val="HSAGTableText"/>
              <w:jc w:val="center"/>
            </w:pPr>
            <w:r w:rsidRPr="00CF531E">
              <w:t>.86</w:t>
            </w:r>
          </w:p>
        </w:tc>
        <w:tc>
          <w:tcPr>
            <w:tcW w:w="2014" w:type="dxa"/>
            <w:vAlign w:val="center"/>
          </w:tcPr>
          <w:p w:rsidRPr="00CF531E" w:rsidR="0061435D" w:rsidP="0061435D" w:rsidRDefault="00CF531E" w14:paraId="05186F89" w14:textId="580FE7D8">
            <w:pPr>
              <w:pStyle w:val="HSAGTableText"/>
              <w:jc w:val="center"/>
            </w:pPr>
            <w:r w:rsidRPr="00CF531E">
              <w:t>445</w:t>
            </w:r>
          </w:p>
        </w:tc>
      </w:tr>
    </w:tbl>
    <w:p w:rsidR="00DA02E5" w:rsidP="001C0435" w:rsidRDefault="00DA02E5" w14:paraId="7ABEFA7A" w14:textId="4CA4DE60"/>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4"/>
        <w:gridCol w:w="2014"/>
        <w:gridCol w:w="2014"/>
        <w:gridCol w:w="2014"/>
        <w:gridCol w:w="2014"/>
      </w:tblGrid>
      <w:tr w:rsidR="00085093" w:rsidTr="00085093" w14:paraId="2A2A7DF3" w14:textId="77777777">
        <w:trPr>
          <w:cantSplit/>
          <w:tblHeader/>
        </w:trPr>
        <w:tc>
          <w:tcPr>
            <w:tcW w:w="10070" w:type="dxa"/>
            <w:gridSpan w:val="5"/>
            <w:tcBorders>
              <w:top w:val="single" w:color="auto" w:sz="12" w:space="0"/>
              <w:left w:val="nil"/>
              <w:bottom w:val="single" w:color="auto" w:sz="12" w:space="0"/>
              <w:right w:val="nil"/>
            </w:tcBorders>
          </w:tcPr>
          <w:p w:rsidR="00085093" w:rsidP="00BE5387" w:rsidRDefault="00085093" w14:paraId="076AE045" w14:textId="42B1B212">
            <w:pPr>
              <w:pStyle w:val="HSAGTableHeading"/>
            </w:pPr>
            <w:r>
              <w:t>Exhibit 3: Estimated Burden Cost</w:t>
            </w:r>
          </w:p>
        </w:tc>
      </w:tr>
      <w:tr w:rsidR="00085093" w:rsidTr="00085093" w14:paraId="64C387A3" w14:textId="77777777">
        <w:trPr>
          <w:cantSplit/>
        </w:trPr>
        <w:tc>
          <w:tcPr>
            <w:tcW w:w="2014" w:type="dxa"/>
            <w:tcBorders>
              <w:top w:val="single" w:color="auto" w:sz="12" w:space="0"/>
            </w:tcBorders>
          </w:tcPr>
          <w:p w:rsidR="00085093" w:rsidP="00BE5387" w:rsidRDefault="00085093" w14:paraId="3B2EA6AC" w14:textId="2DDC17E0">
            <w:pPr>
              <w:pStyle w:val="HSAGTableHeading"/>
            </w:pPr>
            <w:r>
              <w:t>Type of Respondent</w:t>
            </w:r>
          </w:p>
        </w:tc>
        <w:tc>
          <w:tcPr>
            <w:tcW w:w="2014" w:type="dxa"/>
            <w:tcBorders>
              <w:top w:val="single" w:color="auto" w:sz="12" w:space="0"/>
            </w:tcBorders>
          </w:tcPr>
          <w:p w:rsidR="00085093" w:rsidP="00BE5387" w:rsidRDefault="00085093" w14:paraId="07BCF4B2" w14:textId="77777777">
            <w:pPr>
              <w:pStyle w:val="HSAGTableHeading"/>
            </w:pPr>
            <w:r>
              <w:t>Number of Respondents</w:t>
            </w:r>
          </w:p>
        </w:tc>
        <w:tc>
          <w:tcPr>
            <w:tcW w:w="2014" w:type="dxa"/>
            <w:tcBorders>
              <w:top w:val="single" w:color="auto" w:sz="12" w:space="0"/>
            </w:tcBorders>
          </w:tcPr>
          <w:p w:rsidR="00085093" w:rsidP="00BE5387" w:rsidRDefault="00085093" w14:paraId="77040CD4" w14:textId="4B7A03DB">
            <w:pPr>
              <w:pStyle w:val="HSAGTableHeading"/>
            </w:pPr>
            <w:r>
              <w:t>Total Burden Hours</w:t>
            </w:r>
          </w:p>
        </w:tc>
        <w:tc>
          <w:tcPr>
            <w:tcW w:w="2014" w:type="dxa"/>
            <w:tcBorders>
              <w:top w:val="single" w:color="auto" w:sz="12" w:space="0"/>
            </w:tcBorders>
          </w:tcPr>
          <w:p w:rsidR="00085093" w:rsidP="00BE5387" w:rsidRDefault="00085093" w14:paraId="716D1BBF" w14:textId="68AD68F3">
            <w:pPr>
              <w:pStyle w:val="HSAGTableHeading"/>
            </w:pPr>
            <w:r>
              <w:t>Average Hourly Wage Rate</w:t>
            </w:r>
            <w:r w:rsidR="00E13E99">
              <w:t>*</w:t>
            </w:r>
          </w:p>
        </w:tc>
        <w:tc>
          <w:tcPr>
            <w:tcW w:w="2014" w:type="dxa"/>
            <w:tcBorders>
              <w:top w:val="single" w:color="auto" w:sz="12" w:space="0"/>
            </w:tcBorders>
          </w:tcPr>
          <w:p w:rsidR="00085093" w:rsidP="00BE5387" w:rsidRDefault="00085093" w14:paraId="01CE5C9C" w14:textId="52E4DEA9">
            <w:pPr>
              <w:pStyle w:val="HSAGTableHeading"/>
            </w:pPr>
            <w:r>
              <w:t>Total Cost</w:t>
            </w:r>
          </w:p>
        </w:tc>
      </w:tr>
      <w:tr w:rsidR="00085093" w:rsidTr="00085093" w14:paraId="3DC4C1AF" w14:textId="77777777">
        <w:trPr>
          <w:cantSplit/>
        </w:trPr>
        <w:tc>
          <w:tcPr>
            <w:tcW w:w="2014" w:type="dxa"/>
          </w:tcPr>
          <w:p w:rsidR="00085093" w:rsidP="00BE5387" w:rsidRDefault="00085093" w14:paraId="3C37768C" w14:textId="3F980EA7">
            <w:pPr>
              <w:pStyle w:val="HSAGTableText"/>
            </w:pPr>
            <w:r>
              <w:t>Grantee</w:t>
            </w:r>
            <w:r w:rsidR="008B098B">
              <w:t>: Program selection process and survey</w:t>
            </w:r>
          </w:p>
        </w:tc>
        <w:tc>
          <w:tcPr>
            <w:tcW w:w="2014" w:type="dxa"/>
          </w:tcPr>
          <w:p w:rsidR="00085093" w:rsidP="00404C14" w:rsidRDefault="008B098B" w14:paraId="36CBACC8" w14:textId="2CD466EE">
            <w:pPr>
              <w:pStyle w:val="HSAGTableText"/>
              <w:jc w:val="center"/>
            </w:pPr>
            <w:r>
              <w:t>103</w:t>
            </w:r>
          </w:p>
        </w:tc>
        <w:tc>
          <w:tcPr>
            <w:tcW w:w="2014" w:type="dxa"/>
          </w:tcPr>
          <w:p w:rsidR="00085093" w:rsidP="00404C14" w:rsidRDefault="008B098B" w14:paraId="3EB038EB" w14:textId="0E44AC41">
            <w:pPr>
              <w:pStyle w:val="HSAGTableText"/>
              <w:jc w:val="center"/>
            </w:pPr>
            <w:r>
              <w:t>206</w:t>
            </w:r>
          </w:p>
        </w:tc>
        <w:tc>
          <w:tcPr>
            <w:tcW w:w="2014" w:type="dxa"/>
          </w:tcPr>
          <w:p w:rsidR="00085093" w:rsidP="00404C14" w:rsidRDefault="00E13E99" w14:paraId="0984550F" w14:textId="56B4A04F">
            <w:pPr>
              <w:pStyle w:val="HSAGTableText"/>
              <w:jc w:val="center"/>
            </w:pPr>
            <w:r>
              <w:t>25.09</w:t>
            </w:r>
          </w:p>
        </w:tc>
        <w:tc>
          <w:tcPr>
            <w:tcW w:w="2014" w:type="dxa"/>
          </w:tcPr>
          <w:p w:rsidR="00085093" w:rsidP="00404C14" w:rsidRDefault="00E13E99" w14:paraId="34BFD114" w14:textId="71AADDB2">
            <w:pPr>
              <w:pStyle w:val="HSAGTableText"/>
              <w:jc w:val="center"/>
            </w:pPr>
            <w:r>
              <w:t>$</w:t>
            </w:r>
            <w:r w:rsidR="008B098B">
              <w:t>5,168.54</w:t>
            </w:r>
          </w:p>
        </w:tc>
      </w:tr>
      <w:tr w:rsidR="00085093" w:rsidTr="00085093" w14:paraId="14328018" w14:textId="77777777">
        <w:trPr>
          <w:cantSplit/>
        </w:trPr>
        <w:tc>
          <w:tcPr>
            <w:tcW w:w="2014" w:type="dxa"/>
          </w:tcPr>
          <w:p w:rsidR="00085093" w:rsidP="00BE5387" w:rsidRDefault="00085093" w14:paraId="3819E829" w14:textId="5CF591A2">
            <w:pPr>
              <w:pStyle w:val="HSAGTableText"/>
            </w:pPr>
            <w:r>
              <w:t>Implementation Organization</w:t>
            </w:r>
            <w:r w:rsidR="00CF531E">
              <w:t xml:space="preserve"> Survey</w:t>
            </w:r>
          </w:p>
        </w:tc>
        <w:tc>
          <w:tcPr>
            <w:tcW w:w="2014" w:type="dxa"/>
          </w:tcPr>
          <w:p w:rsidR="00085093" w:rsidP="00404C14" w:rsidRDefault="00BE5387" w14:paraId="54EC2D55" w14:textId="50D48740">
            <w:pPr>
              <w:pStyle w:val="HSAGTableText"/>
              <w:jc w:val="center"/>
            </w:pPr>
            <w:r>
              <w:t>412</w:t>
            </w:r>
          </w:p>
        </w:tc>
        <w:tc>
          <w:tcPr>
            <w:tcW w:w="2014" w:type="dxa"/>
          </w:tcPr>
          <w:p w:rsidR="00085093" w:rsidP="00404C14" w:rsidRDefault="00BE5387" w14:paraId="0393F7D0" w14:textId="5F2C7346">
            <w:pPr>
              <w:pStyle w:val="HSAGTableText"/>
              <w:jc w:val="center"/>
            </w:pPr>
            <w:r>
              <w:t>23</w:t>
            </w:r>
            <w:r w:rsidR="008B098B">
              <w:t>9</w:t>
            </w:r>
          </w:p>
        </w:tc>
        <w:tc>
          <w:tcPr>
            <w:tcW w:w="2014" w:type="dxa"/>
          </w:tcPr>
          <w:p w:rsidR="00085093" w:rsidP="00404C14" w:rsidRDefault="00E13E99" w14:paraId="5E96A98C" w14:textId="7F474CE7">
            <w:pPr>
              <w:pStyle w:val="HSAGTableText"/>
              <w:jc w:val="center"/>
            </w:pPr>
            <w:r>
              <w:t>25.09</w:t>
            </w:r>
          </w:p>
        </w:tc>
        <w:tc>
          <w:tcPr>
            <w:tcW w:w="2014" w:type="dxa"/>
          </w:tcPr>
          <w:p w:rsidR="00085093" w:rsidP="00404C14" w:rsidRDefault="00E13E99" w14:paraId="54F34889" w14:textId="7BD7CC8C">
            <w:pPr>
              <w:pStyle w:val="HSAGTableText"/>
              <w:jc w:val="center"/>
            </w:pPr>
            <w:r>
              <w:t>$5,</w:t>
            </w:r>
            <w:r w:rsidR="008B098B">
              <w:t>996.51</w:t>
            </w:r>
          </w:p>
        </w:tc>
      </w:tr>
      <w:tr w:rsidR="00B207E8" w:rsidTr="00085093" w14:paraId="75067687" w14:textId="77777777">
        <w:trPr>
          <w:cantSplit/>
        </w:trPr>
        <w:tc>
          <w:tcPr>
            <w:tcW w:w="2014" w:type="dxa"/>
          </w:tcPr>
          <w:p w:rsidRPr="00734298" w:rsidR="00B207E8" w:rsidP="00BE5387" w:rsidRDefault="00B207E8" w14:paraId="63E8D6BB" w14:textId="474F20EB">
            <w:pPr>
              <w:pStyle w:val="HSAGTableText"/>
              <w:rPr>
                <w:b/>
                <w:bCs/>
              </w:rPr>
            </w:pPr>
            <w:r w:rsidRPr="00734298">
              <w:rPr>
                <w:b/>
                <w:bCs/>
              </w:rPr>
              <w:t>Total</w:t>
            </w:r>
          </w:p>
        </w:tc>
        <w:tc>
          <w:tcPr>
            <w:tcW w:w="2014" w:type="dxa"/>
          </w:tcPr>
          <w:p w:rsidR="00B207E8" w:rsidP="00404C14" w:rsidRDefault="00B207E8" w14:paraId="7682A1E4" w14:textId="41538EB3">
            <w:pPr>
              <w:pStyle w:val="HSAGTableText"/>
              <w:jc w:val="center"/>
            </w:pPr>
            <w:r>
              <w:t>5</w:t>
            </w:r>
            <w:r w:rsidR="00CF531E">
              <w:t>15</w:t>
            </w:r>
          </w:p>
        </w:tc>
        <w:tc>
          <w:tcPr>
            <w:tcW w:w="2014" w:type="dxa"/>
          </w:tcPr>
          <w:p w:rsidR="00B207E8" w:rsidP="00404C14" w:rsidRDefault="008B098B" w14:paraId="0C899F7E" w14:textId="36E4A9CF">
            <w:pPr>
              <w:pStyle w:val="HSAGTableText"/>
              <w:jc w:val="center"/>
            </w:pPr>
            <w:r>
              <w:t>445</w:t>
            </w:r>
          </w:p>
        </w:tc>
        <w:tc>
          <w:tcPr>
            <w:tcW w:w="2014" w:type="dxa"/>
          </w:tcPr>
          <w:p w:rsidR="00B207E8" w:rsidP="00404C14" w:rsidRDefault="00E13E99" w14:paraId="16B85B66" w14:textId="5435FA01">
            <w:pPr>
              <w:pStyle w:val="HSAGTableText"/>
              <w:jc w:val="center"/>
            </w:pPr>
            <w:r>
              <w:t>--</w:t>
            </w:r>
          </w:p>
        </w:tc>
        <w:tc>
          <w:tcPr>
            <w:tcW w:w="2014" w:type="dxa"/>
          </w:tcPr>
          <w:p w:rsidR="00B207E8" w:rsidP="00404C14" w:rsidRDefault="00E13E99" w14:paraId="39971B7E" w14:textId="5EC533EB">
            <w:pPr>
              <w:pStyle w:val="HSAGTableText"/>
              <w:jc w:val="center"/>
            </w:pPr>
            <w:r>
              <w:t>$</w:t>
            </w:r>
            <w:r w:rsidR="008B098B">
              <w:t>11,165.05</w:t>
            </w:r>
          </w:p>
        </w:tc>
      </w:tr>
    </w:tbl>
    <w:p w:rsidR="00E13E99" w:rsidP="00E13E99" w:rsidRDefault="00E13E99" w14:paraId="5E554203" w14:textId="33AFEC98">
      <w:pPr>
        <w:pStyle w:val="Heading1"/>
        <w:numPr>
          <w:ilvl w:val="0"/>
          <w:numId w:val="0"/>
        </w:numPr>
        <w:shd w:val="clear" w:color="auto" w:fill="FFFFFF"/>
        <w:spacing w:after="150" w:line="293" w:lineRule="atLeast"/>
        <w:jc w:val="left"/>
        <w:rPr>
          <w:rFonts w:ascii="Arial" w:hAnsi="Arial" w:cs="Arial"/>
          <w:b w:val="0"/>
          <w:color w:val="000000" w:themeColor="text1"/>
          <w:sz w:val="16"/>
          <w:szCs w:val="16"/>
        </w:rPr>
      </w:pPr>
      <w:bookmarkStart w:name="_Toc451350305" w:id="33"/>
      <w:bookmarkStart w:name="_Toc70317634" w:id="34"/>
      <w:bookmarkStart w:name="_Toc72140640" w:id="35"/>
      <w:r w:rsidRPr="00E13E99">
        <w:rPr>
          <w:b w:val="0"/>
          <w:bCs/>
          <w:i/>
          <w:iCs/>
          <w:color w:val="auto"/>
          <w:sz w:val="22"/>
          <w:szCs w:val="22"/>
        </w:rPr>
        <w:t>*</w:t>
      </w:r>
      <w:r>
        <w:rPr>
          <w:b w:val="0"/>
          <w:bCs/>
          <w:i/>
          <w:iCs/>
          <w:color w:val="auto"/>
          <w:sz w:val="22"/>
        </w:rPr>
        <w:t xml:space="preserve"> </w:t>
      </w:r>
      <w:r>
        <w:rPr>
          <w:rFonts w:ascii="Arial" w:hAnsi="Arial" w:cs="Arial"/>
          <w:b w:val="0"/>
          <w:color w:val="000000" w:themeColor="text1"/>
          <w:sz w:val="16"/>
          <w:szCs w:val="16"/>
        </w:rPr>
        <w:t>*</w:t>
      </w:r>
      <w:r>
        <w:rPr>
          <w:rFonts w:ascii="Arial" w:hAnsi="Arial" w:cs="Arial"/>
          <w:b w:val="0"/>
          <w:caps/>
          <w:color w:val="000000" w:themeColor="text1"/>
          <w:sz w:val="16"/>
          <w:szCs w:val="16"/>
        </w:rPr>
        <w:t xml:space="preserve">Wage rates were taken from the </w:t>
      </w:r>
      <w:r>
        <w:rPr>
          <w:rFonts w:ascii="Arial" w:hAnsi="Arial" w:cs="Arial"/>
          <w:b w:val="0"/>
          <w:bCs/>
          <w:i/>
          <w:caps/>
          <w:color w:val="000000" w:themeColor="text1"/>
          <w:sz w:val="16"/>
          <w:szCs w:val="16"/>
        </w:rPr>
        <w:t>May 2020 national occupational employment and wage estimates United States</w:t>
      </w:r>
      <w:r>
        <w:rPr>
          <w:rFonts w:ascii="Arial" w:hAnsi="Arial" w:cs="Arial"/>
          <w:b w:val="0"/>
          <w:color w:val="000000" w:themeColor="text1"/>
          <w:sz w:val="16"/>
          <w:szCs w:val="16"/>
        </w:rPr>
        <w:t xml:space="preserve">; downloaded 7-11-2020 from </w:t>
      </w:r>
      <w:hyperlink w:history="1" r:id="rId12">
        <w:r>
          <w:rPr>
            <w:rStyle w:val="Hyperlink"/>
            <w:rFonts w:ascii="Arial" w:hAnsi="Arial" w:cs="Arial"/>
            <w:b w:val="0"/>
            <w:color w:val="000000" w:themeColor="text1"/>
            <w:sz w:val="16"/>
            <w:szCs w:val="16"/>
          </w:rPr>
          <w:t>https://www.bls.gov/oes/current/oes_nat.htm</w:t>
        </w:r>
      </w:hyperlink>
    </w:p>
    <w:p w:rsidRPr="00E13E99" w:rsidR="00E13E99" w:rsidP="00C45FCE" w:rsidRDefault="00E13E99" w14:paraId="050113B1" w14:textId="07D24908">
      <w:pPr>
        <w:pStyle w:val="Heading3"/>
        <w:rPr>
          <w:b w:val="0"/>
          <w:bCs w:val="0"/>
          <w:i w:val="0"/>
          <w:iCs/>
          <w:color w:val="auto"/>
          <w:sz w:val="22"/>
        </w:rPr>
      </w:pPr>
    </w:p>
    <w:p w:rsidRPr="001E3120" w:rsidR="00BF38DB" w:rsidP="00C45FCE" w:rsidRDefault="00BF38DB" w14:paraId="6E90AEC0" w14:textId="518F6420">
      <w:pPr>
        <w:pStyle w:val="Heading3"/>
      </w:pPr>
      <w:r w:rsidRPr="00BF38DB">
        <w:t>A.13.</w:t>
      </w:r>
      <w:r w:rsidR="007458B9">
        <w:t xml:space="preserve"> </w:t>
      </w:r>
      <w:r w:rsidRPr="00BF38DB">
        <w:t>Estimates of Other Total Annual Cost Burden to Respondents and Record Keepers</w:t>
      </w:r>
      <w:bookmarkEnd w:id="33"/>
      <w:bookmarkEnd w:id="34"/>
      <w:bookmarkEnd w:id="35"/>
    </w:p>
    <w:p w:rsidRPr="00BF38DB" w:rsidR="00BF38DB" w:rsidP="001E3120" w:rsidRDefault="00BF38DB" w14:paraId="3F8D00AC" w14:textId="71ED605C">
      <w:r w:rsidRPr="00BF38DB">
        <w:t xml:space="preserve">There are no annualized capital/startup or ongoing operation and maintenance costs involved in collecting the information. Other than their time to complete the interview or survey, which is estimated </w:t>
      </w:r>
      <w:r w:rsidR="00F43B13">
        <w:t>to be 40 minutes</w:t>
      </w:r>
      <w:r w:rsidR="00953FD8">
        <w:t xml:space="preserve"> for the grantee survey and 35 minutes for the implementation organization survey</w:t>
      </w:r>
      <w:r w:rsidRPr="00BF38DB">
        <w:t xml:space="preserve">, there are no direct monetary costs to respondents. </w:t>
      </w:r>
    </w:p>
    <w:p w:rsidRPr="001E3120" w:rsidR="00BF38DB" w:rsidP="00C45FCE" w:rsidRDefault="00BF38DB" w14:paraId="33EF524E" w14:textId="1674D5EF">
      <w:pPr>
        <w:pStyle w:val="Heading3"/>
      </w:pPr>
      <w:bookmarkStart w:name="_Toc267041918" w:id="36"/>
      <w:bookmarkStart w:name="_Toc451350306" w:id="37"/>
      <w:bookmarkStart w:name="_Toc70317635" w:id="38"/>
      <w:bookmarkStart w:name="_Toc72140641" w:id="39"/>
      <w:r w:rsidRPr="00BF38DB">
        <w:lastRenderedPageBreak/>
        <w:t>A.14.</w:t>
      </w:r>
      <w:bookmarkEnd w:id="36"/>
      <w:r w:rsidR="007458B9">
        <w:t xml:space="preserve"> </w:t>
      </w:r>
      <w:r w:rsidRPr="00BF38DB">
        <w:t>Estimates of Annualized Costs to the Federal Government</w:t>
      </w:r>
      <w:bookmarkEnd w:id="37"/>
      <w:bookmarkEnd w:id="38"/>
      <w:bookmarkEnd w:id="39"/>
    </w:p>
    <w:p w:rsidRPr="00BF38DB" w:rsidR="00BF38DB" w:rsidP="001E3120" w:rsidRDefault="00BF38DB" w14:paraId="7F3557EB" w14:textId="6A875BBD">
      <w:r w:rsidRPr="00BF38DB">
        <w:t xml:space="preserve">The </w:t>
      </w:r>
      <w:r w:rsidR="00C71659">
        <w:t xml:space="preserve">total </w:t>
      </w:r>
      <w:r w:rsidRPr="00BF38DB">
        <w:t>estimated cost to the Federal Government for the</w:t>
      </w:r>
      <w:r w:rsidR="0048734C">
        <w:t xml:space="preserve"> Fidelity Evaluation of ACL’s Evidence Based Programs d</w:t>
      </w:r>
      <w:r w:rsidRPr="00BF38DB">
        <w:t>ata collection activities is $</w:t>
      </w:r>
      <w:r w:rsidR="00F43B13">
        <w:t>397,722.15 over a period of two years (September 2020 to September 2022)</w:t>
      </w:r>
      <w:r w:rsidRPr="00BF38DB">
        <w:t xml:space="preserve">. This is the </w:t>
      </w:r>
      <w:r w:rsidR="005A5998">
        <w:t xml:space="preserve">Federal contract amount </w:t>
      </w:r>
      <w:r w:rsidRPr="00BF38DB">
        <w:t xml:space="preserve">to </w:t>
      </w:r>
      <w:r w:rsidR="0048734C">
        <w:t>HSAG</w:t>
      </w:r>
      <w:r w:rsidRPr="00BF38DB">
        <w:t xml:space="preserve"> for data collection </w:t>
      </w:r>
      <w:r w:rsidR="00F43B13">
        <w:t xml:space="preserve">and analysis </w:t>
      </w:r>
      <w:r w:rsidRPr="00BF38DB">
        <w:t xml:space="preserve">activities associated with this submission. There are no additional costs to the Federal Government based on Federal Staff wages and benefits. </w:t>
      </w:r>
    </w:p>
    <w:p w:rsidRPr="001E3120" w:rsidR="00BF38DB" w:rsidP="00C45FCE" w:rsidRDefault="00BF38DB" w14:paraId="4E2C8BBD" w14:textId="7F381687">
      <w:pPr>
        <w:pStyle w:val="Heading3"/>
      </w:pPr>
      <w:bookmarkStart w:name="_Toc451350307" w:id="40"/>
      <w:bookmarkStart w:name="_Toc70317636" w:id="41"/>
      <w:bookmarkStart w:name="_Toc72140642" w:id="42"/>
      <w:bookmarkStart w:name="_Toc267041919" w:id="43"/>
      <w:r w:rsidRPr="00BF38DB">
        <w:t>A.15.</w:t>
      </w:r>
      <w:r w:rsidR="007458B9">
        <w:t xml:space="preserve"> </w:t>
      </w:r>
      <w:r w:rsidRPr="00BF38DB">
        <w:t>Explanation for Program Changes or Adjustments</w:t>
      </w:r>
      <w:bookmarkEnd w:id="40"/>
      <w:bookmarkEnd w:id="41"/>
      <w:bookmarkEnd w:id="42"/>
    </w:p>
    <w:p w:rsidRPr="00BF38DB" w:rsidR="00BF38DB" w:rsidP="001E3120" w:rsidRDefault="00BF38DB" w14:paraId="1DF9B29F" w14:textId="3DC7CCE0">
      <w:r w:rsidRPr="00BF38DB">
        <w:t>This is a new information collection request</w:t>
      </w:r>
      <w:r w:rsidR="00A95918">
        <w:t xml:space="preserve"> </w:t>
      </w:r>
      <w:r w:rsidR="00783B09">
        <w:t>there is a</w:t>
      </w:r>
      <w:r w:rsidR="00A95918">
        <w:t xml:space="preserve"> program change</w:t>
      </w:r>
      <w:r w:rsidR="00783B09">
        <w:t xml:space="preserve"> increase of 445 annual burden hours</w:t>
      </w:r>
      <w:r w:rsidR="00A95918">
        <w:t>.</w:t>
      </w:r>
      <w:r w:rsidRPr="00BF38DB">
        <w:t xml:space="preserve"> </w:t>
      </w:r>
    </w:p>
    <w:p w:rsidRPr="001E3120" w:rsidR="00BF38DB" w:rsidP="00C45FCE" w:rsidRDefault="00BF38DB" w14:paraId="131AFFFD" w14:textId="180170C8">
      <w:pPr>
        <w:pStyle w:val="Heading3"/>
      </w:pPr>
      <w:bookmarkStart w:name="_Toc451350308" w:id="44"/>
      <w:bookmarkStart w:name="_Toc70317637" w:id="45"/>
      <w:bookmarkStart w:name="_Toc72140643" w:id="46"/>
      <w:r w:rsidRPr="00BF38DB">
        <w:t>A.16.</w:t>
      </w:r>
      <w:r w:rsidR="007458B9">
        <w:t xml:space="preserve"> </w:t>
      </w:r>
      <w:r w:rsidRPr="00BF38DB">
        <w:t>Plans for Tabulation and Publication and Project Time Schedule</w:t>
      </w:r>
      <w:bookmarkEnd w:id="44"/>
      <w:bookmarkEnd w:id="45"/>
      <w:bookmarkEnd w:id="46"/>
    </w:p>
    <w:p w:rsidRPr="00BF38DB" w:rsidR="00BF38DB" w:rsidP="001E3120" w:rsidRDefault="00BF140D" w14:paraId="0DDB585E" w14:textId="63970D74">
      <w:r>
        <w:t xml:space="preserve">A final </w:t>
      </w:r>
      <w:r w:rsidR="004C6334">
        <w:t>F</w:t>
      </w:r>
      <w:r w:rsidR="00624B10">
        <w:t xml:space="preserve">idelity </w:t>
      </w:r>
      <w:r w:rsidR="004C6334">
        <w:t>E</w:t>
      </w:r>
      <w:r w:rsidR="00624B10">
        <w:t>valuation</w:t>
      </w:r>
      <w:r w:rsidRPr="00BF38DB" w:rsidR="00624B10">
        <w:t xml:space="preserve"> </w:t>
      </w:r>
      <w:r w:rsidRPr="00BF38DB" w:rsidR="00BF38DB">
        <w:t xml:space="preserve">report will </w:t>
      </w:r>
      <w:r>
        <w:t xml:space="preserve">be created to </w:t>
      </w:r>
      <w:r w:rsidR="005B3A4E">
        <w:t>document the information collected</w:t>
      </w:r>
      <w:r>
        <w:t>,</w:t>
      </w:r>
      <w:r w:rsidR="005B3A4E">
        <w:t xml:space="preserve"> and provide clear, actionable recommendations for ensuring the effective use of evidence</w:t>
      </w:r>
      <w:r w:rsidR="00BA65DA">
        <w:t>-</w:t>
      </w:r>
      <w:r w:rsidR="005B3A4E">
        <w:t xml:space="preserve">based programming. Recommendations </w:t>
      </w:r>
      <w:r>
        <w:t xml:space="preserve">may </w:t>
      </w:r>
      <w:r w:rsidR="005B3A4E">
        <w:t xml:space="preserve">address what ACL, its grantees, and subgrantees can do to improve the selection, implementation, and monitoring of evidence-based programming, and </w:t>
      </w:r>
      <w:r w:rsidR="00A95918">
        <w:t>may</w:t>
      </w:r>
      <w:r w:rsidR="005B3A4E">
        <w:t xml:space="preserve"> include a tool for use by ACL and its grantees to assess </w:t>
      </w:r>
      <w:r w:rsidR="00A95918">
        <w:t xml:space="preserve">and monitor </w:t>
      </w:r>
      <w:r w:rsidR="005B3A4E">
        <w:t xml:space="preserve">fidelity after the contract ends. </w:t>
      </w:r>
      <w:r w:rsidR="00A95918">
        <w:t>In addition to any such tools, t</w:t>
      </w:r>
      <w:r w:rsidRPr="00BF38DB" w:rsidR="00BF38DB">
        <w:t>he final report will include the following sections:</w:t>
      </w:r>
    </w:p>
    <w:p w:rsidRPr="00BF38DB" w:rsidR="00BF38DB" w:rsidP="00C45FCE" w:rsidRDefault="00BF38DB" w14:paraId="32D9BE41" w14:textId="3732D21D">
      <w:r w:rsidRPr="001E6D49">
        <w:rPr>
          <w:b/>
          <w:bCs/>
          <w:iCs/>
        </w:rPr>
        <w:t>Executive Summary</w:t>
      </w:r>
      <w:r w:rsidR="001E6D49">
        <w:t>:</w:t>
      </w:r>
      <w:r w:rsidRPr="00BF38DB">
        <w:t xml:space="preserve"> The executive summary will be written in a manner that makes it useful as a stand-alone document for individuals who do not have time to review the entire report. It will highlight the objectives, key findings, and the implications of these findings </w:t>
      </w:r>
      <w:r w:rsidR="001E6D49">
        <w:t>on</w:t>
      </w:r>
      <w:r w:rsidRPr="00BF38DB">
        <w:t xml:space="preserve"> the </w:t>
      </w:r>
      <w:r w:rsidR="001E6D49">
        <w:t xml:space="preserve">implementation of evidence-based </w:t>
      </w:r>
      <w:r w:rsidRPr="00BF38DB">
        <w:t>program</w:t>
      </w:r>
      <w:r w:rsidR="001E6D49">
        <w:t>s</w:t>
      </w:r>
      <w:r w:rsidRPr="00BF38DB">
        <w:t xml:space="preserve">. </w:t>
      </w:r>
    </w:p>
    <w:p w:rsidRPr="00BF38DB" w:rsidR="00BF38DB" w:rsidP="00C45FCE" w:rsidRDefault="00BF38DB" w14:paraId="66648E9D" w14:textId="18AEE5B6">
      <w:r w:rsidRPr="001E6D49">
        <w:rPr>
          <w:b/>
          <w:bCs/>
          <w:iCs/>
        </w:rPr>
        <w:t>Methodology</w:t>
      </w:r>
      <w:r w:rsidRPr="001E6D49" w:rsidR="001E6D49">
        <w:rPr>
          <w:iCs/>
        </w:rPr>
        <w:t>:</w:t>
      </w:r>
      <w:r w:rsidRPr="00BF38DB">
        <w:t xml:space="preserve"> This section will describe the methods used for developing, implementing and analyzing the surveys. </w:t>
      </w:r>
    </w:p>
    <w:p w:rsidRPr="00BF38DB" w:rsidR="00BF38DB" w:rsidP="00C45FCE" w:rsidRDefault="00BF38DB" w14:paraId="3AC0166B" w14:textId="3193EBE4">
      <w:r w:rsidRPr="001E6D49">
        <w:rPr>
          <w:b/>
          <w:bCs/>
          <w:iCs/>
        </w:rPr>
        <w:t>Key Issues and Findings</w:t>
      </w:r>
      <w:r w:rsidRPr="001E6D49" w:rsidR="001E6D49">
        <w:rPr>
          <w:iCs/>
        </w:rPr>
        <w:t>:</w:t>
      </w:r>
      <w:r w:rsidRPr="00BF38DB">
        <w:t xml:space="preserve"> This section will discuss findings around each of the key research questions. </w:t>
      </w:r>
    </w:p>
    <w:p w:rsidRPr="00BF38DB" w:rsidR="00BF38DB" w:rsidP="00C45FCE" w:rsidRDefault="005B3A4E" w14:paraId="7628EA99" w14:textId="6CDA0444">
      <w:r w:rsidRPr="001E6D49">
        <w:rPr>
          <w:b/>
          <w:bCs/>
          <w:iCs/>
        </w:rPr>
        <w:t>Recommendations</w:t>
      </w:r>
      <w:r w:rsidRPr="001E6D49" w:rsidR="001E6D49">
        <w:rPr>
          <w:iCs/>
        </w:rPr>
        <w:t>:</w:t>
      </w:r>
      <w:r w:rsidRPr="00BF38DB" w:rsidR="00BF38DB">
        <w:t xml:space="preserve"> Conclusions will include recommendations or suggestions for</w:t>
      </w:r>
      <w:r w:rsidR="00A95918">
        <w:t xml:space="preserve"> job aids, as well as for any identified </w:t>
      </w:r>
      <w:r w:rsidRPr="00BF38DB" w:rsidR="00BF38DB">
        <w:t xml:space="preserve">future research and policy initiatives. </w:t>
      </w:r>
    </w:p>
    <w:p w:rsidR="009D4D9C" w:rsidP="001E3120" w:rsidRDefault="00BF38DB" w14:paraId="5BEBF37D" w14:textId="4935D138">
      <w:r w:rsidRPr="00BF38DB">
        <w:t>Analysis will begin shortly after the final data are collected</w:t>
      </w:r>
      <w:r w:rsidR="009D4D9C">
        <w:t xml:space="preserve">, which is projected to be </w:t>
      </w:r>
      <w:r w:rsidRPr="00BF38DB">
        <w:t>in</w:t>
      </w:r>
      <w:r w:rsidR="001E3120">
        <w:t xml:space="preserve"> </w:t>
      </w:r>
      <w:r w:rsidR="001E6D49">
        <w:t>January</w:t>
      </w:r>
      <w:r w:rsidRPr="00BF38DB">
        <w:t xml:space="preserve"> 202</w:t>
      </w:r>
      <w:r w:rsidR="001E3120">
        <w:t>2</w:t>
      </w:r>
      <w:r w:rsidRPr="00BF38DB">
        <w:t xml:space="preserve">. The </w:t>
      </w:r>
      <w:r w:rsidR="001E6D49">
        <w:t>contractor</w:t>
      </w:r>
      <w:r w:rsidRPr="00BF38DB">
        <w:t xml:space="preserve"> will analyze the data using thematic analysis for qualitative data and basic frequencies and cross tabulations for quantitative data. Simple statistical testing </w:t>
      </w:r>
      <w:r w:rsidR="005B3A4E">
        <w:t xml:space="preserve">may </w:t>
      </w:r>
      <w:r w:rsidRPr="00BF38DB">
        <w:t xml:space="preserve">be used (t-test and chi-square) to identify significant relationships between </w:t>
      </w:r>
      <w:r w:rsidR="00FB5F80">
        <w:t>type</w:t>
      </w:r>
      <w:r w:rsidR="001E6D49">
        <w:t>s</w:t>
      </w:r>
      <w:r w:rsidR="00FB5F80">
        <w:t xml:space="preserve"> of grantee</w:t>
      </w:r>
      <w:r w:rsidR="001E6D49">
        <w:t>s</w:t>
      </w:r>
      <w:r w:rsidR="00FB5F80">
        <w:t xml:space="preserve"> and approaches or practices related to fidelity</w:t>
      </w:r>
      <w:r w:rsidRPr="00BF38DB">
        <w:t>.</w:t>
      </w:r>
    </w:p>
    <w:p w:rsidR="009D4D9C" w:rsidRDefault="009D4D9C" w14:paraId="65AA4017" w14:textId="77777777">
      <w:pPr>
        <w:spacing w:before="0" w:after="200" w:line="276" w:lineRule="auto"/>
      </w:pPr>
      <w:r>
        <w:br w:type="page"/>
      </w:r>
    </w:p>
    <w:p w:rsidRPr="00BF38DB" w:rsidR="00BF38DB" w:rsidP="001E3120" w:rsidRDefault="00BF38DB" w14:paraId="3913F02B" w14:textId="77777777"/>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65"/>
        <w:gridCol w:w="3505"/>
      </w:tblGrid>
      <w:tr w:rsidR="00085093" w:rsidTr="0057659A" w14:paraId="3E728453" w14:textId="77777777">
        <w:tc>
          <w:tcPr>
            <w:tcW w:w="10070" w:type="dxa"/>
            <w:gridSpan w:val="2"/>
            <w:tcBorders>
              <w:top w:val="single" w:color="auto" w:sz="12" w:space="0"/>
              <w:left w:val="nil"/>
              <w:bottom w:val="single" w:color="auto" w:sz="12" w:space="0"/>
              <w:right w:val="nil"/>
            </w:tcBorders>
          </w:tcPr>
          <w:p w:rsidR="00085093" w:rsidP="00085093" w:rsidRDefault="00085093" w14:paraId="3D77F804" w14:textId="2A77DE55">
            <w:pPr>
              <w:pStyle w:val="HSAGTableHeading"/>
            </w:pPr>
            <w:r>
              <w:t>Exhibit 4: Timetable for Data Collection and Publication for Other Data Collection Efforts</w:t>
            </w:r>
          </w:p>
        </w:tc>
      </w:tr>
      <w:tr w:rsidR="00085093" w:rsidTr="0057659A" w14:paraId="1C950D3F" w14:textId="77777777">
        <w:tc>
          <w:tcPr>
            <w:tcW w:w="6565" w:type="dxa"/>
            <w:tcBorders>
              <w:top w:val="single" w:color="auto" w:sz="12" w:space="0"/>
            </w:tcBorders>
          </w:tcPr>
          <w:p w:rsidR="00085093" w:rsidP="00085093" w:rsidRDefault="00085093" w14:paraId="36501A8A" w14:textId="484E1F43">
            <w:pPr>
              <w:pStyle w:val="HSAGTableHeading"/>
            </w:pPr>
            <w:r>
              <w:t>Activity</w:t>
            </w:r>
          </w:p>
        </w:tc>
        <w:tc>
          <w:tcPr>
            <w:tcW w:w="3505" w:type="dxa"/>
            <w:tcBorders>
              <w:top w:val="single" w:color="auto" w:sz="12" w:space="0"/>
            </w:tcBorders>
          </w:tcPr>
          <w:p w:rsidR="00085093" w:rsidP="00085093" w:rsidRDefault="00085093" w14:paraId="3A16ED29" w14:textId="47257436">
            <w:pPr>
              <w:pStyle w:val="HSAGTableHeading"/>
            </w:pPr>
            <w:r>
              <w:t>Estimated Completion Date</w:t>
            </w:r>
          </w:p>
        </w:tc>
      </w:tr>
      <w:tr w:rsidR="00085093" w:rsidTr="0057659A" w14:paraId="2B546936" w14:textId="77777777">
        <w:tc>
          <w:tcPr>
            <w:tcW w:w="10070" w:type="dxa"/>
            <w:gridSpan w:val="2"/>
          </w:tcPr>
          <w:p w:rsidR="00085093" w:rsidP="00085093" w:rsidRDefault="00085093" w14:paraId="42FAD1EE" w14:textId="5C5E273B">
            <w:pPr>
              <w:pStyle w:val="HSAGTableHeading"/>
            </w:pPr>
            <w:r>
              <w:t>Develop Instruments for Data Collection</w:t>
            </w:r>
          </w:p>
        </w:tc>
      </w:tr>
      <w:tr w:rsidR="00085093" w:rsidTr="0057659A" w14:paraId="419CC435" w14:textId="77777777">
        <w:tc>
          <w:tcPr>
            <w:tcW w:w="6565" w:type="dxa"/>
          </w:tcPr>
          <w:p w:rsidR="00085093" w:rsidP="00085093" w:rsidRDefault="00085093" w14:paraId="6054F69C" w14:textId="28519591">
            <w:pPr>
              <w:pStyle w:val="HSAGTableText"/>
            </w:pPr>
            <w:r>
              <w:t>Anticipated month during which survey instruments will be completed*</w:t>
            </w:r>
            <w:r w:rsidR="006917DE">
              <w:t>*</w:t>
            </w:r>
          </w:p>
        </w:tc>
        <w:tc>
          <w:tcPr>
            <w:tcW w:w="3505" w:type="dxa"/>
          </w:tcPr>
          <w:p w:rsidR="00085093" w:rsidP="00085093" w:rsidRDefault="00A75C03" w14:paraId="3685AF24" w14:textId="4CDECA7A">
            <w:pPr>
              <w:pStyle w:val="HSAGTableText"/>
              <w:jc w:val="center"/>
            </w:pPr>
            <w:r>
              <w:t>Sepetmber</w:t>
            </w:r>
            <w:r w:rsidR="00085093">
              <w:t xml:space="preserve"> 2021</w:t>
            </w:r>
          </w:p>
        </w:tc>
      </w:tr>
      <w:tr w:rsidR="00085093" w:rsidTr="0057659A" w14:paraId="4F609815" w14:textId="77777777">
        <w:tc>
          <w:tcPr>
            <w:tcW w:w="6565" w:type="dxa"/>
          </w:tcPr>
          <w:p w:rsidR="00085093" w:rsidP="00085093" w:rsidRDefault="00085093" w14:paraId="361FEDB6" w14:textId="7AB7E4E0">
            <w:pPr>
              <w:pStyle w:val="HSAGTableText"/>
            </w:pPr>
            <w:r>
              <w:t>Obtain OMB approval for data collection, estimated</w:t>
            </w:r>
          </w:p>
        </w:tc>
        <w:tc>
          <w:tcPr>
            <w:tcW w:w="3505" w:type="dxa"/>
          </w:tcPr>
          <w:p w:rsidR="00085093" w:rsidP="00085093" w:rsidRDefault="00A75C03" w14:paraId="01EF2B66" w14:textId="68468309">
            <w:pPr>
              <w:pStyle w:val="HSAGTableText"/>
              <w:jc w:val="center"/>
            </w:pPr>
            <w:r>
              <w:t>December</w:t>
            </w:r>
            <w:r w:rsidR="00085093">
              <w:t xml:space="preserve"> 2021</w:t>
            </w:r>
          </w:p>
        </w:tc>
      </w:tr>
      <w:tr w:rsidR="00085093" w:rsidTr="0057659A" w14:paraId="6D7077B3" w14:textId="77777777">
        <w:tc>
          <w:tcPr>
            <w:tcW w:w="10070" w:type="dxa"/>
            <w:gridSpan w:val="2"/>
          </w:tcPr>
          <w:p w:rsidR="00085093" w:rsidP="00085093" w:rsidRDefault="00085093" w14:paraId="7C97FA76" w14:textId="653A06DB">
            <w:pPr>
              <w:pStyle w:val="HSAGTableHeading"/>
            </w:pPr>
            <w:r>
              <w:t>Implement Data Collection</w:t>
            </w:r>
          </w:p>
        </w:tc>
      </w:tr>
      <w:tr w:rsidR="00085093" w:rsidTr="0057659A" w14:paraId="58585B42" w14:textId="77777777">
        <w:tc>
          <w:tcPr>
            <w:tcW w:w="6565" w:type="dxa"/>
          </w:tcPr>
          <w:p w:rsidR="00085093" w:rsidP="00085093" w:rsidRDefault="00085093" w14:paraId="0EAD1188" w14:textId="45315DFE">
            <w:pPr>
              <w:pStyle w:val="HSAGTableText"/>
            </w:pPr>
            <w:r>
              <w:t>Anticipated month during which data collection will be completed</w:t>
            </w:r>
          </w:p>
        </w:tc>
        <w:tc>
          <w:tcPr>
            <w:tcW w:w="3505" w:type="dxa"/>
          </w:tcPr>
          <w:p w:rsidR="00085093" w:rsidP="00085093" w:rsidRDefault="00085093" w14:paraId="2086397E" w14:textId="02E81D07">
            <w:pPr>
              <w:pStyle w:val="HSAGTableText"/>
              <w:jc w:val="center"/>
            </w:pPr>
            <w:r>
              <w:t>January 2022</w:t>
            </w:r>
            <w:r w:rsidR="00BC68CD">
              <w:t>*</w:t>
            </w:r>
          </w:p>
        </w:tc>
      </w:tr>
      <w:tr w:rsidR="00085093" w:rsidTr="0057659A" w14:paraId="2953CCE1" w14:textId="77777777">
        <w:tc>
          <w:tcPr>
            <w:tcW w:w="10070" w:type="dxa"/>
            <w:gridSpan w:val="2"/>
          </w:tcPr>
          <w:p w:rsidR="00085093" w:rsidP="00085093" w:rsidRDefault="00085093" w14:paraId="5027FE4E" w14:textId="2842805A">
            <w:pPr>
              <w:pStyle w:val="HSAGTableHeading"/>
            </w:pPr>
            <w:r>
              <w:t>Conduct Data Analysis</w:t>
            </w:r>
          </w:p>
        </w:tc>
      </w:tr>
      <w:tr w:rsidR="00085093" w:rsidTr="0057659A" w14:paraId="3B984F45" w14:textId="77777777">
        <w:tc>
          <w:tcPr>
            <w:tcW w:w="6565" w:type="dxa"/>
          </w:tcPr>
          <w:p w:rsidR="00085093" w:rsidP="00085093" w:rsidRDefault="0057659A" w14:paraId="5FEF1CCF" w14:textId="4770C4E5">
            <w:pPr>
              <w:pStyle w:val="HSAGTableText"/>
            </w:pPr>
            <w:r>
              <w:t>Conduct analysis of data collected via the survey instruments</w:t>
            </w:r>
          </w:p>
        </w:tc>
        <w:tc>
          <w:tcPr>
            <w:tcW w:w="3505" w:type="dxa"/>
          </w:tcPr>
          <w:p w:rsidR="00085093" w:rsidP="00085093" w:rsidRDefault="0057659A" w14:paraId="73310BA3" w14:textId="1DAE4E1E">
            <w:pPr>
              <w:pStyle w:val="HSAGTableText"/>
              <w:jc w:val="center"/>
            </w:pPr>
            <w:r>
              <w:t>March 2022</w:t>
            </w:r>
            <w:r w:rsidR="00BC68CD">
              <w:t>*</w:t>
            </w:r>
          </w:p>
        </w:tc>
      </w:tr>
      <w:tr w:rsidR="0057659A" w:rsidTr="0057659A" w14:paraId="6785F7E4" w14:textId="77777777">
        <w:tc>
          <w:tcPr>
            <w:tcW w:w="10070" w:type="dxa"/>
            <w:gridSpan w:val="2"/>
          </w:tcPr>
          <w:p w:rsidR="0057659A" w:rsidP="0057659A" w:rsidRDefault="0057659A" w14:paraId="0E8D8DCF" w14:textId="59A0315F">
            <w:pPr>
              <w:pStyle w:val="HSAGTableHeading"/>
            </w:pPr>
            <w:r>
              <w:t>Develop Report</w:t>
            </w:r>
          </w:p>
        </w:tc>
      </w:tr>
      <w:tr w:rsidR="00085093" w:rsidTr="0057659A" w14:paraId="26D73AC9" w14:textId="77777777">
        <w:tc>
          <w:tcPr>
            <w:tcW w:w="6565" w:type="dxa"/>
          </w:tcPr>
          <w:p w:rsidR="00085093" w:rsidP="00085093" w:rsidRDefault="0057659A" w14:paraId="3F6CAB8F" w14:textId="77AEC4F6">
            <w:pPr>
              <w:pStyle w:val="HSAGTableText"/>
            </w:pPr>
            <w:r>
              <w:t>Produce the final report on the fidelity evaluation</w:t>
            </w:r>
          </w:p>
        </w:tc>
        <w:tc>
          <w:tcPr>
            <w:tcW w:w="3505" w:type="dxa"/>
          </w:tcPr>
          <w:p w:rsidR="00085093" w:rsidP="00085093" w:rsidRDefault="0057659A" w14:paraId="46FE5A33" w14:textId="1F4CE40E">
            <w:pPr>
              <w:pStyle w:val="HSAGTableText"/>
              <w:jc w:val="center"/>
            </w:pPr>
            <w:r>
              <w:t>September 2022</w:t>
            </w:r>
          </w:p>
        </w:tc>
      </w:tr>
      <w:tr w:rsidR="0057659A" w:rsidTr="00BE5387" w14:paraId="31832AA1" w14:textId="77777777">
        <w:tc>
          <w:tcPr>
            <w:tcW w:w="10070" w:type="dxa"/>
            <w:gridSpan w:val="2"/>
          </w:tcPr>
          <w:p w:rsidR="006917DE" w:rsidP="00BE5387" w:rsidRDefault="006917DE" w14:paraId="12B3B8C3" w14:textId="368F623E">
            <w:pPr>
              <w:pStyle w:val="HSAGTableText"/>
              <w:rPr>
                <w:b/>
                <w:bCs/>
              </w:rPr>
            </w:pPr>
            <w:r>
              <w:rPr>
                <w:b/>
                <w:bCs/>
              </w:rPr>
              <w:t>* Dates</w:t>
            </w:r>
            <w:r w:rsidR="00BC68CD">
              <w:rPr>
                <w:b/>
                <w:bCs/>
              </w:rPr>
              <w:t xml:space="preserve"> are</w:t>
            </w:r>
            <w:r>
              <w:rPr>
                <w:b/>
                <w:bCs/>
              </w:rPr>
              <w:t xml:space="preserve"> contingent </w:t>
            </w:r>
            <w:r w:rsidR="00BC68CD">
              <w:rPr>
                <w:b/>
                <w:bCs/>
              </w:rPr>
              <w:t>on the date of OMB approval</w:t>
            </w:r>
          </w:p>
          <w:p w:rsidRPr="00085093" w:rsidR="0057659A" w:rsidP="00BE5387" w:rsidRDefault="0057659A" w14:paraId="226C5846" w14:textId="24BD7163">
            <w:pPr>
              <w:pStyle w:val="HSAGTableText"/>
              <w:rPr>
                <w:b/>
                <w:bCs/>
              </w:rPr>
            </w:pPr>
            <w:r w:rsidRPr="00085093">
              <w:rPr>
                <w:b/>
                <w:bCs/>
              </w:rPr>
              <w:t>*</w:t>
            </w:r>
            <w:r w:rsidR="006917DE">
              <w:rPr>
                <w:b/>
                <w:bCs/>
              </w:rPr>
              <w:t>*</w:t>
            </w:r>
            <w:r w:rsidRPr="00085093">
              <w:rPr>
                <w:b/>
                <w:bCs/>
              </w:rPr>
              <w:t>The survey instruments will be finalized after the public comment period.</w:t>
            </w:r>
          </w:p>
        </w:tc>
      </w:tr>
    </w:tbl>
    <w:p w:rsidRPr="001E3120" w:rsidR="00BF38DB" w:rsidP="00624B10" w:rsidRDefault="00BF38DB" w14:paraId="3D5EAC82" w14:textId="478C7A4B">
      <w:pPr>
        <w:pStyle w:val="Heading3"/>
      </w:pPr>
      <w:bookmarkStart w:name="_Toc451350309" w:id="47"/>
      <w:bookmarkStart w:name="_Toc70317638" w:id="48"/>
      <w:bookmarkStart w:name="_Toc72140644" w:id="49"/>
      <w:r w:rsidRPr="00BF38DB">
        <w:t>A.17.</w:t>
      </w:r>
      <w:r w:rsidR="007458B9">
        <w:t xml:space="preserve"> </w:t>
      </w:r>
      <w:r w:rsidRPr="00BF38DB">
        <w:t>Exception for Display of Expiration Date</w:t>
      </w:r>
      <w:bookmarkEnd w:id="47"/>
      <w:bookmarkEnd w:id="48"/>
      <w:bookmarkEnd w:id="49"/>
    </w:p>
    <w:p w:rsidRPr="00BF38DB" w:rsidR="00BF38DB" w:rsidP="001E3120" w:rsidRDefault="00BF38DB" w14:paraId="740CDB68" w14:textId="77777777">
      <w:r w:rsidRPr="00BF38DB">
        <w:t>All data collection materials will display the OMB expiration date.</w:t>
      </w:r>
    </w:p>
    <w:p w:rsidRPr="001E3120" w:rsidR="00BF38DB" w:rsidP="00C45FCE" w:rsidRDefault="00BF38DB" w14:paraId="3054CD82" w14:textId="6CE94192">
      <w:pPr>
        <w:pStyle w:val="Heading3"/>
      </w:pPr>
      <w:bookmarkStart w:name="_Toc451350310" w:id="50"/>
      <w:bookmarkStart w:name="_Toc70317639" w:id="51"/>
      <w:bookmarkStart w:name="_Toc72140645" w:id="52"/>
      <w:r w:rsidRPr="00BF38DB">
        <w:t>A.18.</w:t>
      </w:r>
      <w:r w:rsidR="007458B9">
        <w:t xml:space="preserve"> </w:t>
      </w:r>
      <w:r w:rsidRPr="00BF38DB">
        <w:t>Certifications</w:t>
      </w:r>
      <w:bookmarkEnd w:id="50"/>
      <w:bookmarkEnd w:id="51"/>
      <w:bookmarkEnd w:id="52"/>
    </w:p>
    <w:p w:rsidR="00AD595F" w:rsidP="00332B92" w:rsidRDefault="00BF38DB" w14:paraId="14840CB1" w14:textId="5BC7786C">
      <w:r w:rsidRPr="00BF38DB">
        <w:t>ACL certifies that the collection of information encompassed by this request complies with 5 CFR 1320.9 and the related provisions of 5 CFR 1320.8(b)(3).</w:t>
      </w:r>
      <w:bookmarkEnd w:id="43"/>
    </w:p>
    <w:sectPr w:rsidR="00AD595F" w:rsidSect="003B3CFD">
      <w:footerReference w:type="first" r:id="rId13"/>
      <w:pgSz w:w="12240" w:h="15840"/>
      <w:pgMar w:top="1872"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2D87C" w14:textId="77777777" w:rsidR="005925D0" w:rsidRDefault="005925D0" w:rsidP="00383899">
      <w:pPr>
        <w:spacing w:after="0"/>
      </w:pPr>
      <w:r>
        <w:separator/>
      </w:r>
    </w:p>
  </w:endnote>
  <w:endnote w:type="continuationSeparator" w:id="0">
    <w:p w14:paraId="4905412B" w14:textId="77777777" w:rsidR="005925D0" w:rsidRDefault="005925D0"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190C" w14:textId="0EF27A62" w:rsidR="00A47D32" w:rsidRPr="00045245" w:rsidRDefault="00A47D32" w:rsidP="00045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DE071" w14:textId="1A090190" w:rsidR="00A47D32" w:rsidRPr="00045245" w:rsidRDefault="00A47D32" w:rsidP="0004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0881C" w14:textId="77777777" w:rsidR="005925D0" w:rsidRDefault="005925D0" w:rsidP="00383899">
      <w:pPr>
        <w:spacing w:after="0"/>
      </w:pPr>
      <w:r>
        <w:separator/>
      </w:r>
    </w:p>
  </w:footnote>
  <w:footnote w:type="continuationSeparator" w:id="0">
    <w:p w14:paraId="2017FE08" w14:textId="77777777" w:rsidR="005925D0" w:rsidRDefault="005925D0" w:rsidP="00383899">
      <w:pPr>
        <w:spacing w:after="0"/>
      </w:pPr>
      <w:r>
        <w:continuationSeparator/>
      </w:r>
    </w:p>
  </w:footnote>
  <w:footnote w:id="1">
    <w:p w14:paraId="196041F2" w14:textId="4B76DD16" w:rsidR="00BE5387" w:rsidRDefault="00BE5387" w:rsidP="003D7746">
      <w:pPr>
        <w:pStyle w:val="FootnoteText"/>
      </w:pPr>
      <w:r>
        <w:rPr>
          <w:rStyle w:val="FootnoteReference"/>
        </w:rPr>
        <w:footnoteRef/>
      </w:r>
      <w:r>
        <w:t xml:space="preserve"> Section 361 (a) of the Older Americans Act (OAA) of 1965, as amended, states “The Assistant Secretary shall carry out a program for making grants to States under State plans approved under section 307 to provide evidence-based disease prevention and health promotion services and information at multipurpose senior centers, at congregate meal sites, through home delivered meals programs, or at other appropriate sites.”</w:t>
      </w:r>
    </w:p>
  </w:footnote>
  <w:footnote w:id="2">
    <w:p w14:paraId="5AB75BD8" w14:textId="3BA6FB8F" w:rsidR="00BE5387" w:rsidRDefault="00BE5387" w:rsidP="009960E5">
      <w:pPr>
        <w:pStyle w:val="FootnoteText"/>
      </w:pPr>
      <w:r>
        <w:rPr>
          <w:rStyle w:val="FootnoteReference"/>
        </w:rPr>
        <w:footnoteRef/>
      </w:r>
      <w:r>
        <w:t xml:space="preserve"> The FY 2012 Congressional appropriations law specified that “Evidence-based health promotion programs, as defined in the Older Americans Act (Title I section 102 (14)(D)) includes programs related to the prevention and mitigation of the effects of chronic disease…, alcohol and substance abuse reduction, smoking cessation, weight loss and control, stress management, falls prevention, physical activity, and improved nutrition.”</w:t>
      </w:r>
    </w:p>
  </w:footnote>
  <w:footnote w:id="3">
    <w:p w14:paraId="6F01DC48" w14:textId="77777777" w:rsidR="00D823B7" w:rsidRDefault="00D823B7" w:rsidP="00D823B7">
      <w:pPr>
        <w:pStyle w:val="FootnoteText"/>
      </w:pPr>
      <w:r>
        <w:rPr>
          <w:rStyle w:val="FootnoteReference"/>
        </w:rPr>
        <w:footnoteRef/>
      </w:r>
      <w:r>
        <w:t xml:space="preserve">  Title II of the OAA requires ACL to “measure and evaluate the impact of all programs authorized by this Act, their effectiveness in achieving stated goals in general, and in relation to their cost, their impact on related programs, their effectiveness in targeting for services under this Act unserved older individuals with greatest economic need (including low-income minority individuals and older individuals residing in rural areas), and unserved older individuals with greatest social need (including low-income minority individuals and older individuals residing in rural areas),  and their structure and mechanisms for delivery of services . . . .”</w:t>
      </w:r>
    </w:p>
  </w:footnote>
  <w:footnote w:id="4">
    <w:p w14:paraId="68127FC3" w14:textId="77777777" w:rsidR="00BE5387" w:rsidRDefault="00BE5387" w:rsidP="00816F3D">
      <w:pPr>
        <w:pStyle w:val="FootnoteText"/>
      </w:pPr>
      <w:r>
        <w:rPr>
          <w:rStyle w:val="FootnoteReference"/>
        </w:rPr>
        <w:footnoteRef/>
      </w:r>
      <w:r>
        <w:t xml:space="preserve"> ACL’s Aging and Disability Evidence-Based Programs and Practices (ADEPP) Guide to Reviewing Evidence-</w:t>
      </w:r>
    </w:p>
    <w:p w14:paraId="28BC4065" w14:textId="77777777" w:rsidR="00BE5387" w:rsidRDefault="00BE5387" w:rsidP="00816F3D">
      <w:pPr>
        <w:pStyle w:val="FootnoteText"/>
      </w:pPr>
      <w:r>
        <w:t>Based Programs.</w:t>
      </w:r>
    </w:p>
  </w:footnote>
  <w:footnote w:id="5">
    <w:p w14:paraId="5FDA7C7D" w14:textId="77777777" w:rsidR="002F02DB" w:rsidRDefault="002F02DB" w:rsidP="002F02DB">
      <w:pPr>
        <w:pStyle w:val="FootnoteText"/>
      </w:pPr>
      <w:r>
        <w:rPr>
          <w:rStyle w:val="FootnoteReference"/>
        </w:rPr>
        <w:footnoteRef/>
      </w:r>
      <w:r>
        <w:t xml:space="preserve"> Discretionary grantees may hold two or more grant awards but will only be invited to respond once. SUAs are eligible for discretionary awards. In two instances, the SUA contact is also a discretionary grant contract, and those SUAs will receive only one survey each. The count of 47 distinct discretionary grantees disregards the number of awards held and excludes the two aforementioned SUAs.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BE5387" w14:paraId="36BB4F63" w14:textId="77777777" w:rsidTr="00E65BE0">
      <w:trPr>
        <w:jc w:val="center"/>
      </w:trPr>
      <w:tc>
        <w:tcPr>
          <w:tcW w:w="3356" w:type="dxa"/>
        </w:tcPr>
        <w:p w14:paraId="289FBED8" w14:textId="7F858791" w:rsidR="00BE5387" w:rsidRDefault="00BE5387" w:rsidP="00BA2B79">
          <w:pPr>
            <w:spacing w:before="0" w:after="0"/>
          </w:pPr>
        </w:p>
      </w:tc>
      <w:tc>
        <w:tcPr>
          <w:tcW w:w="1234" w:type="dxa"/>
        </w:tcPr>
        <w:p w14:paraId="13694009" w14:textId="77777777" w:rsidR="00BE5387" w:rsidRDefault="00BE5387" w:rsidP="00B92749">
          <w:pPr>
            <w:jc w:val="center"/>
          </w:pPr>
        </w:p>
      </w:tc>
      <w:tc>
        <w:tcPr>
          <w:tcW w:w="5480" w:type="dxa"/>
        </w:tcPr>
        <w:p w14:paraId="47CA4B65" w14:textId="0AF5BD43" w:rsidR="00BE5387" w:rsidRDefault="00BE5387" w:rsidP="00FA118B">
          <w:pPr>
            <w:pStyle w:val="Header"/>
            <w:spacing w:after="0"/>
          </w:pPr>
        </w:p>
      </w:tc>
    </w:tr>
  </w:tbl>
  <w:p w14:paraId="4AE15FCE" w14:textId="77777777" w:rsidR="00BE5387" w:rsidRPr="00E65BE0" w:rsidRDefault="00BE5387" w:rsidP="00BA2B79">
    <w:pPr>
      <w:spacing w:before="0" w:after="180"/>
      <w:rPr>
        <w:sz w:val="12"/>
        <w:szCs w:val="12"/>
      </w:rPr>
    </w:pPr>
    <w:r>
      <w:rPr>
        <w:noProof/>
      </w:rPr>
      <w:drawing>
        <wp:anchor distT="0" distB="0" distL="114300" distR="114300" simplePos="0" relativeHeight="251664384" behindDoc="1" locked="0" layoutInCell="1" allowOverlap="1" wp14:anchorId="5E8E799E" wp14:editId="1ADC7892">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1">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7E821" w14:textId="657FFCBB" w:rsidR="00BE5387" w:rsidRPr="00B05AB5" w:rsidRDefault="00BE5387" w:rsidP="00A11D35">
    <w:pPr>
      <w:spacing w:before="0" w:after="180"/>
      <w:rPr>
        <w:sz w:val="12"/>
        <w:szCs w:val="12"/>
      </w:rPr>
    </w:pPr>
    <w:r w:rsidRPr="00E84A5E">
      <w:rPr>
        <w:noProof/>
      </w:rPr>
      <mc:AlternateContent>
        <mc:Choice Requires="wps">
          <w:drawing>
            <wp:anchor distT="0" distB="0" distL="114300" distR="114300" simplePos="0" relativeHeight="251678720" behindDoc="0" locked="0" layoutInCell="1" allowOverlap="1" wp14:anchorId="7A0F75E2" wp14:editId="16B86FB5">
              <wp:simplePos x="0" y="0"/>
              <wp:positionH relativeFrom="rightMargin">
                <wp:posOffset>-171450</wp:posOffset>
              </wp:positionH>
              <wp:positionV relativeFrom="page">
                <wp:posOffset>193040</wp:posOffset>
              </wp:positionV>
              <wp:extent cx="585216" cy="9655810"/>
              <wp:effectExtent l="0" t="0" r="5715" b="2540"/>
              <wp:wrapNone/>
              <wp:docPr id="48" name="Rectangle 48" descr="Orange Rectangle" title="Orange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 cy="9655810"/>
                      </a:xfrm>
                      <a:prstGeom prst="rect">
                        <a:avLst/>
                      </a:prstGeom>
                      <a:solidFill>
                        <a:srgbClr val="F79548"/>
                      </a:solidFill>
                      <a:ln w="25400" cap="flat" cmpd="sng" algn="ctr">
                        <a:noFill/>
                        <a:prstDash val="solid"/>
                      </a:ln>
                      <a:effectLst/>
                    </wps:spPr>
                    <wps:txbx>
                      <w:txbxContent>
                        <w:p w14:paraId="2D2A0274" w14:textId="7AAE5494" w:rsidR="00BE5387" w:rsidRDefault="00BE5387" w:rsidP="00E84A5E">
                          <w:pPr>
                            <w:spacing w:before="0" w:after="0"/>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7A0F75E2" id="Rectangle 48" o:spid="_x0000_s1027" alt="Title: Orange Rectangle - Description: Orange Rectangle" style="position:absolute;margin-left:-13.5pt;margin-top:15.2pt;width:46.1pt;height:760.3pt;z-index:251678720;visibility:visible;mso-wrap-style:square;mso-width-percent:0;mso-height-percent:960;mso-wrap-distance-left:9pt;mso-wrap-distance-top:0;mso-wrap-distance-right:9pt;mso-wrap-distance-bottom:0;mso-position-horizontal:absolute;mso-position-horizontal-relative:right-margin-area;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" fillcolor="#f79548" stroked="f" strokeweight="2pt">
              <v:textbox inset="14.4pt,,14.4pt">
                <w:txbxContent>
                  <w:p w14:paraId="2D2A0274" w14:textId="7AAE5494" w:rsidR="00BE5387" w:rsidRDefault="00BE5387" w:rsidP="00E84A5E">
                    <w:pPr>
                      <w:spacing w:before="0" w:after="0"/>
                      <w:rPr>
                        <w:color w:val="FFFFFF" w:themeColor="background1"/>
                      </w:rP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BE5387" w14:paraId="26E7AAC3" w14:textId="77777777" w:rsidTr="00927B3B">
      <w:trPr>
        <w:jc w:val="center"/>
      </w:trPr>
      <w:tc>
        <w:tcPr>
          <w:tcW w:w="3356" w:type="dxa"/>
        </w:tcPr>
        <w:p w14:paraId="4FDBF489" w14:textId="603081EF" w:rsidR="00BE5387" w:rsidRDefault="00BE5387" w:rsidP="00A11D35">
          <w:pPr>
            <w:spacing w:before="0" w:after="0"/>
          </w:pPr>
        </w:p>
      </w:tc>
      <w:tc>
        <w:tcPr>
          <w:tcW w:w="1234" w:type="dxa"/>
        </w:tcPr>
        <w:p w14:paraId="44411B43" w14:textId="77777777" w:rsidR="00BE5387" w:rsidRDefault="00BE5387" w:rsidP="00A11D35">
          <w:pPr>
            <w:jc w:val="center"/>
          </w:pPr>
        </w:p>
      </w:tc>
      <w:tc>
        <w:tcPr>
          <w:tcW w:w="5480" w:type="dxa"/>
        </w:tcPr>
        <w:p w14:paraId="10BFBDF9" w14:textId="77777777" w:rsidR="00BE5387" w:rsidRDefault="00BE5387" w:rsidP="00A11D35">
          <w:pPr>
            <w:pStyle w:val="Header"/>
            <w:spacing w:after="0"/>
          </w:pPr>
        </w:p>
      </w:tc>
    </w:tr>
  </w:tbl>
  <w:p w14:paraId="208EC240" w14:textId="77777777" w:rsidR="00BE5387" w:rsidRPr="00B05AB5" w:rsidRDefault="00BE5387" w:rsidP="00A11D35">
    <w:pPr>
      <w:spacing w:before="0" w:after="180"/>
      <w:rPr>
        <w:sz w:val="12"/>
        <w:szCs w:val="12"/>
      </w:rPr>
    </w:pPr>
    <w:r>
      <w:rPr>
        <w:noProof/>
      </w:rPr>
      <w:drawing>
        <wp:anchor distT="0" distB="0" distL="114300" distR="114300" simplePos="0" relativeHeight="251675648" behindDoc="1" locked="0" layoutInCell="1" allowOverlap="1" wp14:anchorId="5734411E" wp14:editId="0AB2FE22">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1">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1E9B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6AD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488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E27C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B82A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06D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FC97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BC97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58A3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A25E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02C85CB1"/>
    <w:multiLevelType w:val="hybridMultilevel"/>
    <w:tmpl w:val="6A30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C94D83"/>
    <w:multiLevelType w:val="hybridMultilevel"/>
    <w:tmpl w:val="653C105A"/>
    <w:lvl w:ilvl="0" w:tplc="CB44989E">
      <w:start w:val="1"/>
      <w:numFmt w:val="decimal"/>
      <w:pStyle w:val="Heading1"/>
      <w:lvlText w:val="%1."/>
      <w:lvlJc w:val="left"/>
      <w:pPr>
        <w:ind w:left="10080" w:hanging="360"/>
      </w:pPr>
      <w:rPr>
        <w:color w:val="00549E"/>
      </w:r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4" w15:restartNumberingAfterBreak="0">
    <w:nsid w:val="3FDB7BC9"/>
    <w:multiLevelType w:val="hybridMultilevel"/>
    <w:tmpl w:val="E702C2CA"/>
    <w:lvl w:ilvl="0" w:tplc="4E28DAC4">
      <w:start w:val="1"/>
      <w:numFmt w:val="decimal"/>
      <w:pStyle w:val="HSAGBullet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153A7"/>
    <w:multiLevelType w:val="hybridMultilevel"/>
    <w:tmpl w:val="3DAE8D3C"/>
    <w:lvl w:ilvl="0" w:tplc="CB865C5A">
      <w:start w:val="1"/>
      <w:numFmt w:val="bullet"/>
      <w:pStyle w:val="ListBullet1"/>
      <w:lvlText w:val=""/>
      <w:lvlJc w:val="left"/>
      <w:pPr>
        <w:tabs>
          <w:tab w:val="num" w:pos="792"/>
        </w:tabs>
        <w:ind w:left="792" w:hanging="360"/>
      </w:pPr>
      <w:rPr>
        <w:rFonts w:ascii="Wingdings" w:hAnsi="Wingdings" w:hint="default"/>
        <w:color w:val="003366"/>
        <w:sz w:val="12"/>
        <w:szCs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8C06F9"/>
    <w:multiLevelType w:val="hybridMultilevel"/>
    <w:tmpl w:val="A08CA60A"/>
    <w:lvl w:ilvl="0" w:tplc="561E4CCC">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15:restartNumberingAfterBreak="0">
    <w:nsid w:val="75CE261E"/>
    <w:multiLevelType w:val="hybridMultilevel"/>
    <w:tmpl w:val="8998215C"/>
    <w:lvl w:ilvl="0" w:tplc="413A9DD0">
      <w:numFmt w:val="bullet"/>
      <w:lvlText w:val=""/>
      <w:lvlJc w:val="left"/>
      <w:pPr>
        <w:ind w:left="360" w:hanging="360"/>
      </w:pPr>
      <w:rPr>
        <w:rFonts w:ascii="Wingdings 3" w:eastAsia="Times New Roman" w:hAnsi="Wingdings 3" w:cs="Wingdings 3" w:hint="default"/>
        <w:b/>
        <w:color w:val="006B3F"/>
        <w:sz w:val="19"/>
        <w:szCs w:val="19"/>
        <w14:shadow w14:blurRad="0" w14:dist="0" w14:dir="0" w14:sx="0" w14:sy="0" w14:kx="0" w14:ky="0" w14:algn="none">
          <w14:srgbClr w14:val="000000"/>
        </w14:shado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0"/>
  </w:num>
  <w:num w:numId="5">
    <w:abstractNumId w:val="14"/>
  </w:num>
  <w:num w:numId="6">
    <w:abstractNumId w:val="17"/>
  </w:num>
  <w:num w:numId="7">
    <w:abstractNumId w:val="12"/>
  </w:num>
  <w:num w:numId="8">
    <w:abstractNumId w:val="10"/>
  </w:num>
  <w:num w:numId="9">
    <w:abstractNumId w:val="14"/>
  </w:num>
  <w:num w:numId="10">
    <w:abstractNumId w:val="17"/>
  </w:num>
  <w:num w:numId="11">
    <w:abstractNumId w:val="12"/>
  </w:num>
  <w:num w:numId="12">
    <w:abstractNumId w:val="10"/>
  </w:num>
  <w:num w:numId="13">
    <w:abstractNumId w:val="16"/>
  </w:num>
  <w:num w:numId="14">
    <w:abstractNumId w:val="11"/>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num>
  <w:num w:numId="27">
    <w:abstractNumId w:val="18"/>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FE"/>
    <w:rsid w:val="0000382D"/>
    <w:rsid w:val="00011291"/>
    <w:rsid w:val="000113A7"/>
    <w:rsid w:val="0001227F"/>
    <w:rsid w:val="00013F31"/>
    <w:rsid w:val="00015252"/>
    <w:rsid w:val="000154A9"/>
    <w:rsid w:val="00026894"/>
    <w:rsid w:val="000311ED"/>
    <w:rsid w:val="00032130"/>
    <w:rsid w:val="0003763F"/>
    <w:rsid w:val="00043681"/>
    <w:rsid w:val="00045245"/>
    <w:rsid w:val="0005004A"/>
    <w:rsid w:val="00052C30"/>
    <w:rsid w:val="00053A15"/>
    <w:rsid w:val="00055418"/>
    <w:rsid w:val="0007334F"/>
    <w:rsid w:val="00075345"/>
    <w:rsid w:val="00081420"/>
    <w:rsid w:val="000849B4"/>
    <w:rsid w:val="00085093"/>
    <w:rsid w:val="00085522"/>
    <w:rsid w:val="00090054"/>
    <w:rsid w:val="00094EB8"/>
    <w:rsid w:val="000A27EE"/>
    <w:rsid w:val="000A37BE"/>
    <w:rsid w:val="000A51E3"/>
    <w:rsid w:val="000B47DD"/>
    <w:rsid w:val="000B5660"/>
    <w:rsid w:val="000C102A"/>
    <w:rsid w:val="000C6D4C"/>
    <w:rsid w:val="000E10F0"/>
    <w:rsid w:val="000E4A53"/>
    <w:rsid w:val="000F3487"/>
    <w:rsid w:val="00102B23"/>
    <w:rsid w:val="00104C8A"/>
    <w:rsid w:val="00107E41"/>
    <w:rsid w:val="00111F3A"/>
    <w:rsid w:val="00114DA7"/>
    <w:rsid w:val="00115B79"/>
    <w:rsid w:val="00125DE0"/>
    <w:rsid w:val="00127979"/>
    <w:rsid w:val="0013207F"/>
    <w:rsid w:val="00135A2A"/>
    <w:rsid w:val="001413DA"/>
    <w:rsid w:val="00142E75"/>
    <w:rsid w:val="00153DE4"/>
    <w:rsid w:val="0015629A"/>
    <w:rsid w:val="0017475F"/>
    <w:rsid w:val="001748E9"/>
    <w:rsid w:val="0017510F"/>
    <w:rsid w:val="00181911"/>
    <w:rsid w:val="0018498D"/>
    <w:rsid w:val="00190859"/>
    <w:rsid w:val="001A7DFE"/>
    <w:rsid w:val="001C0435"/>
    <w:rsid w:val="001D1CBC"/>
    <w:rsid w:val="001E0537"/>
    <w:rsid w:val="001E0B42"/>
    <w:rsid w:val="001E3120"/>
    <w:rsid w:val="001E32F7"/>
    <w:rsid w:val="001E3F50"/>
    <w:rsid w:val="001E6D49"/>
    <w:rsid w:val="001F2645"/>
    <w:rsid w:val="001F5AFC"/>
    <w:rsid w:val="00203607"/>
    <w:rsid w:val="00203905"/>
    <w:rsid w:val="0020396A"/>
    <w:rsid w:val="002042DB"/>
    <w:rsid w:val="00212437"/>
    <w:rsid w:val="00212EB3"/>
    <w:rsid w:val="00214B12"/>
    <w:rsid w:val="00216E92"/>
    <w:rsid w:val="00217890"/>
    <w:rsid w:val="002179FE"/>
    <w:rsid w:val="00224C96"/>
    <w:rsid w:val="0022759E"/>
    <w:rsid w:val="002400E2"/>
    <w:rsid w:val="0024330B"/>
    <w:rsid w:val="00245C5F"/>
    <w:rsid w:val="0025334F"/>
    <w:rsid w:val="00255922"/>
    <w:rsid w:val="00260A48"/>
    <w:rsid w:val="00262178"/>
    <w:rsid w:val="0026250D"/>
    <w:rsid w:val="002626E0"/>
    <w:rsid w:val="00264EE8"/>
    <w:rsid w:val="0027150B"/>
    <w:rsid w:val="0027490F"/>
    <w:rsid w:val="0029543A"/>
    <w:rsid w:val="0029688D"/>
    <w:rsid w:val="002A3DAD"/>
    <w:rsid w:val="002B1292"/>
    <w:rsid w:val="002B303E"/>
    <w:rsid w:val="002B5F67"/>
    <w:rsid w:val="002B7E9C"/>
    <w:rsid w:val="002C3CCB"/>
    <w:rsid w:val="002D3D22"/>
    <w:rsid w:val="002E0BA9"/>
    <w:rsid w:val="002E2063"/>
    <w:rsid w:val="002E2C8F"/>
    <w:rsid w:val="002E5BED"/>
    <w:rsid w:val="002E651A"/>
    <w:rsid w:val="002F02DB"/>
    <w:rsid w:val="002F51D2"/>
    <w:rsid w:val="00305E42"/>
    <w:rsid w:val="003075C5"/>
    <w:rsid w:val="00307825"/>
    <w:rsid w:val="003159C0"/>
    <w:rsid w:val="00315CC7"/>
    <w:rsid w:val="00320095"/>
    <w:rsid w:val="00321387"/>
    <w:rsid w:val="003234FB"/>
    <w:rsid w:val="0032559A"/>
    <w:rsid w:val="00332B92"/>
    <w:rsid w:val="0033452C"/>
    <w:rsid w:val="00341916"/>
    <w:rsid w:val="00347E8E"/>
    <w:rsid w:val="003557DB"/>
    <w:rsid w:val="0035599C"/>
    <w:rsid w:val="003734EE"/>
    <w:rsid w:val="00373CAE"/>
    <w:rsid w:val="003752B5"/>
    <w:rsid w:val="0037535A"/>
    <w:rsid w:val="00380791"/>
    <w:rsid w:val="00382200"/>
    <w:rsid w:val="0038276D"/>
    <w:rsid w:val="00383899"/>
    <w:rsid w:val="00385A5D"/>
    <w:rsid w:val="00385EAC"/>
    <w:rsid w:val="00391457"/>
    <w:rsid w:val="00397DA4"/>
    <w:rsid w:val="003B0282"/>
    <w:rsid w:val="003B1BB4"/>
    <w:rsid w:val="003B3CFD"/>
    <w:rsid w:val="003B51B0"/>
    <w:rsid w:val="003D6CBF"/>
    <w:rsid w:val="003D7746"/>
    <w:rsid w:val="003F67A7"/>
    <w:rsid w:val="003F6929"/>
    <w:rsid w:val="00401997"/>
    <w:rsid w:val="00404C14"/>
    <w:rsid w:val="0041006B"/>
    <w:rsid w:val="00411BDE"/>
    <w:rsid w:val="004135A1"/>
    <w:rsid w:val="0043470C"/>
    <w:rsid w:val="00434831"/>
    <w:rsid w:val="00444885"/>
    <w:rsid w:val="00446E35"/>
    <w:rsid w:val="0045008C"/>
    <w:rsid w:val="004518BF"/>
    <w:rsid w:val="0046131F"/>
    <w:rsid w:val="0046626E"/>
    <w:rsid w:val="00480D50"/>
    <w:rsid w:val="0048734C"/>
    <w:rsid w:val="00487C67"/>
    <w:rsid w:val="004910AF"/>
    <w:rsid w:val="0049691A"/>
    <w:rsid w:val="004A0AAB"/>
    <w:rsid w:val="004A4D61"/>
    <w:rsid w:val="004B151E"/>
    <w:rsid w:val="004B394C"/>
    <w:rsid w:val="004B3B67"/>
    <w:rsid w:val="004B7842"/>
    <w:rsid w:val="004C6334"/>
    <w:rsid w:val="004D175F"/>
    <w:rsid w:val="004D300C"/>
    <w:rsid w:val="004D4628"/>
    <w:rsid w:val="004D4D61"/>
    <w:rsid w:val="004D5435"/>
    <w:rsid w:val="004E2697"/>
    <w:rsid w:val="004E443A"/>
    <w:rsid w:val="004E4607"/>
    <w:rsid w:val="004E65E6"/>
    <w:rsid w:val="004F0B82"/>
    <w:rsid w:val="004F4288"/>
    <w:rsid w:val="004F64E3"/>
    <w:rsid w:val="00500076"/>
    <w:rsid w:val="005032DE"/>
    <w:rsid w:val="0051791A"/>
    <w:rsid w:val="005270A4"/>
    <w:rsid w:val="00530938"/>
    <w:rsid w:val="00535775"/>
    <w:rsid w:val="0053610D"/>
    <w:rsid w:val="005444DF"/>
    <w:rsid w:val="00546568"/>
    <w:rsid w:val="00553FB9"/>
    <w:rsid w:val="00565E84"/>
    <w:rsid w:val="0056683E"/>
    <w:rsid w:val="00572D0E"/>
    <w:rsid w:val="0057659A"/>
    <w:rsid w:val="00587173"/>
    <w:rsid w:val="005925D0"/>
    <w:rsid w:val="00595EF6"/>
    <w:rsid w:val="005A133D"/>
    <w:rsid w:val="005A18A7"/>
    <w:rsid w:val="005A5998"/>
    <w:rsid w:val="005B3A4E"/>
    <w:rsid w:val="005B3B29"/>
    <w:rsid w:val="005B3DEF"/>
    <w:rsid w:val="005B7257"/>
    <w:rsid w:val="005C02E7"/>
    <w:rsid w:val="005C64A5"/>
    <w:rsid w:val="005D4282"/>
    <w:rsid w:val="005D6368"/>
    <w:rsid w:val="005D7C1A"/>
    <w:rsid w:val="005E5A55"/>
    <w:rsid w:val="005F2717"/>
    <w:rsid w:val="005F55A0"/>
    <w:rsid w:val="005F6BC9"/>
    <w:rsid w:val="0060202A"/>
    <w:rsid w:val="0060736C"/>
    <w:rsid w:val="00607C68"/>
    <w:rsid w:val="0061435D"/>
    <w:rsid w:val="00616575"/>
    <w:rsid w:val="006238A1"/>
    <w:rsid w:val="0062408A"/>
    <w:rsid w:val="00624B10"/>
    <w:rsid w:val="00640B3B"/>
    <w:rsid w:val="00645116"/>
    <w:rsid w:val="00657A51"/>
    <w:rsid w:val="00665BDE"/>
    <w:rsid w:val="0068535E"/>
    <w:rsid w:val="00686266"/>
    <w:rsid w:val="006917DE"/>
    <w:rsid w:val="00695DD4"/>
    <w:rsid w:val="006A29A6"/>
    <w:rsid w:val="006A2FF0"/>
    <w:rsid w:val="006A4CD2"/>
    <w:rsid w:val="006A4DFC"/>
    <w:rsid w:val="006A5B99"/>
    <w:rsid w:val="006A746B"/>
    <w:rsid w:val="006B14D9"/>
    <w:rsid w:val="006B20C4"/>
    <w:rsid w:val="006C0ABC"/>
    <w:rsid w:val="006C3DA2"/>
    <w:rsid w:val="006C3FDD"/>
    <w:rsid w:val="006C7575"/>
    <w:rsid w:val="006D19BA"/>
    <w:rsid w:val="006D6420"/>
    <w:rsid w:val="006D6673"/>
    <w:rsid w:val="006D7C98"/>
    <w:rsid w:val="006E5134"/>
    <w:rsid w:val="006F0F07"/>
    <w:rsid w:val="006F3EC6"/>
    <w:rsid w:val="00704B70"/>
    <w:rsid w:val="00704DDF"/>
    <w:rsid w:val="00711719"/>
    <w:rsid w:val="00721B07"/>
    <w:rsid w:val="00727594"/>
    <w:rsid w:val="00727967"/>
    <w:rsid w:val="007322A7"/>
    <w:rsid w:val="00733802"/>
    <w:rsid w:val="00734298"/>
    <w:rsid w:val="00736D90"/>
    <w:rsid w:val="007458B9"/>
    <w:rsid w:val="00754FB7"/>
    <w:rsid w:val="0077093A"/>
    <w:rsid w:val="00772BA8"/>
    <w:rsid w:val="0078092C"/>
    <w:rsid w:val="0078094E"/>
    <w:rsid w:val="00783B09"/>
    <w:rsid w:val="00786879"/>
    <w:rsid w:val="00793937"/>
    <w:rsid w:val="00795ABE"/>
    <w:rsid w:val="007A1B35"/>
    <w:rsid w:val="007A7CD9"/>
    <w:rsid w:val="007B683C"/>
    <w:rsid w:val="007C16E1"/>
    <w:rsid w:val="007C23B6"/>
    <w:rsid w:val="007C6EDA"/>
    <w:rsid w:val="007C7D31"/>
    <w:rsid w:val="007D5A88"/>
    <w:rsid w:val="007D6F5B"/>
    <w:rsid w:val="007E35EA"/>
    <w:rsid w:val="007E5424"/>
    <w:rsid w:val="007F4D9D"/>
    <w:rsid w:val="00806CBA"/>
    <w:rsid w:val="008150C4"/>
    <w:rsid w:val="00816F3D"/>
    <w:rsid w:val="00817921"/>
    <w:rsid w:val="0082401F"/>
    <w:rsid w:val="00826438"/>
    <w:rsid w:val="00835A18"/>
    <w:rsid w:val="0083711C"/>
    <w:rsid w:val="00846DA0"/>
    <w:rsid w:val="00862C3F"/>
    <w:rsid w:val="00870A34"/>
    <w:rsid w:val="00873F3E"/>
    <w:rsid w:val="00877414"/>
    <w:rsid w:val="00880323"/>
    <w:rsid w:val="00880DC2"/>
    <w:rsid w:val="00884A57"/>
    <w:rsid w:val="0089163F"/>
    <w:rsid w:val="008931EF"/>
    <w:rsid w:val="008B098B"/>
    <w:rsid w:val="008B0FFA"/>
    <w:rsid w:val="008C370C"/>
    <w:rsid w:val="008C374A"/>
    <w:rsid w:val="008C3B15"/>
    <w:rsid w:val="008D03C6"/>
    <w:rsid w:val="008D1492"/>
    <w:rsid w:val="008D2C47"/>
    <w:rsid w:val="008D370A"/>
    <w:rsid w:val="008D4E9C"/>
    <w:rsid w:val="008E27BC"/>
    <w:rsid w:val="008E48F2"/>
    <w:rsid w:val="008E520E"/>
    <w:rsid w:val="008F68ED"/>
    <w:rsid w:val="0090206C"/>
    <w:rsid w:val="00902C42"/>
    <w:rsid w:val="00903135"/>
    <w:rsid w:val="009061FF"/>
    <w:rsid w:val="00916A0A"/>
    <w:rsid w:val="0092347D"/>
    <w:rsid w:val="00926991"/>
    <w:rsid w:val="00927294"/>
    <w:rsid w:val="00927B3B"/>
    <w:rsid w:val="00933333"/>
    <w:rsid w:val="009353B7"/>
    <w:rsid w:val="00944EDD"/>
    <w:rsid w:val="00953FD8"/>
    <w:rsid w:val="00955303"/>
    <w:rsid w:val="0095641E"/>
    <w:rsid w:val="00956689"/>
    <w:rsid w:val="009566A9"/>
    <w:rsid w:val="0096183A"/>
    <w:rsid w:val="00981E9D"/>
    <w:rsid w:val="00982400"/>
    <w:rsid w:val="00987342"/>
    <w:rsid w:val="00990626"/>
    <w:rsid w:val="009960E5"/>
    <w:rsid w:val="009A54A8"/>
    <w:rsid w:val="009A6DAD"/>
    <w:rsid w:val="009D1F39"/>
    <w:rsid w:val="009D4C19"/>
    <w:rsid w:val="009D4D9C"/>
    <w:rsid w:val="009D5005"/>
    <w:rsid w:val="009E1ACD"/>
    <w:rsid w:val="009E2779"/>
    <w:rsid w:val="009E56E3"/>
    <w:rsid w:val="009F0762"/>
    <w:rsid w:val="009F7668"/>
    <w:rsid w:val="00A00C9B"/>
    <w:rsid w:val="00A06116"/>
    <w:rsid w:val="00A07011"/>
    <w:rsid w:val="00A1100F"/>
    <w:rsid w:val="00A11D35"/>
    <w:rsid w:val="00A13817"/>
    <w:rsid w:val="00A13D78"/>
    <w:rsid w:val="00A2128B"/>
    <w:rsid w:val="00A21EE8"/>
    <w:rsid w:val="00A230BD"/>
    <w:rsid w:val="00A4068F"/>
    <w:rsid w:val="00A42261"/>
    <w:rsid w:val="00A47D32"/>
    <w:rsid w:val="00A51883"/>
    <w:rsid w:val="00A5369E"/>
    <w:rsid w:val="00A56860"/>
    <w:rsid w:val="00A56B97"/>
    <w:rsid w:val="00A62041"/>
    <w:rsid w:val="00A72EE3"/>
    <w:rsid w:val="00A75793"/>
    <w:rsid w:val="00A75C03"/>
    <w:rsid w:val="00A811FE"/>
    <w:rsid w:val="00A844CF"/>
    <w:rsid w:val="00A86378"/>
    <w:rsid w:val="00A95918"/>
    <w:rsid w:val="00AA0850"/>
    <w:rsid w:val="00AA4C86"/>
    <w:rsid w:val="00AB0756"/>
    <w:rsid w:val="00AB6997"/>
    <w:rsid w:val="00AC0BD8"/>
    <w:rsid w:val="00AD0FBF"/>
    <w:rsid w:val="00AD312B"/>
    <w:rsid w:val="00AD4BA0"/>
    <w:rsid w:val="00AD595F"/>
    <w:rsid w:val="00AF11DD"/>
    <w:rsid w:val="00B06F67"/>
    <w:rsid w:val="00B140F1"/>
    <w:rsid w:val="00B207E8"/>
    <w:rsid w:val="00B275F2"/>
    <w:rsid w:val="00B32342"/>
    <w:rsid w:val="00B338D8"/>
    <w:rsid w:val="00B3568F"/>
    <w:rsid w:val="00B378A7"/>
    <w:rsid w:val="00B41944"/>
    <w:rsid w:val="00B437BE"/>
    <w:rsid w:val="00B43BF0"/>
    <w:rsid w:val="00B51227"/>
    <w:rsid w:val="00B5179B"/>
    <w:rsid w:val="00B5352E"/>
    <w:rsid w:val="00B837C7"/>
    <w:rsid w:val="00B86B5A"/>
    <w:rsid w:val="00B92749"/>
    <w:rsid w:val="00BA06C3"/>
    <w:rsid w:val="00BA26D7"/>
    <w:rsid w:val="00BA2B79"/>
    <w:rsid w:val="00BA2DCD"/>
    <w:rsid w:val="00BA2F33"/>
    <w:rsid w:val="00BA302A"/>
    <w:rsid w:val="00BA65DA"/>
    <w:rsid w:val="00BB2982"/>
    <w:rsid w:val="00BB2F91"/>
    <w:rsid w:val="00BB3C9C"/>
    <w:rsid w:val="00BB4208"/>
    <w:rsid w:val="00BC68CD"/>
    <w:rsid w:val="00BC776D"/>
    <w:rsid w:val="00BE5387"/>
    <w:rsid w:val="00BE7BD8"/>
    <w:rsid w:val="00BF140D"/>
    <w:rsid w:val="00BF38DB"/>
    <w:rsid w:val="00C076F7"/>
    <w:rsid w:val="00C11671"/>
    <w:rsid w:val="00C21047"/>
    <w:rsid w:val="00C235B1"/>
    <w:rsid w:val="00C2597B"/>
    <w:rsid w:val="00C26643"/>
    <w:rsid w:val="00C35B22"/>
    <w:rsid w:val="00C37AC7"/>
    <w:rsid w:val="00C41BC6"/>
    <w:rsid w:val="00C45FCE"/>
    <w:rsid w:val="00C62DEB"/>
    <w:rsid w:val="00C67E9C"/>
    <w:rsid w:val="00C71659"/>
    <w:rsid w:val="00C80B9E"/>
    <w:rsid w:val="00C928F8"/>
    <w:rsid w:val="00C94E18"/>
    <w:rsid w:val="00CB1558"/>
    <w:rsid w:val="00CB4637"/>
    <w:rsid w:val="00CB7D60"/>
    <w:rsid w:val="00CC06A3"/>
    <w:rsid w:val="00CC1583"/>
    <w:rsid w:val="00CC3988"/>
    <w:rsid w:val="00CD4CBE"/>
    <w:rsid w:val="00CE09E2"/>
    <w:rsid w:val="00CF05CE"/>
    <w:rsid w:val="00CF29DD"/>
    <w:rsid w:val="00CF531E"/>
    <w:rsid w:val="00D050D8"/>
    <w:rsid w:val="00D05973"/>
    <w:rsid w:val="00D05DF6"/>
    <w:rsid w:val="00D11F2B"/>
    <w:rsid w:val="00D3172A"/>
    <w:rsid w:val="00D31F1F"/>
    <w:rsid w:val="00D41EA7"/>
    <w:rsid w:val="00D443CC"/>
    <w:rsid w:val="00D44DE9"/>
    <w:rsid w:val="00D5025F"/>
    <w:rsid w:val="00D55902"/>
    <w:rsid w:val="00D65E6B"/>
    <w:rsid w:val="00D66719"/>
    <w:rsid w:val="00D748FF"/>
    <w:rsid w:val="00D75E48"/>
    <w:rsid w:val="00D773E3"/>
    <w:rsid w:val="00D77EDC"/>
    <w:rsid w:val="00D823B7"/>
    <w:rsid w:val="00D90FE2"/>
    <w:rsid w:val="00D91B2A"/>
    <w:rsid w:val="00D94969"/>
    <w:rsid w:val="00DA02E5"/>
    <w:rsid w:val="00DA19B9"/>
    <w:rsid w:val="00DA312F"/>
    <w:rsid w:val="00DA69C2"/>
    <w:rsid w:val="00DB1F8C"/>
    <w:rsid w:val="00DB235E"/>
    <w:rsid w:val="00DD5519"/>
    <w:rsid w:val="00DE21EE"/>
    <w:rsid w:val="00DE2361"/>
    <w:rsid w:val="00DE4AAF"/>
    <w:rsid w:val="00DF2E21"/>
    <w:rsid w:val="00DF4313"/>
    <w:rsid w:val="00DF6E6B"/>
    <w:rsid w:val="00E0663D"/>
    <w:rsid w:val="00E0726A"/>
    <w:rsid w:val="00E07C4B"/>
    <w:rsid w:val="00E13E99"/>
    <w:rsid w:val="00E15F5E"/>
    <w:rsid w:val="00E17317"/>
    <w:rsid w:val="00E24A33"/>
    <w:rsid w:val="00E255B2"/>
    <w:rsid w:val="00E3064A"/>
    <w:rsid w:val="00E34D02"/>
    <w:rsid w:val="00E40B3F"/>
    <w:rsid w:val="00E42BD3"/>
    <w:rsid w:val="00E46960"/>
    <w:rsid w:val="00E534FF"/>
    <w:rsid w:val="00E60535"/>
    <w:rsid w:val="00E65BE0"/>
    <w:rsid w:val="00E724F0"/>
    <w:rsid w:val="00E72F44"/>
    <w:rsid w:val="00E7528D"/>
    <w:rsid w:val="00E77538"/>
    <w:rsid w:val="00E849D6"/>
    <w:rsid w:val="00E84A5E"/>
    <w:rsid w:val="00E87AF7"/>
    <w:rsid w:val="00E92C70"/>
    <w:rsid w:val="00EA2A76"/>
    <w:rsid w:val="00EA3ECC"/>
    <w:rsid w:val="00EA548D"/>
    <w:rsid w:val="00EB0888"/>
    <w:rsid w:val="00EB3521"/>
    <w:rsid w:val="00EB6F37"/>
    <w:rsid w:val="00EC0DF1"/>
    <w:rsid w:val="00EC5DB5"/>
    <w:rsid w:val="00ED2A81"/>
    <w:rsid w:val="00ED7638"/>
    <w:rsid w:val="00EE0642"/>
    <w:rsid w:val="00EE0D30"/>
    <w:rsid w:val="00EE460E"/>
    <w:rsid w:val="00EE46CD"/>
    <w:rsid w:val="00EE51A9"/>
    <w:rsid w:val="00EF4AF5"/>
    <w:rsid w:val="00EF4C1B"/>
    <w:rsid w:val="00EF4E3A"/>
    <w:rsid w:val="00EF677E"/>
    <w:rsid w:val="00F051E5"/>
    <w:rsid w:val="00F05601"/>
    <w:rsid w:val="00F05889"/>
    <w:rsid w:val="00F07972"/>
    <w:rsid w:val="00F15162"/>
    <w:rsid w:val="00F16155"/>
    <w:rsid w:val="00F16B25"/>
    <w:rsid w:val="00F350C0"/>
    <w:rsid w:val="00F358A8"/>
    <w:rsid w:val="00F43B13"/>
    <w:rsid w:val="00F57B73"/>
    <w:rsid w:val="00F601D4"/>
    <w:rsid w:val="00F6171B"/>
    <w:rsid w:val="00F6227D"/>
    <w:rsid w:val="00F6240E"/>
    <w:rsid w:val="00F65E65"/>
    <w:rsid w:val="00F663B5"/>
    <w:rsid w:val="00F72074"/>
    <w:rsid w:val="00F92B85"/>
    <w:rsid w:val="00F93BEB"/>
    <w:rsid w:val="00F95D35"/>
    <w:rsid w:val="00FA005B"/>
    <w:rsid w:val="00FA0408"/>
    <w:rsid w:val="00FA118B"/>
    <w:rsid w:val="00FA6686"/>
    <w:rsid w:val="00FB16BE"/>
    <w:rsid w:val="00FB2173"/>
    <w:rsid w:val="00FB23E2"/>
    <w:rsid w:val="00FB5F80"/>
    <w:rsid w:val="00FB7640"/>
    <w:rsid w:val="00FC0F97"/>
    <w:rsid w:val="00FD4E91"/>
    <w:rsid w:val="00FE0B13"/>
    <w:rsid w:val="00FE145D"/>
    <w:rsid w:val="00FE1BF9"/>
    <w:rsid w:val="00FE7314"/>
    <w:rsid w:val="00FF2301"/>
    <w:rsid w:val="00FF4BC3"/>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11CFF"/>
  <w15:docId w15:val="{45F664D2-E40A-4EDB-AD3F-5C064C55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18498D"/>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9A54A8"/>
    <w:pPr>
      <w:numPr>
        <w:numId w:val="15"/>
      </w:numPr>
      <w:shd w:val="clear" w:color="auto" w:fill="00549E" w:themeFill="text2"/>
      <w:spacing w:before="60" w:after="480"/>
      <w:ind w:left="360"/>
      <w:jc w:val="right"/>
      <w:outlineLvl w:val="0"/>
    </w:pPr>
    <w:rPr>
      <w:rFonts w:ascii="Calibri" w:hAnsi="Calibri"/>
      <w:b/>
      <w:color w:val="FFFFFF" w:themeColor="background1"/>
      <w:kern w:val="32"/>
      <w:sz w:val="32"/>
      <w:szCs w:val="44"/>
    </w:rPr>
  </w:style>
  <w:style w:type="paragraph" w:styleId="Heading2">
    <w:name w:val="heading 2"/>
    <w:aliases w:val="HSAG Heading 2"/>
    <w:basedOn w:val="Normal"/>
    <w:next w:val="Normal"/>
    <w:link w:val="Heading2Char"/>
    <w:uiPriority w:val="9"/>
    <w:unhideWhenUsed/>
    <w:qFormat/>
    <w:rsid w:val="004E65E6"/>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6238A1"/>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6A2FF0"/>
    <w:pPr>
      <w:spacing w:after="0"/>
      <w:outlineLvl w:val="3"/>
    </w:pPr>
    <w:rPr>
      <w:rFonts w:ascii="Calibri" w:hAnsi="Calibri"/>
      <w:b/>
      <w:color w:val="00549E" w:themeColor="text2"/>
    </w:rPr>
  </w:style>
  <w:style w:type="paragraph" w:styleId="Heading5">
    <w:name w:val="heading 5"/>
    <w:basedOn w:val="Normal"/>
    <w:next w:val="Normal"/>
    <w:link w:val="Heading5Char"/>
    <w:uiPriority w:val="9"/>
    <w:unhideWhenUsed/>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paragraph" w:styleId="Heading8">
    <w:name w:val="heading 8"/>
    <w:basedOn w:val="Normal"/>
    <w:next w:val="Normal"/>
    <w:link w:val="Heading8Char"/>
    <w:uiPriority w:val="9"/>
    <w:semiHidden/>
    <w:unhideWhenUsed/>
    <w:qFormat/>
    <w:rsid w:val="006A2F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F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2749"/>
    <w:pPr>
      <w:tabs>
        <w:tab w:val="center" w:pos="4320"/>
        <w:tab w:val="right" w:pos="8640"/>
      </w:tabs>
      <w:spacing w:before="0"/>
      <w:jc w:val="right"/>
    </w:pPr>
    <w:rPr>
      <w:rFonts w:asciiTheme="minorHAnsi" w:hAnsiTheme="minorHAnsi"/>
      <w:i/>
      <w:smallCaps/>
      <w:color w:val="00549E" w:themeColor="text2"/>
      <w:sz w:val="22"/>
    </w:rPr>
  </w:style>
  <w:style w:type="character" w:customStyle="1" w:styleId="HeaderChar">
    <w:name w:val="Header Char"/>
    <w:basedOn w:val="DefaultParagraphFont"/>
    <w:link w:val="Header"/>
    <w:rsid w:val="00B92749"/>
    <w:rPr>
      <w:i/>
      <w:smallCaps/>
      <w:color w:val="00549E" w:themeColor="text2"/>
    </w:rPr>
  </w:style>
  <w:style w:type="paragraph" w:styleId="Footer">
    <w:name w:val="footer"/>
    <w:basedOn w:val="Normal"/>
    <w:link w:val="FooterChar"/>
    <w:uiPriority w:val="99"/>
    <w:unhideWhenUsed/>
    <w:rsid w:val="005032DE"/>
    <w:pPr>
      <w:pBdr>
        <w:top w:val="single" w:sz="4" w:space="1" w:color="auto"/>
      </w:pBdr>
      <w:tabs>
        <w:tab w:val="center" w:pos="4680"/>
        <w:tab w:val="right" w:pos="9360"/>
      </w:tabs>
      <w:spacing w:before="120" w:after="0"/>
      <w:jc w:val="right"/>
    </w:pPr>
    <w:rPr>
      <w:rFonts w:ascii="Calibri" w:hAnsi="Calibri"/>
      <w:sz w:val="14"/>
    </w:rPr>
  </w:style>
  <w:style w:type="character" w:customStyle="1" w:styleId="FooterChar">
    <w:name w:val="Footer Char"/>
    <w:basedOn w:val="DefaultParagraphFont"/>
    <w:link w:val="Footer"/>
    <w:uiPriority w:val="99"/>
    <w:rsid w:val="005032DE"/>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E0BA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9A54A8"/>
    <w:rPr>
      <w:rFonts w:ascii="Calibri" w:hAnsi="Calibri"/>
      <w:b/>
      <w:color w:val="FFFFFF" w:themeColor="background1"/>
      <w:kern w:val="32"/>
      <w:sz w:val="32"/>
      <w:szCs w:val="44"/>
      <w:shd w:val="clear" w:color="auto" w:fill="00549E" w:themeFill="text2"/>
    </w:rPr>
  </w:style>
  <w:style w:type="character" w:customStyle="1" w:styleId="Heading2Char">
    <w:name w:val="Heading 2 Char"/>
    <w:aliases w:val="HSAG Heading 2 Char"/>
    <w:basedOn w:val="DefaultParagraphFont"/>
    <w:link w:val="Heading2"/>
    <w:uiPriority w:val="9"/>
    <w:rsid w:val="004E65E6"/>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6238A1"/>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6A2FF0"/>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6A2FF0"/>
    <w:rPr>
      <w:rFonts w:ascii="Calibri" w:hAnsi="Calibri"/>
      <w:b/>
      <w:color w:val="00549E" w:themeColor="text2"/>
      <w:sz w:val="24"/>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E65BE0"/>
    <w:pPr>
      <w:numPr>
        <w:numId w:val="9"/>
      </w:numPr>
      <w:spacing w:before="60" w:after="60"/>
    </w:pPr>
    <w:rPr>
      <w:rFonts w:eastAsia="Times New Roman" w:cs="Times New Roman"/>
    </w:rPr>
  </w:style>
  <w:style w:type="paragraph" w:customStyle="1" w:styleId="HSAGBullets2">
    <w:name w:val="HSAG Bullets 2"/>
    <w:basedOn w:val="HSAGBullets"/>
    <w:qFormat/>
    <w:rsid w:val="00880323"/>
    <w:pPr>
      <w:numPr>
        <w:numId w:val="10"/>
      </w:numPr>
      <w:ind w:left="720"/>
    </w:pPr>
  </w:style>
  <w:style w:type="paragraph" w:customStyle="1" w:styleId="HSAGNumbers">
    <w:name w:val="HSAG Numbers"/>
    <w:basedOn w:val="HSAGBullets"/>
    <w:qFormat/>
    <w:rsid w:val="00880323"/>
    <w:pPr>
      <w:numPr>
        <w:numId w:val="11"/>
      </w:numPr>
      <w:ind w:left="360"/>
    </w:pPr>
  </w:style>
  <w:style w:type="paragraph" w:customStyle="1" w:styleId="HSAGNumbers2">
    <w:name w:val="HSAG Numbers 2"/>
    <w:basedOn w:val="HSAGBullets2"/>
    <w:qFormat/>
    <w:rsid w:val="00880323"/>
    <w:pPr>
      <w:numPr>
        <w:numId w:val="12"/>
      </w:numPr>
      <w:ind w:left="720"/>
    </w:pPr>
  </w:style>
  <w:style w:type="paragraph" w:customStyle="1" w:styleId="HSAGTableText">
    <w:name w:val="HSAG Table Text"/>
    <w:basedOn w:val="Normal"/>
    <w:qFormat/>
    <w:rsid w:val="00826438"/>
    <w:pPr>
      <w:spacing w:before="40" w:after="40"/>
    </w:pPr>
    <w:rPr>
      <w:rFonts w:cs="Times New Roman"/>
      <w:color w:val="000000" w:themeColor="text1"/>
      <w:sz w:val="22"/>
    </w:rPr>
  </w:style>
  <w:style w:type="paragraph" w:customStyle="1" w:styleId="HSAGTableHeading">
    <w:name w:val="HSAG Table Heading"/>
    <w:qFormat/>
    <w:rsid w:val="00C21047"/>
    <w:pPr>
      <w:tabs>
        <w:tab w:val="center" w:pos="2409"/>
      </w:tabs>
      <w:spacing w:before="60" w:after="60" w:line="240" w:lineRule="auto"/>
    </w:pPr>
    <w:rPr>
      <w:rFonts w:ascii="Calibri" w:eastAsiaTheme="majorEastAsia" w:hAnsi="Calibri" w:cstheme="majorBidi"/>
      <w:b/>
      <w:bCs/>
    </w:rPr>
  </w:style>
  <w:style w:type="paragraph" w:customStyle="1" w:styleId="HSAGPageTitle1">
    <w:name w:val="HSAG Page Title 1"/>
    <w:basedOn w:val="Heading1"/>
    <w:rsid w:val="003752B5"/>
    <w:rPr>
      <w:sz w:val="56"/>
    </w:rPr>
  </w:style>
  <w:style w:type="paragraph" w:customStyle="1" w:styleId="HSAGPageTitle2">
    <w:name w:val="HSAG Page Title 2"/>
    <w:basedOn w:val="HSAGPageTitle1"/>
    <w:rsid w:val="003752B5"/>
    <w:rPr>
      <w:b w:val="0"/>
      <w:i/>
      <w:sz w:val="44"/>
    </w:rPr>
  </w:style>
  <w:style w:type="paragraph" w:customStyle="1" w:styleId="HSAGPageTitle3">
    <w:name w:val="HSAG Page Title 3"/>
    <w:basedOn w:val="HSAGPageTitle2"/>
    <w:rsid w:val="003752B5"/>
    <w:rPr>
      <w:rFonts w:ascii="Times New Roman" w:hAnsi="Times New Roman"/>
      <w:i w:val="0"/>
      <w:sz w:val="24"/>
    </w:rPr>
  </w:style>
  <w:style w:type="paragraph" w:customStyle="1" w:styleId="HSAGCoverPage1">
    <w:name w:val="HSAG Cover Page 1"/>
    <w:basedOn w:val="Heading1"/>
    <w:qFormat/>
    <w:rsid w:val="00EE51A9"/>
    <w:pPr>
      <w:numPr>
        <w:numId w:val="0"/>
      </w:numPr>
      <w:shd w:val="clear" w:color="auto" w:fill="auto"/>
    </w:pPr>
    <w:rPr>
      <w:sz w:val="56"/>
    </w:rPr>
  </w:style>
  <w:style w:type="paragraph" w:customStyle="1" w:styleId="HSAGCoverPage2">
    <w:name w:val="HSAG Cover Page 2"/>
    <w:basedOn w:val="HSAGCoverPage1"/>
    <w:qFormat/>
    <w:rsid w:val="006A2FF0"/>
    <w:rPr>
      <w:b w:val="0"/>
      <w:i/>
      <w:sz w:val="44"/>
    </w:rPr>
  </w:style>
  <w:style w:type="paragraph" w:customStyle="1" w:styleId="HSAGCoverPage3">
    <w:name w:val="HSAG Cover Page 3"/>
    <w:basedOn w:val="HSAGCoverPage2"/>
    <w:qFormat/>
    <w:rsid w:val="006A2FF0"/>
    <w:rPr>
      <w:rFonts w:ascii="Times New Roman" w:hAnsi="Times New Roman"/>
      <w:i w:val="0"/>
      <w:sz w:val="24"/>
    </w:rPr>
  </w:style>
  <w:style w:type="paragraph" w:customStyle="1" w:styleId="ProposalHeading1">
    <w:name w:val="Proposal Heading 1"/>
    <w:basedOn w:val="Heading1"/>
    <w:link w:val="ProposalHeading1Char"/>
    <w:rsid w:val="006A2FF0"/>
    <w:pPr>
      <w:spacing w:before="480" w:after="240"/>
    </w:pPr>
    <w:rPr>
      <w:smallCaps/>
    </w:rPr>
  </w:style>
  <w:style w:type="character" w:customStyle="1" w:styleId="ProposalHeading1Char">
    <w:name w:val="Proposal Heading 1 Char"/>
    <w:basedOn w:val="Heading1Char"/>
    <w:link w:val="ProposalHeading1"/>
    <w:rsid w:val="006A2FF0"/>
    <w:rPr>
      <w:rFonts w:ascii="Calibri" w:hAnsi="Calibri"/>
      <w:b/>
      <w:smallCaps/>
      <w:color w:val="00549E" w:themeColor="text2"/>
      <w:kern w:val="32"/>
      <w:sz w:val="40"/>
      <w:szCs w:val="44"/>
      <w:shd w:val="clear" w:color="auto" w:fill="00549E" w:themeFill="text2"/>
    </w:rPr>
  </w:style>
  <w:style w:type="paragraph" w:customStyle="1" w:styleId="ProposalHeading2">
    <w:name w:val="Proposal Heading 2"/>
    <w:basedOn w:val="Heading2"/>
    <w:link w:val="ProposalHeading2Char"/>
    <w:rsid w:val="006A2FF0"/>
    <w:pPr>
      <w:spacing w:before="200" w:after="160"/>
    </w:pPr>
    <w:rPr>
      <w:smallCaps/>
    </w:rPr>
  </w:style>
  <w:style w:type="character" w:customStyle="1" w:styleId="ProposalHeading2Char">
    <w:name w:val="Proposal Heading 2 Char"/>
    <w:basedOn w:val="Heading2Char"/>
    <w:link w:val="ProposalHeading2"/>
    <w:rsid w:val="006A2FF0"/>
    <w:rPr>
      <w:rFonts w:ascii="Calibri" w:hAnsi="Calibri"/>
      <w:b/>
      <w:smallCaps/>
      <w:color w:val="00549E" w:themeColor="text2"/>
      <w:sz w:val="32"/>
      <w:szCs w:val="28"/>
    </w:rPr>
  </w:style>
  <w:style w:type="paragraph" w:customStyle="1" w:styleId="ProposalHeading3">
    <w:name w:val="Proposal Heading 3"/>
    <w:basedOn w:val="Heading3"/>
    <w:link w:val="ProposalHeading3Char"/>
    <w:rsid w:val="006A2FF0"/>
    <w:pPr>
      <w:spacing w:before="160" w:after="120"/>
    </w:pPr>
    <w:rPr>
      <w:smallCaps/>
    </w:rPr>
  </w:style>
  <w:style w:type="character" w:customStyle="1" w:styleId="ProposalHeading3Char">
    <w:name w:val="Proposal Heading 3 Char"/>
    <w:basedOn w:val="Heading3Char"/>
    <w:link w:val="ProposalHeading3"/>
    <w:rsid w:val="006A2FF0"/>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rsid w:val="006A2FF0"/>
    <w:pPr>
      <w:spacing w:before="120"/>
    </w:pPr>
    <w:rPr>
      <w:rFonts w:eastAsiaTheme="majorEastAsia" w:cstheme="majorBidi"/>
      <w:smallCaps/>
    </w:rPr>
  </w:style>
  <w:style w:type="character" w:customStyle="1" w:styleId="ProposalHeading4Char">
    <w:name w:val="Proposal Heading 4 Char"/>
    <w:basedOn w:val="Heading4Char"/>
    <w:link w:val="ProposalHeading4"/>
    <w:rsid w:val="006A2FF0"/>
    <w:rPr>
      <w:rFonts w:ascii="Calibri" w:eastAsiaTheme="majorEastAsia" w:hAnsi="Calibri" w:cstheme="majorBidi"/>
      <w:b/>
      <w:smallCaps/>
      <w:color w:val="00549E" w:themeColor="text2"/>
      <w:sz w:val="24"/>
    </w:rPr>
  </w:style>
  <w:style w:type="paragraph" w:customStyle="1" w:styleId="HSAGDocumentTitle">
    <w:name w:val="HSAG Document Title"/>
    <w:basedOn w:val="Heading1"/>
    <w:qFormat/>
    <w:rsid w:val="00EE51A9"/>
    <w:pPr>
      <w:numPr>
        <w:numId w:val="0"/>
      </w:numPr>
      <w:shd w:val="clear" w:color="auto" w:fill="auto"/>
      <w:spacing w:before="0"/>
      <w:jc w:val="center"/>
    </w:pPr>
    <w:rPr>
      <w:color w:val="auto"/>
      <w:sz w:val="44"/>
    </w:rPr>
  </w:style>
  <w:style w:type="character" w:customStyle="1" w:styleId="Heading8Char">
    <w:name w:val="Heading 8 Char"/>
    <w:basedOn w:val="DefaultParagraphFont"/>
    <w:link w:val="Heading8"/>
    <w:uiPriority w:val="9"/>
    <w:semiHidden/>
    <w:rsid w:val="006A2F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2F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A2FF0"/>
    <w:pPr>
      <w:spacing w:after="200"/>
    </w:pPr>
    <w:rPr>
      <w:b/>
      <w:bCs/>
      <w:color w:val="61A2D8" w:themeColor="accent1"/>
      <w:sz w:val="18"/>
      <w:szCs w:val="18"/>
    </w:rPr>
  </w:style>
  <w:style w:type="character" w:styleId="Strong">
    <w:name w:val="Strong"/>
    <w:uiPriority w:val="22"/>
    <w:qFormat/>
    <w:rsid w:val="006A2FF0"/>
    <w:rPr>
      <w:b/>
      <w:bCs/>
    </w:rPr>
  </w:style>
  <w:style w:type="character" w:customStyle="1" w:styleId="NoSpacingChar">
    <w:name w:val="No Spacing Char"/>
    <w:basedOn w:val="DefaultParagraphFont"/>
    <w:link w:val="NoSpacing"/>
    <w:uiPriority w:val="1"/>
    <w:rsid w:val="006A2FF0"/>
    <w:rPr>
      <w:rFonts w:ascii="Times New Roman" w:hAnsi="Times New Roman"/>
    </w:rPr>
  </w:style>
  <w:style w:type="paragraph" w:styleId="TOCHeading">
    <w:name w:val="TOC Heading"/>
    <w:basedOn w:val="Heading1"/>
    <w:next w:val="Normal"/>
    <w:uiPriority w:val="39"/>
    <w:unhideWhenUsed/>
    <w:qFormat/>
    <w:rsid w:val="0026250D"/>
    <w:pPr>
      <w:keepNext/>
      <w:keepLines/>
      <w:spacing w:before="120" w:after="120"/>
      <w:outlineLvl w:val="9"/>
    </w:pPr>
    <w:rPr>
      <w:rFonts w:asciiTheme="majorHAnsi" w:eastAsiaTheme="majorEastAsia" w:hAnsiTheme="majorHAnsi" w:cstheme="majorBidi"/>
      <w:bCs/>
      <w:sz w:val="28"/>
      <w:szCs w:val="28"/>
    </w:rPr>
  </w:style>
  <w:style w:type="table" w:styleId="TableGridLight">
    <w:name w:val="Grid Table Light"/>
    <w:basedOn w:val="TableNormal"/>
    <w:uiPriority w:val="40"/>
    <w:rsid w:val="00487C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Bullet1">
    <w:name w:val="List Bullet1"/>
    <w:basedOn w:val="Normal"/>
    <w:rsid w:val="005032DE"/>
    <w:pPr>
      <w:numPr>
        <w:numId w:val="13"/>
      </w:numPr>
      <w:spacing w:before="60" w:after="60"/>
    </w:pPr>
    <w:rPr>
      <w:rFonts w:eastAsia="Times New Roman" w:cs="Times New Roman"/>
      <w:szCs w:val="20"/>
    </w:rPr>
  </w:style>
  <w:style w:type="character" w:styleId="PageNumber">
    <w:name w:val="page number"/>
    <w:basedOn w:val="DefaultParagraphFont"/>
    <w:rsid w:val="005032DE"/>
  </w:style>
  <w:style w:type="paragraph" w:customStyle="1" w:styleId="HSAGTableFigureCaptions">
    <w:name w:val="HSAG Table &amp; Figure Captions"/>
    <w:basedOn w:val="Normal"/>
    <w:qFormat/>
    <w:rsid w:val="00F601D4"/>
    <w:pPr>
      <w:spacing w:before="120" w:after="60"/>
      <w:jc w:val="center"/>
    </w:pPr>
    <w:rPr>
      <w:rFonts w:asciiTheme="majorHAnsi" w:hAnsiTheme="majorHAnsi"/>
      <w:b/>
      <w:sz w:val="22"/>
    </w:rPr>
  </w:style>
  <w:style w:type="paragraph" w:customStyle="1" w:styleId="HSAGBullets3">
    <w:name w:val="HSAG Bullets 3"/>
    <w:basedOn w:val="HSAGBullets2"/>
    <w:qFormat/>
    <w:rsid w:val="00880323"/>
    <w:pPr>
      <w:numPr>
        <w:ilvl w:val="1"/>
      </w:numPr>
      <w:ind w:left="1080"/>
    </w:pPr>
  </w:style>
  <w:style w:type="paragraph" w:styleId="TOC1">
    <w:name w:val="toc 1"/>
    <w:basedOn w:val="Normal"/>
    <w:next w:val="Normal"/>
    <w:autoRedefine/>
    <w:uiPriority w:val="39"/>
    <w:unhideWhenUsed/>
    <w:rsid w:val="00245C5F"/>
    <w:pPr>
      <w:shd w:val="clear" w:color="auto" w:fill="DFECF7"/>
      <w:tabs>
        <w:tab w:val="left" w:pos="440"/>
        <w:tab w:val="right" w:leader="dot" w:pos="10070"/>
      </w:tabs>
      <w:spacing w:before="120" w:after="0"/>
    </w:pPr>
    <w:rPr>
      <w:b/>
      <w:noProof/>
    </w:rPr>
  </w:style>
  <w:style w:type="paragraph" w:styleId="TOC2">
    <w:name w:val="toc 2"/>
    <w:basedOn w:val="Normal"/>
    <w:next w:val="Normal"/>
    <w:autoRedefine/>
    <w:uiPriority w:val="39"/>
    <w:unhideWhenUsed/>
    <w:rsid w:val="00245C5F"/>
    <w:pPr>
      <w:tabs>
        <w:tab w:val="right" w:leader="dot" w:pos="10070"/>
      </w:tabs>
      <w:spacing w:before="0" w:after="0"/>
      <w:ind w:left="450"/>
    </w:pPr>
    <w:rPr>
      <w:noProof/>
    </w:rPr>
  </w:style>
  <w:style w:type="paragraph" w:styleId="TOC3">
    <w:name w:val="toc 3"/>
    <w:basedOn w:val="Normal"/>
    <w:next w:val="Normal"/>
    <w:autoRedefine/>
    <w:uiPriority w:val="39"/>
    <w:unhideWhenUsed/>
    <w:rsid w:val="0017510F"/>
    <w:pPr>
      <w:tabs>
        <w:tab w:val="right" w:leader="dot" w:pos="10070"/>
      </w:tabs>
      <w:spacing w:before="0" w:after="0"/>
      <w:ind w:left="1260" w:hanging="450"/>
    </w:pPr>
    <w:rPr>
      <w:noProof/>
    </w:rPr>
  </w:style>
  <w:style w:type="character" w:styleId="Hyperlink">
    <w:name w:val="Hyperlink"/>
    <w:basedOn w:val="DefaultParagraphFont"/>
    <w:uiPriority w:val="99"/>
    <w:unhideWhenUsed/>
    <w:rsid w:val="00E65BE0"/>
    <w:rPr>
      <w:color w:val="0000FF" w:themeColor="hyperlink"/>
      <w:u w:val="single"/>
    </w:rPr>
  </w:style>
  <w:style w:type="character" w:styleId="CommentReference">
    <w:name w:val="annotation reference"/>
    <w:basedOn w:val="DefaultParagraphFont"/>
    <w:uiPriority w:val="99"/>
    <w:semiHidden/>
    <w:unhideWhenUsed/>
    <w:rsid w:val="0053610D"/>
    <w:rPr>
      <w:sz w:val="16"/>
      <w:szCs w:val="16"/>
    </w:rPr>
  </w:style>
  <w:style w:type="paragraph" w:styleId="CommentText">
    <w:name w:val="annotation text"/>
    <w:basedOn w:val="Normal"/>
    <w:link w:val="CommentTextChar"/>
    <w:uiPriority w:val="99"/>
    <w:semiHidden/>
    <w:unhideWhenUsed/>
    <w:rsid w:val="0053610D"/>
    <w:rPr>
      <w:sz w:val="20"/>
      <w:szCs w:val="20"/>
    </w:rPr>
  </w:style>
  <w:style w:type="character" w:customStyle="1" w:styleId="CommentTextChar">
    <w:name w:val="Comment Text Char"/>
    <w:basedOn w:val="DefaultParagraphFont"/>
    <w:link w:val="CommentText"/>
    <w:uiPriority w:val="99"/>
    <w:semiHidden/>
    <w:rsid w:val="0053610D"/>
    <w:rPr>
      <w:rFonts w:ascii="Times New Roman" w:hAnsi="Times New Roman"/>
      <w:sz w:val="20"/>
      <w:szCs w:val="20"/>
    </w:rPr>
  </w:style>
  <w:style w:type="paragraph" w:customStyle="1" w:styleId="TableL-TNR11">
    <w:name w:val="Table_L-TNR11"/>
    <w:basedOn w:val="Normal"/>
    <w:rsid w:val="0053610D"/>
    <w:pPr>
      <w:spacing w:before="40" w:after="20"/>
    </w:pPr>
    <w:rPr>
      <w:rFonts w:eastAsia="Times New Roman" w:cs="Times New Roman"/>
      <w:sz w:val="22"/>
      <w:szCs w:val="24"/>
    </w:rPr>
  </w:style>
  <w:style w:type="paragraph" w:customStyle="1" w:styleId="TableC-TNR11">
    <w:name w:val="Table_C-TNR11"/>
    <w:basedOn w:val="TableL-TNR11"/>
    <w:rsid w:val="0053610D"/>
    <w:pPr>
      <w:jc w:val="center"/>
    </w:pPr>
  </w:style>
  <w:style w:type="paragraph" w:customStyle="1" w:styleId="Contents">
    <w:name w:val="Contents"/>
    <w:next w:val="HSAGTableText"/>
    <w:rsid w:val="00736D90"/>
    <w:pPr>
      <w:shd w:val="clear" w:color="auto" w:fill="00549E"/>
      <w:spacing w:after="0" w:line="240" w:lineRule="auto"/>
      <w:jc w:val="right"/>
    </w:pPr>
    <w:rPr>
      <w:rFonts w:ascii="Calibri" w:hAnsi="Calibri"/>
      <w:b/>
      <w:noProof/>
      <w:color w:val="FFFFFF"/>
      <w:sz w:val="32"/>
      <w:szCs w:val="32"/>
    </w:rPr>
  </w:style>
  <w:style w:type="paragraph" w:styleId="BodyText">
    <w:name w:val="Body Text"/>
    <w:basedOn w:val="Normal"/>
    <w:link w:val="BodyTextChar"/>
    <w:uiPriority w:val="99"/>
    <w:semiHidden/>
    <w:unhideWhenUsed/>
    <w:rsid w:val="00736D90"/>
    <w:pPr>
      <w:spacing w:after="120"/>
    </w:pPr>
  </w:style>
  <w:style w:type="character" w:customStyle="1" w:styleId="BodyTextChar">
    <w:name w:val="Body Text Char"/>
    <w:basedOn w:val="DefaultParagraphFont"/>
    <w:link w:val="BodyText"/>
    <w:uiPriority w:val="99"/>
    <w:semiHidden/>
    <w:rsid w:val="00736D90"/>
    <w:rPr>
      <w:rFonts w:ascii="Times New Roman" w:hAnsi="Times New Roman"/>
      <w:sz w:val="24"/>
    </w:rPr>
  </w:style>
  <w:style w:type="paragraph" w:styleId="PlainText">
    <w:name w:val="Plain Text"/>
    <w:basedOn w:val="Normal"/>
    <w:link w:val="PlainTextChar"/>
    <w:uiPriority w:val="99"/>
    <w:semiHidden/>
    <w:unhideWhenUsed/>
    <w:rsid w:val="000311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1ED"/>
    <w:rPr>
      <w:rFonts w:ascii="Consolas" w:hAnsi="Consolas" w:cs="Consolas"/>
      <w:sz w:val="21"/>
      <w:szCs w:val="21"/>
    </w:rPr>
  </w:style>
  <w:style w:type="paragraph" w:styleId="NormalIndent">
    <w:name w:val="Normal Indent"/>
    <w:basedOn w:val="Normal"/>
    <w:uiPriority w:val="99"/>
    <w:semiHidden/>
    <w:unhideWhenUsed/>
    <w:rsid w:val="000311ED"/>
    <w:pPr>
      <w:ind w:left="720"/>
    </w:pPr>
  </w:style>
  <w:style w:type="paragraph" w:styleId="FootnoteText">
    <w:name w:val="footnote text"/>
    <w:basedOn w:val="Normal"/>
    <w:link w:val="FootnoteTextChar"/>
    <w:uiPriority w:val="99"/>
    <w:unhideWhenUsed/>
    <w:rsid w:val="009A54A8"/>
    <w:pPr>
      <w:spacing w:before="0" w:after="0"/>
    </w:pPr>
    <w:rPr>
      <w:sz w:val="20"/>
      <w:szCs w:val="20"/>
    </w:rPr>
  </w:style>
  <w:style w:type="character" w:customStyle="1" w:styleId="FootnoteTextChar">
    <w:name w:val="Footnote Text Char"/>
    <w:basedOn w:val="DefaultParagraphFont"/>
    <w:link w:val="FootnoteText"/>
    <w:uiPriority w:val="99"/>
    <w:rsid w:val="009A54A8"/>
    <w:rPr>
      <w:rFonts w:ascii="Times New Roman" w:hAnsi="Times New Roman"/>
      <w:sz w:val="20"/>
      <w:szCs w:val="20"/>
    </w:rPr>
  </w:style>
  <w:style w:type="character" w:styleId="FootnoteReference">
    <w:name w:val="footnote reference"/>
    <w:basedOn w:val="DefaultParagraphFont"/>
    <w:uiPriority w:val="99"/>
    <w:semiHidden/>
    <w:unhideWhenUsed/>
    <w:rsid w:val="009A54A8"/>
    <w:rPr>
      <w:vertAlign w:val="superscript"/>
    </w:rPr>
  </w:style>
  <w:style w:type="paragraph" w:customStyle="1" w:styleId="HSAGTableBullet1">
    <w:name w:val="HSAG Table Bullet 1"/>
    <w:basedOn w:val="HSAGBullets"/>
    <w:qFormat/>
    <w:rsid w:val="00AD0FBF"/>
    <w:rPr>
      <w:sz w:val="22"/>
      <w:szCs w:val="20"/>
    </w:rPr>
  </w:style>
  <w:style w:type="paragraph" w:customStyle="1" w:styleId="HSAGTableBullet2">
    <w:name w:val="HSAG Table Bullet 2"/>
    <w:basedOn w:val="HSAGTableBullet1"/>
    <w:qFormat/>
    <w:rsid w:val="00CC3988"/>
    <w:pPr>
      <w:numPr>
        <w:numId w:val="28"/>
      </w:numPr>
      <w:ind w:left="547" w:hanging="187"/>
    </w:pPr>
  </w:style>
  <w:style w:type="character" w:customStyle="1" w:styleId="HP-Style">
    <w:name w:val="HP-Style"/>
    <w:rsid w:val="00F05601"/>
    <w:rPr>
      <w:b/>
      <w:color w:val="00549E" w:themeColor="text2"/>
    </w:rPr>
  </w:style>
  <w:style w:type="paragraph" w:customStyle="1" w:styleId="HSAGTitlePage1">
    <w:name w:val="HSAG Title Page 1"/>
    <w:basedOn w:val="Normal"/>
    <w:qFormat/>
    <w:rsid w:val="009566A9"/>
    <w:pPr>
      <w:spacing w:before="360" w:after="0"/>
      <w:ind w:right="864"/>
      <w:jc w:val="right"/>
    </w:pPr>
    <w:rPr>
      <w:rFonts w:ascii="Calibri" w:hAnsi="Calibri"/>
      <w:b/>
      <w:color w:val="00549E"/>
      <w:sz w:val="56"/>
    </w:rPr>
  </w:style>
  <w:style w:type="paragraph" w:customStyle="1" w:styleId="HSAGPageTitle4">
    <w:name w:val="HSAG Page Title 4"/>
    <w:basedOn w:val="Normal"/>
    <w:rsid w:val="009566A9"/>
    <w:pPr>
      <w:spacing w:before="120" w:after="0"/>
      <w:ind w:right="864"/>
      <w:jc w:val="right"/>
      <w:outlineLvl w:val="0"/>
    </w:pPr>
    <w:rPr>
      <w:rFonts w:ascii="Calibri" w:hAnsi="Calibri"/>
      <w:color w:val="00549E"/>
      <w:sz w:val="44"/>
      <w:szCs w:val="44"/>
    </w:rPr>
  </w:style>
  <w:style w:type="paragraph" w:customStyle="1" w:styleId="HSAGTitlePage2">
    <w:name w:val="HSAG Title Page 2"/>
    <w:basedOn w:val="HSAGPageTitle4"/>
    <w:qFormat/>
    <w:rsid w:val="00D443CC"/>
    <w:pPr>
      <w:framePr w:hSpace="187" w:wrap="around" w:vAnchor="text" w:hAnchor="text" w:xAlign="right" w:y="1"/>
      <w:spacing w:before="360"/>
      <w:suppressOverlap/>
    </w:pPr>
    <w:rPr>
      <w:i/>
    </w:rPr>
  </w:style>
  <w:style w:type="paragraph" w:styleId="CommentSubject">
    <w:name w:val="annotation subject"/>
    <w:basedOn w:val="CommentText"/>
    <w:next w:val="CommentText"/>
    <w:link w:val="CommentSubjectChar"/>
    <w:uiPriority w:val="99"/>
    <w:semiHidden/>
    <w:unhideWhenUsed/>
    <w:rsid w:val="00640B3B"/>
    <w:rPr>
      <w:b/>
      <w:bCs/>
    </w:rPr>
  </w:style>
  <w:style w:type="character" w:customStyle="1" w:styleId="CommentSubjectChar">
    <w:name w:val="Comment Subject Char"/>
    <w:basedOn w:val="CommentTextChar"/>
    <w:link w:val="CommentSubject"/>
    <w:uiPriority w:val="99"/>
    <w:semiHidden/>
    <w:rsid w:val="00640B3B"/>
    <w:rPr>
      <w:rFonts w:ascii="Times New Roman" w:hAnsi="Times New Roman"/>
      <w:b/>
      <w:bCs/>
      <w:sz w:val="20"/>
      <w:szCs w:val="20"/>
    </w:rPr>
  </w:style>
  <w:style w:type="paragraph" w:styleId="Revision">
    <w:name w:val="Revision"/>
    <w:hidden/>
    <w:uiPriority w:val="99"/>
    <w:semiHidden/>
    <w:rsid w:val="00956689"/>
    <w:pPr>
      <w:spacing w:after="0" w:line="240" w:lineRule="auto"/>
    </w:pPr>
    <w:rPr>
      <w:rFonts w:ascii="Times New Roman" w:hAnsi="Times New Roman"/>
      <w:sz w:val="24"/>
    </w:rPr>
  </w:style>
  <w:style w:type="paragraph" w:styleId="HTMLPreformatted">
    <w:name w:val="HTML Preformatted"/>
    <w:basedOn w:val="Normal"/>
    <w:link w:val="HTMLPreformattedChar"/>
    <w:uiPriority w:val="99"/>
    <w:unhideWhenUsed/>
    <w:rsid w:val="00AB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0756"/>
    <w:rPr>
      <w:rFonts w:ascii="Courier New" w:eastAsia="Times New Roman" w:hAnsi="Courier New" w:cs="Courier New"/>
      <w:sz w:val="20"/>
      <w:szCs w:val="20"/>
    </w:rPr>
  </w:style>
  <w:style w:type="table" w:customStyle="1" w:styleId="Calendar1">
    <w:name w:val="Calendar 1"/>
    <w:basedOn w:val="TableNormal"/>
    <w:uiPriority w:val="99"/>
    <w:qFormat/>
    <w:rsid w:val="00793937"/>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FollowedHyperlink">
    <w:name w:val="FollowedHyperlink"/>
    <w:basedOn w:val="DefaultParagraphFont"/>
    <w:uiPriority w:val="99"/>
    <w:semiHidden/>
    <w:unhideWhenUsed/>
    <w:rsid w:val="00E13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285">
      <w:bodyDiv w:val="1"/>
      <w:marLeft w:val="0"/>
      <w:marRight w:val="0"/>
      <w:marTop w:val="0"/>
      <w:marBottom w:val="0"/>
      <w:divBdr>
        <w:top w:val="none" w:sz="0" w:space="0" w:color="auto"/>
        <w:left w:val="none" w:sz="0" w:space="0" w:color="auto"/>
        <w:bottom w:val="none" w:sz="0" w:space="0" w:color="auto"/>
        <w:right w:val="none" w:sz="0" w:space="0" w:color="auto"/>
      </w:divBdr>
    </w:div>
    <w:div w:id="329480414">
      <w:bodyDiv w:val="1"/>
      <w:marLeft w:val="0"/>
      <w:marRight w:val="0"/>
      <w:marTop w:val="0"/>
      <w:marBottom w:val="0"/>
      <w:divBdr>
        <w:top w:val="none" w:sz="0" w:space="0" w:color="auto"/>
        <w:left w:val="none" w:sz="0" w:space="0" w:color="auto"/>
        <w:bottom w:val="none" w:sz="0" w:space="0" w:color="auto"/>
        <w:right w:val="none" w:sz="0" w:space="0" w:color="auto"/>
      </w:divBdr>
    </w:div>
    <w:div w:id="407965602">
      <w:bodyDiv w:val="1"/>
      <w:marLeft w:val="0"/>
      <w:marRight w:val="0"/>
      <w:marTop w:val="0"/>
      <w:marBottom w:val="0"/>
      <w:divBdr>
        <w:top w:val="none" w:sz="0" w:space="0" w:color="auto"/>
        <w:left w:val="none" w:sz="0" w:space="0" w:color="auto"/>
        <w:bottom w:val="none" w:sz="0" w:space="0" w:color="auto"/>
        <w:right w:val="none" w:sz="0" w:space="0" w:color="auto"/>
      </w:divBdr>
    </w:div>
    <w:div w:id="470174346">
      <w:bodyDiv w:val="1"/>
      <w:marLeft w:val="0"/>
      <w:marRight w:val="0"/>
      <w:marTop w:val="0"/>
      <w:marBottom w:val="0"/>
      <w:divBdr>
        <w:top w:val="none" w:sz="0" w:space="0" w:color="auto"/>
        <w:left w:val="none" w:sz="0" w:space="0" w:color="auto"/>
        <w:bottom w:val="none" w:sz="0" w:space="0" w:color="auto"/>
        <w:right w:val="none" w:sz="0" w:space="0" w:color="auto"/>
      </w:divBdr>
    </w:div>
    <w:div w:id="577519784">
      <w:bodyDiv w:val="1"/>
      <w:marLeft w:val="0"/>
      <w:marRight w:val="0"/>
      <w:marTop w:val="0"/>
      <w:marBottom w:val="0"/>
      <w:divBdr>
        <w:top w:val="none" w:sz="0" w:space="0" w:color="auto"/>
        <w:left w:val="none" w:sz="0" w:space="0" w:color="auto"/>
        <w:bottom w:val="none" w:sz="0" w:space="0" w:color="auto"/>
        <w:right w:val="none" w:sz="0" w:space="0" w:color="auto"/>
      </w:divBdr>
    </w:div>
    <w:div w:id="647057490">
      <w:bodyDiv w:val="1"/>
      <w:marLeft w:val="0"/>
      <w:marRight w:val="0"/>
      <w:marTop w:val="0"/>
      <w:marBottom w:val="0"/>
      <w:divBdr>
        <w:top w:val="none" w:sz="0" w:space="0" w:color="auto"/>
        <w:left w:val="none" w:sz="0" w:space="0" w:color="auto"/>
        <w:bottom w:val="none" w:sz="0" w:space="0" w:color="auto"/>
        <w:right w:val="none" w:sz="0" w:space="0" w:color="auto"/>
      </w:divBdr>
    </w:div>
    <w:div w:id="759720580">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75125487">
      <w:bodyDiv w:val="1"/>
      <w:marLeft w:val="0"/>
      <w:marRight w:val="0"/>
      <w:marTop w:val="0"/>
      <w:marBottom w:val="0"/>
      <w:divBdr>
        <w:top w:val="none" w:sz="0" w:space="0" w:color="auto"/>
        <w:left w:val="none" w:sz="0" w:space="0" w:color="auto"/>
        <w:bottom w:val="none" w:sz="0" w:space="0" w:color="auto"/>
        <w:right w:val="none" w:sz="0" w:space="0" w:color="auto"/>
      </w:divBdr>
    </w:div>
    <w:div w:id="1253976639">
      <w:bodyDiv w:val="1"/>
      <w:marLeft w:val="0"/>
      <w:marRight w:val="0"/>
      <w:marTop w:val="0"/>
      <w:marBottom w:val="0"/>
      <w:divBdr>
        <w:top w:val="none" w:sz="0" w:space="0" w:color="auto"/>
        <w:left w:val="none" w:sz="0" w:space="0" w:color="auto"/>
        <w:bottom w:val="none" w:sz="0" w:space="0" w:color="auto"/>
        <w:right w:val="none" w:sz="0" w:space="0" w:color="auto"/>
      </w:divBdr>
    </w:div>
    <w:div w:id="1300652780">
      <w:bodyDiv w:val="1"/>
      <w:marLeft w:val="0"/>
      <w:marRight w:val="0"/>
      <w:marTop w:val="0"/>
      <w:marBottom w:val="0"/>
      <w:divBdr>
        <w:top w:val="none" w:sz="0" w:space="0" w:color="auto"/>
        <w:left w:val="none" w:sz="0" w:space="0" w:color="auto"/>
        <w:bottom w:val="none" w:sz="0" w:space="0" w:color="auto"/>
        <w:right w:val="none" w:sz="0" w:space="0" w:color="auto"/>
      </w:divBdr>
    </w:div>
    <w:div w:id="1532109265">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736002301">
      <w:bodyDiv w:val="1"/>
      <w:marLeft w:val="0"/>
      <w:marRight w:val="0"/>
      <w:marTop w:val="0"/>
      <w:marBottom w:val="0"/>
      <w:divBdr>
        <w:top w:val="none" w:sz="0" w:space="0" w:color="auto"/>
        <w:left w:val="none" w:sz="0" w:space="0" w:color="auto"/>
        <w:bottom w:val="none" w:sz="0" w:space="0" w:color="auto"/>
        <w:right w:val="none" w:sz="0" w:space="0" w:color="auto"/>
      </w:divBdr>
    </w:div>
    <w:div w:id="1785882848">
      <w:bodyDiv w:val="1"/>
      <w:marLeft w:val="0"/>
      <w:marRight w:val="0"/>
      <w:marTop w:val="0"/>
      <w:marBottom w:val="0"/>
      <w:divBdr>
        <w:top w:val="none" w:sz="0" w:space="0" w:color="auto"/>
        <w:left w:val="none" w:sz="0" w:space="0" w:color="auto"/>
        <w:bottom w:val="none" w:sz="0" w:space="0" w:color="auto"/>
        <w:right w:val="none" w:sz="0" w:space="0" w:color="auto"/>
      </w:divBdr>
    </w:div>
    <w:div w:id="18731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6257-DF6B-4E08-A8F7-55E6205A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OMB Supporting Statement - Part A</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 Part A</dc:title>
  <dc:subject/>
  <dc:creator>HSAG</dc:creator>
  <cp:keywords>OMB, supporting, statement, part A</cp:keywords>
  <cp:lastModifiedBy>Washington, Tomakie (ACL)</cp:lastModifiedBy>
  <cp:revision>4</cp:revision>
  <cp:lastPrinted>2021-11-04T20:56:00Z</cp:lastPrinted>
  <dcterms:created xsi:type="dcterms:W3CDTF">2021-11-04T20:52:00Z</dcterms:created>
  <dcterms:modified xsi:type="dcterms:W3CDTF">2021-11-17T16:45:00Z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ies>
</file>