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83922" w:rsidR="002E780D" w:rsidP="00083922" w:rsidRDefault="001B2C2D" w14:paraId="46655DF5" w14:textId="2789A56F">
      <w:pPr>
        <w:spacing w:after="0" w:line="240" w:lineRule="auto"/>
        <w:jc w:val="center"/>
        <w:rPr>
          <w:b/>
          <w:sz w:val="24"/>
          <w:szCs w:val="24"/>
        </w:rPr>
      </w:pPr>
      <w:r w:rsidRPr="006036CE">
        <w:rPr>
          <w:b/>
          <w:sz w:val="24"/>
          <w:szCs w:val="24"/>
        </w:rPr>
        <w:t xml:space="preserve">Supporting Justification Statement for </w:t>
      </w:r>
      <w:r w:rsidRPr="006036CE" w:rsidR="002E780D">
        <w:rPr>
          <w:b/>
          <w:sz w:val="24"/>
          <w:szCs w:val="24"/>
        </w:rPr>
        <w:t xml:space="preserve">OMB </w:t>
      </w:r>
      <w:r w:rsidR="006036CE">
        <w:rPr>
          <w:b/>
          <w:sz w:val="24"/>
          <w:szCs w:val="24"/>
        </w:rPr>
        <w:t>Control Number</w:t>
      </w:r>
      <w:r w:rsidRPr="006036CE" w:rsidR="002E780D">
        <w:rPr>
          <w:b/>
          <w:sz w:val="24"/>
          <w:szCs w:val="24"/>
        </w:rPr>
        <w:t xml:space="preserve"> 0990-0430</w:t>
      </w:r>
    </w:p>
    <w:p w:rsidRPr="00083922" w:rsidR="001B2C2D" w:rsidP="001B2C2D" w:rsidRDefault="001544F7" w14:paraId="39D2677B" w14:textId="0C4FBE38">
      <w:pPr>
        <w:jc w:val="center"/>
        <w:rPr>
          <w:b/>
          <w:sz w:val="24"/>
          <w:szCs w:val="24"/>
        </w:rPr>
      </w:pPr>
      <w:r w:rsidRPr="006036CE">
        <w:rPr>
          <w:b/>
          <w:color w:val="363636"/>
          <w:sz w:val="24"/>
          <w:szCs w:val="24"/>
        </w:rPr>
        <w:t>HHSAR 337.103(d)(3)</w:t>
      </w:r>
      <w:r w:rsidR="00E21466">
        <w:rPr>
          <w:b/>
          <w:color w:val="363636"/>
          <w:sz w:val="24"/>
          <w:szCs w:val="24"/>
        </w:rPr>
        <w:t xml:space="preserve"> </w:t>
      </w:r>
    </w:p>
    <w:p w:rsidRPr="00083922" w:rsidR="001B2C2D" w:rsidP="001B2C2D" w:rsidRDefault="001B2C2D" w14:paraId="57D8AD9A" w14:textId="77777777">
      <w:pPr>
        <w:widowControl w:val="0"/>
        <w:numPr>
          <w:ilvl w:val="0"/>
          <w:numId w:val="1"/>
        </w:numPr>
        <w:autoSpaceDE w:val="0"/>
        <w:autoSpaceDN w:val="0"/>
        <w:adjustRightInd w:val="0"/>
        <w:spacing w:after="0" w:line="240" w:lineRule="auto"/>
        <w:rPr>
          <w:b/>
          <w:sz w:val="24"/>
          <w:szCs w:val="24"/>
        </w:rPr>
      </w:pPr>
      <w:r w:rsidRPr="00083922">
        <w:rPr>
          <w:b/>
          <w:sz w:val="24"/>
          <w:szCs w:val="24"/>
          <w:u w:val="single"/>
        </w:rPr>
        <w:t>Circumstances Making the Collection of Information Necessary</w:t>
      </w:r>
    </w:p>
    <w:p w:rsidRPr="00083922" w:rsidR="006036CE" w:rsidP="006036CE" w:rsidRDefault="006036CE" w14:paraId="200382E0" w14:textId="77777777">
      <w:pPr>
        <w:contextualSpacing/>
        <w:rPr>
          <w:sz w:val="24"/>
          <w:szCs w:val="24"/>
        </w:rPr>
      </w:pPr>
    </w:p>
    <w:p w:rsidRPr="00083922" w:rsidR="006036CE" w:rsidP="006036CE" w:rsidRDefault="0053373C" w14:paraId="15F0E7C5" w14:textId="60C098FC">
      <w:pPr>
        <w:contextualSpacing/>
        <w:rPr>
          <w:sz w:val="24"/>
          <w:szCs w:val="24"/>
        </w:rPr>
      </w:pPr>
      <w:r w:rsidRPr="00083922">
        <w:rPr>
          <w:sz w:val="24"/>
          <w:szCs w:val="24"/>
        </w:rPr>
        <w:t>The Department of Health and Human Services</w:t>
      </w:r>
      <w:r w:rsidR="006036CE">
        <w:rPr>
          <w:sz w:val="24"/>
          <w:szCs w:val="24"/>
        </w:rPr>
        <w:t xml:space="preserve"> (HHS)</w:t>
      </w:r>
      <w:r w:rsidRPr="00083922">
        <w:rPr>
          <w:sz w:val="24"/>
          <w:szCs w:val="24"/>
        </w:rPr>
        <w:t>, Office of the Assistant Secretary for Financial Resources, Office of  Acquisition</w:t>
      </w:r>
      <w:r w:rsidR="001309DD">
        <w:rPr>
          <w:sz w:val="24"/>
          <w:szCs w:val="24"/>
        </w:rPr>
        <w:t>s</w:t>
      </w:r>
      <w:r w:rsidRPr="00083922">
        <w:rPr>
          <w:sz w:val="24"/>
          <w:szCs w:val="24"/>
        </w:rPr>
        <w:t xml:space="preserve"> is requesting </w:t>
      </w:r>
      <w:r w:rsidR="006036CE">
        <w:rPr>
          <w:sz w:val="24"/>
          <w:szCs w:val="24"/>
        </w:rPr>
        <w:t>the</w:t>
      </w:r>
      <w:r w:rsidRPr="000A78D5">
        <w:rPr>
          <w:sz w:val="24"/>
          <w:szCs w:val="24"/>
        </w:rPr>
        <w:t xml:space="preserve"> Office of Management and Budget </w:t>
      </w:r>
      <w:r w:rsidR="006036CE">
        <w:rPr>
          <w:sz w:val="24"/>
          <w:szCs w:val="24"/>
        </w:rPr>
        <w:t>(</w:t>
      </w:r>
      <w:r w:rsidRPr="000A78D5">
        <w:rPr>
          <w:sz w:val="24"/>
          <w:szCs w:val="24"/>
        </w:rPr>
        <w:t>OMB</w:t>
      </w:r>
      <w:r w:rsidR="006036CE">
        <w:rPr>
          <w:sz w:val="24"/>
          <w:szCs w:val="24"/>
        </w:rPr>
        <w:t>) grant</w:t>
      </w:r>
      <w:r w:rsidRPr="00083922">
        <w:rPr>
          <w:sz w:val="24"/>
          <w:szCs w:val="24"/>
        </w:rPr>
        <w:t xml:space="preserve"> an extension on a previously approved information collection request, OMB </w:t>
      </w:r>
      <w:r w:rsidR="006036CE">
        <w:rPr>
          <w:sz w:val="24"/>
          <w:szCs w:val="24"/>
        </w:rPr>
        <w:t xml:space="preserve">control </w:t>
      </w:r>
      <w:r w:rsidRPr="000A78D5">
        <w:rPr>
          <w:sz w:val="24"/>
          <w:szCs w:val="24"/>
        </w:rPr>
        <w:t xml:space="preserve">number 0990-0430, </w:t>
      </w:r>
      <w:r w:rsidRPr="000A78D5">
        <w:rPr>
          <w:rFonts w:cs="Arial"/>
          <w:color w:val="000000"/>
          <w:sz w:val="24"/>
          <w:szCs w:val="24"/>
        </w:rPr>
        <w:t>Crime Control Act—Requirement for Background Checks</w:t>
      </w:r>
      <w:r w:rsidRPr="00083922">
        <w:rPr>
          <w:sz w:val="24"/>
          <w:szCs w:val="24"/>
        </w:rPr>
        <w:t xml:space="preserve">. </w:t>
      </w:r>
    </w:p>
    <w:p w:rsidRPr="00083922" w:rsidR="006036CE" w:rsidP="006036CE" w:rsidRDefault="006036CE" w14:paraId="2AF33286" w14:textId="02F075BD">
      <w:pPr>
        <w:contextualSpacing/>
        <w:rPr>
          <w:sz w:val="24"/>
          <w:szCs w:val="24"/>
        </w:rPr>
      </w:pPr>
    </w:p>
    <w:p w:rsidRPr="00347EDD" w:rsidR="00C17D02" w:rsidP="00936202" w:rsidRDefault="00C17D02" w14:paraId="1A48015C" w14:textId="382673AB">
      <w:pPr>
        <w:contextualSpacing/>
        <w:rPr>
          <w:sz w:val="24"/>
          <w:szCs w:val="24"/>
        </w:rPr>
      </w:pPr>
      <w:r w:rsidRPr="00347EDD">
        <w:rPr>
          <w:sz w:val="24"/>
          <w:szCs w:val="24"/>
        </w:rPr>
        <w:t>Performance of HHS mission requires the support of contractors. In some circumstances, depending on the requirements of the specific contract, the contractor is tasked to provide</w:t>
      </w:r>
      <w:r w:rsidR="00626E79">
        <w:rPr>
          <w:sz w:val="24"/>
          <w:szCs w:val="24"/>
        </w:rPr>
        <w:t xml:space="preserve"> a list of its </w:t>
      </w:r>
      <w:r w:rsidRPr="00347EDD">
        <w:rPr>
          <w:sz w:val="24"/>
          <w:szCs w:val="24"/>
        </w:rPr>
        <w:t xml:space="preserve">personnel who will be dealing with children under the age of 18. After contract award, </w:t>
      </w:r>
      <w:r w:rsidR="00A14BCE">
        <w:rPr>
          <w:sz w:val="24"/>
          <w:szCs w:val="24"/>
        </w:rPr>
        <w:t>relevant</w:t>
      </w:r>
      <w:r w:rsidR="008E0546">
        <w:rPr>
          <w:sz w:val="24"/>
          <w:szCs w:val="24"/>
        </w:rPr>
        <w:t xml:space="preserve"> </w:t>
      </w:r>
      <w:r w:rsidRPr="00347EDD">
        <w:rPr>
          <w:sz w:val="24"/>
          <w:szCs w:val="24"/>
        </w:rPr>
        <w:t xml:space="preserve">contractor personnel must undergo a </w:t>
      </w:r>
      <w:r w:rsidR="00ED04F4">
        <w:rPr>
          <w:sz w:val="24"/>
          <w:szCs w:val="24"/>
        </w:rPr>
        <w:t xml:space="preserve">criminal </w:t>
      </w:r>
      <w:r w:rsidRPr="00347EDD">
        <w:rPr>
          <w:sz w:val="24"/>
          <w:szCs w:val="24"/>
        </w:rPr>
        <w:t xml:space="preserve">background check as required by HHS Acquisition Regulation (HHSAR) </w:t>
      </w:r>
      <w:r w:rsidRPr="00347EDD" w:rsidR="00E21466">
        <w:rPr>
          <w:sz w:val="24"/>
          <w:szCs w:val="24"/>
        </w:rPr>
        <w:t xml:space="preserve">at </w:t>
      </w:r>
      <w:r w:rsidRPr="00347EDD">
        <w:rPr>
          <w:sz w:val="24"/>
          <w:szCs w:val="24"/>
        </w:rPr>
        <w:t xml:space="preserve">337.103(d)(3) </w:t>
      </w:r>
      <w:r w:rsidRPr="00347EDD" w:rsidR="00E21466">
        <w:rPr>
          <w:sz w:val="24"/>
          <w:szCs w:val="24"/>
        </w:rPr>
        <w:t xml:space="preserve">(Contracting officer responsibility) </w:t>
      </w:r>
      <w:r w:rsidRPr="00347EDD">
        <w:rPr>
          <w:sz w:val="24"/>
          <w:szCs w:val="24"/>
        </w:rPr>
        <w:t xml:space="preserve">and the clause at HHSAR 352.237-72 (Crime Control Act—Requirement for Background Checks) before working on the contract as required by </w:t>
      </w:r>
      <w:r w:rsidR="00CB60CB">
        <w:rPr>
          <w:sz w:val="24"/>
          <w:szCs w:val="24"/>
        </w:rPr>
        <w:t xml:space="preserve">Section 231 of </w:t>
      </w:r>
      <w:r w:rsidRPr="00347EDD" w:rsidR="001F3022">
        <w:rPr>
          <w:sz w:val="24"/>
          <w:szCs w:val="24"/>
        </w:rPr>
        <w:t>Public Law 101-647, also known as the Crime Control Act of 1990</w:t>
      </w:r>
      <w:r w:rsidR="00CB60CB">
        <w:rPr>
          <w:sz w:val="24"/>
          <w:szCs w:val="24"/>
        </w:rPr>
        <w:t xml:space="preserve">, as amended (currently codified at </w:t>
      </w:r>
      <w:r w:rsidRPr="00CB60CB" w:rsidR="00CB60CB">
        <w:rPr>
          <w:sz w:val="24"/>
          <w:szCs w:val="24"/>
        </w:rPr>
        <w:t>34 U.S.C. 20351</w:t>
      </w:r>
      <w:r w:rsidR="00CB60CB">
        <w:rPr>
          <w:sz w:val="24"/>
          <w:szCs w:val="24"/>
        </w:rPr>
        <w:t>)</w:t>
      </w:r>
      <w:r w:rsidRPr="00347EDD">
        <w:rPr>
          <w:sz w:val="24"/>
          <w:szCs w:val="24"/>
        </w:rPr>
        <w:t xml:space="preserve">. The contractor is, therefore, required to provide </w:t>
      </w:r>
      <w:r w:rsidR="003835F8">
        <w:rPr>
          <w:sz w:val="24"/>
          <w:szCs w:val="24"/>
        </w:rPr>
        <w:t>HHS with a list of the names</w:t>
      </w:r>
      <w:r w:rsidR="00A5701E">
        <w:rPr>
          <w:sz w:val="24"/>
          <w:szCs w:val="24"/>
        </w:rPr>
        <w:t xml:space="preserve"> and other identifying information</w:t>
      </w:r>
      <w:r w:rsidR="003835F8">
        <w:rPr>
          <w:sz w:val="24"/>
          <w:szCs w:val="24"/>
        </w:rPr>
        <w:t xml:space="preserve"> of its relevant personnel for purposes of </w:t>
      </w:r>
      <w:r w:rsidR="00F40D84">
        <w:rPr>
          <w:sz w:val="24"/>
          <w:szCs w:val="24"/>
        </w:rPr>
        <w:t xml:space="preserve">enabling HHS to </w:t>
      </w:r>
      <w:r w:rsidR="003835F8">
        <w:rPr>
          <w:sz w:val="24"/>
          <w:szCs w:val="24"/>
        </w:rPr>
        <w:t>conduct a criminal background check on those individuals.</w:t>
      </w:r>
    </w:p>
    <w:p w:rsidR="00E21466" w:rsidP="00124B1C" w:rsidRDefault="00E21466" w14:paraId="1373C514" w14:textId="77777777">
      <w:pPr>
        <w:contextualSpacing/>
        <w:rPr>
          <w:sz w:val="24"/>
          <w:szCs w:val="24"/>
        </w:rPr>
      </w:pPr>
    </w:p>
    <w:p w:rsidR="001B2C2D" w:rsidP="00124B1C" w:rsidRDefault="00124B1C" w14:paraId="52C2C1B9" w14:textId="3A777296">
      <w:pPr>
        <w:contextualSpacing/>
        <w:rPr>
          <w:sz w:val="24"/>
          <w:szCs w:val="24"/>
        </w:rPr>
      </w:pPr>
      <w:r w:rsidRPr="00124B1C">
        <w:rPr>
          <w:sz w:val="24"/>
          <w:szCs w:val="24"/>
        </w:rPr>
        <w:t>The Agency is requesting a 3-year extension to collect this information from public or private businesses.</w:t>
      </w:r>
    </w:p>
    <w:p w:rsidRPr="00083922" w:rsidR="00124B1C" w:rsidP="00124B1C" w:rsidRDefault="00124B1C" w14:paraId="6F243144" w14:textId="77777777">
      <w:pPr>
        <w:contextualSpacing/>
        <w:rPr>
          <w:sz w:val="24"/>
          <w:szCs w:val="24"/>
        </w:rPr>
      </w:pPr>
    </w:p>
    <w:p w:rsidRPr="00083922" w:rsidR="001B2C2D" w:rsidP="001B2C2D" w:rsidRDefault="001B2C2D" w14:paraId="148EAD34" w14:textId="77777777">
      <w:pPr>
        <w:numPr>
          <w:ilvl w:val="0"/>
          <w:numId w:val="1"/>
        </w:numPr>
        <w:contextualSpacing/>
        <w:rPr>
          <w:sz w:val="24"/>
          <w:szCs w:val="24"/>
        </w:rPr>
      </w:pPr>
      <w:r w:rsidRPr="00083922">
        <w:rPr>
          <w:b/>
          <w:sz w:val="24"/>
          <w:szCs w:val="24"/>
          <w:u w:val="single"/>
        </w:rPr>
        <w:t>Purpose and Use of Information Collection</w:t>
      </w:r>
    </w:p>
    <w:p w:rsidRPr="00083922" w:rsidR="006036CE" w:rsidP="006036CE" w:rsidRDefault="006036CE" w14:paraId="6A72ED11" w14:textId="77777777">
      <w:pPr>
        <w:contextualSpacing/>
        <w:rPr>
          <w:sz w:val="24"/>
          <w:szCs w:val="24"/>
        </w:rPr>
      </w:pPr>
    </w:p>
    <w:p w:rsidRPr="00083922" w:rsidR="001B2C2D" w:rsidP="00083922" w:rsidRDefault="00502F80" w14:paraId="409752F2" w14:textId="7E0CD0DB">
      <w:pPr>
        <w:contextualSpacing/>
        <w:rPr>
          <w:sz w:val="24"/>
          <w:szCs w:val="24"/>
        </w:rPr>
      </w:pPr>
      <w:r>
        <w:rPr>
          <w:sz w:val="24"/>
          <w:szCs w:val="24"/>
        </w:rPr>
        <w:t xml:space="preserve">The purpose of this information </w:t>
      </w:r>
      <w:r w:rsidR="003835F8">
        <w:rPr>
          <w:sz w:val="24"/>
          <w:szCs w:val="24"/>
        </w:rPr>
        <w:t xml:space="preserve">collection </w:t>
      </w:r>
      <w:r>
        <w:rPr>
          <w:sz w:val="24"/>
          <w:szCs w:val="24"/>
        </w:rPr>
        <w:t>is to ensure that</w:t>
      </w:r>
      <w:r w:rsidR="00A14BCE">
        <w:rPr>
          <w:sz w:val="24"/>
          <w:szCs w:val="24"/>
        </w:rPr>
        <w:t xml:space="preserve"> criminal</w:t>
      </w:r>
      <w:r>
        <w:rPr>
          <w:sz w:val="24"/>
          <w:szCs w:val="24"/>
        </w:rPr>
        <w:t xml:space="preserve"> background checks are performed </w:t>
      </w:r>
      <w:r w:rsidR="00FA7311">
        <w:rPr>
          <w:sz w:val="24"/>
          <w:szCs w:val="24"/>
        </w:rPr>
        <w:t xml:space="preserve">during the on-boarding process </w:t>
      </w:r>
      <w:r>
        <w:rPr>
          <w:sz w:val="24"/>
          <w:szCs w:val="24"/>
        </w:rPr>
        <w:t xml:space="preserve">for all contractor personnel </w:t>
      </w:r>
      <w:r w:rsidR="00F40D84">
        <w:rPr>
          <w:sz w:val="24"/>
          <w:szCs w:val="24"/>
        </w:rPr>
        <w:t xml:space="preserve">intended to </w:t>
      </w:r>
      <w:r>
        <w:rPr>
          <w:sz w:val="24"/>
          <w:szCs w:val="24"/>
        </w:rPr>
        <w:t>deal with children under the age of 18</w:t>
      </w:r>
      <w:r w:rsidR="003835F8">
        <w:rPr>
          <w:sz w:val="24"/>
          <w:szCs w:val="24"/>
        </w:rPr>
        <w:t xml:space="preserve"> to </w:t>
      </w:r>
      <w:r w:rsidR="00F40D84">
        <w:rPr>
          <w:sz w:val="24"/>
          <w:szCs w:val="24"/>
        </w:rPr>
        <w:t>confirm</w:t>
      </w:r>
      <w:r w:rsidR="003835F8">
        <w:rPr>
          <w:sz w:val="24"/>
          <w:szCs w:val="24"/>
        </w:rPr>
        <w:t xml:space="preserve"> that </w:t>
      </w:r>
      <w:r w:rsidR="00F40D84">
        <w:rPr>
          <w:sz w:val="24"/>
          <w:szCs w:val="24"/>
        </w:rPr>
        <w:t xml:space="preserve">such </w:t>
      </w:r>
      <w:r w:rsidR="003835F8">
        <w:rPr>
          <w:sz w:val="24"/>
          <w:szCs w:val="24"/>
        </w:rPr>
        <w:t xml:space="preserve">personnel </w:t>
      </w:r>
      <w:r w:rsidR="00F40D84">
        <w:rPr>
          <w:sz w:val="24"/>
          <w:szCs w:val="24"/>
        </w:rPr>
        <w:t>do not have crim</w:t>
      </w:r>
      <w:r w:rsidR="003835F8">
        <w:rPr>
          <w:sz w:val="24"/>
          <w:szCs w:val="24"/>
        </w:rPr>
        <w:t>inal histories</w:t>
      </w:r>
      <w:r w:rsidR="00FA7311">
        <w:rPr>
          <w:sz w:val="24"/>
          <w:szCs w:val="24"/>
        </w:rPr>
        <w:t>.</w:t>
      </w:r>
      <w:r w:rsidRPr="006036CE" w:rsidR="00525DBA">
        <w:rPr>
          <w:sz w:val="24"/>
          <w:szCs w:val="24"/>
        </w:rPr>
        <w:t xml:space="preserve"> </w:t>
      </w:r>
    </w:p>
    <w:p w:rsidRPr="00083922" w:rsidR="001B2C2D" w:rsidP="001B2C2D" w:rsidRDefault="001B2C2D" w14:paraId="0855EA74" w14:textId="77777777">
      <w:pPr>
        <w:ind w:left="720"/>
        <w:contextualSpacing/>
        <w:rPr>
          <w:sz w:val="24"/>
          <w:szCs w:val="24"/>
        </w:rPr>
      </w:pPr>
    </w:p>
    <w:p w:rsidRPr="00083922" w:rsidR="001B2C2D" w:rsidP="001B2C2D" w:rsidRDefault="001B2C2D" w14:paraId="63102421" w14:textId="77777777">
      <w:pPr>
        <w:widowControl w:val="0"/>
        <w:numPr>
          <w:ilvl w:val="0"/>
          <w:numId w:val="2"/>
        </w:numPr>
        <w:autoSpaceDE w:val="0"/>
        <w:autoSpaceDN w:val="0"/>
        <w:adjustRightInd w:val="0"/>
        <w:spacing w:after="0" w:line="240" w:lineRule="auto"/>
        <w:rPr>
          <w:sz w:val="24"/>
          <w:szCs w:val="24"/>
        </w:rPr>
      </w:pPr>
      <w:r w:rsidRPr="00083922">
        <w:rPr>
          <w:b/>
          <w:sz w:val="24"/>
          <w:szCs w:val="24"/>
          <w:u w:val="single"/>
        </w:rPr>
        <w:t>Use of Improved Information Technology and Burden Reduction</w:t>
      </w:r>
    </w:p>
    <w:p w:rsidRPr="00083922" w:rsidR="006036CE" w:rsidP="006036CE" w:rsidRDefault="006036CE" w14:paraId="7BDB8D25" w14:textId="77777777">
      <w:pPr>
        <w:contextualSpacing/>
        <w:rPr>
          <w:sz w:val="24"/>
          <w:szCs w:val="24"/>
        </w:rPr>
      </w:pPr>
    </w:p>
    <w:p w:rsidRPr="00083922" w:rsidR="001B2C2D" w:rsidP="00083922" w:rsidRDefault="001B2C2D" w14:paraId="7D46E478" w14:textId="65C5B900">
      <w:pPr>
        <w:contextualSpacing/>
        <w:rPr>
          <w:sz w:val="24"/>
          <w:szCs w:val="24"/>
        </w:rPr>
      </w:pPr>
      <w:r w:rsidRPr="00083922">
        <w:rPr>
          <w:sz w:val="24"/>
          <w:szCs w:val="24"/>
        </w:rPr>
        <w:t>All data submitted by contractors (100</w:t>
      </w:r>
      <w:r w:rsidR="00F05BA1">
        <w:rPr>
          <w:sz w:val="24"/>
          <w:szCs w:val="24"/>
        </w:rPr>
        <w:t xml:space="preserve"> </w:t>
      </w:r>
      <w:r w:rsidR="00190B8C">
        <w:rPr>
          <w:sz w:val="24"/>
          <w:szCs w:val="24"/>
        </w:rPr>
        <w:t>percent</w:t>
      </w:r>
      <w:r w:rsidRPr="00083922">
        <w:rPr>
          <w:sz w:val="24"/>
          <w:szCs w:val="24"/>
        </w:rPr>
        <w:t>) is requested to be submitted electronically.</w:t>
      </w:r>
      <w:r w:rsidRPr="00083922" w:rsidR="0053373C">
        <w:rPr>
          <w:sz w:val="24"/>
          <w:szCs w:val="24"/>
        </w:rPr>
        <w:t xml:space="preserve"> We use improved information technology to the maximum extent practicable</w:t>
      </w:r>
      <w:r w:rsidRPr="006036CE" w:rsidR="00227090">
        <w:rPr>
          <w:sz w:val="24"/>
          <w:szCs w:val="24"/>
        </w:rPr>
        <w:t xml:space="preserve">. </w:t>
      </w:r>
      <w:r w:rsidRPr="00083922" w:rsidR="0053373C">
        <w:rPr>
          <w:sz w:val="24"/>
          <w:szCs w:val="24"/>
        </w:rPr>
        <w:t xml:space="preserve">Where </w:t>
      </w:r>
      <w:r w:rsidR="0041669E">
        <w:rPr>
          <w:sz w:val="24"/>
          <w:szCs w:val="24"/>
        </w:rPr>
        <w:t>c</w:t>
      </w:r>
      <w:r w:rsidRPr="00083922" w:rsidR="0053373C">
        <w:rPr>
          <w:sz w:val="24"/>
          <w:szCs w:val="24"/>
        </w:rPr>
        <w:t>ontractors are capable of electronic interchange, the contractors may submit this information collection requirement electronically</w:t>
      </w:r>
      <w:r w:rsidRPr="006036CE" w:rsidR="00227090">
        <w:rPr>
          <w:sz w:val="24"/>
          <w:szCs w:val="24"/>
        </w:rPr>
        <w:t xml:space="preserve">. </w:t>
      </w:r>
      <w:r w:rsidRPr="00083922" w:rsidR="0053373C">
        <w:rPr>
          <w:sz w:val="24"/>
          <w:szCs w:val="24"/>
        </w:rPr>
        <w:t>Nothing in the HHSAR precludes the use of electronic interchange where the requirement is for written documents</w:t>
      </w:r>
      <w:r w:rsidRPr="006036CE" w:rsidR="00227090">
        <w:rPr>
          <w:sz w:val="24"/>
          <w:szCs w:val="24"/>
        </w:rPr>
        <w:t xml:space="preserve">. </w:t>
      </w:r>
      <w:r w:rsidR="007D6D9A">
        <w:rPr>
          <w:sz w:val="24"/>
          <w:szCs w:val="24"/>
        </w:rPr>
        <w:t>To promote efficiency and reduce burden,</w:t>
      </w:r>
      <w:r w:rsidRPr="000A78D5" w:rsidR="007D6D9A">
        <w:rPr>
          <w:sz w:val="24"/>
          <w:szCs w:val="24"/>
        </w:rPr>
        <w:t xml:space="preserve"> </w:t>
      </w:r>
      <w:r w:rsidR="007D6D9A">
        <w:rPr>
          <w:sz w:val="24"/>
          <w:szCs w:val="24"/>
        </w:rPr>
        <w:t>t</w:t>
      </w:r>
      <w:r w:rsidRPr="000A78D5" w:rsidR="0053373C">
        <w:rPr>
          <w:sz w:val="24"/>
          <w:szCs w:val="24"/>
        </w:rPr>
        <w:t xml:space="preserve">he information necessary for the purposes of the </w:t>
      </w:r>
      <w:r w:rsidRPr="000A78D5" w:rsidR="0053373C">
        <w:rPr>
          <w:rFonts w:cs="Arial"/>
          <w:color w:val="000000"/>
          <w:sz w:val="24"/>
          <w:szCs w:val="24"/>
        </w:rPr>
        <w:t>Crime Control Act—Requirement for Background Checks</w:t>
      </w:r>
      <w:r w:rsidRPr="000A78D5" w:rsidR="0053373C">
        <w:rPr>
          <w:sz w:val="24"/>
          <w:szCs w:val="24"/>
        </w:rPr>
        <w:t xml:space="preserve"> is being collected at the</w:t>
      </w:r>
      <w:r w:rsidR="00CB44F9">
        <w:rPr>
          <w:sz w:val="24"/>
          <w:szCs w:val="24"/>
        </w:rPr>
        <w:t xml:space="preserve"> same </w:t>
      </w:r>
      <w:r w:rsidRPr="000A78D5" w:rsidR="0053373C">
        <w:rPr>
          <w:sz w:val="24"/>
          <w:szCs w:val="24"/>
        </w:rPr>
        <w:t>time</w:t>
      </w:r>
      <w:r w:rsidR="00CB44F9">
        <w:rPr>
          <w:sz w:val="24"/>
          <w:szCs w:val="24"/>
        </w:rPr>
        <w:t xml:space="preserve"> as</w:t>
      </w:r>
      <w:r w:rsidRPr="000A78D5" w:rsidR="0053373C">
        <w:rPr>
          <w:sz w:val="24"/>
          <w:szCs w:val="24"/>
        </w:rPr>
        <w:t xml:space="preserve"> other </w:t>
      </w:r>
      <w:r w:rsidR="007D6D9A">
        <w:rPr>
          <w:sz w:val="24"/>
          <w:szCs w:val="24"/>
        </w:rPr>
        <w:t xml:space="preserve">“on-boarding information” such as </w:t>
      </w:r>
      <w:r w:rsidR="0041669E">
        <w:rPr>
          <w:sz w:val="24"/>
          <w:szCs w:val="24"/>
        </w:rPr>
        <w:t>Homeland Security Presidential Directive</w:t>
      </w:r>
      <w:r w:rsidRPr="00083922" w:rsidR="0053373C">
        <w:rPr>
          <w:sz w:val="24"/>
          <w:szCs w:val="24"/>
        </w:rPr>
        <w:t>-12 information.</w:t>
      </w:r>
    </w:p>
    <w:p w:rsidRPr="00083922" w:rsidR="001B2C2D" w:rsidP="001B2C2D" w:rsidRDefault="001B2C2D" w14:paraId="23B7D1AC" w14:textId="77777777">
      <w:pPr>
        <w:ind w:left="720"/>
        <w:contextualSpacing/>
        <w:rPr>
          <w:sz w:val="24"/>
          <w:szCs w:val="24"/>
        </w:rPr>
      </w:pPr>
    </w:p>
    <w:p w:rsidRPr="00227090" w:rsidR="001B2C2D" w:rsidP="001B2C2D" w:rsidRDefault="001B2C2D" w14:paraId="5DF3738C" w14:textId="2F93D7A2">
      <w:pPr>
        <w:widowControl w:val="0"/>
        <w:numPr>
          <w:ilvl w:val="0"/>
          <w:numId w:val="2"/>
        </w:numPr>
        <w:autoSpaceDE w:val="0"/>
        <w:autoSpaceDN w:val="0"/>
        <w:adjustRightInd w:val="0"/>
        <w:spacing w:after="0" w:line="240" w:lineRule="auto"/>
        <w:rPr>
          <w:b/>
          <w:sz w:val="24"/>
          <w:szCs w:val="24"/>
        </w:rPr>
      </w:pPr>
      <w:r w:rsidRPr="00083922">
        <w:rPr>
          <w:b/>
          <w:sz w:val="24"/>
          <w:szCs w:val="24"/>
          <w:u w:val="single"/>
        </w:rPr>
        <w:lastRenderedPageBreak/>
        <w:t xml:space="preserve">Efforts </w:t>
      </w:r>
      <w:r w:rsidRPr="00083922" w:rsidR="003814B8">
        <w:rPr>
          <w:b/>
          <w:sz w:val="24"/>
          <w:szCs w:val="24"/>
          <w:u w:val="single"/>
        </w:rPr>
        <w:t>to Identify</w:t>
      </w:r>
      <w:r w:rsidRPr="00083922">
        <w:rPr>
          <w:b/>
          <w:sz w:val="24"/>
          <w:szCs w:val="24"/>
          <w:u w:val="single"/>
        </w:rPr>
        <w:t xml:space="preserve"> Duplication and Use of Similar Information</w:t>
      </w:r>
    </w:p>
    <w:p w:rsidRPr="00083922" w:rsidR="006036CE" w:rsidP="006036CE" w:rsidRDefault="006036CE" w14:paraId="38ABBA62" w14:textId="77777777">
      <w:pPr>
        <w:contextualSpacing/>
        <w:rPr>
          <w:sz w:val="24"/>
          <w:szCs w:val="24"/>
        </w:rPr>
      </w:pPr>
    </w:p>
    <w:p w:rsidRPr="00083922" w:rsidR="001B2C2D" w:rsidP="00083922" w:rsidRDefault="001B2C2D" w14:paraId="5FA4A750" w14:textId="6251FA2A">
      <w:pPr>
        <w:contextualSpacing/>
        <w:rPr>
          <w:sz w:val="24"/>
          <w:szCs w:val="24"/>
        </w:rPr>
      </w:pPr>
      <w:r w:rsidRPr="00083922">
        <w:rPr>
          <w:sz w:val="24"/>
          <w:szCs w:val="24"/>
        </w:rPr>
        <w:t xml:space="preserve">The </w:t>
      </w:r>
      <w:r w:rsidR="00C94AB3">
        <w:rPr>
          <w:sz w:val="24"/>
          <w:szCs w:val="24"/>
        </w:rPr>
        <w:t xml:space="preserve">particular </w:t>
      </w:r>
      <w:r w:rsidR="00A14BCE">
        <w:rPr>
          <w:sz w:val="24"/>
          <w:szCs w:val="24"/>
        </w:rPr>
        <w:t>names</w:t>
      </w:r>
      <w:r w:rsidR="00626E79">
        <w:rPr>
          <w:sz w:val="24"/>
          <w:szCs w:val="24"/>
        </w:rPr>
        <w:t xml:space="preserve"> and other identifying information</w:t>
      </w:r>
      <w:r w:rsidR="00A14BCE">
        <w:rPr>
          <w:sz w:val="24"/>
          <w:szCs w:val="24"/>
        </w:rPr>
        <w:t xml:space="preserve"> on </w:t>
      </w:r>
      <w:r w:rsidR="004A399A">
        <w:rPr>
          <w:sz w:val="24"/>
          <w:szCs w:val="24"/>
        </w:rPr>
        <w:t>each</w:t>
      </w:r>
      <w:r w:rsidR="00A14BCE">
        <w:rPr>
          <w:sz w:val="24"/>
          <w:szCs w:val="24"/>
        </w:rPr>
        <w:t xml:space="preserve"> list </w:t>
      </w:r>
      <w:r w:rsidR="006C2731">
        <w:rPr>
          <w:sz w:val="24"/>
          <w:szCs w:val="24"/>
        </w:rPr>
        <w:t>are</w:t>
      </w:r>
      <w:r w:rsidRPr="00083922" w:rsidR="005F4F43">
        <w:rPr>
          <w:sz w:val="24"/>
          <w:szCs w:val="24"/>
        </w:rPr>
        <w:t xml:space="preserve"> </w:t>
      </w:r>
      <w:r w:rsidR="00EF2A99">
        <w:rPr>
          <w:sz w:val="24"/>
          <w:szCs w:val="24"/>
        </w:rPr>
        <w:t>contract</w:t>
      </w:r>
      <w:r w:rsidRPr="00083922" w:rsidR="005F4F43">
        <w:rPr>
          <w:sz w:val="24"/>
          <w:szCs w:val="24"/>
        </w:rPr>
        <w:t xml:space="preserve">-specific and </w:t>
      </w:r>
      <w:r w:rsidR="006C2731">
        <w:rPr>
          <w:sz w:val="24"/>
          <w:szCs w:val="24"/>
        </w:rPr>
        <w:t>are</w:t>
      </w:r>
      <w:r w:rsidRPr="00083922" w:rsidR="00FD3152">
        <w:rPr>
          <w:sz w:val="24"/>
          <w:szCs w:val="24"/>
        </w:rPr>
        <w:t xml:space="preserve"> </w:t>
      </w:r>
      <w:r w:rsidRPr="00083922" w:rsidR="005F4F43">
        <w:rPr>
          <w:sz w:val="24"/>
          <w:szCs w:val="24"/>
        </w:rPr>
        <w:t xml:space="preserve">typically collected only once during </w:t>
      </w:r>
      <w:r w:rsidR="00FD3152">
        <w:rPr>
          <w:sz w:val="24"/>
          <w:szCs w:val="24"/>
        </w:rPr>
        <w:t>contract</w:t>
      </w:r>
      <w:r w:rsidRPr="00083922" w:rsidR="005F4F43">
        <w:rPr>
          <w:sz w:val="24"/>
          <w:szCs w:val="24"/>
        </w:rPr>
        <w:t xml:space="preserve"> performance</w:t>
      </w:r>
      <w:r w:rsidRPr="003D5760" w:rsidR="00227090">
        <w:rPr>
          <w:sz w:val="24"/>
          <w:szCs w:val="24"/>
        </w:rPr>
        <w:t xml:space="preserve">. </w:t>
      </w:r>
      <w:r w:rsidR="00C94AB3">
        <w:rPr>
          <w:sz w:val="24"/>
          <w:szCs w:val="24"/>
        </w:rPr>
        <w:t xml:space="preserve">The type of information collected from each contractor </w:t>
      </w:r>
      <w:r w:rsidR="00F40D84">
        <w:rPr>
          <w:sz w:val="24"/>
          <w:szCs w:val="24"/>
        </w:rPr>
        <w:t xml:space="preserve">personnel </w:t>
      </w:r>
      <w:r w:rsidR="00C76445">
        <w:rPr>
          <w:sz w:val="24"/>
          <w:szCs w:val="24"/>
        </w:rPr>
        <w:t>who will interact with children under the age of 18</w:t>
      </w:r>
      <w:r w:rsidR="00A14BCE">
        <w:rPr>
          <w:sz w:val="24"/>
          <w:szCs w:val="24"/>
        </w:rPr>
        <w:t xml:space="preserve"> is the same for each of</w:t>
      </w:r>
      <w:r w:rsidR="00C94AB3">
        <w:rPr>
          <w:sz w:val="24"/>
          <w:szCs w:val="24"/>
        </w:rPr>
        <w:t xml:space="preserve"> the</w:t>
      </w:r>
      <w:r w:rsidRPr="00083922" w:rsidR="00E7243F">
        <w:rPr>
          <w:sz w:val="24"/>
          <w:szCs w:val="24"/>
        </w:rPr>
        <w:t xml:space="preserve"> estimated 160</w:t>
      </w:r>
      <w:r w:rsidR="00FA7311">
        <w:rPr>
          <w:sz w:val="24"/>
          <w:szCs w:val="24"/>
        </w:rPr>
        <w:t xml:space="preserve"> contracts</w:t>
      </w:r>
      <w:r w:rsidRPr="00083922" w:rsidR="00E7243F">
        <w:rPr>
          <w:sz w:val="24"/>
          <w:szCs w:val="24"/>
        </w:rPr>
        <w:t>.</w:t>
      </w:r>
      <w:r w:rsidR="00C94AB3">
        <w:rPr>
          <w:sz w:val="24"/>
          <w:szCs w:val="24"/>
        </w:rPr>
        <w:t xml:space="preserve"> </w:t>
      </w:r>
    </w:p>
    <w:p w:rsidRPr="00083922" w:rsidR="005F4F43" w:rsidP="001B2C2D" w:rsidRDefault="005F4F43" w14:paraId="4AB37FA7" w14:textId="77777777">
      <w:pPr>
        <w:ind w:left="720"/>
        <w:contextualSpacing/>
        <w:rPr>
          <w:sz w:val="24"/>
          <w:szCs w:val="24"/>
        </w:rPr>
      </w:pPr>
    </w:p>
    <w:p w:rsidRPr="00083922" w:rsidR="001B2C2D" w:rsidP="001B2C2D" w:rsidRDefault="001B2C2D" w14:paraId="63351078" w14:textId="77777777">
      <w:pPr>
        <w:widowControl w:val="0"/>
        <w:numPr>
          <w:ilvl w:val="0"/>
          <w:numId w:val="2"/>
        </w:numPr>
        <w:autoSpaceDE w:val="0"/>
        <w:autoSpaceDN w:val="0"/>
        <w:adjustRightInd w:val="0"/>
        <w:spacing w:after="0" w:line="240" w:lineRule="auto"/>
        <w:rPr>
          <w:color w:val="000000"/>
          <w:sz w:val="24"/>
          <w:szCs w:val="24"/>
        </w:rPr>
      </w:pPr>
      <w:r w:rsidRPr="00083922">
        <w:rPr>
          <w:b/>
          <w:sz w:val="24"/>
          <w:szCs w:val="24"/>
          <w:u w:val="single"/>
        </w:rPr>
        <w:t>Impact on Small Businesses or Other Small Entities</w:t>
      </w:r>
    </w:p>
    <w:p w:rsidRPr="00083922" w:rsidR="006036CE" w:rsidP="006036CE" w:rsidRDefault="006036CE" w14:paraId="18E620DA" w14:textId="77777777">
      <w:pPr>
        <w:contextualSpacing/>
        <w:rPr>
          <w:sz w:val="24"/>
          <w:szCs w:val="24"/>
        </w:rPr>
      </w:pPr>
    </w:p>
    <w:p w:rsidRPr="00083922" w:rsidR="001B2C2D" w:rsidP="00083922" w:rsidRDefault="001B2C2D" w14:paraId="05C5AD87" w14:textId="3EE487BE">
      <w:pPr>
        <w:contextualSpacing/>
        <w:rPr>
          <w:sz w:val="24"/>
          <w:szCs w:val="24"/>
        </w:rPr>
      </w:pPr>
      <w:r w:rsidRPr="00083922">
        <w:rPr>
          <w:sz w:val="24"/>
          <w:szCs w:val="24"/>
        </w:rPr>
        <w:t xml:space="preserve">The requirements of the </w:t>
      </w:r>
      <w:r w:rsidRPr="00083922" w:rsidR="005F4F43">
        <w:rPr>
          <w:sz w:val="24"/>
          <w:szCs w:val="24"/>
        </w:rPr>
        <w:t>Crime Control</w:t>
      </w:r>
      <w:r w:rsidRPr="00083922">
        <w:rPr>
          <w:sz w:val="24"/>
          <w:szCs w:val="24"/>
        </w:rPr>
        <w:t xml:space="preserve"> Act apply regardless of the size of the contractor. The data being requested is being provided by the contractor pursuant to the contract requirements</w:t>
      </w:r>
      <w:r w:rsidRPr="00083922" w:rsidR="005F4F43">
        <w:rPr>
          <w:sz w:val="24"/>
          <w:szCs w:val="24"/>
        </w:rPr>
        <w:t xml:space="preserve"> and </w:t>
      </w:r>
      <w:r w:rsidR="00F40D84">
        <w:rPr>
          <w:sz w:val="24"/>
          <w:szCs w:val="24"/>
        </w:rPr>
        <w:t xml:space="preserve">is </w:t>
      </w:r>
      <w:r w:rsidRPr="00083922" w:rsidR="005F4F43">
        <w:rPr>
          <w:sz w:val="24"/>
          <w:szCs w:val="24"/>
        </w:rPr>
        <w:t xml:space="preserve">the requisite information to conduct a </w:t>
      </w:r>
      <w:r w:rsidR="00F40D84">
        <w:rPr>
          <w:sz w:val="24"/>
          <w:szCs w:val="24"/>
        </w:rPr>
        <w:t>criminal</w:t>
      </w:r>
      <w:r w:rsidRPr="00083922" w:rsidR="005F4F43">
        <w:rPr>
          <w:sz w:val="24"/>
          <w:szCs w:val="24"/>
        </w:rPr>
        <w:t xml:space="preserve"> background check</w:t>
      </w:r>
      <w:r w:rsidRPr="00083922">
        <w:rPr>
          <w:sz w:val="24"/>
          <w:szCs w:val="24"/>
        </w:rPr>
        <w:t>. Any burden would be the same for any size entity and is necessary for performance of the specific contract. The contract price would reflect the contract requirements. Thus</w:t>
      </w:r>
      <w:r w:rsidR="0041669E">
        <w:rPr>
          <w:sz w:val="24"/>
          <w:szCs w:val="24"/>
        </w:rPr>
        <w:t>,</w:t>
      </w:r>
      <w:r w:rsidRPr="00083922">
        <w:rPr>
          <w:sz w:val="24"/>
          <w:szCs w:val="24"/>
        </w:rPr>
        <w:t xml:space="preserve"> there is no additional burden or excessive burden placed on small businesses. </w:t>
      </w:r>
    </w:p>
    <w:p w:rsidRPr="00083922" w:rsidR="005F4F43" w:rsidP="001B2C2D" w:rsidRDefault="005F4F43" w14:paraId="0B9ED708" w14:textId="77777777">
      <w:pPr>
        <w:ind w:left="720"/>
        <w:contextualSpacing/>
        <w:rPr>
          <w:sz w:val="24"/>
          <w:szCs w:val="24"/>
        </w:rPr>
      </w:pPr>
    </w:p>
    <w:p w:rsidRPr="00083922" w:rsidR="001B2C2D" w:rsidP="001B2C2D" w:rsidRDefault="001B2C2D" w14:paraId="67AC1037" w14:textId="77777777">
      <w:pPr>
        <w:widowControl w:val="0"/>
        <w:numPr>
          <w:ilvl w:val="0"/>
          <w:numId w:val="2"/>
        </w:numPr>
        <w:autoSpaceDE w:val="0"/>
        <w:autoSpaceDN w:val="0"/>
        <w:adjustRightInd w:val="0"/>
        <w:spacing w:after="0" w:line="240" w:lineRule="auto"/>
        <w:rPr>
          <w:b/>
          <w:sz w:val="24"/>
          <w:szCs w:val="24"/>
        </w:rPr>
      </w:pPr>
      <w:r w:rsidRPr="00083922">
        <w:rPr>
          <w:b/>
          <w:sz w:val="24"/>
          <w:szCs w:val="24"/>
          <w:u w:val="single"/>
        </w:rPr>
        <w:t>Consequences of Collecting the Information; Less Frequent Collection</w:t>
      </w:r>
    </w:p>
    <w:p w:rsidRPr="00083922" w:rsidR="006036CE" w:rsidP="006036CE" w:rsidRDefault="006036CE" w14:paraId="0C8B1421" w14:textId="77777777">
      <w:pPr>
        <w:contextualSpacing/>
        <w:rPr>
          <w:sz w:val="24"/>
          <w:szCs w:val="24"/>
        </w:rPr>
      </w:pPr>
    </w:p>
    <w:p w:rsidRPr="00083922" w:rsidR="001B2C2D" w:rsidP="00083922" w:rsidRDefault="001B2C2D" w14:paraId="4EF704AB" w14:textId="70D7DBDD">
      <w:pPr>
        <w:contextualSpacing/>
        <w:rPr>
          <w:sz w:val="24"/>
          <w:szCs w:val="24"/>
        </w:rPr>
      </w:pPr>
      <w:r w:rsidRPr="00083922">
        <w:rPr>
          <w:sz w:val="24"/>
          <w:szCs w:val="24"/>
        </w:rPr>
        <w:t xml:space="preserve">Collection efforts by contractors are in response to specific </w:t>
      </w:r>
      <w:r w:rsidRPr="00083922" w:rsidR="005F4F43">
        <w:rPr>
          <w:sz w:val="24"/>
          <w:szCs w:val="24"/>
        </w:rPr>
        <w:t>federal laws</w:t>
      </w:r>
      <w:r w:rsidRPr="00083922">
        <w:rPr>
          <w:sz w:val="24"/>
          <w:szCs w:val="24"/>
        </w:rPr>
        <w:t xml:space="preserve"> that are drafted to address specific missions of </w:t>
      </w:r>
      <w:r w:rsidRPr="00083922" w:rsidR="0093618B">
        <w:rPr>
          <w:sz w:val="24"/>
          <w:szCs w:val="24"/>
        </w:rPr>
        <w:t>H</w:t>
      </w:r>
      <w:r w:rsidRPr="00083922">
        <w:rPr>
          <w:sz w:val="24"/>
          <w:szCs w:val="24"/>
        </w:rPr>
        <w:t>HS</w:t>
      </w:r>
      <w:r w:rsidRPr="00083922" w:rsidR="005F4F43">
        <w:rPr>
          <w:sz w:val="24"/>
          <w:szCs w:val="24"/>
        </w:rPr>
        <w:t>; in this case those who are interacting with children under the age of 18</w:t>
      </w:r>
      <w:r w:rsidRPr="00083922">
        <w:rPr>
          <w:sz w:val="24"/>
          <w:szCs w:val="24"/>
        </w:rPr>
        <w:t xml:space="preserve">. </w:t>
      </w:r>
    </w:p>
    <w:p w:rsidRPr="00083922" w:rsidR="001B2C2D" w:rsidP="001B2C2D" w:rsidRDefault="001B2C2D" w14:paraId="757AE32B" w14:textId="77777777">
      <w:pPr>
        <w:ind w:left="720"/>
        <w:contextualSpacing/>
        <w:rPr>
          <w:sz w:val="24"/>
          <w:szCs w:val="24"/>
        </w:rPr>
      </w:pPr>
    </w:p>
    <w:p w:rsidRPr="00083922" w:rsidR="001B2C2D" w:rsidP="001B2C2D" w:rsidRDefault="001B2C2D" w14:paraId="0669DAAA" w14:textId="7614D366">
      <w:pPr>
        <w:widowControl w:val="0"/>
        <w:numPr>
          <w:ilvl w:val="0"/>
          <w:numId w:val="2"/>
        </w:numPr>
        <w:autoSpaceDE w:val="0"/>
        <w:autoSpaceDN w:val="0"/>
        <w:adjustRightInd w:val="0"/>
        <w:spacing w:after="0" w:line="240" w:lineRule="auto"/>
        <w:rPr>
          <w:b/>
          <w:sz w:val="24"/>
          <w:szCs w:val="24"/>
        </w:rPr>
      </w:pPr>
      <w:r w:rsidRPr="00083922">
        <w:rPr>
          <w:b/>
          <w:sz w:val="24"/>
          <w:szCs w:val="24"/>
          <w:u w:val="single"/>
        </w:rPr>
        <w:t xml:space="preserve">Special Circumstances Relating to the Guidelines of 5 CFR </w:t>
      </w:r>
      <w:r w:rsidR="008F588E">
        <w:rPr>
          <w:b/>
          <w:sz w:val="24"/>
          <w:szCs w:val="24"/>
          <w:u w:val="single"/>
        </w:rPr>
        <w:t xml:space="preserve">Part </w:t>
      </w:r>
      <w:r w:rsidRPr="00083922">
        <w:rPr>
          <w:b/>
          <w:sz w:val="24"/>
          <w:szCs w:val="24"/>
          <w:u w:val="single"/>
        </w:rPr>
        <w:t>1320.5</w:t>
      </w:r>
    </w:p>
    <w:p w:rsidR="006036CE" w:rsidP="00083922" w:rsidRDefault="006036CE" w14:paraId="37CF8758" w14:textId="77777777">
      <w:pPr>
        <w:widowControl w:val="0"/>
        <w:autoSpaceDE w:val="0"/>
        <w:autoSpaceDN w:val="0"/>
        <w:adjustRightInd w:val="0"/>
        <w:spacing w:after="0" w:line="240" w:lineRule="auto"/>
        <w:ind w:left="1440"/>
        <w:rPr>
          <w:sz w:val="24"/>
          <w:szCs w:val="24"/>
        </w:rPr>
      </w:pPr>
    </w:p>
    <w:p w:rsidRPr="00083922" w:rsidR="001B2C2D" w:rsidP="00083922" w:rsidRDefault="001B2C2D" w14:paraId="25F670EB" w14:textId="526996EB">
      <w:pPr>
        <w:widowControl w:val="0"/>
        <w:numPr>
          <w:ilvl w:val="0"/>
          <w:numId w:val="4"/>
        </w:numPr>
        <w:tabs>
          <w:tab w:val="clear" w:pos="2160"/>
          <w:tab w:val="num" w:pos="792"/>
        </w:tabs>
        <w:autoSpaceDE w:val="0"/>
        <w:autoSpaceDN w:val="0"/>
        <w:adjustRightInd w:val="0"/>
        <w:spacing w:after="120" w:line="240" w:lineRule="auto"/>
        <w:ind w:left="792"/>
        <w:rPr>
          <w:sz w:val="24"/>
          <w:szCs w:val="24"/>
        </w:rPr>
      </w:pPr>
      <w:r w:rsidRPr="00083922">
        <w:rPr>
          <w:sz w:val="24"/>
          <w:szCs w:val="24"/>
        </w:rPr>
        <w:t>There are no special circumstances related to collection of this information.</w:t>
      </w:r>
    </w:p>
    <w:p w:rsidRPr="00083922" w:rsidR="001B2C2D" w:rsidP="00083922" w:rsidRDefault="001B2C2D" w14:paraId="7A56B3F2" w14:textId="77777777">
      <w:pPr>
        <w:widowControl w:val="0"/>
        <w:numPr>
          <w:ilvl w:val="0"/>
          <w:numId w:val="3"/>
        </w:numPr>
        <w:tabs>
          <w:tab w:val="clear" w:pos="2160"/>
          <w:tab w:val="num" w:pos="792"/>
        </w:tabs>
        <w:autoSpaceDE w:val="0"/>
        <w:autoSpaceDN w:val="0"/>
        <w:adjustRightInd w:val="0"/>
        <w:spacing w:after="120" w:line="240" w:lineRule="auto"/>
        <w:ind w:left="792"/>
        <w:rPr>
          <w:bCs/>
          <w:sz w:val="24"/>
          <w:szCs w:val="24"/>
        </w:rPr>
      </w:pPr>
      <w:r w:rsidRPr="00083922">
        <w:rPr>
          <w:bCs/>
          <w:sz w:val="24"/>
          <w:szCs w:val="24"/>
        </w:rPr>
        <w:t>There are no requirements to report information to the agency more often than quarterly.</w:t>
      </w:r>
    </w:p>
    <w:p w:rsidRPr="00083922" w:rsidR="001B2C2D" w:rsidP="00083922" w:rsidRDefault="001B2C2D" w14:paraId="6B423D2D" w14:textId="75618D61">
      <w:pPr>
        <w:widowControl w:val="0"/>
        <w:numPr>
          <w:ilvl w:val="0"/>
          <w:numId w:val="3"/>
        </w:numPr>
        <w:tabs>
          <w:tab w:val="clear" w:pos="2160"/>
          <w:tab w:val="num" w:pos="792"/>
        </w:tabs>
        <w:autoSpaceDE w:val="0"/>
        <w:autoSpaceDN w:val="0"/>
        <w:adjustRightInd w:val="0"/>
        <w:spacing w:after="120" w:line="240" w:lineRule="auto"/>
        <w:ind w:left="792"/>
        <w:rPr>
          <w:sz w:val="24"/>
          <w:szCs w:val="24"/>
        </w:rPr>
      </w:pPr>
      <w:r w:rsidRPr="00083922">
        <w:rPr>
          <w:sz w:val="24"/>
          <w:szCs w:val="24"/>
        </w:rPr>
        <w:t>Generally</w:t>
      </w:r>
      <w:r w:rsidR="0041669E">
        <w:rPr>
          <w:sz w:val="24"/>
          <w:szCs w:val="24"/>
        </w:rPr>
        <w:t>,</w:t>
      </w:r>
      <w:r w:rsidRPr="00083922">
        <w:rPr>
          <w:sz w:val="24"/>
          <w:szCs w:val="24"/>
        </w:rPr>
        <w:t xml:space="preserve"> contractors will be required to provide the requisite information after award. In certain specific situations within HHS emerging requirements could dictate a quicker turnaround to allow the </w:t>
      </w:r>
      <w:r w:rsidRPr="00083922" w:rsidR="00097220">
        <w:rPr>
          <w:sz w:val="24"/>
          <w:szCs w:val="24"/>
        </w:rPr>
        <w:t>personnel to report for contract performance more quickly</w:t>
      </w:r>
      <w:r w:rsidRPr="00083922">
        <w:rPr>
          <w:sz w:val="24"/>
          <w:szCs w:val="24"/>
        </w:rPr>
        <w:t>. In those cases</w:t>
      </w:r>
      <w:r w:rsidR="0041669E">
        <w:rPr>
          <w:sz w:val="24"/>
          <w:szCs w:val="24"/>
        </w:rPr>
        <w:t>,</w:t>
      </w:r>
      <w:r w:rsidRPr="00083922">
        <w:rPr>
          <w:sz w:val="24"/>
          <w:szCs w:val="24"/>
        </w:rPr>
        <w:t xml:space="preserve"> the data might be required to be submitted with proposals or shortly after contract award. These situations would be the exception to the general practice and would be justified within the contract file documentation</w:t>
      </w:r>
      <w:r w:rsidRPr="006036CE" w:rsidR="00227090">
        <w:rPr>
          <w:sz w:val="24"/>
          <w:szCs w:val="24"/>
        </w:rPr>
        <w:t xml:space="preserve">. </w:t>
      </w:r>
    </w:p>
    <w:p w:rsidRPr="00083922" w:rsidR="001B2C2D" w:rsidP="00083922" w:rsidRDefault="001B2C2D" w14:paraId="6731E7B3" w14:textId="336B9B3E">
      <w:pPr>
        <w:widowControl w:val="0"/>
        <w:numPr>
          <w:ilvl w:val="0"/>
          <w:numId w:val="3"/>
        </w:numPr>
        <w:tabs>
          <w:tab w:val="clear" w:pos="2160"/>
          <w:tab w:val="num" w:pos="792"/>
        </w:tabs>
        <w:autoSpaceDE w:val="0"/>
        <w:autoSpaceDN w:val="0"/>
        <w:adjustRightInd w:val="0"/>
        <w:spacing w:after="120" w:line="240" w:lineRule="auto"/>
        <w:ind w:left="792"/>
        <w:rPr>
          <w:sz w:val="24"/>
          <w:szCs w:val="24"/>
        </w:rPr>
      </w:pPr>
      <w:r w:rsidRPr="00083922">
        <w:rPr>
          <w:sz w:val="24"/>
          <w:szCs w:val="24"/>
        </w:rPr>
        <w:t>Contractors will not be required to submit more than an original and two copies of any document. In virtually all cases</w:t>
      </w:r>
      <w:r w:rsidR="00FA3ADB">
        <w:rPr>
          <w:sz w:val="24"/>
          <w:szCs w:val="24"/>
        </w:rPr>
        <w:t>,</w:t>
      </w:r>
      <w:r w:rsidRPr="00083922">
        <w:rPr>
          <w:sz w:val="24"/>
          <w:szCs w:val="24"/>
        </w:rPr>
        <w:t xml:space="preserve"> an electronic submission is sufficient. </w:t>
      </w:r>
    </w:p>
    <w:p w:rsidR="0077343B" w:rsidP="0077343B" w:rsidRDefault="001B2C2D" w14:paraId="6E671FA9" w14:textId="77777777">
      <w:pPr>
        <w:widowControl w:val="0"/>
        <w:numPr>
          <w:ilvl w:val="0"/>
          <w:numId w:val="3"/>
        </w:numPr>
        <w:tabs>
          <w:tab w:val="clear" w:pos="2160"/>
          <w:tab w:val="num" w:pos="792"/>
        </w:tabs>
        <w:autoSpaceDE w:val="0"/>
        <w:autoSpaceDN w:val="0"/>
        <w:adjustRightInd w:val="0"/>
        <w:spacing w:after="120" w:line="240" w:lineRule="auto"/>
        <w:ind w:left="792"/>
        <w:rPr>
          <w:sz w:val="24"/>
          <w:szCs w:val="24"/>
        </w:rPr>
      </w:pPr>
      <w:r w:rsidRPr="00083922">
        <w:rPr>
          <w:sz w:val="24"/>
          <w:szCs w:val="24"/>
        </w:rPr>
        <w:t xml:space="preserve">Contract laws and regulations </w:t>
      </w:r>
      <w:r w:rsidR="00E321D2">
        <w:rPr>
          <w:sz w:val="24"/>
          <w:szCs w:val="24"/>
        </w:rPr>
        <w:t>specify</w:t>
      </w:r>
      <w:r w:rsidRPr="00083922" w:rsidR="00E321D2">
        <w:rPr>
          <w:sz w:val="24"/>
          <w:szCs w:val="24"/>
        </w:rPr>
        <w:t xml:space="preserve"> </w:t>
      </w:r>
      <w:r w:rsidRPr="00083922">
        <w:rPr>
          <w:sz w:val="24"/>
          <w:szCs w:val="24"/>
        </w:rPr>
        <w:t xml:space="preserve">record retention requirements for contracts.  </w:t>
      </w:r>
    </w:p>
    <w:p w:rsidR="0077343B" w:rsidP="0077343B" w:rsidRDefault="006B012B" w14:paraId="17735D68" w14:textId="77777777">
      <w:pPr>
        <w:widowControl w:val="0"/>
        <w:numPr>
          <w:ilvl w:val="0"/>
          <w:numId w:val="3"/>
        </w:numPr>
        <w:tabs>
          <w:tab w:val="clear" w:pos="2160"/>
          <w:tab w:val="num" w:pos="792"/>
        </w:tabs>
        <w:autoSpaceDE w:val="0"/>
        <w:autoSpaceDN w:val="0"/>
        <w:adjustRightInd w:val="0"/>
        <w:spacing w:after="120" w:line="240" w:lineRule="auto"/>
        <w:ind w:left="792"/>
        <w:rPr>
          <w:sz w:val="24"/>
          <w:szCs w:val="24"/>
        </w:rPr>
      </w:pPr>
      <w:r w:rsidRPr="0077343B">
        <w:rPr>
          <w:sz w:val="24"/>
          <w:szCs w:val="24"/>
        </w:rPr>
        <w:t>It is not expected that any contractor would be required to use a statistical data classification that has not been reviewed and approved by OMB. The information collected does not include statistical data.</w:t>
      </w:r>
    </w:p>
    <w:p w:rsidRPr="0077343B" w:rsidR="00D34FB9" w:rsidP="0077343B" w:rsidRDefault="00D34FB9" w14:paraId="1F6A3DE4" w14:textId="05368405">
      <w:pPr>
        <w:widowControl w:val="0"/>
        <w:numPr>
          <w:ilvl w:val="0"/>
          <w:numId w:val="3"/>
        </w:numPr>
        <w:tabs>
          <w:tab w:val="clear" w:pos="2160"/>
          <w:tab w:val="num" w:pos="792"/>
        </w:tabs>
        <w:autoSpaceDE w:val="0"/>
        <w:autoSpaceDN w:val="0"/>
        <w:adjustRightInd w:val="0"/>
        <w:spacing w:after="120" w:line="240" w:lineRule="auto"/>
        <w:ind w:left="792"/>
        <w:rPr>
          <w:sz w:val="24"/>
          <w:szCs w:val="24"/>
        </w:rPr>
      </w:pPr>
      <w:r w:rsidRPr="0077343B">
        <w:rPr>
          <w:bCs/>
          <w:sz w:val="24"/>
          <w:szCs w:val="24"/>
        </w:rPr>
        <w:t xml:space="preserve">The protection of contractor proprietary, trade secret, or other confidential </w:t>
      </w:r>
      <w:r w:rsidRPr="0077343B">
        <w:rPr>
          <w:bCs/>
          <w:sz w:val="24"/>
          <w:szCs w:val="24"/>
        </w:rPr>
        <w:lastRenderedPageBreak/>
        <w:t>information and the Government’s right to use that data are covered by contract-specific clauses.</w:t>
      </w:r>
    </w:p>
    <w:p w:rsidRPr="00083922" w:rsidR="001B2C2D" w:rsidP="00083922" w:rsidRDefault="00D34FB9" w14:paraId="4122F3A7" w14:textId="57268917">
      <w:pPr>
        <w:keepNext/>
        <w:numPr>
          <w:ilvl w:val="0"/>
          <w:numId w:val="3"/>
        </w:numPr>
        <w:tabs>
          <w:tab w:val="clear" w:pos="2160"/>
          <w:tab w:val="num" w:pos="792"/>
        </w:tabs>
        <w:autoSpaceDE w:val="0"/>
        <w:autoSpaceDN w:val="0"/>
        <w:adjustRightInd w:val="0"/>
        <w:spacing w:after="0" w:line="240" w:lineRule="auto"/>
        <w:ind w:left="792"/>
        <w:rPr>
          <w:sz w:val="24"/>
          <w:szCs w:val="24"/>
        </w:rPr>
      </w:pPr>
      <w:r>
        <w:rPr>
          <w:rFonts w:cstheme="minorHAnsi"/>
          <w:bCs/>
          <w:sz w:val="24"/>
          <w:szCs w:val="24"/>
        </w:rPr>
        <w:t>The request fully complies with the regulation</w:t>
      </w:r>
      <w:r w:rsidR="00502F80">
        <w:rPr>
          <w:rFonts w:cstheme="minorHAnsi"/>
          <w:bCs/>
          <w:sz w:val="24"/>
          <w:szCs w:val="24"/>
        </w:rPr>
        <w:t>.</w:t>
      </w:r>
      <w:r w:rsidRPr="00083922" w:rsidR="001B2C2D">
        <w:rPr>
          <w:bCs/>
          <w:sz w:val="24"/>
          <w:szCs w:val="24"/>
        </w:rPr>
        <w:t xml:space="preserve"> </w:t>
      </w:r>
    </w:p>
    <w:p w:rsidRPr="00083922" w:rsidR="001B2C2D" w:rsidP="001B2C2D" w:rsidRDefault="001B2C2D" w14:paraId="74EA1E40" w14:textId="77777777">
      <w:pPr>
        <w:widowControl w:val="0"/>
        <w:autoSpaceDE w:val="0"/>
        <w:autoSpaceDN w:val="0"/>
        <w:adjustRightInd w:val="0"/>
        <w:spacing w:after="0" w:line="240" w:lineRule="auto"/>
        <w:ind w:left="2160"/>
        <w:rPr>
          <w:sz w:val="24"/>
          <w:szCs w:val="24"/>
        </w:rPr>
      </w:pPr>
    </w:p>
    <w:p w:rsidRPr="00083922" w:rsidR="001B2C2D" w:rsidP="000A78D5" w:rsidRDefault="001B2C2D" w14:paraId="549777D5" w14:textId="77777777">
      <w:pPr>
        <w:numPr>
          <w:ilvl w:val="0"/>
          <w:numId w:val="2"/>
        </w:numPr>
        <w:autoSpaceDE w:val="0"/>
        <w:autoSpaceDN w:val="0"/>
        <w:adjustRightInd w:val="0"/>
        <w:spacing w:after="0" w:line="240" w:lineRule="auto"/>
        <w:rPr>
          <w:b/>
          <w:sz w:val="24"/>
          <w:szCs w:val="24"/>
        </w:rPr>
      </w:pPr>
      <w:r w:rsidRPr="00083922">
        <w:rPr>
          <w:b/>
          <w:iCs/>
          <w:sz w:val="24"/>
          <w:szCs w:val="24"/>
          <w:u w:val="single"/>
        </w:rPr>
        <w:t>Comments in Response to the Federal Register</w:t>
      </w:r>
      <w:r w:rsidRPr="00083922">
        <w:rPr>
          <w:b/>
          <w:sz w:val="24"/>
          <w:szCs w:val="24"/>
          <w:u w:val="single"/>
        </w:rPr>
        <w:t xml:space="preserve"> Notice/Outside Consultation</w:t>
      </w:r>
    </w:p>
    <w:p w:rsidRPr="00083922" w:rsidR="006036CE" w:rsidP="006036CE" w:rsidRDefault="006036CE" w14:paraId="026C66DD" w14:textId="77777777">
      <w:pPr>
        <w:contextualSpacing/>
        <w:rPr>
          <w:sz w:val="24"/>
          <w:szCs w:val="24"/>
        </w:rPr>
      </w:pPr>
    </w:p>
    <w:p w:rsidRPr="00752885" w:rsidR="00644565" w:rsidP="00644565" w:rsidRDefault="00644565" w14:paraId="037A900D" w14:textId="7D72C8BD">
      <w:pPr>
        <w:spacing w:after="0" w:line="240" w:lineRule="auto"/>
        <w:contextualSpacing/>
        <w:rPr>
          <w:sz w:val="24"/>
          <w:szCs w:val="24"/>
        </w:rPr>
      </w:pPr>
      <w:r w:rsidRPr="00C333F7">
        <w:rPr>
          <w:sz w:val="24"/>
          <w:szCs w:val="24"/>
        </w:rPr>
        <w:t xml:space="preserve">A 60-day Federal Register Notice was published in the </w:t>
      </w:r>
      <w:r w:rsidRPr="00C333F7">
        <w:rPr>
          <w:i/>
          <w:iCs/>
          <w:sz w:val="24"/>
          <w:szCs w:val="24"/>
        </w:rPr>
        <w:t xml:space="preserve">Federal Register </w:t>
      </w:r>
      <w:r w:rsidRPr="00C333F7">
        <w:rPr>
          <w:sz w:val="24"/>
          <w:szCs w:val="24"/>
        </w:rPr>
        <w:t xml:space="preserve">on </w:t>
      </w:r>
      <w:r w:rsidRPr="00C333F7">
        <w:rPr>
          <w:rFonts w:cstheme="minorHAnsi"/>
          <w:sz w:val="24"/>
          <w:szCs w:val="24"/>
        </w:rPr>
        <w:t>August 16, 2021, v</w:t>
      </w:r>
      <w:r w:rsidRPr="00C333F7">
        <w:rPr>
          <w:sz w:val="24"/>
          <w:szCs w:val="24"/>
        </w:rPr>
        <w:t xml:space="preserve">ol. 86, No. 155; pp: 45740-45742 (see attachment </w:t>
      </w:r>
      <w:r w:rsidRPr="00C333F7" w:rsidR="0087086C">
        <w:rPr>
          <w:sz w:val="24"/>
          <w:szCs w:val="24"/>
        </w:rPr>
        <w:t>0990-</w:t>
      </w:r>
      <w:r w:rsidRPr="00C333F7">
        <w:rPr>
          <w:sz w:val="24"/>
          <w:szCs w:val="24"/>
        </w:rPr>
        <w:t>043</w:t>
      </w:r>
      <w:r w:rsidRPr="00C333F7" w:rsidR="009F0084">
        <w:rPr>
          <w:sz w:val="24"/>
          <w:szCs w:val="24"/>
        </w:rPr>
        <w:t>0</w:t>
      </w:r>
      <w:r w:rsidRPr="00C333F7">
        <w:rPr>
          <w:sz w:val="24"/>
          <w:szCs w:val="24"/>
        </w:rPr>
        <w:t>-resources.docx).</w:t>
      </w:r>
      <w:r w:rsidRPr="001223BC">
        <w:rPr>
          <w:sz w:val="24"/>
          <w:szCs w:val="24"/>
        </w:rPr>
        <w:t xml:space="preserve"> </w:t>
      </w:r>
      <w:r w:rsidRPr="00F60A9C" w:rsidR="0087086C">
        <w:rPr>
          <w:sz w:val="24"/>
          <w:szCs w:val="24"/>
        </w:rPr>
        <w:t xml:space="preserve">One comment </w:t>
      </w:r>
      <w:r w:rsidRPr="00CE4BB4" w:rsidR="0087086C">
        <w:rPr>
          <w:sz w:val="24"/>
          <w:szCs w:val="24"/>
        </w:rPr>
        <w:t>re</w:t>
      </w:r>
      <w:r w:rsidRPr="00CE4BB4">
        <w:rPr>
          <w:sz w:val="24"/>
          <w:szCs w:val="24"/>
        </w:rPr>
        <w:t xml:space="preserve">lated to </w:t>
      </w:r>
      <w:r w:rsidRPr="00CE4BB4" w:rsidR="0087086C">
        <w:rPr>
          <w:sz w:val="24"/>
          <w:szCs w:val="24"/>
        </w:rPr>
        <w:t xml:space="preserve">the </w:t>
      </w:r>
      <w:r w:rsidRPr="00CE4BB4">
        <w:rPr>
          <w:sz w:val="24"/>
          <w:szCs w:val="24"/>
        </w:rPr>
        <w:t xml:space="preserve">data collection </w:t>
      </w:r>
      <w:r w:rsidRPr="00CE4BB4" w:rsidR="0087086C">
        <w:rPr>
          <w:sz w:val="24"/>
          <w:szCs w:val="24"/>
        </w:rPr>
        <w:t>was</w:t>
      </w:r>
      <w:r w:rsidRPr="00CE4BB4">
        <w:rPr>
          <w:sz w:val="24"/>
          <w:szCs w:val="24"/>
        </w:rPr>
        <w:t xml:space="preserve"> received.</w:t>
      </w:r>
      <w:r w:rsidRPr="00CE4BB4" w:rsidR="004E5399">
        <w:rPr>
          <w:sz w:val="24"/>
          <w:szCs w:val="24"/>
        </w:rPr>
        <w:t xml:space="preserve"> The commenter wished to remain anonymous and requested that if it is necessary for the individual to disclose previous name(s) as part of the background investigation, that an option be provided where the individual can deliver such name(s) directly to the investigator and kept confidential in cases such as when one changed their name due to gender identity issues. HHS is cognizant of the sensitive and confidential nature of the information. </w:t>
      </w:r>
      <w:r w:rsidRPr="00CE4BB4" w:rsidR="00306D66">
        <w:rPr>
          <w:sz w:val="24"/>
          <w:szCs w:val="24"/>
        </w:rPr>
        <w:t xml:space="preserve">Section 231 of </w:t>
      </w:r>
      <w:r w:rsidRPr="00CE4BB4" w:rsidR="004E5399">
        <w:rPr>
          <w:sz w:val="24"/>
          <w:szCs w:val="24"/>
        </w:rPr>
        <w:t>Public Law 101-647</w:t>
      </w:r>
      <w:r w:rsidRPr="00CE4BB4" w:rsidR="00306D66">
        <w:rPr>
          <w:sz w:val="24"/>
          <w:szCs w:val="24"/>
        </w:rPr>
        <w:t xml:space="preserve">, </w:t>
      </w:r>
      <w:r w:rsidRPr="00CE4BB4" w:rsidR="00716611">
        <w:rPr>
          <w:sz w:val="24"/>
          <w:szCs w:val="24"/>
        </w:rPr>
        <w:t xml:space="preserve">as amended, </w:t>
      </w:r>
      <w:r w:rsidRPr="00CE4BB4" w:rsidR="00306D66">
        <w:rPr>
          <w:sz w:val="24"/>
          <w:szCs w:val="24"/>
        </w:rPr>
        <w:t>currently codified at 34 U.S.C. 20351,</w:t>
      </w:r>
      <w:r w:rsidRPr="00CE4BB4" w:rsidR="004E5399">
        <w:rPr>
          <w:sz w:val="24"/>
          <w:szCs w:val="24"/>
        </w:rPr>
        <w:t xml:space="preserve"> identifies the methods by which backgrounds checks will be conducted. HHS intends to comply with all applicable federal legislation regarding this subject. Changing the way background checks are conducted is outside the scope of this information collection request. Therefore, no change is being made to the coverage.</w:t>
      </w:r>
    </w:p>
    <w:p w:rsidRPr="00083922" w:rsidR="0093618B" w:rsidP="001B2C2D" w:rsidRDefault="0093618B" w14:paraId="274FAB27" w14:textId="77777777">
      <w:pPr>
        <w:ind w:left="720"/>
        <w:contextualSpacing/>
        <w:rPr>
          <w:sz w:val="24"/>
          <w:szCs w:val="24"/>
        </w:rPr>
      </w:pPr>
    </w:p>
    <w:p w:rsidRPr="000A78D5" w:rsidR="001B2C2D" w:rsidP="001B2C2D" w:rsidRDefault="001B2C2D" w14:paraId="3665CFA9" w14:textId="77777777">
      <w:pPr>
        <w:widowControl w:val="0"/>
        <w:numPr>
          <w:ilvl w:val="0"/>
          <w:numId w:val="2"/>
        </w:numPr>
        <w:autoSpaceDE w:val="0"/>
        <w:autoSpaceDN w:val="0"/>
        <w:adjustRightInd w:val="0"/>
        <w:spacing w:after="0" w:line="240" w:lineRule="auto"/>
        <w:rPr>
          <w:b/>
          <w:sz w:val="24"/>
          <w:szCs w:val="24"/>
        </w:rPr>
      </w:pPr>
      <w:r w:rsidRPr="000A78D5">
        <w:rPr>
          <w:b/>
          <w:sz w:val="24"/>
          <w:szCs w:val="24"/>
          <w:u w:val="single"/>
        </w:rPr>
        <w:t>Explanation of any Payment/Gift to Respondents</w:t>
      </w:r>
    </w:p>
    <w:p w:rsidRPr="00083922" w:rsidR="006036CE" w:rsidP="006036CE" w:rsidRDefault="006036CE" w14:paraId="4F16FAD6" w14:textId="77777777">
      <w:pPr>
        <w:contextualSpacing/>
        <w:rPr>
          <w:sz w:val="24"/>
          <w:szCs w:val="24"/>
        </w:rPr>
      </w:pPr>
    </w:p>
    <w:p w:rsidRPr="00083922" w:rsidR="001B2C2D" w:rsidP="00083922" w:rsidRDefault="00B1271B" w14:paraId="7ADC4DB9" w14:textId="670A2F7A">
      <w:pPr>
        <w:contextualSpacing/>
        <w:rPr>
          <w:sz w:val="24"/>
          <w:szCs w:val="24"/>
        </w:rPr>
      </w:pPr>
      <w:r w:rsidRPr="00083922">
        <w:rPr>
          <w:sz w:val="24"/>
          <w:szCs w:val="24"/>
        </w:rPr>
        <w:t xml:space="preserve">There will be no </w:t>
      </w:r>
      <w:r w:rsidR="00A519B0">
        <w:rPr>
          <w:sz w:val="24"/>
          <w:szCs w:val="24"/>
        </w:rPr>
        <w:t xml:space="preserve">payments or </w:t>
      </w:r>
      <w:r w:rsidRPr="00083922">
        <w:rPr>
          <w:sz w:val="24"/>
          <w:szCs w:val="24"/>
        </w:rPr>
        <w:t>gifts offered to the respondents for this collection of information</w:t>
      </w:r>
      <w:r w:rsidRPr="006036CE" w:rsidR="00227090">
        <w:rPr>
          <w:sz w:val="24"/>
          <w:szCs w:val="24"/>
        </w:rPr>
        <w:t xml:space="preserve">. </w:t>
      </w:r>
      <w:r w:rsidRPr="00083922">
        <w:rPr>
          <w:sz w:val="24"/>
          <w:szCs w:val="24"/>
        </w:rPr>
        <w:t xml:space="preserve">This collection of information will be part of the requirements of a </w:t>
      </w:r>
      <w:r w:rsidR="0041669E">
        <w:rPr>
          <w:sz w:val="24"/>
          <w:szCs w:val="24"/>
        </w:rPr>
        <w:t>f</w:t>
      </w:r>
      <w:r w:rsidRPr="00083922">
        <w:rPr>
          <w:sz w:val="24"/>
          <w:szCs w:val="24"/>
        </w:rPr>
        <w:t>ederal contract.</w:t>
      </w:r>
    </w:p>
    <w:p w:rsidRPr="00083922" w:rsidR="00332D79" w:rsidP="001B2C2D" w:rsidRDefault="00332D79" w14:paraId="709EAF69" w14:textId="77777777">
      <w:pPr>
        <w:ind w:left="720"/>
        <w:contextualSpacing/>
        <w:rPr>
          <w:sz w:val="24"/>
          <w:szCs w:val="24"/>
        </w:rPr>
      </w:pPr>
    </w:p>
    <w:p w:rsidRPr="00825C30" w:rsidR="001B2C2D" w:rsidP="001B2C2D" w:rsidRDefault="001B2C2D" w14:paraId="12BC3D11" w14:textId="77777777">
      <w:pPr>
        <w:widowControl w:val="0"/>
        <w:numPr>
          <w:ilvl w:val="0"/>
          <w:numId w:val="2"/>
        </w:numPr>
        <w:autoSpaceDE w:val="0"/>
        <w:autoSpaceDN w:val="0"/>
        <w:adjustRightInd w:val="0"/>
        <w:spacing w:after="0" w:line="240" w:lineRule="auto"/>
        <w:rPr>
          <w:b/>
          <w:sz w:val="24"/>
          <w:szCs w:val="24"/>
        </w:rPr>
      </w:pPr>
      <w:r w:rsidRPr="00825C30">
        <w:rPr>
          <w:b/>
          <w:sz w:val="24"/>
          <w:szCs w:val="24"/>
          <w:u w:val="single"/>
        </w:rPr>
        <w:t>Assurance of Confidentiality Provided to Respondents</w:t>
      </w:r>
    </w:p>
    <w:p w:rsidRPr="00825C30" w:rsidR="006036CE" w:rsidP="006036CE" w:rsidRDefault="006036CE" w14:paraId="38F325D2" w14:textId="77777777">
      <w:pPr>
        <w:widowControl w:val="0"/>
        <w:autoSpaceDE w:val="0"/>
        <w:autoSpaceDN w:val="0"/>
        <w:adjustRightInd w:val="0"/>
        <w:spacing w:after="0" w:line="240" w:lineRule="auto"/>
        <w:rPr>
          <w:sz w:val="24"/>
          <w:szCs w:val="24"/>
        </w:rPr>
      </w:pPr>
    </w:p>
    <w:p w:rsidRPr="00825C30" w:rsidR="001B2C2D" w:rsidP="00083922" w:rsidRDefault="00A519B0" w14:paraId="5A7F7AA2" w14:textId="39DC7A04">
      <w:pPr>
        <w:widowControl w:val="0"/>
        <w:autoSpaceDE w:val="0"/>
        <w:autoSpaceDN w:val="0"/>
        <w:adjustRightInd w:val="0"/>
        <w:spacing w:after="0" w:line="240" w:lineRule="auto"/>
        <w:rPr>
          <w:sz w:val="24"/>
          <w:szCs w:val="24"/>
        </w:rPr>
      </w:pPr>
      <w:r w:rsidRPr="00DF289A">
        <w:rPr>
          <w:sz w:val="24"/>
          <w:szCs w:val="24"/>
        </w:rPr>
        <w:t>Data will be kept private to the extent allowed by law.</w:t>
      </w:r>
      <w:r w:rsidRPr="00030047" w:rsidR="00891C97">
        <w:rPr>
          <w:sz w:val="24"/>
          <w:szCs w:val="24"/>
        </w:rPr>
        <w:t xml:space="preserve"> </w:t>
      </w:r>
      <w:r w:rsidR="00933D5A">
        <w:rPr>
          <w:sz w:val="24"/>
          <w:szCs w:val="24"/>
        </w:rPr>
        <w:t>The information requested is a list of names</w:t>
      </w:r>
      <w:r w:rsidR="006F588E">
        <w:rPr>
          <w:sz w:val="24"/>
          <w:szCs w:val="24"/>
        </w:rPr>
        <w:t xml:space="preserve"> and other identifying information</w:t>
      </w:r>
      <w:r w:rsidR="00933D5A">
        <w:rPr>
          <w:sz w:val="24"/>
          <w:szCs w:val="24"/>
        </w:rPr>
        <w:t xml:space="preserve"> of the</w:t>
      </w:r>
      <w:r w:rsidR="009D429C">
        <w:rPr>
          <w:sz w:val="24"/>
          <w:szCs w:val="24"/>
        </w:rPr>
        <w:t xml:space="preserve"> contractor</w:t>
      </w:r>
      <w:r w:rsidR="00933D5A">
        <w:rPr>
          <w:sz w:val="24"/>
          <w:szCs w:val="24"/>
        </w:rPr>
        <w:t xml:space="preserve"> personnel for whom the criminal backg</w:t>
      </w:r>
      <w:r w:rsidR="00CC0B83">
        <w:rPr>
          <w:sz w:val="24"/>
          <w:szCs w:val="24"/>
        </w:rPr>
        <w:t xml:space="preserve">round check is necessary. </w:t>
      </w:r>
      <w:r w:rsidRPr="00CC0B83" w:rsidR="00CC0B83">
        <w:rPr>
          <w:sz w:val="24"/>
          <w:szCs w:val="24"/>
        </w:rPr>
        <w:t>The contracting activity adheres to HSPD-12 processes and procedures. The COR in conjunction with HHS Office of Security and Strategic Information (OSSI) provides information for the contractor</w:t>
      </w:r>
      <w:r w:rsidR="009D429C">
        <w:rPr>
          <w:sz w:val="24"/>
          <w:szCs w:val="24"/>
        </w:rPr>
        <w:t xml:space="preserve"> personnel</w:t>
      </w:r>
      <w:r w:rsidRPr="00CC0B83" w:rsidR="00CC0B83">
        <w:rPr>
          <w:sz w:val="24"/>
          <w:szCs w:val="24"/>
        </w:rPr>
        <w:t xml:space="preserve"> to begin the on-boarding process. From that point forward the contractor </w:t>
      </w:r>
      <w:r w:rsidR="005C68A6">
        <w:rPr>
          <w:sz w:val="24"/>
          <w:szCs w:val="24"/>
        </w:rPr>
        <w:t xml:space="preserve">personnel </w:t>
      </w:r>
      <w:r w:rsidRPr="00CC0B83" w:rsidR="00CC0B83">
        <w:rPr>
          <w:sz w:val="24"/>
          <w:szCs w:val="24"/>
        </w:rPr>
        <w:t xml:space="preserve">works closely with OSSI. </w:t>
      </w:r>
      <w:r w:rsidRPr="00CC0B83" w:rsidR="00495A9D">
        <w:rPr>
          <w:sz w:val="24"/>
          <w:szCs w:val="24"/>
        </w:rPr>
        <w:t xml:space="preserve">The </w:t>
      </w:r>
      <w:r w:rsidR="00495A9D">
        <w:rPr>
          <w:sz w:val="24"/>
          <w:szCs w:val="24"/>
        </w:rPr>
        <w:t>criminal</w:t>
      </w:r>
      <w:r w:rsidRPr="00CC0B83" w:rsidR="00495A9D">
        <w:rPr>
          <w:sz w:val="24"/>
          <w:szCs w:val="24"/>
        </w:rPr>
        <w:t xml:space="preserve"> background check </w:t>
      </w:r>
      <w:r w:rsidR="00495A9D">
        <w:rPr>
          <w:sz w:val="24"/>
          <w:szCs w:val="24"/>
        </w:rPr>
        <w:t xml:space="preserve">is performed concurrently with </w:t>
      </w:r>
      <w:r w:rsidRPr="00CC0B83" w:rsidR="00495A9D">
        <w:rPr>
          <w:sz w:val="24"/>
          <w:szCs w:val="24"/>
        </w:rPr>
        <w:t xml:space="preserve">HSPD-12. The Contracting Office receives a confirmation when the </w:t>
      </w:r>
      <w:r w:rsidR="008456BB">
        <w:rPr>
          <w:sz w:val="24"/>
          <w:szCs w:val="24"/>
        </w:rPr>
        <w:t>individual’s</w:t>
      </w:r>
      <w:r w:rsidRPr="00CC0B83" w:rsidR="00495A9D">
        <w:rPr>
          <w:sz w:val="24"/>
          <w:szCs w:val="24"/>
        </w:rPr>
        <w:t xml:space="preserve"> background investigation has been completed and the</w:t>
      </w:r>
      <w:r w:rsidR="008456BB">
        <w:rPr>
          <w:sz w:val="24"/>
          <w:szCs w:val="24"/>
        </w:rPr>
        <w:t xml:space="preserve"> individual is</w:t>
      </w:r>
      <w:r w:rsidRPr="00CC0B83" w:rsidR="00495A9D">
        <w:rPr>
          <w:sz w:val="24"/>
          <w:szCs w:val="24"/>
        </w:rPr>
        <w:t xml:space="preserve"> cleared.  </w:t>
      </w:r>
      <w:r w:rsidR="00495A9D">
        <w:rPr>
          <w:sz w:val="24"/>
          <w:szCs w:val="24"/>
        </w:rPr>
        <w:t>This</w:t>
      </w:r>
      <w:r w:rsidRPr="00CC0B83" w:rsidR="00495A9D">
        <w:rPr>
          <w:sz w:val="24"/>
          <w:szCs w:val="24"/>
        </w:rPr>
        <w:t xml:space="preserve"> ICR do</w:t>
      </w:r>
      <w:r w:rsidR="00495A9D">
        <w:rPr>
          <w:sz w:val="24"/>
          <w:szCs w:val="24"/>
        </w:rPr>
        <w:t>es</w:t>
      </w:r>
      <w:r w:rsidRPr="00CC0B83" w:rsidR="00495A9D">
        <w:rPr>
          <w:sz w:val="24"/>
          <w:szCs w:val="24"/>
        </w:rPr>
        <w:t xml:space="preserve"> not </w:t>
      </w:r>
      <w:r w:rsidR="00495A9D">
        <w:rPr>
          <w:sz w:val="24"/>
          <w:szCs w:val="24"/>
        </w:rPr>
        <w:t>require</w:t>
      </w:r>
      <w:r w:rsidRPr="00CC0B83" w:rsidR="00495A9D">
        <w:rPr>
          <w:sz w:val="24"/>
          <w:szCs w:val="24"/>
        </w:rPr>
        <w:t xml:space="preserve"> the </w:t>
      </w:r>
      <w:r w:rsidR="00716611">
        <w:rPr>
          <w:sz w:val="24"/>
          <w:szCs w:val="24"/>
        </w:rPr>
        <w:t>C</w:t>
      </w:r>
      <w:r w:rsidRPr="00CC0B83" w:rsidR="00495A9D">
        <w:rPr>
          <w:sz w:val="24"/>
          <w:szCs w:val="24"/>
        </w:rPr>
        <w:t xml:space="preserve">ontracting </w:t>
      </w:r>
      <w:r w:rsidR="00716611">
        <w:rPr>
          <w:sz w:val="24"/>
          <w:szCs w:val="24"/>
        </w:rPr>
        <w:t>O</w:t>
      </w:r>
      <w:r w:rsidRPr="00CC0B83" w:rsidR="00495A9D">
        <w:rPr>
          <w:sz w:val="24"/>
          <w:szCs w:val="24"/>
        </w:rPr>
        <w:t xml:space="preserve">ffice to store </w:t>
      </w:r>
      <w:r w:rsidR="00716611">
        <w:rPr>
          <w:sz w:val="24"/>
          <w:szCs w:val="24"/>
        </w:rPr>
        <w:t>more specific</w:t>
      </w:r>
      <w:r w:rsidR="00944AB6">
        <w:rPr>
          <w:sz w:val="24"/>
          <w:szCs w:val="24"/>
        </w:rPr>
        <w:t xml:space="preserve"> </w:t>
      </w:r>
      <w:r w:rsidR="00716611">
        <w:rPr>
          <w:sz w:val="24"/>
          <w:szCs w:val="24"/>
        </w:rPr>
        <w:t xml:space="preserve">PII about </w:t>
      </w:r>
      <w:r w:rsidR="008456BB">
        <w:rPr>
          <w:sz w:val="24"/>
          <w:szCs w:val="24"/>
        </w:rPr>
        <w:t>each individual’s</w:t>
      </w:r>
      <w:r w:rsidR="00716611">
        <w:rPr>
          <w:sz w:val="24"/>
          <w:szCs w:val="24"/>
        </w:rPr>
        <w:t xml:space="preserve"> background check</w:t>
      </w:r>
      <w:r w:rsidRPr="00CC0B83" w:rsidR="00495A9D">
        <w:rPr>
          <w:sz w:val="24"/>
          <w:szCs w:val="24"/>
        </w:rPr>
        <w:t>.</w:t>
      </w:r>
      <w:r w:rsidRPr="00030047" w:rsidR="001660DA">
        <w:rPr>
          <w:sz w:val="24"/>
          <w:szCs w:val="24"/>
        </w:rPr>
        <w:t xml:space="preserve"> </w:t>
      </w:r>
      <w:r w:rsidR="009D429C">
        <w:rPr>
          <w:sz w:val="24"/>
          <w:szCs w:val="24"/>
        </w:rPr>
        <w:t>I</w:t>
      </w:r>
      <w:r w:rsidRPr="00DF289A" w:rsidR="001B2C2D">
        <w:rPr>
          <w:sz w:val="24"/>
          <w:szCs w:val="24"/>
        </w:rPr>
        <w:t>nformation provided</w:t>
      </w:r>
      <w:r w:rsidR="009D429C">
        <w:rPr>
          <w:sz w:val="24"/>
          <w:szCs w:val="24"/>
        </w:rPr>
        <w:t xml:space="preserve"> to HHS</w:t>
      </w:r>
      <w:r w:rsidRPr="00DF289A" w:rsidR="001B2C2D">
        <w:rPr>
          <w:sz w:val="24"/>
          <w:szCs w:val="24"/>
        </w:rPr>
        <w:t xml:space="preserve"> by a contractor is </w:t>
      </w:r>
      <w:r w:rsidR="009D429C">
        <w:rPr>
          <w:sz w:val="24"/>
          <w:szCs w:val="24"/>
        </w:rPr>
        <w:t xml:space="preserve">subject to being requested </w:t>
      </w:r>
      <w:r w:rsidR="00A24273">
        <w:rPr>
          <w:sz w:val="24"/>
          <w:szCs w:val="24"/>
        </w:rPr>
        <w:t xml:space="preserve">by third parties </w:t>
      </w:r>
      <w:r w:rsidR="009D429C">
        <w:rPr>
          <w:sz w:val="24"/>
          <w:szCs w:val="24"/>
        </w:rPr>
        <w:t xml:space="preserve">under </w:t>
      </w:r>
      <w:r w:rsidRPr="00DF289A" w:rsidR="001B2C2D">
        <w:rPr>
          <w:sz w:val="24"/>
          <w:szCs w:val="24"/>
        </w:rPr>
        <w:t>the Freedom of Information Act</w:t>
      </w:r>
      <w:r w:rsidR="00CB60CB">
        <w:rPr>
          <w:sz w:val="24"/>
          <w:szCs w:val="24"/>
        </w:rPr>
        <w:t xml:space="preserve"> (FOIA), as amended</w:t>
      </w:r>
      <w:r w:rsidRPr="00DF289A" w:rsidR="001B2C2D">
        <w:rPr>
          <w:sz w:val="24"/>
          <w:szCs w:val="24"/>
        </w:rPr>
        <w:t xml:space="preserve"> (5 </w:t>
      </w:r>
      <w:r w:rsidRPr="00DF289A" w:rsidR="0041669E">
        <w:rPr>
          <w:sz w:val="24"/>
          <w:szCs w:val="24"/>
        </w:rPr>
        <w:t>U.S.C.</w:t>
      </w:r>
      <w:r w:rsidRPr="00DF289A" w:rsidR="001B2C2D">
        <w:rPr>
          <w:sz w:val="24"/>
          <w:szCs w:val="24"/>
        </w:rPr>
        <w:t xml:space="preserve"> 552)</w:t>
      </w:r>
      <w:r w:rsidR="00495A9D">
        <w:rPr>
          <w:rFonts w:cstheme="minorHAnsi"/>
          <w:sz w:val="24"/>
          <w:szCs w:val="24"/>
        </w:rPr>
        <w:t xml:space="preserve">, but </w:t>
      </w:r>
      <w:r w:rsidR="00A64ED9">
        <w:rPr>
          <w:rFonts w:cstheme="minorHAnsi"/>
          <w:sz w:val="24"/>
          <w:szCs w:val="24"/>
        </w:rPr>
        <w:t xml:space="preserve">business proprietary information and </w:t>
      </w:r>
      <w:r w:rsidR="008456BB">
        <w:rPr>
          <w:rFonts w:cstheme="minorHAnsi"/>
          <w:sz w:val="24"/>
          <w:szCs w:val="24"/>
        </w:rPr>
        <w:t xml:space="preserve">personal privacy information </w:t>
      </w:r>
      <w:r w:rsidR="00A64ED9">
        <w:rPr>
          <w:rFonts w:cstheme="minorHAnsi"/>
          <w:sz w:val="24"/>
          <w:szCs w:val="24"/>
        </w:rPr>
        <w:t>are</w:t>
      </w:r>
      <w:r w:rsidR="008456BB">
        <w:rPr>
          <w:rFonts w:cstheme="minorHAnsi"/>
          <w:sz w:val="24"/>
          <w:szCs w:val="24"/>
        </w:rPr>
        <w:t xml:space="preserve"> generally</w:t>
      </w:r>
      <w:r w:rsidR="00495A9D">
        <w:rPr>
          <w:rFonts w:cstheme="minorHAnsi"/>
          <w:sz w:val="24"/>
          <w:szCs w:val="24"/>
        </w:rPr>
        <w:t xml:space="preserve"> exempt from public disclosure</w:t>
      </w:r>
      <w:r w:rsidR="009D429C">
        <w:rPr>
          <w:rFonts w:cstheme="minorHAnsi"/>
          <w:sz w:val="24"/>
          <w:szCs w:val="24"/>
        </w:rPr>
        <w:t xml:space="preserve"> under th</w:t>
      </w:r>
      <w:r w:rsidR="00CB60CB">
        <w:rPr>
          <w:rFonts w:cstheme="minorHAnsi"/>
          <w:sz w:val="24"/>
          <w:szCs w:val="24"/>
        </w:rPr>
        <w:t>e FOIA</w:t>
      </w:r>
      <w:r w:rsidRPr="00DF289A" w:rsidR="001B2C2D">
        <w:rPr>
          <w:sz w:val="24"/>
          <w:szCs w:val="24"/>
        </w:rPr>
        <w:t>.</w:t>
      </w:r>
      <w:r w:rsidR="00E469C9">
        <w:rPr>
          <w:sz w:val="24"/>
          <w:szCs w:val="24"/>
        </w:rPr>
        <w:t xml:space="preserve"> </w:t>
      </w:r>
      <w:r w:rsidR="00E469C9">
        <w:rPr>
          <w:rFonts w:cstheme="minorHAnsi"/>
          <w:sz w:val="24"/>
          <w:szCs w:val="24"/>
        </w:rPr>
        <w:t xml:space="preserve">The information in this supporting statement has been </w:t>
      </w:r>
      <w:r w:rsidR="009D429C">
        <w:rPr>
          <w:rFonts w:cstheme="minorHAnsi"/>
          <w:sz w:val="24"/>
          <w:szCs w:val="24"/>
        </w:rPr>
        <w:t>reviewed by</w:t>
      </w:r>
      <w:r w:rsidR="00E469C9">
        <w:rPr>
          <w:rFonts w:cstheme="minorHAnsi"/>
          <w:sz w:val="24"/>
          <w:szCs w:val="24"/>
        </w:rPr>
        <w:t xml:space="preserve"> </w:t>
      </w:r>
      <w:r w:rsidR="00C76445">
        <w:rPr>
          <w:rFonts w:cstheme="minorHAnsi"/>
          <w:sz w:val="24"/>
          <w:szCs w:val="24"/>
        </w:rPr>
        <w:t>HHS privacy personnel</w:t>
      </w:r>
      <w:r w:rsidR="00E469C9">
        <w:rPr>
          <w:rFonts w:cstheme="minorHAnsi"/>
          <w:sz w:val="24"/>
          <w:szCs w:val="24"/>
        </w:rPr>
        <w:t>.</w:t>
      </w:r>
    </w:p>
    <w:p w:rsidRPr="00825C30" w:rsidR="001B2C2D" w:rsidP="001B2C2D" w:rsidRDefault="001B2C2D" w14:paraId="6790814D" w14:textId="77777777">
      <w:pPr>
        <w:widowControl w:val="0"/>
        <w:autoSpaceDE w:val="0"/>
        <w:autoSpaceDN w:val="0"/>
        <w:adjustRightInd w:val="0"/>
        <w:spacing w:after="0" w:line="240" w:lineRule="auto"/>
        <w:ind w:left="720"/>
        <w:rPr>
          <w:sz w:val="24"/>
          <w:szCs w:val="24"/>
        </w:rPr>
      </w:pPr>
    </w:p>
    <w:p w:rsidRPr="00825C30" w:rsidR="001B2C2D" w:rsidP="001B2C2D" w:rsidRDefault="001B2C2D" w14:paraId="2DBD48C1" w14:textId="77777777">
      <w:pPr>
        <w:widowControl w:val="0"/>
        <w:numPr>
          <w:ilvl w:val="0"/>
          <w:numId w:val="2"/>
        </w:numPr>
        <w:autoSpaceDE w:val="0"/>
        <w:autoSpaceDN w:val="0"/>
        <w:adjustRightInd w:val="0"/>
        <w:spacing w:after="0" w:line="240" w:lineRule="auto"/>
        <w:rPr>
          <w:b/>
          <w:sz w:val="24"/>
          <w:szCs w:val="24"/>
        </w:rPr>
      </w:pPr>
      <w:r w:rsidRPr="00825C30">
        <w:rPr>
          <w:b/>
          <w:sz w:val="24"/>
          <w:szCs w:val="24"/>
          <w:u w:val="single"/>
        </w:rPr>
        <w:t>Justification for Sensitive Questions</w:t>
      </w:r>
    </w:p>
    <w:p w:rsidRPr="00083922" w:rsidR="006036CE" w:rsidP="006036CE" w:rsidRDefault="006036CE" w14:paraId="57CEB603" w14:textId="77777777">
      <w:pPr>
        <w:contextualSpacing/>
        <w:rPr>
          <w:sz w:val="24"/>
          <w:szCs w:val="24"/>
        </w:rPr>
      </w:pPr>
    </w:p>
    <w:p w:rsidR="001B2C2D" w:rsidP="00083922" w:rsidRDefault="001B2C2D" w14:paraId="519CEF86" w14:textId="13F259A5">
      <w:pPr>
        <w:contextualSpacing/>
        <w:rPr>
          <w:sz w:val="24"/>
          <w:szCs w:val="24"/>
        </w:rPr>
      </w:pPr>
      <w:r w:rsidRPr="00083922">
        <w:rPr>
          <w:sz w:val="24"/>
          <w:szCs w:val="24"/>
        </w:rPr>
        <w:t xml:space="preserve">No sensitive questions are asked of </w:t>
      </w:r>
      <w:r w:rsidR="00BB5597">
        <w:rPr>
          <w:sz w:val="24"/>
          <w:szCs w:val="24"/>
        </w:rPr>
        <w:t>contractor personnel</w:t>
      </w:r>
      <w:r w:rsidRPr="00083922" w:rsidR="00BB5597">
        <w:rPr>
          <w:sz w:val="24"/>
          <w:szCs w:val="24"/>
        </w:rPr>
        <w:t xml:space="preserve"> </w:t>
      </w:r>
      <w:r w:rsidRPr="00083922">
        <w:rPr>
          <w:sz w:val="24"/>
          <w:szCs w:val="24"/>
        </w:rPr>
        <w:t>under this data collection.</w:t>
      </w:r>
    </w:p>
    <w:p w:rsidR="003814B8" w:rsidP="00083922" w:rsidRDefault="003814B8" w14:paraId="7CB89527" w14:textId="503EF553">
      <w:pPr>
        <w:contextualSpacing/>
        <w:rPr>
          <w:sz w:val="24"/>
          <w:szCs w:val="24"/>
        </w:rPr>
      </w:pPr>
    </w:p>
    <w:p w:rsidR="003814B8" w:rsidP="00083922" w:rsidRDefault="003814B8" w14:paraId="1A564A3F" w14:textId="7B19EE77">
      <w:pPr>
        <w:contextualSpacing/>
        <w:rPr>
          <w:sz w:val="24"/>
          <w:szCs w:val="24"/>
        </w:rPr>
      </w:pPr>
    </w:p>
    <w:p w:rsidRPr="00083922" w:rsidR="00325793" w:rsidP="00083922" w:rsidRDefault="00325793" w14:paraId="2CDE52B4" w14:textId="77777777">
      <w:pPr>
        <w:contextualSpacing/>
        <w:rPr>
          <w:sz w:val="24"/>
          <w:szCs w:val="24"/>
        </w:rPr>
      </w:pPr>
    </w:p>
    <w:p w:rsidRPr="003814B8" w:rsidR="003814B8" w:rsidP="005E268B" w:rsidRDefault="001B2C2D" w14:paraId="110D3527" w14:textId="4121DD63">
      <w:pPr>
        <w:widowControl w:val="0"/>
        <w:numPr>
          <w:ilvl w:val="0"/>
          <w:numId w:val="2"/>
        </w:numPr>
        <w:autoSpaceDE w:val="0"/>
        <w:autoSpaceDN w:val="0"/>
        <w:adjustRightInd w:val="0"/>
        <w:spacing w:after="0" w:line="240" w:lineRule="auto"/>
        <w:rPr>
          <w:sz w:val="24"/>
          <w:szCs w:val="24"/>
        </w:rPr>
      </w:pPr>
      <w:r w:rsidRPr="003814B8">
        <w:rPr>
          <w:b/>
          <w:sz w:val="24"/>
          <w:szCs w:val="24"/>
          <w:u w:val="single"/>
        </w:rPr>
        <w:t xml:space="preserve">Estimates of Annualized Hour and Cost Burden  </w:t>
      </w:r>
    </w:p>
    <w:p w:rsidRPr="00083922" w:rsidR="001B2C2D" w:rsidP="001B2C2D" w:rsidRDefault="001B2C2D" w14:paraId="5D83159F" w14:textId="77777777">
      <w:pPr>
        <w:ind w:left="720"/>
        <w:contextualSpacing/>
        <w:rPr>
          <w:sz w:val="24"/>
          <w:szCs w:val="24"/>
        </w:rPr>
      </w:pPr>
    </w:p>
    <w:p w:rsidRPr="00083922" w:rsidR="001B2C2D" w:rsidP="00083922" w:rsidRDefault="001B2C2D" w14:paraId="08E169A7" w14:textId="4C3876F7">
      <w:pPr>
        <w:spacing w:after="0" w:line="240" w:lineRule="auto"/>
        <w:ind w:firstLine="432"/>
        <w:contextualSpacing/>
        <w:rPr>
          <w:b/>
          <w:sz w:val="24"/>
          <w:szCs w:val="24"/>
          <w:u w:val="single"/>
        </w:rPr>
      </w:pPr>
      <w:r w:rsidRPr="00083922">
        <w:rPr>
          <w:b/>
          <w:sz w:val="24"/>
          <w:szCs w:val="24"/>
          <w:u w:val="single"/>
        </w:rPr>
        <w:t>12</w:t>
      </w:r>
      <w:r w:rsidRPr="00083922" w:rsidR="0041669E">
        <w:rPr>
          <w:b/>
          <w:sz w:val="24"/>
          <w:szCs w:val="24"/>
          <w:u w:val="single"/>
        </w:rPr>
        <w:t>.</w:t>
      </w:r>
      <w:r w:rsidRPr="00083922">
        <w:rPr>
          <w:b/>
          <w:sz w:val="24"/>
          <w:szCs w:val="24"/>
          <w:u w:val="single"/>
        </w:rPr>
        <w:t>A. Estimated Annualized Burden Hours</w:t>
      </w:r>
    </w:p>
    <w:p w:rsidR="00983722" w:rsidP="00983722" w:rsidRDefault="00983722" w14:paraId="098756B8" w14:textId="77777777">
      <w:pPr>
        <w:widowControl w:val="0"/>
        <w:tabs>
          <w:tab w:val="left" w:pos="298"/>
        </w:tabs>
        <w:spacing w:before="78" w:after="0" w:line="240" w:lineRule="auto"/>
        <w:ind w:left="297"/>
        <w:rPr>
          <w:rFonts w:cstheme="minorHAnsi"/>
          <w:spacing w:val="6"/>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70"/>
        <w:gridCol w:w="1570"/>
        <w:gridCol w:w="1868"/>
        <w:gridCol w:w="2340"/>
        <w:gridCol w:w="1800"/>
      </w:tblGrid>
      <w:tr w:rsidRPr="006C080F" w:rsidR="000969F2" w:rsidTr="00347EDD" w14:paraId="60A5255A" w14:textId="77777777">
        <w:trPr>
          <w:trHeight w:val="285"/>
        </w:trPr>
        <w:tc>
          <w:tcPr>
            <w:tcW w:w="1570" w:type="dxa"/>
            <w:vAlign w:val="center"/>
          </w:tcPr>
          <w:p w:rsidRPr="00347EDD" w:rsidR="000969F2" w:rsidRDefault="000969F2" w14:paraId="13EEE327" w14:textId="0F6AD0CE">
            <w:pPr>
              <w:jc w:val="center"/>
              <w:rPr>
                <w:b/>
              </w:rPr>
            </w:pPr>
            <w:r w:rsidRPr="000969F2">
              <w:rPr>
                <w:b/>
                <w:szCs w:val="24"/>
              </w:rPr>
              <w:t>Type of Respondent</w:t>
            </w:r>
          </w:p>
        </w:tc>
        <w:tc>
          <w:tcPr>
            <w:tcW w:w="1570" w:type="dxa"/>
            <w:shd w:val="clear" w:color="auto" w:fill="auto"/>
            <w:vAlign w:val="center"/>
          </w:tcPr>
          <w:p w:rsidRPr="00347EDD" w:rsidR="000969F2" w:rsidRDefault="000969F2" w14:paraId="28168033" w14:textId="634CD151">
            <w:pPr>
              <w:jc w:val="center"/>
              <w:rPr>
                <w:b/>
              </w:rPr>
            </w:pPr>
            <w:r w:rsidRPr="00347EDD">
              <w:rPr>
                <w:b/>
              </w:rPr>
              <w:t xml:space="preserve">No. </w:t>
            </w:r>
            <w:r w:rsidRPr="00347EDD" w:rsidR="003814B8">
              <w:rPr>
                <w:b/>
              </w:rPr>
              <w:t>of Respondents</w:t>
            </w:r>
          </w:p>
        </w:tc>
        <w:tc>
          <w:tcPr>
            <w:tcW w:w="1868" w:type="dxa"/>
            <w:shd w:val="clear" w:color="auto" w:fill="auto"/>
            <w:vAlign w:val="center"/>
          </w:tcPr>
          <w:p w:rsidRPr="00347EDD" w:rsidR="000969F2" w:rsidRDefault="000969F2" w14:paraId="0240F694" w14:textId="76895DB2">
            <w:pPr>
              <w:jc w:val="center"/>
              <w:rPr>
                <w:b/>
              </w:rPr>
            </w:pPr>
            <w:r w:rsidRPr="000969F2">
              <w:rPr>
                <w:b/>
                <w:szCs w:val="24"/>
              </w:rPr>
              <w:t>No. Responses per Respondent</w:t>
            </w:r>
          </w:p>
        </w:tc>
        <w:tc>
          <w:tcPr>
            <w:tcW w:w="2340" w:type="dxa"/>
            <w:shd w:val="clear" w:color="auto" w:fill="auto"/>
            <w:vAlign w:val="center"/>
          </w:tcPr>
          <w:p w:rsidRPr="00347EDD" w:rsidR="000969F2" w:rsidRDefault="000969F2" w14:paraId="11403B46" w14:textId="77777777">
            <w:pPr>
              <w:jc w:val="center"/>
              <w:rPr>
                <w:b/>
              </w:rPr>
            </w:pPr>
            <w:r w:rsidRPr="00347EDD">
              <w:rPr>
                <w:b/>
              </w:rPr>
              <w:t xml:space="preserve">Average Burden per Response </w:t>
            </w:r>
            <w:r w:rsidRPr="00347EDD">
              <w:rPr>
                <w:b/>
                <w:bCs/>
              </w:rPr>
              <w:t>(in hours)</w:t>
            </w:r>
          </w:p>
        </w:tc>
        <w:tc>
          <w:tcPr>
            <w:tcW w:w="1800" w:type="dxa"/>
            <w:shd w:val="clear" w:color="auto" w:fill="auto"/>
            <w:vAlign w:val="center"/>
          </w:tcPr>
          <w:p w:rsidRPr="00347EDD" w:rsidR="000969F2" w:rsidRDefault="000969F2" w14:paraId="682EA60D" w14:textId="77777777">
            <w:pPr>
              <w:jc w:val="center"/>
              <w:rPr>
                <w:b/>
              </w:rPr>
            </w:pPr>
            <w:r w:rsidRPr="00347EDD">
              <w:rPr>
                <w:b/>
              </w:rPr>
              <w:t>Total Burden Hours</w:t>
            </w:r>
          </w:p>
        </w:tc>
      </w:tr>
      <w:tr w:rsidRPr="006C080F" w:rsidR="000969F2" w:rsidTr="00347EDD" w14:paraId="6D1CEED8" w14:textId="77777777">
        <w:trPr>
          <w:trHeight w:val="467"/>
        </w:trPr>
        <w:tc>
          <w:tcPr>
            <w:tcW w:w="1570" w:type="dxa"/>
            <w:vAlign w:val="center"/>
          </w:tcPr>
          <w:p w:rsidRPr="006C080F" w:rsidR="000969F2" w:rsidRDefault="000969F2" w14:paraId="15DBA0E3" w14:textId="7B3D41D7">
            <w:pPr>
              <w:spacing w:line="480" w:lineRule="auto"/>
              <w:jc w:val="center"/>
            </w:pPr>
            <w:r>
              <w:rPr>
                <w:szCs w:val="24"/>
              </w:rPr>
              <w:t>Business (contractor)</w:t>
            </w:r>
          </w:p>
        </w:tc>
        <w:tc>
          <w:tcPr>
            <w:tcW w:w="1570" w:type="dxa"/>
            <w:shd w:val="clear" w:color="auto" w:fill="auto"/>
            <w:vAlign w:val="center"/>
          </w:tcPr>
          <w:p w:rsidRPr="006C080F" w:rsidR="000969F2" w:rsidRDefault="000969F2" w14:paraId="3A96C55D" w14:textId="4E8D17EC">
            <w:pPr>
              <w:spacing w:line="480" w:lineRule="auto"/>
              <w:jc w:val="center"/>
            </w:pPr>
            <w:r w:rsidRPr="006C080F">
              <w:t>160</w:t>
            </w:r>
          </w:p>
        </w:tc>
        <w:tc>
          <w:tcPr>
            <w:tcW w:w="1868" w:type="dxa"/>
            <w:shd w:val="clear" w:color="auto" w:fill="auto"/>
            <w:vAlign w:val="center"/>
          </w:tcPr>
          <w:p w:rsidRPr="006C080F" w:rsidR="000969F2" w:rsidRDefault="000969F2" w14:paraId="451E4831" w14:textId="3680C6FD">
            <w:pPr>
              <w:spacing w:line="480" w:lineRule="auto"/>
              <w:jc w:val="center"/>
            </w:pPr>
            <w:r>
              <w:t>1</w:t>
            </w:r>
          </w:p>
        </w:tc>
        <w:tc>
          <w:tcPr>
            <w:tcW w:w="2340" w:type="dxa"/>
            <w:shd w:val="clear" w:color="auto" w:fill="auto"/>
            <w:vAlign w:val="center"/>
          </w:tcPr>
          <w:p w:rsidRPr="006C080F" w:rsidR="000969F2" w:rsidRDefault="000969F2" w14:paraId="35C45D9D" w14:textId="77777777">
            <w:pPr>
              <w:spacing w:line="480" w:lineRule="auto"/>
              <w:jc w:val="center"/>
            </w:pPr>
            <w:r w:rsidRPr="006C080F">
              <w:t>1</w:t>
            </w:r>
          </w:p>
        </w:tc>
        <w:tc>
          <w:tcPr>
            <w:tcW w:w="1800" w:type="dxa"/>
            <w:shd w:val="clear" w:color="auto" w:fill="auto"/>
            <w:vAlign w:val="center"/>
          </w:tcPr>
          <w:p w:rsidRPr="006C080F" w:rsidR="000969F2" w:rsidRDefault="000969F2" w14:paraId="49481365" w14:textId="0209EF39">
            <w:pPr>
              <w:spacing w:line="480" w:lineRule="auto"/>
              <w:jc w:val="center"/>
            </w:pPr>
            <w:r w:rsidRPr="006C080F">
              <w:t>160</w:t>
            </w:r>
          </w:p>
        </w:tc>
      </w:tr>
      <w:tr w:rsidRPr="006C080F" w:rsidR="000969F2" w:rsidTr="00347EDD" w14:paraId="769DA7A7" w14:textId="77777777">
        <w:trPr>
          <w:trHeight w:val="467"/>
        </w:trPr>
        <w:tc>
          <w:tcPr>
            <w:tcW w:w="1570" w:type="dxa"/>
            <w:vAlign w:val="center"/>
          </w:tcPr>
          <w:p w:rsidRPr="006C080F" w:rsidR="000969F2" w:rsidRDefault="000969F2" w14:paraId="543BE5D8" w14:textId="34CD9AF1">
            <w:pPr>
              <w:spacing w:line="480" w:lineRule="auto"/>
              <w:jc w:val="center"/>
            </w:pPr>
            <w:r>
              <w:t>Total</w:t>
            </w:r>
          </w:p>
        </w:tc>
        <w:tc>
          <w:tcPr>
            <w:tcW w:w="1570" w:type="dxa"/>
            <w:shd w:val="clear" w:color="auto" w:fill="auto"/>
            <w:vAlign w:val="center"/>
          </w:tcPr>
          <w:p w:rsidRPr="006C080F" w:rsidR="000969F2" w:rsidRDefault="000969F2" w14:paraId="18ED6890" w14:textId="1F41D518">
            <w:pPr>
              <w:spacing w:line="480" w:lineRule="auto"/>
              <w:jc w:val="center"/>
            </w:pPr>
            <w:r>
              <w:t>160</w:t>
            </w:r>
          </w:p>
        </w:tc>
        <w:tc>
          <w:tcPr>
            <w:tcW w:w="1868" w:type="dxa"/>
            <w:shd w:val="clear" w:color="auto" w:fill="auto"/>
            <w:vAlign w:val="center"/>
          </w:tcPr>
          <w:p w:rsidRPr="006C080F" w:rsidR="000969F2" w:rsidRDefault="000969F2" w14:paraId="66D10EAA" w14:textId="3B98AC39">
            <w:pPr>
              <w:spacing w:line="480" w:lineRule="auto"/>
              <w:jc w:val="center"/>
            </w:pPr>
            <w:r>
              <w:t>1</w:t>
            </w:r>
          </w:p>
        </w:tc>
        <w:tc>
          <w:tcPr>
            <w:tcW w:w="2340" w:type="dxa"/>
            <w:shd w:val="clear" w:color="auto" w:fill="auto"/>
            <w:vAlign w:val="center"/>
          </w:tcPr>
          <w:p w:rsidRPr="006C080F" w:rsidR="000969F2" w:rsidRDefault="000969F2" w14:paraId="7D2C6BFE" w14:textId="6B13CA84">
            <w:pPr>
              <w:spacing w:line="480" w:lineRule="auto"/>
              <w:jc w:val="center"/>
            </w:pPr>
            <w:r>
              <w:t>1</w:t>
            </w:r>
          </w:p>
        </w:tc>
        <w:tc>
          <w:tcPr>
            <w:tcW w:w="1800" w:type="dxa"/>
            <w:shd w:val="clear" w:color="auto" w:fill="auto"/>
            <w:vAlign w:val="center"/>
          </w:tcPr>
          <w:p w:rsidRPr="006C080F" w:rsidR="000969F2" w:rsidRDefault="000969F2" w14:paraId="2C37E01E" w14:textId="714D128D">
            <w:pPr>
              <w:spacing w:line="480" w:lineRule="auto"/>
              <w:jc w:val="center"/>
            </w:pPr>
            <w:r>
              <w:t>160</w:t>
            </w:r>
          </w:p>
        </w:tc>
      </w:tr>
    </w:tbl>
    <w:p w:rsidR="003814B8" w:rsidP="003814B8" w:rsidRDefault="003814B8" w14:paraId="48267CE4" w14:textId="77777777">
      <w:pPr>
        <w:widowControl w:val="0"/>
        <w:autoSpaceDE w:val="0"/>
        <w:autoSpaceDN w:val="0"/>
        <w:adjustRightInd w:val="0"/>
        <w:spacing w:after="0" w:line="240" w:lineRule="auto"/>
        <w:ind w:left="432"/>
        <w:rPr>
          <w:b/>
          <w:sz w:val="24"/>
          <w:szCs w:val="24"/>
          <w:u w:val="single"/>
        </w:rPr>
      </w:pPr>
    </w:p>
    <w:p w:rsidRPr="003814B8" w:rsidR="003814B8" w:rsidP="003814B8" w:rsidRDefault="003814B8" w14:paraId="3E46B51D" w14:textId="20B7D9AD">
      <w:pPr>
        <w:widowControl w:val="0"/>
        <w:autoSpaceDE w:val="0"/>
        <w:autoSpaceDN w:val="0"/>
        <w:adjustRightInd w:val="0"/>
        <w:spacing w:after="0" w:line="240" w:lineRule="auto"/>
        <w:ind w:left="432"/>
        <w:rPr>
          <w:b/>
          <w:sz w:val="24"/>
          <w:szCs w:val="24"/>
          <w:u w:val="single"/>
        </w:rPr>
      </w:pPr>
      <w:r w:rsidRPr="003814B8">
        <w:rPr>
          <w:b/>
          <w:sz w:val="24"/>
          <w:szCs w:val="24"/>
          <w:u w:val="single"/>
        </w:rPr>
        <w:t>12.B. Estimated Annualized Burden Costs</w:t>
      </w:r>
    </w:p>
    <w:p w:rsidRPr="003814B8" w:rsidR="003814B8" w:rsidP="003814B8" w:rsidRDefault="003814B8" w14:paraId="399EF217" w14:textId="77777777">
      <w:pPr>
        <w:widowControl w:val="0"/>
        <w:autoSpaceDE w:val="0"/>
        <w:autoSpaceDN w:val="0"/>
        <w:adjustRightInd w:val="0"/>
        <w:spacing w:after="0" w:line="240" w:lineRule="auto"/>
        <w:ind w:left="432"/>
        <w:rPr>
          <w:b/>
          <w:sz w:val="24"/>
          <w:szCs w:val="24"/>
        </w:rPr>
      </w:pPr>
    </w:p>
    <w:tbl>
      <w:tblPr>
        <w:tblStyle w:val="TableGrid"/>
        <w:tblW w:w="0" w:type="auto"/>
        <w:tblInd w:w="-5" w:type="dxa"/>
        <w:tblLook w:val="04A0" w:firstRow="1" w:lastRow="0" w:firstColumn="1" w:lastColumn="0" w:noHBand="0" w:noVBand="1"/>
      </w:tblPr>
      <w:tblGrid>
        <w:gridCol w:w="2320"/>
        <w:gridCol w:w="2573"/>
        <w:gridCol w:w="2431"/>
        <w:gridCol w:w="2031"/>
      </w:tblGrid>
      <w:tr w:rsidRPr="003814B8" w:rsidR="003814B8" w:rsidTr="00F22579" w14:paraId="212A45D9" w14:textId="77777777">
        <w:tc>
          <w:tcPr>
            <w:tcW w:w="2320" w:type="dxa"/>
            <w:vAlign w:val="center"/>
          </w:tcPr>
          <w:p w:rsidRPr="003814B8" w:rsidR="003814B8" w:rsidP="003814B8" w:rsidRDefault="003814B8" w14:paraId="21BA41BC" w14:textId="77777777">
            <w:pPr>
              <w:widowControl w:val="0"/>
              <w:autoSpaceDE w:val="0"/>
              <w:autoSpaceDN w:val="0"/>
              <w:adjustRightInd w:val="0"/>
              <w:ind w:left="432"/>
              <w:rPr>
                <w:b/>
                <w:sz w:val="24"/>
                <w:szCs w:val="24"/>
              </w:rPr>
            </w:pPr>
            <w:r w:rsidRPr="003814B8">
              <w:rPr>
                <w:b/>
                <w:sz w:val="24"/>
                <w:szCs w:val="24"/>
              </w:rPr>
              <w:t>Type of Respondent</w:t>
            </w:r>
          </w:p>
        </w:tc>
        <w:tc>
          <w:tcPr>
            <w:tcW w:w="2573" w:type="dxa"/>
            <w:vAlign w:val="center"/>
          </w:tcPr>
          <w:p w:rsidRPr="003814B8" w:rsidR="003814B8" w:rsidP="003814B8" w:rsidRDefault="003814B8" w14:paraId="017899ED" w14:textId="77777777">
            <w:pPr>
              <w:widowControl w:val="0"/>
              <w:autoSpaceDE w:val="0"/>
              <w:autoSpaceDN w:val="0"/>
              <w:adjustRightInd w:val="0"/>
              <w:ind w:left="432"/>
              <w:rPr>
                <w:b/>
                <w:sz w:val="24"/>
                <w:szCs w:val="24"/>
              </w:rPr>
            </w:pPr>
            <w:r w:rsidRPr="003814B8">
              <w:rPr>
                <w:b/>
                <w:sz w:val="24"/>
                <w:szCs w:val="24"/>
              </w:rPr>
              <w:t>Total Burden Hours</w:t>
            </w:r>
          </w:p>
        </w:tc>
        <w:tc>
          <w:tcPr>
            <w:tcW w:w="2431" w:type="dxa"/>
            <w:vAlign w:val="center"/>
          </w:tcPr>
          <w:p w:rsidRPr="003814B8" w:rsidR="003814B8" w:rsidP="003814B8" w:rsidRDefault="003814B8" w14:paraId="0AB5B74C" w14:textId="77777777">
            <w:pPr>
              <w:widowControl w:val="0"/>
              <w:autoSpaceDE w:val="0"/>
              <w:autoSpaceDN w:val="0"/>
              <w:adjustRightInd w:val="0"/>
              <w:ind w:left="432"/>
              <w:rPr>
                <w:b/>
                <w:sz w:val="24"/>
                <w:szCs w:val="24"/>
              </w:rPr>
            </w:pPr>
            <w:r w:rsidRPr="003814B8">
              <w:rPr>
                <w:b/>
                <w:sz w:val="24"/>
                <w:szCs w:val="24"/>
              </w:rPr>
              <w:t>Hourly Wages</w:t>
            </w:r>
          </w:p>
        </w:tc>
        <w:tc>
          <w:tcPr>
            <w:tcW w:w="2031" w:type="dxa"/>
            <w:vAlign w:val="center"/>
          </w:tcPr>
          <w:p w:rsidRPr="003814B8" w:rsidR="003814B8" w:rsidP="003814B8" w:rsidRDefault="003814B8" w14:paraId="784599CD" w14:textId="77777777">
            <w:pPr>
              <w:widowControl w:val="0"/>
              <w:autoSpaceDE w:val="0"/>
              <w:autoSpaceDN w:val="0"/>
              <w:adjustRightInd w:val="0"/>
              <w:ind w:left="432"/>
              <w:rPr>
                <w:b/>
                <w:sz w:val="24"/>
                <w:szCs w:val="24"/>
              </w:rPr>
            </w:pPr>
            <w:r w:rsidRPr="003814B8">
              <w:rPr>
                <w:b/>
                <w:sz w:val="24"/>
                <w:szCs w:val="24"/>
              </w:rPr>
              <w:t>Total Cost to the Respondents</w:t>
            </w:r>
          </w:p>
        </w:tc>
      </w:tr>
      <w:tr w:rsidRPr="003814B8" w:rsidR="003814B8" w:rsidTr="00F22579" w14:paraId="575CBD5D" w14:textId="77777777">
        <w:tc>
          <w:tcPr>
            <w:tcW w:w="2320" w:type="dxa"/>
            <w:vAlign w:val="center"/>
          </w:tcPr>
          <w:p w:rsidRPr="003814B8" w:rsidR="003814B8" w:rsidP="003814B8" w:rsidRDefault="003814B8" w14:paraId="6DC65525" w14:textId="77777777">
            <w:pPr>
              <w:widowControl w:val="0"/>
              <w:autoSpaceDE w:val="0"/>
              <w:autoSpaceDN w:val="0"/>
              <w:adjustRightInd w:val="0"/>
              <w:ind w:left="432"/>
              <w:rPr>
                <w:b/>
                <w:sz w:val="24"/>
                <w:szCs w:val="24"/>
              </w:rPr>
            </w:pPr>
            <w:r w:rsidRPr="003814B8">
              <w:rPr>
                <w:b/>
                <w:sz w:val="24"/>
                <w:szCs w:val="24"/>
              </w:rPr>
              <w:t>Business (contractor)</w:t>
            </w:r>
          </w:p>
        </w:tc>
        <w:tc>
          <w:tcPr>
            <w:tcW w:w="2573" w:type="dxa"/>
            <w:vAlign w:val="center"/>
          </w:tcPr>
          <w:p w:rsidRPr="003814B8" w:rsidR="003814B8" w:rsidP="003814B8" w:rsidRDefault="003814B8" w14:paraId="6CBD58EF" w14:textId="77777777">
            <w:pPr>
              <w:widowControl w:val="0"/>
              <w:autoSpaceDE w:val="0"/>
              <w:autoSpaceDN w:val="0"/>
              <w:adjustRightInd w:val="0"/>
              <w:ind w:left="432"/>
              <w:rPr>
                <w:b/>
                <w:sz w:val="24"/>
                <w:szCs w:val="24"/>
              </w:rPr>
            </w:pPr>
            <w:r w:rsidRPr="003814B8">
              <w:rPr>
                <w:b/>
                <w:sz w:val="24"/>
                <w:szCs w:val="24"/>
              </w:rPr>
              <w:t>160</w:t>
            </w:r>
          </w:p>
        </w:tc>
        <w:tc>
          <w:tcPr>
            <w:tcW w:w="2431" w:type="dxa"/>
            <w:vAlign w:val="center"/>
          </w:tcPr>
          <w:p w:rsidRPr="003814B8" w:rsidR="003814B8" w:rsidP="003814B8" w:rsidRDefault="003814B8" w14:paraId="3709C9A0" w14:textId="77777777">
            <w:pPr>
              <w:widowControl w:val="0"/>
              <w:autoSpaceDE w:val="0"/>
              <w:autoSpaceDN w:val="0"/>
              <w:adjustRightInd w:val="0"/>
              <w:ind w:left="432"/>
              <w:rPr>
                <w:b/>
                <w:sz w:val="24"/>
                <w:szCs w:val="24"/>
              </w:rPr>
            </w:pPr>
            <w:r w:rsidRPr="003814B8">
              <w:rPr>
                <w:b/>
                <w:sz w:val="24"/>
                <w:szCs w:val="24"/>
              </w:rPr>
              <w:t>$61.00</w:t>
            </w:r>
          </w:p>
        </w:tc>
        <w:tc>
          <w:tcPr>
            <w:tcW w:w="2031" w:type="dxa"/>
            <w:vAlign w:val="center"/>
          </w:tcPr>
          <w:p w:rsidRPr="003814B8" w:rsidR="003814B8" w:rsidP="003814B8" w:rsidRDefault="003814B8" w14:paraId="0D88E242" w14:textId="77777777">
            <w:pPr>
              <w:widowControl w:val="0"/>
              <w:autoSpaceDE w:val="0"/>
              <w:autoSpaceDN w:val="0"/>
              <w:adjustRightInd w:val="0"/>
              <w:ind w:left="432"/>
              <w:rPr>
                <w:b/>
                <w:sz w:val="24"/>
                <w:szCs w:val="24"/>
              </w:rPr>
            </w:pPr>
            <w:r w:rsidRPr="003814B8">
              <w:rPr>
                <w:b/>
                <w:sz w:val="24"/>
                <w:szCs w:val="24"/>
              </w:rPr>
              <w:t>$9,760.00</w:t>
            </w:r>
          </w:p>
        </w:tc>
      </w:tr>
    </w:tbl>
    <w:p w:rsidRPr="009B3AF0" w:rsidR="009B3AF0" w:rsidP="009B3AF0" w:rsidRDefault="009B3AF0" w14:paraId="1563F609" w14:textId="77777777">
      <w:pPr>
        <w:widowControl w:val="0"/>
        <w:autoSpaceDE w:val="0"/>
        <w:autoSpaceDN w:val="0"/>
        <w:adjustRightInd w:val="0"/>
        <w:spacing w:after="0" w:line="240" w:lineRule="auto"/>
        <w:ind w:left="432"/>
        <w:rPr>
          <w:b/>
          <w:sz w:val="24"/>
          <w:szCs w:val="24"/>
        </w:rPr>
      </w:pPr>
    </w:p>
    <w:p w:rsidRPr="003D5760" w:rsidR="001B2C2D" w:rsidP="001B2C2D" w:rsidRDefault="001B2C2D" w14:paraId="6B88129D" w14:textId="1086D55E">
      <w:pPr>
        <w:widowControl w:val="0"/>
        <w:numPr>
          <w:ilvl w:val="0"/>
          <w:numId w:val="2"/>
        </w:numPr>
        <w:autoSpaceDE w:val="0"/>
        <w:autoSpaceDN w:val="0"/>
        <w:adjustRightInd w:val="0"/>
        <w:spacing w:after="0" w:line="240" w:lineRule="auto"/>
        <w:rPr>
          <w:b/>
          <w:sz w:val="24"/>
          <w:szCs w:val="24"/>
        </w:rPr>
      </w:pPr>
      <w:r w:rsidRPr="003D5760">
        <w:rPr>
          <w:b/>
          <w:sz w:val="24"/>
          <w:szCs w:val="24"/>
          <w:u w:val="single"/>
        </w:rPr>
        <w:t xml:space="preserve">Estimates of </w:t>
      </w:r>
      <w:r w:rsidR="00050773">
        <w:rPr>
          <w:b/>
          <w:sz w:val="24"/>
          <w:szCs w:val="24"/>
          <w:u w:val="single"/>
        </w:rPr>
        <w:t>O</w:t>
      </w:r>
      <w:r w:rsidRPr="003D5760">
        <w:rPr>
          <w:b/>
          <w:sz w:val="24"/>
          <w:szCs w:val="24"/>
          <w:u w:val="single"/>
        </w:rPr>
        <w:t>ther Total Annual Cost Burden to Respondents or Recordkeepers/Capital Costs</w:t>
      </w:r>
    </w:p>
    <w:p w:rsidRPr="003D5760" w:rsidR="006036CE" w:rsidP="006036CE" w:rsidRDefault="006036CE" w14:paraId="3C8671F4" w14:textId="77777777">
      <w:pPr>
        <w:contextualSpacing/>
        <w:rPr>
          <w:sz w:val="24"/>
          <w:szCs w:val="24"/>
        </w:rPr>
      </w:pPr>
    </w:p>
    <w:p w:rsidRPr="003D5760" w:rsidR="001B2C2D" w:rsidP="003D5760" w:rsidRDefault="001B2C2D" w14:paraId="5E3EFE6E" w14:textId="26D4607D">
      <w:pPr>
        <w:contextualSpacing/>
        <w:rPr>
          <w:sz w:val="24"/>
          <w:szCs w:val="24"/>
        </w:rPr>
      </w:pPr>
      <w:r w:rsidRPr="003D5760">
        <w:rPr>
          <w:sz w:val="24"/>
          <w:szCs w:val="24"/>
        </w:rPr>
        <w:t>There are no capital costs associated with this collection.</w:t>
      </w:r>
    </w:p>
    <w:p w:rsidRPr="003D5760" w:rsidR="001B2C2D" w:rsidP="001B2C2D" w:rsidRDefault="001B2C2D" w14:paraId="31B3A34B" w14:textId="77777777">
      <w:pPr>
        <w:ind w:left="720"/>
        <w:contextualSpacing/>
        <w:rPr>
          <w:sz w:val="24"/>
          <w:szCs w:val="24"/>
        </w:rPr>
      </w:pPr>
    </w:p>
    <w:p w:rsidRPr="003D5760" w:rsidR="001B2C2D" w:rsidP="001B2C2D" w:rsidRDefault="001B2C2D" w14:paraId="538C4C36" w14:textId="77777777">
      <w:pPr>
        <w:widowControl w:val="0"/>
        <w:numPr>
          <w:ilvl w:val="0"/>
          <w:numId w:val="2"/>
        </w:numPr>
        <w:autoSpaceDE w:val="0"/>
        <w:autoSpaceDN w:val="0"/>
        <w:adjustRightInd w:val="0"/>
        <w:spacing w:after="0" w:line="240" w:lineRule="auto"/>
        <w:rPr>
          <w:b/>
          <w:sz w:val="24"/>
          <w:szCs w:val="24"/>
        </w:rPr>
      </w:pPr>
      <w:r w:rsidRPr="003D5760">
        <w:rPr>
          <w:b/>
          <w:sz w:val="24"/>
          <w:szCs w:val="24"/>
          <w:u w:val="single"/>
        </w:rPr>
        <w:t>Annualized Cost to Federal Government</w:t>
      </w:r>
    </w:p>
    <w:p w:rsidRPr="003D5760" w:rsidR="006036CE" w:rsidP="006036CE" w:rsidRDefault="006036CE" w14:paraId="669CA8EF" w14:textId="77777777">
      <w:pPr>
        <w:contextualSpacing/>
        <w:rPr>
          <w:sz w:val="24"/>
          <w:szCs w:val="24"/>
        </w:rPr>
      </w:pPr>
    </w:p>
    <w:p w:rsidRPr="00785E96" w:rsidR="00FD5371" w:rsidP="00FD5371" w:rsidRDefault="00FD5371" w14:paraId="655C9E00" w14:textId="77777777">
      <w:pPr>
        <w:spacing w:after="0" w:line="240" w:lineRule="auto"/>
        <w:contextualSpacing/>
        <w:rPr>
          <w:sz w:val="24"/>
          <w:szCs w:val="24"/>
        </w:rPr>
      </w:pPr>
      <w:r>
        <w:rPr>
          <w:sz w:val="24"/>
          <w:szCs w:val="24"/>
        </w:rPr>
        <w:t>Th</w:t>
      </w:r>
      <w:r w:rsidRPr="00785E96">
        <w:rPr>
          <w:sz w:val="24"/>
          <w:szCs w:val="24"/>
        </w:rPr>
        <w:t xml:space="preserve">ere are no equipment or overhead costs.  Government FTEs and contractors, however, are being used to support the data collection. </w:t>
      </w:r>
      <w:r>
        <w:rPr>
          <w:sz w:val="24"/>
          <w:szCs w:val="24"/>
        </w:rPr>
        <w:t xml:space="preserve">The cost to the federal government would be the cost of the salaries of the HHS staff that collects and disseminates the data and the cost of the contractor staff that supports the analysis and submission of the data. </w:t>
      </w:r>
    </w:p>
    <w:p w:rsidRPr="00785E96" w:rsidR="00FD5371" w:rsidP="00FD5371" w:rsidRDefault="00FD5371" w14:paraId="2D264862" w14:textId="77777777">
      <w:pPr>
        <w:spacing w:after="0" w:line="240" w:lineRule="auto"/>
        <w:contextualSpacing/>
        <w:rPr>
          <w:sz w:val="24"/>
          <w:szCs w:val="24"/>
        </w:rPr>
      </w:pPr>
      <w:r w:rsidRPr="00785E96">
        <w:rPr>
          <w:sz w:val="24"/>
          <w:szCs w:val="24"/>
        </w:rPr>
        <w:t xml:space="preserve">  </w:t>
      </w:r>
    </w:p>
    <w:p w:rsidR="00FD5371" w:rsidP="00FD5371" w:rsidRDefault="00FD5371" w14:paraId="30B39E09" w14:textId="079215C4">
      <w:pPr>
        <w:spacing w:after="0" w:line="240" w:lineRule="auto"/>
        <w:contextualSpacing/>
        <w:rPr>
          <w:sz w:val="24"/>
          <w:szCs w:val="24"/>
        </w:rPr>
      </w:pPr>
      <w:r w:rsidRPr="00785E96">
        <w:rPr>
          <w:sz w:val="24"/>
          <w:szCs w:val="24"/>
        </w:rPr>
        <w:t>The total estimated annualized cost to the federal government is $</w:t>
      </w:r>
      <w:r w:rsidR="00553705">
        <w:rPr>
          <w:sz w:val="24"/>
          <w:szCs w:val="24"/>
        </w:rPr>
        <w:t>7,761.00</w:t>
      </w:r>
      <w:r w:rsidRPr="00785E96">
        <w:rPr>
          <w:sz w:val="24"/>
          <w:szCs w:val="24"/>
        </w:rPr>
        <w:t>.  Table A-14 describes how this cost estimate was calculated and the roles.</w:t>
      </w:r>
    </w:p>
    <w:p w:rsidR="003814B8" w:rsidP="00FD5371" w:rsidRDefault="003814B8" w14:paraId="0A59B901" w14:textId="2F1B02B4">
      <w:pPr>
        <w:spacing w:after="0" w:line="240" w:lineRule="auto"/>
        <w:contextualSpacing/>
        <w:rPr>
          <w:sz w:val="24"/>
          <w:szCs w:val="24"/>
        </w:rPr>
      </w:pPr>
    </w:p>
    <w:p w:rsidR="003814B8" w:rsidP="00FD5371" w:rsidRDefault="003814B8" w14:paraId="3A4374BB" w14:textId="48E1EC65">
      <w:pPr>
        <w:spacing w:after="0" w:line="240" w:lineRule="auto"/>
        <w:contextualSpacing/>
        <w:rPr>
          <w:sz w:val="24"/>
          <w:szCs w:val="24"/>
        </w:rPr>
      </w:pPr>
    </w:p>
    <w:p w:rsidR="003814B8" w:rsidP="00FD5371" w:rsidRDefault="003814B8" w14:paraId="1E36BCF4" w14:textId="34FBA373">
      <w:pPr>
        <w:spacing w:after="0" w:line="240" w:lineRule="auto"/>
        <w:contextualSpacing/>
        <w:rPr>
          <w:sz w:val="24"/>
          <w:szCs w:val="24"/>
        </w:rPr>
      </w:pPr>
    </w:p>
    <w:p w:rsidR="003814B8" w:rsidP="00FD5371" w:rsidRDefault="003814B8" w14:paraId="34BA3F35" w14:textId="68179238">
      <w:pPr>
        <w:spacing w:after="0" w:line="240" w:lineRule="auto"/>
        <w:contextualSpacing/>
        <w:rPr>
          <w:sz w:val="24"/>
          <w:szCs w:val="24"/>
        </w:rPr>
      </w:pPr>
    </w:p>
    <w:p w:rsidR="003814B8" w:rsidP="00FD5371" w:rsidRDefault="003814B8" w14:paraId="6B51507F" w14:textId="298A1665">
      <w:pPr>
        <w:spacing w:after="0" w:line="240" w:lineRule="auto"/>
        <w:contextualSpacing/>
        <w:rPr>
          <w:sz w:val="24"/>
          <w:szCs w:val="24"/>
        </w:rPr>
      </w:pPr>
    </w:p>
    <w:p w:rsidR="003814B8" w:rsidP="00FD5371" w:rsidRDefault="003814B8" w14:paraId="3189D6B7" w14:textId="0FFF02E6">
      <w:pPr>
        <w:spacing w:after="0" w:line="240" w:lineRule="auto"/>
        <w:contextualSpacing/>
        <w:rPr>
          <w:sz w:val="24"/>
          <w:szCs w:val="24"/>
        </w:rPr>
      </w:pPr>
    </w:p>
    <w:p w:rsidR="003814B8" w:rsidP="00FD5371" w:rsidRDefault="003814B8" w14:paraId="451EF1EB" w14:textId="77777777">
      <w:pPr>
        <w:spacing w:after="0" w:line="240" w:lineRule="auto"/>
        <w:contextualSpacing/>
        <w:rPr>
          <w:sz w:val="24"/>
          <w:szCs w:val="24"/>
        </w:rPr>
      </w:pPr>
    </w:p>
    <w:p w:rsidR="00FD5371" w:rsidP="00FD5371" w:rsidRDefault="00FD5371" w14:paraId="75C28F37" w14:textId="77777777">
      <w:pPr>
        <w:spacing w:after="0" w:line="240" w:lineRule="auto"/>
        <w:contextualSpacing/>
        <w:rPr>
          <w:sz w:val="24"/>
          <w:szCs w:val="24"/>
        </w:rPr>
      </w:pPr>
    </w:p>
    <w:p w:rsidR="00FD5371" w:rsidP="00FD5371" w:rsidRDefault="00FD5371" w14:paraId="43FD29EA" w14:textId="77777777">
      <w:pPr>
        <w:spacing w:after="0" w:line="240" w:lineRule="auto"/>
        <w:contextualSpacing/>
        <w:rPr>
          <w:sz w:val="24"/>
          <w:szCs w:val="24"/>
        </w:rPr>
      </w:pPr>
      <w:r w:rsidRPr="00D95E86">
        <w:rPr>
          <w:b/>
          <w:sz w:val="24"/>
          <w:szCs w:val="24"/>
        </w:rPr>
        <w:t>Table A-14:</w:t>
      </w:r>
      <w:r w:rsidRPr="00785E96">
        <w:rPr>
          <w:sz w:val="24"/>
          <w:szCs w:val="24"/>
        </w:rPr>
        <w:t xml:space="preserve"> Estimated Annualized Cost to the Federal Government</w:t>
      </w:r>
    </w:p>
    <w:p w:rsidR="00FD5371" w:rsidP="00FD5371" w:rsidRDefault="00FD5371" w14:paraId="623DD670" w14:textId="77777777">
      <w:pPr>
        <w:spacing w:after="0" w:line="240" w:lineRule="auto"/>
        <w:contextualSpacing/>
        <w:rPr>
          <w:sz w:val="24"/>
          <w:szCs w:val="24"/>
        </w:rPr>
      </w:pPr>
    </w:p>
    <w:tbl>
      <w:tblPr>
        <w:tblStyle w:val="TableGrid"/>
        <w:tblW w:w="0" w:type="auto"/>
        <w:tblLook w:val="04A0" w:firstRow="1" w:lastRow="0" w:firstColumn="1" w:lastColumn="0" w:noHBand="0" w:noVBand="1"/>
      </w:tblPr>
      <w:tblGrid>
        <w:gridCol w:w="1816"/>
        <w:gridCol w:w="2161"/>
        <w:gridCol w:w="1674"/>
        <w:gridCol w:w="1784"/>
        <w:gridCol w:w="1581"/>
      </w:tblGrid>
      <w:tr w:rsidR="00FD5371" w:rsidTr="00A159DC" w14:paraId="36E8023C" w14:textId="77777777">
        <w:trPr>
          <w:trHeight w:val="283"/>
        </w:trPr>
        <w:tc>
          <w:tcPr>
            <w:tcW w:w="1816" w:type="dxa"/>
            <w:vAlign w:val="center"/>
          </w:tcPr>
          <w:p w:rsidRPr="00D95E86" w:rsidR="00FD5371" w:rsidP="00A159DC" w:rsidRDefault="00FD5371" w14:paraId="79587E1F" w14:textId="77777777">
            <w:pPr>
              <w:contextualSpacing/>
              <w:jc w:val="center"/>
              <w:rPr>
                <w:b/>
                <w:sz w:val="24"/>
                <w:szCs w:val="24"/>
              </w:rPr>
            </w:pPr>
            <w:r w:rsidRPr="00D95E86">
              <w:rPr>
                <w:b/>
                <w:sz w:val="24"/>
                <w:szCs w:val="24"/>
              </w:rPr>
              <w:t>Organization</w:t>
            </w:r>
          </w:p>
        </w:tc>
        <w:tc>
          <w:tcPr>
            <w:tcW w:w="2161" w:type="dxa"/>
            <w:vAlign w:val="center"/>
          </w:tcPr>
          <w:p w:rsidRPr="00D95E86" w:rsidR="00FD5371" w:rsidP="00A159DC" w:rsidRDefault="00FD5371" w14:paraId="52EB59A1" w14:textId="77777777">
            <w:pPr>
              <w:contextualSpacing/>
              <w:jc w:val="center"/>
              <w:rPr>
                <w:b/>
                <w:sz w:val="24"/>
                <w:szCs w:val="24"/>
              </w:rPr>
            </w:pPr>
            <w:r w:rsidRPr="00D95E86">
              <w:rPr>
                <w:b/>
                <w:sz w:val="24"/>
                <w:szCs w:val="24"/>
              </w:rPr>
              <w:t>Role</w:t>
            </w:r>
          </w:p>
        </w:tc>
        <w:tc>
          <w:tcPr>
            <w:tcW w:w="1674" w:type="dxa"/>
            <w:vAlign w:val="center"/>
          </w:tcPr>
          <w:p w:rsidRPr="00D95E86" w:rsidR="00FD5371" w:rsidP="00A159DC" w:rsidRDefault="00FD5371" w14:paraId="29DA64C2" w14:textId="77777777">
            <w:pPr>
              <w:contextualSpacing/>
              <w:jc w:val="center"/>
              <w:rPr>
                <w:b/>
                <w:sz w:val="24"/>
                <w:szCs w:val="24"/>
              </w:rPr>
            </w:pPr>
            <w:r w:rsidRPr="00D95E86">
              <w:rPr>
                <w:b/>
                <w:sz w:val="24"/>
                <w:szCs w:val="24"/>
              </w:rPr>
              <w:t>Rate</w:t>
            </w:r>
          </w:p>
        </w:tc>
        <w:tc>
          <w:tcPr>
            <w:tcW w:w="1784" w:type="dxa"/>
            <w:vAlign w:val="center"/>
          </w:tcPr>
          <w:p w:rsidRPr="00D95E86" w:rsidR="00FD5371" w:rsidP="00A159DC" w:rsidRDefault="00FD5371" w14:paraId="3A583633" w14:textId="77777777">
            <w:pPr>
              <w:contextualSpacing/>
              <w:jc w:val="center"/>
              <w:rPr>
                <w:b/>
                <w:sz w:val="24"/>
                <w:szCs w:val="24"/>
              </w:rPr>
            </w:pPr>
            <w:r w:rsidRPr="00D95E86">
              <w:rPr>
                <w:b/>
                <w:sz w:val="24"/>
                <w:szCs w:val="24"/>
              </w:rPr>
              <w:t>Hours</w:t>
            </w:r>
          </w:p>
        </w:tc>
        <w:tc>
          <w:tcPr>
            <w:tcW w:w="1581" w:type="dxa"/>
            <w:vAlign w:val="center"/>
          </w:tcPr>
          <w:p w:rsidRPr="00D95E86" w:rsidR="00FD5371" w:rsidP="00A159DC" w:rsidRDefault="00FD5371" w14:paraId="6524268E" w14:textId="77777777">
            <w:pPr>
              <w:contextualSpacing/>
              <w:jc w:val="center"/>
              <w:rPr>
                <w:b/>
                <w:sz w:val="24"/>
                <w:szCs w:val="24"/>
              </w:rPr>
            </w:pPr>
            <w:r w:rsidRPr="00D95E86">
              <w:rPr>
                <w:b/>
                <w:sz w:val="24"/>
                <w:szCs w:val="24"/>
              </w:rPr>
              <w:t>Cost</w:t>
            </w:r>
          </w:p>
        </w:tc>
      </w:tr>
      <w:tr w:rsidR="00FD5371" w:rsidTr="00A159DC" w14:paraId="67FB60A8" w14:textId="77777777">
        <w:trPr>
          <w:trHeight w:val="581"/>
        </w:trPr>
        <w:tc>
          <w:tcPr>
            <w:tcW w:w="1816" w:type="dxa"/>
          </w:tcPr>
          <w:p w:rsidR="00FD5371" w:rsidP="00A159DC" w:rsidRDefault="00FD5371" w14:paraId="7DAA79CE" w14:textId="07083D20">
            <w:pPr>
              <w:contextualSpacing/>
              <w:rPr>
                <w:sz w:val="24"/>
                <w:szCs w:val="24"/>
              </w:rPr>
            </w:pPr>
            <w:r>
              <w:rPr>
                <w:sz w:val="24"/>
                <w:szCs w:val="24"/>
              </w:rPr>
              <w:t>OS/ASFR/ O</w:t>
            </w:r>
            <w:r w:rsidR="00A47A4B">
              <w:rPr>
                <w:sz w:val="24"/>
                <w:szCs w:val="24"/>
              </w:rPr>
              <w:t>A</w:t>
            </w:r>
          </w:p>
        </w:tc>
        <w:tc>
          <w:tcPr>
            <w:tcW w:w="2161" w:type="dxa"/>
            <w:vAlign w:val="center"/>
          </w:tcPr>
          <w:p w:rsidR="00FD5371" w:rsidP="00A159DC" w:rsidRDefault="00FD5371" w14:paraId="100FD504" w14:textId="77777777">
            <w:pPr>
              <w:contextualSpacing/>
              <w:rPr>
                <w:sz w:val="24"/>
                <w:szCs w:val="24"/>
              </w:rPr>
            </w:pPr>
            <w:r>
              <w:rPr>
                <w:sz w:val="24"/>
                <w:szCs w:val="24"/>
              </w:rPr>
              <w:t>Federal SME</w:t>
            </w:r>
          </w:p>
        </w:tc>
        <w:tc>
          <w:tcPr>
            <w:tcW w:w="1674" w:type="dxa"/>
            <w:vAlign w:val="center"/>
          </w:tcPr>
          <w:p w:rsidR="00FD5371" w:rsidP="00A159DC" w:rsidRDefault="00FD5371" w14:paraId="4A6BB3A0" w14:textId="621DADA5">
            <w:pPr>
              <w:contextualSpacing/>
              <w:jc w:val="center"/>
              <w:rPr>
                <w:sz w:val="24"/>
                <w:szCs w:val="24"/>
              </w:rPr>
            </w:pPr>
            <w:r>
              <w:rPr>
                <w:sz w:val="24"/>
                <w:szCs w:val="24"/>
              </w:rPr>
              <w:t>$</w:t>
            </w:r>
            <w:r w:rsidR="00A47A4B">
              <w:rPr>
                <w:sz w:val="24"/>
                <w:szCs w:val="24"/>
              </w:rPr>
              <w:t>82.65</w:t>
            </w:r>
          </w:p>
        </w:tc>
        <w:tc>
          <w:tcPr>
            <w:tcW w:w="1784" w:type="dxa"/>
            <w:vAlign w:val="center"/>
          </w:tcPr>
          <w:p w:rsidR="00FD5371" w:rsidP="00A159DC" w:rsidRDefault="00FD5371" w14:paraId="20D6CB4E" w14:textId="77777777">
            <w:pPr>
              <w:contextualSpacing/>
              <w:jc w:val="center"/>
              <w:rPr>
                <w:sz w:val="24"/>
                <w:szCs w:val="24"/>
              </w:rPr>
            </w:pPr>
            <w:r>
              <w:rPr>
                <w:sz w:val="24"/>
                <w:szCs w:val="24"/>
              </w:rPr>
              <w:t>40</w:t>
            </w:r>
          </w:p>
        </w:tc>
        <w:tc>
          <w:tcPr>
            <w:tcW w:w="1581" w:type="dxa"/>
            <w:vAlign w:val="center"/>
          </w:tcPr>
          <w:p w:rsidR="00FD5371" w:rsidP="00A159DC" w:rsidRDefault="00FD5371" w14:paraId="6B42426E" w14:textId="279B758D">
            <w:pPr>
              <w:contextualSpacing/>
              <w:jc w:val="center"/>
              <w:rPr>
                <w:sz w:val="24"/>
                <w:szCs w:val="24"/>
              </w:rPr>
            </w:pPr>
            <w:r>
              <w:rPr>
                <w:sz w:val="24"/>
                <w:szCs w:val="24"/>
              </w:rPr>
              <w:t>$3,</w:t>
            </w:r>
            <w:r w:rsidR="00A47A4B">
              <w:rPr>
                <w:sz w:val="24"/>
                <w:szCs w:val="24"/>
              </w:rPr>
              <w:t>306</w:t>
            </w:r>
            <w:r>
              <w:rPr>
                <w:sz w:val="24"/>
                <w:szCs w:val="24"/>
              </w:rPr>
              <w:t>.00</w:t>
            </w:r>
          </w:p>
        </w:tc>
      </w:tr>
      <w:tr w:rsidR="00FD5371" w:rsidTr="00A159DC" w14:paraId="713B8FC7" w14:textId="77777777">
        <w:trPr>
          <w:trHeight w:val="581"/>
        </w:trPr>
        <w:tc>
          <w:tcPr>
            <w:tcW w:w="1816" w:type="dxa"/>
            <w:vAlign w:val="center"/>
          </w:tcPr>
          <w:p w:rsidR="00FD5371" w:rsidP="00A159DC" w:rsidRDefault="00A47A4B" w14:paraId="31B8000C" w14:textId="11F95733">
            <w:pPr>
              <w:contextualSpacing/>
              <w:rPr>
                <w:sz w:val="24"/>
                <w:szCs w:val="24"/>
              </w:rPr>
            </w:pPr>
            <w:r>
              <w:rPr>
                <w:sz w:val="24"/>
                <w:szCs w:val="24"/>
              </w:rPr>
              <w:t xml:space="preserve">Contractor </w:t>
            </w:r>
          </w:p>
        </w:tc>
        <w:tc>
          <w:tcPr>
            <w:tcW w:w="2161" w:type="dxa"/>
            <w:vAlign w:val="center"/>
          </w:tcPr>
          <w:p w:rsidR="00FD5371" w:rsidP="00A159DC" w:rsidRDefault="00FD5371" w14:paraId="7AE69F3A" w14:textId="77777777">
            <w:pPr>
              <w:contextualSpacing/>
              <w:rPr>
                <w:sz w:val="24"/>
                <w:szCs w:val="24"/>
              </w:rPr>
            </w:pPr>
            <w:r>
              <w:rPr>
                <w:sz w:val="24"/>
                <w:szCs w:val="24"/>
              </w:rPr>
              <w:t>Contractor Analyst</w:t>
            </w:r>
          </w:p>
        </w:tc>
        <w:tc>
          <w:tcPr>
            <w:tcW w:w="1674" w:type="dxa"/>
            <w:vAlign w:val="center"/>
          </w:tcPr>
          <w:p w:rsidR="00FD5371" w:rsidP="00A159DC" w:rsidRDefault="00FD5371" w14:paraId="7C777039" w14:textId="2593031D">
            <w:pPr>
              <w:contextualSpacing/>
              <w:jc w:val="center"/>
              <w:rPr>
                <w:sz w:val="24"/>
                <w:szCs w:val="24"/>
              </w:rPr>
            </w:pPr>
            <w:r>
              <w:rPr>
                <w:sz w:val="24"/>
                <w:szCs w:val="24"/>
              </w:rPr>
              <w:t>$</w:t>
            </w:r>
            <w:r w:rsidR="00B0786B">
              <w:rPr>
                <w:sz w:val="24"/>
                <w:szCs w:val="24"/>
              </w:rPr>
              <w:t>104</w:t>
            </w:r>
            <w:r>
              <w:rPr>
                <w:sz w:val="24"/>
                <w:szCs w:val="24"/>
              </w:rPr>
              <w:t>.00</w:t>
            </w:r>
          </w:p>
        </w:tc>
        <w:tc>
          <w:tcPr>
            <w:tcW w:w="1784" w:type="dxa"/>
            <w:vAlign w:val="center"/>
          </w:tcPr>
          <w:p w:rsidR="00FD5371" w:rsidP="00A159DC" w:rsidRDefault="00FD5371" w14:paraId="0D193A2A" w14:textId="77777777">
            <w:pPr>
              <w:contextualSpacing/>
              <w:jc w:val="center"/>
              <w:rPr>
                <w:sz w:val="24"/>
                <w:szCs w:val="24"/>
              </w:rPr>
            </w:pPr>
            <w:r>
              <w:rPr>
                <w:sz w:val="24"/>
                <w:szCs w:val="24"/>
              </w:rPr>
              <w:t>30</w:t>
            </w:r>
          </w:p>
        </w:tc>
        <w:tc>
          <w:tcPr>
            <w:tcW w:w="1581" w:type="dxa"/>
            <w:vAlign w:val="center"/>
          </w:tcPr>
          <w:p w:rsidR="00FD5371" w:rsidP="00A159DC" w:rsidRDefault="00FD5371" w14:paraId="1BD90FB0" w14:textId="13EB433C">
            <w:pPr>
              <w:contextualSpacing/>
              <w:jc w:val="center"/>
              <w:rPr>
                <w:sz w:val="24"/>
                <w:szCs w:val="24"/>
              </w:rPr>
            </w:pPr>
            <w:r>
              <w:rPr>
                <w:sz w:val="24"/>
                <w:szCs w:val="24"/>
              </w:rPr>
              <w:t>$</w:t>
            </w:r>
            <w:r w:rsidR="00B0786B">
              <w:rPr>
                <w:sz w:val="24"/>
                <w:szCs w:val="24"/>
              </w:rPr>
              <w:t>3,120</w:t>
            </w:r>
            <w:r>
              <w:rPr>
                <w:sz w:val="24"/>
                <w:szCs w:val="24"/>
              </w:rPr>
              <w:t>.00</w:t>
            </w:r>
          </w:p>
        </w:tc>
      </w:tr>
      <w:tr w:rsidR="00FD5371" w:rsidTr="00A159DC" w14:paraId="0EA1064A" w14:textId="77777777">
        <w:trPr>
          <w:trHeight w:val="566"/>
        </w:trPr>
        <w:tc>
          <w:tcPr>
            <w:tcW w:w="1816" w:type="dxa"/>
          </w:tcPr>
          <w:p w:rsidR="00FD5371" w:rsidP="00A159DC" w:rsidRDefault="00A47A4B" w14:paraId="63450C82" w14:textId="7ACF1E36">
            <w:pPr>
              <w:contextualSpacing/>
              <w:rPr>
                <w:sz w:val="24"/>
                <w:szCs w:val="24"/>
              </w:rPr>
            </w:pPr>
            <w:r>
              <w:rPr>
                <w:sz w:val="24"/>
                <w:szCs w:val="24"/>
              </w:rPr>
              <w:t xml:space="preserve">Contractor </w:t>
            </w:r>
          </w:p>
        </w:tc>
        <w:tc>
          <w:tcPr>
            <w:tcW w:w="2161" w:type="dxa"/>
            <w:vAlign w:val="center"/>
          </w:tcPr>
          <w:p w:rsidR="00FD5371" w:rsidP="00A159DC" w:rsidRDefault="00FD5371" w14:paraId="6AFDB4E2" w14:textId="77777777">
            <w:pPr>
              <w:contextualSpacing/>
              <w:rPr>
                <w:sz w:val="24"/>
                <w:szCs w:val="24"/>
              </w:rPr>
            </w:pPr>
            <w:r>
              <w:rPr>
                <w:sz w:val="24"/>
                <w:szCs w:val="24"/>
              </w:rPr>
              <w:t>Contractor Staff Support</w:t>
            </w:r>
          </w:p>
        </w:tc>
        <w:tc>
          <w:tcPr>
            <w:tcW w:w="1674" w:type="dxa"/>
            <w:vAlign w:val="center"/>
          </w:tcPr>
          <w:p w:rsidR="00FD5371" w:rsidP="00A159DC" w:rsidRDefault="00FD5371" w14:paraId="22114441" w14:textId="76C6F9D8">
            <w:pPr>
              <w:contextualSpacing/>
              <w:jc w:val="center"/>
              <w:rPr>
                <w:sz w:val="24"/>
                <w:szCs w:val="24"/>
              </w:rPr>
            </w:pPr>
            <w:r>
              <w:rPr>
                <w:sz w:val="24"/>
                <w:szCs w:val="24"/>
              </w:rPr>
              <w:t>$</w:t>
            </w:r>
            <w:r w:rsidR="00B0786B">
              <w:rPr>
                <w:sz w:val="24"/>
                <w:szCs w:val="24"/>
              </w:rPr>
              <w:t>89</w:t>
            </w:r>
            <w:r>
              <w:rPr>
                <w:sz w:val="24"/>
                <w:szCs w:val="24"/>
              </w:rPr>
              <w:t>.00</w:t>
            </w:r>
          </w:p>
        </w:tc>
        <w:tc>
          <w:tcPr>
            <w:tcW w:w="1784" w:type="dxa"/>
            <w:vAlign w:val="center"/>
          </w:tcPr>
          <w:p w:rsidR="00FD5371" w:rsidP="00A159DC" w:rsidRDefault="00FD5371" w14:paraId="0B7438B9" w14:textId="77777777">
            <w:pPr>
              <w:contextualSpacing/>
              <w:jc w:val="center"/>
              <w:rPr>
                <w:sz w:val="24"/>
                <w:szCs w:val="24"/>
              </w:rPr>
            </w:pPr>
            <w:r>
              <w:rPr>
                <w:sz w:val="24"/>
                <w:szCs w:val="24"/>
              </w:rPr>
              <w:t>15</w:t>
            </w:r>
          </w:p>
        </w:tc>
        <w:tc>
          <w:tcPr>
            <w:tcW w:w="1581" w:type="dxa"/>
            <w:vAlign w:val="center"/>
          </w:tcPr>
          <w:p w:rsidR="00FD5371" w:rsidP="00A159DC" w:rsidRDefault="00FD5371" w14:paraId="04B0D326" w14:textId="4A6BD9F7">
            <w:pPr>
              <w:contextualSpacing/>
              <w:jc w:val="center"/>
              <w:rPr>
                <w:sz w:val="24"/>
                <w:szCs w:val="24"/>
              </w:rPr>
            </w:pPr>
            <w:r>
              <w:rPr>
                <w:sz w:val="24"/>
                <w:szCs w:val="24"/>
              </w:rPr>
              <w:t>$</w:t>
            </w:r>
            <w:r w:rsidR="00B0786B">
              <w:rPr>
                <w:sz w:val="24"/>
                <w:szCs w:val="24"/>
              </w:rPr>
              <w:t>1,335</w:t>
            </w:r>
            <w:r>
              <w:rPr>
                <w:sz w:val="24"/>
                <w:szCs w:val="24"/>
              </w:rPr>
              <w:t>.00</w:t>
            </w:r>
          </w:p>
        </w:tc>
      </w:tr>
      <w:tr w:rsidR="00FD5371" w:rsidTr="00A159DC" w14:paraId="3E73AEEC" w14:textId="77777777">
        <w:trPr>
          <w:trHeight w:val="283"/>
        </w:trPr>
        <w:tc>
          <w:tcPr>
            <w:tcW w:w="1816" w:type="dxa"/>
          </w:tcPr>
          <w:p w:rsidR="00FD5371" w:rsidP="00A159DC" w:rsidRDefault="00FD5371" w14:paraId="527B022C" w14:textId="77777777">
            <w:pPr>
              <w:contextualSpacing/>
              <w:rPr>
                <w:sz w:val="24"/>
                <w:szCs w:val="24"/>
              </w:rPr>
            </w:pPr>
            <w:r>
              <w:rPr>
                <w:sz w:val="24"/>
                <w:szCs w:val="24"/>
              </w:rPr>
              <w:t>Total</w:t>
            </w:r>
          </w:p>
        </w:tc>
        <w:tc>
          <w:tcPr>
            <w:tcW w:w="2161" w:type="dxa"/>
          </w:tcPr>
          <w:p w:rsidR="00FD5371" w:rsidP="00A159DC" w:rsidRDefault="00FD5371" w14:paraId="540F4227" w14:textId="77777777">
            <w:pPr>
              <w:contextualSpacing/>
              <w:rPr>
                <w:sz w:val="24"/>
                <w:szCs w:val="24"/>
              </w:rPr>
            </w:pPr>
          </w:p>
        </w:tc>
        <w:tc>
          <w:tcPr>
            <w:tcW w:w="1674" w:type="dxa"/>
            <w:vAlign w:val="center"/>
          </w:tcPr>
          <w:p w:rsidR="00FD5371" w:rsidP="00A159DC" w:rsidRDefault="00FD5371" w14:paraId="6869A8C8" w14:textId="77777777">
            <w:pPr>
              <w:contextualSpacing/>
              <w:jc w:val="center"/>
              <w:rPr>
                <w:sz w:val="24"/>
                <w:szCs w:val="24"/>
              </w:rPr>
            </w:pPr>
          </w:p>
        </w:tc>
        <w:tc>
          <w:tcPr>
            <w:tcW w:w="1784" w:type="dxa"/>
            <w:vAlign w:val="center"/>
          </w:tcPr>
          <w:p w:rsidR="00FD5371" w:rsidP="00A159DC" w:rsidRDefault="00FD5371" w14:paraId="387CFFF6" w14:textId="77777777">
            <w:pPr>
              <w:contextualSpacing/>
              <w:jc w:val="center"/>
              <w:rPr>
                <w:sz w:val="24"/>
                <w:szCs w:val="24"/>
              </w:rPr>
            </w:pPr>
            <w:r>
              <w:rPr>
                <w:sz w:val="24"/>
                <w:szCs w:val="24"/>
              </w:rPr>
              <w:t>85</w:t>
            </w:r>
          </w:p>
        </w:tc>
        <w:tc>
          <w:tcPr>
            <w:tcW w:w="1581" w:type="dxa"/>
            <w:vAlign w:val="center"/>
          </w:tcPr>
          <w:p w:rsidR="00FD5371" w:rsidP="00A159DC" w:rsidRDefault="00FD5371" w14:paraId="2E744B26" w14:textId="2695B45F">
            <w:pPr>
              <w:contextualSpacing/>
              <w:jc w:val="center"/>
              <w:rPr>
                <w:sz w:val="24"/>
                <w:szCs w:val="24"/>
              </w:rPr>
            </w:pPr>
            <w:r>
              <w:rPr>
                <w:sz w:val="24"/>
                <w:szCs w:val="24"/>
              </w:rPr>
              <w:t>$</w:t>
            </w:r>
            <w:r w:rsidR="00B0786B">
              <w:rPr>
                <w:sz w:val="24"/>
                <w:szCs w:val="24"/>
              </w:rPr>
              <w:t>7,761</w:t>
            </w:r>
            <w:r>
              <w:rPr>
                <w:sz w:val="24"/>
                <w:szCs w:val="24"/>
              </w:rPr>
              <w:t>.00</w:t>
            </w:r>
          </w:p>
        </w:tc>
      </w:tr>
    </w:tbl>
    <w:p w:rsidRPr="003D5760" w:rsidR="001B2C2D" w:rsidP="001B2C2D" w:rsidRDefault="001B2C2D" w14:paraId="702DC2E1" w14:textId="77777777">
      <w:pPr>
        <w:ind w:left="720"/>
        <w:contextualSpacing/>
        <w:rPr>
          <w:sz w:val="24"/>
          <w:szCs w:val="24"/>
        </w:rPr>
      </w:pPr>
    </w:p>
    <w:p w:rsidRPr="003D5760" w:rsidR="001B2C2D" w:rsidP="001B2C2D" w:rsidRDefault="001B2C2D" w14:paraId="269A1CF6" w14:textId="77777777">
      <w:pPr>
        <w:widowControl w:val="0"/>
        <w:numPr>
          <w:ilvl w:val="0"/>
          <w:numId w:val="2"/>
        </w:numPr>
        <w:autoSpaceDE w:val="0"/>
        <w:autoSpaceDN w:val="0"/>
        <w:adjustRightInd w:val="0"/>
        <w:spacing w:after="0" w:line="240" w:lineRule="auto"/>
        <w:rPr>
          <w:b/>
          <w:sz w:val="24"/>
          <w:szCs w:val="24"/>
        </w:rPr>
      </w:pPr>
      <w:r w:rsidRPr="003D5760">
        <w:rPr>
          <w:b/>
          <w:sz w:val="24"/>
          <w:szCs w:val="24"/>
          <w:u w:val="single"/>
        </w:rPr>
        <w:t>Explanation for Program Changes or Adjustments</w:t>
      </w:r>
    </w:p>
    <w:p w:rsidRPr="003D5760" w:rsidR="006036CE" w:rsidP="006036CE" w:rsidRDefault="006036CE" w14:paraId="47A1C3B6" w14:textId="77777777">
      <w:pPr>
        <w:contextualSpacing/>
        <w:rPr>
          <w:sz w:val="24"/>
          <w:szCs w:val="24"/>
        </w:rPr>
      </w:pPr>
    </w:p>
    <w:p w:rsidRPr="003D5760" w:rsidR="001B2C2D" w:rsidP="003D5760" w:rsidRDefault="001B2C2D" w14:paraId="0155E083" w14:textId="1D58A4A2">
      <w:pPr>
        <w:contextualSpacing/>
        <w:rPr>
          <w:sz w:val="24"/>
          <w:szCs w:val="24"/>
        </w:rPr>
      </w:pPr>
      <w:r w:rsidRPr="003D5760">
        <w:rPr>
          <w:sz w:val="24"/>
          <w:szCs w:val="24"/>
        </w:rPr>
        <w:t xml:space="preserve">This is </w:t>
      </w:r>
      <w:r w:rsidRPr="003D5760" w:rsidR="00B87C3D">
        <w:rPr>
          <w:sz w:val="24"/>
          <w:szCs w:val="24"/>
        </w:rPr>
        <w:t>an extension of the current collection effort</w:t>
      </w:r>
      <w:r w:rsidR="00B461E1">
        <w:rPr>
          <w:sz w:val="24"/>
          <w:szCs w:val="24"/>
        </w:rPr>
        <w:t>. Ther</w:t>
      </w:r>
      <w:r w:rsidRPr="00B80D3C" w:rsidR="00B461E1">
        <w:rPr>
          <w:rFonts w:cstheme="minorHAnsi"/>
          <w:sz w:val="24"/>
          <w:szCs w:val="24"/>
        </w:rPr>
        <w:t xml:space="preserve">e </w:t>
      </w:r>
      <w:r w:rsidR="00B461E1">
        <w:rPr>
          <w:rFonts w:cstheme="minorHAnsi"/>
          <w:sz w:val="24"/>
          <w:szCs w:val="24"/>
        </w:rPr>
        <w:t xml:space="preserve">was no change to </w:t>
      </w:r>
      <w:r w:rsidR="00FD3152">
        <w:rPr>
          <w:rFonts w:cstheme="minorHAnsi"/>
          <w:sz w:val="24"/>
          <w:szCs w:val="24"/>
        </w:rPr>
        <w:t xml:space="preserve">the </w:t>
      </w:r>
      <w:r w:rsidR="00B461E1">
        <w:rPr>
          <w:rFonts w:cstheme="minorHAnsi"/>
          <w:sz w:val="24"/>
          <w:szCs w:val="24"/>
        </w:rPr>
        <w:t>c</w:t>
      </w:r>
      <w:r w:rsidRPr="00BD3D9A" w:rsidR="00B461E1">
        <w:rPr>
          <w:rFonts w:cstheme="minorHAnsi"/>
          <w:sz w:val="24"/>
          <w:szCs w:val="24"/>
        </w:rPr>
        <w:t>urrent OMB inventory</w:t>
      </w:r>
      <w:r w:rsidR="00B461E1">
        <w:rPr>
          <w:rFonts w:cstheme="minorHAnsi"/>
          <w:sz w:val="24"/>
          <w:szCs w:val="24"/>
        </w:rPr>
        <w:t xml:space="preserve"> burden hours of 160 hours</w:t>
      </w:r>
      <w:r w:rsidR="00DA7E12">
        <w:rPr>
          <w:rFonts w:cstheme="minorHAnsi"/>
          <w:sz w:val="24"/>
          <w:szCs w:val="24"/>
        </w:rPr>
        <w:t>.</w:t>
      </w:r>
    </w:p>
    <w:p w:rsidRPr="003D5760" w:rsidR="001B2C2D" w:rsidP="001B2C2D" w:rsidRDefault="001B2C2D" w14:paraId="5692BE95" w14:textId="77777777">
      <w:pPr>
        <w:ind w:left="720"/>
        <w:contextualSpacing/>
        <w:rPr>
          <w:sz w:val="24"/>
          <w:szCs w:val="24"/>
        </w:rPr>
      </w:pPr>
    </w:p>
    <w:p w:rsidRPr="00825C30" w:rsidR="001B2C2D" w:rsidP="001B2C2D" w:rsidRDefault="001B2C2D" w14:paraId="56A62E6C" w14:textId="77777777">
      <w:pPr>
        <w:widowControl w:val="0"/>
        <w:numPr>
          <w:ilvl w:val="0"/>
          <w:numId w:val="2"/>
        </w:numPr>
        <w:autoSpaceDE w:val="0"/>
        <w:autoSpaceDN w:val="0"/>
        <w:adjustRightInd w:val="0"/>
        <w:spacing w:after="0" w:line="240" w:lineRule="auto"/>
        <w:rPr>
          <w:b/>
          <w:sz w:val="24"/>
          <w:szCs w:val="24"/>
        </w:rPr>
      </w:pPr>
      <w:r w:rsidRPr="00825C30">
        <w:rPr>
          <w:b/>
          <w:sz w:val="24"/>
          <w:szCs w:val="24"/>
          <w:u w:val="single"/>
        </w:rPr>
        <w:t>Plans for Tabulation and Publication and Project Time Schedule</w:t>
      </w:r>
    </w:p>
    <w:p w:rsidRPr="003D5760" w:rsidR="006036CE" w:rsidP="006036CE" w:rsidRDefault="006036CE" w14:paraId="16E774B4" w14:textId="77777777">
      <w:pPr>
        <w:contextualSpacing/>
        <w:rPr>
          <w:sz w:val="24"/>
          <w:szCs w:val="24"/>
        </w:rPr>
      </w:pPr>
    </w:p>
    <w:p w:rsidRPr="00EE2DEF" w:rsidR="007E48B1" w:rsidP="007E48B1" w:rsidRDefault="00BB5597" w14:paraId="3409897B" w14:textId="7F0DC19C">
      <w:pPr>
        <w:spacing w:after="0" w:line="240" w:lineRule="auto"/>
        <w:contextualSpacing/>
        <w:rPr>
          <w:sz w:val="24"/>
          <w:szCs w:val="24"/>
        </w:rPr>
      </w:pPr>
      <w:r>
        <w:rPr>
          <w:sz w:val="24"/>
          <w:szCs w:val="24"/>
        </w:rPr>
        <w:t>Approval</w:t>
      </w:r>
      <w:r w:rsidRPr="00BB5597">
        <w:t xml:space="preserve"> </w:t>
      </w:r>
      <w:r w:rsidRPr="00BB5597">
        <w:rPr>
          <w:sz w:val="24"/>
          <w:szCs w:val="24"/>
        </w:rPr>
        <w:t>is requested by February 16, 2022 to allow for continued use of the HHSAR clause.</w:t>
      </w:r>
    </w:p>
    <w:p w:rsidRPr="00EE2DEF" w:rsidR="007E48B1" w:rsidP="007E48B1" w:rsidRDefault="007E48B1" w14:paraId="6CEC0B33" w14:textId="77777777">
      <w:pPr>
        <w:spacing w:after="0" w:line="240" w:lineRule="auto"/>
        <w:ind w:left="720"/>
        <w:contextualSpacing/>
        <w:rPr>
          <w:sz w:val="24"/>
          <w:szCs w:val="24"/>
        </w:rPr>
      </w:pPr>
    </w:p>
    <w:p w:rsidRPr="001B5377" w:rsidR="007E48B1" w:rsidP="007E48B1" w:rsidRDefault="007E48B1" w14:paraId="3676835D" w14:textId="77777777">
      <w:pPr>
        <w:keepNext/>
        <w:numPr>
          <w:ilvl w:val="0"/>
          <w:numId w:val="1"/>
        </w:numPr>
        <w:tabs>
          <w:tab w:val="clear" w:pos="432"/>
          <w:tab w:val="num" w:pos="720"/>
        </w:tabs>
        <w:autoSpaceDE w:val="0"/>
        <w:autoSpaceDN w:val="0"/>
        <w:adjustRightInd w:val="0"/>
        <w:spacing w:after="0" w:line="240" w:lineRule="auto"/>
        <w:rPr>
          <w:b/>
          <w:sz w:val="24"/>
          <w:szCs w:val="24"/>
        </w:rPr>
      </w:pPr>
      <w:r w:rsidRPr="009025DE">
        <w:rPr>
          <w:b/>
          <w:sz w:val="24"/>
          <w:szCs w:val="24"/>
          <w:u w:val="single"/>
        </w:rPr>
        <w:t>Reason(s) Display of OMB Expiration Date is Inappropriate</w:t>
      </w:r>
    </w:p>
    <w:p w:rsidR="007E48B1" w:rsidP="007E48B1" w:rsidRDefault="007E48B1" w14:paraId="7B9A468C" w14:textId="77777777">
      <w:pPr>
        <w:widowControl w:val="0"/>
        <w:autoSpaceDE w:val="0"/>
        <w:autoSpaceDN w:val="0"/>
        <w:adjustRightInd w:val="0"/>
        <w:spacing w:after="0" w:line="240" w:lineRule="auto"/>
        <w:ind w:left="1080"/>
        <w:rPr>
          <w:rFonts w:ascii="Times New Roman" w:hAnsi="Times New Roman" w:eastAsia="Times New Roman" w:cs="Times New Roman"/>
          <w:sz w:val="24"/>
          <w:szCs w:val="24"/>
        </w:rPr>
      </w:pPr>
    </w:p>
    <w:p w:rsidRPr="00EE2DEF" w:rsidR="007E48B1" w:rsidP="007E48B1" w:rsidRDefault="007E48B1" w14:paraId="689158CD" w14:textId="77777777">
      <w:pPr>
        <w:spacing w:after="0" w:line="240" w:lineRule="auto"/>
        <w:contextualSpacing/>
        <w:rPr>
          <w:sz w:val="24"/>
          <w:szCs w:val="24"/>
        </w:rPr>
      </w:pPr>
      <w:r w:rsidRPr="00EE2DEF">
        <w:rPr>
          <w:rFonts w:eastAsia="Times New Roman" w:cstheme="minorHAnsi"/>
          <w:sz w:val="24"/>
          <w:szCs w:val="24"/>
        </w:rPr>
        <w:t xml:space="preserve">There </w:t>
      </w:r>
      <w:r>
        <w:rPr>
          <w:rFonts w:eastAsia="Times New Roman" w:cstheme="minorHAnsi"/>
          <w:sz w:val="24"/>
          <w:szCs w:val="24"/>
        </w:rPr>
        <w:t>is no request to not display the OMB Expiration Date</w:t>
      </w:r>
      <w:r w:rsidRPr="00EE2DEF">
        <w:rPr>
          <w:rFonts w:eastAsia="Times New Roman" w:cstheme="minorHAnsi"/>
          <w:sz w:val="24"/>
          <w:szCs w:val="24"/>
        </w:rPr>
        <w:t>.</w:t>
      </w:r>
      <w:r w:rsidRPr="009025DE">
        <w:rPr>
          <w:sz w:val="24"/>
          <w:szCs w:val="24"/>
        </w:rPr>
        <w:t xml:space="preserve"> </w:t>
      </w:r>
    </w:p>
    <w:p w:rsidRPr="00EE2DEF" w:rsidR="007E48B1" w:rsidP="007E48B1" w:rsidRDefault="007E48B1" w14:paraId="2B0898B3" w14:textId="77777777">
      <w:pPr>
        <w:spacing w:after="0" w:line="240" w:lineRule="auto"/>
        <w:ind w:left="720"/>
        <w:contextualSpacing/>
        <w:rPr>
          <w:sz w:val="24"/>
          <w:szCs w:val="24"/>
        </w:rPr>
      </w:pPr>
    </w:p>
    <w:p w:rsidRPr="001B5377" w:rsidR="007E48B1" w:rsidP="007E48B1" w:rsidRDefault="007E48B1" w14:paraId="03D6D7E8" w14:textId="77777777">
      <w:pPr>
        <w:keepNext/>
        <w:numPr>
          <w:ilvl w:val="0"/>
          <w:numId w:val="1"/>
        </w:numPr>
        <w:tabs>
          <w:tab w:val="clear" w:pos="432"/>
          <w:tab w:val="num" w:pos="720"/>
        </w:tabs>
        <w:autoSpaceDE w:val="0"/>
        <w:autoSpaceDN w:val="0"/>
        <w:adjustRightInd w:val="0"/>
        <w:spacing w:after="0" w:line="240" w:lineRule="auto"/>
        <w:rPr>
          <w:b/>
          <w:sz w:val="24"/>
          <w:szCs w:val="24"/>
        </w:rPr>
      </w:pPr>
      <w:r w:rsidRPr="001B5377">
        <w:rPr>
          <w:b/>
          <w:sz w:val="24"/>
          <w:szCs w:val="24"/>
          <w:u w:val="single"/>
        </w:rPr>
        <w:t>Exceptions to Certification for Paperwork Reduction Act Submissions</w:t>
      </w:r>
    </w:p>
    <w:p w:rsidR="007E48B1" w:rsidP="007E48B1" w:rsidRDefault="007E48B1" w14:paraId="6425A0B1" w14:textId="77777777">
      <w:pPr>
        <w:widowControl w:val="0"/>
        <w:autoSpaceDE w:val="0"/>
        <w:autoSpaceDN w:val="0"/>
        <w:adjustRightInd w:val="0"/>
        <w:spacing w:after="0" w:line="240" w:lineRule="auto"/>
        <w:ind w:left="1080"/>
        <w:rPr>
          <w:rFonts w:ascii="Times New Roman" w:hAnsi="Times New Roman" w:eastAsia="Times New Roman" w:cs="Times New Roman"/>
          <w:sz w:val="24"/>
          <w:szCs w:val="24"/>
        </w:rPr>
      </w:pPr>
    </w:p>
    <w:p w:rsidRPr="00EE2DEF" w:rsidR="007E48B1" w:rsidP="007E48B1" w:rsidRDefault="007E48B1" w14:paraId="12929619" w14:textId="77777777">
      <w:pPr>
        <w:widowControl w:val="0"/>
        <w:autoSpaceDE w:val="0"/>
        <w:autoSpaceDN w:val="0"/>
        <w:adjustRightInd w:val="0"/>
        <w:spacing w:after="0" w:line="240" w:lineRule="auto"/>
        <w:rPr>
          <w:rFonts w:ascii="Georgia" w:hAnsi="Georgia"/>
          <w:color w:val="363636"/>
          <w:sz w:val="24"/>
          <w:szCs w:val="24"/>
        </w:rPr>
      </w:pPr>
      <w:r w:rsidRPr="00EE2DEF">
        <w:rPr>
          <w:rFonts w:eastAsia="Times New Roman" w:cstheme="minorHAnsi"/>
          <w:sz w:val="24"/>
          <w:szCs w:val="24"/>
        </w:rPr>
        <w:t>There are no exceptions to the certification.</w:t>
      </w:r>
    </w:p>
    <w:p w:rsidR="00E10BD6" w:rsidP="007E48B1" w:rsidRDefault="00E10BD6" w14:paraId="4154D0D1" w14:textId="77777777">
      <w:pPr>
        <w:widowControl w:val="0"/>
        <w:autoSpaceDE w:val="0"/>
        <w:autoSpaceDN w:val="0"/>
        <w:adjustRightInd w:val="0"/>
        <w:spacing w:after="0" w:line="240" w:lineRule="auto"/>
        <w:rPr>
          <w:sz w:val="24"/>
          <w:szCs w:val="24"/>
        </w:rPr>
      </w:pPr>
    </w:p>
    <w:p w:rsidRPr="00E10BD6" w:rsidR="007E48B1" w:rsidP="007E48B1" w:rsidRDefault="007E48B1" w14:paraId="1C94F0DC" w14:textId="77777777">
      <w:pPr>
        <w:widowControl w:val="0"/>
        <w:autoSpaceDE w:val="0"/>
        <w:autoSpaceDN w:val="0"/>
        <w:adjustRightInd w:val="0"/>
        <w:spacing w:after="0" w:line="240" w:lineRule="auto"/>
        <w:rPr>
          <w:b/>
          <w:sz w:val="24"/>
          <w:szCs w:val="24"/>
        </w:rPr>
      </w:pPr>
      <w:r w:rsidRPr="00E10BD6">
        <w:rPr>
          <w:b/>
          <w:sz w:val="24"/>
          <w:szCs w:val="24"/>
        </w:rPr>
        <w:t>SECTION B STATISTICAL METHODOLOGY</w:t>
      </w:r>
    </w:p>
    <w:p w:rsidR="00E10BD6" w:rsidP="007E48B1" w:rsidRDefault="00E10BD6" w14:paraId="6DDBC042" w14:textId="77777777">
      <w:pPr>
        <w:widowControl w:val="0"/>
        <w:autoSpaceDE w:val="0"/>
        <w:autoSpaceDN w:val="0"/>
        <w:adjustRightInd w:val="0"/>
        <w:spacing w:after="0" w:line="240" w:lineRule="auto"/>
        <w:rPr>
          <w:sz w:val="24"/>
          <w:szCs w:val="24"/>
        </w:rPr>
      </w:pPr>
    </w:p>
    <w:p w:rsidRPr="00EE2DEF" w:rsidR="007E48B1" w:rsidP="007E48B1" w:rsidRDefault="007E48B1" w14:paraId="18E8EF1B" w14:textId="77777777">
      <w:pPr>
        <w:widowControl w:val="0"/>
        <w:autoSpaceDE w:val="0"/>
        <w:autoSpaceDN w:val="0"/>
        <w:adjustRightInd w:val="0"/>
        <w:spacing w:after="0" w:line="240" w:lineRule="auto"/>
        <w:rPr>
          <w:rFonts w:ascii="Georgia" w:hAnsi="Georgia"/>
          <w:color w:val="363636"/>
          <w:sz w:val="24"/>
          <w:szCs w:val="24"/>
        </w:rPr>
      </w:pPr>
      <w:r w:rsidRPr="00EE2DEF">
        <w:rPr>
          <w:sz w:val="24"/>
          <w:szCs w:val="24"/>
        </w:rPr>
        <w:t>This does not require any statistical or other analysis.</w:t>
      </w:r>
    </w:p>
    <w:p w:rsidRPr="00083922" w:rsidR="007815FA" w:rsidP="007815FA" w:rsidRDefault="007815FA" w14:paraId="768591FA" w14:textId="77777777">
      <w:pPr>
        <w:contextualSpacing/>
        <w:rPr>
          <w:sz w:val="24"/>
          <w:szCs w:val="24"/>
        </w:rPr>
      </w:pPr>
    </w:p>
    <w:p w:rsidRPr="00083922" w:rsidR="00247C1E" w:rsidRDefault="00247C1E" w14:paraId="7D3E0CB7" w14:textId="77777777">
      <w:pPr>
        <w:rPr>
          <w:sz w:val="24"/>
          <w:szCs w:val="24"/>
        </w:rPr>
      </w:pPr>
    </w:p>
    <w:sectPr w:rsidRPr="00083922" w:rsidR="00247C1E" w:rsidSect="006E1AC1">
      <w:footerReference w:type="default" r:id="rId8"/>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ECB48" w14:textId="77777777" w:rsidR="007D1A2D" w:rsidRDefault="007D1A2D" w:rsidP="006036CE">
      <w:pPr>
        <w:spacing w:after="0" w:line="240" w:lineRule="auto"/>
      </w:pPr>
      <w:r>
        <w:separator/>
      </w:r>
    </w:p>
  </w:endnote>
  <w:endnote w:type="continuationSeparator" w:id="0">
    <w:p w14:paraId="6A72B5F7" w14:textId="77777777" w:rsidR="007D1A2D" w:rsidRDefault="007D1A2D" w:rsidP="0060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187261010"/>
      <w:docPartObj>
        <w:docPartGallery w:val="Page Numbers (Bottom of Page)"/>
        <w:docPartUnique/>
      </w:docPartObj>
    </w:sdtPr>
    <w:sdtEndPr>
      <w:rPr>
        <w:noProof/>
      </w:rPr>
    </w:sdtEndPr>
    <w:sdtContent>
      <w:p w14:paraId="14924EE5" w14:textId="53E3314C" w:rsidR="006036CE" w:rsidRPr="003D5760" w:rsidRDefault="006036CE">
        <w:pPr>
          <w:pStyle w:val="Footer"/>
          <w:jc w:val="center"/>
          <w:rPr>
            <w:sz w:val="24"/>
            <w:szCs w:val="24"/>
          </w:rPr>
        </w:pPr>
        <w:r w:rsidRPr="003D5760">
          <w:rPr>
            <w:sz w:val="24"/>
            <w:szCs w:val="24"/>
          </w:rPr>
          <w:fldChar w:fldCharType="begin"/>
        </w:r>
        <w:r w:rsidRPr="003D5760">
          <w:rPr>
            <w:sz w:val="24"/>
            <w:szCs w:val="24"/>
          </w:rPr>
          <w:instrText xml:space="preserve"> PAGE   \* MERGEFORMAT </w:instrText>
        </w:r>
        <w:r w:rsidRPr="003D5760">
          <w:rPr>
            <w:sz w:val="24"/>
            <w:szCs w:val="24"/>
          </w:rPr>
          <w:fldChar w:fldCharType="separate"/>
        </w:r>
        <w:r w:rsidR="00D94578">
          <w:rPr>
            <w:noProof/>
            <w:sz w:val="24"/>
            <w:szCs w:val="24"/>
          </w:rPr>
          <w:t>2</w:t>
        </w:r>
        <w:r w:rsidRPr="003D5760">
          <w:rPr>
            <w:noProof/>
            <w:sz w:val="24"/>
            <w:szCs w:val="24"/>
          </w:rPr>
          <w:fldChar w:fldCharType="end"/>
        </w:r>
      </w:p>
    </w:sdtContent>
  </w:sdt>
  <w:p w14:paraId="120BFD2F" w14:textId="77777777" w:rsidR="006036CE" w:rsidRDefault="00603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C3297" w14:textId="77777777" w:rsidR="007D1A2D" w:rsidRDefault="007D1A2D" w:rsidP="006036CE">
      <w:pPr>
        <w:spacing w:after="0" w:line="240" w:lineRule="auto"/>
      </w:pPr>
      <w:r>
        <w:separator/>
      </w:r>
    </w:p>
  </w:footnote>
  <w:footnote w:type="continuationSeparator" w:id="0">
    <w:p w14:paraId="42167A14" w14:textId="77777777" w:rsidR="007D1A2D" w:rsidRDefault="007D1A2D" w:rsidP="0060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A6B7F"/>
    <w:multiLevelType w:val="hybridMultilevel"/>
    <w:tmpl w:val="5156BB5E"/>
    <w:lvl w:ilvl="0" w:tplc="AF7A9162">
      <w:start w:val="14"/>
      <w:numFmt w:val="decimal"/>
      <w:lvlText w:val="%1."/>
      <w:lvlJc w:val="left"/>
      <w:pPr>
        <w:ind w:left="297" w:hanging="232"/>
      </w:pPr>
      <w:rPr>
        <w:rFonts w:ascii="Arial" w:eastAsia="Arial" w:hAnsi="Arial" w:cs="Times New Roman" w:hint="default"/>
        <w:spacing w:val="8"/>
        <w:sz w:val="12"/>
        <w:szCs w:val="12"/>
      </w:rPr>
    </w:lvl>
    <w:lvl w:ilvl="1" w:tplc="CA78E2CA">
      <w:start w:val="1"/>
      <w:numFmt w:val="lowerLetter"/>
      <w:lvlText w:val="%2."/>
      <w:lvlJc w:val="left"/>
      <w:pPr>
        <w:ind w:left="375" w:hanging="151"/>
      </w:pPr>
      <w:rPr>
        <w:rFonts w:ascii="Arial" w:eastAsia="Arial" w:hAnsi="Arial" w:cs="Times New Roman" w:hint="default"/>
        <w:spacing w:val="6"/>
        <w:sz w:val="12"/>
        <w:szCs w:val="12"/>
      </w:rPr>
    </w:lvl>
    <w:lvl w:ilvl="2" w:tplc="E6560C6A">
      <w:start w:val="1"/>
      <w:numFmt w:val="decimal"/>
      <w:lvlText w:val="%3."/>
      <w:lvlJc w:val="left"/>
      <w:pPr>
        <w:ind w:left="487" w:hanging="146"/>
      </w:pPr>
      <w:rPr>
        <w:rFonts w:ascii="Arial" w:eastAsia="Arial" w:hAnsi="Arial" w:cs="Times New Roman" w:hint="default"/>
        <w:spacing w:val="8"/>
        <w:sz w:val="12"/>
        <w:szCs w:val="12"/>
      </w:rPr>
    </w:lvl>
    <w:lvl w:ilvl="3" w:tplc="7F4AC9D8">
      <w:start w:val="1"/>
      <w:numFmt w:val="bullet"/>
      <w:lvlText w:val="•"/>
      <w:lvlJc w:val="left"/>
      <w:pPr>
        <w:ind w:left="1114" w:hanging="146"/>
      </w:pPr>
    </w:lvl>
    <w:lvl w:ilvl="4" w:tplc="1898DA50">
      <w:start w:val="1"/>
      <w:numFmt w:val="bullet"/>
      <w:lvlText w:val="•"/>
      <w:lvlJc w:val="left"/>
      <w:pPr>
        <w:ind w:left="1741" w:hanging="146"/>
      </w:pPr>
    </w:lvl>
    <w:lvl w:ilvl="5" w:tplc="B776B06A">
      <w:start w:val="1"/>
      <w:numFmt w:val="bullet"/>
      <w:lvlText w:val="•"/>
      <w:lvlJc w:val="left"/>
      <w:pPr>
        <w:ind w:left="2368" w:hanging="146"/>
      </w:pPr>
    </w:lvl>
    <w:lvl w:ilvl="6" w:tplc="62467594">
      <w:start w:val="1"/>
      <w:numFmt w:val="bullet"/>
      <w:lvlText w:val="•"/>
      <w:lvlJc w:val="left"/>
      <w:pPr>
        <w:ind w:left="2995" w:hanging="146"/>
      </w:pPr>
    </w:lvl>
    <w:lvl w:ilvl="7" w:tplc="1208114C">
      <w:start w:val="1"/>
      <w:numFmt w:val="bullet"/>
      <w:lvlText w:val="•"/>
      <w:lvlJc w:val="left"/>
      <w:pPr>
        <w:ind w:left="3622" w:hanging="146"/>
      </w:pPr>
    </w:lvl>
    <w:lvl w:ilvl="8" w:tplc="063208B0">
      <w:start w:val="1"/>
      <w:numFmt w:val="bullet"/>
      <w:lvlText w:val="•"/>
      <w:lvlJc w:val="left"/>
      <w:pPr>
        <w:ind w:left="4249" w:hanging="146"/>
      </w:pPr>
    </w:lvl>
  </w:abstractNum>
  <w:abstractNum w:abstractNumId="1" w15:restartNumberingAfterBreak="0">
    <w:nsid w:val="4A1D7109"/>
    <w:multiLevelType w:val="hybridMultilevel"/>
    <w:tmpl w:val="02B0564E"/>
    <w:lvl w:ilvl="0" w:tplc="3F983364">
      <w:start w:val="1"/>
      <w:numFmt w:val="decimal"/>
      <w:lvlText w:val="%1."/>
      <w:lvlJc w:val="left"/>
      <w:pPr>
        <w:tabs>
          <w:tab w:val="num" w:pos="432"/>
        </w:tabs>
        <w:ind w:left="432" w:hanging="432"/>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2E704F7"/>
    <w:multiLevelType w:val="hybridMultilevel"/>
    <w:tmpl w:val="99A27C62"/>
    <w:lvl w:ilvl="0" w:tplc="88B4004A">
      <w:start w:val="13"/>
      <w:numFmt w:val="decimal"/>
      <w:lvlText w:val="%1."/>
      <w:lvlJc w:val="left"/>
      <w:pPr>
        <w:ind w:left="297" w:hanging="232"/>
      </w:pPr>
      <w:rPr>
        <w:rFonts w:asciiTheme="minorHAnsi" w:eastAsia="Arial" w:hAnsiTheme="minorHAnsi" w:cs="Times New Roman" w:hint="default"/>
        <w:spacing w:val="8"/>
        <w:sz w:val="22"/>
        <w:szCs w:val="22"/>
      </w:rPr>
    </w:lvl>
    <w:lvl w:ilvl="1" w:tplc="465ECFC0">
      <w:start w:val="1"/>
      <w:numFmt w:val="lowerLetter"/>
      <w:lvlText w:val="%2."/>
      <w:lvlJc w:val="left"/>
      <w:pPr>
        <w:ind w:left="375" w:hanging="151"/>
      </w:pPr>
      <w:rPr>
        <w:rFonts w:asciiTheme="minorHAnsi" w:eastAsia="Arial" w:hAnsiTheme="minorHAnsi" w:cs="Times New Roman" w:hint="default"/>
        <w:spacing w:val="6"/>
        <w:sz w:val="12"/>
        <w:szCs w:val="12"/>
      </w:rPr>
    </w:lvl>
    <w:lvl w:ilvl="2" w:tplc="17BA7DDC">
      <w:start w:val="1"/>
      <w:numFmt w:val="decimal"/>
      <w:lvlText w:val="%3."/>
      <w:lvlJc w:val="left"/>
      <w:pPr>
        <w:ind w:left="486" w:hanging="106"/>
      </w:pPr>
      <w:rPr>
        <w:rFonts w:ascii="Arial" w:eastAsia="Arial" w:hAnsi="Arial" w:cs="Times New Roman" w:hint="default"/>
        <w:spacing w:val="8"/>
        <w:sz w:val="12"/>
        <w:szCs w:val="12"/>
      </w:rPr>
    </w:lvl>
    <w:lvl w:ilvl="3" w:tplc="F1F280CA">
      <w:start w:val="1"/>
      <w:numFmt w:val="bullet"/>
      <w:lvlText w:val="•"/>
      <w:lvlJc w:val="left"/>
      <w:pPr>
        <w:ind w:left="487" w:hanging="106"/>
      </w:pPr>
    </w:lvl>
    <w:lvl w:ilvl="4" w:tplc="3DD8D326">
      <w:start w:val="1"/>
      <w:numFmt w:val="bullet"/>
      <w:lvlText w:val="•"/>
      <w:lvlJc w:val="left"/>
      <w:pPr>
        <w:ind w:left="1166" w:hanging="106"/>
      </w:pPr>
    </w:lvl>
    <w:lvl w:ilvl="5" w:tplc="F092C13E">
      <w:start w:val="1"/>
      <w:numFmt w:val="bullet"/>
      <w:lvlText w:val="•"/>
      <w:lvlJc w:val="left"/>
      <w:pPr>
        <w:ind w:left="1845" w:hanging="106"/>
      </w:pPr>
    </w:lvl>
    <w:lvl w:ilvl="6" w:tplc="1FF081A4">
      <w:start w:val="1"/>
      <w:numFmt w:val="bullet"/>
      <w:lvlText w:val="•"/>
      <w:lvlJc w:val="left"/>
      <w:pPr>
        <w:ind w:left="2523" w:hanging="106"/>
      </w:pPr>
    </w:lvl>
    <w:lvl w:ilvl="7" w:tplc="D6484314">
      <w:start w:val="1"/>
      <w:numFmt w:val="bullet"/>
      <w:lvlText w:val="•"/>
      <w:lvlJc w:val="left"/>
      <w:pPr>
        <w:ind w:left="3202" w:hanging="106"/>
      </w:pPr>
    </w:lvl>
    <w:lvl w:ilvl="8" w:tplc="D04A681A">
      <w:start w:val="1"/>
      <w:numFmt w:val="bullet"/>
      <w:lvlText w:val="•"/>
      <w:lvlJc w:val="left"/>
      <w:pPr>
        <w:ind w:left="3881" w:hanging="106"/>
      </w:pPr>
    </w:lvl>
  </w:abstractNum>
  <w:abstractNum w:abstractNumId="4"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1"/>
  </w:num>
  <w:num w:numId="3">
    <w:abstractNumId w:val="2"/>
  </w:num>
  <w:num w:numId="4">
    <w:abstractNumId w:val="4"/>
  </w:num>
  <w:num w:numId="5">
    <w:abstractNumId w:val="3"/>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0"/>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2D"/>
    <w:rsid w:val="00030047"/>
    <w:rsid w:val="00040EFD"/>
    <w:rsid w:val="00050773"/>
    <w:rsid w:val="0006131E"/>
    <w:rsid w:val="00083922"/>
    <w:rsid w:val="000874B7"/>
    <w:rsid w:val="0009517B"/>
    <w:rsid w:val="0009697B"/>
    <w:rsid w:val="000969F2"/>
    <w:rsid w:val="00097220"/>
    <w:rsid w:val="000A5464"/>
    <w:rsid w:val="000A78D5"/>
    <w:rsid w:val="000B6AAD"/>
    <w:rsid w:val="000C336E"/>
    <w:rsid w:val="00123405"/>
    <w:rsid w:val="00124B1C"/>
    <w:rsid w:val="001309DD"/>
    <w:rsid w:val="00132410"/>
    <w:rsid w:val="001429D0"/>
    <w:rsid w:val="00144EB5"/>
    <w:rsid w:val="001544F7"/>
    <w:rsid w:val="001660DA"/>
    <w:rsid w:val="00166D16"/>
    <w:rsid w:val="00171301"/>
    <w:rsid w:val="001770E5"/>
    <w:rsid w:val="00190B8C"/>
    <w:rsid w:val="001A7478"/>
    <w:rsid w:val="001B2C2D"/>
    <w:rsid w:val="001B4E22"/>
    <w:rsid w:val="001E1AE2"/>
    <w:rsid w:val="001F3022"/>
    <w:rsid w:val="00201A94"/>
    <w:rsid w:val="00227090"/>
    <w:rsid w:val="00231E29"/>
    <w:rsid w:val="002330BE"/>
    <w:rsid w:val="00247C1E"/>
    <w:rsid w:val="00280FC8"/>
    <w:rsid w:val="00292EEE"/>
    <w:rsid w:val="002A2F08"/>
    <w:rsid w:val="002A7084"/>
    <w:rsid w:val="002A787E"/>
    <w:rsid w:val="002C5115"/>
    <w:rsid w:val="002E780D"/>
    <w:rsid w:val="00306D66"/>
    <w:rsid w:val="00315571"/>
    <w:rsid w:val="003179EB"/>
    <w:rsid w:val="00325793"/>
    <w:rsid w:val="00332D79"/>
    <w:rsid w:val="00343136"/>
    <w:rsid w:val="00347EDD"/>
    <w:rsid w:val="0035397C"/>
    <w:rsid w:val="003764F3"/>
    <w:rsid w:val="00377B11"/>
    <w:rsid w:val="003814B8"/>
    <w:rsid w:val="003835F8"/>
    <w:rsid w:val="003900BC"/>
    <w:rsid w:val="003D5760"/>
    <w:rsid w:val="003D7E98"/>
    <w:rsid w:val="003F1E2D"/>
    <w:rsid w:val="004075F4"/>
    <w:rsid w:val="004153AA"/>
    <w:rsid w:val="0041669E"/>
    <w:rsid w:val="00453278"/>
    <w:rsid w:val="00464C52"/>
    <w:rsid w:val="00476970"/>
    <w:rsid w:val="004877CF"/>
    <w:rsid w:val="00493BAF"/>
    <w:rsid w:val="00495A9D"/>
    <w:rsid w:val="00496D4D"/>
    <w:rsid w:val="004A399A"/>
    <w:rsid w:val="004A7554"/>
    <w:rsid w:val="004B6948"/>
    <w:rsid w:val="004E5399"/>
    <w:rsid w:val="004F0F2D"/>
    <w:rsid w:val="00502F80"/>
    <w:rsid w:val="00513CE1"/>
    <w:rsid w:val="005223D2"/>
    <w:rsid w:val="00525DBA"/>
    <w:rsid w:val="00526E0D"/>
    <w:rsid w:val="0053373C"/>
    <w:rsid w:val="00551607"/>
    <w:rsid w:val="00553705"/>
    <w:rsid w:val="0056056D"/>
    <w:rsid w:val="00566B20"/>
    <w:rsid w:val="00575C94"/>
    <w:rsid w:val="005C1927"/>
    <w:rsid w:val="005C68A6"/>
    <w:rsid w:val="005D27E6"/>
    <w:rsid w:val="005D7650"/>
    <w:rsid w:val="005F4F43"/>
    <w:rsid w:val="006036CE"/>
    <w:rsid w:val="00604F48"/>
    <w:rsid w:val="00605969"/>
    <w:rsid w:val="0062501A"/>
    <w:rsid w:val="00626E79"/>
    <w:rsid w:val="006301E0"/>
    <w:rsid w:val="00644565"/>
    <w:rsid w:val="00672643"/>
    <w:rsid w:val="006803D5"/>
    <w:rsid w:val="00684A46"/>
    <w:rsid w:val="006B012B"/>
    <w:rsid w:val="006C2731"/>
    <w:rsid w:val="006C462D"/>
    <w:rsid w:val="006D137B"/>
    <w:rsid w:val="006E0B13"/>
    <w:rsid w:val="006E1AC1"/>
    <w:rsid w:val="006F588E"/>
    <w:rsid w:val="0070197D"/>
    <w:rsid w:val="00714199"/>
    <w:rsid w:val="00716611"/>
    <w:rsid w:val="007237B0"/>
    <w:rsid w:val="00726C31"/>
    <w:rsid w:val="00730151"/>
    <w:rsid w:val="00736E8F"/>
    <w:rsid w:val="00764572"/>
    <w:rsid w:val="00767C15"/>
    <w:rsid w:val="0077343B"/>
    <w:rsid w:val="00776DD8"/>
    <w:rsid w:val="007815FA"/>
    <w:rsid w:val="00785CE3"/>
    <w:rsid w:val="007D1A2D"/>
    <w:rsid w:val="007D2545"/>
    <w:rsid w:val="007D6D9A"/>
    <w:rsid w:val="007E48B1"/>
    <w:rsid w:val="007E7034"/>
    <w:rsid w:val="00800DD6"/>
    <w:rsid w:val="00825C30"/>
    <w:rsid w:val="008456BB"/>
    <w:rsid w:val="008634B1"/>
    <w:rsid w:val="0087086C"/>
    <w:rsid w:val="00870A89"/>
    <w:rsid w:val="00876794"/>
    <w:rsid w:val="00881FB5"/>
    <w:rsid w:val="00887CAA"/>
    <w:rsid w:val="00891C97"/>
    <w:rsid w:val="008D11A4"/>
    <w:rsid w:val="008D1CF2"/>
    <w:rsid w:val="008E0546"/>
    <w:rsid w:val="008E540C"/>
    <w:rsid w:val="008F588E"/>
    <w:rsid w:val="008F58CE"/>
    <w:rsid w:val="00912984"/>
    <w:rsid w:val="00933D5A"/>
    <w:rsid w:val="00935FEA"/>
    <w:rsid w:val="0093618B"/>
    <w:rsid w:val="00936202"/>
    <w:rsid w:val="00944AB6"/>
    <w:rsid w:val="00957FAE"/>
    <w:rsid w:val="00974E2B"/>
    <w:rsid w:val="00983722"/>
    <w:rsid w:val="009A62AE"/>
    <w:rsid w:val="009B3AF0"/>
    <w:rsid w:val="009C42BB"/>
    <w:rsid w:val="009D02DB"/>
    <w:rsid w:val="009D429C"/>
    <w:rsid w:val="009D740E"/>
    <w:rsid w:val="009F0084"/>
    <w:rsid w:val="009F7652"/>
    <w:rsid w:val="00A14BCE"/>
    <w:rsid w:val="00A24273"/>
    <w:rsid w:val="00A37132"/>
    <w:rsid w:val="00A47A4B"/>
    <w:rsid w:val="00A519B0"/>
    <w:rsid w:val="00A535F5"/>
    <w:rsid w:val="00A5701E"/>
    <w:rsid w:val="00A64ED9"/>
    <w:rsid w:val="00A87DB3"/>
    <w:rsid w:val="00A93A2E"/>
    <w:rsid w:val="00A93E65"/>
    <w:rsid w:val="00AA248D"/>
    <w:rsid w:val="00AC436B"/>
    <w:rsid w:val="00AD676B"/>
    <w:rsid w:val="00AE72E0"/>
    <w:rsid w:val="00AF2145"/>
    <w:rsid w:val="00B021CF"/>
    <w:rsid w:val="00B0786B"/>
    <w:rsid w:val="00B1271B"/>
    <w:rsid w:val="00B12B2E"/>
    <w:rsid w:val="00B1380F"/>
    <w:rsid w:val="00B2060B"/>
    <w:rsid w:val="00B23370"/>
    <w:rsid w:val="00B35147"/>
    <w:rsid w:val="00B461E1"/>
    <w:rsid w:val="00B87C3D"/>
    <w:rsid w:val="00BB5597"/>
    <w:rsid w:val="00BC1BF8"/>
    <w:rsid w:val="00BC473F"/>
    <w:rsid w:val="00BD5077"/>
    <w:rsid w:val="00BE4C93"/>
    <w:rsid w:val="00BF40C5"/>
    <w:rsid w:val="00C01FE3"/>
    <w:rsid w:val="00C17D02"/>
    <w:rsid w:val="00C3102C"/>
    <w:rsid w:val="00C33138"/>
    <w:rsid w:val="00C33371"/>
    <w:rsid w:val="00C333F7"/>
    <w:rsid w:val="00C44DC8"/>
    <w:rsid w:val="00C56B5A"/>
    <w:rsid w:val="00C57372"/>
    <w:rsid w:val="00C72F85"/>
    <w:rsid w:val="00C76445"/>
    <w:rsid w:val="00C94AB3"/>
    <w:rsid w:val="00CB44F9"/>
    <w:rsid w:val="00CB60CB"/>
    <w:rsid w:val="00CC0B83"/>
    <w:rsid w:val="00CE4BB4"/>
    <w:rsid w:val="00CF1C33"/>
    <w:rsid w:val="00D07A85"/>
    <w:rsid w:val="00D112A2"/>
    <w:rsid w:val="00D25114"/>
    <w:rsid w:val="00D34FB9"/>
    <w:rsid w:val="00D36BD0"/>
    <w:rsid w:val="00D46E15"/>
    <w:rsid w:val="00D7045D"/>
    <w:rsid w:val="00D82AD4"/>
    <w:rsid w:val="00D94578"/>
    <w:rsid w:val="00DA1166"/>
    <w:rsid w:val="00DA7E12"/>
    <w:rsid w:val="00DB20C0"/>
    <w:rsid w:val="00DC1D12"/>
    <w:rsid w:val="00DC69A1"/>
    <w:rsid w:val="00DD17BA"/>
    <w:rsid w:val="00DE169A"/>
    <w:rsid w:val="00DF289A"/>
    <w:rsid w:val="00E10BD6"/>
    <w:rsid w:val="00E16900"/>
    <w:rsid w:val="00E20788"/>
    <w:rsid w:val="00E21466"/>
    <w:rsid w:val="00E22E74"/>
    <w:rsid w:val="00E321D2"/>
    <w:rsid w:val="00E35B18"/>
    <w:rsid w:val="00E44153"/>
    <w:rsid w:val="00E45C6E"/>
    <w:rsid w:val="00E469C9"/>
    <w:rsid w:val="00E6716D"/>
    <w:rsid w:val="00E7243F"/>
    <w:rsid w:val="00E809E7"/>
    <w:rsid w:val="00E8757A"/>
    <w:rsid w:val="00E96055"/>
    <w:rsid w:val="00EC3C10"/>
    <w:rsid w:val="00ED04F4"/>
    <w:rsid w:val="00EF2A99"/>
    <w:rsid w:val="00EF5BDD"/>
    <w:rsid w:val="00EF643E"/>
    <w:rsid w:val="00EF78C5"/>
    <w:rsid w:val="00F05BA1"/>
    <w:rsid w:val="00F40D84"/>
    <w:rsid w:val="00F44B60"/>
    <w:rsid w:val="00F45A20"/>
    <w:rsid w:val="00F52E14"/>
    <w:rsid w:val="00F54CF0"/>
    <w:rsid w:val="00F60A9C"/>
    <w:rsid w:val="00F74BEB"/>
    <w:rsid w:val="00F80C5E"/>
    <w:rsid w:val="00F8531E"/>
    <w:rsid w:val="00FA3ADB"/>
    <w:rsid w:val="00FA7311"/>
    <w:rsid w:val="00FD3152"/>
    <w:rsid w:val="00FD5371"/>
    <w:rsid w:val="00FE6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9FAB"/>
  <w15:docId w15:val="{41302089-B585-47E0-A008-E9301093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C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2C2D"/>
  </w:style>
  <w:style w:type="character" w:styleId="CommentReference">
    <w:name w:val="annotation reference"/>
    <w:basedOn w:val="DefaultParagraphFont"/>
    <w:uiPriority w:val="99"/>
    <w:semiHidden/>
    <w:unhideWhenUsed/>
    <w:rsid w:val="00BE4C93"/>
    <w:rPr>
      <w:sz w:val="16"/>
      <w:szCs w:val="16"/>
    </w:rPr>
  </w:style>
  <w:style w:type="paragraph" w:styleId="CommentText">
    <w:name w:val="annotation text"/>
    <w:basedOn w:val="Normal"/>
    <w:link w:val="CommentTextChar"/>
    <w:uiPriority w:val="99"/>
    <w:unhideWhenUsed/>
    <w:rsid w:val="00BE4C93"/>
    <w:pPr>
      <w:spacing w:line="240" w:lineRule="auto"/>
    </w:pPr>
    <w:rPr>
      <w:sz w:val="20"/>
      <w:szCs w:val="20"/>
    </w:rPr>
  </w:style>
  <w:style w:type="character" w:customStyle="1" w:styleId="CommentTextChar">
    <w:name w:val="Comment Text Char"/>
    <w:basedOn w:val="DefaultParagraphFont"/>
    <w:link w:val="CommentText"/>
    <w:uiPriority w:val="99"/>
    <w:rsid w:val="00BE4C93"/>
    <w:rPr>
      <w:sz w:val="20"/>
      <w:szCs w:val="20"/>
    </w:rPr>
  </w:style>
  <w:style w:type="paragraph" w:styleId="CommentSubject">
    <w:name w:val="annotation subject"/>
    <w:basedOn w:val="CommentText"/>
    <w:next w:val="CommentText"/>
    <w:link w:val="CommentSubjectChar"/>
    <w:uiPriority w:val="99"/>
    <w:semiHidden/>
    <w:unhideWhenUsed/>
    <w:rsid w:val="00BE4C93"/>
    <w:rPr>
      <w:b/>
      <w:bCs/>
    </w:rPr>
  </w:style>
  <w:style w:type="character" w:customStyle="1" w:styleId="CommentSubjectChar">
    <w:name w:val="Comment Subject Char"/>
    <w:basedOn w:val="CommentTextChar"/>
    <w:link w:val="CommentSubject"/>
    <w:uiPriority w:val="99"/>
    <w:semiHidden/>
    <w:rsid w:val="00BE4C93"/>
    <w:rPr>
      <w:b/>
      <w:bCs/>
      <w:sz w:val="20"/>
      <w:szCs w:val="20"/>
    </w:rPr>
  </w:style>
  <w:style w:type="paragraph" w:styleId="BalloonText">
    <w:name w:val="Balloon Text"/>
    <w:basedOn w:val="Normal"/>
    <w:link w:val="BalloonTextChar"/>
    <w:uiPriority w:val="99"/>
    <w:semiHidden/>
    <w:unhideWhenUsed/>
    <w:rsid w:val="00BE4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C93"/>
    <w:rPr>
      <w:rFonts w:ascii="Segoe UI" w:hAnsi="Segoe UI" w:cs="Segoe UI"/>
      <w:sz w:val="18"/>
      <w:szCs w:val="18"/>
    </w:rPr>
  </w:style>
  <w:style w:type="table" w:styleId="TableGrid">
    <w:name w:val="Table Grid"/>
    <w:basedOn w:val="TableNormal"/>
    <w:uiPriority w:val="39"/>
    <w:rsid w:val="00B12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3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6CE"/>
  </w:style>
  <w:style w:type="paragraph" w:styleId="Footer">
    <w:name w:val="footer"/>
    <w:basedOn w:val="Normal"/>
    <w:link w:val="FooterChar"/>
    <w:uiPriority w:val="99"/>
    <w:unhideWhenUsed/>
    <w:rsid w:val="00603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6CE"/>
  </w:style>
  <w:style w:type="character" w:styleId="Hyperlink">
    <w:name w:val="Hyperlink"/>
    <w:basedOn w:val="DefaultParagraphFont"/>
    <w:uiPriority w:val="99"/>
    <w:unhideWhenUsed/>
    <w:rsid w:val="00280FC8"/>
    <w:rPr>
      <w:color w:val="0563C1" w:themeColor="hyperlink"/>
      <w:u w:val="single"/>
    </w:rPr>
  </w:style>
  <w:style w:type="character" w:styleId="UnresolvedMention">
    <w:name w:val="Unresolved Mention"/>
    <w:basedOn w:val="DefaultParagraphFont"/>
    <w:uiPriority w:val="99"/>
    <w:semiHidden/>
    <w:unhideWhenUsed/>
    <w:rsid w:val="00716611"/>
    <w:rPr>
      <w:color w:val="605E5C"/>
      <w:shd w:val="clear" w:color="auto" w:fill="E1DFDD"/>
    </w:rPr>
  </w:style>
  <w:style w:type="paragraph" w:styleId="Revision">
    <w:name w:val="Revision"/>
    <w:hidden/>
    <w:uiPriority w:val="99"/>
    <w:semiHidden/>
    <w:rsid w:val="00CE4B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1719">
      <w:bodyDiv w:val="1"/>
      <w:marLeft w:val="0"/>
      <w:marRight w:val="0"/>
      <w:marTop w:val="0"/>
      <w:marBottom w:val="0"/>
      <w:divBdr>
        <w:top w:val="none" w:sz="0" w:space="0" w:color="auto"/>
        <w:left w:val="none" w:sz="0" w:space="0" w:color="auto"/>
        <w:bottom w:val="none" w:sz="0" w:space="0" w:color="auto"/>
        <w:right w:val="none" w:sz="0" w:space="0" w:color="auto"/>
      </w:divBdr>
    </w:div>
    <w:div w:id="172401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3755F-31FA-4AE5-80D9-274095FBF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Reid</dc:creator>
  <cp:lastModifiedBy>Perez, Blenda (HHS/ASFR)</cp:lastModifiedBy>
  <cp:revision>3</cp:revision>
  <cp:lastPrinted>2015-07-08T14:25:00Z</cp:lastPrinted>
  <dcterms:created xsi:type="dcterms:W3CDTF">2021-12-14T02:24:00Z</dcterms:created>
  <dcterms:modified xsi:type="dcterms:W3CDTF">2021-12-14T02:24:00Z</dcterms:modified>
</cp:coreProperties>
</file>