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26AE" w:rsidP="008126AE" w14:paraId="137A7C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8126AE" w:rsidP="008126AE" w14:paraId="5D0E3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P="008126AE" w14:paraId="04EB93C0" w14:textId="3AD15E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Hunter Harvest and Satisfaction Survey on Green Bay and Lake Michigan</w:t>
      </w:r>
    </w:p>
    <w:p w:rsidR="008126AE" w:rsidP="008126AE" w14:paraId="5C8FCF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140A803B" w14:textId="1E2FEB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Pr>
          <w:b/>
          <w:bCs/>
          <w:sz w:val="32"/>
          <w:szCs w:val="32"/>
        </w:rPr>
        <w:t>10</w:t>
      </w:r>
      <w:r w:rsidR="007F13E4">
        <w:rPr>
          <w:b/>
          <w:bCs/>
          <w:sz w:val="32"/>
          <w:szCs w:val="32"/>
        </w:rPr>
        <w:t>28-NEW</w:t>
      </w:r>
    </w:p>
    <w:p w:rsidR="008126AE" w:rsidP="008126AE" w14:paraId="71E61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24007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4201E3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5D918C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33B5E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64F97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F13E4" w:rsidP="007F13E4" w14:paraId="2905A122" w14:textId="01139E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14:paraId="15BD249B" w14:textId="68A1BD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F13E4" w:rsidP="008126AE" w14:paraId="1FFDD341" w14:textId="6345E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The single cavass in this information is any hunter that hunts the open waters of Green Bay and Lake Michigan.  The current estimate for hunters </w:t>
      </w:r>
      <w:r w:rsidR="00B5754D">
        <w:rPr>
          <w:sz w:val="24"/>
          <w:szCs w:val="24"/>
        </w:rPr>
        <w:t xml:space="preserve">participating in this environment is 3,250 but it is unlikely that all will participate in the online survey.  Previous online surveys indicate that we can expect around 300 responses with an unknown response rate.  </w:t>
      </w:r>
      <w:r w:rsidR="00F44A02">
        <w:rPr>
          <w:sz w:val="24"/>
          <w:szCs w:val="24"/>
        </w:rPr>
        <w:t>Our</w:t>
      </w:r>
      <w:r w:rsidR="00B5754D">
        <w:rPr>
          <w:sz w:val="24"/>
          <w:szCs w:val="24"/>
        </w:rPr>
        <w:t xml:space="preserve"> response rate is unknown as we promote the survey through social </w:t>
      </w:r>
      <w:r w:rsidR="00F44A02">
        <w:rPr>
          <w:sz w:val="24"/>
          <w:szCs w:val="24"/>
        </w:rPr>
        <w:t>media,</w:t>
      </w:r>
      <w:r w:rsidR="00B5754D">
        <w:rPr>
          <w:sz w:val="24"/>
          <w:szCs w:val="24"/>
        </w:rPr>
        <w:t xml:space="preserve"> and it is unknown how many waterfowl hunters hunt in these open water environments.  Previous in-person surveys resulted in responses from just over 12</w:t>
      </w:r>
      <w:r w:rsidR="00F44A02">
        <w:rPr>
          <w:sz w:val="24"/>
          <w:szCs w:val="24"/>
        </w:rPr>
        <w:t>5</w:t>
      </w:r>
      <w:r w:rsidR="00B5754D">
        <w:rPr>
          <w:sz w:val="24"/>
          <w:szCs w:val="24"/>
        </w:rPr>
        <w:t xml:space="preserve"> </w:t>
      </w:r>
      <w:r w:rsidR="00F44A02">
        <w:rPr>
          <w:sz w:val="24"/>
          <w:szCs w:val="24"/>
        </w:rPr>
        <w:t>individuals,</w:t>
      </w:r>
      <w:r w:rsidR="00B5754D">
        <w:rPr>
          <w:sz w:val="24"/>
          <w:szCs w:val="24"/>
        </w:rPr>
        <w:t xml:space="preserve"> and we had a 100% response rate during in-person survey efforts.  With sampling at a different set of hunter access sites, we anticipate responses from 150-200 hunters</w:t>
      </w:r>
      <w:r w:rsidR="00F44A02">
        <w:rPr>
          <w:sz w:val="24"/>
          <w:szCs w:val="24"/>
        </w:rPr>
        <w:t xml:space="preserve"> during our in-person surveys.</w:t>
      </w:r>
    </w:p>
    <w:p w:rsidR="00F44A02" w:rsidRPr="00E5470C" w:rsidP="00F44A02" w14:paraId="2B792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5470C">
        <w:rPr>
          <w:color w:val="000000" w:themeColor="text1"/>
          <w:sz w:val="24"/>
          <w:szCs w:val="24"/>
        </w:rPr>
        <w:t xml:space="preserve">Table </w:t>
      </w:r>
      <w:r w:rsidRPr="00B50790">
        <w:rPr>
          <w:color w:val="000000" w:themeColor="text1"/>
          <w:sz w:val="24"/>
          <w:szCs w:val="24"/>
        </w:rPr>
        <w:t>2 Respondent</w:t>
      </w:r>
      <w:r w:rsidRPr="00E5470C">
        <w:rPr>
          <w:color w:val="000000" w:themeColor="text1"/>
          <w:sz w:val="24"/>
          <w:szCs w:val="24"/>
        </w:rPr>
        <w:t xml:space="preserve"> burden </w:t>
      </w:r>
    </w:p>
    <w:tbl>
      <w:tblPr>
        <w:tblStyle w:val="TableGrid"/>
        <w:tblW w:w="0" w:type="auto"/>
        <w:tblLook w:val="04A0"/>
      </w:tblPr>
      <w:tblGrid>
        <w:gridCol w:w="3325"/>
        <w:gridCol w:w="1440"/>
        <w:gridCol w:w="1440"/>
        <w:gridCol w:w="1080"/>
        <w:gridCol w:w="1800"/>
      </w:tblGrid>
      <w:tr w14:paraId="4A64A117" w14:textId="77777777" w:rsidTr="0015756F">
        <w:tblPrEx>
          <w:tblW w:w="0" w:type="auto"/>
          <w:tblLook w:val="04A0"/>
        </w:tblPrEx>
        <w:tc>
          <w:tcPr>
            <w:tcW w:w="3325" w:type="dxa"/>
          </w:tcPr>
          <w:p w:rsidR="00F44A02" w:rsidRPr="00E5470C" w:rsidP="0015756F" w14:paraId="62DC2C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Participant / Activity</w:t>
            </w:r>
          </w:p>
        </w:tc>
        <w:tc>
          <w:tcPr>
            <w:tcW w:w="1440" w:type="dxa"/>
          </w:tcPr>
          <w:p w:rsidR="00F44A02" w:rsidRPr="00E5470C" w:rsidP="0015756F" w14:paraId="33B4AA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Number of Responses</w:t>
            </w:r>
          </w:p>
        </w:tc>
        <w:tc>
          <w:tcPr>
            <w:tcW w:w="1440" w:type="dxa"/>
          </w:tcPr>
          <w:p w:rsidR="00F44A02" w:rsidRPr="00E5470C" w:rsidP="0015756F" w14:paraId="34EBF3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Minute per response</w:t>
            </w:r>
          </w:p>
        </w:tc>
        <w:tc>
          <w:tcPr>
            <w:tcW w:w="1080" w:type="dxa"/>
          </w:tcPr>
          <w:p w:rsidR="00F44A02" w:rsidRPr="00E5470C" w:rsidP="0015756F" w14:paraId="5AED8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Burden Hours</w:t>
            </w:r>
          </w:p>
        </w:tc>
        <w:tc>
          <w:tcPr>
            <w:tcW w:w="1800" w:type="dxa"/>
          </w:tcPr>
          <w:p w:rsidR="00F44A02" w:rsidRPr="00E5470C" w:rsidP="0015756F" w14:paraId="657166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color w:val="000000" w:themeColor="text1"/>
                <w:sz w:val="24"/>
                <w:szCs w:val="24"/>
              </w:rPr>
            </w:pPr>
            <w:r w:rsidRPr="00E5470C">
              <w:rPr>
                <w:b/>
                <w:color w:val="000000" w:themeColor="text1"/>
                <w:sz w:val="24"/>
                <w:szCs w:val="24"/>
              </w:rPr>
              <w:t xml:space="preserve">Dollar Value for Burden </w:t>
            </w:r>
            <w:r w:rsidRPr="00E5470C">
              <w:rPr>
                <w:b/>
                <w:color w:val="000000" w:themeColor="text1"/>
                <w:sz w:val="24"/>
                <w:szCs w:val="24"/>
              </w:rPr>
              <w:t>Hr</w:t>
            </w:r>
          </w:p>
        </w:tc>
      </w:tr>
      <w:tr w14:paraId="6AE5A9D6" w14:textId="77777777" w:rsidTr="0015756F">
        <w:tblPrEx>
          <w:tblW w:w="0" w:type="auto"/>
          <w:tblLook w:val="04A0"/>
        </w:tblPrEx>
        <w:tc>
          <w:tcPr>
            <w:tcW w:w="3325" w:type="dxa"/>
          </w:tcPr>
          <w:p w:rsidR="00F44A02" w:rsidRPr="00E5470C" w:rsidP="0015756F" w14:paraId="1184D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 xml:space="preserve">Public individual reads announcement or </w:t>
            </w:r>
            <w:r w:rsidRPr="00B50790">
              <w:rPr>
                <w:color w:val="000000" w:themeColor="text1"/>
                <w:sz w:val="24"/>
                <w:szCs w:val="24"/>
              </w:rPr>
              <w:t>instructions and completes in Person Surveys</w:t>
            </w:r>
          </w:p>
        </w:tc>
        <w:tc>
          <w:tcPr>
            <w:tcW w:w="1440" w:type="dxa"/>
          </w:tcPr>
          <w:p w:rsidR="00F44A02" w:rsidRPr="00E5470C" w:rsidP="0015756F" w14:paraId="30D935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300</w:t>
            </w:r>
          </w:p>
        </w:tc>
        <w:tc>
          <w:tcPr>
            <w:tcW w:w="1440" w:type="dxa"/>
          </w:tcPr>
          <w:p w:rsidR="00F44A02" w:rsidRPr="00E5470C" w:rsidP="0015756F" w14:paraId="17F1B4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10</w:t>
            </w:r>
          </w:p>
        </w:tc>
        <w:tc>
          <w:tcPr>
            <w:tcW w:w="1080" w:type="dxa"/>
          </w:tcPr>
          <w:p w:rsidR="00F44A02" w:rsidRPr="00E5470C" w:rsidP="0015756F" w14:paraId="2EB56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50</w:t>
            </w:r>
          </w:p>
        </w:tc>
        <w:tc>
          <w:tcPr>
            <w:tcW w:w="1800" w:type="dxa"/>
          </w:tcPr>
          <w:p w:rsidR="00F44A02" w:rsidRPr="00E5470C" w:rsidP="0015756F" w14:paraId="00B997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$2,052</w:t>
            </w:r>
          </w:p>
        </w:tc>
      </w:tr>
      <w:tr w14:paraId="79E61FEA" w14:textId="77777777" w:rsidTr="0015756F">
        <w:tblPrEx>
          <w:tblW w:w="0" w:type="auto"/>
          <w:tblLook w:val="04A0"/>
        </w:tblPrEx>
        <w:tc>
          <w:tcPr>
            <w:tcW w:w="3325" w:type="dxa"/>
            <w:tcBorders>
              <w:bottom w:val="double" w:sz="4" w:space="0" w:color="auto"/>
            </w:tcBorders>
          </w:tcPr>
          <w:p w:rsidR="00F44A02" w:rsidRPr="00E5470C" w:rsidP="0015756F" w14:paraId="07B17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B50790">
              <w:rPr>
                <w:color w:val="000000" w:themeColor="text1"/>
                <w:sz w:val="24"/>
                <w:szCs w:val="24"/>
              </w:rPr>
              <w:t xml:space="preserve"> Public individual reads announcement or instructions and completes Online Survey</w:t>
            </w:r>
          </w:p>
        </w:tc>
        <w:tc>
          <w:tcPr>
            <w:tcW w:w="1440" w:type="dxa"/>
            <w:tcBorders>
              <w:bottom w:val="double" w:sz="4" w:space="0" w:color="auto"/>
            </w:tcBorders>
          </w:tcPr>
          <w:p w:rsidR="00F44A02" w:rsidRPr="00E5470C" w:rsidP="0015756F" w14:paraId="3D9D45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300</w:t>
            </w:r>
          </w:p>
        </w:tc>
        <w:tc>
          <w:tcPr>
            <w:tcW w:w="1440" w:type="dxa"/>
            <w:tcBorders>
              <w:bottom w:val="double" w:sz="4" w:space="0" w:color="auto"/>
            </w:tcBorders>
          </w:tcPr>
          <w:p w:rsidR="00F44A02" w:rsidRPr="00E5470C" w:rsidP="0015756F" w14:paraId="55867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10</w:t>
            </w:r>
          </w:p>
        </w:tc>
        <w:tc>
          <w:tcPr>
            <w:tcW w:w="1080" w:type="dxa"/>
            <w:tcBorders>
              <w:bottom w:val="double" w:sz="4" w:space="0" w:color="auto"/>
            </w:tcBorders>
          </w:tcPr>
          <w:p w:rsidR="00F44A02" w:rsidRPr="00E5470C" w:rsidP="0015756F" w14:paraId="22C211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B50790">
              <w:rPr>
                <w:color w:val="000000" w:themeColor="text1"/>
                <w:sz w:val="24"/>
                <w:szCs w:val="24"/>
              </w:rPr>
              <w:t xml:space="preserve">50 </w:t>
            </w:r>
          </w:p>
        </w:tc>
        <w:tc>
          <w:tcPr>
            <w:tcW w:w="1800" w:type="dxa"/>
            <w:tcBorders>
              <w:bottom w:val="double" w:sz="4" w:space="0" w:color="auto"/>
            </w:tcBorders>
          </w:tcPr>
          <w:p w:rsidR="00F44A02" w:rsidRPr="00E5470C" w:rsidP="0015756F" w14:paraId="0A1C4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w:t>
            </w:r>
            <w:r w:rsidRPr="00B50790">
              <w:rPr>
                <w:color w:val="000000" w:themeColor="text1"/>
                <w:sz w:val="24"/>
                <w:szCs w:val="24"/>
              </w:rPr>
              <w:t>2,052</w:t>
            </w:r>
          </w:p>
        </w:tc>
      </w:tr>
      <w:tr w14:paraId="76DC0B27" w14:textId="77777777" w:rsidTr="0015756F">
        <w:tblPrEx>
          <w:tblW w:w="0" w:type="auto"/>
          <w:tblLook w:val="04A0"/>
        </w:tblPrEx>
        <w:tc>
          <w:tcPr>
            <w:tcW w:w="3325" w:type="dxa"/>
            <w:tcBorders>
              <w:top w:val="double" w:sz="4" w:space="0" w:color="auto"/>
              <w:bottom w:val="double" w:sz="4" w:space="0" w:color="auto"/>
            </w:tcBorders>
          </w:tcPr>
          <w:p w:rsidR="00F44A02" w:rsidRPr="00E5470C" w:rsidP="0015756F" w14:paraId="0C6340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color w:val="000000" w:themeColor="text1"/>
                <w:sz w:val="24"/>
                <w:szCs w:val="24"/>
              </w:rPr>
            </w:pPr>
            <w:r w:rsidRPr="00E5470C">
              <w:rPr>
                <w:color w:val="000000" w:themeColor="text1"/>
                <w:sz w:val="24"/>
                <w:szCs w:val="24"/>
              </w:rPr>
              <w:t xml:space="preserve">Total </w:t>
            </w:r>
          </w:p>
        </w:tc>
        <w:tc>
          <w:tcPr>
            <w:tcW w:w="1440" w:type="dxa"/>
            <w:tcBorders>
              <w:top w:val="double" w:sz="4" w:space="0" w:color="auto"/>
              <w:bottom w:val="double" w:sz="4" w:space="0" w:color="auto"/>
            </w:tcBorders>
          </w:tcPr>
          <w:p w:rsidR="00F44A02" w:rsidRPr="00E5470C" w:rsidP="0015756F" w14:paraId="56B42F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600</w:t>
            </w:r>
          </w:p>
        </w:tc>
        <w:tc>
          <w:tcPr>
            <w:tcW w:w="1440" w:type="dxa"/>
            <w:tcBorders>
              <w:top w:val="double" w:sz="4" w:space="0" w:color="auto"/>
              <w:bottom w:val="double" w:sz="4" w:space="0" w:color="auto"/>
            </w:tcBorders>
          </w:tcPr>
          <w:p w:rsidR="00F44A02" w:rsidRPr="00E5470C" w:rsidP="0015756F" w14:paraId="598353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p>
        </w:tc>
        <w:tc>
          <w:tcPr>
            <w:tcW w:w="1080" w:type="dxa"/>
            <w:tcBorders>
              <w:top w:val="double" w:sz="4" w:space="0" w:color="auto"/>
              <w:bottom w:val="double" w:sz="4" w:space="0" w:color="auto"/>
            </w:tcBorders>
          </w:tcPr>
          <w:p w:rsidR="00F44A02" w:rsidRPr="00E5470C" w:rsidP="0015756F" w14:paraId="1E291F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100</w:t>
            </w:r>
          </w:p>
        </w:tc>
        <w:tc>
          <w:tcPr>
            <w:tcW w:w="1800" w:type="dxa"/>
            <w:tcBorders>
              <w:top w:val="double" w:sz="4" w:space="0" w:color="auto"/>
              <w:bottom w:val="double" w:sz="4" w:space="0" w:color="auto"/>
            </w:tcBorders>
          </w:tcPr>
          <w:p w:rsidR="00F44A02" w:rsidRPr="00E5470C" w:rsidP="0015756F" w14:paraId="2AAAD5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color w:val="000000" w:themeColor="text1"/>
                <w:sz w:val="24"/>
                <w:szCs w:val="24"/>
              </w:rPr>
            </w:pPr>
            <w:r w:rsidRPr="00E5470C">
              <w:rPr>
                <w:color w:val="000000" w:themeColor="text1"/>
                <w:sz w:val="24"/>
                <w:szCs w:val="24"/>
              </w:rPr>
              <w:t>$</w:t>
            </w:r>
            <w:r w:rsidRPr="00B50790">
              <w:rPr>
                <w:color w:val="000000" w:themeColor="text1"/>
                <w:sz w:val="24"/>
                <w:szCs w:val="24"/>
              </w:rPr>
              <w:t>4</w:t>
            </w:r>
            <w:r w:rsidRPr="00E5470C">
              <w:rPr>
                <w:color w:val="000000" w:themeColor="text1"/>
                <w:sz w:val="24"/>
                <w:szCs w:val="24"/>
              </w:rPr>
              <w:t>,</w:t>
            </w:r>
            <w:r w:rsidRPr="00B50790">
              <w:rPr>
                <w:color w:val="000000" w:themeColor="text1"/>
                <w:sz w:val="24"/>
                <w:szCs w:val="24"/>
              </w:rPr>
              <w:t>1</w:t>
            </w:r>
            <w:r w:rsidRPr="00E5470C">
              <w:rPr>
                <w:color w:val="000000" w:themeColor="text1"/>
                <w:sz w:val="24"/>
                <w:szCs w:val="24"/>
              </w:rPr>
              <w:t>0</w:t>
            </w:r>
            <w:r w:rsidRPr="00B50790">
              <w:rPr>
                <w:color w:val="000000" w:themeColor="text1"/>
                <w:sz w:val="24"/>
                <w:szCs w:val="24"/>
              </w:rPr>
              <w:t>4</w:t>
            </w:r>
          </w:p>
        </w:tc>
      </w:tr>
    </w:tbl>
    <w:p w:rsidR="00F44A02" w:rsidP="008126AE" w14:paraId="2874F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F13E4" w:rsidP="008126AE" w14:paraId="44BD6A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14320B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Describe the procedures for the collection of information including:</w:t>
      </w:r>
    </w:p>
    <w:p w:rsidR="008126AE" w:rsidP="008126AE" w14:paraId="5EE57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Statistical methodology for stratification and sample selection,</w:t>
      </w:r>
    </w:p>
    <w:p w:rsidR="008126AE" w:rsidP="008126AE" w14:paraId="250876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Estimation procedure,</w:t>
      </w:r>
    </w:p>
    <w:p w:rsidR="008126AE" w:rsidP="008126AE" w14:paraId="50C6C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Degree of accuracy needed for the purpose described in the justification,</w:t>
      </w:r>
    </w:p>
    <w:p w:rsidR="008126AE" w:rsidP="008126AE" w14:paraId="74A9A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Unusual problems requiring specialized sampling procedures, and</w:t>
      </w:r>
    </w:p>
    <w:p w:rsidR="008126AE" w:rsidP="008126AE" w14:paraId="2AEA26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Any use of periodic (less frequent than annual) data collection cycles to reduce burden.</w:t>
      </w:r>
    </w:p>
    <w:p w:rsidR="00A76BEF" w:rsidP="008126AE" w14:paraId="73CC1855" w14:textId="34B6B1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14ADE" w:rsidP="00F44A02" w14:paraId="12B32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canvass for each survey is slightly different.  For the online survey, we want to gather as much information as possible from hunters, including how satisfied they are with the current regulation structure.  For the in-person survey, we are interested in using generalized linear mixed models to assess how environmental conditions influence hunter participation and harvest.</w:t>
      </w:r>
      <w:r>
        <w:rPr>
          <w:sz w:val="24"/>
          <w:szCs w:val="24"/>
        </w:rPr>
        <w:t xml:space="preserve"> Our survey days are randomly selected for our in-person surveys to evaluate how environmental conditions impact participation.  Thus, the statistical methods are not focused on how to survey more hunters.  </w:t>
      </w:r>
    </w:p>
    <w:p w:rsidR="00F44A02" w:rsidP="00F44A02" w14:paraId="5FCC9E08" w14:textId="6400ED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8126AE" w:rsidP="008126AE" w14:paraId="77CE7634" w14:textId="7DC7EC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14ADE" w:rsidP="008126AE" w14:paraId="79C16AE3" w14:textId="0C2E7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DE" w:rsidP="00EE57F0" w14:paraId="6EC06D93" w14:textId="468FDD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Data from the online survey will be taken as is, to provide input to resource managers</w:t>
      </w:r>
      <w:r w:rsidR="00EE57F0">
        <w:rPr>
          <w:sz w:val="24"/>
          <w:szCs w:val="24"/>
        </w:rPr>
        <w:t>, such as input on regulatory season frameworks and species harvested in this open water environment.  Data from the in-person survey will either be imputed from other responses that day or left as no-response, using only known (e.g., gathered information) to develop models.</w:t>
      </w:r>
    </w:p>
    <w:p w:rsidR="008126AE" w:rsidP="008126AE" w14:paraId="469996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0D2FEF8B" w14:textId="677EA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14ADE" w:rsidP="008126AE" w14:paraId="00B1EEB8" w14:textId="451FB1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DE" w:rsidP="00EE57F0" w14:paraId="6BDEFA9A" w14:textId="3888C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The sole customer for this data is the Wisconsin Department of Natural Resources.  Periodic consultation with this agency is performed to ensure that the data collected are meeting its needs.  At present, no formal tests are in progress that would require clearance.</w:t>
      </w:r>
    </w:p>
    <w:p w:rsidR="008126AE" w:rsidP="008126AE" w14:paraId="030553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P="00A76BEF" w14:paraId="7E6900AC" w14:textId="7FE9A9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Provide the name</w:t>
      </w:r>
      <w:r w:rsidR="00DD29FE">
        <w:rPr>
          <w:sz w:val="24"/>
          <w:szCs w:val="24"/>
        </w:rPr>
        <w:t>s</w:t>
      </w:r>
      <w:r>
        <w:rPr>
          <w:sz w:val="24"/>
          <w:szCs w:val="24"/>
        </w:rPr>
        <w:t xml:space="preserve"> and telephone number</w:t>
      </w:r>
      <w:r w:rsidR="00DD29FE">
        <w:rPr>
          <w:sz w:val="24"/>
          <w:szCs w:val="24"/>
        </w:rPr>
        <w:t>s</w:t>
      </w:r>
      <w:r>
        <w:rPr>
          <w:sz w:val="24"/>
          <w:szCs w:val="24"/>
        </w:rPr>
        <w:t xml:space="preserve"> of individuals consulted on statistical aspects of the design and the name of the agency unit, contractor(s), grantee(s), or other person(s) who will </w:t>
      </w:r>
      <w:r>
        <w:rPr>
          <w:sz w:val="24"/>
          <w:szCs w:val="24"/>
        </w:rPr>
        <w:t>actually collect</w:t>
      </w:r>
      <w:r>
        <w:rPr>
          <w:sz w:val="24"/>
          <w:szCs w:val="24"/>
        </w:rPr>
        <w:t xml:space="preserve"> and/or analyze the information for the agency.</w:t>
      </w:r>
    </w:p>
    <w:p w:rsidR="00914ADE" w:rsidP="00A76BEF" w14:paraId="42123065" w14:textId="4ED758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4ADE" w:rsidP="00A76BEF" w14:paraId="36749139" w14:textId="5CF03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For further information concerning this information collection, please contact:</w:t>
      </w:r>
    </w:p>
    <w:p w:rsidR="00914ADE" w:rsidRPr="00914ADE" w:rsidP="00914ADE" w14:paraId="0610EDB1" w14:textId="146450DB">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Luke J. Fara, Biologist, 608-781-6233, lfara@usgs.gov</w:t>
      </w:r>
    </w:p>
    <w:p w:rsidR="00A76BEF" w:rsidP="00A76BEF" w14:paraId="1D4BAF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A76BEF" w14:paraId="7BAB3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3F7C7E">
        <w:rPr>
          <w:sz w:val="24"/>
          <w:szCs w:val="24"/>
        </w:rPr>
        <w:t>OMB-</w:t>
      </w:r>
      <w:r>
        <w:rPr>
          <w:sz w:val="24"/>
          <w:szCs w:val="24"/>
        </w:rPr>
        <w:t>OIRA has produced a number of documents that may serve as useful reference material for completing Supporting Statement B.  These can be found at:</w:t>
      </w:r>
    </w:p>
    <w:p w:rsidR="00A76BEF" w:rsidP="00A76BEF" w14:paraId="737180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hyperlink r:id="rId5" w:history="1">
        <w:r w:rsidRPr="00941192">
          <w:rPr>
            <w:rStyle w:val="Hyperlink"/>
            <w:sz w:val="24"/>
            <w:szCs w:val="24"/>
          </w:rPr>
          <w:t>http://www.whitehouse.gov/omb/inforeg_statpolicy</w:t>
        </w:r>
      </w:hyperlink>
      <w:r>
        <w:rPr>
          <w:sz w:val="24"/>
          <w:szCs w:val="24"/>
        </w:rPr>
        <w:t xml:space="preserve">  ]</w:t>
      </w:r>
    </w:p>
    <w:sectPr w:rsidSect="00EB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4565C0"/>
    <w:multiLevelType w:val="hybridMultilevel"/>
    <w:tmpl w:val="75C8D6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C30DF"/>
    <w:rsid w:val="0015756F"/>
    <w:rsid w:val="003F7C7E"/>
    <w:rsid w:val="007F13E4"/>
    <w:rsid w:val="008126AE"/>
    <w:rsid w:val="00914ADE"/>
    <w:rsid w:val="00941192"/>
    <w:rsid w:val="00A76BEF"/>
    <w:rsid w:val="00B31CAC"/>
    <w:rsid w:val="00B50790"/>
    <w:rsid w:val="00B5754D"/>
    <w:rsid w:val="00BA376C"/>
    <w:rsid w:val="00C07772"/>
    <w:rsid w:val="00DD29FE"/>
    <w:rsid w:val="00E5470C"/>
    <w:rsid w:val="00EA58AC"/>
    <w:rsid w:val="00EB3B45"/>
    <w:rsid w:val="00EE57F0"/>
    <w:rsid w:val="00F44A02"/>
    <w:rsid w:val="00FD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9A9D9"/>
  <w15:chartTrackingRefBased/>
  <w15:docId w15:val="{CD9EA0EC-824C-4C77-BD81-F3F8BAF0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paragraph" w:styleId="ListParagraph">
    <w:name w:val="List Paragraph"/>
    <w:basedOn w:val="Normal"/>
    <w:uiPriority w:val="34"/>
    <w:qFormat/>
    <w:rsid w:val="007F13E4"/>
    <w:pPr>
      <w:ind w:left="720"/>
      <w:contextualSpacing/>
    </w:pPr>
  </w:style>
  <w:style w:type="table" w:styleId="TableGrid">
    <w:name w:val="Table Grid"/>
    <w:basedOn w:val="TableNormal"/>
    <w:uiPriority w:val="59"/>
    <w:rsid w:val="00F44A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whitehouse.gov/omb/inforeg_statpolicy"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C016-3893-46E6-8C1A-909C4A0A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Fara, Luke J</cp:lastModifiedBy>
  <cp:revision>2</cp:revision>
  <dcterms:created xsi:type="dcterms:W3CDTF">2022-09-29T15:45:00Z</dcterms:created>
  <dcterms:modified xsi:type="dcterms:W3CDTF">2022-09-29T15:45:00Z</dcterms:modified>
</cp:coreProperties>
</file>