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411C" w:rsidR="000F459E" w:rsidP="009C097F" w:rsidRDefault="00E35242" w14:paraId="7E252A16" w14:textId="03AAD505">
      <w:pPr>
        <w:pStyle w:val="Title"/>
        <w:rPr>
          <w:color w:val="auto"/>
          <w:lang w:val="x-none"/>
        </w:rPr>
      </w:pPr>
      <w:r w:rsidRPr="00F3411C">
        <w:rPr>
          <w:color w:val="auto"/>
          <w:lang w:val="x-none"/>
        </w:rPr>
        <w:t xml:space="preserve">SUPPORTING STATEMENT FOR </w:t>
      </w:r>
      <w:r w:rsidRPr="00F3411C">
        <w:rPr>
          <w:color w:val="auto"/>
          <w:lang w:val="x-none"/>
        </w:rPr>
        <w:br/>
        <w:t>THE INFOR</w:t>
      </w:r>
      <w:r w:rsidRPr="00F3411C" w:rsidR="000F459E">
        <w:rPr>
          <w:color w:val="auto"/>
          <w:lang w:val="x-none"/>
        </w:rPr>
        <w:t xml:space="preserve">MATION COLLECTION REQUIREMENTS </w:t>
      </w:r>
      <w:r w:rsidRPr="00F3411C">
        <w:rPr>
          <w:color w:val="auto"/>
          <w:lang w:val="x-none"/>
        </w:rPr>
        <w:t xml:space="preserve">IN THE </w:t>
      </w:r>
    </w:p>
    <w:p w:rsidRPr="00F3411C" w:rsidR="00375A1A" w:rsidP="009C097F" w:rsidRDefault="000A7879" w14:paraId="1D4E4683" w14:textId="04CB6DFD">
      <w:pPr>
        <w:pStyle w:val="Title"/>
        <w:rPr>
          <w:color w:val="auto"/>
        </w:rPr>
      </w:pPr>
      <w:r w:rsidRPr="00F3411C">
        <w:rPr>
          <w:color w:val="auto"/>
        </w:rPr>
        <w:t>COVID-19</w:t>
      </w:r>
      <w:r w:rsidRPr="00F3411C" w:rsidR="004C3FE1">
        <w:rPr>
          <w:color w:val="auto"/>
        </w:rPr>
        <w:t xml:space="preserve"> </w:t>
      </w:r>
      <w:r w:rsidRPr="00F3411C" w:rsidR="000474FA">
        <w:rPr>
          <w:color w:val="auto"/>
        </w:rPr>
        <w:t>VACCINATIONS</w:t>
      </w:r>
      <w:r w:rsidRPr="00F3411C" w:rsidR="00085A07">
        <w:rPr>
          <w:color w:val="auto"/>
        </w:rPr>
        <w:t>,</w:t>
      </w:r>
      <w:r w:rsidRPr="00F3411C" w:rsidR="000474FA">
        <w:rPr>
          <w:color w:val="auto"/>
        </w:rPr>
        <w:t xml:space="preserve"> TESTING</w:t>
      </w:r>
      <w:r w:rsidRPr="00F3411C" w:rsidR="000759C9">
        <w:rPr>
          <w:color w:val="auto"/>
        </w:rPr>
        <w:t>, AND FACE COVERINGS</w:t>
      </w:r>
      <w:r w:rsidRPr="00F3411C" w:rsidR="000474FA">
        <w:rPr>
          <w:color w:val="auto"/>
        </w:rPr>
        <w:t xml:space="preserve"> </w:t>
      </w:r>
    </w:p>
    <w:p w:rsidRPr="00F3411C" w:rsidR="00E35242" w:rsidP="009C097F" w:rsidRDefault="00493C25" w14:paraId="4ED77DE3" w14:textId="07F240B3">
      <w:pPr>
        <w:pStyle w:val="Title"/>
        <w:rPr>
          <w:color w:val="auto"/>
        </w:rPr>
      </w:pPr>
      <w:r w:rsidRPr="00F3411C">
        <w:rPr>
          <w:color w:val="auto"/>
        </w:rPr>
        <w:t xml:space="preserve">EMERGENCY TEMPORARY </w:t>
      </w:r>
      <w:r w:rsidRPr="00F3411C" w:rsidR="00665D8C">
        <w:rPr>
          <w:color w:val="auto"/>
        </w:rPr>
        <w:t xml:space="preserve">STANDARD </w:t>
      </w:r>
      <w:r w:rsidRPr="00F3411C" w:rsidR="000F1555">
        <w:rPr>
          <w:color w:val="auto"/>
          <w:lang w:val="x-none"/>
        </w:rPr>
        <w:t>(29 CFR 1910</w:t>
      </w:r>
      <w:r w:rsidRPr="00F3411C" w:rsidR="009E2BF5">
        <w:rPr>
          <w:color w:val="auto"/>
        </w:rPr>
        <w:t>.501</w:t>
      </w:r>
      <w:r w:rsidRPr="00F3411C" w:rsidR="000759C9">
        <w:rPr>
          <w:color w:val="auto"/>
        </w:rPr>
        <w:t>, Subpart U</w:t>
      </w:r>
      <w:r w:rsidRPr="00F3411C" w:rsidR="009E2BF5">
        <w:rPr>
          <w:color w:val="auto"/>
        </w:rPr>
        <w:t>)</w:t>
      </w:r>
    </w:p>
    <w:p w:rsidRPr="00F3411C" w:rsidR="004C3FE1" w:rsidP="009C097F" w:rsidRDefault="00E35242" w14:paraId="7B66E41F" w14:textId="79BF74FA">
      <w:pPr>
        <w:pStyle w:val="Title"/>
        <w:rPr>
          <w:color w:val="auto"/>
        </w:rPr>
      </w:pPr>
      <w:r w:rsidRPr="00F3411C">
        <w:rPr>
          <w:color w:val="auto"/>
          <w:lang w:val="x-none"/>
        </w:rPr>
        <w:t>OMB CONTROL NO. 1218-</w:t>
      </w:r>
      <w:r w:rsidRPr="00F3411C">
        <w:rPr>
          <w:color w:val="auto"/>
        </w:rPr>
        <w:t>0</w:t>
      </w:r>
      <w:r w:rsidR="00487FC4">
        <w:rPr>
          <w:color w:val="auto"/>
        </w:rPr>
        <w:t>278</w:t>
      </w:r>
    </w:p>
    <w:p w:rsidRPr="00F3411C" w:rsidR="00A147F8" w:rsidRDefault="00A147F8" w14:paraId="0AF316A4" w14:textId="70856250">
      <w:pPr>
        <w:pStyle w:val="Title"/>
        <w:rPr>
          <w:color w:val="auto"/>
          <w:lang w:val="x-none"/>
        </w:rPr>
      </w:pPr>
    </w:p>
    <w:p w:rsidRPr="00F3411C" w:rsidR="00AE055A" w:rsidRDefault="00AE055A" w14:paraId="40AEB741" w14:textId="77777777">
      <w:pPr>
        <w:autoSpaceDE/>
        <w:autoSpaceDN/>
        <w:rPr>
          <w:rFonts w:eastAsia="Times New Roman"/>
          <w:lang w:eastAsia="en-US"/>
        </w:rPr>
      </w:pPr>
      <w:r w:rsidRPr="00F3411C">
        <w:rPr>
          <w:rFonts w:eastAsia="Times New Roman"/>
          <w:lang w:eastAsia="en-US"/>
        </w:rPr>
        <w:t xml:space="preserve">This is a new Information Collection Request (ICR) supporting OSHA’s Emergency Temporary Standard (ETS) providing COVID-19 workplace protections for employees of employers with 100 or more employees. The Department of Labor (DOL or the Department) requests initial clearance for these information collections under the emergency clearance procedures outlined in regulations </w:t>
      </w:r>
      <w:hyperlink w:history="1" r:id="rId11">
        <w:r w:rsidRPr="00F3411C">
          <w:rPr>
            <w:rStyle w:val="Hyperlink"/>
            <w:rFonts w:eastAsia="Times New Roman"/>
            <w:lang w:eastAsia="en-US"/>
          </w:rPr>
          <w:t>5 C.F.R.1320.13</w:t>
        </w:r>
      </w:hyperlink>
      <w:r w:rsidRPr="00F3411C">
        <w:rPr>
          <w:rFonts w:eastAsia="Times New Roman"/>
          <w:lang w:eastAsia="en-US"/>
        </w:rPr>
        <w:t>. This will allow the information collections to take effect at the same time as the rest of the ETS.</w:t>
      </w:r>
    </w:p>
    <w:p w:rsidRPr="00F3411C" w:rsidR="00E35242" w:rsidRDefault="00E35242" w14:paraId="224500C5" w14:textId="16598611">
      <w:pPr>
        <w:pStyle w:val="Default"/>
        <w:jc w:val="center"/>
        <w:rPr>
          <w:color w:val="auto"/>
        </w:rPr>
      </w:pPr>
    </w:p>
    <w:p w:rsidRPr="00F3411C" w:rsidR="00E35242" w:rsidRDefault="00E35242" w14:paraId="4C3B59DC" w14:textId="77777777">
      <w:pPr>
        <w:pStyle w:val="Heading1"/>
        <w:spacing w:after="0"/>
        <w:rPr>
          <w:rFonts w:ascii="Times New Roman" w:hAnsi="Times New Roman" w:cs="Times New Roman"/>
          <w:lang w:val="x-none"/>
        </w:rPr>
      </w:pPr>
      <w:r w:rsidRPr="00F3411C">
        <w:rPr>
          <w:rFonts w:ascii="Times New Roman" w:hAnsi="Times New Roman" w:cs="Times New Roman"/>
          <w:lang w:val="x-none"/>
        </w:rPr>
        <w:t xml:space="preserve">Justification </w:t>
      </w:r>
    </w:p>
    <w:p w:rsidRPr="00F3411C" w:rsidR="00E35242" w:rsidRDefault="00E35242" w14:paraId="1BF33407" w14:textId="77777777">
      <w:pPr>
        <w:pStyle w:val="Default"/>
        <w:rPr>
          <w:color w:val="auto"/>
        </w:rPr>
      </w:pPr>
      <w:r w:rsidRPr="00F3411C">
        <w:rPr>
          <w:color w:val="auto"/>
        </w:rPr>
        <w:t xml:space="preserve">                                                                                                                              </w:t>
      </w:r>
    </w:p>
    <w:p w:rsidRPr="00F3411C" w:rsidR="00E35242" w:rsidRDefault="000D4716" w14:paraId="5C1FA19F" w14:textId="38400BF1">
      <w:pPr>
        <w:pStyle w:val="Heading2"/>
        <w:spacing w:after="0"/>
        <w:ind w:left="0" w:firstLine="0"/>
        <w:rPr>
          <w:lang w:val="x-none"/>
        </w:rPr>
      </w:pPr>
      <w:r w:rsidRPr="00F3411C">
        <w:t xml:space="preserve"> </w:t>
      </w:r>
      <w:r w:rsidRPr="00F3411C" w:rsidR="00E35242">
        <w:rPr>
          <w:lang w:val="x-none"/>
        </w:rPr>
        <w:t>Explain the circumstances that make the collection of information necessary.</w:t>
      </w:r>
      <w:r w:rsidRPr="00F3411C">
        <w:t xml:space="preserve"> </w:t>
      </w:r>
      <w:r w:rsidRPr="00F3411C" w:rsidR="00E35242">
        <w:rPr>
          <w:lang w:val="x-none"/>
        </w:rPr>
        <w:t>Identify any legal or administrative requirements that necessitate the collection. Attach a copy of the appropriate section of each statute and regulation mandating or authorizing the collection of information.</w:t>
      </w:r>
    </w:p>
    <w:p w:rsidRPr="00F3411C" w:rsidR="00733438" w:rsidRDefault="00733438" w14:paraId="2DE0E870" w14:textId="77777777">
      <w:pPr>
        <w:pStyle w:val="BodyTextFirstIndent"/>
        <w:spacing w:after="0"/>
        <w:ind w:firstLine="0"/>
        <w:rPr>
          <w:sz w:val="24"/>
          <w:szCs w:val="24"/>
          <w:lang w:val="x-none"/>
        </w:rPr>
      </w:pPr>
    </w:p>
    <w:p w:rsidRPr="00F3411C" w:rsidR="0062472A" w:rsidP="00FE6572" w:rsidRDefault="00341C56" w14:paraId="6F23A5CD" w14:textId="736EC444">
      <w:pPr>
        <w:pStyle w:val="BodyTextFirstIndent"/>
        <w:spacing w:after="0"/>
        <w:ind w:firstLine="0"/>
        <w:rPr>
          <w:sz w:val="24"/>
          <w:szCs w:val="24"/>
        </w:rPr>
      </w:pPr>
      <w:r w:rsidRPr="00F3411C">
        <w:rPr>
          <w:sz w:val="24"/>
          <w:szCs w:val="24"/>
          <w:lang w:val="x-none"/>
        </w:rPr>
        <w:t>The main objective of the Occupational Safety and Health Act (OSH Act or Act) is to “assure so far as possible every working man and woman in the Nation safe and healthful working conditions and to preserve our human resources” (</w:t>
      </w:r>
      <w:hyperlink w:history="1" r:id="rId12">
        <w:r w:rsidRPr="00F3411C">
          <w:rPr>
            <w:rStyle w:val="Hyperlink"/>
            <w:sz w:val="24"/>
            <w:szCs w:val="24"/>
            <w:lang w:val="x-none"/>
          </w:rPr>
          <w:t>29 U.S.C. §</w:t>
        </w:r>
        <w:r w:rsidRPr="00F3411C">
          <w:rPr>
            <w:rStyle w:val="Hyperlink"/>
            <w:sz w:val="24"/>
            <w:szCs w:val="24"/>
          </w:rPr>
          <w:t xml:space="preserve"> </w:t>
        </w:r>
        <w:r w:rsidRPr="00F3411C">
          <w:rPr>
            <w:rStyle w:val="Hyperlink"/>
            <w:sz w:val="24"/>
            <w:szCs w:val="24"/>
            <w:lang w:val="x-none"/>
          </w:rPr>
          <w:t>651</w:t>
        </w:r>
      </w:hyperlink>
      <w:r w:rsidRPr="00F3411C">
        <w:rPr>
          <w:sz w:val="24"/>
          <w:szCs w:val="24"/>
        </w:rPr>
        <w:t>(b)</w:t>
      </w:r>
      <w:r w:rsidRPr="00F3411C">
        <w:rPr>
          <w:sz w:val="24"/>
          <w:szCs w:val="24"/>
          <w:lang w:val="x-none"/>
        </w:rPr>
        <w:t>).</w:t>
      </w:r>
      <w:r w:rsidRPr="00F3411C" w:rsidR="000D4716">
        <w:rPr>
          <w:sz w:val="24"/>
          <w:szCs w:val="24"/>
        </w:rPr>
        <w:t xml:space="preserve"> </w:t>
      </w:r>
      <w:r w:rsidRPr="00F3411C">
        <w:rPr>
          <w:sz w:val="24"/>
          <w:szCs w:val="24"/>
          <w:lang w:val="x-none"/>
        </w:rPr>
        <w:t xml:space="preserve">To achieve this objective, the OSH Act specifically authorizes </w:t>
      </w:r>
      <w:r w:rsidRPr="00F3411C">
        <w:rPr>
          <w:sz w:val="24"/>
          <w:szCs w:val="24"/>
        </w:rPr>
        <w:t>“</w:t>
      </w:r>
      <w:r w:rsidRPr="00F3411C">
        <w:rPr>
          <w:sz w:val="24"/>
          <w:szCs w:val="24"/>
          <w:lang w:val="x-none"/>
        </w:rPr>
        <w:t>the development and promulgation of occupational safety and health standards</w:t>
      </w:r>
      <w:r w:rsidRPr="00F3411C">
        <w:rPr>
          <w:sz w:val="24"/>
          <w:szCs w:val="24"/>
        </w:rPr>
        <w:t>”</w:t>
      </w:r>
      <w:r w:rsidRPr="00F3411C">
        <w:rPr>
          <w:sz w:val="24"/>
          <w:szCs w:val="24"/>
          <w:lang w:val="x-none"/>
        </w:rPr>
        <w:t xml:space="preserve"> (29 U.S.C. §</w:t>
      </w:r>
      <w:r w:rsidRPr="00F3411C">
        <w:rPr>
          <w:sz w:val="24"/>
          <w:szCs w:val="24"/>
        </w:rPr>
        <w:t xml:space="preserve"> </w:t>
      </w:r>
      <w:r w:rsidRPr="00F3411C">
        <w:rPr>
          <w:sz w:val="24"/>
          <w:szCs w:val="24"/>
          <w:lang w:val="x-none"/>
        </w:rPr>
        <w:t>651</w:t>
      </w:r>
      <w:r w:rsidRPr="00F3411C">
        <w:rPr>
          <w:sz w:val="24"/>
          <w:szCs w:val="24"/>
        </w:rPr>
        <w:t>(b)(9)</w:t>
      </w:r>
      <w:r w:rsidRPr="00F3411C">
        <w:rPr>
          <w:sz w:val="24"/>
          <w:szCs w:val="24"/>
          <w:lang w:val="x-none"/>
        </w:rPr>
        <w:t>).</w:t>
      </w:r>
      <w:r w:rsidRPr="00F3411C" w:rsidR="000D4716">
        <w:rPr>
          <w:sz w:val="24"/>
          <w:szCs w:val="24"/>
        </w:rPr>
        <w:t xml:space="preserve"> </w:t>
      </w:r>
      <w:r w:rsidRPr="00F3411C">
        <w:rPr>
          <w:sz w:val="24"/>
          <w:szCs w:val="24"/>
          <w:lang w:val="x-none"/>
        </w:rPr>
        <w:t xml:space="preserve">The Act further states that “[t]he Secretary . . . shall </w:t>
      </w:r>
      <w:r w:rsidRPr="00F3411C">
        <w:rPr>
          <w:sz w:val="24"/>
          <w:szCs w:val="24"/>
        </w:rPr>
        <w:t xml:space="preserve">. . . </w:t>
      </w:r>
      <w:r w:rsidRPr="00F3411C">
        <w:rPr>
          <w:sz w:val="24"/>
          <w:szCs w:val="24"/>
          <w:lang w:val="x-none"/>
        </w:rPr>
        <w:t>prescribe such rules and regulations as [he/she] may deem necessary to carry out [his/her] responsibilities under this Act, including rules and regulations dealing with the inspection of an employer’s establishment” (</w:t>
      </w:r>
      <w:hyperlink w:history="1" r:id="rId13">
        <w:r w:rsidRPr="00F3411C">
          <w:rPr>
            <w:rStyle w:val="Hyperlink"/>
            <w:sz w:val="24"/>
            <w:szCs w:val="24"/>
            <w:lang w:val="x-none"/>
          </w:rPr>
          <w:t>29 U.S.C. §</w:t>
        </w:r>
        <w:r w:rsidRPr="00F3411C">
          <w:rPr>
            <w:rStyle w:val="Hyperlink"/>
            <w:sz w:val="24"/>
            <w:szCs w:val="24"/>
          </w:rPr>
          <w:t xml:space="preserve"> </w:t>
        </w:r>
        <w:r w:rsidRPr="00F3411C">
          <w:rPr>
            <w:rStyle w:val="Hyperlink"/>
            <w:sz w:val="24"/>
            <w:szCs w:val="24"/>
            <w:lang w:val="x-none"/>
          </w:rPr>
          <w:t>65</w:t>
        </w:r>
        <w:r w:rsidRPr="00F3411C">
          <w:rPr>
            <w:rStyle w:val="Hyperlink"/>
            <w:sz w:val="24"/>
            <w:szCs w:val="24"/>
          </w:rPr>
          <w:t>7</w:t>
        </w:r>
      </w:hyperlink>
      <w:r w:rsidRPr="00F3411C">
        <w:rPr>
          <w:sz w:val="24"/>
          <w:szCs w:val="24"/>
        </w:rPr>
        <w:t>(g)(2)</w:t>
      </w:r>
      <w:r w:rsidRPr="00F3411C">
        <w:rPr>
          <w:sz w:val="24"/>
          <w:szCs w:val="24"/>
          <w:lang w:val="x-none"/>
        </w:rPr>
        <w:t xml:space="preserve">). </w:t>
      </w:r>
    </w:p>
    <w:p w:rsidRPr="00F3411C" w:rsidR="00341C56" w:rsidP="00FE6572" w:rsidRDefault="00341C56" w14:paraId="5F69D6EB" w14:textId="11E5701B">
      <w:pPr>
        <w:pStyle w:val="BodyTextFirstIndent"/>
        <w:spacing w:after="0"/>
        <w:ind w:firstLine="0"/>
        <w:rPr>
          <w:sz w:val="24"/>
          <w:szCs w:val="24"/>
        </w:rPr>
      </w:pPr>
      <w:r w:rsidRPr="00F3411C">
        <w:rPr>
          <w:sz w:val="24"/>
          <w:szCs w:val="24"/>
        </w:rPr>
        <w:t>In addition, the OSH Act requires the Occupational Safety and Health Administration (OSHA or the</w:t>
      </w:r>
      <w:r w:rsidRPr="00F3411C" w:rsidR="004808C3">
        <w:rPr>
          <w:sz w:val="24"/>
          <w:szCs w:val="24"/>
        </w:rPr>
        <w:t xml:space="preserve"> Agency</w:t>
      </w:r>
      <w:r w:rsidRPr="00F3411C">
        <w:rPr>
          <w:sz w:val="24"/>
          <w:szCs w:val="24"/>
        </w:rPr>
        <w:t xml:space="preserve">) to issue an Emergency Temporary Standard (ETS) if OSHA determines that </w:t>
      </w:r>
      <w:bookmarkStart w:name="Section6(c)(1)" w:id="0"/>
      <w:bookmarkStart w:name="Section6(c)(1)(A)" w:id="1"/>
      <w:bookmarkEnd w:id="0"/>
      <w:bookmarkEnd w:id="1"/>
      <w:r w:rsidRPr="00F3411C">
        <w:rPr>
          <w:sz w:val="24"/>
          <w:szCs w:val="24"/>
          <w:lang w:val="en"/>
        </w:rPr>
        <w:t>“employees are exposed to grave danger from exposure to substances or agents determined to be toxic or physically harmful or from new hazards” and</w:t>
      </w:r>
      <w:bookmarkStart w:name="Section6(c)(1)(B)" w:id="2"/>
      <w:bookmarkEnd w:id="2"/>
      <w:r w:rsidRPr="00F3411C">
        <w:rPr>
          <w:sz w:val="24"/>
          <w:szCs w:val="24"/>
          <w:lang w:val="en"/>
        </w:rPr>
        <w:t xml:space="preserve"> </w:t>
      </w:r>
      <w:r w:rsidRPr="00F3411C" w:rsidR="000D4716">
        <w:rPr>
          <w:sz w:val="24"/>
          <w:szCs w:val="24"/>
          <w:lang w:val="en"/>
        </w:rPr>
        <w:t xml:space="preserve">that </w:t>
      </w:r>
      <w:r w:rsidRPr="00F3411C">
        <w:rPr>
          <w:sz w:val="24"/>
          <w:szCs w:val="24"/>
          <w:lang w:val="en"/>
        </w:rPr>
        <w:t>an ETS is “necessary to protect employees from such danger”</w:t>
      </w:r>
      <w:bookmarkStart w:name="Section6(c)(2)" w:id="3"/>
      <w:bookmarkStart w:name="Section6(c)(3)" w:id="4"/>
      <w:bookmarkEnd w:id="3"/>
      <w:bookmarkEnd w:id="4"/>
      <w:r w:rsidRPr="00F3411C">
        <w:rPr>
          <w:sz w:val="24"/>
          <w:szCs w:val="24"/>
          <w:lang w:val="en"/>
        </w:rPr>
        <w:t xml:space="preserve"> </w:t>
      </w:r>
      <w:r w:rsidRPr="00F3411C" w:rsidR="000D4716">
        <w:rPr>
          <w:sz w:val="24"/>
          <w:szCs w:val="24"/>
          <w:lang w:val="en"/>
        </w:rPr>
        <w:t>(</w:t>
      </w:r>
      <w:hyperlink w:history="1" r:id="rId14">
        <w:r w:rsidRPr="00F3411C">
          <w:rPr>
            <w:rStyle w:val="Hyperlink"/>
            <w:rFonts w:eastAsia="Times New Roman"/>
            <w:sz w:val="24"/>
            <w:szCs w:val="24"/>
            <w:lang w:eastAsia="en-US"/>
          </w:rPr>
          <w:t>29 U.S.C.</w:t>
        </w:r>
        <w:r w:rsidRPr="00F3411C" w:rsidR="00D17A9B">
          <w:rPr>
            <w:rStyle w:val="Hyperlink"/>
            <w:rFonts w:eastAsia="Times New Roman"/>
            <w:sz w:val="24"/>
            <w:szCs w:val="24"/>
            <w:lang w:eastAsia="en-US"/>
          </w:rPr>
          <w:t xml:space="preserve"> </w:t>
        </w:r>
        <w:r w:rsidRPr="00F3411C">
          <w:rPr>
            <w:rStyle w:val="Hyperlink"/>
            <w:rFonts w:eastAsia="Times New Roman"/>
            <w:sz w:val="24"/>
            <w:szCs w:val="24"/>
            <w:lang w:eastAsia="en-US"/>
          </w:rPr>
          <w:t>§ 655</w:t>
        </w:r>
      </w:hyperlink>
      <w:r w:rsidRPr="00F3411C">
        <w:rPr>
          <w:sz w:val="24"/>
          <w:szCs w:val="24"/>
        </w:rPr>
        <w:t>(c)(1)</w:t>
      </w:r>
      <w:r w:rsidRPr="00F3411C" w:rsidR="000D4716">
        <w:rPr>
          <w:sz w:val="24"/>
          <w:szCs w:val="24"/>
        </w:rPr>
        <w:t>)</w:t>
      </w:r>
      <w:r w:rsidRPr="00F3411C">
        <w:rPr>
          <w:sz w:val="24"/>
          <w:szCs w:val="24"/>
        </w:rPr>
        <w:t>. </w:t>
      </w:r>
    </w:p>
    <w:p w:rsidRPr="00F3411C" w:rsidR="00341C56" w:rsidRDefault="00341C56" w14:paraId="7A66D188" w14:textId="77777777">
      <w:pPr>
        <w:suppressAutoHyphens/>
        <w:autoSpaceDE/>
        <w:autoSpaceDN/>
        <w:rPr>
          <w:rFonts w:eastAsia="Times New Roman"/>
          <w:lang w:eastAsia="en-US"/>
        </w:rPr>
      </w:pPr>
    </w:p>
    <w:p w:rsidRPr="00F3411C" w:rsidR="001745C1" w:rsidRDefault="00341C56" w14:paraId="3431D6CC" w14:textId="4D3FE2A4">
      <w:pPr>
        <w:pStyle w:val="BodyTextFirstIndent"/>
        <w:spacing w:after="0"/>
        <w:ind w:firstLine="0"/>
        <w:rPr>
          <w:sz w:val="24"/>
          <w:szCs w:val="24"/>
          <w:lang w:val="x-none"/>
        </w:rPr>
      </w:pPr>
      <w:r w:rsidRPr="00F3411C">
        <w:rPr>
          <w:rFonts w:eastAsia="Times New Roman"/>
          <w:sz w:val="24"/>
          <w:szCs w:val="24"/>
          <w:lang w:eastAsia="en-US"/>
        </w:rPr>
        <w:t xml:space="preserve">OSHA has determined </w:t>
      </w:r>
      <w:r w:rsidRPr="00F3411C" w:rsidR="000D4716">
        <w:rPr>
          <w:rFonts w:eastAsia="Times New Roman"/>
          <w:sz w:val="24"/>
          <w:szCs w:val="24"/>
          <w:lang w:eastAsia="en-US"/>
        </w:rPr>
        <w:t xml:space="preserve">that </w:t>
      </w:r>
      <w:r w:rsidRPr="00F3411C">
        <w:rPr>
          <w:rFonts w:eastAsia="Times New Roman"/>
          <w:sz w:val="24"/>
          <w:szCs w:val="24"/>
          <w:lang w:eastAsia="en-US"/>
        </w:rPr>
        <w:t xml:space="preserve">an ETS is necessary to protect workers from the grave danger posed by COVID-19 and is issuing an ETS that amends regulations </w:t>
      </w:r>
      <w:r w:rsidRPr="00F3411C" w:rsidR="00160E93">
        <w:rPr>
          <w:rFonts w:eastAsia="Times New Roman"/>
          <w:sz w:val="24"/>
          <w:szCs w:val="24"/>
          <w:lang w:eastAsia="en-US"/>
        </w:rPr>
        <w:t xml:space="preserve">at </w:t>
      </w:r>
      <w:r w:rsidRPr="00F3411C">
        <w:rPr>
          <w:rFonts w:eastAsia="Times New Roman"/>
          <w:sz w:val="24"/>
          <w:szCs w:val="24"/>
          <w:lang w:eastAsia="en-US"/>
        </w:rPr>
        <w:t xml:space="preserve">29 CFR 1910 subpart U to apply COVID-19 protections to workers of employers with </w:t>
      </w:r>
      <w:r w:rsidRPr="00F3411C" w:rsidR="002C6703">
        <w:rPr>
          <w:rFonts w:eastAsia="Times New Roman"/>
          <w:sz w:val="24"/>
          <w:szCs w:val="24"/>
          <w:lang w:eastAsia="en-US"/>
        </w:rPr>
        <w:t>one hundred (</w:t>
      </w:r>
      <w:r w:rsidRPr="00F3411C">
        <w:rPr>
          <w:rFonts w:eastAsia="Times New Roman"/>
          <w:sz w:val="24"/>
          <w:szCs w:val="24"/>
          <w:lang w:eastAsia="en-US"/>
        </w:rPr>
        <w:t>100</w:t>
      </w:r>
      <w:r w:rsidRPr="00F3411C" w:rsidR="002C6703">
        <w:rPr>
          <w:rFonts w:eastAsia="Times New Roman"/>
          <w:sz w:val="24"/>
          <w:szCs w:val="24"/>
          <w:lang w:eastAsia="en-US"/>
        </w:rPr>
        <w:t>)</w:t>
      </w:r>
      <w:r w:rsidRPr="00F3411C">
        <w:rPr>
          <w:rFonts w:eastAsia="Times New Roman"/>
          <w:sz w:val="24"/>
          <w:szCs w:val="24"/>
          <w:lang w:eastAsia="en-US"/>
        </w:rPr>
        <w:t xml:space="preserve"> or more employees.</w:t>
      </w:r>
      <w:r w:rsidRPr="00F3411C" w:rsidR="00F36984">
        <w:rPr>
          <w:rStyle w:val="FootnoteReference"/>
          <w:rFonts w:eastAsia="Arial Unicode MS"/>
          <w:bCs/>
          <w:color w:val="000000"/>
          <w:sz w:val="24"/>
          <w:szCs w:val="24"/>
        </w:rPr>
        <w:footnoteReference w:id="2"/>
      </w:r>
      <w:r w:rsidRPr="00F3411C">
        <w:rPr>
          <w:rFonts w:eastAsia="Times New Roman"/>
          <w:sz w:val="24"/>
          <w:szCs w:val="24"/>
          <w:lang w:eastAsia="en-US"/>
        </w:rPr>
        <w:t xml:space="preserve"> </w:t>
      </w:r>
      <w:r w:rsidRPr="00F3411C" w:rsidR="000D4716">
        <w:rPr>
          <w:rFonts w:eastAsia="Times New Roman"/>
          <w:sz w:val="24"/>
          <w:szCs w:val="24"/>
          <w:lang w:eastAsia="en-US"/>
        </w:rPr>
        <w:lastRenderedPageBreak/>
        <w:t>W</w:t>
      </w:r>
      <w:r w:rsidRPr="00F3411C">
        <w:rPr>
          <w:rFonts w:eastAsia="Times New Roman"/>
          <w:sz w:val="24"/>
          <w:szCs w:val="24"/>
          <w:lang w:eastAsia="en-US"/>
        </w:rPr>
        <w:t>ith respect to th</w:t>
      </w:r>
      <w:r w:rsidRPr="00F3411C" w:rsidR="009E6259">
        <w:rPr>
          <w:rFonts w:eastAsia="Times New Roman"/>
          <w:sz w:val="24"/>
          <w:szCs w:val="24"/>
          <w:lang w:eastAsia="en-US"/>
        </w:rPr>
        <w:t>is</w:t>
      </w:r>
      <w:r w:rsidRPr="00F3411C">
        <w:rPr>
          <w:rFonts w:eastAsia="Times New Roman"/>
          <w:sz w:val="24"/>
          <w:szCs w:val="24"/>
          <w:lang w:eastAsia="en-US"/>
        </w:rPr>
        <w:t xml:space="preserve"> Information Collection Request (ICR), section 1910.501 contains collections of information necessary to effectuate the purpose of the ETS. These information collections </w:t>
      </w:r>
      <w:r w:rsidRPr="00F3411C" w:rsidR="00DF3B77">
        <w:rPr>
          <w:rFonts w:eastAsia="Times New Roman"/>
          <w:sz w:val="24"/>
          <w:szCs w:val="24"/>
          <w:lang w:eastAsia="en-US"/>
        </w:rPr>
        <w:t xml:space="preserve">are </w:t>
      </w:r>
      <w:r w:rsidRPr="00F3411C">
        <w:rPr>
          <w:rFonts w:eastAsia="Times New Roman"/>
          <w:sz w:val="24"/>
          <w:szCs w:val="24"/>
          <w:lang w:eastAsia="en-US"/>
        </w:rPr>
        <w:t>applied by cross reference to other industries in regulations 29 CFR 1915.1501 (Shipyard Employment), 1917.31 (Marine Terminals), 1918.110 (Longshoring), 1926.58 (Construction), 1928.21 (Agriculture</w:t>
      </w:r>
      <w:r w:rsidRPr="00F3411C" w:rsidR="00160E93">
        <w:rPr>
          <w:rFonts w:eastAsia="Times New Roman"/>
          <w:sz w:val="24"/>
          <w:szCs w:val="24"/>
          <w:lang w:eastAsia="en-US"/>
        </w:rPr>
        <w:t>)</w:t>
      </w:r>
      <w:r w:rsidRPr="00F3411C" w:rsidR="009E6259">
        <w:rPr>
          <w:rFonts w:eastAsia="Times New Roman"/>
          <w:sz w:val="24"/>
          <w:szCs w:val="24"/>
          <w:lang w:eastAsia="en-US"/>
        </w:rPr>
        <w:t>.</w:t>
      </w:r>
      <w:r w:rsidRPr="00F3411C" w:rsidR="00160E93">
        <w:rPr>
          <w:rStyle w:val="FootnoteReference"/>
          <w:rFonts w:eastAsia="Times New Roman"/>
          <w:sz w:val="24"/>
          <w:szCs w:val="24"/>
          <w:lang w:eastAsia="en-US"/>
        </w:rPr>
        <w:footnoteReference w:id="3"/>
      </w:r>
      <w:r w:rsidRPr="00F3411C">
        <w:rPr>
          <w:rFonts w:eastAsia="Times New Roman"/>
          <w:sz w:val="24"/>
          <w:szCs w:val="24"/>
          <w:lang w:eastAsia="en-US"/>
        </w:rPr>
        <w:t xml:space="preserve"> </w:t>
      </w:r>
    </w:p>
    <w:p w:rsidRPr="00F3411C" w:rsidR="00E35242" w:rsidRDefault="00E35242" w14:paraId="16B81CA1" w14:textId="78AF430B">
      <w:r w:rsidRPr="00F3411C">
        <w:t xml:space="preserve">  </w:t>
      </w:r>
    </w:p>
    <w:p w:rsidRPr="00F3411C" w:rsidR="00E35242" w:rsidRDefault="00E35242" w14:paraId="302F17CB" w14:textId="57787FC6">
      <w:pPr>
        <w:pStyle w:val="Heading2"/>
        <w:spacing w:after="0"/>
        <w:ind w:left="0" w:firstLine="0"/>
        <w:rPr>
          <w:lang w:val="x-none"/>
        </w:rPr>
      </w:pPr>
      <w:r w:rsidRPr="00F3411C">
        <w:rPr>
          <w:lang w:val="x-none"/>
        </w:rPr>
        <w:t>Indicate how, by whom, and for what purpose the information is to be used.</w:t>
      </w:r>
      <w:r w:rsidRPr="00F3411C" w:rsidR="000D4716">
        <w:t xml:space="preserve"> </w:t>
      </w:r>
      <w:r w:rsidRPr="00F3411C">
        <w:rPr>
          <w:lang w:val="x-none"/>
        </w:rPr>
        <w:t>Except for a new collection, indicate the actual use the agency has made of the information received from the current collect</w:t>
      </w:r>
      <w:r w:rsidRPr="00F3411C" w:rsidR="00542426">
        <w:t xml:space="preserve"> </w:t>
      </w:r>
      <w:r w:rsidRPr="00F3411C">
        <w:rPr>
          <w:lang w:val="x-none"/>
        </w:rPr>
        <w:t>ion.</w:t>
      </w:r>
    </w:p>
    <w:p w:rsidRPr="00F3411C" w:rsidR="00AF62D2" w:rsidRDefault="00AF62D2" w14:paraId="5330792D" w14:textId="77777777">
      <w:pPr>
        <w:pStyle w:val="BodyTextIndent"/>
        <w:spacing w:after="0"/>
        <w:ind w:left="0"/>
        <w:rPr>
          <w:rFonts w:ascii="Times New Roman" w:hAnsi="Times New Roman"/>
        </w:rPr>
      </w:pPr>
      <w:bookmarkStart w:name="ExposureAssessment_2" w:id="5"/>
      <w:bookmarkEnd w:id="5"/>
    </w:p>
    <w:p w:rsidRPr="00F3411C" w:rsidR="00AF62D2" w:rsidRDefault="00166679" w14:paraId="3E8A550E" w14:textId="782A67D4">
      <w:pPr>
        <w:pStyle w:val="BodyTextIndent"/>
        <w:spacing w:after="0"/>
        <w:ind w:left="0"/>
        <w:rPr>
          <w:rFonts w:ascii="Times New Roman" w:hAnsi="Times New Roman"/>
        </w:rPr>
      </w:pPr>
      <w:r w:rsidRPr="00F3411C">
        <w:rPr>
          <w:rFonts w:ascii="Times New Roman" w:hAnsi="Times New Roman"/>
        </w:rPr>
        <w:t xml:space="preserve">The </w:t>
      </w:r>
      <w:r w:rsidRPr="00F3411C" w:rsidR="00136898">
        <w:rPr>
          <w:rFonts w:ascii="Times New Roman" w:hAnsi="Times New Roman"/>
        </w:rPr>
        <w:t xml:space="preserve">COVID-19 </w:t>
      </w:r>
      <w:r w:rsidRPr="00F3411C" w:rsidR="00434D30">
        <w:rPr>
          <w:rFonts w:ascii="Times New Roman" w:hAnsi="Times New Roman"/>
        </w:rPr>
        <w:t>Vaccination</w:t>
      </w:r>
      <w:r w:rsidRPr="00F3411C" w:rsidR="009E6259">
        <w:rPr>
          <w:rFonts w:ascii="Times New Roman" w:hAnsi="Times New Roman"/>
        </w:rPr>
        <w:t>,</w:t>
      </w:r>
      <w:r w:rsidRPr="00F3411C" w:rsidR="00434D30">
        <w:rPr>
          <w:rFonts w:ascii="Times New Roman" w:hAnsi="Times New Roman"/>
        </w:rPr>
        <w:t xml:space="preserve"> Testing</w:t>
      </w:r>
      <w:r w:rsidRPr="00F3411C" w:rsidR="009E6259">
        <w:rPr>
          <w:rFonts w:ascii="Times New Roman" w:hAnsi="Times New Roman"/>
        </w:rPr>
        <w:t>, and Face Coverings</w:t>
      </w:r>
      <w:r w:rsidRPr="00F3411C" w:rsidR="00434D30">
        <w:rPr>
          <w:rFonts w:ascii="Times New Roman" w:hAnsi="Times New Roman"/>
        </w:rPr>
        <w:t xml:space="preserve"> </w:t>
      </w:r>
      <w:r w:rsidRPr="00F3411C">
        <w:rPr>
          <w:rFonts w:ascii="Times New Roman" w:hAnsi="Times New Roman"/>
        </w:rPr>
        <w:t>ETS contains the following</w:t>
      </w:r>
      <w:r w:rsidRPr="00F3411C" w:rsidR="00193B95">
        <w:rPr>
          <w:rFonts w:ascii="Times New Roman" w:hAnsi="Times New Roman"/>
        </w:rPr>
        <w:t xml:space="preserve"> </w:t>
      </w:r>
      <w:r w:rsidRPr="00F3411C">
        <w:rPr>
          <w:rFonts w:ascii="Times New Roman" w:hAnsi="Times New Roman"/>
        </w:rPr>
        <w:t>collections of information:</w:t>
      </w:r>
      <w:r w:rsidRPr="00F3411C" w:rsidR="00193B95">
        <w:rPr>
          <w:rStyle w:val="FootnoteReference"/>
          <w:rFonts w:ascii="Times New Roman" w:hAnsi="Times New Roman"/>
        </w:rPr>
        <w:footnoteReference w:id="4"/>
      </w:r>
    </w:p>
    <w:p w:rsidRPr="00F3411C" w:rsidR="00A54737" w:rsidRDefault="00A54737" w14:paraId="553C9847" w14:textId="77777777">
      <w:pPr>
        <w:pStyle w:val="BodyTextIndent"/>
        <w:spacing w:after="0"/>
        <w:ind w:left="0"/>
        <w:rPr>
          <w:rFonts w:ascii="Times New Roman" w:hAnsi="Times New Roman" w:eastAsia="Arial Unicode MS"/>
          <w:b/>
          <w:color w:val="000000"/>
          <w:u w:val="single"/>
        </w:rPr>
      </w:pPr>
    </w:p>
    <w:p w:rsidRPr="00F3411C" w:rsidR="004457AB" w:rsidRDefault="006714DE" w14:paraId="179151BD" w14:textId="1EDE975B">
      <w:pPr>
        <w:outlineLvl w:val="4"/>
        <w:rPr>
          <w:rFonts w:eastAsia="Arial Unicode MS"/>
          <w:b/>
          <w:color w:val="000000"/>
        </w:rPr>
      </w:pPr>
      <w:r w:rsidRPr="00F3411C">
        <w:rPr>
          <w:rFonts w:eastAsia="Arial Unicode MS"/>
          <w:b/>
          <w:color w:val="000000"/>
          <w:u w:val="single"/>
        </w:rPr>
        <w:t>29 CF</w:t>
      </w:r>
      <w:r w:rsidRPr="00F3411C" w:rsidR="00D91F3C">
        <w:rPr>
          <w:rFonts w:eastAsia="Arial Unicode MS"/>
          <w:b/>
          <w:color w:val="000000"/>
          <w:u w:val="single"/>
        </w:rPr>
        <w:t xml:space="preserve">R </w:t>
      </w:r>
      <w:r w:rsidRPr="00F3411C" w:rsidR="00124EF1">
        <w:rPr>
          <w:rFonts w:eastAsia="Arial Unicode MS"/>
          <w:b/>
          <w:color w:val="000000"/>
          <w:u w:val="single"/>
        </w:rPr>
        <w:t>§</w:t>
      </w:r>
      <w:r w:rsidRPr="00F3411C" w:rsidR="00134257">
        <w:rPr>
          <w:rFonts w:eastAsia="Arial Unicode MS"/>
          <w:b/>
          <w:color w:val="000000"/>
          <w:u w:val="single"/>
        </w:rPr>
        <w:t xml:space="preserve"> </w:t>
      </w:r>
      <w:r w:rsidRPr="00F3411C" w:rsidR="00124EF1">
        <w:rPr>
          <w:rFonts w:eastAsia="Arial Unicode MS"/>
          <w:b/>
          <w:color w:val="000000"/>
          <w:u w:val="single"/>
        </w:rPr>
        <w:t>1910.50</w:t>
      </w:r>
      <w:r w:rsidRPr="00F3411C" w:rsidR="00E94F30">
        <w:rPr>
          <w:rFonts w:eastAsia="Arial Unicode MS"/>
          <w:b/>
          <w:color w:val="000000"/>
          <w:u w:val="single"/>
        </w:rPr>
        <w:t>1</w:t>
      </w:r>
      <w:r w:rsidRPr="00F3411C" w:rsidR="001424CC">
        <w:rPr>
          <w:b/>
          <w:u w:val="single"/>
        </w:rPr>
        <w:t>—</w:t>
      </w:r>
      <w:r w:rsidRPr="00F3411C" w:rsidR="000474FA">
        <w:rPr>
          <w:rFonts w:eastAsia="Arial Unicode MS"/>
          <w:b/>
          <w:color w:val="000000"/>
          <w:u w:val="single"/>
        </w:rPr>
        <w:t>Vaccination</w:t>
      </w:r>
      <w:r w:rsidRPr="00F3411C" w:rsidR="00E94F30">
        <w:rPr>
          <w:rFonts w:eastAsia="Arial Unicode MS"/>
          <w:b/>
          <w:color w:val="000000"/>
          <w:u w:val="single"/>
        </w:rPr>
        <w:t>, Testing</w:t>
      </w:r>
      <w:r w:rsidRPr="00F3411C" w:rsidR="00B20B0E">
        <w:rPr>
          <w:rFonts w:eastAsia="Arial Unicode MS"/>
          <w:b/>
          <w:color w:val="000000"/>
          <w:u w:val="single"/>
        </w:rPr>
        <w:t xml:space="preserve"> and </w:t>
      </w:r>
      <w:r w:rsidRPr="00F3411C" w:rsidR="00E94F30">
        <w:rPr>
          <w:rFonts w:eastAsia="Arial Unicode MS"/>
          <w:b/>
          <w:color w:val="000000"/>
          <w:u w:val="single"/>
        </w:rPr>
        <w:t>Face Coverings</w:t>
      </w:r>
      <w:r w:rsidRPr="00F3411C" w:rsidR="00124EF1">
        <w:rPr>
          <w:rFonts w:eastAsia="Arial Unicode MS"/>
          <w:b/>
          <w:color w:val="000000"/>
        </w:rPr>
        <w:t>.</w:t>
      </w:r>
    </w:p>
    <w:p w:rsidRPr="00F3411C" w:rsidR="0023563D" w:rsidRDefault="0023563D" w14:paraId="6FB8DBD5" w14:textId="77777777">
      <w:pPr>
        <w:outlineLvl w:val="4"/>
        <w:rPr>
          <w:b/>
        </w:rPr>
      </w:pPr>
    </w:p>
    <w:p w:rsidRPr="00F3411C" w:rsidR="00333971" w:rsidRDefault="00E47E50" w14:paraId="554C68B1" w14:textId="255E6310">
      <w:pPr>
        <w:outlineLvl w:val="4"/>
        <w:rPr>
          <w:b/>
        </w:rPr>
      </w:pPr>
      <w:r w:rsidRPr="00F3411C">
        <w:rPr>
          <w:b/>
        </w:rPr>
        <w:t>§</w:t>
      </w:r>
      <w:r w:rsidRPr="00F3411C" w:rsidR="00134257">
        <w:rPr>
          <w:b/>
        </w:rPr>
        <w:t xml:space="preserve"> </w:t>
      </w:r>
      <w:r w:rsidRPr="00F3411C">
        <w:rPr>
          <w:b/>
        </w:rPr>
        <w:t>1910.50</w:t>
      </w:r>
      <w:r w:rsidRPr="00F3411C" w:rsidR="002278F2">
        <w:rPr>
          <w:b/>
        </w:rPr>
        <w:t>1(d)</w:t>
      </w:r>
      <w:r w:rsidRPr="00F3411C" w:rsidR="00E3412D">
        <w:rPr>
          <w:b/>
        </w:rPr>
        <w:t>—</w:t>
      </w:r>
      <w:r w:rsidRPr="00F3411C" w:rsidR="002278F2">
        <w:rPr>
          <w:b/>
        </w:rPr>
        <w:t>Employer policy on vaccination.</w:t>
      </w:r>
    </w:p>
    <w:p w:rsidRPr="00F3411C" w:rsidR="0039451C" w:rsidRDefault="0039451C" w14:paraId="785E9A19" w14:textId="77777777">
      <w:pPr>
        <w:outlineLvl w:val="4"/>
        <w:rPr>
          <w:b/>
          <w:i/>
          <w:iCs/>
        </w:rPr>
      </w:pPr>
    </w:p>
    <w:p w:rsidRPr="00F3411C" w:rsidR="003B73F0" w:rsidRDefault="00333971" w14:paraId="1E816F08" w14:textId="10CE3CAD">
      <w:pPr>
        <w:outlineLvl w:val="4"/>
      </w:pPr>
      <w:r w:rsidRPr="00F3411C">
        <w:rPr>
          <w:b/>
          <w:i/>
          <w:iCs/>
        </w:rPr>
        <w:t>Standard:</w:t>
      </w:r>
      <w:r w:rsidRPr="00F3411C">
        <w:rPr>
          <w:b/>
        </w:rPr>
        <w:t xml:space="preserve"> </w:t>
      </w:r>
      <w:r w:rsidRPr="00F3411C" w:rsidR="00C855A5">
        <w:t>(1)</w:t>
      </w:r>
      <w:r w:rsidRPr="00F3411C" w:rsidR="00C855A5">
        <w:rPr>
          <w:b/>
        </w:rPr>
        <w:t xml:space="preserve"> </w:t>
      </w:r>
      <w:r w:rsidRPr="00F3411C" w:rsidR="002278F2">
        <w:t>The employer must establish</w:t>
      </w:r>
      <w:r w:rsidRPr="00F3411C" w:rsidR="0062472A">
        <w:t>,</w:t>
      </w:r>
      <w:r w:rsidRPr="00F3411C" w:rsidR="002278F2">
        <w:t xml:space="preserve"> implement</w:t>
      </w:r>
      <w:r w:rsidRPr="00F3411C" w:rsidR="00E64C35">
        <w:t>, and enforce</w:t>
      </w:r>
      <w:r w:rsidRPr="00F3411C" w:rsidR="002278F2">
        <w:t xml:space="preserve"> a written </w:t>
      </w:r>
      <w:r w:rsidRPr="00F3411C" w:rsidR="00E64C35">
        <w:t xml:space="preserve">mandatory vaccination </w:t>
      </w:r>
      <w:r w:rsidRPr="00F3411C" w:rsidR="002278F2">
        <w:t>policy</w:t>
      </w:r>
      <w:r w:rsidRPr="00F3411C" w:rsidR="00C855A5">
        <w:t xml:space="preserve">. (2) The employer is exempted from </w:t>
      </w:r>
      <w:r w:rsidRPr="00F3411C" w:rsidR="00C855A5">
        <w:rPr>
          <w:rFonts w:eastAsia="Times New Roman"/>
        </w:rPr>
        <w:t>the requirement in paragraph (d)(1) of this section only if the employer establishes, implements, and enforces a written policy allowing any employee not subject to a mandatory vaccination policy to choose to be fully vaccinated against COVID-19 or provide proof of regular testing for COVID-19 in accordance with paragraph (g) of this section and wear a face covering in accordance with paragraph (i) of this section.</w:t>
      </w:r>
      <w:r w:rsidRPr="00F3411C" w:rsidR="005274C0">
        <w:rPr>
          <w:rStyle w:val="FootnoteReference"/>
        </w:rPr>
        <w:footnoteReference w:id="5"/>
      </w:r>
      <w:r w:rsidRPr="00F3411C" w:rsidR="005274C0">
        <w:t>,</w:t>
      </w:r>
      <w:r w:rsidRPr="00F3411C" w:rsidR="004D6E63">
        <w:rPr>
          <w:rStyle w:val="FootnoteReference"/>
          <w:rFonts w:eastAsia="Arial Unicode MS"/>
          <w:bCs/>
          <w:color w:val="000000"/>
        </w:rPr>
        <w:footnoteReference w:id="6"/>
      </w:r>
    </w:p>
    <w:p w:rsidRPr="00F3411C" w:rsidR="00F60593" w:rsidRDefault="00F60593" w14:paraId="7F77A2AD" w14:textId="77777777">
      <w:pPr>
        <w:outlineLvl w:val="4"/>
        <w:rPr>
          <w:rFonts w:eastAsia="Arial Unicode MS"/>
          <w:b/>
          <w:color w:val="000000"/>
        </w:rPr>
      </w:pPr>
    </w:p>
    <w:p w:rsidRPr="00F3411C" w:rsidR="000A1DD7" w:rsidP="00052053" w:rsidRDefault="00AA4D02" w14:paraId="054BFE5F" w14:textId="25670D7C">
      <w:pPr>
        <w:outlineLvl w:val="4"/>
        <w:rPr>
          <w:color w:val="000000" w:themeColor="text1"/>
        </w:rPr>
      </w:pPr>
      <w:r w:rsidRPr="00F3411C">
        <w:rPr>
          <w:rFonts w:eastAsia="Arial Unicode MS"/>
          <w:b/>
          <w:i/>
          <w:color w:val="000000"/>
        </w:rPr>
        <w:t>Purpose</w:t>
      </w:r>
      <w:r w:rsidRPr="00F3411C">
        <w:rPr>
          <w:rFonts w:eastAsia="Arial Unicode MS"/>
          <w:b/>
          <w:color w:val="000000"/>
        </w:rPr>
        <w:t>:</w:t>
      </w:r>
      <w:r w:rsidRPr="00F3411C" w:rsidR="007065A1">
        <w:rPr>
          <w:rFonts w:eastAsia="Arial Unicode MS"/>
          <w:bCs/>
          <w:color w:val="000000"/>
        </w:rPr>
        <w:t xml:space="preserve"> The requirement documents the employer’s policy</w:t>
      </w:r>
      <w:r w:rsidRPr="00F3411C" w:rsidR="00BE171D">
        <w:rPr>
          <w:rFonts w:eastAsia="Arial Unicode MS"/>
          <w:bCs/>
          <w:color w:val="000000"/>
        </w:rPr>
        <w:t xml:space="preserve"> in order to allow consistent implementation and establish a record for how the employer intend</w:t>
      </w:r>
      <w:r w:rsidRPr="00F3411C" w:rsidR="006C3CC9">
        <w:rPr>
          <w:rFonts w:eastAsia="Arial Unicode MS"/>
          <w:bCs/>
          <w:color w:val="000000"/>
        </w:rPr>
        <w:t>s to comply with the ETS.</w:t>
      </w:r>
      <w:r w:rsidRPr="00F3411C">
        <w:rPr>
          <w:rFonts w:eastAsia="Arial Unicode MS"/>
          <w:color w:val="000000"/>
        </w:rPr>
        <w:t xml:space="preserve"> </w:t>
      </w:r>
      <w:r w:rsidRPr="00F3411C" w:rsidR="00AF73CA">
        <w:rPr>
          <w:color w:val="000000" w:themeColor="text1"/>
        </w:rPr>
        <w:t xml:space="preserve">The requirement to develop and implement policies and procedures </w:t>
      </w:r>
      <w:r w:rsidRPr="00F3411C" w:rsidR="000D4716">
        <w:rPr>
          <w:color w:val="000000" w:themeColor="text1"/>
        </w:rPr>
        <w:t xml:space="preserve">requiring employee vaccination or a combination of testing and masking is </w:t>
      </w:r>
      <w:r w:rsidRPr="00F3411C" w:rsidR="00AF73CA">
        <w:rPr>
          <w:color w:val="000000" w:themeColor="text1"/>
        </w:rPr>
        <w:t>consistent with CDC guidelines</w:t>
      </w:r>
      <w:r w:rsidRPr="00F3411C" w:rsidR="00AD68A4">
        <w:rPr>
          <w:color w:val="000000" w:themeColor="text1"/>
        </w:rPr>
        <w:t>.</w:t>
      </w:r>
      <w:r w:rsidRPr="00F3411C" w:rsidR="00AF73CA">
        <w:rPr>
          <w:color w:val="000000" w:themeColor="text1"/>
        </w:rPr>
        <w:t xml:space="preserve"> These practices are important and effective at lowering the risk of transmission of COVID-19. </w:t>
      </w:r>
    </w:p>
    <w:p w:rsidRPr="00F3411C" w:rsidR="000A1DD7" w:rsidP="009C097F" w:rsidRDefault="000A1DD7" w14:paraId="37C5C6AC" w14:textId="77777777">
      <w:pPr>
        <w:rPr>
          <w:color w:val="000000" w:themeColor="text1"/>
        </w:rPr>
      </w:pPr>
    </w:p>
    <w:p w:rsidRPr="00F3411C" w:rsidR="00B2662A" w:rsidRDefault="00E47E50" w14:paraId="558E9A59" w14:textId="58964FCE">
      <w:pPr>
        <w:rPr>
          <w:b/>
        </w:rPr>
      </w:pPr>
      <w:r w:rsidRPr="00F3411C">
        <w:rPr>
          <w:rFonts w:eastAsia="Arial Unicode MS"/>
          <w:b/>
          <w:color w:val="000000"/>
        </w:rPr>
        <w:t>§</w:t>
      </w:r>
      <w:r w:rsidRPr="00F3411C" w:rsidR="00134257">
        <w:rPr>
          <w:rFonts w:eastAsia="Arial Unicode MS"/>
          <w:b/>
          <w:color w:val="000000"/>
        </w:rPr>
        <w:t xml:space="preserve"> </w:t>
      </w:r>
      <w:r w:rsidRPr="00F3411C">
        <w:rPr>
          <w:rFonts w:eastAsia="Arial Unicode MS"/>
          <w:b/>
          <w:color w:val="000000"/>
        </w:rPr>
        <w:t>1910.50</w:t>
      </w:r>
      <w:r w:rsidRPr="00F3411C" w:rsidR="004E059F">
        <w:rPr>
          <w:rFonts w:eastAsia="Arial Unicode MS"/>
          <w:b/>
          <w:color w:val="000000"/>
        </w:rPr>
        <w:t>1(e)(2)</w:t>
      </w:r>
      <w:r w:rsidRPr="00F3411C" w:rsidR="00AD68A4">
        <w:rPr>
          <w:rFonts w:eastAsia="Arial Unicode MS"/>
          <w:b/>
          <w:color w:val="000000"/>
        </w:rPr>
        <w:t>, (e)(4)</w:t>
      </w:r>
      <w:r w:rsidRPr="00F3411C" w:rsidR="001424CC">
        <w:rPr>
          <w:b/>
        </w:rPr>
        <w:t>—</w:t>
      </w:r>
      <w:r w:rsidRPr="00F3411C" w:rsidR="004E059F">
        <w:rPr>
          <w:b/>
        </w:rPr>
        <w:t>Determination of employee vaccination status</w:t>
      </w:r>
      <w:r w:rsidRPr="00F3411C">
        <w:rPr>
          <w:b/>
        </w:rPr>
        <w:t>.</w:t>
      </w:r>
    </w:p>
    <w:p w:rsidRPr="00F3411C" w:rsidR="0039451C" w:rsidRDefault="0039451C" w14:paraId="3BA01CE2" w14:textId="77777777">
      <w:pPr>
        <w:rPr>
          <w:b/>
        </w:rPr>
      </w:pPr>
    </w:p>
    <w:p w:rsidRPr="00F3411C" w:rsidR="006255EC" w:rsidRDefault="00B2662A" w14:paraId="5F8C207C" w14:textId="5BB30DE8">
      <w:r w:rsidRPr="00F3411C">
        <w:rPr>
          <w:b/>
          <w:i/>
          <w:iCs/>
        </w:rPr>
        <w:t>Standard:</w:t>
      </w:r>
      <w:r w:rsidRPr="00F3411C">
        <w:rPr>
          <w:b/>
        </w:rPr>
        <w:t xml:space="preserve"> </w:t>
      </w:r>
      <w:r w:rsidRPr="00F3411C" w:rsidR="00AD68A4">
        <w:t>(2)</w:t>
      </w:r>
      <w:r w:rsidRPr="00F3411C" w:rsidR="00AD68A4">
        <w:rPr>
          <w:b/>
        </w:rPr>
        <w:t xml:space="preserve"> </w:t>
      </w:r>
      <w:r w:rsidRPr="00F3411C" w:rsidR="00634B91">
        <w:t>T</w:t>
      </w:r>
      <w:r w:rsidRPr="00F3411C" w:rsidR="003701F1">
        <w:t>he employer must require each vaccinated employee to provide acceptable proof of vaccination status, including whether they are fully or partially vaccinated. Acceptable proof of vaccination status is: (</w:t>
      </w:r>
      <w:r w:rsidRPr="00F3411C" w:rsidR="000D4716">
        <w:t>i</w:t>
      </w:r>
      <w:r w:rsidRPr="00F3411C" w:rsidR="003701F1">
        <w:t xml:space="preserve">) </w:t>
      </w:r>
      <w:r w:rsidRPr="00F3411C" w:rsidR="000D6545">
        <w:t>the record of immunization from a healthcare provider or pharmacy</w:t>
      </w:r>
      <w:r w:rsidRPr="00F3411C" w:rsidR="00634B91">
        <w:t>;</w:t>
      </w:r>
      <w:r w:rsidRPr="00F3411C" w:rsidR="000D6545">
        <w:t xml:space="preserve"> (</w:t>
      </w:r>
      <w:r w:rsidRPr="00F3411C" w:rsidR="00C855A5">
        <w:t>ii</w:t>
      </w:r>
      <w:r w:rsidRPr="00F3411C" w:rsidR="000D6545">
        <w:t xml:space="preserve">) </w:t>
      </w:r>
      <w:r w:rsidRPr="00F3411C" w:rsidR="00C806E1">
        <w:t xml:space="preserve">a </w:t>
      </w:r>
      <w:r w:rsidRPr="00F3411C" w:rsidR="000D6545">
        <w:t>copy of the COVID-19 V</w:t>
      </w:r>
      <w:r w:rsidRPr="00F3411C" w:rsidR="00C806E1">
        <w:t xml:space="preserve">accination </w:t>
      </w:r>
      <w:r w:rsidRPr="00F3411C" w:rsidR="000D6545">
        <w:t>Record c</w:t>
      </w:r>
      <w:r w:rsidRPr="00F3411C" w:rsidR="00C806E1">
        <w:t>ard</w:t>
      </w:r>
      <w:r w:rsidRPr="00F3411C" w:rsidR="00634B91">
        <w:t>;</w:t>
      </w:r>
      <w:r w:rsidRPr="00F3411C" w:rsidR="000D6545">
        <w:t xml:space="preserve"> (</w:t>
      </w:r>
      <w:r w:rsidRPr="00F3411C" w:rsidR="00C855A5">
        <w:t>iii</w:t>
      </w:r>
      <w:r w:rsidRPr="00F3411C" w:rsidR="000D6545">
        <w:t>) a copy of medical records documenting the vaccination</w:t>
      </w:r>
      <w:r w:rsidRPr="00F3411C" w:rsidR="00634B91">
        <w:t>;</w:t>
      </w:r>
      <w:r w:rsidRPr="00F3411C" w:rsidR="000D6545">
        <w:t xml:space="preserve"> (</w:t>
      </w:r>
      <w:r w:rsidRPr="00F3411C" w:rsidR="00C855A5">
        <w:t>iv</w:t>
      </w:r>
      <w:r w:rsidRPr="00F3411C" w:rsidR="000D6545">
        <w:t xml:space="preserve">) a copy of </w:t>
      </w:r>
      <w:r w:rsidRPr="00F3411C" w:rsidR="006C274F">
        <w:t>immunization records from a public health, state, or tribal information system</w:t>
      </w:r>
      <w:r w:rsidRPr="00F3411C" w:rsidR="00634B91">
        <w:t>; or</w:t>
      </w:r>
      <w:r w:rsidRPr="00F3411C" w:rsidR="00A95771">
        <w:t xml:space="preserve"> </w:t>
      </w:r>
      <w:r w:rsidRPr="00F3411C" w:rsidR="00C855A5">
        <w:t>(v) a copy of any other official documentation that contains the type of vaccine administered, date(s) of administration, and the name of the health care professional(s) or clinic site(s) administering the vaccine(s); (vi) in instances where an employee is unable to produce acceptable proof of vaccination under paragraphs (e)(2)(i) through (v) of this section, a signed and dated statement by the employee: (A) attesting to their vaccination status (fully vaccinated or partially vaccinated); (B) attesting that they have lost and are otherwise unable to produce proof required by this section; and (C) including the following language: “I declare (or certify, verify, or state) that this statement about my vaccination status is true and accurate. I understand that knowingly providing false information regarding my vaccination status on this form may subject me to criminal penalties.”</w:t>
      </w:r>
      <w:r w:rsidRPr="00F3411C" w:rsidR="00AD68A4">
        <w:t xml:space="preserve"> </w:t>
      </w:r>
    </w:p>
    <w:p w:rsidRPr="00F3411C" w:rsidR="009E0423" w:rsidRDefault="006255EC" w14:paraId="57437064" w14:textId="20A9816B">
      <w:r w:rsidRPr="00F3411C">
        <w:t>*     *     *</w:t>
      </w:r>
      <w:r w:rsidRPr="00F3411C" w:rsidR="00B016AC">
        <w:t xml:space="preserve">    *    *</w:t>
      </w:r>
    </w:p>
    <w:p w:rsidRPr="00F3411C" w:rsidR="00AF73CA" w:rsidRDefault="00C855A5" w14:paraId="143D6ACB" w14:textId="19B354D1">
      <w:r w:rsidRPr="00F3411C">
        <w:t>(4) The employer must maintain a record of each employee’s vaccination status and must preserve acceptable proof of vaccination for each employee who is fully or partially vaccinated. The employer must maintain a roster of each employee’s vaccination status.  These records and roster are considered to be employee medical records and must be maintained as such records in accordance with §1910.1020 and must not be disclosed except as required or authorized by this section or other federal law.  These records and roster are not subject to the retention requirements of § 1910.1020(d)(1)(i) but must be maintained and preserved while this section remains in effect.</w:t>
      </w:r>
    </w:p>
    <w:p w:rsidRPr="00F3411C" w:rsidR="00D46471" w:rsidRDefault="00D46471" w14:paraId="0FC99B76" w14:textId="77777777">
      <w:pPr>
        <w:rPr>
          <w:rFonts w:eastAsia="Arial Unicode MS"/>
          <w:b/>
          <w:iCs/>
          <w:color w:val="000000"/>
          <w:u w:val="single"/>
        </w:rPr>
      </w:pPr>
    </w:p>
    <w:p w:rsidRPr="00F3411C" w:rsidR="00B36C74" w:rsidRDefault="00B36C74" w14:paraId="6F85D9DB" w14:textId="3A2204BB">
      <w:pPr>
        <w:rPr>
          <w:rFonts w:eastAsia="Arial Unicode MS"/>
          <w:bCs/>
          <w:color w:val="000000"/>
        </w:rPr>
      </w:pPr>
      <w:r w:rsidRPr="00F3411C">
        <w:rPr>
          <w:rFonts w:eastAsia="Arial Unicode MS"/>
          <w:b/>
          <w:i/>
          <w:color w:val="000000"/>
        </w:rPr>
        <w:t>Purpose</w:t>
      </w:r>
      <w:r w:rsidRPr="00F3411C">
        <w:rPr>
          <w:rFonts w:eastAsia="Arial Unicode MS"/>
          <w:b/>
          <w:color w:val="000000"/>
        </w:rPr>
        <w:t>:</w:t>
      </w:r>
      <w:r w:rsidRPr="00F3411C" w:rsidR="00763B2F">
        <w:rPr>
          <w:rFonts w:eastAsia="Arial Unicode MS"/>
          <w:bCs/>
          <w:color w:val="000000"/>
        </w:rPr>
        <w:t xml:space="preserve"> Th</w:t>
      </w:r>
      <w:r w:rsidRPr="00F3411C" w:rsidR="000275ED">
        <w:rPr>
          <w:rFonts w:eastAsia="Arial Unicode MS"/>
          <w:bCs/>
          <w:color w:val="000000"/>
        </w:rPr>
        <w:t>e vaccination status</w:t>
      </w:r>
      <w:r w:rsidRPr="00F3411C" w:rsidR="00763B2F">
        <w:rPr>
          <w:rFonts w:eastAsia="Arial Unicode MS"/>
          <w:bCs/>
          <w:color w:val="000000"/>
        </w:rPr>
        <w:t xml:space="preserve"> provision results in </w:t>
      </w:r>
      <w:r w:rsidRPr="00F3411C" w:rsidR="00634B91">
        <w:rPr>
          <w:rFonts w:eastAsia="Arial Unicode MS"/>
          <w:bCs/>
          <w:color w:val="000000"/>
        </w:rPr>
        <w:t xml:space="preserve">a </w:t>
      </w:r>
      <w:r w:rsidRPr="00F3411C" w:rsidR="00685A0C">
        <w:rPr>
          <w:rFonts w:eastAsia="Arial Unicode MS"/>
          <w:bCs/>
          <w:color w:val="000000"/>
        </w:rPr>
        <w:t xml:space="preserve">recordkeeping </w:t>
      </w:r>
      <w:r w:rsidRPr="00F3411C" w:rsidR="00E12812">
        <w:rPr>
          <w:rFonts w:eastAsia="Arial Unicode MS"/>
          <w:bCs/>
          <w:color w:val="000000"/>
        </w:rPr>
        <w:t>requirement</w:t>
      </w:r>
      <w:r w:rsidRPr="00F3411C" w:rsidR="00D47862">
        <w:rPr>
          <w:rFonts w:eastAsia="Arial Unicode MS"/>
          <w:bCs/>
          <w:color w:val="000000"/>
        </w:rPr>
        <w:t xml:space="preserve">. These </w:t>
      </w:r>
      <w:r w:rsidRPr="00F3411C" w:rsidR="002F517C">
        <w:rPr>
          <w:rFonts w:eastAsia="Arial Unicode MS"/>
          <w:bCs/>
          <w:color w:val="000000"/>
        </w:rPr>
        <w:t xml:space="preserve">provisions </w:t>
      </w:r>
      <w:r w:rsidRPr="00F3411C" w:rsidR="00D47862">
        <w:rPr>
          <w:rFonts w:eastAsia="Arial Unicode MS"/>
          <w:bCs/>
          <w:color w:val="000000"/>
        </w:rPr>
        <w:t xml:space="preserve">allow employers to </w:t>
      </w:r>
      <w:r w:rsidRPr="00F3411C" w:rsidR="002F517C">
        <w:rPr>
          <w:rFonts w:eastAsia="Arial Unicode MS"/>
          <w:bCs/>
          <w:color w:val="000000"/>
        </w:rPr>
        <w:t xml:space="preserve">determine and document which employees are subject to </w:t>
      </w:r>
      <w:r w:rsidRPr="00F3411C" w:rsidR="00CE7F9F">
        <w:rPr>
          <w:rFonts w:eastAsia="Arial Unicode MS"/>
          <w:bCs/>
          <w:color w:val="000000"/>
        </w:rPr>
        <w:t xml:space="preserve">the </w:t>
      </w:r>
      <w:r w:rsidRPr="00F3411C" w:rsidR="00E40364">
        <w:rPr>
          <w:rFonts w:eastAsia="Arial Unicode MS"/>
          <w:bCs/>
          <w:color w:val="000000"/>
        </w:rPr>
        <w:t xml:space="preserve">COVID-19 </w:t>
      </w:r>
      <w:r w:rsidRPr="00F3411C" w:rsidR="00CE7F9F">
        <w:rPr>
          <w:rFonts w:eastAsia="Arial Unicode MS"/>
          <w:bCs/>
          <w:color w:val="000000"/>
        </w:rPr>
        <w:t>testing</w:t>
      </w:r>
      <w:r w:rsidRPr="00F3411C" w:rsidR="00AD68A4">
        <w:rPr>
          <w:rFonts w:eastAsia="Arial Unicode MS"/>
          <w:bCs/>
          <w:color w:val="000000"/>
        </w:rPr>
        <w:t xml:space="preserve"> and masking</w:t>
      </w:r>
      <w:r w:rsidRPr="00F3411C" w:rsidR="00CE7F9F">
        <w:rPr>
          <w:rFonts w:eastAsia="Arial Unicode MS"/>
          <w:bCs/>
          <w:color w:val="000000"/>
        </w:rPr>
        <w:t xml:space="preserve"> provisions</w:t>
      </w:r>
      <w:r w:rsidRPr="00F3411C" w:rsidR="000B14FF">
        <w:rPr>
          <w:rFonts w:eastAsia="Arial Unicode MS"/>
          <w:bCs/>
          <w:color w:val="000000"/>
        </w:rPr>
        <w:t xml:space="preserve"> specified in</w:t>
      </w:r>
      <w:r w:rsidRPr="00F3411C" w:rsidR="00CE7F9F">
        <w:rPr>
          <w:rFonts w:eastAsia="Arial Unicode MS"/>
          <w:bCs/>
          <w:color w:val="000000"/>
        </w:rPr>
        <w:t xml:space="preserve"> the ETS.</w:t>
      </w:r>
    </w:p>
    <w:p w:rsidRPr="00F3411C" w:rsidR="00A80308" w:rsidRDefault="00A80308" w14:paraId="5D34968E" w14:textId="4580BF7F">
      <w:pPr>
        <w:rPr>
          <w:rFonts w:eastAsia="Arial Unicode MS"/>
          <w:bCs/>
          <w:color w:val="000000"/>
        </w:rPr>
      </w:pPr>
    </w:p>
    <w:p w:rsidRPr="00F3411C" w:rsidR="00A80308" w:rsidRDefault="000938C2" w14:paraId="773F32EA" w14:textId="5770392A">
      <w:pPr>
        <w:rPr>
          <w:rFonts w:eastAsia="Arial Unicode MS"/>
          <w:b/>
          <w:color w:val="FF0000"/>
        </w:rPr>
      </w:pPr>
      <w:r w:rsidRPr="00F3411C">
        <w:rPr>
          <w:rFonts w:eastAsia="Arial Unicode MS"/>
          <w:b/>
          <w:color w:val="000000"/>
        </w:rPr>
        <w:t>§ 1910.501(f)</w:t>
      </w:r>
      <w:r w:rsidRPr="00F3411C" w:rsidR="00AD68A4">
        <w:rPr>
          <w:rFonts w:eastAsia="Arial Unicode MS"/>
          <w:b/>
          <w:color w:val="000000"/>
        </w:rPr>
        <w:t>(1)</w:t>
      </w:r>
      <w:r w:rsidRPr="00F3411C" w:rsidR="00BA6111">
        <w:rPr>
          <w:rFonts w:eastAsia="Arial Unicode MS"/>
          <w:b/>
          <w:color w:val="000000"/>
        </w:rPr>
        <w:t>&amp;(2)</w:t>
      </w:r>
      <w:r w:rsidRPr="00F3411C" w:rsidR="001424CC">
        <w:rPr>
          <w:b/>
        </w:rPr>
        <w:t>—</w:t>
      </w:r>
      <w:r w:rsidRPr="00F3411C" w:rsidR="00181A01">
        <w:rPr>
          <w:b/>
          <w:bCs/>
        </w:rPr>
        <w:t>Employer support for employee vaccination.</w:t>
      </w:r>
    </w:p>
    <w:p w:rsidRPr="00F3411C" w:rsidR="0039451C" w:rsidRDefault="0039451C" w14:paraId="28FFB36B" w14:textId="77777777">
      <w:pPr>
        <w:rPr>
          <w:b/>
          <w:i/>
          <w:iCs/>
        </w:rPr>
      </w:pPr>
    </w:p>
    <w:p w:rsidRPr="00F3411C" w:rsidR="005E444D" w:rsidRDefault="009A4D84" w14:paraId="7223CBCD" w14:textId="3E13C100">
      <w:r w:rsidRPr="00F3411C">
        <w:rPr>
          <w:b/>
          <w:i/>
          <w:iCs/>
        </w:rPr>
        <w:t>Standard:</w:t>
      </w:r>
      <w:r w:rsidRPr="00F3411C">
        <w:rPr>
          <w:b/>
        </w:rPr>
        <w:t xml:space="preserve"> </w:t>
      </w:r>
      <w:r w:rsidRPr="00F3411C" w:rsidR="00C855A5">
        <w:t>(1) Time for vaccination. The employer must: (i) provide a reasonable amount of time to each employee for each of their vaccination dose(s); and (ii) provide up to 4 hours paid time, including travel time, at the employee’s regular rate of pay for this purpose.</w:t>
      </w:r>
      <w:r w:rsidRPr="00F3411C" w:rsidR="008F15BE">
        <w:t xml:space="preserve"> </w:t>
      </w:r>
      <w:r w:rsidRPr="00F3411C" w:rsidR="008F15BE">
        <w:rPr>
          <w:rFonts w:eastAsia="Times New Roman"/>
        </w:rPr>
        <w:t xml:space="preserve">(2)  </w:t>
      </w:r>
      <w:r w:rsidRPr="00F3411C" w:rsidR="008F15BE">
        <w:rPr>
          <w:rFonts w:eastAsia="Times New Roman"/>
          <w:iCs/>
        </w:rPr>
        <w:t>Time for recovery.</w:t>
      </w:r>
      <w:r w:rsidRPr="00F3411C" w:rsidR="008F15BE">
        <w:rPr>
          <w:rFonts w:eastAsia="Times New Roman"/>
        </w:rPr>
        <w:t xml:space="preserve"> The employer must provide reasonable time and paid sick leave to recover from side effects experienced following any </w:t>
      </w:r>
      <w:r w:rsidRPr="00F3411C" w:rsidR="00634B91">
        <w:rPr>
          <w:rFonts w:eastAsia="Times New Roman"/>
        </w:rPr>
        <w:t xml:space="preserve">primary </w:t>
      </w:r>
      <w:r w:rsidRPr="00F3411C" w:rsidR="008F15BE">
        <w:rPr>
          <w:rFonts w:eastAsia="Times New Roman"/>
        </w:rPr>
        <w:t>vaccination dose to each employee for each dose.</w:t>
      </w:r>
    </w:p>
    <w:p w:rsidRPr="00F3411C" w:rsidR="00D46471" w:rsidRDefault="00D46471" w14:paraId="796AE797" w14:textId="77777777">
      <w:pPr>
        <w:rPr>
          <w:bCs/>
        </w:rPr>
      </w:pPr>
    </w:p>
    <w:p w:rsidRPr="00F3411C" w:rsidR="005E444D" w:rsidRDefault="005E444D" w14:paraId="76ED5E0B" w14:textId="377CD3F6">
      <w:pPr>
        <w:rPr>
          <w:rFonts w:eastAsia="Arial Unicode MS"/>
          <w:bCs/>
          <w:color w:val="000000"/>
        </w:rPr>
      </w:pPr>
      <w:r w:rsidRPr="00F3411C">
        <w:rPr>
          <w:rFonts w:eastAsia="Arial Unicode MS"/>
          <w:b/>
          <w:i/>
          <w:color w:val="000000"/>
        </w:rPr>
        <w:t>Purpose</w:t>
      </w:r>
      <w:r w:rsidRPr="00F3411C">
        <w:rPr>
          <w:rFonts w:eastAsia="Arial Unicode MS"/>
          <w:b/>
          <w:color w:val="000000"/>
        </w:rPr>
        <w:t>:</w:t>
      </w:r>
      <w:r w:rsidRPr="00F3411C" w:rsidR="00B15050">
        <w:rPr>
          <w:rFonts w:eastAsia="Arial Unicode MS"/>
          <w:bCs/>
          <w:color w:val="000000"/>
        </w:rPr>
        <w:t xml:space="preserve"> </w:t>
      </w:r>
      <w:r w:rsidRPr="00F3411C" w:rsidR="00C855A5">
        <w:t>This provision implies the employer will develop a record to document compliance</w:t>
      </w:r>
      <w:r w:rsidRPr="00F3411C" w:rsidR="00C855A5">
        <w:rPr>
          <w:rFonts w:eastAsia="Arial Unicode MS"/>
          <w:bCs/>
          <w:color w:val="000000"/>
        </w:rPr>
        <w:t xml:space="preserve">. </w:t>
      </w:r>
      <w:r w:rsidRPr="00F3411C" w:rsidR="00B15050">
        <w:rPr>
          <w:rFonts w:eastAsia="Arial Unicode MS"/>
          <w:bCs/>
          <w:color w:val="000000"/>
        </w:rPr>
        <w:t>T</w:t>
      </w:r>
      <w:r w:rsidRPr="00F3411C" w:rsidR="00040F82">
        <w:rPr>
          <w:rFonts w:eastAsia="Arial Unicode MS"/>
          <w:bCs/>
          <w:color w:val="000000"/>
        </w:rPr>
        <w:t xml:space="preserve">his recordkeeping requirement </w:t>
      </w:r>
      <w:r w:rsidRPr="00F3411C" w:rsidR="00346434">
        <w:rPr>
          <w:rFonts w:eastAsia="Arial Unicode MS"/>
          <w:bCs/>
          <w:color w:val="000000"/>
        </w:rPr>
        <w:t xml:space="preserve">will </w:t>
      </w:r>
      <w:r w:rsidRPr="00F3411C" w:rsidR="006E6DD8">
        <w:rPr>
          <w:rFonts w:eastAsia="Arial Unicode MS"/>
          <w:bCs/>
          <w:color w:val="000000"/>
        </w:rPr>
        <w:t xml:space="preserve">be used by employers and OSHA to </w:t>
      </w:r>
      <w:r w:rsidRPr="00F3411C" w:rsidR="00040F82">
        <w:rPr>
          <w:rFonts w:eastAsia="Arial Unicode MS"/>
          <w:bCs/>
          <w:color w:val="000000"/>
        </w:rPr>
        <w:t>document an employer</w:t>
      </w:r>
      <w:r w:rsidRPr="00F3411C" w:rsidR="00346434">
        <w:rPr>
          <w:rFonts w:eastAsia="Arial Unicode MS"/>
          <w:bCs/>
          <w:color w:val="000000"/>
        </w:rPr>
        <w:t>’s compliance with the provision</w:t>
      </w:r>
      <w:r w:rsidRPr="00F3411C" w:rsidR="006E6DD8">
        <w:rPr>
          <w:rFonts w:eastAsia="Arial Unicode MS"/>
          <w:bCs/>
          <w:color w:val="000000"/>
        </w:rPr>
        <w:t xml:space="preserve">, should there be a question about whether the time was properly </w:t>
      </w:r>
      <w:r w:rsidRPr="00F3411C" w:rsidR="00C93DC9">
        <w:rPr>
          <w:rFonts w:eastAsia="Arial Unicode MS"/>
          <w:bCs/>
          <w:color w:val="000000"/>
        </w:rPr>
        <w:t xml:space="preserve">granted and </w:t>
      </w:r>
      <w:r w:rsidRPr="00F3411C" w:rsidR="006E6DD8">
        <w:rPr>
          <w:rFonts w:eastAsia="Arial Unicode MS"/>
          <w:bCs/>
          <w:color w:val="000000"/>
        </w:rPr>
        <w:t>compensated</w:t>
      </w:r>
      <w:r w:rsidRPr="00F3411C" w:rsidR="00346434">
        <w:rPr>
          <w:rFonts w:eastAsia="Arial Unicode MS"/>
          <w:bCs/>
          <w:color w:val="000000"/>
        </w:rPr>
        <w:t>.</w:t>
      </w:r>
    </w:p>
    <w:p w:rsidRPr="00F3411C" w:rsidR="009A4D84" w:rsidRDefault="009A4D84" w14:paraId="283C2ABB" w14:textId="77777777">
      <w:pPr>
        <w:ind w:left="360" w:hanging="360"/>
        <w:rPr>
          <w:rFonts w:eastAsia="Arial Unicode MS"/>
          <w:b/>
          <w:color w:val="000000"/>
        </w:rPr>
      </w:pPr>
    </w:p>
    <w:p w:rsidRPr="00F3411C" w:rsidR="008E77AD" w:rsidRDefault="00AB625B" w14:paraId="22477E61" w14:textId="1EDF45F8">
      <w:r w:rsidRPr="00F3411C">
        <w:rPr>
          <w:rFonts w:eastAsia="Arial Unicode MS"/>
          <w:b/>
          <w:color w:val="000000"/>
        </w:rPr>
        <w:t>§ 1910.501</w:t>
      </w:r>
      <w:r w:rsidRPr="00F3411C" w:rsidR="00AC75E5">
        <w:rPr>
          <w:b/>
          <w:bCs/>
        </w:rPr>
        <w:t>(g)</w:t>
      </w:r>
      <w:r w:rsidRPr="00F3411C" w:rsidR="00316BB6">
        <w:rPr>
          <w:b/>
          <w:bCs/>
        </w:rPr>
        <w:t>(1), (g)(4)</w:t>
      </w:r>
      <w:r w:rsidRPr="00F3411C" w:rsidR="001424CC">
        <w:rPr>
          <w:b/>
        </w:rPr>
        <w:t>—</w:t>
      </w:r>
      <w:r w:rsidRPr="00F3411C" w:rsidR="00AC75E5">
        <w:rPr>
          <w:b/>
          <w:bCs/>
        </w:rPr>
        <w:t>COVID-19 testing for employees who are not fully vaccinated.</w:t>
      </w:r>
    </w:p>
    <w:p w:rsidRPr="00F3411C" w:rsidR="0039451C" w:rsidRDefault="0039451C" w14:paraId="43CF6AE9" w14:textId="77777777">
      <w:pPr>
        <w:rPr>
          <w:b/>
          <w:i/>
          <w:iCs/>
        </w:rPr>
      </w:pPr>
    </w:p>
    <w:p w:rsidRPr="00F3411C" w:rsidR="006255EC" w:rsidP="00052053" w:rsidRDefault="008E77AD" w14:paraId="5BA4229C" w14:textId="131C5255">
      <w:r w:rsidRPr="00F3411C">
        <w:rPr>
          <w:b/>
          <w:i/>
          <w:iCs/>
        </w:rPr>
        <w:t>Standard:</w:t>
      </w:r>
      <w:r w:rsidRPr="00F3411C" w:rsidR="00B21322">
        <w:rPr>
          <w:b/>
        </w:rPr>
        <w:t xml:space="preserve"> </w:t>
      </w:r>
      <w:r w:rsidRPr="00F3411C" w:rsidR="00C855A5">
        <w:t>(1) The employer must ensure that each employee who is not fully vaccinated complies with paragraph (g)(1)(i) or (ii) of this section: (i)  An employee who reports at least once every 7 days to a workplace where other individuals such as coworkers or customers are present: (A) must be tested for COVID-19 at least once every 7 days; and (B) must provide documentation of the most recent COVID-19 test result to the employer no later than the 7th day following the date on which the employee last provided a test result. (ii) An employee who does not report during a period of 7 or more days to a workplace where other individuals such as coworkers or customers are present (e.g., teleworking for two weeks prior to reporting to a workplace with others): (A) must be tested for COVID-19 within 7 days prior to returning to the workplace; and (B) must provide documentation of that test result to the employer upon return to the workplace.</w:t>
      </w:r>
    </w:p>
    <w:p w:rsidRPr="00F3411C" w:rsidR="00D2205A" w:rsidP="00052053" w:rsidRDefault="006255EC" w14:paraId="603E176C" w14:textId="4B978483">
      <w:r w:rsidRPr="00F3411C" w:rsidDel="006255EC">
        <w:t xml:space="preserve"> </w:t>
      </w:r>
      <w:r w:rsidRPr="00F3411C">
        <w:t>*     *     *</w:t>
      </w:r>
      <w:r w:rsidRPr="00F3411C" w:rsidR="00E12812">
        <w:t xml:space="preserve">    *    *</w:t>
      </w:r>
    </w:p>
    <w:p w:rsidRPr="00F3411C" w:rsidR="008A0E8C" w:rsidP="00D04405" w:rsidRDefault="00316BB6" w14:paraId="5F17D928" w14:textId="0D210FB7">
      <w:pPr>
        <w:rPr>
          <w:rStyle w:val="normaltextrun"/>
          <w:highlight w:val="yellow"/>
        </w:rPr>
      </w:pPr>
      <w:r w:rsidRPr="00F3411C">
        <w:t>(4) The employer must maintain a record of each test result provided by each employee under paragraph (g)(1) of this section</w:t>
      </w:r>
      <w:r w:rsidRPr="00F3411C" w:rsidR="00D04405">
        <w:t xml:space="preserve"> or obtained during tests conducted by the employer</w:t>
      </w:r>
      <w:r w:rsidRPr="00F3411C">
        <w:t xml:space="preserve">.  </w:t>
      </w:r>
      <w:r w:rsidRPr="00F3411C" w:rsidR="00D04405">
        <w:t xml:space="preserve">These records </w:t>
      </w:r>
      <w:r w:rsidRPr="00F3411C" w:rsidR="00D04405">
        <w:rPr>
          <w:rFonts w:eastAsia="Times New Roman"/>
        </w:rPr>
        <w:t>are considered to be employee medical records and must be maintained as such records in accordance with § 1910.1020 and must not be disclosed except as required or authorized by this section or other federal law.  These records are not subject to the retention requirements of §</w:t>
      </w:r>
      <w:r w:rsidRPr="00F3411C" w:rsidR="002C71CD">
        <w:rPr>
          <w:rFonts w:eastAsia="Times New Roman"/>
        </w:rPr>
        <w:t> </w:t>
      </w:r>
      <w:r w:rsidRPr="00F3411C" w:rsidR="00D04405">
        <w:rPr>
          <w:rFonts w:eastAsia="Times New Roman"/>
        </w:rPr>
        <w:t>1910.1020(d)(1)(i) but must be maintained and preserved while this section remains in effect.</w:t>
      </w:r>
    </w:p>
    <w:p w:rsidRPr="00F3411C" w:rsidR="00943E2A" w:rsidP="00052053" w:rsidRDefault="00943E2A" w14:paraId="41DDA270" w14:textId="77777777">
      <w:pPr>
        <w:autoSpaceDE/>
        <w:autoSpaceDN/>
        <w:rPr>
          <w:rFonts w:eastAsia="Times New Roman"/>
          <w:b/>
          <w:i/>
          <w:lang w:eastAsia="en-US"/>
        </w:rPr>
      </w:pPr>
    </w:p>
    <w:p w:rsidRPr="00F3411C" w:rsidR="00F52C02" w:rsidP="00052053" w:rsidRDefault="00F52C02" w14:paraId="51816D28" w14:textId="1BD45693">
      <w:pPr>
        <w:autoSpaceDE/>
        <w:autoSpaceDN/>
        <w:rPr>
          <w:rFonts w:eastAsia="Times New Roman"/>
          <w:lang w:eastAsia="en-US"/>
        </w:rPr>
      </w:pPr>
      <w:r w:rsidRPr="00F3411C">
        <w:rPr>
          <w:rFonts w:eastAsia="Times New Roman"/>
          <w:b/>
          <w:i/>
          <w:lang w:eastAsia="en-US"/>
        </w:rPr>
        <w:t>Purpose</w:t>
      </w:r>
      <w:r w:rsidRPr="00F3411C">
        <w:rPr>
          <w:rFonts w:eastAsia="Times New Roman"/>
          <w:b/>
          <w:lang w:eastAsia="en-US"/>
        </w:rPr>
        <w:t xml:space="preserve">: </w:t>
      </w:r>
      <w:r w:rsidRPr="00F3411C" w:rsidR="00443512">
        <w:rPr>
          <w:rFonts w:eastAsia="Arial Unicode MS"/>
          <w:bCs/>
          <w:color w:val="000000"/>
        </w:rPr>
        <w:t>Th</w:t>
      </w:r>
      <w:r w:rsidRPr="00F3411C" w:rsidR="000275ED">
        <w:rPr>
          <w:rFonts w:eastAsia="Arial Unicode MS"/>
          <w:bCs/>
          <w:color w:val="000000"/>
        </w:rPr>
        <w:t>e testing</w:t>
      </w:r>
      <w:r w:rsidRPr="00F3411C" w:rsidR="00443512">
        <w:rPr>
          <w:rFonts w:eastAsia="Arial Unicode MS"/>
          <w:bCs/>
          <w:color w:val="000000"/>
        </w:rPr>
        <w:t xml:space="preserve"> provision results in </w:t>
      </w:r>
      <w:r w:rsidRPr="00F3411C" w:rsidR="00E12812">
        <w:rPr>
          <w:rFonts w:eastAsia="Arial Unicode MS"/>
          <w:bCs/>
          <w:color w:val="000000"/>
        </w:rPr>
        <w:t xml:space="preserve">a </w:t>
      </w:r>
      <w:r w:rsidRPr="00F3411C" w:rsidR="00443512">
        <w:rPr>
          <w:rFonts w:eastAsia="Arial Unicode MS"/>
          <w:bCs/>
          <w:color w:val="000000"/>
        </w:rPr>
        <w:t xml:space="preserve">recordkeeping </w:t>
      </w:r>
      <w:r w:rsidRPr="00F3411C" w:rsidR="00E12812">
        <w:rPr>
          <w:rFonts w:eastAsia="Arial Unicode MS"/>
          <w:bCs/>
          <w:color w:val="000000"/>
        </w:rPr>
        <w:t>requirement</w:t>
      </w:r>
      <w:r w:rsidRPr="00F3411C" w:rsidR="00443512">
        <w:rPr>
          <w:rFonts w:eastAsia="Arial Unicode MS"/>
          <w:bCs/>
          <w:color w:val="000000"/>
        </w:rPr>
        <w:t xml:space="preserve">. These provisions allow employers to determine and document which employees </w:t>
      </w:r>
      <w:r w:rsidRPr="00F3411C" w:rsidR="009F4413">
        <w:rPr>
          <w:rFonts w:eastAsia="Arial Unicode MS"/>
          <w:bCs/>
          <w:color w:val="000000"/>
        </w:rPr>
        <w:t>should be removed from the worksite because they have an active case of COVID-19</w:t>
      </w:r>
      <w:r w:rsidRPr="00F3411C" w:rsidR="00443512">
        <w:rPr>
          <w:rFonts w:eastAsia="Arial Unicode MS"/>
          <w:bCs/>
          <w:color w:val="000000"/>
        </w:rPr>
        <w:t>.</w:t>
      </w:r>
    </w:p>
    <w:p w:rsidRPr="00F3411C" w:rsidR="005B7C84" w:rsidP="00052053" w:rsidRDefault="005B7C84" w14:paraId="055D40CA" w14:textId="77777777">
      <w:pPr>
        <w:autoSpaceDE/>
        <w:autoSpaceDN/>
        <w:rPr>
          <w:rFonts w:eastAsia="Times New Roman"/>
          <w:lang w:eastAsia="en-US"/>
        </w:rPr>
      </w:pPr>
    </w:p>
    <w:p w:rsidRPr="00F3411C" w:rsidR="00957A4B" w:rsidP="00052053" w:rsidRDefault="00F52C02" w14:paraId="5EBB29C8" w14:textId="1AE512AE">
      <w:pPr>
        <w:autoSpaceDE/>
        <w:autoSpaceDN/>
        <w:rPr>
          <w:rFonts w:eastAsia="Times New Roman"/>
          <w:b/>
          <w:lang w:eastAsia="en-US"/>
        </w:rPr>
      </w:pPr>
      <w:r w:rsidRPr="00F3411C">
        <w:rPr>
          <w:rFonts w:eastAsia="Times New Roman"/>
          <w:b/>
          <w:lang w:eastAsia="en-US"/>
        </w:rPr>
        <w:t>§ 1910.50</w:t>
      </w:r>
      <w:r w:rsidRPr="00F3411C" w:rsidR="008A0E8C">
        <w:rPr>
          <w:rFonts w:eastAsia="Times New Roman"/>
          <w:b/>
          <w:lang w:eastAsia="en-US"/>
        </w:rPr>
        <w:t>1(h)(</w:t>
      </w:r>
      <w:r w:rsidRPr="00F3411C" w:rsidR="00571A9F">
        <w:rPr>
          <w:rFonts w:eastAsia="Times New Roman"/>
          <w:b/>
          <w:lang w:eastAsia="en-US"/>
        </w:rPr>
        <w:t>1</w:t>
      </w:r>
      <w:r w:rsidRPr="00F3411C" w:rsidR="008A0E8C">
        <w:rPr>
          <w:rFonts w:eastAsia="Times New Roman"/>
          <w:b/>
          <w:lang w:eastAsia="en-US"/>
        </w:rPr>
        <w:t>)</w:t>
      </w:r>
      <w:r w:rsidRPr="00F3411C" w:rsidR="00325BFE">
        <w:rPr>
          <w:b/>
        </w:rPr>
        <w:t>—</w:t>
      </w:r>
      <w:r w:rsidRPr="00F3411C" w:rsidR="008A0E8C">
        <w:rPr>
          <w:b/>
        </w:rPr>
        <w:t xml:space="preserve">Employee notification to employer of </w:t>
      </w:r>
      <w:r w:rsidRPr="00F3411C" w:rsidR="00BE0C48">
        <w:rPr>
          <w:b/>
        </w:rPr>
        <w:t>a</w:t>
      </w:r>
      <w:r w:rsidRPr="00F3411C" w:rsidR="008A0E8C">
        <w:rPr>
          <w:b/>
        </w:rPr>
        <w:t xml:space="preserve"> positive </w:t>
      </w:r>
      <w:r w:rsidRPr="00F3411C" w:rsidR="00BE0C48">
        <w:rPr>
          <w:b/>
        </w:rPr>
        <w:t>COVID-19 test</w:t>
      </w:r>
      <w:r w:rsidRPr="00F3411C" w:rsidR="008A0E8C">
        <w:rPr>
          <w:b/>
        </w:rPr>
        <w:t xml:space="preserve"> and removal</w:t>
      </w:r>
      <w:r w:rsidRPr="00F3411C" w:rsidR="00957A4B">
        <w:rPr>
          <w:rFonts w:eastAsia="Times New Roman"/>
          <w:b/>
          <w:lang w:eastAsia="en-US"/>
        </w:rPr>
        <w:t xml:space="preserve">. </w:t>
      </w:r>
    </w:p>
    <w:p w:rsidRPr="00F3411C" w:rsidR="0039451C" w:rsidP="009C097F" w:rsidRDefault="0039451C" w14:paraId="15C5AF8F" w14:textId="77777777">
      <w:pPr>
        <w:rPr>
          <w:b/>
          <w:i/>
          <w:iCs/>
        </w:rPr>
      </w:pPr>
    </w:p>
    <w:p w:rsidRPr="00F3411C" w:rsidR="00316BB6" w:rsidP="00052053" w:rsidRDefault="007113E1" w14:paraId="53DCB40D" w14:textId="2F1FEB3F">
      <w:r w:rsidRPr="00F3411C">
        <w:rPr>
          <w:b/>
          <w:i/>
          <w:iCs/>
        </w:rPr>
        <w:t>Standard:</w:t>
      </w:r>
      <w:r w:rsidRPr="00F3411C">
        <w:rPr>
          <w:b/>
        </w:rPr>
        <w:t xml:space="preserve"> </w:t>
      </w:r>
      <w:r w:rsidRPr="00F3411C" w:rsidR="00D04405">
        <w:t>[T]</w:t>
      </w:r>
      <w:r w:rsidRPr="00F3411C" w:rsidR="00316BB6">
        <w:t xml:space="preserve">he employer must: (1) require each employee to promptly notify the employer when they </w:t>
      </w:r>
      <w:r w:rsidRPr="00F3411C" w:rsidR="000459A3">
        <w:t>receive a positive COVID-19 test or are diagnosed with COVID-19 by a licensed healthcare provider</w:t>
      </w:r>
      <w:r w:rsidRPr="00F3411C" w:rsidR="00C81307">
        <w:t>[</w:t>
      </w:r>
      <w:r w:rsidRPr="00F3411C" w:rsidR="000459A3">
        <w:t>.</w:t>
      </w:r>
      <w:r w:rsidRPr="00F3411C" w:rsidR="00C81307">
        <w:t>]</w:t>
      </w:r>
    </w:p>
    <w:p w:rsidRPr="00F3411C" w:rsidR="0045211E" w:rsidP="009C097F" w:rsidRDefault="0045211E" w14:paraId="7DDEE791" w14:textId="3619F24B"/>
    <w:p w:rsidRPr="00F3411C" w:rsidR="0011024A" w:rsidP="00052053" w:rsidRDefault="00F52C02" w14:paraId="6FF92D1B" w14:textId="1C35A149">
      <w:pPr>
        <w:autoSpaceDE/>
        <w:autoSpaceDN/>
        <w:rPr>
          <w:rFonts w:eastAsia="Times New Roman"/>
          <w:lang w:eastAsia="en-US"/>
        </w:rPr>
      </w:pPr>
      <w:r w:rsidRPr="00F3411C">
        <w:rPr>
          <w:rFonts w:eastAsia="Arial Unicode MS"/>
          <w:b/>
          <w:i/>
          <w:color w:val="000000"/>
        </w:rPr>
        <w:t>Purpose:</w:t>
      </w:r>
      <w:r w:rsidRPr="00F3411C">
        <w:rPr>
          <w:rFonts w:eastAsia="Arial Unicode MS"/>
          <w:color w:val="000000"/>
        </w:rPr>
        <w:t xml:space="preserve"> </w:t>
      </w:r>
      <w:r w:rsidRPr="00F3411C" w:rsidR="0088654B">
        <w:rPr>
          <w:rFonts w:eastAsia="Times New Roman"/>
          <w:lang w:eastAsia="en-US"/>
        </w:rPr>
        <w:t>Employers will use this information to remove COVID-19 positive employees from the workplace and reduce the risk of workplace transmission</w:t>
      </w:r>
      <w:r w:rsidRPr="00F3411C" w:rsidR="0011024A">
        <w:rPr>
          <w:rFonts w:eastAsia="Times New Roman"/>
          <w:lang w:eastAsia="en-US"/>
        </w:rPr>
        <w:t>.</w:t>
      </w:r>
      <w:r w:rsidRPr="00F3411C" w:rsidR="006250B7">
        <w:rPr>
          <w:rStyle w:val="FootnoteReference"/>
          <w:rFonts w:eastAsia="Times New Roman"/>
          <w:lang w:eastAsia="en-US"/>
        </w:rPr>
        <w:footnoteReference w:id="7"/>
      </w:r>
    </w:p>
    <w:p w:rsidRPr="00F3411C" w:rsidR="00EB476E" w:rsidP="00052053" w:rsidRDefault="00F23C2C" w14:paraId="3B8A9292" w14:textId="0FEF721B">
      <w:pPr>
        <w:autoSpaceDE/>
        <w:autoSpaceDN/>
        <w:rPr>
          <w:rFonts w:eastAsia="Arial Unicode MS"/>
          <w:b/>
          <w:color w:val="000000"/>
        </w:rPr>
      </w:pPr>
      <w:r w:rsidRPr="00F3411C">
        <w:rPr>
          <w:rStyle w:val="normaltextrun"/>
          <w:color w:val="000000"/>
          <w:shd w:val="clear" w:color="auto" w:fill="FFFFFF"/>
        </w:rPr>
        <w:t xml:space="preserve"> </w:t>
      </w:r>
    </w:p>
    <w:p w:rsidRPr="00F3411C" w:rsidR="0062354C" w:rsidP="009C097F" w:rsidRDefault="00363BA1" w14:paraId="27454F3D" w14:textId="1C70EAFC">
      <w:pPr>
        <w:rPr>
          <w:b/>
          <w:bCs/>
          <w:iCs/>
        </w:rPr>
      </w:pPr>
      <w:r w:rsidRPr="00F3411C">
        <w:rPr>
          <w:rFonts w:eastAsia="Arial Unicode MS"/>
          <w:b/>
          <w:color w:val="000000"/>
        </w:rPr>
        <w:t>§</w:t>
      </w:r>
      <w:r w:rsidRPr="00F3411C" w:rsidR="00134257">
        <w:rPr>
          <w:rFonts w:eastAsia="Arial Unicode MS"/>
          <w:b/>
          <w:color w:val="000000"/>
        </w:rPr>
        <w:t xml:space="preserve"> </w:t>
      </w:r>
      <w:r w:rsidRPr="00F3411C">
        <w:rPr>
          <w:rFonts w:eastAsia="Arial Unicode MS"/>
          <w:b/>
          <w:color w:val="000000"/>
        </w:rPr>
        <w:t>1910.50</w:t>
      </w:r>
      <w:r w:rsidRPr="00F3411C" w:rsidR="007018AE">
        <w:rPr>
          <w:rFonts w:eastAsia="Arial Unicode MS"/>
          <w:b/>
          <w:color w:val="000000"/>
        </w:rPr>
        <w:t>1</w:t>
      </w:r>
      <w:r w:rsidRPr="00F3411C" w:rsidR="00571A9F">
        <w:rPr>
          <w:b/>
          <w:bCs/>
        </w:rPr>
        <w:t>(</w:t>
      </w:r>
      <w:r w:rsidRPr="00F3411C" w:rsidR="00206B64">
        <w:rPr>
          <w:b/>
          <w:bCs/>
        </w:rPr>
        <w:t>j</w:t>
      </w:r>
      <w:r w:rsidRPr="00F3411C" w:rsidR="00571A9F">
        <w:rPr>
          <w:b/>
          <w:bCs/>
        </w:rPr>
        <w:t>)</w:t>
      </w:r>
      <w:r w:rsidRPr="00F3411C" w:rsidR="00325BFE">
        <w:rPr>
          <w:b/>
        </w:rPr>
        <w:t>—</w:t>
      </w:r>
      <w:r w:rsidRPr="00F3411C" w:rsidR="00571A9F">
        <w:rPr>
          <w:b/>
          <w:bCs/>
          <w:iCs/>
        </w:rPr>
        <w:t>Information provided to employees.</w:t>
      </w:r>
    </w:p>
    <w:p w:rsidRPr="00F3411C" w:rsidR="003952D7" w:rsidRDefault="003952D7" w14:paraId="6A303569" w14:textId="77777777">
      <w:pPr>
        <w:rPr>
          <w:b/>
        </w:rPr>
      </w:pPr>
    </w:p>
    <w:p w:rsidRPr="00F3411C" w:rsidR="00363BA1" w:rsidRDefault="0062354C" w14:paraId="548F8457" w14:textId="605C3BB4">
      <w:r w:rsidRPr="00F3411C">
        <w:rPr>
          <w:b/>
          <w:i/>
          <w:iCs/>
        </w:rPr>
        <w:t>Standard:</w:t>
      </w:r>
      <w:r w:rsidRPr="00F3411C">
        <w:rPr>
          <w:b/>
        </w:rPr>
        <w:t xml:space="preserve"> </w:t>
      </w:r>
      <w:r w:rsidRPr="00F3411C" w:rsidR="00571A9F">
        <w:t>The employer must inform each employee, in a language and at a literacy level the employee understands, about: (1) the requirements of this section as well as any employer policies and procedures established to implement this section;</w:t>
      </w:r>
      <w:r w:rsidRPr="00F3411C" w:rsidR="001C7323">
        <w:t xml:space="preserve"> </w:t>
      </w:r>
      <w:r w:rsidRPr="00F3411C" w:rsidR="00571A9F">
        <w:t>(2) COVID-19 vaccine efficacy, safety, and the benefits of being vaccinated</w:t>
      </w:r>
      <w:r w:rsidRPr="00F3411C" w:rsidR="00D04405">
        <w:t>,</w:t>
      </w:r>
      <w:r w:rsidRPr="00F3411C" w:rsidR="00E03C32">
        <w:t xml:space="preserve"> by providing the document</w:t>
      </w:r>
      <w:r w:rsidRPr="00F3411C" w:rsidR="00571A9F">
        <w:t xml:space="preserve">, </w:t>
      </w:r>
      <w:r w:rsidRPr="00F3411C" w:rsidR="00E03C32">
        <w:t>“</w:t>
      </w:r>
      <w:r w:rsidRPr="00F3411C" w:rsidR="00362051">
        <w:rPr>
          <w:rFonts w:eastAsia="Times New Roman"/>
        </w:rPr>
        <w:t xml:space="preserve">“Key Things to Know About COVID-19 Vaccines,” available at </w:t>
      </w:r>
      <w:r w:rsidRPr="00F3411C" w:rsidR="00362051">
        <w:rPr>
          <w:rFonts w:eastAsia="Times New Roman"/>
          <w:i/>
        </w:rPr>
        <w:t>https://www.cdc.gov/coronavirus/2019-ncov/vaccines/keythingstoknow.html</w:t>
      </w:r>
      <w:r w:rsidRPr="00F3411C" w:rsidR="00571A9F">
        <w:t>;</w:t>
      </w:r>
      <w:r w:rsidRPr="00F3411C" w:rsidR="00A47658">
        <w:t xml:space="preserve"> </w:t>
      </w:r>
      <w:r w:rsidRPr="00F3411C" w:rsidR="00304F84">
        <w:rPr>
          <w:rStyle w:val="FootnoteReference"/>
        </w:rPr>
        <w:footnoteReference w:id="8"/>
      </w:r>
      <w:r w:rsidRPr="00F3411C" w:rsidR="00DE49B7">
        <w:t xml:space="preserve"> </w:t>
      </w:r>
      <w:r w:rsidRPr="00F3411C" w:rsidR="00571A9F">
        <w:t>(3) the requirements of 29 CFR 1904.35</w:t>
      </w:r>
      <w:r w:rsidRPr="00F3411C" w:rsidR="00077E90">
        <w:t>(b)(1)(iv)</w:t>
      </w:r>
      <w:r w:rsidRPr="00F3411C" w:rsidR="00571A9F">
        <w:t>, which prohibit</w:t>
      </w:r>
      <w:r w:rsidRPr="00F3411C" w:rsidR="00077E90">
        <w:t>s</w:t>
      </w:r>
      <w:r w:rsidRPr="00F3411C" w:rsidR="00571A9F">
        <w:t xml:space="preserve"> the employer from </w:t>
      </w:r>
      <w:r w:rsidRPr="00F3411C" w:rsidR="00D04405">
        <w:rPr>
          <w:rFonts w:eastAsia="Times New Roman"/>
        </w:rPr>
        <w:t>discharging or in any manner discriminating against an employee for reporting a work-related injuries or illness</w:t>
      </w:r>
      <w:r w:rsidRPr="00F3411C" w:rsidR="00077E90">
        <w:t xml:space="preserve">, and </w:t>
      </w:r>
      <w:r w:rsidRPr="00F3411C" w:rsidR="00D04405">
        <w:t>S</w:t>
      </w:r>
      <w:r w:rsidRPr="00F3411C" w:rsidR="00077E90">
        <w:t xml:space="preserve">ection 11(c) </w:t>
      </w:r>
      <w:r w:rsidRPr="00F3411C" w:rsidR="009513E0">
        <w:t xml:space="preserve">of the OSH Act, which prohibits the employer from discriminating against an employee for </w:t>
      </w:r>
      <w:r w:rsidRPr="00F3411C" w:rsidR="00571A9F">
        <w:t>exercising rights under, or as a result of actions that are required by, this section</w:t>
      </w:r>
      <w:r w:rsidRPr="00F3411C" w:rsidR="00D04405">
        <w:t>.</w:t>
      </w:r>
      <w:r w:rsidRPr="00F3411C" w:rsidR="009513E0">
        <w:t xml:space="preserve"> </w:t>
      </w:r>
      <w:r w:rsidRPr="00F3411C" w:rsidR="00D04405">
        <w:t>S</w:t>
      </w:r>
      <w:r w:rsidRPr="00F3411C" w:rsidR="009513E0">
        <w:t>ection 11(c) also protects the employee from retaliation for filing an occupational safety or health complaint, reporting a work-related injuries or illness, or otherwise exercising any rights afforded by the OSH Act</w:t>
      </w:r>
      <w:r w:rsidRPr="00F3411C" w:rsidR="00571A9F">
        <w:t>; and</w:t>
      </w:r>
      <w:r w:rsidRPr="00F3411C" w:rsidR="00DE49B7">
        <w:t xml:space="preserve"> </w:t>
      </w:r>
      <w:r w:rsidRPr="00F3411C" w:rsidR="00571A9F">
        <w:t xml:space="preserve">(4) the prohibitions of </w:t>
      </w:r>
      <w:r w:rsidRPr="00F3411C" w:rsidR="00D04405">
        <w:t>18 U.S.C. § 1001 and S</w:t>
      </w:r>
      <w:r w:rsidRPr="00F3411C" w:rsidR="00571A9F">
        <w:t xml:space="preserve">ection 17(g) of the OSH Act, which </w:t>
      </w:r>
      <w:r w:rsidRPr="00F3411C" w:rsidR="00B76288">
        <w:t>provide for criminal penalties associated with knowingly supplying false statements or documentation.</w:t>
      </w:r>
    </w:p>
    <w:p w:rsidRPr="00F3411C" w:rsidR="003952D7" w:rsidRDefault="003952D7" w14:paraId="40FBA14A" w14:textId="77777777">
      <w:pPr>
        <w:outlineLvl w:val="4"/>
        <w:rPr>
          <w:rFonts w:eastAsia="Arial Unicode MS"/>
          <w:b/>
          <w:iCs/>
          <w:color w:val="000000"/>
        </w:rPr>
      </w:pPr>
    </w:p>
    <w:p w:rsidRPr="00F3411C" w:rsidR="00F3411C" w:rsidRDefault="007332EC" w14:paraId="1AC4EE76" w14:textId="48FEEC5F">
      <w:pPr>
        <w:outlineLvl w:val="4"/>
        <w:rPr>
          <w:color w:val="000000"/>
          <w:shd w:val="clear" w:color="auto" w:fill="FFFFFF"/>
        </w:rPr>
      </w:pPr>
      <w:r w:rsidRPr="00F3411C">
        <w:rPr>
          <w:rFonts w:eastAsia="Arial Unicode MS"/>
          <w:b/>
          <w:i/>
          <w:color w:val="000000"/>
        </w:rPr>
        <w:t>Purpose:</w:t>
      </w:r>
      <w:r w:rsidRPr="00F3411C">
        <w:rPr>
          <w:rFonts w:eastAsia="Arial Unicode MS"/>
          <w:color w:val="000000"/>
        </w:rPr>
        <w:t xml:space="preserve"> </w:t>
      </w:r>
      <w:r w:rsidRPr="00F3411C" w:rsidR="007831EB">
        <w:rPr>
          <w:color w:val="000000"/>
          <w:shd w:val="clear" w:color="auto" w:fill="FFFFFF"/>
        </w:rPr>
        <w:t xml:space="preserve">This third-party disclosure </w:t>
      </w:r>
      <w:r w:rsidRPr="00F3411C" w:rsidR="003E2529">
        <w:rPr>
          <w:color w:val="000000"/>
          <w:shd w:val="clear" w:color="auto" w:fill="FFFFFF"/>
        </w:rPr>
        <w:t xml:space="preserve">will be used by </w:t>
      </w:r>
      <w:r w:rsidRPr="00F3411C" w:rsidR="007831EB">
        <w:rPr>
          <w:color w:val="000000"/>
          <w:shd w:val="clear" w:color="auto" w:fill="FFFFFF"/>
        </w:rPr>
        <w:t xml:space="preserve">covered employees </w:t>
      </w:r>
      <w:r w:rsidRPr="00F3411C" w:rsidR="00206B64">
        <w:rPr>
          <w:color w:val="000000"/>
          <w:shd w:val="clear" w:color="auto" w:fill="FFFFFF"/>
        </w:rPr>
        <w:t xml:space="preserve">to understand </w:t>
      </w:r>
      <w:r w:rsidRPr="00F3411C" w:rsidR="007831EB">
        <w:rPr>
          <w:color w:val="000000"/>
          <w:shd w:val="clear" w:color="auto" w:fill="FFFFFF"/>
        </w:rPr>
        <w:t>their rights and obligations under the ETS</w:t>
      </w:r>
      <w:r w:rsidRPr="00F3411C" w:rsidR="009F625A">
        <w:rPr>
          <w:color w:val="000000"/>
          <w:shd w:val="clear" w:color="auto" w:fill="FFFFFF"/>
        </w:rPr>
        <w:t xml:space="preserve"> and OSH Act</w:t>
      </w:r>
      <w:r w:rsidRPr="00F3411C" w:rsidR="00266F71">
        <w:rPr>
          <w:color w:val="000000"/>
          <w:shd w:val="clear" w:color="auto" w:fill="FFFFFF"/>
        </w:rPr>
        <w:t>.</w:t>
      </w:r>
    </w:p>
    <w:p w:rsidRPr="00F3411C" w:rsidR="00D2448B" w:rsidP="00F3411C" w:rsidRDefault="00F3411C" w14:paraId="68CCB483" w14:textId="76DB899A">
      <w:pPr>
        <w:autoSpaceDE/>
        <w:autoSpaceDN/>
        <w:spacing w:after="200" w:line="276" w:lineRule="auto"/>
        <w:rPr>
          <w:color w:val="000000"/>
          <w:shd w:val="clear" w:color="auto" w:fill="FFFFFF"/>
        </w:rPr>
      </w:pPr>
      <w:r w:rsidRPr="00F3411C">
        <w:rPr>
          <w:color w:val="000000"/>
          <w:shd w:val="clear" w:color="auto" w:fill="FFFFFF"/>
        </w:rPr>
        <w:br w:type="page"/>
      </w:r>
    </w:p>
    <w:p w:rsidRPr="00F3411C" w:rsidR="0099404B" w:rsidP="00052053" w:rsidRDefault="00363BA1" w14:paraId="7C8383EA" w14:textId="124408C9">
      <w:r w:rsidRPr="00F3411C">
        <w:rPr>
          <w:rFonts w:eastAsia="Arial Unicode MS"/>
          <w:b/>
          <w:color w:val="000000"/>
        </w:rPr>
        <w:t>§</w:t>
      </w:r>
      <w:r w:rsidRPr="00F3411C" w:rsidR="00134257">
        <w:rPr>
          <w:rFonts w:eastAsia="Arial Unicode MS"/>
          <w:b/>
          <w:color w:val="000000"/>
        </w:rPr>
        <w:t xml:space="preserve"> </w:t>
      </w:r>
      <w:r w:rsidRPr="00F3411C">
        <w:rPr>
          <w:b/>
        </w:rPr>
        <w:t>1910.50</w:t>
      </w:r>
      <w:r w:rsidRPr="00F3411C" w:rsidR="0031348A">
        <w:rPr>
          <w:b/>
        </w:rPr>
        <w:t>1(</w:t>
      </w:r>
      <w:r w:rsidRPr="00F3411C" w:rsidR="0059093A">
        <w:rPr>
          <w:b/>
        </w:rPr>
        <w:t>k</w:t>
      </w:r>
      <w:r w:rsidRPr="00F3411C" w:rsidR="0031348A">
        <w:rPr>
          <w:b/>
        </w:rPr>
        <w:t>)(1)</w:t>
      </w:r>
      <w:r w:rsidRPr="00F3411C" w:rsidR="00206B64">
        <w:rPr>
          <w:b/>
        </w:rPr>
        <w:t>–</w:t>
      </w:r>
      <w:r w:rsidRPr="00F3411C" w:rsidR="0031348A">
        <w:rPr>
          <w:b/>
        </w:rPr>
        <w:t>(2)</w:t>
      </w:r>
      <w:r w:rsidRPr="00F3411C" w:rsidR="00325BFE">
        <w:rPr>
          <w:b/>
        </w:rPr>
        <w:t>—</w:t>
      </w:r>
      <w:r w:rsidRPr="00F3411C" w:rsidR="0099404B">
        <w:rPr>
          <w:b/>
          <w:bCs/>
          <w:iCs/>
        </w:rPr>
        <w:t>Reporting COVID-19 fatalities and hospitalizations to OSHA.</w:t>
      </w:r>
      <w:r w:rsidRPr="00F3411C" w:rsidR="0099404B">
        <w:t xml:space="preserve"> </w:t>
      </w:r>
    </w:p>
    <w:p w:rsidRPr="00F3411C" w:rsidR="006250B7" w:rsidP="00052053" w:rsidRDefault="006250B7" w14:paraId="5711C3A3" w14:textId="77777777"/>
    <w:p w:rsidRPr="00F3411C" w:rsidR="00363BA1" w:rsidRDefault="00B413B4" w14:paraId="2A449BC3" w14:textId="5EB56290">
      <w:r w:rsidRPr="00F3411C">
        <w:rPr>
          <w:b/>
          <w:bCs/>
          <w:i/>
          <w:iCs/>
        </w:rPr>
        <w:t>Standard:</w:t>
      </w:r>
      <w:r w:rsidRPr="00F3411C">
        <w:rPr>
          <w:b/>
          <w:bCs/>
        </w:rPr>
        <w:t xml:space="preserve"> </w:t>
      </w:r>
      <w:r w:rsidRPr="00F3411C" w:rsidR="0059093A">
        <w:t>(1) The employer must report to OSHA: (i) Each work-related COVID-19 fatality within 8 hours of the employer learning about the fatality</w:t>
      </w:r>
      <w:r w:rsidRPr="00F3411C" w:rsidR="00B76288">
        <w:t>.</w:t>
      </w:r>
      <w:r w:rsidRPr="00F3411C" w:rsidR="0059093A">
        <w:t xml:space="preserve"> (ii) Each work-related COVID-19 in-patient hospitalization within 24 hours of the employer learning about the in-patient hospitalization. (2) When reporting COVID-19 fatalities and in-patient hospitalizations to OSHA in accordance with paragraph (j)(1) of this section, the employer must follow the requirements in 29 CFR part 1904.39, except for 29 CFR part 1904.39(a)(1) and (2) and (b)(6).</w:t>
      </w:r>
    </w:p>
    <w:p w:rsidRPr="00F3411C" w:rsidR="00375A1A" w:rsidRDefault="00375A1A" w14:paraId="2F732DE1" w14:textId="77777777"/>
    <w:p w:rsidRPr="00F3411C" w:rsidR="00E63125" w:rsidRDefault="00E63125" w14:paraId="5FCAAE03" w14:textId="430224EE">
      <w:pPr>
        <w:pStyle w:val="NoSpacing"/>
        <w:rPr>
          <w:rFonts w:ascii="Times New Roman" w:hAnsi="Times New Roman" w:eastAsia="Arial Unicode MS" w:cs="Times New Roman"/>
          <w:color w:val="000000"/>
          <w:sz w:val="24"/>
          <w:szCs w:val="24"/>
        </w:rPr>
      </w:pPr>
      <w:r w:rsidRPr="00F3411C">
        <w:rPr>
          <w:rFonts w:ascii="Times New Roman" w:hAnsi="Times New Roman" w:eastAsia="Arial Unicode MS" w:cs="Times New Roman"/>
          <w:b/>
          <w:i/>
          <w:color w:val="000000"/>
          <w:sz w:val="24"/>
          <w:szCs w:val="24"/>
        </w:rPr>
        <w:t>Purpose</w:t>
      </w:r>
      <w:r w:rsidRPr="00F3411C">
        <w:rPr>
          <w:rFonts w:ascii="Times New Roman" w:hAnsi="Times New Roman" w:eastAsia="Arial Unicode MS" w:cs="Times New Roman"/>
          <w:b/>
          <w:color w:val="000000"/>
          <w:sz w:val="24"/>
          <w:szCs w:val="24"/>
        </w:rPr>
        <w:t>:</w:t>
      </w:r>
      <w:r w:rsidRPr="00F3411C">
        <w:rPr>
          <w:rFonts w:ascii="Times New Roman" w:hAnsi="Times New Roman" w:eastAsia="Arial Unicode MS" w:cs="Times New Roman"/>
          <w:color w:val="000000"/>
          <w:sz w:val="24"/>
          <w:szCs w:val="24"/>
        </w:rPr>
        <w:t xml:space="preserve"> The requirement that employers </w:t>
      </w:r>
      <w:r w:rsidRPr="00F3411C" w:rsidR="008F69C9">
        <w:rPr>
          <w:rFonts w:ascii="Times New Roman" w:hAnsi="Times New Roman" w:eastAsia="Arial Unicode MS" w:cs="Times New Roman"/>
          <w:color w:val="000000"/>
          <w:sz w:val="24"/>
          <w:szCs w:val="24"/>
        </w:rPr>
        <w:t xml:space="preserve">report </w:t>
      </w:r>
      <w:r w:rsidRPr="00F3411C" w:rsidR="00F14721">
        <w:rPr>
          <w:rFonts w:ascii="Times New Roman" w:hAnsi="Times New Roman" w:eastAsia="Arial Unicode MS" w:cs="Times New Roman"/>
          <w:color w:val="000000"/>
          <w:sz w:val="24"/>
          <w:szCs w:val="24"/>
        </w:rPr>
        <w:t xml:space="preserve">work-related COVID-19 fatalities and hospitalizations </w:t>
      </w:r>
      <w:r w:rsidRPr="00F3411C">
        <w:rPr>
          <w:rFonts w:ascii="Times New Roman" w:hAnsi="Times New Roman" w:eastAsia="Arial Unicode MS" w:cs="Times New Roman"/>
          <w:color w:val="000000"/>
          <w:sz w:val="24"/>
          <w:szCs w:val="24"/>
        </w:rPr>
        <w:t xml:space="preserve">will assist OSHA in evaluating employer compliance with the ETS, thereby ensuring workers are receiving adequate protection. This information can also be used by employers, workers, and OSHA to monitor exposures, evaluate the effectiveness of the employer’s COVID-19 plan, and identify potential </w:t>
      </w:r>
      <w:r w:rsidRPr="00F3411C" w:rsidR="00FF1743">
        <w:rPr>
          <w:rFonts w:ascii="Times New Roman" w:hAnsi="Times New Roman" w:eastAsia="Arial Unicode MS" w:cs="Times New Roman"/>
          <w:color w:val="000000"/>
          <w:sz w:val="24"/>
          <w:szCs w:val="24"/>
        </w:rPr>
        <w:t>high-risk</w:t>
      </w:r>
      <w:r w:rsidRPr="00F3411C">
        <w:rPr>
          <w:rFonts w:ascii="Times New Roman" w:hAnsi="Times New Roman" w:eastAsia="Arial Unicode MS" w:cs="Times New Roman"/>
          <w:color w:val="000000"/>
          <w:sz w:val="24"/>
          <w:szCs w:val="24"/>
        </w:rPr>
        <w:t xml:space="preserve"> areas.</w:t>
      </w:r>
    </w:p>
    <w:p w:rsidRPr="00F3411C" w:rsidR="0023323B" w:rsidRDefault="0023323B" w14:paraId="5DDF6AC1" w14:textId="77777777">
      <w:pPr>
        <w:pStyle w:val="NoSpacing"/>
        <w:rPr>
          <w:rFonts w:ascii="Times New Roman" w:hAnsi="Times New Roman" w:cs="Times New Roman"/>
          <w:b/>
          <w:sz w:val="24"/>
          <w:szCs w:val="24"/>
        </w:rPr>
      </w:pPr>
    </w:p>
    <w:p w:rsidRPr="00F3411C" w:rsidR="00330A6D" w:rsidRDefault="00330A6D" w14:paraId="4CBE8475" w14:textId="6F9307A0">
      <w:pPr>
        <w:pStyle w:val="NoSpacing"/>
        <w:rPr>
          <w:rFonts w:ascii="Times New Roman" w:hAnsi="Times New Roman" w:cs="Times New Roman"/>
          <w:sz w:val="24"/>
          <w:szCs w:val="24"/>
        </w:rPr>
      </w:pPr>
      <w:r w:rsidRPr="00F3411C">
        <w:rPr>
          <w:rFonts w:ascii="Times New Roman" w:hAnsi="Times New Roman" w:cs="Times New Roman"/>
          <w:b/>
          <w:sz w:val="24"/>
          <w:szCs w:val="24"/>
        </w:rPr>
        <w:t>§</w:t>
      </w:r>
      <w:r w:rsidRPr="00F3411C" w:rsidR="00134257">
        <w:rPr>
          <w:rFonts w:ascii="Times New Roman" w:hAnsi="Times New Roman" w:cs="Times New Roman"/>
          <w:b/>
          <w:sz w:val="24"/>
          <w:szCs w:val="24"/>
        </w:rPr>
        <w:t xml:space="preserve"> </w:t>
      </w:r>
      <w:r w:rsidRPr="00F3411C">
        <w:rPr>
          <w:rFonts w:ascii="Times New Roman" w:hAnsi="Times New Roman" w:cs="Times New Roman"/>
          <w:b/>
          <w:sz w:val="24"/>
          <w:szCs w:val="24"/>
        </w:rPr>
        <w:t>1910.50</w:t>
      </w:r>
      <w:r w:rsidRPr="00F3411C" w:rsidR="0031348A">
        <w:rPr>
          <w:rFonts w:ascii="Times New Roman" w:hAnsi="Times New Roman" w:cs="Times New Roman"/>
          <w:b/>
          <w:sz w:val="24"/>
          <w:szCs w:val="24"/>
        </w:rPr>
        <w:t>1(</w:t>
      </w:r>
      <w:r w:rsidRPr="00F3411C" w:rsidR="0059093A">
        <w:rPr>
          <w:rFonts w:ascii="Times New Roman" w:hAnsi="Times New Roman" w:cs="Times New Roman"/>
          <w:b/>
          <w:sz w:val="24"/>
          <w:szCs w:val="24"/>
        </w:rPr>
        <w:t>l</w:t>
      </w:r>
      <w:r w:rsidRPr="00F3411C" w:rsidR="0031348A">
        <w:rPr>
          <w:rFonts w:ascii="Times New Roman" w:hAnsi="Times New Roman" w:cs="Times New Roman"/>
          <w:b/>
          <w:sz w:val="24"/>
          <w:szCs w:val="24"/>
        </w:rPr>
        <w:t>)(1)</w:t>
      </w:r>
      <w:r w:rsidRPr="00F3411C" w:rsidR="004F5C7E">
        <w:rPr>
          <w:rFonts w:ascii="Times New Roman" w:hAnsi="Times New Roman" w:cs="Times New Roman"/>
          <w:b/>
          <w:sz w:val="24"/>
          <w:szCs w:val="24"/>
        </w:rPr>
        <w:t>–</w:t>
      </w:r>
      <w:r w:rsidRPr="00F3411C" w:rsidR="0031348A">
        <w:rPr>
          <w:rFonts w:ascii="Times New Roman" w:hAnsi="Times New Roman" w:cs="Times New Roman"/>
          <w:b/>
          <w:sz w:val="24"/>
          <w:szCs w:val="24"/>
        </w:rPr>
        <w:t>(</w:t>
      </w:r>
      <w:r w:rsidRPr="00F3411C" w:rsidR="00E57698">
        <w:rPr>
          <w:rFonts w:ascii="Times New Roman" w:hAnsi="Times New Roman" w:cs="Times New Roman"/>
          <w:b/>
          <w:sz w:val="24"/>
          <w:szCs w:val="24"/>
        </w:rPr>
        <w:t>3</w:t>
      </w:r>
      <w:r w:rsidRPr="00F3411C" w:rsidR="0031348A">
        <w:rPr>
          <w:rFonts w:ascii="Times New Roman" w:hAnsi="Times New Roman" w:cs="Times New Roman"/>
          <w:b/>
          <w:sz w:val="24"/>
          <w:szCs w:val="24"/>
        </w:rPr>
        <w:t>)</w:t>
      </w:r>
      <w:r w:rsidRPr="00F3411C" w:rsidR="007600FC">
        <w:rPr>
          <w:rFonts w:ascii="Times New Roman" w:hAnsi="Times New Roman" w:cs="Times New Roman"/>
          <w:b/>
          <w:sz w:val="24"/>
          <w:szCs w:val="24"/>
        </w:rPr>
        <w:t>—</w:t>
      </w:r>
      <w:r w:rsidRPr="00F3411C" w:rsidR="0031348A">
        <w:rPr>
          <w:rFonts w:ascii="Times New Roman" w:hAnsi="Times New Roman" w:cs="Times New Roman"/>
          <w:b/>
          <w:sz w:val="24"/>
          <w:szCs w:val="24"/>
        </w:rPr>
        <w:t>Availability of records</w:t>
      </w:r>
      <w:r w:rsidRPr="00F3411C">
        <w:rPr>
          <w:rFonts w:ascii="Times New Roman" w:hAnsi="Times New Roman" w:cs="Times New Roman"/>
          <w:sz w:val="24"/>
          <w:szCs w:val="24"/>
        </w:rPr>
        <w:t xml:space="preserve">. </w:t>
      </w:r>
    </w:p>
    <w:p w:rsidRPr="00F3411C" w:rsidR="00330A6D" w:rsidRDefault="00330A6D" w14:paraId="4D5ADDE2" w14:textId="77777777">
      <w:pPr>
        <w:pStyle w:val="NoSpacing"/>
        <w:rPr>
          <w:rFonts w:ascii="Times New Roman" w:hAnsi="Times New Roman" w:cs="Times New Roman"/>
          <w:sz w:val="24"/>
          <w:szCs w:val="24"/>
        </w:rPr>
      </w:pPr>
    </w:p>
    <w:p w:rsidRPr="00F3411C" w:rsidR="008D7452" w:rsidP="00B76288" w:rsidRDefault="00565119" w14:paraId="100B1585" w14:textId="5FE90DB7">
      <w:pPr>
        <w:rPr>
          <w:rFonts w:eastAsia="Arial Unicode MS"/>
          <w:bCs/>
          <w:iCs/>
          <w:color w:val="000000"/>
        </w:rPr>
      </w:pPr>
      <w:r w:rsidRPr="00F3411C">
        <w:rPr>
          <w:rFonts w:eastAsia="Arial Unicode MS"/>
          <w:b/>
          <w:i/>
          <w:color w:val="000000"/>
        </w:rPr>
        <w:t>Standard:</w:t>
      </w:r>
      <w:r w:rsidRPr="00F3411C" w:rsidR="008A06EC">
        <w:rPr>
          <w:rFonts w:eastAsia="Arial Unicode MS"/>
          <w:bCs/>
          <w:i/>
          <w:color w:val="000000"/>
        </w:rPr>
        <w:t xml:space="preserve"> </w:t>
      </w:r>
      <w:r w:rsidRPr="00F3411C" w:rsidR="0059093A">
        <w:rPr>
          <w:rFonts w:eastAsia="Arial Unicode MS"/>
          <w:bCs/>
          <w:iCs/>
          <w:color w:val="000000"/>
        </w:rPr>
        <w:t>(1) By the end of the next business day after a request, the employer must make available, for examination and copying, the individual COVID-19 vaccine documentation and any COVID-19 test results for a particular employee to that employee and to anyone having written authorized consent of that employee. (2) By the end of the next business day after a request by an employee or an employee representative, the employer must make available to the requester the aggregate number of fully vaccinated employees at a workplace along with the total number of employees at that workplace.</w:t>
      </w:r>
      <w:r w:rsidRPr="00F3411C" w:rsidR="00B76288">
        <w:rPr>
          <w:rFonts w:eastAsia="Arial Unicode MS"/>
          <w:bCs/>
          <w:iCs/>
          <w:color w:val="000000"/>
        </w:rPr>
        <w:t xml:space="preserve"> (3) The employer must provide to the Assistant Secretary for examination and copying: (i) within 4 business hours of a request, the employer’s written policy required by paragraph (d) of this section, and the aggregate numbers described in paragraph (l)(2) of this section; and (ii) by the end of the next business day after a request, all other records and other documents required to be maintained by this section.</w:t>
      </w:r>
    </w:p>
    <w:p w:rsidRPr="00F3411C" w:rsidR="003952D7" w:rsidRDefault="003952D7" w14:paraId="703BC040" w14:textId="77777777">
      <w:pPr>
        <w:outlineLvl w:val="4"/>
        <w:rPr>
          <w:rFonts w:eastAsia="Arial Unicode MS"/>
          <w:b/>
          <w:i/>
          <w:color w:val="000000"/>
        </w:rPr>
      </w:pPr>
    </w:p>
    <w:p w:rsidRPr="00F3411C" w:rsidR="00B26597" w:rsidP="00B26597" w:rsidRDefault="00E63125" w14:paraId="3D155246" w14:textId="36763533">
      <w:pPr>
        <w:outlineLvl w:val="4"/>
      </w:pPr>
      <w:r w:rsidRPr="00F3411C">
        <w:rPr>
          <w:rFonts w:eastAsia="Arial Unicode MS"/>
          <w:b/>
          <w:i/>
          <w:color w:val="000000"/>
        </w:rPr>
        <w:t>Purpose</w:t>
      </w:r>
      <w:r w:rsidRPr="00F3411C">
        <w:rPr>
          <w:rFonts w:eastAsia="Arial Unicode MS"/>
          <w:b/>
          <w:color w:val="000000"/>
        </w:rPr>
        <w:t>:</w:t>
      </w:r>
      <w:r w:rsidRPr="00F3411C">
        <w:rPr>
          <w:rFonts w:eastAsia="Arial Unicode MS"/>
          <w:color w:val="000000"/>
        </w:rPr>
        <w:t xml:space="preserve"> </w:t>
      </w:r>
      <w:r w:rsidRPr="00F3411C" w:rsidR="007D363D">
        <w:rPr>
          <w:rFonts w:eastAsia="Arial Unicode MS"/>
          <w:color w:val="000000"/>
        </w:rPr>
        <w:t>The availability of records to employees</w:t>
      </w:r>
      <w:r w:rsidRPr="00F3411C" w:rsidR="00B26597">
        <w:rPr>
          <w:rFonts w:eastAsia="Arial Unicode MS"/>
          <w:color w:val="000000"/>
        </w:rPr>
        <w:t xml:space="preserve"> and</w:t>
      </w:r>
      <w:r w:rsidRPr="00F3411C" w:rsidR="007D363D">
        <w:rPr>
          <w:rFonts w:eastAsia="Arial Unicode MS"/>
          <w:color w:val="000000"/>
        </w:rPr>
        <w:t xml:space="preserve"> their representatives are third-party disclosures</w:t>
      </w:r>
      <w:r w:rsidRPr="00F3411C" w:rsidR="00DE5217">
        <w:rPr>
          <w:rFonts w:eastAsia="Arial Unicode MS"/>
          <w:color w:val="000000"/>
        </w:rPr>
        <w:t xml:space="preserve"> </w:t>
      </w:r>
      <w:r w:rsidRPr="00F3411C" w:rsidR="00B26597">
        <w:rPr>
          <w:rFonts w:eastAsia="Arial Unicode MS"/>
          <w:color w:val="000000"/>
        </w:rPr>
        <w:t xml:space="preserve">under the PRA </w:t>
      </w:r>
      <w:r w:rsidRPr="00F3411C" w:rsidR="00DE5217">
        <w:rPr>
          <w:rFonts w:eastAsia="Arial Unicode MS"/>
          <w:color w:val="000000"/>
        </w:rPr>
        <w:t>that help interested parties understand the level of effort and success the employer</w:t>
      </w:r>
      <w:r w:rsidRPr="00F3411C" w:rsidR="0059093A">
        <w:rPr>
          <w:rFonts w:eastAsia="Arial Unicode MS"/>
          <w:color w:val="000000"/>
        </w:rPr>
        <w:t xml:space="preserve"> has utilized to</w:t>
      </w:r>
      <w:r w:rsidRPr="00F3411C" w:rsidR="00DE5217">
        <w:rPr>
          <w:rFonts w:eastAsia="Arial Unicode MS"/>
          <w:color w:val="000000"/>
        </w:rPr>
        <w:t xml:space="preserve"> comply with the ETS. </w:t>
      </w:r>
      <w:r w:rsidRPr="00F3411C" w:rsidR="00B26597">
        <w:rPr>
          <w:rFonts w:eastAsia="Arial Unicode MS"/>
          <w:color w:val="000000"/>
        </w:rPr>
        <w:t>Making records available to the Assistant Secretary through OSHA field staff during investigations falls outside the scope of the PRA; however, examining records helps the agency achieve compliance and hold employers who violate the ETS accountable.</w:t>
      </w:r>
    </w:p>
    <w:p w:rsidRPr="00F3411C" w:rsidR="000B2FE5" w:rsidP="00F3411C" w:rsidRDefault="00F3411C" w14:paraId="647D26C5" w14:textId="05F21D6A">
      <w:pPr>
        <w:autoSpaceDE/>
        <w:autoSpaceDN/>
        <w:spacing w:after="200" w:line="276" w:lineRule="auto"/>
      </w:pPr>
      <w:r w:rsidRPr="00F3411C">
        <w:br w:type="page"/>
      </w:r>
    </w:p>
    <w:p w:rsidRPr="00F3411C" w:rsidR="00E35242" w:rsidRDefault="00E35242" w14:paraId="12F4A201" w14:textId="3C237114">
      <w:pPr>
        <w:pStyle w:val="Heading2"/>
        <w:spacing w:after="0"/>
        <w:ind w:left="0" w:firstLine="0"/>
        <w:rPr>
          <w:lang w:val="x-none"/>
        </w:rPr>
      </w:pPr>
      <w:r w:rsidRPr="00F3411C">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3411C" w:rsidR="0059093A">
        <w:t xml:space="preserve"> </w:t>
      </w:r>
      <w:r w:rsidRPr="00F3411C">
        <w:rPr>
          <w:lang w:val="x-none"/>
        </w:rPr>
        <w:t>Also, describe any consideration of using information technology to reduce the burden.</w:t>
      </w:r>
    </w:p>
    <w:p w:rsidRPr="00F3411C" w:rsidR="00725819" w:rsidRDefault="00725819" w14:paraId="1576C444" w14:textId="77777777">
      <w:pPr>
        <w:pStyle w:val="BodyTextFirstIndent"/>
        <w:spacing w:after="0"/>
        <w:ind w:firstLine="0"/>
        <w:rPr>
          <w:sz w:val="24"/>
          <w:szCs w:val="24"/>
        </w:rPr>
      </w:pPr>
    </w:p>
    <w:p w:rsidRPr="00F3411C" w:rsidR="00725819" w:rsidRDefault="00725819" w14:paraId="4AAB84E3" w14:textId="7CF749EC">
      <w:pPr>
        <w:pStyle w:val="BodyTextFirstIndent"/>
        <w:spacing w:after="0"/>
        <w:ind w:firstLine="0"/>
        <w:rPr>
          <w:sz w:val="24"/>
          <w:szCs w:val="24"/>
          <w:lang w:val="x-none"/>
        </w:rPr>
      </w:pPr>
      <w:r w:rsidRPr="00F3411C">
        <w:rPr>
          <w:sz w:val="24"/>
          <w:szCs w:val="24"/>
        </w:rPr>
        <w:t xml:space="preserve">For most paperwork requirements in the ETS, </w:t>
      </w:r>
      <w:r w:rsidRPr="00F3411C" w:rsidR="004C3BCE">
        <w:rPr>
          <w:sz w:val="24"/>
          <w:szCs w:val="24"/>
        </w:rPr>
        <w:t>the Agency</w:t>
      </w:r>
      <w:r w:rsidRPr="00F3411C">
        <w:rPr>
          <w:sz w:val="24"/>
          <w:szCs w:val="24"/>
          <w:lang w:val="x-none"/>
        </w:rPr>
        <w:t xml:space="preserve"> wrote the requirements in performance-oriented language, i.e., in terms of what data to collect, not how to record the data. </w:t>
      </w:r>
      <w:r w:rsidRPr="00F3411C">
        <w:rPr>
          <w:sz w:val="24"/>
          <w:szCs w:val="24"/>
        </w:rPr>
        <w:t xml:space="preserve">So long as the records are maintained in a manner consistent with Federal and state privacy requirements and made available to employees, their representatives, and OSHA in accordance with the ETS’s availability of records provisions, the employer </w:t>
      </w:r>
      <w:r w:rsidRPr="00F3411C">
        <w:rPr>
          <w:sz w:val="24"/>
          <w:szCs w:val="24"/>
          <w:lang w:val="x-none"/>
        </w:rPr>
        <w:t>may use improved information technology when establishing and maintaining the required records. </w:t>
      </w:r>
    </w:p>
    <w:p w:rsidRPr="00F3411C" w:rsidR="00F95954" w:rsidRDefault="00F95954" w14:paraId="380B51F2" w14:textId="77777777">
      <w:pPr>
        <w:pStyle w:val="BodyTextFirstIndent"/>
        <w:spacing w:after="0"/>
        <w:ind w:firstLine="0"/>
        <w:rPr>
          <w:sz w:val="24"/>
          <w:szCs w:val="24"/>
        </w:rPr>
      </w:pPr>
    </w:p>
    <w:p w:rsidRPr="00F3411C" w:rsidR="00725819" w:rsidRDefault="00725819" w14:paraId="3115C6D7" w14:textId="7A523699">
      <w:pPr>
        <w:pStyle w:val="BodyTextFirstIndent"/>
        <w:spacing w:after="0"/>
        <w:ind w:firstLine="0"/>
        <w:rPr>
          <w:sz w:val="24"/>
          <w:szCs w:val="24"/>
        </w:rPr>
      </w:pPr>
      <w:r w:rsidRPr="00F3411C">
        <w:rPr>
          <w:sz w:val="24"/>
          <w:szCs w:val="24"/>
        </w:rPr>
        <w:t>For the requirement that employers report work-related COVID-19 fatalities and hospitalization to OSHA, employers must follow the requirements in 29 CFR 1904.39. That provision allows employers to report to OSHA by telephone or by electronic submission using a reporting application located on OSHA</w:t>
      </w:r>
      <w:r w:rsidRPr="00F3411C" w:rsidR="00C06E03">
        <w:rPr>
          <w:sz w:val="24"/>
          <w:szCs w:val="24"/>
        </w:rPr>
        <w:t>’</w:t>
      </w:r>
      <w:r w:rsidRPr="00F3411C">
        <w:rPr>
          <w:sz w:val="24"/>
          <w:szCs w:val="24"/>
        </w:rPr>
        <w:t xml:space="preserve">s public </w:t>
      </w:r>
      <w:r w:rsidRPr="00F3411C" w:rsidR="00506DFE">
        <w:rPr>
          <w:sz w:val="24"/>
          <w:szCs w:val="24"/>
        </w:rPr>
        <w:t>W</w:t>
      </w:r>
      <w:r w:rsidRPr="00F3411C">
        <w:rPr>
          <w:sz w:val="24"/>
          <w:szCs w:val="24"/>
        </w:rPr>
        <w:t>eb</w:t>
      </w:r>
      <w:r w:rsidRPr="00F3411C" w:rsidR="00506DFE">
        <w:rPr>
          <w:sz w:val="24"/>
          <w:szCs w:val="24"/>
        </w:rPr>
        <w:t xml:space="preserve"> </w:t>
      </w:r>
      <w:r w:rsidRPr="00F3411C">
        <w:rPr>
          <w:sz w:val="24"/>
          <w:szCs w:val="24"/>
        </w:rPr>
        <w:t>site (Recordkeeping and Reporting Occupational Injuries and Illnesses (29 CFR Part 1904), OMB Control No. 1218-0176).</w:t>
      </w:r>
    </w:p>
    <w:p w:rsidRPr="00F3411C" w:rsidR="001B2E41" w:rsidRDefault="001B2E41" w14:paraId="14F95103" w14:textId="3AD9A569">
      <w:pPr>
        <w:pStyle w:val="BodyTextFirstIndent"/>
        <w:spacing w:after="0"/>
        <w:ind w:firstLine="0"/>
        <w:rPr>
          <w:sz w:val="24"/>
          <w:szCs w:val="24"/>
        </w:rPr>
      </w:pPr>
    </w:p>
    <w:p w:rsidRPr="00F3411C" w:rsidR="00E35242" w:rsidRDefault="00E35242" w14:paraId="3333CB59" w14:textId="6AA4BF16">
      <w:pPr>
        <w:pStyle w:val="Heading2"/>
        <w:spacing w:after="0"/>
        <w:ind w:left="0" w:firstLine="0"/>
        <w:rPr>
          <w:lang w:val="x-none"/>
        </w:rPr>
      </w:pPr>
      <w:r w:rsidRPr="00F3411C">
        <w:rPr>
          <w:lang w:val="x-none"/>
        </w:rPr>
        <w:t>Describe efforts to identify duplication. Show specifically why any similar information already available cannot be used or modified for use of the purposes described in Item 2 above.</w:t>
      </w:r>
    </w:p>
    <w:p w:rsidRPr="00F3411C" w:rsidR="004C3BCE" w:rsidRDefault="004C3BCE" w14:paraId="19F9A2BB" w14:textId="77777777">
      <w:pPr>
        <w:pStyle w:val="BodyTextFirstIndent"/>
        <w:spacing w:after="0"/>
        <w:ind w:firstLine="0"/>
        <w:rPr>
          <w:sz w:val="24"/>
          <w:szCs w:val="24"/>
          <w:lang w:val="x-none"/>
        </w:rPr>
      </w:pPr>
    </w:p>
    <w:p w:rsidRPr="00F3411C" w:rsidR="003952D7" w:rsidRDefault="00E35242" w14:paraId="55AEDA9C" w14:textId="035A6A1F">
      <w:pPr>
        <w:pStyle w:val="BodyTextFirstIndent"/>
        <w:spacing w:after="0"/>
        <w:ind w:firstLine="0"/>
        <w:rPr>
          <w:sz w:val="24"/>
          <w:szCs w:val="24"/>
          <w:lang w:val="x-none"/>
        </w:rPr>
      </w:pPr>
      <w:r w:rsidRPr="00F3411C">
        <w:rPr>
          <w:sz w:val="24"/>
          <w:szCs w:val="24"/>
          <w:lang w:val="x-none"/>
        </w:rPr>
        <w:t xml:space="preserve">The information collection requirements of the </w:t>
      </w:r>
      <w:r w:rsidRPr="00F3411C" w:rsidR="007F28AC">
        <w:rPr>
          <w:sz w:val="24"/>
          <w:szCs w:val="24"/>
        </w:rPr>
        <w:t>ETS</w:t>
      </w:r>
      <w:r w:rsidRPr="00F3411C" w:rsidR="00BF3415">
        <w:rPr>
          <w:sz w:val="24"/>
          <w:szCs w:val="24"/>
          <w:lang w:val="x-none"/>
        </w:rPr>
        <w:t xml:space="preserve"> </w:t>
      </w:r>
      <w:r w:rsidRPr="00F3411C">
        <w:rPr>
          <w:sz w:val="24"/>
          <w:szCs w:val="24"/>
          <w:lang w:val="x-none"/>
        </w:rPr>
        <w:t xml:space="preserve">are specific to each employer and worker involved, and no other source or agency duplicates these requirements or can make the required information available to </w:t>
      </w:r>
      <w:r w:rsidRPr="00F3411C" w:rsidR="000A708B">
        <w:rPr>
          <w:sz w:val="24"/>
          <w:szCs w:val="24"/>
        </w:rPr>
        <w:t>OSHA</w:t>
      </w:r>
      <w:r w:rsidRPr="00F3411C">
        <w:rPr>
          <w:sz w:val="24"/>
          <w:szCs w:val="24"/>
          <w:lang w:val="x-none"/>
        </w:rPr>
        <w:t xml:space="preserve"> </w:t>
      </w:r>
      <w:r w:rsidRPr="00F3411C" w:rsidR="005D657B">
        <w:rPr>
          <w:sz w:val="24"/>
          <w:szCs w:val="24"/>
        </w:rPr>
        <w:t>or third-parties as required by the ETS</w:t>
      </w:r>
      <w:r w:rsidRPr="00F3411C">
        <w:rPr>
          <w:sz w:val="24"/>
          <w:szCs w:val="24"/>
          <w:lang w:val="x-none"/>
        </w:rPr>
        <w:t>.</w:t>
      </w:r>
      <w:r w:rsidRPr="00F3411C" w:rsidR="00AF54A4">
        <w:rPr>
          <w:sz w:val="24"/>
          <w:szCs w:val="24"/>
        </w:rPr>
        <w:t xml:space="preserve"> OSHA has exempted from compliance with this ETS all health care workers complying with § 1910.501, as well as Safer Federal Workforce Task Force COVID-19 Workplace Safety: Guidance for Federal Contractors and Subcontractors, to ensure that employers and workers would not face duplicative requirements.  </w:t>
      </w:r>
    </w:p>
    <w:p w:rsidRPr="00F3411C" w:rsidR="00164DBB" w:rsidRDefault="00164DBB" w14:paraId="40985D7C" w14:textId="77777777">
      <w:pPr>
        <w:pStyle w:val="BodyTextFirstIndent"/>
        <w:spacing w:after="0"/>
        <w:ind w:firstLine="0"/>
        <w:rPr>
          <w:sz w:val="24"/>
          <w:szCs w:val="24"/>
          <w:lang w:val="x-none"/>
        </w:rPr>
      </w:pPr>
    </w:p>
    <w:p w:rsidRPr="00F3411C" w:rsidR="00B05A83" w:rsidRDefault="00E35242" w14:paraId="393DDF51" w14:textId="77777777">
      <w:pPr>
        <w:pStyle w:val="Heading2"/>
        <w:spacing w:after="0"/>
        <w:ind w:left="0" w:firstLine="0"/>
        <w:rPr>
          <w:lang w:val="x-none"/>
        </w:rPr>
      </w:pPr>
      <w:r w:rsidRPr="00F3411C">
        <w:rPr>
          <w:lang w:val="x-none"/>
        </w:rPr>
        <w:t>If the collection of information impacts small businesses or other small entities, describe any methods used to minimize burden.</w:t>
      </w:r>
    </w:p>
    <w:p w:rsidRPr="00F3411C" w:rsidR="00D4242C" w:rsidRDefault="00D4242C" w14:paraId="20A1B766" w14:textId="77777777"/>
    <w:p w:rsidRPr="00F3411C" w:rsidR="00193B95" w:rsidRDefault="000A708B" w14:paraId="19D285A3" w14:textId="10A07A61">
      <w:r w:rsidRPr="00F3411C">
        <w:t>OSHA</w:t>
      </w:r>
      <w:r w:rsidRPr="00F3411C" w:rsidR="008A45C3">
        <w:t xml:space="preserve"> examined the impact of </w:t>
      </w:r>
      <w:r w:rsidRPr="00F3411C" w:rsidR="009E2D3D">
        <w:t>the provisions contained in this ETS</w:t>
      </w:r>
      <w:r w:rsidRPr="00F3411C" w:rsidR="008A45C3">
        <w:t xml:space="preserve"> on small entities as part of </w:t>
      </w:r>
      <w:r w:rsidRPr="00F3411C" w:rsidR="007A5F5E">
        <w:t xml:space="preserve">ongoing efforts to reduce burden while still obtaining the policy goals </w:t>
      </w:r>
      <w:r w:rsidRPr="00F3411C">
        <w:t xml:space="preserve">the </w:t>
      </w:r>
      <w:r w:rsidRPr="00F3411C" w:rsidR="006E1095">
        <w:t>OSH</w:t>
      </w:r>
      <w:r w:rsidRPr="00F3411C">
        <w:t xml:space="preserve"> </w:t>
      </w:r>
      <w:r w:rsidRPr="00F3411C" w:rsidR="006E1095">
        <w:t>A</w:t>
      </w:r>
      <w:r w:rsidRPr="00F3411C">
        <w:t>ct</w:t>
      </w:r>
      <w:r w:rsidRPr="00F3411C" w:rsidR="006E1095">
        <w:t xml:space="preserve"> sets forth</w:t>
      </w:r>
      <w:r w:rsidRPr="00F3411C" w:rsidR="008A45C3">
        <w:t xml:space="preserve">. </w:t>
      </w:r>
      <w:r w:rsidRPr="00F3411C" w:rsidR="006E1095">
        <w:t xml:space="preserve">In this regard, </w:t>
      </w:r>
      <w:r w:rsidRPr="00F3411C" w:rsidR="00986514">
        <w:t xml:space="preserve">the </w:t>
      </w:r>
      <w:r w:rsidRPr="00F3411C" w:rsidR="008A45C3">
        <w:t xml:space="preserve">ETS does not apply to employers employing </w:t>
      </w:r>
      <w:r w:rsidRPr="00F3411C" w:rsidR="00AF54A4">
        <w:t xml:space="preserve">fewer </w:t>
      </w:r>
      <w:r w:rsidRPr="00F3411C" w:rsidR="008A45C3">
        <w:t xml:space="preserve">than </w:t>
      </w:r>
      <w:r w:rsidRPr="00F3411C" w:rsidR="009D7C30">
        <w:t>one hundred (</w:t>
      </w:r>
      <w:r w:rsidRPr="00F3411C" w:rsidR="008A45C3">
        <w:t>100</w:t>
      </w:r>
      <w:r w:rsidRPr="00F3411C" w:rsidR="009D7C30">
        <w:t>)</w:t>
      </w:r>
      <w:r w:rsidRPr="00F3411C" w:rsidR="008A45C3">
        <w:t xml:space="preserve"> employees</w:t>
      </w:r>
      <w:r w:rsidRPr="00F3411C" w:rsidR="00796E66">
        <w:t xml:space="preserve"> and </w:t>
      </w:r>
      <w:r w:rsidRPr="00F3411C" w:rsidR="003A36F5">
        <w:t xml:space="preserve">normally </w:t>
      </w:r>
      <w:r w:rsidRPr="00F3411C" w:rsidR="00796E66">
        <w:t xml:space="preserve">excludes </w:t>
      </w:r>
      <w:r w:rsidRPr="00F3411C" w:rsidR="00B72E3F">
        <w:t xml:space="preserve">employees who </w:t>
      </w:r>
      <w:r w:rsidRPr="00F3411C" w:rsidR="0039088C">
        <w:t>do not report to a worksite with other employees</w:t>
      </w:r>
      <w:r w:rsidRPr="00F3411C" w:rsidR="008A45C3">
        <w:t>.</w:t>
      </w:r>
      <w:r w:rsidRPr="00F3411C" w:rsidR="005F38D9">
        <w:t xml:space="preserve"> Exceptions to those </w:t>
      </w:r>
      <w:r w:rsidRPr="00F3411C" w:rsidR="00937344">
        <w:t xml:space="preserve">scope limitations apply to agricultural employment and are addressed in </w:t>
      </w:r>
      <w:r w:rsidRPr="00F3411C" w:rsidR="00530C95">
        <w:t>I</w:t>
      </w:r>
      <w:r w:rsidRPr="00F3411C" w:rsidR="00937344">
        <w:t xml:space="preserve">tem </w:t>
      </w:r>
      <w:r w:rsidRPr="00F3411C" w:rsidR="00530C95">
        <w:t>2</w:t>
      </w:r>
      <w:r w:rsidRPr="00F3411C" w:rsidR="00533462">
        <w:t>, footnote 3,</w:t>
      </w:r>
      <w:r w:rsidRPr="00F3411C" w:rsidR="00530C95">
        <w:t xml:space="preserve"> of this supporting statement.</w:t>
      </w:r>
    </w:p>
    <w:p w:rsidRPr="00F3411C" w:rsidR="00193B95" w:rsidRDefault="00193B95" w14:paraId="6C155479" w14:textId="77777777"/>
    <w:p w:rsidRPr="00F3411C" w:rsidR="00A378BF" w:rsidRDefault="00B26597" w14:paraId="72785D47" w14:textId="72A9B43F">
      <w:r w:rsidRPr="00F3411C">
        <w:t xml:space="preserve">OSHA </w:t>
      </w:r>
      <w:r w:rsidRPr="00F3411C" w:rsidR="00737126">
        <w:t>developed</w:t>
      </w:r>
      <w:r w:rsidRPr="00F3411C" w:rsidR="00193B95">
        <w:t xml:space="preserve"> the ETS so </w:t>
      </w:r>
      <w:r w:rsidR="005A05BA">
        <w:t>employers must</w:t>
      </w:r>
      <w:r w:rsidRPr="00F3411C" w:rsidR="009D7C30">
        <w:t xml:space="preserve"> use </w:t>
      </w:r>
      <w:r w:rsidRPr="00F3411C">
        <w:t xml:space="preserve">CDC materials </w:t>
      </w:r>
      <w:r w:rsidRPr="00F3411C" w:rsidR="00737126">
        <w:t xml:space="preserve">(“Key Things to Know About COVID-19 Vaccines”) </w:t>
      </w:r>
      <w:r w:rsidRPr="00F3411C">
        <w:t xml:space="preserve">for the requirement that </w:t>
      </w:r>
      <w:r w:rsidRPr="00F3411C" w:rsidR="009D7C30">
        <w:t>the</w:t>
      </w:r>
      <w:r w:rsidRPr="00F3411C">
        <w:t xml:space="preserve"> employer give employees information on COVID-19 vaccine efficacy, safety, and the benefits of being vaccinated</w:t>
      </w:r>
      <w:r w:rsidRPr="00F3411C" w:rsidR="00737126">
        <w:t>.</w:t>
      </w:r>
      <w:r w:rsidRPr="00F3411C">
        <w:t xml:space="preserve"> </w:t>
      </w:r>
      <w:r w:rsidRPr="00F3411C" w:rsidR="00737126">
        <w:t>This</w:t>
      </w:r>
      <w:r w:rsidRPr="00F3411C" w:rsidR="00193B95">
        <w:t xml:space="preserve"> reduces the paperwork burden on respondents</w:t>
      </w:r>
      <w:r w:rsidRPr="00F3411C" w:rsidR="00737126">
        <w:t>, as</w:t>
      </w:r>
      <w:r w:rsidRPr="00F3411C" w:rsidR="00193B95">
        <w:t xml:space="preserve"> </w:t>
      </w:r>
      <w:r w:rsidRPr="00F3411C" w:rsidR="00737126">
        <w:t>e</w:t>
      </w:r>
      <w:r w:rsidRPr="00F3411C" w:rsidR="00193B95">
        <w:t xml:space="preserve">mployers do not </w:t>
      </w:r>
      <w:r w:rsidRPr="00F3411C" w:rsidR="00737126">
        <w:t>need</w:t>
      </w:r>
      <w:r w:rsidRPr="00F3411C" w:rsidR="00193B95">
        <w:t xml:space="preserve"> to develop these materials on their own.</w:t>
      </w:r>
      <w:r w:rsidRPr="00F3411C" w:rsidR="00304F84">
        <w:t xml:space="preserve"> </w:t>
      </w:r>
      <w:r w:rsidRPr="00F3411C" w:rsidR="00F149D5">
        <w:t>In addition, a</w:t>
      </w:r>
      <w:r w:rsidRPr="00F3411C" w:rsidR="00304F84">
        <w:t>s noted in footnote 9, information originally provided by the Federal Government</w:t>
      </w:r>
      <w:r w:rsidRPr="00F3411C" w:rsidR="00F149D5">
        <w:t xml:space="preserve"> is not considered to be a collection of information under the PRA</w:t>
      </w:r>
      <w:r w:rsidRPr="00F3411C" w:rsidR="00304F84">
        <w:t xml:space="preserve">. </w:t>
      </w:r>
      <w:r w:rsidRPr="00F3411C" w:rsidR="00304F84">
        <w:rPr>
          <w:i/>
          <w:iCs/>
        </w:rPr>
        <w:t>See</w:t>
      </w:r>
      <w:r w:rsidRPr="00F3411C" w:rsidR="00304F84">
        <w:t xml:space="preserve"> 5 CFR 1320.3(c).</w:t>
      </w:r>
    </w:p>
    <w:p w:rsidRPr="00F3411C" w:rsidR="00A378BF" w:rsidRDefault="00A378BF" w14:paraId="13B834BC" w14:textId="77777777"/>
    <w:p w:rsidRPr="00F3411C" w:rsidR="000D278C" w:rsidRDefault="00F149D5" w14:paraId="019B3CCE" w14:textId="43318254">
      <w:r w:rsidRPr="00F3411C">
        <w:t>Finally</w:t>
      </w:r>
      <w:r w:rsidRPr="00F3411C" w:rsidR="00A378BF">
        <w:t xml:space="preserve">, the ETS provides a temporary exception when an employee has received a positive COVID-19 test or has been diagnosed with COVID-19 by a licensed healthcare provider. More specifically, the employer must not require the employee to undergo COVID-19 testing as required under </w:t>
      </w:r>
      <w:r w:rsidRPr="00F3411C" w:rsidR="00BE0C48">
        <w:t xml:space="preserve">regulatory </w:t>
      </w:r>
      <w:r w:rsidRPr="00F3411C" w:rsidR="00A378BF">
        <w:t xml:space="preserve">paragraph </w:t>
      </w:r>
      <w:r w:rsidRPr="00F3411C" w:rsidR="00BE0C48">
        <w:t>1910.501</w:t>
      </w:r>
      <w:r w:rsidRPr="00F3411C" w:rsidR="00A378BF">
        <w:t>(g)</w:t>
      </w:r>
      <w:r w:rsidRPr="00F3411C" w:rsidR="00BE0C48">
        <w:t>(1)</w:t>
      </w:r>
      <w:r w:rsidRPr="00F3411C" w:rsidR="00A378BF">
        <w:t xml:space="preserve"> for 90 days following the date of their positive test or diagnosis</w:t>
      </w:r>
      <w:r w:rsidRPr="00F3411C" w:rsidR="00BE0C48">
        <w:t xml:space="preserve">. </w:t>
      </w:r>
      <w:r w:rsidRPr="00F3411C" w:rsidR="00BE0C48">
        <w:rPr>
          <w:i/>
          <w:iCs/>
        </w:rPr>
        <w:t>See</w:t>
      </w:r>
      <w:r w:rsidRPr="00F3411C" w:rsidR="00BE0C48">
        <w:t xml:space="preserve"> § 1910.501(g)(3).</w:t>
      </w:r>
    </w:p>
    <w:p w:rsidRPr="00F3411C" w:rsidR="00A372CB" w:rsidRDefault="00A372CB" w14:paraId="37769D9E" w14:textId="77777777"/>
    <w:p w:rsidRPr="00F3411C" w:rsidR="00E35242" w:rsidRDefault="00E35242" w14:paraId="7F3CCEBA" w14:textId="77777777">
      <w:pPr>
        <w:pStyle w:val="Heading2"/>
        <w:spacing w:after="0"/>
        <w:ind w:left="0" w:firstLine="0"/>
        <w:rPr>
          <w:lang w:val="x-none"/>
        </w:rPr>
      </w:pPr>
      <w:r w:rsidRPr="00F3411C">
        <w:rPr>
          <w:lang w:val="x-none"/>
        </w:rPr>
        <w:t>Describe the consequences to Federal program or policy activities if the collection is not conducted or is conducted less frequently, as well as any technical or legal obstacles to reducing burden.</w:t>
      </w:r>
    </w:p>
    <w:p w:rsidRPr="00F3411C" w:rsidR="00530C95" w:rsidRDefault="00530C95" w14:paraId="7AD6F965" w14:textId="77777777">
      <w:pPr>
        <w:pStyle w:val="BodyTextFirstIndent"/>
        <w:spacing w:after="0"/>
        <w:ind w:firstLine="0"/>
        <w:rPr>
          <w:sz w:val="24"/>
          <w:szCs w:val="24"/>
          <w:lang w:val="x-none"/>
        </w:rPr>
      </w:pPr>
    </w:p>
    <w:p w:rsidRPr="00F3411C" w:rsidR="00E35242" w:rsidRDefault="00E35242" w14:paraId="5AD3A5D0" w14:textId="76A7EAAA">
      <w:pPr>
        <w:pStyle w:val="BodyTextFirstIndent"/>
        <w:spacing w:after="0"/>
        <w:ind w:firstLine="0"/>
        <w:rPr>
          <w:sz w:val="24"/>
          <w:szCs w:val="24"/>
          <w:lang w:val="x-none"/>
        </w:rPr>
      </w:pPr>
      <w:r w:rsidRPr="00F3411C">
        <w:rPr>
          <w:sz w:val="24"/>
          <w:szCs w:val="24"/>
          <w:lang w:val="x-none"/>
        </w:rPr>
        <w:t>The information collection frequencies specified by the</w:t>
      </w:r>
      <w:r w:rsidRPr="00F3411C" w:rsidR="00134257">
        <w:rPr>
          <w:sz w:val="24"/>
          <w:szCs w:val="24"/>
        </w:rPr>
        <w:t xml:space="preserve"> ETS</w:t>
      </w:r>
      <w:r w:rsidRPr="00F3411C">
        <w:rPr>
          <w:sz w:val="24"/>
          <w:szCs w:val="24"/>
          <w:lang w:val="x-none"/>
        </w:rPr>
        <w:t xml:space="preserve"> are the minimum frequencies that the Agency believes are necessary to ensure that employers</w:t>
      </w:r>
      <w:r w:rsidRPr="00F3411C" w:rsidR="00552555">
        <w:rPr>
          <w:sz w:val="24"/>
          <w:szCs w:val="24"/>
        </w:rPr>
        <w:t>, employees</w:t>
      </w:r>
      <w:r w:rsidRPr="00F3411C" w:rsidR="004F5C7E">
        <w:rPr>
          <w:sz w:val="24"/>
          <w:szCs w:val="24"/>
        </w:rPr>
        <w:t>,</w:t>
      </w:r>
      <w:r w:rsidRPr="00F3411C">
        <w:rPr>
          <w:sz w:val="24"/>
          <w:szCs w:val="24"/>
          <w:lang w:val="x-none"/>
        </w:rPr>
        <w:t xml:space="preserve"> and OSHA can effectively </w:t>
      </w:r>
      <w:r w:rsidRPr="00F3411C" w:rsidR="00971F16">
        <w:rPr>
          <w:sz w:val="24"/>
          <w:szCs w:val="24"/>
        </w:rPr>
        <w:t>achieve the purposes of the ETS</w:t>
      </w:r>
      <w:r w:rsidRPr="00F3411C">
        <w:rPr>
          <w:sz w:val="24"/>
          <w:szCs w:val="24"/>
          <w:lang w:val="x-none"/>
        </w:rPr>
        <w:t xml:space="preserve">, thereby </w:t>
      </w:r>
      <w:r w:rsidRPr="00F3411C" w:rsidR="00DE43C6">
        <w:rPr>
          <w:sz w:val="24"/>
          <w:szCs w:val="24"/>
        </w:rPr>
        <w:t xml:space="preserve">helping to </w:t>
      </w:r>
      <w:r w:rsidRPr="00F3411C">
        <w:rPr>
          <w:sz w:val="24"/>
          <w:szCs w:val="24"/>
          <w:lang w:val="x-none"/>
        </w:rPr>
        <w:t xml:space="preserve">prevent serious illness or death resulting from hazardous </w:t>
      </w:r>
      <w:r w:rsidRPr="00F3411C" w:rsidR="00DE43C6">
        <w:rPr>
          <w:sz w:val="24"/>
          <w:szCs w:val="24"/>
        </w:rPr>
        <w:t xml:space="preserve">occupational </w:t>
      </w:r>
      <w:r w:rsidRPr="00F3411C">
        <w:rPr>
          <w:sz w:val="24"/>
          <w:szCs w:val="24"/>
          <w:lang w:val="x-none"/>
        </w:rPr>
        <w:t>exposure</w:t>
      </w:r>
      <w:r w:rsidRPr="00F3411C" w:rsidR="00DE43C6">
        <w:rPr>
          <w:sz w:val="24"/>
          <w:szCs w:val="24"/>
        </w:rPr>
        <w:t>s</w:t>
      </w:r>
      <w:r w:rsidRPr="00F3411C" w:rsidR="00134257">
        <w:rPr>
          <w:sz w:val="24"/>
          <w:szCs w:val="24"/>
        </w:rPr>
        <w:t xml:space="preserve"> to COVID-19</w:t>
      </w:r>
      <w:r w:rsidRPr="00F3411C">
        <w:rPr>
          <w:sz w:val="24"/>
          <w:szCs w:val="24"/>
          <w:lang w:val="x-none"/>
        </w:rPr>
        <w:t>.</w:t>
      </w:r>
    </w:p>
    <w:p w:rsidRPr="00F3411C" w:rsidR="00E274CA" w:rsidRDefault="00E274CA" w14:paraId="63615D83" w14:textId="77777777">
      <w:pPr>
        <w:pStyle w:val="BodyTextFirstIndent"/>
        <w:spacing w:after="0"/>
        <w:ind w:firstLine="0"/>
        <w:rPr>
          <w:sz w:val="24"/>
          <w:szCs w:val="24"/>
        </w:rPr>
      </w:pPr>
    </w:p>
    <w:p w:rsidRPr="00F3411C" w:rsidR="00E35242" w:rsidRDefault="00E35242" w14:paraId="048CFA4D" w14:textId="77777777">
      <w:pPr>
        <w:pStyle w:val="Heading2"/>
        <w:spacing w:after="0"/>
        <w:ind w:left="0" w:firstLine="0"/>
        <w:rPr>
          <w:lang w:val="x-none"/>
        </w:rPr>
      </w:pPr>
      <w:r w:rsidRPr="00F3411C">
        <w:rPr>
          <w:lang w:val="x-none"/>
        </w:rPr>
        <w:t>Explain any special circumstances that would cause an information collection to be conducted in a manner:</w:t>
      </w:r>
    </w:p>
    <w:p w:rsidRPr="00F3411C" w:rsidR="00E35242" w:rsidRDefault="00E35242" w14:paraId="2F6B185E" w14:textId="08E733CE">
      <w:pPr>
        <w:ind w:left="288"/>
        <w:rPr>
          <w:b/>
          <w:bCs/>
        </w:rPr>
      </w:pPr>
      <w:r w:rsidRPr="00F3411C">
        <w:t>·</w:t>
      </w:r>
      <w:r w:rsidRPr="00F3411C">
        <w:rPr>
          <w:b/>
          <w:bCs/>
        </w:rPr>
        <w:t>Requiring respondents to report information to the agency more often than quarterly;</w:t>
      </w:r>
    </w:p>
    <w:p w:rsidRPr="00F3411C" w:rsidR="00E35242" w:rsidRDefault="00E35242" w14:paraId="3A92910F" w14:textId="77777777">
      <w:pPr>
        <w:rPr>
          <w:b/>
          <w:bCs/>
        </w:rPr>
      </w:pPr>
    </w:p>
    <w:p w:rsidRPr="00F3411C" w:rsidR="00E35242" w:rsidRDefault="00E35242" w14:paraId="23D3CE28" w14:textId="28BB229B">
      <w:pPr>
        <w:ind w:left="450" w:hanging="162"/>
        <w:rPr>
          <w:b/>
          <w:bCs/>
        </w:rPr>
      </w:pPr>
      <w:r w:rsidRPr="00F3411C">
        <w:t>·</w:t>
      </w:r>
      <w:r w:rsidRPr="00F3411C">
        <w:rPr>
          <w:b/>
          <w:bCs/>
        </w:rPr>
        <w:t>Requiring respondents to prepare a written response to a collection of information in fewer than 30 days after receipt of it;</w:t>
      </w:r>
    </w:p>
    <w:p w:rsidRPr="00F3411C" w:rsidR="00E35242" w:rsidRDefault="00E35242" w14:paraId="0F98A8FB" w14:textId="77777777">
      <w:pPr>
        <w:rPr>
          <w:b/>
          <w:bCs/>
        </w:rPr>
      </w:pPr>
    </w:p>
    <w:p w:rsidRPr="00F3411C" w:rsidR="00E35242" w:rsidRDefault="00E35242" w14:paraId="6E974D7E" w14:textId="2E2B53B3">
      <w:pPr>
        <w:ind w:left="288"/>
        <w:rPr>
          <w:b/>
          <w:bCs/>
        </w:rPr>
      </w:pPr>
      <w:r w:rsidRPr="00F3411C">
        <w:t>·</w:t>
      </w:r>
      <w:r w:rsidRPr="00F3411C">
        <w:rPr>
          <w:b/>
          <w:bCs/>
        </w:rPr>
        <w:t>Requiring respondents to submit more than an original and two copies of any</w:t>
      </w:r>
    </w:p>
    <w:p w:rsidRPr="00F3411C" w:rsidR="00E35242" w:rsidRDefault="00E35242" w14:paraId="3D84D056" w14:textId="77777777">
      <w:pPr>
        <w:ind w:left="288"/>
        <w:rPr>
          <w:b/>
          <w:bCs/>
        </w:rPr>
      </w:pPr>
      <w:r w:rsidRPr="00F3411C">
        <w:rPr>
          <w:b/>
          <w:bCs/>
        </w:rPr>
        <w:t>   document;</w:t>
      </w:r>
    </w:p>
    <w:p w:rsidRPr="00F3411C" w:rsidR="00E35242" w:rsidRDefault="00E35242" w14:paraId="2B394CEF" w14:textId="77777777">
      <w:pPr>
        <w:rPr>
          <w:b/>
          <w:bCs/>
        </w:rPr>
      </w:pPr>
    </w:p>
    <w:p w:rsidRPr="00F3411C" w:rsidR="00E35242" w:rsidRDefault="00E35242" w14:paraId="5049308F" w14:textId="4F36C721">
      <w:pPr>
        <w:ind w:left="432" w:hanging="144"/>
        <w:rPr>
          <w:b/>
          <w:bCs/>
        </w:rPr>
      </w:pPr>
      <w:r w:rsidRPr="00F3411C">
        <w:t>·</w:t>
      </w:r>
      <w:r w:rsidRPr="00F3411C">
        <w:rPr>
          <w:b/>
          <w:bCs/>
        </w:rPr>
        <w:t>Requiring respondents to retain records, other than health, medical, government contract, grant-in-aid, or tax records, for more than three years;</w:t>
      </w:r>
    </w:p>
    <w:p w:rsidRPr="00F3411C" w:rsidR="00E35242" w:rsidRDefault="00E35242" w14:paraId="22D8BF95" w14:textId="77777777">
      <w:pPr>
        <w:rPr>
          <w:b/>
          <w:bCs/>
        </w:rPr>
      </w:pPr>
    </w:p>
    <w:p w:rsidRPr="00F3411C" w:rsidR="00E35242" w:rsidRDefault="00E35242" w14:paraId="703A849A" w14:textId="0382134F">
      <w:pPr>
        <w:ind w:left="432" w:hanging="144"/>
        <w:rPr>
          <w:b/>
          <w:bCs/>
        </w:rPr>
      </w:pPr>
      <w:r w:rsidRPr="00F3411C">
        <w:t>·</w:t>
      </w:r>
      <w:r w:rsidRPr="00F3411C">
        <w:rPr>
          <w:b/>
          <w:bCs/>
        </w:rPr>
        <w:t>In connection with a statistical survey, that is not designed to produce valid and reliable results that can be generalized to the universe of study;</w:t>
      </w:r>
    </w:p>
    <w:p w:rsidRPr="00F3411C" w:rsidR="00E35242" w:rsidRDefault="00E35242" w14:paraId="0FFE011C" w14:textId="77777777">
      <w:pPr>
        <w:ind w:left="720"/>
        <w:rPr>
          <w:b/>
          <w:bCs/>
        </w:rPr>
      </w:pPr>
    </w:p>
    <w:p w:rsidRPr="00F3411C" w:rsidR="00E35242" w:rsidRDefault="00E35242" w14:paraId="1E7D37B6" w14:textId="302B7AC4">
      <w:pPr>
        <w:ind w:left="432" w:hanging="144"/>
        <w:rPr>
          <w:b/>
          <w:bCs/>
        </w:rPr>
      </w:pPr>
      <w:r w:rsidRPr="00F3411C">
        <w:t>·</w:t>
      </w:r>
      <w:r w:rsidRPr="00F3411C">
        <w:rPr>
          <w:b/>
          <w:bCs/>
        </w:rPr>
        <w:t>Requiring the use of a statistical data classification that has not been approved by OMB;</w:t>
      </w:r>
    </w:p>
    <w:p w:rsidRPr="00F3411C" w:rsidR="00E35242" w:rsidRDefault="00E35242" w14:paraId="44CEFEDC" w14:textId="77777777">
      <w:pPr>
        <w:ind w:left="432" w:hanging="144"/>
        <w:rPr>
          <w:b/>
          <w:bCs/>
        </w:rPr>
      </w:pPr>
    </w:p>
    <w:p w:rsidRPr="00F3411C" w:rsidR="00E35242" w:rsidRDefault="00E35242" w14:paraId="54140B2C" w14:textId="0F118C78">
      <w:pPr>
        <w:ind w:left="432" w:hanging="144"/>
        <w:rPr>
          <w:b/>
          <w:bCs/>
        </w:rPr>
      </w:pPr>
      <w:r w:rsidRPr="00F3411C">
        <w:t>·</w:t>
      </w:r>
      <w:r w:rsidRPr="00F3411C">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3411C" w:rsidR="00E35242" w:rsidRDefault="00E35242" w14:paraId="1FFD7B3E" w14:textId="77777777">
      <w:pPr>
        <w:rPr>
          <w:b/>
          <w:bCs/>
        </w:rPr>
      </w:pPr>
    </w:p>
    <w:p w:rsidRPr="00F3411C" w:rsidR="00E35242" w:rsidRDefault="00E35242" w14:paraId="5A6DAE59" w14:textId="2F469436">
      <w:pPr>
        <w:ind w:left="432" w:hanging="144"/>
        <w:rPr>
          <w:b/>
          <w:bCs/>
        </w:rPr>
      </w:pPr>
      <w:r w:rsidRPr="00F3411C">
        <w:t>·</w:t>
      </w:r>
      <w:r w:rsidRPr="00F3411C">
        <w:rPr>
          <w:b/>
          <w:bCs/>
        </w:rPr>
        <w:t>Requiring respondents to submit proprietary trade secret, or other confidential information unless the agency can demonstrate that it has instituted procedures to protect the information's confidentiality to the extent permitted by law.</w:t>
      </w:r>
    </w:p>
    <w:p w:rsidRPr="00F3411C" w:rsidR="00E35242" w:rsidRDefault="00E35242" w14:paraId="3CC66858" w14:textId="5C666A30">
      <w:pPr>
        <w:ind w:left="432" w:hanging="144"/>
        <w:rPr>
          <w:b/>
          <w:bCs/>
        </w:rPr>
      </w:pPr>
    </w:p>
    <w:p w:rsidRPr="00F3411C" w:rsidR="00BD0FA1" w:rsidRDefault="00BD0FA1" w14:paraId="113E8573" w14:textId="100DBA58">
      <w:r w:rsidRPr="00F3411C">
        <w:t>Under § 1910.50</w:t>
      </w:r>
      <w:r w:rsidRPr="00F3411C" w:rsidR="008456B5">
        <w:t>1</w:t>
      </w:r>
      <w:r w:rsidRPr="00F3411C">
        <w:t>(</w:t>
      </w:r>
      <w:r w:rsidRPr="00F3411C" w:rsidR="006523DC">
        <w:t>k</w:t>
      </w:r>
      <w:r w:rsidRPr="00F3411C" w:rsidR="00624A37">
        <w:t>)</w:t>
      </w:r>
      <w:r w:rsidRPr="00F3411C" w:rsidR="00E75D93">
        <w:t>(1)</w:t>
      </w:r>
      <w:r w:rsidRPr="00F3411C">
        <w:t xml:space="preserve">, </w:t>
      </w:r>
      <w:r w:rsidRPr="00F3411C" w:rsidR="0042559C">
        <w:t xml:space="preserve">the employer must report to OSHA (1) each work-related COVID-19 fatality within 8 </w:t>
      </w:r>
      <w:r w:rsidRPr="00F3411C" w:rsidR="004F5C7E">
        <w:t xml:space="preserve">(eight) </w:t>
      </w:r>
      <w:r w:rsidRPr="00F3411C" w:rsidR="0042559C">
        <w:t>hours of the employer learning about the fatality; and (2) each work-related COVID-19 in-patient hospitalization within twenty-four (24) hours of the employer learning about the in-patient hospitalization.</w:t>
      </w:r>
      <w:r w:rsidRPr="00F3411C" w:rsidR="002144F8">
        <w:t xml:space="preserve"> The </w:t>
      </w:r>
      <w:r w:rsidRPr="00F3411C" w:rsidR="004F5C7E">
        <w:t>transmissibility and life</w:t>
      </w:r>
      <w:r w:rsidRPr="00F3411C" w:rsidR="00F149D5">
        <w:t>-</w:t>
      </w:r>
      <w:r w:rsidRPr="00F3411C" w:rsidR="004F5C7E">
        <w:t xml:space="preserve">threatening </w:t>
      </w:r>
      <w:r w:rsidRPr="00F3411C" w:rsidR="00753D42">
        <w:t>nature</w:t>
      </w:r>
      <w:r w:rsidRPr="00F3411C" w:rsidR="002144F8">
        <w:t xml:space="preserve"> of COVID-19 </w:t>
      </w:r>
      <w:r w:rsidRPr="00F3411C" w:rsidR="004F5C7E">
        <w:t>requires a</w:t>
      </w:r>
      <w:r w:rsidRPr="00F3411C" w:rsidR="007C6203">
        <w:t xml:space="preserve"> quick exchange of information to </w:t>
      </w:r>
      <w:r w:rsidRPr="00F3411C" w:rsidR="00753D42">
        <w:t xml:space="preserve">effectively </w:t>
      </w:r>
      <w:r w:rsidRPr="00F3411C" w:rsidR="007C6203">
        <w:t>mitigate potential disastrous outbreak</w:t>
      </w:r>
      <w:r w:rsidRPr="00F3411C" w:rsidR="00753D42">
        <w:t>s</w:t>
      </w:r>
      <w:r w:rsidRPr="00F3411C" w:rsidR="003A2A6A">
        <w:t xml:space="preserve"> in the workplace.</w:t>
      </w:r>
      <w:r w:rsidRPr="00F3411C" w:rsidR="002144F8">
        <w:t xml:space="preserve"> </w:t>
      </w:r>
    </w:p>
    <w:p w:rsidRPr="00F3411C" w:rsidR="000F459E" w:rsidRDefault="000F459E" w14:paraId="1A5D5F9D" w14:textId="1041344B">
      <w:pPr>
        <w:ind w:left="432" w:hanging="144"/>
        <w:rPr>
          <w:bCs/>
        </w:rPr>
      </w:pPr>
    </w:p>
    <w:p w:rsidRPr="00F3411C" w:rsidR="00E35242" w:rsidRDefault="00E35242" w14:paraId="1BD74041" w14:textId="365D5D17">
      <w:pPr>
        <w:pStyle w:val="Heading2"/>
        <w:spacing w:after="0"/>
        <w:ind w:left="0" w:firstLine="0"/>
      </w:pPr>
      <w:r w:rsidRPr="00F3411C">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3411C" w:rsidR="00E35242" w:rsidRDefault="00E35242" w14:paraId="2BC8B057" w14:textId="77777777">
      <w:pPr>
        <w:rPr>
          <w:b/>
          <w:bCs/>
        </w:rPr>
      </w:pPr>
      <w:r w:rsidRPr="00F3411C">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3411C" w:rsidR="00E35242" w:rsidRDefault="00E35242" w14:paraId="4D21D252" w14:textId="77777777">
      <w:pPr>
        <w:rPr>
          <w:b/>
          <w:bCs/>
        </w:rPr>
      </w:pPr>
    </w:p>
    <w:p w:rsidRPr="00F3411C" w:rsidR="00E35242" w:rsidRDefault="00E35242" w14:paraId="258E7007" w14:textId="28338198">
      <w:pPr>
        <w:rPr>
          <w:b/>
          <w:bCs/>
        </w:rPr>
      </w:pPr>
      <w:r w:rsidRPr="00F3411C">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3411C" w:rsidR="006250B7" w:rsidRDefault="006250B7" w14:paraId="5AFF6149" w14:textId="77777777">
      <w:pPr>
        <w:rPr>
          <w:b/>
          <w:bCs/>
        </w:rPr>
      </w:pPr>
    </w:p>
    <w:p w:rsidRPr="00F3411C" w:rsidR="003A2A6A" w:rsidP="00052053" w:rsidRDefault="00D529A9" w14:paraId="216D8E81" w14:textId="5FBA431A">
      <w:pPr>
        <w:pStyle w:val="Heading2"/>
        <w:numPr>
          <w:ilvl w:val="0"/>
          <w:numId w:val="0"/>
        </w:numPr>
        <w:spacing w:after="0"/>
        <w:rPr>
          <w:b w:val="0"/>
        </w:rPr>
      </w:pPr>
      <w:r w:rsidRPr="00F3411C">
        <w:rPr>
          <w:b w:val="0"/>
        </w:rPr>
        <w:t xml:space="preserve">OSHA is requesting an emergency clearance for this information collection pursuant to regulations 5 CFR 1320.13. As such, </w:t>
      </w:r>
      <w:r w:rsidRPr="00F3411C" w:rsidR="000A708B">
        <w:rPr>
          <w:b w:val="0"/>
        </w:rPr>
        <w:t>OSHA</w:t>
      </w:r>
      <w:r w:rsidRPr="00F3411C">
        <w:rPr>
          <w:b w:val="0"/>
        </w:rPr>
        <w:t xml:space="preserve"> request</w:t>
      </w:r>
      <w:r w:rsidRPr="00F3411C" w:rsidR="000A708B">
        <w:rPr>
          <w:b w:val="0"/>
        </w:rPr>
        <w:t>s</w:t>
      </w:r>
      <w:r w:rsidRPr="00F3411C">
        <w:rPr>
          <w:b w:val="0"/>
        </w:rPr>
        <w:t xml:space="preserve"> OMB waive its normal clearance procedures for this ETS, including the Federal Register Notice requirements in 5 CFR 1320.8(d), </w:t>
      </w:r>
      <w:r w:rsidRPr="00F3411C" w:rsidR="00753D42">
        <w:rPr>
          <w:b w:val="0"/>
        </w:rPr>
        <w:t xml:space="preserve">as </w:t>
      </w:r>
      <w:r w:rsidRPr="00F3411C">
        <w:rPr>
          <w:rFonts w:eastAsia="Times New Roman"/>
          <w:b w:val="0"/>
          <w:bCs w:val="0"/>
          <w:lang w:eastAsia="en-US"/>
        </w:rPr>
        <w:t>this collection of information is essential to OSHA’s mission to protect the health and safety of workers affected by the COVID-19 pandemic</w:t>
      </w:r>
      <w:r w:rsidRPr="00F3411C" w:rsidR="00753D42">
        <w:rPr>
          <w:rFonts w:eastAsia="Times New Roman"/>
          <w:b w:val="0"/>
          <w:bCs w:val="0"/>
          <w:lang w:eastAsia="en-US"/>
        </w:rPr>
        <w:t>.</w:t>
      </w:r>
      <w:r w:rsidRPr="00F3411C">
        <w:rPr>
          <w:b w:val="0"/>
        </w:rPr>
        <w:t xml:space="preserve"> </w:t>
      </w:r>
      <w:r w:rsidRPr="00F3411C" w:rsidR="006523DC">
        <w:rPr>
          <w:b w:val="0"/>
        </w:rPr>
        <w:t>Many employees are likely to die, and others</w:t>
      </w:r>
      <w:r w:rsidRPr="00F3411C">
        <w:rPr>
          <w:b w:val="0"/>
        </w:rPr>
        <w:t xml:space="preserve"> </w:t>
      </w:r>
      <w:r w:rsidRPr="00F3411C" w:rsidR="00753D42">
        <w:rPr>
          <w:b w:val="0"/>
        </w:rPr>
        <w:t>may be seriously</w:t>
      </w:r>
      <w:r w:rsidRPr="00F3411C">
        <w:rPr>
          <w:b w:val="0"/>
        </w:rPr>
        <w:t xml:space="preserve"> harmed</w:t>
      </w:r>
      <w:r w:rsidRPr="00F3411C" w:rsidR="006523DC">
        <w:rPr>
          <w:b w:val="0"/>
        </w:rPr>
        <w:t>,</w:t>
      </w:r>
      <w:r w:rsidRPr="00F3411C">
        <w:rPr>
          <w:b w:val="0"/>
        </w:rPr>
        <w:t xml:space="preserve"> if this ETS is not issued in an expeditious manner. Although OSHA is requesting that OMB approve the information collections in this ICR on an emergency basis and assign them an OMB control number, OSHA is soliciting comments on this ICR for a period of </w:t>
      </w:r>
      <w:r w:rsidRPr="00F3411C" w:rsidR="004D36AA">
        <w:rPr>
          <w:b w:val="0"/>
        </w:rPr>
        <w:t>sixty (</w:t>
      </w:r>
      <w:r w:rsidRPr="00F3411C">
        <w:rPr>
          <w:b w:val="0"/>
        </w:rPr>
        <w:t>60</w:t>
      </w:r>
      <w:r w:rsidRPr="00F3411C" w:rsidR="004D36AA">
        <w:rPr>
          <w:b w:val="0"/>
        </w:rPr>
        <w:t>)</w:t>
      </w:r>
      <w:r w:rsidRPr="00F3411C">
        <w:rPr>
          <w:b w:val="0"/>
        </w:rPr>
        <w:t xml:space="preserve"> days following publication of the ETS.</w:t>
      </w:r>
    </w:p>
    <w:p w:rsidRPr="00F3411C" w:rsidR="006250B7" w:rsidP="00052053" w:rsidRDefault="006250B7" w14:paraId="326357FE" w14:textId="77777777">
      <w:pPr>
        <w:pStyle w:val="Heading2"/>
        <w:numPr>
          <w:ilvl w:val="0"/>
          <w:numId w:val="0"/>
        </w:numPr>
        <w:spacing w:after="0"/>
        <w:rPr>
          <w:b w:val="0"/>
        </w:rPr>
      </w:pPr>
    </w:p>
    <w:p w:rsidRPr="00F3411C" w:rsidR="00E35242" w:rsidP="009C097F" w:rsidRDefault="00E35242" w14:paraId="087281F3" w14:textId="647A45E8">
      <w:pPr>
        <w:pStyle w:val="Heading2"/>
        <w:spacing w:after="0"/>
        <w:ind w:left="0" w:firstLine="0"/>
        <w:rPr>
          <w:lang w:val="x-none"/>
        </w:rPr>
      </w:pPr>
      <w:r w:rsidRPr="00F3411C">
        <w:rPr>
          <w:lang w:val="x-none"/>
        </w:rPr>
        <w:t>Explain any decision to provide any payment or gift to respondents, other than remuneration of contractors or grantees.</w:t>
      </w:r>
    </w:p>
    <w:p w:rsidRPr="00F3411C" w:rsidR="00B60279" w:rsidP="009C097F" w:rsidRDefault="00B60279" w14:paraId="7DBC61F6" w14:textId="77777777">
      <w:pPr>
        <w:pStyle w:val="BodyTextFirstIndent"/>
        <w:spacing w:after="0"/>
        <w:ind w:firstLine="0"/>
        <w:rPr>
          <w:sz w:val="24"/>
          <w:szCs w:val="24"/>
          <w:lang w:val="x-none"/>
        </w:rPr>
      </w:pPr>
    </w:p>
    <w:p w:rsidRPr="00F3411C" w:rsidR="00E35242" w:rsidRDefault="00E35242" w14:paraId="2BF00C10" w14:textId="0E9E1A5A">
      <w:pPr>
        <w:pStyle w:val="BodyTextFirstIndent"/>
        <w:spacing w:after="0"/>
        <w:ind w:firstLine="0"/>
        <w:rPr>
          <w:sz w:val="24"/>
          <w:szCs w:val="24"/>
          <w:lang w:val="x-none"/>
        </w:rPr>
      </w:pPr>
      <w:r w:rsidRPr="00F3411C">
        <w:rPr>
          <w:sz w:val="24"/>
          <w:szCs w:val="24"/>
          <w:lang w:val="x-none"/>
        </w:rPr>
        <w:t>The Agency will not provide payments or gifts to respondents.</w:t>
      </w:r>
    </w:p>
    <w:p w:rsidRPr="00F3411C" w:rsidR="00B60279" w:rsidRDefault="00B60279" w14:paraId="6265A3AB" w14:textId="77777777">
      <w:pPr>
        <w:pStyle w:val="BodyTextFirstIndent"/>
        <w:spacing w:after="0"/>
        <w:ind w:firstLine="0"/>
        <w:rPr>
          <w:sz w:val="24"/>
          <w:szCs w:val="24"/>
          <w:lang w:val="x-none"/>
        </w:rPr>
      </w:pPr>
    </w:p>
    <w:p w:rsidRPr="00F3411C" w:rsidR="00E35242" w:rsidRDefault="00E35242" w14:paraId="330B91E9" w14:textId="77777777">
      <w:pPr>
        <w:pStyle w:val="Heading2"/>
        <w:spacing w:after="0"/>
        <w:ind w:left="0" w:firstLine="0"/>
        <w:rPr>
          <w:lang w:val="x-none"/>
        </w:rPr>
      </w:pPr>
      <w:r w:rsidRPr="00F3411C">
        <w:rPr>
          <w:lang w:val="x-none"/>
        </w:rPr>
        <w:t>Describe any assurance of confidentiality provided to respondents and the basis for the assurance in statute, regulation, or agency policy.</w:t>
      </w:r>
    </w:p>
    <w:p w:rsidRPr="00F3411C" w:rsidR="00B60279" w:rsidRDefault="00B60279" w14:paraId="18AFA33D" w14:textId="77777777">
      <w:pPr>
        <w:pStyle w:val="BodyTextFirstIndent"/>
        <w:spacing w:after="0"/>
        <w:ind w:firstLine="0"/>
        <w:rPr>
          <w:sz w:val="24"/>
          <w:szCs w:val="24"/>
        </w:rPr>
      </w:pPr>
    </w:p>
    <w:p w:rsidRPr="00F3411C" w:rsidR="00E35242" w:rsidRDefault="00CA51C6" w14:paraId="5DE97827" w14:textId="7EF8B09B">
      <w:pPr>
        <w:pStyle w:val="BodyTextFirstIndent"/>
        <w:spacing w:after="0"/>
        <w:ind w:firstLine="0"/>
        <w:rPr>
          <w:sz w:val="24"/>
          <w:szCs w:val="24"/>
          <w:lang w:val="x-none"/>
        </w:rPr>
      </w:pPr>
      <w:r w:rsidRPr="00F3411C">
        <w:rPr>
          <w:sz w:val="24"/>
          <w:szCs w:val="24"/>
        </w:rPr>
        <w:t xml:space="preserve">The ETS does not provide any assurance of confidentiality for records OSHA receives </w:t>
      </w:r>
      <w:r w:rsidRPr="00F3411C" w:rsidR="006769ED">
        <w:rPr>
          <w:sz w:val="24"/>
          <w:szCs w:val="24"/>
        </w:rPr>
        <w:t>under the ETS.</w:t>
      </w:r>
      <w:r w:rsidRPr="00F3411C" w:rsidR="007A5E4A">
        <w:rPr>
          <w:sz w:val="24"/>
          <w:szCs w:val="24"/>
        </w:rPr>
        <w:t xml:space="preserve"> </w:t>
      </w:r>
      <w:r w:rsidRPr="00F3411C" w:rsidR="00AB2EA9">
        <w:rPr>
          <w:sz w:val="24"/>
          <w:szCs w:val="24"/>
        </w:rPr>
        <w:t>With regard to records of employee vaccination status and employee test results, the ETS contains provisions to protect employee privacy. The ETS states, “records</w:t>
      </w:r>
      <w:r w:rsidRPr="00F3411C" w:rsidR="00710BBF">
        <w:rPr>
          <w:sz w:val="24"/>
          <w:szCs w:val="24"/>
        </w:rPr>
        <w:t xml:space="preserve"> and roster are considered to be employee medical records and </w:t>
      </w:r>
      <w:r w:rsidRPr="00F3411C" w:rsidR="00AB2EA9">
        <w:rPr>
          <w:sz w:val="24"/>
          <w:szCs w:val="24"/>
        </w:rPr>
        <w:t xml:space="preserve">must be maintained </w:t>
      </w:r>
      <w:r w:rsidRPr="00F3411C" w:rsidR="00710BBF">
        <w:rPr>
          <w:sz w:val="24"/>
          <w:szCs w:val="24"/>
        </w:rPr>
        <w:t xml:space="preserve">as such records </w:t>
      </w:r>
      <w:r w:rsidRPr="00F3411C" w:rsidR="00AB2EA9">
        <w:rPr>
          <w:sz w:val="24"/>
          <w:szCs w:val="24"/>
        </w:rPr>
        <w:t xml:space="preserve">in accordance with </w:t>
      </w:r>
      <w:r w:rsidRPr="00F3411C" w:rsidR="00710BBF">
        <w:rPr>
          <w:sz w:val="24"/>
          <w:szCs w:val="24"/>
        </w:rPr>
        <w:t>§</w:t>
      </w:r>
      <w:r w:rsidRPr="00F3411C" w:rsidR="00AB2EA9">
        <w:rPr>
          <w:sz w:val="24"/>
          <w:szCs w:val="24"/>
        </w:rPr>
        <w:t xml:space="preserve"> 1910.1020 and must not be disclosed except as required or authorized by this section or other federal law. These records</w:t>
      </w:r>
      <w:r w:rsidRPr="00F3411C" w:rsidR="00710BBF">
        <w:rPr>
          <w:sz w:val="24"/>
          <w:szCs w:val="24"/>
        </w:rPr>
        <w:t xml:space="preserve"> and roster</w:t>
      </w:r>
      <w:r w:rsidRPr="00F3411C" w:rsidR="00AB2EA9">
        <w:rPr>
          <w:sz w:val="24"/>
          <w:szCs w:val="24"/>
        </w:rPr>
        <w:t xml:space="preserve"> are not subject to the retention requirements of </w:t>
      </w:r>
      <w:r w:rsidRPr="00F3411C" w:rsidR="00710BBF">
        <w:rPr>
          <w:sz w:val="24"/>
          <w:szCs w:val="24"/>
        </w:rPr>
        <w:t>§</w:t>
      </w:r>
      <w:r w:rsidRPr="00F3411C" w:rsidR="00AB2EA9">
        <w:rPr>
          <w:sz w:val="24"/>
          <w:szCs w:val="24"/>
        </w:rPr>
        <w:t xml:space="preserve"> 1910.1020(d)(1)(i) but must be maintained and preserved while this section remains in effect.</w:t>
      </w:r>
      <w:r w:rsidRPr="00F3411C" w:rsidR="00710BBF">
        <w:rPr>
          <w:sz w:val="24"/>
          <w:szCs w:val="24"/>
        </w:rPr>
        <w:t>”</w:t>
      </w:r>
      <w:r w:rsidRPr="00F3411C" w:rsidR="00AB2EA9">
        <w:rPr>
          <w:sz w:val="24"/>
          <w:szCs w:val="24"/>
        </w:rPr>
        <w:t xml:space="preserve"> </w:t>
      </w:r>
      <w:r w:rsidRPr="00F3411C" w:rsidR="00A16968">
        <w:rPr>
          <w:sz w:val="24"/>
          <w:szCs w:val="24"/>
        </w:rPr>
        <w:t>In addition, OSHA</w:t>
      </w:r>
      <w:r w:rsidRPr="00F3411C" w:rsidR="00E35242">
        <w:rPr>
          <w:sz w:val="24"/>
          <w:szCs w:val="24"/>
          <w:lang w:val="x-none"/>
        </w:rPr>
        <w:t xml:space="preserve"> </w:t>
      </w:r>
      <w:r w:rsidRPr="00F3411C" w:rsidR="00A16968">
        <w:rPr>
          <w:sz w:val="24"/>
          <w:szCs w:val="24"/>
        </w:rPr>
        <w:t xml:space="preserve">has </w:t>
      </w:r>
      <w:r w:rsidRPr="00F3411C" w:rsidR="00E35242">
        <w:rPr>
          <w:sz w:val="24"/>
          <w:szCs w:val="24"/>
          <w:lang w:val="x-none"/>
        </w:rPr>
        <w:t xml:space="preserve">developed and implemented 29 CFR 1913.10 (“Rules of Agency Practice and Procedure Concerning OSHA Access to Employee Medical Records”) to regulate access to </w:t>
      </w:r>
      <w:r w:rsidRPr="00F3411C" w:rsidR="00A16968">
        <w:rPr>
          <w:sz w:val="24"/>
          <w:szCs w:val="24"/>
        </w:rPr>
        <w:t xml:space="preserve">employee medical </w:t>
      </w:r>
      <w:r w:rsidRPr="00F3411C" w:rsidR="00E35242">
        <w:rPr>
          <w:sz w:val="24"/>
          <w:szCs w:val="24"/>
          <w:lang w:val="x-none"/>
        </w:rPr>
        <w:t>records.</w:t>
      </w:r>
    </w:p>
    <w:p w:rsidRPr="00F3411C" w:rsidR="00233CF6" w:rsidRDefault="00233CF6" w14:paraId="0F358BCC" w14:textId="77777777">
      <w:pPr>
        <w:pStyle w:val="BodyTextFirstIndent"/>
        <w:spacing w:after="0"/>
        <w:ind w:firstLine="0"/>
        <w:rPr>
          <w:sz w:val="24"/>
          <w:szCs w:val="24"/>
          <w:lang w:val="x-none"/>
        </w:rPr>
      </w:pPr>
    </w:p>
    <w:p w:rsidRPr="00F3411C" w:rsidR="00E35242" w:rsidRDefault="00E35242" w14:paraId="60B34835" w14:textId="3AEDA343">
      <w:pPr>
        <w:pStyle w:val="Heading2"/>
        <w:spacing w:after="0"/>
        <w:ind w:left="0" w:firstLine="0"/>
        <w:rPr>
          <w:lang w:val="x-none"/>
        </w:rPr>
      </w:pPr>
      <w:r w:rsidRPr="00F3411C">
        <w:rPr>
          <w:lang w:val="x-none"/>
        </w:rPr>
        <w:t>Provide additional justification for any questions of a sensitive nature, such as sexual behavior and attitudes, religious beliefs, and other matters that are commonly considered private.</w:t>
      </w:r>
      <w:r w:rsidRPr="00F3411C" w:rsidR="00753D42">
        <w:t xml:space="preserve"> </w:t>
      </w:r>
      <w:r w:rsidRPr="00F3411C">
        <w:rPr>
          <w:lang w:val="x-none"/>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3411C" w:rsidR="00233CF6" w:rsidRDefault="00233CF6" w14:paraId="16E75BF5" w14:textId="77777777">
      <w:pPr>
        <w:pStyle w:val="BodyTextFirstIndent"/>
        <w:spacing w:after="0"/>
        <w:ind w:firstLine="0"/>
        <w:rPr>
          <w:sz w:val="24"/>
          <w:szCs w:val="24"/>
          <w:lang w:val="x-none"/>
        </w:rPr>
      </w:pPr>
    </w:p>
    <w:p w:rsidRPr="00F3411C" w:rsidR="00F149D5" w:rsidP="00052053" w:rsidRDefault="0050653D" w14:paraId="4105F686" w14:textId="77777777">
      <w:pPr>
        <w:pStyle w:val="BodyTextFirstIndent"/>
        <w:spacing w:after="0"/>
        <w:ind w:firstLine="0"/>
        <w:rPr>
          <w:sz w:val="24"/>
          <w:szCs w:val="24"/>
        </w:rPr>
      </w:pPr>
      <w:r w:rsidRPr="00F3411C">
        <w:rPr>
          <w:sz w:val="24"/>
          <w:szCs w:val="24"/>
          <w:lang w:val="x-none"/>
        </w:rPr>
        <w:t xml:space="preserve">Perceived questions of a sensitive nature may include </w:t>
      </w:r>
      <w:r w:rsidRPr="00F3411C" w:rsidR="00753D42">
        <w:rPr>
          <w:sz w:val="24"/>
          <w:szCs w:val="24"/>
        </w:rPr>
        <w:t xml:space="preserve">information around </w:t>
      </w:r>
      <w:r w:rsidRPr="00F3411C">
        <w:rPr>
          <w:sz w:val="24"/>
          <w:szCs w:val="24"/>
        </w:rPr>
        <w:t>vaccination status</w:t>
      </w:r>
      <w:r w:rsidRPr="00F3411C" w:rsidR="00753D42">
        <w:rPr>
          <w:sz w:val="24"/>
          <w:szCs w:val="24"/>
        </w:rPr>
        <w:t xml:space="preserve"> and whether an employee has contracted COVID-19. </w:t>
      </w:r>
      <w:r w:rsidRPr="00F3411C">
        <w:rPr>
          <w:sz w:val="24"/>
          <w:szCs w:val="24"/>
        </w:rPr>
        <w:t xml:space="preserve">This information is needed to document </w:t>
      </w:r>
      <w:r w:rsidRPr="00F3411C" w:rsidR="009C097F">
        <w:rPr>
          <w:sz w:val="24"/>
          <w:szCs w:val="24"/>
        </w:rPr>
        <w:t xml:space="preserve">and prevent the grave danger posed by COVID-19 exposures in the workplace. </w:t>
      </w:r>
    </w:p>
    <w:p w:rsidRPr="00F3411C" w:rsidR="00733438" w:rsidP="00052053" w:rsidRDefault="009C097F" w14:paraId="55933B0A" w14:textId="70066963">
      <w:pPr>
        <w:pStyle w:val="BodyTextFirstIndent"/>
        <w:spacing w:after="0"/>
        <w:ind w:firstLine="0"/>
        <w:rPr>
          <w:sz w:val="24"/>
          <w:szCs w:val="24"/>
        </w:rPr>
      </w:pPr>
      <w:r w:rsidRPr="00F3411C">
        <w:rPr>
          <w:sz w:val="24"/>
          <w:szCs w:val="24"/>
        </w:rPr>
        <w:t xml:space="preserve"> </w:t>
      </w:r>
    </w:p>
    <w:p w:rsidRPr="00F3411C" w:rsidR="00E35242" w:rsidP="00052053" w:rsidRDefault="00E35242" w14:paraId="0B213512" w14:textId="71C5691C">
      <w:pPr>
        <w:pStyle w:val="Heading2"/>
        <w:spacing w:after="0"/>
        <w:ind w:left="0" w:firstLine="0"/>
        <w:rPr>
          <w:lang w:val="x-none"/>
        </w:rPr>
      </w:pPr>
      <w:bookmarkStart w:name="_Ref406584848" w:id="7"/>
      <w:r w:rsidRPr="00F3411C">
        <w:rPr>
          <w:lang w:val="x-none"/>
        </w:rPr>
        <w:t>Provide estimates of the hour burden of the collection of information.</w:t>
      </w:r>
      <w:r w:rsidRPr="00F3411C" w:rsidR="009C097F">
        <w:t xml:space="preserve"> </w:t>
      </w:r>
      <w:r w:rsidRPr="00F3411C">
        <w:rPr>
          <w:lang w:val="x-none"/>
        </w:rPr>
        <w:t>The statement should:</w:t>
      </w:r>
      <w:bookmarkEnd w:id="7"/>
    </w:p>
    <w:p w:rsidRPr="00F3411C" w:rsidR="00E35242" w:rsidP="00052053" w:rsidRDefault="00E35242" w14:paraId="13FDB8C7" w14:textId="0961F0FD">
      <w:pPr>
        <w:ind w:left="432" w:hanging="144"/>
      </w:pPr>
      <w:r w:rsidRPr="00F3411C">
        <w:t xml:space="preserve"> </w:t>
      </w:r>
      <w:r w:rsidRPr="00F3411C" w:rsidR="00E2437D">
        <w:t xml:space="preserve"> </w:t>
      </w:r>
      <w:r w:rsidRPr="00F3411C">
        <w:rPr>
          <w:b/>
          <w:bCs/>
        </w:rPr>
        <w:t>Indicate the number of respondents, frequency of response, annual hour burden, and an explanation of how the burden was estimated.</w:t>
      </w:r>
      <w:r w:rsidRPr="00F3411C" w:rsidR="009C097F">
        <w:rPr>
          <w:b/>
          <w:bCs/>
        </w:rPr>
        <w:t xml:space="preserve"> </w:t>
      </w:r>
      <w:r w:rsidRPr="00F3411C">
        <w:rPr>
          <w:b/>
          <w:bCs/>
        </w:rPr>
        <w:t>Unless directed to do so, agencies should not conduct special surveys to obtain information on which to base hour burden estimates.</w:t>
      </w:r>
      <w:r w:rsidRPr="00F3411C" w:rsidR="009C097F">
        <w:rPr>
          <w:b/>
          <w:bCs/>
        </w:rPr>
        <w:t xml:space="preserve"> </w:t>
      </w:r>
      <w:r w:rsidRPr="00F3411C">
        <w:rPr>
          <w:b/>
          <w:bCs/>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Pr="00F3411C" w:rsidR="009C097F">
        <w:rPr>
          <w:b/>
          <w:bCs/>
        </w:rPr>
        <w:t xml:space="preserve"> </w:t>
      </w:r>
      <w:r w:rsidRPr="00F3411C">
        <w:rPr>
          <w:b/>
          <w:bCs/>
        </w:rPr>
        <w:t>Generally, estimates should not include burden hours for customary and usual business practices.</w:t>
      </w:r>
    </w:p>
    <w:p w:rsidRPr="00F3411C" w:rsidR="00E35242" w:rsidP="00052053" w:rsidRDefault="00E35242" w14:paraId="07A6577A" w14:textId="77777777"/>
    <w:p w:rsidRPr="00F3411C" w:rsidR="00E35242" w:rsidP="00052053" w:rsidRDefault="00E35242" w14:paraId="1376AB1B" w14:textId="063C4C38">
      <w:pPr>
        <w:ind w:left="432" w:hanging="144"/>
        <w:rPr>
          <w:b/>
          <w:bCs/>
        </w:rPr>
      </w:pPr>
      <w:r w:rsidRPr="00F3411C">
        <w:t xml:space="preserve">· </w:t>
      </w:r>
      <w:r w:rsidRPr="00F3411C">
        <w:rPr>
          <w:b/>
          <w:bCs/>
        </w:rPr>
        <w:t>If this request for approval covers more than one form, provide separate hour burden estimates for each form and aggregate the hour burdens.</w:t>
      </w:r>
    </w:p>
    <w:p w:rsidRPr="00F3411C" w:rsidR="00E35242" w:rsidP="00052053" w:rsidRDefault="00E35242" w14:paraId="4A8EDEBC" w14:textId="77777777">
      <w:pPr>
        <w:rPr>
          <w:b/>
          <w:bCs/>
        </w:rPr>
      </w:pPr>
    </w:p>
    <w:p w:rsidRPr="00F3411C" w:rsidR="00E35242" w:rsidP="00052053" w:rsidRDefault="00E35242" w14:paraId="6603A76A" w14:textId="58C34EA5">
      <w:pPr>
        <w:ind w:left="432" w:hanging="144"/>
        <w:rPr>
          <w:b/>
          <w:bCs/>
        </w:rPr>
      </w:pPr>
      <w:r w:rsidRPr="00F3411C">
        <w:rPr>
          <w:b/>
          <w:bCs/>
        </w:rPr>
        <w:t>· Provide estimates of annualized costs to respondents for the hour burdens for collections of information, identifying and using appropriate wage rate categories.</w:t>
      </w:r>
    </w:p>
    <w:p w:rsidRPr="00F3411C" w:rsidR="00965856" w:rsidP="00052053" w:rsidRDefault="00965856" w14:paraId="01450D1C" w14:textId="29165171">
      <w:pPr>
        <w:outlineLvl w:val="0"/>
        <w:rPr>
          <w:b/>
          <w:bCs/>
        </w:rPr>
      </w:pPr>
    </w:p>
    <w:p w:rsidRPr="00F3411C" w:rsidR="000517E3" w:rsidP="00052053" w:rsidRDefault="000517E3" w14:paraId="583F1A51" w14:textId="16CE508D">
      <w:pPr>
        <w:outlineLvl w:val="0"/>
        <w:rPr>
          <w:b/>
          <w:bCs/>
          <w:smallCaps/>
        </w:rPr>
      </w:pPr>
      <w:r w:rsidRPr="00F3411C">
        <w:rPr>
          <w:b/>
          <w:bCs/>
          <w:smallCaps/>
        </w:rPr>
        <w:t>Respondent Burden-Hour and Cost burden Determinations</w:t>
      </w:r>
    </w:p>
    <w:p w:rsidRPr="00F3411C" w:rsidR="000517E3" w:rsidP="00052053" w:rsidRDefault="000517E3" w14:paraId="2668F698" w14:textId="77777777">
      <w:pPr>
        <w:outlineLvl w:val="0"/>
        <w:rPr>
          <w:b/>
          <w:bCs/>
        </w:rPr>
      </w:pPr>
    </w:p>
    <w:p w:rsidRPr="00F3411C" w:rsidR="003E2C67" w:rsidP="009C097F" w:rsidRDefault="00F149D5" w14:paraId="5A79508F" w14:textId="67F8F90C">
      <w:pPr>
        <w:pStyle w:val="CommentText"/>
        <w:rPr>
          <w:sz w:val="24"/>
          <w:szCs w:val="24"/>
        </w:rPr>
      </w:pPr>
      <w:r w:rsidRPr="00F3411C">
        <w:rPr>
          <w:b/>
          <w:bCs/>
          <w:sz w:val="24"/>
          <w:szCs w:val="24"/>
        </w:rPr>
        <w:t>General note on time and other cost burden estimates:</w:t>
      </w:r>
      <w:r w:rsidRPr="00F3411C">
        <w:rPr>
          <w:sz w:val="24"/>
          <w:szCs w:val="24"/>
        </w:rPr>
        <w:t xml:space="preserve"> OSHA has, in accordance with regulations </w:t>
      </w:r>
      <w:hyperlink w:history="1" r:id="rId15">
        <w:r w:rsidRPr="00F3411C">
          <w:rPr>
            <w:rStyle w:val="Hyperlink"/>
            <w:sz w:val="24"/>
            <w:szCs w:val="24"/>
          </w:rPr>
          <w:t>5 C.F.R. 1320.3</w:t>
        </w:r>
      </w:hyperlink>
      <w:r w:rsidRPr="00F3411C">
        <w:rPr>
          <w:sz w:val="24"/>
          <w:szCs w:val="24"/>
        </w:rPr>
        <w:t>(b)(2), excluded the time, effort, and financial resources necessary to comply with a collection of information that would be incurred by persons in the normal course of their activities (e.g., in compiling and maintaining business records) from the burden estimates discussed in items 12, 13, and 14 of this supporting statement. In addition, OSHA has excluded additional burdens where a person or employer opted to pursue a more expensive option for their own purposes</w:t>
      </w:r>
      <w:r w:rsidRPr="00F3411C" w:rsidR="00B3218D">
        <w:rPr>
          <w:sz w:val="24"/>
          <w:szCs w:val="24"/>
        </w:rPr>
        <w:t xml:space="preserve"> or already is in compliance with the requirements and needs to take no specific action. These situations are discussed in each element</w:t>
      </w:r>
      <w:r w:rsidRPr="00F3411C">
        <w:rPr>
          <w:sz w:val="24"/>
          <w:szCs w:val="24"/>
        </w:rPr>
        <w:t>.</w:t>
      </w:r>
    </w:p>
    <w:p w:rsidRPr="00F3411C" w:rsidR="002541CA" w:rsidP="009C097F" w:rsidRDefault="002541CA" w14:paraId="55773A5E" w14:textId="5A070F66">
      <w:pPr>
        <w:pStyle w:val="CommentText"/>
        <w:rPr>
          <w:sz w:val="24"/>
          <w:szCs w:val="24"/>
        </w:rPr>
      </w:pPr>
    </w:p>
    <w:p w:rsidRPr="00F3411C" w:rsidR="002541CA" w:rsidP="009C097F" w:rsidRDefault="002541CA" w14:paraId="5BE6A16E" w14:textId="478A8DFF">
      <w:pPr>
        <w:pStyle w:val="CommentText"/>
        <w:rPr>
          <w:sz w:val="24"/>
          <w:szCs w:val="24"/>
        </w:rPr>
      </w:pPr>
      <w:r w:rsidRPr="00F3411C">
        <w:rPr>
          <w:sz w:val="24"/>
          <w:szCs w:val="24"/>
        </w:rPr>
        <w:t xml:space="preserve">OSHA bases the burden estimates in this ICR on the assumption employers are the respondents in all cases, even though some information is provided by individual workers. In this regard, </w:t>
      </w:r>
      <w:r w:rsidRPr="00F3411C" w:rsidR="002B6A35">
        <w:rPr>
          <w:sz w:val="24"/>
          <w:szCs w:val="24"/>
        </w:rPr>
        <w:t xml:space="preserve">when they provide information to their employers </w:t>
      </w:r>
      <w:r w:rsidRPr="00F3411C">
        <w:rPr>
          <w:sz w:val="24"/>
          <w:szCs w:val="24"/>
        </w:rPr>
        <w:t>the workers are acting in their capacity as employees and not private individuals. The regulations implementing the PRA at 5 CFR 1320.3(c)(4) in relevant part provide that, “persons” does not include employees of the respondent acting within the scope of their employment. This determination does not affect either the time or other cost burden totals.</w:t>
      </w:r>
    </w:p>
    <w:p w:rsidRPr="00F3411C" w:rsidR="003E2C67" w:rsidP="009C097F" w:rsidRDefault="003E2C67" w14:paraId="3B5BC764" w14:textId="77777777">
      <w:pPr>
        <w:pStyle w:val="CommentText"/>
        <w:rPr>
          <w:sz w:val="24"/>
          <w:szCs w:val="24"/>
        </w:rPr>
      </w:pPr>
    </w:p>
    <w:p w:rsidRPr="00F3411C" w:rsidR="008739F9" w:rsidP="009C097F" w:rsidRDefault="003E2C67" w14:paraId="19E12418" w14:textId="28F14691">
      <w:pPr>
        <w:pStyle w:val="CommentText"/>
        <w:rPr>
          <w:sz w:val="24"/>
          <w:szCs w:val="24"/>
        </w:rPr>
      </w:pPr>
      <w:r w:rsidRPr="00F3411C">
        <w:rPr>
          <w:sz w:val="24"/>
          <w:szCs w:val="24"/>
        </w:rPr>
        <w:t xml:space="preserve">In the </w:t>
      </w:r>
      <w:r w:rsidRPr="00F3411C" w:rsidR="00F34F5E">
        <w:rPr>
          <w:sz w:val="24"/>
          <w:szCs w:val="24"/>
        </w:rPr>
        <w:t>1,858,935</w:t>
      </w:r>
      <w:r w:rsidRPr="00F3411C">
        <w:rPr>
          <w:sz w:val="24"/>
          <w:szCs w:val="24"/>
          <w:lang w:val="x-none"/>
        </w:rPr>
        <w:t xml:space="preserve"> </w:t>
      </w:r>
      <w:r w:rsidRPr="00F3411C">
        <w:rPr>
          <w:sz w:val="24"/>
          <w:szCs w:val="24"/>
        </w:rPr>
        <w:t xml:space="preserve">covered </w:t>
      </w:r>
      <w:r w:rsidRPr="00F3411C">
        <w:rPr>
          <w:sz w:val="24"/>
          <w:szCs w:val="24"/>
          <w:lang w:val="x-none"/>
        </w:rPr>
        <w:t xml:space="preserve">establishments </w:t>
      </w:r>
      <w:r w:rsidRPr="00F3411C">
        <w:rPr>
          <w:sz w:val="24"/>
          <w:szCs w:val="24"/>
        </w:rPr>
        <w:t xml:space="preserve">with a 100 or more employees, </w:t>
      </w:r>
      <w:r w:rsidRPr="00F3411C" w:rsidR="000517E3">
        <w:rPr>
          <w:sz w:val="24"/>
          <w:szCs w:val="24"/>
          <w:lang w:val="x-none"/>
        </w:rPr>
        <w:t>O</w:t>
      </w:r>
      <w:r w:rsidRPr="00F3411C" w:rsidR="003A1A2B">
        <w:rPr>
          <w:sz w:val="24"/>
          <w:szCs w:val="24"/>
          <w:lang w:val="x-none"/>
        </w:rPr>
        <w:t>SHA estimates</w:t>
      </w:r>
      <w:r w:rsidRPr="00F3411C" w:rsidR="000517E3">
        <w:rPr>
          <w:sz w:val="24"/>
          <w:szCs w:val="24"/>
          <w:lang w:val="x-none"/>
        </w:rPr>
        <w:t xml:space="preserve"> </w:t>
      </w:r>
      <w:r w:rsidRPr="00F3411C" w:rsidR="00F00454">
        <w:rPr>
          <w:sz w:val="24"/>
          <w:szCs w:val="24"/>
        </w:rPr>
        <w:t xml:space="preserve">there are </w:t>
      </w:r>
      <w:r w:rsidRPr="00F3411C" w:rsidR="000517E3">
        <w:rPr>
          <w:sz w:val="24"/>
          <w:szCs w:val="24"/>
          <w:lang w:val="x-none"/>
        </w:rPr>
        <w:t xml:space="preserve">a total </w:t>
      </w:r>
      <w:r w:rsidRPr="00F3411C" w:rsidR="00F00454">
        <w:rPr>
          <w:sz w:val="24"/>
          <w:szCs w:val="24"/>
        </w:rPr>
        <w:t>84,194,885</w:t>
      </w:r>
      <w:r w:rsidRPr="00F3411C" w:rsidR="009871CD">
        <w:rPr>
          <w:sz w:val="24"/>
          <w:szCs w:val="24"/>
        </w:rPr>
        <w:t xml:space="preserve"> </w:t>
      </w:r>
      <w:r w:rsidRPr="00F3411C" w:rsidR="00F00454">
        <w:rPr>
          <w:sz w:val="24"/>
          <w:szCs w:val="24"/>
        </w:rPr>
        <w:t>covered employees</w:t>
      </w:r>
      <w:r w:rsidRPr="00F3411C" w:rsidR="00ED01BD">
        <w:rPr>
          <w:sz w:val="24"/>
          <w:szCs w:val="24"/>
        </w:rPr>
        <w:t xml:space="preserve"> affected by the standard</w:t>
      </w:r>
      <w:r w:rsidRPr="00F3411C">
        <w:rPr>
          <w:sz w:val="24"/>
          <w:szCs w:val="24"/>
        </w:rPr>
        <w:t>.</w:t>
      </w:r>
      <w:r w:rsidRPr="00F3411C" w:rsidR="008354E2">
        <w:rPr>
          <w:rStyle w:val="FootnoteReference"/>
          <w:sz w:val="24"/>
          <w:szCs w:val="24"/>
        </w:rPr>
        <w:footnoteReference w:id="9"/>
      </w:r>
      <w:r w:rsidRPr="00F3411C" w:rsidR="005602D8">
        <w:rPr>
          <w:sz w:val="24"/>
          <w:szCs w:val="24"/>
        </w:rPr>
        <w:t xml:space="preserve"> </w:t>
      </w:r>
    </w:p>
    <w:p w:rsidRPr="00F3411C" w:rsidR="006F60AA" w:rsidP="006D6006" w:rsidRDefault="006F60AA" w14:paraId="383BB118" w14:textId="597A579B">
      <w:pPr>
        <w:outlineLvl w:val="0"/>
        <w:rPr>
          <w:lang w:val="x-none"/>
        </w:rPr>
      </w:pPr>
    </w:p>
    <w:p w:rsidRPr="00F3411C" w:rsidR="00EC48B7" w:rsidP="009C097F" w:rsidRDefault="000517E3" w14:paraId="0899CECE" w14:textId="2A106E99">
      <w:r w:rsidRPr="00F3411C">
        <w:rPr>
          <w:lang w:val="x-none"/>
        </w:rPr>
        <w:t xml:space="preserve">For the sole purpose of calculating burden hours and costs under the Paperwork Reduction Act, this supporting statement has rounded </w:t>
      </w:r>
      <w:r w:rsidRPr="00F3411C">
        <w:t xml:space="preserve">the totals found in Table </w:t>
      </w:r>
      <w:r w:rsidRPr="00F3411C" w:rsidR="00175C21">
        <w:t>F</w:t>
      </w:r>
      <w:r w:rsidRPr="00F3411C">
        <w:t xml:space="preserve">, the </w:t>
      </w:r>
      <w:r w:rsidRPr="00F3411C" w:rsidR="00EC48B7">
        <w:t>“</w:t>
      </w:r>
      <w:r w:rsidRPr="00F3411C">
        <w:rPr>
          <w:bCs/>
          <w:color w:val="000000"/>
        </w:rPr>
        <w:t xml:space="preserve">Summary of Burden Hours and Cost Under Item 12 of this Supporting </w:t>
      </w:r>
      <w:r w:rsidRPr="00F3411C" w:rsidR="00EC48B7">
        <w:rPr>
          <w:bCs/>
          <w:color w:val="000000"/>
        </w:rPr>
        <w:t>Statement</w:t>
      </w:r>
      <w:r w:rsidRPr="00F3411C" w:rsidR="00EC48B7">
        <w:t xml:space="preserve">.” </w:t>
      </w:r>
    </w:p>
    <w:p w:rsidRPr="00F3411C" w:rsidR="00EC48B7" w:rsidP="00F3411C" w:rsidRDefault="00F3411C" w14:paraId="17296E77" w14:textId="1EBA111D">
      <w:pPr>
        <w:autoSpaceDE/>
        <w:autoSpaceDN/>
        <w:spacing w:after="200" w:line="276" w:lineRule="auto"/>
      </w:pPr>
      <w:r>
        <w:br w:type="page"/>
      </w:r>
    </w:p>
    <w:p w:rsidRPr="00F3411C" w:rsidR="00157297" w:rsidP="009C097F" w:rsidRDefault="00EC48B7" w14:paraId="6A60C5AA" w14:textId="3FB86251">
      <w:pPr>
        <w:rPr>
          <w:b/>
          <w:bCs/>
        </w:rPr>
      </w:pPr>
      <w:r w:rsidRPr="00F3411C">
        <w:rPr>
          <w:b/>
          <w:bCs/>
        </w:rPr>
        <w:t>Wage</w:t>
      </w:r>
      <w:r w:rsidRPr="00F3411C" w:rsidR="00157297">
        <w:rPr>
          <w:b/>
          <w:bCs/>
        </w:rPr>
        <w:t xml:space="preserve"> Rates</w:t>
      </w:r>
    </w:p>
    <w:p w:rsidRPr="00F3411C" w:rsidR="00E1106B" w:rsidP="009C097F" w:rsidRDefault="00E1106B" w14:paraId="0B95F7F9" w14:textId="77777777">
      <w:pPr>
        <w:rPr>
          <w:b/>
          <w:bCs/>
        </w:rPr>
      </w:pPr>
    </w:p>
    <w:p w:rsidRPr="00F3411C" w:rsidR="00B211FB" w:rsidRDefault="00157297" w14:paraId="43CBF474" w14:textId="0CBB6295">
      <w:pPr>
        <w:pStyle w:val="BodyText"/>
        <w:spacing w:after="0"/>
        <w:rPr>
          <w:rFonts w:ascii="Times New Roman" w:hAnsi="Times New Roman"/>
        </w:rPr>
      </w:pPr>
      <w:r w:rsidRPr="00F3411C">
        <w:rPr>
          <w:rFonts w:ascii="Times New Roman" w:hAnsi="Times New Roman"/>
        </w:rPr>
        <w:t xml:space="preserve">OSHA used occupation-specific wage rates from Bureau of Labor Statistics (BLS) 2018 Occupational Employment Statistics data </w:t>
      </w:r>
      <w:r w:rsidRPr="00F3411C">
        <w:rPr>
          <w:rFonts w:ascii="Times New Roman" w:hAnsi="Times New Roman"/>
        </w:rPr>
        <w:fldChar w:fldCharType="begin"/>
      </w:r>
      <w:r w:rsidRPr="00F3411C">
        <w:rPr>
          <w:rFonts w:ascii="Times New Roman" w:hAnsi="Times New Roman"/>
        </w:rPr>
        <w:instrText xml:space="preserve"> ADDIN EN.CITE &lt;EndNote&gt;&lt;Cite ExcludeAuth="1"&gt;&lt;Author&gt;U.S Bureau of Labor Statistics&lt;/Author&gt;&lt;Year&gt;2019&lt;/Year&gt;&lt;RecNum&gt;8&lt;/RecNum&gt;&lt;Prefix&gt;BLS`, &lt;/Prefix&gt;&lt;DisplayText&gt;(BLS, 2019)&lt;/DisplayText&gt;&lt;record&gt;&lt;rec-number&gt;8&lt;/rec-number&gt;&lt;foreign-keys&gt;&lt;key app="EN" db-id="vfe9ex5pfaz5fce0zeovarzl5ttwd0w9vs9a" timestamp="1603392688"&gt;8&lt;/key&gt;&lt;/foreign-keys&gt;&lt;ref-type name="Journal Article"&gt;17&lt;/ref-type&gt;&lt;contributors&gt;&lt;authors&gt;&lt;author&gt;U.S Bureau of Labor Statistics,&lt;/author&gt;&lt;/authors&gt;&lt;/contributors&gt;&lt;titles&gt;&lt;title&gt;Occupational Employment Statistics (OES) Survey, May 2018&lt;/title&gt;&lt;/titles&gt;&lt;dates&gt;&lt;year&gt;2019&lt;/year&gt;&lt;/dates&gt;&lt;urls&gt;&lt;/urls&gt;&lt;/record&gt;&lt;/Cite&gt;&lt;/EndNote&gt;</w:instrText>
      </w:r>
      <w:r w:rsidRPr="00F3411C">
        <w:rPr>
          <w:rFonts w:ascii="Times New Roman" w:hAnsi="Times New Roman"/>
        </w:rPr>
        <w:fldChar w:fldCharType="separate"/>
      </w:r>
      <w:r w:rsidRPr="00F3411C">
        <w:rPr>
          <w:rFonts w:ascii="Times New Roman" w:hAnsi="Times New Roman"/>
          <w:noProof/>
        </w:rPr>
        <w:t>(BLS, 2019)</w:t>
      </w:r>
      <w:r w:rsidRPr="00F3411C">
        <w:rPr>
          <w:rFonts w:ascii="Times New Roman" w:hAnsi="Times New Roman"/>
        </w:rPr>
        <w:fldChar w:fldCharType="end"/>
      </w:r>
      <w:r w:rsidRPr="00F3411C">
        <w:rPr>
          <w:rFonts w:ascii="Times New Roman" w:hAnsi="Times New Roman"/>
        </w:rPr>
        <w:t>. The estimated loaded wage rates are calculated using industry-specific fringe benefit rates for all civilian workers as reported in the BLS 2018 Employer Costs for Employee Compensation data, as well as OSHA’s standard estimate for overhead</w:t>
      </w:r>
      <w:r w:rsidRPr="00F3411C" w:rsidR="00B211FB">
        <w:rPr>
          <w:rFonts w:ascii="Times New Roman" w:hAnsi="Times New Roman"/>
        </w:rPr>
        <w:t xml:space="preserve"> of </w:t>
      </w:r>
      <w:r w:rsidRPr="00F3411C" w:rsidR="0006094D">
        <w:rPr>
          <w:rFonts w:ascii="Times New Roman" w:hAnsi="Times New Roman"/>
        </w:rPr>
        <w:t>seventeen</w:t>
      </w:r>
      <w:r w:rsidRPr="00F3411C" w:rsidR="004D36AA">
        <w:rPr>
          <w:rFonts w:ascii="Times New Roman" w:hAnsi="Times New Roman"/>
        </w:rPr>
        <w:t xml:space="preserve"> (</w:t>
      </w:r>
      <w:r w:rsidRPr="00F3411C" w:rsidR="00B211FB">
        <w:rPr>
          <w:rFonts w:ascii="Times New Roman" w:hAnsi="Times New Roman"/>
        </w:rPr>
        <w:t>17</w:t>
      </w:r>
      <w:r w:rsidRPr="00F3411C" w:rsidR="004D36AA">
        <w:rPr>
          <w:rFonts w:ascii="Times New Roman" w:hAnsi="Times New Roman"/>
        </w:rPr>
        <w:t>)</w:t>
      </w:r>
      <w:r w:rsidRPr="00F3411C" w:rsidR="00B211FB">
        <w:rPr>
          <w:rFonts w:ascii="Times New Roman" w:hAnsi="Times New Roman"/>
        </w:rPr>
        <w:t xml:space="preserve"> percent times the base wage </w:t>
      </w:r>
      <w:r w:rsidRPr="00F3411C" w:rsidR="00B211FB">
        <w:rPr>
          <w:rFonts w:ascii="Times New Roman" w:hAnsi="Times New Roman"/>
        </w:rPr>
        <w:fldChar w:fldCharType="begin"/>
      </w:r>
      <w:r w:rsidRPr="00F3411C" w:rsidR="00B211FB">
        <w:rPr>
          <w:rFonts w:ascii="Times New Roman" w:hAnsi="Times New Roman"/>
        </w:rPr>
        <w:instrText xml:space="preserve"> ADDIN EN.CITE &lt;EndNote&gt;&lt;Cite ExcludeAuth="1"&gt;&lt;Author&gt;U.S. Bureau of Labor Statistics&lt;/Author&gt;&lt;Year&gt;2018&lt;/Year&gt;&lt;RecNum&gt;24&lt;/RecNum&gt;&lt;Prefix&gt;BLS`, &lt;/Prefix&gt;&lt;DisplayText&gt;(BLS, 2018)&lt;/DisplayText&gt;&lt;record&gt;&lt;rec-number&gt;24&lt;/rec-number&gt;&lt;foreign-keys&gt;&lt;key app="EN" db-id="vfe9ex5pfaz5fce0zeovarzl5ttwd0w9vs9a" timestamp="1604086038"&gt;24&lt;/key&gt;&lt;/foreign-keys&gt;&lt;ref-type name="Journal Article"&gt;17&lt;/ref-type&gt;&lt;contributors&gt;&lt;authors&gt;&lt;author&gt;U.S. Bureau of Labor Statistics,&lt;/author&gt;&lt;/authors&gt;&lt;/contributors&gt;&lt;titles&gt;&lt;title&gt;Employer Costs for Employee Compensation Data Series CMU1026220000000P, All 2018 Civilian Wages and Salaries for the Healthcare and Social Assistance Industry&lt;/title&gt;&lt;/titles&gt;&lt;dates&gt;&lt;year&gt;2018&lt;/year&gt;&lt;/dates&gt;&lt;urls&gt;&lt;/urls&gt;&lt;/record&gt;&lt;/Cite&gt;&lt;/EndNote&gt;</w:instrText>
      </w:r>
      <w:r w:rsidRPr="00F3411C" w:rsidR="00B211FB">
        <w:rPr>
          <w:rFonts w:ascii="Times New Roman" w:hAnsi="Times New Roman"/>
        </w:rPr>
        <w:fldChar w:fldCharType="separate"/>
      </w:r>
      <w:r w:rsidRPr="00F3411C" w:rsidR="00B211FB">
        <w:rPr>
          <w:rFonts w:ascii="Times New Roman" w:hAnsi="Times New Roman"/>
          <w:noProof/>
        </w:rPr>
        <w:t>(BLS, 2018)</w:t>
      </w:r>
      <w:r w:rsidRPr="00F3411C" w:rsidR="00B211FB">
        <w:rPr>
          <w:rFonts w:ascii="Times New Roman" w:hAnsi="Times New Roman"/>
        </w:rPr>
        <w:fldChar w:fldCharType="end"/>
      </w:r>
      <w:r w:rsidRPr="00F3411C" w:rsidR="00B211FB">
        <w:rPr>
          <w:rFonts w:ascii="Times New Roman" w:hAnsi="Times New Roman"/>
        </w:rPr>
        <w:t xml:space="preserve"> to arrive at the loaded wage rate.</w:t>
      </w:r>
    </w:p>
    <w:p w:rsidRPr="00F3411C" w:rsidR="00375A1A" w:rsidRDefault="00375A1A" w14:paraId="7E49F9E6" w14:textId="77777777">
      <w:pPr>
        <w:pStyle w:val="BodyText"/>
        <w:spacing w:after="0"/>
        <w:rPr>
          <w:rFonts w:ascii="Times New Roman" w:hAnsi="Times New Roman"/>
        </w:rPr>
      </w:pPr>
    </w:p>
    <w:p w:rsidRPr="00F3411C" w:rsidR="008A4E6B" w:rsidRDefault="008A4E6B" w14:paraId="4A53ECAD" w14:textId="29E3F782">
      <w:pPr>
        <w:tabs>
          <w:tab w:val="left" w:pos="-1440"/>
        </w:tabs>
      </w:pPr>
      <w:r w:rsidRPr="00F3411C">
        <w:t>Table A is a summary of the how the wage rate estimates were derived for the information collection requirements specified by the Standard.</w:t>
      </w:r>
    </w:p>
    <w:p w:rsidRPr="00F3411C" w:rsidR="00834094" w:rsidRDefault="00834094" w14:paraId="5C9854C7" w14:textId="77777777">
      <w:pPr>
        <w:tabs>
          <w:tab w:val="left" w:pos="-1440"/>
        </w:tabs>
      </w:pPr>
    </w:p>
    <w:p w:rsidRPr="00F3411C" w:rsidR="00834094" w:rsidP="00834094" w:rsidRDefault="00834094" w14:paraId="2A1EF8AA" w14:textId="77777777">
      <w:pPr>
        <w:tabs>
          <w:tab w:val="left" w:pos="-1440"/>
        </w:tabs>
        <w:rPr>
          <w:b/>
        </w:rPr>
      </w:pPr>
      <w:r w:rsidRPr="00F3411C">
        <w:rPr>
          <w:b/>
        </w:rPr>
        <w:t>Table A – Estimated Wage Rates</w:t>
      </w:r>
    </w:p>
    <w:tbl>
      <w:tblPr>
        <w:tblW w:w="8990" w:type="dxa"/>
        <w:tblLook w:val="04A0" w:firstRow="1" w:lastRow="0" w:firstColumn="1" w:lastColumn="0" w:noHBand="0" w:noVBand="1"/>
      </w:tblPr>
      <w:tblGrid>
        <w:gridCol w:w="2891"/>
        <w:gridCol w:w="1205"/>
        <w:gridCol w:w="1028"/>
        <w:gridCol w:w="1303"/>
        <w:gridCol w:w="1230"/>
        <w:gridCol w:w="1333"/>
      </w:tblGrid>
      <w:tr w:rsidRPr="00F3411C" w:rsidR="00834094" w:rsidTr="00164DBB" w14:paraId="2B79F2A4" w14:textId="77777777">
        <w:trPr>
          <w:trHeight w:val="880"/>
          <w:tblHeader/>
        </w:trPr>
        <w:tc>
          <w:tcPr>
            <w:tcW w:w="2891" w:type="dxa"/>
            <w:tcBorders>
              <w:top w:val="single" w:color="auto" w:sz="8" w:space="0"/>
              <w:left w:val="single" w:color="auto" w:sz="8" w:space="0"/>
              <w:bottom w:val="single" w:color="auto" w:sz="8" w:space="0"/>
              <w:right w:val="single" w:color="auto" w:sz="8" w:space="0"/>
            </w:tcBorders>
            <w:shd w:val="clear" w:color="000000" w:fill="92D050"/>
            <w:vAlign w:val="center"/>
            <w:hideMark/>
          </w:tcPr>
          <w:p w:rsidRPr="00F3411C" w:rsidR="00834094" w:rsidP="00834094" w:rsidRDefault="00834094" w14:paraId="013652A6" w14:textId="77777777">
            <w:pPr>
              <w:autoSpaceDE/>
              <w:autoSpaceDN/>
              <w:rPr>
                <w:rFonts w:eastAsia="Times New Roman"/>
                <w:b/>
                <w:bCs/>
                <w:color w:val="000000"/>
                <w:lang w:eastAsia="en-US"/>
              </w:rPr>
            </w:pPr>
            <w:r w:rsidRPr="00F3411C">
              <w:rPr>
                <w:rFonts w:eastAsia="Times New Roman"/>
                <w:b/>
                <w:bCs/>
                <w:color w:val="000000"/>
                <w:lang w:eastAsia="en-US"/>
              </w:rPr>
              <w:t>Occupation</w:t>
            </w:r>
          </w:p>
        </w:tc>
        <w:tc>
          <w:tcPr>
            <w:tcW w:w="1205" w:type="dxa"/>
            <w:tcBorders>
              <w:top w:val="single" w:color="auto" w:sz="8" w:space="0"/>
              <w:left w:val="nil"/>
              <w:bottom w:val="single" w:color="auto" w:sz="8" w:space="0"/>
              <w:right w:val="single" w:color="auto" w:sz="8" w:space="0"/>
            </w:tcBorders>
            <w:shd w:val="clear" w:color="000000" w:fill="92D050"/>
            <w:vAlign w:val="center"/>
            <w:hideMark/>
          </w:tcPr>
          <w:p w:rsidRPr="00F3411C" w:rsidR="00834094" w:rsidP="00834094" w:rsidRDefault="00834094" w14:paraId="1C0D6952" w14:textId="77777777">
            <w:pPr>
              <w:autoSpaceDE/>
              <w:autoSpaceDN/>
              <w:rPr>
                <w:rFonts w:eastAsia="Times New Roman"/>
                <w:b/>
                <w:bCs/>
                <w:color w:val="000000"/>
                <w:lang w:eastAsia="en-US"/>
              </w:rPr>
            </w:pPr>
            <w:r w:rsidRPr="00F3411C">
              <w:rPr>
                <w:rFonts w:eastAsia="Times New Roman"/>
                <w:b/>
                <w:bCs/>
                <w:color w:val="000000"/>
                <w:lang w:eastAsia="en-US"/>
              </w:rPr>
              <w:t>SOC</w:t>
            </w:r>
          </w:p>
        </w:tc>
        <w:tc>
          <w:tcPr>
            <w:tcW w:w="1028" w:type="dxa"/>
            <w:tcBorders>
              <w:top w:val="single" w:color="auto" w:sz="8" w:space="0"/>
              <w:left w:val="nil"/>
              <w:bottom w:val="single" w:color="auto" w:sz="8" w:space="0"/>
              <w:right w:val="single" w:color="auto" w:sz="8" w:space="0"/>
            </w:tcBorders>
            <w:shd w:val="clear" w:color="000000" w:fill="92D050"/>
            <w:vAlign w:val="center"/>
            <w:hideMark/>
          </w:tcPr>
          <w:p w:rsidRPr="00F3411C" w:rsidR="00834094" w:rsidP="00834094" w:rsidRDefault="00834094" w14:paraId="498E3F6A" w14:textId="286EEC90">
            <w:pPr>
              <w:autoSpaceDE/>
              <w:autoSpaceDN/>
              <w:rPr>
                <w:rFonts w:eastAsia="Times New Roman"/>
                <w:b/>
                <w:bCs/>
                <w:color w:val="000000"/>
                <w:lang w:eastAsia="en-US"/>
              </w:rPr>
            </w:pPr>
            <w:r w:rsidRPr="00F3411C">
              <w:rPr>
                <w:rFonts w:eastAsia="Times New Roman"/>
                <w:b/>
                <w:bCs/>
                <w:color w:val="000000"/>
                <w:lang w:eastAsia="en-US"/>
              </w:rPr>
              <w:t xml:space="preserve">Mean </w:t>
            </w:r>
            <w:r w:rsidRPr="00F3411C" w:rsidR="007E4737">
              <w:rPr>
                <w:rFonts w:eastAsia="Times New Roman"/>
                <w:b/>
                <w:bCs/>
                <w:color w:val="000000"/>
                <w:lang w:eastAsia="en-US"/>
              </w:rPr>
              <w:t>H</w:t>
            </w:r>
            <w:r w:rsidRPr="00F3411C">
              <w:rPr>
                <w:rFonts w:eastAsia="Times New Roman"/>
                <w:b/>
                <w:bCs/>
                <w:color w:val="000000"/>
                <w:lang w:eastAsia="en-US"/>
              </w:rPr>
              <w:t xml:space="preserve">ourly </w:t>
            </w:r>
            <w:r w:rsidRPr="00F3411C" w:rsidR="007E4737">
              <w:rPr>
                <w:rFonts w:eastAsia="Times New Roman"/>
                <w:b/>
                <w:bCs/>
                <w:color w:val="000000"/>
                <w:lang w:eastAsia="en-US"/>
              </w:rPr>
              <w:t>R</w:t>
            </w:r>
            <w:r w:rsidRPr="00F3411C">
              <w:rPr>
                <w:rFonts w:eastAsia="Times New Roman"/>
                <w:b/>
                <w:bCs/>
                <w:color w:val="000000"/>
                <w:lang w:eastAsia="en-US"/>
              </w:rPr>
              <w:t>ate</w:t>
            </w:r>
          </w:p>
        </w:tc>
        <w:tc>
          <w:tcPr>
            <w:tcW w:w="1303" w:type="dxa"/>
            <w:tcBorders>
              <w:top w:val="single" w:color="auto" w:sz="8" w:space="0"/>
              <w:left w:val="nil"/>
              <w:bottom w:val="single" w:color="auto" w:sz="8" w:space="0"/>
              <w:right w:val="single" w:color="auto" w:sz="8" w:space="0"/>
            </w:tcBorders>
            <w:shd w:val="clear" w:color="000000" w:fill="92D050"/>
            <w:vAlign w:val="center"/>
            <w:hideMark/>
          </w:tcPr>
          <w:p w:rsidRPr="00F3411C" w:rsidR="00834094" w:rsidP="00834094" w:rsidRDefault="00834094" w14:paraId="71239591" w14:textId="77777777">
            <w:pPr>
              <w:autoSpaceDE/>
              <w:autoSpaceDN/>
              <w:rPr>
                <w:rFonts w:eastAsia="Times New Roman"/>
                <w:b/>
                <w:bCs/>
                <w:color w:val="000000"/>
                <w:lang w:eastAsia="en-US"/>
              </w:rPr>
            </w:pPr>
            <w:r w:rsidRPr="00F3411C">
              <w:rPr>
                <w:rFonts w:eastAsia="Times New Roman"/>
                <w:b/>
                <w:bCs/>
                <w:color w:val="000000"/>
                <w:lang w:eastAsia="en-US"/>
              </w:rPr>
              <w:t>Fringe Benefits</w:t>
            </w:r>
          </w:p>
        </w:tc>
        <w:tc>
          <w:tcPr>
            <w:tcW w:w="1230" w:type="dxa"/>
            <w:tcBorders>
              <w:top w:val="single" w:color="auto" w:sz="8" w:space="0"/>
              <w:left w:val="nil"/>
              <w:bottom w:val="single" w:color="auto" w:sz="8" w:space="0"/>
              <w:right w:val="single" w:color="auto" w:sz="8" w:space="0"/>
            </w:tcBorders>
            <w:shd w:val="clear" w:color="000000" w:fill="92D050"/>
            <w:vAlign w:val="center"/>
            <w:hideMark/>
          </w:tcPr>
          <w:p w:rsidRPr="00F3411C" w:rsidR="00834094" w:rsidP="00834094" w:rsidRDefault="00834094" w14:paraId="7D2DCBEA" w14:textId="77777777">
            <w:pPr>
              <w:autoSpaceDE/>
              <w:autoSpaceDN/>
              <w:rPr>
                <w:rFonts w:eastAsia="Times New Roman"/>
                <w:b/>
                <w:bCs/>
                <w:color w:val="000000"/>
                <w:lang w:eastAsia="en-US"/>
              </w:rPr>
            </w:pPr>
            <w:r w:rsidRPr="00F3411C">
              <w:rPr>
                <w:rFonts w:eastAsia="Times New Roman"/>
                <w:b/>
                <w:bCs/>
                <w:color w:val="000000"/>
                <w:lang w:eastAsia="en-US"/>
              </w:rPr>
              <w:t>Overhead Loading</w:t>
            </w:r>
          </w:p>
        </w:tc>
        <w:tc>
          <w:tcPr>
            <w:tcW w:w="1333" w:type="dxa"/>
            <w:tcBorders>
              <w:top w:val="single" w:color="auto" w:sz="8" w:space="0"/>
              <w:left w:val="nil"/>
              <w:bottom w:val="single" w:color="auto" w:sz="8" w:space="0"/>
              <w:right w:val="single" w:color="auto" w:sz="8" w:space="0"/>
            </w:tcBorders>
            <w:shd w:val="clear" w:color="000000" w:fill="92D050"/>
            <w:vAlign w:val="center"/>
            <w:hideMark/>
          </w:tcPr>
          <w:p w:rsidRPr="00F3411C" w:rsidR="00834094" w:rsidP="00834094" w:rsidRDefault="00834094" w14:paraId="60F4D41B" w14:textId="4718269B">
            <w:pPr>
              <w:autoSpaceDE/>
              <w:autoSpaceDN/>
              <w:rPr>
                <w:rFonts w:eastAsia="Times New Roman"/>
                <w:b/>
                <w:bCs/>
                <w:color w:val="000000"/>
                <w:lang w:eastAsia="en-US"/>
              </w:rPr>
            </w:pPr>
            <w:r w:rsidRPr="00F3411C">
              <w:rPr>
                <w:rFonts w:eastAsia="Times New Roman"/>
                <w:b/>
                <w:bCs/>
                <w:color w:val="000000"/>
                <w:lang w:eastAsia="en-US"/>
              </w:rPr>
              <w:t xml:space="preserve">Wage </w:t>
            </w:r>
            <w:r w:rsidRPr="00F3411C" w:rsidR="007E4737">
              <w:rPr>
                <w:rFonts w:eastAsia="Times New Roman"/>
                <w:b/>
                <w:bCs/>
                <w:color w:val="000000"/>
                <w:lang w:eastAsia="en-US"/>
              </w:rPr>
              <w:t>R</w:t>
            </w:r>
            <w:r w:rsidRPr="00F3411C">
              <w:rPr>
                <w:rFonts w:eastAsia="Times New Roman"/>
                <w:b/>
                <w:bCs/>
                <w:color w:val="000000"/>
                <w:lang w:eastAsia="en-US"/>
              </w:rPr>
              <w:t>ate</w:t>
            </w:r>
          </w:p>
        </w:tc>
      </w:tr>
      <w:tr w:rsidRPr="00F3411C" w:rsidR="00834094" w:rsidTr="00164DBB" w14:paraId="6E963EA6" w14:textId="77777777">
        <w:trPr>
          <w:trHeight w:val="300"/>
        </w:trPr>
        <w:tc>
          <w:tcPr>
            <w:tcW w:w="2891" w:type="dxa"/>
            <w:tcBorders>
              <w:top w:val="nil"/>
              <w:left w:val="single" w:color="auto" w:sz="4" w:space="0"/>
              <w:bottom w:val="single" w:color="auto" w:sz="8" w:space="0"/>
              <w:right w:val="single" w:color="auto" w:sz="4" w:space="0"/>
            </w:tcBorders>
            <w:shd w:val="clear" w:color="auto" w:fill="auto"/>
            <w:vAlign w:val="center"/>
            <w:hideMark/>
          </w:tcPr>
          <w:p w:rsidRPr="00F3411C" w:rsidR="00834094" w:rsidP="00834094" w:rsidRDefault="00834094" w14:paraId="0962F119" w14:textId="299B0175">
            <w:pPr>
              <w:autoSpaceDE/>
              <w:autoSpaceDN/>
              <w:rPr>
                <w:rFonts w:eastAsia="Times New Roman"/>
                <w:color w:val="000000"/>
                <w:lang w:eastAsia="en-US"/>
              </w:rPr>
            </w:pPr>
            <w:r w:rsidRPr="00F3411C">
              <w:rPr>
                <w:rFonts w:eastAsia="Times New Roman"/>
                <w:color w:val="000000"/>
                <w:lang w:eastAsia="en-US"/>
              </w:rPr>
              <w:t>General</w:t>
            </w:r>
            <w:r w:rsidRPr="00F3411C" w:rsidR="00683F7F">
              <w:rPr>
                <w:rFonts w:eastAsia="Times New Roman"/>
                <w:color w:val="000000"/>
                <w:lang w:eastAsia="en-US"/>
              </w:rPr>
              <w:t xml:space="preserve"> </w:t>
            </w:r>
            <w:r w:rsidRPr="00F3411C">
              <w:rPr>
                <w:rFonts w:eastAsia="Times New Roman"/>
                <w:color w:val="000000"/>
                <w:lang w:eastAsia="en-US"/>
              </w:rPr>
              <w:t>Worker</w:t>
            </w:r>
            <w:r w:rsidRPr="00F3411C" w:rsidR="00737126">
              <w:rPr>
                <w:rStyle w:val="FootnoteReference"/>
                <w:rFonts w:eastAsia="Times New Roman"/>
                <w:color w:val="000000"/>
                <w:lang w:eastAsia="en-US"/>
              </w:rPr>
              <w:footnoteReference w:id="10"/>
            </w:r>
          </w:p>
        </w:tc>
        <w:tc>
          <w:tcPr>
            <w:tcW w:w="1205" w:type="dxa"/>
            <w:tcBorders>
              <w:top w:val="nil"/>
              <w:left w:val="nil"/>
              <w:bottom w:val="single" w:color="auto" w:sz="8" w:space="0"/>
              <w:right w:val="single" w:color="auto" w:sz="4" w:space="0"/>
            </w:tcBorders>
            <w:shd w:val="clear" w:color="auto" w:fill="auto"/>
            <w:noWrap/>
            <w:vAlign w:val="bottom"/>
            <w:hideMark/>
          </w:tcPr>
          <w:p w:rsidRPr="00F3411C" w:rsidR="00834094" w:rsidP="00834094" w:rsidRDefault="00834094" w14:paraId="33C80268" w14:textId="77777777">
            <w:pPr>
              <w:autoSpaceDE/>
              <w:autoSpaceDN/>
              <w:rPr>
                <w:rFonts w:eastAsia="Times New Roman"/>
                <w:color w:val="000000"/>
                <w:lang w:eastAsia="en-US"/>
              </w:rPr>
            </w:pPr>
            <w:r w:rsidRPr="00F3411C">
              <w:rPr>
                <w:rFonts w:eastAsia="Times New Roman"/>
                <w:color w:val="000000"/>
                <w:lang w:eastAsia="en-US"/>
              </w:rPr>
              <w:t> -------</w:t>
            </w:r>
          </w:p>
        </w:tc>
        <w:tc>
          <w:tcPr>
            <w:tcW w:w="1028"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1B111DB6" w14:textId="77777777">
            <w:pPr>
              <w:autoSpaceDE/>
              <w:autoSpaceDN/>
              <w:jc w:val="center"/>
              <w:rPr>
                <w:rFonts w:eastAsia="Times New Roman"/>
                <w:color w:val="000000"/>
                <w:lang w:eastAsia="en-US"/>
              </w:rPr>
            </w:pPr>
            <w:r w:rsidRPr="00F3411C">
              <w:rPr>
                <w:rFonts w:eastAsia="Times New Roman"/>
                <w:color w:val="000000"/>
                <w:lang w:eastAsia="en-US"/>
              </w:rPr>
              <w:t xml:space="preserve">$21.61 </w:t>
            </w:r>
          </w:p>
        </w:tc>
        <w:tc>
          <w:tcPr>
            <w:tcW w:w="1303"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7AAD7EFE" w14:textId="28FE90B6">
            <w:pPr>
              <w:autoSpaceDE/>
              <w:autoSpaceDN/>
              <w:jc w:val="center"/>
              <w:rPr>
                <w:rFonts w:eastAsia="Times New Roman"/>
                <w:color w:val="000000"/>
                <w:lang w:eastAsia="en-US"/>
              </w:rPr>
            </w:pPr>
            <w:r w:rsidRPr="00F3411C">
              <w:rPr>
                <w:rFonts w:eastAsia="Times New Roman"/>
                <w:color w:val="000000"/>
                <w:lang w:eastAsia="en-US"/>
              </w:rPr>
              <w:t>0.7</w:t>
            </w:r>
            <w:r w:rsidRPr="00F3411C" w:rsidR="004C2A60">
              <w:rPr>
                <w:rFonts w:eastAsia="Times New Roman"/>
                <w:color w:val="000000"/>
                <w:lang w:eastAsia="en-US"/>
              </w:rPr>
              <w:t>0</w:t>
            </w:r>
          </w:p>
        </w:tc>
        <w:tc>
          <w:tcPr>
            <w:tcW w:w="1230"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6CEDD919" w14:textId="77777777">
            <w:pPr>
              <w:autoSpaceDE/>
              <w:autoSpaceDN/>
              <w:jc w:val="center"/>
              <w:rPr>
                <w:rFonts w:eastAsia="Times New Roman"/>
                <w:color w:val="000000"/>
                <w:lang w:eastAsia="en-US"/>
              </w:rPr>
            </w:pPr>
            <w:r w:rsidRPr="00F3411C">
              <w:rPr>
                <w:rFonts w:eastAsia="Times New Roman"/>
                <w:color w:val="000000"/>
                <w:lang w:eastAsia="en-US"/>
              </w:rPr>
              <w:t>0.17</w:t>
            </w:r>
          </w:p>
        </w:tc>
        <w:tc>
          <w:tcPr>
            <w:tcW w:w="1333" w:type="dxa"/>
            <w:tcBorders>
              <w:top w:val="nil"/>
              <w:left w:val="nil"/>
              <w:bottom w:val="single" w:color="auto" w:sz="8" w:space="0"/>
              <w:right w:val="single" w:color="auto" w:sz="4" w:space="0"/>
            </w:tcBorders>
            <w:shd w:val="clear" w:color="000000" w:fill="FFFFFF"/>
            <w:vAlign w:val="center"/>
            <w:hideMark/>
          </w:tcPr>
          <w:p w:rsidRPr="00F3411C" w:rsidR="00834094" w:rsidP="00834094" w:rsidRDefault="00834094" w14:paraId="7BAE739D" w14:textId="77777777">
            <w:pPr>
              <w:autoSpaceDE/>
              <w:autoSpaceDN/>
              <w:jc w:val="center"/>
              <w:rPr>
                <w:rFonts w:eastAsia="Times New Roman"/>
                <w:color w:val="000000"/>
                <w:lang w:eastAsia="en-US"/>
              </w:rPr>
            </w:pPr>
            <w:r w:rsidRPr="00F3411C">
              <w:rPr>
                <w:rFonts w:eastAsia="Times New Roman"/>
                <w:color w:val="000000"/>
                <w:lang w:eastAsia="en-US"/>
              </w:rPr>
              <w:t xml:space="preserve">$35.60 </w:t>
            </w:r>
          </w:p>
        </w:tc>
      </w:tr>
      <w:tr w:rsidRPr="00F3411C" w:rsidR="00834094" w:rsidTr="00164DBB" w14:paraId="3188D2D5" w14:textId="77777777">
        <w:trPr>
          <w:trHeight w:val="590"/>
        </w:trPr>
        <w:tc>
          <w:tcPr>
            <w:tcW w:w="2891" w:type="dxa"/>
            <w:tcBorders>
              <w:top w:val="nil"/>
              <w:left w:val="single" w:color="auto" w:sz="4" w:space="0"/>
              <w:bottom w:val="single" w:color="auto" w:sz="8" w:space="0"/>
              <w:right w:val="single" w:color="auto" w:sz="4" w:space="0"/>
            </w:tcBorders>
            <w:shd w:val="clear" w:color="auto" w:fill="auto"/>
            <w:vAlign w:val="center"/>
            <w:hideMark/>
          </w:tcPr>
          <w:p w:rsidRPr="00F3411C" w:rsidR="00834094" w:rsidP="00834094" w:rsidRDefault="00834094" w14:paraId="5D74336B" w14:textId="77777777">
            <w:pPr>
              <w:autoSpaceDE/>
              <w:autoSpaceDN/>
              <w:rPr>
                <w:rFonts w:eastAsia="Times New Roman"/>
                <w:color w:val="000000"/>
                <w:lang w:eastAsia="en-US"/>
              </w:rPr>
            </w:pPr>
            <w:r w:rsidRPr="00F3411C">
              <w:rPr>
                <w:rFonts w:eastAsia="Times New Roman"/>
                <w:color w:val="000000"/>
                <w:lang w:eastAsia="en-US"/>
              </w:rPr>
              <w:t>General and Operation (GO) Manager</w:t>
            </w:r>
          </w:p>
        </w:tc>
        <w:tc>
          <w:tcPr>
            <w:tcW w:w="1205" w:type="dxa"/>
            <w:tcBorders>
              <w:top w:val="nil"/>
              <w:left w:val="nil"/>
              <w:bottom w:val="single" w:color="auto" w:sz="8" w:space="0"/>
              <w:right w:val="single" w:color="auto" w:sz="4" w:space="0"/>
            </w:tcBorders>
            <w:shd w:val="clear" w:color="auto" w:fill="auto"/>
            <w:noWrap/>
            <w:vAlign w:val="bottom"/>
            <w:hideMark/>
          </w:tcPr>
          <w:p w:rsidRPr="00F3411C" w:rsidR="00834094" w:rsidP="00834094" w:rsidRDefault="00834094" w14:paraId="4DE56C8F" w14:textId="77777777">
            <w:pPr>
              <w:autoSpaceDE/>
              <w:autoSpaceDN/>
              <w:jc w:val="center"/>
              <w:rPr>
                <w:rFonts w:eastAsia="Times New Roman"/>
                <w:color w:val="000000"/>
                <w:lang w:eastAsia="en-US"/>
              </w:rPr>
            </w:pPr>
            <w:r w:rsidRPr="00F3411C">
              <w:rPr>
                <w:rFonts w:eastAsia="Times New Roman"/>
                <w:color w:val="000000"/>
                <w:lang w:eastAsia="en-US"/>
              </w:rPr>
              <w:t>11-1020</w:t>
            </w:r>
          </w:p>
        </w:tc>
        <w:tc>
          <w:tcPr>
            <w:tcW w:w="1028"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758277DF" w14:textId="77777777">
            <w:pPr>
              <w:autoSpaceDE/>
              <w:autoSpaceDN/>
              <w:jc w:val="center"/>
              <w:rPr>
                <w:rFonts w:eastAsia="Times New Roman"/>
                <w:color w:val="000000"/>
                <w:lang w:eastAsia="en-US"/>
              </w:rPr>
            </w:pPr>
            <w:r w:rsidRPr="00F3411C">
              <w:rPr>
                <w:rFonts w:eastAsia="Times New Roman"/>
                <w:color w:val="000000"/>
                <w:lang w:eastAsia="en-US"/>
              </w:rPr>
              <w:t xml:space="preserve">$53.58 </w:t>
            </w:r>
          </w:p>
        </w:tc>
        <w:tc>
          <w:tcPr>
            <w:tcW w:w="1303"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293DA29F" w14:textId="41481879">
            <w:pPr>
              <w:autoSpaceDE/>
              <w:autoSpaceDN/>
              <w:jc w:val="center"/>
              <w:rPr>
                <w:rFonts w:eastAsia="Times New Roman"/>
                <w:color w:val="000000"/>
                <w:lang w:eastAsia="en-US"/>
              </w:rPr>
            </w:pPr>
            <w:r w:rsidRPr="00F3411C">
              <w:rPr>
                <w:rFonts w:eastAsia="Times New Roman"/>
                <w:color w:val="000000"/>
                <w:lang w:eastAsia="en-US"/>
              </w:rPr>
              <w:t>0.7</w:t>
            </w:r>
            <w:r w:rsidRPr="00F3411C" w:rsidR="009909A4">
              <w:rPr>
                <w:rFonts w:eastAsia="Times New Roman"/>
                <w:color w:val="000000"/>
                <w:lang w:eastAsia="en-US"/>
              </w:rPr>
              <w:t>0</w:t>
            </w:r>
          </w:p>
        </w:tc>
        <w:tc>
          <w:tcPr>
            <w:tcW w:w="1230"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3C9463EF" w14:textId="77777777">
            <w:pPr>
              <w:autoSpaceDE/>
              <w:autoSpaceDN/>
              <w:jc w:val="center"/>
              <w:rPr>
                <w:rFonts w:eastAsia="Times New Roman"/>
                <w:color w:val="000000"/>
                <w:lang w:eastAsia="en-US"/>
              </w:rPr>
            </w:pPr>
            <w:r w:rsidRPr="00F3411C">
              <w:rPr>
                <w:rFonts w:eastAsia="Times New Roman"/>
                <w:color w:val="000000"/>
                <w:lang w:eastAsia="en-US"/>
              </w:rPr>
              <w:t>0.17</w:t>
            </w:r>
          </w:p>
        </w:tc>
        <w:tc>
          <w:tcPr>
            <w:tcW w:w="1333" w:type="dxa"/>
            <w:tcBorders>
              <w:top w:val="nil"/>
              <w:left w:val="nil"/>
              <w:bottom w:val="single" w:color="auto" w:sz="8" w:space="0"/>
              <w:right w:val="single" w:color="auto" w:sz="4" w:space="0"/>
            </w:tcBorders>
            <w:shd w:val="clear" w:color="000000" w:fill="FFFFFF"/>
            <w:vAlign w:val="center"/>
            <w:hideMark/>
          </w:tcPr>
          <w:p w:rsidRPr="00F3411C" w:rsidR="00834094" w:rsidP="00834094" w:rsidRDefault="00834094" w14:paraId="23CAAE2E" w14:textId="77777777">
            <w:pPr>
              <w:autoSpaceDE/>
              <w:autoSpaceDN/>
              <w:jc w:val="center"/>
              <w:rPr>
                <w:rFonts w:eastAsia="Times New Roman"/>
                <w:color w:val="000000"/>
                <w:lang w:eastAsia="en-US"/>
              </w:rPr>
            </w:pPr>
            <w:r w:rsidRPr="00F3411C">
              <w:rPr>
                <w:rFonts w:eastAsia="Times New Roman"/>
                <w:color w:val="000000"/>
                <w:lang w:eastAsia="en-US"/>
              </w:rPr>
              <w:t xml:space="preserve">$88.16 </w:t>
            </w:r>
          </w:p>
        </w:tc>
      </w:tr>
      <w:tr w:rsidRPr="00F3411C" w:rsidR="00834094" w:rsidTr="00164DBB" w14:paraId="1795C894" w14:textId="77777777">
        <w:trPr>
          <w:trHeight w:val="590"/>
        </w:trPr>
        <w:tc>
          <w:tcPr>
            <w:tcW w:w="2891" w:type="dxa"/>
            <w:tcBorders>
              <w:top w:val="nil"/>
              <w:left w:val="single" w:color="auto" w:sz="4" w:space="0"/>
              <w:bottom w:val="single" w:color="auto" w:sz="8" w:space="0"/>
              <w:right w:val="single" w:color="auto" w:sz="4" w:space="0"/>
            </w:tcBorders>
            <w:shd w:val="clear" w:color="auto" w:fill="auto"/>
            <w:vAlign w:val="center"/>
            <w:hideMark/>
          </w:tcPr>
          <w:p w:rsidRPr="00F3411C" w:rsidR="00834094" w:rsidP="00834094" w:rsidRDefault="00834094" w14:paraId="690D1117" w14:textId="77777777">
            <w:pPr>
              <w:autoSpaceDE/>
              <w:autoSpaceDN/>
              <w:rPr>
                <w:rFonts w:eastAsia="Times New Roman"/>
                <w:color w:val="000000"/>
                <w:lang w:eastAsia="en-US"/>
              </w:rPr>
            </w:pPr>
            <w:r w:rsidRPr="00F3411C">
              <w:rPr>
                <w:rFonts w:eastAsia="Times New Roman"/>
                <w:color w:val="000000"/>
                <w:lang w:eastAsia="en-US"/>
              </w:rPr>
              <w:t>Information and Records (IR) Clerk</w:t>
            </w:r>
          </w:p>
        </w:tc>
        <w:tc>
          <w:tcPr>
            <w:tcW w:w="1205"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355585C9" w14:textId="77777777">
            <w:pPr>
              <w:autoSpaceDE/>
              <w:autoSpaceDN/>
              <w:jc w:val="center"/>
              <w:rPr>
                <w:rFonts w:eastAsia="Times New Roman"/>
                <w:color w:val="000000"/>
                <w:lang w:eastAsia="en-US"/>
              </w:rPr>
            </w:pPr>
            <w:r w:rsidRPr="00F3411C">
              <w:rPr>
                <w:rFonts w:eastAsia="Times New Roman"/>
                <w:color w:val="000000"/>
                <w:lang w:eastAsia="en-US"/>
              </w:rPr>
              <w:t>43-4000</w:t>
            </w:r>
          </w:p>
        </w:tc>
        <w:tc>
          <w:tcPr>
            <w:tcW w:w="1028"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2CFA2F1C" w14:textId="77777777">
            <w:pPr>
              <w:autoSpaceDE/>
              <w:autoSpaceDN/>
              <w:jc w:val="center"/>
              <w:rPr>
                <w:rFonts w:eastAsia="Times New Roman"/>
                <w:color w:val="000000"/>
                <w:lang w:eastAsia="en-US"/>
              </w:rPr>
            </w:pPr>
            <w:r w:rsidRPr="00F3411C">
              <w:rPr>
                <w:rFonts w:eastAsia="Times New Roman"/>
                <w:color w:val="000000"/>
                <w:lang w:eastAsia="en-US"/>
              </w:rPr>
              <w:t xml:space="preserve">$21.47 </w:t>
            </w:r>
          </w:p>
        </w:tc>
        <w:tc>
          <w:tcPr>
            <w:tcW w:w="1303"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14EE1CC4" w14:textId="29C90D99">
            <w:pPr>
              <w:autoSpaceDE/>
              <w:autoSpaceDN/>
              <w:jc w:val="center"/>
              <w:rPr>
                <w:rFonts w:eastAsia="Times New Roman"/>
                <w:color w:val="000000"/>
                <w:lang w:eastAsia="en-US"/>
              </w:rPr>
            </w:pPr>
            <w:r w:rsidRPr="00F3411C">
              <w:rPr>
                <w:rFonts w:eastAsia="Times New Roman"/>
                <w:color w:val="000000"/>
                <w:lang w:eastAsia="en-US"/>
              </w:rPr>
              <w:t>0.7</w:t>
            </w:r>
            <w:r w:rsidRPr="00F3411C" w:rsidR="009909A4">
              <w:rPr>
                <w:rFonts w:eastAsia="Times New Roman"/>
                <w:color w:val="000000"/>
                <w:lang w:eastAsia="en-US"/>
              </w:rPr>
              <w:t>0</w:t>
            </w:r>
          </w:p>
        </w:tc>
        <w:tc>
          <w:tcPr>
            <w:tcW w:w="1230" w:type="dxa"/>
            <w:tcBorders>
              <w:top w:val="nil"/>
              <w:left w:val="nil"/>
              <w:bottom w:val="single" w:color="auto" w:sz="8" w:space="0"/>
              <w:right w:val="single" w:color="auto" w:sz="4" w:space="0"/>
            </w:tcBorders>
            <w:shd w:val="clear" w:color="auto" w:fill="auto"/>
            <w:vAlign w:val="center"/>
            <w:hideMark/>
          </w:tcPr>
          <w:p w:rsidRPr="00F3411C" w:rsidR="00834094" w:rsidP="00834094" w:rsidRDefault="00834094" w14:paraId="0DD24BA5" w14:textId="77777777">
            <w:pPr>
              <w:autoSpaceDE/>
              <w:autoSpaceDN/>
              <w:jc w:val="center"/>
              <w:rPr>
                <w:rFonts w:eastAsia="Times New Roman"/>
                <w:color w:val="000000"/>
                <w:lang w:eastAsia="en-US"/>
              </w:rPr>
            </w:pPr>
            <w:r w:rsidRPr="00F3411C">
              <w:rPr>
                <w:rFonts w:eastAsia="Times New Roman"/>
                <w:color w:val="000000"/>
                <w:lang w:eastAsia="en-US"/>
              </w:rPr>
              <w:t>0.17</w:t>
            </w:r>
          </w:p>
        </w:tc>
        <w:tc>
          <w:tcPr>
            <w:tcW w:w="1333" w:type="dxa"/>
            <w:tcBorders>
              <w:top w:val="nil"/>
              <w:left w:val="nil"/>
              <w:bottom w:val="single" w:color="auto" w:sz="8" w:space="0"/>
              <w:right w:val="single" w:color="auto" w:sz="4" w:space="0"/>
            </w:tcBorders>
            <w:shd w:val="clear" w:color="000000" w:fill="FFFFFF"/>
            <w:vAlign w:val="center"/>
            <w:hideMark/>
          </w:tcPr>
          <w:p w:rsidRPr="00F3411C" w:rsidR="00834094" w:rsidP="00834094" w:rsidRDefault="00834094" w14:paraId="57ACB482" w14:textId="77777777">
            <w:pPr>
              <w:autoSpaceDE/>
              <w:autoSpaceDN/>
              <w:jc w:val="center"/>
              <w:rPr>
                <w:rFonts w:eastAsia="Times New Roman"/>
                <w:color w:val="000000"/>
                <w:lang w:eastAsia="en-US"/>
              </w:rPr>
            </w:pPr>
            <w:r w:rsidRPr="00F3411C">
              <w:rPr>
                <w:rFonts w:eastAsia="Times New Roman"/>
                <w:color w:val="000000"/>
                <w:lang w:eastAsia="en-US"/>
              </w:rPr>
              <w:t xml:space="preserve">$36.94 </w:t>
            </w:r>
          </w:p>
        </w:tc>
      </w:tr>
    </w:tbl>
    <w:p w:rsidRPr="00F3411C" w:rsidR="00CF445A" w:rsidRDefault="00CF445A" w14:paraId="6EFA1B48" w14:textId="77777777">
      <w:pPr>
        <w:tabs>
          <w:tab w:val="left" w:pos="-1440"/>
        </w:tabs>
        <w:rPr>
          <w:rFonts w:eastAsia="Arial Unicode MS"/>
          <w:color w:val="000000"/>
        </w:rPr>
      </w:pPr>
    </w:p>
    <w:p w:rsidRPr="00F3411C" w:rsidR="00375A1A" w:rsidRDefault="00B42B6B" w14:paraId="5D5C2FAD" w14:textId="17B93B39">
      <w:pPr>
        <w:tabs>
          <w:tab w:val="left" w:pos="-1440"/>
        </w:tabs>
        <w:rPr>
          <w:rStyle w:val="normaltextrun"/>
          <w:b/>
          <w:bCs/>
          <w:color w:val="000000"/>
          <w:shd w:val="clear" w:color="auto" w:fill="FFFFFF"/>
        </w:rPr>
      </w:pPr>
      <w:r w:rsidRPr="00F3411C">
        <w:rPr>
          <w:b/>
        </w:rPr>
        <w:t xml:space="preserve">§ 1910.501 </w:t>
      </w:r>
      <w:r w:rsidRPr="00F3411C">
        <w:rPr>
          <w:rStyle w:val="normaltextrun"/>
          <w:b/>
          <w:bCs/>
          <w:color w:val="000000"/>
          <w:shd w:val="clear" w:color="auto" w:fill="FFFFFF"/>
        </w:rPr>
        <w:t>Vaccination,</w:t>
      </w:r>
      <w:r w:rsidRPr="00F3411C" w:rsidR="0006094D">
        <w:rPr>
          <w:rStyle w:val="normaltextrun"/>
          <w:b/>
          <w:bCs/>
          <w:color w:val="000000"/>
          <w:shd w:val="clear" w:color="auto" w:fill="FFFFFF"/>
        </w:rPr>
        <w:t xml:space="preserve"> </w:t>
      </w:r>
      <w:r w:rsidRPr="00F3411C">
        <w:rPr>
          <w:rStyle w:val="normaltextrun"/>
          <w:b/>
          <w:bCs/>
          <w:color w:val="000000"/>
          <w:shd w:val="clear" w:color="auto" w:fill="FFFFFF"/>
        </w:rPr>
        <w:t>Testing, and Face Coverings.</w:t>
      </w:r>
    </w:p>
    <w:p w:rsidRPr="00F3411C" w:rsidR="00B42B6B" w:rsidRDefault="00B42B6B" w14:paraId="72EBF309" w14:textId="77777777">
      <w:pPr>
        <w:tabs>
          <w:tab w:val="left" w:pos="-1440"/>
        </w:tabs>
      </w:pPr>
    </w:p>
    <w:p w:rsidRPr="00F3411C" w:rsidR="00E12FA8" w:rsidP="00C44963" w:rsidRDefault="00E12FA8" w14:paraId="6C5D463E" w14:textId="53330566">
      <w:pPr>
        <w:outlineLvl w:val="4"/>
        <w:rPr>
          <w:b/>
        </w:rPr>
      </w:pPr>
      <w:r w:rsidRPr="00F3411C">
        <w:rPr>
          <w:b/>
        </w:rPr>
        <w:t>1. Employer</w:t>
      </w:r>
      <w:r w:rsidRPr="00F3411C" w:rsidR="009949D0">
        <w:rPr>
          <w:b/>
        </w:rPr>
        <w:t>s’ written</w:t>
      </w:r>
      <w:r w:rsidRPr="00F3411C">
        <w:rPr>
          <w:b/>
        </w:rPr>
        <w:t xml:space="preserve"> polic</w:t>
      </w:r>
      <w:r w:rsidRPr="00F3411C" w:rsidR="009949D0">
        <w:rPr>
          <w:b/>
        </w:rPr>
        <w:t>ies</w:t>
      </w:r>
      <w:r w:rsidRPr="00F3411C">
        <w:rPr>
          <w:b/>
        </w:rPr>
        <w:t xml:space="preserve"> on vaccination.</w:t>
      </w:r>
    </w:p>
    <w:p w:rsidRPr="00F3411C" w:rsidR="00E12FA8" w:rsidP="00C44963" w:rsidRDefault="00E12FA8" w14:paraId="24E84066" w14:textId="3C1A6A50">
      <w:pPr>
        <w:outlineLvl w:val="4"/>
        <w:rPr>
          <w:b/>
        </w:rPr>
      </w:pPr>
    </w:p>
    <w:p w:rsidRPr="00F3411C" w:rsidR="00E12FA8" w:rsidP="00C44963" w:rsidRDefault="00E12FA8" w14:paraId="0DC0AF88" w14:textId="74EA420D">
      <w:pPr>
        <w:outlineLvl w:val="4"/>
        <w:rPr>
          <w:b/>
        </w:rPr>
      </w:pPr>
      <w:r w:rsidRPr="00F3411C">
        <w:rPr>
          <w:i/>
        </w:rPr>
        <w:t>§ 1910.501(d)</w:t>
      </w:r>
      <w:r w:rsidRPr="00F3411C" w:rsidR="009949D0">
        <w:rPr>
          <w:i/>
        </w:rPr>
        <w:t>—Employer policy on vaccination.</w:t>
      </w:r>
    </w:p>
    <w:p w:rsidRPr="00F3411C" w:rsidR="00834094" w:rsidP="00E12FA8" w:rsidRDefault="00834094" w14:paraId="614DB0AD" w14:textId="77777777">
      <w:pPr>
        <w:outlineLvl w:val="4"/>
      </w:pPr>
    </w:p>
    <w:p w:rsidRPr="00F3411C" w:rsidR="00E12FA8" w:rsidP="00E12FA8" w:rsidRDefault="004A0ACF" w14:paraId="357525D0" w14:textId="7E68D6E4">
      <w:pPr>
        <w:outlineLvl w:val="4"/>
      </w:pPr>
      <w:r w:rsidRPr="00F3411C">
        <w:t>OSHA</w:t>
      </w:r>
      <w:r w:rsidRPr="00F3411C" w:rsidR="00B4545E">
        <w:t xml:space="preserve"> estimate</w:t>
      </w:r>
      <w:r w:rsidRPr="00F3411C">
        <w:t>s</w:t>
      </w:r>
      <w:r w:rsidRPr="00F3411C" w:rsidR="00B4545E">
        <w:t xml:space="preserve"> </w:t>
      </w:r>
      <w:r w:rsidRPr="00F3411C" w:rsidR="00F34F5E">
        <w:t>1,858,935</w:t>
      </w:r>
      <w:r w:rsidRPr="00F3411C" w:rsidR="00B4545E">
        <w:t xml:space="preserve"> </w:t>
      </w:r>
      <w:r w:rsidRPr="00F3411C">
        <w:t>covered</w:t>
      </w:r>
      <w:r w:rsidRPr="00F3411C" w:rsidR="00CD40DE">
        <w:t xml:space="preserve"> </w:t>
      </w:r>
      <w:r w:rsidRPr="00F3411C" w:rsidR="00B4545E">
        <w:t>employers</w:t>
      </w:r>
      <w:r w:rsidRPr="00F3411C" w:rsidR="00CD40DE">
        <w:t xml:space="preserve"> with </w:t>
      </w:r>
      <w:r w:rsidRPr="00F3411C" w:rsidR="00CE4667">
        <w:t>one hundred (</w:t>
      </w:r>
      <w:r w:rsidRPr="00F3411C" w:rsidR="00CD40DE">
        <w:t>100</w:t>
      </w:r>
      <w:r w:rsidRPr="00F3411C" w:rsidR="00CE4667">
        <w:t>)</w:t>
      </w:r>
      <w:r w:rsidRPr="00F3411C" w:rsidR="00CD40DE">
        <w:t xml:space="preserve"> or more employees will</w:t>
      </w:r>
      <w:r w:rsidRPr="00F3411C" w:rsidR="001816B6">
        <w:t xml:space="preserve"> need to establish written procedures and policies on how to mandate the</w:t>
      </w:r>
      <w:r w:rsidRPr="00F3411C" w:rsidR="00CD40DE">
        <w:t xml:space="preserve"> vaccines or testing </w:t>
      </w:r>
      <w:r w:rsidRPr="00F3411C">
        <w:t>for</w:t>
      </w:r>
      <w:r w:rsidRPr="00F3411C" w:rsidR="00CD40DE">
        <w:t xml:space="preserve"> their </w:t>
      </w:r>
      <w:r w:rsidRPr="00F3411C">
        <w:t xml:space="preserve">unvaccinated </w:t>
      </w:r>
      <w:r w:rsidRPr="00F3411C" w:rsidR="00CD40DE">
        <w:t>employees</w:t>
      </w:r>
      <w:r w:rsidRPr="00F3411C">
        <w:t xml:space="preserve"> who are working on site with other employees</w:t>
      </w:r>
      <w:r w:rsidRPr="00F3411C" w:rsidR="00CD40DE">
        <w:t>.</w:t>
      </w:r>
      <w:r w:rsidRPr="00F3411C" w:rsidR="001816B6">
        <w:t xml:space="preserve"> </w:t>
      </w:r>
      <w:r w:rsidRPr="00F3411C" w:rsidR="00CE4667">
        <w:t>OSHA a</w:t>
      </w:r>
      <w:r w:rsidRPr="00F3411C" w:rsidR="001816B6">
        <w:t>ssum</w:t>
      </w:r>
      <w:r w:rsidRPr="00F3411C" w:rsidR="00CE4667">
        <w:t>es</w:t>
      </w:r>
      <w:r w:rsidRPr="00F3411C" w:rsidR="001816B6">
        <w:t xml:space="preserve"> </w:t>
      </w:r>
      <w:r w:rsidRPr="00F3411C" w:rsidR="00CE4667">
        <w:t xml:space="preserve">that </w:t>
      </w:r>
      <w:r w:rsidRPr="00F3411C" w:rsidR="001816B6">
        <w:t>a</w:t>
      </w:r>
      <w:r w:rsidRPr="00F3411C">
        <w:t xml:space="preserve"> </w:t>
      </w:r>
      <w:r w:rsidRPr="00F3411C" w:rsidR="00457342">
        <w:t>GO</w:t>
      </w:r>
      <w:r w:rsidRPr="00F3411C" w:rsidR="001816B6">
        <w:t xml:space="preserve"> manager </w:t>
      </w:r>
      <w:r w:rsidRPr="00F3411C" w:rsidR="0048778F">
        <w:t xml:space="preserve">will </w:t>
      </w:r>
      <w:r w:rsidRPr="00F3411C" w:rsidR="001816B6">
        <w:t xml:space="preserve">labor </w:t>
      </w:r>
      <w:r w:rsidRPr="00F3411C" w:rsidR="00CE4667">
        <w:t>an</w:t>
      </w:r>
      <w:r w:rsidRPr="00F3411C" w:rsidR="001816B6">
        <w:t xml:space="preserve"> average </w:t>
      </w:r>
      <w:r w:rsidRPr="00F3411C">
        <w:t xml:space="preserve">of </w:t>
      </w:r>
      <w:r w:rsidRPr="00F3411C" w:rsidR="00CE4667">
        <w:t>five (</w:t>
      </w:r>
      <w:r w:rsidRPr="00F3411C" w:rsidR="001816B6">
        <w:t>5</w:t>
      </w:r>
      <w:r w:rsidRPr="00F3411C" w:rsidR="00CE4667">
        <w:t>)</w:t>
      </w:r>
      <w:r w:rsidRPr="00F3411C" w:rsidR="001816B6">
        <w:t xml:space="preserve"> hour</w:t>
      </w:r>
      <w:r w:rsidRPr="00F3411C" w:rsidR="00834094">
        <w:t xml:space="preserve">s to write and </w:t>
      </w:r>
      <w:r w:rsidRPr="00F3411C" w:rsidR="0048778F">
        <w:t>implement</w:t>
      </w:r>
      <w:r w:rsidRPr="00F3411C" w:rsidR="00834094">
        <w:t xml:space="preserve"> these pr</w:t>
      </w:r>
      <w:r w:rsidRPr="00F3411C" w:rsidR="00175C21">
        <w:t>o</w:t>
      </w:r>
      <w:r w:rsidRPr="00F3411C" w:rsidR="00834094">
        <w:t>cedures and policies making $88.16 an hour.</w:t>
      </w:r>
      <w:r w:rsidRPr="00F3411C" w:rsidR="007C5A2C">
        <w:t xml:space="preserve"> </w:t>
      </w:r>
    </w:p>
    <w:p w:rsidRPr="00F3411C" w:rsidR="00834094" w:rsidP="00E12FA8" w:rsidRDefault="00834094" w14:paraId="07F15D8A" w14:textId="56B2F571">
      <w:pPr>
        <w:outlineLvl w:val="4"/>
      </w:pPr>
    </w:p>
    <w:p w:rsidRPr="00F3411C" w:rsidR="00834094" w:rsidP="00052053" w:rsidRDefault="00834094" w14:paraId="2A7ECED6" w14:textId="7592EB82">
      <w:pPr>
        <w:ind w:firstLine="720"/>
        <w:outlineLvl w:val="4"/>
      </w:pPr>
      <w:r w:rsidRPr="00F3411C">
        <w:rPr>
          <w:b/>
        </w:rPr>
        <w:t>Burden hours</w:t>
      </w:r>
      <w:r w:rsidRPr="00F3411C">
        <w:t xml:space="preserve">: </w:t>
      </w:r>
      <w:r w:rsidRPr="00F3411C" w:rsidR="00F34F5E">
        <w:t>1,858,935</w:t>
      </w:r>
      <w:r w:rsidRPr="00F3411C" w:rsidR="00D42F1A">
        <w:t>.00</w:t>
      </w:r>
      <w:r w:rsidRPr="00F3411C">
        <w:t xml:space="preserve"> employers </w:t>
      </w:r>
      <w:r w:rsidRPr="00F3411C" w:rsidR="007C5A2C">
        <w:t>x</w:t>
      </w:r>
      <w:r w:rsidRPr="00F3411C">
        <w:t xml:space="preserve"> 5</w:t>
      </w:r>
      <w:r w:rsidRPr="00F3411C" w:rsidR="00D42F1A">
        <w:t>.00</w:t>
      </w:r>
      <w:r w:rsidRPr="00F3411C">
        <w:t xml:space="preserve"> hours = </w:t>
      </w:r>
      <w:r w:rsidRPr="00F3411C" w:rsidR="004931DC">
        <w:t>9,</w:t>
      </w:r>
      <w:r w:rsidRPr="00F3411C" w:rsidR="00107626">
        <w:t>294,675</w:t>
      </w:r>
      <w:r w:rsidRPr="00F3411C" w:rsidR="00D2612B">
        <w:t>.00</w:t>
      </w:r>
      <w:r w:rsidRPr="00F3411C" w:rsidR="007C5A2C">
        <w:t xml:space="preserve"> </w:t>
      </w:r>
      <w:r w:rsidRPr="00F3411C" w:rsidR="00300FAF">
        <w:t>hours</w:t>
      </w:r>
    </w:p>
    <w:p w:rsidRPr="00F3411C" w:rsidR="004931DC" w:rsidP="00052053" w:rsidRDefault="004931DC" w14:paraId="50F5742E" w14:textId="77777777">
      <w:pPr>
        <w:ind w:firstLine="720"/>
        <w:outlineLvl w:val="4"/>
      </w:pPr>
    </w:p>
    <w:p w:rsidRPr="00F3411C" w:rsidR="004931DC" w:rsidP="00F3411C" w:rsidRDefault="00834094" w14:paraId="544412CD" w14:textId="67ED491B">
      <w:pPr>
        <w:ind w:left="720"/>
        <w:outlineLvl w:val="4"/>
      </w:pPr>
      <w:r w:rsidRPr="00F3411C">
        <w:rPr>
          <w:b/>
        </w:rPr>
        <w:t>Cost</w:t>
      </w:r>
      <w:r w:rsidRPr="00F3411C">
        <w:t>:</w:t>
      </w:r>
      <w:r w:rsidRPr="00F3411C" w:rsidR="00300FAF">
        <w:tab/>
      </w:r>
      <w:r w:rsidRPr="00F3411C" w:rsidR="00300FAF">
        <w:tab/>
        <w:t xml:space="preserve">  </w:t>
      </w:r>
      <w:r w:rsidRPr="00F3411C" w:rsidR="004931DC">
        <w:t>9,</w:t>
      </w:r>
      <w:r w:rsidRPr="00F3411C" w:rsidR="00107626">
        <w:t>294,675</w:t>
      </w:r>
      <w:r w:rsidRPr="00F3411C" w:rsidR="00CE4667">
        <w:t>.00</w:t>
      </w:r>
      <w:r w:rsidRPr="00F3411C" w:rsidR="00300FAF">
        <w:t xml:space="preserve"> hours x $88.16</w:t>
      </w:r>
      <w:r w:rsidRPr="00F3411C" w:rsidR="001F7DF2">
        <w:t xml:space="preserve"> (</w:t>
      </w:r>
      <w:r w:rsidRPr="00F3411C" w:rsidR="00CE19C2">
        <w:t>G</w:t>
      </w:r>
      <w:r w:rsidRPr="00F3411C" w:rsidR="00457342">
        <w:t>O</w:t>
      </w:r>
      <w:r w:rsidRPr="00F3411C" w:rsidR="00CE19C2">
        <w:t xml:space="preserve"> manager)</w:t>
      </w:r>
      <w:r w:rsidRPr="00F3411C" w:rsidR="00300FAF">
        <w:t xml:space="preserve"> = $</w:t>
      </w:r>
      <w:r w:rsidRPr="00F3411C" w:rsidR="007745FD">
        <w:t>819,418,548</w:t>
      </w:r>
      <w:r w:rsidRPr="00F3411C" w:rsidR="00565C41">
        <w:t>.00</w:t>
      </w:r>
    </w:p>
    <w:p w:rsidRPr="00F3411C" w:rsidR="00F24224" w:rsidP="00052053" w:rsidRDefault="00F24224" w14:paraId="50021AC9" w14:textId="77777777">
      <w:pPr>
        <w:ind w:left="720"/>
        <w:outlineLvl w:val="4"/>
        <w:rPr>
          <w:rFonts w:eastAsia="Arial Unicode MS"/>
          <w:b/>
          <w:color w:val="000000"/>
        </w:rPr>
      </w:pPr>
    </w:p>
    <w:p w:rsidRPr="00F3411C" w:rsidR="00E12FA8" w:rsidP="00E12FA8" w:rsidRDefault="00E12FA8" w14:paraId="11F83A2E" w14:textId="681B1464">
      <w:pPr>
        <w:rPr>
          <w:color w:val="000000" w:themeColor="text1"/>
        </w:rPr>
      </w:pPr>
      <w:r w:rsidRPr="00F3411C">
        <w:rPr>
          <w:b/>
        </w:rPr>
        <w:t>2. Determination of employee vaccination status.</w:t>
      </w:r>
    </w:p>
    <w:p w:rsidRPr="00F3411C" w:rsidR="00E12FA8" w:rsidP="00E12FA8" w:rsidRDefault="00E12FA8" w14:paraId="1BC732D4" w14:textId="027D683A">
      <w:pPr>
        <w:rPr>
          <w:color w:val="000000" w:themeColor="text1"/>
        </w:rPr>
      </w:pPr>
    </w:p>
    <w:p w:rsidRPr="00F3411C" w:rsidR="00E12FA8" w:rsidP="00C44963" w:rsidRDefault="00E12FA8" w14:paraId="7ADCB293" w14:textId="40EE1926">
      <w:pPr>
        <w:rPr>
          <w:rFonts w:eastAsia="Arial Unicode MS"/>
          <w:bCs/>
          <w:i/>
          <w:iCs/>
          <w:color w:val="000000"/>
        </w:rPr>
      </w:pPr>
      <w:r w:rsidRPr="00F3411C">
        <w:rPr>
          <w:rFonts w:eastAsia="Arial Unicode MS"/>
          <w:bCs/>
          <w:i/>
          <w:iCs/>
          <w:color w:val="000000"/>
        </w:rPr>
        <w:t>§ 1910.501(e)(2)</w:t>
      </w:r>
      <w:r w:rsidRPr="00F3411C" w:rsidR="00A57366">
        <w:rPr>
          <w:rFonts w:eastAsia="Arial Unicode MS"/>
          <w:bCs/>
          <w:i/>
          <w:iCs/>
          <w:color w:val="000000"/>
        </w:rPr>
        <w:t>—Employee submission of vaccine status documentation.</w:t>
      </w:r>
    </w:p>
    <w:p w:rsidRPr="00F3411C" w:rsidR="005F2373" w:rsidP="00C44963" w:rsidRDefault="005F2373" w14:paraId="0947A571" w14:textId="77777777">
      <w:pPr>
        <w:rPr>
          <w:bCs/>
          <w:i/>
          <w:iCs/>
        </w:rPr>
      </w:pPr>
    </w:p>
    <w:p w:rsidRPr="00F3411C" w:rsidR="00C75B23" w:rsidP="00E12FA8" w:rsidRDefault="00C75B23" w14:paraId="749DD831" w14:textId="11F5957C">
      <w:r w:rsidRPr="00F3411C">
        <w:t>The employer must require each vaccinated employee to provide acceptable proof of vaccination status, including whether they are fully or partially vaccinated</w:t>
      </w:r>
      <w:r w:rsidRPr="00F3411C" w:rsidR="005149DA">
        <w:t xml:space="preserve">. </w:t>
      </w:r>
      <w:r w:rsidRPr="00F3411C">
        <w:t xml:space="preserve">Acceptable proof of vaccination status is immunization </w:t>
      </w:r>
      <w:r w:rsidRPr="00F3411C" w:rsidR="005149DA">
        <w:t>records,</w:t>
      </w:r>
      <w:r w:rsidRPr="00F3411C">
        <w:t xml:space="preserve"> COVID-19 Vaccination Record card</w:t>
      </w:r>
      <w:r w:rsidRPr="00F3411C" w:rsidR="005149DA">
        <w:t>, or</w:t>
      </w:r>
      <w:r w:rsidRPr="00F3411C">
        <w:t xml:space="preserve"> medical records documenting the vaccination</w:t>
      </w:r>
      <w:r w:rsidRPr="00F3411C" w:rsidR="005149DA">
        <w:t>. If the employee is unable to produce proof of vaccination</w:t>
      </w:r>
      <w:r w:rsidRPr="00F3411C" w:rsidR="002E44D1">
        <w:t>,</w:t>
      </w:r>
      <w:r w:rsidRPr="00F3411C" w:rsidR="005149DA">
        <w:t xml:space="preserve"> the employee must </w:t>
      </w:r>
      <w:r w:rsidRPr="00F3411C">
        <w:t>sign and date</w:t>
      </w:r>
      <w:r w:rsidRPr="00F3411C" w:rsidR="005149DA">
        <w:t xml:space="preserve"> a</w:t>
      </w:r>
      <w:r w:rsidRPr="00F3411C">
        <w:t xml:space="preserve"> statement</w:t>
      </w:r>
      <w:r w:rsidRPr="00F3411C" w:rsidR="005149DA">
        <w:t xml:space="preserve"> attesting to</w:t>
      </w:r>
      <w:r w:rsidRPr="00F3411C">
        <w:t xml:space="preserve"> their vaccination status</w:t>
      </w:r>
      <w:r w:rsidRPr="00F3411C" w:rsidR="00CE4667">
        <w:t>,</w:t>
      </w:r>
      <w:r w:rsidRPr="00F3411C" w:rsidR="005149DA">
        <w:t xml:space="preserve"> </w:t>
      </w:r>
      <w:r w:rsidRPr="00F3411C" w:rsidR="000B6A30">
        <w:t xml:space="preserve">which </w:t>
      </w:r>
      <w:r w:rsidRPr="00F3411C">
        <w:t>includ</w:t>
      </w:r>
      <w:r w:rsidRPr="00F3411C" w:rsidR="000B6A30">
        <w:t>es a statement of</w:t>
      </w:r>
      <w:r w:rsidRPr="00F3411C">
        <w:t xml:space="preserve"> </w:t>
      </w:r>
      <w:r w:rsidRPr="00F3411C" w:rsidR="00CE4667">
        <w:t xml:space="preserve">the </w:t>
      </w:r>
      <w:r w:rsidRPr="00F3411C">
        <w:t>following language: “I declare (or certify, verify, or state) that this statement about my vaccination status is true and accurate. I understand that knowingly providing false information regarding my vaccination status on this form may subject me to criminal penalties.”</w:t>
      </w:r>
    </w:p>
    <w:p w:rsidRPr="00F3411C" w:rsidR="00F3438D" w:rsidP="00E12FA8" w:rsidRDefault="00F3438D" w14:paraId="6226A567" w14:textId="43138573"/>
    <w:p w:rsidRPr="00F3411C" w:rsidR="00D82BD1" w:rsidP="00E12FA8" w:rsidRDefault="00CE4667" w14:paraId="5ABCC868" w14:textId="1A505882">
      <w:r w:rsidRPr="00F3411C">
        <w:t xml:space="preserve">The Agency estimates that of the 84,194,885 covered employees, sixty </w:t>
      </w:r>
      <w:r w:rsidRPr="00F3411C" w:rsidR="004D36AA">
        <w:t xml:space="preserve">(60) </w:t>
      </w:r>
      <w:r w:rsidRPr="00F3411C">
        <w:t xml:space="preserve">percent work for employers that have already required the employee to provide their vaccination status. </w:t>
      </w:r>
      <w:r w:rsidRPr="00F3411C" w:rsidR="00D42F1A">
        <w:t>Thus, f</w:t>
      </w:r>
      <w:r w:rsidRPr="00F3411C">
        <w:t xml:space="preserve">orty </w:t>
      </w:r>
      <w:r w:rsidRPr="00F3411C" w:rsidR="004D36AA">
        <w:t xml:space="preserve">(40) </w:t>
      </w:r>
      <w:r w:rsidRPr="00F3411C">
        <w:t xml:space="preserve">percent of </w:t>
      </w:r>
      <w:r w:rsidRPr="00F3411C" w:rsidR="00D42F1A">
        <w:t xml:space="preserve">covered </w:t>
      </w:r>
      <w:r w:rsidRPr="00F3411C">
        <w:t xml:space="preserve">employees will need to provide their vaccination status to their employer. The Agency estimates that 33,677,954 employees will need to show proof of vaccination once the ETS takes effect (84,194,885 x 0.40 = 33,677,954).  </w:t>
      </w:r>
    </w:p>
    <w:p w:rsidRPr="00F3411C" w:rsidR="006B6F00" w:rsidP="006B6F00" w:rsidRDefault="006B6F00" w14:paraId="4E6B4200" w14:textId="606305EC">
      <w:r w:rsidRPr="00F3411C">
        <w:t xml:space="preserve">OSHA </w:t>
      </w:r>
      <w:r w:rsidRPr="00F3411C" w:rsidR="006017C2">
        <w:t xml:space="preserve">expects a general worker making </w:t>
      </w:r>
      <w:r w:rsidRPr="00F3411C" w:rsidR="00B03B08">
        <w:t xml:space="preserve">$35.60 an hour </w:t>
      </w:r>
      <w:r w:rsidRPr="00F3411C" w:rsidR="006017C2">
        <w:t xml:space="preserve">will need about </w:t>
      </w:r>
      <w:r w:rsidRPr="00F3411C" w:rsidR="00D42F1A">
        <w:t>fifteen (</w:t>
      </w:r>
      <w:r w:rsidRPr="00F3411C" w:rsidR="006017C2">
        <w:t>15</w:t>
      </w:r>
      <w:r w:rsidRPr="00F3411C" w:rsidR="00D42F1A">
        <w:t>)</w:t>
      </w:r>
      <w:r w:rsidRPr="00F3411C" w:rsidR="006017C2">
        <w:t xml:space="preserve"> minutes </w:t>
      </w:r>
      <w:r w:rsidRPr="00F3411C" w:rsidR="00B03B08">
        <w:t xml:space="preserve">(0.25 hours) </w:t>
      </w:r>
      <w:r w:rsidRPr="00F3411C" w:rsidR="006017C2">
        <w:t>to provide the necessary information on their vaccination status.</w:t>
      </w:r>
      <w:r w:rsidRPr="00F3411C" w:rsidR="00D42F1A">
        <w:t xml:space="preserve"> OSHA</w:t>
      </w:r>
      <w:r w:rsidRPr="00F3411C" w:rsidR="006017C2">
        <w:t xml:space="preserve"> does not believe the method of </w:t>
      </w:r>
      <w:r w:rsidRPr="00F3411C" w:rsidR="00D42F1A">
        <w:t>proof (e.g., CDC card, affidavit)</w:t>
      </w:r>
      <w:r w:rsidRPr="00F3411C" w:rsidR="006017C2">
        <w:t xml:space="preserve"> will materially affect the time burden</w:t>
      </w:r>
      <w:r w:rsidRPr="00F3411C">
        <w:t xml:space="preserve">. </w:t>
      </w:r>
    </w:p>
    <w:p w:rsidRPr="00F3411C" w:rsidR="00B03B08" w:rsidP="006B6F00" w:rsidRDefault="00B03B08" w14:paraId="716ED53C" w14:textId="43F75E2D"/>
    <w:p w:rsidRPr="00F3411C" w:rsidR="00B03B08" w:rsidP="00B03B08" w:rsidRDefault="00B03B08" w14:paraId="0344C2B9" w14:textId="3043416B">
      <w:pPr>
        <w:ind w:left="720"/>
        <w:outlineLvl w:val="4"/>
      </w:pPr>
      <w:r w:rsidRPr="00F3411C">
        <w:rPr>
          <w:b/>
        </w:rPr>
        <w:t>Burden hours</w:t>
      </w:r>
      <w:r w:rsidRPr="00F3411C">
        <w:t xml:space="preserve">: </w:t>
      </w:r>
      <w:r w:rsidRPr="00F3411C" w:rsidR="00D42F1A">
        <w:t>33,677,954.00</w:t>
      </w:r>
      <w:r w:rsidRPr="00F3411C">
        <w:t xml:space="preserve"> responses x 0.25 hours = </w:t>
      </w:r>
      <w:r w:rsidRPr="00F3411C" w:rsidR="00D42F1A">
        <w:t>8,419,488.50</w:t>
      </w:r>
      <w:r w:rsidRPr="00F3411C">
        <w:t xml:space="preserve"> hours</w:t>
      </w:r>
    </w:p>
    <w:p w:rsidRPr="00F3411C" w:rsidR="00B03B08" w:rsidP="00B03B08" w:rsidRDefault="00B03B08" w14:paraId="7FEEEC60" w14:textId="77777777">
      <w:pPr>
        <w:ind w:left="720"/>
        <w:outlineLvl w:val="4"/>
      </w:pPr>
    </w:p>
    <w:p w:rsidRPr="00F3411C" w:rsidR="00B03B08" w:rsidP="00B03B08" w:rsidRDefault="00B03B08" w14:paraId="03E4B619" w14:textId="0428E330">
      <w:pPr>
        <w:ind w:firstLine="720"/>
      </w:pPr>
      <w:r w:rsidRPr="00F3411C">
        <w:rPr>
          <w:b/>
        </w:rPr>
        <w:t>Cost</w:t>
      </w:r>
      <w:r w:rsidRPr="00F3411C">
        <w:t>:</w:t>
      </w:r>
      <w:r w:rsidRPr="00F3411C">
        <w:tab/>
      </w:r>
      <w:r w:rsidRPr="00F3411C">
        <w:tab/>
        <w:t xml:space="preserve">  </w:t>
      </w:r>
      <w:r w:rsidRPr="00F3411C" w:rsidR="00D42F1A">
        <w:t>8,419,488.50</w:t>
      </w:r>
      <w:r w:rsidRPr="00F3411C">
        <w:t xml:space="preserve"> hours x $35.60 (</w:t>
      </w:r>
      <w:r w:rsidRPr="00F3411C" w:rsidR="00D42F1A">
        <w:t>g</w:t>
      </w:r>
      <w:r w:rsidRPr="00F3411C">
        <w:t>eneral worker) = $</w:t>
      </w:r>
      <w:r w:rsidRPr="00F3411C" w:rsidR="00D42F1A">
        <w:t>299,733,791.00</w:t>
      </w:r>
    </w:p>
    <w:p w:rsidRPr="00F3411C" w:rsidR="007C5A2C" w:rsidP="00E12FA8" w:rsidRDefault="007C5A2C" w14:paraId="6A74C818" w14:textId="77777777"/>
    <w:p w:rsidRPr="00F3411C" w:rsidR="00C3554F" w:rsidP="00C3554F" w:rsidRDefault="00C3554F" w14:paraId="6D52AA9D" w14:textId="0BDD5606">
      <w:pPr>
        <w:rPr>
          <w:bCs/>
          <w:i/>
          <w:iCs/>
        </w:rPr>
      </w:pPr>
      <w:r w:rsidRPr="00F3411C">
        <w:rPr>
          <w:rFonts w:eastAsia="Arial Unicode MS"/>
          <w:bCs/>
          <w:i/>
          <w:iCs/>
          <w:color w:val="000000"/>
        </w:rPr>
        <w:t>§ 1910.501(e)(4)</w:t>
      </w:r>
      <w:r w:rsidRPr="00F3411C" w:rsidR="00A57366">
        <w:rPr>
          <w:rFonts w:eastAsia="Arial Unicode MS"/>
          <w:bCs/>
          <w:i/>
          <w:iCs/>
          <w:color w:val="000000"/>
        </w:rPr>
        <w:t>—</w:t>
      </w:r>
      <w:r w:rsidRPr="00F3411C" w:rsidR="00EA0A4C">
        <w:rPr>
          <w:rFonts w:eastAsia="Arial Unicode MS"/>
          <w:bCs/>
          <w:i/>
          <w:iCs/>
          <w:color w:val="000000"/>
        </w:rPr>
        <w:t>E</w:t>
      </w:r>
      <w:r w:rsidRPr="00F3411C" w:rsidR="00A57366">
        <w:rPr>
          <w:rFonts w:eastAsia="Arial Unicode MS"/>
          <w:bCs/>
          <w:i/>
          <w:iCs/>
          <w:color w:val="000000"/>
        </w:rPr>
        <w:t xml:space="preserve">mployer </w:t>
      </w:r>
      <w:r w:rsidRPr="00F3411C" w:rsidR="00C82BF0">
        <w:rPr>
          <w:rFonts w:eastAsia="Arial Unicode MS"/>
          <w:bCs/>
          <w:i/>
          <w:iCs/>
          <w:color w:val="000000"/>
        </w:rPr>
        <w:t>record</w:t>
      </w:r>
      <w:r w:rsidRPr="00F3411C" w:rsidR="002E6E90">
        <w:rPr>
          <w:rFonts w:eastAsia="Arial Unicode MS"/>
          <w:bCs/>
          <w:i/>
          <w:iCs/>
          <w:color w:val="000000"/>
        </w:rPr>
        <w:t>ing</w:t>
      </w:r>
      <w:r w:rsidRPr="00F3411C" w:rsidR="00EA0A4C">
        <w:rPr>
          <w:rFonts w:eastAsia="Arial Unicode MS"/>
          <w:bCs/>
          <w:i/>
          <w:iCs/>
          <w:color w:val="000000"/>
        </w:rPr>
        <w:t xml:space="preserve"> and </w:t>
      </w:r>
      <w:r w:rsidRPr="00F3411C" w:rsidR="00C82BF0">
        <w:rPr>
          <w:rFonts w:eastAsia="Arial Unicode MS"/>
          <w:bCs/>
          <w:i/>
          <w:iCs/>
          <w:color w:val="000000"/>
        </w:rPr>
        <w:t>maintain</w:t>
      </w:r>
      <w:r w:rsidRPr="00F3411C" w:rsidR="002E6E90">
        <w:rPr>
          <w:rFonts w:eastAsia="Arial Unicode MS"/>
          <w:bCs/>
          <w:i/>
          <w:iCs/>
          <w:color w:val="000000"/>
        </w:rPr>
        <w:t>ing</w:t>
      </w:r>
      <w:r w:rsidRPr="00F3411C" w:rsidR="00EA0A4C">
        <w:rPr>
          <w:rFonts w:eastAsia="Arial Unicode MS"/>
          <w:bCs/>
          <w:i/>
          <w:iCs/>
          <w:color w:val="000000"/>
        </w:rPr>
        <w:t xml:space="preserve"> </w:t>
      </w:r>
      <w:r w:rsidRPr="00F3411C" w:rsidR="002E6E90">
        <w:rPr>
          <w:rFonts w:eastAsia="Arial Unicode MS"/>
          <w:bCs/>
          <w:i/>
          <w:iCs/>
          <w:color w:val="000000"/>
        </w:rPr>
        <w:t xml:space="preserve">vaccination </w:t>
      </w:r>
      <w:r w:rsidRPr="00F3411C" w:rsidR="00C82BF0">
        <w:rPr>
          <w:rFonts w:eastAsia="Arial Unicode MS"/>
          <w:bCs/>
          <w:i/>
          <w:iCs/>
          <w:color w:val="000000"/>
        </w:rPr>
        <w:t>records</w:t>
      </w:r>
      <w:r w:rsidRPr="00F3411C" w:rsidR="00A57366">
        <w:rPr>
          <w:rFonts w:eastAsia="Arial Unicode MS"/>
          <w:bCs/>
          <w:i/>
          <w:iCs/>
          <w:color w:val="000000"/>
        </w:rPr>
        <w:t>.</w:t>
      </w:r>
    </w:p>
    <w:p w:rsidRPr="00F3411C" w:rsidR="00E12FA8" w:rsidP="00E12FA8" w:rsidRDefault="00E12FA8" w14:paraId="26DD1343" w14:textId="164AC3CA">
      <w:pPr>
        <w:rPr>
          <w:rFonts w:eastAsia="Arial Unicode MS"/>
          <w:b/>
          <w:iCs/>
          <w:color w:val="000000"/>
          <w:u w:val="single"/>
        </w:rPr>
      </w:pPr>
    </w:p>
    <w:p w:rsidRPr="00F3411C" w:rsidR="004F7603" w:rsidP="00052053" w:rsidRDefault="004F7603" w14:paraId="7F32A787" w14:textId="26B58A3D">
      <w:r w:rsidRPr="00F3411C">
        <w:rPr>
          <w:lang w:val="x-none"/>
        </w:rPr>
        <w:t xml:space="preserve">OSHA </w:t>
      </w:r>
      <w:r w:rsidRPr="00F3411C" w:rsidR="00105C9E">
        <w:t>is</w:t>
      </w:r>
      <w:r w:rsidRPr="00F3411C">
        <w:t xml:space="preserve"> </w:t>
      </w:r>
      <w:r w:rsidRPr="00F3411C" w:rsidR="00105C9E">
        <w:t>a</w:t>
      </w:r>
      <w:r w:rsidRPr="00F3411C">
        <w:t>ssuming a</w:t>
      </w:r>
      <w:r w:rsidRPr="00F3411C" w:rsidR="000C38C5">
        <w:t>n</w:t>
      </w:r>
      <w:r w:rsidRPr="00F3411C">
        <w:t xml:space="preserve"> </w:t>
      </w:r>
      <w:r w:rsidRPr="00F3411C" w:rsidR="00B244DF">
        <w:t>IR</w:t>
      </w:r>
      <w:r w:rsidRPr="00F3411C" w:rsidR="001758FF">
        <w:t xml:space="preserve"> clerk</w:t>
      </w:r>
      <w:r w:rsidRPr="00F3411C">
        <w:t xml:space="preserve"> making $</w:t>
      </w:r>
      <w:r w:rsidRPr="00F3411C" w:rsidR="001758FF">
        <w:t>36.94</w:t>
      </w:r>
      <w:r w:rsidRPr="00F3411C">
        <w:t xml:space="preserve"> an hour will </w:t>
      </w:r>
      <w:r w:rsidRPr="00F3411C" w:rsidR="001758FF">
        <w:t xml:space="preserve">take </w:t>
      </w:r>
      <w:r w:rsidRPr="00F3411C" w:rsidR="00D42F1A">
        <w:t>five (</w:t>
      </w:r>
      <w:r w:rsidRPr="00F3411C" w:rsidR="00A73F60">
        <w:t>5</w:t>
      </w:r>
      <w:r w:rsidRPr="00F3411C" w:rsidR="00D42F1A">
        <w:t>)</w:t>
      </w:r>
      <w:r w:rsidRPr="00F3411C" w:rsidR="001758FF">
        <w:t xml:space="preserve"> minutes (0.0</w:t>
      </w:r>
      <w:r w:rsidRPr="00F3411C" w:rsidR="00A73F60">
        <w:t xml:space="preserve">8 </w:t>
      </w:r>
      <w:r w:rsidRPr="00F3411C" w:rsidR="000C38C5">
        <w:t>hours</w:t>
      </w:r>
      <w:r w:rsidRPr="00F3411C" w:rsidR="001758FF">
        <w:t>) to record and maintain</w:t>
      </w:r>
      <w:r w:rsidRPr="00F3411C">
        <w:t xml:space="preserve"> each employee’s vaccination status. </w:t>
      </w:r>
    </w:p>
    <w:p w:rsidRPr="00F3411C" w:rsidR="004F7603" w:rsidP="00E12FA8" w:rsidRDefault="004F7603" w14:paraId="4D45E54A" w14:textId="77777777">
      <w:pPr>
        <w:rPr>
          <w:rFonts w:eastAsia="Arial Unicode MS"/>
          <w:b/>
          <w:iCs/>
          <w:color w:val="000000"/>
          <w:u w:val="single"/>
        </w:rPr>
      </w:pPr>
    </w:p>
    <w:p w:rsidRPr="00F3411C" w:rsidR="004F7603" w:rsidP="00052053" w:rsidRDefault="004F7603" w14:paraId="30EFA5C1" w14:textId="15811497">
      <w:pPr>
        <w:ind w:left="720"/>
        <w:outlineLvl w:val="4"/>
      </w:pPr>
      <w:r w:rsidRPr="00F3411C">
        <w:rPr>
          <w:b/>
        </w:rPr>
        <w:t>Burden hours</w:t>
      </w:r>
      <w:r w:rsidRPr="00F3411C">
        <w:t xml:space="preserve">: </w:t>
      </w:r>
      <w:r w:rsidRPr="00F3411C" w:rsidR="007F1671">
        <w:t>3</w:t>
      </w:r>
      <w:r w:rsidRPr="00F3411C" w:rsidR="000E35E4">
        <w:t>3,</w:t>
      </w:r>
      <w:r w:rsidRPr="00F3411C" w:rsidR="007F1671">
        <w:t>677,954.00</w:t>
      </w:r>
      <w:r w:rsidRPr="00F3411C" w:rsidR="000E35E4">
        <w:t xml:space="preserve"> responses</w:t>
      </w:r>
      <w:r w:rsidRPr="00F3411C">
        <w:t xml:space="preserve"> x 0.0</w:t>
      </w:r>
      <w:r w:rsidRPr="00F3411C" w:rsidR="00A73F60">
        <w:t>8</w:t>
      </w:r>
      <w:r w:rsidRPr="00F3411C">
        <w:t xml:space="preserve"> hours = </w:t>
      </w:r>
      <w:r w:rsidRPr="00F3411C" w:rsidR="007F1671">
        <w:t>2,694,236.32</w:t>
      </w:r>
      <w:r w:rsidRPr="00F3411C">
        <w:t xml:space="preserve"> hours</w:t>
      </w:r>
    </w:p>
    <w:p w:rsidRPr="00F3411C" w:rsidR="00E94BD3" w:rsidP="00052053" w:rsidRDefault="00E94BD3" w14:paraId="4B601BFA" w14:textId="77777777">
      <w:pPr>
        <w:ind w:left="720"/>
        <w:outlineLvl w:val="4"/>
      </w:pPr>
    </w:p>
    <w:p w:rsidRPr="00F3411C" w:rsidR="004F7603" w:rsidP="00F3411C" w:rsidRDefault="004F7603" w14:paraId="57183DF1" w14:textId="65A340D7">
      <w:pPr>
        <w:ind w:left="720"/>
        <w:outlineLvl w:val="4"/>
      </w:pPr>
      <w:r w:rsidRPr="00F3411C">
        <w:rPr>
          <w:b/>
        </w:rPr>
        <w:t>Cost</w:t>
      </w:r>
      <w:r w:rsidRPr="00F3411C">
        <w:t>:</w:t>
      </w:r>
      <w:r w:rsidRPr="00F3411C">
        <w:tab/>
      </w:r>
      <w:r w:rsidRPr="00F3411C">
        <w:tab/>
        <w:t xml:space="preserve">  </w:t>
      </w:r>
      <w:r w:rsidRPr="00F3411C" w:rsidR="007F1671">
        <w:t>2,694,236</w:t>
      </w:r>
      <w:r w:rsidRPr="00F3411C" w:rsidR="000E35E4">
        <w:t>.32</w:t>
      </w:r>
      <w:r w:rsidRPr="00F3411C">
        <w:t xml:space="preserve"> hours x $</w:t>
      </w:r>
      <w:r w:rsidRPr="00F3411C" w:rsidR="004916CC">
        <w:t>36.94</w:t>
      </w:r>
      <w:r w:rsidRPr="00F3411C" w:rsidR="001F7DF2">
        <w:t xml:space="preserve"> (I</w:t>
      </w:r>
      <w:r w:rsidRPr="00F3411C" w:rsidR="00B244DF">
        <w:t>R</w:t>
      </w:r>
      <w:r w:rsidRPr="00F3411C" w:rsidR="001F7DF2">
        <w:t xml:space="preserve"> clerk)</w:t>
      </w:r>
      <w:r w:rsidRPr="00F3411C">
        <w:t xml:space="preserve"> = $</w:t>
      </w:r>
      <w:r w:rsidRPr="00F3411C" w:rsidR="007F1671">
        <w:t>99</w:t>
      </w:r>
      <w:r w:rsidRPr="00F3411C" w:rsidR="000E35E4">
        <w:t>,</w:t>
      </w:r>
      <w:r w:rsidRPr="00F3411C" w:rsidR="007F1671">
        <w:t>525.089.70</w:t>
      </w:r>
    </w:p>
    <w:p w:rsidRPr="00F3411C" w:rsidR="004F7603" w:rsidP="00F3411C" w:rsidRDefault="00F3411C" w14:paraId="790F6629" w14:textId="0769F737">
      <w:pPr>
        <w:autoSpaceDE/>
        <w:autoSpaceDN/>
        <w:spacing w:after="200" w:line="276" w:lineRule="auto"/>
        <w:rPr>
          <w:rFonts w:eastAsia="Arial Unicode MS"/>
          <w:b/>
          <w:iCs/>
          <w:color w:val="000000"/>
          <w:u w:val="single"/>
        </w:rPr>
      </w:pPr>
      <w:r>
        <w:rPr>
          <w:rFonts w:eastAsia="Arial Unicode MS"/>
          <w:b/>
          <w:iCs/>
          <w:color w:val="000000"/>
          <w:u w:val="single"/>
        </w:rPr>
        <w:br w:type="page"/>
      </w:r>
    </w:p>
    <w:p w:rsidRPr="00F3411C" w:rsidR="00E12FA8" w:rsidP="00E12FA8" w:rsidRDefault="00C3554F" w14:paraId="3CD7F7EA" w14:textId="44FF174D">
      <w:pPr>
        <w:rPr>
          <w:b/>
          <w:bCs/>
        </w:rPr>
      </w:pPr>
      <w:r w:rsidRPr="00F3411C">
        <w:rPr>
          <w:b/>
          <w:bCs/>
        </w:rPr>
        <w:t>3. Employer support for employee vaccination.</w:t>
      </w:r>
    </w:p>
    <w:p w:rsidRPr="00F3411C" w:rsidR="00C3554F" w:rsidP="00E12FA8" w:rsidRDefault="00C3554F" w14:paraId="11820069" w14:textId="5872B1C9">
      <w:pPr>
        <w:rPr>
          <w:rFonts w:eastAsia="Arial Unicode MS"/>
          <w:bCs/>
          <w:color w:val="000000"/>
        </w:rPr>
      </w:pPr>
    </w:p>
    <w:p w:rsidRPr="00F3411C" w:rsidR="00E12FA8" w:rsidP="00E12FA8" w:rsidRDefault="00E12FA8" w14:paraId="444E992F" w14:textId="0477740A">
      <w:pPr>
        <w:rPr>
          <w:rFonts w:eastAsia="Arial Unicode MS"/>
          <w:bCs/>
          <w:i/>
          <w:iCs/>
          <w:color w:val="FF0000"/>
        </w:rPr>
      </w:pPr>
      <w:r w:rsidRPr="00F3411C">
        <w:rPr>
          <w:rFonts w:eastAsia="Arial Unicode MS"/>
          <w:bCs/>
          <w:i/>
          <w:iCs/>
          <w:color w:val="000000"/>
        </w:rPr>
        <w:t>§ 1910.501(f)(1)</w:t>
      </w:r>
      <w:r w:rsidRPr="00F3411C" w:rsidR="00D05324">
        <w:rPr>
          <w:rFonts w:eastAsia="Arial Unicode MS"/>
          <w:bCs/>
          <w:i/>
          <w:iCs/>
          <w:color w:val="000000"/>
        </w:rPr>
        <w:t>—Time for vaccination.</w:t>
      </w:r>
    </w:p>
    <w:p w:rsidRPr="00F3411C" w:rsidR="00E12FA8" w:rsidP="00E12FA8" w:rsidRDefault="00E12FA8" w14:paraId="16577D5D" w14:textId="0D19244E">
      <w:pPr>
        <w:rPr>
          <w:b/>
        </w:rPr>
      </w:pPr>
    </w:p>
    <w:p w:rsidRPr="00F3411C" w:rsidR="001F6757" w:rsidP="00E12FA8" w:rsidRDefault="003178E5" w14:paraId="666BEA7B" w14:textId="168B8CBB">
      <w:r w:rsidRPr="00F3411C">
        <w:t xml:space="preserve">There are a total of 22,751,767 employees who will get vaccinated. </w:t>
      </w:r>
      <w:r w:rsidRPr="00F3411C" w:rsidR="0050066C">
        <w:t xml:space="preserve">OSHA estimates </w:t>
      </w:r>
      <w:r w:rsidRPr="00F3411C" w:rsidR="001C1E4B">
        <w:t>15.3 percent (3,481,020</w:t>
      </w:r>
      <w:r w:rsidRPr="00F3411C" w:rsidR="00D2612B">
        <w:t>.35</w:t>
      </w:r>
      <w:r w:rsidRPr="00F3411C" w:rsidR="001C1E4B">
        <w:t xml:space="preserve"> employees) will receive the vaccine on-site</w:t>
      </w:r>
      <w:r w:rsidRPr="00F3411C" w:rsidDel="003178E5" w:rsidR="001C1E4B">
        <w:t xml:space="preserve"> </w:t>
      </w:r>
      <w:r w:rsidRPr="00F3411C" w:rsidR="007B4DDC">
        <w:t>and the other</w:t>
      </w:r>
      <w:r w:rsidRPr="00F3411C" w:rsidR="001C1E4B">
        <w:t xml:space="preserve"> 84.7 percentage (19,270,74</w:t>
      </w:r>
      <w:r w:rsidRPr="00F3411C" w:rsidR="00EC1D60">
        <w:t>6.65</w:t>
      </w:r>
      <w:r w:rsidRPr="00F3411C" w:rsidR="001C1E4B">
        <w:t xml:space="preserve"> employees) will receive the vaccine off-site</w:t>
      </w:r>
      <w:r w:rsidRPr="00F3411C" w:rsidR="007B4DDC">
        <w:t>.</w:t>
      </w:r>
      <w:r w:rsidRPr="00F3411C" w:rsidR="00346C65">
        <w:t xml:space="preserve"> </w:t>
      </w:r>
      <w:r w:rsidRPr="00F3411C" w:rsidR="004D36AA">
        <w:t>Employees will take an average of 15 minutes of travel time (each way); 5 minutes to wait, do paperwork, and receive the shot; and 20 minutes for the post-shot wait period. For those employees who receive vaccinations at their workplace (“on-site vaccinations”), OSHA does not include travel time in its calculations.</w:t>
      </w:r>
      <w:r w:rsidRPr="00F3411C" w:rsidR="004D36AA">
        <w:rPr>
          <w:rStyle w:val="FootnoteReference"/>
          <w:b/>
        </w:rPr>
        <w:footnoteReference w:id="11"/>
      </w:r>
    </w:p>
    <w:p w:rsidRPr="00F3411C" w:rsidR="001F6757" w:rsidP="00E12FA8" w:rsidRDefault="001F6757" w14:paraId="264D905D" w14:textId="51269564"/>
    <w:p w:rsidRPr="00F3411C" w:rsidR="00A605BF" w:rsidP="002A0DD1" w:rsidRDefault="00A605BF" w14:paraId="503E0421" w14:textId="206DF06E">
      <w:pPr>
        <w:pStyle w:val="Heading5"/>
      </w:pPr>
      <w:r w:rsidRPr="00F3411C">
        <w:t>On-site Vaccinations</w:t>
      </w:r>
    </w:p>
    <w:p w:rsidRPr="00F3411C" w:rsidR="00A605BF" w:rsidP="00E12FA8" w:rsidRDefault="004D36AA" w14:paraId="78F3A2C8" w14:textId="407AEE11">
      <w:r w:rsidRPr="00F3411C">
        <w:t xml:space="preserve">Of the 3,481,020.35 employees that will receive vaccinations on-site, </w:t>
      </w:r>
      <w:r w:rsidRPr="00F3411C" w:rsidR="003178E5">
        <w:rPr>
          <w:lang w:val="x-none"/>
        </w:rPr>
        <w:t>OSHA estimates that</w:t>
      </w:r>
      <w:r w:rsidRPr="00F3411C" w:rsidR="003178E5">
        <w:t xml:space="preserve"> </w:t>
      </w:r>
      <w:r w:rsidRPr="00F3411C" w:rsidR="007F1671">
        <w:t>five (</w:t>
      </w:r>
      <w:r w:rsidRPr="00F3411C" w:rsidR="00C17D60">
        <w:t>5</w:t>
      </w:r>
      <w:r w:rsidRPr="00F3411C" w:rsidR="007F1671">
        <w:t>)</w:t>
      </w:r>
      <w:r w:rsidRPr="00F3411C" w:rsidR="00C17D60">
        <w:t xml:space="preserve"> percent (174,051</w:t>
      </w:r>
      <w:r w:rsidRPr="00F3411C">
        <w:t>.02</w:t>
      </w:r>
      <w:r w:rsidRPr="00F3411C" w:rsidR="00C17D60">
        <w:t xml:space="preserve"> employees)</w:t>
      </w:r>
      <w:r w:rsidRPr="00F3411C" w:rsidR="003178E5">
        <w:t xml:space="preserve"> will choose the Johnson &amp; Johnson vaccine and </w:t>
      </w:r>
      <w:r w:rsidRPr="00F3411C" w:rsidR="007F1671">
        <w:t>ninety-five (</w:t>
      </w:r>
      <w:r w:rsidRPr="00F3411C" w:rsidR="00C17D60">
        <w:t>95</w:t>
      </w:r>
      <w:r w:rsidRPr="00F3411C" w:rsidR="007F1671">
        <w:t>)</w:t>
      </w:r>
      <w:r w:rsidRPr="00F3411C" w:rsidR="00C17D60">
        <w:t xml:space="preserve"> percent (3,306,969</w:t>
      </w:r>
      <w:r w:rsidRPr="00F3411C">
        <w:t>.33</w:t>
      </w:r>
      <w:r w:rsidRPr="00F3411C" w:rsidR="003178E5">
        <w:t xml:space="preserve"> employees</w:t>
      </w:r>
      <w:r w:rsidRPr="00F3411C" w:rsidR="00C17D60">
        <w:t>)</w:t>
      </w:r>
      <w:r w:rsidRPr="00F3411C" w:rsidR="003178E5">
        <w:t xml:space="preserve"> will choose the Moderna or Pfizer vaccine. Employees receiving Johnson &amp; Johnson will get one dose and the employees receiving Moderna or Pfizer will get two doses. </w:t>
      </w:r>
      <w:r w:rsidRPr="00F3411C" w:rsidR="00A605BF">
        <w:t xml:space="preserve">A general worker making </w:t>
      </w:r>
      <w:r w:rsidRPr="00F3411C" w:rsidR="00B21E41">
        <w:t>$</w:t>
      </w:r>
      <w:r w:rsidRPr="00F3411C" w:rsidR="00A605BF">
        <w:t xml:space="preserve">35.60 an hour will take </w:t>
      </w:r>
      <w:r w:rsidRPr="00F3411C" w:rsidR="007F1671">
        <w:t>twenty-five (</w:t>
      </w:r>
      <w:r w:rsidRPr="00F3411C" w:rsidR="00A605BF">
        <w:t>25</w:t>
      </w:r>
      <w:r w:rsidRPr="00F3411C" w:rsidR="007F1671">
        <w:t>)</w:t>
      </w:r>
      <w:r w:rsidRPr="00F3411C" w:rsidR="00A605BF">
        <w:t xml:space="preserve"> minutes (0.42 hours)</w:t>
      </w:r>
      <w:r w:rsidRPr="00F3411C" w:rsidR="00DF78ED">
        <w:t xml:space="preserve"> to get </w:t>
      </w:r>
      <w:r w:rsidRPr="00F3411C" w:rsidR="00AE6AA4">
        <w:t>vaccinated</w:t>
      </w:r>
      <w:r w:rsidRPr="00F3411C" w:rsidR="00DF78ED">
        <w:t xml:space="preserve"> for each dose.</w:t>
      </w:r>
    </w:p>
    <w:p w:rsidRPr="00F3411C" w:rsidR="00A605BF" w:rsidP="00E12FA8" w:rsidRDefault="00A605BF" w14:paraId="78386A66" w14:textId="77777777"/>
    <w:p w:rsidRPr="00F3411C" w:rsidR="00A605BF" w:rsidP="00A605BF" w:rsidRDefault="00A605BF" w14:paraId="71E8A6D5" w14:textId="37E30256">
      <w:pPr>
        <w:rPr>
          <w:b/>
        </w:rPr>
      </w:pPr>
      <w:r w:rsidRPr="00F3411C">
        <w:rPr>
          <w:b/>
        </w:rPr>
        <w:t xml:space="preserve">Table </w:t>
      </w:r>
      <w:r w:rsidRPr="00F3411C" w:rsidR="00EC1D60">
        <w:rPr>
          <w:b/>
        </w:rPr>
        <w:t>B</w:t>
      </w:r>
      <w:r w:rsidRPr="00F3411C">
        <w:rPr>
          <w:b/>
        </w:rPr>
        <w:t>—</w:t>
      </w:r>
      <w:r w:rsidRPr="00F3411C" w:rsidR="00AE6AA4">
        <w:rPr>
          <w:b/>
        </w:rPr>
        <w:t>Time</w:t>
      </w:r>
      <w:r w:rsidRPr="00F3411C">
        <w:rPr>
          <w:b/>
        </w:rPr>
        <w:t xml:space="preserve"> for Vaccinations</w:t>
      </w:r>
      <w:r w:rsidRPr="00F3411C" w:rsidR="001C1E4B">
        <w:rPr>
          <w:b/>
        </w:rPr>
        <w:t xml:space="preserve"> (on-site)</w:t>
      </w:r>
    </w:p>
    <w:p w:rsidRPr="00F3411C" w:rsidR="00A605BF" w:rsidP="00A605BF" w:rsidRDefault="00A605BF" w14:paraId="05552401" w14:textId="77777777"/>
    <w:tbl>
      <w:tblPr>
        <w:tblStyle w:val="TableGrid"/>
        <w:tblW w:w="8455" w:type="dxa"/>
        <w:tblLayout w:type="fixed"/>
        <w:tblLook w:val="04A0" w:firstRow="1" w:lastRow="0" w:firstColumn="1" w:lastColumn="0" w:noHBand="0" w:noVBand="1"/>
      </w:tblPr>
      <w:tblGrid>
        <w:gridCol w:w="1443"/>
        <w:gridCol w:w="1342"/>
        <w:gridCol w:w="1350"/>
        <w:gridCol w:w="1530"/>
        <w:gridCol w:w="900"/>
        <w:gridCol w:w="1890"/>
      </w:tblGrid>
      <w:tr w:rsidRPr="00F3411C" w:rsidR="00A605BF" w:rsidTr="007E4737" w14:paraId="47A51814" w14:textId="77777777">
        <w:trPr>
          <w:tblHeader/>
        </w:trPr>
        <w:tc>
          <w:tcPr>
            <w:tcW w:w="1443" w:type="dxa"/>
            <w:shd w:val="clear" w:color="auto" w:fill="C6D9F1" w:themeFill="text2" w:themeFillTint="33"/>
          </w:tcPr>
          <w:p w:rsidRPr="00F3411C" w:rsidR="00A605BF" w:rsidP="00144934" w:rsidRDefault="00A605BF" w14:paraId="2E53001F" w14:textId="77777777">
            <w:pPr>
              <w:rPr>
                <w:b/>
              </w:rPr>
            </w:pPr>
            <w:r w:rsidRPr="00F3411C">
              <w:rPr>
                <w:b/>
              </w:rPr>
              <w:t>Type of Vaccination</w:t>
            </w:r>
          </w:p>
        </w:tc>
        <w:tc>
          <w:tcPr>
            <w:tcW w:w="1342" w:type="dxa"/>
            <w:shd w:val="clear" w:color="auto" w:fill="C6D9F1" w:themeFill="text2" w:themeFillTint="33"/>
          </w:tcPr>
          <w:p w:rsidRPr="00F3411C" w:rsidR="00A605BF" w:rsidP="00144934" w:rsidRDefault="00A605BF" w14:paraId="41388339" w14:textId="39D6068E">
            <w:pPr>
              <w:rPr>
                <w:b/>
              </w:rPr>
            </w:pPr>
            <w:r w:rsidRPr="00F3411C">
              <w:rPr>
                <w:b/>
              </w:rPr>
              <w:t xml:space="preserve">Number of </w:t>
            </w:r>
            <w:r w:rsidRPr="00F3411C" w:rsidR="00C607E6">
              <w:rPr>
                <w:b/>
              </w:rPr>
              <w:t>Responses</w:t>
            </w:r>
          </w:p>
        </w:tc>
        <w:tc>
          <w:tcPr>
            <w:tcW w:w="1350" w:type="dxa"/>
            <w:shd w:val="clear" w:color="auto" w:fill="C6D9F1" w:themeFill="text2" w:themeFillTint="33"/>
          </w:tcPr>
          <w:p w:rsidRPr="00F3411C" w:rsidR="00A605BF" w:rsidP="00144934" w:rsidRDefault="00A605BF" w14:paraId="300EF301" w14:textId="3A387042">
            <w:pPr>
              <w:rPr>
                <w:b/>
              </w:rPr>
            </w:pPr>
            <w:r w:rsidRPr="00F3411C">
              <w:rPr>
                <w:b/>
              </w:rPr>
              <w:t xml:space="preserve">Time-off for </w:t>
            </w:r>
            <w:r w:rsidRPr="00F3411C" w:rsidR="007E4737">
              <w:rPr>
                <w:b/>
              </w:rPr>
              <w:t>V</w:t>
            </w:r>
            <w:r w:rsidRPr="00F3411C">
              <w:rPr>
                <w:b/>
              </w:rPr>
              <w:t>accine</w:t>
            </w:r>
          </w:p>
        </w:tc>
        <w:tc>
          <w:tcPr>
            <w:tcW w:w="1530" w:type="dxa"/>
            <w:shd w:val="clear" w:color="auto" w:fill="C6D9F1" w:themeFill="text2" w:themeFillTint="33"/>
          </w:tcPr>
          <w:p w:rsidRPr="00F3411C" w:rsidR="00A605BF" w:rsidP="00144934" w:rsidRDefault="00A605BF" w14:paraId="488D4A46" w14:textId="4D81CF82">
            <w:pPr>
              <w:rPr>
                <w:b/>
              </w:rPr>
            </w:pPr>
            <w:r w:rsidRPr="00F3411C">
              <w:rPr>
                <w:b/>
              </w:rPr>
              <w:t xml:space="preserve">Burden </w:t>
            </w:r>
            <w:r w:rsidRPr="00F3411C" w:rsidR="007E4737">
              <w:rPr>
                <w:b/>
              </w:rPr>
              <w:t>H</w:t>
            </w:r>
            <w:r w:rsidRPr="00F3411C">
              <w:rPr>
                <w:b/>
              </w:rPr>
              <w:t>ours</w:t>
            </w:r>
          </w:p>
        </w:tc>
        <w:tc>
          <w:tcPr>
            <w:tcW w:w="900" w:type="dxa"/>
            <w:shd w:val="clear" w:color="auto" w:fill="C6D9F1" w:themeFill="text2" w:themeFillTint="33"/>
          </w:tcPr>
          <w:p w:rsidRPr="00F3411C" w:rsidR="00A605BF" w:rsidP="00144934" w:rsidRDefault="00A605BF" w14:paraId="6F674242" w14:textId="77777777">
            <w:pPr>
              <w:rPr>
                <w:b/>
              </w:rPr>
            </w:pPr>
            <w:r w:rsidRPr="00F3411C">
              <w:rPr>
                <w:b/>
              </w:rPr>
              <w:t>Wage Rate</w:t>
            </w:r>
          </w:p>
        </w:tc>
        <w:tc>
          <w:tcPr>
            <w:tcW w:w="1890" w:type="dxa"/>
            <w:shd w:val="clear" w:color="auto" w:fill="C6D9F1" w:themeFill="text2" w:themeFillTint="33"/>
          </w:tcPr>
          <w:p w:rsidRPr="00F3411C" w:rsidR="00A605BF" w:rsidP="00144934" w:rsidRDefault="00A605BF" w14:paraId="6765CE38" w14:textId="77777777">
            <w:pPr>
              <w:rPr>
                <w:b/>
              </w:rPr>
            </w:pPr>
            <w:r w:rsidRPr="00F3411C">
              <w:rPr>
                <w:b/>
              </w:rPr>
              <w:t>Cost</w:t>
            </w:r>
          </w:p>
        </w:tc>
      </w:tr>
      <w:tr w:rsidRPr="00F3411C" w:rsidR="00A605BF" w:rsidTr="00CE4E4C" w14:paraId="09647644" w14:textId="77777777">
        <w:tc>
          <w:tcPr>
            <w:tcW w:w="1443" w:type="dxa"/>
          </w:tcPr>
          <w:p w:rsidRPr="00F3411C" w:rsidR="00A605BF" w:rsidP="00144934" w:rsidRDefault="00F24224" w14:paraId="23999A06" w14:textId="76F5D26F">
            <w:r w:rsidRPr="00F3411C">
              <w:t>Johnson &amp; Johnson</w:t>
            </w:r>
          </w:p>
        </w:tc>
        <w:tc>
          <w:tcPr>
            <w:tcW w:w="1342" w:type="dxa"/>
          </w:tcPr>
          <w:p w:rsidRPr="00F3411C" w:rsidR="00A605BF" w:rsidP="00CE4E4C" w:rsidRDefault="00C17D60" w14:paraId="56B69B17" w14:textId="7D644C97">
            <w:pPr>
              <w:jc w:val="right"/>
            </w:pPr>
            <w:r w:rsidRPr="00F3411C">
              <w:t>174,051</w:t>
            </w:r>
            <w:r w:rsidRPr="00F3411C" w:rsidR="007F1671">
              <w:t>.0</w:t>
            </w:r>
            <w:r w:rsidRPr="00F3411C" w:rsidR="00CF6D77">
              <w:t>2</w:t>
            </w:r>
          </w:p>
        </w:tc>
        <w:tc>
          <w:tcPr>
            <w:tcW w:w="1350" w:type="dxa"/>
          </w:tcPr>
          <w:p w:rsidRPr="00F3411C" w:rsidR="00A605BF" w:rsidP="00CE4E4C" w:rsidRDefault="00A605BF" w14:paraId="3668A310" w14:textId="77347006">
            <w:pPr>
              <w:jc w:val="right"/>
            </w:pPr>
            <w:r w:rsidRPr="00F3411C">
              <w:t>0.</w:t>
            </w:r>
            <w:r w:rsidRPr="00F3411C" w:rsidR="00DF78ED">
              <w:t>4</w:t>
            </w:r>
            <w:r w:rsidRPr="00F3411C">
              <w:t>2 hrs. (</w:t>
            </w:r>
            <w:r w:rsidRPr="00F3411C" w:rsidR="00DF78ED">
              <w:t>2</w:t>
            </w:r>
            <w:r w:rsidRPr="00F3411C">
              <w:t>5 mins.)</w:t>
            </w:r>
          </w:p>
        </w:tc>
        <w:tc>
          <w:tcPr>
            <w:tcW w:w="1530" w:type="dxa"/>
          </w:tcPr>
          <w:p w:rsidRPr="00F3411C" w:rsidR="00A605BF" w:rsidP="00CE4E4C" w:rsidRDefault="00AE6AA4" w14:paraId="67447141" w14:textId="6190A099">
            <w:pPr>
              <w:jc w:val="right"/>
            </w:pPr>
            <w:r w:rsidRPr="00F3411C">
              <w:t>73,101.4</w:t>
            </w:r>
            <w:r w:rsidRPr="00F3411C" w:rsidR="00CF6D77">
              <w:t>3</w:t>
            </w:r>
          </w:p>
        </w:tc>
        <w:tc>
          <w:tcPr>
            <w:tcW w:w="900" w:type="dxa"/>
          </w:tcPr>
          <w:p w:rsidRPr="00F3411C" w:rsidR="00A605BF" w:rsidP="00CE4E4C" w:rsidRDefault="00A605BF" w14:paraId="47B9BFA7" w14:textId="77777777">
            <w:pPr>
              <w:jc w:val="right"/>
            </w:pPr>
            <w:r w:rsidRPr="00F3411C">
              <w:t>$35.60</w:t>
            </w:r>
          </w:p>
        </w:tc>
        <w:tc>
          <w:tcPr>
            <w:tcW w:w="1890" w:type="dxa"/>
          </w:tcPr>
          <w:p w:rsidRPr="00F3411C" w:rsidR="00A605BF" w:rsidP="00CE4E4C" w:rsidRDefault="00A605BF" w14:paraId="3BFA38DE" w14:textId="1E323917">
            <w:pPr>
              <w:jc w:val="right"/>
            </w:pPr>
            <w:r w:rsidRPr="00F3411C">
              <w:t>$</w:t>
            </w:r>
            <w:r w:rsidRPr="00F3411C" w:rsidR="00AE6AA4">
              <w:t>2,602,410.</w:t>
            </w:r>
            <w:r w:rsidRPr="00F3411C" w:rsidR="00CF6D77">
              <w:t>91</w:t>
            </w:r>
          </w:p>
        </w:tc>
      </w:tr>
      <w:tr w:rsidRPr="00F3411C" w:rsidR="00A605BF" w:rsidTr="00CE4E4C" w14:paraId="404ABD07" w14:textId="77777777">
        <w:tc>
          <w:tcPr>
            <w:tcW w:w="1443" w:type="dxa"/>
          </w:tcPr>
          <w:p w:rsidRPr="00F3411C" w:rsidR="00A605BF" w:rsidP="00144934" w:rsidRDefault="00A605BF" w14:paraId="6E19CB78" w14:textId="2CBEE34D">
            <w:r w:rsidRPr="00F3411C">
              <w:t xml:space="preserve">Moderna / Pfizer </w:t>
            </w:r>
          </w:p>
        </w:tc>
        <w:tc>
          <w:tcPr>
            <w:tcW w:w="1342" w:type="dxa"/>
          </w:tcPr>
          <w:p w:rsidRPr="00F3411C" w:rsidR="00A605BF" w:rsidP="00CE4E4C" w:rsidRDefault="00AE6AA4" w14:paraId="6E9FA058" w14:textId="28F35124">
            <w:pPr>
              <w:jc w:val="right"/>
            </w:pPr>
            <w:r w:rsidRPr="00F3411C">
              <w:t>3,306,969</w:t>
            </w:r>
            <w:r w:rsidRPr="00F3411C" w:rsidR="00CF6D77">
              <w:t>.33</w:t>
            </w:r>
          </w:p>
        </w:tc>
        <w:tc>
          <w:tcPr>
            <w:tcW w:w="1350" w:type="dxa"/>
          </w:tcPr>
          <w:p w:rsidRPr="00F3411C" w:rsidR="00A605BF" w:rsidP="00CE4E4C" w:rsidRDefault="00DF78ED" w14:paraId="7CD74394" w14:textId="3DCE9BC1">
            <w:pPr>
              <w:jc w:val="right"/>
            </w:pPr>
            <w:r w:rsidRPr="00F3411C">
              <w:t>0.83</w:t>
            </w:r>
            <w:r w:rsidRPr="00F3411C" w:rsidR="00A605BF">
              <w:t xml:space="preserve"> hrs.</w:t>
            </w:r>
          </w:p>
          <w:p w:rsidRPr="00F3411C" w:rsidR="00A605BF" w:rsidP="00CE4E4C" w:rsidRDefault="00A605BF" w14:paraId="69488F75" w14:textId="4AFC709E">
            <w:pPr>
              <w:jc w:val="right"/>
            </w:pPr>
            <w:r w:rsidRPr="00F3411C">
              <w:t>(</w:t>
            </w:r>
            <w:r w:rsidRPr="00F3411C" w:rsidR="00DF78ED">
              <w:t>50</w:t>
            </w:r>
            <w:r w:rsidRPr="00F3411C">
              <w:t xml:space="preserve"> mins.)</w:t>
            </w:r>
          </w:p>
        </w:tc>
        <w:tc>
          <w:tcPr>
            <w:tcW w:w="1530" w:type="dxa"/>
          </w:tcPr>
          <w:p w:rsidRPr="00F3411C" w:rsidR="00A605BF" w:rsidP="00CE4E4C" w:rsidRDefault="00AE6AA4" w14:paraId="1FB45DBD" w14:textId="2440DF37">
            <w:pPr>
              <w:jc w:val="right"/>
            </w:pPr>
            <w:r w:rsidRPr="00F3411C">
              <w:t>2,744,784.</w:t>
            </w:r>
            <w:r w:rsidRPr="00F3411C" w:rsidR="00CF6D77">
              <w:t>54</w:t>
            </w:r>
          </w:p>
        </w:tc>
        <w:tc>
          <w:tcPr>
            <w:tcW w:w="900" w:type="dxa"/>
          </w:tcPr>
          <w:p w:rsidRPr="00F3411C" w:rsidR="00A605BF" w:rsidP="00CE4E4C" w:rsidRDefault="00A605BF" w14:paraId="657CD427" w14:textId="77777777">
            <w:pPr>
              <w:jc w:val="right"/>
            </w:pPr>
            <w:r w:rsidRPr="00F3411C">
              <w:t>$35.60</w:t>
            </w:r>
          </w:p>
        </w:tc>
        <w:tc>
          <w:tcPr>
            <w:tcW w:w="1890" w:type="dxa"/>
          </w:tcPr>
          <w:p w:rsidRPr="00F3411C" w:rsidR="00A605BF" w:rsidP="00CE4E4C" w:rsidRDefault="00A605BF" w14:paraId="00E3DABA" w14:textId="1FCDA5FF">
            <w:pPr>
              <w:jc w:val="right"/>
            </w:pPr>
            <w:r w:rsidRPr="00F3411C">
              <w:t>$</w:t>
            </w:r>
            <w:r w:rsidRPr="00F3411C" w:rsidR="00AE6AA4">
              <w:t>97,714,32</w:t>
            </w:r>
            <w:r w:rsidRPr="00F3411C" w:rsidR="00CF6D77">
              <w:t>9</w:t>
            </w:r>
            <w:r w:rsidRPr="00F3411C" w:rsidR="00C607E6">
              <w:t>.</w:t>
            </w:r>
            <w:r w:rsidRPr="00F3411C" w:rsidR="00CF6D77">
              <w:t>62</w:t>
            </w:r>
          </w:p>
        </w:tc>
      </w:tr>
      <w:tr w:rsidRPr="00F3411C" w:rsidR="00A605BF" w:rsidTr="00CE4E4C" w14:paraId="0A71C162" w14:textId="77777777">
        <w:tc>
          <w:tcPr>
            <w:tcW w:w="1443" w:type="dxa"/>
          </w:tcPr>
          <w:p w:rsidRPr="00F3411C" w:rsidR="00A605BF" w:rsidP="00144934" w:rsidRDefault="00A605BF" w14:paraId="0E429CE0" w14:textId="77777777">
            <w:r w:rsidRPr="00F3411C">
              <w:t>Total</w:t>
            </w:r>
          </w:p>
        </w:tc>
        <w:tc>
          <w:tcPr>
            <w:tcW w:w="1342" w:type="dxa"/>
          </w:tcPr>
          <w:p w:rsidRPr="00F3411C" w:rsidR="00A605BF" w:rsidP="00CE4E4C" w:rsidRDefault="00AE6AA4" w14:paraId="2C88E876" w14:textId="7A6A1913">
            <w:pPr>
              <w:jc w:val="right"/>
            </w:pPr>
            <w:r w:rsidRPr="00F3411C">
              <w:t>3,481,020</w:t>
            </w:r>
            <w:r w:rsidRPr="00F3411C" w:rsidR="00CF6D77">
              <w:t>.35</w:t>
            </w:r>
          </w:p>
        </w:tc>
        <w:tc>
          <w:tcPr>
            <w:tcW w:w="1350" w:type="dxa"/>
            <w:shd w:val="clear" w:color="auto" w:fill="000000" w:themeFill="text1"/>
          </w:tcPr>
          <w:p w:rsidRPr="00F3411C" w:rsidR="00A605BF" w:rsidP="00CE4E4C" w:rsidRDefault="00A605BF" w14:paraId="1B4ABB5B" w14:textId="77777777">
            <w:pPr>
              <w:jc w:val="right"/>
            </w:pPr>
          </w:p>
        </w:tc>
        <w:tc>
          <w:tcPr>
            <w:tcW w:w="1530" w:type="dxa"/>
          </w:tcPr>
          <w:p w:rsidRPr="00F3411C" w:rsidR="00A605BF" w:rsidP="00CE4E4C" w:rsidRDefault="00B21E41" w14:paraId="1D024649" w14:textId="5B66ED45">
            <w:pPr>
              <w:jc w:val="right"/>
            </w:pPr>
            <w:r w:rsidRPr="00F3411C">
              <w:t>2,817,885.</w:t>
            </w:r>
            <w:r w:rsidRPr="00F3411C" w:rsidR="00CF6D77">
              <w:t>97</w:t>
            </w:r>
          </w:p>
        </w:tc>
        <w:tc>
          <w:tcPr>
            <w:tcW w:w="900" w:type="dxa"/>
            <w:shd w:val="clear" w:color="auto" w:fill="000000" w:themeFill="text1"/>
          </w:tcPr>
          <w:p w:rsidRPr="00F3411C" w:rsidR="00A605BF" w:rsidP="00CE4E4C" w:rsidRDefault="00A605BF" w14:paraId="7B4F2925" w14:textId="77777777">
            <w:pPr>
              <w:jc w:val="right"/>
            </w:pPr>
          </w:p>
        </w:tc>
        <w:tc>
          <w:tcPr>
            <w:tcW w:w="1890" w:type="dxa"/>
          </w:tcPr>
          <w:p w:rsidRPr="00F3411C" w:rsidR="00A605BF" w:rsidP="00CE4E4C" w:rsidRDefault="00A605BF" w14:paraId="26EA6D59" w14:textId="3EF1B4EF">
            <w:pPr>
              <w:jc w:val="right"/>
            </w:pPr>
            <w:r w:rsidRPr="00F3411C">
              <w:t>$</w:t>
            </w:r>
            <w:r w:rsidRPr="00F3411C" w:rsidR="00AE6AA4">
              <w:t>100,316,7</w:t>
            </w:r>
            <w:r w:rsidRPr="00F3411C" w:rsidR="00CF6D77">
              <w:t>4</w:t>
            </w:r>
            <w:r w:rsidRPr="00F3411C" w:rsidR="00C607E6">
              <w:t>0.5</w:t>
            </w:r>
            <w:r w:rsidRPr="00F3411C" w:rsidR="00CF6D77">
              <w:t>3</w:t>
            </w:r>
          </w:p>
        </w:tc>
      </w:tr>
    </w:tbl>
    <w:p w:rsidRPr="00F3411C" w:rsidR="00DF78ED" w:rsidP="00E12FA8" w:rsidRDefault="00DF78ED" w14:paraId="461EDFF3" w14:textId="77777777"/>
    <w:p w:rsidRPr="00F3411C" w:rsidR="00DD7136" w:rsidP="002A0DD1" w:rsidRDefault="00DF78ED" w14:paraId="04A79803" w14:textId="6374CA60">
      <w:pPr>
        <w:pStyle w:val="Heading5"/>
      </w:pPr>
      <w:r w:rsidRPr="00F3411C">
        <w:t>Off-site Vaccinations</w:t>
      </w:r>
      <w:r w:rsidRPr="00F3411C" w:rsidR="0050066C">
        <w:t xml:space="preserve"> </w:t>
      </w:r>
    </w:p>
    <w:p w:rsidRPr="00F3411C" w:rsidR="00DF78ED" w:rsidP="00DF78ED" w:rsidRDefault="007E4737" w14:paraId="1B3839CC" w14:textId="498EE9CC">
      <w:r w:rsidRPr="00F3411C">
        <w:t xml:space="preserve">Of the 19,270,746.65 employees who get vaccinated off-site, </w:t>
      </w:r>
      <w:r w:rsidRPr="00F3411C" w:rsidR="00AE6AA4">
        <w:rPr>
          <w:lang w:val="x-none"/>
        </w:rPr>
        <w:t>OSHA estimates that</w:t>
      </w:r>
      <w:r w:rsidRPr="00F3411C" w:rsidR="00AE6AA4">
        <w:t xml:space="preserve"> </w:t>
      </w:r>
      <w:r w:rsidRPr="00F3411C">
        <w:t>five (</w:t>
      </w:r>
      <w:r w:rsidRPr="00F3411C" w:rsidR="00AE6AA4">
        <w:t>5</w:t>
      </w:r>
      <w:r w:rsidRPr="00F3411C">
        <w:t>)</w:t>
      </w:r>
      <w:r w:rsidRPr="00F3411C" w:rsidR="00AE6AA4">
        <w:t xml:space="preserve"> percent (</w:t>
      </w:r>
      <w:r w:rsidRPr="00F3411C">
        <w:t xml:space="preserve">963,537.33 </w:t>
      </w:r>
      <w:r w:rsidRPr="00F3411C" w:rsidR="00AE6AA4">
        <w:t xml:space="preserve">employees) of the off-site employees will choose the Johnson &amp; Johnson vaccine and </w:t>
      </w:r>
      <w:r w:rsidRPr="00F3411C">
        <w:t>ninety-five (</w:t>
      </w:r>
      <w:r w:rsidRPr="00F3411C" w:rsidR="00AE6AA4">
        <w:t>95</w:t>
      </w:r>
      <w:r w:rsidRPr="00F3411C">
        <w:t>)</w:t>
      </w:r>
      <w:r w:rsidRPr="00F3411C" w:rsidR="00AE6AA4">
        <w:t xml:space="preserve"> percent (</w:t>
      </w:r>
      <w:r w:rsidRPr="00F3411C" w:rsidR="00CF6D77">
        <w:t>18,307,209.32</w:t>
      </w:r>
      <w:r w:rsidRPr="00F3411C" w:rsidR="00AE6AA4">
        <w:t xml:space="preserve">employees) will choose the Moderna or Pfizer vaccine. Employees receiving Johnson &amp; Johnson will get only one dose and the employees receiving Moderna or Pfizer will get two doses. </w:t>
      </w:r>
      <w:r w:rsidRPr="00F3411C" w:rsidR="00DF78ED">
        <w:t xml:space="preserve">A general worker making </w:t>
      </w:r>
      <w:r w:rsidRPr="00F3411C" w:rsidR="009A42EB">
        <w:t>$</w:t>
      </w:r>
      <w:r w:rsidRPr="00F3411C" w:rsidR="00DF78ED">
        <w:t xml:space="preserve">35.60 an hour will take </w:t>
      </w:r>
      <w:r w:rsidRPr="00F3411C" w:rsidR="00D9477C">
        <w:t>5</w:t>
      </w:r>
      <w:r w:rsidRPr="00F3411C" w:rsidR="00DF78ED">
        <w:t>5 minutes (0.</w:t>
      </w:r>
      <w:r w:rsidRPr="00F3411C" w:rsidR="00D9477C">
        <w:t>9</w:t>
      </w:r>
      <w:r w:rsidRPr="00F3411C" w:rsidR="00DF78ED">
        <w:t>2 hours) to get a vaccination</w:t>
      </w:r>
      <w:r w:rsidRPr="00F3411C" w:rsidR="00D9477C">
        <w:t xml:space="preserve"> off-site</w:t>
      </w:r>
      <w:r w:rsidRPr="00F3411C" w:rsidR="00DF78ED">
        <w:t xml:space="preserve"> for each dose.</w:t>
      </w:r>
    </w:p>
    <w:p w:rsidRPr="00F3411C" w:rsidR="00DD7136" w:rsidP="00E12FA8" w:rsidRDefault="00DD7136" w14:paraId="224F6641" w14:textId="21659D67"/>
    <w:p w:rsidRPr="00F3411C" w:rsidR="00FC49C7" w:rsidP="00E12FA8" w:rsidRDefault="00C34038" w14:paraId="780E1730" w14:textId="3A1EAF85">
      <w:pPr>
        <w:rPr>
          <w:b/>
        </w:rPr>
      </w:pPr>
      <w:r w:rsidRPr="00F3411C">
        <w:rPr>
          <w:b/>
        </w:rPr>
        <w:t xml:space="preserve">Table </w:t>
      </w:r>
      <w:r w:rsidRPr="00F3411C" w:rsidR="00EC1D60">
        <w:rPr>
          <w:b/>
        </w:rPr>
        <w:t>C</w:t>
      </w:r>
      <w:r w:rsidRPr="00F3411C" w:rsidR="00726943">
        <w:rPr>
          <w:b/>
        </w:rPr>
        <w:t>—</w:t>
      </w:r>
      <w:r w:rsidRPr="00F3411C">
        <w:rPr>
          <w:b/>
        </w:rPr>
        <w:t>Time for Vaccinations</w:t>
      </w:r>
      <w:r w:rsidRPr="00F3411C" w:rsidR="001C1E4B">
        <w:rPr>
          <w:b/>
        </w:rPr>
        <w:t xml:space="preserve"> (off-site)</w:t>
      </w:r>
    </w:p>
    <w:p w:rsidRPr="00F3411C" w:rsidR="00DF78ED" w:rsidP="00E12FA8" w:rsidRDefault="00DF78ED" w14:paraId="2EEC8D30" w14:textId="77777777"/>
    <w:tbl>
      <w:tblPr>
        <w:tblStyle w:val="TableGrid"/>
        <w:tblW w:w="8725" w:type="dxa"/>
        <w:tblLayout w:type="fixed"/>
        <w:tblLook w:val="04A0" w:firstRow="1" w:lastRow="0" w:firstColumn="1" w:lastColumn="0" w:noHBand="0" w:noVBand="1"/>
      </w:tblPr>
      <w:tblGrid>
        <w:gridCol w:w="1443"/>
        <w:gridCol w:w="1342"/>
        <w:gridCol w:w="1350"/>
        <w:gridCol w:w="1620"/>
        <w:gridCol w:w="900"/>
        <w:gridCol w:w="2070"/>
      </w:tblGrid>
      <w:tr w:rsidRPr="00F3411C" w:rsidR="00230A10" w:rsidTr="00CE4E4C" w14:paraId="10007D2A" w14:textId="21DA59EB">
        <w:trPr>
          <w:tblHeader/>
        </w:trPr>
        <w:tc>
          <w:tcPr>
            <w:tcW w:w="1443" w:type="dxa"/>
            <w:shd w:val="clear" w:color="auto" w:fill="C6D9F1" w:themeFill="text2" w:themeFillTint="33"/>
          </w:tcPr>
          <w:p w:rsidRPr="00F3411C" w:rsidR="00322F76" w:rsidP="00E12FA8" w:rsidRDefault="00322F76" w14:paraId="6A69D669" w14:textId="1AB37C05">
            <w:pPr>
              <w:rPr>
                <w:b/>
              </w:rPr>
            </w:pPr>
            <w:r w:rsidRPr="00F3411C">
              <w:rPr>
                <w:b/>
              </w:rPr>
              <w:t>Type of Vaccination</w:t>
            </w:r>
          </w:p>
        </w:tc>
        <w:tc>
          <w:tcPr>
            <w:tcW w:w="1342" w:type="dxa"/>
            <w:shd w:val="clear" w:color="auto" w:fill="C6D9F1" w:themeFill="text2" w:themeFillTint="33"/>
          </w:tcPr>
          <w:p w:rsidRPr="00F3411C" w:rsidR="00322F76" w:rsidP="006251D5" w:rsidRDefault="00322F76" w14:paraId="79535AE0" w14:textId="6E28B642">
            <w:pPr>
              <w:rPr>
                <w:b/>
              </w:rPr>
            </w:pPr>
            <w:r w:rsidRPr="00F3411C">
              <w:rPr>
                <w:b/>
              </w:rPr>
              <w:t xml:space="preserve">Number of </w:t>
            </w:r>
            <w:r w:rsidRPr="00F3411C" w:rsidR="00C607E6">
              <w:rPr>
                <w:b/>
              </w:rPr>
              <w:t>Responses</w:t>
            </w:r>
          </w:p>
        </w:tc>
        <w:tc>
          <w:tcPr>
            <w:tcW w:w="1350" w:type="dxa"/>
            <w:shd w:val="clear" w:color="auto" w:fill="C6D9F1" w:themeFill="text2" w:themeFillTint="33"/>
          </w:tcPr>
          <w:p w:rsidRPr="00F3411C" w:rsidR="00322F76" w:rsidP="00D9477C" w:rsidRDefault="00CA366A" w14:paraId="539497D3" w14:textId="17985B18">
            <w:pPr>
              <w:rPr>
                <w:b/>
              </w:rPr>
            </w:pPr>
            <w:r w:rsidRPr="00F3411C">
              <w:rPr>
                <w:b/>
              </w:rPr>
              <w:t xml:space="preserve">Time-off for </w:t>
            </w:r>
            <w:r w:rsidRPr="00F3411C" w:rsidR="00D9477C">
              <w:rPr>
                <w:b/>
              </w:rPr>
              <w:t>V</w:t>
            </w:r>
            <w:r w:rsidRPr="00F3411C">
              <w:rPr>
                <w:b/>
              </w:rPr>
              <w:t>accine</w:t>
            </w:r>
          </w:p>
        </w:tc>
        <w:tc>
          <w:tcPr>
            <w:tcW w:w="1620" w:type="dxa"/>
            <w:shd w:val="clear" w:color="auto" w:fill="C6D9F1" w:themeFill="text2" w:themeFillTint="33"/>
          </w:tcPr>
          <w:p w:rsidRPr="00F3411C" w:rsidR="00322F76" w:rsidP="00E12FA8" w:rsidRDefault="00322F76" w14:paraId="069151EC" w14:textId="2BAA0BC6">
            <w:pPr>
              <w:rPr>
                <w:b/>
              </w:rPr>
            </w:pPr>
            <w:r w:rsidRPr="00F3411C">
              <w:rPr>
                <w:b/>
              </w:rPr>
              <w:t xml:space="preserve">Burden </w:t>
            </w:r>
            <w:r w:rsidRPr="00F3411C" w:rsidR="00D9477C">
              <w:rPr>
                <w:b/>
              </w:rPr>
              <w:t>H</w:t>
            </w:r>
            <w:r w:rsidRPr="00F3411C">
              <w:rPr>
                <w:b/>
              </w:rPr>
              <w:t>ours</w:t>
            </w:r>
          </w:p>
        </w:tc>
        <w:tc>
          <w:tcPr>
            <w:tcW w:w="900" w:type="dxa"/>
            <w:shd w:val="clear" w:color="auto" w:fill="C6D9F1" w:themeFill="text2" w:themeFillTint="33"/>
          </w:tcPr>
          <w:p w:rsidRPr="00F3411C" w:rsidR="00322F76" w:rsidP="00E12FA8" w:rsidRDefault="00322F76" w14:paraId="7AE07BEC" w14:textId="2FB95E15">
            <w:pPr>
              <w:rPr>
                <w:b/>
              </w:rPr>
            </w:pPr>
            <w:r w:rsidRPr="00F3411C">
              <w:rPr>
                <w:b/>
              </w:rPr>
              <w:t>Wage Rate</w:t>
            </w:r>
          </w:p>
        </w:tc>
        <w:tc>
          <w:tcPr>
            <w:tcW w:w="2070" w:type="dxa"/>
            <w:shd w:val="clear" w:color="auto" w:fill="C6D9F1" w:themeFill="text2" w:themeFillTint="33"/>
          </w:tcPr>
          <w:p w:rsidRPr="00F3411C" w:rsidR="00322F76" w:rsidP="00E12FA8" w:rsidRDefault="00322F76" w14:paraId="50B84970" w14:textId="46473DC5">
            <w:pPr>
              <w:rPr>
                <w:b/>
              </w:rPr>
            </w:pPr>
            <w:r w:rsidRPr="00F3411C">
              <w:rPr>
                <w:b/>
              </w:rPr>
              <w:t>Cost</w:t>
            </w:r>
          </w:p>
        </w:tc>
      </w:tr>
      <w:tr w:rsidRPr="00F3411C" w:rsidR="00322F76" w:rsidTr="00CE4E4C" w14:paraId="72E97399" w14:textId="48E628F3">
        <w:tc>
          <w:tcPr>
            <w:tcW w:w="1443" w:type="dxa"/>
          </w:tcPr>
          <w:p w:rsidRPr="00F3411C" w:rsidR="00322F76" w:rsidP="00E12FA8" w:rsidRDefault="00322F76" w14:paraId="7DCE7119" w14:textId="3195E693">
            <w:r w:rsidRPr="00F3411C">
              <w:t>Johnson &amp; Johnson</w:t>
            </w:r>
          </w:p>
        </w:tc>
        <w:tc>
          <w:tcPr>
            <w:tcW w:w="1342" w:type="dxa"/>
          </w:tcPr>
          <w:p w:rsidRPr="00F3411C" w:rsidR="00322F76" w:rsidP="00CE4E4C" w:rsidRDefault="001C1E4B" w14:paraId="73D5B8CD" w14:textId="2730CFC4">
            <w:pPr>
              <w:jc w:val="right"/>
            </w:pPr>
            <w:r w:rsidRPr="00F3411C">
              <w:t>963,537</w:t>
            </w:r>
            <w:r w:rsidRPr="00F3411C" w:rsidR="007E4737">
              <w:t>.33</w:t>
            </w:r>
          </w:p>
        </w:tc>
        <w:tc>
          <w:tcPr>
            <w:tcW w:w="1350" w:type="dxa"/>
          </w:tcPr>
          <w:p w:rsidRPr="00F3411C" w:rsidR="00322F76" w:rsidP="00CE4E4C" w:rsidRDefault="00322F76" w14:paraId="787A2B8F" w14:textId="60735D57">
            <w:pPr>
              <w:jc w:val="right"/>
            </w:pPr>
            <w:r w:rsidRPr="00F3411C">
              <w:t>0.92 hrs. (55 mins.)</w:t>
            </w:r>
          </w:p>
        </w:tc>
        <w:tc>
          <w:tcPr>
            <w:tcW w:w="1620" w:type="dxa"/>
          </w:tcPr>
          <w:p w:rsidRPr="00F3411C" w:rsidR="00322F76" w:rsidP="00CE4E4C" w:rsidRDefault="006534B7" w14:paraId="01E61612" w14:textId="27BA1F43">
            <w:pPr>
              <w:jc w:val="right"/>
            </w:pPr>
            <w:r w:rsidRPr="00F3411C">
              <w:t>886,454.</w:t>
            </w:r>
            <w:r w:rsidRPr="00F3411C" w:rsidR="00D9477C">
              <w:t>3</w:t>
            </w:r>
            <w:r w:rsidRPr="00F3411C">
              <w:t>4</w:t>
            </w:r>
          </w:p>
        </w:tc>
        <w:tc>
          <w:tcPr>
            <w:tcW w:w="900" w:type="dxa"/>
          </w:tcPr>
          <w:p w:rsidRPr="00F3411C" w:rsidR="00322F76" w:rsidP="00CE4E4C" w:rsidRDefault="00322F76" w14:paraId="2027ECF9" w14:textId="70137901">
            <w:pPr>
              <w:jc w:val="right"/>
            </w:pPr>
            <w:r w:rsidRPr="00F3411C">
              <w:t>$35.60</w:t>
            </w:r>
          </w:p>
        </w:tc>
        <w:tc>
          <w:tcPr>
            <w:tcW w:w="2070" w:type="dxa"/>
          </w:tcPr>
          <w:p w:rsidRPr="00F3411C" w:rsidR="00322F76" w:rsidP="00CE4E4C" w:rsidRDefault="00322F76" w14:paraId="40BDD542" w14:textId="5E013EB3">
            <w:pPr>
              <w:jc w:val="right"/>
            </w:pPr>
            <w:r w:rsidRPr="00F3411C">
              <w:t>$</w:t>
            </w:r>
            <w:r w:rsidRPr="00F3411C" w:rsidR="006534B7">
              <w:t>31,557,7</w:t>
            </w:r>
            <w:r w:rsidRPr="00F3411C" w:rsidR="00D9477C">
              <w:t>74</w:t>
            </w:r>
            <w:r w:rsidRPr="00F3411C" w:rsidR="006534B7">
              <w:t>.</w:t>
            </w:r>
            <w:r w:rsidRPr="00F3411C" w:rsidR="00D9477C">
              <w:t>50</w:t>
            </w:r>
            <w:r w:rsidRPr="00F3411C">
              <w:t xml:space="preserve"> </w:t>
            </w:r>
          </w:p>
        </w:tc>
      </w:tr>
      <w:tr w:rsidRPr="00F3411C" w:rsidR="00322F76" w:rsidTr="00CE4E4C" w14:paraId="6D91E128" w14:textId="4DAB1CCB">
        <w:tc>
          <w:tcPr>
            <w:tcW w:w="1443" w:type="dxa"/>
          </w:tcPr>
          <w:p w:rsidRPr="00F3411C" w:rsidR="00322F76" w:rsidP="003D71E7" w:rsidRDefault="00322F76" w14:paraId="31124B32" w14:textId="7B366AED">
            <w:r w:rsidRPr="00F3411C">
              <w:t>Moderna / Pfizer</w:t>
            </w:r>
          </w:p>
        </w:tc>
        <w:tc>
          <w:tcPr>
            <w:tcW w:w="1342" w:type="dxa"/>
          </w:tcPr>
          <w:p w:rsidRPr="00F3411C" w:rsidR="00322F76" w:rsidP="00CE4E4C" w:rsidRDefault="001C1E4B" w14:paraId="25DB8A31" w14:textId="5DDA4561">
            <w:pPr>
              <w:jc w:val="right"/>
            </w:pPr>
            <w:r w:rsidRPr="00F3411C">
              <w:t>18,307,2</w:t>
            </w:r>
            <w:r w:rsidRPr="00F3411C" w:rsidR="007E4737">
              <w:t>09.32</w:t>
            </w:r>
          </w:p>
        </w:tc>
        <w:tc>
          <w:tcPr>
            <w:tcW w:w="1350" w:type="dxa"/>
          </w:tcPr>
          <w:p w:rsidRPr="00F3411C" w:rsidR="00322F76" w:rsidP="00CE4E4C" w:rsidRDefault="00322F76" w14:paraId="0ABD4FA6" w14:textId="4B40A42A">
            <w:pPr>
              <w:jc w:val="right"/>
            </w:pPr>
            <w:r w:rsidRPr="00F3411C">
              <w:t>1.83 hrs.</w:t>
            </w:r>
          </w:p>
          <w:p w:rsidRPr="00F3411C" w:rsidR="00322F76" w:rsidP="00CE4E4C" w:rsidRDefault="00322F76" w14:paraId="33701E5B" w14:textId="1724F0E8">
            <w:pPr>
              <w:jc w:val="right"/>
            </w:pPr>
            <w:r w:rsidRPr="00F3411C">
              <w:t>(110 mins.)</w:t>
            </w:r>
          </w:p>
        </w:tc>
        <w:tc>
          <w:tcPr>
            <w:tcW w:w="1620" w:type="dxa"/>
          </w:tcPr>
          <w:p w:rsidRPr="00F3411C" w:rsidR="00322F76" w:rsidP="00CE4E4C" w:rsidRDefault="006534B7" w14:paraId="6F496418" w14:textId="23A0FD6F">
            <w:pPr>
              <w:jc w:val="right"/>
            </w:pPr>
            <w:r w:rsidRPr="00F3411C">
              <w:t>33,502,19</w:t>
            </w:r>
            <w:r w:rsidRPr="00F3411C" w:rsidR="00D9477C">
              <w:t>3</w:t>
            </w:r>
            <w:r w:rsidRPr="00F3411C">
              <w:t>.0</w:t>
            </w:r>
            <w:r w:rsidRPr="00F3411C" w:rsidR="00D9477C">
              <w:t>6</w:t>
            </w:r>
          </w:p>
        </w:tc>
        <w:tc>
          <w:tcPr>
            <w:tcW w:w="900" w:type="dxa"/>
          </w:tcPr>
          <w:p w:rsidRPr="00F3411C" w:rsidR="00322F76" w:rsidP="00CE4E4C" w:rsidRDefault="00322F76" w14:paraId="3884016A" w14:textId="3A6A1277">
            <w:pPr>
              <w:jc w:val="right"/>
            </w:pPr>
            <w:r w:rsidRPr="00F3411C">
              <w:t>$35.60</w:t>
            </w:r>
          </w:p>
        </w:tc>
        <w:tc>
          <w:tcPr>
            <w:tcW w:w="2070" w:type="dxa"/>
          </w:tcPr>
          <w:p w:rsidRPr="00F3411C" w:rsidR="00322F76" w:rsidP="00CE4E4C" w:rsidRDefault="00BA4006" w14:paraId="387C6D17" w14:textId="6DDEDCCA">
            <w:pPr>
              <w:jc w:val="right"/>
            </w:pPr>
            <w:r w:rsidRPr="00F3411C">
              <w:t>$1,</w:t>
            </w:r>
            <w:r w:rsidRPr="00F3411C" w:rsidR="006534B7">
              <w:t>192,678,</w:t>
            </w:r>
            <w:r w:rsidRPr="00F3411C" w:rsidR="00CE4E4C">
              <w:t>072</w:t>
            </w:r>
            <w:r w:rsidRPr="00F3411C" w:rsidR="006534B7">
              <w:t>.</w:t>
            </w:r>
            <w:r w:rsidRPr="00F3411C" w:rsidR="00CE4E4C">
              <w:t>94</w:t>
            </w:r>
          </w:p>
        </w:tc>
      </w:tr>
      <w:tr w:rsidRPr="00F3411C" w:rsidR="00230A10" w:rsidTr="00CE4E4C" w14:paraId="7CAFC8C8" w14:textId="1871E0ED">
        <w:tc>
          <w:tcPr>
            <w:tcW w:w="1443" w:type="dxa"/>
          </w:tcPr>
          <w:p w:rsidRPr="00F3411C" w:rsidR="00322F76" w:rsidP="003D71E7" w:rsidRDefault="00322F76" w14:paraId="4A9A6EA3" w14:textId="4F863088">
            <w:r w:rsidRPr="00F3411C">
              <w:t>Total</w:t>
            </w:r>
          </w:p>
        </w:tc>
        <w:tc>
          <w:tcPr>
            <w:tcW w:w="1342" w:type="dxa"/>
          </w:tcPr>
          <w:p w:rsidRPr="00F3411C" w:rsidR="00322F76" w:rsidP="00CE4E4C" w:rsidRDefault="006534B7" w14:paraId="2193339D" w14:textId="048EFE45">
            <w:pPr>
              <w:jc w:val="right"/>
            </w:pPr>
            <w:r w:rsidRPr="00F3411C">
              <w:t>19,270,74</w:t>
            </w:r>
            <w:r w:rsidRPr="00F3411C" w:rsidR="00CE4E4C">
              <w:t>6.65</w:t>
            </w:r>
          </w:p>
        </w:tc>
        <w:tc>
          <w:tcPr>
            <w:tcW w:w="1350" w:type="dxa"/>
            <w:shd w:val="clear" w:color="auto" w:fill="000000" w:themeFill="text1"/>
          </w:tcPr>
          <w:p w:rsidRPr="00F3411C" w:rsidR="00322F76" w:rsidP="00CE4E4C" w:rsidRDefault="00322F76" w14:paraId="734CB4A4" w14:textId="1164DA64">
            <w:pPr>
              <w:jc w:val="right"/>
            </w:pPr>
          </w:p>
        </w:tc>
        <w:tc>
          <w:tcPr>
            <w:tcW w:w="1620" w:type="dxa"/>
          </w:tcPr>
          <w:p w:rsidRPr="00F3411C" w:rsidR="00322F76" w:rsidP="00CE4E4C" w:rsidRDefault="00823780" w14:paraId="60BAE353" w14:textId="2A851DFD">
            <w:pPr>
              <w:jc w:val="right"/>
            </w:pPr>
            <w:r w:rsidRPr="00F3411C">
              <w:t>34,388,64</w:t>
            </w:r>
            <w:r w:rsidRPr="00F3411C" w:rsidR="00CE4E4C">
              <w:t>7</w:t>
            </w:r>
            <w:r w:rsidRPr="00F3411C">
              <w:t>.4</w:t>
            </w:r>
            <w:r w:rsidRPr="00F3411C" w:rsidR="00CE4E4C">
              <w:t>0</w:t>
            </w:r>
          </w:p>
        </w:tc>
        <w:tc>
          <w:tcPr>
            <w:tcW w:w="900" w:type="dxa"/>
            <w:shd w:val="clear" w:color="auto" w:fill="000000" w:themeFill="text1"/>
          </w:tcPr>
          <w:p w:rsidRPr="00F3411C" w:rsidR="00322F76" w:rsidP="00CE4E4C" w:rsidRDefault="00322F76" w14:paraId="4BEE1BD7" w14:textId="77777777">
            <w:pPr>
              <w:jc w:val="right"/>
            </w:pPr>
          </w:p>
        </w:tc>
        <w:tc>
          <w:tcPr>
            <w:tcW w:w="2070" w:type="dxa"/>
          </w:tcPr>
          <w:p w:rsidRPr="00F3411C" w:rsidR="00322F76" w:rsidP="00CE4E4C" w:rsidRDefault="00322F76" w14:paraId="63CEA835" w14:textId="6E35903E">
            <w:pPr>
              <w:jc w:val="right"/>
            </w:pPr>
            <w:r w:rsidRPr="00F3411C">
              <w:t>$</w:t>
            </w:r>
            <w:r w:rsidRPr="00F3411C" w:rsidR="006534B7">
              <w:t>1,224,235,8</w:t>
            </w:r>
            <w:r w:rsidRPr="00F3411C" w:rsidR="00CE4E4C">
              <w:t>47</w:t>
            </w:r>
            <w:r w:rsidRPr="00F3411C" w:rsidR="006534B7">
              <w:t>.</w:t>
            </w:r>
            <w:r w:rsidRPr="00F3411C" w:rsidR="00CE4E4C">
              <w:t>44</w:t>
            </w:r>
          </w:p>
        </w:tc>
      </w:tr>
    </w:tbl>
    <w:p w:rsidRPr="00F3411C" w:rsidR="006C6737" w:rsidP="00E12FA8" w:rsidRDefault="006C6737" w14:paraId="20EEA25C" w14:textId="37B625FA"/>
    <w:p w:rsidRPr="00F3411C" w:rsidR="00B96CC9" w:rsidP="00E12FA8" w:rsidRDefault="00B96CC9" w14:paraId="61DBC9FA" w14:textId="0D1C085F">
      <w:r w:rsidRPr="00F3411C">
        <w:t xml:space="preserve">The Agency associates no additional time burden to an IR clerk to enter the vaccination into the employer’s records. This time is accounted for in the </w:t>
      </w:r>
      <w:r w:rsidRPr="00F3411C" w:rsidR="00194B8F">
        <w:t>vaccination status recordkeeping previously discussed.</w:t>
      </w:r>
    </w:p>
    <w:p w:rsidRPr="00F3411C" w:rsidR="00A427CE" w:rsidP="00A427CE" w:rsidRDefault="00A427CE" w14:paraId="09B5B226" w14:textId="222BDF13">
      <w:pPr>
        <w:rPr>
          <w:bCs/>
        </w:rPr>
      </w:pPr>
    </w:p>
    <w:p w:rsidRPr="00F3411C" w:rsidR="005F2373" w:rsidP="00A427CE" w:rsidRDefault="00D05324" w14:paraId="2C4E9B24" w14:textId="4AB415E2">
      <w:pPr>
        <w:rPr>
          <w:bCs/>
          <w:i/>
          <w:iCs/>
        </w:rPr>
      </w:pPr>
      <w:r w:rsidRPr="00F3411C">
        <w:rPr>
          <w:rFonts w:eastAsia="Arial Unicode MS"/>
          <w:bCs/>
          <w:i/>
          <w:iCs/>
          <w:color w:val="000000"/>
        </w:rPr>
        <w:t>§ 1910.501(f)(</w:t>
      </w:r>
      <w:r w:rsidRPr="00F3411C" w:rsidR="00BA6111">
        <w:rPr>
          <w:rFonts w:eastAsia="Arial Unicode MS"/>
          <w:bCs/>
          <w:i/>
          <w:iCs/>
        </w:rPr>
        <w:t>2</w:t>
      </w:r>
      <w:r w:rsidRPr="00F3411C">
        <w:rPr>
          <w:rFonts w:eastAsia="Arial Unicode MS"/>
          <w:bCs/>
          <w:i/>
          <w:iCs/>
          <w:color w:val="000000"/>
        </w:rPr>
        <w:t>)—</w:t>
      </w:r>
      <w:r w:rsidRPr="00F3411C" w:rsidR="00A427CE">
        <w:rPr>
          <w:bCs/>
          <w:i/>
          <w:iCs/>
        </w:rPr>
        <w:t xml:space="preserve">Time off for </w:t>
      </w:r>
      <w:r w:rsidRPr="00F3411C">
        <w:rPr>
          <w:bCs/>
          <w:i/>
          <w:iCs/>
        </w:rPr>
        <w:t>recovery</w:t>
      </w:r>
      <w:r w:rsidRPr="00F3411C" w:rsidR="00A427CE">
        <w:rPr>
          <w:bCs/>
          <w:i/>
          <w:iCs/>
        </w:rPr>
        <w:t>.</w:t>
      </w:r>
    </w:p>
    <w:p w:rsidRPr="00F3411C" w:rsidR="00E167A2" w:rsidP="00A427CE" w:rsidRDefault="00E167A2" w14:paraId="669FD04F" w14:textId="77777777">
      <w:pPr>
        <w:rPr>
          <w:bCs/>
          <w:i/>
          <w:iCs/>
        </w:rPr>
      </w:pPr>
    </w:p>
    <w:p w:rsidRPr="00F3411C" w:rsidR="00266EF2" w:rsidP="00E12FA8" w:rsidRDefault="005A5128" w14:paraId="0D54EA41" w14:textId="0F50E6E3">
      <w:pPr>
        <w:rPr>
          <w:bCs/>
        </w:rPr>
      </w:pPr>
      <w:r w:rsidRPr="00F3411C">
        <w:rPr>
          <w:bCs/>
        </w:rPr>
        <w:t>The Agency assumes</w:t>
      </w:r>
      <w:r w:rsidRPr="00F3411C" w:rsidR="00E167A2">
        <w:rPr>
          <w:bCs/>
        </w:rPr>
        <w:t xml:space="preserve"> </w:t>
      </w:r>
      <w:r w:rsidRPr="00F3411C">
        <w:rPr>
          <w:bCs/>
        </w:rPr>
        <w:t xml:space="preserve">4.9 percent of </w:t>
      </w:r>
      <w:r w:rsidRPr="00F3411C" w:rsidR="00E167A2">
        <w:rPr>
          <w:bCs/>
        </w:rPr>
        <w:t>the 1,137,588</w:t>
      </w:r>
      <w:r w:rsidRPr="00F3411C" w:rsidR="003F749A">
        <w:rPr>
          <w:bCs/>
        </w:rPr>
        <w:t xml:space="preserve"> employees </w:t>
      </w:r>
      <w:r w:rsidRPr="00F3411C">
        <w:rPr>
          <w:bCs/>
        </w:rPr>
        <w:t xml:space="preserve">(1,137,588 employees x 0.049 = 55,741.81 responses) </w:t>
      </w:r>
      <w:r w:rsidRPr="00F3411C" w:rsidR="003F749A">
        <w:rPr>
          <w:bCs/>
        </w:rPr>
        <w:t xml:space="preserve">administered the </w:t>
      </w:r>
      <w:r w:rsidRPr="00F3411C">
        <w:rPr>
          <w:bCs/>
        </w:rPr>
        <w:t xml:space="preserve">single dose </w:t>
      </w:r>
      <w:r w:rsidRPr="00F3411C" w:rsidR="003F749A">
        <w:rPr>
          <w:bCs/>
        </w:rPr>
        <w:t xml:space="preserve">Johnson &amp; Johnson </w:t>
      </w:r>
      <w:r w:rsidRPr="00F3411C" w:rsidR="00FD3AFA">
        <w:rPr>
          <w:bCs/>
        </w:rPr>
        <w:t>vaccine</w:t>
      </w:r>
      <w:r w:rsidRPr="00F3411C" w:rsidR="00E167A2">
        <w:rPr>
          <w:bCs/>
        </w:rPr>
        <w:t>,</w:t>
      </w:r>
      <w:r w:rsidRPr="00F3411C" w:rsidR="00FD3AFA">
        <w:rPr>
          <w:bCs/>
        </w:rPr>
        <w:t xml:space="preserve"> </w:t>
      </w:r>
      <w:r w:rsidRPr="00F3411C" w:rsidR="003F749A">
        <w:rPr>
          <w:bCs/>
        </w:rPr>
        <w:t xml:space="preserve">and </w:t>
      </w:r>
      <w:r w:rsidRPr="00F3411C">
        <w:rPr>
          <w:bCs/>
        </w:rPr>
        <w:t xml:space="preserve">12.2 percent </w:t>
      </w:r>
      <w:r w:rsidRPr="00F3411C" w:rsidR="003F749A">
        <w:rPr>
          <w:bCs/>
        </w:rPr>
        <w:t xml:space="preserve">the </w:t>
      </w:r>
      <w:r w:rsidRPr="00F3411C" w:rsidR="00A558A4">
        <w:t>21,614,179</w:t>
      </w:r>
      <w:r w:rsidRPr="00F3411C" w:rsidR="003F749A">
        <w:t xml:space="preserve"> employees </w:t>
      </w:r>
      <w:r w:rsidRPr="00F3411C">
        <w:t>(21,614,179 x 0.122 = 2,636,9</w:t>
      </w:r>
      <w:r w:rsidRPr="00F3411C" w:rsidR="00C87060">
        <w:t>29.84</w:t>
      </w:r>
      <w:r w:rsidRPr="00F3411C">
        <w:t xml:space="preserve"> responses) </w:t>
      </w:r>
      <w:r w:rsidRPr="00F3411C" w:rsidR="003F749A">
        <w:t xml:space="preserve">administered the </w:t>
      </w:r>
      <w:r w:rsidRPr="00F3411C">
        <w:t xml:space="preserve">two dose </w:t>
      </w:r>
      <w:r w:rsidRPr="00F3411C" w:rsidR="003F749A">
        <w:t>Moderna</w:t>
      </w:r>
      <w:r w:rsidRPr="00F3411C" w:rsidR="00CA366A">
        <w:t xml:space="preserve"> or </w:t>
      </w:r>
      <w:r w:rsidRPr="00F3411C" w:rsidR="003F749A">
        <w:t>Pfizer</w:t>
      </w:r>
      <w:r w:rsidRPr="00F3411C" w:rsidR="00FD3AFA">
        <w:t xml:space="preserve"> vaccine</w:t>
      </w:r>
      <w:r w:rsidRPr="00F3411C" w:rsidR="00A558A4">
        <w:rPr>
          <w:bCs/>
        </w:rPr>
        <w:t xml:space="preserve"> will need</w:t>
      </w:r>
      <w:r w:rsidRPr="00F3411C" w:rsidR="00E167A2">
        <w:t xml:space="preserve"> recovery time off from work</w:t>
      </w:r>
      <w:r w:rsidRPr="00F3411C" w:rsidR="004C6722">
        <w:rPr>
          <w:bCs/>
        </w:rPr>
        <w:t>.</w:t>
      </w:r>
      <w:r w:rsidRPr="00F3411C" w:rsidR="00266EF2">
        <w:rPr>
          <w:bCs/>
        </w:rPr>
        <w:t xml:space="preserve"> </w:t>
      </w:r>
      <w:r w:rsidRPr="00F3411C" w:rsidR="00FA0918">
        <w:t xml:space="preserve">An IR clerk making $36.94 an hour will need </w:t>
      </w:r>
      <w:r w:rsidRPr="00F3411C">
        <w:t xml:space="preserve">five minutes (0.08 hours) </w:t>
      </w:r>
      <w:r w:rsidRPr="00F3411C" w:rsidR="009D4B03">
        <w:t xml:space="preserve">to </w:t>
      </w:r>
      <w:r w:rsidRPr="00F3411C" w:rsidR="00FA0918">
        <w:t>record the amount of time each employee is taking for recovery.</w:t>
      </w:r>
    </w:p>
    <w:p w:rsidRPr="00F3411C" w:rsidR="00266EF2" w:rsidP="00E12FA8" w:rsidRDefault="00266EF2" w14:paraId="72AC2156" w14:textId="2207367C">
      <w:pPr>
        <w:rPr>
          <w:bCs/>
        </w:rPr>
      </w:pPr>
    </w:p>
    <w:p w:rsidRPr="00F3411C" w:rsidR="00C34038" w:rsidP="00E12FA8" w:rsidRDefault="00C34038" w14:paraId="09734218" w14:textId="369281E5">
      <w:pPr>
        <w:rPr>
          <w:bCs/>
        </w:rPr>
      </w:pPr>
      <w:r w:rsidRPr="00F3411C">
        <w:rPr>
          <w:b/>
        </w:rPr>
        <w:t xml:space="preserve">Table </w:t>
      </w:r>
      <w:r w:rsidRPr="00F3411C" w:rsidR="00EC1D60">
        <w:rPr>
          <w:b/>
        </w:rPr>
        <w:t>D</w:t>
      </w:r>
      <w:r w:rsidRPr="00F3411C" w:rsidR="00A427CE">
        <w:rPr>
          <w:b/>
        </w:rPr>
        <w:t>—</w:t>
      </w:r>
      <w:r w:rsidRPr="00F3411C" w:rsidR="00933E6E">
        <w:rPr>
          <w:b/>
        </w:rPr>
        <w:t xml:space="preserve">Recording the </w:t>
      </w:r>
      <w:r w:rsidRPr="00F3411C">
        <w:rPr>
          <w:b/>
        </w:rPr>
        <w:t>Time-off for Recovery</w:t>
      </w:r>
    </w:p>
    <w:p w:rsidRPr="00F3411C" w:rsidR="00C34038" w:rsidP="00E12FA8" w:rsidRDefault="00C34038" w14:paraId="7D88F821" w14:textId="6842CE86">
      <w:pPr>
        <w:rPr>
          <w:bCs/>
        </w:rPr>
      </w:pPr>
    </w:p>
    <w:tbl>
      <w:tblPr>
        <w:tblStyle w:val="TableGrid"/>
        <w:tblW w:w="0" w:type="auto"/>
        <w:tblLook w:val="04A0" w:firstRow="1" w:lastRow="0" w:firstColumn="1" w:lastColumn="0" w:noHBand="0" w:noVBand="1"/>
      </w:tblPr>
      <w:tblGrid>
        <w:gridCol w:w="1443"/>
        <w:gridCol w:w="1476"/>
        <w:gridCol w:w="1507"/>
        <w:gridCol w:w="1801"/>
        <w:gridCol w:w="876"/>
        <w:gridCol w:w="2247"/>
      </w:tblGrid>
      <w:tr w:rsidRPr="00F3411C" w:rsidR="00FA0918" w:rsidTr="00BE0107" w14:paraId="5CC8E995" w14:textId="60C988E9">
        <w:tc>
          <w:tcPr>
            <w:tcW w:w="1236" w:type="dxa"/>
            <w:shd w:val="clear" w:color="auto" w:fill="C6D9F1" w:themeFill="text2" w:themeFillTint="33"/>
          </w:tcPr>
          <w:p w:rsidRPr="00F3411C" w:rsidR="00E33632" w:rsidP="00E33632" w:rsidRDefault="00E33632" w14:paraId="6AF4FCF6" w14:textId="3EB4DD49">
            <w:pPr>
              <w:rPr>
                <w:bCs/>
              </w:rPr>
            </w:pPr>
            <w:r w:rsidRPr="00F3411C">
              <w:rPr>
                <w:b/>
              </w:rPr>
              <w:t>Type of Vaccination</w:t>
            </w:r>
          </w:p>
        </w:tc>
        <w:tc>
          <w:tcPr>
            <w:tcW w:w="1135" w:type="dxa"/>
            <w:shd w:val="clear" w:color="auto" w:fill="C6D9F1" w:themeFill="text2" w:themeFillTint="33"/>
          </w:tcPr>
          <w:p w:rsidRPr="00F3411C" w:rsidR="00E33632" w:rsidP="00E33632" w:rsidRDefault="00E33632" w14:paraId="539956FD" w14:textId="79AD761C">
            <w:pPr>
              <w:rPr>
                <w:bCs/>
              </w:rPr>
            </w:pPr>
            <w:r w:rsidRPr="00F3411C">
              <w:rPr>
                <w:b/>
              </w:rPr>
              <w:t xml:space="preserve">Number of </w:t>
            </w:r>
            <w:r w:rsidRPr="00F3411C" w:rsidR="005A5128">
              <w:rPr>
                <w:b/>
              </w:rPr>
              <w:t>Responses</w:t>
            </w:r>
          </w:p>
        </w:tc>
        <w:tc>
          <w:tcPr>
            <w:tcW w:w="1599" w:type="dxa"/>
            <w:shd w:val="clear" w:color="auto" w:fill="C6D9F1" w:themeFill="text2" w:themeFillTint="33"/>
          </w:tcPr>
          <w:p w:rsidRPr="00F3411C" w:rsidR="00E33632" w:rsidP="00E33632" w:rsidRDefault="00DA7371" w14:paraId="3CAAF7DC" w14:textId="3AA6D85E">
            <w:pPr>
              <w:rPr>
                <w:b/>
                <w:bCs/>
              </w:rPr>
            </w:pPr>
            <w:r w:rsidRPr="00F3411C">
              <w:rPr>
                <w:b/>
                <w:bCs/>
              </w:rPr>
              <w:t xml:space="preserve">Recording the </w:t>
            </w:r>
            <w:r w:rsidRPr="00F3411C" w:rsidR="00E33632">
              <w:rPr>
                <w:b/>
                <w:bCs/>
              </w:rPr>
              <w:t xml:space="preserve">Time-off </w:t>
            </w:r>
            <w:r w:rsidRPr="00F3411C">
              <w:rPr>
                <w:b/>
                <w:bCs/>
              </w:rPr>
              <w:t xml:space="preserve">for </w:t>
            </w:r>
            <w:r w:rsidRPr="00F3411C" w:rsidR="00FA0918">
              <w:rPr>
                <w:b/>
                <w:bCs/>
              </w:rPr>
              <w:t>recover</w:t>
            </w:r>
            <w:r w:rsidRPr="00F3411C" w:rsidR="00BE0107">
              <w:rPr>
                <w:b/>
                <w:bCs/>
              </w:rPr>
              <w:t>y</w:t>
            </w:r>
          </w:p>
        </w:tc>
        <w:tc>
          <w:tcPr>
            <w:tcW w:w="2009" w:type="dxa"/>
            <w:shd w:val="clear" w:color="auto" w:fill="C6D9F1" w:themeFill="text2" w:themeFillTint="33"/>
          </w:tcPr>
          <w:p w:rsidRPr="00F3411C" w:rsidR="00E33632" w:rsidP="00E33632" w:rsidRDefault="00E33632" w14:paraId="05F3857F" w14:textId="0545CA93">
            <w:pPr>
              <w:rPr>
                <w:bCs/>
              </w:rPr>
            </w:pPr>
            <w:r w:rsidRPr="00F3411C">
              <w:rPr>
                <w:b/>
              </w:rPr>
              <w:t>Burden hours</w:t>
            </w:r>
          </w:p>
        </w:tc>
        <w:tc>
          <w:tcPr>
            <w:tcW w:w="856" w:type="dxa"/>
            <w:shd w:val="clear" w:color="auto" w:fill="C6D9F1" w:themeFill="text2" w:themeFillTint="33"/>
          </w:tcPr>
          <w:p w:rsidRPr="00F3411C" w:rsidR="00E33632" w:rsidP="00BE0107" w:rsidRDefault="00E33632" w14:paraId="6A55130E" w14:textId="2F386F6D">
            <w:pPr>
              <w:rPr>
                <w:bCs/>
              </w:rPr>
            </w:pPr>
            <w:r w:rsidRPr="00F3411C">
              <w:rPr>
                <w:b/>
              </w:rPr>
              <w:t>Wage Rate</w:t>
            </w:r>
          </w:p>
        </w:tc>
        <w:tc>
          <w:tcPr>
            <w:tcW w:w="2515" w:type="dxa"/>
            <w:shd w:val="clear" w:color="auto" w:fill="C6D9F1" w:themeFill="text2" w:themeFillTint="33"/>
          </w:tcPr>
          <w:p w:rsidRPr="00F3411C" w:rsidR="00E33632" w:rsidP="00E33632" w:rsidRDefault="00E33632" w14:paraId="231249D7" w14:textId="3E79C6B9">
            <w:pPr>
              <w:rPr>
                <w:bCs/>
              </w:rPr>
            </w:pPr>
            <w:r w:rsidRPr="00F3411C">
              <w:rPr>
                <w:b/>
              </w:rPr>
              <w:t>Cost</w:t>
            </w:r>
          </w:p>
        </w:tc>
      </w:tr>
      <w:tr w:rsidRPr="00F3411C" w:rsidR="00FA0918" w:rsidTr="00BE0107" w14:paraId="7C92C0AB" w14:textId="775F503D">
        <w:tc>
          <w:tcPr>
            <w:tcW w:w="1236" w:type="dxa"/>
          </w:tcPr>
          <w:p w:rsidRPr="00F3411C" w:rsidR="00E33632" w:rsidP="00BA6111" w:rsidRDefault="00E33632" w14:paraId="22B5EFBE" w14:textId="038063FA">
            <w:pPr>
              <w:rPr>
                <w:bCs/>
              </w:rPr>
            </w:pPr>
            <w:r w:rsidRPr="00F3411C">
              <w:t xml:space="preserve">Johnson &amp; Johnson </w:t>
            </w:r>
          </w:p>
        </w:tc>
        <w:tc>
          <w:tcPr>
            <w:tcW w:w="1135" w:type="dxa"/>
          </w:tcPr>
          <w:p w:rsidRPr="00F3411C" w:rsidR="00E33632" w:rsidP="00CE4E4C" w:rsidRDefault="00DA7371" w14:paraId="38BB141B" w14:textId="3BD6082E">
            <w:pPr>
              <w:jc w:val="right"/>
              <w:rPr>
                <w:bCs/>
              </w:rPr>
            </w:pPr>
            <w:r w:rsidRPr="00F3411C">
              <w:t>55,74</w:t>
            </w:r>
            <w:r w:rsidRPr="00F3411C" w:rsidR="00843B98">
              <w:t>1.81</w:t>
            </w:r>
          </w:p>
        </w:tc>
        <w:tc>
          <w:tcPr>
            <w:tcW w:w="1599" w:type="dxa"/>
          </w:tcPr>
          <w:p w:rsidRPr="00F3411C" w:rsidR="00E33632" w:rsidP="00CE4E4C" w:rsidRDefault="00DA7371" w14:paraId="7BFF1F9B" w14:textId="2734A90C">
            <w:pPr>
              <w:jc w:val="right"/>
              <w:rPr>
                <w:bCs/>
              </w:rPr>
            </w:pPr>
            <w:r w:rsidRPr="00F3411C">
              <w:rPr>
                <w:bCs/>
              </w:rPr>
              <w:t>0.0</w:t>
            </w:r>
            <w:r w:rsidRPr="00F3411C" w:rsidR="00E33632">
              <w:rPr>
                <w:bCs/>
              </w:rPr>
              <w:t>8 hours</w:t>
            </w:r>
          </w:p>
        </w:tc>
        <w:tc>
          <w:tcPr>
            <w:tcW w:w="2009" w:type="dxa"/>
          </w:tcPr>
          <w:p w:rsidRPr="00F3411C" w:rsidR="00E33632" w:rsidP="00CE4E4C" w:rsidRDefault="00FA0918" w14:paraId="056C684F" w14:textId="784C3A3D">
            <w:pPr>
              <w:jc w:val="right"/>
              <w:rPr>
                <w:bCs/>
              </w:rPr>
            </w:pPr>
            <w:r w:rsidRPr="00F3411C">
              <w:rPr>
                <w:bCs/>
              </w:rPr>
              <w:t>4,459.3</w:t>
            </w:r>
            <w:r w:rsidRPr="00F3411C" w:rsidR="00843B98">
              <w:rPr>
                <w:bCs/>
              </w:rPr>
              <w:t>4</w:t>
            </w:r>
          </w:p>
        </w:tc>
        <w:tc>
          <w:tcPr>
            <w:tcW w:w="856" w:type="dxa"/>
          </w:tcPr>
          <w:p w:rsidRPr="00F3411C" w:rsidR="00E33632" w:rsidP="00CE4E4C" w:rsidRDefault="00E33632" w14:paraId="2AEA60DD" w14:textId="4774F913">
            <w:pPr>
              <w:jc w:val="right"/>
              <w:rPr>
                <w:bCs/>
              </w:rPr>
            </w:pPr>
            <w:r w:rsidRPr="00F3411C">
              <w:t>$</w:t>
            </w:r>
            <w:r w:rsidRPr="00F3411C" w:rsidR="00DA7371">
              <w:t>36.94</w:t>
            </w:r>
          </w:p>
        </w:tc>
        <w:tc>
          <w:tcPr>
            <w:tcW w:w="2515" w:type="dxa"/>
          </w:tcPr>
          <w:p w:rsidRPr="00F3411C" w:rsidR="00E33632" w:rsidP="00CE4E4C" w:rsidRDefault="004C6722" w14:paraId="109F8A75" w14:textId="4B8E30D4">
            <w:pPr>
              <w:jc w:val="right"/>
              <w:rPr>
                <w:bCs/>
              </w:rPr>
            </w:pPr>
            <w:r w:rsidRPr="00F3411C">
              <w:rPr>
                <w:bCs/>
              </w:rPr>
              <w:t>$</w:t>
            </w:r>
            <w:r w:rsidRPr="00F3411C" w:rsidR="00FA0918">
              <w:rPr>
                <w:bCs/>
              </w:rPr>
              <w:t>164,728.</w:t>
            </w:r>
            <w:r w:rsidRPr="00F3411C" w:rsidR="00843B98">
              <w:rPr>
                <w:bCs/>
              </w:rPr>
              <w:t>02</w:t>
            </w:r>
          </w:p>
        </w:tc>
      </w:tr>
      <w:tr w:rsidRPr="00F3411C" w:rsidR="00FA0918" w:rsidTr="00BE0107" w14:paraId="78A60A64" w14:textId="3524DCE7">
        <w:tc>
          <w:tcPr>
            <w:tcW w:w="1236" w:type="dxa"/>
          </w:tcPr>
          <w:p w:rsidRPr="00F3411C" w:rsidR="00DA7371" w:rsidP="00DA7371" w:rsidRDefault="00DA7371" w14:paraId="24F65DC7" w14:textId="46399E7C">
            <w:pPr>
              <w:rPr>
                <w:bCs/>
              </w:rPr>
            </w:pPr>
            <w:r w:rsidRPr="00F3411C">
              <w:t xml:space="preserve">Moderna / Pfizer </w:t>
            </w:r>
          </w:p>
        </w:tc>
        <w:tc>
          <w:tcPr>
            <w:tcW w:w="1135" w:type="dxa"/>
          </w:tcPr>
          <w:p w:rsidRPr="00F3411C" w:rsidR="00DA7371" w:rsidP="00CE4E4C" w:rsidRDefault="00DA7371" w14:paraId="1A78664C" w14:textId="54969A28">
            <w:pPr>
              <w:jc w:val="right"/>
              <w:rPr>
                <w:bCs/>
              </w:rPr>
            </w:pPr>
            <w:r w:rsidRPr="00F3411C">
              <w:t>2,636,9</w:t>
            </w:r>
            <w:r w:rsidRPr="00F3411C" w:rsidR="00843B98">
              <w:t>29.84</w:t>
            </w:r>
          </w:p>
        </w:tc>
        <w:tc>
          <w:tcPr>
            <w:tcW w:w="1599" w:type="dxa"/>
          </w:tcPr>
          <w:p w:rsidRPr="00F3411C" w:rsidR="00DA7371" w:rsidP="00CE4E4C" w:rsidRDefault="00DA7371" w14:paraId="17F944A2" w14:textId="031CBAA0">
            <w:pPr>
              <w:jc w:val="right"/>
              <w:rPr>
                <w:bCs/>
              </w:rPr>
            </w:pPr>
            <w:r w:rsidRPr="00F3411C">
              <w:rPr>
                <w:bCs/>
              </w:rPr>
              <w:t>0.08 hours</w:t>
            </w:r>
          </w:p>
        </w:tc>
        <w:tc>
          <w:tcPr>
            <w:tcW w:w="2009" w:type="dxa"/>
          </w:tcPr>
          <w:p w:rsidRPr="00F3411C" w:rsidR="00DA7371" w:rsidP="00CE4E4C" w:rsidRDefault="000208A2" w14:paraId="50CAB838" w14:textId="12757F48">
            <w:pPr>
              <w:jc w:val="right"/>
              <w:rPr>
                <w:bCs/>
              </w:rPr>
            </w:pPr>
            <w:r w:rsidRPr="00F3411C">
              <w:rPr>
                <w:bCs/>
              </w:rPr>
              <w:t>210,954.</w:t>
            </w:r>
            <w:r w:rsidRPr="00F3411C" w:rsidR="00843B98">
              <w:rPr>
                <w:bCs/>
              </w:rPr>
              <w:t>39</w:t>
            </w:r>
          </w:p>
        </w:tc>
        <w:tc>
          <w:tcPr>
            <w:tcW w:w="856" w:type="dxa"/>
          </w:tcPr>
          <w:p w:rsidRPr="00F3411C" w:rsidR="00DA7371" w:rsidP="00CE4E4C" w:rsidRDefault="00DA7371" w14:paraId="0C0A0D1F" w14:textId="0FAD3320">
            <w:pPr>
              <w:jc w:val="right"/>
              <w:rPr>
                <w:bCs/>
              </w:rPr>
            </w:pPr>
            <w:r w:rsidRPr="00F3411C">
              <w:t>$36.94</w:t>
            </w:r>
          </w:p>
        </w:tc>
        <w:tc>
          <w:tcPr>
            <w:tcW w:w="2515" w:type="dxa"/>
          </w:tcPr>
          <w:p w:rsidRPr="00F3411C" w:rsidR="00DA7371" w:rsidP="00CE4E4C" w:rsidRDefault="00DA7371" w14:paraId="5FDCAB32" w14:textId="03465B69">
            <w:pPr>
              <w:jc w:val="right"/>
              <w:rPr>
                <w:bCs/>
              </w:rPr>
            </w:pPr>
            <w:r w:rsidRPr="00F3411C">
              <w:rPr>
                <w:bCs/>
              </w:rPr>
              <w:t>$</w:t>
            </w:r>
            <w:r w:rsidRPr="00F3411C" w:rsidR="000208A2">
              <w:rPr>
                <w:bCs/>
              </w:rPr>
              <w:t>7,792</w:t>
            </w:r>
            <w:r w:rsidRPr="00F3411C" w:rsidR="00FA0918">
              <w:rPr>
                <w:bCs/>
              </w:rPr>
              <w:t>,655.</w:t>
            </w:r>
            <w:r w:rsidRPr="00F3411C" w:rsidR="00843B98">
              <w:rPr>
                <w:bCs/>
              </w:rPr>
              <w:t>17</w:t>
            </w:r>
          </w:p>
        </w:tc>
      </w:tr>
      <w:tr w:rsidRPr="00F3411C" w:rsidR="00FA0918" w:rsidTr="00CE4E4C" w14:paraId="17B3C492" w14:textId="4D3CC936">
        <w:tc>
          <w:tcPr>
            <w:tcW w:w="1236" w:type="dxa"/>
          </w:tcPr>
          <w:p w:rsidRPr="00F3411C" w:rsidR="00E33632" w:rsidP="00E12FA8" w:rsidRDefault="0023157E" w14:paraId="14E99E02" w14:textId="1BED5576">
            <w:pPr>
              <w:rPr>
                <w:bCs/>
              </w:rPr>
            </w:pPr>
            <w:r w:rsidRPr="00F3411C">
              <w:rPr>
                <w:bCs/>
              </w:rPr>
              <w:t>Total</w:t>
            </w:r>
          </w:p>
        </w:tc>
        <w:tc>
          <w:tcPr>
            <w:tcW w:w="1135" w:type="dxa"/>
          </w:tcPr>
          <w:p w:rsidRPr="00F3411C" w:rsidR="00E33632" w:rsidP="00CE4E4C" w:rsidRDefault="00C87060" w14:paraId="615F79FB" w14:textId="318FC166">
            <w:pPr>
              <w:jc w:val="right"/>
              <w:rPr>
                <w:bCs/>
              </w:rPr>
            </w:pPr>
            <w:r w:rsidRPr="00F3411C">
              <w:rPr>
                <w:bCs/>
              </w:rPr>
              <w:t>2,692,67</w:t>
            </w:r>
            <w:r w:rsidRPr="00F3411C" w:rsidR="00843B98">
              <w:rPr>
                <w:bCs/>
              </w:rPr>
              <w:t>1.65</w:t>
            </w:r>
          </w:p>
        </w:tc>
        <w:tc>
          <w:tcPr>
            <w:tcW w:w="1599" w:type="dxa"/>
            <w:shd w:val="clear" w:color="auto" w:fill="000000" w:themeFill="text1"/>
          </w:tcPr>
          <w:p w:rsidRPr="00F3411C" w:rsidR="00E33632" w:rsidP="00CE4E4C" w:rsidRDefault="00E33632" w14:paraId="26D7886C" w14:textId="09498751">
            <w:pPr>
              <w:jc w:val="right"/>
              <w:rPr>
                <w:bCs/>
              </w:rPr>
            </w:pPr>
          </w:p>
        </w:tc>
        <w:tc>
          <w:tcPr>
            <w:tcW w:w="2009" w:type="dxa"/>
          </w:tcPr>
          <w:p w:rsidRPr="00F3411C" w:rsidR="00E33632" w:rsidP="00CE4E4C" w:rsidRDefault="00FA0918" w14:paraId="359962D7" w14:textId="6F864A67">
            <w:pPr>
              <w:jc w:val="right"/>
              <w:rPr>
                <w:bCs/>
              </w:rPr>
            </w:pPr>
            <w:r w:rsidRPr="00F3411C">
              <w:rPr>
                <w:bCs/>
              </w:rPr>
              <w:t>215,413.7</w:t>
            </w:r>
            <w:r w:rsidRPr="00F3411C" w:rsidR="00843B98">
              <w:rPr>
                <w:bCs/>
              </w:rPr>
              <w:t>3</w:t>
            </w:r>
          </w:p>
        </w:tc>
        <w:tc>
          <w:tcPr>
            <w:tcW w:w="856" w:type="dxa"/>
            <w:shd w:val="clear" w:color="auto" w:fill="000000" w:themeFill="text1"/>
          </w:tcPr>
          <w:p w:rsidRPr="00F3411C" w:rsidR="00E33632" w:rsidP="00CE4E4C" w:rsidRDefault="00E33632" w14:paraId="58719025" w14:textId="18086CFD">
            <w:pPr>
              <w:jc w:val="right"/>
              <w:rPr>
                <w:bCs/>
              </w:rPr>
            </w:pPr>
          </w:p>
        </w:tc>
        <w:tc>
          <w:tcPr>
            <w:tcW w:w="2515" w:type="dxa"/>
          </w:tcPr>
          <w:p w:rsidRPr="00F3411C" w:rsidR="00E33632" w:rsidP="00CE4E4C" w:rsidRDefault="004C6722" w14:paraId="230A3315" w14:textId="35E9B0CD">
            <w:pPr>
              <w:jc w:val="right"/>
              <w:rPr>
                <w:bCs/>
              </w:rPr>
            </w:pPr>
            <w:r w:rsidRPr="00F3411C">
              <w:rPr>
                <w:bCs/>
              </w:rPr>
              <w:t>$</w:t>
            </w:r>
            <w:r w:rsidRPr="00F3411C" w:rsidR="00FA0918">
              <w:rPr>
                <w:bCs/>
              </w:rPr>
              <w:t>7,957,38</w:t>
            </w:r>
            <w:r w:rsidRPr="00F3411C" w:rsidR="00843B98">
              <w:rPr>
                <w:bCs/>
              </w:rPr>
              <w:t>3</w:t>
            </w:r>
            <w:r w:rsidRPr="00F3411C" w:rsidR="00FA0918">
              <w:rPr>
                <w:bCs/>
              </w:rPr>
              <w:t>.</w:t>
            </w:r>
            <w:r w:rsidRPr="00F3411C" w:rsidR="00843B98">
              <w:rPr>
                <w:bCs/>
              </w:rPr>
              <w:t>1</w:t>
            </w:r>
            <w:r w:rsidRPr="00F3411C" w:rsidR="00FA0918">
              <w:rPr>
                <w:bCs/>
              </w:rPr>
              <w:t>9</w:t>
            </w:r>
          </w:p>
        </w:tc>
      </w:tr>
    </w:tbl>
    <w:p w:rsidR="00F3411C" w:rsidP="00E12FA8" w:rsidRDefault="00F3411C" w14:paraId="28B5D680" w14:textId="65587122">
      <w:pPr>
        <w:rPr>
          <w:bCs/>
        </w:rPr>
      </w:pPr>
    </w:p>
    <w:p w:rsidRPr="00F3411C" w:rsidR="00E12FA8" w:rsidP="00F3411C" w:rsidRDefault="00F3411C" w14:paraId="1766FF2F" w14:textId="0CE265A9">
      <w:pPr>
        <w:autoSpaceDE/>
        <w:autoSpaceDN/>
        <w:spacing w:after="200" w:line="276" w:lineRule="auto"/>
        <w:rPr>
          <w:bCs/>
        </w:rPr>
      </w:pPr>
      <w:r>
        <w:rPr>
          <w:bCs/>
        </w:rPr>
        <w:br w:type="page"/>
      </w:r>
    </w:p>
    <w:p w:rsidRPr="00F3411C" w:rsidR="00E12FA8" w:rsidP="00E12FA8" w:rsidRDefault="00C3554F" w14:paraId="134BB056" w14:textId="32F78D41">
      <w:pPr>
        <w:ind w:left="360" w:hanging="360"/>
        <w:rPr>
          <w:b/>
          <w:bCs/>
        </w:rPr>
      </w:pPr>
      <w:r w:rsidRPr="00F3411C">
        <w:rPr>
          <w:rFonts w:eastAsia="Arial Unicode MS"/>
          <w:b/>
          <w:color w:val="000000"/>
        </w:rPr>
        <w:t xml:space="preserve">4. </w:t>
      </w:r>
      <w:r w:rsidRPr="00F3411C">
        <w:rPr>
          <w:b/>
          <w:bCs/>
        </w:rPr>
        <w:t>COVID-19 testing for employees who are not fully vaccinated.</w:t>
      </w:r>
    </w:p>
    <w:p w:rsidRPr="00F3411C" w:rsidR="00C3554F" w:rsidP="00E12FA8" w:rsidRDefault="00C3554F" w14:paraId="5F715557" w14:textId="77C884E5">
      <w:pPr>
        <w:ind w:left="360" w:hanging="360"/>
        <w:rPr>
          <w:rFonts w:eastAsia="Arial Unicode MS"/>
          <w:b/>
          <w:color w:val="000000"/>
        </w:rPr>
      </w:pPr>
    </w:p>
    <w:p w:rsidRPr="00F3411C" w:rsidR="00220B49" w:rsidP="00220B49" w:rsidRDefault="00220B49" w14:paraId="0BD4085D" w14:textId="11672543">
      <w:pPr>
        <w:rPr>
          <w:bCs/>
          <w:i/>
          <w:iCs/>
        </w:rPr>
      </w:pPr>
      <w:bookmarkStart w:name="_Hlk86762092" w:id="8"/>
      <w:r w:rsidRPr="00F3411C">
        <w:rPr>
          <w:rFonts w:eastAsia="Arial Unicode MS"/>
          <w:bCs/>
          <w:i/>
          <w:iCs/>
          <w:color w:val="000000"/>
        </w:rPr>
        <w:t>§ 1910.501</w:t>
      </w:r>
      <w:r w:rsidRPr="00F3411C">
        <w:rPr>
          <w:bCs/>
          <w:i/>
          <w:iCs/>
        </w:rPr>
        <w:t>(g)(1)—Employee weekly testing.</w:t>
      </w:r>
    </w:p>
    <w:p w:rsidRPr="00F3411C" w:rsidR="00220B49" w:rsidP="00220B49" w:rsidRDefault="00220B49" w14:paraId="60518A5C" w14:textId="77777777"/>
    <w:p w:rsidR="00F02158" w:rsidP="00220B49" w:rsidRDefault="00A877A8" w14:paraId="159BC4FD" w14:textId="07AD2054">
      <w:pPr>
        <w:pStyle w:val="CommentText"/>
        <w:rPr>
          <w:sz w:val="24"/>
          <w:szCs w:val="24"/>
        </w:rPr>
      </w:pPr>
      <w:r>
        <w:rPr>
          <w:sz w:val="24"/>
          <w:szCs w:val="24"/>
        </w:rPr>
        <w:t xml:space="preserve">Consistent with the feasibility analysis, </w:t>
      </w:r>
      <w:r w:rsidRPr="00F3411C" w:rsidR="00220B49">
        <w:rPr>
          <w:sz w:val="24"/>
          <w:szCs w:val="24"/>
        </w:rPr>
        <w:t xml:space="preserve">OSHA has excluded burdens </w:t>
      </w:r>
      <w:r w:rsidRPr="00F3411C" w:rsidR="00736BF9">
        <w:rPr>
          <w:sz w:val="24"/>
          <w:szCs w:val="24"/>
        </w:rPr>
        <w:t xml:space="preserve">when </w:t>
      </w:r>
      <w:r w:rsidRPr="00F3411C" w:rsidR="00220B49">
        <w:rPr>
          <w:sz w:val="24"/>
          <w:szCs w:val="24"/>
        </w:rPr>
        <w:t xml:space="preserve">employees opt to </w:t>
      </w:r>
      <w:r w:rsidRPr="00F3411C" w:rsidR="00516367">
        <w:rPr>
          <w:sz w:val="24"/>
          <w:szCs w:val="24"/>
        </w:rPr>
        <w:t xml:space="preserve">forego vaccination </w:t>
      </w:r>
      <w:r w:rsidRPr="00F3411C" w:rsidR="00480005">
        <w:rPr>
          <w:sz w:val="24"/>
          <w:szCs w:val="24"/>
        </w:rPr>
        <w:t xml:space="preserve">at no cost to the worker </w:t>
      </w:r>
      <w:r w:rsidRPr="00F3411C" w:rsidR="00516367">
        <w:rPr>
          <w:sz w:val="24"/>
          <w:szCs w:val="24"/>
        </w:rPr>
        <w:t xml:space="preserve">and </w:t>
      </w:r>
      <w:r w:rsidRPr="00F3411C" w:rsidR="00220B49">
        <w:rPr>
          <w:sz w:val="24"/>
          <w:szCs w:val="24"/>
        </w:rPr>
        <w:t>pursue a more expensive option</w:t>
      </w:r>
      <w:r w:rsidRPr="00F3411C" w:rsidR="00736BF9">
        <w:rPr>
          <w:sz w:val="24"/>
          <w:szCs w:val="24"/>
        </w:rPr>
        <w:t xml:space="preserve"> (testing)</w:t>
      </w:r>
      <w:r w:rsidRPr="00F3411C" w:rsidR="00220B49">
        <w:rPr>
          <w:sz w:val="24"/>
          <w:szCs w:val="24"/>
        </w:rPr>
        <w:t xml:space="preserve"> for their own purposes. </w:t>
      </w:r>
      <w:r w:rsidR="00F02158">
        <w:rPr>
          <w:sz w:val="24"/>
          <w:szCs w:val="24"/>
        </w:rPr>
        <w:t>OSHA has accounted for the cost of providing proof of vaccination for these workers.</w:t>
      </w:r>
    </w:p>
    <w:p w:rsidR="00F02158" w:rsidP="00220B49" w:rsidRDefault="00F02158" w14:paraId="361D8E7D" w14:textId="77777777">
      <w:pPr>
        <w:pStyle w:val="CommentText"/>
        <w:rPr>
          <w:sz w:val="24"/>
          <w:szCs w:val="24"/>
        </w:rPr>
      </w:pPr>
    </w:p>
    <w:p w:rsidRPr="00F3411C" w:rsidR="00220B49" w:rsidP="00220B49" w:rsidRDefault="00736BF9" w14:paraId="3335DC91" w14:textId="466B9AE4">
      <w:pPr>
        <w:pStyle w:val="CommentText"/>
        <w:rPr>
          <w:sz w:val="24"/>
          <w:szCs w:val="24"/>
        </w:rPr>
      </w:pPr>
      <w:r w:rsidRPr="00F3411C">
        <w:rPr>
          <w:sz w:val="24"/>
          <w:szCs w:val="24"/>
        </w:rPr>
        <w:t>As noted</w:t>
      </w:r>
      <w:r w:rsidRPr="00F3411C" w:rsidR="00220B49">
        <w:rPr>
          <w:sz w:val="24"/>
          <w:szCs w:val="24"/>
        </w:rPr>
        <w:t xml:space="preserve"> in the Alternative Accommodation Cost analysis of accommodation costs attributable to the ADA or other non-OSHA laws, </w:t>
      </w:r>
      <w:r w:rsidRPr="00F3411C">
        <w:rPr>
          <w:sz w:val="24"/>
          <w:szCs w:val="24"/>
        </w:rPr>
        <w:t xml:space="preserve">some employees may receive an exemption or reasonable accommodation from vaccination. For the purposes of this analysis, OSHA treats those employees as if they do not have the option to get vaccinated. As such, </w:t>
      </w:r>
      <w:r w:rsidRPr="00F3411C" w:rsidR="00220B49">
        <w:rPr>
          <w:sz w:val="24"/>
          <w:szCs w:val="24"/>
        </w:rPr>
        <w:t xml:space="preserve">OSHA focuses exclusively on the testing for the </w:t>
      </w:r>
      <w:r w:rsidRPr="00F3411C" w:rsidR="00D44F5A">
        <w:rPr>
          <w:sz w:val="24"/>
          <w:szCs w:val="24"/>
        </w:rPr>
        <w:t>3.9 percent</w:t>
      </w:r>
      <w:r w:rsidRPr="00F3411C" w:rsidR="00220B49">
        <w:rPr>
          <w:sz w:val="24"/>
          <w:szCs w:val="24"/>
        </w:rPr>
        <w:t xml:space="preserve"> (3,270,971</w:t>
      </w:r>
      <w:r w:rsidRPr="00F3411C" w:rsidR="008E3B50">
        <w:rPr>
          <w:sz w:val="24"/>
          <w:szCs w:val="24"/>
        </w:rPr>
        <w:t xml:space="preserve"> </w:t>
      </w:r>
      <w:r w:rsidRPr="00F3411C" w:rsidR="00220B49">
        <w:rPr>
          <w:sz w:val="24"/>
          <w:szCs w:val="24"/>
        </w:rPr>
        <w:t xml:space="preserve">employees) of unvaccinated employees that OSHA estimates will not be vaccinated because of </w:t>
      </w:r>
      <w:r w:rsidRPr="00F3411C">
        <w:rPr>
          <w:sz w:val="24"/>
          <w:szCs w:val="24"/>
        </w:rPr>
        <w:t xml:space="preserve">reasonable </w:t>
      </w:r>
      <w:r w:rsidRPr="00F3411C" w:rsidR="00220B49">
        <w:rPr>
          <w:sz w:val="24"/>
          <w:szCs w:val="24"/>
        </w:rPr>
        <w:t xml:space="preserve">accommodations or medical contraindications. </w:t>
      </w:r>
    </w:p>
    <w:p w:rsidRPr="00F3411C" w:rsidR="00220B49" w:rsidP="00220B49" w:rsidRDefault="00220B49" w14:paraId="345B64CB" w14:textId="77777777">
      <w:pPr>
        <w:pStyle w:val="CommentText"/>
        <w:rPr>
          <w:sz w:val="24"/>
          <w:szCs w:val="24"/>
        </w:rPr>
      </w:pPr>
    </w:p>
    <w:p w:rsidRPr="00F3411C" w:rsidR="00220B49" w:rsidP="00220B49" w:rsidRDefault="00220B49" w14:paraId="3136897A" w14:textId="3BCE7AC1">
      <w:pPr>
        <w:pStyle w:val="CommentText"/>
        <w:rPr>
          <w:sz w:val="24"/>
          <w:szCs w:val="24"/>
        </w:rPr>
      </w:pPr>
      <w:r w:rsidRPr="00F3411C">
        <w:rPr>
          <w:sz w:val="24"/>
          <w:szCs w:val="24"/>
          <w:lang w:val="x-none"/>
        </w:rPr>
        <w:t xml:space="preserve">OSHA estimates </w:t>
      </w:r>
      <w:r w:rsidRPr="00F3411C">
        <w:rPr>
          <w:sz w:val="24"/>
          <w:szCs w:val="24"/>
        </w:rPr>
        <w:t xml:space="preserve">that there are </w:t>
      </w:r>
      <w:r w:rsidRPr="00F3411C">
        <w:rPr>
          <w:sz w:val="24"/>
          <w:szCs w:val="24"/>
          <w:lang w:val="x-none"/>
        </w:rPr>
        <w:t>a total of</w:t>
      </w:r>
      <w:r w:rsidRPr="00F3411C">
        <w:rPr>
          <w:sz w:val="24"/>
          <w:szCs w:val="24"/>
        </w:rPr>
        <w:t xml:space="preserve"> </w:t>
      </w:r>
      <w:r w:rsidRPr="00F3411C" w:rsidR="00A375D4">
        <w:rPr>
          <w:sz w:val="24"/>
          <w:szCs w:val="24"/>
        </w:rPr>
        <w:t>3,270,971</w:t>
      </w:r>
      <w:r w:rsidRPr="00F3411C">
        <w:rPr>
          <w:sz w:val="24"/>
          <w:szCs w:val="24"/>
        </w:rPr>
        <w:t xml:space="preserve"> of these </w:t>
      </w:r>
      <w:r w:rsidRPr="00F3411C">
        <w:rPr>
          <w:sz w:val="24"/>
          <w:szCs w:val="24"/>
          <w:lang w:val="x-none"/>
        </w:rPr>
        <w:t xml:space="preserve">employees </w:t>
      </w:r>
      <w:r w:rsidRPr="00F3411C">
        <w:rPr>
          <w:sz w:val="24"/>
          <w:szCs w:val="24"/>
        </w:rPr>
        <w:t xml:space="preserve">who will need to be tested for COVID-19 at least once every </w:t>
      </w:r>
      <w:r w:rsidRPr="00F3411C" w:rsidR="00B1446A">
        <w:rPr>
          <w:sz w:val="24"/>
          <w:szCs w:val="24"/>
        </w:rPr>
        <w:t xml:space="preserve">(seven) </w:t>
      </w:r>
      <w:r w:rsidRPr="00F3411C">
        <w:rPr>
          <w:sz w:val="24"/>
          <w:szCs w:val="24"/>
        </w:rPr>
        <w:t>7 days, and that employers will assume the cost for these tests. For the reasons explained in OSHA’s Alternative Accommodation Cost analysis, OSHA also assumes that 58.9</w:t>
      </w:r>
      <w:r w:rsidRPr="00F3411C" w:rsidR="00EC1D60">
        <w:rPr>
          <w:sz w:val="24"/>
          <w:szCs w:val="24"/>
        </w:rPr>
        <w:t xml:space="preserve"> percent</w:t>
      </w:r>
      <w:r w:rsidRPr="00F3411C">
        <w:rPr>
          <w:sz w:val="24"/>
          <w:szCs w:val="24"/>
        </w:rPr>
        <w:t xml:space="preserve"> of th</w:t>
      </w:r>
      <w:r w:rsidRPr="00F3411C" w:rsidR="00B1446A">
        <w:rPr>
          <w:sz w:val="24"/>
          <w:szCs w:val="24"/>
        </w:rPr>
        <w:t>ose</w:t>
      </w:r>
      <w:r w:rsidRPr="00F3411C">
        <w:rPr>
          <w:sz w:val="24"/>
          <w:szCs w:val="24"/>
        </w:rPr>
        <w:t xml:space="preserve"> employees will choose to test on-site and the remaining 41.1% of employees will choose to be tested at off-site laboratories or other appropriate facilities.</w:t>
      </w:r>
    </w:p>
    <w:bookmarkEnd w:id="8"/>
    <w:p w:rsidRPr="00F3411C" w:rsidR="00220B49" w:rsidP="00220B49" w:rsidRDefault="00220B49" w14:paraId="1444DCF9" w14:textId="77777777">
      <w:pPr>
        <w:pStyle w:val="CommentText"/>
        <w:rPr>
          <w:sz w:val="24"/>
          <w:szCs w:val="24"/>
        </w:rPr>
      </w:pPr>
    </w:p>
    <w:p w:rsidRPr="00F3411C" w:rsidR="00220B49" w:rsidP="00220B49" w:rsidRDefault="00B1446A" w14:paraId="30DDF328" w14:textId="745C4343">
      <w:pPr>
        <w:pStyle w:val="CommentText"/>
        <w:rPr>
          <w:sz w:val="24"/>
          <w:szCs w:val="24"/>
        </w:rPr>
      </w:pPr>
      <w:r w:rsidRPr="00F3411C">
        <w:rPr>
          <w:i/>
          <w:sz w:val="24"/>
          <w:szCs w:val="24"/>
        </w:rPr>
        <w:t xml:space="preserve">a. </w:t>
      </w:r>
      <w:r w:rsidRPr="00F3411C" w:rsidR="00220B49">
        <w:rPr>
          <w:i/>
          <w:sz w:val="24"/>
          <w:szCs w:val="24"/>
        </w:rPr>
        <w:t>On</w:t>
      </w:r>
      <w:r w:rsidRPr="00F3411C">
        <w:rPr>
          <w:i/>
          <w:sz w:val="24"/>
          <w:szCs w:val="24"/>
        </w:rPr>
        <w:t>-</w:t>
      </w:r>
      <w:r w:rsidRPr="00F3411C" w:rsidR="00220B49">
        <w:rPr>
          <w:i/>
          <w:sz w:val="24"/>
          <w:szCs w:val="24"/>
        </w:rPr>
        <w:t>site</w:t>
      </w:r>
      <w:r w:rsidRPr="00F3411C">
        <w:rPr>
          <w:i/>
          <w:sz w:val="24"/>
          <w:szCs w:val="24"/>
        </w:rPr>
        <w:t xml:space="preserve"> testing</w:t>
      </w:r>
    </w:p>
    <w:p w:rsidRPr="00F3411C" w:rsidR="00220B49" w:rsidP="00220B49" w:rsidRDefault="00220B49" w14:paraId="4DC60FEF" w14:textId="77777777">
      <w:pPr>
        <w:pStyle w:val="CommentText"/>
        <w:rPr>
          <w:sz w:val="24"/>
          <w:szCs w:val="24"/>
        </w:rPr>
      </w:pPr>
    </w:p>
    <w:p w:rsidRPr="00F3411C" w:rsidR="00220B49" w:rsidP="00220B49" w:rsidRDefault="00220B49" w14:paraId="425E2BD3" w14:textId="670B0387">
      <w:pPr>
        <w:pStyle w:val="CommentText"/>
        <w:rPr>
          <w:sz w:val="24"/>
          <w:szCs w:val="24"/>
        </w:rPr>
      </w:pPr>
      <w:r w:rsidRPr="00F3411C">
        <w:rPr>
          <w:sz w:val="24"/>
          <w:szCs w:val="24"/>
        </w:rPr>
        <w:t xml:space="preserve">For on-site testing, the agency assumes that the test </w:t>
      </w:r>
      <w:r w:rsidRPr="00F3411C" w:rsidR="00B1446A">
        <w:rPr>
          <w:sz w:val="24"/>
          <w:szCs w:val="24"/>
        </w:rPr>
        <w:t xml:space="preserve">(e.g. swabbing the nose) </w:t>
      </w:r>
      <w:r w:rsidRPr="00F3411C">
        <w:rPr>
          <w:sz w:val="24"/>
          <w:szCs w:val="24"/>
        </w:rPr>
        <w:t xml:space="preserve">itself takes </w:t>
      </w:r>
      <w:r w:rsidRPr="00F3411C" w:rsidR="00B1446A">
        <w:rPr>
          <w:sz w:val="24"/>
          <w:szCs w:val="24"/>
        </w:rPr>
        <w:t xml:space="preserve">(thirty) </w:t>
      </w:r>
      <w:r w:rsidRPr="00F3411C">
        <w:rPr>
          <w:sz w:val="24"/>
          <w:szCs w:val="24"/>
        </w:rPr>
        <w:t xml:space="preserve">30 seconds, plus </w:t>
      </w:r>
      <w:r w:rsidRPr="00F3411C" w:rsidR="0006094D">
        <w:rPr>
          <w:sz w:val="24"/>
          <w:szCs w:val="24"/>
        </w:rPr>
        <w:t>thirty</w:t>
      </w:r>
      <w:r w:rsidRPr="00F3411C" w:rsidR="00B1446A">
        <w:rPr>
          <w:sz w:val="24"/>
          <w:szCs w:val="24"/>
        </w:rPr>
        <w:t xml:space="preserve"> (</w:t>
      </w:r>
      <w:r w:rsidRPr="00F3411C">
        <w:rPr>
          <w:sz w:val="24"/>
          <w:szCs w:val="24"/>
        </w:rPr>
        <w:t>30</w:t>
      </w:r>
      <w:r w:rsidRPr="00F3411C" w:rsidR="00B1446A">
        <w:rPr>
          <w:sz w:val="24"/>
          <w:szCs w:val="24"/>
        </w:rPr>
        <w:t>)</w:t>
      </w:r>
      <w:r w:rsidRPr="00F3411C">
        <w:rPr>
          <w:sz w:val="24"/>
          <w:szCs w:val="24"/>
        </w:rPr>
        <w:t xml:space="preserve"> seconds (.008 of an hour) per employee and </w:t>
      </w:r>
      <w:r w:rsidRPr="00F3411C" w:rsidR="00B1446A">
        <w:rPr>
          <w:sz w:val="24"/>
          <w:szCs w:val="24"/>
        </w:rPr>
        <w:t>six (</w:t>
      </w:r>
      <w:r w:rsidRPr="00F3411C">
        <w:rPr>
          <w:sz w:val="24"/>
          <w:szCs w:val="24"/>
        </w:rPr>
        <w:t>6</w:t>
      </w:r>
      <w:r w:rsidRPr="00F3411C" w:rsidR="00B1446A">
        <w:rPr>
          <w:sz w:val="24"/>
          <w:szCs w:val="24"/>
        </w:rPr>
        <w:t>)</w:t>
      </w:r>
      <w:r w:rsidRPr="00F3411C">
        <w:rPr>
          <w:sz w:val="24"/>
          <w:szCs w:val="24"/>
        </w:rPr>
        <w:t xml:space="preserve"> seconds (.0002 of an hour) per manager for the test to be monitored, based on the assumption that a manager monitors </w:t>
      </w:r>
      <w:r w:rsidRPr="00F3411C" w:rsidR="00B1446A">
        <w:rPr>
          <w:sz w:val="24"/>
          <w:szCs w:val="24"/>
        </w:rPr>
        <w:t>five (</w:t>
      </w:r>
      <w:r w:rsidRPr="00F3411C">
        <w:rPr>
          <w:sz w:val="24"/>
          <w:szCs w:val="24"/>
        </w:rPr>
        <w:t>5</w:t>
      </w:r>
      <w:r w:rsidRPr="00F3411C" w:rsidR="00B1446A">
        <w:rPr>
          <w:sz w:val="24"/>
          <w:szCs w:val="24"/>
        </w:rPr>
        <w:t>)</w:t>
      </w:r>
      <w:r w:rsidRPr="00F3411C">
        <w:rPr>
          <w:sz w:val="24"/>
          <w:szCs w:val="24"/>
        </w:rPr>
        <w:t xml:space="preserve"> employees at a time. In addition, the agency assumes each employee will need to wait </w:t>
      </w:r>
      <w:r w:rsidRPr="00F3411C" w:rsidR="00B1446A">
        <w:rPr>
          <w:sz w:val="24"/>
          <w:szCs w:val="24"/>
        </w:rPr>
        <w:t>five (</w:t>
      </w:r>
      <w:r w:rsidRPr="00F3411C">
        <w:rPr>
          <w:sz w:val="24"/>
          <w:szCs w:val="24"/>
        </w:rPr>
        <w:t>5</w:t>
      </w:r>
      <w:r w:rsidRPr="00F3411C" w:rsidR="00B1446A">
        <w:rPr>
          <w:sz w:val="24"/>
          <w:szCs w:val="24"/>
        </w:rPr>
        <w:t>)</w:t>
      </w:r>
      <w:r w:rsidRPr="00F3411C">
        <w:rPr>
          <w:sz w:val="24"/>
          <w:szCs w:val="24"/>
        </w:rPr>
        <w:t xml:space="preserve"> minutes for the manager to begin proctoring the test. It is not necessary for OSHA to account for the time it takes to process the test result (i.e., to get the test result), as an over-the-counter test can be self-administered and left in a secure place after proctoring, and this burden is accounted for in the operational costs discussed in Item 13 of this supporting statement. There are other on-site possibilities an employer may explore (see </w:t>
      </w:r>
      <w:r w:rsidRPr="00F3411C">
        <w:rPr>
          <w:i/>
          <w:iCs/>
          <w:sz w:val="24"/>
          <w:szCs w:val="24"/>
        </w:rPr>
        <w:t>Costs Associated with Reasonable Accommodation: Testing, Face Coverings, and Determinations, Section IV Feasibility</w:t>
      </w:r>
      <w:r w:rsidRPr="00F3411C">
        <w:rPr>
          <w:sz w:val="24"/>
          <w:szCs w:val="24"/>
        </w:rPr>
        <w:t xml:space="preserve">.) The time to read the test result (either by the employer or the employee) is accounted for in this supporting statement under the burden for recording the results under § 1910.501(g)(4). OSHA therefore calculates a total amount of time required for on-site testing as </w:t>
      </w:r>
      <w:r w:rsidRPr="00F3411C" w:rsidR="004A77FA">
        <w:rPr>
          <w:sz w:val="24"/>
          <w:szCs w:val="24"/>
        </w:rPr>
        <w:t>five (</w:t>
      </w:r>
      <w:r w:rsidRPr="00F3411C">
        <w:rPr>
          <w:sz w:val="24"/>
          <w:szCs w:val="24"/>
        </w:rPr>
        <w:t>5</w:t>
      </w:r>
      <w:r w:rsidRPr="00F3411C" w:rsidR="004A77FA">
        <w:rPr>
          <w:sz w:val="24"/>
          <w:szCs w:val="24"/>
        </w:rPr>
        <w:t>)</w:t>
      </w:r>
      <w:r w:rsidRPr="00F3411C">
        <w:rPr>
          <w:sz w:val="24"/>
          <w:szCs w:val="24"/>
        </w:rPr>
        <w:t xml:space="preserve"> minutes and </w:t>
      </w:r>
      <w:r w:rsidRPr="00F3411C" w:rsidR="004A77FA">
        <w:rPr>
          <w:sz w:val="24"/>
          <w:szCs w:val="24"/>
        </w:rPr>
        <w:t>thirty (</w:t>
      </w:r>
      <w:r w:rsidRPr="00F3411C">
        <w:rPr>
          <w:sz w:val="24"/>
          <w:szCs w:val="24"/>
        </w:rPr>
        <w:t>30</w:t>
      </w:r>
      <w:r w:rsidRPr="00F3411C" w:rsidR="004A77FA">
        <w:rPr>
          <w:sz w:val="24"/>
          <w:szCs w:val="24"/>
        </w:rPr>
        <w:t>)</w:t>
      </w:r>
      <w:r w:rsidRPr="00F3411C">
        <w:rPr>
          <w:sz w:val="24"/>
          <w:szCs w:val="24"/>
        </w:rPr>
        <w:t xml:space="preserve"> seconds per employee, and </w:t>
      </w:r>
      <w:r w:rsidRPr="00F3411C" w:rsidR="004A77FA">
        <w:rPr>
          <w:sz w:val="24"/>
          <w:szCs w:val="24"/>
        </w:rPr>
        <w:t>six (</w:t>
      </w:r>
      <w:r w:rsidRPr="00F3411C">
        <w:rPr>
          <w:sz w:val="24"/>
          <w:szCs w:val="24"/>
        </w:rPr>
        <w:t>6</w:t>
      </w:r>
      <w:r w:rsidRPr="00F3411C" w:rsidR="004A77FA">
        <w:rPr>
          <w:sz w:val="24"/>
          <w:szCs w:val="24"/>
        </w:rPr>
        <w:t>)</w:t>
      </w:r>
      <w:r w:rsidRPr="00F3411C">
        <w:rPr>
          <w:sz w:val="24"/>
          <w:szCs w:val="24"/>
        </w:rPr>
        <w:t xml:space="preserve"> seconds per manager.</w:t>
      </w:r>
    </w:p>
    <w:p w:rsidRPr="00F3411C" w:rsidR="00220B49" w:rsidP="00220B49" w:rsidRDefault="00220B49" w14:paraId="31C41BFD" w14:textId="77777777">
      <w:pPr>
        <w:pStyle w:val="CommentText"/>
        <w:rPr>
          <w:sz w:val="24"/>
          <w:szCs w:val="24"/>
        </w:rPr>
      </w:pPr>
      <w:r w:rsidRPr="00F3411C">
        <w:rPr>
          <w:sz w:val="24"/>
          <w:szCs w:val="24"/>
        </w:rPr>
        <w:t xml:space="preserve"> </w:t>
      </w:r>
    </w:p>
    <w:p w:rsidRPr="00F3411C" w:rsidR="00220B49" w:rsidP="00220B49" w:rsidRDefault="00220B49" w14:paraId="5EC1EB0A" w14:textId="41F6B17C">
      <w:pPr>
        <w:outlineLvl w:val="4"/>
      </w:pPr>
      <w:r w:rsidRPr="00F3411C">
        <w:t xml:space="preserve">OSHA estimates the employer will test each employee an average of </w:t>
      </w:r>
      <w:r w:rsidRPr="00F3411C" w:rsidR="004A77FA">
        <w:t>sixteen (</w:t>
      </w:r>
      <w:r w:rsidRPr="00F3411C">
        <w:t>16</w:t>
      </w:r>
      <w:r w:rsidRPr="00F3411C" w:rsidR="004A77FA">
        <w:t>)</w:t>
      </w:r>
      <w:r w:rsidRPr="00F3411C">
        <w:t xml:space="preserve"> times during the </w:t>
      </w:r>
      <w:r w:rsidRPr="00F3411C" w:rsidR="00E2689E">
        <w:t xml:space="preserve">6-month </w:t>
      </w:r>
      <w:r w:rsidRPr="00F3411C">
        <w:t xml:space="preserve">period </w:t>
      </w:r>
      <w:r w:rsidRPr="00F3411C" w:rsidR="00E2689E">
        <w:t xml:space="preserve">that OSHA assumes, for analytical purposes, </w:t>
      </w:r>
      <w:r w:rsidRPr="00F3411C">
        <w:t xml:space="preserve"> the ETS will </w:t>
      </w:r>
      <w:r w:rsidRPr="00F3411C" w:rsidR="00E2689E">
        <w:t xml:space="preserve">remain </w:t>
      </w:r>
      <w:r w:rsidRPr="00F3411C">
        <w:t>in effect (</w:t>
      </w:r>
      <w:r w:rsidRPr="00F3411C" w:rsidR="00E2689E">
        <w:t xml:space="preserve">the </w:t>
      </w:r>
      <w:r w:rsidRPr="00F3411C">
        <w:t xml:space="preserve">testing </w:t>
      </w:r>
      <w:r w:rsidRPr="00F3411C" w:rsidR="00E2689E">
        <w:t xml:space="preserve">requirement </w:t>
      </w:r>
      <w:r w:rsidRPr="00F3411C">
        <w:t>will not take effect until after employees have received an opportunity to demonstrate they are vaccinated).</w:t>
      </w:r>
      <w:r w:rsidRPr="00F3411C" w:rsidR="00EC1D60">
        <w:rPr>
          <w:rStyle w:val="FootnoteReference"/>
        </w:rPr>
        <w:footnoteReference w:id="12"/>
      </w:r>
      <w:r w:rsidRPr="00F3411C" w:rsidR="00EC1D60">
        <w:t xml:space="preserve"> </w:t>
      </w:r>
    </w:p>
    <w:p w:rsidRPr="00F3411C" w:rsidR="00DC0859" w:rsidP="00220B49" w:rsidRDefault="00DC0859" w14:paraId="3003BBAA" w14:textId="77777777">
      <w:pPr>
        <w:outlineLvl w:val="4"/>
        <w:rPr>
          <w:b/>
        </w:rPr>
      </w:pPr>
    </w:p>
    <w:p w:rsidRPr="00F3411C" w:rsidR="00220B49" w:rsidP="00220B49" w:rsidRDefault="004A77FA" w14:paraId="5062BCD1" w14:textId="6F2ADDD2">
      <w:pPr>
        <w:outlineLvl w:val="4"/>
      </w:pPr>
      <w:r w:rsidRPr="00F3411C">
        <w:t xml:space="preserve">Of those 3,270,971 employees who need to be tested, </w:t>
      </w:r>
      <w:r w:rsidRPr="00F3411C" w:rsidR="00220B49">
        <w:t xml:space="preserve">OSHA estimates 58.9 percent </w:t>
      </w:r>
      <w:r w:rsidRPr="00F3411C">
        <w:t xml:space="preserve">(1,926,601.92 employees) will be tested on-site. OSHA estimates that </w:t>
      </w:r>
      <w:r w:rsidRPr="00F3411C" w:rsidR="00220B49">
        <w:t xml:space="preserve">employees making on average $35.60 an hour will be tested </w:t>
      </w:r>
      <w:r w:rsidRPr="00F3411C">
        <w:t>sixteen (</w:t>
      </w:r>
      <w:r w:rsidRPr="00F3411C" w:rsidR="00220B49">
        <w:t>16</w:t>
      </w:r>
      <w:r w:rsidRPr="00F3411C">
        <w:t>)</w:t>
      </w:r>
      <w:r w:rsidRPr="00F3411C" w:rsidR="00220B49">
        <w:t xml:space="preserve"> times</w:t>
      </w:r>
      <w:r w:rsidRPr="00F3411C">
        <w:t>.</w:t>
      </w:r>
    </w:p>
    <w:p w:rsidRPr="00F3411C" w:rsidR="00220B49" w:rsidP="00220B49" w:rsidRDefault="00220B49" w14:paraId="76F28420" w14:textId="77777777">
      <w:pPr>
        <w:ind w:left="720"/>
        <w:outlineLvl w:val="4"/>
        <w:rPr>
          <w:b/>
        </w:rPr>
      </w:pPr>
    </w:p>
    <w:p w:rsidRPr="00F3411C" w:rsidR="00220B49" w:rsidP="006A69B4" w:rsidRDefault="00220B49" w14:paraId="50C3B689" w14:textId="6BEE9558">
      <w:pPr>
        <w:ind w:left="720"/>
        <w:outlineLvl w:val="4"/>
      </w:pPr>
      <w:r w:rsidRPr="00F3411C">
        <w:rPr>
          <w:b/>
        </w:rPr>
        <w:t>Burden hours</w:t>
      </w:r>
      <w:r w:rsidRPr="00F3411C">
        <w:t xml:space="preserve">: </w:t>
      </w:r>
      <w:r w:rsidRPr="00F3411C" w:rsidR="00D44F5A">
        <w:t>1,926,60</w:t>
      </w:r>
      <w:r w:rsidRPr="00F3411C" w:rsidR="0006094D">
        <w:t>1.92</w:t>
      </w:r>
      <w:r w:rsidRPr="00F3411C">
        <w:t xml:space="preserve"> employees tested x 16</w:t>
      </w:r>
      <w:r w:rsidRPr="00F3411C" w:rsidR="008E51EC">
        <w:t>.00</w:t>
      </w:r>
      <w:r w:rsidRPr="00F3411C">
        <w:t xml:space="preserve"> tests x 0.092 hours = </w:t>
      </w:r>
      <w:bookmarkStart w:name="_GoBack" w:id="9"/>
      <w:bookmarkEnd w:id="9"/>
      <w:r w:rsidRPr="00F3411C">
        <w:t>2,</w:t>
      </w:r>
      <w:r w:rsidRPr="00F3411C" w:rsidR="005D5103">
        <w:t>835,958.</w:t>
      </w:r>
      <w:r w:rsidRPr="00F3411C" w:rsidR="0006094D">
        <w:t>02</w:t>
      </w:r>
      <w:r w:rsidRPr="00F3411C" w:rsidR="00DC0859">
        <w:t xml:space="preserve"> </w:t>
      </w:r>
      <w:r w:rsidRPr="00F3411C">
        <w:t>hours</w:t>
      </w:r>
    </w:p>
    <w:p w:rsidRPr="00F3411C" w:rsidR="00220B49" w:rsidP="00220B49" w:rsidRDefault="00220B49" w14:paraId="7F3E89CC" w14:textId="77777777">
      <w:pPr>
        <w:ind w:left="720"/>
        <w:outlineLvl w:val="4"/>
      </w:pPr>
    </w:p>
    <w:p w:rsidRPr="00F3411C" w:rsidR="00220B49" w:rsidP="00220B49" w:rsidRDefault="00220B49" w14:paraId="1D3943C2" w14:textId="78414CC8">
      <w:pPr>
        <w:ind w:left="720"/>
        <w:outlineLvl w:val="4"/>
      </w:pPr>
      <w:r w:rsidRPr="00F3411C">
        <w:rPr>
          <w:b/>
        </w:rPr>
        <w:t>Cost</w:t>
      </w:r>
      <w:r w:rsidRPr="00F3411C">
        <w:t>:</w:t>
      </w:r>
      <w:r w:rsidRPr="00F3411C">
        <w:tab/>
      </w:r>
      <w:r w:rsidRPr="00F3411C">
        <w:tab/>
        <w:t xml:space="preserve">   </w:t>
      </w:r>
      <w:r w:rsidRPr="00F3411C" w:rsidR="005D5103">
        <w:t>2,835,958.</w:t>
      </w:r>
      <w:r w:rsidRPr="00F3411C" w:rsidR="0006094D">
        <w:t>02</w:t>
      </w:r>
      <w:r w:rsidRPr="00F3411C">
        <w:t xml:space="preserve"> hours x $35.60 (General worker) = $</w:t>
      </w:r>
      <w:r w:rsidRPr="00F3411C" w:rsidR="005D5103">
        <w:t>100,960,10</w:t>
      </w:r>
      <w:r w:rsidRPr="00F3411C" w:rsidR="0006094D">
        <w:t>6</w:t>
      </w:r>
      <w:r w:rsidRPr="00F3411C" w:rsidR="008E51EC">
        <w:t>.00</w:t>
      </w:r>
    </w:p>
    <w:p w:rsidRPr="00F3411C" w:rsidR="00220B49" w:rsidP="00E70DAA" w:rsidRDefault="00220B49" w14:paraId="28307ABB" w14:textId="77777777">
      <w:pPr>
        <w:outlineLvl w:val="4"/>
      </w:pPr>
    </w:p>
    <w:p w:rsidRPr="00F3411C" w:rsidR="00220B49" w:rsidP="00220B49" w:rsidRDefault="0006094D" w14:paraId="66E11081" w14:textId="4CBFA227">
      <w:pPr>
        <w:pStyle w:val="CommentText"/>
        <w:rPr>
          <w:sz w:val="24"/>
          <w:szCs w:val="24"/>
        </w:rPr>
      </w:pPr>
      <w:r w:rsidRPr="00F3411C">
        <w:rPr>
          <w:i/>
          <w:sz w:val="24"/>
          <w:szCs w:val="24"/>
        </w:rPr>
        <w:t xml:space="preserve">b. </w:t>
      </w:r>
      <w:r w:rsidRPr="00F3411C" w:rsidR="00220B49">
        <w:rPr>
          <w:i/>
          <w:sz w:val="24"/>
          <w:szCs w:val="24"/>
        </w:rPr>
        <w:t>Off</w:t>
      </w:r>
      <w:r w:rsidRPr="00F3411C">
        <w:rPr>
          <w:i/>
          <w:sz w:val="24"/>
          <w:szCs w:val="24"/>
        </w:rPr>
        <w:t>-</w:t>
      </w:r>
      <w:r w:rsidRPr="00F3411C" w:rsidR="00220B49">
        <w:rPr>
          <w:i/>
          <w:sz w:val="24"/>
          <w:szCs w:val="24"/>
        </w:rPr>
        <w:t>site</w:t>
      </w:r>
      <w:r w:rsidRPr="00F3411C" w:rsidR="008E51EC">
        <w:rPr>
          <w:i/>
          <w:sz w:val="24"/>
          <w:szCs w:val="24"/>
        </w:rPr>
        <w:t xml:space="preserve"> testing</w:t>
      </w:r>
    </w:p>
    <w:p w:rsidRPr="00F3411C" w:rsidR="00220B49" w:rsidP="00220B49" w:rsidRDefault="00220B49" w14:paraId="63430405" w14:textId="77777777">
      <w:pPr>
        <w:pStyle w:val="CommentText"/>
        <w:rPr>
          <w:sz w:val="24"/>
          <w:szCs w:val="24"/>
        </w:rPr>
      </w:pPr>
    </w:p>
    <w:p w:rsidRPr="00F3411C" w:rsidR="00220B49" w:rsidP="00220B49" w:rsidRDefault="00220B49" w14:paraId="059C66DB" w14:textId="252551B8">
      <w:pPr>
        <w:outlineLvl w:val="4"/>
      </w:pPr>
      <w:r w:rsidRPr="00F3411C">
        <w:t xml:space="preserve">For off-site tests, the </w:t>
      </w:r>
      <w:r w:rsidRPr="00F3411C" w:rsidR="008E51EC">
        <w:t>A</w:t>
      </w:r>
      <w:r w:rsidRPr="00F3411C">
        <w:t xml:space="preserve">gency assumes, on average, a travel time of </w:t>
      </w:r>
      <w:r w:rsidRPr="00F3411C" w:rsidR="008E51EC">
        <w:t xml:space="preserve">(fifteen) </w:t>
      </w:r>
      <w:r w:rsidRPr="00F3411C">
        <w:t xml:space="preserve">15 minutes each way </w:t>
      </w:r>
      <w:r w:rsidRPr="00F3411C" w:rsidR="008E51EC">
        <w:t>(</w:t>
      </w:r>
      <w:r w:rsidRPr="00F3411C">
        <w:t xml:space="preserve">for a total of </w:t>
      </w:r>
      <w:r w:rsidRPr="00F3411C" w:rsidR="008E51EC">
        <w:t xml:space="preserve">(thirty) </w:t>
      </w:r>
      <w:r w:rsidRPr="00F3411C">
        <w:t>30 minutes</w:t>
      </w:r>
      <w:r w:rsidRPr="00F3411C" w:rsidR="008E51EC">
        <w:t>)</w:t>
      </w:r>
      <w:r w:rsidRPr="00F3411C">
        <w:t xml:space="preserve">, and </w:t>
      </w:r>
      <w:r w:rsidRPr="00F3411C" w:rsidR="008E51EC">
        <w:t xml:space="preserve">(five) </w:t>
      </w:r>
      <w:r w:rsidRPr="00F3411C">
        <w:t>5 minutes of wait and administration time</w:t>
      </w:r>
      <w:r w:rsidRPr="00F3411C" w:rsidR="008E51EC">
        <w:t>, for a total of thirty-five (35) minutes (0.58 hours)</w:t>
      </w:r>
      <w:r w:rsidRPr="00F3411C">
        <w:t xml:space="preserve">. OSHA’s estimate is an upper bound limit and would be reduced by the number of home-collected tests that do not require travel to a testing site or wait time at the site. The Agency has no available information to discount the burden and, therefore, claims the upper limit. </w:t>
      </w:r>
    </w:p>
    <w:p w:rsidRPr="00F3411C" w:rsidR="00E70DAA" w:rsidP="00220B49" w:rsidRDefault="00E70DAA" w14:paraId="54305CB6" w14:textId="77777777">
      <w:pPr>
        <w:outlineLvl w:val="4"/>
        <w:rPr>
          <w:b/>
        </w:rPr>
      </w:pPr>
    </w:p>
    <w:p w:rsidRPr="00F3411C" w:rsidR="00220B49" w:rsidP="00220B49" w:rsidRDefault="008E51EC" w14:paraId="5C228000" w14:textId="5F3D5C75">
      <w:pPr>
        <w:outlineLvl w:val="4"/>
      </w:pPr>
      <w:r w:rsidRPr="00F3411C">
        <w:t xml:space="preserve">Of those 3,270,971 employees who need to be tested, </w:t>
      </w:r>
      <w:r w:rsidRPr="00F3411C" w:rsidR="00220B49">
        <w:t xml:space="preserve">OSHA estimates 41.1 percent </w:t>
      </w:r>
      <w:r w:rsidRPr="00F3411C">
        <w:t xml:space="preserve">(1,344,369.08 employees) will be tested off-site.  OSHA estimates that employees making </w:t>
      </w:r>
      <w:r w:rsidRPr="00F3411C" w:rsidR="00220B49">
        <w:t xml:space="preserve">on average $35.60 an hour will be tested </w:t>
      </w:r>
      <w:r w:rsidRPr="00F3411C">
        <w:t>sixteen (</w:t>
      </w:r>
      <w:r w:rsidRPr="00F3411C" w:rsidR="00220B49">
        <w:t>16</w:t>
      </w:r>
      <w:r w:rsidRPr="00F3411C">
        <w:t>)</w:t>
      </w:r>
      <w:r w:rsidRPr="00F3411C" w:rsidR="00220B49">
        <w:t xml:space="preserve"> times</w:t>
      </w:r>
      <w:r w:rsidRPr="00F3411C">
        <w:t>.</w:t>
      </w:r>
      <w:r w:rsidRPr="00F3411C" w:rsidR="00220B49">
        <w:t xml:space="preserve"> </w:t>
      </w:r>
    </w:p>
    <w:p w:rsidRPr="00F3411C" w:rsidR="00220B49" w:rsidP="00220B49" w:rsidRDefault="00220B49" w14:paraId="329572CB" w14:textId="465566EC">
      <w:pPr>
        <w:ind w:left="720"/>
        <w:outlineLvl w:val="4"/>
        <w:rPr>
          <w:b/>
        </w:rPr>
      </w:pPr>
    </w:p>
    <w:p w:rsidRPr="00F3411C" w:rsidR="00220B49" w:rsidP="00220B49" w:rsidRDefault="00220B49" w14:paraId="2A6193B7" w14:textId="27B2D62A">
      <w:pPr>
        <w:ind w:left="720"/>
        <w:outlineLvl w:val="4"/>
      </w:pPr>
      <w:r w:rsidRPr="00F3411C">
        <w:rPr>
          <w:b/>
        </w:rPr>
        <w:t>Burden hours</w:t>
      </w:r>
      <w:r w:rsidRPr="00F3411C">
        <w:t xml:space="preserve">: </w:t>
      </w:r>
      <w:r w:rsidRPr="00F3411C" w:rsidR="005D5103">
        <w:t>1,344,369</w:t>
      </w:r>
      <w:r w:rsidRPr="00F3411C" w:rsidR="00B826ED">
        <w:t>.08</w:t>
      </w:r>
      <w:r w:rsidRPr="00F3411C">
        <w:t xml:space="preserve"> employees tested x 16</w:t>
      </w:r>
      <w:r w:rsidRPr="00F3411C" w:rsidR="00B826ED">
        <w:t>.00</w:t>
      </w:r>
      <w:r w:rsidRPr="00F3411C">
        <w:t xml:space="preserve"> tests x 0.</w:t>
      </w:r>
      <w:r w:rsidRPr="00F3411C" w:rsidR="000A1EF0">
        <w:t>58</w:t>
      </w:r>
      <w:r w:rsidRPr="00F3411C">
        <w:t xml:space="preserve"> hours = </w:t>
      </w:r>
      <w:r w:rsidRPr="00F3411C" w:rsidR="005D5103">
        <w:t>12,475,74</w:t>
      </w:r>
      <w:r w:rsidRPr="00F3411C" w:rsidR="00B826ED">
        <w:t>5</w:t>
      </w:r>
      <w:r w:rsidRPr="00F3411C" w:rsidR="005D5103">
        <w:t>.</w:t>
      </w:r>
      <w:r w:rsidRPr="00F3411C" w:rsidR="00B826ED">
        <w:t>06</w:t>
      </w:r>
      <w:r w:rsidRPr="00F3411C">
        <w:t xml:space="preserve"> hours</w:t>
      </w:r>
    </w:p>
    <w:p w:rsidRPr="00F3411C" w:rsidR="00220B49" w:rsidP="00220B49" w:rsidRDefault="00220B49" w14:paraId="7C6C8F45" w14:textId="77777777">
      <w:pPr>
        <w:ind w:left="720"/>
        <w:outlineLvl w:val="4"/>
      </w:pPr>
    </w:p>
    <w:p w:rsidRPr="00F3411C" w:rsidR="00220B49" w:rsidP="00220B49" w:rsidRDefault="00220B49" w14:paraId="6BC14851" w14:textId="043F8A88">
      <w:pPr>
        <w:ind w:left="720"/>
        <w:outlineLvl w:val="4"/>
      </w:pPr>
      <w:r w:rsidRPr="00F3411C">
        <w:rPr>
          <w:b/>
        </w:rPr>
        <w:t>Cost</w:t>
      </w:r>
      <w:r w:rsidRPr="00F3411C">
        <w:t>:</w:t>
      </w:r>
      <w:r w:rsidRPr="00F3411C">
        <w:tab/>
      </w:r>
      <w:r w:rsidRPr="00F3411C">
        <w:tab/>
        <w:t xml:space="preserve">   </w:t>
      </w:r>
      <w:r w:rsidRPr="00F3411C" w:rsidR="005D5103">
        <w:t>12,475,74</w:t>
      </w:r>
      <w:r w:rsidRPr="00F3411C" w:rsidR="00B826ED">
        <w:t>5.06</w:t>
      </w:r>
      <w:r w:rsidRPr="00F3411C">
        <w:t xml:space="preserve"> hours x $35.60 (General worker) = $</w:t>
      </w:r>
      <w:r w:rsidRPr="00F3411C" w:rsidR="005D5103">
        <w:t>444,136,</w:t>
      </w:r>
      <w:r w:rsidRPr="00F3411C" w:rsidR="00B826ED">
        <w:t>524</w:t>
      </w:r>
      <w:r w:rsidRPr="00F3411C" w:rsidR="005D5103">
        <w:t>.</w:t>
      </w:r>
      <w:r w:rsidRPr="00F3411C" w:rsidR="00B826ED">
        <w:t>14</w:t>
      </w:r>
    </w:p>
    <w:p w:rsidRPr="00F3411C" w:rsidR="00220B49" w:rsidP="00220B49" w:rsidRDefault="00220B49" w14:paraId="6D2EA75A" w14:textId="77777777"/>
    <w:p w:rsidRPr="00F3411C" w:rsidR="00220B49" w:rsidP="00220B49" w:rsidRDefault="00220B49" w14:paraId="31D716E4" w14:textId="77777777">
      <w:pPr>
        <w:rPr>
          <w:bCs/>
          <w:i/>
          <w:iCs/>
        </w:rPr>
      </w:pPr>
      <w:r w:rsidRPr="00F3411C">
        <w:rPr>
          <w:rFonts w:eastAsia="Arial Unicode MS"/>
          <w:bCs/>
          <w:i/>
          <w:iCs/>
          <w:color w:val="000000"/>
        </w:rPr>
        <w:t>§ 1910.501</w:t>
      </w:r>
      <w:r w:rsidRPr="00F3411C">
        <w:rPr>
          <w:bCs/>
          <w:i/>
          <w:iCs/>
        </w:rPr>
        <w:t>(g)(4)—Employers recording and maintaining the test</w:t>
      </w:r>
    </w:p>
    <w:p w:rsidRPr="00F3411C" w:rsidR="00220B49" w:rsidP="00220B49" w:rsidRDefault="00220B49" w14:paraId="2395FD20" w14:textId="77777777">
      <w:pPr>
        <w:pStyle w:val="paragraph"/>
        <w:spacing w:before="0" w:beforeAutospacing="0" w:after="0" w:afterAutospacing="0"/>
        <w:textAlignment w:val="baseline"/>
        <w:rPr>
          <w:rStyle w:val="normaltextrun"/>
          <w:rFonts w:eastAsia="Gulim"/>
          <w:highlight w:val="yellow"/>
        </w:rPr>
      </w:pPr>
    </w:p>
    <w:p w:rsidRPr="00F3411C" w:rsidR="00220B49" w:rsidP="00220B49" w:rsidRDefault="00220B49" w14:paraId="4C1C755D" w14:textId="4F93280E">
      <w:r w:rsidRPr="00F3411C">
        <w:rPr>
          <w:lang w:val="x-none"/>
        </w:rPr>
        <w:t xml:space="preserve">OSHA estimates </w:t>
      </w:r>
      <w:r w:rsidRPr="00F3411C">
        <w:t xml:space="preserve">that employers must record and maintain records for all </w:t>
      </w:r>
      <w:r w:rsidRPr="00F3411C" w:rsidR="00BF4545">
        <w:t>3,270,971</w:t>
      </w:r>
      <w:r w:rsidRPr="00F3411C">
        <w:t xml:space="preserve"> employees tested. The agency is assuming an IR clerk making $36.94 an hour will take </w:t>
      </w:r>
      <w:r w:rsidRPr="00F3411C" w:rsidR="00B826ED">
        <w:t>five (</w:t>
      </w:r>
      <w:r w:rsidRPr="00F3411C">
        <w:t>5</w:t>
      </w:r>
      <w:r w:rsidRPr="00F3411C" w:rsidR="00B826ED">
        <w:t>)</w:t>
      </w:r>
      <w:r w:rsidRPr="00F3411C">
        <w:t xml:space="preserve"> minutes (0.08 hours) to record and maintain each of these employee’s test results. </w:t>
      </w:r>
    </w:p>
    <w:p w:rsidRPr="00F3411C" w:rsidR="00220B49" w:rsidP="00F3411C" w:rsidRDefault="00F3411C" w14:paraId="13D7BB82" w14:textId="40F6356F">
      <w:pPr>
        <w:autoSpaceDE/>
        <w:autoSpaceDN/>
        <w:spacing w:after="200" w:line="276" w:lineRule="auto"/>
        <w:rPr>
          <w:rFonts w:eastAsia="Arial Unicode MS"/>
          <w:b/>
          <w:iCs/>
          <w:color w:val="000000"/>
          <w:u w:val="single"/>
        </w:rPr>
      </w:pPr>
      <w:r>
        <w:rPr>
          <w:rFonts w:eastAsia="Arial Unicode MS"/>
          <w:b/>
          <w:iCs/>
          <w:color w:val="000000"/>
          <w:u w:val="single"/>
        </w:rPr>
        <w:br w:type="page"/>
      </w:r>
    </w:p>
    <w:p w:rsidRPr="00F3411C" w:rsidR="00220B49" w:rsidP="00F3411C" w:rsidRDefault="00220B49" w14:paraId="7D12B1EF" w14:textId="226C7935">
      <w:pPr>
        <w:ind w:left="720"/>
        <w:outlineLvl w:val="4"/>
      </w:pPr>
      <w:r w:rsidRPr="00F3411C">
        <w:rPr>
          <w:b/>
        </w:rPr>
        <w:t>Burden hours</w:t>
      </w:r>
      <w:r w:rsidRPr="00F3411C">
        <w:t xml:space="preserve">: </w:t>
      </w:r>
      <w:r w:rsidRPr="00F3411C" w:rsidR="00C800ED">
        <w:t>3,270,971</w:t>
      </w:r>
      <w:r w:rsidRPr="00F3411C" w:rsidR="00B826ED">
        <w:t>.00</w:t>
      </w:r>
      <w:r w:rsidRPr="00F3411C">
        <w:t xml:space="preserve"> employees test results x</w:t>
      </w:r>
      <w:r w:rsidRPr="00F3411C" w:rsidR="006521A1">
        <w:t xml:space="preserve"> 16</w:t>
      </w:r>
      <w:r w:rsidRPr="00F3411C" w:rsidR="00B826ED">
        <w:t>.00</w:t>
      </w:r>
      <w:r w:rsidRPr="00F3411C" w:rsidR="006521A1">
        <w:t xml:space="preserve"> times x</w:t>
      </w:r>
      <w:r w:rsidRPr="00F3411C">
        <w:t xml:space="preserve"> 0.08 hours = </w:t>
      </w:r>
      <w:r w:rsidRPr="00F3411C" w:rsidR="00C800ED">
        <w:t>4,186,842.88</w:t>
      </w:r>
      <w:r w:rsidRPr="00F3411C" w:rsidR="006521A1">
        <w:t xml:space="preserve"> </w:t>
      </w:r>
      <w:r w:rsidRPr="00F3411C">
        <w:t>hours</w:t>
      </w:r>
    </w:p>
    <w:p w:rsidRPr="00F3411C" w:rsidR="00220B49" w:rsidP="00220B49" w:rsidRDefault="006521A1" w14:paraId="51410826" w14:textId="74B87455">
      <w:pPr>
        <w:ind w:left="720"/>
        <w:outlineLvl w:val="4"/>
      </w:pPr>
      <w:r w:rsidRPr="00F3411C">
        <w:tab/>
      </w:r>
    </w:p>
    <w:p w:rsidRPr="00F3411C" w:rsidR="00220B49" w:rsidP="00F3411C" w:rsidRDefault="00220B49" w14:paraId="46E26A0E" w14:textId="062BBBD3">
      <w:pPr>
        <w:ind w:firstLine="720"/>
        <w:outlineLvl w:val="4"/>
      </w:pPr>
      <w:r w:rsidRPr="00F3411C">
        <w:rPr>
          <w:b/>
        </w:rPr>
        <w:t>Cost</w:t>
      </w:r>
      <w:r w:rsidRPr="00F3411C">
        <w:t>:</w:t>
      </w:r>
      <w:r w:rsidRPr="00F3411C">
        <w:tab/>
      </w:r>
      <w:r w:rsidRPr="00F3411C">
        <w:tab/>
        <w:t xml:space="preserve"> </w:t>
      </w:r>
      <w:r w:rsidRPr="00F3411C" w:rsidR="00C800ED">
        <w:t>4,186,842.88</w:t>
      </w:r>
      <w:r w:rsidRPr="00F3411C">
        <w:t xml:space="preserve"> hours x $36.94 (IR clerk) = $</w:t>
      </w:r>
      <w:r w:rsidRPr="00F3411C" w:rsidR="00C800ED">
        <w:t>154,661,975.99</w:t>
      </w:r>
    </w:p>
    <w:p w:rsidRPr="00F3411C" w:rsidR="000522FC" w:rsidP="00E12FA8" w:rsidRDefault="000522FC" w14:paraId="148960F9" w14:textId="035FBA14">
      <w:pPr>
        <w:pStyle w:val="paragraph"/>
        <w:spacing w:before="0" w:beforeAutospacing="0" w:after="0" w:afterAutospacing="0"/>
        <w:textAlignment w:val="baseline"/>
        <w:rPr>
          <w:rStyle w:val="normaltextrun"/>
          <w:rFonts w:eastAsia="Gulim"/>
          <w:highlight w:val="yellow"/>
        </w:rPr>
      </w:pPr>
    </w:p>
    <w:p w:rsidRPr="00F3411C" w:rsidR="00E12FA8" w:rsidP="00B91ACC" w:rsidRDefault="00C3554F" w14:paraId="1A93198A" w14:textId="1905688C">
      <w:pPr>
        <w:autoSpaceDE/>
        <w:autoSpaceDN/>
        <w:rPr>
          <w:rFonts w:eastAsia="Times New Roman"/>
          <w:lang w:eastAsia="en-US"/>
        </w:rPr>
      </w:pPr>
      <w:r w:rsidRPr="00F3411C">
        <w:rPr>
          <w:b/>
        </w:rPr>
        <w:t>5. Employee notification to employer of COVID-19 positive status and removal</w:t>
      </w:r>
      <w:r w:rsidRPr="00F3411C">
        <w:rPr>
          <w:rFonts w:eastAsia="Times New Roman"/>
          <w:b/>
          <w:lang w:eastAsia="en-US"/>
        </w:rPr>
        <w:t>.</w:t>
      </w:r>
    </w:p>
    <w:p w:rsidRPr="00F3411C" w:rsidR="00C3554F" w:rsidP="00E54CD2" w:rsidRDefault="00C3554F" w14:paraId="41BFB788" w14:textId="68473005">
      <w:pPr>
        <w:autoSpaceDE/>
        <w:autoSpaceDN/>
        <w:rPr>
          <w:rFonts w:eastAsia="Times New Roman"/>
          <w:b/>
          <w:lang w:eastAsia="en-US"/>
        </w:rPr>
      </w:pPr>
    </w:p>
    <w:p w:rsidRPr="00F3411C" w:rsidR="00E12FA8" w:rsidP="00224389" w:rsidRDefault="00E12FA8" w14:paraId="18477F01" w14:textId="3266409A">
      <w:pPr>
        <w:autoSpaceDE/>
        <w:autoSpaceDN/>
        <w:rPr>
          <w:rFonts w:eastAsia="Times New Roman"/>
          <w:i/>
          <w:lang w:eastAsia="en-US"/>
        </w:rPr>
      </w:pPr>
      <w:r w:rsidRPr="00F3411C">
        <w:rPr>
          <w:rFonts w:eastAsia="Times New Roman"/>
          <w:i/>
          <w:lang w:eastAsia="en-US"/>
        </w:rPr>
        <w:t>§ 1910.501(h)(1)</w:t>
      </w:r>
    </w:p>
    <w:p w:rsidRPr="00F3411C" w:rsidR="000A7A63" w:rsidP="00E12FA8" w:rsidRDefault="000A7A63" w14:paraId="7F346D07" w14:textId="34E01F33"/>
    <w:p w:rsidRPr="00F3411C" w:rsidR="001263D5" w:rsidP="00E12FA8" w:rsidRDefault="00EF348A" w14:paraId="0BAE133E" w14:textId="565EB996">
      <w:r w:rsidRPr="00F3411C">
        <w:t>Because unvaccinated employees will be tested weekly</w:t>
      </w:r>
      <w:r w:rsidRPr="00F3411C" w:rsidR="00002BA2">
        <w:t xml:space="preserve"> as a result of § 1910.501(g)</w:t>
      </w:r>
      <w:r w:rsidRPr="00F3411C">
        <w:t>, any positive test notification</w:t>
      </w:r>
      <w:r w:rsidRPr="00F3411C" w:rsidR="00F3411C">
        <w:t>s</w:t>
      </w:r>
      <w:r w:rsidRPr="00F3411C">
        <w:t xml:space="preserve"> that occur as a result of that testing is already captured in th</w:t>
      </w:r>
      <w:r w:rsidRPr="00F3411C" w:rsidR="00F3411C">
        <w:t xml:space="preserve">at section’s </w:t>
      </w:r>
      <w:r w:rsidRPr="00F3411C">
        <w:t>analysis</w:t>
      </w:r>
      <w:r w:rsidRPr="00F3411C" w:rsidR="00002BA2">
        <w:t xml:space="preserve">. </w:t>
      </w:r>
      <w:r w:rsidRPr="00F3411C" w:rsidR="00B61AC6">
        <w:t xml:space="preserve">Thus, this section only captures when vaccinated, covered employees notify their employer of their COVID-19 positive status. </w:t>
      </w:r>
      <w:r w:rsidRPr="00F3411C" w:rsidR="00002BA2">
        <w:t xml:space="preserve">The Agency estimates that 52,510,781 covered employees were vaccinated prior to the implementation of the ETS, and 22,751,767 will be vaccinated as a result of the ETS, for a total number of 75,262,548 total covered, vaccinated employees. </w:t>
      </w:r>
      <w:r w:rsidRPr="00DF7B29" w:rsidR="00DF7B29">
        <w:t>OSHA estimates that 0.1 percent</w:t>
      </w:r>
      <w:r w:rsidR="001B0FEA">
        <w:rPr>
          <w:rStyle w:val="FootnoteReference"/>
        </w:rPr>
        <w:footnoteReference w:id="13"/>
      </w:r>
      <w:r w:rsidRPr="00DF7B29" w:rsidR="00DF7B29">
        <w:t xml:space="preserve"> of the 75,262,548 employees will need to inform their employer of a breakthrough COVID-19 positive status. (75,262,548 covered vaccinated employees x 0.001 = 75,262.55) OSHA assumes that it will take (three) 3 minutes (0.05 hours) for an employee to notify the GO manager of their positive COVID-19 status. </w:t>
      </w:r>
    </w:p>
    <w:p w:rsidRPr="00F3411C" w:rsidR="001263D5" w:rsidP="00176489" w:rsidRDefault="00176489" w14:paraId="1DA0C600" w14:textId="2DA8D79D">
      <w:pPr>
        <w:pStyle w:val="Heading8"/>
        <w:numPr>
          <w:ilvl w:val="0"/>
          <w:numId w:val="0"/>
        </w:numPr>
      </w:pPr>
      <w:r w:rsidRPr="00176489">
        <w:rPr>
          <w:rFonts w:ascii="Times New Roman" w:hAnsi="Times New Roman"/>
        </w:rPr>
        <w:t xml:space="preserve">a. </w:t>
      </w:r>
      <w:r w:rsidRPr="00176489" w:rsidR="001263D5">
        <w:rPr>
          <w:rFonts w:ascii="Times New Roman" w:hAnsi="Times New Roman"/>
        </w:rPr>
        <w:t>Employee notifying employer</w:t>
      </w:r>
      <w:r w:rsidRPr="00F3411C" w:rsidR="001263D5">
        <w:t>.</w:t>
      </w:r>
    </w:p>
    <w:p w:rsidRPr="00F3411C" w:rsidR="00254178" w:rsidP="00254178" w:rsidRDefault="00254178" w14:paraId="20185E57" w14:textId="3AEA99E7">
      <w:pPr>
        <w:ind w:left="720"/>
        <w:outlineLvl w:val="4"/>
      </w:pPr>
      <w:r w:rsidRPr="00F3411C">
        <w:rPr>
          <w:b/>
        </w:rPr>
        <w:t>Burden hours</w:t>
      </w:r>
      <w:r w:rsidRPr="00F3411C">
        <w:t xml:space="preserve">: </w:t>
      </w:r>
      <w:r w:rsidRPr="00DF7B29" w:rsidR="00DF7B29">
        <w:t xml:space="preserve">75,263 </w:t>
      </w:r>
      <w:r w:rsidRPr="00F3411C" w:rsidR="00EB0863">
        <w:t>positive</w:t>
      </w:r>
      <w:r w:rsidRPr="00F3411C">
        <w:t xml:space="preserve"> employees x 0.</w:t>
      </w:r>
      <w:r w:rsidRPr="00F3411C" w:rsidR="00EB0863">
        <w:t>05</w:t>
      </w:r>
      <w:r w:rsidRPr="00F3411C">
        <w:t xml:space="preserve"> hours = </w:t>
      </w:r>
      <w:r w:rsidRPr="00DF7B29" w:rsidR="00DF7B29">
        <w:t>3,763.15</w:t>
      </w:r>
      <w:r w:rsidR="00DF7B29">
        <w:t xml:space="preserve"> </w:t>
      </w:r>
      <w:r w:rsidRPr="00F3411C">
        <w:t>hours</w:t>
      </w:r>
    </w:p>
    <w:p w:rsidRPr="00F3411C" w:rsidR="00254178" w:rsidP="00254178" w:rsidRDefault="00254178" w14:paraId="61E7F882" w14:textId="77777777">
      <w:pPr>
        <w:ind w:left="720"/>
        <w:outlineLvl w:val="4"/>
      </w:pPr>
    </w:p>
    <w:p w:rsidRPr="00F3411C" w:rsidR="00254178" w:rsidP="00254178" w:rsidRDefault="00254178" w14:paraId="1B358951" w14:textId="3E1691D7">
      <w:pPr>
        <w:ind w:left="720"/>
        <w:outlineLvl w:val="4"/>
      </w:pPr>
      <w:r w:rsidRPr="00F3411C">
        <w:rPr>
          <w:b/>
        </w:rPr>
        <w:t>Cost</w:t>
      </w:r>
      <w:r w:rsidRPr="00F3411C">
        <w:t>:</w:t>
      </w:r>
      <w:r w:rsidRPr="00F3411C">
        <w:tab/>
      </w:r>
      <w:r w:rsidRPr="00F3411C">
        <w:tab/>
        <w:t xml:space="preserve">   </w:t>
      </w:r>
      <w:r w:rsidRPr="00DF7B29" w:rsidR="00DF7B29">
        <w:t>3,763.15</w:t>
      </w:r>
      <w:r w:rsidRPr="00F3411C">
        <w:t>hours x $3</w:t>
      </w:r>
      <w:r w:rsidRPr="00F3411C" w:rsidR="00EB0863">
        <w:t>5.60</w:t>
      </w:r>
      <w:r w:rsidRPr="00F3411C">
        <w:t xml:space="preserve"> (</w:t>
      </w:r>
      <w:r w:rsidRPr="00F3411C" w:rsidR="00EB0863">
        <w:t>General worker</w:t>
      </w:r>
      <w:r w:rsidRPr="00F3411C">
        <w:t xml:space="preserve">) = </w:t>
      </w:r>
      <w:r w:rsidR="00DF7B29">
        <w:t xml:space="preserve">$133,968.14 </w:t>
      </w:r>
    </w:p>
    <w:p w:rsidRPr="00F3411C" w:rsidR="001263D5" w:rsidP="006B7C2D" w:rsidRDefault="001263D5" w14:paraId="5B54DE54" w14:textId="4188B3B4">
      <w:pPr>
        <w:outlineLvl w:val="4"/>
      </w:pPr>
    </w:p>
    <w:p w:rsidRPr="00F3411C" w:rsidR="001263D5" w:rsidP="00176489" w:rsidRDefault="001263D5" w14:paraId="3462CCBE" w14:textId="376DA65B">
      <w:pPr>
        <w:pStyle w:val="Heading5"/>
        <w:numPr>
          <w:ilvl w:val="4"/>
          <w:numId w:val="33"/>
        </w:numPr>
      </w:pPr>
      <w:r w:rsidRPr="00F3411C">
        <w:t>Employer receiving notification.</w:t>
      </w:r>
    </w:p>
    <w:p w:rsidRPr="00F3411C" w:rsidR="001263D5" w:rsidP="001263D5" w:rsidRDefault="001263D5" w14:paraId="455EA9EC" w14:textId="1C80D835">
      <w:pPr>
        <w:ind w:left="720"/>
        <w:outlineLvl w:val="4"/>
      </w:pPr>
      <w:r w:rsidRPr="00F3411C">
        <w:rPr>
          <w:b/>
        </w:rPr>
        <w:t>Burden hours</w:t>
      </w:r>
      <w:r w:rsidRPr="00F3411C">
        <w:t xml:space="preserve">: </w:t>
      </w:r>
      <w:r w:rsidRPr="00DF7B29" w:rsidR="00DF7B29">
        <w:t xml:space="preserve">75,263 </w:t>
      </w:r>
      <w:r w:rsidRPr="00F3411C">
        <w:t xml:space="preserve">positive employees x 0.05 hours = </w:t>
      </w:r>
      <w:r w:rsidRPr="00DF7B29" w:rsidR="00DF7B29">
        <w:t>3,763.15</w:t>
      </w:r>
      <w:r w:rsidRPr="00F3411C">
        <w:t>hours</w:t>
      </w:r>
    </w:p>
    <w:p w:rsidRPr="00F3411C" w:rsidR="001263D5" w:rsidP="001263D5" w:rsidRDefault="001263D5" w14:paraId="5BA9912F" w14:textId="77777777">
      <w:pPr>
        <w:ind w:left="720"/>
        <w:outlineLvl w:val="4"/>
      </w:pPr>
    </w:p>
    <w:p w:rsidRPr="00F3411C" w:rsidR="001263D5" w:rsidP="001263D5" w:rsidRDefault="001263D5" w14:paraId="133398BC" w14:textId="516BD646">
      <w:pPr>
        <w:ind w:left="720"/>
        <w:outlineLvl w:val="4"/>
      </w:pPr>
      <w:r w:rsidRPr="00F3411C">
        <w:rPr>
          <w:b/>
        </w:rPr>
        <w:t>Cost</w:t>
      </w:r>
      <w:r w:rsidRPr="00F3411C">
        <w:t>:</w:t>
      </w:r>
      <w:r w:rsidRPr="00F3411C">
        <w:tab/>
      </w:r>
      <w:r w:rsidRPr="00F3411C">
        <w:tab/>
        <w:t xml:space="preserve">   </w:t>
      </w:r>
      <w:r w:rsidRPr="00DF7B29" w:rsidR="00DF7B29">
        <w:t>3,763.15</w:t>
      </w:r>
      <w:r w:rsidRPr="00F3411C">
        <w:t xml:space="preserve">hours x $88.16 (GO manager) = </w:t>
      </w:r>
      <w:r w:rsidRPr="00DF7B29" w:rsidR="00DF7B29">
        <w:t>$133,968.14</w:t>
      </w:r>
      <w:r w:rsidR="00DF7B29">
        <w:t xml:space="preserve"> </w:t>
      </w:r>
    </w:p>
    <w:p w:rsidRPr="00F3411C" w:rsidR="00E12FA8" w:rsidP="00E12FA8" w:rsidRDefault="00E12FA8" w14:paraId="2833835C" w14:textId="2D5A980E"/>
    <w:p w:rsidRPr="00F3411C" w:rsidR="00E12FA8" w:rsidP="00E12FA8" w:rsidRDefault="00C3554F" w14:paraId="5B432162" w14:textId="3465DECB">
      <w:pPr>
        <w:autoSpaceDE/>
        <w:autoSpaceDN/>
        <w:rPr>
          <w:b/>
          <w:bCs/>
          <w:iCs/>
        </w:rPr>
      </w:pPr>
      <w:r w:rsidRPr="00F3411C">
        <w:rPr>
          <w:b/>
          <w:bCs/>
          <w:iCs/>
        </w:rPr>
        <w:t>6. Information provided to employees.</w:t>
      </w:r>
    </w:p>
    <w:p w:rsidRPr="00F3411C" w:rsidR="00C3554F" w:rsidP="00E12FA8" w:rsidRDefault="00C3554F" w14:paraId="5DF2206F" w14:textId="4320E045">
      <w:pPr>
        <w:autoSpaceDE/>
        <w:autoSpaceDN/>
        <w:rPr>
          <w:rFonts w:eastAsia="Arial Unicode MS"/>
          <w:b/>
          <w:color w:val="000000"/>
        </w:rPr>
      </w:pPr>
    </w:p>
    <w:p w:rsidRPr="00F3411C" w:rsidR="00E12FA8" w:rsidP="00E12FA8" w:rsidRDefault="00E12FA8" w14:paraId="0642B398" w14:textId="51EE6089">
      <w:pPr>
        <w:rPr>
          <w:bCs/>
          <w:i/>
          <w:iCs/>
        </w:rPr>
      </w:pPr>
      <w:r w:rsidRPr="00F3411C">
        <w:rPr>
          <w:rFonts w:eastAsia="Arial Unicode MS"/>
          <w:i/>
          <w:color w:val="000000"/>
        </w:rPr>
        <w:t>§ 1910.501</w:t>
      </w:r>
      <w:r w:rsidRPr="00F3411C">
        <w:rPr>
          <w:bCs/>
          <w:i/>
        </w:rPr>
        <w:t>(j)</w:t>
      </w:r>
    </w:p>
    <w:p w:rsidRPr="00F3411C" w:rsidR="003D7558" w:rsidP="00E12FA8" w:rsidRDefault="003D7558" w14:paraId="5FEF4456" w14:textId="1537DB6D"/>
    <w:p w:rsidRPr="00F3411C" w:rsidR="005F41E9" w:rsidP="00E12FA8" w:rsidRDefault="005F41E9" w14:paraId="0CB3C630" w14:textId="7136A3A1">
      <w:r w:rsidRPr="00F3411C">
        <w:t>The employer must inform each employee, in a language and at a literacy level the employee understands, about: (1) the requirements of this section as well as any employer policies and procedures established to implement this section</w:t>
      </w:r>
      <w:r w:rsidRPr="00F3411C" w:rsidR="00A73DD3">
        <w:t>.</w:t>
      </w:r>
    </w:p>
    <w:p w:rsidRPr="00F3411C" w:rsidR="005F41E9" w:rsidP="00F3411C" w:rsidRDefault="00F3411C" w14:paraId="1FC9EBBB" w14:textId="3B417842">
      <w:pPr>
        <w:autoSpaceDE/>
        <w:autoSpaceDN/>
        <w:spacing w:after="200" w:line="276" w:lineRule="auto"/>
      </w:pPr>
      <w:r>
        <w:br w:type="page"/>
      </w:r>
    </w:p>
    <w:p w:rsidRPr="00F3411C" w:rsidR="0045450B" w:rsidP="00E12FA8" w:rsidRDefault="0045450B" w14:paraId="70D2FAF4" w14:textId="4CD3B001">
      <w:pPr>
        <w:rPr>
          <w:i/>
        </w:rPr>
      </w:pPr>
      <w:r w:rsidRPr="00F3411C">
        <w:rPr>
          <w:i/>
        </w:rPr>
        <w:t>a. Familiarization with the rule.</w:t>
      </w:r>
    </w:p>
    <w:p w:rsidRPr="00F3411C" w:rsidR="0045450B" w:rsidP="00E12FA8" w:rsidRDefault="0045450B" w14:paraId="701406AE" w14:textId="3A6804FD">
      <w:pPr>
        <w:rPr>
          <w:i/>
        </w:rPr>
      </w:pPr>
    </w:p>
    <w:p w:rsidRPr="00F3411C" w:rsidR="0045450B" w:rsidP="0045450B" w:rsidRDefault="0045450B" w14:paraId="250B46FA" w14:textId="75EF873A">
      <w:pPr>
        <w:rPr>
          <w:bCs/>
        </w:rPr>
      </w:pPr>
      <w:r w:rsidRPr="00F3411C">
        <w:rPr>
          <w:bCs/>
        </w:rPr>
        <w:t xml:space="preserve">OSHA estimates that it will take employers </w:t>
      </w:r>
      <w:r w:rsidRPr="00F3411C" w:rsidR="00B61AC6">
        <w:rPr>
          <w:bCs/>
        </w:rPr>
        <w:t>one (</w:t>
      </w:r>
      <w:r w:rsidRPr="00F3411C">
        <w:rPr>
          <w:bCs/>
        </w:rPr>
        <w:t>1</w:t>
      </w:r>
      <w:r w:rsidRPr="00F3411C" w:rsidR="00B61AC6">
        <w:rPr>
          <w:bCs/>
        </w:rPr>
        <w:t>)</w:t>
      </w:r>
      <w:r w:rsidRPr="00F3411C">
        <w:rPr>
          <w:bCs/>
        </w:rPr>
        <w:t xml:space="preserve"> hour to familiarize themselves with the rule. For purposes of this analysis, OSHA assumes all the substantive provisions of the ETS must be understood in order to comply with the information collection provisions. The Agency further assumes that it will take one</w:t>
      </w:r>
      <w:r w:rsidRPr="00F3411C" w:rsidR="00B61AC6">
        <w:rPr>
          <w:bCs/>
        </w:rPr>
        <w:t xml:space="preserve"> (1)</w:t>
      </w:r>
      <w:r w:rsidRPr="00F3411C">
        <w:rPr>
          <w:bCs/>
        </w:rPr>
        <w:t xml:space="preserve"> hour for a general operation manager, making $88.16 an hour, to get familiar with the rule. </w:t>
      </w:r>
    </w:p>
    <w:p w:rsidRPr="00F3411C" w:rsidR="0045450B" w:rsidP="0045450B" w:rsidRDefault="0045450B" w14:paraId="3CAE9B12" w14:textId="77777777">
      <w:pPr>
        <w:rPr>
          <w:bCs/>
        </w:rPr>
      </w:pPr>
    </w:p>
    <w:p w:rsidRPr="00F3411C" w:rsidR="0045450B" w:rsidP="0045450B" w:rsidRDefault="0045450B" w14:paraId="117FC880" w14:textId="31365296">
      <w:pPr>
        <w:ind w:firstLine="720"/>
        <w:outlineLvl w:val="4"/>
      </w:pPr>
      <w:r w:rsidRPr="00F3411C">
        <w:rPr>
          <w:b/>
        </w:rPr>
        <w:t>Burden hours</w:t>
      </w:r>
      <w:r w:rsidRPr="00F3411C">
        <w:t xml:space="preserve">: </w:t>
      </w:r>
      <w:r w:rsidRPr="00F3411C" w:rsidR="00F34F5E">
        <w:t>1,858,935</w:t>
      </w:r>
      <w:r w:rsidRPr="00F3411C">
        <w:t xml:space="preserve"> employers x 1 hours = </w:t>
      </w:r>
      <w:r w:rsidRPr="00F3411C" w:rsidR="00F34F5E">
        <w:t>1,858,935</w:t>
      </w:r>
      <w:r w:rsidRPr="00F3411C">
        <w:t xml:space="preserve"> hours</w:t>
      </w:r>
    </w:p>
    <w:p w:rsidRPr="00F3411C" w:rsidR="0045450B" w:rsidP="0045450B" w:rsidRDefault="0045450B" w14:paraId="6E3B8A7F" w14:textId="77777777">
      <w:pPr>
        <w:ind w:firstLine="720"/>
        <w:outlineLvl w:val="4"/>
      </w:pPr>
    </w:p>
    <w:p w:rsidRPr="00F3411C" w:rsidR="0045450B" w:rsidP="0045450B" w:rsidRDefault="0045450B" w14:paraId="7D3D2C95" w14:textId="565DE008">
      <w:pPr>
        <w:ind w:left="2280" w:hanging="1560"/>
        <w:rPr>
          <w:bCs/>
        </w:rPr>
      </w:pPr>
      <w:r w:rsidRPr="00F3411C">
        <w:rPr>
          <w:b/>
        </w:rPr>
        <w:t>Cost</w:t>
      </w:r>
      <w:r w:rsidRPr="00F3411C">
        <w:t>:</w:t>
      </w:r>
      <w:r w:rsidRPr="00F3411C">
        <w:tab/>
      </w:r>
      <w:r w:rsidRPr="00F3411C" w:rsidR="00F34F5E">
        <w:t>1,858,935</w:t>
      </w:r>
      <w:r w:rsidRPr="00F3411C">
        <w:t xml:space="preserve"> hours x $88.16 (GO manager) = $16</w:t>
      </w:r>
      <w:r w:rsidRPr="00F3411C" w:rsidR="007745FD">
        <w:t>3,883,710</w:t>
      </w:r>
    </w:p>
    <w:p w:rsidRPr="00F3411C" w:rsidR="0045450B" w:rsidP="00E12FA8" w:rsidRDefault="0045450B" w14:paraId="724A2E9C" w14:textId="77777777"/>
    <w:p w:rsidRPr="00F3411C" w:rsidR="008162B7" w:rsidP="00E12FA8" w:rsidRDefault="0045450B" w14:paraId="227FA527" w14:textId="6D99C5E1">
      <w:pPr>
        <w:rPr>
          <w:i/>
        </w:rPr>
      </w:pPr>
      <w:r w:rsidRPr="00F3411C">
        <w:rPr>
          <w:i/>
        </w:rPr>
        <w:t>b</w:t>
      </w:r>
      <w:r w:rsidRPr="00F3411C" w:rsidR="003F745D">
        <w:rPr>
          <w:i/>
        </w:rPr>
        <w:t xml:space="preserve">. </w:t>
      </w:r>
      <w:r w:rsidRPr="00F3411C" w:rsidR="008162B7">
        <w:rPr>
          <w:i/>
        </w:rPr>
        <w:t>Communicating the rule.</w:t>
      </w:r>
    </w:p>
    <w:p w:rsidRPr="00F3411C" w:rsidR="008162B7" w:rsidP="00E12FA8" w:rsidRDefault="008162B7" w14:paraId="499D096E" w14:textId="3E636530"/>
    <w:p w:rsidRPr="00F3411C" w:rsidR="003D7558" w:rsidP="00E12FA8" w:rsidRDefault="00E54CD2" w14:paraId="1AE99CF2" w14:textId="75F28E2E">
      <w:r w:rsidRPr="00F3411C">
        <w:t xml:space="preserve">For purposes of this analysis, OSHA assumes </w:t>
      </w:r>
      <w:r w:rsidRPr="00F3411C" w:rsidR="003D7558">
        <w:t xml:space="preserve">that </w:t>
      </w:r>
      <w:r w:rsidRPr="00F3411C" w:rsidR="00C7570A">
        <w:t>1,</w:t>
      </w:r>
      <w:r w:rsidRPr="00F3411C" w:rsidR="007745FD">
        <w:t>858,935</w:t>
      </w:r>
      <w:r w:rsidRPr="00F3411C" w:rsidR="003D7558">
        <w:t xml:space="preserve"> employer</w:t>
      </w:r>
      <w:r w:rsidRPr="00F3411C">
        <w:t>s wil</w:t>
      </w:r>
      <w:r w:rsidRPr="00F3411C" w:rsidR="00D211FF">
        <w:t xml:space="preserve">l </w:t>
      </w:r>
      <w:r w:rsidRPr="00F3411C" w:rsidR="003D7558">
        <w:t>communicat</w:t>
      </w:r>
      <w:r w:rsidRPr="00F3411C">
        <w:t>e the required</w:t>
      </w:r>
      <w:r w:rsidRPr="00F3411C" w:rsidR="003D7558">
        <w:t xml:space="preserve"> information</w:t>
      </w:r>
      <w:r w:rsidRPr="00F3411C" w:rsidR="006B4CB7">
        <w:t xml:space="preserve"> once familiarized with the rule</w:t>
      </w:r>
      <w:r w:rsidRPr="00F3411C" w:rsidR="00B61AC6">
        <w:t>.</w:t>
      </w:r>
      <w:r w:rsidRPr="00F3411C" w:rsidR="00842B66">
        <w:t xml:space="preserve"> </w:t>
      </w:r>
      <w:r w:rsidRPr="00F3411C" w:rsidR="00B61AC6">
        <w:t>T</w:t>
      </w:r>
      <w:r w:rsidRPr="00F3411C" w:rsidR="00D211FF">
        <w:t xml:space="preserve">he agency estimates that </w:t>
      </w:r>
      <w:r w:rsidRPr="00F3411C" w:rsidR="003D7558">
        <w:t xml:space="preserve">a </w:t>
      </w:r>
      <w:r w:rsidRPr="00F3411C" w:rsidR="003117B7">
        <w:t>GO</w:t>
      </w:r>
      <w:r w:rsidRPr="00F3411C" w:rsidR="003D7558">
        <w:t xml:space="preserve"> manager</w:t>
      </w:r>
      <w:r w:rsidRPr="00F3411C" w:rsidR="00D211FF">
        <w:t>, making</w:t>
      </w:r>
      <w:r w:rsidRPr="00F3411C" w:rsidR="00D211FF">
        <w:rPr>
          <w:bCs/>
        </w:rPr>
        <w:t xml:space="preserve"> $88.16 an hour,</w:t>
      </w:r>
      <w:r w:rsidRPr="00F3411C" w:rsidR="003D7558">
        <w:t xml:space="preserve"> </w:t>
      </w:r>
      <w:r w:rsidRPr="00F3411C" w:rsidR="00D211FF">
        <w:t xml:space="preserve">will take </w:t>
      </w:r>
      <w:r w:rsidRPr="00F3411C" w:rsidR="00B61AC6">
        <w:t>ten (</w:t>
      </w:r>
      <w:r w:rsidRPr="00F3411C" w:rsidR="003D7558">
        <w:t>10</w:t>
      </w:r>
      <w:r w:rsidRPr="00F3411C" w:rsidR="00B61AC6">
        <w:t>)</w:t>
      </w:r>
      <w:r w:rsidRPr="00F3411C" w:rsidR="003D7558">
        <w:t xml:space="preserve"> minutes (0.17 h</w:t>
      </w:r>
      <w:r w:rsidRPr="00F3411C" w:rsidR="00B51009">
        <w:t>ours</w:t>
      </w:r>
      <w:r w:rsidRPr="00F3411C" w:rsidR="003D7558">
        <w:t>)</w:t>
      </w:r>
      <w:r w:rsidRPr="00F3411C" w:rsidR="00842B66">
        <w:t xml:space="preserve"> to </w:t>
      </w:r>
      <w:r w:rsidRPr="00F3411C">
        <w:t>perform</w:t>
      </w:r>
      <w:r w:rsidRPr="00F3411C" w:rsidR="00842B66">
        <w:t xml:space="preserve"> this task.</w:t>
      </w:r>
      <w:r w:rsidRPr="00F3411C" w:rsidR="00B51009">
        <w:t xml:space="preserve"> </w:t>
      </w:r>
      <w:r w:rsidRPr="00F3411C" w:rsidR="003D48D0">
        <w:t>OSHA also expects employers to use mass communication techniques, such as email alerts sent to all employees and all-staff meetings</w:t>
      </w:r>
      <w:r w:rsidRPr="00F3411C" w:rsidR="00B61AC6">
        <w:t>,</w:t>
      </w:r>
      <w:r w:rsidRPr="00F3411C" w:rsidR="003D48D0">
        <w:t xml:space="preserve"> so that a single action can notify all workers.</w:t>
      </w:r>
    </w:p>
    <w:p w:rsidRPr="00F3411C" w:rsidR="00842B66" w:rsidP="00E12FA8" w:rsidRDefault="00842B66" w14:paraId="585054A6" w14:textId="1077271C"/>
    <w:p w:rsidRPr="00F3411C" w:rsidR="00842B66" w:rsidP="00052053" w:rsidRDefault="00842B66" w14:paraId="5A4A6020" w14:textId="592BA757">
      <w:pPr>
        <w:ind w:left="720"/>
        <w:outlineLvl w:val="4"/>
      </w:pPr>
      <w:r w:rsidRPr="00F3411C">
        <w:rPr>
          <w:b/>
        </w:rPr>
        <w:t>Burden hours</w:t>
      </w:r>
      <w:r w:rsidRPr="00F3411C">
        <w:t xml:space="preserve">: </w:t>
      </w:r>
      <w:r w:rsidRPr="00F3411C" w:rsidR="00C7570A">
        <w:t>1</w:t>
      </w:r>
      <w:r w:rsidRPr="00F3411C" w:rsidR="007745FD">
        <w:t>,858,935</w:t>
      </w:r>
      <w:r w:rsidRPr="00F3411C">
        <w:t xml:space="preserve"> employers x 0.17 hours = 31</w:t>
      </w:r>
      <w:r w:rsidRPr="00F3411C" w:rsidR="007745FD">
        <w:t>6,018.95</w:t>
      </w:r>
      <w:r w:rsidRPr="00F3411C">
        <w:t xml:space="preserve"> hours</w:t>
      </w:r>
    </w:p>
    <w:p w:rsidRPr="00F3411C" w:rsidR="00842B66" w:rsidP="00842B66" w:rsidRDefault="00842B66" w14:paraId="72568370" w14:textId="77777777">
      <w:pPr>
        <w:ind w:firstLine="720"/>
        <w:outlineLvl w:val="4"/>
      </w:pPr>
    </w:p>
    <w:p w:rsidRPr="00F3411C" w:rsidR="00842B66" w:rsidP="00842B66" w:rsidRDefault="00842B66" w14:paraId="7BFD5B64" w14:textId="2B0FC63B">
      <w:pPr>
        <w:ind w:left="720"/>
        <w:outlineLvl w:val="4"/>
      </w:pPr>
      <w:r w:rsidRPr="00F3411C">
        <w:rPr>
          <w:b/>
        </w:rPr>
        <w:t>Cost</w:t>
      </w:r>
      <w:r w:rsidRPr="00F3411C">
        <w:t>:</w:t>
      </w:r>
      <w:r w:rsidRPr="00F3411C">
        <w:tab/>
      </w:r>
      <w:r w:rsidRPr="00F3411C">
        <w:tab/>
        <w:t xml:space="preserve">  </w:t>
      </w:r>
      <w:r w:rsidRPr="00F3411C" w:rsidR="007745FD">
        <w:t>316,018.95</w:t>
      </w:r>
      <w:r w:rsidRPr="00F3411C">
        <w:t xml:space="preserve"> hours x $88.16 (</w:t>
      </w:r>
      <w:r w:rsidRPr="00F3411C" w:rsidR="003117B7">
        <w:t>GO</w:t>
      </w:r>
      <w:r w:rsidRPr="00F3411C">
        <w:t xml:space="preserve"> manager) = $27,</w:t>
      </w:r>
      <w:r w:rsidRPr="00F3411C" w:rsidR="007745FD">
        <w:t>860,230.60</w:t>
      </w:r>
    </w:p>
    <w:p w:rsidRPr="00F3411C" w:rsidR="00842B66" w:rsidP="00E12FA8" w:rsidRDefault="00842B66" w14:paraId="46242973" w14:textId="77777777"/>
    <w:p w:rsidRPr="00F3411C" w:rsidR="00842B66" w:rsidP="00E12FA8" w:rsidRDefault="00E03C32" w14:paraId="0A56371B" w14:textId="34AD6776">
      <w:r w:rsidRPr="00F3411C">
        <w:t xml:space="preserve">The Agency associates no PRA burden for distributing </w:t>
      </w:r>
      <w:r w:rsidRPr="00F3411C" w:rsidR="00B51009">
        <w:t>“</w:t>
      </w:r>
      <w:r w:rsidRPr="00F3411C">
        <w:t>Key Things to Know About COVID-19 Vaccines</w:t>
      </w:r>
      <w:r w:rsidRPr="00F3411C" w:rsidR="00593B55">
        <w:t>,</w:t>
      </w:r>
      <w:r w:rsidRPr="00F3411C" w:rsidR="00B51009">
        <w:t>”</w:t>
      </w:r>
      <w:r w:rsidRPr="00F3411C" w:rsidR="00593B55">
        <w:t xml:space="preserve"> as this is information originally provided by the Federal Government. </w:t>
      </w:r>
      <w:r w:rsidRPr="00F3411C" w:rsidR="00593B55">
        <w:rPr>
          <w:i/>
          <w:iCs/>
        </w:rPr>
        <w:t>See</w:t>
      </w:r>
      <w:r w:rsidRPr="00F3411C" w:rsidR="00593B55">
        <w:t xml:space="preserve"> 5 CFR 1320.3(c).</w:t>
      </w:r>
    </w:p>
    <w:p w:rsidRPr="00F3411C" w:rsidR="00E12FA8" w:rsidP="00E12FA8" w:rsidRDefault="00E12FA8" w14:paraId="3E9FF582" w14:textId="77777777">
      <w:pPr>
        <w:outlineLvl w:val="4"/>
        <w:rPr>
          <w:rFonts w:eastAsia="Arial Unicode MS"/>
          <w:b/>
          <w:i/>
          <w:color w:val="000000"/>
        </w:rPr>
      </w:pPr>
    </w:p>
    <w:p w:rsidRPr="00F3411C" w:rsidR="00E12FA8" w:rsidP="00E12FA8" w:rsidRDefault="006B5275" w14:paraId="524ECB8D" w14:textId="279BD53E">
      <w:pPr>
        <w:outlineLvl w:val="4"/>
        <w:rPr>
          <w:b/>
          <w:bCs/>
          <w:iCs/>
        </w:rPr>
      </w:pPr>
      <w:r w:rsidRPr="00F3411C">
        <w:rPr>
          <w:b/>
          <w:bCs/>
          <w:iCs/>
        </w:rPr>
        <w:t>7. Reporting COVID-19 fatalities and hospitalizations to OSHA.</w:t>
      </w:r>
      <w:r w:rsidRPr="00F3411C" w:rsidR="00A46929">
        <w:rPr>
          <w:rStyle w:val="FootnoteReference"/>
          <w:b/>
          <w:bCs/>
          <w:iCs/>
        </w:rPr>
        <w:footnoteReference w:id="14"/>
      </w:r>
    </w:p>
    <w:p w:rsidRPr="00F3411C" w:rsidR="006B5275" w:rsidP="00E12FA8" w:rsidRDefault="006B5275" w14:paraId="44906C37" w14:textId="0C220C33">
      <w:pPr>
        <w:outlineLvl w:val="4"/>
        <w:rPr>
          <w:rFonts w:eastAsia="Arial Unicode MS"/>
          <w:color w:val="000000"/>
        </w:rPr>
      </w:pPr>
    </w:p>
    <w:p w:rsidRPr="00F3411C" w:rsidR="00E12FA8" w:rsidP="00E12FA8" w:rsidRDefault="00E12FA8" w14:paraId="33E3CB72" w14:textId="1018E37F">
      <w:pPr>
        <w:rPr>
          <w:i/>
        </w:rPr>
      </w:pPr>
      <w:r w:rsidRPr="00F3411C">
        <w:rPr>
          <w:rFonts w:eastAsia="Arial Unicode MS"/>
          <w:i/>
          <w:color w:val="000000"/>
        </w:rPr>
        <w:t xml:space="preserve">§ </w:t>
      </w:r>
      <w:r w:rsidRPr="00F3411C">
        <w:rPr>
          <w:i/>
        </w:rPr>
        <w:t>1910.501(k)(1)</w:t>
      </w:r>
      <w:r w:rsidRPr="00F3411C" w:rsidR="00871467">
        <w:rPr>
          <w:i/>
        </w:rPr>
        <w:t>&amp;(2)</w:t>
      </w:r>
      <w:r w:rsidRPr="00F3411C">
        <w:rPr>
          <w:i/>
        </w:rPr>
        <w:t xml:space="preserve"> </w:t>
      </w:r>
    </w:p>
    <w:p w:rsidRPr="00F3411C" w:rsidR="00E12FA8" w:rsidP="00E12FA8" w:rsidRDefault="00E12FA8" w14:paraId="4500AB7B" w14:textId="6594E3DD"/>
    <w:p w:rsidRPr="00F3411C" w:rsidR="00400DE1" w:rsidP="00F1418A" w:rsidRDefault="005D09CA" w14:paraId="4B261E2F" w14:textId="3E9584EB">
      <w:pPr>
        <w:pStyle w:val="Heading5"/>
        <w:numPr>
          <w:ilvl w:val="0"/>
          <w:numId w:val="0"/>
        </w:numPr>
      </w:pPr>
      <w:r w:rsidRPr="00F3411C">
        <w:t xml:space="preserve">a. </w:t>
      </w:r>
      <w:r w:rsidRPr="00F3411C" w:rsidR="00E54CD2">
        <w:t>Reporting h</w:t>
      </w:r>
      <w:r w:rsidRPr="00F3411C" w:rsidR="00400DE1">
        <w:t>ospitalizations</w:t>
      </w:r>
      <w:r w:rsidRPr="00F3411C" w:rsidR="00073F08">
        <w:t>.</w:t>
      </w:r>
    </w:p>
    <w:p w:rsidRPr="00F3411C" w:rsidR="00763767" w:rsidP="00763767" w:rsidRDefault="00A2765C" w14:paraId="51B334FD" w14:textId="6E82BCA1">
      <w:r w:rsidRPr="00F3411C">
        <w:t>OSHA estimates</w:t>
      </w:r>
      <w:r w:rsidRPr="00F3411C">
        <w:rPr>
          <w:lang w:val="x-none"/>
        </w:rPr>
        <w:t xml:space="preserve"> </w:t>
      </w:r>
      <w:r w:rsidRPr="00F3411C">
        <w:t xml:space="preserve">that it </w:t>
      </w:r>
      <w:r w:rsidRPr="00F3411C">
        <w:rPr>
          <w:lang w:val="x-none"/>
        </w:rPr>
        <w:t>take</w:t>
      </w:r>
      <w:r w:rsidRPr="00F3411C">
        <w:t>s</w:t>
      </w:r>
      <w:r w:rsidRPr="00F3411C">
        <w:rPr>
          <w:lang w:val="x-none"/>
        </w:rPr>
        <w:t xml:space="preserve"> </w:t>
      </w:r>
      <w:r w:rsidRPr="00F3411C" w:rsidR="00B61AC6">
        <w:t>forty-five (</w:t>
      </w:r>
      <w:r w:rsidRPr="00F3411C" w:rsidR="00715DE7">
        <w:t>45</w:t>
      </w:r>
      <w:r w:rsidRPr="00F3411C" w:rsidR="00B61AC6">
        <w:t>)</w:t>
      </w:r>
      <w:r w:rsidRPr="00F3411C">
        <w:rPr>
          <w:lang w:val="x-none"/>
        </w:rPr>
        <w:t xml:space="preserve"> minutes (0.</w:t>
      </w:r>
      <w:r w:rsidRPr="00F3411C" w:rsidR="00715DE7">
        <w:t>7</w:t>
      </w:r>
      <w:r w:rsidRPr="00F3411C">
        <w:t>5</w:t>
      </w:r>
      <w:r w:rsidRPr="00F3411C">
        <w:rPr>
          <w:lang w:val="x-none"/>
        </w:rPr>
        <w:t xml:space="preserve"> hours) of </w:t>
      </w:r>
      <w:r w:rsidRPr="00F3411C" w:rsidR="00763767">
        <w:t xml:space="preserve">a </w:t>
      </w:r>
      <w:r w:rsidRPr="00F3411C" w:rsidR="00077DF8">
        <w:t>GO</w:t>
      </w:r>
      <w:r w:rsidRPr="00F3411C" w:rsidR="00763767">
        <w:t xml:space="preserve"> manager’s </w:t>
      </w:r>
      <w:r w:rsidRPr="00F3411C">
        <w:t>time</w:t>
      </w:r>
      <w:r w:rsidRPr="00F3411C" w:rsidR="00763767">
        <w:t>,</w:t>
      </w:r>
      <w:r w:rsidRPr="00F3411C">
        <w:t xml:space="preserve"> making $88.16</w:t>
      </w:r>
      <w:r w:rsidRPr="00F3411C">
        <w:rPr>
          <w:lang w:val="x-none"/>
        </w:rPr>
        <w:t xml:space="preserve"> </w:t>
      </w:r>
      <w:r w:rsidRPr="00F3411C">
        <w:t>an hour</w:t>
      </w:r>
      <w:r w:rsidRPr="00F3411C" w:rsidR="00763767">
        <w:t>,</w:t>
      </w:r>
      <w:r w:rsidRPr="00F3411C">
        <w:t xml:space="preserve"> </w:t>
      </w:r>
      <w:r w:rsidRPr="00F3411C">
        <w:rPr>
          <w:lang w:val="x-none"/>
        </w:rPr>
        <w:t xml:space="preserve">to </w:t>
      </w:r>
      <w:r w:rsidRPr="00F3411C">
        <w:t xml:space="preserve">report the number of in-patient hospitalization cases to OSHA. </w:t>
      </w:r>
      <w:r w:rsidRPr="00F3411C" w:rsidR="006B4CB7">
        <w:t xml:space="preserve">OSHA estimates that 59,570 cases of hospitalization will be reported. </w:t>
      </w:r>
    </w:p>
    <w:p w:rsidRPr="00F3411C" w:rsidR="00B61CD3" w:rsidP="00A2765C" w:rsidRDefault="00B61CD3" w14:paraId="554788FD" w14:textId="4351276C"/>
    <w:p w:rsidRPr="00F3411C" w:rsidR="00B61CD3" w:rsidP="00B61CD3" w:rsidRDefault="00B61CD3" w14:paraId="382B2CBB" w14:textId="72E84D8D">
      <w:pPr>
        <w:ind w:left="720"/>
        <w:outlineLvl w:val="4"/>
      </w:pPr>
      <w:r w:rsidRPr="00F3411C">
        <w:rPr>
          <w:b/>
        </w:rPr>
        <w:t>Burden hours</w:t>
      </w:r>
      <w:r w:rsidRPr="00F3411C">
        <w:t xml:space="preserve">: </w:t>
      </w:r>
      <w:r w:rsidRPr="00F3411C" w:rsidR="00A46929">
        <w:t>59,570</w:t>
      </w:r>
      <w:r w:rsidRPr="00F3411C" w:rsidR="00B61AC6">
        <w:t>.00</w:t>
      </w:r>
      <w:r w:rsidRPr="00F3411C" w:rsidR="00400DE1">
        <w:t xml:space="preserve"> cases</w:t>
      </w:r>
      <w:r w:rsidRPr="00F3411C">
        <w:t xml:space="preserve"> x 0.</w:t>
      </w:r>
      <w:r w:rsidRPr="00F3411C" w:rsidR="00A46929">
        <w:t>75</w:t>
      </w:r>
      <w:r w:rsidRPr="00F3411C">
        <w:t xml:space="preserve"> hours = </w:t>
      </w:r>
      <w:r w:rsidRPr="00F3411C" w:rsidR="00A46929">
        <w:t>44,677.50</w:t>
      </w:r>
      <w:r w:rsidRPr="00F3411C">
        <w:t xml:space="preserve"> hours</w:t>
      </w:r>
    </w:p>
    <w:p w:rsidRPr="00F3411C" w:rsidR="00B61CD3" w:rsidP="00B61CD3" w:rsidRDefault="00B61CD3" w14:paraId="6B5FD540" w14:textId="77777777">
      <w:pPr>
        <w:ind w:firstLine="720"/>
        <w:outlineLvl w:val="4"/>
      </w:pPr>
    </w:p>
    <w:p w:rsidRPr="00F3411C" w:rsidR="00B61CD3" w:rsidP="00B61CD3" w:rsidRDefault="00B61CD3" w14:paraId="5684F7DA" w14:textId="6E1BBA08">
      <w:pPr>
        <w:ind w:left="720"/>
        <w:outlineLvl w:val="4"/>
      </w:pPr>
      <w:r w:rsidRPr="00F3411C">
        <w:rPr>
          <w:b/>
        </w:rPr>
        <w:t>Cost</w:t>
      </w:r>
      <w:r w:rsidRPr="00F3411C">
        <w:t>:</w:t>
      </w:r>
      <w:r w:rsidRPr="00F3411C">
        <w:tab/>
      </w:r>
      <w:r w:rsidRPr="00F3411C">
        <w:tab/>
        <w:t xml:space="preserve">  </w:t>
      </w:r>
      <w:r w:rsidRPr="00F3411C" w:rsidR="00A46929">
        <w:t>44,677.50</w:t>
      </w:r>
      <w:r w:rsidRPr="00F3411C">
        <w:t xml:space="preserve"> hours x $88.16 (</w:t>
      </w:r>
      <w:r w:rsidRPr="00F3411C" w:rsidR="003117B7">
        <w:t>GO</w:t>
      </w:r>
      <w:r w:rsidRPr="00F3411C">
        <w:t xml:space="preserve"> manager) = $</w:t>
      </w:r>
      <w:r w:rsidRPr="00F3411C" w:rsidR="00A46929">
        <w:t>3,938,768.40</w:t>
      </w:r>
    </w:p>
    <w:p w:rsidRPr="00F3411C" w:rsidR="00400DE1" w:rsidP="00B61CD3" w:rsidRDefault="00400DE1" w14:paraId="2835C600" w14:textId="77777777">
      <w:pPr>
        <w:ind w:left="720"/>
        <w:outlineLvl w:val="4"/>
      </w:pPr>
    </w:p>
    <w:p w:rsidRPr="00F3411C" w:rsidR="00B61CD3" w:rsidP="00F1418A" w:rsidRDefault="00073F08" w14:paraId="34E9BD9D" w14:textId="6F7E63A4">
      <w:pPr>
        <w:pStyle w:val="Heading5"/>
        <w:numPr>
          <w:ilvl w:val="4"/>
          <w:numId w:val="30"/>
        </w:numPr>
      </w:pPr>
      <w:r w:rsidRPr="00F3411C">
        <w:t>Reporting f</w:t>
      </w:r>
      <w:r w:rsidRPr="00F3411C" w:rsidR="00400DE1">
        <w:t>atalities</w:t>
      </w:r>
      <w:r w:rsidRPr="00F3411C">
        <w:t>.</w:t>
      </w:r>
    </w:p>
    <w:p w:rsidRPr="00F3411C" w:rsidR="00B61CD3" w:rsidP="00E12FA8" w:rsidRDefault="00895309" w14:paraId="685A5128" w14:textId="4F405BB7">
      <w:r w:rsidRPr="00F3411C">
        <w:t>OSHA estimates</w:t>
      </w:r>
      <w:r w:rsidRPr="00F3411C">
        <w:rPr>
          <w:lang w:val="x-none"/>
        </w:rPr>
        <w:t xml:space="preserve"> </w:t>
      </w:r>
      <w:r w:rsidRPr="00F3411C" w:rsidR="00A2765C">
        <w:t xml:space="preserve">that </w:t>
      </w:r>
      <w:r w:rsidRPr="00F3411C">
        <w:t xml:space="preserve">it </w:t>
      </w:r>
      <w:r w:rsidRPr="00F3411C">
        <w:rPr>
          <w:lang w:val="x-none"/>
        </w:rPr>
        <w:t>take</w:t>
      </w:r>
      <w:r w:rsidRPr="00F3411C">
        <w:t>s</w:t>
      </w:r>
      <w:r w:rsidRPr="00F3411C">
        <w:rPr>
          <w:lang w:val="x-none"/>
        </w:rPr>
        <w:t xml:space="preserve"> </w:t>
      </w:r>
      <w:r w:rsidRPr="00F3411C" w:rsidR="00B61AC6">
        <w:t>forty-five (</w:t>
      </w:r>
      <w:r w:rsidRPr="00F3411C">
        <w:t>45</w:t>
      </w:r>
      <w:r w:rsidRPr="00F3411C" w:rsidR="00B61AC6">
        <w:t>)</w:t>
      </w:r>
      <w:r w:rsidRPr="00F3411C">
        <w:rPr>
          <w:lang w:val="x-none"/>
        </w:rPr>
        <w:t xml:space="preserve"> minutes (0.</w:t>
      </w:r>
      <w:r w:rsidRPr="00F3411C">
        <w:t>75</w:t>
      </w:r>
      <w:r w:rsidRPr="00F3411C">
        <w:rPr>
          <w:lang w:val="x-none"/>
        </w:rPr>
        <w:t xml:space="preserve"> hours) of </w:t>
      </w:r>
      <w:r w:rsidRPr="00F3411C" w:rsidR="00763767">
        <w:t xml:space="preserve">a </w:t>
      </w:r>
      <w:r w:rsidRPr="00F3411C" w:rsidR="003117B7">
        <w:t>GO</w:t>
      </w:r>
      <w:r w:rsidRPr="00F3411C">
        <w:t xml:space="preserve"> manager</w:t>
      </w:r>
      <w:r w:rsidRPr="00F3411C" w:rsidR="00763767">
        <w:t>’s</w:t>
      </w:r>
      <w:r w:rsidRPr="00F3411C">
        <w:t xml:space="preserve"> time</w:t>
      </w:r>
      <w:r w:rsidRPr="00F3411C" w:rsidR="00763767">
        <w:t>,</w:t>
      </w:r>
      <w:r w:rsidRPr="00F3411C">
        <w:t xml:space="preserve"> </w:t>
      </w:r>
      <w:r w:rsidRPr="00F3411C" w:rsidR="00B42B6B">
        <w:t>making</w:t>
      </w:r>
      <w:r w:rsidRPr="00F3411C">
        <w:t xml:space="preserve"> $88.16</w:t>
      </w:r>
      <w:r w:rsidRPr="00F3411C">
        <w:rPr>
          <w:lang w:val="x-none"/>
        </w:rPr>
        <w:t xml:space="preserve"> </w:t>
      </w:r>
      <w:r w:rsidRPr="00F3411C" w:rsidR="00B42B6B">
        <w:t>an hour</w:t>
      </w:r>
      <w:r w:rsidRPr="00F3411C" w:rsidR="00763767">
        <w:t>,</w:t>
      </w:r>
      <w:r w:rsidRPr="00F3411C" w:rsidR="00B42B6B">
        <w:t xml:space="preserve"> </w:t>
      </w:r>
      <w:r w:rsidRPr="00F3411C">
        <w:rPr>
          <w:lang w:val="x-none"/>
        </w:rPr>
        <w:t xml:space="preserve">to </w:t>
      </w:r>
      <w:r w:rsidRPr="00F3411C">
        <w:t xml:space="preserve">report the </w:t>
      </w:r>
      <w:r w:rsidRPr="00F3411C" w:rsidR="00A2765C">
        <w:t xml:space="preserve">number of </w:t>
      </w:r>
      <w:r w:rsidRPr="00F3411C">
        <w:t xml:space="preserve">fatality </w:t>
      </w:r>
      <w:r w:rsidRPr="00F3411C" w:rsidR="00A2765C">
        <w:t>cases to OSHA</w:t>
      </w:r>
      <w:r w:rsidRPr="00F3411C" w:rsidR="00B42B6B">
        <w:t>.</w:t>
      </w:r>
      <w:r w:rsidRPr="00F3411C" w:rsidR="00F14DD3">
        <w:t xml:space="preserve"> </w:t>
      </w:r>
      <w:r w:rsidRPr="00F3411C" w:rsidR="006B4CB7">
        <w:t>OSHA estimates that 1,46</w:t>
      </w:r>
      <w:r w:rsidRPr="00F3411C" w:rsidR="009D4B03">
        <w:t>4</w:t>
      </w:r>
      <w:r w:rsidRPr="00F3411C" w:rsidR="006B4CB7">
        <w:t xml:space="preserve"> fatality cases will be reported to OSHA. </w:t>
      </w:r>
    </w:p>
    <w:p w:rsidRPr="00F3411C" w:rsidR="00F3411C" w:rsidP="00E12FA8" w:rsidRDefault="00F3411C" w14:paraId="730B529F" w14:textId="77777777"/>
    <w:p w:rsidRPr="00F3411C" w:rsidR="00B61CD3" w:rsidP="00B61CD3" w:rsidRDefault="00B61CD3" w14:paraId="6DE5D4D5" w14:textId="0D216C5F">
      <w:pPr>
        <w:ind w:left="720"/>
        <w:outlineLvl w:val="4"/>
      </w:pPr>
      <w:r w:rsidRPr="00F3411C">
        <w:rPr>
          <w:b/>
        </w:rPr>
        <w:t>Burden hours</w:t>
      </w:r>
      <w:r w:rsidRPr="00F3411C">
        <w:t xml:space="preserve">: </w:t>
      </w:r>
      <w:r w:rsidRPr="00F3411C" w:rsidR="00A46929">
        <w:t>1,464</w:t>
      </w:r>
      <w:r w:rsidRPr="00F3411C" w:rsidR="00B61AC6">
        <w:t>.00</w:t>
      </w:r>
      <w:r w:rsidRPr="00F3411C">
        <w:t xml:space="preserve"> cases x 0.75 hours = </w:t>
      </w:r>
      <w:r w:rsidRPr="00F3411C" w:rsidR="00A46929">
        <w:t>1,098.00</w:t>
      </w:r>
      <w:r w:rsidRPr="00F3411C">
        <w:t xml:space="preserve"> hours</w:t>
      </w:r>
    </w:p>
    <w:p w:rsidRPr="00F3411C" w:rsidR="00B61CD3" w:rsidP="00B61CD3" w:rsidRDefault="00B61CD3" w14:paraId="2522EEA6" w14:textId="77777777">
      <w:pPr>
        <w:ind w:firstLine="720"/>
        <w:outlineLvl w:val="4"/>
      </w:pPr>
    </w:p>
    <w:p w:rsidRPr="00F3411C" w:rsidR="00B61CD3" w:rsidP="00B61CD3" w:rsidRDefault="00B61CD3" w14:paraId="482A0A88" w14:textId="6E4587A4">
      <w:pPr>
        <w:ind w:left="720"/>
        <w:outlineLvl w:val="4"/>
      </w:pPr>
      <w:r w:rsidRPr="00F3411C">
        <w:rPr>
          <w:b/>
        </w:rPr>
        <w:t>Cost</w:t>
      </w:r>
      <w:r w:rsidRPr="00F3411C">
        <w:t>:</w:t>
      </w:r>
      <w:r w:rsidRPr="00F3411C">
        <w:tab/>
      </w:r>
      <w:r w:rsidRPr="00F3411C">
        <w:tab/>
        <w:t xml:space="preserve">  </w:t>
      </w:r>
      <w:r w:rsidRPr="00F3411C" w:rsidR="00A46929">
        <w:t>1,098.00</w:t>
      </w:r>
      <w:r w:rsidRPr="00F3411C">
        <w:t xml:space="preserve"> hours x $88.16 (</w:t>
      </w:r>
      <w:r w:rsidRPr="00F3411C" w:rsidR="003117B7">
        <w:t>GO</w:t>
      </w:r>
      <w:r w:rsidRPr="00F3411C">
        <w:t xml:space="preserve"> manager) = $</w:t>
      </w:r>
      <w:r w:rsidRPr="00F3411C" w:rsidR="00A46929">
        <w:t>96,799.68</w:t>
      </w:r>
    </w:p>
    <w:p w:rsidRPr="00F3411C" w:rsidR="002C5515" w:rsidP="00755DDD" w:rsidRDefault="002C5515" w14:paraId="5A5F10B4" w14:textId="70942F55"/>
    <w:p w:rsidRPr="00F3411C" w:rsidR="00E12FA8" w:rsidP="00E12FA8" w:rsidRDefault="00E12FA8" w14:paraId="5B550CF4" w14:textId="77777777"/>
    <w:p w:rsidRPr="00F3411C" w:rsidR="00E12FA8" w:rsidP="00E12FA8" w:rsidRDefault="006B5275" w14:paraId="475F981C" w14:textId="21C50C87">
      <w:pPr>
        <w:pStyle w:val="NoSpacing"/>
        <w:rPr>
          <w:rFonts w:ascii="Times New Roman" w:hAnsi="Times New Roman" w:cs="Times New Roman"/>
          <w:sz w:val="24"/>
          <w:szCs w:val="24"/>
        </w:rPr>
      </w:pPr>
      <w:r w:rsidRPr="00F3411C">
        <w:rPr>
          <w:rFonts w:ascii="Times New Roman" w:hAnsi="Times New Roman" w:cs="Times New Roman"/>
          <w:b/>
          <w:sz w:val="24"/>
          <w:szCs w:val="24"/>
        </w:rPr>
        <w:t>8. Availability of records</w:t>
      </w:r>
      <w:r w:rsidRPr="00F3411C">
        <w:rPr>
          <w:rFonts w:ascii="Times New Roman" w:hAnsi="Times New Roman" w:cs="Times New Roman"/>
          <w:sz w:val="24"/>
          <w:szCs w:val="24"/>
        </w:rPr>
        <w:t>.</w:t>
      </w:r>
    </w:p>
    <w:p w:rsidRPr="00F3411C" w:rsidR="006B5275" w:rsidP="00E12FA8" w:rsidRDefault="006B5275" w14:paraId="44BAD957" w14:textId="0675B7D4">
      <w:pPr>
        <w:pStyle w:val="NoSpacing"/>
        <w:rPr>
          <w:rFonts w:ascii="Times New Roman" w:hAnsi="Times New Roman" w:cs="Times New Roman"/>
          <w:b/>
          <w:sz w:val="24"/>
          <w:szCs w:val="24"/>
        </w:rPr>
      </w:pPr>
    </w:p>
    <w:p w:rsidRPr="00F3411C" w:rsidR="00E12FA8" w:rsidP="00073F08" w:rsidRDefault="00E12FA8" w14:paraId="395B57A5" w14:textId="4D0C94FC">
      <w:pPr>
        <w:pStyle w:val="NoSpacing"/>
        <w:rPr>
          <w:rFonts w:ascii="Times New Roman" w:hAnsi="Times New Roman" w:cs="Times New Roman"/>
          <w:i/>
          <w:sz w:val="24"/>
          <w:szCs w:val="24"/>
        </w:rPr>
      </w:pPr>
      <w:r w:rsidRPr="00F3411C">
        <w:rPr>
          <w:rFonts w:ascii="Times New Roman" w:hAnsi="Times New Roman" w:cs="Times New Roman"/>
          <w:i/>
          <w:sz w:val="24"/>
          <w:szCs w:val="24"/>
        </w:rPr>
        <w:t>§ 1910.501(l)(1)</w:t>
      </w:r>
      <w:r w:rsidRPr="00F3411C" w:rsidR="0009433F">
        <w:rPr>
          <w:rFonts w:ascii="Times New Roman" w:hAnsi="Times New Roman" w:cs="Times New Roman"/>
          <w:i/>
          <w:sz w:val="24"/>
          <w:szCs w:val="24"/>
        </w:rPr>
        <w:t>&amp;(2).</w:t>
      </w:r>
    </w:p>
    <w:p w:rsidRPr="00F3411C" w:rsidR="00E12FA8" w:rsidP="00FE6572" w:rsidRDefault="00E12FA8" w14:paraId="6F14CE98" w14:textId="76BC78C3">
      <w:pPr>
        <w:pStyle w:val="NoSpacing"/>
        <w:rPr>
          <w:rFonts w:ascii="Times New Roman" w:hAnsi="Times New Roman" w:cs="Times New Roman"/>
          <w:sz w:val="24"/>
          <w:szCs w:val="24"/>
        </w:rPr>
      </w:pPr>
    </w:p>
    <w:p w:rsidRPr="00F3411C" w:rsidR="0009433F" w:rsidP="00052053" w:rsidRDefault="0009433F" w14:paraId="5F6AE957" w14:textId="349FCD2A">
      <w:r w:rsidRPr="00F3411C">
        <w:rPr>
          <w:lang w:val="x-none"/>
        </w:rPr>
        <w:t xml:space="preserve">OSHA estimates </w:t>
      </w:r>
      <w:r w:rsidRPr="00F3411C">
        <w:t xml:space="preserve">it </w:t>
      </w:r>
      <w:r w:rsidRPr="00F3411C" w:rsidR="00763767">
        <w:t>will take</w:t>
      </w:r>
      <w:r w:rsidRPr="00F3411C" w:rsidR="00763767">
        <w:rPr>
          <w:lang w:val="x-none"/>
        </w:rPr>
        <w:t xml:space="preserve"> </w:t>
      </w:r>
      <w:r w:rsidRPr="00F3411C" w:rsidR="00B61AC6">
        <w:t>five (</w:t>
      </w:r>
      <w:r w:rsidRPr="00F3411C">
        <w:rPr>
          <w:lang w:val="x-none"/>
        </w:rPr>
        <w:t>5</w:t>
      </w:r>
      <w:r w:rsidRPr="00F3411C" w:rsidR="00B61AC6">
        <w:t>)</w:t>
      </w:r>
      <w:r w:rsidRPr="00F3411C">
        <w:rPr>
          <w:lang w:val="x-none"/>
        </w:rPr>
        <w:t xml:space="preserve"> minutes (0.08 hours) of a</w:t>
      </w:r>
      <w:r w:rsidRPr="00F3411C">
        <w:t xml:space="preserve">n </w:t>
      </w:r>
      <w:r w:rsidRPr="00F3411C" w:rsidR="003117B7">
        <w:t>IR</w:t>
      </w:r>
      <w:r w:rsidRPr="00F3411C">
        <w:rPr>
          <w:lang w:val="x-none"/>
        </w:rPr>
        <w:t xml:space="preserve"> </w:t>
      </w:r>
      <w:r w:rsidRPr="00F3411C">
        <w:t>c</w:t>
      </w:r>
      <w:r w:rsidRPr="00F3411C">
        <w:rPr>
          <w:lang w:val="x-none"/>
        </w:rPr>
        <w:t>ler</w:t>
      </w:r>
      <w:r w:rsidRPr="00F3411C">
        <w:t>k</w:t>
      </w:r>
      <w:r w:rsidRPr="00F3411C">
        <w:rPr>
          <w:lang w:val="x-none"/>
        </w:rPr>
        <w:t xml:space="preserve">’s time to </w:t>
      </w:r>
      <w:r w:rsidRPr="00F3411C">
        <w:t>make the COVID-19 vaccine documentation, test result, plan</w:t>
      </w:r>
      <w:r w:rsidRPr="00F3411C" w:rsidR="00763767">
        <w:t>,</w:t>
      </w:r>
      <w:r w:rsidRPr="00F3411C">
        <w:t xml:space="preserve"> and/or </w:t>
      </w:r>
      <w:r w:rsidRPr="00F3411C">
        <w:rPr>
          <w:rFonts w:eastAsia="Arial Unicode MS"/>
          <w:bCs/>
          <w:iCs/>
          <w:color w:val="000000"/>
        </w:rPr>
        <w:t>the aggregate number of fully vaccinated employees</w:t>
      </w:r>
      <w:r w:rsidRPr="00F3411C">
        <w:t xml:space="preserve"> </w:t>
      </w:r>
      <w:r w:rsidRPr="00F3411C" w:rsidR="00763767">
        <w:t xml:space="preserve">available </w:t>
      </w:r>
      <w:r w:rsidRPr="00F3411C">
        <w:t xml:space="preserve">to </w:t>
      </w:r>
      <w:r w:rsidRPr="00F3411C" w:rsidR="00763767">
        <w:t>an</w:t>
      </w:r>
      <w:r w:rsidRPr="00F3411C" w:rsidR="00763767">
        <w:rPr>
          <w:lang w:val="x-none"/>
        </w:rPr>
        <w:t xml:space="preserve"> </w:t>
      </w:r>
      <w:r w:rsidRPr="00F3411C">
        <w:t>employee or their representative</w:t>
      </w:r>
      <w:r w:rsidRPr="00F3411C">
        <w:rPr>
          <w:lang w:val="x-none"/>
        </w:rPr>
        <w:t xml:space="preserve">. </w:t>
      </w:r>
      <w:r w:rsidRPr="00F3411C">
        <w:t>OSHA estimates that</w:t>
      </w:r>
      <w:r w:rsidRPr="00F3411C">
        <w:rPr>
          <w:lang w:val="x-none"/>
        </w:rPr>
        <w:t xml:space="preserve"> approximately </w:t>
      </w:r>
      <w:r w:rsidRPr="00F3411C" w:rsidR="00C62553">
        <w:t>2.5 percent</w:t>
      </w:r>
      <w:r w:rsidRPr="00F3411C" w:rsidR="006B4CB7">
        <w:t xml:space="preserve"> of </w:t>
      </w:r>
      <w:r w:rsidRPr="00F3411C" w:rsidR="00763767">
        <w:t xml:space="preserve">covered workers </w:t>
      </w:r>
      <w:r w:rsidRPr="00F3411C" w:rsidR="00C62553">
        <w:t xml:space="preserve">(2,104,872.13 employees) </w:t>
      </w:r>
      <w:r w:rsidRPr="00F3411C">
        <w:t>will request access to these records</w:t>
      </w:r>
      <w:r w:rsidRPr="00F3411C" w:rsidR="00C62553">
        <w:t>.</w:t>
      </w:r>
    </w:p>
    <w:p w:rsidRPr="00F3411C" w:rsidR="0009433F" w:rsidP="006B5275" w:rsidRDefault="0009433F" w14:paraId="144DC7A6" w14:textId="7F25FD77">
      <w:pPr>
        <w:rPr>
          <w:rFonts w:eastAsia="Arial Unicode MS"/>
          <w:bCs/>
          <w:iCs/>
          <w:color w:val="000000"/>
        </w:rPr>
      </w:pPr>
    </w:p>
    <w:p w:rsidRPr="00F3411C" w:rsidR="001B0D66" w:rsidP="001B0D66" w:rsidRDefault="001B0D66" w14:paraId="31EF0CD5" w14:textId="56FEEF60">
      <w:pPr>
        <w:ind w:left="720"/>
        <w:outlineLvl w:val="4"/>
      </w:pPr>
      <w:r w:rsidRPr="00F3411C">
        <w:rPr>
          <w:b/>
        </w:rPr>
        <w:t>Burden hours</w:t>
      </w:r>
      <w:r w:rsidRPr="00F3411C">
        <w:t xml:space="preserve">: </w:t>
      </w:r>
      <w:r w:rsidRPr="00F3411C" w:rsidR="00C62553">
        <w:t xml:space="preserve">2,104,872.13 </w:t>
      </w:r>
      <w:r w:rsidRPr="00F3411C">
        <w:t xml:space="preserve">employees x 0.08 hours = </w:t>
      </w:r>
      <w:r w:rsidRPr="00F3411C" w:rsidR="009A5486">
        <w:t>1</w:t>
      </w:r>
      <w:r w:rsidRPr="00F3411C" w:rsidR="003D32CD">
        <w:t>6</w:t>
      </w:r>
      <w:r w:rsidRPr="00F3411C" w:rsidR="009A5486">
        <w:t>8</w:t>
      </w:r>
      <w:r w:rsidRPr="00F3411C" w:rsidR="00C62553">
        <w:t>,</w:t>
      </w:r>
      <w:r w:rsidRPr="00F3411C" w:rsidR="009A5486">
        <w:t>3</w:t>
      </w:r>
      <w:r w:rsidRPr="00F3411C" w:rsidR="00C62553">
        <w:t>89.77</w:t>
      </w:r>
      <w:r w:rsidRPr="00F3411C">
        <w:t xml:space="preserve"> hours</w:t>
      </w:r>
    </w:p>
    <w:p w:rsidRPr="00F3411C" w:rsidR="001B0D66" w:rsidP="001B0D66" w:rsidRDefault="001B0D66" w14:paraId="3ACC2198" w14:textId="77777777">
      <w:pPr>
        <w:ind w:left="720"/>
        <w:outlineLvl w:val="4"/>
      </w:pPr>
    </w:p>
    <w:p w:rsidRPr="00F3411C" w:rsidR="001B0D66" w:rsidP="001B0D66" w:rsidRDefault="001B0D66" w14:paraId="44319DDF" w14:textId="1550D6C6">
      <w:pPr>
        <w:ind w:left="720"/>
        <w:outlineLvl w:val="4"/>
      </w:pPr>
      <w:r w:rsidRPr="00F3411C">
        <w:rPr>
          <w:b/>
        </w:rPr>
        <w:t>Cost</w:t>
      </w:r>
      <w:r w:rsidRPr="00F3411C">
        <w:t>:</w:t>
      </w:r>
      <w:r w:rsidRPr="00F3411C">
        <w:tab/>
      </w:r>
      <w:r w:rsidRPr="00F3411C">
        <w:tab/>
        <w:t xml:space="preserve">  </w:t>
      </w:r>
      <w:r w:rsidRPr="00F3411C" w:rsidR="00C62553">
        <w:t xml:space="preserve">168,389.77 </w:t>
      </w:r>
      <w:r w:rsidRPr="00F3411C">
        <w:t>hours x $36.94 (</w:t>
      </w:r>
      <w:r w:rsidRPr="00F3411C" w:rsidR="003117B7">
        <w:t>IR</w:t>
      </w:r>
      <w:r w:rsidRPr="00F3411C">
        <w:t xml:space="preserve"> clerk) = $</w:t>
      </w:r>
      <w:r w:rsidRPr="00F3411C" w:rsidR="00C62553">
        <w:t>6,220,318.12</w:t>
      </w:r>
    </w:p>
    <w:p w:rsidRPr="00F3411C" w:rsidR="00E12FA8" w:rsidP="00E12FA8" w:rsidRDefault="00CF445A" w14:paraId="54AAFCC9" w14:textId="4830E591">
      <w:pPr>
        <w:outlineLvl w:val="4"/>
        <w:rPr>
          <w:rFonts w:eastAsia="Arial Unicode MS"/>
          <w:b/>
          <w:i/>
          <w:color w:val="000000"/>
        </w:rPr>
      </w:pPr>
      <w:r w:rsidRPr="00F3411C">
        <w:rPr>
          <w:rFonts w:eastAsia="Arial Unicode MS"/>
          <w:bCs/>
          <w:iCs/>
          <w:color w:val="000000"/>
        </w:rPr>
        <w:tab/>
      </w:r>
    </w:p>
    <w:p w:rsidRPr="00F3411C" w:rsidR="0070712B" w:rsidP="0070712B" w:rsidRDefault="0070712B" w14:paraId="3CC73C14" w14:textId="25BA0EA8">
      <w:pPr>
        <w:pStyle w:val="NoSpacing"/>
        <w:rPr>
          <w:rFonts w:ascii="Times New Roman" w:hAnsi="Times New Roman" w:cs="Times New Roman"/>
          <w:sz w:val="24"/>
          <w:szCs w:val="24"/>
        </w:rPr>
      </w:pPr>
    </w:p>
    <w:p w:rsidRPr="00F3411C" w:rsidR="00157297" w:rsidRDefault="00157297" w14:paraId="160C8341" w14:textId="4CD17971">
      <w:pPr>
        <w:rPr>
          <w:b/>
          <w:bCs/>
        </w:rPr>
      </w:pPr>
    </w:p>
    <w:p w:rsidRPr="00F3411C" w:rsidR="0070712B" w:rsidP="0070712B" w:rsidRDefault="0070712B" w14:paraId="0380EE18" w14:textId="1F286250">
      <w:pPr>
        <w:pStyle w:val="NoSpacing"/>
        <w:rPr>
          <w:rFonts w:ascii="Times New Roman" w:hAnsi="Times New Roman" w:cs="Times New Roman"/>
          <w:sz w:val="24"/>
          <w:szCs w:val="24"/>
        </w:rPr>
      </w:pPr>
    </w:p>
    <w:p w:rsidRPr="00F3411C" w:rsidR="0033187D" w:rsidRDefault="0033187D" w14:paraId="356A7850" w14:textId="77777777">
      <w:pPr>
        <w:rPr>
          <w:b/>
          <w:bCs/>
        </w:rPr>
        <w:sectPr w:rsidRPr="00F3411C" w:rsidR="0033187D" w:rsidSect="006B4CB7">
          <w:headerReference w:type="default" r:id="rId16"/>
          <w:footerReference w:type="default" r:id="rId17"/>
          <w:pgSz w:w="12240" w:h="15840"/>
          <w:pgMar w:top="1440" w:right="1440" w:bottom="1440" w:left="1440" w:header="720" w:footer="720" w:gutter="0"/>
          <w:cols w:space="720"/>
          <w:docGrid w:linePitch="360"/>
        </w:sectPr>
      </w:pPr>
    </w:p>
    <w:p w:rsidRPr="00F3411C" w:rsidR="004B3F23" w:rsidP="004B3F23" w:rsidRDefault="004B3F23" w14:paraId="2CE251DF" w14:textId="77777777">
      <w:pPr>
        <w:rPr>
          <w:b/>
          <w:bCs/>
        </w:rPr>
      </w:pPr>
      <w:r w:rsidRPr="00F3411C">
        <w:rPr>
          <w:b/>
          <w:bCs/>
        </w:rPr>
        <w:t>Table F—Summary of the Burden Hours and Cost under Item 12 of this Supporting Statement.</w:t>
      </w:r>
    </w:p>
    <w:tbl>
      <w:tblPr>
        <w:tblW w:w="15690" w:type="dxa"/>
        <w:jc w:val="center"/>
        <w:tblLook w:val="04A0" w:firstRow="1" w:lastRow="0" w:firstColumn="1" w:lastColumn="0" w:noHBand="0" w:noVBand="1"/>
      </w:tblPr>
      <w:tblGrid>
        <w:gridCol w:w="318"/>
        <w:gridCol w:w="1771"/>
        <w:gridCol w:w="1625"/>
        <w:gridCol w:w="1302"/>
        <w:gridCol w:w="1923"/>
        <w:gridCol w:w="2016"/>
        <w:gridCol w:w="971"/>
        <w:gridCol w:w="2100"/>
        <w:gridCol w:w="1115"/>
        <w:gridCol w:w="2549"/>
      </w:tblGrid>
      <w:tr w:rsidRPr="00F3411C" w:rsidR="004B3F23" w:rsidTr="00514E18" w14:paraId="5F58BE25" w14:textId="77777777">
        <w:trPr>
          <w:trHeight w:val="990"/>
          <w:tblHeader/>
          <w:jc w:val="center"/>
        </w:trPr>
        <w:tc>
          <w:tcPr>
            <w:tcW w:w="2089" w:type="dxa"/>
            <w:gridSpan w:val="2"/>
            <w:tcBorders>
              <w:top w:val="single" w:color="auto" w:sz="4" w:space="0"/>
              <w:left w:val="single" w:color="auto" w:sz="4" w:space="0"/>
              <w:bottom w:val="single" w:color="auto" w:sz="4" w:space="0"/>
              <w:right w:val="single" w:color="auto" w:sz="4" w:space="0"/>
            </w:tcBorders>
            <w:shd w:val="clear" w:color="auto" w:fill="95B3D7" w:themeFill="accent1" w:themeFillTint="99"/>
            <w:noWrap/>
            <w:vAlign w:val="center"/>
            <w:hideMark/>
          </w:tcPr>
          <w:p w:rsidRPr="00E80A18" w:rsidR="004B3F23" w:rsidP="00514E18" w:rsidRDefault="004B3F23" w14:paraId="016BA352"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Collection of Information</w:t>
            </w:r>
          </w:p>
        </w:tc>
        <w:tc>
          <w:tcPr>
            <w:tcW w:w="1625"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196522F6"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Type of response</w:t>
            </w:r>
          </w:p>
        </w:tc>
        <w:tc>
          <w:tcPr>
            <w:tcW w:w="1302"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57FAE440"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Respondents</w:t>
            </w:r>
          </w:p>
        </w:tc>
        <w:tc>
          <w:tcPr>
            <w:tcW w:w="1923"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4F134906"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Response per respondent</w:t>
            </w:r>
          </w:p>
        </w:tc>
        <w:tc>
          <w:tcPr>
            <w:tcW w:w="2016"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31E53E34"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Total responses</w:t>
            </w:r>
          </w:p>
        </w:tc>
        <w:tc>
          <w:tcPr>
            <w:tcW w:w="971"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42900E42"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Time per response</w:t>
            </w:r>
          </w:p>
        </w:tc>
        <w:tc>
          <w:tcPr>
            <w:tcW w:w="2100"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2B7FCAC0"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Burden hours</w:t>
            </w:r>
          </w:p>
        </w:tc>
        <w:tc>
          <w:tcPr>
            <w:tcW w:w="1115"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6091FA3F"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Wage rate</w:t>
            </w:r>
          </w:p>
        </w:tc>
        <w:tc>
          <w:tcPr>
            <w:tcW w:w="2549" w:type="dxa"/>
            <w:tcBorders>
              <w:top w:val="single" w:color="auto" w:sz="4" w:space="0"/>
              <w:left w:val="nil"/>
              <w:bottom w:val="single" w:color="auto" w:sz="4" w:space="0"/>
              <w:right w:val="single" w:color="auto" w:sz="4" w:space="0"/>
            </w:tcBorders>
            <w:shd w:val="clear" w:color="auto" w:fill="95B3D7" w:themeFill="accent1" w:themeFillTint="99"/>
            <w:vAlign w:val="center"/>
            <w:hideMark/>
          </w:tcPr>
          <w:p w:rsidRPr="00E80A18" w:rsidR="004B3F23" w:rsidP="00514E18" w:rsidRDefault="004B3F23" w14:paraId="5B3A1C33"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Cost</w:t>
            </w:r>
          </w:p>
        </w:tc>
      </w:tr>
      <w:tr w:rsidRPr="00F3411C" w:rsidR="004B3F23" w:rsidTr="00514E18" w14:paraId="7108342A" w14:textId="77777777">
        <w:trPr>
          <w:trHeight w:val="290"/>
          <w:jc w:val="center"/>
        </w:trPr>
        <w:tc>
          <w:tcPr>
            <w:tcW w:w="318" w:type="dxa"/>
            <w:tcBorders>
              <w:top w:val="single" w:color="auto" w:sz="4" w:space="0"/>
              <w:left w:val="single" w:color="auto" w:sz="4" w:space="0"/>
              <w:bottom w:val="single" w:color="auto" w:sz="4" w:space="0"/>
              <w:right w:val="single" w:color="auto" w:sz="4" w:space="0"/>
            </w:tcBorders>
            <w:shd w:val="clear" w:color="000000" w:fill="BDD7EE"/>
            <w:vAlign w:val="bottom"/>
            <w:hideMark/>
          </w:tcPr>
          <w:p w:rsidRPr="00E80A18" w:rsidR="004B3F23" w:rsidP="00514E18" w:rsidRDefault="004B3F23" w14:paraId="6A8387AD"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1</w:t>
            </w:r>
          </w:p>
        </w:tc>
        <w:tc>
          <w:tcPr>
            <w:tcW w:w="6621" w:type="dxa"/>
            <w:gridSpan w:val="4"/>
            <w:tcBorders>
              <w:top w:val="single" w:color="auto" w:sz="4" w:space="0"/>
              <w:left w:val="nil"/>
              <w:bottom w:val="single" w:color="auto" w:sz="4" w:space="0"/>
              <w:right w:val="single" w:color="000000" w:sz="4" w:space="0"/>
            </w:tcBorders>
            <w:shd w:val="clear" w:color="000000" w:fill="BDD7EE"/>
            <w:vAlign w:val="bottom"/>
            <w:hideMark/>
          </w:tcPr>
          <w:p w:rsidRPr="00E80A18" w:rsidR="004B3F23" w:rsidP="00514E18" w:rsidRDefault="004B3F23" w14:paraId="52F8E9D0"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xml:space="preserve"> Employer policy on vaccination</w:t>
            </w:r>
          </w:p>
        </w:tc>
        <w:tc>
          <w:tcPr>
            <w:tcW w:w="2016"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322EB4F8"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971"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44E150DB"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2100"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12E7B555"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115"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5E243433"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2549"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2DF37CD1"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r>
      <w:tr w:rsidRPr="00F3411C" w:rsidR="004B3F23" w:rsidTr="00514E18" w14:paraId="56C1C6B9" w14:textId="77777777">
        <w:trPr>
          <w:trHeight w:val="500"/>
          <w:jc w:val="center"/>
        </w:trPr>
        <w:tc>
          <w:tcPr>
            <w:tcW w:w="318" w:type="dxa"/>
            <w:tcBorders>
              <w:top w:val="nil"/>
              <w:left w:val="single" w:color="auto" w:sz="4" w:space="0"/>
              <w:bottom w:val="single" w:color="auto" w:sz="4" w:space="0"/>
              <w:right w:val="single" w:color="auto" w:sz="4" w:space="0"/>
            </w:tcBorders>
            <w:shd w:val="diagStripe" w:color="000000" w:fill="FFFFFF"/>
            <w:vAlign w:val="bottom"/>
            <w:hideMark/>
          </w:tcPr>
          <w:p w:rsidRPr="00E80A18" w:rsidR="004B3F23" w:rsidP="00514E18" w:rsidRDefault="004B3F23" w14:paraId="62C63215"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87C2F29"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1910.501(d)</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F2A286F"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Establishments -</w:t>
            </w:r>
          </w:p>
          <w:p w:rsidRPr="00E80A18" w:rsidR="004B3F23" w:rsidP="00514E18" w:rsidRDefault="004B3F23" w14:paraId="0F5E23C9"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Written policy</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98F9A6E"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0524419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5AF4BFE1"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9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A71F0E7"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5.00</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0033C9C7"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9,294,675.00</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5DD0948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$88.16</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25DE286E"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$819,418,548.00</w:t>
            </w:r>
          </w:p>
        </w:tc>
      </w:tr>
      <w:tr w:rsidRPr="00F3411C" w:rsidR="004B3F23" w:rsidTr="00514E18" w14:paraId="33E910D3" w14:textId="77777777">
        <w:trPr>
          <w:trHeight w:val="287"/>
          <w:jc w:val="center"/>
        </w:trPr>
        <w:tc>
          <w:tcPr>
            <w:tcW w:w="318" w:type="dxa"/>
            <w:tcBorders>
              <w:top w:val="nil"/>
              <w:left w:val="single" w:color="auto" w:sz="4" w:space="0"/>
              <w:bottom w:val="single" w:color="auto" w:sz="4" w:space="0"/>
              <w:right w:val="single" w:color="auto" w:sz="4" w:space="0"/>
            </w:tcBorders>
            <w:shd w:val="clear" w:color="000000" w:fill="BDD7EE"/>
            <w:vAlign w:val="bottom"/>
            <w:hideMark/>
          </w:tcPr>
          <w:p w:rsidRPr="00E80A18" w:rsidR="004B3F23" w:rsidP="00514E18" w:rsidRDefault="004B3F23" w14:paraId="62F17AFA"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2</w:t>
            </w:r>
          </w:p>
        </w:tc>
        <w:tc>
          <w:tcPr>
            <w:tcW w:w="6621" w:type="dxa"/>
            <w:gridSpan w:val="4"/>
            <w:tcBorders>
              <w:top w:val="single" w:color="auto" w:sz="4" w:space="0"/>
              <w:left w:val="nil"/>
              <w:bottom w:val="single" w:color="auto" w:sz="4" w:space="0"/>
              <w:right w:val="single" w:color="auto" w:sz="4" w:space="0"/>
            </w:tcBorders>
            <w:shd w:val="clear" w:color="000000" w:fill="BDD7EE"/>
            <w:vAlign w:val="bottom"/>
            <w:hideMark/>
          </w:tcPr>
          <w:p w:rsidRPr="00E80A18" w:rsidR="004B3F23" w:rsidP="00514E18" w:rsidRDefault="004B3F23" w14:paraId="6507A581"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Determination of employee vaccination status</w:t>
            </w:r>
          </w:p>
        </w:tc>
        <w:tc>
          <w:tcPr>
            <w:tcW w:w="2016" w:type="dxa"/>
            <w:tcBorders>
              <w:top w:val="nil"/>
              <w:left w:val="nil"/>
              <w:bottom w:val="single" w:color="auto" w:sz="4" w:space="0"/>
              <w:right w:val="single" w:color="auto" w:sz="4" w:space="0"/>
            </w:tcBorders>
            <w:shd w:val="clear" w:color="000000" w:fill="BDD7EE"/>
            <w:vAlign w:val="bottom"/>
            <w:hideMark/>
          </w:tcPr>
          <w:p w:rsidRPr="00E80A18" w:rsidR="004B3F23" w:rsidP="00514E18" w:rsidRDefault="004B3F23" w14:paraId="71653A26" w14:textId="77777777">
            <w:pPr>
              <w:autoSpaceDE/>
              <w:autoSpaceDN/>
              <w:jc w:val="right"/>
              <w:rPr>
                <w:rFonts w:eastAsia="Times New Roman" w:asciiTheme="minorHAnsi" w:hAnsiTheme="minorHAnsi" w:cstheme="minorHAnsi"/>
                <w:color w:val="000000"/>
                <w:sz w:val="20"/>
                <w:szCs w:val="20"/>
                <w:lang w:eastAsia="en-US"/>
              </w:rPr>
            </w:pPr>
          </w:p>
        </w:tc>
        <w:tc>
          <w:tcPr>
            <w:tcW w:w="971" w:type="dxa"/>
            <w:tcBorders>
              <w:top w:val="nil"/>
              <w:left w:val="nil"/>
              <w:bottom w:val="single" w:color="auto" w:sz="4" w:space="0"/>
              <w:right w:val="single" w:color="auto" w:sz="4" w:space="0"/>
            </w:tcBorders>
            <w:shd w:val="clear" w:color="000000" w:fill="BDD7EE"/>
            <w:vAlign w:val="bottom"/>
            <w:hideMark/>
          </w:tcPr>
          <w:p w:rsidRPr="00E80A18" w:rsidR="004B3F23" w:rsidP="00514E18" w:rsidRDefault="004B3F23" w14:paraId="5374C069"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w:t>
            </w:r>
          </w:p>
        </w:tc>
        <w:tc>
          <w:tcPr>
            <w:tcW w:w="2100"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410658AE" w14:textId="77777777">
            <w:pPr>
              <w:autoSpaceDE/>
              <w:autoSpaceDN/>
              <w:jc w:val="right"/>
              <w:rPr>
                <w:rFonts w:eastAsia="Times New Roman" w:asciiTheme="minorHAnsi" w:hAnsiTheme="minorHAnsi" w:cstheme="minorHAnsi"/>
                <w:color w:val="000000"/>
                <w:sz w:val="20"/>
                <w:szCs w:val="20"/>
                <w:lang w:eastAsia="en-US"/>
              </w:rPr>
            </w:pPr>
          </w:p>
        </w:tc>
        <w:tc>
          <w:tcPr>
            <w:tcW w:w="1115"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2B84F191"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w:t>
            </w:r>
          </w:p>
        </w:tc>
        <w:tc>
          <w:tcPr>
            <w:tcW w:w="2549" w:type="dxa"/>
            <w:tcBorders>
              <w:top w:val="nil"/>
              <w:left w:val="nil"/>
              <w:bottom w:val="single" w:color="auto" w:sz="4" w:space="0"/>
              <w:right w:val="single" w:color="auto" w:sz="4" w:space="0"/>
            </w:tcBorders>
            <w:shd w:val="clear" w:color="000000" w:fill="BDD7EE"/>
            <w:noWrap/>
            <w:vAlign w:val="bottom"/>
            <w:hideMark/>
          </w:tcPr>
          <w:p w:rsidRPr="00E80A18" w:rsidR="004B3F23" w:rsidP="00514E18" w:rsidRDefault="004B3F23" w14:paraId="2633FFCD" w14:textId="77777777">
            <w:pPr>
              <w:autoSpaceDE/>
              <w:autoSpaceDN/>
              <w:jc w:val="right"/>
              <w:rPr>
                <w:rFonts w:eastAsia="Times New Roman" w:asciiTheme="minorHAnsi" w:hAnsiTheme="minorHAnsi" w:cstheme="minorHAnsi"/>
                <w:color w:val="000000"/>
                <w:sz w:val="20"/>
                <w:szCs w:val="20"/>
                <w:lang w:eastAsia="en-US"/>
              </w:rPr>
            </w:pPr>
          </w:p>
        </w:tc>
      </w:tr>
      <w:tr w:rsidRPr="00F3411C" w:rsidR="004B3F23" w:rsidTr="00514E18" w14:paraId="61FD7D76" w14:textId="77777777">
        <w:trPr>
          <w:trHeight w:val="560"/>
          <w:jc w:val="center"/>
        </w:trPr>
        <w:tc>
          <w:tcPr>
            <w:tcW w:w="318" w:type="dxa"/>
            <w:tcBorders>
              <w:top w:val="nil"/>
              <w:left w:val="single" w:color="auto" w:sz="4" w:space="0"/>
              <w:bottom w:val="single" w:color="auto" w:sz="4" w:space="0"/>
              <w:right w:val="single" w:color="auto" w:sz="4" w:space="0"/>
            </w:tcBorders>
            <w:shd w:val="diagStripe" w:color="000000" w:fill="FFFFFF"/>
            <w:vAlign w:val="bottom"/>
            <w:hideMark/>
          </w:tcPr>
          <w:p w:rsidRPr="00E80A18" w:rsidR="004B3F23" w:rsidP="00514E18" w:rsidRDefault="004B3F23" w14:paraId="0F372EB8"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530807EF"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1910.501(e)(2)</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625336A"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xml:space="preserve">Employees - </w:t>
            </w:r>
          </w:p>
          <w:p w:rsidRPr="00E80A18" w:rsidR="004B3F23" w:rsidP="00514E18" w:rsidRDefault="004B3F23" w14:paraId="0C325050" w14:textId="77777777">
            <w:pPr>
              <w:autoSpaceDE/>
              <w:autoSpaceDN/>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Submission of vaccination status</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013FC8A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0700B1D7"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18.1168002</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0B3476B"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33,677,954</w:t>
            </w:r>
          </w:p>
        </w:tc>
        <w:tc>
          <w:tcPr>
            <w:tcW w:w="9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8C7AFB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0.25</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5FAC1D53"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8,419,488.50</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8EDD4F0"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070EE89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w:t>
            </w:r>
            <w:r>
              <w:rPr>
                <w:rFonts w:eastAsia="Times New Roman" w:asciiTheme="minorHAnsi" w:hAnsiTheme="minorHAnsi" w:cstheme="minorHAnsi"/>
                <w:color w:val="000000"/>
                <w:sz w:val="20"/>
                <w:szCs w:val="20"/>
                <w:lang w:eastAsia="en-US"/>
              </w:rPr>
              <w:t>299,733,790.60</w:t>
            </w:r>
          </w:p>
        </w:tc>
      </w:tr>
      <w:tr w:rsidRPr="00F3411C" w:rsidR="004B3F23" w:rsidTr="00514E18" w14:paraId="0140845D" w14:textId="77777777">
        <w:trPr>
          <w:trHeight w:val="800"/>
          <w:jc w:val="center"/>
        </w:trPr>
        <w:tc>
          <w:tcPr>
            <w:tcW w:w="318" w:type="dxa"/>
            <w:tcBorders>
              <w:top w:val="nil"/>
              <w:left w:val="single" w:color="auto" w:sz="4" w:space="0"/>
              <w:bottom w:val="single" w:color="auto" w:sz="4" w:space="0"/>
              <w:right w:val="single" w:color="auto" w:sz="4" w:space="0"/>
            </w:tcBorders>
            <w:shd w:val="diagStripe" w:color="000000" w:fill="FFFFFF"/>
            <w:vAlign w:val="bottom"/>
            <w:hideMark/>
          </w:tcPr>
          <w:p w:rsidRPr="00E80A18" w:rsidR="004B3F23" w:rsidP="00514E18" w:rsidRDefault="004B3F23" w14:paraId="54C2EFD5"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5577A1A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1910.501(e)(4)</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9819DB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2C8C8711"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Recorded</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6266E3F"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B601CE9"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18.1168002</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141EF10"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33,677,954</w:t>
            </w:r>
          </w:p>
        </w:tc>
        <w:tc>
          <w:tcPr>
            <w:tcW w:w="9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97CF92C"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0.08</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4A700E4F"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2,694,236.32</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7E1DA5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$36.94</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3E814BAA"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w:t>
            </w:r>
            <w:r>
              <w:rPr>
                <w:rFonts w:eastAsia="Times New Roman" w:asciiTheme="minorHAnsi" w:hAnsiTheme="minorHAnsi" w:cstheme="minorHAnsi"/>
                <w:color w:val="000000"/>
                <w:sz w:val="20"/>
                <w:szCs w:val="20"/>
                <w:lang w:eastAsia="en-US"/>
              </w:rPr>
              <w:t>99,525,089.66</w:t>
            </w:r>
          </w:p>
        </w:tc>
      </w:tr>
      <w:tr w:rsidRPr="00F3411C" w:rsidR="004B3F23" w:rsidTr="00514E18" w14:paraId="38C5A559" w14:textId="77777777">
        <w:trPr>
          <w:trHeight w:val="305"/>
          <w:jc w:val="center"/>
        </w:trPr>
        <w:tc>
          <w:tcPr>
            <w:tcW w:w="318" w:type="dxa"/>
            <w:tcBorders>
              <w:top w:val="nil"/>
              <w:left w:val="single" w:color="auto" w:sz="4" w:space="0"/>
              <w:bottom w:val="single" w:color="auto" w:sz="4" w:space="0"/>
              <w:right w:val="single" w:color="auto" w:sz="4" w:space="0"/>
            </w:tcBorders>
            <w:shd w:val="clear" w:color="000000" w:fill="BDD7EE"/>
            <w:vAlign w:val="bottom"/>
            <w:hideMark/>
          </w:tcPr>
          <w:p w:rsidRPr="00E80A18" w:rsidR="004B3F23" w:rsidP="00514E18" w:rsidRDefault="004B3F23" w14:paraId="2322A1D4"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3</w:t>
            </w:r>
          </w:p>
        </w:tc>
        <w:tc>
          <w:tcPr>
            <w:tcW w:w="6621" w:type="dxa"/>
            <w:gridSpan w:val="4"/>
            <w:tcBorders>
              <w:top w:val="single" w:color="auto" w:sz="4" w:space="0"/>
              <w:left w:val="nil"/>
              <w:bottom w:val="single" w:color="auto" w:sz="4" w:space="0"/>
              <w:right w:val="single" w:color="auto" w:sz="4" w:space="0"/>
            </w:tcBorders>
            <w:shd w:val="clear" w:color="000000" w:fill="BDD7EE"/>
            <w:vAlign w:val="bottom"/>
            <w:hideMark/>
          </w:tcPr>
          <w:p w:rsidRPr="00E80A18" w:rsidR="004B3F23" w:rsidP="00514E18" w:rsidRDefault="004B3F23" w14:paraId="02A704C8"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Employer support for employee vaccination</w:t>
            </w:r>
          </w:p>
        </w:tc>
        <w:tc>
          <w:tcPr>
            <w:tcW w:w="2016" w:type="dxa"/>
            <w:tcBorders>
              <w:top w:val="nil"/>
              <w:left w:val="nil"/>
              <w:bottom w:val="single" w:color="auto" w:sz="4" w:space="0"/>
              <w:right w:val="single" w:color="auto" w:sz="4" w:space="0"/>
            </w:tcBorders>
            <w:shd w:val="clear" w:color="000000" w:fill="BDD7EE"/>
            <w:vAlign w:val="bottom"/>
          </w:tcPr>
          <w:p w:rsidRPr="00E80A18" w:rsidR="004B3F23" w:rsidP="00514E18" w:rsidRDefault="004B3F23" w14:paraId="5C6F2590" w14:textId="77777777">
            <w:pPr>
              <w:autoSpaceDE/>
              <w:autoSpaceDN/>
              <w:jc w:val="right"/>
              <w:rPr>
                <w:rFonts w:eastAsia="Times New Roman" w:asciiTheme="minorHAnsi" w:hAnsiTheme="minorHAnsi" w:cstheme="minorHAnsi"/>
                <w:color w:val="000000"/>
                <w:sz w:val="20"/>
                <w:szCs w:val="20"/>
                <w:lang w:eastAsia="en-US"/>
              </w:rPr>
            </w:pPr>
          </w:p>
        </w:tc>
        <w:tc>
          <w:tcPr>
            <w:tcW w:w="971"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2F00F0A7" w14:textId="77777777">
            <w:pPr>
              <w:autoSpaceDE/>
              <w:autoSpaceDN/>
              <w:rPr>
                <w:rFonts w:eastAsia="Times New Roman" w:asciiTheme="minorHAnsi" w:hAnsiTheme="minorHAnsi" w:cstheme="minorHAnsi"/>
                <w:color w:val="000000"/>
                <w:sz w:val="20"/>
                <w:szCs w:val="20"/>
                <w:lang w:eastAsia="en-US"/>
              </w:rPr>
            </w:pPr>
          </w:p>
        </w:tc>
        <w:tc>
          <w:tcPr>
            <w:tcW w:w="2100"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521CF59B" w14:textId="77777777">
            <w:pPr>
              <w:autoSpaceDE/>
              <w:autoSpaceDN/>
              <w:jc w:val="right"/>
              <w:rPr>
                <w:rFonts w:eastAsia="Times New Roman" w:asciiTheme="minorHAnsi" w:hAnsiTheme="minorHAnsi" w:cstheme="minorHAnsi"/>
                <w:color w:val="000000"/>
                <w:sz w:val="20"/>
                <w:szCs w:val="20"/>
                <w:lang w:eastAsia="en-US"/>
              </w:rPr>
            </w:pPr>
          </w:p>
        </w:tc>
        <w:tc>
          <w:tcPr>
            <w:tcW w:w="1115"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3C072B54" w14:textId="77777777">
            <w:pPr>
              <w:autoSpaceDE/>
              <w:autoSpaceDN/>
              <w:rPr>
                <w:rFonts w:eastAsia="Times New Roman" w:asciiTheme="minorHAnsi" w:hAnsiTheme="minorHAnsi" w:cstheme="minorHAnsi"/>
                <w:color w:val="000000"/>
                <w:sz w:val="20"/>
                <w:szCs w:val="20"/>
                <w:lang w:eastAsia="en-US"/>
              </w:rPr>
            </w:pPr>
          </w:p>
        </w:tc>
        <w:tc>
          <w:tcPr>
            <w:tcW w:w="2549"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7A15FE31" w14:textId="77777777">
            <w:pPr>
              <w:autoSpaceDE/>
              <w:autoSpaceDN/>
              <w:jc w:val="right"/>
              <w:rPr>
                <w:rFonts w:eastAsia="Times New Roman" w:asciiTheme="minorHAnsi" w:hAnsiTheme="minorHAnsi" w:cstheme="minorHAnsi"/>
                <w:color w:val="000000"/>
                <w:sz w:val="20"/>
                <w:szCs w:val="20"/>
                <w:lang w:eastAsia="en-US"/>
              </w:rPr>
            </w:pPr>
          </w:p>
        </w:tc>
      </w:tr>
      <w:tr w:rsidRPr="00F3411C" w:rsidR="004B3F23" w:rsidTr="00514E18" w14:paraId="78DB5556" w14:textId="77777777">
        <w:trPr>
          <w:trHeight w:val="360"/>
          <w:jc w:val="center"/>
        </w:trPr>
        <w:tc>
          <w:tcPr>
            <w:tcW w:w="318" w:type="dxa"/>
            <w:tcBorders>
              <w:top w:val="nil"/>
              <w:left w:val="single" w:color="auto" w:sz="4" w:space="0"/>
              <w:bottom w:val="single" w:color="auto" w:sz="4" w:space="0"/>
              <w:right w:val="single" w:color="auto" w:sz="4" w:space="0"/>
            </w:tcBorders>
            <w:shd w:val="diagStripe" w:color="000000" w:fill="FFFFFF"/>
            <w:vAlign w:val="bottom"/>
            <w:hideMark/>
          </w:tcPr>
          <w:p w:rsidRPr="00E80A18" w:rsidR="004B3F23" w:rsidP="00514E18" w:rsidRDefault="004B3F23" w14:paraId="11651170"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D5AC1D0"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1910.501(f)(1)</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DCA3762"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61BB76F4"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Time for vaccinations</w:t>
            </w:r>
          </w:p>
          <w:p w:rsidRPr="00E80A18" w:rsidR="004B3F23" w:rsidP="00514E18" w:rsidRDefault="004B3F23" w14:paraId="6FCF4C00"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(J&amp;J) on-site</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EA3824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1C9B56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0.09362942</w:t>
            </w:r>
          </w:p>
        </w:tc>
        <w:tc>
          <w:tcPr>
            <w:tcW w:w="2016"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1240577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174,051</w:t>
            </w:r>
          </w:p>
        </w:tc>
        <w:tc>
          <w:tcPr>
            <w:tcW w:w="9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4968CC38"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0.42</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546F659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73,101.42</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50987B1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04B6EE2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$2,602,410.55</w:t>
            </w:r>
          </w:p>
        </w:tc>
      </w:tr>
      <w:tr w:rsidRPr="00F3411C" w:rsidR="004B3F23" w:rsidTr="00514E18" w14:paraId="3CC3AA5C" w14:textId="77777777">
        <w:trPr>
          <w:trHeight w:val="620"/>
          <w:jc w:val="center"/>
        </w:trPr>
        <w:tc>
          <w:tcPr>
            <w:tcW w:w="318" w:type="dxa"/>
            <w:tcBorders>
              <w:top w:val="nil"/>
              <w:left w:val="single" w:color="auto" w:sz="4" w:space="0"/>
              <w:bottom w:val="single" w:color="auto" w:sz="4" w:space="0"/>
              <w:right w:val="single" w:color="auto" w:sz="4" w:space="0"/>
            </w:tcBorders>
            <w:shd w:val="diagStripe" w:color="000000" w:fill="FFFFFF"/>
            <w:vAlign w:val="bottom"/>
            <w:hideMark/>
          </w:tcPr>
          <w:p w:rsidRPr="00E80A18" w:rsidR="004B3F23" w:rsidP="00514E18" w:rsidRDefault="004B3F23" w14:paraId="1165B829"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0656B060"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1910.501(f)(1)</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6B8FE2F"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41FC2A77"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Time for vaccinations</w:t>
            </w:r>
          </w:p>
          <w:p w:rsidRPr="00E80A18" w:rsidR="004B3F23" w:rsidP="00514E18" w:rsidRDefault="004B3F23" w14:paraId="01F5E576"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(Moderna/Pfizer) on-site</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51708541"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4B500F4"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1.77895892</w:t>
            </w:r>
          </w:p>
        </w:tc>
        <w:tc>
          <w:tcPr>
            <w:tcW w:w="2016"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0EF28887"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3,306,969</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096C6E80"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0.83</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1FD7D49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2,744,784.27</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6040950"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53E6151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$97,714,320.01</w:t>
            </w:r>
          </w:p>
        </w:tc>
      </w:tr>
      <w:tr w:rsidRPr="00F3411C" w:rsidR="004B3F23" w:rsidTr="00514E18" w14:paraId="2A751F60" w14:textId="77777777">
        <w:trPr>
          <w:trHeight w:val="620"/>
          <w:jc w:val="center"/>
        </w:trPr>
        <w:tc>
          <w:tcPr>
            <w:tcW w:w="318" w:type="dxa"/>
            <w:tcBorders>
              <w:top w:val="nil"/>
              <w:left w:val="single" w:color="auto" w:sz="4" w:space="0"/>
              <w:bottom w:val="single" w:color="auto" w:sz="4" w:space="0"/>
              <w:right w:val="single" w:color="auto" w:sz="4" w:space="0"/>
            </w:tcBorders>
            <w:shd w:val="diagStripe" w:color="000000" w:fill="FFFFFF"/>
            <w:vAlign w:val="bottom"/>
          </w:tcPr>
          <w:p w:rsidRPr="00E80A18" w:rsidR="004B3F23" w:rsidP="00514E18" w:rsidRDefault="004B3F23" w14:paraId="396B5C32"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6BCBCA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1910.501(f)(1)</w:t>
            </w:r>
          </w:p>
        </w:tc>
        <w:tc>
          <w:tcPr>
            <w:tcW w:w="162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719E78B5"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6789A55F"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Time for vaccinations</w:t>
            </w:r>
          </w:p>
          <w:p w:rsidRPr="00E80A18" w:rsidR="004B3F23" w:rsidP="00514E18" w:rsidRDefault="004B3F23" w14:paraId="269A23D3"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(J&amp;J) off-site</w:t>
            </w:r>
          </w:p>
        </w:tc>
        <w:tc>
          <w:tcPr>
            <w:tcW w:w="1302"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025D283A"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4ADCF2FD"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0.51832743</w:t>
            </w:r>
          </w:p>
        </w:tc>
        <w:tc>
          <w:tcPr>
            <w:tcW w:w="2016" w:type="dxa"/>
            <w:tcBorders>
              <w:top w:val="nil"/>
              <w:left w:val="nil"/>
              <w:bottom w:val="single" w:color="auto" w:sz="4" w:space="0"/>
              <w:right w:val="single" w:color="auto" w:sz="4" w:space="0"/>
            </w:tcBorders>
            <w:shd w:val="clear" w:color="auto" w:fill="auto"/>
            <w:vAlign w:val="bottom"/>
          </w:tcPr>
          <w:p w:rsidRPr="00E80A18" w:rsidR="004B3F23" w:rsidDel="008F0B0A" w:rsidP="00514E18" w:rsidRDefault="004B3F23" w14:paraId="1962BD6A"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963,537</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7C094C64"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0.92</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0BC4A41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886,454.04</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11D7173D"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03A34AB1"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$31,557,763.82</w:t>
            </w:r>
          </w:p>
        </w:tc>
      </w:tr>
      <w:tr w:rsidRPr="00F3411C" w:rsidR="004B3F23" w:rsidTr="00514E18" w14:paraId="0BC7AE93" w14:textId="77777777">
        <w:trPr>
          <w:trHeight w:val="620"/>
          <w:jc w:val="center"/>
        </w:trPr>
        <w:tc>
          <w:tcPr>
            <w:tcW w:w="318" w:type="dxa"/>
            <w:tcBorders>
              <w:top w:val="nil"/>
              <w:left w:val="single" w:color="auto" w:sz="4" w:space="0"/>
              <w:bottom w:val="single" w:color="auto" w:sz="4" w:space="0"/>
              <w:right w:val="single" w:color="auto" w:sz="4" w:space="0"/>
            </w:tcBorders>
            <w:shd w:val="diagStripe" w:color="000000" w:fill="FFFFFF"/>
            <w:vAlign w:val="bottom"/>
          </w:tcPr>
          <w:p w:rsidRPr="00E80A18" w:rsidR="004B3F23" w:rsidP="00514E18" w:rsidRDefault="004B3F23" w14:paraId="6A416CC1"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AF621DF"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1910.501(f)(1)</w:t>
            </w:r>
          </w:p>
        </w:tc>
        <w:tc>
          <w:tcPr>
            <w:tcW w:w="162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7F7E4837"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2AA56EE0"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Time for vaccinations</w:t>
            </w:r>
          </w:p>
          <w:p w:rsidRPr="00E80A18" w:rsidR="004B3F23" w:rsidP="00514E18" w:rsidRDefault="004B3F23" w14:paraId="279B5BD2"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(Moderna/Pfizer) off-site</w:t>
            </w:r>
          </w:p>
        </w:tc>
        <w:tc>
          <w:tcPr>
            <w:tcW w:w="1302"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0E1E55F8"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3CD4B3EE"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9.8482249</w:t>
            </w:r>
          </w:p>
        </w:tc>
        <w:tc>
          <w:tcPr>
            <w:tcW w:w="2016" w:type="dxa"/>
            <w:tcBorders>
              <w:top w:val="nil"/>
              <w:left w:val="nil"/>
              <w:bottom w:val="single" w:color="auto" w:sz="4" w:space="0"/>
              <w:right w:val="single" w:color="auto" w:sz="4" w:space="0"/>
            </w:tcBorders>
            <w:shd w:val="clear" w:color="auto" w:fill="auto"/>
            <w:vAlign w:val="bottom"/>
          </w:tcPr>
          <w:p w:rsidRPr="00E80A18" w:rsidR="004B3F23" w:rsidDel="008F0B0A" w:rsidP="00514E18" w:rsidRDefault="004B3F23" w14:paraId="47078B1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18,307,210</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076F3B0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1.83</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513887A8"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33,502,194.30</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00B92B80"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5AC67D74"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$1,192,678,117.08</w:t>
            </w:r>
          </w:p>
        </w:tc>
      </w:tr>
      <w:tr w:rsidRPr="00F3411C" w:rsidR="004B3F23" w:rsidTr="00514E18" w14:paraId="0A6C0D0F" w14:textId="77777777">
        <w:trPr>
          <w:trHeight w:val="620"/>
          <w:jc w:val="center"/>
        </w:trPr>
        <w:tc>
          <w:tcPr>
            <w:tcW w:w="318" w:type="dxa"/>
            <w:tcBorders>
              <w:top w:val="nil"/>
              <w:left w:val="single" w:color="auto" w:sz="4" w:space="0"/>
              <w:bottom w:val="single" w:color="auto" w:sz="4" w:space="0"/>
              <w:right w:val="single" w:color="auto" w:sz="4" w:space="0"/>
            </w:tcBorders>
            <w:shd w:val="diagStripe" w:color="000000" w:fill="FFFFFF"/>
            <w:vAlign w:val="bottom"/>
          </w:tcPr>
          <w:p w:rsidRPr="00E80A18" w:rsidR="004B3F23" w:rsidP="00514E18" w:rsidRDefault="004B3F23" w14:paraId="0680FDC5"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1D94232B"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1910.501(f)(2)</w:t>
            </w:r>
          </w:p>
        </w:tc>
        <w:tc>
          <w:tcPr>
            <w:tcW w:w="162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5715EFBA"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7F9A9ADE"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Recording time off for recovery</w:t>
            </w:r>
          </w:p>
          <w:p w:rsidRPr="00E80A18" w:rsidR="004B3F23" w:rsidP="00514E18" w:rsidRDefault="004B3F23" w14:paraId="693430DB"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(J&amp;J)</w:t>
            </w:r>
          </w:p>
        </w:tc>
        <w:tc>
          <w:tcPr>
            <w:tcW w:w="1302"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1243254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34FA58A8"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0.02998599</w:t>
            </w:r>
          </w:p>
        </w:tc>
        <w:tc>
          <w:tcPr>
            <w:tcW w:w="2016" w:type="dxa"/>
            <w:tcBorders>
              <w:top w:val="nil"/>
              <w:left w:val="nil"/>
              <w:bottom w:val="single" w:color="auto" w:sz="4" w:space="0"/>
              <w:right w:val="single" w:color="auto" w:sz="4" w:space="0"/>
            </w:tcBorders>
            <w:shd w:val="clear" w:color="auto" w:fill="auto"/>
            <w:vAlign w:val="bottom"/>
          </w:tcPr>
          <w:p w:rsidRPr="00E80A18" w:rsidR="004B3F23" w:rsidDel="008F0B0A" w:rsidP="00514E18" w:rsidRDefault="004B3F23" w14:paraId="0327F788"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55,742</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2F4FCF5C"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0.08</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23D2C3AF"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4,459.36</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7A9D11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$36.94</w:t>
            </w:r>
          </w:p>
        </w:tc>
        <w:tc>
          <w:tcPr>
            <w:tcW w:w="2549"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78C721E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$164,728.76</w:t>
            </w:r>
          </w:p>
        </w:tc>
      </w:tr>
      <w:tr w:rsidRPr="00F3411C" w:rsidR="004B3F23" w:rsidTr="00514E18" w14:paraId="6DF79D7A" w14:textId="77777777">
        <w:trPr>
          <w:trHeight w:val="620"/>
          <w:jc w:val="center"/>
        </w:trPr>
        <w:tc>
          <w:tcPr>
            <w:tcW w:w="318" w:type="dxa"/>
            <w:tcBorders>
              <w:top w:val="nil"/>
              <w:left w:val="single" w:color="auto" w:sz="4" w:space="0"/>
              <w:bottom w:val="single" w:color="auto" w:sz="4" w:space="0"/>
              <w:right w:val="single" w:color="auto" w:sz="4" w:space="0"/>
            </w:tcBorders>
            <w:shd w:val="diagStripe" w:color="000000" w:fill="FFFFFF"/>
            <w:vAlign w:val="bottom"/>
          </w:tcPr>
          <w:p w:rsidRPr="00E80A18" w:rsidR="004B3F23" w:rsidP="00514E18" w:rsidRDefault="004B3F23" w14:paraId="6E3DBB35"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5143DA63"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1910.501(f)(2)</w:t>
            </w:r>
          </w:p>
        </w:tc>
        <w:tc>
          <w:tcPr>
            <w:tcW w:w="162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331DE4CD"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1CDF6856"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Recording time for recovery</w:t>
            </w:r>
          </w:p>
          <w:p w:rsidRPr="00E80A18" w:rsidR="004B3F23" w:rsidP="00514E18" w:rsidRDefault="004B3F23" w14:paraId="41B2793E"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(Moderna/Pfizer)</w:t>
            </w:r>
          </w:p>
        </w:tc>
        <w:tc>
          <w:tcPr>
            <w:tcW w:w="1302"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76E21CB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5B7530A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1.41851652</w:t>
            </w:r>
          </w:p>
        </w:tc>
        <w:tc>
          <w:tcPr>
            <w:tcW w:w="2016" w:type="dxa"/>
            <w:tcBorders>
              <w:top w:val="nil"/>
              <w:left w:val="nil"/>
              <w:bottom w:val="single" w:color="auto" w:sz="4" w:space="0"/>
              <w:right w:val="single" w:color="auto" w:sz="4" w:space="0"/>
            </w:tcBorders>
            <w:shd w:val="clear" w:color="auto" w:fill="auto"/>
            <w:vAlign w:val="bottom"/>
          </w:tcPr>
          <w:p w:rsidRPr="00E80A18" w:rsidR="004B3F23" w:rsidDel="008F0B0A" w:rsidP="00514E18" w:rsidRDefault="004B3F23" w14:paraId="39D7BD0D"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2,636,930</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247C5B6A"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0.08</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51CBB41E"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210,954.40</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0EC9CF1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$36.94</w:t>
            </w:r>
          </w:p>
        </w:tc>
        <w:tc>
          <w:tcPr>
            <w:tcW w:w="2549"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6F1AB0A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$7,792,655.54</w:t>
            </w:r>
          </w:p>
        </w:tc>
      </w:tr>
      <w:tr w:rsidRPr="00F3411C" w:rsidR="004B3F23" w:rsidTr="00514E18" w14:paraId="2C1963DD" w14:textId="77777777">
        <w:trPr>
          <w:trHeight w:val="530"/>
          <w:jc w:val="center"/>
        </w:trPr>
        <w:tc>
          <w:tcPr>
            <w:tcW w:w="318" w:type="dxa"/>
            <w:tcBorders>
              <w:top w:val="nil"/>
              <w:left w:val="single" w:color="auto" w:sz="4" w:space="0"/>
              <w:bottom w:val="single" w:color="auto" w:sz="4" w:space="0"/>
              <w:right w:val="single" w:color="auto" w:sz="4" w:space="0"/>
            </w:tcBorders>
            <w:shd w:val="clear" w:color="000000" w:fill="BDD7EE"/>
            <w:noWrap/>
            <w:vAlign w:val="bottom"/>
            <w:hideMark/>
          </w:tcPr>
          <w:p w:rsidRPr="00E80A18" w:rsidR="004B3F23" w:rsidP="00514E18" w:rsidRDefault="004B3F23" w14:paraId="4F61551E"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4</w:t>
            </w:r>
          </w:p>
        </w:tc>
        <w:tc>
          <w:tcPr>
            <w:tcW w:w="6621" w:type="dxa"/>
            <w:gridSpan w:val="4"/>
            <w:tcBorders>
              <w:top w:val="single" w:color="auto" w:sz="4" w:space="0"/>
              <w:left w:val="nil"/>
              <w:bottom w:val="single" w:color="auto" w:sz="4" w:space="0"/>
              <w:right w:val="single" w:color="auto" w:sz="4" w:space="0"/>
            </w:tcBorders>
            <w:shd w:val="clear" w:color="000000" w:fill="BDD7EE"/>
            <w:vAlign w:val="bottom"/>
            <w:hideMark/>
          </w:tcPr>
          <w:p w:rsidRPr="00E80A18" w:rsidR="004B3F23" w:rsidP="00514E18" w:rsidRDefault="004B3F23" w14:paraId="640B4D38"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COVID-19 testing for employees who are not fully vaccinated.</w:t>
            </w:r>
          </w:p>
        </w:tc>
        <w:tc>
          <w:tcPr>
            <w:tcW w:w="2016" w:type="dxa"/>
            <w:tcBorders>
              <w:top w:val="nil"/>
              <w:left w:val="nil"/>
              <w:bottom w:val="single" w:color="auto" w:sz="4" w:space="0"/>
              <w:right w:val="single" w:color="auto" w:sz="4" w:space="0"/>
            </w:tcBorders>
            <w:shd w:val="clear" w:color="000000" w:fill="BDD7EE"/>
            <w:vAlign w:val="bottom"/>
          </w:tcPr>
          <w:p w:rsidRPr="00E80A18" w:rsidR="004B3F23" w:rsidP="00514E18" w:rsidRDefault="004B3F23" w14:paraId="209E37B6" w14:textId="77777777">
            <w:pPr>
              <w:autoSpaceDE/>
              <w:autoSpaceDN/>
              <w:jc w:val="right"/>
              <w:rPr>
                <w:rFonts w:eastAsia="Times New Roman" w:asciiTheme="minorHAnsi" w:hAnsiTheme="minorHAnsi" w:cstheme="minorHAnsi"/>
                <w:color w:val="000000"/>
                <w:sz w:val="20"/>
                <w:szCs w:val="20"/>
                <w:lang w:eastAsia="en-US"/>
              </w:rPr>
            </w:pPr>
          </w:p>
        </w:tc>
        <w:tc>
          <w:tcPr>
            <w:tcW w:w="971"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70CBF6D7" w14:textId="77777777">
            <w:pPr>
              <w:autoSpaceDE/>
              <w:autoSpaceDN/>
              <w:rPr>
                <w:rFonts w:eastAsia="Times New Roman" w:asciiTheme="minorHAnsi" w:hAnsiTheme="minorHAnsi" w:cstheme="minorHAnsi"/>
                <w:color w:val="000000"/>
                <w:sz w:val="20"/>
                <w:szCs w:val="20"/>
                <w:lang w:eastAsia="en-US"/>
              </w:rPr>
            </w:pPr>
          </w:p>
        </w:tc>
        <w:tc>
          <w:tcPr>
            <w:tcW w:w="2100"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5BC97902" w14:textId="77777777">
            <w:pPr>
              <w:autoSpaceDE/>
              <w:autoSpaceDN/>
              <w:jc w:val="right"/>
              <w:rPr>
                <w:rFonts w:eastAsia="Times New Roman" w:asciiTheme="minorHAnsi" w:hAnsiTheme="minorHAnsi" w:cstheme="minorHAnsi"/>
                <w:color w:val="000000"/>
                <w:sz w:val="20"/>
                <w:szCs w:val="20"/>
                <w:lang w:eastAsia="en-US"/>
              </w:rPr>
            </w:pPr>
          </w:p>
        </w:tc>
        <w:tc>
          <w:tcPr>
            <w:tcW w:w="1115"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5B3438F0" w14:textId="77777777">
            <w:pPr>
              <w:autoSpaceDE/>
              <w:autoSpaceDN/>
              <w:rPr>
                <w:rFonts w:eastAsia="Times New Roman" w:asciiTheme="minorHAnsi" w:hAnsiTheme="minorHAnsi" w:cstheme="minorHAnsi"/>
                <w:color w:val="000000"/>
                <w:sz w:val="20"/>
                <w:szCs w:val="20"/>
                <w:lang w:eastAsia="en-US"/>
              </w:rPr>
            </w:pPr>
          </w:p>
        </w:tc>
        <w:tc>
          <w:tcPr>
            <w:tcW w:w="2549"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7D7928A6" w14:textId="77777777">
            <w:pPr>
              <w:autoSpaceDE/>
              <w:autoSpaceDN/>
              <w:jc w:val="right"/>
              <w:rPr>
                <w:rFonts w:eastAsia="Times New Roman" w:asciiTheme="minorHAnsi" w:hAnsiTheme="minorHAnsi" w:cstheme="minorHAnsi"/>
                <w:color w:val="000000"/>
                <w:sz w:val="20"/>
                <w:szCs w:val="20"/>
                <w:lang w:eastAsia="en-US"/>
              </w:rPr>
            </w:pPr>
          </w:p>
        </w:tc>
      </w:tr>
      <w:tr w:rsidRPr="00F3411C" w:rsidR="004B3F23" w:rsidTr="00514E18" w14:paraId="28503B91" w14:textId="77777777">
        <w:trPr>
          <w:trHeight w:val="420"/>
          <w:jc w:val="center"/>
        </w:trPr>
        <w:tc>
          <w:tcPr>
            <w:tcW w:w="318" w:type="dxa"/>
            <w:tcBorders>
              <w:top w:val="nil"/>
              <w:left w:val="single" w:color="auto" w:sz="4" w:space="0"/>
              <w:bottom w:val="single" w:color="auto" w:sz="4" w:space="0"/>
              <w:right w:val="single" w:color="auto" w:sz="4" w:space="0"/>
            </w:tcBorders>
            <w:shd w:val="diagStripe" w:color="000000" w:fill="FFFFFF"/>
            <w:noWrap/>
            <w:vAlign w:val="bottom"/>
            <w:hideMark/>
          </w:tcPr>
          <w:p w:rsidRPr="00E80A18" w:rsidR="004B3F23" w:rsidP="00514E18" w:rsidRDefault="004B3F23" w14:paraId="6518DCFD"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05E2CF99"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1910.501(g)(1)</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942D375"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 Weekly</w:t>
            </w:r>
          </w:p>
          <w:p w:rsidRPr="00E80A18" w:rsidR="004B3F23" w:rsidP="00514E18" w:rsidRDefault="004B3F23" w14:paraId="43B7162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Testing on site</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1D9D08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C219645"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16.5824152</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F8EBCFE"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30,825,632</w:t>
            </w:r>
          </w:p>
        </w:tc>
        <w:tc>
          <w:tcPr>
            <w:tcW w:w="9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11F533B8"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0.09</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06CDCC5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2,</w:t>
            </w:r>
            <w:r>
              <w:rPr>
                <w:rFonts w:eastAsia="Times New Roman" w:asciiTheme="minorHAnsi" w:hAnsiTheme="minorHAnsi" w:cstheme="minorHAnsi"/>
                <w:color w:val="000000"/>
                <w:sz w:val="20"/>
                <w:szCs w:val="20"/>
                <w:lang w:eastAsia="en-US"/>
              </w:rPr>
              <w:t>835,958.14</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025362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4E9AEBAD"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w:t>
            </w:r>
            <w:r>
              <w:rPr>
                <w:rFonts w:eastAsia="Times New Roman" w:asciiTheme="minorHAnsi" w:hAnsiTheme="minorHAnsi" w:cstheme="minorHAnsi"/>
                <w:color w:val="000000"/>
                <w:sz w:val="20"/>
                <w:szCs w:val="20"/>
                <w:lang w:eastAsia="en-US"/>
              </w:rPr>
              <w:t>100,960,109.93</w:t>
            </w:r>
          </w:p>
        </w:tc>
      </w:tr>
      <w:tr w:rsidRPr="00F3411C" w:rsidR="004B3F23" w:rsidTr="00514E18" w14:paraId="1BBF7678" w14:textId="77777777">
        <w:trPr>
          <w:trHeight w:val="360"/>
          <w:jc w:val="center"/>
        </w:trPr>
        <w:tc>
          <w:tcPr>
            <w:tcW w:w="318" w:type="dxa"/>
            <w:tcBorders>
              <w:top w:val="nil"/>
              <w:left w:val="single" w:color="auto" w:sz="4" w:space="0"/>
              <w:bottom w:val="single" w:color="auto" w:sz="4" w:space="0"/>
              <w:right w:val="single" w:color="auto" w:sz="4" w:space="0"/>
            </w:tcBorders>
            <w:shd w:val="diagStripe" w:color="000000" w:fill="FFFFFF"/>
            <w:noWrap/>
            <w:vAlign w:val="bottom"/>
          </w:tcPr>
          <w:p w:rsidRPr="00E80A18" w:rsidR="004B3F23" w:rsidP="00514E18" w:rsidRDefault="004B3F23" w14:paraId="2909FCD9"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7F35DC22"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1910.501(g)(1)</w:t>
            </w:r>
          </w:p>
        </w:tc>
        <w:tc>
          <w:tcPr>
            <w:tcW w:w="162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504AF33F"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 Weekly</w:t>
            </w:r>
          </w:p>
          <w:p w:rsidRPr="00E80A18" w:rsidR="004B3F23" w:rsidP="00514E18" w:rsidRDefault="004B3F23" w14:paraId="66628B21"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Testing o</w:t>
            </w:r>
            <w:r>
              <w:rPr>
                <w:rFonts w:eastAsia="Times New Roman" w:asciiTheme="minorHAnsi" w:hAnsiTheme="minorHAnsi" w:cstheme="minorHAnsi"/>
                <w:color w:val="000000"/>
                <w:sz w:val="20"/>
                <w:szCs w:val="20"/>
                <w:lang w:eastAsia="en-US"/>
              </w:rPr>
              <w:t>ff</w:t>
            </w:r>
            <w:r w:rsidRPr="00E80A18">
              <w:rPr>
                <w:rFonts w:eastAsia="Times New Roman" w:asciiTheme="minorHAnsi" w:hAnsiTheme="minorHAnsi" w:cstheme="minorHAnsi"/>
                <w:color w:val="000000"/>
                <w:sz w:val="20"/>
                <w:szCs w:val="20"/>
                <w:lang w:eastAsia="en-US"/>
              </w:rPr>
              <w:t xml:space="preserve"> site</w:t>
            </w:r>
          </w:p>
        </w:tc>
        <w:tc>
          <w:tcPr>
            <w:tcW w:w="1302" w:type="dxa"/>
            <w:tcBorders>
              <w:top w:val="nil"/>
              <w:left w:val="nil"/>
              <w:bottom w:val="single" w:color="auto" w:sz="4" w:space="0"/>
              <w:right w:val="single" w:color="auto" w:sz="4" w:space="0"/>
            </w:tcBorders>
            <w:shd w:val="clear" w:color="auto" w:fill="auto"/>
            <w:vAlign w:val="bottom"/>
          </w:tcPr>
          <w:p w:rsidRPr="00E80A18" w:rsidR="004B3F23" w:rsidDel="00F34F5E" w:rsidP="00514E18" w:rsidRDefault="004B3F23" w14:paraId="6D80699F"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7260E388"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11.5710899</w:t>
            </w:r>
          </w:p>
        </w:tc>
        <w:tc>
          <w:tcPr>
            <w:tcW w:w="2016"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0A05D278"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21,509,904</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1C67F507"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0.01</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5B2FC031"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12,475,744.32</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51ED0FE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w:t>
            </w:r>
            <w:r>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0E883E01"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w:t>
            </w:r>
            <w:r>
              <w:rPr>
                <w:rFonts w:eastAsia="Times New Roman" w:asciiTheme="minorHAnsi" w:hAnsiTheme="minorHAnsi" w:cstheme="minorHAnsi"/>
                <w:color w:val="000000"/>
                <w:sz w:val="20"/>
                <w:szCs w:val="20"/>
                <w:lang w:eastAsia="en-US"/>
              </w:rPr>
              <w:t>444,136,497.79</w:t>
            </w:r>
          </w:p>
        </w:tc>
      </w:tr>
      <w:tr w:rsidRPr="00F3411C" w:rsidR="004B3F23" w:rsidTr="00514E18" w14:paraId="1A6A2E56" w14:textId="77777777">
        <w:trPr>
          <w:trHeight w:val="360"/>
          <w:jc w:val="center"/>
        </w:trPr>
        <w:tc>
          <w:tcPr>
            <w:tcW w:w="318" w:type="dxa"/>
            <w:tcBorders>
              <w:top w:val="nil"/>
              <w:left w:val="single" w:color="auto" w:sz="4" w:space="0"/>
              <w:bottom w:val="single" w:color="auto" w:sz="4" w:space="0"/>
              <w:right w:val="single" w:color="auto" w:sz="4" w:space="0"/>
            </w:tcBorders>
            <w:shd w:val="diagStripe" w:color="000000" w:fill="FFFFFF"/>
            <w:noWrap/>
            <w:vAlign w:val="bottom"/>
            <w:hideMark/>
          </w:tcPr>
          <w:p w:rsidRPr="00E80A18" w:rsidR="004B3F23" w:rsidP="00514E18" w:rsidRDefault="004B3F23" w14:paraId="1B30A5B9"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45272AA"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1910.501(g)(4)</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5A05B009"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273F1FAA"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Recorded</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BAE80C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08FC2E4"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28.15350551</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163461D3"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52,335,536</w:t>
            </w:r>
          </w:p>
        </w:tc>
        <w:tc>
          <w:tcPr>
            <w:tcW w:w="9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7299899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0.08</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0740003C" w14:textId="77777777">
            <w:pPr>
              <w:autoSpaceDE/>
              <w:autoSpaceDN/>
              <w:jc w:val="right"/>
              <w:rPr>
                <w:rFonts w:eastAsia="Times New Roman" w:asciiTheme="minorHAnsi" w:hAnsiTheme="minorHAnsi" w:cstheme="minorHAnsi"/>
                <w:color w:val="000000"/>
                <w:sz w:val="20"/>
                <w:szCs w:val="20"/>
                <w:lang w:eastAsia="en-US"/>
              </w:rPr>
            </w:pPr>
            <w:r>
              <w:rPr>
                <w:rFonts w:eastAsia="Times New Roman" w:asciiTheme="minorHAnsi" w:hAnsiTheme="minorHAnsi" w:cstheme="minorHAnsi"/>
                <w:color w:val="000000"/>
                <w:sz w:val="20"/>
                <w:szCs w:val="20"/>
                <w:lang w:eastAsia="en-US"/>
              </w:rPr>
              <w:t>4,186,842.88</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D55AEE0"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$36.94</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1B22A03E"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w:t>
            </w:r>
            <w:r>
              <w:rPr>
                <w:rFonts w:eastAsia="Times New Roman" w:asciiTheme="minorHAnsi" w:hAnsiTheme="minorHAnsi" w:cstheme="minorHAnsi"/>
                <w:color w:val="000000"/>
                <w:sz w:val="20"/>
                <w:szCs w:val="20"/>
                <w:lang w:eastAsia="en-US"/>
              </w:rPr>
              <w:t>154,661,975.99</w:t>
            </w:r>
          </w:p>
        </w:tc>
      </w:tr>
      <w:tr w:rsidRPr="00F3411C" w:rsidR="004B3F23" w:rsidTr="00514E18" w14:paraId="09999543" w14:textId="77777777">
        <w:trPr>
          <w:trHeight w:val="290"/>
          <w:jc w:val="center"/>
        </w:trPr>
        <w:tc>
          <w:tcPr>
            <w:tcW w:w="318" w:type="dxa"/>
            <w:tcBorders>
              <w:top w:val="nil"/>
              <w:left w:val="single" w:color="auto" w:sz="4" w:space="0"/>
              <w:bottom w:val="single" w:color="auto" w:sz="4" w:space="0"/>
              <w:right w:val="single" w:color="auto" w:sz="4" w:space="0"/>
            </w:tcBorders>
            <w:shd w:val="clear" w:color="000000" w:fill="BDD7EE"/>
            <w:noWrap/>
            <w:vAlign w:val="bottom"/>
            <w:hideMark/>
          </w:tcPr>
          <w:p w:rsidRPr="00E80A18" w:rsidR="004B3F23" w:rsidP="00514E18" w:rsidRDefault="004B3F23" w14:paraId="76805B7A"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5</w:t>
            </w:r>
          </w:p>
        </w:tc>
        <w:tc>
          <w:tcPr>
            <w:tcW w:w="6621" w:type="dxa"/>
            <w:gridSpan w:val="4"/>
            <w:tcBorders>
              <w:top w:val="single" w:color="auto" w:sz="4" w:space="0"/>
              <w:left w:val="nil"/>
              <w:bottom w:val="single" w:color="auto" w:sz="4" w:space="0"/>
              <w:right w:val="single" w:color="auto" w:sz="4" w:space="0"/>
            </w:tcBorders>
            <w:shd w:val="clear" w:color="000000" w:fill="BDD7EE"/>
            <w:vAlign w:val="bottom"/>
            <w:hideMark/>
          </w:tcPr>
          <w:p w:rsidRPr="00E80A18" w:rsidR="004B3F23" w:rsidP="00514E18" w:rsidRDefault="004B3F23" w14:paraId="3542470A"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Employee notification to employer of COVID-19 positive status and removal.</w:t>
            </w:r>
          </w:p>
        </w:tc>
        <w:tc>
          <w:tcPr>
            <w:tcW w:w="2016" w:type="dxa"/>
            <w:tcBorders>
              <w:top w:val="nil"/>
              <w:left w:val="nil"/>
              <w:bottom w:val="single" w:color="auto" w:sz="4" w:space="0"/>
              <w:right w:val="single" w:color="auto" w:sz="4" w:space="0"/>
            </w:tcBorders>
            <w:shd w:val="clear" w:color="000000" w:fill="BDD7EE"/>
            <w:vAlign w:val="bottom"/>
          </w:tcPr>
          <w:p w:rsidRPr="00E80A18" w:rsidR="004B3F23" w:rsidP="00514E18" w:rsidRDefault="004B3F23" w14:paraId="4AAC1DE1" w14:textId="77777777">
            <w:pPr>
              <w:autoSpaceDE/>
              <w:autoSpaceDN/>
              <w:jc w:val="right"/>
              <w:rPr>
                <w:rFonts w:eastAsia="Times New Roman" w:asciiTheme="minorHAnsi" w:hAnsiTheme="minorHAnsi" w:cstheme="minorHAnsi"/>
                <w:color w:val="000000"/>
                <w:sz w:val="20"/>
                <w:szCs w:val="20"/>
                <w:lang w:eastAsia="en-US"/>
              </w:rPr>
            </w:pPr>
          </w:p>
        </w:tc>
        <w:tc>
          <w:tcPr>
            <w:tcW w:w="971"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48031302" w14:textId="77777777">
            <w:pPr>
              <w:autoSpaceDE/>
              <w:autoSpaceDN/>
              <w:rPr>
                <w:rFonts w:eastAsia="Times New Roman" w:asciiTheme="minorHAnsi" w:hAnsiTheme="minorHAnsi" w:cstheme="minorHAnsi"/>
                <w:color w:val="000000"/>
                <w:sz w:val="20"/>
                <w:szCs w:val="20"/>
                <w:lang w:eastAsia="en-US"/>
              </w:rPr>
            </w:pPr>
          </w:p>
        </w:tc>
        <w:tc>
          <w:tcPr>
            <w:tcW w:w="2100"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38FD1E80" w14:textId="77777777">
            <w:pPr>
              <w:autoSpaceDE/>
              <w:autoSpaceDN/>
              <w:jc w:val="right"/>
              <w:rPr>
                <w:rFonts w:eastAsia="Times New Roman" w:asciiTheme="minorHAnsi" w:hAnsiTheme="minorHAnsi" w:cstheme="minorHAnsi"/>
                <w:color w:val="000000"/>
                <w:sz w:val="20"/>
                <w:szCs w:val="20"/>
                <w:lang w:eastAsia="en-US"/>
              </w:rPr>
            </w:pPr>
          </w:p>
        </w:tc>
        <w:tc>
          <w:tcPr>
            <w:tcW w:w="1115"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6187E81E" w14:textId="77777777">
            <w:pPr>
              <w:autoSpaceDE/>
              <w:autoSpaceDN/>
              <w:rPr>
                <w:rFonts w:eastAsia="Times New Roman" w:asciiTheme="minorHAnsi" w:hAnsiTheme="minorHAnsi" w:cstheme="minorHAnsi"/>
                <w:color w:val="000000"/>
                <w:sz w:val="20"/>
                <w:szCs w:val="20"/>
                <w:lang w:eastAsia="en-US"/>
              </w:rPr>
            </w:pPr>
          </w:p>
        </w:tc>
        <w:tc>
          <w:tcPr>
            <w:tcW w:w="2549"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35E0BC03" w14:textId="77777777">
            <w:pPr>
              <w:autoSpaceDE/>
              <w:autoSpaceDN/>
              <w:jc w:val="right"/>
              <w:rPr>
                <w:rFonts w:eastAsia="Times New Roman" w:asciiTheme="minorHAnsi" w:hAnsiTheme="minorHAnsi" w:cstheme="minorHAnsi"/>
                <w:color w:val="000000"/>
                <w:sz w:val="20"/>
                <w:szCs w:val="20"/>
                <w:lang w:eastAsia="en-US"/>
              </w:rPr>
            </w:pPr>
          </w:p>
        </w:tc>
      </w:tr>
      <w:tr w:rsidRPr="00F3411C" w:rsidR="004B3F23" w:rsidTr="00514E18" w14:paraId="22D54579" w14:textId="77777777">
        <w:trPr>
          <w:trHeight w:val="290"/>
          <w:jc w:val="center"/>
        </w:trPr>
        <w:tc>
          <w:tcPr>
            <w:tcW w:w="318" w:type="dxa"/>
            <w:tcBorders>
              <w:top w:val="nil"/>
              <w:left w:val="single" w:color="auto" w:sz="4" w:space="0"/>
              <w:bottom w:val="single" w:color="auto" w:sz="4" w:space="0"/>
              <w:right w:val="single" w:color="auto" w:sz="4" w:space="0"/>
            </w:tcBorders>
            <w:shd w:val="diagStripe" w:color="000000" w:fill="FFFFFF"/>
            <w:noWrap/>
            <w:vAlign w:val="bottom"/>
            <w:hideMark/>
          </w:tcPr>
          <w:p w:rsidRPr="00E80A18" w:rsidR="004B3F23" w:rsidP="00514E18" w:rsidRDefault="004B3F23" w14:paraId="63FFDA78"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96D1119"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1910.501(h)(1)</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1835CE51"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6338B1EB"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Notifying  of Positive status</w:t>
            </w:r>
          </w:p>
        </w:tc>
        <w:tc>
          <w:tcPr>
            <w:tcW w:w="1302"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110E82EE"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4C18FE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0.0130919</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0BB11B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75,263</w:t>
            </w:r>
          </w:p>
        </w:tc>
        <w:tc>
          <w:tcPr>
            <w:tcW w:w="9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63A2C61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0.05</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76960D7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3,763.15</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758F4F0A"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$35.60</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15D8377C"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$133,968.14</w:t>
            </w:r>
          </w:p>
        </w:tc>
      </w:tr>
      <w:tr w:rsidRPr="00F3411C" w:rsidR="004B3F23" w:rsidTr="00514E18" w14:paraId="3A2C62AD" w14:textId="77777777">
        <w:trPr>
          <w:trHeight w:val="290"/>
          <w:jc w:val="center"/>
        </w:trPr>
        <w:tc>
          <w:tcPr>
            <w:tcW w:w="318" w:type="dxa"/>
            <w:tcBorders>
              <w:top w:val="nil"/>
              <w:left w:val="single" w:color="auto" w:sz="4" w:space="0"/>
              <w:bottom w:val="single" w:color="auto" w:sz="4" w:space="0"/>
              <w:right w:val="single" w:color="auto" w:sz="4" w:space="0"/>
            </w:tcBorders>
            <w:shd w:val="diagStripe" w:color="000000" w:fill="FFFFFF"/>
            <w:noWrap/>
            <w:vAlign w:val="bottom"/>
          </w:tcPr>
          <w:p w:rsidRPr="00E80A18" w:rsidR="004B3F23" w:rsidP="00514E18" w:rsidRDefault="004B3F23" w14:paraId="6AD6F9FD"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5441403E"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1910.501(h)(1)</w:t>
            </w:r>
          </w:p>
        </w:tc>
        <w:tc>
          <w:tcPr>
            <w:tcW w:w="162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64A6290"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Employers -</w:t>
            </w:r>
          </w:p>
          <w:p w:rsidRPr="00E80A18" w:rsidR="004B3F23" w:rsidP="00514E18" w:rsidRDefault="004B3F23" w14:paraId="4EB4188F"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xml:space="preserve">Receiving the information </w:t>
            </w:r>
          </w:p>
        </w:tc>
        <w:tc>
          <w:tcPr>
            <w:tcW w:w="1302"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E1F1584"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3989548D"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0.0130919</w:t>
            </w:r>
          </w:p>
        </w:tc>
        <w:tc>
          <w:tcPr>
            <w:tcW w:w="2016"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647D78C4"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75,263</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3C8EE55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0.05</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5101619F"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3,763.15</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3D0AE5E1"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$88.16</w:t>
            </w:r>
          </w:p>
        </w:tc>
        <w:tc>
          <w:tcPr>
            <w:tcW w:w="2549"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6621CFC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$331,759.30</w:t>
            </w:r>
          </w:p>
        </w:tc>
      </w:tr>
      <w:tr w:rsidRPr="00F3411C" w:rsidR="004B3F23" w:rsidTr="00514E18" w14:paraId="7E9ACA9C" w14:textId="77777777">
        <w:trPr>
          <w:trHeight w:val="290"/>
          <w:jc w:val="center"/>
        </w:trPr>
        <w:tc>
          <w:tcPr>
            <w:tcW w:w="318" w:type="dxa"/>
            <w:tcBorders>
              <w:top w:val="nil"/>
              <w:left w:val="single" w:color="auto" w:sz="4" w:space="0"/>
              <w:bottom w:val="single" w:color="auto" w:sz="4" w:space="0"/>
              <w:right w:val="single" w:color="auto" w:sz="4" w:space="0"/>
            </w:tcBorders>
            <w:shd w:val="clear" w:color="000000" w:fill="BDD7EE"/>
            <w:noWrap/>
            <w:vAlign w:val="bottom"/>
            <w:hideMark/>
          </w:tcPr>
          <w:p w:rsidRPr="00E80A18" w:rsidR="004B3F23" w:rsidP="00514E18" w:rsidRDefault="004B3F23" w14:paraId="53D263D5"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6</w:t>
            </w:r>
          </w:p>
        </w:tc>
        <w:tc>
          <w:tcPr>
            <w:tcW w:w="6621" w:type="dxa"/>
            <w:gridSpan w:val="4"/>
            <w:tcBorders>
              <w:top w:val="single" w:color="auto" w:sz="4" w:space="0"/>
              <w:left w:val="nil"/>
              <w:bottom w:val="single" w:color="auto" w:sz="4" w:space="0"/>
              <w:right w:val="single" w:color="auto" w:sz="4" w:space="0"/>
            </w:tcBorders>
            <w:shd w:val="clear" w:color="000000" w:fill="BDD7EE"/>
            <w:vAlign w:val="bottom"/>
            <w:hideMark/>
          </w:tcPr>
          <w:p w:rsidRPr="00E80A18" w:rsidR="004B3F23" w:rsidP="00514E18" w:rsidRDefault="004B3F23" w14:paraId="494CCC2D"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Information provided to employees.</w:t>
            </w:r>
          </w:p>
        </w:tc>
        <w:tc>
          <w:tcPr>
            <w:tcW w:w="2016" w:type="dxa"/>
            <w:tcBorders>
              <w:top w:val="nil"/>
              <w:left w:val="nil"/>
              <w:bottom w:val="single" w:color="auto" w:sz="4" w:space="0"/>
              <w:right w:val="single" w:color="auto" w:sz="4" w:space="0"/>
            </w:tcBorders>
            <w:shd w:val="clear" w:color="000000" w:fill="BDD7EE"/>
            <w:vAlign w:val="bottom"/>
          </w:tcPr>
          <w:p w:rsidRPr="00E80A18" w:rsidR="004B3F23" w:rsidP="00514E18" w:rsidRDefault="004B3F23" w14:paraId="2241C679" w14:textId="77777777">
            <w:pPr>
              <w:autoSpaceDE/>
              <w:autoSpaceDN/>
              <w:jc w:val="right"/>
              <w:rPr>
                <w:rFonts w:eastAsia="Times New Roman" w:asciiTheme="minorHAnsi" w:hAnsiTheme="minorHAnsi" w:cstheme="minorHAnsi"/>
                <w:color w:val="000000"/>
                <w:sz w:val="20"/>
                <w:szCs w:val="20"/>
                <w:lang w:eastAsia="en-US"/>
              </w:rPr>
            </w:pPr>
          </w:p>
        </w:tc>
        <w:tc>
          <w:tcPr>
            <w:tcW w:w="971"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5067C78E" w14:textId="77777777">
            <w:pPr>
              <w:autoSpaceDE/>
              <w:autoSpaceDN/>
              <w:rPr>
                <w:rFonts w:eastAsia="Times New Roman" w:asciiTheme="minorHAnsi" w:hAnsiTheme="minorHAnsi" w:cstheme="minorHAnsi"/>
                <w:color w:val="000000"/>
                <w:sz w:val="20"/>
                <w:szCs w:val="20"/>
                <w:lang w:eastAsia="en-US"/>
              </w:rPr>
            </w:pPr>
          </w:p>
        </w:tc>
        <w:tc>
          <w:tcPr>
            <w:tcW w:w="2100"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385F63E2" w14:textId="77777777">
            <w:pPr>
              <w:autoSpaceDE/>
              <w:autoSpaceDN/>
              <w:jc w:val="right"/>
              <w:rPr>
                <w:rFonts w:eastAsia="Times New Roman" w:asciiTheme="minorHAnsi" w:hAnsiTheme="minorHAnsi" w:cstheme="minorHAnsi"/>
                <w:color w:val="000000"/>
                <w:sz w:val="20"/>
                <w:szCs w:val="20"/>
                <w:lang w:eastAsia="en-US"/>
              </w:rPr>
            </w:pPr>
          </w:p>
        </w:tc>
        <w:tc>
          <w:tcPr>
            <w:tcW w:w="1115"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3E87B203" w14:textId="77777777">
            <w:pPr>
              <w:autoSpaceDE/>
              <w:autoSpaceDN/>
              <w:rPr>
                <w:rFonts w:eastAsia="Times New Roman" w:asciiTheme="minorHAnsi" w:hAnsiTheme="minorHAnsi" w:cstheme="minorHAnsi"/>
                <w:color w:val="000000"/>
                <w:sz w:val="20"/>
                <w:szCs w:val="20"/>
                <w:lang w:eastAsia="en-US"/>
              </w:rPr>
            </w:pPr>
          </w:p>
        </w:tc>
        <w:tc>
          <w:tcPr>
            <w:tcW w:w="2549"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76C4FFEB" w14:textId="77777777">
            <w:pPr>
              <w:autoSpaceDE/>
              <w:autoSpaceDN/>
              <w:jc w:val="right"/>
              <w:rPr>
                <w:rFonts w:eastAsia="Times New Roman" w:asciiTheme="minorHAnsi" w:hAnsiTheme="minorHAnsi" w:cstheme="minorHAnsi"/>
                <w:color w:val="000000"/>
                <w:sz w:val="20"/>
                <w:szCs w:val="20"/>
                <w:lang w:eastAsia="en-US"/>
              </w:rPr>
            </w:pPr>
          </w:p>
        </w:tc>
      </w:tr>
      <w:tr w:rsidRPr="00F3411C" w:rsidR="004B3F23" w:rsidTr="00514E18" w14:paraId="642BDF9B" w14:textId="77777777">
        <w:trPr>
          <w:trHeight w:val="290"/>
          <w:jc w:val="center"/>
        </w:trPr>
        <w:tc>
          <w:tcPr>
            <w:tcW w:w="318" w:type="dxa"/>
            <w:tcBorders>
              <w:top w:val="nil"/>
              <w:left w:val="single" w:color="auto" w:sz="4" w:space="0"/>
              <w:bottom w:val="single" w:color="auto" w:sz="4" w:space="0"/>
              <w:right w:val="single" w:color="auto" w:sz="4" w:space="0"/>
            </w:tcBorders>
            <w:shd w:val="diagStripe" w:color="000000" w:fill="auto"/>
            <w:noWrap/>
            <w:vAlign w:val="bottom"/>
          </w:tcPr>
          <w:p w:rsidRPr="00E80A18" w:rsidR="004B3F23" w:rsidP="00514E18" w:rsidRDefault="004B3F23" w14:paraId="135BC6C6"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42E55666"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1910.501(j)(1)</w:t>
            </w:r>
          </w:p>
        </w:tc>
        <w:tc>
          <w:tcPr>
            <w:tcW w:w="162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733050EE" w14:textId="77777777">
            <w:pPr>
              <w:autoSpaceDE/>
              <w:autoSpaceDN/>
              <w:rPr>
                <w:rFonts w:eastAsia="Times New Roman" w:asciiTheme="minorHAnsi" w:hAnsiTheme="minorHAnsi" w:cstheme="minorHAnsi"/>
                <w:color w:val="000000"/>
                <w:sz w:val="20"/>
                <w:szCs w:val="20"/>
                <w:lang w:eastAsia="en-US"/>
              </w:rPr>
            </w:pPr>
          </w:p>
          <w:p w:rsidRPr="00E80A18" w:rsidR="004B3F23" w:rsidP="00514E18" w:rsidRDefault="004B3F23" w14:paraId="1F9DBE69"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Familiarization w/ rule</w:t>
            </w:r>
          </w:p>
        </w:tc>
        <w:tc>
          <w:tcPr>
            <w:tcW w:w="1302"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019E970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3C152CC1"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w:t>
            </w:r>
          </w:p>
        </w:tc>
        <w:tc>
          <w:tcPr>
            <w:tcW w:w="2016" w:type="dxa"/>
            <w:tcBorders>
              <w:top w:val="nil"/>
              <w:left w:val="nil"/>
              <w:bottom w:val="single" w:color="auto" w:sz="4" w:space="0"/>
              <w:right w:val="single" w:color="auto" w:sz="4" w:space="0"/>
            </w:tcBorders>
            <w:shd w:val="clear" w:color="auto" w:fill="auto"/>
            <w:vAlign w:val="bottom"/>
          </w:tcPr>
          <w:p w:rsidRPr="00E80A18" w:rsidR="004B3F23" w:rsidDel="00C7570A" w:rsidP="00514E18" w:rsidRDefault="004B3F23" w14:paraId="1362C4F4"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971"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4F2A859A"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1.00</w:t>
            </w:r>
          </w:p>
        </w:tc>
        <w:tc>
          <w:tcPr>
            <w:tcW w:w="2100" w:type="dxa"/>
            <w:tcBorders>
              <w:top w:val="nil"/>
              <w:left w:val="nil"/>
              <w:bottom w:val="single" w:color="auto" w:sz="4" w:space="0"/>
              <w:right w:val="single" w:color="auto" w:sz="4" w:space="0"/>
            </w:tcBorders>
            <w:shd w:val="clear" w:color="auto" w:fill="auto"/>
            <w:noWrap/>
            <w:vAlign w:val="bottom"/>
          </w:tcPr>
          <w:p w:rsidRPr="00E80A18" w:rsidR="004B3F23" w:rsidP="00514E18" w:rsidRDefault="004B3F23" w14:paraId="2D54514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1,858,935.00</w:t>
            </w:r>
          </w:p>
        </w:tc>
        <w:tc>
          <w:tcPr>
            <w:tcW w:w="1115" w:type="dxa"/>
            <w:tcBorders>
              <w:top w:val="nil"/>
              <w:left w:val="nil"/>
              <w:bottom w:val="single" w:color="auto" w:sz="4" w:space="0"/>
              <w:right w:val="single" w:color="auto" w:sz="4" w:space="0"/>
            </w:tcBorders>
            <w:shd w:val="clear" w:color="auto" w:fill="auto"/>
            <w:vAlign w:val="bottom"/>
          </w:tcPr>
          <w:p w:rsidRPr="00E80A18" w:rsidR="004B3F23" w:rsidP="00514E18" w:rsidRDefault="004B3F23" w14:paraId="16BF76C0"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$88.16</w:t>
            </w:r>
          </w:p>
        </w:tc>
        <w:tc>
          <w:tcPr>
            <w:tcW w:w="2549" w:type="dxa"/>
            <w:tcBorders>
              <w:top w:val="nil"/>
              <w:left w:val="nil"/>
              <w:bottom w:val="single" w:color="auto" w:sz="4" w:space="0"/>
              <w:right w:val="single" w:color="auto" w:sz="4" w:space="0"/>
            </w:tcBorders>
            <w:shd w:val="clear" w:color="auto" w:fill="auto"/>
            <w:noWrap/>
            <w:vAlign w:val="bottom"/>
          </w:tcPr>
          <w:p w:rsidR="004B3F23" w:rsidP="00514E18" w:rsidRDefault="004B3F23" w14:paraId="4A3B68AF" w14:textId="77777777">
            <w:pPr>
              <w:autoSpaceDE/>
              <w:autoSpaceDN/>
              <w:jc w:val="right"/>
              <w:rPr>
                <w:rFonts w:ascii="Calibri" w:hAnsi="Calibri" w:eastAsia="Times New Roman" w:cs="Calibri"/>
                <w:color w:val="000000"/>
                <w:sz w:val="22"/>
                <w:szCs w:val="22"/>
                <w:lang w:eastAsia="en-US"/>
              </w:rPr>
            </w:pPr>
            <w:r>
              <w:rPr>
                <w:rFonts w:ascii="Calibri" w:hAnsi="Calibri" w:cs="Calibri"/>
                <w:color w:val="000000"/>
                <w:sz w:val="22"/>
                <w:szCs w:val="22"/>
              </w:rPr>
              <w:t>$163,883,709.60</w:t>
            </w:r>
          </w:p>
        </w:tc>
      </w:tr>
      <w:tr w:rsidRPr="00F3411C" w:rsidR="004B3F23" w:rsidTr="00514E18" w14:paraId="6B32E88E" w14:textId="77777777">
        <w:trPr>
          <w:trHeight w:val="290"/>
          <w:jc w:val="center"/>
        </w:trPr>
        <w:tc>
          <w:tcPr>
            <w:tcW w:w="318" w:type="dxa"/>
            <w:tcBorders>
              <w:top w:val="nil"/>
              <w:left w:val="single" w:color="auto" w:sz="4" w:space="0"/>
              <w:bottom w:val="single" w:color="auto" w:sz="4" w:space="0"/>
              <w:right w:val="single" w:color="auto" w:sz="4" w:space="0"/>
            </w:tcBorders>
            <w:shd w:val="diagStripe" w:color="000000" w:fill="auto"/>
            <w:noWrap/>
            <w:vAlign w:val="bottom"/>
            <w:hideMark/>
          </w:tcPr>
          <w:p w:rsidRPr="00E80A18" w:rsidR="004B3F23" w:rsidP="00514E18" w:rsidRDefault="004B3F23" w14:paraId="022E3BF1"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2BE3EFA"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1910.501(j)(1)</w:t>
            </w:r>
          </w:p>
        </w:tc>
        <w:tc>
          <w:tcPr>
            <w:tcW w:w="162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1782E00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Communicating the rule</w:t>
            </w:r>
          </w:p>
          <w:p w:rsidRPr="00E80A18" w:rsidR="004B3F23" w:rsidP="00514E18" w:rsidRDefault="004B3F23" w14:paraId="12D949E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w:t>
            </w:r>
          </w:p>
        </w:tc>
        <w:tc>
          <w:tcPr>
            <w:tcW w:w="1302"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4F5093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76E9AAE"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930E50C"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9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53CFBD0C"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0.17</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63945E5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316,018.95</w:t>
            </w:r>
          </w:p>
        </w:tc>
        <w:tc>
          <w:tcPr>
            <w:tcW w:w="1115"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DF3CF1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$88.16</w:t>
            </w:r>
          </w:p>
        </w:tc>
        <w:tc>
          <w:tcPr>
            <w:tcW w:w="2549" w:type="dxa"/>
            <w:tcBorders>
              <w:top w:val="nil"/>
              <w:left w:val="nil"/>
              <w:bottom w:val="single" w:color="auto" w:sz="4" w:space="0"/>
              <w:right w:val="single" w:color="auto" w:sz="4" w:space="0"/>
            </w:tcBorders>
            <w:shd w:val="clear" w:color="auto" w:fill="auto"/>
            <w:noWrap/>
            <w:vAlign w:val="bottom"/>
            <w:hideMark/>
          </w:tcPr>
          <w:p w:rsidR="004B3F23" w:rsidP="00514E18" w:rsidRDefault="004B3F23" w14:paraId="1D5BF0D5" w14:textId="77777777">
            <w:pPr>
              <w:jc w:val="right"/>
              <w:rPr>
                <w:rFonts w:ascii="Calibri" w:hAnsi="Calibri" w:cs="Calibri"/>
                <w:color w:val="000000"/>
                <w:sz w:val="22"/>
                <w:szCs w:val="22"/>
              </w:rPr>
            </w:pPr>
            <w:r>
              <w:rPr>
                <w:rFonts w:ascii="Calibri" w:hAnsi="Calibri" w:cs="Calibri"/>
                <w:color w:val="000000"/>
                <w:sz w:val="22"/>
                <w:szCs w:val="22"/>
              </w:rPr>
              <w:t>$27,860,230.63</w:t>
            </w:r>
          </w:p>
        </w:tc>
      </w:tr>
      <w:tr w:rsidRPr="00F3411C" w:rsidR="004B3F23" w:rsidTr="00514E18" w14:paraId="463748F7" w14:textId="77777777">
        <w:trPr>
          <w:trHeight w:val="290"/>
          <w:jc w:val="center"/>
        </w:trPr>
        <w:tc>
          <w:tcPr>
            <w:tcW w:w="318" w:type="dxa"/>
            <w:tcBorders>
              <w:top w:val="nil"/>
              <w:left w:val="single" w:color="auto" w:sz="4" w:space="0"/>
              <w:bottom w:val="single" w:color="auto" w:sz="4" w:space="0"/>
              <w:right w:val="single" w:color="auto" w:sz="4" w:space="0"/>
            </w:tcBorders>
            <w:shd w:val="clear" w:color="000000" w:fill="BDD7EE"/>
            <w:noWrap/>
            <w:vAlign w:val="bottom"/>
            <w:hideMark/>
          </w:tcPr>
          <w:p w:rsidRPr="00E80A18" w:rsidR="004B3F23" w:rsidP="00514E18" w:rsidRDefault="004B3F23" w14:paraId="1B106CE0"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7</w:t>
            </w:r>
          </w:p>
        </w:tc>
        <w:tc>
          <w:tcPr>
            <w:tcW w:w="6621" w:type="dxa"/>
            <w:gridSpan w:val="4"/>
            <w:tcBorders>
              <w:top w:val="single" w:color="auto" w:sz="4" w:space="0"/>
              <w:left w:val="nil"/>
              <w:bottom w:val="single" w:color="auto" w:sz="4" w:space="0"/>
              <w:right w:val="single" w:color="auto" w:sz="4" w:space="0"/>
            </w:tcBorders>
            <w:shd w:val="clear" w:color="000000" w:fill="BDD7EE"/>
            <w:vAlign w:val="bottom"/>
            <w:hideMark/>
          </w:tcPr>
          <w:p w:rsidRPr="00E80A18" w:rsidR="004B3F23" w:rsidP="00514E18" w:rsidRDefault="004B3F23" w14:paraId="602D8665"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Reporting COVID-19 fatalities and hospitalizations to OSHA.</w:t>
            </w:r>
          </w:p>
        </w:tc>
        <w:tc>
          <w:tcPr>
            <w:tcW w:w="2016" w:type="dxa"/>
            <w:tcBorders>
              <w:top w:val="nil"/>
              <w:left w:val="nil"/>
              <w:bottom w:val="single" w:color="auto" w:sz="4" w:space="0"/>
              <w:right w:val="single" w:color="auto" w:sz="4" w:space="0"/>
            </w:tcBorders>
            <w:shd w:val="clear" w:color="000000" w:fill="BDD7EE"/>
            <w:vAlign w:val="bottom"/>
          </w:tcPr>
          <w:p w:rsidRPr="00E80A18" w:rsidR="004B3F23" w:rsidP="00514E18" w:rsidRDefault="004B3F23" w14:paraId="4D89B34C" w14:textId="77777777">
            <w:pPr>
              <w:autoSpaceDE/>
              <w:autoSpaceDN/>
              <w:jc w:val="right"/>
              <w:rPr>
                <w:rFonts w:eastAsia="Times New Roman" w:asciiTheme="minorHAnsi" w:hAnsiTheme="minorHAnsi" w:cstheme="minorHAnsi"/>
                <w:color w:val="000000"/>
                <w:sz w:val="20"/>
                <w:szCs w:val="20"/>
                <w:lang w:eastAsia="en-US"/>
              </w:rPr>
            </w:pPr>
          </w:p>
        </w:tc>
        <w:tc>
          <w:tcPr>
            <w:tcW w:w="971"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36B045F3" w14:textId="77777777">
            <w:pPr>
              <w:autoSpaceDE/>
              <w:autoSpaceDN/>
              <w:rPr>
                <w:rFonts w:eastAsia="Times New Roman" w:asciiTheme="minorHAnsi" w:hAnsiTheme="minorHAnsi" w:cstheme="minorHAnsi"/>
                <w:color w:val="000000"/>
                <w:sz w:val="20"/>
                <w:szCs w:val="20"/>
                <w:lang w:eastAsia="en-US"/>
              </w:rPr>
            </w:pPr>
          </w:p>
        </w:tc>
        <w:tc>
          <w:tcPr>
            <w:tcW w:w="2100"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23783EDD" w14:textId="77777777">
            <w:pPr>
              <w:autoSpaceDE/>
              <w:autoSpaceDN/>
              <w:jc w:val="right"/>
              <w:rPr>
                <w:rFonts w:eastAsia="Times New Roman" w:asciiTheme="minorHAnsi" w:hAnsiTheme="minorHAnsi" w:cstheme="minorHAnsi"/>
                <w:color w:val="000000"/>
                <w:sz w:val="20"/>
                <w:szCs w:val="20"/>
                <w:lang w:eastAsia="en-US"/>
              </w:rPr>
            </w:pPr>
          </w:p>
        </w:tc>
        <w:tc>
          <w:tcPr>
            <w:tcW w:w="1115"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571077FB" w14:textId="77777777">
            <w:pPr>
              <w:autoSpaceDE/>
              <w:autoSpaceDN/>
              <w:rPr>
                <w:rFonts w:eastAsia="Times New Roman" w:asciiTheme="minorHAnsi" w:hAnsiTheme="minorHAnsi" w:cstheme="minorHAnsi"/>
                <w:color w:val="000000"/>
                <w:sz w:val="20"/>
                <w:szCs w:val="20"/>
                <w:lang w:eastAsia="en-US"/>
              </w:rPr>
            </w:pPr>
          </w:p>
        </w:tc>
        <w:tc>
          <w:tcPr>
            <w:tcW w:w="2549"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2DD7ADE7" w14:textId="77777777">
            <w:pPr>
              <w:autoSpaceDE/>
              <w:autoSpaceDN/>
              <w:jc w:val="right"/>
              <w:rPr>
                <w:rFonts w:eastAsia="Times New Roman" w:asciiTheme="minorHAnsi" w:hAnsiTheme="minorHAnsi" w:cstheme="minorHAnsi"/>
                <w:color w:val="000000"/>
                <w:sz w:val="20"/>
                <w:szCs w:val="20"/>
                <w:lang w:eastAsia="en-US"/>
              </w:rPr>
            </w:pPr>
          </w:p>
        </w:tc>
      </w:tr>
      <w:tr w:rsidRPr="00F3411C" w:rsidR="004B3F23" w:rsidTr="00514E18" w14:paraId="6B73F549" w14:textId="77777777">
        <w:trPr>
          <w:trHeight w:val="870"/>
          <w:jc w:val="center"/>
        </w:trPr>
        <w:tc>
          <w:tcPr>
            <w:tcW w:w="318" w:type="dxa"/>
            <w:tcBorders>
              <w:top w:val="nil"/>
              <w:left w:val="single" w:color="auto" w:sz="4" w:space="0"/>
              <w:bottom w:val="single" w:color="auto" w:sz="4" w:space="0"/>
              <w:right w:val="single" w:color="auto" w:sz="4" w:space="0"/>
            </w:tcBorders>
            <w:shd w:val="diagStripe" w:color="000000" w:fill="auto"/>
            <w:noWrap/>
            <w:vAlign w:val="bottom"/>
            <w:hideMark/>
          </w:tcPr>
          <w:p w:rsidRPr="00E80A18" w:rsidR="004B3F23" w:rsidP="00514E18" w:rsidRDefault="004B3F23" w14:paraId="51F70199"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0C052A92"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1910.501(k)(1)&amp;(2)</w:t>
            </w:r>
          </w:p>
        </w:tc>
        <w:tc>
          <w:tcPr>
            <w:tcW w:w="1625"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3D3ECA4D"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w:t>
            </w:r>
          </w:p>
          <w:p w:rsidRPr="00E80A18" w:rsidR="004B3F23" w:rsidP="00514E18" w:rsidRDefault="004B3F23" w14:paraId="2CE3CCB5"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Hospitalization cases</w:t>
            </w:r>
          </w:p>
        </w:tc>
        <w:tc>
          <w:tcPr>
            <w:tcW w:w="1302"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3A31025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05337B2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0.03204523</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23076B52" w14:textId="77777777">
            <w:pPr>
              <w:autoSpaceDE/>
              <w:autoSpaceDN/>
              <w:jc w:val="right"/>
              <w:rPr>
                <w:rFonts w:eastAsia="Times New Roman" w:asciiTheme="minorHAnsi" w:hAnsiTheme="minorHAnsi" w:cstheme="minorHAnsi"/>
                <w:color w:val="000000"/>
                <w:sz w:val="20"/>
                <w:szCs w:val="20"/>
                <w:lang w:eastAsia="en-US"/>
              </w:rPr>
            </w:pPr>
            <w:r w:rsidRPr="00E80A18">
              <w:rPr>
                <w:rFonts w:asciiTheme="minorHAnsi" w:hAnsiTheme="minorHAnsi" w:cstheme="minorHAnsi"/>
                <w:sz w:val="20"/>
                <w:szCs w:val="20"/>
              </w:rPr>
              <w:t>59,570</w:t>
            </w:r>
          </w:p>
        </w:tc>
        <w:tc>
          <w:tcPr>
            <w:tcW w:w="9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6EACE37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0.75</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799EE1F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44,677.50</w:t>
            </w:r>
          </w:p>
        </w:tc>
        <w:tc>
          <w:tcPr>
            <w:tcW w:w="1115"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5F4F67E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$88.16</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04527C37"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$3,938,768.40</w:t>
            </w:r>
          </w:p>
        </w:tc>
      </w:tr>
      <w:tr w:rsidRPr="00F3411C" w:rsidR="004B3F23" w:rsidTr="00514E18" w14:paraId="74E2F2D6" w14:textId="77777777">
        <w:trPr>
          <w:trHeight w:val="290"/>
          <w:jc w:val="center"/>
        </w:trPr>
        <w:tc>
          <w:tcPr>
            <w:tcW w:w="318" w:type="dxa"/>
            <w:tcBorders>
              <w:top w:val="nil"/>
              <w:left w:val="single" w:color="auto" w:sz="4" w:space="0"/>
              <w:bottom w:val="single" w:color="auto" w:sz="4" w:space="0"/>
              <w:right w:val="single" w:color="auto" w:sz="4" w:space="0"/>
            </w:tcBorders>
            <w:shd w:val="diagStripe" w:color="000000" w:fill="auto"/>
            <w:noWrap/>
            <w:vAlign w:val="bottom"/>
            <w:hideMark/>
          </w:tcPr>
          <w:p w:rsidRPr="00E80A18" w:rsidR="004B3F23" w:rsidP="00514E18" w:rsidRDefault="004B3F23" w14:paraId="5A95F145"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4555D8BB"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w:t>
            </w:r>
          </w:p>
        </w:tc>
        <w:tc>
          <w:tcPr>
            <w:tcW w:w="1625"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096850A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w:t>
            </w:r>
          </w:p>
          <w:p w:rsidRPr="00E80A18" w:rsidR="004B3F23" w:rsidP="00514E18" w:rsidRDefault="004B3F23" w14:paraId="01EB04E4"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Fatality cases</w:t>
            </w:r>
          </w:p>
        </w:tc>
        <w:tc>
          <w:tcPr>
            <w:tcW w:w="1302"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302759B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70A9DF34"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0.00078755</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3FE4CC4C"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1,464</w:t>
            </w:r>
          </w:p>
        </w:tc>
        <w:tc>
          <w:tcPr>
            <w:tcW w:w="9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477E4392"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0.75</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51F3083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1,098.00</w:t>
            </w:r>
          </w:p>
        </w:tc>
        <w:tc>
          <w:tcPr>
            <w:tcW w:w="1115"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738EE717"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$88.16</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4C4457A3"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$96,799.68</w:t>
            </w:r>
          </w:p>
        </w:tc>
      </w:tr>
      <w:tr w:rsidRPr="00F3411C" w:rsidR="004B3F23" w:rsidTr="00514E18" w14:paraId="6FC75240" w14:textId="77777777">
        <w:trPr>
          <w:trHeight w:val="305"/>
          <w:jc w:val="center"/>
        </w:trPr>
        <w:tc>
          <w:tcPr>
            <w:tcW w:w="318" w:type="dxa"/>
            <w:tcBorders>
              <w:top w:val="nil"/>
              <w:left w:val="single" w:color="auto" w:sz="4" w:space="0"/>
              <w:bottom w:val="single" w:color="auto" w:sz="4" w:space="0"/>
              <w:right w:val="single" w:color="auto" w:sz="4" w:space="0"/>
            </w:tcBorders>
            <w:shd w:val="clear" w:color="000000" w:fill="BDD7EE"/>
            <w:noWrap/>
            <w:vAlign w:val="bottom"/>
            <w:hideMark/>
          </w:tcPr>
          <w:p w:rsidRPr="00E80A18" w:rsidR="004B3F23" w:rsidP="00514E18" w:rsidRDefault="004B3F23" w14:paraId="418AE7CA" w14:textId="77777777">
            <w:pPr>
              <w:autoSpaceDE/>
              <w:autoSpaceDN/>
              <w:jc w:val="right"/>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8</w:t>
            </w:r>
          </w:p>
        </w:tc>
        <w:tc>
          <w:tcPr>
            <w:tcW w:w="6621" w:type="dxa"/>
            <w:gridSpan w:val="4"/>
            <w:tcBorders>
              <w:top w:val="nil"/>
              <w:left w:val="nil"/>
              <w:bottom w:val="single" w:color="auto" w:sz="4" w:space="0"/>
              <w:right w:val="single" w:color="auto" w:sz="4" w:space="0"/>
            </w:tcBorders>
            <w:shd w:val="clear" w:color="000000" w:fill="BDD7EE"/>
            <w:vAlign w:val="bottom"/>
            <w:hideMark/>
          </w:tcPr>
          <w:p w:rsidRPr="00E80A18" w:rsidR="004B3F23" w:rsidP="00514E18" w:rsidRDefault="004B3F23" w14:paraId="08EB0787"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Availability of records.</w:t>
            </w:r>
          </w:p>
        </w:tc>
        <w:tc>
          <w:tcPr>
            <w:tcW w:w="2016" w:type="dxa"/>
            <w:tcBorders>
              <w:top w:val="nil"/>
              <w:left w:val="nil"/>
              <w:bottom w:val="single" w:color="auto" w:sz="4" w:space="0"/>
              <w:right w:val="single" w:color="auto" w:sz="4" w:space="0"/>
            </w:tcBorders>
            <w:shd w:val="clear" w:color="000000" w:fill="BDD7EE"/>
            <w:vAlign w:val="bottom"/>
          </w:tcPr>
          <w:p w:rsidRPr="00E80A18" w:rsidR="004B3F23" w:rsidP="00514E18" w:rsidRDefault="004B3F23" w14:paraId="3B8C8309" w14:textId="77777777">
            <w:pPr>
              <w:autoSpaceDE/>
              <w:autoSpaceDN/>
              <w:jc w:val="right"/>
              <w:rPr>
                <w:rFonts w:eastAsia="Times New Roman" w:asciiTheme="minorHAnsi" w:hAnsiTheme="minorHAnsi" w:cstheme="minorHAnsi"/>
                <w:color w:val="000000"/>
                <w:sz w:val="20"/>
                <w:szCs w:val="20"/>
                <w:lang w:eastAsia="en-US"/>
              </w:rPr>
            </w:pPr>
          </w:p>
        </w:tc>
        <w:tc>
          <w:tcPr>
            <w:tcW w:w="971"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188BC491" w14:textId="77777777">
            <w:pPr>
              <w:autoSpaceDE/>
              <w:autoSpaceDN/>
              <w:rPr>
                <w:rFonts w:eastAsia="Times New Roman" w:asciiTheme="minorHAnsi" w:hAnsiTheme="minorHAnsi" w:cstheme="minorHAnsi"/>
                <w:color w:val="000000"/>
                <w:sz w:val="20"/>
                <w:szCs w:val="20"/>
                <w:lang w:eastAsia="en-US"/>
              </w:rPr>
            </w:pPr>
          </w:p>
        </w:tc>
        <w:tc>
          <w:tcPr>
            <w:tcW w:w="2100"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4500AF6A" w14:textId="77777777">
            <w:pPr>
              <w:autoSpaceDE/>
              <w:autoSpaceDN/>
              <w:jc w:val="right"/>
              <w:rPr>
                <w:rFonts w:eastAsia="Times New Roman" w:asciiTheme="minorHAnsi" w:hAnsiTheme="minorHAnsi" w:cstheme="minorHAnsi"/>
                <w:color w:val="000000"/>
                <w:sz w:val="20"/>
                <w:szCs w:val="20"/>
                <w:lang w:eastAsia="en-US"/>
              </w:rPr>
            </w:pPr>
          </w:p>
        </w:tc>
        <w:tc>
          <w:tcPr>
            <w:tcW w:w="1115"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46564CF3" w14:textId="77777777">
            <w:pPr>
              <w:autoSpaceDE/>
              <w:autoSpaceDN/>
              <w:rPr>
                <w:rFonts w:eastAsia="Times New Roman" w:asciiTheme="minorHAnsi" w:hAnsiTheme="minorHAnsi" w:cstheme="minorHAnsi"/>
                <w:color w:val="000000"/>
                <w:sz w:val="20"/>
                <w:szCs w:val="20"/>
                <w:lang w:eastAsia="en-US"/>
              </w:rPr>
            </w:pPr>
          </w:p>
        </w:tc>
        <w:tc>
          <w:tcPr>
            <w:tcW w:w="2549" w:type="dxa"/>
            <w:tcBorders>
              <w:top w:val="nil"/>
              <w:left w:val="nil"/>
              <w:bottom w:val="single" w:color="auto" w:sz="4" w:space="0"/>
              <w:right w:val="single" w:color="auto" w:sz="4" w:space="0"/>
            </w:tcBorders>
            <w:shd w:val="clear" w:color="000000" w:fill="BDD7EE"/>
            <w:noWrap/>
            <w:vAlign w:val="bottom"/>
          </w:tcPr>
          <w:p w:rsidRPr="00E80A18" w:rsidR="004B3F23" w:rsidP="00514E18" w:rsidRDefault="004B3F23" w14:paraId="77D2DF24" w14:textId="77777777">
            <w:pPr>
              <w:autoSpaceDE/>
              <w:autoSpaceDN/>
              <w:jc w:val="right"/>
              <w:rPr>
                <w:rFonts w:eastAsia="Times New Roman" w:asciiTheme="minorHAnsi" w:hAnsiTheme="minorHAnsi" w:cstheme="minorHAnsi"/>
                <w:color w:val="000000"/>
                <w:sz w:val="20"/>
                <w:szCs w:val="20"/>
                <w:lang w:eastAsia="en-US"/>
              </w:rPr>
            </w:pPr>
          </w:p>
        </w:tc>
      </w:tr>
      <w:tr w:rsidRPr="00F3411C" w:rsidR="004B3F23" w:rsidTr="00514E18" w14:paraId="507B6080" w14:textId="77777777">
        <w:trPr>
          <w:trHeight w:val="870"/>
          <w:jc w:val="center"/>
        </w:trPr>
        <w:tc>
          <w:tcPr>
            <w:tcW w:w="318" w:type="dxa"/>
            <w:tcBorders>
              <w:top w:val="nil"/>
              <w:left w:val="single" w:color="auto" w:sz="4" w:space="0"/>
              <w:bottom w:val="single" w:color="auto" w:sz="4" w:space="0"/>
              <w:right w:val="single" w:color="auto" w:sz="4" w:space="0"/>
            </w:tcBorders>
            <w:shd w:val="diagStripe" w:color="000000" w:fill="auto"/>
            <w:noWrap/>
            <w:vAlign w:val="bottom"/>
            <w:hideMark/>
          </w:tcPr>
          <w:p w:rsidRPr="00E80A18" w:rsidR="004B3F23" w:rsidP="00514E18" w:rsidRDefault="004B3F23" w14:paraId="4CAB49ED" w14:textId="77777777">
            <w:pPr>
              <w:autoSpaceDE/>
              <w:autoSpaceDN/>
              <w:rPr>
                <w:rFonts w:eastAsia="Times New Roman" w:asciiTheme="minorHAnsi" w:hAnsiTheme="minorHAnsi" w:cstheme="minorHAnsi"/>
                <w:b/>
                <w:bCs/>
                <w:color w:val="000000"/>
                <w:sz w:val="20"/>
                <w:szCs w:val="20"/>
                <w:lang w:eastAsia="en-US"/>
              </w:rPr>
            </w:pPr>
            <w:r w:rsidRPr="00E80A18">
              <w:rPr>
                <w:rFonts w:eastAsia="Times New Roman" w:asciiTheme="minorHAnsi" w:hAnsiTheme="minorHAnsi" w:cstheme="minorHAnsi"/>
                <w:b/>
                <w:bCs/>
                <w:color w:val="000000"/>
                <w:sz w:val="20"/>
                <w:szCs w:val="20"/>
                <w:lang w:eastAsia="en-US"/>
              </w:rPr>
              <w:t> </w:t>
            </w:r>
          </w:p>
        </w:tc>
        <w:tc>
          <w:tcPr>
            <w:tcW w:w="1771"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623FD97E"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 1910.501(l)(1)&amp;(2)</w:t>
            </w:r>
          </w:p>
        </w:tc>
        <w:tc>
          <w:tcPr>
            <w:tcW w:w="1625"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4687B328" w14:textId="77777777">
            <w:pPr>
              <w:autoSpaceDE/>
              <w:autoSpaceDN/>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Employees -</w:t>
            </w:r>
          </w:p>
          <w:p w:rsidRPr="00E80A18" w:rsidR="004B3F23" w:rsidP="00514E18" w:rsidRDefault="004B3F23" w14:paraId="5EF0CD16" w14:textId="77777777">
            <w:pPr>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Access to records</w:t>
            </w:r>
          </w:p>
        </w:tc>
        <w:tc>
          <w:tcPr>
            <w:tcW w:w="1302"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56F8B0BD"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1,858,935</w:t>
            </w:r>
          </w:p>
        </w:tc>
        <w:tc>
          <w:tcPr>
            <w:tcW w:w="1923"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1DA12425"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0.03273003</w:t>
            </w:r>
          </w:p>
        </w:tc>
        <w:tc>
          <w:tcPr>
            <w:tcW w:w="2016" w:type="dxa"/>
            <w:tcBorders>
              <w:top w:val="nil"/>
              <w:left w:val="nil"/>
              <w:bottom w:val="single" w:color="auto" w:sz="4" w:space="0"/>
              <w:right w:val="single" w:color="auto" w:sz="4" w:space="0"/>
            </w:tcBorders>
            <w:shd w:val="clear" w:color="auto" w:fill="auto"/>
            <w:vAlign w:val="bottom"/>
            <w:hideMark/>
          </w:tcPr>
          <w:p w:rsidRPr="00E80A18" w:rsidR="004B3F23" w:rsidP="00514E18" w:rsidRDefault="004B3F23" w14:paraId="49F45EFB"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2,104,872</w:t>
            </w:r>
          </w:p>
        </w:tc>
        <w:tc>
          <w:tcPr>
            <w:tcW w:w="971"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3EEC9E3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0.08</w:t>
            </w:r>
          </w:p>
        </w:tc>
        <w:tc>
          <w:tcPr>
            <w:tcW w:w="2100"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167EBEC9"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168,389.76</w:t>
            </w:r>
          </w:p>
        </w:tc>
        <w:tc>
          <w:tcPr>
            <w:tcW w:w="1115"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1769E2D7"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$36.94</w:t>
            </w:r>
          </w:p>
        </w:tc>
        <w:tc>
          <w:tcPr>
            <w:tcW w:w="2549" w:type="dxa"/>
            <w:tcBorders>
              <w:top w:val="nil"/>
              <w:left w:val="nil"/>
              <w:bottom w:val="single" w:color="auto" w:sz="4" w:space="0"/>
              <w:right w:val="single" w:color="auto" w:sz="4" w:space="0"/>
            </w:tcBorders>
            <w:shd w:val="clear" w:color="auto" w:fill="auto"/>
            <w:noWrap/>
            <w:vAlign w:val="bottom"/>
            <w:hideMark/>
          </w:tcPr>
          <w:p w:rsidRPr="00E80A18" w:rsidR="004B3F23" w:rsidP="00514E18" w:rsidRDefault="004B3F23" w14:paraId="542FFFF6" w14:textId="77777777">
            <w:pPr>
              <w:autoSpaceDE/>
              <w:autoSpaceDN/>
              <w:jc w:val="right"/>
              <w:rPr>
                <w:rFonts w:eastAsia="Times New Roman" w:asciiTheme="minorHAnsi" w:hAnsiTheme="minorHAnsi" w:cstheme="minorHAnsi"/>
                <w:color w:val="000000"/>
                <w:sz w:val="20"/>
                <w:szCs w:val="20"/>
                <w:lang w:eastAsia="en-US"/>
              </w:rPr>
            </w:pPr>
            <w:r w:rsidRPr="00E80A18">
              <w:rPr>
                <w:rFonts w:eastAsia="Times New Roman" w:asciiTheme="minorHAnsi" w:hAnsiTheme="minorHAnsi" w:cstheme="minorHAnsi"/>
                <w:color w:val="000000"/>
                <w:sz w:val="20"/>
                <w:szCs w:val="20"/>
                <w:lang w:eastAsia="en-US"/>
              </w:rPr>
              <w:t>$6,220,317.73</w:t>
            </w:r>
          </w:p>
        </w:tc>
      </w:tr>
      <w:tr w:rsidRPr="00F3411C" w:rsidR="004B3F23" w:rsidTr="00514E18" w14:paraId="7A5887D7" w14:textId="77777777">
        <w:trPr>
          <w:trHeight w:val="870"/>
          <w:jc w:val="center"/>
        </w:trPr>
        <w:tc>
          <w:tcPr>
            <w:tcW w:w="318" w:type="dxa"/>
            <w:tcBorders>
              <w:top w:val="single" w:color="auto" w:sz="4" w:space="0"/>
              <w:left w:val="single" w:color="auto" w:sz="4" w:space="0"/>
              <w:bottom w:val="single" w:color="auto" w:sz="4" w:space="0"/>
              <w:right w:val="single" w:color="auto" w:sz="4" w:space="0"/>
            </w:tcBorders>
            <w:shd w:val="diagStripe" w:color="000000" w:fill="auto"/>
            <w:noWrap/>
            <w:vAlign w:val="bottom"/>
          </w:tcPr>
          <w:p w:rsidRPr="00E80A18" w:rsidR="004B3F23" w:rsidP="00514E18" w:rsidRDefault="004B3F23" w14:paraId="2831EA10" w14:textId="77777777">
            <w:pPr>
              <w:autoSpaceDE/>
              <w:autoSpaceDN/>
              <w:rPr>
                <w:rFonts w:eastAsia="Times New Roman" w:asciiTheme="minorHAnsi" w:hAnsiTheme="minorHAnsi" w:cstheme="minorHAnsi"/>
                <w:b/>
                <w:bCs/>
                <w:color w:val="000000"/>
                <w:sz w:val="20"/>
                <w:szCs w:val="20"/>
                <w:lang w:eastAsia="en-US"/>
              </w:rPr>
            </w:pPr>
          </w:p>
        </w:tc>
        <w:tc>
          <w:tcPr>
            <w:tcW w:w="1771" w:type="dxa"/>
            <w:tcBorders>
              <w:top w:val="single" w:color="auto" w:sz="4" w:space="0"/>
              <w:left w:val="nil"/>
              <w:bottom w:val="single" w:color="auto" w:sz="4" w:space="0"/>
              <w:right w:val="single" w:color="auto" w:sz="4" w:space="0"/>
            </w:tcBorders>
            <w:shd w:val="clear" w:color="auto" w:fill="auto"/>
            <w:vAlign w:val="bottom"/>
          </w:tcPr>
          <w:p w:rsidRPr="007E7BE7" w:rsidR="004B3F23" w:rsidP="00514E18" w:rsidRDefault="004B3F23" w14:paraId="1DED404E" w14:textId="77777777">
            <w:pPr>
              <w:autoSpaceDE/>
              <w:autoSpaceDN/>
              <w:rPr>
                <w:rFonts w:eastAsia="Times New Roman" w:asciiTheme="minorHAnsi" w:hAnsiTheme="minorHAnsi" w:cstheme="minorHAnsi"/>
                <w:b/>
                <w:color w:val="000000"/>
                <w:sz w:val="20"/>
                <w:szCs w:val="20"/>
                <w:lang w:eastAsia="en-US"/>
              </w:rPr>
            </w:pPr>
            <w:r w:rsidRPr="007E7BE7">
              <w:rPr>
                <w:rFonts w:eastAsia="Times New Roman" w:asciiTheme="minorHAnsi" w:hAnsiTheme="minorHAnsi" w:cstheme="minorHAnsi"/>
                <w:b/>
                <w:color w:val="000000"/>
                <w:sz w:val="20"/>
                <w:szCs w:val="20"/>
                <w:lang w:eastAsia="en-US"/>
              </w:rPr>
              <w:t>Total</w:t>
            </w:r>
          </w:p>
        </w:tc>
        <w:tc>
          <w:tcPr>
            <w:tcW w:w="1625" w:type="dxa"/>
            <w:tcBorders>
              <w:top w:val="single" w:color="auto" w:sz="4" w:space="0"/>
              <w:left w:val="nil"/>
              <w:bottom w:val="single" w:color="auto" w:sz="4" w:space="0"/>
              <w:right w:val="single" w:color="auto" w:sz="4" w:space="0"/>
            </w:tcBorders>
            <w:shd w:val="clear" w:color="auto" w:fill="auto"/>
            <w:noWrap/>
            <w:vAlign w:val="bottom"/>
          </w:tcPr>
          <w:p w:rsidRPr="00E80A18" w:rsidR="004B3F23" w:rsidP="00514E18" w:rsidRDefault="004B3F23" w14:paraId="31C8B7AB" w14:textId="77777777">
            <w:pPr>
              <w:autoSpaceDE/>
              <w:autoSpaceDN/>
              <w:rPr>
                <w:rFonts w:eastAsia="Times New Roman" w:asciiTheme="minorHAnsi" w:hAnsiTheme="minorHAnsi" w:cstheme="minorHAnsi"/>
                <w:color w:val="000000"/>
                <w:sz w:val="20"/>
                <w:szCs w:val="20"/>
                <w:lang w:eastAsia="en-US"/>
              </w:rPr>
            </w:pPr>
          </w:p>
        </w:tc>
        <w:tc>
          <w:tcPr>
            <w:tcW w:w="1302" w:type="dxa"/>
            <w:tcBorders>
              <w:top w:val="single" w:color="auto" w:sz="4" w:space="0"/>
              <w:left w:val="nil"/>
              <w:bottom w:val="single" w:color="auto" w:sz="4" w:space="0"/>
              <w:right w:val="single" w:color="auto" w:sz="4" w:space="0"/>
            </w:tcBorders>
            <w:shd w:val="clear" w:color="auto" w:fill="auto"/>
            <w:noWrap/>
            <w:vAlign w:val="bottom"/>
          </w:tcPr>
          <w:p w:rsidRPr="00E80A18" w:rsidR="004B3F23" w:rsidP="00514E18" w:rsidRDefault="004B3F23" w14:paraId="7C3AF1F6" w14:textId="77777777">
            <w:pPr>
              <w:autoSpaceDE/>
              <w:autoSpaceDN/>
              <w:jc w:val="right"/>
              <w:rPr>
                <w:rFonts w:eastAsia="Times New Roman" w:asciiTheme="minorHAnsi" w:hAnsiTheme="minorHAnsi" w:cstheme="minorHAnsi"/>
                <w:color w:val="000000"/>
                <w:sz w:val="20"/>
                <w:szCs w:val="20"/>
                <w:lang w:eastAsia="en-US"/>
              </w:rPr>
            </w:pPr>
          </w:p>
        </w:tc>
        <w:tc>
          <w:tcPr>
            <w:tcW w:w="1923" w:type="dxa"/>
            <w:tcBorders>
              <w:top w:val="single" w:color="auto" w:sz="4" w:space="0"/>
              <w:left w:val="nil"/>
              <w:bottom w:val="single" w:color="auto" w:sz="4" w:space="0"/>
              <w:right w:val="single" w:color="auto" w:sz="4" w:space="0"/>
            </w:tcBorders>
            <w:shd w:val="clear" w:color="auto" w:fill="auto"/>
            <w:noWrap/>
            <w:vAlign w:val="bottom"/>
          </w:tcPr>
          <w:p w:rsidRPr="00E80A18" w:rsidR="004B3F23" w:rsidP="00514E18" w:rsidRDefault="004B3F23" w14:paraId="7C615835" w14:textId="77777777">
            <w:pPr>
              <w:autoSpaceDE/>
              <w:autoSpaceDN/>
              <w:jc w:val="right"/>
              <w:rPr>
                <w:rFonts w:eastAsia="Times New Roman" w:asciiTheme="minorHAnsi" w:hAnsiTheme="minorHAnsi" w:cstheme="minorHAnsi"/>
                <w:color w:val="000000"/>
                <w:sz w:val="20"/>
                <w:szCs w:val="20"/>
                <w:lang w:eastAsia="en-US"/>
              </w:rPr>
            </w:pPr>
          </w:p>
        </w:tc>
        <w:tc>
          <w:tcPr>
            <w:tcW w:w="2016" w:type="dxa"/>
            <w:tcBorders>
              <w:top w:val="single" w:color="auto" w:sz="4" w:space="0"/>
              <w:left w:val="nil"/>
              <w:bottom w:val="single" w:color="auto" w:sz="4" w:space="0"/>
              <w:right w:val="single" w:color="auto" w:sz="4" w:space="0"/>
            </w:tcBorders>
            <w:shd w:val="clear" w:color="auto" w:fill="auto"/>
            <w:vAlign w:val="bottom"/>
          </w:tcPr>
          <w:p w:rsidR="004B3F23" w:rsidP="00514E18" w:rsidRDefault="004B3F23" w14:paraId="3D81F48C" w14:textId="77777777">
            <w:pPr>
              <w:autoSpaceDE/>
              <w:autoSpaceDN/>
              <w:jc w:val="right"/>
              <w:rPr>
                <w:rFonts w:ascii="Calibri" w:hAnsi="Calibri" w:eastAsia="Times New Roman" w:cs="Calibri"/>
                <w:b/>
                <w:bCs/>
                <w:color w:val="000000"/>
                <w:sz w:val="22"/>
                <w:szCs w:val="22"/>
                <w:lang w:eastAsia="en-US"/>
              </w:rPr>
            </w:pPr>
            <w:r>
              <w:rPr>
                <w:rFonts w:ascii="Calibri" w:hAnsi="Calibri" w:cs="Calibri"/>
                <w:b/>
                <w:bCs/>
                <w:color w:val="000000"/>
                <w:sz w:val="22"/>
                <w:szCs w:val="22"/>
              </w:rPr>
              <w:t>205,364,655</w:t>
            </w:r>
          </w:p>
        </w:tc>
        <w:tc>
          <w:tcPr>
            <w:tcW w:w="971" w:type="dxa"/>
            <w:tcBorders>
              <w:top w:val="single" w:color="auto" w:sz="4" w:space="0"/>
              <w:left w:val="nil"/>
              <w:bottom w:val="single" w:color="auto" w:sz="4" w:space="0"/>
              <w:right w:val="single" w:color="auto" w:sz="4" w:space="0"/>
            </w:tcBorders>
            <w:shd w:val="clear" w:color="auto" w:fill="auto"/>
            <w:noWrap/>
            <w:vAlign w:val="bottom"/>
          </w:tcPr>
          <w:p w:rsidR="004B3F23" w:rsidP="00514E18" w:rsidRDefault="004B3F23" w14:paraId="3D8F6C1C" w14:textId="77777777">
            <w:pPr>
              <w:rPr>
                <w:rFonts w:ascii="Calibri" w:hAnsi="Calibri" w:cs="Calibri"/>
                <w:b/>
                <w:bCs/>
                <w:color w:val="000000"/>
                <w:sz w:val="22"/>
                <w:szCs w:val="22"/>
              </w:rPr>
            </w:pPr>
            <w:r>
              <w:rPr>
                <w:rFonts w:ascii="Calibri" w:hAnsi="Calibri" w:cs="Calibri"/>
                <w:b/>
                <w:bCs/>
                <w:color w:val="000000"/>
                <w:sz w:val="22"/>
                <w:szCs w:val="22"/>
              </w:rPr>
              <w:t> </w:t>
            </w:r>
          </w:p>
        </w:tc>
        <w:tc>
          <w:tcPr>
            <w:tcW w:w="2100" w:type="dxa"/>
            <w:tcBorders>
              <w:top w:val="single" w:color="auto" w:sz="4" w:space="0"/>
              <w:left w:val="nil"/>
              <w:bottom w:val="single" w:color="auto" w:sz="4" w:space="0"/>
              <w:right w:val="single" w:color="auto" w:sz="4" w:space="0"/>
            </w:tcBorders>
            <w:shd w:val="clear" w:color="auto" w:fill="auto"/>
            <w:noWrap/>
            <w:vAlign w:val="bottom"/>
          </w:tcPr>
          <w:p w:rsidR="004B3F23" w:rsidP="00514E18" w:rsidRDefault="004B3F23" w14:paraId="4233526D" w14:textId="77777777">
            <w:pPr>
              <w:jc w:val="right"/>
              <w:rPr>
                <w:rFonts w:ascii="Calibri" w:hAnsi="Calibri" w:cs="Calibri"/>
                <w:b/>
                <w:bCs/>
                <w:color w:val="000000"/>
                <w:sz w:val="22"/>
                <w:szCs w:val="22"/>
              </w:rPr>
            </w:pPr>
            <w:r>
              <w:rPr>
                <w:rFonts w:ascii="Calibri" w:hAnsi="Calibri" w:cs="Calibri"/>
                <w:b/>
                <w:bCs/>
                <w:color w:val="000000"/>
                <w:sz w:val="22"/>
                <w:szCs w:val="22"/>
              </w:rPr>
              <w:t>79,725,536.63</w:t>
            </w:r>
          </w:p>
        </w:tc>
        <w:tc>
          <w:tcPr>
            <w:tcW w:w="1115" w:type="dxa"/>
            <w:tcBorders>
              <w:top w:val="single" w:color="auto" w:sz="4" w:space="0"/>
              <w:left w:val="nil"/>
              <w:bottom w:val="single" w:color="auto" w:sz="4" w:space="0"/>
              <w:right w:val="single" w:color="auto" w:sz="4" w:space="0"/>
            </w:tcBorders>
            <w:shd w:val="clear" w:color="auto" w:fill="auto"/>
            <w:noWrap/>
            <w:vAlign w:val="bottom"/>
          </w:tcPr>
          <w:p w:rsidR="004B3F23" w:rsidP="00514E18" w:rsidRDefault="004B3F23" w14:paraId="45EDFAC9" w14:textId="77777777">
            <w:pPr>
              <w:rPr>
                <w:rFonts w:ascii="Calibri" w:hAnsi="Calibri" w:cs="Calibri"/>
                <w:b/>
                <w:bCs/>
                <w:color w:val="000000"/>
                <w:sz w:val="22"/>
                <w:szCs w:val="22"/>
              </w:rPr>
            </w:pPr>
            <w:r>
              <w:rPr>
                <w:rFonts w:ascii="Calibri" w:hAnsi="Calibri" w:cs="Calibri"/>
                <w:b/>
                <w:bCs/>
                <w:color w:val="000000"/>
                <w:sz w:val="22"/>
                <w:szCs w:val="22"/>
              </w:rPr>
              <w:t> </w:t>
            </w:r>
          </w:p>
        </w:tc>
        <w:tc>
          <w:tcPr>
            <w:tcW w:w="2549" w:type="dxa"/>
            <w:tcBorders>
              <w:top w:val="single" w:color="auto" w:sz="4" w:space="0"/>
              <w:left w:val="nil"/>
              <w:bottom w:val="single" w:color="auto" w:sz="4" w:space="0"/>
              <w:right w:val="single" w:color="auto" w:sz="4" w:space="0"/>
            </w:tcBorders>
            <w:shd w:val="clear" w:color="auto" w:fill="auto"/>
            <w:noWrap/>
            <w:vAlign w:val="bottom"/>
          </w:tcPr>
          <w:p w:rsidR="004B3F23" w:rsidP="00514E18" w:rsidRDefault="004B3F23" w14:paraId="55BACD08" w14:textId="77777777">
            <w:pPr>
              <w:jc w:val="right"/>
              <w:rPr>
                <w:rFonts w:ascii="Calibri" w:hAnsi="Calibri" w:cs="Calibri"/>
                <w:b/>
                <w:bCs/>
                <w:color w:val="000000"/>
                <w:sz w:val="22"/>
                <w:szCs w:val="22"/>
              </w:rPr>
            </w:pPr>
            <w:r>
              <w:rPr>
                <w:rFonts w:ascii="Calibri" w:hAnsi="Calibri" w:cs="Calibri"/>
                <w:b/>
                <w:bCs/>
                <w:color w:val="000000"/>
                <w:sz w:val="22"/>
                <w:szCs w:val="22"/>
              </w:rPr>
              <w:t>$3,453,411,496.07</w:t>
            </w:r>
          </w:p>
        </w:tc>
      </w:tr>
    </w:tbl>
    <w:p w:rsidRPr="00F3411C" w:rsidR="005F2373" w:rsidP="00FE6572" w:rsidRDefault="005F2373" w14:paraId="5B64FE40" w14:textId="293B67E6">
      <w:pPr>
        <w:pStyle w:val="Heading2"/>
        <w:numPr>
          <w:ilvl w:val="0"/>
          <w:numId w:val="0"/>
        </w:numPr>
        <w:spacing w:after="0"/>
        <w:sectPr w:rsidRPr="00F3411C" w:rsidR="005F2373" w:rsidSect="00D272EE">
          <w:pgSz w:w="15840" w:h="12240" w:orient="landscape" w:code="1"/>
          <w:pgMar w:top="1440" w:right="288" w:bottom="1440" w:left="288" w:header="720" w:footer="720" w:gutter="0"/>
          <w:cols w:space="720"/>
          <w:docGrid w:linePitch="360"/>
        </w:sectPr>
      </w:pPr>
    </w:p>
    <w:p w:rsidRPr="00F3411C" w:rsidR="00E35242" w:rsidP="00FE6572" w:rsidRDefault="00BC07E8" w14:paraId="4A9766B7" w14:textId="5A5D1D59">
      <w:pPr>
        <w:pStyle w:val="Heading2"/>
        <w:numPr>
          <w:ilvl w:val="0"/>
          <w:numId w:val="0"/>
        </w:numPr>
        <w:spacing w:after="0"/>
        <w:rPr>
          <w:lang w:val="x-none"/>
        </w:rPr>
      </w:pPr>
      <w:r w:rsidRPr="00F3411C">
        <w:t xml:space="preserve">13. </w:t>
      </w:r>
      <w:r w:rsidRPr="00F3411C" w:rsidR="00E35242">
        <w:rPr>
          <w:lang w:val="x-none"/>
        </w:rPr>
        <w:t>Provide an estimate of the total annual cost burden to respondents or recordkeepers resulting from the collection of information.</w:t>
      </w:r>
      <w:r w:rsidRPr="00F3411C" w:rsidR="009C097F">
        <w:t xml:space="preserve"> </w:t>
      </w:r>
      <w:r w:rsidRPr="00F3411C" w:rsidR="00E35242">
        <w:rPr>
          <w:lang w:val="x-none"/>
        </w:rPr>
        <w:t>(Do not include the cost of any hour burden shown in Items 12 and 14.)</w:t>
      </w:r>
    </w:p>
    <w:p w:rsidRPr="00F3411C" w:rsidR="003022D7" w:rsidRDefault="003022D7" w14:paraId="48F5D936" w14:textId="77777777">
      <w:pPr>
        <w:ind w:left="432" w:firstLine="18"/>
        <w:rPr>
          <w:b/>
          <w:bCs/>
        </w:rPr>
      </w:pPr>
    </w:p>
    <w:p w:rsidRPr="00F3411C" w:rsidR="00E35242" w:rsidRDefault="00E35242" w14:paraId="2D4C63E8" w14:textId="050CD5BC">
      <w:pPr>
        <w:ind w:left="432" w:firstLine="18"/>
        <w:rPr>
          <w:b/>
          <w:bCs/>
        </w:rPr>
      </w:pPr>
      <w:r w:rsidRPr="00F3411C">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w:t>
      </w:r>
      <w:r w:rsidRPr="00F3411C" w:rsidR="009C097F">
        <w:rPr>
          <w:b/>
          <w:bCs/>
        </w:rPr>
        <w:t xml:space="preserve"> </w:t>
      </w:r>
      <w:r w:rsidRPr="00F3411C">
        <w:rPr>
          <w:b/>
          <w:bCs/>
        </w:rPr>
        <w:t>Include descriptions of methods used to estimate major cost factors including system and technology acquisition, expected useful life on capital equipment, the discount rate(s), and the time period over which costs will be incurred.</w:t>
      </w:r>
      <w:r w:rsidRPr="00F3411C" w:rsidR="009C097F">
        <w:rPr>
          <w:b/>
          <w:bCs/>
        </w:rPr>
        <w:t xml:space="preserve"> </w:t>
      </w:r>
      <w:r w:rsidRPr="00F3411C">
        <w:rPr>
          <w:b/>
          <w:bCs/>
        </w:rPr>
        <w:t>Capital and start-up costs include, among other items, preparations for collecting information such as purchasing computers and software; monitoring, sampling, drilling and testing equipment; and record storage facilities.</w:t>
      </w:r>
    </w:p>
    <w:p w:rsidRPr="00F3411C" w:rsidR="003022D7" w:rsidRDefault="003022D7" w14:paraId="19912D32" w14:textId="77777777">
      <w:pPr>
        <w:ind w:left="432" w:firstLine="18"/>
        <w:rPr>
          <w:b/>
          <w:bCs/>
        </w:rPr>
      </w:pPr>
    </w:p>
    <w:p w:rsidRPr="00F3411C" w:rsidR="00E35242" w:rsidRDefault="00E35242" w14:paraId="5D675483" w14:textId="636F34C0">
      <w:pPr>
        <w:ind w:left="432" w:firstLine="18"/>
        <w:rPr>
          <w:b/>
          <w:bCs/>
        </w:rPr>
      </w:pPr>
      <w:r w:rsidRPr="00F3411C">
        <w:rPr>
          <w:b/>
          <w:bCs/>
        </w:rPr>
        <w:t>If cost estimates are expected to vary widely, agencies should present ranges of cost burdens and explain the reasons for the variance.</w:t>
      </w:r>
      <w:r w:rsidRPr="00F3411C" w:rsidR="009C097F">
        <w:rPr>
          <w:b/>
          <w:bCs/>
        </w:rPr>
        <w:t xml:space="preserve"> </w:t>
      </w:r>
      <w:r w:rsidRPr="00F3411C">
        <w:rPr>
          <w:b/>
          <w:bCs/>
        </w:rPr>
        <w:t>The cost of purchasing or contracting out information collections services should be part of this cost burden estimate.</w:t>
      </w:r>
      <w:r w:rsidRPr="00F3411C" w:rsidR="009C097F">
        <w:rPr>
          <w:b/>
          <w:bCs/>
        </w:rPr>
        <w:t xml:space="preserve"> </w:t>
      </w:r>
      <w:r w:rsidRPr="00F3411C">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3411C" w:rsidR="00E35242" w:rsidRDefault="00E35242" w14:paraId="60221B60" w14:textId="77777777">
      <w:pPr>
        <w:ind w:firstLine="18"/>
        <w:rPr>
          <w:b/>
          <w:bCs/>
        </w:rPr>
      </w:pPr>
    </w:p>
    <w:p w:rsidRPr="00F3411C" w:rsidR="00E35242" w:rsidRDefault="00E35242" w14:paraId="17812066" w14:textId="3C478BE8">
      <w:pPr>
        <w:ind w:left="432" w:firstLine="18"/>
        <w:rPr>
          <w:b/>
          <w:bCs/>
        </w:rPr>
      </w:pPr>
      <w:r w:rsidRPr="00F3411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3411C" w:rsidR="00117D2F" w:rsidRDefault="00117D2F" w14:paraId="366F13AA" w14:textId="77777777">
      <w:pPr>
        <w:pStyle w:val="Default"/>
        <w:rPr>
          <w:color w:val="auto"/>
        </w:rPr>
      </w:pPr>
    </w:p>
    <w:p w:rsidRPr="00F3411C" w:rsidR="003D6428" w:rsidRDefault="00F91B62" w14:paraId="79C5A1E7" w14:textId="7F72E42C">
      <w:pPr>
        <w:pStyle w:val="Default"/>
        <w:rPr>
          <w:b/>
          <w:color w:val="auto"/>
        </w:rPr>
      </w:pPr>
      <w:r w:rsidRPr="00F3411C">
        <w:rPr>
          <w:b/>
          <w:color w:val="auto"/>
        </w:rPr>
        <w:t>Test</w:t>
      </w:r>
      <w:r w:rsidRPr="00F3411C" w:rsidR="002C605F">
        <w:rPr>
          <w:b/>
          <w:color w:val="auto"/>
        </w:rPr>
        <w:t>ing</w:t>
      </w:r>
    </w:p>
    <w:p w:rsidRPr="00F3411C" w:rsidR="004C5AED" w:rsidRDefault="004C5AED" w14:paraId="3012885A" w14:textId="792CE4D3">
      <w:pPr>
        <w:pStyle w:val="Default"/>
        <w:rPr>
          <w:color w:val="auto"/>
        </w:rPr>
      </w:pPr>
    </w:p>
    <w:p w:rsidRPr="00F3411C" w:rsidR="004C5AED" w:rsidRDefault="004C5AED" w14:paraId="033F262C" w14:textId="62B5A96A">
      <w:pPr>
        <w:pStyle w:val="Default"/>
        <w:rPr>
          <w:color w:val="auto"/>
        </w:rPr>
      </w:pPr>
      <w:r w:rsidRPr="00F3411C">
        <w:rPr>
          <w:color w:val="auto"/>
        </w:rPr>
        <w:t xml:space="preserve">As with the burdens and costs for COVID-19 testing identified under Item 12, OSHA is accounting only for testing provided to employees who have received a reasonable accommodation, or exemption for medical contraindication, from vaccination.  Other employees would not incur any Item 13 costs if they chose to be vaccinated. </w:t>
      </w:r>
    </w:p>
    <w:p w:rsidRPr="00F3411C" w:rsidR="004C5AED" w:rsidRDefault="004C5AED" w14:paraId="6E3143D0" w14:textId="4B3DD7A4">
      <w:pPr>
        <w:pStyle w:val="Default"/>
        <w:rPr>
          <w:color w:val="auto"/>
        </w:rPr>
      </w:pPr>
    </w:p>
    <w:p w:rsidRPr="00F3411C" w:rsidR="004C5AED" w:rsidRDefault="004C5AED" w14:paraId="1E868CD7" w14:textId="0678F116">
      <w:pPr>
        <w:pStyle w:val="Default"/>
        <w:rPr>
          <w:color w:val="auto"/>
        </w:rPr>
      </w:pPr>
      <w:r w:rsidRPr="00F3411C">
        <w:rPr>
          <w:color w:val="auto"/>
        </w:rPr>
        <w:t xml:space="preserve">In calculating the costs, OSHA again </w:t>
      </w:r>
      <w:r w:rsidRPr="00F3411C" w:rsidR="0015721D">
        <w:rPr>
          <w:color w:val="auto"/>
        </w:rPr>
        <w:t xml:space="preserve">assumes that </w:t>
      </w:r>
      <w:r w:rsidRPr="00F3411C" w:rsidR="004563B9">
        <w:rPr>
          <w:color w:val="auto"/>
        </w:rPr>
        <w:t xml:space="preserve">58.9 </w:t>
      </w:r>
      <w:r w:rsidRPr="00F3411C" w:rsidR="006E294D">
        <w:rPr>
          <w:color w:val="auto"/>
        </w:rPr>
        <w:t xml:space="preserve">percent </w:t>
      </w:r>
      <w:r w:rsidRPr="00F3411C" w:rsidR="004563B9">
        <w:rPr>
          <w:color w:val="auto"/>
        </w:rPr>
        <w:t>of the establishments will perform the test on site and the</w:t>
      </w:r>
      <w:r w:rsidRPr="00F3411C" w:rsidR="0015721D">
        <w:rPr>
          <w:color w:val="auto"/>
        </w:rPr>
        <w:t xml:space="preserve"> remaining </w:t>
      </w:r>
      <w:r w:rsidRPr="00F3411C" w:rsidR="004563B9">
        <w:rPr>
          <w:color w:val="auto"/>
        </w:rPr>
        <w:t xml:space="preserve">41.1 percent of </w:t>
      </w:r>
      <w:r w:rsidRPr="00F3411C" w:rsidR="0015721D">
        <w:rPr>
          <w:color w:val="auto"/>
        </w:rPr>
        <w:t xml:space="preserve">employees will </w:t>
      </w:r>
      <w:r w:rsidRPr="00F3411C" w:rsidR="004563B9">
        <w:rPr>
          <w:color w:val="auto"/>
        </w:rPr>
        <w:t>have the test performed</w:t>
      </w:r>
      <w:r w:rsidRPr="00F3411C" w:rsidR="0015721D">
        <w:rPr>
          <w:color w:val="auto"/>
        </w:rPr>
        <w:t xml:space="preserve"> off-site </w:t>
      </w:r>
      <w:r w:rsidRPr="00F3411C" w:rsidR="004563B9">
        <w:rPr>
          <w:color w:val="auto"/>
        </w:rPr>
        <w:t xml:space="preserve">at a </w:t>
      </w:r>
      <w:r w:rsidRPr="00F3411C" w:rsidR="0015721D">
        <w:rPr>
          <w:color w:val="auto"/>
        </w:rPr>
        <w:t>laborator</w:t>
      </w:r>
      <w:r w:rsidRPr="00F3411C" w:rsidR="004563B9">
        <w:rPr>
          <w:color w:val="auto"/>
        </w:rPr>
        <w:t>y</w:t>
      </w:r>
      <w:r w:rsidRPr="00F3411C" w:rsidR="0015721D">
        <w:rPr>
          <w:color w:val="auto"/>
        </w:rPr>
        <w:t xml:space="preserve"> or other appropriate facilit</w:t>
      </w:r>
      <w:r w:rsidRPr="00F3411C" w:rsidR="004563B9">
        <w:rPr>
          <w:color w:val="auto"/>
        </w:rPr>
        <w:t>y</w:t>
      </w:r>
      <w:r w:rsidRPr="00F3411C" w:rsidR="006E294D">
        <w:rPr>
          <w:color w:val="auto"/>
        </w:rPr>
        <w:t>.</w:t>
      </w:r>
    </w:p>
    <w:p w:rsidRPr="00F3411C" w:rsidR="004C5AED" w:rsidP="00A21F2F" w:rsidRDefault="0015721D" w14:paraId="20BF329E" w14:textId="2CF18498">
      <w:r w:rsidRPr="00F3411C">
        <w:t>For on-site testing, OSHA estimates</w:t>
      </w:r>
      <w:r w:rsidRPr="00F3411C" w:rsidR="004C5AED">
        <w:t xml:space="preserve"> a cost of $10 per test for an over-the-counter (OTC) test.  OSHA’s per-test cost is based on the market prices OSHA found for an OTC test.</w:t>
      </w:r>
      <w:r w:rsidRPr="00F3411C" w:rsidR="004C5AED">
        <w:rPr>
          <w:rStyle w:val="FootnoteReference"/>
        </w:rPr>
        <w:footnoteReference w:id="15"/>
      </w:r>
      <w:r w:rsidRPr="00F3411C">
        <w:t xml:space="preserve">  </w:t>
      </w:r>
      <w:r w:rsidRPr="00F3411C" w:rsidR="004C5AED">
        <w:t>For off-site tests, the agency assumes a cost of $50 per test, which includes the cost for the laboratory to evaluate the test. OSHA’s per-test cost is based on the market prices OSHA found for tests that are processed by a laboratory. Costs for these tests vary widely, but OSHA judges that a reasonable estimate is $50.</w:t>
      </w:r>
      <w:r w:rsidRPr="00F3411C" w:rsidR="004C5AED">
        <w:rPr>
          <w:rStyle w:val="FootnoteReference"/>
        </w:rPr>
        <w:footnoteReference w:id="16"/>
      </w:r>
      <w:r w:rsidRPr="00F3411C" w:rsidR="004C5AED">
        <w:t xml:space="preserve">  </w:t>
      </w:r>
    </w:p>
    <w:p w:rsidRPr="00F3411C" w:rsidR="004C5AED" w:rsidRDefault="004C5AED" w14:paraId="40BE2FF6" w14:textId="77777777">
      <w:pPr>
        <w:pStyle w:val="Default"/>
        <w:rPr>
          <w:color w:val="auto"/>
        </w:rPr>
      </w:pPr>
    </w:p>
    <w:p w:rsidRPr="00F3411C" w:rsidR="002C605F" w:rsidRDefault="00817504" w14:paraId="78483F52" w14:textId="667B00DF">
      <w:pPr>
        <w:pStyle w:val="Default"/>
        <w:rPr>
          <w:color w:val="auto"/>
        </w:rPr>
      </w:pPr>
      <w:r w:rsidRPr="00F3411C">
        <w:rPr>
          <w:color w:val="auto"/>
        </w:rPr>
        <w:t xml:space="preserve">OSHA assumes </w:t>
      </w:r>
      <w:r w:rsidRPr="00F3411C" w:rsidR="00544B86">
        <w:rPr>
          <w:color w:val="auto"/>
        </w:rPr>
        <w:t xml:space="preserve">OSHA again estimates </w:t>
      </w:r>
      <w:r w:rsidRPr="00F3411C" w:rsidR="002C605F">
        <w:rPr>
          <w:color w:val="auto"/>
        </w:rPr>
        <w:t xml:space="preserve">that each of the </w:t>
      </w:r>
      <w:r w:rsidRPr="00F3411C">
        <w:rPr>
          <w:color w:val="auto"/>
        </w:rPr>
        <w:t xml:space="preserve">covered, unvaccinated </w:t>
      </w:r>
      <w:r w:rsidRPr="00F3411C" w:rsidR="002C605F">
        <w:rPr>
          <w:color w:val="auto"/>
        </w:rPr>
        <w:t>employees will take a</w:t>
      </w:r>
      <w:r w:rsidRPr="00F3411C" w:rsidR="00D12AA1">
        <w:rPr>
          <w:color w:val="auto"/>
        </w:rPr>
        <w:t>t least</w:t>
      </w:r>
      <w:r w:rsidRPr="00F3411C" w:rsidR="002C605F">
        <w:rPr>
          <w:color w:val="auto"/>
        </w:rPr>
        <w:t xml:space="preserve"> of </w:t>
      </w:r>
      <w:r w:rsidRPr="00F3411C" w:rsidR="00544B86">
        <w:rPr>
          <w:color w:val="auto"/>
        </w:rPr>
        <w:t>16</w:t>
      </w:r>
      <w:r w:rsidRPr="00F3411C" w:rsidR="002C605F">
        <w:rPr>
          <w:color w:val="auto"/>
        </w:rPr>
        <w:t xml:space="preserve"> test</w:t>
      </w:r>
      <w:r w:rsidRPr="00F3411C">
        <w:rPr>
          <w:color w:val="auto"/>
        </w:rPr>
        <w:t>s</w:t>
      </w:r>
      <w:r w:rsidRPr="00F3411C" w:rsidR="002C605F">
        <w:rPr>
          <w:color w:val="auto"/>
        </w:rPr>
        <w:t xml:space="preserve"> </w:t>
      </w:r>
      <w:r w:rsidRPr="00F3411C" w:rsidR="00D12AA1">
        <w:rPr>
          <w:color w:val="auto"/>
        </w:rPr>
        <w:t xml:space="preserve">on average </w:t>
      </w:r>
      <w:r w:rsidRPr="00F3411C" w:rsidR="002C605F">
        <w:rPr>
          <w:color w:val="auto"/>
        </w:rPr>
        <w:t>during a 6</w:t>
      </w:r>
      <w:r w:rsidRPr="00F3411C" w:rsidR="00A25810">
        <w:rPr>
          <w:color w:val="auto"/>
        </w:rPr>
        <w:t>-</w:t>
      </w:r>
      <w:r w:rsidRPr="00F3411C" w:rsidR="002C605F">
        <w:rPr>
          <w:color w:val="auto"/>
        </w:rPr>
        <w:t>month period.</w:t>
      </w:r>
      <w:r w:rsidRPr="00F3411C" w:rsidR="00652414">
        <w:rPr>
          <w:color w:val="auto"/>
        </w:rPr>
        <w:t xml:space="preserve"> </w:t>
      </w:r>
    </w:p>
    <w:p w:rsidRPr="00F3411C" w:rsidR="002A5035" w:rsidRDefault="002A5035" w14:paraId="38364C9C" w14:textId="77777777">
      <w:pPr>
        <w:pStyle w:val="Default"/>
        <w:rPr>
          <w:color w:val="auto"/>
        </w:rPr>
      </w:pPr>
    </w:p>
    <w:p w:rsidRPr="00F3411C" w:rsidR="00F91B62" w:rsidRDefault="002C605F" w14:paraId="59F5D055" w14:textId="1F72162A">
      <w:pPr>
        <w:pStyle w:val="Default"/>
        <w:rPr>
          <w:color w:val="auto"/>
        </w:rPr>
      </w:pPr>
      <w:r w:rsidRPr="00F3411C">
        <w:rPr>
          <w:color w:val="auto"/>
        </w:rPr>
        <w:t xml:space="preserve"> </w:t>
      </w:r>
      <w:r w:rsidRPr="00F3411C" w:rsidR="00501F4B">
        <w:rPr>
          <w:color w:val="auto"/>
        </w:rPr>
        <w:tab/>
      </w:r>
      <w:r w:rsidRPr="00F3411C" w:rsidR="00501F4B">
        <w:rPr>
          <w:color w:val="auto"/>
        </w:rPr>
        <w:tab/>
      </w:r>
      <w:r w:rsidRPr="00F3411C" w:rsidR="004563B9">
        <w:rPr>
          <w:b/>
          <w:color w:val="auto"/>
        </w:rPr>
        <w:t>O</w:t>
      </w:r>
      <w:r w:rsidRPr="00F3411C" w:rsidR="00544B86">
        <w:rPr>
          <w:b/>
          <w:color w:val="auto"/>
        </w:rPr>
        <w:t>n</w:t>
      </w:r>
      <w:r w:rsidRPr="00F3411C" w:rsidR="004563B9">
        <w:rPr>
          <w:b/>
          <w:color w:val="auto"/>
        </w:rPr>
        <w:t>-</w:t>
      </w:r>
      <w:r w:rsidRPr="00F3411C" w:rsidR="00544B86">
        <w:rPr>
          <w:b/>
          <w:color w:val="auto"/>
        </w:rPr>
        <w:t>site</w:t>
      </w:r>
      <w:r w:rsidRPr="00F3411C" w:rsidR="004563B9">
        <w:rPr>
          <w:b/>
          <w:color w:val="auto"/>
        </w:rPr>
        <w:t>:</w:t>
      </w:r>
      <w:r w:rsidRPr="00F3411C" w:rsidR="004563B9">
        <w:rPr>
          <w:color w:val="auto"/>
        </w:rPr>
        <w:t xml:space="preserve"> </w:t>
      </w:r>
      <w:r w:rsidRPr="00F3411C" w:rsidR="00AA77B7">
        <w:t>1,926,602</w:t>
      </w:r>
      <w:r w:rsidRPr="00F3411C" w:rsidR="00501F4B">
        <w:rPr>
          <w:color w:val="auto"/>
        </w:rPr>
        <w:t xml:space="preserve"> employees x </w:t>
      </w:r>
      <w:r w:rsidRPr="00F3411C" w:rsidR="00544B86">
        <w:rPr>
          <w:color w:val="auto"/>
        </w:rPr>
        <w:t>16</w:t>
      </w:r>
      <w:r w:rsidRPr="00F3411C" w:rsidR="00501F4B">
        <w:rPr>
          <w:color w:val="auto"/>
        </w:rPr>
        <w:t xml:space="preserve"> test x $</w:t>
      </w:r>
      <w:r w:rsidRPr="00F3411C" w:rsidR="009E177D">
        <w:rPr>
          <w:color w:val="auto"/>
        </w:rPr>
        <w:t>1</w:t>
      </w:r>
      <w:r w:rsidRPr="00F3411C" w:rsidR="00501F4B">
        <w:rPr>
          <w:color w:val="auto"/>
        </w:rPr>
        <w:t>0.00</w:t>
      </w:r>
      <w:r w:rsidRPr="00F3411C" w:rsidR="00817504">
        <w:rPr>
          <w:color w:val="auto"/>
        </w:rPr>
        <w:t xml:space="preserve"> </w:t>
      </w:r>
      <w:r w:rsidRPr="00F3411C" w:rsidR="00501F4B">
        <w:rPr>
          <w:color w:val="auto"/>
        </w:rPr>
        <w:t>= $</w:t>
      </w:r>
      <w:r w:rsidRPr="00F3411C" w:rsidR="00AA77B7">
        <w:rPr>
          <w:color w:val="auto"/>
        </w:rPr>
        <w:t>308,256,320</w:t>
      </w:r>
    </w:p>
    <w:p w:rsidRPr="00F3411C" w:rsidR="004563B9" w:rsidRDefault="00544B86" w14:paraId="67173706" w14:textId="742C20E7">
      <w:pPr>
        <w:pStyle w:val="Default"/>
        <w:rPr>
          <w:color w:val="auto"/>
        </w:rPr>
      </w:pPr>
      <w:r w:rsidRPr="00F3411C">
        <w:rPr>
          <w:color w:val="auto"/>
        </w:rPr>
        <w:tab/>
      </w:r>
      <w:r w:rsidRPr="00F3411C">
        <w:rPr>
          <w:color w:val="auto"/>
        </w:rPr>
        <w:tab/>
      </w:r>
      <w:r w:rsidRPr="00F3411C">
        <w:rPr>
          <w:color w:val="auto"/>
        </w:rPr>
        <w:tab/>
      </w:r>
    </w:p>
    <w:p w:rsidRPr="00F3411C" w:rsidR="00544B86" w:rsidP="00A21F2F" w:rsidRDefault="004563B9" w14:paraId="1253934F" w14:textId="6A81E29C">
      <w:pPr>
        <w:pStyle w:val="Default"/>
        <w:ind w:left="720" w:firstLine="720"/>
        <w:rPr>
          <w:color w:val="auto"/>
        </w:rPr>
      </w:pPr>
      <w:r w:rsidRPr="00F3411C">
        <w:rPr>
          <w:b/>
          <w:color w:val="auto"/>
        </w:rPr>
        <w:t>O</w:t>
      </w:r>
      <w:r w:rsidRPr="00F3411C" w:rsidR="00544B86">
        <w:rPr>
          <w:b/>
          <w:color w:val="auto"/>
        </w:rPr>
        <w:t>ff</w:t>
      </w:r>
      <w:r w:rsidRPr="00F3411C">
        <w:rPr>
          <w:b/>
          <w:color w:val="auto"/>
        </w:rPr>
        <w:t>-</w:t>
      </w:r>
      <w:r w:rsidRPr="00F3411C" w:rsidR="00544B86">
        <w:rPr>
          <w:b/>
          <w:color w:val="auto"/>
        </w:rPr>
        <w:t>site</w:t>
      </w:r>
      <w:r w:rsidRPr="00F3411C">
        <w:rPr>
          <w:b/>
          <w:color w:val="auto"/>
        </w:rPr>
        <w:t>:</w:t>
      </w:r>
      <w:r w:rsidRPr="00F3411C" w:rsidR="00544B86">
        <w:rPr>
          <w:color w:val="auto"/>
        </w:rPr>
        <w:t xml:space="preserve"> </w:t>
      </w:r>
      <w:r w:rsidRPr="00F3411C" w:rsidR="00AA77B7">
        <w:rPr>
          <w:color w:val="auto"/>
        </w:rPr>
        <w:t>1,344,369</w:t>
      </w:r>
      <w:r w:rsidRPr="00F3411C">
        <w:rPr>
          <w:color w:val="auto"/>
        </w:rPr>
        <w:t xml:space="preserve"> </w:t>
      </w:r>
      <w:r w:rsidRPr="00F3411C" w:rsidR="00544B86">
        <w:rPr>
          <w:color w:val="auto"/>
        </w:rPr>
        <w:t xml:space="preserve">employees x 16 x $50 = </w:t>
      </w:r>
      <w:r w:rsidRPr="00F3411C" w:rsidR="006572C6">
        <w:rPr>
          <w:color w:val="auto"/>
        </w:rPr>
        <w:t>$</w:t>
      </w:r>
      <w:r w:rsidRPr="00F3411C" w:rsidR="00AA77B7">
        <w:rPr>
          <w:color w:val="auto"/>
        </w:rPr>
        <w:t>1,075,495,200</w:t>
      </w:r>
    </w:p>
    <w:p w:rsidRPr="00F3411C" w:rsidR="006572C6" w:rsidP="00A21F2F" w:rsidRDefault="006572C6" w14:paraId="7D87C6F0" w14:textId="034A9951">
      <w:pPr>
        <w:pStyle w:val="Default"/>
        <w:ind w:left="720" w:firstLine="720"/>
        <w:rPr>
          <w:color w:val="auto"/>
        </w:rPr>
      </w:pPr>
    </w:p>
    <w:p w:rsidRPr="00F3411C" w:rsidR="006572C6" w:rsidP="00A21F2F" w:rsidRDefault="006572C6" w14:paraId="5FE86AED" w14:textId="59BA996A">
      <w:pPr>
        <w:pStyle w:val="Default"/>
        <w:ind w:left="720" w:firstLine="720"/>
        <w:rPr>
          <w:color w:val="auto"/>
        </w:rPr>
      </w:pPr>
      <w:r w:rsidRPr="00F3411C">
        <w:rPr>
          <w:b/>
          <w:color w:val="auto"/>
        </w:rPr>
        <w:t>Total cost for testing</w:t>
      </w:r>
      <w:r w:rsidRPr="00F3411C">
        <w:rPr>
          <w:color w:val="auto"/>
        </w:rPr>
        <w:t xml:space="preserve"> = $</w:t>
      </w:r>
      <w:r w:rsidRPr="00F3411C" w:rsidR="00AA77B7">
        <w:rPr>
          <w:color w:val="auto"/>
        </w:rPr>
        <w:t>1,383,751,520</w:t>
      </w:r>
    </w:p>
    <w:p w:rsidRPr="00F3411C" w:rsidR="00501F4B" w:rsidRDefault="00501F4B" w14:paraId="736637AF" w14:textId="77777777">
      <w:pPr>
        <w:pStyle w:val="Default"/>
        <w:rPr>
          <w:color w:val="auto"/>
        </w:rPr>
      </w:pPr>
    </w:p>
    <w:p w:rsidRPr="00F3411C" w:rsidR="00E35242" w:rsidP="00FE6572" w:rsidRDefault="009D5E29" w14:paraId="6595CC6A" w14:textId="4D0D9F3F">
      <w:pPr>
        <w:pStyle w:val="Heading2"/>
        <w:numPr>
          <w:ilvl w:val="0"/>
          <w:numId w:val="0"/>
        </w:numPr>
        <w:spacing w:after="0"/>
        <w:rPr>
          <w:lang w:val="x-none"/>
        </w:rPr>
      </w:pPr>
      <w:r w:rsidRPr="00F3411C">
        <w:t xml:space="preserve">14. </w:t>
      </w:r>
      <w:r w:rsidRPr="00F3411C" w:rsidR="00E35242">
        <w:rPr>
          <w:lang w:val="x-none"/>
        </w:rPr>
        <w:t>Provide estimates of annualized cost to the Federal Government.</w:t>
      </w:r>
      <w:r w:rsidRPr="00F3411C" w:rsidR="009C097F">
        <w:t xml:space="preserve"> </w:t>
      </w:r>
      <w:r w:rsidRPr="00F3411C" w:rsidR="00E35242">
        <w:rPr>
          <w:lang w:val="x-none"/>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F3411C" w:rsidR="009C097F">
        <w:t xml:space="preserve"> </w:t>
      </w:r>
      <w:r w:rsidRPr="00F3411C" w:rsidR="00E35242">
        <w:rPr>
          <w:lang w:val="x-none"/>
        </w:rPr>
        <w:t>Agencies may also aggregate cost estimates from Items 12, 13, and 14 in a single table.</w:t>
      </w:r>
    </w:p>
    <w:p w:rsidRPr="00F3411C" w:rsidR="003A7434" w:rsidRDefault="003A7434" w14:paraId="070F5BE7" w14:textId="2967BC54"/>
    <w:p w:rsidRPr="00F3411C" w:rsidR="00F03E2D" w:rsidRDefault="00F03E2D" w14:paraId="76BEB947" w14:textId="77777777">
      <w:r w:rsidRPr="00F3411C">
        <w:t>There is no cost to the Federal government.</w:t>
      </w:r>
    </w:p>
    <w:p w:rsidRPr="00F3411C" w:rsidR="00224389" w:rsidRDefault="00F03E2D" w14:paraId="6E37232E" w14:textId="3EE1C7E7">
      <w:r w:rsidRPr="00F3411C">
        <w:t xml:space="preserve"> </w:t>
      </w:r>
    </w:p>
    <w:p w:rsidRPr="00F3411C" w:rsidR="00E35242" w:rsidP="00FE6572" w:rsidRDefault="009D5E29" w14:paraId="11127816" w14:textId="3BE7E053">
      <w:pPr>
        <w:pStyle w:val="Heading2"/>
        <w:numPr>
          <w:ilvl w:val="0"/>
          <w:numId w:val="0"/>
        </w:numPr>
        <w:spacing w:after="0"/>
        <w:rPr>
          <w:lang w:val="x-none"/>
        </w:rPr>
      </w:pPr>
      <w:r w:rsidRPr="00F3411C">
        <w:t xml:space="preserve">15. </w:t>
      </w:r>
      <w:r w:rsidRPr="00F3411C" w:rsidR="00E35242">
        <w:rPr>
          <w:lang w:val="x-none"/>
        </w:rPr>
        <w:t>Explain the reasons for any program changes or adjustments.</w:t>
      </w:r>
    </w:p>
    <w:p w:rsidRPr="00F3411C" w:rsidR="00251E53" w:rsidRDefault="00251E53" w14:paraId="4EDB2C20" w14:textId="77777777">
      <w:pPr>
        <w:pStyle w:val="Heading2"/>
        <w:numPr>
          <w:ilvl w:val="0"/>
          <w:numId w:val="0"/>
        </w:numPr>
        <w:spacing w:after="0"/>
        <w:rPr>
          <w:b w:val="0"/>
        </w:rPr>
      </w:pPr>
    </w:p>
    <w:p w:rsidRPr="00F3411C" w:rsidR="00E2437D" w:rsidRDefault="00E2437D" w14:paraId="0E5C8EC8" w14:textId="4938A2D0">
      <w:pPr>
        <w:pStyle w:val="Heading2"/>
        <w:numPr>
          <w:ilvl w:val="0"/>
          <w:numId w:val="0"/>
        </w:numPr>
        <w:spacing w:after="0"/>
        <w:rPr>
          <w:b w:val="0"/>
        </w:rPr>
      </w:pPr>
      <w:r w:rsidRPr="00F3411C">
        <w:rPr>
          <w:b w:val="0"/>
        </w:rPr>
        <w:t>This is a new information collection request.</w:t>
      </w:r>
    </w:p>
    <w:p w:rsidRPr="00F3411C" w:rsidR="00251E53" w:rsidRDefault="00251E53" w14:paraId="1CCAE194" w14:textId="77777777">
      <w:pPr>
        <w:pStyle w:val="Heading2"/>
        <w:numPr>
          <w:ilvl w:val="0"/>
          <w:numId w:val="0"/>
        </w:numPr>
        <w:spacing w:after="0"/>
        <w:rPr>
          <w:b w:val="0"/>
          <w:lang w:val="x-none"/>
        </w:rPr>
      </w:pPr>
    </w:p>
    <w:p w:rsidRPr="00F3411C" w:rsidR="00E35242" w:rsidP="00FE6572" w:rsidRDefault="009D5E29" w14:paraId="619E8B3D" w14:textId="27E81D49">
      <w:pPr>
        <w:pStyle w:val="Heading2"/>
        <w:numPr>
          <w:ilvl w:val="0"/>
          <w:numId w:val="0"/>
        </w:numPr>
        <w:spacing w:after="0"/>
        <w:rPr>
          <w:lang w:val="x-none"/>
        </w:rPr>
      </w:pPr>
      <w:r w:rsidRPr="00F3411C">
        <w:t xml:space="preserve">16. </w:t>
      </w:r>
      <w:r w:rsidRPr="00F3411C" w:rsidR="00E2437D">
        <w:t>This is a new information collection request.</w:t>
      </w:r>
      <w:r w:rsidRPr="00F3411C" w:rsidR="00E878C3">
        <w:t xml:space="preserve"> </w:t>
      </w:r>
      <w:r w:rsidRPr="00F3411C" w:rsidR="00E35242">
        <w:rPr>
          <w:lang w:val="x-none"/>
        </w:rPr>
        <w:t>For collection of information whose results will be published, outline plans for tabulation and publication.</w:t>
      </w:r>
      <w:r w:rsidRPr="00F3411C" w:rsidR="009C097F">
        <w:t xml:space="preserve"> </w:t>
      </w:r>
      <w:r w:rsidRPr="00F3411C" w:rsidR="00E35242">
        <w:rPr>
          <w:lang w:val="x-none"/>
        </w:rPr>
        <w:t>Address any complex analytical techniques that will be used.</w:t>
      </w:r>
      <w:r w:rsidRPr="00F3411C" w:rsidR="009C097F">
        <w:t xml:space="preserve"> </w:t>
      </w:r>
      <w:r w:rsidRPr="00F3411C" w:rsidR="00E35242">
        <w:rPr>
          <w:lang w:val="x-none"/>
        </w:rPr>
        <w:t>Provide the time schedule for the entire project, including beginning and ending dates of the collection of information, completion of report, publication dates, and other actions.</w:t>
      </w:r>
    </w:p>
    <w:p w:rsidRPr="00F3411C" w:rsidR="00251E53" w:rsidRDefault="00251E53" w14:paraId="66DFFE92" w14:textId="77777777">
      <w:pPr>
        <w:pStyle w:val="Heading2"/>
        <w:numPr>
          <w:ilvl w:val="0"/>
          <w:numId w:val="0"/>
        </w:numPr>
        <w:spacing w:after="0"/>
        <w:rPr>
          <w:lang w:val="x-none"/>
        </w:rPr>
      </w:pPr>
    </w:p>
    <w:p w:rsidRPr="00F3411C" w:rsidR="00251E53" w:rsidRDefault="00404ED4" w14:paraId="4A6F887D" w14:textId="77777777">
      <w:pPr>
        <w:pStyle w:val="BodyTextFirstIndent"/>
        <w:spacing w:after="0"/>
        <w:ind w:firstLine="0"/>
        <w:rPr>
          <w:sz w:val="24"/>
          <w:szCs w:val="24"/>
          <w:lang w:val="x-none"/>
        </w:rPr>
      </w:pPr>
      <w:r w:rsidRPr="00F3411C">
        <w:rPr>
          <w:sz w:val="24"/>
          <w:szCs w:val="24"/>
          <w:lang w:val="x-none"/>
        </w:rPr>
        <w:t>There are no tabulating, statistical, tabulating analysis, or publication plans for the collection</w:t>
      </w:r>
      <w:r w:rsidRPr="00F3411C" w:rsidR="008271B8">
        <w:rPr>
          <w:sz w:val="24"/>
          <w:szCs w:val="24"/>
        </w:rPr>
        <w:t>s</w:t>
      </w:r>
      <w:r w:rsidRPr="00F3411C">
        <w:rPr>
          <w:sz w:val="24"/>
          <w:szCs w:val="24"/>
          <w:lang w:val="x-none"/>
        </w:rPr>
        <w:t xml:space="preserve"> of information</w:t>
      </w:r>
    </w:p>
    <w:p w:rsidRPr="00F3411C" w:rsidR="00E35242" w:rsidRDefault="00404ED4" w14:paraId="1A508E9C" w14:textId="3A36267E">
      <w:pPr>
        <w:pStyle w:val="BodyTextFirstIndent"/>
        <w:spacing w:after="0"/>
        <w:ind w:firstLine="0"/>
        <w:rPr>
          <w:b/>
          <w:bCs/>
          <w:sz w:val="24"/>
          <w:szCs w:val="24"/>
          <w:lang w:val="x-none"/>
        </w:rPr>
      </w:pPr>
      <w:r w:rsidRPr="00F3411C">
        <w:rPr>
          <w:sz w:val="24"/>
          <w:szCs w:val="24"/>
          <w:lang w:val="x-none"/>
        </w:rPr>
        <w:t>.</w:t>
      </w:r>
      <w:r w:rsidRPr="00F3411C" w:rsidR="00E35242">
        <w:rPr>
          <w:sz w:val="24"/>
          <w:szCs w:val="24"/>
          <w:lang w:val="x-none"/>
        </w:rPr>
        <w:t xml:space="preserve"> </w:t>
      </w:r>
    </w:p>
    <w:p w:rsidRPr="00F3411C" w:rsidR="00E35242" w:rsidP="00FE6572" w:rsidRDefault="009D5E29" w14:paraId="1F7BBC48" w14:textId="63C0A931">
      <w:pPr>
        <w:pStyle w:val="Heading2"/>
        <w:numPr>
          <w:ilvl w:val="0"/>
          <w:numId w:val="0"/>
        </w:numPr>
        <w:spacing w:after="0"/>
        <w:rPr>
          <w:lang w:val="x-none"/>
        </w:rPr>
      </w:pPr>
      <w:r w:rsidRPr="00F3411C">
        <w:t xml:space="preserve">17. </w:t>
      </w:r>
      <w:r w:rsidRPr="00F3411C" w:rsidR="00E35242">
        <w:rPr>
          <w:lang w:val="x-none"/>
        </w:rPr>
        <w:t>If seeking approval to not display the expiration date for OMB approval of the information collection, explain the reasons that display would be inappropriate.</w:t>
      </w:r>
    </w:p>
    <w:p w:rsidRPr="00F3411C" w:rsidR="002254AE" w:rsidRDefault="002254AE" w14:paraId="59D643DE" w14:textId="77777777">
      <w:pPr>
        <w:pStyle w:val="BodyTextFirstIndent"/>
        <w:spacing w:after="0"/>
        <w:ind w:firstLine="0"/>
        <w:rPr>
          <w:sz w:val="24"/>
          <w:szCs w:val="24"/>
        </w:rPr>
      </w:pPr>
    </w:p>
    <w:p w:rsidRPr="00F3411C" w:rsidR="00E35242" w:rsidRDefault="00D512CD" w14:paraId="68F2E62D" w14:textId="6229FE0B">
      <w:pPr>
        <w:pStyle w:val="BodyTextFirstIndent"/>
        <w:spacing w:after="0"/>
        <w:ind w:firstLine="0"/>
        <w:rPr>
          <w:sz w:val="24"/>
          <w:szCs w:val="24"/>
        </w:rPr>
      </w:pPr>
      <w:r w:rsidRPr="00F3411C">
        <w:rPr>
          <w:sz w:val="24"/>
          <w:szCs w:val="24"/>
        </w:rPr>
        <w:t>OSHA will display, as applicable, the expiration dates for the information collections covered by this request.</w:t>
      </w:r>
    </w:p>
    <w:p w:rsidRPr="00F3411C" w:rsidR="009E647E" w:rsidRDefault="009E647E" w14:paraId="0003D5CD" w14:textId="77777777">
      <w:pPr>
        <w:pStyle w:val="BodyTextFirstIndent"/>
        <w:spacing w:after="0"/>
        <w:ind w:firstLine="0"/>
        <w:rPr>
          <w:sz w:val="24"/>
          <w:szCs w:val="24"/>
        </w:rPr>
      </w:pPr>
    </w:p>
    <w:p w:rsidRPr="00F3411C" w:rsidR="00E35242" w:rsidP="00FE6572" w:rsidRDefault="009D5E29" w14:paraId="49754C40" w14:textId="5F2DCB62">
      <w:pPr>
        <w:pStyle w:val="Heading2"/>
        <w:numPr>
          <w:ilvl w:val="0"/>
          <w:numId w:val="0"/>
        </w:numPr>
        <w:spacing w:after="0"/>
        <w:rPr>
          <w:lang w:val="x-none"/>
        </w:rPr>
      </w:pPr>
      <w:r w:rsidRPr="00F3411C">
        <w:t xml:space="preserve">18. </w:t>
      </w:r>
      <w:r w:rsidRPr="00F3411C" w:rsidR="00E35242">
        <w:rPr>
          <w:lang w:val="x-none"/>
        </w:rPr>
        <w:t>Explain each exception to the certification statement.</w:t>
      </w:r>
    </w:p>
    <w:p w:rsidRPr="00F3411C" w:rsidR="002254AE" w:rsidRDefault="002254AE" w14:paraId="0D8179AA" w14:textId="77777777">
      <w:pPr>
        <w:pStyle w:val="Heading2"/>
        <w:numPr>
          <w:ilvl w:val="0"/>
          <w:numId w:val="0"/>
        </w:numPr>
        <w:spacing w:after="0"/>
        <w:rPr>
          <w:lang w:val="x-none"/>
        </w:rPr>
      </w:pPr>
    </w:p>
    <w:p w:rsidRPr="00F3411C" w:rsidR="00E35242" w:rsidRDefault="00E35242" w14:paraId="33FB0F6A" w14:textId="3B251C8A">
      <w:pPr>
        <w:pStyle w:val="BodyTextFirstIndent"/>
        <w:spacing w:after="0"/>
        <w:ind w:firstLine="0"/>
        <w:rPr>
          <w:sz w:val="24"/>
          <w:szCs w:val="24"/>
          <w:lang w:val="x-none"/>
        </w:rPr>
      </w:pPr>
      <w:r w:rsidRPr="00F3411C">
        <w:rPr>
          <w:sz w:val="24"/>
          <w:szCs w:val="24"/>
          <w:lang w:val="x-none"/>
        </w:rPr>
        <w:t>OSHA is not requesting an exception to the certification statement.</w:t>
      </w:r>
    </w:p>
    <w:p w:rsidRPr="00F3411C" w:rsidR="002254AE" w:rsidRDefault="002254AE" w14:paraId="19C4B34D" w14:textId="77777777">
      <w:pPr>
        <w:pStyle w:val="BodyTextFirstIndent"/>
        <w:spacing w:after="0"/>
        <w:ind w:firstLine="0"/>
        <w:rPr>
          <w:sz w:val="24"/>
          <w:szCs w:val="24"/>
        </w:rPr>
      </w:pPr>
    </w:p>
    <w:p w:rsidRPr="00F3411C" w:rsidR="00E35242" w:rsidRDefault="00E35242" w14:paraId="418B1905" w14:textId="02666678">
      <w:pPr>
        <w:pStyle w:val="Heading1"/>
        <w:spacing w:after="0"/>
        <w:rPr>
          <w:rFonts w:ascii="Times New Roman" w:hAnsi="Times New Roman" w:cs="Times New Roman"/>
          <w:lang w:val="x-none"/>
        </w:rPr>
      </w:pPr>
      <w:r w:rsidRPr="00F3411C">
        <w:rPr>
          <w:rFonts w:ascii="Times New Roman" w:hAnsi="Times New Roman" w:cs="Times New Roman"/>
          <w:lang w:val="x-none"/>
        </w:rPr>
        <w:t>COLLECTIONS OF INFORMATION EMPLOYING STATISTICAL METHODS</w:t>
      </w:r>
    </w:p>
    <w:p w:rsidRPr="00F3411C" w:rsidR="002254AE" w:rsidRDefault="002254AE" w14:paraId="0D71F75D" w14:textId="77777777">
      <w:pPr>
        <w:pStyle w:val="BodyTextFirstIndent"/>
        <w:spacing w:after="0"/>
        <w:ind w:firstLine="0"/>
        <w:rPr>
          <w:sz w:val="24"/>
          <w:szCs w:val="24"/>
          <w:lang w:val="x-none"/>
        </w:rPr>
      </w:pPr>
    </w:p>
    <w:p w:rsidRPr="00F3411C" w:rsidR="00424F31" w:rsidRDefault="00E35242" w14:paraId="40812B56" w14:textId="1EB011CC">
      <w:pPr>
        <w:pStyle w:val="BodyTextFirstIndent"/>
        <w:spacing w:after="0"/>
        <w:ind w:firstLine="0"/>
        <w:rPr>
          <w:sz w:val="24"/>
          <w:szCs w:val="24"/>
          <w:lang w:val="x-none"/>
        </w:rPr>
      </w:pPr>
      <w:r w:rsidRPr="00F3411C">
        <w:rPr>
          <w:sz w:val="24"/>
          <w:szCs w:val="24"/>
          <w:lang w:val="x-none"/>
        </w:rPr>
        <w:t xml:space="preserve">This </w:t>
      </w:r>
      <w:r w:rsidRPr="00F3411C" w:rsidR="00F47A23">
        <w:rPr>
          <w:sz w:val="24"/>
          <w:szCs w:val="24"/>
        </w:rPr>
        <w:t>ICR</w:t>
      </w:r>
      <w:r w:rsidRPr="00F3411C">
        <w:rPr>
          <w:sz w:val="24"/>
          <w:szCs w:val="24"/>
          <w:lang w:val="x-none"/>
        </w:rPr>
        <w:t xml:space="preserve"> does not </w:t>
      </w:r>
      <w:r w:rsidRPr="00F3411C" w:rsidR="00F47A23">
        <w:rPr>
          <w:sz w:val="24"/>
          <w:szCs w:val="24"/>
        </w:rPr>
        <w:t>seek approval for</w:t>
      </w:r>
      <w:r w:rsidRPr="00F3411C">
        <w:rPr>
          <w:sz w:val="24"/>
          <w:szCs w:val="24"/>
          <w:lang w:val="x-none"/>
        </w:rPr>
        <w:t xml:space="preserve"> any collection of information requirements employ</w:t>
      </w:r>
      <w:r w:rsidRPr="00F3411C" w:rsidR="00F457B1">
        <w:rPr>
          <w:sz w:val="24"/>
          <w:szCs w:val="24"/>
        </w:rPr>
        <w:t>ing</w:t>
      </w:r>
      <w:r w:rsidRPr="00F3411C">
        <w:rPr>
          <w:sz w:val="24"/>
          <w:szCs w:val="24"/>
          <w:lang w:val="x-none"/>
        </w:rPr>
        <w:t xml:space="preserve"> statistical methods.</w:t>
      </w:r>
    </w:p>
    <w:sectPr w:rsidRPr="00F3411C" w:rsidR="00424F31" w:rsidSect="00FE6572">
      <w:pgSz w:w="12240" w:h="15840" w:code="1"/>
      <w:pgMar w:top="288" w:right="1440" w:bottom="28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C9F8" w16cex:dateUtc="2021-10-26T04:27:00Z"/>
  <w16cex:commentExtensible w16cex:durableId="2521BB27" w16cex:dateUtc="2021-10-26T03:24:00Z"/>
  <w16cex:commentExtensible w16cex:durableId="2521B629" w16cex:dateUtc="2021-10-26T03:03:00Z"/>
  <w16cex:commentExtensible w16cex:durableId="2521BEDE" w16cex:dateUtc="2021-10-26T03:40:00Z"/>
  <w16cex:commentExtensible w16cex:durableId="2521C785" w16cex:dateUtc="2021-10-26T04:17:00Z"/>
  <w16cex:commentExtensible w16cex:durableId="2521C7D9" w16cex:dateUtc="2021-10-26T04:18:00Z"/>
  <w16cex:commentExtensible w16cex:durableId="2521C914" w16cex:dateUtc="2021-10-26T04:23:00Z"/>
  <w16cex:commentExtensible w16cex:durableId="2521CF3D" w16cex:dateUtc="2021-10-26T04:50:00Z"/>
  <w16cex:commentExtensible w16cex:durableId="2521D071" w16cex:dateUtc="2021-10-26T04:55:00Z"/>
  <w16cex:commentExtensible w16cex:durableId="2521D267" w16cex:dateUtc="2021-10-26T05:03:00Z"/>
  <w16cex:commentExtensible w16cex:durableId="2521D313" w16cex:dateUtc="2021-10-26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6FB166" w16cid:durableId="252E4E47"/>
  <w16cid:commentId w16cid:paraId="0C7C0481" w16cid:durableId="252E4E39"/>
  <w16cid:commentId w16cid:paraId="0E9C7ED4" w16cid:durableId="252BCBEE"/>
  <w16cid:commentId w16cid:paraId="16698254" w16cid:durableId="252BCC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75795" w14:textId="77777777" w:rsidR="00217913" w:rsidRDefault="00217913" w:rsidP="00E35242">
      <w:r>
        <w:separator/>
      </w:r>
    </w:p>
  </w:endnote>
  <w:endnote w:type="continuationSeparator" w:id="0">
    <w:p w14:paraId="1B45CF47" w14:textId="77777777" w:rsidR="00217913" w:rsidRDefault="00217913" w:rsidP="00E35242">
      <w:r>
        <w:continuationSeparator/>
      </w:r>
    </w:p>
  </w:endnote>
  <w:endnote w:type="continuationNotice" w:id="1">
    <w:p w14:paraId="51460666" w14:textId="77777777" w:rsidR="00217913" w:rsidRDefault="0021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Guli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527243"/>
      <w:docPartObj>
        <w:docPartGallery w:val="Page Numbers (Bottom of Page)"/>
        <w:docPartUnique/>
      </w:docPartObj>
    </w:sdtPr>
    <w:sdtEndPr>
      <w:rPr>
        <w:noProof/>
      </w:rPr>
    </w:sdtEndPr>
    <w:sdtContent>
      <w:p w14:paraId="3CA3F746" w14:textId="76D76838" w:rsidR="00514E18" w:rsidRDefault="00514E18">
        <w:pPr>
          <w:pStyle w:val="Footer"/>
          <w:jc w:val="center"/>
        </w:pPr>
        <w:r>
          <w:fldChar w:fldCharType="begin"/>
        </w:r>
        <w:r>
          <w:instrText xml:space="preserve"> PAGE   \* MERGEFORMAT </w:instrText>
        </w:r>
        <w:r>
          <w:fldChar w:fldCharType="separate"/>
        </w:r>
        <w:r w:rsidR="00217913">
          <w:rPr>
            <w:noProof/>
          </w:rPr>
          <w:t>1</w:t>
        </w:r>
        <w:r>
          <w:rPr>
            <w:noProof/>
          </w:rPr>
          <w:fldChar w:fldCharType="end"/>
        </w:r>
      </w:p>
    </w:sdtContent>
  </w:sdt>
  <w:p w14:paraId="79520202" w14:textId="77777777" w:rsidR="00514E18" w:rsidRDefault="00514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312F6" w14:textId="77777777" w:rsidR="00217913" w:rsidRDefault="00217913" w:rsidP="00E35242">
      <w:r>
        <w:separator/>
      </w:r>
    </w:p>
  </w:footnote>
  <w:footnote w:type="continuationSeparator" w:id="0">
    <w:p w14:paraId="7C60E38B" w14:textId="77777777" w:rsidR="00217913" w:rsidRDefault="00217913" w:rsidP="00E35242">
      <w:r>
        <w:continuationSeparator/>
      </w:r>
    </w:p>
  </w:footnote>
  <w:footnote w:type="continuationNotice" w:id="1">
    <w:p w14:paraId="088D2409" w14:textId="77777777" w:rsidR="00217913" w:rsidRDefault="00217913"/>
  </w:footnote>
  <w:footnote w:id="2">
    <w:p w14:paraId="09C272E1" w14:textId="77513C02" w:rsidR="00514E18" w:rsidRPr="009E6259" w:rsidRDefault="00514E18" w:rsidP="00052053">
      <w:pPr>
        <w:pStyle w:val="paragraph"/>
        <w:spacing w:before="0" w:beforeAutospacing="0" w:after="0" w:afterAutospacing="0"/>
        <w:textAlignment w:val="baseline"/>
        <w:rPr>
          <w:sz w:val="20"/>
          <w:szCs w:val="20"/>
        </w:rPr>
      </w:pPr>
      <w:r w:rsidRPr="009F4F97">
        <w:rPr>
          <w:rStyle w:val="FootnoteReference"/>
        </w:rPr>
        <w:footnoteRef/>
      </w:r>
      <w:r w:rsidRPr="009F4F97">
        <w:t xml:space="preserve"> </w:t>
      </w:r>
      <w:r w:rsidRPr="00052053">
        <w:rPr>
          <w:sz w:val="20"/>
          <w:szCs w:val="20"/>
        </w:rPr>
        <w:t>This provision applies to all employers with a total of one hundred (100) or more employees across all</w:t>
      </w:r>
      <w:r>
        <w:rPr>
          <w:sz w:val="20"/>
          <w:szCs w:val="20"/>
        </w:rPr>
        <w:t xml:space="preserve"> </w:t>
      </w:r>
      <w:r w:rsidRPr="00052053">
        <w:rPr>
          <w:sz w:val="20"/>
          <w:szCs w:val="20"/>
        </w:rPr>
        <w:t>workplaces at any time this section is in effect, except it does not apply to workplaces</w:t>
      </w:r>
      <w:r>
        <w:rPr>
          <w:sz w:val="20"/>
          <w:szCs w:val="20"/>
        </w:rPr>
        <w:t xml:space="preserve"> </w:t>
      </w:r>
      <w:r w:rsidRPr="00052053">
        <w:rPr>
          <w:sz w:val="20"/>
          <w:szCs w:val="20"/>
        </w:rPr>
        <w:t>covered</w:t>
      </w:r>
      <w:r>
        <w:rPr>
          <w:sz w:val="20"/>
          <w:szCs w:val="20"/>
        </w:rPr>
        <w:t xml:space="preserve"> </w:t>
      </w:r>
      <w:r w:rsidRPr="00052053">
        <w:rPr>
          <w:sz w:val="20"/>
          <w:szCs w:val="20"/>
        </w:rPr>
        <w:t>under</w:t>
      </w:r>
      <w:r>
        <w:rPr>
          <w:sz w:val="20"/>
          <w:szCs w:val="20"/>
        </w:rPr>
        <w:t xml:space="preserve"> </w:t>
      </w:r>
      <w:r w:rsidRPr="00052053">
        <w:rPr>
          <w:sz w:val="20"/>
          <w:szCs w:val="20"/>
        </w:rPr>
        <w:t>the</w:t>
      </w:r>
      <w:r>
        <w:rPr>
          <w:sz w:val="20"/>
          <w:szCs w:val="20"/>
        </w:rPr>
        <w:t xml:space="preserve"> </w:t>
      </w:r>
      <w:r w:rsidRPr="00052053">
        <w:rPr>
          <w:sz w:val="20"/>
          <w:szCs w:val="20"/>
        </w:rPr>
        <w:t>Safer Federal Workforce Task Force COVID-19 Workplace Safety: Guidance for Federal Contractors and Subcontractors; or</w:t>
      </w:r>
      <w:r>
        <w:rPr>
          <w:sz w:val="20"/>
          <w:szCs w:val="20"/>
        </w:rPr>
        <w:t xml:space="preserve"> </w:t>
      </w:r>
      <w:r w:rsidRPr="00052053">
        <w:rPr>
          <w:sz w:val="20"/>
          <w:szCs w:val="20"/>
        </w:rPr>
        <w:t>settings</w:t>
      </w:r>
      <w:r>
        <w:rPr>
          <w:sz w:val="20"/>
          <w:szCs w:val="20"/>
        </w:rPr>
        <w:t xml:space="preserve"> </w:t>
      </w:r>
      <w:r w:rsidRPr="00052053">
        <w:rPr>
          <w:sz w:val="20"/>
          <w:szCs w:val="20"/>
        </w:rPr>
        <w:t>where any employee provides healthcare services or healthcare support services</w:t>
      </w:r>
      <w:r>
        <w:rPr>
          <w:sz w:val="20"/>
          <w:szCs w:val="20"/>
        </w:rPr>
        <w:t xml:space="preserve"> </w:t>
      </w:r>
      <w:r w:rsidRPr="00052053">
        <w:rPr>
          <w:sz w:val="20"/>
          <w:szCs w:val="20"/>
        </w:rPr>
        <w:t>when subject to the requirements of 29 CFR 1910.502</w:t>
      </w:r>
      <w:r>
        <w:rPr>
          <w:sz w:val="20"/>
          <w:szCs w:val="20"/>
        </w:rPr>
        <w:t>;</w:t>
      </w:r>
      <w:r w:rsidRPr="00052053">
        <w:rPr>
          <w:sz w:val="20"/>
          <w:szCs w:val="20"/>
        </w:rPr>
        <w:t xml:space="preserve"> to</w:t>
      </w:r>
      <w:r>
        <w:rPr>
          <w:sz w:val="20"/>
          <w:szCs w:val="20"/>
        </w:rPr>
        <w:t xml:space="preserve"> </w:t>
      </w:r>
      <w:r w:rsidRPr="00052053">
        <w:rPr>
          <w:sz w:val="20"/>
          <w:szCs w:val="20"/>
        </w:rPr>
        <w:t>employees of covered employers who do not report to a workplace where other individuals, such as coworkers or customers</w:t>
      </w:r>
      <w:r>
        <w:rPr>
          <w:sz w:val="20"/>
          <w:szCs w:val="20"/>
        </w:rPr>
        <w:t>,</w:t>
      </w:r>
      <w:r w:rsidRPr="00052053">
        <w:rPr>
          <w:sz w:val="20"/>
          <w:szCs w:val="20"/>
        </w:rPr>
        <w:t xml:space="preserve"> are present</w:t>
      </w:r>
      <w:r>
        <w:rPr>
          <w:sz w:val="20"/>
          <w:szCs w:val="20"/>
        </w:rPr>
        <w:t>; while working from home;</w:t>
      </w:r>
      <w:r w:rsidRPr="00052053">
        <w:rPr>
          <w:sz w:val="20"/>
          <w:szCs w:val="20"/>
        </w:rPr>
        <w:t xml:space="preserve"> or who work exclusively outdoors.</w:t>
      </w:r>
      <w:r w:rsidRPr="00052053" w:rsidDel="00D74D9F">
        <w:rPr>
          <w:sz w:val="20"/>
          <w:szCs w:val="20"/>
        </w:rPr>
        <w:t xml:space="preserve"> </w:t>
      </w:r>
      <w:r>
        <w:rPr>
          <w:i/>
          <w:iCs/>
          <w:sz w:val="20"/>
          <w:szCs w:val="20"/>
        </w:rPr>
        <w:t>See</w:t>
      </w:r>
      <w:r>
        <w:rPr>
          <w:sz w:val="20"/>
          <w:szCs w:val="20"/>
        </w:rPr>
        <w:t xml:space="preserve"> § 1901.501(b).</w:t>
      </w:r>
    </w:p>
    <w:p w14:paraId="4E541BAF" w14:textId="77777777" w:rsidR="00514E18" w:rsidRPr="009F4F97" w:rsidRDefault="00514E18" w:rsidP="00F36984">
      <w:pPr>
        <w:pStyle w:val="FootnoteText"/>
      </w:pPr>
    </w:p>
  </w:footnote>
  <w:footnote w:id="3">
    <w:p w14:paraId="27C44B38" w14:textId="1A251659" w:rsidR="00514E18" w:rsidRPr="009E6259" w:rsidRDefault="00514E18" w:rsidP="00160E93">
      <w:pPr>
        <w:pStyle w:val="FootnoteText"/>
        <w:ind w:firstLine="0"/>
      </w:pPr>
      <w:r>
        <w:rPr>
          <w:rStyle w:val="FootnoteReference"/>
        </w:rPr>
        <w:footnoteRef/>
      </w:r>
      <w:r>
        <w:t xml:space="preserve"> </w:t>
      </w:r>
      <w:r w:rsidRPr="00160E93">
        <w:t xml:space="preserve">The ETS applies to agricultural establishments with </w:t>
      </w:r>
      <w:r>
        <w:t>eleven (</w:t>
      </w:r>
      <w:r w:rsidRPr="00160E93">
        <w:t>11</w:t>
      </w:r>
      <w:r>
        <w:t>)</w:t>
      </w:r>
      <w:r w:rsidRPr="00160E93">
        <w:t xml:space="preserve"> or more employees engaged on any day in hand-labor occupations in the field and agricultural establishments that maintain a temporary labor camp, regardless of how many employees are engaged on any day in hand-labor occupations in the field</w:t>
      </w:r>
      <w:r>
        <w:t xml:space="preserve">. </w:t>
      </w:r>
      <w:r>
        <w:rPr>
          <w:i/>
          <w:iCs/>
        </w:rPr>
        <w:t>See</w:t>
      </w:r>
      <w:r>
        <w:t xml:space="preserve"> § 1928.21.</w:t>
      </w:r>
    </w:p>
    <w:p w14:paraId="49244377" w14:textId="77777777" w:rsidR="00514E18" w:rsidRDefault="00514E18" w:rsidP="00160E93">
      <w:pPr>
        <w:pStyle w:val="FootnoteText"/>
        <w:ind w:firstLine="0"/>
      </w:pPr>
    </w:p>
  </w:footnote>
  <w:footnote w:id="4">
    <w:p w14:paraId="0DD1D22A" w14:textId="67084B77" w:rsidR="00514E18" w:rsidRDefault="00514E18" w:rsidP="00193B95">
      <w:pPr>
        <w:pStyle w:val="FootnoteText"/>
        <w:ind w:firstLine="0"/>
      </w:pPr>
      <w:r>
        <w:rPr>
          <w:rStyle w:val="FootnoteReference"/>
        </w:rPr>
        <w:footnoteRef/>
      </w:r>
      <w:r>
        <w:t xml:space="preserve"> While mentioned in this supporting statement as a matter of clarity, certain elements that might otherwise appear to be information collections are not subject to PRA clearance requirements. This supporting statement addresses each of those situations. </w:t>
      </w:r>
    </w:p>
    <w:p w14:paraId="338918D3" w14:textId="77777777" w:rsidR="00514E18" w:rsidRDefault="00514E18" w:rsidP="00193B95">
      <w:pPr>
        <w:pStyle w:val="FootnoteText"/>
        <w:ind w:firstLine="0"/>
      </w:pPr>
    </w:p>
  </w:footnote>
  <w:footnote w:id="5">
    <w:p w14:paraId="4170EE38" w14:textId="77777777" w:rsidR="00514E18" w:rsidRDefault="00514E18" w:rsidP="005274C0">
      <w:pPr>
        <w:pStyle w:val="FootnoteText"/>
        <w:ind w:firstLine="0"/>
      </w:pPr>
      <w:r>
        <w:rPr>
          <w:rStyle w:val="FootnoteReference"/>
        </w:rPr>
        <w:footnoteRef/>
      </w:r>
      <w:r>
        <w:t xml:space="preserve"> </w:t>
      </w:r>
      <w:r>
        <w:rPr>
          <w:i/>
          <w:iCs/>
        </w:rPr>
        <w:t>See</w:t>
      </w:r>
      <w:r>
        <w:t xml:space="preserve"> § 1910.501(b) definition of “Mandatory Vaccination Policy.”</w:t>
      </w:r>
    </w:p>
    <w:p w14:paraId="246FB7C8" w14:textId="77777777" w:rsidR="00514E18" w:rsidRPr="00E64C35" w:rsidRDefault="00514E18" w:rsidP="005274C0">
      <w:pPr>
        <w:pStyle w:val="FootnoteText"/>
        <w:ind w:firstLine="0"/>
      </w:pPr>
    </w:p>
  </w:footnote>
  <w:footnote w:id="6">
    <w:p w14:paraId="6FD7698D" w14:textId="7B0A39A4" w:rsidR="00514E18" w:rsidRDefault="00514E18" w:rsidP="00BB6DEB">
      <w:pPr>
        <w:pStyle w:val="FootnoteText"/>
        <w:ind w:firstLine="0"/>
      </w:pPr>
      <w:r>
        <w:rPr>
          <w:rStyle w:val="FootnoteReference"/>
        </w:rPr>
        <w:footnoteRef/>
      </w:r>
      <w:r>
        <w:t xml:space="preserve"> </w:t>
      </w:r>
      <w:bookmarkStart w:id="6" w:name="_Hlk83208700"/>
      <w:r>
        <w:t>The regulatory provision notes nothing in this</w:t>
      </w:r>
      <w:r w:rsidRPr="00AC5AA2">
        <w:t xml:space="preserve"> section precludes an employer from requiring employees to be fully vaccinated.</w:t>
      </w:r>
      <w:r>
        <w:t xml:space="preserve"> Under F</w:t>
      </w:r>
      <w:r w:rsidRPr="00251713">
        <w:t xml:space="preserve">ederal law, including </w:t>
      </w:r>
      <w:r w:rsidRPr="00B31FE8">
        <w:t>the Americans with Disabilities Act and Title VII of the Civil Rights Act of 1964</w:t>
      </w:r>
      <w:r>
        <w:t xml:space="preserve">, workers may be entitled to a reasonable accommodation or exception from their employer when the workers assert that they cannot be vaccinated and/or tested (which would include medical conditions), or because of a sincerely held religious belief, practice, or observance. For more information about evaluating requests for reasonable accommodation for a disability or sincerely held religious beliefs, employers can consult EEOC’s website:  </w:t>
      </w:r>
      <w:r w:rsidRPr="38F62EAD">
        <w:rPr>
          <w:i/>
          <w:iCs/>
        </w:rPr>
        <w:t>https://www.eeoc.gov/wysk/what-you-should-know-about-covid-19-and-ada-rehabilitation-act-and-other-eeo-laws</w:t>
      </w:r>
      <w:r>
        <w:t>.</w:t>
      </w:r>
      <w:bookmarkEnd w:id="6"/>
    </w:p>
  </w:footnote>
  <w:footnote w:id="7">
    <w:p w14:paraId="665C6692" w14:textId="1CA15D9A" w:rsidR="00514E18" w:rsidRDefault="00514E18" w:rsidP="006250B7">
      <w:pPr>
        <w:pStyle w:val="FootnoteText"/>
        <w:ind w:firstLine="0"/>
      </w:pPr>
      <w:r>
        <w:rPr>
          <w:rStyle w:val="FootnoteReference"/>
        </w:rPr>
        <w:footnoteRef/>
      </w:r>
      <w:r>
        <w:t xml:space="preserve"> </w:t>
      </w:r>
      <w:r>
        <w:rPr>
          <w:rFonts w:eastAsia="Times New Roman"/>
          <w:lang w:eastAsia="en-US"/>
        </w:rPr>
        <w:t xml:space="preserve">The employee must be removed until the employee </w:t>
      </w:r>
      <w:r>
        <w:t xml:space="preserve">(i) receives a negative result on a COVID-19 nucleic acid amplification test (NAAT) following a positive result on a COVID-19 antigen test if the employee chooses to seek a NAAT test for confirmatory testing; (ii) meets the return to work criteria in CDC’s “Isolation Guidance” (incorporated by reference, § 1910.509); or (iii) receives a recommendation to return to work from a licensed healthcare provider. </w:t>
      </w:r>
      <w:r>
        <w:rPr>
          <w:i/>
          <w:iCs/>
        </w:rPr>
        <w:t>See</w:t>
      </w:r>
      <w:r>
        <w:t xml:space="preserve"> § 1910.501(h). </w:t>
      </w:r>
    </w:p>
  </w:footnote>
  <w:footnote w:id="8">
    <w:p w14:paraId="4B9A0045" w14:textId="77777777" w:rsidR="00514E18" w:rsidRDefault="00514E18" w:rsidP="00304F84">
      <w:pPr>
        <w:pStyle w:val="FootnoteText"/>
        <w:ind w:firstLine="0"/>
      </w:pPr>
    </w:p>
    <w:p w14:paraId="0D3517BA" w14:textId="5741B283" w:rsidR="00514E18" w:rsidRDefault="00514E18" w:rsidP="00304F84">
      <w:pPr>
        <w:pStyle w:val="FootnoteText"/>
        <w:ind w:firstLine="0"/>
      </w:pPr>
      <w:r>
        <w:rPr>
          <w:rStyle w:val="FootnoteReference"/>
        </w:rPr>
        <w:footnoteRef/>
      </w:r>
      <w:r>
        <w:t xml:space="preserve"> The Agency associates no PRA burden for distributing “</w:t>
      </w:r>
      <w:r w:rsidRPr="00E03C32">
        <w:t>Key Things to Know About COVID-19 Vaccines</w:t>
      </w:r>
      <w:r>
        <w:t xml:space="preserve">,” as this is information originally provided by the Federal Government. </w:t>
      </w:r>
      <w:r>
        <w:rPr>
          <w:i/>
          <w:iCs/>
        </w:rPr>
        <w:t>See</w:t>
      </w:r>
      <w:r>
        <w:t xml:space="preserve"> 5 CFR 1320.3(c).</w:t>
      </w:r>
    </w:p>
  </w:footnote>
  <w:footnote w:id="9">
    <w:p w14:paraId="35A1A3CC" w14:textId="39B1C681" w:rsidR="00514E18" w:rsidRDefault="00514E18" w:rsidP="00FE6572">
      <w:pPr>
        <w:pStyle w:val="FootnoteText"/>
        <w:ind w:firstLine="0"/>
      </w:pPr>
      <w:r>
        <w:rPr>
          <w:rStyle w:val="FootnoteReference"/>
        </w:rPr>
        <w:footnoteRef/>
      </w:r>
      <w:r>
        <w:t xml:space="preserve"> Source: </w:t>
      </w:r>
      <w:r w:rsidRPr="00B9303E">
        <w:t>Vaccination and Testing ETS Cost &amp; Impacts 501_502</w:t>
      </w:r>
      <w:r>
        <w:t>, Economic Impact Analysis Spreadsheets under tab Report Tables_Profile.</w:t>
      </w:r>
    </w:p>
  </w:footnote>
  <w:footnote w:id="10">
    <w:p w14:paraId="69EB62D0" w14:textId="3C90AA86" w:rsidR="00514E18" w:rsidRDefault="00514E18" w:rsidP="00FE6572">
      <w:pPr>
        <w:pStyle w:val="FootnoteText"/>
        <w:ind w:firstLine="0"/>
      </w:pPr>
      <w:r>
        <w:rPr>
          <w:rStyle w:val="FootnoteReference"/>
        </w:rPr>
        <w:footnoteRef/>
      </w:r>
      <w:r>
        <w:t xml:space="preserve"> </w:t>
      </w:r>
      <w:r w:rsidRPr="00737126">
        <w:t>This wage rate is a weighted average of all employees across all industries. Source: Occupation</w:t>
      </w:r>
      <w:r>
        <w:t>al</w:t>
      </w:r>
      <w:r w:rsidRPr="00737126">
        <w:t xml:space="preserve"> Exposure to COVID-19 ETS Economic Analysis Spreadsheets, under the “Labor Wage” tab.</w:t>
      </w:r>
    </w:p>
    <w:p w14:paraId="469B0AFC" w14:textId="77777777" w:rsidR="00514E18" w:rsidRDefault="00514E18" w:rsidP="00FE6572">
      <w:pPr>
        <w:pStyle w:val="FootnoteText"/>
        <w:ind w:firstLine="0"/>
      </w:pPr>
    </w:p>
  </w:footnote>
  <w:footnote w:id="11">
    <w:p w14:paraId="49959AB4" w14:textId="77777777" w:rsidR="00514E18" w:rsidRDefault="00514E18" w:rsidP="004D36AA">
      <w:pPr>
        <w:pStyle w:val="FootnoteText"/>
        <w:ind w:firstLine="0"/>
      </w:pPr>
      <w:r>
        <w:rPr>
          <w:rStyle w:val="FootnoteReference"/>
        </w:rPr>
        <w:footnoteRef/>
      </w:r>
      <w:r>
        <w:t xml:space="preserve"> The travel and vaccination times are from the ETS’s Preamble and Economic Analysis Spreadsheet. </w:t>
      </w:r>
    </w:p>
  </w:footnote>
  <w:footnote w:id="12">
    <w:p w14:paraId="65CBE474" w14:textId="77777777" w:rsidR="00514E18" w:rsidRDefault="00514E18" w:rsidP="00EC1D60">
      <w:pPr>
        <w:pStyle w:val="FootnoteText"/>
        <w:ind w:firstLine="0"/>
      </w:pPr>
      <w:r>
        <w:rPr>
          <w:rStyle w:val="FootnoteReference"/>
        </w:rPr>
        <w:footnoteRef/>
      </w:r>
      <w:r>
        <w:t xml:space="preserve"> Source: OSHA’s ETS Cost &amp; Impacts Spread, under the variables tab.</w:t>
      </w:r>
    </w:p>
  </w:footnote>
  <w:footnote w:id="13">
    <w:p w14:paraId="4F08E4D8" w14:textId="77777777" w:rsidR="00514E18" w:rsidRDefault="00514E18" w:rsidP="001B0FEA">
      <w:pPr>
        <w:pStyle w:val="FootnoteText"/>
      </w:pPr>
      <w:r>
        <w:rPr>
          <w:rStyle w:val="FootnoteReference"/>
        </w:rPr>
        <w:footnoteRef/>
      </w:r>
      <w:r>
        <w:t xml:space="preserve"> This assumes a 90 percent vaccine effectiveness rate</w:t>
      </w:r>
    </w:p>
  </w:footnote>
  <w:footnote w:id="14">
    <w:p w14:paraId="20507987" w14:textId="74191236" w:rsidR="00514E18" w:rsidRDefault="00514E18" w:rsidP="00F3411C">
      <w:pPr>
        <w:pStyle w:val="FootnoteText"/>
        <w:ind w:firstLine="0"/>
      </w:pPr>
      <w:r>
        <w:rPr>
          <w:rStyle w:val="FootnoteReference"/>
        </w:rPr>
        <w:footnoteRef/>
      </w:r>
      <w:r>
        <w:t xml:space="preserve">  The number of in-patient hospitalizations is 59,570 and the number of fatalities is 1,464 is from OSHA’s Economic Analysis ETS spreadsheets of the economic analysis under the variables tab. (Vaccination and Testing ETS Cost &amp; Impacts_501_502,xlx). This calculation is based on the 19 month alternate scenario in the Health Impact Analysis and represents an overestimate.</w:t>
      </w:r>
    </w:p>
  </w:footnote>
  <w:footnote w:id="15">
    <w:p w14:paraId="620590DE" w14:textId="4478BD95" w:rsidR="00514E18" w:rsidRDefault="00514E18" w:rsidP="00F3411C">
      <w:pPr>
        <w:pStyle w:val="FootnoteText"/>
        <w:ind w:firstLine="0"/>
      </w:pPr>
      <w:r w:rsidRPr="00575BDC">
        <w:rPr>
          <w:rStyle w:val="FootnoteReference"/>
        </w:rPr>
        <w:footnoteRef/>
      </w:r>
      <w:r w:rsidRPr="00575BDC">
        <w:t xml:space="preserve">  Base</w:t>
      </w:r>
      <w:r w:rsidRPr="00FC0619">
        <w:t xml:space="preserve">d on pricing shown on websites Amazon, and article (Norman, September 21, 2021) accessed 10/5/2021. </w:t>
      </w:r>
    </w:p>
    <w:p w14:paraId="670DE175" w14:textId="77777777" w:rsidR="00514E18" w:rsidRPr="00FC0619" w:rsidRDefault="00514E18" w:rsidP="00F3411C">
      <w:pPr>
        <w:pStyle w:val="FootnoteText"/>
        <w:ind w:firstLine="0"/>
      </w:pPr>
    </w:p>
  </w:footnote>
  <w:footnote w:id="16">
    <w:p w14:paraId="0A937AB4" w14:textId="77777777" w:rsidR="00514E18" w:rsidRPr="00911E67" w:rsidRDefault="00514E18" w:rsidP="00F3411C">
      <w:pPr>
        <w:pStyle w:val="FootnoteText"/>
        <w:ind w:firstLine="0"/>
      </w:pPr>
      <w:r w:rsidRPr="00575BDC">
        <w:rPr>
          <w:rStyle w:val="FootnoteReference"/>
        </w:rPr>
        <w:footnoteRef/>
      </w:r>
      <w:r w:rsidRPr="00575BDC">
        <w:t xml:space="preserve"> Se</w:t>
      </w:r>
      <w:r w:rsidRPr="00FC0619">
        <w:t>e (Malin, August 2, 2021) for a range of lab test costs, with a minimum of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0D45" w14:textId="77777777" w:rsidR="00514E18" w:rsidRDefault="00514E18" w:rsidP="00925ED6">
    <w:pPr>
      <w:pStyle w:val="Header"/>
    </w:pPr>
  </w:p>
  <w:p w14:paraId="0EA1BE53" w14:textId="09FFAA30" w:rsidR="00487FC4" w:rsidRDefault="00514E18" w:rsidP="00925ED6">
    <w:pPr>
      <w:pStyle w:val="Header"/>
    </w:pPr>
    <w:r>
      <w:t>COVID-19 VACCINATION, TESTING, AND FACE COVERING ETS</w:t>
    </w:r>
    <w:r w:rsidR="00487FC4">
      <w:t xml:space="preserve"> </w:t>
    </w:r>
  </w:p>
  <w:p w14:paraId="6AE28E49" w14:textId="01C8C7B3" w:rsidR="00514E18" w:rsidRDefault="00514E18" w:rsidP="00925ED6">
    <w:pPr>
      <w:pStyle w:val="Header"/>
    </w:pPr>
    <w:r>
      <w:t>(29 CFR 1910.501, SUBPART U)</w:t>
    </w:r>
  </w:p>
  <w:p w14:paraId="11C4A08B" w14:textId="77777777" w:rsidR="00487FC4" w:rsidRDefault="00514E18" w:rsidP="00925ED6">
    <w:pPr>
      <w:pStyle w:val="Header"/>
    </w:pPr>
    <w:r>
      <w:t>OMB Control Number: 1218-0</w:t>
    </w:r>
    <w:r w:rsidR="00487FC4">
      <w:t>278</w:t>
    </w:r>
  </w:p>
  <w:p w14:paraId="1C3E9210" w14:textId="3980803E" w:rsidR="00514E18" w:rsidRDefault="00487FC4" w:rsidP="00925ED6">
    <w:pPr>
      <w:pStyle w:val="Header"/>
    </w:pPr>
    <w:r>
      <w:t>November</w:t>
    </w:r>
    <w:r w:rsidR="00514E18">
      <w:t xml:space="preserve"> 2021</w:t>
    </w:r>
  </w:p>
  <w:p w14:paraId="26DB235E" w14:textId="77777777" w:rsidR="00514E18" w:rsidRDefault="00514E18" w:rsidP="00925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305"/>
    <w:multiLevelType w:val="hybridMultilevel"/>
    <w:tmpl w:val="BC22E1D4"/>
    <w:lvl w:ilvl="0" w:tplc="28AA7FDC">
      <w:start w:val="1"/>
      <w:numFmt w:val="upperLetter"/>
      <w:lvlText w:val="(%1)"/>
      <w:lvlJc w:val="left"/>
      <w:pPr>
        <w:ind w:left="1296" w:hanging="396"/>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071425"/>
    <w:multiLevelType w:val="hybridMultilevel"/>
    <w:tmpl w:val="6BB8FC02"/>
    <w:lvl w:ilvl="0" w:tplc="980EC5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D6623"/>
    <w:multiLevelType w:val="hybridMultilevel"/>
    <w:tmpl w:val="066831D2"/>
    <w:lvl w:ilvl="0" w:tplc="A05A1838">
      <w:start w:val="1"/>
      <w:numFmt w:val="upperLetter"/>
      <w:lvlText w:val="(%1)"/>
      <w:lvlJc w:val="left"/>
      <w:pPr>
        <w:ind w:left="1470" w:hanging="39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6B496E"/>
    <w:multiLevelType w:val="hybridMultilevel"/>
    <w:tmpl w:val="AFFCD64E"/>
    <w:lvl w:ilvl="0" w:tplc="AD704C54">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D0A49"/>
    <w:multiLevelType w:val="hybridMultilevel"/>
    <w:tmpl w:val="91C243AC"/>
    <w:lvl w:ilvl="0" w:tplc="980EC5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25619"/>
    <w:multiLevelType w:val="hybridMultilevel"/>
    <w:tmpl w:val="96687EF0"/>
    <w:lvl w:ilvl="0" w:tplc="EB8CDE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F7088"/>
    <w:multiLevelType w:val="hybridMultilevel"/>
    <w:tmpl w:val="FFD41CE4"/>
    <w:lvl w:ilvl="0" w:tplc="6E60C7BC">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5C77BC"/>
    <w:multiLevelType w:val="hybridMultilevel"/>
    <w:tmpl w:val="14C2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46DD0"/>
    <w:multiLevelType w:val="hybridMultilevel"/>
    <w:tmpl w:val="7F46314A"/>
    <w:lvl w:ilvl="0" w:tplc="52A0300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232F3"/>
    <w:multiLevelType w:val="hybridMultilevel"/>
    <w:tmpl w:val="96E0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48A"/>
    <w:multiLevelType w:val="hybridMultilevel"/>
    <w:tmpl w:val="4642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72D1B"/>
    <w:multiLevelType w:val="hybridMultilevel"/>
    <w:tmpl w:val="328E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B46CB"/>
    <w:multiLevelType w:val="hybridMultilevel"/>
    <w:tmpl w:val="4A48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4370D"/>
    <w:multiLevelType w:val="hybridMultilevel"/>
    <w:tmpl w:val="56D2519A"/>
    <w:lvl w:ilvl="0" w:tplc="CD58603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A266E8"/>
    <w:multiLevelType w:val="hybridMultilevel"/>
    <w:tmpl w:val="6C127330"/>
    <w:lvl w:ilvl="0" w:tplc="1A14B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86047"/>
    <w:multiLevelType w:val="hybridMultilevel"/>
    <w:tmpl w:val="A1C80E1A"/>
    <w:lvl w:ilvl="0" w:tplc="9476DA2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2B199B"/>
    <w:multiLevelType w:val="multilevel"/>
    <w:tmpl w:val="438A91F6"/>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540" w:hanging="360"/>
      </w:pPr>
      <w:rPr>
        <w:rFonts w:ascii="Times New Roman Bold" w:hAnsi="Times New Roman Bold" w:cs="Times New Roman" w:hint="default"/>
        <w:b/>
        <w:i w:val="0"/>
        <w:sz w:val="24"/>
        <w:szCs w:val="24"/>
      </w:rPr>
    </w:lvl>
    <w:lvl w:ilvl="2">
      <w:start w:val="1"/>
      <w:numFmt w:val="upperLetter"/>
      <w:pStyle w:val="Heading3"/>
      <w:lvlText w:val="%3."/>
      <w:lvlJc w:val="left"/>
      <w:pPr>
        <w:ind w:left="63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b/>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20" w15:restartNumberingAfterBreak="0">
    <w:nsid w:val="77A540FC"/>
    <w:multiLevelType w:val="hybridMultilevel"/>
    <w:tmpl w:val="09568DE6"/>
    <w:lvl w:ilvl="0" w:tplc="F2229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817BF"/>
    <w:multiLevelType w:val="hybridMultilevel"/>
    <w:tmpl w:val="E0D8443C"/>
    <w:lvl w:ilvl="0" w:tplc="79145B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8F100F"/>
    <w:multiLevelType w:val="hybridMultilevel"/>
    <w:tmpl w:val="6C127330"/>
    <w:lvl w:ilvl="0" w:tplc="1A14B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num>
  <w:num w:numId="3">
    <w:abstractNumId w:val="19"/>
  </w:num>
  <w:num w:numId="4">
    <w:abstractNumId w:val="5"/>
  </w:num>
  <w:num w:numId="5">
    <w:abstractNumId w:val="1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7"/>
    </w:lvlOverride>
  </w:num>
  <w:num w:numId="9">
    <w:abstractNumId w:val="8"/>
  </w:num>
  <w:num w:numId="10">
    <w:abstractNumId w:val="19"/>
    <w:lvlOverride w:ilvl="0">
      <w:startOverride w:val="1"/>
    </w:lvlOverride>
    <w:lvlOverride w:ilvl="1">
      <w:startOverride w:val="1"/>
    </w:lvlOverride>
  </w:num>
  <w:num w:numId="11">
    <w:abstractNumId w:val="1"/>
  </w:num>
  <w:num w:numId="12">
    <w:abstractNumId w:val="2"/>
  </w:num>
  <w:num w:numId="13">
    <w:abstractNumId w:val="9"/>
  </w:num>
  <w:num w:numId="14">
    <w:abstractNumId w:val="11"/>
  </w:num>
  <w:num w:numId="15">
    <w:abstractNumId w:val="4"/>
  </w:num>
  <w:num w:numId="16">
    <w:abstractNumId w:val="17"/>
  </w:num>
  <w:num w:numId="17">
    <w:abstractNumId w:val="15"/>
  </w:num>
  <w:num w:numId="18">
    <w:abstractNumId w:val="13"/>
  </w:num>
  <w:num w:numId="19">
    <w:abstractNumId w:val="19"/>
    <w:lvlOverride w:ilvl="0">
      <w:startOverride w:val="1"/>
    </w:lvlOverride>
    <w:lvlOverride w:ilvl="1">
      <w:startOverride w:val="13"/>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22"/>
  </w:num>
  <w:num w:numId="24">
    <w:abstractNumId w:val="16"/>
  </w:num>
  <w:num w:numId="25">
    <w:abstractNumId w:val="21"/>
  </w:num>
  <w:num w:numId="26">
    <w:abstractNumId w:val="7"/>
  </w:num>
  <w:num w:numId="27">
    <w:abstractNumId w:val="10"/>
  </w:num>
  <w:num w:numId="28">
    <w:abstractNumId w:val="3"/>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31">
    <w:abstractNumId w:val="20"/>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2"/>
    <w:rsid w:val="00000198"/>
    <w:rsid w:val="00000E37"/>
    <w:rsid w:val="000014C0"/>
    <w:rsid w:val="000017D9"/>
    <w:rsid w:val="00001BA9"/>
    <w:rsid w:val="00002884"/>
    <w:rsid w:val="00002BA2"/>
    <w:rsid w:val="00002CE9"/>
    <w:rsid w:val="0000408D"/>
    <w:rsid w:val="000040D3"/>
    <w:rsid w:val="00004AF1"/>
    <w:rsid w:val="00004D48"/>
    <w:rsid w:val="00004EC8"/>
    <w:rsid w:val="000068BF"/>
    <w:rsid w:val="00007565"/>
    <w:rsid w:val="000077EA"/>
    <w:rsid w:val="00007826"/>
    <w:rsid w:val="00007ABA"/>
    <w:rsid w:val="00010DBE"/>
    <w:rsid w:val="00011229"/>
    <w:rsid w:val="000116AE"/>
    <w:rsid w:val="00011F36"/>
    <w:rsid w:val="0001205F"/>
    <w:rsid w:val="00012522"/>
    <w:rsid w:val="00012A74"/>
    <w:rsid w:val="00012FA5"/>
    <w:rsid w:val="0001302F"/>
    <w:rsid w:val="000138AA"/>
    <w:rsid w:val="0001518A"/>
    <w:rsid w:val="00015492"/>
    <w:rsid w:val="000155C6"/>
    <w:rsid w:val="000157A7"/>
    <w:rsid w:val="00015CA2"/>
    <w:rsid w:val="00016127"/>
    <w:rsid w:val="000162BD"/>
    <w:rsid w:val="00016EE1"/>
    <w:rsid w:val="00016F79"/>
    <w:rsid w:val="000171FD"/>
    <w:rsid w:val="000175F3"/>
    <w:rsid w:val="00017B51"/>
    <w:rsid w:val="00017B7F"/>
    <w:rsid w:val="00017ECA"/>
    <w:rsid w:val="000207EB"/>
    <w:rsid w:val="000208A2"/>
    <w:rsid w:val="000214D5"/>
    <w:rsid w:val="000216E4"/>
    <w:rsid w:val="00021963"/>
    <w:rsid w:val="00021B8C"/>
    <w:rsid w:val="00021F34"/>
    <w:rsid w:val="00022E7F"/>
    <w:rsid w:val="00023635"/>
    <w:rsid w:val="00023996"/>
    <w:rsid w:val="00023B7B"/>
    <w:rsid w:val="00024A1F"/>
    <w:rsid w:val="00024CB5"/>
    <w:rsid w:val="00025258"/>
    <w:rsid w:val="0002597F"/>
    <w:rsid w:val="0002606A"/>
    <w:rsid w:val="00026878"/>
    <w:rsid w:val="00026F00"/>
    <w:rsid w:val="0002739B"/>
    <w:rsid w:val="000275ED"/>
    <w:rsid w:val="00027F23"/>
    <w:rsid w:val="000308B0"/>
    <w:rsid w:val="00031F72"/>
    <w:rsid w:val="00032233"/>
    <w:rsid w:val="00032E79"/>
    <w:rsid w:val="000330CE"/>
    <w:rsid w:val="00033233"/>
    <w:rsid w:val="00033953"/>
    <w:rsid w:val="00033E85"/>
    <w:rsid w:val="00034238"/>
    <w:rsid w:val="00035D92"/>
    <w:rsid w:val="00035DDB"/>
    <w:rsid w:val="000370ED"/>
    <w:rsid w:val="000373FE"/>
    <w:rsid w:val="00040191"/>
    <w:rsid w:val="00040F82"/>
    <w:rsid w:val="00041D5D"/>
    <w:rsid w:val="0004248B"/>
    <w:rsid w:val="00043163"/>
    <w:rsid w:val="00043512"/>
    <w:rsid w:val="000435AD"/>
    <w:rsid w:val="000435FC"/>
    <w:rsid w:val="00044156"/>
    <w:rsid w:val="000447DB"/>
    <w:rsid w:val="00044841"/>
    <w:rsid w:val="00044BC4"/>
    <w:rsid w:val="00044DB2"/>
    <w:rsid w:val="0004527B"/>
    <w:rsid w:val="0004531C"/>
    <w:rsid w:val="000459A3"/>
    <w:rsid w:val="0004629A"/>
    <w:rsid w:val="00046627"/>
    <w:rsid w:val="00046959"/>
    <w:rsid w:val="00046DD8"/>
    <w:rsid w:val="000470E9"/>
    <w:rsid w:val="000473E2"/>
    <w:rsid w:val="000474FA"/>
    <w:rsid w:val="000506B7"/>
    <w:rsid w:val="0005164A"/>
    <w:rsid w:val="000517E3"/>
    <w:rsid w:val="00052053"/>
    <w:rsid w:val="000522FC"/>
    <w:rsid w:val="000527AC"/>
    <w:rsid w:val="00053D7E"/>
    <w:rsid w:val="00054969"/>
    <w:rsid w:val="00055190"/>
    <w:rsid w:val="00055F77"/>
    <w:rsid w:val="00056C41"/>
    <w:rsid w:val="00056C84"/>
    <w:rsid w:val="00057389"/>
    <w:rsid w:val="00057782"/>
    <w:rsid w:val="000600A7"/>
    <w:rsid w:val="000604F3"/>
    <w:rsid w:val="0006094D"/>
    <w:rsid w:val="00060AD6"/>
    <w:rsid w:val="0006162F"/>
    <w:rsid w:val="00061761"/>
    <w:rsid w:val="0006190D"/>
    <w:rsid w:val="00063319"/>
    <w:rsid w:val="00063B3B"/>
    <w:rsid w:val="00063C54"/>
    <w:rsid w:val="00063E0F"/>
    <w:rsid w:val="00064756"/>
    <w:rsid w:val="00067CAE"/>
    <w:rsid w:val="00070596"/>
    <w:rsid w:val="00070E96"/>
    <w:rsid w:val="000710A3"/>
    <w:rsid w:val="000710E2"/>
    <w:rsid w:val="00071404"/>
    <w:rsid w:val="000726BA"/>
    <w:rsid w:val="00072BDC"/>
    <w:rsid w:val="00073F08"/>
    <w:rsid w:val="000759C9"/>
    <w:rsid w:val="00076A38"/>
    <w:rsid w:val="00076B0A"/>
    <w:rsid w:val="0007703F"/>
    <w:rsid w:val="000772EC"/>
    <w:rsid w:val="00077DF8"/>
    <w:rsid w:val="00077E90"/>
    <w:rsid w:val="0008032B"/>
    <w:rsid w:val="000804A1"/>
    <w:rsid w:val="000808D3"/>
    <w:rsid w:val="000809A8"/>
    <w:rsid w:val="00080B2A"/>
    <w:rsid w:val="00080D85"/>
    <w:rsid w:val="0008147B"/>
    <w:rsid w:val="00081BB5"/>
    <w:rsid w:val="000827C2"/>
    <w:rsid w:val="0008390E"/>
    <w:rsid w:val="00083D10"/>
    <w:rsid w:val="00084D8A"/>
    <w:rsid w:val="00085A07"/>
    <w:rsid w:val="0008608A"/>
    <w:rsid w:val="00086FEF"/>
    <w:rsid w:val="0008706C"/>
    <w:rsid w:val="0009016E"/>
    <w:rsid w:val="000912A8"/>
    <w:rsid w:val="00091560"/>
    <w:rsid w:val="000917B5"/>
    <w:rsid w:val="00091F5A"/>
    <w:rsid w:val="00092A9A"/>
    <w:rsid w:val="00092EA9"/>
    <w:rsid w:val="0009340F"/>
    <w:rsid w:val="000938C2"/>
    <w:rsid w:val="00093A1D"/>
    <w:rsid w:val="00093FD7"/>
    <w:rsid w:val="0009433F"/>
    <w:rsid w:val="00094F03"/>
    <w:rsid w:val="00095A96"/>
    <w:rsid w:val="00095D3B"/>
    <w:rsid w:val="00097854"/>
    <w:rsid w:val="00097911"/>
    <w:rsid w:val="000979C5"/>
    <w:rsid w:val="000A0B5C"/>
    <w:rsid w:val="000A0EA2"/>
    <w:rsid w:val="000A1DD7"/>
    <w:rsid w:val="000A1EF0"/>
    <w:rsid w:val="000A286F"/>
    <w:rsid w:val="000A2ECA"/>
    <w:rsid w:val="000A30B1"/>
    <w:rsid w:val="000A365D"/>
    <w:rsid w:val="000A3ED1"/>
    <w:rsid w:val="000A47E8"/>
    <w:rsid w:val="000A528E"/>
    <w:rsid w:val="000A5922"/>
    <w:rsid w:val="000A5ABD"/>
    <w:rsid w:val="000A6208"/>
    <w:rsid w:val="000A63E4"/>
    <w:rsid w:val="000A697A"/>
    <w:rsid w:val="000A700A"/>
    <w:rsid w:val="000A708B"/>
    <w:rsid w:val="000A7879"/>
    <w:rsid w:val="000A7A63"/>
    <w:rsid w:val="000A7A6C"/>
    <w:rsid w:val="000B0431"/>
    <w:rsid w:val="000B14FF"/>
    <w:rsid w:val="000B1BC3"/>
    <w:rsid w:val="000B1E67"/>
    <w:rsid w:val="000B21CA"/>
    <w:rsid w:val="000B22B4"/>
    <w:rsid w:val="000B2D78"/>
    <w:rsid w:val="000B2FE5"/>
    <w:rsid w:val="000B54C5"/>
    <w:rsid w:val="000B587F"/>
    <w:rsid w:val="000B5FF3"/>
    <w:rsid w:val="000B6A30"/>
    <w:rsid w:val="000B713F"/>
    <w:rsid w:val="000B71A8"/>
    <w:rsid w:val="000C05B8"/>
    <w:rsid w:val="000C05C1"/>
    <w:rsid w:val="000C0763"/>
    <w:rsid w:val="000C09C0"/>
    <w:rsid w:val="000C0A28"/>
    <w:rsid w:val="000C0DA6"/>
    <w:rsid w:val="000C0E34"/>
    <w:rsid w:val="000C0FC4"/>
    <w:rsid w:val="000C126F"/>
    <w:rsid w:val="000C1CB3"/>
    <w:rsid w:val="000C1E23"/>
    <w:rsid w:val="000C1F86"/>
    <w:rsid w:val="000C1FCC"/>
    <w:rsid w:val="000C290F"/>
    <w:rsid w:val="000C2C08"/>
    <w:rsid w:val="000C38C5"/>
    <w:rsid w:val="000C3A28"/>
    <w:rsid w:val="000C437D"/>
    <w:rsid w:val="000C575F"/>
    <w:rsid w:val="000C58AC"/>
    <w:rsid w:val="000C5C58"/>
    <w:rsid w:val="000C6BA7"/>
    <w:rsid w:val="000C78C5"/>
    <w:rsid w:val="000C793E"/>
    <w:rsid w:val="000C7C94"/>
    <w:rsid w:val="000D027B"/>
    <w:rsid w:val="000D0D8E"/>
    <w:rsid w:val="000D243B"/>
    <w:rsid w:val="000D2470"/>
    <w:rsid w:val="000D278C"/>
    <w:rsid w:val="000D30A3"/>
    <w:rsid w:val="000D33A5"/>
    <w:rsid w:val="000D340D"/>
    <w:rsid w:val="000D3A4D"/>
    <w:rsid w:val="000D4376"/>
    <w:rsid w:val="000D4716"/>
    <w:rsid w:val="000D56D4"/>
    <w:rsid w:val="000D5958"/>
    <w:rsid w:val="000D5E6A"/>
    <w:rsid w:val="000D618E"/>
    <w:rsid w:val="000D62F7"/>
    <w:rsid w:val="000D6545"/>
    <w:rsid w:val="000D67A6"/>
    <w:rsid w:val="000D6DC4"/>
    <w:rsid w:val="000E017D"/>
    <w:rsid w:val="000E134D"/>
    <w:rsid w:val="000E19B1"/>
    <w:rsid w:val="000E27FD"/>
    <w:rsid w:val="000E35E4"/>
    <w:rsid w:val="000E4590"/>
    <w:rsid w:val="000E4B7C"/>
    <w:rsid w:val="000E5013"/>
    <w:rsid w:val="000E5455"/>
    <w:rsid w:val="000E5D5C"/>
    <w:rsid w:val="000E60CF"/>
    <w:rsid w:val="000E62E7"/>
    <w:rsid w:val="000F1555"/>
    <w:rsid w:val="000F1BE7"/>
    <w:rsid w:val="000F2E40"/>
    <w:rsid w:val="000F2E4B"/>
    <w:rsid w:val="000F2F0C"/>
    <w:rsid w:val="000F32BF"/>
    <w:rsid w:val="000F459E"/>
    <w:rsid w:val="000F4C11"/>
    <w:rsid w:val="000F4D1D"/>
    <w:rsid w:val="000F4F59"/>
    <w:rsid w:val="000F54A9"/>
    <w:rsid w:val="000F57B1"/>
    <w:rsid w:val="000F5871"/>
    <w:rsid w:val="000F66CD"/>
    <w:rsid w:val="000F6CA3"/>
    <w:rsid w:val="000F7316"/>
    <w:rsid w:val="000F757C"/>
    <w:rsid w:val="000F7698"/>
    <w:rsid w:val="000F7B58"/>
    <w:rsid w:val="00100E9A"/>
    <w:rsid w:val="001014CE"/>
    <w:rsid w:val="00101663"/>
    <w:rsid w:val="00101AF9"/>
    <w:rsid w:val="0010211C"/>
    <w:rsid w:val="00102F14"/>
    <w:rsid w:val="00102FA8"/>
    <w:rsid w:val="00103152"/>
    <w:rsid w:val="001034F9"/>
    <w:rsid w:val="00103C3A"/>
    <w:rsid w:val="00103C4C"/>
    <w:rsid w:val="00104600"/>
    <w:rsid w:val="00105048"/>
    <w:rsid w:val="001053F1"/>
    <w:rsid w:val="00105C9E"/>
    <w:rsid w:val="00106C01"/>
    <w:rsid w:val="001074D4"/>
    <w:rsid w:val="00107626"/>
    <w:rsid w:val="00107BF0"/>
    <w:rsid w:val="00107D2E"/>
    <w:rsid w:val="00107DA5"/>
    <w:rsid w:val="00110022"/>
    <w:rsid w:val="0011024A"/>
    <w:rsid w:val="00111B5B"/>
    <w:rsid w:val="001133A9"/>
    <w:rsid w:val="00113890"/>
    <w:rsid w:val="00113C03"/>
    <w:rsid w:val="00115045"/>
    <w:rsid w:val="00115D5B"/>
    <w:rsid w:val="00116A83"/>
    <w:rsid w:val="00116BBD"/>
    <w:rsid w:val="001170C1"/>
    <w:rsid w:val="00117215"/>
    <w:rsid w:val="001172FB"/>
    <w:rsid w:val="00117717"/>
    <w:rsid w:val="00117AB7"/>
    <w:rsid w:val="00117BD2"/>
    <w:rsid w:val="00117D2F"/>
    <w:rsid w:val="0012013F"/>
    <w:rsid w:val="00121153"/>
    <w:rsid w:val="0012154C"/>
    <w:rsid w:val="00121E1E"/>
    <w:rsid w:val="001224E5"/>
    <w:rsid w:val="00122A98"/>
    <w:rsid w:val="00122F28"/>
    <w:rsid w:val="001231D9"/>
    <w:rsid w:val="00123278"/>
    <w:rsid w:val="001236ED"/>
    <w:rsid w:val="001237EF"/>
    <w:rsid w:val="00124EF1"/>
    <w:rsid w:val="00125C28"/>
    <w:rsid w:val="00125EE6"/>
    <w:rsid w:val="001261D1"/>
    <w:rsid w:val="001263D5"/>
    <w:rsid w:val="001263F1"/>
    <w:rsid w:val="00126E34"/>
    <w:rsid w:val="001274C5"/>
    <w:rsid w:val="0012787E"/>
    <w:rsid w:val="00127977"/>
    <w:rsid w:val="001306F0"/>
    <w:rsid w:val="00130CA8"/>
    <w:rsid w:val="00131A1D"/>
    <w:rsid w:val="00131CDB"/>
    <w:rsid w:val="0013207E"/>
    <w:rsid w:val="00132BA1"/>
    <w:rsid w:val="0013348E"/>
    <w:rsid w:val="0013376F"/>
    <w:rsid w:val="00134257"/>
    <w:rsid w:val="001344F5"/>
    <w:rsid w:val="00135185"/>
    <w:rsid w:val="00135C47"/>
    <w:rsid w:val="00135D71"/>
    <w:rsid w:val="00136898"/>
    <w:rsid w:val="00136D56"/>
    <w:rsid w:val="00137989"/>
    <w:rsid w:val="00137AF1"/>
    <w:rsid w:val="00137CC3"/>
    <w:rsid w:val="00137FF8"/>
    <w:rsid w:val="001401D5"/>
    <w:rsid w:val="00140577"/>
    <w:rsid w:val="00140716"/>
    <w:rsid w:val="001413BF"/>
    <w:rsid w:val="00141438"/>
    <w:rsid w:val="001424CC"/>
    <w:rsid w:val="00143249"/>
    <w:rsid w:val="001435EB"/>
    <w:rsid w:val="00143C16"/>
    <w:rsid w:val="0014471C"/>
    <w:rsid w:val="00144934"/>
    <w:rsid w:val="001454AA"/>
    <w:rsid w:val="001454FC"/>
    <w:rsid w:val="00146450"/>
    <w:rsid w:val="0014671F"/>
    <w:rsid w:val="00146A12"/>
    <w:rsid w:val="001473E7"/>
    <w:rsid w:val="00147B36"/>
    <w:rsid w:val="00147CE1"/>
    <w:rsid w:val="00150B49"/>
    <w:rsid w:val="00150EAD"/>
    <w:rsid w:val="00151020"/>
    <w:rsid w:val="00152265"/>
    <w:rsid w:val="00152363"/>
    <w:rsid w:val="00152D3A"/>
    <w:rsid w:val="0015391B"/>
    <w:rsid w:val="00154203"/>
    <w:rsid w:val="00154485"/>
    <w:rsid w:val="0015449F"/>
    <w:rsid w:val="00154C69"/>
    <w:rsid w:val="00154DE9"/>
    <w:rsid w:val="001550B8"/>
    <w:rsid w:val="001563C6"/>
    <w:rsid w:val="0015689A"/>
    <w:rsid w:val="00156FA7"/>
    <w:rsid w:val="0015721D"/>
    <w:rsid w:val="0015726B"/>
    <w:rsid w:val="00157297"/>
    <w:rsid w:val="0016067D"/>
    <w:rsid w:val="0016069B"/>
    <w:rsid w:val="00160B10"/>
    <w:rsid w:val="00160E93"/>
    <w:rsid w:val="00161B76"/>
    <w:rsid w:val="00161E58"/>
    <w:rsid w:val="00162270"/>
    <w:rsid w:val="001622C8"/>
    <w:rsid w:val="00162529"/>
    <w:rsid w:val="00162CAF"/>
    <w:rsid w:val="001635D6"/>
    <w:rsid w:val="00163B09"/>
    <w:rsid w:val="00164086"/>
    <w:rsid w:val="00164210"/>
    <w:rsid w:val="00164562"/>
    <w:rsid w:val="00164B81"/>
    <w:rsid w:val="00164CA5"/>
    <w:rsid w:val="00164DBB"/>
    <w:rsid w:val="001651B2"/>
    <w:rsid w:val="00165518"/>
    <w:rsid w:val="00165D5A"/>
    <w:rsid w:val="00165FC8"/>
    <w:rsid w:val="0016615A"/>
    <w:rsid w:val="001661AF"/>
    <w:rsid w:val="001664E1"/>
    <w:rsid w:val="00166679"/>
    <w:rsid w:val="0016686A"/>
    <w:rsid w:val="001671DF"/>
    <w:rsid w:val="00167578"/>
    <w:rsid w:val="00170C11"/>
    <w:rsid w:val="00170FE8"/>
    <w:rsid w:val="0017100D"/>
    <w:rsid w:val="001717A5"/>
    <w:rsid w:val="00172189"/>
    <w:rsid w:val="00173026"/>
    <w:rsid w:val="00173263"/>
    <w:rsid w:val="0017388E"/>
    <w:rsid w:val="00173D0E"/>
    <w:rsid w:val="001745C1"/>
    <w:rsid w:val="00174BC5"/>
    <w:rsid w:val="00174E7A"/>
    <w:rsid w:val="0017530A"/>
    <w:rsid w:val="001758FF"/>
    <w:rsid w:val="00175C21"/>
    <w:rsid w:val="0017603E"/>
    <w:rsid w:val="00176489"/>
    <w:rsid w:val="001773F3"/>
    <w:rsid w:val="00177B52"/>
    <w:rsid w:val="00180F45"/>
    <w:rsid w:val="0018102C"/>
    <w:rsid w:val="001816B6"/>
    <w:rsid w:val="00181A01"/>
    <w:rsid w:val="00181F3C"/>
    <w:rsid w:val="00183E0B"/>
    <w:rsid w:val="00183E86"/>
    <w:rsid w:val="0018522D"/>
    <w:rsid w:val="00185AD4"/>
    <w:rsid w:val="00185C2C"/>
    <w:rsid w:val="00185E62"/>
    <w:rsid w:val="001861E8"/>
    <w:rsid w:val="0018697A"/>
    <w:rsid w:val="00186B31"/>
    <w:rsid w:val="00186EB5"/>
    <w:rsid w:val="001875B7"/>
    <w:rsid w:val="00187B33"/>
    <w:rsid w:val="00187DD7"/>
    <w:rsid w:val="00187EC9"/>
    <w:rsid w:val="00187F6F"/>
    <w:rsid w:val="00191D73"/>
    <w:rsid w:val="00193106"/>
    <w:rsid w:val="00193225"/>
    <w:rsid w:val="00193B95"/>
    <w:rsid w:val="00194B8F"/>
    <w:rsid w:val="00194DDF"/>
    <w:rsid w:val="00195061"/>
    <w:rsid w:val="00195FE7"/>
    <w:rsid w:val="00196303"/>
    <w:rsid w:val="0019763F"/>
    <w:rsid w:val="001A047C"/>
    <w:rsid w:val="001A0591"/>
    <w:rsid w:val="001A09E9"/>
    <w:rsid w:val="001A0A82"/>
    <w:rsid w:val="001A136C"/>
    <w:rsid w:val="001A1510"/>
    <w:rsid w:val="001A1C83"/>
    <w:rsid w:val="001A1D90"/>
    <w:rsid w:val="001A2385"/>
    <w:rsid w:val="001A2A6D"/>
    <w:rsid w:val="001A3189"/>
    <w:rsid w:val="001A31D6"/>
    <w:rsid w:val="001A4504"/>
    <w:rsid w:val="001A46C3"/>
    <w:rsid w:val="001A4B75"/>
    <w:rsid w:val="001A56E0"/>
    <w:rsid w:val="001A5D16"/>
    <w:rsid w:val="001A5D93"/>
    <w:rsid w:val="001A5EDA"/>
    <w:rsid w:val="001A62BD"/>
    <w:rsid w:val="001A68F0"/>
    <w:rsid w:val="001A7BB8"/>
    <w:rsid w:val="001A7DAF"/>
    <w:rsid w:val="001B04A2"/>
    <w:rsid w:val="001B04F5"/>
    <w:rsid w:val="001B0D66"/>
    <w:rsid w:val="001B0F3B"/>
    <w:rsid w:val="001B0FE5"/>
    <w:rsid w:val="001B0FEA"/>
    <w:rsid w:val="001B1666"/>
    <w:rsid w:val="001B1E50"/>
    <w:rsid w:val="001B2245"/>
    <w:rsid w:val="001B2E41"/>
    <w:rsid w:val="001B33AA"/>
    <w:rsid w:val="001B3725"/>
    <w:rsid w:val="001B3732"/>
    <w:rsid w:val="001B3739"/>
    <w:rsid w:val="001B390D"/>
    <w:rsid w:val="001B44AB"/>
    <w:rsid w:val="001B469A"/>
    <w:rsid w:val="001B5C21"/>
    <w:rsid w:val="001B5D8E"/>
    <w:rsid w:val="001B6FA4"/>
    <w:rsid w:val="001B76E4"/>
    <w:rsid w:val="001B77EA"/>
    <w:rsid w:val="001B78D5"/>
    <w:rsid w:val="001C0040"/>
    <w:rsid w:val="001C01B8"/>
    <w:rsid w:val="001C01D0"/>
    <w:rsid w:val="001C1E4B"/>
    <w:rsid w:val="001C2243"/>
    <w:rsid w:val="001C291F"/>
    <w:rsid w:val="001C29AE"/>
    <w:rsid w:val="001C32BE"/>
    <w:rsid w:val="001C337A"/>
    <w:rsid w:val="001C3549"/>
    <w:rsid w:val="001C40BB"/>
    <w:rsid w:val="001C431B"/>
    <w:rsid w:val="001C4E54"/>
    <w:rsid w:val="001C4F0A"/>
    <w:rsid w:val="001C4F33"/>
    <w:rsid w:val="001C5674"/>
    <w:rsid w:val="001C6662"/>
    <w:rsid w:val="001C7323"/>
    <w:rsid w:val="001C762E"/>
    <w:rsid w:val="001C77EC"/>
    <w:rsid w:val="001D0186"/>
    <w:rsid w:val="001D1313"/>
    <w:rsid w:val="001D2FF7"/>
    <w:rsid w:val="001D3809"/>
    <w:rsid w:val="001D381F"/>
    <w:rsid w:val="001D3C22"/>
    <w:rsid w:val="001D3DAE"/>
    <w:rsid w:val="001D40A6"/>
    <w:rsid w:val="001D41DF"/>
    <w:rsid w:val="001D450C"/>
    <w:rsid w:val="001D4948"/>
    <w:rsid w:val="001D5433"/>
    <w:rsid w:val="001D62BB"/>
    <w:rsid w:val="001D67A6"/>
    <w:rsid w:val="001D6A79"/>
    <w:rsid w:val="001D72EC"/>
    <w:rsid w:val="001D7537"/>
    <w:rsid w:val="001E076E"/>
    <w:rsid w:val="001E0CAB"/>
    <w:rsid w:val="001E0DF0"/>
    <w:rsid w:val="001E251A"/>
    <w:rsid w:val="001E3F30"/>
    <w:rsid w:val="001E4608"/>
    <w:rsid w:val="001E55FC"/>
    <w:rsid w:val="001E5649"/>
    <w:rsid w:val="001E5AAA"/>
    <w:rsid w:val="001E5E07"/>
    <w:rsid w:val="001E64EC"/>
    <w:rsid w:val="001E683C"/>
    <w:rsid w:val="001E715E"/>
    <w:rsid w:val="001F0A65"/>
    <w:rsid w:val="001F196A"/>
    <w:rsid w:val="001F3795"/>
    <w:rsid w:val="001F3E31"/>
    <w:rsid w:val="001F56DD"/>
    <w:rsid w:val="001F6757"/>
    <w:rsid w:val="001F71E1"/>
    <w:rsid w:val="001F7DF2"/>
    <w:rsid w:val="002001C6"/>
    <w:rsid w:val="00200FD5"/>
    <w:rsid w:val="00201A6F"/>
    <w:rsid w:val="002020B1"/>
    <w:rsid w:val="00202329"/>
    <w:rsid w:val="00202D3A"/>
    <w:rsid w:val="002034A6"/>
    <w:rsid w:val="00203890"/>
    <w:rsid w:val="00203BEE"/>
    <w:rsid w:val="00204185"/>
    <w:rsid w:val="00204280"/>
    <w:rsid w:val="002054F5"/>
    <w:rsid w:val="00205BE9"/>
    <w:rsid w:val="00205C14"/>
    <w:rsid w:val="00206642"/>
    <w:rsid w:val="00206B64"/>
    <w:rsid w:val="002072B3"/>
    <w:rsid w:val="0020767A"/>
    <w:rsid w:val="00210ADE"/>
    <w:rsid w:val="00210FDD"/>
    <w:rsid w:val="00211AF9"/>
    <w:rsid w:val="002144F8"/>
    <w:rsid w:val="00214D8A"/>
    <w:rsid w:val="002150A6"/>
    <w:rsid w:val="00215D5D"/>
    <w:rsid w:val="00216335"/>
    <w:rsid w:val="00216A79"/>
    <w:rsid w:val="00216DCB"/>
    <w:rsid w:val="00217178"/>
    <w:rsid w:val="0021787C"/>
    <w:rsid w:val="00217913"/>
    <w:rsid w:val="00217F53"/>
    <w:rsid w:val="0022049F"/>
    <w:rsid w:val="00220B49"/>
    <w:rsid w:val="00221CA0"/>
    <w:rsid w:val="0022205F"/>
    <w:rsid w:val="00222385"/>
    <w:rsid w:val="00223497"/>
    <w:rsid w:val="00223DC7"/>
    <w:rsid w:val="0022411B"/>
    <w:rsid w:val="00224389"/>
    <w:rsid w:val="00224F47"/>
    <w:rsid w:val="00224F97"/>
    <w:rsid w:val="002254AE"/>
    <w:rsid w:val="00225B34"/>
    <w:rsid w:val="00225FD4"/>
    <w:rsid w:val="00226953"/>
    <w:rsid w:val="00226AAD"/>
    <w:rsid w:val="00226CD1"/>
    <w:rsid w:val="002271B1"/>
    <w:rsid w:val="00227432"/>
    <w:rsid w:val="0022756B"/>
    <w:rsid w:val="002278F2"/>
    <w:rsid w:val="002309B2"/>
    <w:rsid w:val="00230A10"/>
    <w:rsid w:val="00230A32"/>
    <w:rsid w:val="00230BBE"/>
    <w:rsid w:val="00230C18"/>
    <w:rsid w:val="00230EEA"/>
    <w:rsid w:val="0023157E"/>
    <w:rsid w:val="00231737"/>
    <w:rsid w:val="00231E32"/>
    <w:rsid w:val="00232416"/>
    <w:rsid w:val="00232473"/>
    <w:rsid w:val="0023282A"/>
    <w:rsid w:val="002328FF"/>
    <w:rsid w:val="0023323B"/>
    <w:rsid w:val="002336B6"/>
    <w:rsid w:val="00233ABC"/>
    <w:rsid w:val="00233BB2"/>
    <w:rsid w:val="00233CF6"/>
    <w:rsid w:val="00233D2E"/>
    <w:rsid w:val="00233D9F"/>
    <w:rsid w:val="00234391"/>
    <w:rsid w:val="00234428"/>
    <w:rsid w:val="00234836"/>
    <w:rsid w:val="00235149"/>
    <w:rsid w:val="002354B3"/>
    <w:rsid w:val="0023563D"/>
    <w:rsid w:val="002361A6"/>
    <w:rsid w:val="0023642E"/>
    <w:rsid w:val="00236A7C"/>
    <w:rsid w:val="00236FE0"/>
    <w:rsid w:val="00237806"/>
    <w:rsid w:val="00237D36"/>
    <w:rsid w:val="0024090F"/>
    <w:rsid w:val="002410E8"/>
    <w:rsid w:val="0024119F"/>
    <w:rsid w:val="002411EB"/>
    <w:rsid w:val="00241D1B"/>
    <w:rsid w:val="002424E3"/>
    <w:rsid w:val="002426AA"/>
    <w:rsid w:val="00242C70"/>
    <w:rsid w:val="00242D3A"/>
    <w:rsid w:val="00243317"/>
    <w:rsid w:val="00243911"/>
    <w:rsid w:val="00243C6C"/>
    <w:rsid w:val="002444C9"/>
    <w:rsid w:val="00244D37"/>
    <w:rsid w:val="00244DF2"/>
    <w:rsid w:val="00244F5D"/>
    <w:rsid w:val="00245AC8"/>
    <w:rsid w:val="002466F0"/>
    <w:rsid w:val="0024741E"/>
    <w:rsid w:val="002478B7"/>
    <w:rsid w:val="00250B43"/>
    <w:rsid w:val="002511DA"/>
    <w:rsid w:val="0025134D"/>
    <w:rsid w:val="00251AFE"/>
    <w:rsid w:val="00251E53"/>
    <w:rsid w:val="00251FD1"/>
    <w:rsid w:val="0025238F"/>
    <w:rsid w:val="002523A6"/>
    <w:rsid w:val="002529C0"/>
    <w:rsid w:val="00252CD2"/>
    <w:rsid w:val="00253BAA"/>
    <w:rsid w:val="00254178"/>
    <w:rsid w:val="002541CA"/>
    <w:rsid w:val="002547DE"/>
    <w:rsid w:val="00255068"/>
    <w:rsid w:val="00255610"/>
    <w:rsid w:val="00255700"/>
    <w:rsid w:val="0025661A"/>
    <w:rsid w:val="00257249"/>
    <w:rsid w:val="0025745D"/>
    <w:rsid w:val="00257466"/>
    <w:rsid w:val="002576D1"/>
    <w:rsid w:val="00257880"/>
    <w:rsid w:val="00257D40"/>
    <w:rsid w:val="00260DE8"/>
    <w:rsid w:val="00261180"/>
    <w:rsid w:val="002611C0"/>
    <w:rsid w:val="00261807"/>
    <w:rsid w:val="002621E8"/>
    <w:rsid w:val="002628BA"/>
    <w:rsid w:val="00262B0B"/>
    <w:rsid w:val="00263001"/>
    <w:rsid w:val="0026378C"/>
    <w:rsid w:val="00263FA1"/>
    <w:rsid w:val="002648B0"/>
    <w:rsid w:val="00264907"/>
    <w:rsid w:val="00264ABB"/>
    <w:rsid w:val="0026542C"/>
    <w:rsid w:val="00265955"/>
    <w:rsid w:val="00265C1B"/>
    <w:rsid w:val="00265EBE"/>
    <w:rsid w:val="00266091"/>
    <w:rsid w:val="002660A3"/>
    <w:rsid w:val="002664A8"/>
    <w:rsid w:val="00266C72"/>
    <w:rsid w:val="00266EF2"/>
    <w:rsid w:val="00266F71"/>
    <w:rsid w:val="002679A8"/>
    <w:rsid w:val="00267A6F"/>
    <w:rsid w:val="00270879"/>
    <w:rsid w:val="00270CF5"/>
    <w:rsid w:val="00271B55"/>
    <w:rsid w:val="00271FBB"/>
    <w:rsid w:val="002720A1"/>
    <w:rsid w:val="00272244"/>
    <w:rsid w:val="00272B42"/>
    <w:rsid w:val="00274B27"/>
    <w:rsid w:val="002753B1"/>
    <w:rsid w:val="0027571D"/>
    <w:rsid w:val="002761E1"/>
    <w:rsid w:val="0027636A"/>
    <w:rsid w:val="00276714"/>
    <w:rsid w:val="00276E02"/>
    <w:rsid w:val="0027705C"/>
    <w:rsid w:val="00277DA0"/>
    <w:rsid w:val="00277E18"/>
    <w:rsid w:val="0028066A"/>
    <w:rsid w:val="00281261"/>
    <w:rsid w:val="002820D4"/>
    <w:rsid w:val="002823D9"/>
    <w:rsid w:val="002829E7"/>
    <w:rsid w:val="00282F87"/>
    <w:rsid w:val="00283106"/>
    <w:rsid w:val="00283ADD"/>
    <w:rsid w:val="00283FBA"/>
    <w:rsid w:val="00284172"/>
    <w:rsid w:val="0028424D"/>
    <w:rsid w:val="002844A3"/>
    <w:rsid w:val="00284749"/>
    <w:rsid w:val="002847D3"/>
    <w:rsid w:val="00284C31"/>
    <w:rsid w:val="00285459"/>
    <w:rsid w:val="002857F0"/>
    <w:rsid w:val="00287399"/>
    <w:rsid w:val="00290A5F"/>
    <w:rsid w:val="00290D06"/>
    <w:rsid w:val="00291089"/>
    <w:rsid w:val="002917C8"/>
    <w:rsid w:val="00292A39"/>
    <w:rsid w:val="002937E9"/>
    <w:rsid w:val="00294765"/>
    <w:rsid w:val="00294F53"/>
    <w:rsid w:val="00295388"/>
    <w:rsid w:val="00295A32"/>
    <w:rsid w:val="002961C1"/>
    <w:rsid w:val="00296A72"/>
    <w:rsid w:val="00297141"/>
    <w:rsid w:val="00297A24"/>
    <w:rsid w:val="002A04CE"/>
    <w:rsid w:val="002A04DB"/>
    <w:rsid w:val="002A0DD1"/>
    <w:rsid w:val="002A1374"/>
    <w:rsid w:val="002A1697"/>
    <w:rsid w:val="002A17CE"/>
    <w:rsid w:val="002A1E50"/>
    <w:rsid w:val="002A201F"/>
    <w:rsid w:val="002A29E9"/>
    <w:rsid w:val="002A2F0E"/>
    <w:rsid w:val="002A2FD6"/>
    <w:rsid w:val="002A3F12"/>
    <w:rsid w:val="002A452E"/>
    <w:rsid w:val="002A5035"/>
    <w:rsid w:val="002A5D43"/>
    <w:rsid w:val="002A61D1"/>
    <w:rsid w:val="002A6936"/>
    <w:rsid w:val="002A6D22"/>
    <w:rsid w:val="002A6ECA"/>
    <w:rsid w:val="002A7477"/>
    <w:rsid w:val="002A768F"/>
    <w:rsid w:val="002A77C8"/>
    <w:rsid w:val="002A79C9"/>
    <w:rsid w:val="002A7A72"/>
    <w:rsid w:val="002B038A"/>
    <w:rsid w:val="002B13D2"/>
    <w:rsid w:val="002B1641"/>
    <w:rsid w:val="002B204F"/>
    <w:rsid w:val="002B2699"/>
    <w:rsid w:val="002B2D72"/>
    <w:rsid w:val="002B2E82"/>
    <w:rsid w:val="002B34F1"/>
    <w:rsid w:val="002B3CF8"/>
    <w:rsid w:val="002B3E69"/>
    <w:rsid w:val="002B4DB5"/>
    <w:rsid w:val="002B552F"/>
    <w:rsid w:val="002B6464"/>
    <w:rsid w:val="002B6A35"/>
    <w:rsid w:val="002B6DDD"/>
    <w:rsid w:val="002C1977"/>
    <w:rsid w:val="002C1CD8"/>
    <w:rsid w:val="002C2F1D"/>
    <w:rsid w:val="002C3627"/>
    <w:rsid w:val="002C38C0"/>
    <w:rsid w:val="002C42D1"/>
    <w:rsid w:val="002C4B6F"/>
    <w:rsid w:val="002C5515"/>
    <w:rsid w:val="002C58BF"/>
    <w:rsid w:val="002C605F"/>
    <w:rsid w:val="002C6703"/>
    <w:rsid w:val="002C6AAD"/>
    <w:rsid w:val="002C6C20"/>
    <w:rsid w:val="002C6E93"/>
    <w:rsid w:val="002C71CD"/>
    <w:rsid w:val="002D041B"/>
    <w:rsid w:val="002D05EE"/>
    <w:rsid w:val="002D1350"/>
    <w:rsid w:val="002D19B4"/>
    <w:rsid w:val="002D1F4D"/>
    <w:rsid w:val="002D3183"/>
    <w:rsid w:val="002D34FE"/>
    <w:rsid w:val="002D3F43"/>
    <w:rsid w:val="002D3F84"/>
    <w:rsid w:val="002D4994"/>
    <w:rsid w:val="002D4CC2"/>
    <w:rsid w:val="002D4D3D"/>
    <w:rsid w:val="002D5B58"/>
    <w:rsid w:val="002D66A6"/>
    <w:rsid w:val="002D6712"/>
    <w:rsid w:val="002D67DA"/>
    <w:rsid w:val="002D6981"/>
    <w:rsid w:val="002E088D"/>
    <w:rsid w:val="002E1C6C"/>
    <w:rsid w:val="002E1F19"/>
    <w:rsid w:val="002E2FE6"/>
    <w:rsid w:val="002E3B29"/>
    <w:rsid w:val="002E4078"/>
    <w:rsid w:val="002E44D1"/>
    <w:rsid w:val="002E4672"/>
    <w:rsid w:val="002E6051"/>
    <w:rsid w:val="002E64B3"/>
    <w:rsid w:val="002E6A72"/>
    <w:rsid w:val="002E6E90"/>
    <w:rsid w:val="002E77CA"/>
    <w:rsid w:val="002E78DA"/>
    <w:rsid w:val="002E796C"/>
    <w:rsid w:val="002E7B48"/>
    <w:rsid w:val="002F0775"/>
    <w:rsid w:val="002F0D6F"/>
    <w:rsid w:val="002F1285"/>
    <w:rsid w:val="002F17AE"/>
    <w:rsid w:val="002F1AFB"/>
    <w:rsid w:val="002F2B3F"/>
    <w:rsid w:val="002F3F25"/>
    <w:rsid w:val="002F4726"/>
    <w:rsid w:val="002F4B85"/>
    <w:rsid w:val="002F517C"/>
    <w:rsid w:val="002F602D"/>
    <w:rsid w:val="002F611C"/>
    <w:rsid w:val="002F62D6"/>
    <w:rsid w:val="002F6369"/>
    <w:rsid w:val="002F7925"/>
    <w:rsid w:val="002F7929"/>
    <w:rsid w:val="002F7A48"/>
    <w:rsid w:val="002F7B3E"/>
    <w:rsid w:val="002F7F5A"/>
    <w:rsid w:val="00300C40"/>
    <w:rsid w:val="00300FAF"/>
    <w:rsid w:val="00301399"/>
    <w:rsid w:val="00301B39"/>
    <w:rsid w:val="0030209A"/>
    <w:rsid w:val="003022D7"/>
    <w:rsid w:val="00302ADF"/>
    <w:rsid w:val="0030303D"/>
    <w:rsid w:val="003035DD"/>
    <w:rsid w:val="00303667"/>
    <w:rsid w:val="003046AE"/>
    <w:rsid w:val="00304C56"/>
    <w:rsid w:val="00304F84"/>
    <w:rsid w:val="0030540F"/>
    <w:rsid w:val="003058E5"/>
    <w:rsid w:val="00305C7D"/>
    <w:rsid w:val="0030702F"/>
    <w:rsid w:val="00307161"/>
    <w:rsid w:val="00307775"/>
    <w:rsid w:val="003108D5"/>
    <w:rsid w:val="003117B7"/>
    <w:rsid w:val="00311996"/>
    <w:rsid w:val="00312A86"/>
    <w:rsid w:val="00313184"/>
    <w:rsid w:val="00313268"/>
    <w:rsid w:val="0031348A"/>
    <w:rsid w:val="00313678"/>
    <w:rsid w:val="0031369F"/>
    <w:rsid w:val="0031636E"/>
    <w:rsid w:val="00316A2A"/>
    <w:rsid w:val="00316AD1"/>
    <w:rsid w:val="00316BB6"/>
    <w:rsid w:val="00316CC2"/>
    <w:rsid w:val="00316F4E"/>
    <w:rsid w:val="003170D0"/>
    <w:rsid w:val="00317169"/>
    <w:rsid w:val="0031734B"/>
    <w:rsid w:val="00317572"/>
    <w:rsid w:val="003178E5"/>
    <w:rsid w:val="00321A9E"/>
    <w:rsid w:val="00322427"/>
    <w:rsid w:val="00322F76"/>
    <w:rsid w:val="003236A5"/>
    <w:rsid w:val="00323B77"/>
    <w:rsid w:val="0032434C"/>
    <w:rsid w:val="00324F43"/>
    <w:rsid w:val="003251DA"/>
    <w:rsid w:val="00325440"/>
    <w:rsid w:val="00325861"/>
    <w:rsid w:val="00325BFE"/>
    <w:rsid w:val="00325DF6"/>
    <w:rsid w:val="0032627C"/>
    <w:rsid w:val="00326EAF"/>
    <w:rsid w:val="00327362"/>
    <w:rsid w:val="0032763A"/>
    <w:rsid w:val="0033026B"/>
    <w:rsid w:val="00330A6D"/>
    <w:rsid w:val="00330BD3"/>
    <w:rsid w:val="00330BE8"/>
    <w:rsid w:val="00330D33"/>
    <w:rsid w:val="00330D8C"/>
    <w:rsid w:val="003310BA"/>
    <w:rsid w:val="0033187D"/>
    <w:rsid w:val="00333971"/>
    <w:rsid w:val="003340D7"/>
    <w:rsid w:val="0033440B"/>
    <w:rsid w:val="00334C3E"/>
    <w:rsid w:val="00334E99"/>
    <w:rsid w:val="00335054"/>
    <w:rsid w:val="00337459"/>
    <w:rsid w:val="00337587"/>
    <w:rsid w:val="00337636"/>
    <w:rsid w:val="00337744"/>
    <w:rsid w:val="003400C7"/>
    <w:rsid w:val="00340B92"/>
    <w:rsid w:val="003413E7"/>
    <w:rsid w:val="003414FA"/>
    <w:rsid w:val="00341C56"/>
    <w:rsid w:val="00341D0C"/>
    <w:rsid w:val="00341D9E"/>
    <w:rsid w:val="003435CA"/>
    <w:rsid w:val="00344110"/>
    <w:rsid w:val="00345421"/>
    <w:rsid w:val="00345BEC"/>
    <w:rsid w:val="00345D01"/>
    <w:rsid w:val="00345FC4"/>
    <w:rsid w:val="00346434"/>
    <w:rsid w:val="00346913"/>
    <w:rsid w:val="00346C65"/>
    <w:rsid w:val="00346E29"/>
    <w:rsid w:val="00347013"/>
    <w:rsid w:val="0035019E"/>
    <w:rsid w:val="0035055F"/>
    <w:rsid w:val="00350B06"/>
    <w:rsid w:val="0035126D"/>
    <w:rsid w:val="00351659"/>
    <w:rsid w:val="00351AB3"/>
    <w:rsid w:val="00351F7C"/>
    <w:rsid w:val="00352394"/>
    <w:rsid w:val="00352CF6"/>
    <w:rsid w:val="00352D32"/>
    <w:rsid w:val="0035372B"/>
    <w:rsid w:val="00353A38"/>
    <w:rsid w:val="00353C0D"/>
    <w:rsid w:val="00354104"/>
    <w:rsid w:val="00354CBD"/>
    <w:rsid w:val="00354E57"/>
    <w:rsid w:val="00355540"/>
    <w:rsid w:val="0035601D"/>
    <w:rsid w:val="00356477"/>
    <w:rsid w:val="00356513"/>
    <w:rsid w:val="003568EE"/>
    <w:rsid w:val="00357141"/>
    <w:rsid w:val="00357966"/>
    <w:rsid w:val="00357F2A"/>
    <w:rsid w:val="0036034C"/>
    <w:rsid w:val="00361FD0"/>
    <w:rsid w:val="00362051"/>
    <w:rsid w:val="003621CF"/>
    <w:rsid w:val="003628C3"/>
    <w:rsid w:val="00363BA1"/>
    <w:rsid w:val="00364022"/>
    <w:rsid w:val="00364C4B"/>
    <w:rsid w:val="003655A7"/>
    <w:rsid w:val="00365796"/>
    <w:rsid w:val="003701F1"/>
    <w:rsid w:val="0037051E"/>
    <w:rsid w:val="003711FC"/>
    <w:rsid w:val="0037125F"/>
    <w:rsid w:val="00372055"/>
    <w:rsid w:val="003724CC"/>
    <w:rsid w:val="003728BB"/>
    <w:rsid w:val="00372A40"/>
    <w:rsid w:val="00372B8D"/>
    <w:rsid w:val="003730A7"/>
    <w:rsid w:val="003734FB"/>
    <w:rsid w:val="00373ED5"/>
    <w:rsid w:val="00373FDF"/>
    <w:rsid w:val="00374151"/>
    <w:rsid w:val="0037506B"/>
    <w:rsid w:val="00375A1A"/>
    <w:rsid w:val="003804E1"/>
    <w:rsid w:val="00381729"/>
    <w:rsid w:val="003819C8"/>
    <w:rsid w:val="00381D26"/>
    <w:rsid w:val="00381DD6"/>
    <w:rsid w:val="003820BC"/>
    <w:rsid w:val="0038224F"/>
    <w:rsid w:val="00382256"/>
    <w:rsid w:val="00382914"/>
    <w:rsid w:val="0038309D"/>
    <w:rsid w:val="003834C4"/>
    <w:rsid w:val="0038369F"/>
    <w:rsid w:val="0038563A"/>
    <w:rsid w:val="003872C0"/>
    <w:rsid w:val="00387AEF"/>
    <w:rsid w:val="00387EFB"/>
    <w:rsid w:val="003901EB"/>
    <w:rsid w:val="0039088C"/>
    <w:rsid w:val="00390E78"/>
    <w:rsid w:val="003919CC"/>
    <w:rsid w:val="0039201E"/>
    <w:rsid w:val="00392DE7"/>
    <w:rsid w:val="003941A4"/>
    <w:rsid w:val="00394264"/>
    <w:rsid w:val="003943E3"/>
    <w:rsid w:val="0039451C"/>
    <w:rsid w:val="0039528D"/>
    <w:rsid w:val="003952D7"/>
    <w:rsid w:val="00395759"/>
    <w:rsid w:val="00395A58"/>
    <w:rsid w:val="0039752D"/>
    <w:rsid w:val="003978FC"/>
    <w:rsid w:val="00397B5A"/>
    <w:rsid w:val="003A1113"/>
    <w:rsid w:val="003A1A2B"/>
    <w:rsid w:val="003A21D7"/>
    <w:rsid w:val="003A2A6A"/>
    <w:rsid w:val="003A36F5"/>
    <w:rsid w:val="003A47AB"/>
    <w:rsid w:val="003A4EF3"/>
    <w:rsid w:val="003A604E"/>
    <w:rsid w:val="003A61B4"/>
    <w:rsid w:val="003A64DF"/>
    <w:rsid w:val="003A6D25"/>
    <w:rsid w:val="003A6F85"/>
    <w:rsid w:val="003A7434"/>
    <w:rsid w:val="003A7B34"/>
    <w:rsid w:val="003B0350"/>
    <w:rsid w:val="003B0846"/>
    <w:rsid w:val="003B1189"/>
    <w:rsid w:val="003B1732"/>
    <w:rsid w:val="003B1BC1"/>
    <w:rsid w:val="003B3D7D"/>
    <w:rsid w:val="003B44C0"/>
    <w:rsid w:val="003B4791"/>
    <w:rsid w:val="003B4834"/>
    <w:rsid w:val="003B52B0"/>
    <w:rsid w:val="003B5517"/>
    <w:rsid w:val="003B5589"/>
    <w:rsid w:val="003B5C38"/>
    <w:rsid w:val="003B5E98"/>
    <w:rsid w:val="003B6316"/>
    <w:rsid w:val="003B67B5"/>
    <w:rsid w:val="003B6D6D"/>
    <w:rsid w:val="003B73F0"/>
    <w:rsid w:val="003B77D5"/>
    <w:rsid w:val="003B7BC5"/>
    <w:rsid w:val="003C027B"/>
    <w:rsid w:val="003C06D6"/>
    <w:rsid w:val="003C0E43"/>
    <w:rsid w:val="003C114F"/>
    <w:rsid w:val="003C12B0"/>
    <w:rsid w:val="003C1DF6"/>
    <w:rsid w:val="003C22BD"/>
    <w:rsid w:val="003C36FD"/>
    <w:rsid w:val="003C475A"/>
    <w:rsid w:val="003C616E"/>
    <w:rsid w:val="003C6399"/>
    <w:rsid w:val="003C6F78"/>
    <w:rsid w:val="003D0862"/>
    <w:rsid w:val="003D08EC"/>
    <w:rsid w:val="003D1721"/>
    <w:rsid w:val="003D19F0"/>
    <w:rsid w:val="003D1A49"/>
    <w:rsid w:val="003D1BA9"/>
    <w:rsid w:val="003D1CCE"/>
    <w:rsid w:val="003D1CF7"/>
    <w:rsid w:val="003D201E"/>
    <w:rsid w:val="003D2042"/>
    <w:rsid w:val="003D22E7"/>
    <w:rsid w:val="003D32CD"/>
    <w:rsid w:val="003D353B"/>
    <w:rsid w:val="003D3B0A"/>
    <w:rsid w:val="003D4759"/>
    <w:rsid w:val="003D48D0"/>
    <w:rsid w:val="003D6428"/>
    <w:rsid w:val="003D71E7"/>
    <w:rsid w:val="003D7558"/>
    <w:rsid w:val="003D7723"/>
    <w:rsid w:val="003D7730"/>
    <w:rsid w:val="003D7AA9"/>
    <w:rsid w:val="003D7FBD"/>
    <w:rsid w:val="003E02CB"/>
    <w:rsid w:val="003E0692"/>
    <w:rsid w:val="003E099B"/>
    <w:rsid w:val="003E0C5C"/>
    <w:rsid w:val="003E0CCF"/>
    <w:rsid w:val="003E106E"/>
    <w:rsid w:val="003E216C"/>
    <w:rsid w:val="003E246C"/>
    <w:rsid w:val="003E2524"/>
    <w:rsid w:val="003E2529"/>
    <w:rsid w:val="003E2C67"/>
    <w:rsid w:val="003E30E1"/>
    <w:rsid w:val="003E4D0F"/>
    <w:rsid w:val="003E4D42"/>
    <w:rsid w:val="003E540D"/>
    <w:rsid w:val="003E545D"/>
    <w:rsid w:val="003E5BC2"/>
    <w:rsid w:val="003E5D74"/>
    <w:rsid w:val="003E62F2"/>
    <w:rsid w:val="003E7283"/>
    <w:rsid w:val="003F03D4"/>
    <w:rsid w:val="003F03E7"/>
    <w:rsid w:val="003F0897"/>
    <w:rsid w:val="003F1215"/>
    <w:rsid w:val="003F13F1"/>
    <w:rsid w:val="003F16FC"/>
    <w:rsid w:val="003F1D7F"/>
    <w:rsid w:val="003F1DBA"/>
    <w:rsid w:val="003F1F8D"/>
    <w:rsid w:val="003F26C0"/>
    <w:rsid w:val="003F280B"/>
    <w:rsid w:val="003F2E8F"/>
    <w:rsid w:val="003F3C5E"/>
    <w:rsid w:val="003F3F95"/>
    <w:rsid w:val="003F5766"/>
    <w:rsid w:val="003F5E67"/>
    <w:rsid w:val="003F5FAB"/>
    <w:rsid w:val="003F695B"/>
    <w:rsid w:val="003F6AE4"/>
    <w:rsid w:val="003F712B"/>
    <w:rsid w:val="003F71CC"/>
    <w:rsid w:val="003F745D"/>
    <w:rsid w:val="003F749A"/>
    <w:rsid w:val="003F74CB"/>
    <w:rsid w:val="00400132"/>
    <w:rsid w:val="00400DE1"/>
    <w:rsid w:val="004014E1"/>
    <w:rsid w:val="00401728"/>
    <w:rsid w:val="00401B36"/>
    <w:rsid w:val="004036DD"/>
    <w:rsid w:val="0040415C"/>
    <w:rsid w:val="004046D0"/>
    <w:rsid w:val="00404994"/>
    <w:rsid w:val="00404ED4"/>
    <w:rsid w:val="00404FEF"/>
    <w:rsid w:val="0040519D"/>
    <w:rsid w:val="00405713"/>
    <w:rsid w:val="00405E0A"/>
    <w:rsid w:val="00406331"/>
    <w:rsid w:val="00406599"/>
    <w:rsid w:val="00406947"/>
    <w:rsid w:val="00406D90"/>
    <w:rsid w:val="004075D7"/>
    <w:rsid w:val="004101FB"/>
    <w:rsid w:val="0041073D"/>
    <w:rsid w:val="00410865"/>
    <w:rsid w:val="0041100A"/>
    <w:rsid w:val="00411C86"/>
    <w:rsid w:val="00412927"/>
    <w:rsid w:val="00413165"/>
    <w:rsid w:val="00413B9A"/>
    <w:rsid w:val="00413E18"/>
    <w:rsid w:val="00414D45"/>
    <w:rsid w:val="00414F72"/>
    <w:rsid w:val="004165CA"/>
    <w:rsid w:val="00416A05"/>
    <w:rsid w:val="00416ABB"/>
    <w:rsid w:val="0041791D"/>
    <w:rsid w:val="00417A9F"/>
    <w:rsid w:val="00417AD3"/>
    <w:rsid w:val="00417BFC"/>
    <w:rsid w:val="00420A8B"/>
    <w:rsid w:val="00420B98"/>
    <w:rsid w:val="00420D9A"/>
    <w:rsid w:val="00420FC5"/>
    <w:rsid w:val="00422381"/>
    <w:rsid w:val="004226B3"/>
    <w:rsid w:val="00423F4A"/>
    <w:rsid w:val="00424F31"/>
    <w:rsid w:val="0042559C"/>
    <w:rsid w:val="00425B40"/>
    <w:rsid w:val="004266C8"/>
    <w:rsid w:val="00427659"/>
    <w:rsid w:val="0042792B"/>
    <w:rsid w:val="00430235"/>
    <w:rsid w:val="0043068F"/>
    <w:rsid w:val="00431001"/>
    <w:rsid w:val="0043229D"/>
    <w:rsid w:val="0043267B"/>
    <w:rsid w:val="00432761"/>
    <w:rsid w:val="00433595"/>
    <w:rsid w:val="00433B3C"/>
    <w:rsid w:val="00434C86"/>
    <w:rsid w:val="00434D30"/>
    <w:rsid w:val="00434E75"/>
    <w:rsid w:val="00434F1D"/>
    <w:rsid w:val="00435447"/>
    <w:rsid w:val="0043565D"/>
    <w:rsid w:val="004361E1"/>
    <w:rsid w:val="0043622C"/>
    <w:rsid w:val="004364DC"/>
    <w:rsid w:val="004365BF"/>
    <w:rsid w:val="00436798"/>
    <w:rsid w:val="004367A9"/>
    <w:rsid w:val="00437BA5"/>
    <w:rsid w:val="00440478"/>
    <w:rsid w:val="00440F49"/>
    <w:rsid w:val="004410BE"/>
    <w:rsid w:val="0044133F"/>
    <w:rsid w:val="004418BC"/>
    <w:rsid w:val="0044203F"/>
    <w:rsid w:val="004420F0"/>
    <w:rsid w:val="00442A7C"/>
    <w:rsid w:val="00442F23"/>
    <w:rsid w:val="00443155"/>
    <w:rsid w:val="00443445"/>
    <w:rsid w:val="00443512"/>
    <w:rsid w:val="00443A72"/>
    <w:rsid w:val="00444090"/>
    <w:rsid w:val="0044428F"/>
    <w:rsid w:val="004447E2"/>
    <w:rsid w:val="00444A8B"/>
    <w:rsid w:val="0044562B"/>
    <w:rsid w:val="004457AB"/>
    <w:rsid w:val="004461D2"/>
    <w:rsid w:val="00446B0D"/>
    <w:rsid w:val="00447984"/>
    <w:rsid w:val="00447D77"/>
    <w:rsid w:val="00447E15"/>
    <w:rsid w:val="00450E27"/>
    <w:rsid w:val="00451A31"/>
    <w:rsid w:val="0045211E"/>
    <w:rsid w:val="00452986"/>
    <w:rsid w:val="00452E7E"/>
    <w:rsid w:val="0045361E"/>
    <w:rsid w:val="0045450B"/>
    <w:rsid w:val="00454B32"/>
    <w:rsid w:val="004553A9"/>
    <w:rsid w:val="00455DF3"/>
    <w:rsid w:val="00456059"/>
    <w:rsid w:val="004563B9"/>
    <w:rsid w:val="00456B6A"/>
    <w:rsid w:val="00456F59"/>
    <w:rsid w:val="00457342"/>
    <w:rsid w:val="00457EA5"/>
    <w:rsid w:val="00460268"/>
    <w:rsid w:val="0046031D"/>
    <w:rsid w:val="00460876"/>
    <w:rsid w:val="00460C51"/>
    <w:rsid w:val="0046136F"/>
    <w:rsid w:val="00461564"/>
    <w:rsid w:val="00461710"/>
    <w:rsid w:val="004619E6"/>
    <w:rsid w:val="00461AAC"/>
    <w:rsid w:val="00461AE8"/>
    <w:rsid w:val="00461F2E"/>
    <w:rsid w:val="00462AB5"/>
    <w:rsid w:val="00463D2B"/>
    <w:rsid w:val="004644AA"/>
    <w:rsid w:val="004653EF"/>
    <w:rsid w:val="00465F45"/>
    <w:rsid w:val="0046649C"/>
    <w:rsid w:val="0046650D"/>
    <w:rsid w:val="00466AC1"/>
    <w:rsid w:val="00470487"/>
    <w:rsid w:val="004715FC"/>
    <w:rsid w:val="0047194F"/>
    <w:rsid w:val="00471E9B"/>
    <w:rsid w:val="00471F91"/>
    <w:rsid w:val="0047483A"/>
    <w:rsid w:val="00475276"/>
    <w:rsid w:val="0047667F"/>
    <w:rsid w:val="00476685"/>
    <w:rsid w:val="00476800"/>
    <w:rsid w:val="00476F6A"/>
    <w:rsid w:val="00477324"/>
    <w:rsid w:val="00477A66"/>
    <w:rsid w:val="00480005"/>
    <w:rsid w:val="0048004E"/>
    <w:rsid w:val="004808C3"/>
    <w:rsid w:val="00481A29"/>
    <w:rsid w:val="00482046"/>
    <w:rsid w:val="00482437"/>
    <w:rsid w:val="00483343"/>
    <w:rsid w:val="004838D7"/>
    <w:rsid w:val="00483C1D"/>
    <w:rsid w:val="0048440A"/>
    <w:rsid w:val="00484BF1"/>
    <w:rsid w:val="0048578C"/>
    <w:rsid w:val="00485A7C"/>
    <w:rsid w:val="004874CC"/>
    <w:rsid w:val="0048778F"/>
    <w:rsid w:val="0048784D"/>
    <w:rsid w:val="00487965"/>
    <w:rsid w:val="00487C90"/>
    <w:rsid w:val="00487FC4"/>
    <w:rsid w:val="0049029B"/>
    <w:rsid w:val="00490F17"/>
    <w:rsid w:val="004913F6"/>
    <w:rsid w:val="004916CC"/>
    <w:rsid w:val="00491E12"/>
    <w:rsid w:val="00491F9F"/>
    <w:rsid w:val="00492160"/>
    <w:rsid w:val="004931DC"/>
    <w:rsid w:val="00493330"/>
    <w:rsid w:val="00493942"/>
    <w:rsid w:val="00493C25"/>
    <w:rsid w:val="00494FE0"/>
    <w:rsid w:val="004953C9"/>
    <w:rsid w:val="004954DC"/>
    <w:rsid w:val="00495A63"/>
    <w:rsid w:val="00495C3E"/>
    <w:rsid w:val="00495DE2"/>
    <w:rsid w:val="004960AF"/>
    <w:rsid w:val="004969D0"/>
    <w:rsid w:val="004971AB"/>
    <w:rsid w:val="004A0152"/>
    <w:rsid w:val="004A0897"/>
    <w:rsid w:val="004A0ACF"/>
    <w:rsid w:val="004A2738"/>
    <w:rsid w:val="004A2DF4"/>
    <w:rsid w:val="004A431A"/>
    <w:rsid w:val="004A4510"/>
    <w:rsid w:val="004A51E2"/>
    <w:rsid w:val="004A5EEF"/>
    <w:rsid w:val="004A65F9"/>
    <w:rsid w:val="004A6601"/>
    <w:rsid w:val="004A6D9D"/>
    <w:rsid w:val="004A7141"/>
    <w:rsid w:val="004A77FA"/>
    <w:rsid w:val="004A7822"/>
    <w:rsid w:val="004A7CE8"/>
    <w:rsid w:val="004B0A58"/>
    <w:rsid w:val="004B0B66"/>
    <w:rsid w:val="004B0E52"/>
    <w:rsid w:val="004B19C1"/>
    <w:rsid w:val="004B1B0E"/>
    <w:rsid w:val="004B2477"/>
    <w:rsid w:val="004B3031"/>
    <w:rsid w:val="004B3F23"/>
    <w:rsid w:val="004B3F71"/>
    <w:rsid w:val="004B4047"/>
    <w:rsid w:val="004B4AA8"/>
    <w:rsid w:val="004B4C4F"/>
    <w:rsid w:val="004B52B1"/>
    <w:rsid w:val="004B6500"/>
    <w:rsid w:val="004B65FC"/>
    <w:rsid w:val="004B6793"/>
    <w:rsid w:val="004B6D68"/>
    <w:rsid w:val="004B71D1"/>
    <w:rsid w:val="004B7B58"/>
    <w:rsid w:val="004C06B5"/>
    <w:rsid w:val="004C0C73"/>
    <w:rsid w:val="004C1B7B"/>
    <w:rsid w:val="004C2156"/>
    <w:rsid w:val="004C2A60"/>
    <w:rsid w:val="004C2F64"/>
    <w:rsid w:val="004C3A4B"/>
    <w:rsid w:val="004C3BCE"/>
    <w:rsid w:val="004C3E28"/>
    <w:rsid w:val="004C3FA5"/>
    <w:rsid w:val="004C3FE1"/>
    <w:rsid w:val="004C40F3"/>
    <w:rsid w:val="004C4420"/>
    <w:rsid w:val="004C493B"/>
    <w:rsid w:val="004C4E88"/>
    <w:rsid w:val="004C54E0"/>
    <w:rsid w:val="004C55DB"/>
    <w:rsid w:val="004C57CD"/>
    <w:rsid w:val="004C5AED"/>
    <w:rsid w:val="004C5B5F"/>
    <w:rsid w:val="004C5E67"/>
    <w:rsid w:val="004C5E6D"/>
    <w:rsid w:val="004C5FCB"/>
    <w:rsid w:val="004C6640"/>
    <w:rsid w:val="004C6722"/>
    <w:rsid w:val="004C68B3"/>
    <w:rsid w:val="004C69D1"/>
    <w:rsid w:val="004C6FAE"/>
    <w:rsid w:val="004C7452"/>
    <w:rsid w:val="004C754B"/>
    <w:rsid w:val="004D001A"/>
    <w:rsid w:val="004D00A3"/>
    <w:rsid w:val="004D00EE"/>
    <w:rsid w:val="004D102A"/>
    <w:rsid w:val="004D1D9C"/>
    <w:rsid w:val="004D2278"/>
    <w:rsid w:val="004D317A"/>
    <w:rsid w:val="004D36AA"/>
    <w:rsid w:val="004D438E"/>
    <w:rsid w:val="004D47D2"/>
    <w:rsid w:val="004D49D0"/>
    <w:rsid w:val="004D50A2"/>
    <w:rsid w:val="004D5E67"/>
    <w:rsid w:val="004D6E63"/>
    <w:rsid w:val="004D758D"/>
    <w:rsid w:val="004D7787"/>
    <w:rsid w:val="004D7F83"/>
    <w:rsid w:val="004E059F"/>
    <w:rsid w:val="004E09B5"/>
    <w:rsid w:val="004E14E5"/>
    <w:rsid w:val="004E18E0"/>
    <w:rsid w:val="004E1AAF"/>
    <w:rsid w:val="004E1C04"/>
    <w:rsid w:val="004E1DDC"/>
    <w:rsid w:val="004E2269"/>
    <w:rsid w:val="004E2ACE"/>
    <w:rsid w:val="004E2D26"/>
    <w:rsid w:val="004E320B"/>
    <w:rsid w:val="004E3763"/>
    <w:rsid w:val="004E394E"/>
    <w:rsid w:val="004E5331"/>
    <w:rsid w:val="004E5A4A"/>
    <w:rsid w:val="004E5FAE"/>
    <w:rsid w:val="004E62FB"/>
    <w:rsid w:val="004E672D"/>
    <w:rsid w:val="004F04A1"/>
    <w:rsid w:val="004F0562"/>
    <w:rsid w:val="004F06A3"/>
    <w:rsid w:val="004F0DFA"/>
    <w:rsid w:val="004F19B6"/>
    <w:rsid w:val="004F1AD5"/>
    <w:rsid w:val="004F2090"/>
    <w:rsid w:val="004F23B1"/>
    <w:rsid w:val="004F2C1A"/>
    <w:rsid w:val="004F2D06"/>
    <w:rsid w:val="004F38B4"/>
    <w:rsid w:val="004F45EC"/>
    <w:rsid w:val="004F4B9E"/>
    <w:rsid w:val="004F4C9A"/>
    <w:rsid w:val="004F5209"/>
    <w:rsid w:val="004F5B40"/>
    <w:rsid w:val="004F5C7E"/>
    <w:rsid w:val="004F61FA"/>
    <w:rsid w:val="004F65DE"/>
    <w:rsid w:val="004F6627"/>
    <w:rsid w:val="004F688A"/>
    <w:rsid w:val="004F6E0C"/>
    <w:rsid w:val="004F74F8"/>
    <w:rsid w:val="004F7603"/>
    <w:rsid w:val="004F7696"/>
    <w:rsid w:val="004F7883"/>
    <w:rsid w:val="004F7C1F"/>
    <w:rsid w:val="004F7F6A"/>
    <w:rsid w:val="00500626"/>
    <w:rsid w:val="0050066C"/>
    <w:rsid w:val="0050110A"/>
    <w:rsid w:val="005013A0"/>
    <w:rsid w:val="00501576"/>
    <w:rsid w:val="00501F4B"/>
    <w:rsid w:val="00502E70"/>
    <w:rsid w:val="005032E7"/>
    <w:rsid w:val="00503A81"/>
    <w:rsid w:val="00503DBB"/>
    <w:rsid w:val="005045DF"/>
    <w:rsid w:val="0050501C"/>
    <w:rsid w:val="00505140"/>
    <w:rsid w:val="00505851"/>
    <w:rsid w:val="00505B75"/>
    <w:rsid w:val="00505B81"/>
    <w:rsid w:val="00505C1A"/>
    <w:rsid w:val="0050653D"/>
    <w:rsid w:val="00506CF1"/>
    <w:rsid w:val="00506DFE"/>
    <w:rsid w:val="00507425"/>
    <w:rsid w:val="00510977"/>
    <w:rsid w:val="00510F12"/>
    <w:rsid w:val="005112A5"/>
    <w:rsid w:val="005122E9"/>
    <w:rsid w:val="0051245D"/>
    <w:rsid w:val="005138EC"/>
    <w:rsid w:val="00513F27"/>
    <w:rsid w:val="00513F3A"/>
    <w:rsid w:val="0051452F"/>
    <w:rsid w:val="005149DA"/>
    <w:rsid w:val="00514E18"/>
    <w:rsid w:val="0051555F"/>
    <w:rsid w:val="00515B3D"/>
    <w:rsid w:val="005161CA"/>
    <w:rsid w:val="00516204"/>
    <w:rsid w:val="00516367"/>
    <w:rsid w:val="0051707D"/>
    <w:rsid w:val="00517707"/>
    <w:rsid w:val="00517ED9"/>
    <w:rsid w:val="005204A2"/>
    <w:rsid w:val="00520C25"/>
    <w:rsid w:val="00520C47"/>
    <w:rsid w:val="00520D5D"/>
    <w:rsid w:val="00520F1B"/>
    <w:rsid w:val="00521127"/>
    <w:rsid w:val="005215B5"/>
    <w:rsid w:val="00521989"/>
    <w:rsid w:val="005219D0"/>
    <w:rsid w:val="00521DB9"/>
    <w:rsid w:val="00521E42"/>
    <w:rsid w:val="005227F4"/>
    <w:rsid w:val="00523003"/>
    <w:rsid w:val="0052304D"/>
    <w:rsid w:val="00523FF1"/>
    <w:rsid w:val="00524233"/>
    <w:rsid w:val="00524A9D"/>
    <w:rsid w:val="005251D2"/>
    <w:rsid w:val="0052572E"/>
    <w:rsid w:val="00525DAC"/>
    <w:rsid w:val="00526A09"/>
    <w:rsid w:val="005274C0"/>
    <w:rsid w:val="00527C3C"/>
    <w:rsid w:val="00527C8D"/>
    <w:rsid w:val="00530348"/>
    <w:rsid w:val="00530C95"/>
    <w:rsid w:val="00531280"/>
    <w:rsid w:val="00531937"/>
    <w:rsid w:val="00532256"/>
    <w:rsid w:val="00533462"/>
    <w:rsid w:val="005337C4"/>
    <w:rsid w:val="00533F08"/>
    <w:rsid w:val="005345A3"/>
    <w:rsid w:val="005346C5"/>
    <w:rsid w:val="0053563E"/>
    <w:rsid w:val="00536A5A"/>
    <w:rsid w:val="0053727D"/>
    <w:rsid w:val="0053728A"/>
    <w:rsid w:val="00537F67"/>
    <w:rsid w:val="005407A4"/>
    <w:rsid w:val="00540EC1"/>
    <w:rsid w:val="00541A69"/>
    <w:rsid w:val="00541CC0"/>
    <w:rsid w:val="00542426"/>
    <w:rsid w:val="00542878"/>
    <w:rsid w:val="005436F1"/>
    <w:rsid w:val="00544190"/>
    <w:rsid w:val="00544B86"/>
    <w:rsid w:val="00545A5E"/>
    <w:rsid w:val="00546AAF"/>
    <w:rsid w:val="00546E4D"/>
    <w:rsid w:val="00546E91"/>
    <w:rsid w:val="005505AB"/>
    <w:rsid w:val="0055074B"/>
    <w:rsid w:val="00550A45"/>
    <w:rsid w:val="00551075"/>
    <w:rsid w:val="00551970"/>
    <w:rsid w:val="00552555"/>
    <w:rsid w:val="0055274F"/>
    <w:rsid w:val="005529EC"/>
    <w:rsid w:val="0055332A"/>
    <w:rsid w:val="00553BD8"/>
    <w:rsid w:val="00553E26"/>
    <w:rsid w:val="0055482F"/>
    <w:rsid w:val="00554A23"/>
    <w:rsid w:val="00554E48"/>
    <w:rsid w:val="00555D36"/>
    <w:rsid w:val="00555E94"/>
    <w:rsid w:val="0055647C"/>
    <w:rsid w:val="00556739"/>
    <w:rsid w:val="005569D9"/>
    <w:rsid w:val="00556EA6"/>
    <w:rsid w:val="00556FF7"/>
    <w:rsid w:val="005577C3"/>
    <w:rsid w:val="005602D8"/>
    <w:rsid w:val="00562DB9"/>
    <w:rsid w:val="005631B8"/>
    <w:rsid w:val="005632C0"/>
    <w:rsid w:val="00564079"/>
    <w:rsid w:val="00564B3E"/>
    <w:rsid w:val="00564E35"/>
    <w:rsid w:val="00565119"/>
    <w:rsid w:val="00565A0D"/>
    <w:rsid w:val="00565C41"/>
    <w:rsid w:val="00570A95"/>
    <w:rsid w:val="00570F2B"/>
    <w:rsid w:val="00570FB7"/>
    <w:rsid w:val="00571179"/>
    <w:rsid w:val="00571611"/>
    <w:rsid w:val="00571A9F"/>
    <w:rsid w:val="00572BE8"/>
    <w:rsid w:val="00573CC1"/>
    <w:rsid w:val="00574255"/>
    <w:rsid w:val="00574D0D"/>
    <w:rsid w:val="00575034"/>
    <w:rsid w:val="005756BB"/>
    <w:rsid w:val="0057576D"/>
    <w:rsid w:val="00575BCC"/>
    <w:rsid w:val="00577112"/>
    <w:rsid w:val="00577B86"/>
    <w:rsid w:val="00577DDB"/>
    <w:rsid w:val="00580522"/>
    <w:rsid w:val="00581037"/>
    <w:rsid w:val="00581B7B"/>
    <w:rsid w:val="005822EF"/>
    <w:rsid w:val="005826C9"/>
    <w:rsid w:val="00582AD1"/>
    <w:rsid w:val="00582F29"/>
    <w:rsid w:val="00583204"/>
    <w:rsid w:val="00584D1F"/>
    <w:rsid w:val="00585879"/>
    <w:rsid w:val="005860CB"/>
    <w:rsid w:val="005864AA"/>
    <w:rsid w:val="00586793"/>
    <w:rsid w:val="00590347"/>
    <w:rsid w:val="00590631"/>
    <w:rsid w:val="0059093A"/>
    <w:rsid w:val="005910E2"/>
    <w:rsid w:val="00591C00"/>
    <w:rsid w:val="00591FBB"/>
    <w:rsid w:val="0059218E"/>
    <w:rsid w:val="005922B6"/>
    <w:rsid w:val="00592306"/>
    <w:rsid w:val="00592984"/>
    <w:rsid w:val="00592DFF"/>
    <w:rsid w:val="00593B55"/>
    <w:rsid w:val="0059423C"/>
    <w:rsid w:val="00594C94"/>
    <w:rsid w:val="00594FCF"/>
    <w:rsid w:val="005952E8"/>
    <w:rsid w:val="0059543C"/>
    <w:rsid w:val="00595505"/>
    <w:rsid w:val="00595F99"/>
    <w:rsid w:val="00596492"/>
    <w:rsid w:val="005974DE"/>
    <w:rsid w:val="005977B3"/>
    <w:rsid w:val="005A040F"/>
    <w:rsid w:val="005A05BA"/>
    <w:rsid w:val="005A0B37"/>
    <w:rsid w:val="005A0D31"/>
    <w:rsid w:val="005A1123"/>
    <w:rsid w:val="005A173C"/>
    <w:rsid w:val="005A1958"/>
    <w:rsid w:val="005A1C18"/>
    <w:rsid w:val="005A26C1"/>
    <w:rsid w:val="005A2791"/>
    <w:rsid w:val="005A3036"/>
    <w:rsid w:val="005A3426"/>
    <w:rsid w:val="005A38B0"/>
    <w:rsid w:val="005A44B1"/>
    <w:rsid w:val="005A49C8"/>
    <w:rsid w:val="005A5128"/>
    <w:rsid w:val="005A7D5B"/>
    <w:rsid w:val="005A7D86"/>
    <w:rsid w:val="005B02AA"/>
    <w:rsid w:val="005B0606"/>
    <w:rsid w:val="005B1687"/>
    <w:rsid w:val="005B1815"/>
    <w:rsid w:val="005B18DD"/>
    <w:rsid w:val="005B1E0B"/>
    <w:rsid w:val="005B2E00"/>
    <w:rsid w:val="005B341E"/>
    <w:rsid w:val="005B36F5"/>
    <w:rsid w:val="005B3C1A"/>
    <w:rsid w:val="005B43AF"/>
    <w:rsid w:val="005B4693"/>
    <w:rsid w:val="005B4895"/>
    <w:rsid w:val="005B4DF5"/>
    <w:rsid w:val="005B509B"/>
    <w:rsid w:val="005B51C9"/>
    <w:rsid w:val="005B541A"/>
    <w:rsid w:val="005B6497"/>
    <w:rsid w:val="005B64DB"/>
    <w:rsid w:val="005B6DDD"/>
    <w:rsid w:val="005B7031"/>
    <w:rsid w:val="005B717F"/>
    <w:rsid w:val="005B7C84"/>
    <w:rsid w:val="005C005C"/>
    <w:rsid w:val="005C048F"/>
    <w:rsid w:val="005C04CF"/>
    <w:rsid w:val="005C1AD1"/>
    <w:rsid w:val="005C1B6C"/>
    <w:rsid w:val="005C1B71"/>
    <w:rsid w:val="005C2DC4"/>
    <w:rsid w:val="005C2DE1"/>
    <w:rsid w:val="005C3D9C"/>
    <w:rsid w:val="005C4281"/>
    <w:rsid w:val="005C4CFC"/>
    <w:rsid w:val="005C4F81"/>
    <w:rsid w:val="005C5676"/>
    <w:rsid w:val="005C6417"/>
    <w:rsid w:val="005C6A2C"/>
    <w:rsid w:val="005D0974"/>
    <w:rsid w:val="005D09CA"/>
    <w:rsid w:val="005D11B5"/>
    <w:rsid w:val="005D1A03"/>
    <w:rsid w:val="005D1E44"/>
    <w:rsid w:val="005D4ECB"/>
    <w:rsid w:val="005D5103"/>
    <w:rsid w:val="005D5942"/>
    <w:rsid w:val="005D657B"/>
    <w:rsid w:val="005D686B"/>
    <w:rsid w:val="005D6E58"/>
    <w:rsid w:val="005D706C"/>
    <w:rsid w:val="005E0A86"/>
    <w:rsid w:val="005E13C2"/>
    <w:rsid w:val="005E1744"/>
    <w:rsid w:val="005E220E"/>
    <w:rsid w:val="005E2DCF"/>
    <w:rsid w:val="005E315D"/>
    <w:rsid w:val="005E3EBC"/>
    <w:rsid w:val="005E3F7D"/>
    <w:rsid w:val="005E444D"/>
    <w:rsid w:val="005E4476"/>
    <w:rsid w:val="005E514E"/>
    <w:rsid w:val="005E536A"/>
    <w:rsid w:val="005E5470"/>
    <w:rsid w:val="005E582A"/>
    <w:rsid w:val="005E5960"/>
    <w:rsid w:val="005E621F"/>
    <w:rsid w:val="005E6312"/>
    <w:rsid w:val="005E64F6"/>
    <w:rsid w:val="005E689F"/>
    <w:rsid w:val="005E70FA"/>
    <w:rsid w:val="005F0731"/>
    <w:rsid w:val="005F0D2E"/>
    <w:rsid w:val="005F1515"/>
    <w:rsid w:val="005F1AC2"/>
    <w:rsid w:val="005F2373"/>
    <w:rsid w:val="005F2832"/>
    <w:rsid w:val="005F2966"/>
    <w:rsid w:val="005F297E"/>
    <w:rsid w:val="005F308B"/>
    <w:rsid w:val="005F3380"/>
    <w:rsid w:val="005F38D9"/>
    <w:rsid w:val="005F3B1E"/>
    <w:rsid w:val="005F41E9"/>
    <w:rsid w:val="005F5824"/>
    <w:rsid w:val="005F6172"/>
    <w:rsid w:val="005F68A1"/>
    <w:rsid w:val="005F70F6"/>
    <w:rsid w:val="005F783D"/>
    <w:rsid w:val="0060041F"/>
    <w:rsid w:val="006011CB"/>
    <w:rsid w:val="006014AA"/>
    <w:rsid w:val="00601510"/>
    <w:rsid w:val="006017C2"/>
    <w:rsid w:val="00601C70"/>
    <w:rsid w:val="00602646"/>
    <w:rsid w:val="006043F6"/>
    <w:rsid w:val="006049E5"/>
    <w:rsid w:val="0060544B"/>
    <w:rsid w:val="006062CC"/>
    <w:rsid w:val="0060690B"/>
    <w:rsid w:val="00607C4C"/>
    <w:rsid w:val="00610B2F"/>
    <w:rsid w:val="006113AF"/>
    <w:rsid w:val="00611689"/>
    <w:rsid w:val="00611BB5"/>
    <w:rsid w:val="00611EB9"/>
    <w:rsid w:val="00612466"/>
    <w:rsid w:val="00612EFF"/>
    <w:rsid w:val="006135E8"/>
    <w:rsid w:val="006148E9"/>
    <w:rsid w:val="0061510B"/>
    <w:rsid w:val="0061662C"/>
    <w:rsid w:val="0061663B"/>
    <w:rsid w:val="00616EC0"/>
    <w:rsid w:val="0061736F"/>
    <w:rsid w:val="006173C0"/>
    <w:rsid w:val="00617944"/>
    <w:rsid w:val="00617A58"/>
    <w:rsid w:val="00617AB1"/>
    <w:rsid w:val="00617E0C"/>
    <w:rsid w:val="00620C73"/>
    <w:rsid w:val="00621613"/>
    <w:rsid w:val="00621FBC"/>
    <w:rsid w:val="00622574"/>
    <w:rsid w:val="00622CE5"/>
    <w:rsid w:val="0062354C"/>
    <w:rsid w:val="0062356E"/>
    <w:rsid w:val="0062364F"/>
    <w:rsid w:val="00623F8B"/>
    <w:rsid w:val="0062472A"/>
    <w:rsid w:val="00624A37"/>
    <w:rsid w:val="00624F93"/>
    <w:rsid w:val="006250B7"/>
    <w:rsid w:val="00625109"/>
    <w:rsid w:val="006251D5"/>
    <w:rsid w:val="006255EC"/>
    <w:rsid w:val="0062724C"/>
    <w:rsid w:val="00630801"/>
    <w:rsid w:val="00630840"/>
    <w:rsid w:val="006311DA"/>
    <w:rsid w:val="00631D79"/>
    <w:rsid w:val="00631E3D"/>
    <w:rsid w:val="00633219"/>
    <w:rsid w:val="00633690"/>
    <w:rsid w:val="006337D5"/>
    <w:rsid w:val="0063439B"/>
    <w:rsid w:val="00634432"/>
    <w:rsid w:val="0063466E"/>
    <w:rsid w:val="00634B91"/>
    <w:rsid w:val="006359C8"/>
    <w:rsid w:val="00635FA5"/>
    <w:rsid w:val="00637466"/>
    <w:rsid w:val="006378A7"/>
    <w:rsid w:val="006404AA"/>
    <w:rsid w:val="00640CA6"/>
    <w:rsid w:val="00641388"/>
    <w:rsid w:val="00641571"/>
    <w:rsid w:val="00643BB7"/>
    <w:rsid w:val="0064403A"/>
    <w:rsid w:val="006444CE"/>
    <w:rsid w:val="006452C4"/>
    <w:rsid w:val="0064560B"/>
    <w:rsid w:val="006503C8"/>
    <w:rsid w:val="006504DE"/>
    <w:rsid w:val="006515D2"/>
    <w:rsid w:val="006521A1"/>
    <w:rsid w:val="006523DC"/>
    <w:rsid w:val="00652414"/>
    <w:rsid w:val="00652CB2"/>
    <w:rsid w:val="0065320A"/>
    <w:rsid w:val="006534B7"/>
    <w:rsid w:val="00653712"/>
    <w:rsid w:val="00653735"/>
    <w:rsid w:val="00653DE6"/>
    <w:rsid w:val="006540F9"/>
    <w:rsid w:val="00654AC6"/>
    <w:rsid w:val="00655439"/>
    <w:rsid w:val="00656A5C"/>
    <w:rsid w:val="00656B94"/>
    <w:rsid w:val="00656C07"/>
    <w:rsid w:val="00656C6F"/>
    <w:rsid w:val="00656E50"/>
    <w:rsid w:val="006572C6"/>
    <w:rsid w:val="0065764B"/>
    <w:rsid w:val="00660671"/>
    <w:rsid w:val="00660B15"/>
    <w:rsid w:val="00662034"/>
    <w:rsid w:val="006623CA"/>
    <w:rsid w:val="0066300C"/>
    <w:rsid w:val="006638AA"/>
    <w:rsid w:val="006643EC"/>
    <w:rsid w:val="00665083"/>
    <w:rsid w:val="00665477"/>
    <w:rsid w:val="00665D8C"/>
    <w:rsid w:val="00666345"/>
    <w:rsid w:val="00666419"/>
    <w:rsid w:val="006664A8"/>
    <w:rsid w:val="00666BA6"/>
    <w:rsid w:val="00666C6A"/>
    <w:rsid w:val="00667CEB"/>
    <w:rsid w:val="0067018E"/>
    <w:rsid w:val="006702F3"/>
    <w:rsid w:val="00670ECD"/>
    <w:rsid w:val="006711AB"/>
    <w:rsid w:val="006714DE"/>
    <w:rsid w:val="00671803"/>
    <w:rsid w:val="00671861"/>
    <w:rsid w:val="00671BE2"/>
    <w:rsid w:val="00671F14"/>
    <w:rsid w:val="006720B2"/>
    <w:rsid w:val="00672173"/>
    <w:rsid w:val="00672CBC"/>
    <w:rsid w:val="00672D5F"/>
    <w:rsid w:val="0067323A"/>
    <w:rsid w:val="00673841"/>
    <w:rsid w:val="00673865"/>
    <w:rsid w:val="00673988"/>
    <w:rsid w:val="00673A2B"/>
    <w:rsid w:val="00674049"/>
    <w:rsid w:val="00675526"/>
    <w:rsid w:val="00675740"/>
    <w:rsid w:val="006761F1"/>
    <w:rsid w:val="006769ED"/>
    <w:rsid w:val="00676AE3"/>
    <w:rsid w:val="00676F95"/>
    <w:rsid w:val="00677537"/>
    <w:rsid w:val="00680267"/>
    <w:rsid w:val="0068044C"/>
    <w:rsid w:val="006805F3"/>
    <w:rsid w:val="00680EEE"/>
    <w:rsid w:val="0068171E"/>
    <w:rsid w:val="006818A8"/>
    <w:rsid w:val="00682050"/>
    <w:rsid w:val="006820B4"/>
    <w:rsid w:val="00682DFA"/>
    <w:rsid w:val="0068361C"/>
    <w:rsid w:val="00683857"/>
    <w:rsid w:val="006838EB"/>
    <w:rsid w:val="006839F2"/>
    <w:rsid w:val="00683F7F"/>
    <w:rsid w:val="006845A4"/>
    <w:rsid w:val="00685A0C"/>
    <w:rsid w:val="00685F11"/>
    <w:rsid w:val="00686351"/>
    <w:rsid w:val="00686683"/>
    <w:rsid w:val="0068742C"/>
    <w:rsid w:val="00687AF5"/>
    <w:rsid w:val="00687D17"/>
    <w:rsid w:val="006903E2"/>
    <w:rsid w:val="006909B1"/>
    <w:rsid w:val="00690FBB"/>
    <w:rsid w:val="00691BCB"/>
    <w:rsid w:val="00692402"/>
    <w:rsid w:val="00692532"/>
    <w:rsid w:val="00692841"/>
    <w:rsid w:val="00692955"/>
    <w:rsid w:val="00692A51"/>
    <w:rsid w:val="00692AD8"/>
    <w:rsid w:val="00694128"/>
    <w:rsid w:val="00695048"/>
    <w:rsid w:val="0069587C"/>
    <w:rsid w:val="00695A8E"/>
    <w:rsid w:val="00695D7F"/>
    <w:rsid w:val="00695E04"/>
    <w:rsid w:val="00696290"/>
    <w:rsid w:val="006968E9"/>
    <w:rsid w:val="00697472"/>
    <w:rsid w:val="0069756A"/>
    <w:rsid w:val="00697A2B"/>
    <w:rsid w:val="006A063F"/>
    <w:rsid w:val="006A23D0"/>
    <w:rsid w:val="006A2BA8"/>
    <w:rsid w:val="006A2FA6"/>
    <w:rsid w:val="006A5128"/>
    <w:rsid w:val="006A5228"/>
    <w:rsid w:val="006A551E"/>
    <w:rsid w:val="006A58EE"/>
    <w:rsid w:val="006A59B7"/>
    <w:rsid w:val="006A67EA"/>
    <w:rsid w:val="006A69B4"/>
    <w:rsid w:val="006A6B07"/>
    <w:rsid w:val="006A6CD6"/>
    <w:rsid w:val="006A70B6"/>
    <w:rsid w:val="006A73AC"/>
    <w:rsid w:val="006A7868"/>
    <w:rsid w:val="006A7B34"/>
    <w:rsid w:val="006A7CAD"/>
    <w:rsid w:val="006B0AD4"/>
    <w:rsid w:val="006B0DDA"/>
    <w:rsid w:val="006B10D3"/>
    <w:rsid w:val="006B1DF4"/>
    <w:rsid w:val="006B2BFC"/>
    <w:rsid w:val="006B3408"/>
    <w:rsid w:val="006B34AD"/>
    <w:rsid w:val="006B4CB7"/>
    <w:rsid w:val="006B5275"/>
    <w:rsid w:val="006B5359"/>
    <w:rsid w:val="006B6194"/>
    <w:rsid w:val="006B6809"/>
    <w:rsid w:val="006B6F00"/>
    <w:rsid w:val="006B6F61"/>
    <w:rsid w:val="006B7C2D"/>
    <w:rsid w:val="006C027F"/>
    <w:rsid w:val="006C064E"/>
    <w:rsid w:val="006C0B7A"/>
    <w:rsid w:val="006C0E7A"/>
    <w:rsid w:val="006C11FB"/>
    <w:rsid w:val="006C274F"/>
    <w:rsid w:val="006C2895"/>
    <w:rsid w:val="006C2FC3"/>
    <w:rsid w:val="006C3CC9"/>
    <w:rsid w:val="006C3EFA"/>
    <w:rsid w:val="006C4540"/>
    <w:rsid w:val="006C6737"/>
    <w:rsid w:val="006C6C10"/>
    <w:rsid w:val="006C6F71"/>
    <w:rsid w:val="006C7A23"/>
    <w:rsid w:val="006D0A87"/>
    <w:rsid w:val="006D0C98"/>
    <w:rsid w:val="006D104B"/>
    <w:rsid w:val="006D164B"/>
    <w:rsid w:val="006D1D64"/>
    <w:rsid w:val="006D2054"/>
    <w:rsid w:val="006D2CEA"/>
    <w:rsid w:val="006D326D"/>
    <w:rsid w:val="006D49A1"/>
    <w:rsid w:val="006D4CEE"/>
    <w:rsid w:val="006D5332"/>
    <w:rsid w:val="006D582E"/>
    <w:rsid w:val="006D6006"/>
    <w:rsid w:val="006D66E7"/>
    <w:rsid w:val="006D6CFF"/>
    <w:rsid w:val="006D6E71"/>
    <w:rsid w:val="006D7640"/>
    <w:rsid w:val="006D7D4D"/>
    <w:rsid w:val="006E0338"/>
    <w:rsid w:val="006E1095"/>
    <w:rsid w:val="006E127D"/>
    <w:rsid w:val="006E1A38"/>
    <w:rsid w:val="006E1EFC"/>
    <w:rsid w:val="006E294D"/>
    <w:rsid w:val="006E3981"/>
    <w:rsid w:val="006E3B36"/>
    <w:rsid w:val="006E403A"/>
    <w:rsid w:val="006E419B"/>
    <w:rsid w:val="006E4E41"/>
    <w:rsid w:val="006E5115"/>
    <w:rsid w:val="006E62F3"/>
    <w:rsid w:val="006E6479"/>
    <w:rsid w:val="006E6481"/>
    <w:rsid w:val="006E6DD8"/>
    <w:rsid w:val="006E6DDF"/>
    <w:rsid w:val="006E6EA6"/>
    <w:rsid w:val="006E712A"/>
    <w:rsid w:val="006F005A"/>
    <w:rsid w:val="006F0D75"/>
    <w:rsid w:val="006F1F6D"/>
    <w:rsid w:val="006F1FE0"/>
    <w:rsid w:val="006F441F"/>
    <w:rsid w:val="006F55B5"/>
    <w:rsid w:val="006F58B8"/>
    <w:rsid w:val="006F60AA"/>
    <w:rsid w:val="006F6C67"/>
    <w:rsid w:val="006F6DBC"/>
    <w:rsid w:val="006F7B34"/>
    <w:rsid w:val="006F7C5D"/>
    <w:rsid w:val="00700702"/>
    <w:rsid w:val="007013CE"/>
    <w:rsid w:val="00701562"/>
    <w:rsid w:val="007018AE"/>
    <w:rsid w:val="00701DC4"/>
    <w:rsid w:val="00701FEE"/>
    <w:rsid w:val="007022F2"/>
    <w:rsid w:val="007024A6"/>
    <w:rsid w:val="007025C4"/>
    <w:rsid w:val="007028D3"/>
    <w:rsid w:val="007036AB"/>
    <w:rsid w:val="00703849"/>
    <w:rsid w:val="00703BEC"/>
    <w:rsid w:val="00704062"/>
    <w:rsid w:val="007045CE"/>
    <w:rsid w:val="00704971"/>
    <w:rsid w:val="00704C04"/>
    <w:rsid w:val="00704FBC"/>
    <w:rsid w:val="0070588B"/>
    <w:rsid w:val="007065A1"/>
    <w:rsid w:val="00706B92"/>
    <w:rsid w:val="0070701A"/>
    <w:rsid w:val="007070AB"/>
    <w:rsid w:val="0070712B"/>
    <w:rsid w:val="007074BE"/>
    <w:rsid w:val="0070750B"/>
    <w:rsid w:val="0071011C"/>
    <w:rsid w:val="00710BBF"/>
    <w:rsid w:val="007113E1"/>
    <w:rsid w:val="00711BA2"/>
    <w:rsid w:val="007126E5"/>
    <w:rsid w:val="00713001"/>
    <w:rsid w:val="00713230"/>
    <w:rsid w:val="00713DEE"/>
    <w:rsid w:val="00713FDA"/>
    <w:rsid w:val="00714256"/>
    <w:rsid w:val="00714CF8"/>
    <w:rsid w:val="007154CB"/>
    <w:rsid w:val="007159F1"/>
    <w:rsid w:val="00715B71"/>
    <w:rsid w:val="00715DE7"/>
    <w:rsid w:val="00717BD5"/>
    <w:rsid w:val="00717F65"/>
    <w:rsid w:val="0072135D"/>
    <w:rsid w:val="00721858"/>
    <w:rsid w:val="00721CF1"/>
    <w:rsid w:val="00722470"/>
    <w:rsid w:val="0072266B"/>
    <w:rsid w:val="00722CB0"/>
    <w:rsid w:val="00722DAA"/>
    <w:rsid w:val="00723167"/>
    <w:rsid w:val="007237DB"/>
    <w:rsid w:val="0072382A"/>
    <w:rsid w:val="007252F2"/>
    <w:rsid w:val="00725556"/>
    <w:rsid w:val="00725819"/>
    <w:rsid w:val="00725C22"/>
    <w:rsid w:val="007264B6"/>
    <w:rsid w:val="0072672F"/>
    <w:rsid w:val="00726943"/>
    <w:rsid w:val="00726E7D"/>
    <w:rsid w:val="007277ED"/>
    <w:rsid w:val="00730250"/>
    <w:rsid w:val="00731E6B"/>
    <w:rsid w:val="00731E76"/>
    <w:rsid w:val="007324CD"/>
    <w:rsid w:val="0073294D"/>
    <w:rsid w:val="00732BCA"/>
    <w:rsid w:val="00732D13"/>
    <w:rsid w:val="0073301B"/>
    <w:rsid w:val="007332EC"/>
    <w:rsid w:val="00733438"/>
    <w:rsid w:val="00735A5D"/>
    <w:rsid w:val="00736015"/>
    <w:rsid w:val="0073684F"/>
    <w:rsid w:val="00736BF9"/>
    <w:rsid w:val="00737126"/>
    <w:rsid w:val="007375EA"/>
    <w:rsid w:val="00737CB9"/>
    <w:rsid w:val="00740BDF"/>
    <w:rsid w:val="00740D2C"/>
    <w:rsid w:val="0074168D"/>
    <w:rsid w:val="00741915"/>
    <w:rsid w:val="00741A89"/>
    <w:rsid w:val="007422BA"/>
    <w:rsid w:val="007422C1"/>
    <w:rsid w:val="00742D5B"/>
    <w:rsid w:val="00743C55"/>
    <w:rsid w:val="00743FE3"/>
    <w:rsid w:val="007442F2"/>
    <w:rsid w:val="0074475E"/>
    <w:rsid w:val="00744DF4"/>
    <w:rsid w:val="00744E5C"/>
    <w:rsid w:val="00744EC9"/>
    <w:rsid w:val="0074630C"/>
    <w:rsid w:val="00746860"/>
    <w:rsid w:val="00746CDE"/>
    <w:rsid w:val="00747BEB"/>
    <w:rsid w:val="007501AF"/>
    <w:rsid w:val="00751F4E"/>
    <w:rsid w:val="0075266C"/>
    <w:rsid w:val="00752E17"/>
    <w:rsid w:val="007531A0"/>
    <w:rsid w:val="0075360E"/>
    <w:rsid w:val="00753B3B"/>
    <w:rsid w:val="00753D42"/>
    <w:rsid w:val="00754F68"/>
    <w:rsid w:val="007551B2"/>
    <w:rsid w:val="00755349"/>
    <w:rsid w:val="007553A4"/>
    <w:rsid w:val="00755DDD"/>
    <w:rsid w:val="00756865"/>
    <w:rsid w:val="0075719D"/>
    <w:rsid w:val="007576C4"/>
    <w:rsid w:val="00757753"/>
    <w:rsid w:val="007600FC"/>
    <w:rsid w:val="00760D06"/>
    <w:rsid w:val="007612D7"/>
    <w:rsid w:val="0076291C"/>
    <w:rsid w:val="00763417"/>
    <w:rsid w:val="00763767"/>
    <w:rsid w:val="007639CC"/>
    <w:rsid w:val="00763B2F"/>
    <w:rsid w:val="00763B6A"/>
    <w:rsid w:val="00764879"/>
    <w:rsid w:val="00766E4B"/>
    <w:rsid w:val="00770034"/>
    <w:rsid w:val="00770171"/>
    <w:rsid w:val="00770BC1"/>
    <w:rsid w:val="00770C66"/>
    <w:rsid w:val="00770E6D"/>
    <w:rsid w:val="007718EF"/>
    <w:rsid w:val="0077238B"/>
    <w:rsid w:val="00772AD2"/>
    <w:rsid w:val="007730AB"/>
    <w:rsid w:val="0077457B"/>
    <w:rsid w:val="007745FD"/>
    <w:rsid w:val="007749C4"/>
    <w:rsid w:val="00774CD4"/>
    <w:rsid w:val="00774EF8"/>
    <w:rsid w:val="007753CE"/>
    <w:rsid w:val="007754C9"/>
    <w:rsid w:val="0077592F"/>
    <w:rsid w:val="00775B46"/>
    <w:rsid w:val="00776011"/>
    <w:rsid w:val="00776370"/>
    <w:rsid w:val="007768CF"/>
    <w:rsid w:val="00776A62"/>
    <w:rsid w:val="007776E1"/>
    <w:rsid w:val="00780313"/>
    <w:rsid w:val="00781EDF"/>
    <w:rsid w:val="00782386"/>
    <w:rsid w:val="00782CD5"/>
    <w:rsid w:val="007831EB"/>
    <w:rsid w:val="00783402"/>
    <w:rsid w:val="007839A4"/>
    <w:rsid w:val="00783B90"/>
    <w:rsid w:val="00784877"/>
    <w:rsid w:val="00784F53"/>
    <w:rsid w:val="00785030"/>
    <w:rsid w:val="00785081"/>
    <w:rsid w:val="007853BF"/>
    <w:rsid w:val="007855E0"/>
    <w:rsid w:val="00785DCC"/>
    <w:rsid w:val="007868F6"/>
    <w:rsid w:val="00786AAA"/>
    <w:rsid w:val="00787126"/>
    <w:rsid w:val="00787636"/>
    <w:rsid w:val="00787A28"/>
    <w:rsid w:val="0079012E"/>
    <w:rsid w:val="007902C8"/>
    <w:rsid w:val="00790F83"/>
    <w:rsid w:val="007910E6"/>
    <w:rsid w:val="0079188B"/>
    <w:rsid w:val="007922F8"/>
    <w:rsid w:val="007928AB"/>
    <w:rsid w:val="00792F85"/>
    <w:rsid w:val="00793006"/>
    <w:rsid w:val="00793554"/>
    <w:rsid w:val="007936AF"/>
    <w:rsid w:val="0079399D"/>
    <w:rsid w:val="0079467B"/>
    <w:rsid w:val="00794C01"/>
    <w:rsid w:val="00794CD9"/>
    <w:rsid w:val="0079573F"/>
    <w:rsid w:val="0079582D"/>
    <w:rsid w:val="00796789"/>
    <w:rsid w:val="00796E66"/>
    <w:rsid w:val="007A01E6"/>
    <w:rsid w:val="007A13FB"/>
    <w:rsid w:val="007A2CCF"/>
    <w:rsid w:val="007A2DF7"/>
    <w:rsid w:val="007A381A"/>
    <w:rsid w:val="007A3F19"/>
    <w:rsid w:val="007A40A4"/>
    <w:rsid w:val="007A4327"/>
    <w:rsid w:val="007A512C"/>
    <w:rsid w:val="007A5211"/>
    <w:rsid w:val="007A5E4A"/>
    <w:rsid w:val="007A5F5E"/>
    <w:rsid w:val="007A60A8"/>
    <w:rsid w:val="007A610E"/>
    <w:rsid w:val="007A6867"/>
    <w:rsid w:val="007A6FC7"/>
    <w:rsid w:val="007B01D8"/>
    <w:rsid w:val="007B0378"/>
    <w:rsid w:val="007B0953"/>
    <w:rsid w:val="007B0C1F"/>
    <w:rsid w:val="007B149F"/>
    <w:rsid w:val="007B20CA"/>
    <w:rsid w:val="007B2E41"/>
    <w:rsid w:val="007B387C"/>
    <w:rsid w:val="007B3CE7"/>
    <w:rsid w:val="007B3EC2"/>
    <w:rsid w:val="007B4350"/>
    <w:rsid w:val="007B43BE"/>
    <w:rsid w:val="007B4ABC"/>
    <w:rsid w:val="007B4BA7"/>
    <w:rsid w:val="007B4DDC"/>
    <w:rsid w:val="007B52E1"/>
    <w:rsid w:val="007B67F5"/>
    <w:rsid w:val="007C0235"/>
    <w:rsid w:val="007C064F"/>
    <w:rsid w:val="007C0A20"/>
    <w:rsid w:val="007C1195"/>
    <w:rsid w:val="007C11AC"/>
    <w:rsid w:val="007C18AC"/>
    <w:rsid w:val="007C1C55"/>
    <w:rsid w:val="007C2F50"/>
    <w:rsid w:val="007C38ED"/>
    <w:rsid w:val="007C3FF0"/>
    <w:rsid w:val="007C490B"/>
    <w:rsid w:val="007C553B"/>
    <w:rsid w:val="007C5690"/>
    <w:rsid w:val="007C5A2C"/>
    <w:rsid w:val="007C6203"/>
    <w:rsid w:val="007C6264"/>
    <w:rsid w:val="007C6A59"/>
    <w:rsid w:val="007C7224"/>
    <w:rsid w:val="007C7599"/>
    <w:rsid w:val="007D01AB"/>
    <w:rsid w:val="007D0727"/>
    <w:rsid w:val="007D0AB6"/>
    <w:rsid w:val="007D0BEE"/>
    <w:rsid w:val="007D1466"/>
    <w:rsid w:val="007D1B35"/>
    <w:rsid w:val="007D1E90"/>
    <w:rsid w:val="007D2019"/>
    <w:rsid w:val="007D363D"/>
    <w:rsid w:val="007D4632"/>
    <w:rsid w:val="007D5097"/>
    <w:rsid w:val="007D5D9F"/>
    <w:rsid w:val="007D616B"/>
    <w:rsid w:val="007D7290"/>
    <w:rsid w:val="007D72B5"/>
    <w:rsid w:val="007E01A6"/>
    <w:rsid w:val="007E03D8"/>
    <w:rsid w:val="007E07EF"/>
    <w:rsid w:val="007E1260"/>
    <w:rsid w:val="007E19E9"/>
    <w:rsid w:val="007E21D0"/>
    <w:rsid w:val="007E4737"/>
    <w:rsid w:val="007E4CEE"/>
    <w:rsid w:val="007E6AC3"/>
    <w:rsid w:val="007E72F7"/>
    <w:rsid w:val="007E77D4"/>
    <w:rsid w:val="007E7BE7"/>
    <w:rsid w:val="007F02AC"/>
    <w:rsid w:val="007F0F35"/>
    <w:rsid w:val="007F1671"/>
    <w:rsid w:val="007F1A7D"/>
    <w:rsid w:val="007F1E43"/>
    <w:rsid w:val="007F2496"/>
    <w:rsid w:val="007F2612"/>
    <w:rsid w:val="007F28AC"/>
    <w:rsid w:val="007F2FD3"/>
    <w:rsid w:val="007F3443"/>
    <w:rsid w:val="007F35C3"/>
    <w:rsid w:val="007F3727"/>
    <w:rsid w:val="007F3DD6"/>
    <w:rsid w:val="007F4E3F"/>
    <w:rsid w:val="007F5875"/>
    <w:rsid w:val="007F5A11"/>
    <w:rsid w:val="007F6686"/>
    <w:rsid w:val="007F66C6"/>
    <w:rsid w:val="007F73B5"/>
    <w:rsid w:val="007F78D7"/>
    <w:rsid w:val="007F7B29"/>
    <w:rsid w:val="007F7BDD"/>
    <w:rsid w:val="007F7CFB"/>
    <w:rsid w:val="007F7D2B"/>
    <w:rsid w:val="0080004D"/>
    <w:rsid w:val="008003DD"/>
    <w:rsid w:val="00800643"/>
    <w:rsid w:val="008007DC"/>
    <w:rsid w:val="0080165E"/>
    <w:rsid w:val="00803E8E"/>
    <w:rsid w:val="00804A34"/>
    <w:rsid w:val="00805BF9"/>
    <w:rsid w:val="008063F3"/>
    <w:rsid w:val="00806FFC"/>
    <w:rsid w:val="008072B8"/>
    <w:rsid w:val="008076F2"/>
    <w:rsid w:val="008078A1"/>
    <w:rsid w:val="0081071B"/>
    <w:rsid w:val="00810F00"/>
    <w:rsid w:val="00810F97"/>
    <w:rsid w:val="008116F9"/>
    <w:rsid w:val="0081183A"/>
    <w:rsid w:val="0081239C"/>
    <w:rsid w:val="008123A5"/>
    <w:rsid w:val="0081287C"/>
    <w:rsid w:val="00813164"/>
    <w:rsid w:val="008135DA"/>
    <w:rsid w:val="008138AC"/>
    <w:rsid w:val="00813C68"/>
    <w:rsid w:val="0081534A"/>
    <w:rsid w:val="0081557C"/>
    <w:rsid w:val="00815A7B"/>
    <w:rsid w:val="008160D8"/>
    <w:rsid w:val="008160EA"/>
    <w:rsid w:val="008162B7"/>
    <w:rsid w:val="00816CEF"/>
    <w:rsid w:val="008174C9"/>
    <w:rsid w:val="00817504"/>
    <w:rsid w:val="008211E0"/>
    <w:rsid w:val="008216B2"/>
    <w:rsid w:val="00821AC0"/>
    <w:rsid w:val="00821DD9"/>
    <w:rsid w:val="00822355"/>
    <w:rsid w:val="008225E2"/>
    <w:rsid w:val="008225EA"/>
    <w:rsid w:val="0082289F"/>
    <w:rsid w:val="00822CBB"/>
    <w:rsid w:val="00823780"/>
    <w:rsid w:val="008243FE"/>
    <w:rsid w:val="0082447A"/>
    <w:rsid w:val="00824E4E"/>
    <w:rsid w:val="00826881"/>
    <w:rsid w:val="00826F3A"/>
    <w:rsid w:val="008271B8"/>
    <w:rsid w:val="008274C1"/>
    <w:rsid w:val="008276BF"/>
    <w:rsid w:val="008276E3"/>
    <w:rsid w:val="008276F4"/>
    <w:rsid w:val="008279D6"/>
    <w:rsid w:val="00827A3F"/>
    <w:rsid w:val="00827E32"/>
    <w:rsid w:val="0083027C"/>
    <w:rsid w:val="00830865"/>
    <w:rsid w:val="0083142F"/>
    <w:rsid w:val="00831DD6"/>
    <w:rsid w:val="0083200B"/>
    <w:rsid w:val="00832903"/>
    <w:rsid w:val="00832A09"/>
    <w:rsid w:val="00832CCC"/>
    <w:rsid w:val="008331B8"/>
    <w:rsid w:val="00833436"/>
    <w:rsid w:val="00833477"/>
    <w:rsid w:val="00834094"/>
    <w:rsid w:val="00834098"/>
    <w:rsid w:val="00834353"/>
    <w:rsid w:val="00834654"/>
    <w:rsid w:val="00834D37"/>
    <w:rsid w:val="0083506B"/>
    <w:rsid w:val="00835143"/>
    <w:rsid w:val="008354E2"/>
    <w:rsid w:val="008364E1"/>
    <w:rsid w:val="00837744"/>
    <w:rsid w:val="00840B3C"/>
    <w:rsid w:val="00840D88"/>
    <w:rsid w:val="0084141E"/>
    <w:rsid w:val="00841945"/>
    <w:rsid w:val="00841997"/>
    <w:rsid w:val="00841EE2"/>
    <w:rsid w:val="0084206D"/>
    <w:rsid w:val="008424C4"/>
    <w:rsid w:val="008429AB"/>
    <w:rsid w:val="00842A89"/>
    <w:rsid w:val="00842B66"/>
    <w:rsid w:val="008430F5"/>
    <w:rsid w:val="00843182"/>
    <w:rsid w:val="00843586"/>
    <w:rsid w:val="00843B98"/>
    <w:rsid w:val="008449E1"/>
    <w:rsid w:val="00845433"/>
    <w:rsid w:val="008456B5"/>
    <w:rsid w:val="00845A4F"/>
    <w:rsid w:val="00845E75"/>
    <w:rsid w:val="00850240"/>
    <w:rsid w:val="00850F3E"/>
    <w:rsid w:val="0085104B"/>
    <w:rsid w:val="0085110B"/>
    <w:rsid w:val="00851206"/>
    <w:rsid w:val="008512A4"/>
    <w:rsid w:val="00852388"/>
    <w:rsid w:val="008527AE"/>
    <w:rsid w:val="008527C6"/>
    <w:rsid w:val="00852C7B"/>
    <w:rsid w:val="0085300F"/>
    <w:rsid w:val="00853B7E"/>
    <w:rsid w:val="00853EC1"/>
    <w:rsid w:val="008544B1"/>
    <w:rsid w:val="00854F5B"/>
    <w:rsid w:val="00854FA9"/>
    <w:rsid w:val="008551A1"/>
    <w:rsid w:val="008555C0"/>
    <w:rsid w:val="00855915"/>
    <w:rsid w:val="00855C0E"/>
    <w:rsid w:val="00855CF4"/>
    <w:rsid w:val="0085682E"/>
    <w:rsid w:val="008569B5"/>
    <w:rsid w:val="00856AEE"/>
    <w:rsid w:val="008574DE"/>
    <w:rsid w:val="00857550"/>
    <w:rsid w:val="008576FF"/>
    <w:rsid w:val="008600DF"/>
    <w:rsid w:val="008611DF"/>
    <w:rsid w:val="00861426"/>
    <w:rsid w:val="008614B3"/>
    <w:rsid w:val="0086251D"/>
    <w:rsid w:val="00862825"/>
    <w:rsid w:val="0086295C"/>
    <w:rsid w:val="008629AD"/>
    <w:rsid w:val="00862C8A"/>
    <w:rsid w:val="008633D8"/>
    <w:rsid w:val="00863785"/>
    <w:rsid w:val="0086419D"/>
    <w:rsid w:val="008644D1"/>
    <w:rsid w:val="00864E24"/>
    <w:rsid w:val="00865654"/>
    <w:rsid w:val="00866713"/>
    <w:rsid w:val="008671C9"/>
    <w:rsid w:val="00867DCE"/>
    <w:rsid w:val="008700B6"/>
    <w:rsid w:val="008702E7"/>
    <w:rsid w:val="0087092C"/>
    <w:rsid w:val="00870A9A"/>
    <w:rsid w:val="00870E0F"/>
    <w:rsid w:val="00871467"/>
    <w:rsid w:val="00871D1B"/>
    <w:rsid w:val="00871E7F"/>
    <w:rsid w:val="00872083"/>
    <w:rsid w:val="00873027"/>
    <w:rsid w:val="0087305A"/>
    <w:rsid w:val="0087355A"/>
    <w:rsid w:val="00873747"/>
    <w:rsid w:val="008739F9"/>
    <w:rsid w:val="00873E83"/>
    <w:rsid w:val="008742C7"/>
    <w:rsid w:val="008746CD"/>
    <w:rsid w:val="00874E81"/>
    <w:rsid w:val="00875062"/>
    <w:rsid w:val="00875573"/>
    <w:rsid w:val="0087648F"/>
    <w:rsid w:val="00877201"/>
    <w:rsid w:val="00877547"/>
    <w:rsid w:val="008778C9"/>
    <w:rsid w:val="00877C5A"/>
    <w:rsid w:val="00877C79"/>
    <w:rsid w:val="00877EEA"/>
    <w:rsid w:val="00877FC1"/>
    <w:rsid w:val="00880687"/>
    <w:rsid w:val="008809E2"/>
    <w:rsid w:val="00880ADD"/>
    <w:rsid w:val="00880BDD"/>
    <w:rsid w:val="00880F50"/>
    <w:rsid w:val="008812A5"/>
    <w:rsid w:val="00882A14"/>
    <w:rsid w:val="00883875"/>
    <w:rsid w:val="008846F0"/>
    <w:rsid w:val="0088471C"/>
    <w:rsid w:val="00884ED2"/>
    <w:rsid w:val="00885050"/>
    <w:rsid w:val="00885621"/>
    <w:rsid w:val="008856C5"/>
    <w:rsid w:val="00885D89"/>
    <w:rsid w:val="00885E4D"/>
    <w:rsid w:val="008861B1"/>
    <w:rsid w:val="0088638E"/>
    <w:rsid w:val="0088654B"/>
    <w:rsid w:val="00886BF5"/>
    <w:rsid w:val="00886E8D"/>
    <w:rsid w:val="008878CF"/>
    <w:rsid w:val="00887FEA"/>
    <w:rsid w:val="00890133"/>
    <w:rsid w:val="00890947"/>
    <w:rsid w:val="008909FB"/>
    <w:rsid w:val="00890BED"/>
    <w:rsid w:val="00890CAF"/>
    <w:rsid w:val="00891257"/>
    <w:rsid w:val="00891D75"/>
    <w:rsid w:val="0089202A"/>
    <w:rsid w:val="0089251D"/>
    <w:rsid w:val="00892759"/>
    <w:rsid w:val="00892E7D"/>
    <w:rsid w:val="008939BF"/>
    <w:rsid w:val="008940B7"/>
    <w:rsid w:val="008945E6"/>
    <w:rsid w:val="00894701"/>
    <w:rsid w:val="00894BDA"/>
    <w:rsid w:val="00894C73"/>
    <w:rsid w:val="00895309"/>
    <w:rsid w:val="0089770C"/>
    <w:rsid w:val="008978E5"/>
    <w:rsid w:val="00897939"/>
    <w:rsid w:val="00897D13"/>
    <w:rsid w:val="008A06EC"/>
    <w:rsid w:val="008A0BAE"/>
    <w:rsid w:val="008A0E8C"/>
    <w:rsid w:val="008A1284"/>
    <w:rsid w:val="008A1926"/>
    <w:rsid w:val="008A1BFD"/>
    <w:rsid w:val="008A2493"/>
    <w:rsid w:val="008A253D"/>
    <w:rsid w:val="008A2614"/>
    <w:rsid w:val="008A395D"/>
    <w:rsid w:val="008A3BB1"/>
    <w:rsid w:val="008A3D24"/>
    <w:rsid w:val="008A45C3"/>
    <w:rsid w:val="008A4615"/>
    <w:rsid w:val="008A4DCB"/>
    <w:rsid w:val="008A4E6B"/>
    <w:rsid w:val="008A5976"/>
    <w:rsid w:val="008A64C7"/>
    <w:rsid w:val="008A79F6"/>
    <w:rsid w:val="008A7D52"/>
    <w:rsid w:val="008B0072"/>
    <w:rsid w:val="008B008A"/>
    <w:rsid w:val="008B089F"/>
    <w:rsid w:val="008B0FC3"/>
    <w:rsid w:val="008B10C4"/>
    <w:rsid w:val="008B17CC"/>
    <w:rsid w:val="008B29DA"/>
    <w:rsid w:val="008B2BB0"/>
    <w:rsid w:val="008B381C"/>
    <w:rsid w:val="008B4508"/>
    <w:rsid w:val="008B4585"/>
    <w:rsid w:val="008B502D"/>
    <w:rsid w:val="008B5034"/>
    <w:rsid w:val="008B5DD6"/>
    <w:rsid w:val="008B5E43"/>
    <w:rsid w:val="008B6085"/>
    <w:rsid w:val="008B69E2"/>
    <w:rsid w:val="008B717C"/>
    <w:rsid w:val="008B7A12"/>
    <w:rsid w:val="008B7BEF"/>
    <w:rsid w:val="008B7C40"/>
    <w:rsid w:val="008C0C8A"/>
    <w:rsid w:val="008C188D"/>
    <w:rsid w:val="008C1981"/>
    <w:rsid w:val="008C2BEE"/>
    <w:rsid w:val="008C3D43"/>
    <w:rsid w:val="008C4B36"/>
    <w:rsid w:val="008C4CB2"/>
    <w:rsid w:val="008C5B85"/>
    <w:rsid w:val="008C5C45"/>
    <w:rsid w:val="008C6886"/>
    <w:rsid w:val="008C68F4"/>
    <w:rsid w:val="008C69BA"/>
    <w:rsid w:val="008C6BAA"/>
    <w:rsid w:val="008C6F26"/>
    <w:rsid w:val="008C76A1"/>
    <w:rsid w:val="008C7B53"/>
    <w:rsid w:val="008D0573"/>
    <w:rsid w:val="008D192B"/>
    <w:rsid w:val="008D20D5"/>
    <w:rsid w:val="008D23B7"/>
    <w:rsid w:val="008D244A"/>
    <w:rsid w:val="008D32ED"/>
    <w:rsid w:val="008D39C5"/>
    <w:rsid w:val="008D3DA6"/>
    <w:rsid w:val="008D40C6"/>
    <w:rsid w:val="008D4329"/>
    <w:rsid w:val="008D4927"/>
    <w:rsid w:val="008D4F52"/>
    <w:rsid w:val="008D56F1"/>
    <w:rsid w:val="008D5766"/>
    <w:rsid w:val="008D584F"/>
    <w:rsid w:val="008D594E"/>
    <w:rsid w:val="008D5C24"/>
    <w:rsid w:val="008D5E6B"/>
    <w:rsid w:val="008D60EC"/>
    <w:rsid w:val="008D6335"/>
    <w:rsid w:val="008D7452"/>
    <w:rsid w:val="008D7936"/>
    <w:rsid w:val="008D7EA4"/>
    <w:rsid w:val="008E01FB"/>
    <w:rsid w:val="008E0E11"/>
    <w:rsid w:val="008E0EDF"/>
    <w:rsid w:val="008E1F0C"/>
    <w:rsid w:val="008E2011"/>
    <w:rsid w:val="008E2B82"/>
    <w:rsid w:val="008E2FD9"/>
    <w:rsid w:val="008E399F"/>
    <w:rsid w:val="008E39EE"/>
    <w:rsid w:val="008E3B50"/>
    <w:rsid w:val="008E3CAA"/>
    <w:rsid w:val="008E3F67"/>
    <w:rsid w:val="008E400F"/>
    <w:rsid w:val="008E4539"/>
    <w:rsid w:val="008E4919"/>
    <w:rsid w:val="008E4D49"/>
    <w:rsid w:val="008E51EC"/>
    <w:rsid w:val="008E5645"/>
    <w:rsid w:val="008E5900"/>
    <w:rsid w:val="008E77AD"/>
    <w:rsid w:val="008E7F75"/>
    <w:rsid w:val="008F02D3"/>
    <w:rsid w:val="008F032D"/>
    <w:rsid w:val="008F0B0A"/>
    <w:rsid w:val="008F15BE"/>
    <w:rsid w:val="008F15DA"/>
    <w:rsid w:val="008F2113"/>
    <w:rsid w:val="008F29DE"/>
    <w:rsid w:val="008F3145"/>
    <w:rsid w:val="008F37A6"/>
    <w:rsid w:val="008F43D7"/>
    <w:rsid w:val="008F506D"/>
    <w:rsid w:val="008F530E"/>
    <w:rsid w:val="008F664C"/>
    <w:rsid w:val="008F69C9"/>
    <w:rsid w:val="008F7020"/>
    <w:rsid w:val="008F7624"/>
    <w:rsid w:val="0090002B"/>
    <w:rsid w:val="009000CE"/>
    <w:rsid w:val="009003B5"/>
    <w:rsid w:val="00901097"/>
    <w:rsid w:val="00901510"/>
    <w:rsid w:val="009017F3"/>
    <w:rsid w:val="009033B8"/>
    <w:rsid w:val="0090340D"/>
    <w:rsid w:val="009040B1"/>
    <w:rsid w:val="009047CB"/>
    <w:rsid w:val="00905DCF"/>
    <w:rsid w:val="009065E4"/>
    <w:rsid w:val="00906838"/>
    <w:rsid w:val="009079B0"/>
    <w:rsid w:val="00910BFC"/>
    <w:rsid w:val="009111D8"/>
    <w:rsid w:val="0091206A"/>
    <w:rsid w:val="00912CDC"/>
    <w:rsid w:val="00913DEB"/>
    <w:rsid w:val="00913EA7"/>
    <w:rsid w:val="00913F78"/>
    <w:rsid w:val="00915585"/>
    <w:rsid w:val="009164E7"/>
    <w:rsid w:val="009164F9"/>
    <w:rsid w:val="00916D23"/>
    <w:rsid w:val="009175B8"/>
    <w:rsid w:val="009175FD"/>
    <w:rsid w:val="009176D5"/>
    <w:rsid w:val="00920019"/>
    <w:rsid w:val="00920C25"/>
    <w:rsid w:val="0092132D"/>
    <w:rsid w:val="0092169B"/>
    <w:rsid w:val="009219A9"/>
    <w:rsid w:val="009227E8"/>
    <w:rsid w:val="009232F8"/>
    <w:rsid w:val="009240D0"/>
    <w:rsid w:val="00925A6C"/>
    <w:rsid w:val="00925B4F"/>
    <w:rsid w:val="00925ED6"/>
    <w:rsid w:val="00925EED"/>
    <w:rsid w:val="00926198"/>
    <w:rsid w:val="009261EE"/>
    <w:rsid w:val="00926606"/>
    <w:rsid w:val="00930088"/>
    <w:rsid w:val="009303F3"/>
    <w:rsid w:val="009311AF"/>
    <w:rsid w:val="00931D25"/>
    <w:rsid w:val="00932194"/>
    <w:rsid w:val="00932320"/>
    <w:rsid w:val="00932671"/>
    <w:rsid w:val="00932BB6"/>
    <w:rsid w:val="00932CDB"/>
    <w:rsid w:val="00933526"/>
    <w:rsid w:val="00933ACD"/>
    <w:rsid w:val="00933E6E"/>
    <w:rsid w:val="00933FEF"/>
    <w:rsid w:val="009345F4"/>
    <w:rsid w:val="009348D7"/>
    <w:rsid w:val="009355EB"/>
    <w:rsid w:val="00935634"/>
    <w:rsid w:val="00935C3F"/>
    <w:rsid w:val="009363D2"/>
    <w:rsid w:val="00936C1B"/>
    <w:rsid w:val="00937344"/>
    <w:rsid w:val="009374D9"/>
    <w:rsid w:val="00937508"/>
    <w:rsid w:val="00937DBF"/>
    <w:rsid w:val="00940146"/>
    <w:rsid w:val="00940554"/>
    <w:rsid w:val="00940657"/>
    <w:rsid w:val="00940BCC"/>
    <w:rsid w:val="00941520"/>
    <w:rsid w:val="0094284D"/>
    <w:rsid w:val="0094288B"/>
    <w:rsid w:val="009431D0"/>
    <w:rsid w:val="009433C8"/>
    <w:rsid w:val="00943D9E"/>
    <w:rsid w:val="00943E2A"/>
    <w:rsid w:val="00944214"/>
    <w:rsid w:val="009444AC"/>
    <w:rsid w:val="00945D24"/>
    <w:rsid w:val="0094652A"/>
    <w:rsid w:val="00946568"/>
    <w:rsid w:val="00946A53"/>
    <w:rsid w:val="009470BB"/>
    <w:rsid w:val="0094765C"/>
    <w:rsid w:val="00947B9E"/>
    <w:rsid w:val="00947F1D"/>
    <w:rsid w:val="009504A8"/>
    <w:rsid w:val="00950AB6"/>
    <w:rsid w:val="00950C34"/>
    <w:rsid w:val="009511AC"/>
    <w:rsid w:val="00951311"/>
    <w:rsid w:val="009513E0"/>
    <w:rsid w:val="00951830"/>
    <w:rsid w:val="00951F66"/>
    <w:rsid w:val="00952651"/>
    <w:rsid w:val="0095356A"/>
    <w:rsid w:val="00953729"/>
    <w:rsid w:val="00953856"/>
    <w:rsid w:val="0095593D"/>
    <w:rsid w:val="00955ADE"/>
    <w:rsid w:val="00955DE7"/>
    <w:rsid w:val="00956116"/>
    <w:rsid w:val="00956E6B"/>
    <w:rsid w:val="00956FA1"/>
    <w:rsid w:val="009576B5"/>
    <w:rsid w:val="00957788"/>
    <w:rsid w:val="00957A4B"/>
    <w:rsid w:val="00957CA9"/>
    <w:rsid w:val="00957E28"/>
    <w:rsid w:val="00960A1D"/>
    <w:rsid w:val="00960A77"/>
    <w:rsid w:val="00960E87"/>
    <w:rsid w:val="0096167B"/>
    <w:rsid w:val="00962B77"/>
    <w:rsid w:val="00962E19"/>
    <w:rsid w:val="00962E64"/>
    <w:rsid w:val="009635B5"/>
    <w:rsid w:val="00963C37"/>
    <w:rsid w:val="00963D5B"/>
    <w:rsid w:val="009642B5"/>
    <w:rsid w:val="0096566F"/>
    <w:rsid w:val="00965856"/>
    <w:rsid w:val="00965F2A"/>
    <w:rsid w:val="00965FEA"/>
    <w:rsid w:val="00966793"/>
    <w:rsid w:val="009700CC"/>
    <w:rsid w:val="00970824"/>
    <w:rsid w:val="009717B8"/>
    <w:rsid w:val="00971F16"/>
    <w:rsid w:val="00972A90"/>
    <w:rsid w:val="00973114"/>
    <w:rsid w:val="0097336B"/>
    <w:rsid w:val="00973875"/>
    <w:rsid w:val="0097424E"/>
    <w:rsid w:val="009747CC"/>
    <w:rsid w:val="00974CB2"/>
    <w:rsid w:val="00975497"/>
    <w:rsid w:val="009760E7"/>
    <w:rsid w:val="00976268"/>
    <w:rsid w:val="009801AE"/>
    <w:rsid w:val="00981038"/>
    <w:rsid w:val="0098104F"/>
    <w:rsid w:val="00982C14"/>
    <w:rsid w:val="00982FF5"/>
    <w:rsid w:val="0098351B"/>
    <w:rsid w:val="00983C84"/>
    <w:rsid w:val="00984405"/>
    <w:rsid w:val="009844BC"/>
    <w:rsid w:val="00984981"/>
    <w:rsid w:val="00984E14"/>
    <w:rsid w:val="00985408"/>
    <w:rsid w:val="00986514"/>
    <w:rsid w:val="00986D86"/>
    <w:rsid w:val="009870AA"/>
    <w:rsid w:val="009871CD"/>
    <w:rsid w:val="009872CB"/>
    <w:rsid w:val="00987354"/>
    <w:rsid w:val="009900F0"/>
    <w:rsid w:val="0099039C"/>
    <w:rsid w:val="009904ED"/>
    <w:rsid w:val="00990566"/>
    <w:rsid w:val="009909A4"/>
    <w:rsid w:val="00990ABE"/>
    <w:rsid w:val="00990CEE"/>
    <w:rsid w:val="00990D32"/>
    <w:rsid w:val="0099101A"/>
    <w:rsid w:val="0099138D"/>
    <w:rsid w:val="009915F8"/>
    <w:rsid w:val="00991FAB"/>
    <w:rsid w:val="009923CD"/>
    <w:rsid w:val="00992516"/>
    <w:rsid w:val="00992564"/>
    <w:rsid w:val="00993621"/>
    <w:rsid w:val="0099404B"/>
    <w:rsid w:val="0099488F"/>
    <w:rsid w:val="009949D0"/>
    <w:rsid w:val="00994A81"/>
    <w:rsid w:val="00995184"/>
    <w:rsid w:val="00995D89"/>
    <w:rsid w:val="00995DA4"/>
    <w:rsid w:val="009965C6"/>
    <w:rsid w:val="00996AB3"/>
    <w:rsid w:val="00996E7D"/>
    <w:rsid w:val="009A0229"/>
    <w:rsid w:val="009A0B9C"/>
    <w:rsid w:val="009A0D37"/>
    <w:rsid w:val="009A0E11"/>
    <w:rsid w:val="009A0F75"/>
    <w:rsid w:val="009A1C70"/>
    <w:rsid w:val="009A2AE8"/>
    <w:rsid w:val="009A320F"/>
    <w:rsid w:val="009A35FA"/>
    <w:rsid w:val="009A42EB"/>
    <w:rsid w:val="009A4D84"/>
    <w:rsid w:val="009A4EED"/>
    <w:rsid w:val="009A5162"/>
    <w:rsid w:val="009A5486"/>
    <w:rsid w:val="009A6072"/>
    <w:rsid w:val="009A657C"/>
    <w:rsid w:val="009A6BA9"/>
    <w:rsid w:val="009A7B80"/>
    <w:rsid w:val="009A7BE2"/>
    <w:rsid w:val="009B0DC3"/>
    <w:rsid w:val="009B0EAB"/>
    <w:rsid w:val="009B26F3"/>
    <w:rsid w:val="009B28BA"/>
    <w:rsid w:val="009B2A8E"/>
    <w:rsid w:val="009B3370"/>
    <w:rsid w:val="009B34C8"/>
    <w:rsid w:val="009B359A"/>
    <w:rsid w:val="009B39BF"/>
    <w:rsid w:val="009B43E1"/>
    <w:rsid w:val="009B4CC0"/>
    <w:rsid w:val="009B59BD"/>
    <w:rsid w:val="009B63D2"/>
    <w:rsid w:val="009B6502"/>
    <w:rsid w:val="009B657A"/>
    <w:rsid w:val="009B6D08"/>
    <w:rsid w:val="009B6DCF"/>
    <w:rsid w:val="009B6F94"/>
    <w:rsid w:val="009B709F"/>
    <w:rsid w:val="009B725D"/>
    <w:rsid w:val="009B728B"/>
    <w:rsid w:val="009B7BB0"/>
    <w:rsid w:val="009C0145"/>
    <w:rsid w:val="009C07AF"/>
    <w:rsid w:val="009C097F"/>
    <w:rsid w:val="009C1051"/>
    <w:rsid w:val="009C2B81"/>
    <w:rsid w:val="009C3431"/>
    <w:rsid w:val="009C48F0"/>
    <w:rsid w:val="009C4D3A"/>
    <w:rsid w:val="009C4EFE"/>
    <w:rsid w:val="009C4F58"/>
    <w:rsid w:val="009C4F80"/>
    <w:rsid w:val="009C5374"/>
    <w:rsid w:val="009C573C"/>
    <w:rsid w:val="009C6F35"/>
    <w:rsid w:val="009C782F"/>
    <w:rsid w:val="009D0240"/>
    <w:rsid w:val="009D0484"/>
    <w:rsid w:val="009D1E71"/>
    <w:rsid w:val="009D1FB5"/>
    <w:rsid w:val="009D28FB"/>
    <w:rsid w:val="009D3A39"/>
    <w:rsid w:val="009D4346"/>
    <w:rsid w:val="009D4B03"/>
    <w:rsid w:val="009D4DB3"/>
    <w:rsid w:val="009D5E29"/>
    <w:rsid w:val="009D6480"/>
    <w:rsid w:val="009D6CD0"/>
    <w:rsid w:val="009D76B9"/>
    <w:rsid w:val="009D7C30"/>
    <w:rsid w:val="009E0092"/>
    <w:rsid w:val="009E0423"/>
    <w:rsid w:val="009E177D"/>
    <w:rsid w:val="009E1CB8"/>
    <w:rsid w:val="009E1EB8"/>
    <w:rsid w:val="009E1FC5"/>
    <w:rsid w:val="009E2725"/>
    <w:rsid w:val="009E2BF5"/>
    <w:rsid w:val="009E2D3D"/>
    <w:rsid w:val="009E4B5B"/>
    <w:rsid w:val="009E6259"/>
    <w:rsid w:val="009E6423"/>
    <w:rsid w:val="009E647E"/>
    <w:rsid w:val="009E6698"/>
    <w:rsid w:val="009E69C5"/>
    <w:rsid w:val="009E6A83"/>
    <w:rsid w:val="009E7972"/>
    <w:rsid w:val="009E7EC3"/>
    <w:rsid w:val="009F0ECB"/>
    <w:rsid w:val="009F129A"/>
    <w:rsid w:val="009F143B"/>
    <w:rsid w:val="009F1A81"/>
    <w:rsid w:val="009F1BF3"/>
    <w:rsid w:val="009F2332"/>
    <w:rsid w:val="009F29CE"/>
    <w:rsid w:val="009F317E"/>
    <w:rsid w:val="009F36C2"/>
    <w:rsid w:val="009F3D8F"/>
    <w:rsid w:val="009F4413"/>
    <w:rsid w:val="009F461E"/>
    <w:rsid w:val="009F4E6D"/>
    <w:rsid w:val="009F4F97"/>
    <w:rsid w:val="009F51FF"/>
    <w:rsid w:val="009F54BB"/>
    <w:rsid w:val="009F625A"/>
    <w:rsid w:val="009F6D65"/>
    <w:rsid w:val="009F7A65"/>
    <w:rsid w:val="009F7F65"/>
    <w:rsid w:val="00A00616"/>
    <w:rsid w:val="00A007D5"/>
    <w:rsid w:val="00A00F08"/>
    <w:rsid w:val="00A01624"/>
    <w:rsid w:val="00A01CFB"/>
    <w:rsid w:val="00A01D8C"/>
    <w:rsid w:val="00A0218A"/>
    <w:rsid w:val="00A02854"/>
    <w:rsid w:val="00A038FD"/>
    <w:rsid w:val="00A04178"/>
    <w:rsid w:val="00A0424F"/>
    <w:rsid w:val="00A05B5A"/>
    <w:rsid w:val="00A05CF7"/>
    <w:rsid w:val="00A06552"/>
    <w:rsid w:val="00A07D1C"/>
    <w:rsid w:val="00A07FEF"/>
    <w:rsid w:val="00A106D3"/>
    <w:rsid w:val="00A119EA"/>
    <w:rsid w:val="00A11E36"/>
    <w:rsid w:val="00A12DC8"/>
    <w:rsid w:val="00A138E8"/>
    <w:rsid w:val="00A14324"/>
    <w:rsid w:val="00A147F8"/>
    <w:rsid w:val="00A14B03"/>
    <w:rsid w:val="00A14E7B"/>
    <w:rsid w:val="00A1622B"/>
    <w:rsid w:val="00A16854"/>
    <w:rsid w:val="00A16968"/>
    <w:rsid w:val="00A1712E"/>
    <w:rsid w:val="00A1735D"/>
    <w:rsid w:val="00A17594"/>
    <w:rsid w:val="00A1778E"/>
    <w:rsid w:val="00A178FE"/>
    <w:rsid w:val="00A17BDE"/>
    <w:rsid w:val="00A17FBC"/>
    <w:rsid w:val="00A201E8"/>
    <w:rsid w:val="00A2165F"/>
    <w:rsid w:val="00A21684"/>
    <w:rsid w:val="00A218E3"/>
    <w:rsid w:val="00A2193A"/>
    <w:rsid w:val="00A21F2F"/>
    <w:rsid w:val="00A222D4"/>
    <w:rsid w:val="00A23507"/>
    <w:rsid w:val="00A245D2"/>
    <w:rsid w:val="00A248E2"/>
    <w:rsid w:val="00A24AC7"/>
    <w:rsid w:val="00A24E79"/>
    <w:rsid w:val="00A24E99"/>
    <w:rsid w:val="00A25810"/>
    <w:rsid w:val="00A25DEB"/>
    <w:rsid w:val="00A25E1D"/>
    <w:rsid w:val="00A269D5"/>
    <w:rsid w:val="00A26C10"/>
    <w:rsid w:val="00A26C25"/>
    <w:rsid w:val="00A26C7B"/>
    <w:rsid w:val="00A26D69"/>
    <w:rsid w:val="00A26D8F"/>
    <w:rsid w:val="00A26FD3"/>
    <w:rsid w:val="00A27430"/>
    <w:rsid w:val="00A2765C"/>
    <w:rsid w:val="00A27D3D"/>
    <w:rsid w:val="00A27EBF"/>
    <w:rsid w:val="00A306A3"/>
    <w:rsid w:val="00A30A18"/>
    <w:rsid w:val="00A30AE6"/>
    <w:rsid w:val="00A31007"/>
    <w:rsid w:val="00A3173C"/>
    <w:rsid w:val="00A3194A"/>
    <w:rsid w:val="00A31BB2"/>
    <w:rsid w:val="00A32110"/>
    <w:rsid w:val="00A32BD8"/>
    <w:rsid w:val="00A33326"/>
    <w:rsid w:val="00A3350F"/>
    <w:rsid w:val="00A335CC"/>
    <w:rsid w:val="00A34040"/>
    <w:rsid w:val="00A355BA"/>
    <w:rsid w:val="00A3568C"/>
    <w:rsid w:val="00A3575C"/>
    <w:rsid w:val="00A3595E"/>
    <w:rsid w:val="00A365C8"/>
    <w:rsid w:val="00A36A06"/>
    <w:rsid w:val="00A372CB"/>
    <w:rsid w:val="00A375D4"/>
    <w:rsid w:val="00A3774E"/>
    <w:rsid w:val="00A37840"/>
    <w:rsid w:val="00A378BF"/>
    <w:rsid w:val="00A37C63"/>
    <w:rsid w:val="00A37E35"/>
    <w:rsid w:val="00A4096D"/>
    <w:rsid w:val="00A41441"/>
    <w:rsid w:val="00A427B0"/>
    <w:rsid w:val="00A427CE"/>
    <w:rsid w:val="00A42BB3"/>
    <w:rsid w:val="00A431BA"/>
    <w:rsid w:val="00A43EFB"/>
    <w:rsid w:val="00A43FB5"/>
    <w:rsid w:val="00A44E8D"/>
    <w:rsid w:val="00A462B2"/>
    <w:rsid w:val="00A462B3"/>
    <w:rsid w:val="00A46787"/>
    <w:rsid w:val="00A46929"/>
    <w:rsid w:val="00A46BDF"/>
    <w:rsid w:val="00A472DE"/>
    <w:rsid w:val="00A47658"/>
    <w:rsid w:val="00A47990"/>
    <w:rsid w:val="00A47F88"/>
    <w:rsid w:val="00A501E1"/>
    <w:rsid w:val="00A50D24"/>
    <w:rsid w:val="00A50DBF"/>
    <w:rsid w:val="00A50FD8"/>
    <w:rsid w:val="00A51A4A"/>
    <w:rsid w:val="00A51F53"/>
    <w:rsid w:val="00A5207A"/>
    <w:rsid w:val="00A525F2"/>
    <w:rsid w:val="00A5395F"/>
    <w:rsid w:val="00A54737"/>
    <w:rsid w:val="00A54A21"/>
    <w:rsid w:val="00A54C18"/>
    <w:rsid w:val="00A556B0"/>
    <w:rsid w:val="00A558A4"/>
    <w:rsid w:val="00A55CF9"/>
    <w:rsid w:val="00A56EF2"/>
    <w:rsid w:val="00A57366"/>
    <w:rsid w:val="00A57764"/>
    <w:rsid w:val="00A57DC8"/>
    <w:rsid w:val="00A605BF"/>
    <w:rsid w:val="00A609BA"/>
    <w:rsid w:val="00A60E5E"/>
    <w:rsid w:val="00A61317"/>
    <w:rsid w:val="00A615CC"/>
    <w:rsid w:val="00A61A40"/>
    <w:rsid w:val="00A61FBB"/>
    <w:rsid w:val="00A62116"/>
    <w:rsid w:val="00A62175"/>
    <w:rsid w:val="00A63848"/>
    <w:rsid w:val="00A64923"/>
    <w:rsid w:val="00A64B58"/>
    <w:rsid w:val="00A650C4"/>
    <w:rsid w:val="00A658AD"/>
    <w:rsid w:val="00A65CD8"/>
    <w:rsid w:val="00A667FE"/>
    <w:rsid w:val="00A67909"/>
    <w:rsid w:val="00A709C1"/>
    <w:rsid w:val="00A710A2"/>
    <w:rsid w:val="00A7134C"/>
    <w:rsid w:val="00A71B2B"/>
    <w:rsid w:val="00A72225"/>
    <w:rsid w:val="00A73D26"/>
    <w:rsid w:val="00A73DD3"/>
    <w:rsid w:val="00A73F60"/>
    <w:rsid w:val="00A747C9"/>
    <w:rsid w:val="00A7566A"/>
    <w:rsid w:val="00A75A3C"/>
    <w:rsid w:val="00A7635A"/>
    <w:rsid w:val="00A76724"/>
    <w:rsid w:val="00A77510"/>
    <w:rsid w:val="00A77905"/>
    <w:rsid w:val="00A77C4F"/>
    <w:rsid w:val="00A8010E"/>
    <w:rsid w:val="00A80308"/>
    <w:rsid w:val="00A808FA"/>
    <w:rsid w:val="00A80B26"/>
    <w:rsid w:val="00A80CCB"/>
    <w:rsid w:val="00A81313"/>
    <w:rsid w:val="00A8151D"/>
    <w:rsid w:val="00A81DE9"/>
    <w:rsid w:val="00A83BE2"/>
    <w:rsid w:val="00A84212"/>
    <w:rsid w:val="00A843B6"/>
    <w:rsid w:val="00A8458E"/>
    <w:rsid w:val="00A84E32"/>
    <w:rsid w:val="00A86224"/>
    <w:rsid w:val="00A867A0"/>
    <w:rsid w:val="00A8767A"/>
    <w:rsid w:val="00A876C2"/>
    <w:rsid w:val="00A877A8"/>
    <w:rsid w:val="00A87C90"/>
    <w:rsid w:val="00A902CA"/>
    <w:rsid w:val="00A9115B"/>
    <w:rsid w:val="00A91363"/>
    <w:rsid w:val="00A92B28"/>
    <w:rsid w:val="00A92D0F"/>
    <w:rsid w:val="00A9309A"/>
    <w:rsid w:val="00A9354D"/>
    <w:rsid w:val="00A93920"/>
    <w:rsid w:val="00A93C78"/>
    <w:rsid w:val="00A944C6"/>
    <w:rsid w:val="00A946F4"/>
    <w:rsid w:val="00A94731"/>
    <w:rsid w:val="00A95771"/>
    <w:rsid w:val="00A958AC"/>
    <w:rsid w:val="00A95CE6"/>
    <w:rsid w:val="00A96066"/>
    <w:rsid w:val="00A96498"/>
    <w:rsid w:val="00A97D3E"/>
    <w:rsid w:val="00AA06AE"/>
    <w:rsid w:val="00AA0D8B"/>
    <w:rsid w:val="00AA1249"/>
    <w:rsid w:val="00AA18D4"/>
    <w:rsid w:val="00AA1AFB"/>
    <w:rsid w:val="00AA1F8B"/>
    <w:rsid w:val="00AA239E"/>
    <w:rsid w:val="00AA298F"/>
    <w:rsid w:val="00AA2C17"/>
    <w:rsid w:val="00AA2CB8"/>
    <w:rsid w:val="00AA30B5"/>
    <w:rsid w:val="00AA487B"/>
    <w:rsid w:val="00AA4ADE"/>
    <w:rsid w:val="00AA4CA0"/>
    <w:rsid w:val="00AA4D02"/>
    <w:rsid w:val="00AA4F20"/>
    <w:rsid w:val="00AA6319"/>
    <w:rsid w:val="00AA63E2"/>
    <w:rsid w:val="00AA6538"/>
    <w:rsid w:val="00AA70AF"/>
    <w:rsid w:val="00AA718E"/>
    <w:rsid w:val="00AA77B7"/>
    <w:rsid w:val="00AB1202"/>
    <w:rsid w:val="00AB1229"/>
    <w:rsid w:val="00AB1476"/>
    <w:rsid w:val="00AB1E6C"/>
    <w:rsid w:val="00AB2307"/>
    <w:rsid w:val="00AB2EA9"/>
    <w:rsid w:val="00AB31AC"/>
    <w:rsid w:val="00AB31FD"/>
    <w:rsid w:val="00AB35A9"/>
    <w:rsid w:val="00AB47CE"/>
    <w:rsid w:val="00AB5C7C"/>
    <w:rsid w:val="00AB5D5D"/>
    <w:rsid w:val="00AB625B"/>
    <w:rsid w:val="00AB66B0"/>
    <w:rsid w:val="00AB6CFF"/>
    <w:rsid w:val="00AB7679"/>
    <w:rsid w:val="00AB769C"/>
    <w:rsid w:val="00AC0178"/>
    <w:rsid w:val="00AC177D"/>
    <w:rsid w:val="00AC25F7"/>
    <w:rsid w:val="00AC2A8D"/>
    <w:rsid w:val="00AC2E0B"/>
    <w:rsid w:val="00AC30AD"/>
    <w:rsid w:val="00AC3638"/>
    <w:rsid w:val="00AC5442"/>
    <w:rsid w:val="00AC5489"/>
    <w:rsid w:val="00AC64C7"/>
    <w:rsid w:val="00AC656B"/>
    <w:rsid w:val="00AC715A"/>
    <w:rsid w:val="00AC75E5"/>
    <w:rsid w:val="00AD0EB8"/>
    <w:rsid w:val="00AD1AB2"/>
    <w:rsid w:val="00AD1EE1"/>
    <w:rsid w:val="00AD2EFF"/>
    <w:rsid w:val="00AD3859"/>
    <w:rsid w:val="00AD3E5F"/>
    <w:rsid w:val="00AD4C8F"/>
    <w:rsid w:val="00AD508E"/>
    <w:rsid w:val="00AD50AE"/>
    <w:rsid w:val="00AD51C4"/>
    <w:rsid w:val="00AD5F80"/>
    <w:rsid w:val="00AD65D0"/>
    <w:rsid w:val="00AD68A4"/>
    <w:rsid w:val="00AD7F5E"/>
    <w:rsid w:val="00AE023C"/>
    <w:rsid w:val="00AE047A"/>
    <w:rsid w:val="00AE055A"/>
    <w:rsid w:val="00AE0F67"/>
    <w:rsid w:val="00AE13D7"/>
    <w:rsid w:val="00AE1C60"/>
    <w:rsid w:val="00AE1CBD"/>
    <w:rsid w:val="00AE2060"/>
    <w:rsid w:val="00AE2316"/>
    <w:rsid w:val="00AE2E00"/>
    <w:rsid w:val="00AE3291"/>
    <w:rsid w:val="00AE3E20"/>
    <w:rsid w:val="00AE4536"/>
    <w:rsid w:val="00AE5F36"/>
    <w:rsid w:val="00AE67B5"/>
    <w:rsid w:val="00AE6A41"/>
    <w:rsid w:val="00AE6AA4"/>
    <w:rsid w:val="00AE701A"/>
    <w:rsid w:val="00AE758E"/>
    <w:rsid w:val="00AE7C75"/>
    <w:rsid w:val="00AF050A"/>
    <w:rsid w:val="00AF07B5"/>
    <w:rsid w:val="00AF1FA2"/>
    <w:rsid w:val="00AF22EE"/>
    <w:rsid w:val="00AF2F5B"/>
    <w:rsid w:val="00AF3B9A"/>
    <w:rsid w:val="00AF3BF2"/>
    <w:rsid w:val="00AF3D1D"/>
    <w:rsid w:val="00AF43E1"/>
    <w:rsid w:val="00AF4A63"/>
    <w:rsid w:val="00AF4B33"/>
    <w:rsid w:val="00AF54A4"/>
    <w:rsid w:val="00AF5C86"/>
    <w:rsid w:val="00AF5D39"/>
    <w:rsid w:val="00AF5EF1"/>
    <w:rsid w:val="00AF62D2"/>
    <w:rsid w:val="00AF6E48"/>
    <w:rsid w:val="00AF73CA"/>
    <w:rsid w:val="00AF7D05"/>
    <w:rsid w:val="00AF7D92"/>
    <w:rsid w:val="00B00254"/>
    <w:rsid w:val="00B016AC"/>
    <w:rsid w:val="00B018E7"/>
    <w:rsid w:val="00B01B35"/>
    <w:rsid w:val="00B01F2D"/>
    <w:rsid w:val="00B024ED"/>
    <w:rsid w:val="00B02E4C"/>
    <w:rsid w:val="00B03B08"/>
    <w:rsid w:val="00B03C30"/>
    <w:rsid w:val="00B03F24"/>
    <w:rsid w:val="00B052BB"/>
    <w:rsid w:val="00B05A83"/>
    <w:rsid w:val="00B05CCF"/>
    <w:rsid w:val="00B065EF"/>
    <w:rsid w:val="00B06697"/>
    <w:rsid w:val="00B06D1C"/>
    <w:rsid w:val="00B070F0"/>
    <w:rsid w:val="00B10C89"/>
    <w:rsid w:val="00B114E1"/>
    <w:rsid w:val="00B11712"/>
    <w:rsid w:val="00B117C4"/>
    <w:rsid w:val="00B11F82"/>
    <w:rsid w:val="00B124CB"/>
    <w:rsid w:val="00B125F6"/>
    <w:rsid w:val="00B13065"/>
    <w:rsid w:val="00B1446A"/>
    <w:rsid w:val="00B145C0"/>
    <w:rsid w:val="00B149F1"/>
    <w:rsid w:val="00B14E61"/>
    <w:rsid w:val="00B15050"/>
    <w:rsid w:val="00B1677D"/>
    <w:rsid w:val="00B16F48"/>
    <w:rsid w:val="00B17838"/>
    <w:rsid w:val="00B17DF5"/>
    <w:rsid w:val="00B20A68"/>
    <w:rsid w:val="00B20B0E"/>
    <w:rsid w:val="00B20CB8"/>
    <w:rsid w:val="00B20DD2"/>
    <w:rsid w:val="00B20EEA"/>
    <w:rsid w:val="00B211FB"/>
    <w:rsid w:val="00B21322"/>
    <w:rsid w:val="00B21E41"/>
    <w:rsid w:val="00B2215B"/>
    <w:rsid w:val="00B22954"/>
    <w:rsid w:val="00B22DB2"/>
    <w:rsid w:val="00B23063"/>
    <w:rsid w:val="00B23B44"/>
    <w:rsid w:val="00B23B8C"/>
    <w:rsid w:val="00B23CDC"/>
    <w:rsid w:val="00B240B6"/>
    <w:rsid w:val="00B244DF"/>
    <w:rsid w:val="00B24690"/>
    <w:rsid w:val="00B25A72"/>
    <w:rsid w:val="00B25DB8"/>
    <w:rsid w:val="00B26597"/>
    <w:rsid w:val="00B2662A"/>
    <w:rsid w:val="00B26828"/>
    <w:rsid w:val="00B26ACD"/>
    <w:rsid w:val="00B3218D"/>
    <w:rsid w:val="00B32B13"/>
    <w:rsid w:val="00B3300D"/>
    <w:rsid w:val="00B33103"/>
    <w:rsid w:val="00B3350D"/>
    <w:rsid w:val="00B33BDA"/>
    <w:rsid w:val="00B33DEB"/>
    <w:rsid w:val="00B3499F"/>
    <w:rsid w:val="00B35DE7"/>
    <w:rsid w:val="00B3601E"/>
    <w:rsid w:val="00B36B9A"/>
    <w:rsid w:val="00B36C1A"/>
    <w:rsid w:val="00B36C74"/>
    <w:rsid w:val="00B375F7"/>
    <w:rsid w:val="00B3779C"/>
    <w:rsid w:val="00B37F0E"/>
    <w:rsid w:val="00B40B64"/>
    <w:rsid w:val="00B413B4"/>
    <w:rsid w:val="00B418BE"/>
    <w:rsid w:val="00B42643"/>
    <w:rsid w:val="00B42B6B"/>
    <w:rsid w:val="00B42CF0"/>
    <w:rsid w:val="00B43A29"/>
    <w:rsid w:val="00B43AEF"/>
    <w:rsid w:val="00B44017"/>
    <w:rsid w:val="00B44521"/>
    <w:rsid w:val="00B4496E"/>
    <w:rsid w:val="00B4539A"/>
    <w:rsid w:val="00B4545E"/>
    <w:rsid w:val="00B45857"/>
    <w:rsid w:val="00B45BDD"/>
    <w:rsid w:val="00B45D3D"/>
    <w:rsid w:val="00B46A03"/>
    <w:rsid w:val="00B47566"/>
    <w:rsid w:val="00B50AFF"/>
    <w:rsid w:val="00B50D54"/>
    <w:rsid w:val="00B51009"/>
    <w:rsid w:val="00B5108A"/>
    <w:rsid w:val="00B51AA1"/>
    <w:rsid w:val="00B51F96"/>
    <w:rsid w:val="00B52510"/>
    <w:rsid w:val="00B53D40"/>
    <w:rsid w:val="00B54136"/>
    <w:rsid w:val="00B5450E"/>
    <w:rsid w:val="00B551FC"/>
    <w:rsid w:val="00B55B8B"/>
    <w:rsid w:val="00B55E2B"/>
    <w:rsid w:val="00B55E7E"/>
    <w:rsid w:val="00B560EC"/>
    <w:rsid w:val="00B570F5"/>
    <w:rsid w:val="00B60279"/>
    <w:rsid w:val="00B603CB"/>
    <w:rsid w:val="00B60B2C"/>
    <w:rsid w:val="00B60CEA"/>
    <w:rsid w:val="00B610D2"/>
    <w:rsid w:val="00B61A31"/>
    <w:rsid w:val="00B61AC6"/>
    <w:rsid w:val="00B61B7E"/>
    <w:rsid w:val="00B61C87"/>
    <w:rsid w:val="00B61CD3"/>
    <w:rsid w:val="00B623C8"/>
    <w:rsid w:val="00B628A5"/>
    <w:rsid w:val="00B6292B"/>
    <w:rsid w:val="00B6368C"/>
    <w:rsid w:val="00B63844"/>
    <w:rsid w:val="00B63C7C"/>
    <w:rsid w:val="00B64ABB"/>
    <w:rsid w:val="00B64D67"/>
    <w:rsid w:val="00B65E4B"/>
    <w:rsid w:val="00B67870"/>
    <w:rsid w:val="00B70887"/>
    <w:rsid w:val="00B70D50"/>
    <w:rsid w:val="00B72E3F"/>
    <w:rsid w:val="00B741FE"/>
    <w:rsid w:val="00B7449D"/>
    <w:rsid w:val="00B749F1"/>
    <w:rsid w:val="00B74C95"/>
    <w:rsid w:val="00B74D06"/>
    <w:rsid w:val="00B75B83"/>
    <w:rsid w:val="00B760E1"/>
    <w:rsid w:val="00B76288"/>
    <w:rsid w:val="00B77109"/>
    <w:rsid w:val="00B809F2"/>
    <w:rsid w:val="00B812B4"/>
    <w:rsid w:val="00B825DA"/>
    <w:rsid w:val="00B826ED"/>
    <w:rsid w:val="00B83B7A"/>
    <w:rsid w:val="00B83EA0"/>
    <w:rsid w:val="00B85C6A"/>
    <w:rsid w:val="00B860AB"/>
    <w:rsid w:val="00B86CC8"/>
    <w:rsid w:val="00B872B9"/>
    <w:rsid w:val="00B90500"/>
    <w:rsid w:val="00B90757"/>
    <w:rsid w:val="00B91769"/>
    <w:rsid w:val="00B917AD"/>
    <w:rsid w:val="00B91896"/>
    <w:rsid w:val="00B91ACC"/>
    <w:rsid w:val="00B920D7"/>
    <w:rsid w:val="00B92240"/>
    <w:rsid w:val="00B9303E"/>
    <w:rsid w:val="00B93203"/>
    <w:rsid w:val="00B93383"/>
    <w:rsid w:val="00B9373B"/>
    <w:rsid w:val="00B93AD9"/>
    <w:rsid w:val="00B93E22"/>
    <w:rsid w:val="00B94883"/>
    <w:rsid w:val="00B9544C"/>
    <w:rsid w:val="00B957B9"/>
    <w:rsid w:val="00B9591A"/>
    <w:rsid w:val="00B95BD3"/>
    <w:rsid w:val="00B960FE"/>
    <w:rsid w:val="00B96346"/>
    <w:rsid w:val="00B96CC9"/>
    <w:rsid w:val="00B96E08"/>
    <w:rsid w:val="00B97227"/>
    <w:rsid w:val="00B97FD6"/>
    <w:rsid w:val="00BA0262"/>
    <w:rsid w:val="00BA0CE2"/>
    <w:rsid w:val="00BA1585"/>
    <w:rsid w:val="00BA179B"/>
    <w:rsid w:val="00BA1A58"/>
    <w:rsid w:val="00BA26F6"/>
    <w:rsid w:val="00BA321D"/>
    <w:rsid w:val="00BA39BC"/>
    <w:rsid w:val="00BA4006"/>
    <w:rsid w:val="00BA43F1"/>
    <w:rsid w:val="00BA46BF"/>
    <w:rsid w:val="00BA4EEB"/>
    <w:rsid w:val="00BA4FC2"/>
    <w:rsid w:val="00BA50A7"/>
    <w:rsid w:val="00BA577E"/>
    <w:rsid w:val="00BA5929"/>
    <w:rsid w:val="00BA59EC"/>
    <w:rsid w:val="00BA5CA2"/>
    <w:rsid w:val="00BA5F2E"/>
    <w:rsid w:val="00BA606D"/>
    <w:rsid w:val="00BA6111"/>
    <w:rsid w:val="00BA6D16"/>
    <w:rsid w:val="00BA6F82"/>
    <w:rsid w:val="00BA7AD7"/>
    <w:rsid w:val="00BA7DA2"/>
    <w:rsid w:val="00BB0839"/>
    <w:rsid w:val="00BB145E"/>
    <w:rsid w:val="00BB2027"/>
    <w:rsid w:val="00BB2448"/>
    <w:rsid w:val="00BB287F"/>
    <w:rsid w:val="00BB377D"/>
    <w:rsid w:val="00BB4829"/>
    <w:rsid w:val="00BB48EE"/>
    <w:rsid w:val="00BB4ED4"/>
    <w:rsid w:val="00BB4F2D"/>
    <w:rsid w:val="00BB5A03"/>
    <w:rsid w:val="00BB5C86"/>
    <w:rsid w:val="00BB62F8"/>
    <w:rsid w:val="00BB64D1"/>
    <w:rsid w:val="00BB6D6A"/>
    <w:rsid w:val="00BB6DEB"/>
    <w:rsid w:val="00BC0631"/>
    <w:rsid w:val="00BC07E8"/>
    <w:rsid w:val="00BC0E45"/>
    <w:rsid w:val="00BC10D1"/>
    <w:rsid w:val="00BC1678"/>
    <w:rsid w:val="00BC1895"/>
    <w:rsid w:val="00BC1A9C"/>
    <w:rsid w:val="00BC1BAD"/>
    <w:rsid w:val="00BC24D0"/>
    <w:rsid w:val="00BC2E00"/>
    <w:rsid w:val="00BC30F0"/>
    <w:rsid w:val="00BC32E7"/>
    <w:rsid w:val="00BC4539"/>
    <w:rsid w:val="00BC551E"/>
    <w:rsid w:val="00BC582F"/>
    <w:rsid w:val="00BC5939"/>
    <w:rsid w:val="00BC598E"/>
    <w:rsid w:val="00BC6E90"/>
    <w:rsid w:val="00BD0AF5"/>
    <w:rsid w:val="00BD0FA1"/>
    <w:rsid w:val="00BD1052"/>
    <w:rsid w:val="00BD1D95"/>
    <w:rsid w:val="00BD1DBB"/>
    <w:rsid w:val="00BD1FD7"/>
    <w:rsid w:val="00BD20AB"/>
    <w:rsid w:val="00BD2881"/>
    <w:rsid w:val="00BD3942"/>
    <w:rsid w:val="00BD41F1"/>
    <w:rsid w:val="00BD4AB4"/>
    <w:rsid w:val="00BD61FB"/>
    <w:rsid w:val="00BD6714"/>
    <w:rsid w:val="00BD67A6"/>
    <w:rsid w:val="00BD7438"/>
    <w:rsid w:val="00BD7539"/>
    <w:rsid w:val="00BD7923"/>
    <w:rsid w:val="00BE0107"/>
    <w:rsid w:val="00BE0163"/>
    <w:rsid w:val="00BE0292"/>
    <w:rsid w:val="00BE0467"/>
    <w:rsid w:val="00BE04AB"/>
    <w:rsid w:val="00BE09DC"/>
    <w:rsid w:val="00BE0C48"/>
    <w:rsid w:val="00BE0E03"/>
    <w:rsid w:val="00BE171D"/>
    <w:rsid w:val="00BE2317"/>
    <w:rsid w:val="00BE257C"/>
    <w:rsid w:val="00BE2587"/>
    <w:rsid w:val="00BE293D"/>
    <w:rsid w:val="00BE3511"/>
    <w:rsid w:val="00BE44BA"/>
    <w:rsid w:val="00BE4A78"/>
    <w:rsid w:val="00BE4F17"/>
    <w:rsid w:val="00BE58FA"/>
    <w:rsid w:val="00BE5AE8"/>
    <w:rsid w:val="00BE6515"/>
    <w:rsid w:val="00BF1291"/>
    <w:rsid w:val="00BF15E9"/>
    <w:rsid w:val="00BF201B"/>
    <w:rsid w:val="00BF22A6"/>
    <w:rsid w:val="00BF240F"/>
    <w:rsid w:val="00BF24EE"/>
    <w:rsid w:val="00BF3155"/>
    <w:rsid w:val="00BF3415"/>
    <w:rsid w:val="00BF3796"/>
    <w:rsid w:val="00BF3FE4"/>
    <w:rsid w:val="00BF4545"/>
    <w:rsid w:val="00BF48A5"/>
    <w:rsid w:val="00BF4B5E"/>
    <w:rsid w:val="00BF5182"/>
    <w:rsid w:val="00BF6B44"/>
    <w:rsid w:val="00BF7284"/>
    <w:rsid w:val="00BF7B7C"/>
    <w:rsid w:val="00BF7C26"/>
    <w:rsid w:val="00C016B1"/>
    <w:rsid w:val="00C01F28"/>
    <w:rsid w:val="00C0216B"/>
    <w:rsid w:val="00C027A8"/>
    <w:rsid w:val="00C02A90"/>
    <w:rsid w:val="00C030F8"/>
    <w:rsid w:val="00C031C8"/>
    <w:rsid w:val="00C039C5"/>
    <w:rsid w:val="00C03C4F"/>
    <w:rsid w:val="00C05411"/>
    <w:rsid w:val="00C06402"/>
    <w:rsid w:val="00C06C62"/>
    <w:rsid w:val="00C06E03"/>
    <w:rsid w:val="00C075B4"/>
    <w:rsid w:val="00C0760F"/>
    <w:rsid w:val="00C07868"/>
    <w:rsid w:val="00C07BD0"/>
    <w:rsid w:val="00C101A9"/>
    <w:rsid w:val="00C111F4"/>
    <w:rsid w:val="00C11B91"/>
    <w:rsid w:val="00C12241"/>
    <w:rsid w:val="00C12724"/>
    <w:rsid w:val="00C1309B"/>
    <w:rsid w:val="00C1479F"/>
    <w:rsid w:val="00C14D66"/>
    <w:rsid w:val="00C14E3E"/>
    <w:rsid w:val="00C15036"/>
    <w:rsid w:val="00C15EDE"/>
    <w:rsid w:val="00C169F7"/>
    <w:rsid w:val="00C17D60"/>
    <w:rsid w:val="00C2003D"/>
    <w:rsid w:val="00C20B6D"/>
    <w:rsid w:val="00C214C3"/>
    <w:rsid w:val="00C21FFB"/>
    <w:rsid w:val="00C22C67"/>
    <w:rsid w:val="00C22E6C"/>
    <w:rsid w:val="00C24A27"/>
    <w:rsid w:val="00C256BC"/>
    <w:rsid w:val="00C30F1F"/>
    <w:rsid w:val="00C319DD"/>
    <w:rsid w:val="00C31EFF"/>
    <w:rsid w:val="00C31F2B"/>
    <w:rsid w:val="00C33664"/>
    <w:rsid w:val="00C33761"/>
    <w:rsid w:val="00C34038"/>
    <w:rsid w:val="00C34783"/>
    <w:rsid w:val="00C34C7B"/>
    <w:rsid w:val="00C351B0"/>
    <w:rsid w:val="00C3554F"/>
    <w:rsid w:val="00C3563C"/>
    <w:rsid w:val="00C359E8"/>
    <w:rsid w:val="00C35B3F"/>
    <w:rsid w:val="00C35D6B"/>
    <w:rsid w:val="00C35F75"/>
    <w:rsid w:val="00C36D5A"/>
    <w:rsid w:val="00C370C0"/>
    <w:rsid w:val="00C37202"/>
    <w:rsid w:val="00C3728E"/>
    <w:rsid w:val="00C37BC5"/>
    <w:rsid w:val="00C37FDF"/>
    <w:rsid w:val="00C414B1"/>
    <w:rsid w:val="00C4171F"/>
    <w:rsid w:val="00C42292"/>
    <w:rsid w:val="00C422F9"/>
    <w:rsid w:val="00C429D4"/>
    <w:rsid w:val="00C4371C"/>
    <w:rsid w:val="00C43AEB"/>
    <w:rsid w:val="00C44268"/>
    <w:rsid w:val="00C44963"/>
    <w:rsid w:val="00C44DC4"/>
    <w:rsid w:val="00C45413"/>
    <w:rsid w:val="00C4558E"/>
    <w:rsid w:val="00C46925"/>
    <w:rsid w:val="00C46F8B"/>
    <w:rsid w:val="00C470BF"/>
    <w:rsid w:val="00C47356"/>
    <w:rsid w:val="00C4794A"/>
    <w:rsid w:val="00C47A4A"/>
    <w:rsid w:val="00C47B38"/>
    <w:rsid w:val="00C50702"/>
    <w:rsid w:val="00C5093B"/>
    <w:rsid w:val="00C513C2"/>
    <w:rsid w:val="00C52BB8"/>
    <w:rsid w:val="00C53374"/>
    <w:rsid w:val="00C535DE"/>
    <w:rsid w:val="00C53731"/>
    <w:rsid w:val="00C53B29"/>
    <w:rsid w:val="00C5401E"/>
    <w:rsid w:val="00C54AF0"/>
    <w:rsid w:val="00C569A2"/>
    <w:rsid w:val="00C56A10"/>
    <w:rsid w:val="00C56C4F"/>
    <w:rsid w:val="00C56FF3"/>
    <w:rsid w:val="00C57F78"/>
    <w:rsid w:val="00C607E6"/>
    <w:rsid w:val="00C61886"/>
    <w:rsid w:val="00C61CEB"/>
    <w:rsid w:val="00C62553"/>
    <w:rsid w:val="00C627A7"/>
    <w:rsid w:val="00C63394"/>
    <w:rsid w:val="00C6376F"/>
    <w:rsid w:val="00C638C5"/>
    <w:rsid w:val="00C648E1"/>
    <w:rsid w:val="00C65A9C"/>
    <w:rsid w:val="00C65ADF"/>
    <w:rsid w:val="00C65B63"/>
    <w:rsid w:val="00C65C05"/>
    <w:rsid w:val="00C65CB3"/>
    <w:rsid w:val="00C65EE7"/>
    <w:rsid w:val="00C66249"/>
    <w:rsid w:val="00C66982"/>
    <w:rsid w:val="00C66EA5"/>
    <w:rsid w:val="00C6729B"/>
    <w:rsid w:val="00C67EA9"/>
    <w:rsid w:val="00C712B0"/>
    <w:rsid w:val="00C72BED"/>
    <w:rsid w:val="00C73B3D"/>
    <w:rsid w:val="00C73B42"/>
    <w:rsid w:val="00C7419F"/>
    <w:rsid w:val="00C747AF"/>
    <w:rsid w:val="00C74E5A"/>
    <w:rsid w:val="00C7570A"/>
    <w:rsid w:val="00C75B23"/>
    <w:rsid w:val="00C75CA7"/>
    <w:rsid w:val="00C75CF4"/>
    <w:rsid w:val="00C7666E"/>
    <w:rsid w:val="00C7795B"/>
    <w:rsid w:val="00C7798C"/>
    <w:rsid w:val="00C77C71"/>
    <w:rsid w:val="00C80093"/>
    <w:rsid w:val="00C800ED"/>
    <w:rsid w:val="00C806E1"/>
    <w:rsid w:val="00C81039"/>
    <w:rsid w:val="00C81307"/>
    <w:rsid w:val="00C813D7"/>
    <w:rsid w:val="00C81CF2"/>
    <w:rsid w:val="00C821F4"/>
    <w:rsid w:val="00C825B8"/>
    <w:rsid w:val="00C8297E"/>
    <w:rsid w:val="00C82BC9"/>
    <w:rsid w:val="00C82BF0"/>
    <w:rsid w:val="00C8357F"/>
    <w:rsid w:val="00C84446"/>
    <w:rsid w:val="00C8479A"/>
    <w:rsid w:val="00C85022"/>
    <w:rsid w:val="00C85139"/>
    <w:rsid w:val="00C855A5"/>
    <w:rsid w:val="00C860B4"/>
    <w:rsid w:val="00C86C26"/>
    <w:rsid w:val="00C86C91"/>
    <w:rsid w:val="00C86DFD"/>
    <w:rsid w:val="00C86F81"/>
    <w:rsid w:val="00C87034"/>
    <w:rsid w:val="00C87060"/>
    <w:rsid w:val="00C8725A"/>
    <w:rsid w:val="00C87323"/>
    <w:rsid w:val="00C8743D"/>
    <w:rsid w:val="00C876D3"/>
    <w:rsid w:val="00C87EC5"/>
    <w:rsid w:val="00C90AFA"/>
    <w:rsid w:val="00C90B5A"/>
    <w:rsid w:val="00C90BB6"/>
    <w:rsid w:val="00C92314"/>
    <w:rsid w:val="00C9257F"/>
    <w:rsid w:val="00C9310E"/>
    <w:rsid w:val="00C93C74"/>
    <w:rsid w:val="00C93DC9"/>
    <w:rsid w:val="00C94E8D"/>
    <w:rsid w:val="00C952A6"/>
    <w:rsid w:val="00C95498"/>
    <w:rsid w:val="00C95561"/>
    <w:rsid w:val="00C95754"/>
    <w:rsid w:val="00C95DDE"/>
    <w:rsid w:val="00C96202"/>
    <w:rsid w:val="00C96323"/>
    <w:rsid w:val="00C9651F"/>
    <w:rsid w:val="00C96809"/>
    <w:rsid w:val="00C96D7C"/>
    <w:rsid w:val="00C97614"/>
    <w:rsid w:val="00C97F91"/>
    <w:rsid w:val="00C97FFE"/>
    <w:rsid w:val="00CA0321"/>
    <w:rsid w:val="00CA0E94"/>
    <w:rsid w:val="00CA2995"/>
    <w:rsid w:val="00CA29C4"/>
    <w:rsid w:val="00CA2AF5"/>
    <w:rsid w:val="00CA3006"/>
    <w:rsid w:val="00CA3376"/>
    <w:rsid w:val="00CA337D"/>
    <w:rsid w:val="00CA366A"/>
    <w:rsid w:val="00CA389D"/>
    <w:rsid w:val="00CA3FE7"/>
    <w:rsid w:val="00CA42C5"/>
    <w:rsid w:val="00CA44A7"/>
    <w:rsid w:val="00CA4ABB"/>
    <w:rsid w:val="00CA4B7E"/>
    <w:rsid w:val="00CA51C6"/>
    <w:rsid w:val="00CA5963"/>
    <w:rsid w:val="00CA6480"/>
    <w:rsid w:val="00CA6F26"/>
    <w:rsid w:val="00CA7101"/>
    <w:rsid w:val="00CA774E"/>
    <w:rsid w:val="00CA7A70"/>
    <w:rsid w:val="00CB04B5"/>
    <w:rsid w:val="00CB04FB"/>
    <w:rsid w:val="00CB0BB0"/>
    <w:rsid w:val="00CB0F80"/>
    <w:rsid w:val="00CB164B"/>
    <w:rsid w:val="00CB25CF"/>
    <w:rsid w:val="00CB2BA5"/>
    <w:rsid w:val="00CB2EBB"/>
    <w:rsid w:val="00CB3695"/>
    <w:rsid w:val="00CB39A4"/>
    <w:rsid w:val="00CB3C02"/>
    <w:rsid w:val="00CB3CAD"/>
    <w:rsid w:val="00CB470B"/>
    <w:rsid w:val="00CB5421"/>
    <w:rsid w:val="00CB569B"/>
    <w:rsid w:val="00CB6335"/>
    <w:rsid w:val="00CB6BEB"/>
    <w:rsid w:val="00CB6CA6"/>
    <w:rsid w:val="00CB6E95"/>
    <w:rsid w:val="00CB6E9C"/>
    <w:rsid w:val="00CB6F3F"/>
    <w:rsid w:val="00CB7054"/>
    <w:rsid w:val="00CB7156"/>
    <w:rsid w:val="00CC0C18"/>
    <w:rsid w:val="00CC0DE5"/>
    <w:rsid w:val="00CC176D"/>
    <w:rsid w:val="00CC1B43"/>
    <w:rsid w:val="00CC2277"/>
    <w:rsid w:val="00CC2517"/>
    <w:rsid w:val="00CC3250"/>
    <w:rsid w:val="00CC326B"/>
    <w:rsid w:val="00CC35B5"/>
    <w:rsid w:val="00CC3ACB"/>
    <w:rsid w:val="00CC3B72"/>
    <w:rsid w:val="00CC4AE7"/>
    <w:rsid w:val="00CC560C"/>
    <w:rsid w:val="00CC57CE"/>
    <w:rsid w:val="00CC6E23"/>
    <w:rsid w:val="00CC6EB2"/>
    <w:rsid w:val="00CC7C64"/>
    <w:rsid w:val="00CD17BC"/>
    <w:rsid w:val="00CD2791"/>
    <w:rsid w:val="00CD31AC"/>
    <w:rsid w:val="00CD3269"/>
    <w:rsid w:val="00CD3B04"/>
    <w:rsid w:val="00CD40DE"/>
    <w:rsid w:val="00CD484B"/>
    <w:rsid w:val="00CD4E5A"/>
    <w:rsid w:val="00CD55E7"/>
    <w:rsid w:val="00CD670A"/>
    <w:rsid w:val="00CD6AF1"/>
    <w:rsid w:val="00CD6C90"/>
    <w:rsid w:val="00CD7008"/>
    <w:rsid w:val="00CD7B26"/>
    <w:rsid w:val="00CE19C2"/>
    <w:rsid w:val="00CE1C5E"/>
    <w:rsid w:val="00CE2C40"/>
    <w:rsid w:val="00CE2CCA"/>
    <w:rsid w:val="00CE2DB1"/>
    <w:rsid w:val="00CE306C"/>
    <w:rsid w:val="00CE367B"/>
    <w:rsid w:val="00CE4243"/>
    <w:rsid w:val="00CE4644"/>
    <w:rsid w:val="00CE4667"/>
    <w:rsid w:val="00CE4716"/>
    <w:rsid w:val="00CE4E4C"/>
    <w:rsid w:val="00CE5E24"/>
    <w:rsid w:val="00CE6941"/>
    <w:rsid w:val="00CE6C6A"/>
    <w:rsid w:val="00CE6E61"/>
    <w:rsid w:val="00CE7208"/>
    <w:rsid w:val="00CE77AF"/>
    <w:rsid w:val="00CE7C8C"/>
    <w:rsid w:val="00CE7F9F"/>
    <w:rsid w:val="00CF0D27"/>
    <w:rsid w:val="00CF2436"/>
    <w:rsid w:val="00CF292A"/>
    <w:rsid w:val="00CF2C17"/>
    <w:rsid w:val="00CF2C53"/>
    <w:rsid w:val="00CF3BCF"/>
    <w:rsid w:val="00CF3FB0"/>
    <w:rsid w:val="00CF43C3"/>
    <w:rsid w:val="00CF445A"/>
    <w:rsid w:val="00CF535D"/>
    <w:rsid w:val="00CF53CF"/>
    <w:rsid w:val="00CF57FF"/>
    <w:rsid w:val="00CF6B51"/>
    <w:rsid w:val="00CF6D77"/>
    <w:rsid w:val="00CF6E98"/>
    <w:rsid w:val="00CF752A"/>
    <w:rsid w:val="00D014CD"/>
    <w:rsid w:val="00D01735"/>
    <w:rsid w:val="00D01CAA"/>
    <w:rsid w:val="00D01D36"/>
    <w:rsid w:val="00D02040"/>
    <w:rsid w:val="00D027ED"/>
    <w:rsid w:val="00D0281D"/>
    <w:rsid w:val="00D04405"/>
    <w:rsid w:val="00D0447C"/>
    <w:rsid w:val="00D0484A"/>
    <w:rsid w:val="00D049CF"/>
    <w:rsid w:val="00D05324"/>
    <w:rsid w:val="00D0550D"/>
    <w:rsid w:val="00D055FB"/>
    <w:rsid w:val="00D0585C"/>
    <w:rsid w:val="00D05D18"/>
    <w:rsid w:val="00D05E3D"/>
    <w:rsid w:val="00D064AC"/>
    <w:rsid w:val="00D06FC0"/>
    <w:rsid w:val="00D07311"/>
    <w:rsid w:val="00D0736D"/>
    <w:rsid w:val="00D07F15"/>
    <w:rsid w:val="00D10103"/>
    <w:rsid w:val="00D1070D"/>
    <w:rsid w:val="00D10908"/>
    <w:rsid w:val="00D10BAC"/>
    <w:rsid w:val="00D111E0"/>
    <w:rsid w:val="00D1150C"/>
    <w:rsid w:val="00D11A6F"/>
    <w:rsid w:val="00D11AB9"/>
    <w:rsid w:val="00D12878"/>
    <w:rsid w:val="00D12AA1"/>
    <w:rsid w:val="00D12BD6"/>
    <w:rsid w:val="00D12C2F"/>
    <w:rsid w:val="00D150B2"/>
    <w:rsid w:val="00D151BD"/>
    <w:rsid w:val="00D15340"/>
    <w:rsid w:val="00D160FF"/>
    <w:rsid w:val="00D16393"/>
    <w:rsid w:val="00D1650D"/>
    <w:rsid w:val="00D16C1F"/>
    <w:rsid w:val="00D16D15"/>
    <w:rsid w:val="00D16ECB"/>
    <w:rsid w:val="00D17018"/>
    <w:rsid w:val="00D17A9B"/>
    <w:rsid w:val="00D17E5C"/>
    <w:rsid w:val="00D17E98"/>
    <w:rsid w:val="00D211FF"/>
    <w:rsid w:val="00D21714"/>
    <w:rsid w:val="00D21E87"/>
    <w:rsid w:val="00D21EBC"/>
    <w:rsid w:val="00D2205A"/>
    <w:rsid w:val="00D2381F"/>
    <w:rsid w:val="00D23EF3"/>
    <w:rsid w:val="00D240B2"/>
    <w:rsid w:val="00D24454"/>
    <w:rsid w:val="00D2448B"/>
    <w:rsid w:val="00D24570"/>
    <w:rsid w:val="00D24D7E"/>
    <w:rsid w:val="00D255C9"/>
    <w:rsid w:val="00D2612B"/>
    <w:rsid w:val="00D272EE"/>
    <w:rsid w:val="00D278D0"/>
    <w:rsid w:val="00D30840"/>
    <w:rsid w:val="00D31168"/>
    <w:rsid w:val="00D32E4E"/>
    <w:rsid w:val="00D331E4"/>
    <w:rsid w:val="00D33AC3"/>
    <w:rsid w:val="00D33D61"/>
    <w:rsid w:val="00D346B2"/>
    <w:rsid w:val="00D348B7"/>
    <w:rsid w:val="00D35CE6"/>
    <w:rsid w:val="00D35EBB"/>
    <w:rsid w:val="00D360EA"/>
    <w:rsid w:val="00D36392"/>
    <w:rsid w:val="00D3639B"/>
    <w:rsid w:val="00D367A5"/>
    <w:rsid w:val="00D36D69"/>
    <w:rsid w:val="00D36EF8"/>
    <w:rsid w:val="00D371AD"/>
    <w:rsid w:val="00D37E01"/>
    <w:rsid w:val="00D417F2"/>
    <w:rsid w:val="00D4198B"/>
    <w:rsid w:val="00D4242C"/>
    <w:rsid w:val="00D42F1A"/>
    <w:rsid w:val="00D43051"/>
    <w:rsid w:val="00D4310A"/>
    <w:rsid w:val="00D4331B"/>
    <w:rsid w:val="00D43608"/>
    <w:rsid w:val="00D43FB4"/>
    <w:rsid w:val="00D4411E"/>
    <w:rsid w:val="00D44225"/>
    <w:rsid w:val="00D44F5A"/>
    <w:rsid w:val="00D45237"/>
    <w:rsid w:val="00D456ED"/>
    <w:rsid w:val="00D45FBC"/>
    <w:rsid w:val="00D46471"/>
    <w:rsid w:val="00D4674E"/>
    <w:rsid w:val="00D47862"/>
    <w:rsid w:val="00D501E0"/>
    <w:rsid w:val="00D501FA"/>
    <w:rsid w:val="00D5052E"/>
    <w:rsid w:val="00D50B9B"/>
    <w:rsid w:val="00D50F20"/>
    <w:rsid w:val="00D5127C"/>
    <w:rsid w:val="00D512CD"/>
    <w:rsid w:val="00D51ED4"/>
    <w:rsid w:val="00D5226D"/>
    <w:rsid w:val="00D52644"/>
    <w:rsid w:val="00D529A9"/>
    <w:rsid w:val="00D544BE"/>
    <w:rsid w:val="00D55160"/>
    <w:rsid w:val="00D5528F"/>
    <w:rsid w:val="00D55506"/>
    <w:rsid w:val="00D55D93"/>
    <w:rsid w:val="00D560BB"/>
    <w:rsid w:val="00D5680B"/>
    <w:rsid w:val="00D5682D"/>
    <w:rsid w:val="00D56913"/>
    <w:rsid w:val="00D57229"/>
    <w:rsid w:val="00D573A0"/>
    <w:rsid w:val="00D579DF"/>
    <w:rsid w:val="00D60D1F"/>
    <w:rsid w:val="00D60EF5"/>
    <w:rsid w:val="00D61069"/>
    <w:rsid w:val="00D613C9"/>
    <w:rsid w:val="00D6179B"/>
    <w:rsid w:val="00D6284E"/>
    <w:rsid w:val="00D6315C"/>
    <w:rsid w:val="00D63986"/>
    <w:rsid w:val="00D63D69"/>
    <w:rsid w:val="00D63F58"/>
    <w:rsid w:val="00D64593"/>
    <w:rsid w:val="00D64665"/>
    <w:rsid w:val="00D651D9"/>
    <w:rsid w:val="00D6525B"/>
    <w:rsid w:val="00D6546F"/>
    <w:rsid w:val="00D657A9"/>
    <w:rsid w:val="00D6590F"/>
    <w:rsid w:val="00D66461"/>
    <w:rsid w:val="00D67495"/>
    <w:rsid w:val="00D701A5"/>
    <w:rsid w:val="00D70C29"/>
    <w:rsid w:val="00D70DF8"/>
    <w:rsid w:val="00D71094"/>
    <w:rsid w:val="00D719B8"/>
    <w:rsid w:val="00D72487"/>
    <w:rsid w:val="00D725DC"/>
    <w:rsid w:val="00D72A38"/>
    <w:rsid w:val="00D72D9C"/>
    <w:rsid w:val="00D73CC3"/>
    <w:rsid w:val="00D7471F"/>
    <w:rsid w:val="00D74D9F"/>
    <w:rsid w:val="00D7549E"/>
    <w:rsid w:val="00D75E53"/>
    <w:rsid w:val="00D77A0C"/>
    <w:rsid w:val="00D80173"/>
    <w:rsid w:val="00D801AF"/>
    <w:rsid w:val="00D80B9F"/>
    <w:rsid w:val="00D80EC5"/>
    <w:rsid w:val="00D8155E"/>
    <w:rsid w:val="00D82117"/>
    <w:rsid w:val="00D82B73"/>
    <w:rsid w:val="00D82BD1"/>
    <w:rsid w:val="00D8368B"/>
    <w:rsid w:val="00D83E38"/>
    <w:rsid w:val="00D854A5"/>
    <w:rsid w:val="00D861DA"/>
    <w:rsid w:val="00D86344"/>
    <w:rsid w:val="00D86C0A"/>
    <w:rsid w:val="00D90B2D"/>
    <w:rsid w:val="00D911A0"/>
    <w:rsid w:val="00D91F3C"/>
    <w:rsid w:val="00D92E89"/>
    <w:rsid w:val="00D92FF5"/>
    <w:rsid w:val="00D93384"/>
    <w:rsid w:val="00D93412"/>
    <w:rsid w:val="00D93DF0"/>
    <w:rsid w:val="00D941BC"/>
    <w:rsid w:val="00D94664"/>
    <w:rsid w:val="00D9477C"/>
    <w:rsid w:val="00D94FB6"/>
    <w:rsid w:val="00D95076"/>
    <w:rsid w:val="00D9532A"/>
    <w:rsid w:val="00D95D21"/>
    <w:rsid w:val="00D970AC"/>
    <w:rsid w:val="00D97520"/>
    <w:rsid w:val="00D976DD"/>
    <w:rsid w:val="00DA0410"/>
    <w:rsid w:val="00DA1C88"/>
    <w:rsid w:val="00DA2334"/>
    <w:rsid w:val="00DA2373"/>
    <w:rsid w:val="00DA38E8"/>
    <w:rsid w:val="00DA4556"/>
    <w:rsid w:val="00DA496A"/>
    <w:rsid w:val="00DA5498"/>
    <w:rsid w:val="00DA7371"/>
    <w:rsid w:val="00DB010A"/>
    <w:rsid w:val="00DB03FF"/>
    <w:rsid w:val="00DB045A"/>
    <w:rsid w:val="00DB062C"/>
    <w:rsid w:val="00DB1106"/>
    <w:rsid w:val="00DB2FDB"/>
    <w:rsid w:val="00DB317C"/>
    <w:rsid w:val="00DB3315"/>
    <w:rsid w:val="00DB33C3"/>
    <w:rsid w:val="00DB353D"/>
    <w:rsid w:val="00DB46C6"/>
    <w:rsid w:val="00DB4D31"/>
    <w:rsid w:val="00DB4DE4"/>
    <w:rsid w:val="00DB61D2"/>
    <w:rsid w:val="00DB6C36"/>
    <w:rsid w:val="00DB6D8F"/>
    <w:rsid w:val="00DB7096"/>
    <w:rsid w:val="00DB7184"/>
    <w:rsid w:val="00DB7337"/>
    <w:rsid w:val="00DB75B7"/>
    <w:rsid w:val="00DB7A09"/>
    <w:rsid w:val="00DB7D97"/>
    <w:rsid w:val="00DC05EE"/>
    <w:rsid w:val="00DC0785"/>
    <w:rsid w:val="00DC0859"/>
    <w:rsid w:val="00DC12A2"/>
    <w:rsid w:val="00DC1579"/>
    <w:rsid w:val="00DC1789"/>
    <w:rsid w:val="00DC232A"/>
    <w:rsid w:val="00DC2BFE"/>
    <w:rsid w:val="00DC463F"/>
    <w:rsid w:val="00DC4690"/>
    <w:rsid w:val="00DC4805"/>
    <w:rsid w:val="00DC4C7F"/>
    <w:rsid w:val="00DC5497"/>
    <w:rsid w:val="00DC5820"/>
    <w:rsid w:val="00DC5BD4"/>
    <w:rsid w:val="00DC5CD0"/>
    <w:rsid w:val="00DC609D"/>
    <w:rsid w:val="00DC6707"/>
    <w:rsid w:val="00DC6E36"/>
    <w:rsid w:val="00DC7223"/>
    <w:rsid w:val="00DC7F5D"/>
    <w:rsid w:val="00DD0018"/>
    <w:rsid w:val="00DD17F2"/>
    <w:rsid w:val="00DD1BDB"/>
    <w:rsid w:val="00DD2A6B"/>
    <w:rsid w:val="00DD4367"/>
    <w:rsid w:val="00DD438A"/>
    <w:rsid w:val="00DD5342"/>
    <w:rsid w:val="00DD562A"/>
    <w:rsid w:val="00DD5F01"/>
    <w:rsid w:val="00DD6169"/>
    <w:rsid w:val="00DD66DA"/>
    <w:rsid w:val="00DD6E1B"/>
    <w:rsid w:val="00DD7136"/>
    <w:rsid w:val="00DD71F2"/>
    <w:rsid w:val="00DE01BE"/>
    <w:rsid w:val="00DE1823"/>
    <w:rsid w:val="00DE211A"/>
    <w:rsid w:val="00DE3999"/>
    <w:rsid w:val="00DE3CB2"/>
    <w:rsid w:val="00DE43C6"/>
    <w:rsid w:val="00DE49B7"/>
    <w:rsid w:val="00DE4A79"/>
    <w:rsid w:val="00DE4DA4"/>
    <w:rsid w:val="00DE4F55"/>
    <w:rsid w:val="00DE5217"/>
    <w:rsid w:val="00DE54E6"/>
    <w:rsid w:val="00DE5A0D"/>
    <w:rsid w:val="00DE5A35"/>
    <w:rsid w:val="00DE5C10"/>
    <w:rsid w:val="00DE606D"/>
    <w:rsid w:val="00DE6D62"/>
    <w:rsid w:val="00DE725D"/>
    <w:rsid w:val="00DE7823"/>
    <w:rsid w:val="00DE7934"/>
    <w:rsid w:val="00DF018F"/>
    <w:rsid w:val="00DF0EEE"/>
    <w:rsid w:val="00DF17C6"/>
    <w:rsid w:val="00DF1C7D"/>
    <w:rsid w:val="00DF1F9C"/>
    <w:rsid w:val="00DF31C0"/>
    <w:rsid w:val="00DF362D"/>
    <w:rsid w:val="00DF3742"/>
    <w:rsid w:val="00DF3B77"/>
    <w:rsid w:val="00DF49D7"/>
    <w:rsid w:val="00DF61A4"/>
    <w:rsid w:val="00DF7097"/>
    <w:rsid w:val="00DF711C"/>
    <w:rsid w:val="00DF72DC"/>
    <w:rsid w:val="00DF76A4"/>
    <w:rsid w:val="00DF78ED"/>
    <w:rsid w:val="00DF7A8B"/>
    <w:rsid w:val="00DF7B29"/>
    <w:rsid w:val="00DF7B3F"/>
    <w:rsid w:val="00E00159"/>
    <w:rsid w:val="00E00C7A"/>
    <w:rsid w:val="00E01083"/>
    <w:rsid w:val="00E02CF4"/>
    <w:rsid w:val="00E03C32"/>
    <w:rsid w:val="00E0499E"/>
    <w:rsid w:val="00E056BD"/>
    <w:rsid w:val="00E05CA9"/>
    <w:rsid w:val="00E06E1A"/>
    <w:rsid w:val="00E0729A"/>
    <w:rsid w:val="00E07D15"/>
    <w:rsid w:val="00E07F3F"/>
    <w:rsid w:val="00E1027C"/>
    <w:rsid w:val="00E10818"/>
    <w:rsid w:val="00E109AC"/>
    <w:rsid w:val="00E10A99"/>
    <w:rsid w:val="00E10CB7"/>
    <w:rsid w:val="00E1104A"/>
    <w:rsid w:val="00E1106B"/>
    <w:rsid w:val="00E116F6"/>
    <w:rsid w:val="00E12812"/>
    <w:rsid w:val="00E12DE7"/>
    <w:rsid w:val="00E12F02"/>
    <w:rsid w:val="00E12FA8"/>
    <w:rsid w:val="00E145E5"/>
    <w:rsid w:val="00E149C3"/>
    <w:rsid w:val="00E155EA"/>
    <w:rsid w:val="00E15800"/>
    <w:rsid w:val="00E164D7"/>
    <w:rsid w:val="00E167A2"/>
    <w:rsid w:val="00E16E30"/>
    <w:rsid w:val="00E16E37"/>
    <w:rsid w:val="00E200C7"/>
    <w:rsid w:val="00E2059F"/>
    <w:rsid w:val="00E20BE8"/>
    <w:rsid w:val="00E2158D"/>
    <w:rsid w:val="00E225B9"/>
    <w:rsid w:val="00E232BD"/>
    <w:rsid w:val="00E23314"/>
    <w:rsid w:val="00E2363F"/>
    <w:rsid w:val="00E236F5"/>
    <w:rsid w:val="00E23C50"/>
    <w:rsid w:val="00E23F83"/>
    <w:rsid w:val="00E24011"/>
    <w:rsid w:val="00E241E1"/>
    <w:rsid w:val="00E2437D"/>
    <w:rsid w:val="00E24672"/>
    <w:rsid w:val="00E2526E"/>
    <w:rsid w:val="00E25369"/>
    <w:rsid w:val="00E25D08"/>
    <w:rsid w:val="00E2689E"/>
    <w:rsid w:val="00E268FA"/>
    <w:rsid w:val="00E26BB2"/>
    <w:rsid w:val="00E26C64"/>
    <w:rsid w:val="00E26CAF"/>
    <w:rsid w:val="00E26F5D"/>
    <w:rsid w:val="00E2726F"/>
    <w:rsid w:val="00E274CA"/>
    <w:rsid w:val="00E2785B"/>
    <w:rsid w:val="00E278A6"/>
    <w:rsid w:val="00E27A34"/>
    <w:rsid w:val="00E3078B"/>
    <w:rsid w:val="00E31525"/>
    <w:rsid w:val="00E32AC8"/>
    <w:rsid w:val="00E33089"/>
    <w:rsid w:val="00E335A5"/>
    <w:rsid w:val="00E33632"/>
    <w:rsid w:val="00E33788"/>
    <w:rsid w:val="00E33A42"/>
    <w:rsid w:val="00E340A6"/>
    <w:rsid w:val="00E3412D"/>
    <w:rsid w:val="00E34237"/>
    <w:rsid w:val="00E34829"/>
    <w:rsid w:val="00E34C90"/>
    <w:rsid w:val="00E35242"/>
    <w:rsid w:val="00E3525D"/>
    <w:rsid w:val="00E353F5"/>
    <w:rsid w:val="00E369D6"/>
    <w:rsid w:val="00E37297"/>
    <w:rsid w:val="00E37556"/>
    <w:rsid w:val="00E3790E"/>
    <w:rsid w:val="00E40364"/>
    <w:rsid w:val="00E411B4"/>
    <w:rsid w:val="00E4177F"/>
    <w:rsid w:val="00E4195C"/>
    <w:rsid w:val="00E4391A"/>
    <w:rsid w:val="00E4445C"/>
    <w:rsid w:val="00E45D0A"/>
    <w:rsid w:val="00E4614D"/>
    <w:rsid w:val="00E47B58"/>
    <w:rsid w:val="00E47E50"/>
    <w:rsid w:val="00E50521"/>
    <w:rsid w:val="00E508F2"/>
    <w:rsid w:val="00E51B73"/>
    <w:rsid w:val="00E52950"/>
    <w:rsid w:val="00E533F1"/>
    <w:rsid w:val="00E533F8"/>
    <w:rsid w:val="00E534F1"/>
    <w:rsid w:val="00E5394F"/>
    <w:rsid w:val="00E54816"/>
    <w:rsid w:val="00E54CD2"/>
    <w:rsid w:val="00E554E1"/>
    <w:rsid w:val="00E55509"/>
    <w:rsid w:val="00E56E99"/>
    <w:rsid w:val="00E57698"/>
    <w:rsid w:val="00E5772B"/>
    <w:rsid w:val="00E57971"/>
    <w:rsid w:val="00E60BAF"/>
    <w:rsid w:val="00E6163B"/>
    <w:rsid w:val="00E61B1C"/>
    <w:rsid w:val="00E61FFD"/>
    <w:rsid w:val="00E63125"/>
    <w:rsid w:val="00E63B31"/>
    <w:rsid w:val="00E643EA"/>
    <w:rsid w:val="00E64483"/>
    <w:rsid w:val="00E64717"/>
    <w:rsid w:val="00E6493E"/>
    <w:rsid w:val="00E649B6"/>
    <w:rsid w:val="00E64C35"/>
    <w:rsid w:val="00E64E93"/>
    <w:rsid w:val="00E659F7"/>
    <w:rsid w:val="00E65C15"/>
    <w:rsid w:val="00E65D18"/>
    <w:rsid w:val="00E6649B"/>
    <w:rsid w:val="00E6651A"/>
    <w:rsid w:val="00E66B14"/>
    <w:rsid w:val="00E7073F"/>
    <w:rsid w:val="00E7078D"/>
    <w:rsid w:val="00E70CEE"/>
    <w:rsid w:val="00E70DAA"/>
    <w:rsid w:val="00E70E17"/>
    <w:rsid w:val="00E70F39"/>
    <w:rsid w:val="00E7184D"/>
    <w:rsid w:val="00E722DB"/>
    <w:rsid w:val="00E726A1"/>
    <w:rsid w:val="00E72E75"/>
    <w:rsid w:val="00E73B6D"/>
    <w:rsid w:val="00E73DEB"/>
    <w:rsid w:val="00E746F4"/>
    <w:rsid w:val="00E747FE"/>
    <w:rsid w:val="00E74C10"/>
    <w:rsid w:val="00E74C36"/>
    <w:rsid w:val="00E75D27"/>
    <w:rsid w:val="00E75D93"/>
    <w:rsid w:val="00E75E43"/>
    <w:rsid w:val="00E76F4F"/>
    <w:rsid w:val="00E771DB"/>
    <w:rsid w:val="00E8117F"/>
    <w:rsid w:val="00E81360"/>
    <w:rsid w:val="00E81BA0"/>
    <w:rsid w:val="00E81BDF"/>
    <w:rsid w:val="00E81E2B"/>
    <w:rsid w:val="00E836FE"/>
    <w:rsid w:val="00E837E7"/>
    <w:rsid w:val="00E83AF8"/>
    <w:rsid w:val="00E83AFE"/>
    <w:rsid w:val="00E83E54"/>
    <w:rsid w:val="00E84911"/>
    <w:rsid w:val="00E84C0B"/>
    <w:rsid w:val="00E857D5"/>
    <w:rsid w:val="00E86380"/>
    <w:rsid w:val="00E87076"/>
    <w:rsid w:val="00E87354"/>
    <w:rsid w:val="00E87768"/>
    <w:rsid w:val="00E878C3"/>
    <w:rsid w:val="00E90E0A"/>
    <w:rsid w:val="00E91A6B"/>
    <w:rsid w:val="00E921CE"/>
    <w:rsid w:val="00E928B8"/>
    <w:rsid w:val="00E93D1B"/>
    <w:rsid w:val="00E94639"/>
    <w:rsid w:val="00E94BD3"/>
    <w:rsid w:val="00E94F30"/>
    <w:rsid w:val="00E95ACF"/>
    <w:rsid w:val="00E960EC"/>
    <w:rsid w:val="00E969C1"/>
    <w:rsid w:val="00E96F3A"/>
    <w:rsid w:val="00E97014"/>
    <w:rsid w:val="00E971F0"/>
    <w:rsid w:val="00E97953"/>
    <w:rsid w:val="00EA0A4C"/>
    <w:rsid w:val="00EA0B77"/>
    <w:rsid w:val="00EA0C11"/>
    <w:rsid w:val="00EA16F7"/>
    <w:rsid w:val="00EA1A7F"/>
    <w:rsid w:val="00EA1E85"/>
    <w:rsid w:val="00EA2164"/>
    <w:rsid w:val="00EA2977"/>
    <w:rsid w:val="00EA3B0A"/>
    <w:rsid w:val="00EA4247"/>
    <w:rsid w:val="00EA49ED"/>
    <w:rsid w:val="00EA5134"/>
    <w:rsid w:val="00EA604F"/>
    <w:rsid w:val="00EA619B"/>
    <w:rsid w:val="00EA66D7"/>
    <w:rsid w:val="00EA6C43"/>
    <w:rsid w:val="00EA717B"/>
    <w:rsid w:val="00EA7F88"/>
    <w:rsid w:val="00EB005A"/>
    <w:rsid w:val="00EB05A8"/>
    <w:rsid w:val="00EB0863"/>
    <w:rsid w:val="00EB1D72"/>
    <w:rsid w:val="00EB34DA"/>
    <w:rsid w:val="00EB34EE"/>
    <w:rsid w:val="00EB43A7"/>
    <w:rsid w:val="00EB43DB"/>
    <w:rsid w:val="00EB46B7"/>
    <w:rsid w:val="00EB476E"/>
    <w:rsid w:val="00EB4B4C"/>
    <w:rsid w:val="00EB55C5"/>
    <w:rsid w:val="00EB55F2"/>
    <w:rsid w:val="00EB59B1"/>
    <w:rsid w:val="00EB7912"/>
    <w:rsid w:val="00EC0114"/>
    <w:rsid w:val="00EC0972"/>
    <w:rsid w:val="00EC11D6"/>
    <w:rsid w:val="00EC1C33"/>
    <w:rsid w:val="00EC1D60"/>
    <w:rsid w:val="00EC1EBD"/>
    <w:rsid w:val="00EC214D"/>
    <w:rsid w:val="00EC2702"/>
    <w:rsid w:val="00EC48B7"/>
    <w:rsid w:val="00EC4921"/>
    <w:rsid w:val="00EC4A89"/>
    <w:rsid w:val="00EC4B25"/>
    <w:rsid w:val="00EC5B3F"/>
    <w:rsid w:val="00EC5EA6"/>
    <w:rsid w:val="00EC5F3A"/>
    <w:rsid w:val="00EC7470"/>
    <w:rsid w:val="00EC7C49"/>
    <w:rsid w:val="00ED01BD"/>
    <w:rsid w:val="00ED0D0D"/>
    <w:rsid w:val="00ED0DB1"/>
    <w:rsid w:val="00ED14C7"/>
    <w:rsid w:val="00ED17E4"/>
    <w:rsid w:val="00ED1814"/>
    <w:rsid w:val="00ED28AE"/>
    <w:rsid w:val="00ED3FA8"/>
    <w:rsid w:val="00ED56EF"/>
    <w:rsid w:val="00ED618E"/>
    <w:rsid w:val="00ED6C4F"/>
    <w:rsid w:val="00ED6C5F"/>
    <w:rsid w:val="00ED71ED"/>
    <w:rsid w:val="00ED78A0"/>
    <w:rsid w:val="00EE0149"/>
    <w:rsid w:val="00EE02A8"/>
    <w:rsid w:val="00EE0362"/>
    <w:rsid w:val="00EE0D9B"/>
    <w:rsid w:val="00EE213F"/>
    <w:rsid w:val="00EE3489"/>
    <w:rsid w:val="00EE349F"/>
    <w:rsid w:val="00EE388E"/>
    <w:rsid w:val="00EE3C90"/>
    <w:rsid w:val="00EE3CA0"/>
    <w:rsid w:val="00EE4D64"/>
    <w:rsid w:val="00EE6E09"/>
    <w:rsid w:val="00EF002C"/>
    <w:rsid w:val="00EF03E2"/>
    <w:rsid w:val="00EF042D"/>
    <w:rsid w:val="00EF068E"/>
    <w:rsid w:val="00EF0A65"/>
    <w:rsid w:val="00EF0B6A"/>
    <w:rsid w:val="00EF11CA"/>
    <w:rsid w:val="00EF14C0"/>
    <w:rsid w:val="00EF1657"/>
    <w:rsid w:val="00EF202A"/>
    <w:rsid w:val="00EF24A0"/>
    <w:rsid w:val="00EF2C5C"/>
    <w:rsid w:val="00EF2D3A"/>
    <w:rsid w:val="00EF31C2"/>
    <w:rsid w:val="00EF345D"/>
    <w:rsid w:val="00EF348A"/>
    <w:rsid w:val="00EF3A00"/>
    <w:rsid w:val="00EF4149"/>
    <w:rsid w:val="00EF4EA8"/>
    <w:rsid w:val="00EF4F9D"/>
    <w:rsid w:val="00EF5359"/>
    <w:rsid w:val="00EF579B"/>
    <w:rsid w:val="00EF5FF9"/>
    <w:rsid w:val="00EF634F"/>
    <w:rsid w:val="00EF676B"/>
    <w:rsid w:val="00EF6ADE"/>
    <w:rsid w:val="00EF7032"/>
    <w:rsid w:val="00EF7137"/>
    <w:rsid w:val="00EF756D"/>
    <w:rsid w:val="00EF7BF3"/>
    <w:rsid w:val="00EF7D0C"/>
    <w:rsid w:val="00F00011"/>
    <w:rsid w:val="00F00454"/>
    <w:rsid w:val="00F004FC"/>
    <w:rsid w:val="00F00730"/>
    <w:rsid w:val="00F00814"/>
    <w:rsid w:val="00F00A39"/>
    <w:rsid w:val="00F00BA6"/>
    <w:rsid w:val="00F00DBC"/>
    <w:rsid w:val="00F014B5"/>
    <w:rsid w:val="00F01808"/>
    <w:rsid w:val="00F019A7"/>
    <w:rsid w:val="00F0203D"/>
    <w:rsid w:val="00F02158"/>
    <w:rsid w:val="00F0247D"/>
    <w:rsid w:val="00F02CC3"/>
    <w:rsid w:val="00F03E2D"/>
    <w:rsid w:val="00F04CAD"/>
    <w:rsid w:val="00F04D1A"/>
    <w:rsid w:val="00F053BE"/>
    <w:rsid w:val="00F057A3"/>
    <w:rsid w:val="00F0722E"/>
    <w:rsid w:val="00F07D38"/>
    <w:rsid w:val="00F10009"/>
    <w:rsid w:val="00F10E17"/>
    <w:rsid w:val="00F11DDB"/>
    <w:rsid w:val="00F12024"/>
    <w:rsid w:val="00F120BA"/>
    <w:rsid w:val="00F120E0"/>
    <w:rsid w:val="00F12BEB"/>
    <w:rsid w:val="00F130AD"/>
    <w:rsid w:val="00F13546"/>
    <w:rsid w:val="00F13C84"/>
    <w:rsid w:val="00F1418A"/>
    <w:rsid w:val="00F1458F"/>
    <w:rsid w:val="00F145A8"/>
    <w:rsid w:val="00F14721"/>
    <w:rsid w:val="00F149D5"/>
    <w:rsid w:val="00F14D2B"/>
    <w:rsid w:val="00F14DD3"/>
    <w:rsid w:val="00F15344"/>
    <w:rsid w:val="00F163E3"/>
    <w:rsid w:val="00F16F3A"/>
    <w:rsid w:val="00F16F9B"/>
    <w:rsid w:val="00F1743E"/>
    <w:rsid w:val="00F179DB"/>
    <w:rsid w:val="00F17AE3"/>
    <w:rsid w:val="00F17B47"/>
    <w:rsid w:val="00F20548"/>
    <w:rsid w:val="00F20EFE"/>
    <w:rsid w:val="00F21C34"/>
    <w:rsid w:val="00F21D3E"/>
    <w:rsid w:val="00F21D4F"/>
    <w:rsid w:val="00F21E79"/>
    <w:rsid w:val="00F22275"/>
    <w:rsid w:val="00F22D36"/>
    <w:rsid w:val="00F23C2C"/>
    <w:rsid w:val="00F240B3"/>
    <w:rsid w:val="00F24224"/>
    <w:rsid w:val="00F24FEE"/>
    <w:rsid w:val="00F2523C"/>
    <w:rsid w:val="00F25B15"/>
    <w:rsid w:val="00F25F77"/>
    <w:rsid w:val="00F25FA9"/>
    <w:rsid w:val="00F276D7"/>
    <w:rsid w:val="00F277B7"/>
    <w:rsid w:val="00F27D37"/>
    <w:rsid w:val="00F30188"/>
    <w:rsid w:val="00F30D92"/>
    <w:rsid w:val="00F31EAE"/>
    <w:rsid w:val="00F3411C"/>
    <w:rsid w:val="00F34187"/>
    <w:rsid w:val="00F3438D"/>
    <w:rsid w:val="00F343F1"/>
    <w:rsid w:val="00F3480A"/>
    <w:rsid w:val="00F34F5E"/>
    <w:rsid w:val="00F357E5"/>
    <w:rsid w:val="00F362C7"/>
    <w:rsid w:val="00F3630A"/>
    <w:rsid w:val="00F367F1"/>
    <w:rsid w:val="00F36984"/>
    <w:rsid w:val="00F36BC2"/>
    <w:rsid w:val="00F3796B"/>
    <w:rsid w:val="00F37A70"/>
    <w:rsid w:val="00F37F63"/>
    <w:rsid w:val="00F40901"/>
    <w:rsid w:val="00F4100A"/>
    <w:rsid w:val="00F41E24"/>
    <w:rsid w:val="00F4210F"/>
    <w:rsid w:val="00F42698"/>
    <w:rsid w:val="00F42CFB"/>
    <w:rsid w:val="00F42D7E"/>
    <w:rsid w:val="00F4300E"/>
    <w:rsid w:val="00F43861"/>
    <w:rsid w:val="00F43E61"/>
    <w:rsid w:val="00F4496F"/>
    <w:rsid w:val="00F44A22"/>
    <w:rsid w:val="00F44A84"/>
    <w:rsid w:val="00F4554E"/>
    <w:rsid w:val="00F45605"/>
    <w:rsid w:val="00F457B1"/>
    <w:rsid w:val="00F47281"/>
    <w:rsid w:val="00F47877"/>
    <w:rsid w:val="00F47A23"/>
    <w:rsid w:val="00F47D3D"/>
    <w:rsid w:val="00F47F0A"/>
    <w:rsid w:val="00F504B0"/>
    <w:rsid w:val="00F50A80"/>
    <w:rsid w:val="00F51711"/>
    <w:rsid w:val="00F51E99"/>
    <w:rsid w:val="00F52C02"/>
    <w:rsid w:val="00F548CA"/>
    <w:rsid w:val="00F54926"/>
    <w:rsid w:val="00F54ECD"/>
    <w:rsid w:val="00F55932"/>
    <w:rsid w:val="00F55E63"/>
    <w:rsid w:val="00F55FC4"/>
    <w:rsid w:val="00F56331"/>
    <w:rsid w:val="00F569B1"/>
    <w:rsid w:val="00F56A55"/>
    <w:rsid w:val="00F57001"/>
    <w:rsid w:val="00F60311"/>
    <w:rsid w:val="00F60593"/>
    <w:rsid w:val="00F60F70"/>
    <w:rsid w:val="00F6123D"/>
    <w:rsid w:val="00F615B0"/>
    <w:rsid w:val="00F625FD"/>
    <w:rsid w:val="00F63D7C"/>
    <w:rsid w:val="00F63F03"/>
    <w:rsid w:val="00F64379"/>
    <w:rsid w:val="00F6441D"/>
    <w:rsid w:val="00F6456D"/>
    <w:rsid w:val="00F652BD"/>
    <w:rsid w:val="00F655F9"/>
    <w:rsid w:val="00F65DEF"/>
    <w:rsid w:val="00F662E5"/>
    <w:rsid w:val="00F66D9A"/>
    <w:rsid w:val="00F66F1B"/>
    <w:rsid w:val="00F675AE"/>
    <w:rsid w:val="00F67AFF"/>
    <w:rsid w:val="00F700F4"/>
    <w:rsid w:val="00F708A2"/>
    <w:rsid w:val="00F70CE9"/>
    <w:rsid w:val="00F70EAF"/>
    <w:rsid w:val="00F70FB9"/>
    <w:rsid w:val="00F71011"/>
    <w:rsid w:val="00F71148"/>
    <w:rsid w:val="00F71625"/>
    <w:rsid w:val="00F72060"/>
    <w:rsid w:val="00F72512"/>
    <w:rsid w:val="00F72D16"/>
    <w:rsid w:val="00F72E0C"/>
    <w:rsid w:val="00F7457A"/>
    <w:rsid w:val="00F7491E"/>
    <w:rsid w:val="00F74E2B"/>
    <w:rsid w:val="00F76725"/>
    <w:rsid w:val="00F7686D"/>
    <w:rsid w:val="00F7692D"/>
    <w:rsid w:val="00F76C36"/>
    <w:rsid w:val="00F77351"/>
    <w:rsid w:val="00F774BE"/>
    <w:rsid w:val="00F80AB9"/>
    <w:rsid w:val="00F80B94"/>
    <w:rsid w:val="00F81D5A"/>
    <w:rsid w:val="00F828DC"/>
    <w:rsid w:val="00F834BF"/>
    <w:rsid w:val="00F835A0"/>
    <w:rsid w:val="00F83F11"/>
    <w:rsid w:val="00F84483"/>
    <w:rsid w:val="00F8622C"/>
    <w:rsid w:val="00F865DE"/>
    <w:rsid w:val="00F911D0"/>
    <w:rsid w:val="00F91340"/>
    <w:rsid w:val="00F91A88"/>
    <w:rsid w:val="00F91B62"/>
    <w:rsid w:val="00F9207B"/>
    <w:rsid w:val="00F92974"/>
    <w:rsid w:val="00F92E1F"/>
    <w:rsid w:val="00F94284"/>
    <w:rsid w:val="00F9494F"/>
    <w:rsid w:val="00F94F1A"/>
    <w:rsid w:val="00F95108"/>
    <w:rsid w:val="00F9528E"/>
    <w:rsid w:val="00F95954"/>
    <w:rsid w:val="00F95C42"/>
    <w:rsid w:val="00F95CA2"/>
    <w:rsid w:val="00F97A60"/>
    <w:rsid w:val="00FA0918"/>
    <w:rsid w:val="00FA1169"/>
    <w:rsid w:val="00FA2C1C"/>
    <w:rsid w:val="00FA3723"/>
    <w:rsid w:val="00FA42B5"/>
    <w:rsid w:val="00FA4E00"/>
    <w:rsid w:val="00FA4EBB"/>
    <w:rsid w:val="00FA4ECA"/>
    <w:rsid w:val="00FA5C6D"/>
    <w:rsid w:val="00FA611E"/>
    <w:rsid w:val="00FA643E"/>
    <w:rsid w:val="00FA7532"/>
    <w:rsid w:val="00FA7917"/>
    <w:rsid w:val="00FA7BDA"/>
    <w:rsid w:val="00FB0679"/>
    <w:rsid w:val="00FB0CF9"/>
    <w:rsid w:val="00FB0FD3"/>
    <w:rsid w:val="00FB179C"/>
    <w:rsid w:val="00FB1AA2"/>
    <w:rsid w:val="00FB1F3B"/>
    <w:rsid w:val="00FB1FFF"/>
    <w:rsid w:val="00FB2581"/>
    <w:rsid w:val="00FB28D4"/>
    <w:rsid w:val="00FB29DD"/>
    <w:rsid w:val="00FB2ABD"/>
    <w:rsid w:val="00FB40EB"/>
    <w:rsid w:val="00FB43BA"/>
    <w:rsid w:val="00FB4B7C"/>
    <w:rsid w:val="00FB6DB1"/>
    <w:rsid w:val="00FB7B27"/>
    <w:rsid w:val="00FC01E9"/>
    <w:rsid w:val="00FC0C8C"/>
    <w:rsid w:val="00FC0FBD"/>
    <w:rsid w:val="00FC10A9"/>
    <w:rsid w:val="00FC3242"/>
    <w:rsid w:val="00FC3529"/>
    <w:rsid w:val="00FC37C6"/>
    <w:rsid w:val="00FC3A84"/>
    <w:rsid w:val="00FC3AAB"/>
    <w:rsid w:val="00FC3FA3"/>
    <w:rsid w:val="00FC46FB"/>
    <w:rsid w:val="00FC49C7"/>
    <w:rsid w:val="00FC5267"/>
    <w:rsid w:val="00FC5429"/>
    <w:rsid w:val="00FC5541"/>
    <w:rsid w:val="00FC5970"/>
    <w:rsid w:val="00FC5A41"/>
    <w:rsid w:val="00FC61EC"/>
    <w:rsid w:val="00FC64EF"/>
    <w:rsid w:val="00FC6E02"/>
    <w:rsid w:val="00FC6FC6"/>
    <w:rsid w:val="00FC7FE2"/>
    <w:rsid w:val="00FD0873"/>
    <w:rsid w:val="00FD11AE"/>
    <w:rsid w:val="00FD13A0"/>
    <w:rsid w:val="00FD3217"/>
    <w:rsid w:val="00FD3A1E"/>
    <w:rsid w:val="00FD3AFA"/>
    <w:rsid w:val="00FD3BB0"/>
    <w:rsid w:val="00FD489F"/>
    <w:rsid w:val="00FD581A"/>
    <w:rsid w:val="00FD594C"/>
    <w:rsid w:val="00FD5B56"/>
    <w:rsid w:val="00FD6C1B"/>
    <w:rsid w:val="00FD6C9C"/>
    <w:rsid w:val="00FD75D2"/>
    <w:rsid w:val="00FD7B6B"/>
    <w:rsid w:val="00FD7D37"/>
    <w:rsid w:val="00FE0709"/>
    <w:rsid w:val="00FE0A89"/>
    <w:rsid w:val="00FE0DBE"/>
    <w:rsid w:val="00FE112F"/>
    <w:rsid w:val="00FE1625"/>
    <w:rsid w:val="00FE21B8"/>
    <w:rsid w:val="00FE267E"/>
    <w:rsid w:val="00FE2F88"/>
    <w:rsid w:val="00FE38C6"/>
    <w:rsid w:val="00FE3C29"/>
    <w:rsid w:val="00FE43AB"/>
    <w:rsid w:val="00FE4D38"/>
    <w:rsid w:val="00FE4E43"/>
    <w:rsid w:val="00FE58B8"/>
    <w:rsid w:val="00FE5D3F"/>
    <w:rsid w:val="00FE6572"/>
    <w:rsid w:val="00FE6842"/>
    <w:rsid w:val="00FE728E"/>
    <w:rsid w:val="00FE7448"/>
    <w:rsid w:val="00FE773A"/>
    <w:rsid w:val="00FE79B7"/>
    <w:rsid w:val="00FE7A93"/>
    <w:rsid w:val="00FF029C"/>
    <w:rsid w:val="00FF08AD"/>
    <w:rsid w:val="00FF08FA"/>
    <w:rsid w:val="00FF09B0"/>
    <w:rsid w:val="00FF1743"/>
    <w:rsid w:val="00FF1D79"/>
    <w:rsid w:val="00FF2E80"/>
    <w:rsid w:val="00FF2F46"/>
    <w:rsid w:val="00FF3242"/>
    <w:rsid w:val="00FF3C66"/>
    <w:rsid w:val="00FF4C8F"/>
    <w:rsid w:val="00FF5B89"/>
    <w:rsid w:val="00FF6027"/>
    <w:rsid w:val="00FF6E41"/>
    <w:rsid w:val="00FF71AB"/>
    <w:rsid w:val="00FF736B"/>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20A2F"/>
  <w15:docId w15:val="{74271205-7D94-42D1-B299-F5F223EC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2"/>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unhideWhenUsed/>
    <w:qFormat/>
    <w:rsid w:val="00E35242"/>
    <w:pPr>
      <w:keepNext/>
      <w:numPr>
        <w:ilvl w:val="1"/>
        <w:numId w:val="2"/>
      </w:numPr>
      <w:spacing w:after="240"/>
      <w:outlineLvl w:val="1"/>
    </w:pPr>
    <w:rPr>
      <w:b/>
      <w:bCs/>
      <w:lang w:eastAsia="x-none"/>
    </w:rPr>
  </w:style>
  <w:style w:type="paragraph" w:styleId="Heading3">
    <w:name w:val="heading 3"/>
    <w:basedOn w:val="Normal"/>
    <w:link w:val="Heading3Char"/>
    <w:uiPriority w:val="9"/>
    <w:unhideWhenUsed/>
    <w:qFormat/>
    <w:rsid w:val="00E35242"/>
    <w:pPr>
      <w:keepNext/>
      <w:numPr>
        <w:ilvl w:val="2"/>
        <w:numId w:val="2"/>
      </w:numPr>
      <w:spacing w:after="240"/>
      <w:outlineLvl w:val="2"/>
    </w:pPr>
    <w:rPr>
      <w:b/>
      <w:bCs/>
      <w:lang w:eastAsia="x-none"/>
    </w:rPr>
  </w:style>
  <w:style w:type="paragraph" w:styleId="Heading4">
    <w:name w:val="heading 4"/>
    <w:basedOn w:val="Normal"/>
    <w:link w:val="Heading4Char"/>
    <w:uiPriority w:val="9"/>
    <w:unhideWhenUsed/>
    <w:qFormat/>
    <w:rsid w:val="00E35242"/>
    <w:pPr>
      <w:keepNext/>
      <w:numPr>
        <w:ilvl w:val="3"/>
        <w:numId w:val="2"/>
      </w:numPr>
      <w:spacing w:after="240"/>
      <w:outlineLvl w:val="3"/>
    </w:pPr>
    <w:rPr>
      <w:u w:val="single"/>
      <w:lang w:eastAsia="x-none"/>
    </w:rPr>
  </w:style>
  <w:style w:type="paragraph" w:styleId="Heading5">
    <w:name w:val="heading 5"/>
    <w:basedOn w:val="Normal"/>
    <w:link w:val="Heading5Char"/>
    <w:uiPriority w:val="9"/>
    <w:unhideWhenUsed/>
    <w:qFormat/>
    <w:rsid w:val="00E35242"/>
    <w:pPr>
      <w:numPr>
        <w:ilvl w:val="4"/>
        <w:numId w:val="2"/>
      </w:numPr>
      <w:autoSpaceDE/>
      <w:autoSpaceDN/>
      <w:spacing w:after="240"/>
      <w:outlineLvl w:val="4"/>
    </w:pPr>
    <w:rPr>
      <w:i/>
      <w:iCs/>
    </w:rPr>
  </w:style>
  <w:style w:type="paragraph" w:styleId="Heading6">
    <w:name w:val="heading 6"/>
    <w:basedOn w:val="Normal"/>
    <w:link w:val="Heading6Char"/>
    <w:uiPriority w:val="9"/>
    <w:unhideWhenUsed/>
    <w:qFormat/>
    <w:rsid w:val="00E35242"/>
    <w:pPr>
      <w:numPr>
        <w:ilvl w:val="5"/>
        <w:numId w:val="2"/>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unhideWhenUsed/>
    <w:qFormat/>
    <w:rsid w:val="00E35242"/>
    <w:pPr>
      <w:numPr>
        <w:ilvl w:val="6"/>
        <w:numId w:val="2"/>
      </w:numPr>
      <w:spacing w:before="240" w:after="60"/>
      <w:outlineLvl w:val="6"/>
    </w:pPr>
    <w:rPr>
      <w:rFonts w:ascii="Calibri" w:hAnsi="Calibri"/>
      <w:lang w:eastAsia="x-none"/>
    </w:rPr>
  </w:style>
  <w:style w:type="paragraph" w:styleId="Heading8">
    <w:name w:val="heading 8"/>
    <w:basedOn w:val="Normal"/>
    <w:link w:val="Heading8Char"/>
    <w:uiPriority w:val="9"/>
    <w:unhideWhenUsed/>
    <w:qFormat/>
    <w:rsid w:val="00E35242"/>
    <w:pPr>
      <w:numPr>
        <w:ilvl w:val="7"/>
        <w:numId w:val="2"/>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2"/>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1"/>
    <w:uiPriority w:val="99"/>
    <w:unhideWhenUsed/>
    <w:qFormat/>
    <w:rsid w:val="00E35242"/>
    <w:pPr>
      <w:ind w:firstLine="720"/>
    </w:pPr>
    <w:rPr>
      <w:sz w:val="20"/>
      <w:szCs w:val="20"/>
    </w:rPr>
  </w:style>
  <w:style w:type="character" w:customStyle="1" w:styleId="FootnoteTextChar1">
    <w:name w:val="Footnote Text Char1"/>
    <w:aliases w:val="Footnote Text Char Char Char1,Footnote Text Char1 Char Char Char1,Footnote Text Char Char Char Char Char1,Footnote Text Char Char1 Char1,ALTS FOOTNOTE Char1,fn Char1,Char4 Char1,Footnote Text - Preamble Char1,Char2 Char1,Char3 Char1"/>
    <w:basedOn w:val="DefaultParagraphFont"/>
    <w:link w:val="FootnoteText"/>
    <w:uiPriority w:val="99"/>
    <w:locked/>
    <w:rsid w:val="00E35242"/>
    <w:rPr>
      <w:rFonts w:ascii="Times New Roman" w:eastAsia="Gulim" w:hAnsi="Times New Roman" w:cs="Times New Roman"/>
      <w:sz w:val="20"/>
      <w:szCs w:val="20"/>
      <w:lang w:eastAsia="ko-KR"/>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aliases w:val="fr,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3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4B27"/>
    <w:rPr>
      <w:sz w:val="16"/>
      <w:szCs w:val="16"/>
    </w:rPr>
  </w:style>
  <w:style w:type="paragraph" w:styleId="NoSpacing">
    <w:name w:val="No Spacing"/>
    <w:uiPriority w:val="1"/>
    <w:qFormat/>
    <w:rsid w:val="008B2BB0"/>
    <w:pPr>
      <w:spacing w:after="0" w:line="240" w:lineRule="auto"/>
    </w:pPr>
  </w:style>
  <w:style w:type="character" w:customStyle="1" w:styleId="normaltextrun">
    <w:name w:val="normaltextrun"/>
    <w:basedOn w:val="DefaultParagraphFont"/>
    <w:rsid w:val="00B94883"/>
  </w:style>
  <w:style w:type="character" w:customStyle="1" w:styleId="eop">
    <w:name w:val="eop"/>
    <w:basedOn w:val="DefaultParagraphFont"/>
    <w:rsid w:val="00A26C10"/>
  </w:style>
  <w:style w:type="paragraph" w:customStyle="1" w:styleId="paragraph">
    <w:name w:val="paragraph"/>
    <w:basedOn w:val="Normal"/>
    <w:rsid w:val="00264907"/>
    <w:pPr>
      <w:autoSpaceDE/>
      <w:autoSpaceDN/>
      <w:spacing w:before="100" w:beforeAutospacing="1" w:after="100" w:afterAutospacing="1"/>
    </w:pPr>
    <w:rPr>
      <w:rFonts w:eastAsia="Times New Roman"/>
      <w:lang w:eastAsia="en-US"/>
    </w:rPr>
  </w:style>
  <w:style w:type="character" w:customStyle="1" w:styleId="spellingerror">
    <w:name w:val="spellingerror"/>
    <w:basedOn w:val="DefaultParagraphFont"/>
    <w:rsid w:val="00264907"/>
  </w:style>
  <w:style w:type="character" w:customStyle="1" w:styleId="contextualspellingandgrammarerror">
    <w:name w:val="contextualspellingandgrammarerror"/>
    <w:basedOn w:val="DefaultParagraphFont"/>
    <w:rsid w:val="00541CC0"/>
  </w:style>
  <w:style w:type="paragraph" w:styleId="EndnoteText">
    <w:name w:val="endnote text"/>
    <w:basedOn w:val="Normal"/>
    <w:link w:val="EndnoteTextChar"/>
    <w:uiPriority w:val="99"/>
    <w:semiHidden/>
    <w:unhideWhenUsed/>
    <w:rsid w:val="004D6E63"/>
    <w:rPr>
      <w:sz w:val="20"/>
      <w:szCs w:val="20"/>
    </w:rPr>
  </w:style>
  <w:style w:type="character" w:customStyle="1" w:styleId="EndnoteTextChar">
    <w:name w:val="Endnote Text Char"/>
    <w:basedOn w:val="DefaultParagraphFont"/>
    <w:link w:val="EndnoteText"/>
    <w:uiPriority w:val="99"/>
    <w:semiHidden/>
    <w:rsid w:val="004D6E63"/>
    <w:rPr>
      <w:rFonts w:ascii="Times New Roman" w:eastAsia="Gulim" w:hAnsi="Times New Roman" w:cs="Times New Roman"/>
      <w:sz w:val="20"/>
      <w:szCs w:val="20"/>
      <w:lang w:eastAsia="ko-KR"/>
    </w:rPr>
  </w:style>
  <w:style w:type="character" w:styleId="EndnoteReference">
    <w:name w:val="endnote reference"/>
    <w:basedOn w:val="DefaultParagraphFont"/>
    <w:uiPriority w:val="99"/>
    <w:semiHidden/>
    <w:unhideWhenUsed/>
    <w:rsid w:val="004D6E63"/>
    <w:rPr>
      <w:vertAlign w:val="superscript"/>
    </w:rPr>
  </w:style>
  <w:style w:type="paragraph" w:customStyle="1" w:styleId="Response">
    <w:name w:val="Response"/>
    <w:basedOn w:val="Normal"/>
    <w:rsid w:val="003A7434"/>
    <w:pPr>
      <w:autoSpaceDE/>
      <w:autoSpaceDN/>
      <w:spacing w:after="240"/>
    </w:pPr>
    <w:rPr>
      <w:rFonts w:eastAsia="MS Mincho"/>
      <w:lang w:eastAsia="en-US"/>
    </w:rPr>
  </w:style>
  <w:style w:type="character" w:customStyle="1" w:styleId="UnresolvedMention1">
    <w:name w:val="Unresolved Mention1"/>
    <w:basedOn w:val="DefaultParagraphFont"/>
    <w:uiPriority w:val="99"/>
    <w:semiHidden/>
    <w:unhideWhenUsed/>
    <w:rsid w:val="00E03C32"/>
    <w:rPr>
      <w:color w:val="605E5C"/>
      <w:shd w:val="clear" w:color="auto" w:fill="E1DFDD"/>
    </w:rPr>
  </w:style>
  <w:style w:type="character" w:styleId="Strong">
    <w:name w:val="Strong"/>
    <w:basedOn w:val="DefaultParagraphFont"/>
    <w:uiPriority w:val="22"/>
    <w:qFormat/>
    <w:rsid w:val="004A7822"/>
    <w:rPr>
      <w:b/>
      <w:bCs/>
    </w:rPr>
  </w:style>
  <w:style w:type="character" w:customStyle="1" w:styleId="xn-money">
    <w:name w:val="xn-money"/>
    <w:basedOn w:val="DefaultParagraphFont"/>
    <w:rsid w:val="004A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97911074">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62136133">
      <w:bodyDiv w:val="1"/>
      <w:marLeft w:val="0"/>
      <w:marRight w:val="0"/>
      <w:marTop w:val="0"/>
      <w:marBottom w:val="0"/>
      <w:divBdr>
        <w:top w:val="none" w:sz="0" w:space="0" w:color="auto"/>
        <w:left w:val="none" w:sz="0" w:space="0" w:color="auto"/>
        <w:bottom w:val="none" w:sz="0" w:space="0" w:color="auto"/>
        <w:right w:val="none" w:sz="0" w:space="0" w:color="auto"/>
      </w:divBdr>
    </w:div>
    <w:div w:id="176314996">
      <w:bodyDiv w:val="1"/>
      <w:marLeft w:val="0"/>
      <w:marRight w:val="0"/>
      <w:marTop w:val="0"/>
      <w:marBottom w:val="0"/>
      <w:divBdr>
        <w:top w:val="none" w:sz="0" w:space="0" w:color="auto"/>
        <w:left w:val="none" w:sz="0" w:space="0" w:color="auto"/>
        <w:bottom w:val="none" w:sz="0" w:space="0" w:color="auto"/>
        <w:right w:val="none" w:sz="0" w:space="0" w:color="auto"/>
      </w:divBdr>
      <w:divsChild>
        <w:div w:id="201553385">
          <w:marLeft w:val="0"/>
          <w:marRight w:val="0"/>
          <w:marTop w:val="0"/>
          <w:marBottom w:val="0"/>
          <w:divBdr>
            <w:top w:val="none" w:sz="0" w:space="0" w:color="auto"/>
            <w:left w:val="none" w:sz="0" w:space="0" w:color="auto"/>
            <w:bottom w:val="none" w:sz="0" w:space="0" w:color="auto"/>
            <w:right w:val="none" w:sz="0" w:space="0" w:color="auto"/>
          </w:divBdr>
        </w:div>
        <w:div w:id="298536108">
          <w:marLeft w:val="0"/>
          <w:marRight w:val="0"/>
          <w:marTop w:val="0"/>
          <w:marBottom w:val="0"/>
          <w:divBdr>
            <w:top w:val="none" w:sz="0" w:space="0" w:color="auto"/>
            <w:left w:val="none" w:sz="0" w:space="0" w:color="auto"/>
            <w:bottom w:val="none" w:sz="0" w:space="0" w:color="auto"/>
            <w:right w:val="none" w:sz="0" w:space="0" w:color="auto"/>
          </w:divBdr>
        </w:div>
        <w:div w:id="375160484">
          <w:marLeft w:val="0"/>
          <w:marRight w:val="0"/>
          <w:marTop w:val="0"/>
          <w:marBottom w:val="0"/>
          <w:divBdr>
            <w:top w:val="none" w:sz="0" w:space="0" w:color="auto"/>
            <w:left w:val="none" w:sz="0" w:space="0" w:color="auto"/>
            <w:bottom w:val="none" w:sz="0" w:space="0" w:color="auto"/>
            <w:right w:val="none" w:sz="0" w:space="0" w:color="auto"/>
          </w:divBdr>
        </w:div>
        <w:div w:id="391656844">
          <w:marLeft w:val="0"/>
          <w:marRight w:val="0"/>
          <w:marTop w:val="0"/>
          <w:marBottom w:val="0"/>
          <w:divBdr>
            <w:top w:val="none" w:sz="0" w:space="0" w:color="auto"/>
            <w:left w:val="none" w:sz="0" w:space="0" w:color="auto"/>
            <w:bottom w:val="none" w:sz="0" w:space="0" w:color="auto"/>
            <w:right w:val="none" w:sz="0" w:space="0" w:color="auto"/>
          </w:divBdr>
        </w:div>
        <w:div w:id="1450583724">
          <w:marLeft w:val="0"/>
          <w:marRight w:val="0"/>
          <w:marTop w:val="0"/>
          <w:marBottom w:val="0"/>
          <w:divBdr>
            <w:top w:val="none" w:sz="0" w:space="0" w:color="auto"/>
            <w:left w:val="none" w:sz="0" w:space="0" w:color="auto"/>
            <w:bottom w:val="none" w:sz="0" w:space="0" w:color="auto"/>
            <w:right w:val="none" w:sz="0" w:space="0" w:color="auto"/>
          </w:divBdr>
        </w:div>
      </w:divsChild>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01288784">
      <w:bodyDiv w:val="1"/>
      <w:marLeft w:val="0"/>
      <w:marRight w:val="0"/>
      <w:marTop w:val="0"/>
      <w:marBottom w:val="0"/>
      <w:divBdr>
        <w:top w:val="none" w:sz="0" w:space="0" w:color="auto"/>
        <w:left w:val="none" w:sz="0" w:space="0" w:color="auto"/>
        <w:bottom w:val="none" w:sz="0" w:space="0" w:color="auto"/>
        <w:right w:val="none" w:sz="0" w:space="0" w:color="auto"/>
      </w:divBdr>
    </w:div>
    <w:div w:id="207299890">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57451061">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600795119">
      <w:bodyDiv w:val="1"/>
      <w:marLeft w:val="0"/>
      <w:marRight w:val="0"/>
      <w:marTop w:val="0"/>
      <w:marBottom w:val="0"/>
      <w:divBdr>
        <w:top w:val="none" w:sz="0" w:space="0" w:color="auto"/>
        <w:left w:val="none" w:sz="0" w:space="0" w:color="auto"/>
        <w:bottom w:val="none" w:sz="0" w:space="0" w:color="auto"/>
        <w:right w:val="none" w:sz="0" w:space="0" w:color="auto"/>
      </w:divBdr>
    </w:div>
    <w:div w:id="610085776">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766119854">
      <w:bodyDiv w:val="1"/>
      <w:marLeft w:val="0"/>
      <w:marRight w:val="0"/>
      <w:marTop w:val="0"/>
      <w:marBottom w:val="0"/>
      <w:divBdr>
        <w:top w:val="none" w:sz="0" w:space="0" w:color="auto"/>
        <w:left w:val="none" w:sz="0" w:space="0" w:color="auto"/>
        <w:bottom w:val="none" w:sz="0" w:space="0" w:color="auto"/>
        <w:right w:val="none" w:sz="0" w:space="0" w:color="auto"/>
      </w:divBdr>
    </w:div>
    <w:div w:id="800924242">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854005281">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117718662">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173567555">
      <w:bodyDiv w:val="1"/>
      <w:marLeft w:val="0"/>
      <w:marRight w:val="0"/>
      <w:marTop w:val="0"/>
      <w:marBottom w:val="0"/>
      <w:divBdr>
        <w:top w:val="none" w:sz="0" w:space="0" w:color="auto"/>
        <w:left w:val="none" w:sz="0" w:space="0" w:color="auto"/>
        <w:bottom w:val="none" w:sz="0" w:space="0" w:color="auto"/>
        <w:right w:val="none" w:sz="0" w:space="0" w:color="auto"/>
      </w:divBdr>
    </w:div>
    <w:div w:id="1192105466">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227035729">
      <w:bodyDiv w:val="1"/>
      <w:marLeft w:val="0"/>
      <w:marRight w:val="0"/>
      <w:marTop w:val="0"/>
      <w:marBottom w:val="0"/>
      <w:divBdr>
        <w:top w:val="none" w:sz="0" w:space="0" w:color="auto"/>
        <w:left w:val="none" w:sz="0" w:space="0" w:color="auto"/>
        <w:bottom w:val="none" w:sz="0" w:space="0" w:color="auto"/>
        <w:right w:val="none" w:sz="0" w:space="0" w:color="auto"/>
      </w:divBdr>
    </w:div>
    <w:div w:id="1242447255">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39381289">
      <w:bodyDiv w:val="1"/>
      <w:marLeft w:val="0"/>
      <w:marRight w:val="0"/>
      <w:marTop w:val="0"/>
      <w:marBottom w:val="0"/>
      <w:divBdr>
        <w:top w:val="none" w:sz="0" w:space="0" w:color="auto"/>
        <w:left w:val="none" w:sz="0" w:space="0" w:color="auto"/>
        <w:bottom w:val="none" w:sz="0" w:space="0" w:color="auto"/>
        <w:right w:val="none" w:sz="0" w:space="0" w:color="auto"/>
      </w:divBdr>
    </w:div>
    <w:div w:id="1339582062">
      <w:bodyDiv w:val="1"/>
      <w:marLeft w:val="0"/>
      <w:marRight w:val="0"/>
      <w:marTop w:val="0"/>
      <w:marBottom w:val="0"/>
      <w:divBdr>
        <w:top w:val="none" w:sz="0" w:space="0" w:color="auto"/>
        <w:left w:val="none" w:sz="0" w:space="0" w:color="auto"/>
        <w:bottom w:val="none" w:sz="0" w:space="0" w:color="auto"/>
        <w:right w:val="none" w:sz="0" w:space="0" w:color="auto"/>
      </w:divBdr>
      <w:divsChild>
        <w:div w:id="675768369">
          <w:marLeft w:val="0"/>
          <w:marRight w:val="0"/>
          <w:marTop w:val="0"/>
          <w:marBottom w:val="0"/>
          <w:divBdr>
            <w:top w:val="none" w:sz="0" w:space="0" w:color="auto"/>
            <w:left w:val="none" w:sz="0" w:space="0" w:color="auto"/>
            <w:bottom w:val="none" w:sz="0" w:space="0" w:color="auto"/>
            <w:right w:val="none" w:sz="0" w:space="0" w:color="auto"/>
          </w:divBdr>
        </w:div>
        <w:div w:id="1007176047">
          <w:marLeft w:val="0"/>
          <w:marRight w:val="0"/>
          <w:marTop w:val="0"/>
          <w:marBottom w:val="0"/>
          <w:divBdr>
            <w:top w:val="none" w:sz="0" w:space="0" w:color="auto"/>
            <w:left w:val="none" w:sz="0" w:space="0" w:color="auto"/>
            <w:bottom w:val="none" w:sz="0" w:space="0" w:color="auto"/>
            <w:right w:val="none" w:sz="0" w:space="0" w:color="auto"/>
          </w:divBdr>
        </w:div>
      </w:divsChild>
    </w:div>
    <w:div w:id="1340153485">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392383920">
      <w:bodyDiv w:val="1"/>
      <w:marLeft w:val="0"/>
      <w:marRight w:val="0"/>
      <w:marTop w:val="0"/>
      <w:marBottom w:val="0"/>
      <w:divBdr>
        <w:top w:val="none" w:sz="0" w:space="0" w:color="auto"/>
        <w:left w:val="none" w:sz="0" w:space="0" w:color="auto"/>
        <w:bottom w:val="none" w:sz="0" w:space="0" w:color="auto"/>
        <w:right w:val="none" w:sz="0" w:space="0" w:color="auto"/>
      </w:divBdr>
    </w:div>
    <w:div w:id="1406419930">
      <w:bodyDiv w:val="1"/>
      <w:marLeft w:val="0"/>
      <w:marRight w:val="0"/>
      <w:marTop w:val="0"/>
      <w:marBottom w:val="0"/>
      <w:divBdr>
        <w:top w:val="none" w:sz="0" w:space="0" w:color="auto"/>
        <w:left w:val="none" w:sz="0" w:space="0" w:color="auto"/>
        <w:bottom w:val="none" w:sz="0" w:space="0" w:color="auto"/>
        <w:right w:val="none" w:sz="0" w:space="0" w:color="auto"/>
      </w:divBdr>
    </w:div>
    <w:div w:id="1435058890">
      <w:bodyDiv w:val="1"/>
      <w:marLeft w:val="0"/>
      <w:marRight w:val="0"/>
      <w:marTop w:val="0"/>
      <w:marBottom w:val="0"/>
      <w:divBdr>
        <w:top w:val="none" w:sz="0" w:space="0" w:color="auto"/>
        <w:left w:val="none" w:sz="0" w:space="0" w:color="auto"/>
        <w:bottom w:val="none" w:sz="0" w:space="0" w:color="auto"/>
        <w:right w:val="none" w:sz="0" w:space="0" w:color="auto"/>
      </w:divBdr>
      <w:divsChild>
        <w:div w:id="8147552">
          <w:marLeft w:val="0"/>
          <w:marRight w:val="0"/>
          <w:marTop w:val="0"/>
          <w:marBottom w:val="0"/>
          <w:divBdr>
            <w:top w:val="none" w:sz="0" w:space="0" w:color="auto"/>
            <w:left w:val="none" w:sz="0" w:space="0" w:color="auto"/>
            <w:bottom w:val="none" w:sz="0" w:space="0" w:color="auto"/>
            <w:right w:val="none" w:sz="0" w:space="0" w:color="auto"/>
          </w:divBdr>
        </w:div>
        <w:div w:id="624118016">
          <w:marLeft w:val="0"/>
          <w:marRight w:val="0"/>
          <w:marTop w:val="0"/>
          <w:marBottom w:val="0"/>
          <w:divBdr>
            <w:top w:val="none" w:sz="0" w:space="0" w:color="auto"/>
            <w:left w:val="none" w:sz="0" w:space="0" w:color="auto"/>
            <w:bottom w:val="none" w:sz="0" w:space="0" w:color="auto"/>
            <w:right w:val="none" w:sz="0" w:space="0" w:color="auto"/>
          </w:divBdr>
        </w:div>
        <w:div w:id="791480714">
          <w:marLeft w:val="0"/>
          <w:marRight w:val="0"/>
          <w:marTop w:val="0"/>
          <w:marBottom w:val="0"/>
          <w:divBdr>
            <w:top w:val="none" w:sz="0" w:space="0" w:color="auto"/>
            <w:left w:val="none" w:sz="0" w:space="0" w:color="auto"/>
            <w:bottom w:val="none" w:sz="0" w:space="0" w:color="auto"/>
            <w:right w:val="none" w:sz="0" w:space="0" w:color="auto"/>
          </w:divBdr>
        </w:div>
        <w:div w:id="2142728463">
          <w:marLeft w:val="0"/>
          <w:marRight w:val="0"/>
          <w:marTop w:val="0"/>
          <w:marBottom w:val="0"/>
          <w:divBdr>
            <w:top w:val="none" w:sz="0" w:space="0" w:color="auto"/>
            <w:left w:val="none" w:sz="0" w:space="0" w:color="auto"/>
            <w:bottom w:val="none" w:sz="0" w:space="0" w:color="auto"/>
            <w:right w:val="none" w:sz="0" w:space="0" w:color="auto"/>
          </w:divBdr>
        </w:div>
      </w:divsChild>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573656468">
      <w:bodyDiv w:val="1"/>
      <w:marLeft w:val="0"/>
      <w:marRight w:val="0"/>
      <w:marTop w:val="0"/>
      <w:marBottom w:val="0"/>
      <w:divBdr>
        <w:top w:val="none" w:sz="0" w:space="0" w:color="auto"/>
        <w:left w:val="none" w:sz="0" w:space="0" w:color="auto"/>
        <w:bottom w:val="none" w:sz="0" w:space="0" w:color="auto"/>
        <w:right w:val="none" w:sz="0" w:space="0" w:color="auto"/>
      </w:divBdr>
      <w:divsChild>
        <w:div w:id="358237977">
          <w:marLeft w:val="0"/>
          <w:marRight w:val="0"/>
          <w:marTop w:val="0"/>
          <w:marBottom w:val="0"/>
          <w:divBdr>
            <w:top w:val="none" w:sz="0" w:space="0" w:color="auto"/>
            <w:left w:val="none" w:sz="0" w:space="0" w:color="auto"/>
            <w:bottom w:val="none" w:sz="0" w:space="0" w:color="auto"/>
            <w:right w:val="none" w:sz="0" w:space="0" w:color="auto"/>
          </w:divBdr>
        </w:div>
        <w:div w:id="879322651">
          <w:marLeft w:val="0"/>
          <w:marRight w:val="0"/>
          <w:marTop w:val="0"/>
          <w:marBottom w:val="0"/>
          <w:divBdr>
            <w:top w:val="none" w:sz="0" w:space="0" w:color="auto"/>
            <w:left w:val="none" w:sz="0" w:space="0" w:color="auto"/>
            <w:bottom w:val="none" w:sz="0" w:space="0" w:color="auto"/>
            <w:right w:val="none" w:sz="0" w:space="0" w:color="auto"/>
          </w:divBdr>
        </w:div>
        <w:div w:id="1169712898">
          <w:marLeft w:val="0"/>
          <w:marRight w:val="0"/>
          <w:marTop w:val="0"/>
          <w:marBottom w:val="0"/>
          <w:divBdr>
            <w:top w:val="none" w:sz="0" w:space="0" w:color="auto"/>
            <w:left w:val="none" w:sz="0" w:space="0" w:color="auto"/>
            <w:bottom w:val="none" w:sz="0" w:space="0" w:color="auto"/>
            <w:right w:val="none" w:sz="0" w:space="0" w:color="auto"/>
          </w:divBdr>
        </w:div>
        <w:div w:id="1645348234">
          <w:marLeft w:val="0"/>
          <w:marRight w:val="0"/>
          <w:marTop w:val="0"/>
          <w:marBottom w:val="0"/>
          <w:divBdr>
            <w:top w:val="none" w:sz="0" w:space="0" w:color="auto"/>
            <w:left w:val="none" w:sz="0" w:space="0" w:color="auto"/>
            <w:bottom w:val="none" w:sz="0" w:space="0" w:color="auto"/>
            <w:right w:val="none" w:sz="0" w:space="0" w:color="auto"/>
          </w:divBdr>
        </w:div>
      </w:divsChild>
    </w:div>
    <w:div w:id="1648439125">
      <w:bodyDiv w:val="1"/>
      <w:marLeft w:val="0"/>
      <w:marRight w:val="0"/>
      <w:marTop w:val="0"/>
      <w:marBottom w:val="0"/>
      <w:divBdr>
        <w:top w:val="none" w:sz="0" w:space="0" w:color="auto"/>
        <w:left w:val="none" w:sz="0" w:space="0" w:color="auto"/>
        <w:bottom w:val="none" w:sz="0" w:space="0" w:color="auto"/>
        <w:right w:val="none" w:sz="0" w:space="0" w:color="auto"/>
      </w:divBdr>
    </w:div>
    <w:div w:id="1671055800">
      <w:bodyDiv w:val="1"/>
      <w:marLeft w:val="0"/>
      <w:marRight w:val="0"/>
      <w:marTop w:val="0"/>
      <w:marBottom w:val="0"/>
      <w:divBdr>
        <w:top w:val="none" w:sz="0" w:space="0" w:color="auto"/>
        <w:left w:val="none" w:sz="0" w:space="0" w:color="auto"/>
        <w:bottom w:val="none" w:sz="0" w:space="0" w:color="auto"/>
        <w:right w:val="none" w:sz="0" w:space="0" w:color="auto"/>
      </w:divBdr>
      <w:divsChild>
        <w:div w:id="1037003990">
          <w:marLeft w:val="0"/>
          <w:marRight w:val="0"/>
          <w:marTop w:val="0"/>
          <w:marBottom w:val="0"/>
          <w:divBdr>
            <w:top w:val="none" w:sz="0" w:space="0" w:color="auto"/>
            <w:left w:val="none" w:sz="0" w:space="0" w:color="auto"/>
            <w:bottom w:val="none" w:sz="0" w:space="0" w:color="auto"/>
            <w:right w:val="none" w:sz="0" w:space="0" w:color="auto"/>
          </w:divBdr>
        </w:div>
        <w:div w:id="1277758063">
          <w:marLeft w:val="0"/>
          <w:marRight w:val="0"/>
          <w:marTop w:val="0"/>
          <w:marBottom w:val="0"/>
          <w:divBdr>
            <w:top w:val="none" w:sz="0" w:space="0" w:color="auto"/>
            <w:left w:val="none" w:sz="0" w:space="0" w:color="auto"/>
            <w:bottom w:val="none" w:sz="0" w:space="0" w:color="auto"/>
            <w:right w:val="none" w:sz="0" w:space="0" w:color="auto"/>
          </w:divBdr>
        </w:div>
        <w:div w:id="2073116973">
          <w:marLeft w:val="0"/>
          <w:marRight w:val="0"/>
          <w:marTop w:val="0"/>
          <w:marBottom w:val="0"/>
          <w:divBdr>
            <w:top w:val="none" w:sz="0" w:space="0" w:color="auto"/>
            <w:left w:val="none" w:sz="0" w:space="0" w:color="auto"/>
            <w:bottom w:val="none" w:sz="0" w:space="0" w:color="auto"/>
            <w:right w:val="none" w:sz="0" w:space="0" w:color="auto"/>
          </w:divBdr>
        </w:div>
      </w:divsChild>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731155103">
      <w:bodyDiv w:val="1"/>
      <w:marLeft w:val="0"/>
      <w:marRight w:val="0"/>
      <w:marTop w:val="0"/>
      <w:marBottom w:val="0"/>
      <w:divBdr>
        <w:top w:val="none" w:sz="0" w:space="0" w:color="auto"/>
        <w:left w:val="none" w:sz="0" w:space="0" w:color="auto"/>
        <w:bottom w:val="none" w:sz="0" w:space="0" w:color="auto"/>
        <w:right w:val="none" w:sz="0" w:space="0" w:color="auto"/>
      </w:divBdr>
    </w:div>
    <w:div w:id="1735472287">
      <w:bodyDiv w:val="1"/>
      <w:marLeft w:val="0"/>
      <w:marRight w:val="0"/>
      <w:marTop w:val="0"/>
      <w:marBottom w:val="0"/>
      <w:divBdr>
        <w:top w:val="none" w:sz="0" w:space="0" w:color="auto"/>
        <w:left w:val="none" w:sz="0" w:space="0" w:color="auto"/>
        <w:bottom w:val="none" w:sz="0" w:space="0" w:color="auto"/>
        <w:right w:val="none" w:sz="0" w:space="0" w:color="auto"/>
      </w:divBdr>
    </w:div>
    <w:div w:id="1771849103">
      <w:bodyDiv w:val="1"/>
      <w:marLeft w:val="0"/>
      <w:marRight w:val="0"/>
      <w:marTop w:val="0"/>
      <w:marBottom w:val="0"/>
      <w:divBdr>
        <w:top w:val="none" w:sz="0" w:space="0" w:color="auto"/>
        <w:left w:val="none" w:sz="0" w:space="0" w:color="auto"/>
        <w:bottom w:val="none" w:sz="0" w:space="0" w:color="auto"/>
        <w:right w:val="none" w:sz="0" w:space="0" w:color="auto"/>
      </w:divBdr>
    </w:div>
    <w:div w:id="1772161807">
      <w:bodyDiv w:val="1"/>
      <w:marLeft w:val="0"/>
      <w:marRight w:val="0"/>
      <w:marTop w:val="0"/>
      <w:marBottom w:val="0"/>
      <w:divBdr>
        <w:top w:val="none" w:sz="0" w:space="0" w:color="auto"/>
        <w:left w:val="none" w:sz="0" w:space="0" w:color="auto"/>
        <w:bottom w:val="none" w:sz="0" w:space="0" w:color="auto"/>
        <w:right w:val="none" w:sz="0" w:space="0" w:color="auto"/>
      </w:divBdr>
      <w:divsChild>
        <w:div w:id="1504780180">
          <w:marLeft w:val="0"/>
          <w:marRight w:val="0"/>
          <w:marTop w:val="0"/>
          <w:marBottom w:val="0"/>
          <w:divBdr>
            <w:top w:val="none" w:sz="0" w:space="0" w:color="auto"/>
            <w:left w:val="none" w:sz="0" w:space="0" w:color="auto"/>
            <w:bottom w:val="none" w:sz="0" w:space="0" w:color="auto"/>
            <w:right w:val="none" w:sz="0" w:space="0" w:color="auto"/>
          </w:divBdr>
        </w:div>
        <w:div w:id="1677537156">
          <w:marLeft w:val="0"/>
          <w:marRight w:val="0"/>
          <w:marTop w:val="0"/>
          <w:marBottom w:val="0"/>
          <w:divBdr>
            <w:top w:val="none" w:sz="0" w:space="0" w:color="auto"/>
            <w:left w:val="none" w:sz="0" w:space="0" w:color="auto"/>
            <w:bottom w:val="none" w:sz="0" w:space="0" w:color="auto"/>
            <w:right w:val="none" w:sz="0" w:space="0" w:color="auto"/>
          </w:divBdr>
        </w:div>
        <w:div w:id="1946159134">
          <w:marLeft w:val="0"/>
          <w:marRight w:val="0"/>
          <w:marTop w:val="0"/>
          <w:marBottom w:val="0"/>
          <w:divBdr>
            <w:top w:val="none" w:sz="0" w:space="0" w:color="auto"/>
            <w:left w:val="none" w:sz="0" w:space="0" w:color="auto"/>
            <w:bottom w:val="none" w:sz="0" w:space="0" w:color="auto"/>
            <w:right w:val="none" w:sz="0" w:space="0" w:color="auto"/>
          </w:divBdr>
        </w:div>
      </w:divsChild>
    </w:div>
    <w:div w:id="1814061129">
      <w:bodyDiv w:val="1"/>
      <w:marLeft w:val="0"/>
      <w:marRight w:val="0"/>
      <w:marTop w:val="0"/>
      <w:marBottom w:val="0"/>
      <w:divBdr>
        <w:top w:val="none" w:sz="0" w:space="0" w:color="auto"/>
        <w:left w:val="none" w:sz="0" w:space="0" w:color="auto"/>
        <w:bottom w:val="none" w:sz="0" w:space="0" w:color="auto"/>
        <w:right w:val="none" w:sz="0" w:space="0" w:color="auto"/>
      </w:divBdr>
    </w:div>
    <w:div w:id="1834681616">
      <w:bodyDiv w:val="1"/>
      <w:marLeft w:val="0"/>
      <w:marRight w:val="0"/>
      <w:marTop w:val="0"/>
      <w:marBottom w:val="0"/>
      <w:divBdr>
        <w:top w:val="none" w:sz="0" w:space="0" w:color="auto"/>
        <w:left w:val="none" w:sz="0" w:space="0" w:color="auto"/>
        <w:bottom w:val="none" w:sz="0" w:space="0" w:color="auto"/>
        <w:right w:val="none" w:sz="0" w:space="0" w:color="auto"/>
      </w:divBdr>
      <w:divsChild>
        <w:div w:id="300959291">
          <w:marLeft w:val="0"/>
          <w:marRight w:val="0"/>
          <w:marTop w:val="0"/>
          <w:marBottom w:val="0"/>
          <w:divBdr>
            <w:top w:val="none" w:sz="0" w:space="0" w:color="auto"/>
            <w:left w:val="none" w:sz="0" w:space="0" w:color="auto"/>
            <w:bottom w:val="none" w:sz="0" w:space="0" w:color="auto"/>
            <w:right w:val="none" w:sz="0" w:space="0" w:color="auto"/>
          </w:divBdr>
        </w:div>
        <w:div w:id="321079767">
          <w:marLeft w:val="0"/>
          <w:marRight w:val="0"/>
          <w:marTop w:val="0"/>
          <w:marBottom w:val="0"/>
          <w:divBdr>
            <w:top w:val="none" w:sz="0" w:space="0" w:color="auto"/>
            <w:left w:val="none" w:sz="0" w:space="0" w:color="auto"/>
            <w:bottom w:val="none" w:sz="0" w:space="0" w:color="auto"/>
            <w:right w:val="none" w:sz="0" w:space="0" w:color="auto"/>
          </w:divBdr>
        </w:div>
        <w:div w:id="1129399844">
          <w:marLeft w:val="0"/>
          <w:marRight w:val="0"/>
          <w:marTop w:val="0"/>
          <w:marBottom w:val="0"/>
          <w:divBdr>
            <w:top w:val="none" w:sz="0" w:space="0" w:color="auto"/>
            <w:left w:val="none" w:sz="0" w:space="0" w:color="auto"/>
            <w:bottom w:val="none" w:sz="0" w:space="0" w:color="auto"/>
            <w:right w:val="none" w:sz="0" w:space="0" w:color="auto"/>
          </w:divBdr>
        </w:div>
        <w:div w:id="1180268246">
          <w:marLeft w:val="0"/>
          <w:marRight w:val="0"/>
          <w:marTop w:val="0"/>
          <w:marBottom w:val="0"/>
          <w:divBdr>
            <w:top w:val="none" w:sz="0" w:space="0" w:color="auto"/>
            <w:left w:val="none" w:sz="0" w:space="0" w:color="auto"/>
            <w:bottom w:val="none" w:sz="0" w:space="0" w:color="auto"/>
            <w:right w:val="none" w:sz="0" w:space="0" w:color="auto"/>
          </w:divBdr>
        </w:div>
        <w:div w:id="1787121765">
          <w:marLeft w:val="0"/>
          <w:marRight w:val="0"/>
          <w:marTop w:val="0"/>
          <w:marBottom w:val="0"/>
          <w:divBdr>
            <w:top w:val="none" w:sz="0" w:space="0" w:color="auto"/>
            <w:left w:val="none" w:sz="0" w:space="0" w:color="auto"/>
            <w:bottom w:val="none" w:sz="0" w:space="0" w:color="auto"/>
            <w:right w:val="none" w:sz="0" w:space="0" w:color="auto"/>
          </w:divBdr>
        </w:div>
        <w:div w:id="1918589209">
          <w:marLeft w:val="0"/>
          <w:marRight w:val="0"/>
          <w:marTop w:val="0"/>
          <w:marBottom w:val="0"/>
          <w:divBdr>
            <w:top w:val="none" w:sz="0" w:space="0" w:color="auto"/>
            <w:left w:val="none" w:sz="0" w:space="0" w:color="auto"/>
            <w:bottom w:val="none" w:sz="0" w:space="0" w:color="auto"/>
            <w:right w:val="none" w:sz="0" w:space="0" w:color="auto"/>
          </w:divBdr>
        </w:div>
      </w:divsChild>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1938443094">
      <w:bodyDiv w:val="1"/>
      <w:marLeft w:val="0"/>
      <w:marRight w:val="0"/>
      <w:marTop w:val="0"/>
      <w:marBottom w:val="0"/>
      <w:divBdr>
        <w:top w:val="none" w:sz="0" w:space="0" w:color="auto"/>
        <w:left w:val="none" w:sz="0" w:space="0" w:color="auto"/>
        <w:bottom w:val="none" w:sz="0" w:space="0" w:color="auto"/>
        <w:right w:val="none" w:sz="0" w:space="0" w:color="auto"/>
      </w:divBdr>
    </w:div>
    <w:div w:id="2015691550">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097088245">
      <w:bodyDiv w:val="1"/>
      <w:marLeft w:val="0"/>
      <w:marRight w:val="0"/>
      <w:marTop w:val="0"/>
      <w:marBottom w:val="0"/>
      <w:divBdr>
        <w:top w:val="none" w:sz="0" w:space="0" w:color="auto"/>
        <w:left w:val="none" w:sz="0" w:space="0" w:color="auto"/>
        <w:bottom w:val="none" w:sz="0" w:space="0" w:color="auto"/>
        <w:right w:val="none" w:sz="0" w:space="0" w:color="auto"/>
      </w:divBdr>
      <w:divsChild>
        <w:div w:id="1094400520">
          <w:marLeft w:val="0"/>
          <w:marRight w:val="0"/>
          <w:marTop w:val="0"/>
          <w:marBottom w:val="0"/>
          <w:divBdr>
            <w:top w:val="none" w:sz="0" w:space="0" w:color="auto"/>
            <w:left w:val="none" w:sz="0" w:space="0" w:color="auto"/>
            <w:bottom w:val="none" w:sz="0" w:space="0" w:color="auto"/>
            <w:right w:val="none" w:sz="0" w:space="0" w:color="auto"/>
          </w:divBdr>
        </w:div>
        <w:div w:id="1486507013">
          <w:marLeft w:val="0"/>
          <w:marRight w:val="0"/>
          <w:marTop w:val="0"/>
          <w:marBottom w:val="0"/>
          <w:divBdr>
            <w:top w:val="none" w:sz="0" w:space="0" w:color="auto"/>
            <w:left w:val="none" w:sz="0" w:space="0" w:color="auto"/>
            <w:bottom w:val="none" w:sz="0" w:space="0" w:color="auto"/>
            <w:right w:val="none" w:sz="0" w:space="0" w:color="auto"/>
          </w:divBdr>
        </w:div>
        <w:div w:id="1741098488">
          <w:marLeft w:val="0"/>
          <w:marRight w:val="0"/>
          <w:marTop w:val="0"/>
          <w:marBottom w:val="0"/>
          <w:divBdr>
            <w:top w:val="none" w:sz="0" w:space="0" w:color="auto"/>
            <w:left w:val="none" w:sz="0" w:space="0" w:color="auto"/>
            <w:bottom w:val="none" w:sz="0" w:space="0" w:color="auto"/>
            <w:right w:val="none" w:sz="0" w:space="0" w:color="auto"/>
          </w:divBdr>
        </w:div>
        <w:div w:id="1747649228">
          <w:marLeft w:val="0"/>
          <w:marRight w:val="0"/>
          <w:marTop w:val="0"/>
          <w:marBottom w:val="0"/>
          <w:divBdr>
            <w:top w:val="none" w:sz="0" w:space="0" w:color="auto"/>
            <w:left w:val="none" w:sz="0" w:space="0" w:color="auto"/>
            <w:bottom w:val="none" w:sz="0" w:space="0" w:color="auto"/>
            <w:right w:val="none" w:sz="0" w:space="0" w:color="auto"/>
          </w:divBdr>
        </w:div>
      </w:divsChild>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2185724">
      <w:bodyDiv w:val="1"/>
      <w:marLeft w:val="0"/>
      <w:marRight w:val="0"/>
      <w:marTop w:val="0"/>
      <w:marBottom w:val="0"/>
      <w:divBdr>
        <w:top w:val="none" w:sz="0" w:space="0" w:color="auto"/>
        <w:left w:val="none" w:sz="0" w:space="0" w:color="auto"/>
        <w:bottom w:val="none" w:sz="0" w:space="0" w:color="auto"/>
        <w:right w:val="none" w:sz="0" w:space="0" w:color="auto"/>
      </w:divBdr>
      <w:divsChild>
        <w:div w:id="683284508">
          <w:marLeft w:val="0"/>
          <w:marRight w:val="0"/>
          <w:marTop w:val="0"/>
          <w:marBottom w:val="0"/>
          <w:divBdr>
            <w:top w:val="none" w:sz="0" w:space="0" w:color="auto"/>
            <w:left w:val="none" w:sz="0" w:space="0" w:color="auto"/>
            <w:bottom w:val="none" w:sz="0" w:space="0" w:color="auto"/>
            <w:right w:val="none" w:sz="0" w:space="0" w:color="auto"/>
          </w:divBdr>
        </w:div>
        <w:div w:id="208857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laws-regs/oshact/section_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ha.gov/laws-regs/oshact/section_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5/chapter-III/subchapter-B/part-1320/section-1320.13"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cfr.gov/current/title-5/chapter-III/subchapter-B/part-1320/section-1320.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laws-regs/oshact/section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602e7080b2938d534697eab1168e3451">
  <xsd:schema xmlns:xsd="http://www.w3.org/2001/XMLSchema" xmlns:xs="http://www.w3.org/2001/XMLSchema" xmlns:p="http://schemas.microsoft.com/office/2006/metadata/properties" xmlns:ns3="b31e9ac3-e9ea-478f-867b-1d49b715581c" xmlns:ns4="5cb3548f-395c-47b7-8ef8-d81ef8a72b45" targetNamespace="http://schemas.microsoft.com/office/2006/metadata/properties" ma:root="true" ma:fieldsID="0405ea053283f87496cdea539b045b52" ns3:_="" ns4:_="">
    <xsd:import namespace="b31e9ac3-e9ea-478f-867b-1d49b715581c"/>
    <xsd:import namespace="5cb3548f-395c-47b7-8ef8-d81ef8a72b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3548f-395c-47b7-8ef8-d81ef8a72b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ACAF-65B7-40D3-A42E-F0295C8ED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5cb3548f-395c-47b7-8ef8-d81ef8a72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22C89-B553-4274-B977-BEC37DA36A90}">
  <ds:schemaRefs>
    <ds:schemaRef ds:uri="http://schemas.microsoft.com/sharepoint/v3/contenttype/forms"/>
  </ds:schemaRefs>
</ds:datastoreItem>
</file>

<file path=customXml/itemProps3.xml><?xml version="1.0" encoding="utf-8"?>
<ds:datastoreItem xmlns:ds="http://schemas.openxmlformats.org/officeDocument/2006/customXml" ds:itemID="{957AD6C2-09BF-4580-90FD-CBA1AE46D5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A659D7-527E-4088-B347-A6CA9B0D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7959</Words>
  <Characters>45371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Cannon, Belinda - OSHA</cp:lastModifiedBy>
  <cp:revision>2</cp:revision>
  <cp:lastPrinted>2021-10-08T04:28:00Z</cp:lastPrinted>
  <dcterms:created xsi:type="dcterms:W3CDTF">2021-11-04T22:46:00Z</dcterms:created>
  <dcterms:modified xsi:type="dcterms:W3CDTF">2021-11-04T22:46:00Z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