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15" w:rsidP="00A33D7B" w:rsidRDefault="00BF0615" w14:paraId="672A6659" w14:textId="77777777">
      <w:pPr>
        <w:widowControl/>
        <w:jc w:val="center"/>
        <w:rPr>
          <w:b/>
          <w:bCs/>
        </w:rPr>
      </w:pPr>
    </w:p>
    <w:p w:rsidR="0080416A" w:rsidP="00A33D7B" w:rsidRDefault="0080416A" w14:paraId="0A37501D" w14:textId="77777777">
      <w:pPr>
        <w:widowControl/>
        <w:jc w:val="center"/>
        <w:rPr>
          <w:b/>
          <w:bCs/>
        </w:rPr>
      </w:pPr>
    </w:p>
    <w:p w:rsidRPr="001B2492" w:rsidR="00A33D7B" w:rsidP="00753F28" w:rsidRDefault="00A33D7B" w14:paraId="332690F0" w14:textId="77777777">
      <w:pPr>
        <w:widowControl/>
        <w:jc w:val="center"/>
        <w:rPr>
          <w:b/>
          <w:bCs/>
        </w:rPr>
      </w:pPr>
      <w:r w:rsidRPr="001B2492">
        <w:rPr>
          <w:b/>
          <w:bCs/>
        </w:rPr>
        <w:t>SUPPORTING STATEMENT FOR</w:t>
      </w:r>
    </w:p>
    <w:p w:rsidRPr="001B2492" w:rsidR="00A33D7B" w:rsidP="00753F28" w:rsidRDefault="00A33D7B" w14:paraId="4B85475E" w14:textId="77777777">
      <w:pPr>
        <w:widowControl/>
        <w:jc w:val="center"/>
        <w:rPr>
          <w:b/>
          <w:bCs/>
        </w:rPr>
      </w:pPr>
      <w:r w:rsidRPr="001B2492">
        <w:rPr>
          <w:b/>
          <w:bCs/>
        </w:rPr>
        <w:t xml:space="preserve">THE </w:t>
      </w:r>
      <w:r w:rsidRPr="001B2492" w:rsidR="00A53B85">
        <w:rPr>
          <w:b/>
          <w:bCs/>
        </w:rPr>
        <w:t xml:space="preserve">COLLECTION OF INFORMATION </w:t>
      </w:r>
      <w:r w:rsidRPr="001B2492">
        <w:rPr>
          <w:b/>
          <w:bCs/>
        </w:rPr>
        <w:t xml:space="preserve">REQUIREMENTS </w:t>
      </w:r>
      <w:r w:rsidRPr="001B2492" w:rsidR="00A53B85">
        <w:rPr>
          <w:b/>
          <w:bCs/>
        </w:rPr>
        <w:t>IN THE</w:t>
      </w:r>
    </w:p>
    <w:p w:rsidRPr="001B2492" w:rsidR="00A33D7B" w:rsidP="00753F28" w:rsidRDefault="00667A37" w14:paraId="60C065F9" w14:textId="77777777">
      <w:pPr>
        <w:widowControl/>
        <w:jc w:val="center"/>
      </w:pPr>
      <w:r w:rsidRPr="001B2492">
        <w:rPr>
          <w:b/>
          <w:bCs/>
        </w:rPr>
        <w:t>ON</w:t>
      </w:r>
      <w:r w:rsidRPr="001B2492" w:rsidR="00E54566">
        <w:rPr>
          <w:b/>
          <w:bCs/>
        </w:rPr>
        <w:t>-</w:t>
      </w:r>
      <w:r w:rsidRPr="001B2492">
        <w:rPr>
          <w:b/>
          <w:bCs/>
        </w:rPr>
        <w:t>SITE</w:t>
      </w:r>
      <w:r w:rsidRPr="001B2492" w:rsidR="00A33D7B">
        <w:rPr>
          <w:b/>
          <w:bCs/>
        </w:rPr>
        <w:t xml:space="preserve"> CONSULTATION AGREEMENTS (29 CFR PART 1908)</w:t>
      </w:r>
      <w:r w:rsidRPr="001B2492" w:rsidR="00A33D7B">
        <w:rPr>
          <w:rStyle w:val="FootnoteReference"/>
          <w:vertAlign w:val="superscript"/>
        </w:rPr>
        <w:footnoteReference w:id="1"/>
      </w:r>
    </w:p>
    <w:p w:rsidRPr="001B2492" w:rsidR="00A33D7B" w:rsidP="00B6448B" w:rsidRDefault="00A33D7B" w14:paraId="71EEDE14" w14:textId="77777777">
      <w:pPr>
        <w:widowControl/>
        <w:tabs>
          <w:tab w:val="center" w:pos="4680"/>
        </w:tabs>
        <w:jc w:val="center"/>
        <w:rPr>
          <w:b/>
          <w:bCs/>
        </w:rPr>
      </w:pPr>
      <w:r w:rsidRPr="001B2492">
        <w:rPr>
          <w:b/>
          <w:bCs/>
        </w:rPr>
        <w:t>OFFICE OF MANAGEMENT AND BUDGET</w:t>
      </w:r>
    </w:p>
    <w:p w:rsidRPr="001B2492" w:rsidR="00A33D7B" w:rsidP="00753F28" w:rsidRDefault="00A33D7B" w14:paraId="2D02F845" w14:textId="6A7CD41A">
      <w:pPr>
        <w:jc w:val="center"/>
      </w:pPr>
      <w:r w:rsidRPr="001B2492">
        <w:rPr>
          <w:b/>
          <w:bCs/>
        </w:rPr>
        <w:t xml:space="preserve">(OMB) CONTROL NO. 1218-0110 </w:t>
      </w:r>
      <w:r w:rsidRPr="001B2492" w:rsidR="007C5E3A">
        <w:rPr>
          <w:b/>
          <w:bCs/>
        </w:rPr>
        <w:t>(</w:t>
      </w:r>
      <w:r w:rsidR="0032005F">
        <w:rPr>
          <w:b/>
          <w:bCs/>
        </w:rPr>
        <w:t>November</w:t>
      </w:r>
      <w:r w:rsidRPr="001B2492" w:rsidR="001E61FA">
        <w:rPr>
          <w:b/>
          <w:bCs/>
        </w:rPr>
        <w:t xml:space="preserve"> </w:t>
      </w:r>
      <w:r w:rsidRPr="001B2492" w:rsidR="00860DC9">
        <w:rPr>
          <w:b/>
          <w:bCs/>
        </w:rPr>
        <w:t>2021</w:t>
      </w:r>
      <w:r w:rsidRPr="001B2492">
        <w:rPr>
          <w:b/>
          <w:bCs/>
        </w:rPr>
        <w:t>))</w:t>
      </w:r>
    </w:p>
    <w:p w:rsidRPr="001B2492" w:rsidR="00FC4BF3" w:rsidP="00753F28" w:rsidRDefault="00AF3EBA" w14:paraId="29D6B04F" w14:textId="77777777">
      <w:pPr>
        <w:jc w:val="center"/>
        <w:rPr>
          <w:b/>
        </w:rPr>
      </w:pPr>
      <w:r w:rsidRPr="001B2492">
        <w:rPr>
          <w:b/>
        </w:rPr>
        <w:t xml:space="preserve"> </w:t>
      </w:r>
    </w:p>
    <w:p w:rsidRPr="001B2492" w:rsidR="00930024" w:rsidP="00753F28" w:rsidRDefault="00930024" w14:paraId="7BD6ABEA" w14:textId="77777777">
      <w:pPr>
        <w:widowControl/>
        <w:autoSpaceDE/>
        <w:autoSpaceDN/>
        <w:adjustRightInd/>
      </w:pPr>
      <w:r w:rsidRPr="001B2492">
        <w:t>This ICR seeks to extend, without change, PRA authority for the information collections codified in regulations 29 CFR 1908.</w:t>
      </w:r>
    </w:p>
    <w:p w:rsidRPr="001B2492" w:rsidR="00325CED" w:rsidP="00753F28" w:rsidRDefault="00325CED" w14:paraId="5DAB6C7B" w14:textId="77777777"/>
    <w:p w:rsidRPr="001B2492" w:rsidR="00FC4BF3" w:rsidP="00753F28" w:rsidRDefault="00CF4EA7" w14:paraId="4D4762C9" w14:textId="77777777">
      <w:pPr>
        <w:rPr>
          <w:b/>
        </w:rPr>
      </w:pPr>
      <w:r w:rsidRPr="001B2492">
        <w:rPr>
          <w:b/>
        </w:rPr>
        <w:t xml:space="preserve">A.  </w:t>
      </w:r>
      <w:r w:rsidRPr="001B2492" w:rsidR="00FC4BF3">
        <w:rPr>
          <w:rFonts w:ascii="Times New Roman Bold" w:hAnsi="Times New Roman Bold"/>
          <w:b/>
          <w:caps/>
        </w:rPr>
        <w:t>Justification</w:t>
      </w:r>
    </w:p>
    <w:p w:rsidRPr="001B2492" w:rsidR="00FC4BF3" w:rsidP="00361393" w:rsidRDefault="00FC4BF3" w14:paraId="02EB378F" w14:textId="77777777">
      <w:pPr>
        <w:rPr>
          <w:b/>
        </w:rPr>
      </w:pPr>
    </w:p>
    <w:p w:rsidRPr="001B2492" w:rsidR="001D69A2" w:rsidP="00361393" w:rsidRDefault="001D69A2" w14:paraId="0ECE43F4" w14:textId="77777777">
      <w:pPr>
        <w:widowControl/>
        <w:rPr>
          <w:color w:val="000000"/>
        </w:rPr>
      </w:pPr>
      <w:r w:rsidRPr="001B2492">
        <w:rPr>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B2492" w:rsidR="00FC4BF3" w:rsidP="00B6448B" w:rsidRDefault="00FC4BF3" w14:paraId="6A05A809" w14:textId="77777777">
      <w:pPr>
        <w:rPr>
          <w:sz w:val="20"/>
          <w:szCs w:val="20"/>
        </w:rPr>
      </w:pPr>
    </w:p>
    <w:p w:rsidRPr="001B2492" w:rsidR="00FC4BF3" w:rsidP="00B6448B" w:rsidRDefault="00FC4BF3" w14:paraId="3FBFEBEA" w14:textId="77777777">
      <w:r w:rsidRPr="001B2492">
        <w:t xml:space="preserve">Section 7(c)(1) of the Occupational Safety and Health </w:t>
      </w:r>
      <w:r w:rsidRPr="001B2492" w:rsidR="00A33D7B">
        <w:t xml:space="preserve">Act </w:t>
      </w:r>
      <w:r w:rsidRPr="001B2492">
        <w:t>(</w:t>
      </w:r>
      <w:r w:rsidRPr="001B2492" w:rsidR="00C24AC3">
        <w:t>i.e., “</w:t>
      </w:r>
      <w:r w:rsidRPr="001B2492" w:rsidR="00A33D7B">
        <w:t xml:space="preserve">the </w:t>
      </w:r>
      <w:r w:rsidRPr="001B2492" w:rsidR="00C24AC3">
        <w:t xml:space="preserve">OSH </w:t>
      </w:r>
      <w:r w:rsidRPr="001B2492" w:rsidR="00A33D7B">
        <w:t>Act</w:t>
      </w:r>
      <w:r w:rsidRPr="001B2492" w:rsidR="00C24AC3">
        <w:t>” or “the Act”</w:t>
      </w:r>
      <w:r w:rsidRPr="001B2492">
        <w:t xml:space="preserve">) authorizes the Secretary of Labor to, “with the consent of any State or </w:t>
      </w:r>
      <w:r w:rsidRPr="001B2492" w:rsidR="003775BE">
        <w:t>p</w:t>
      </w:r>
      <w:r w:rsidRPr="001B2492">
        <w:t>olitical subdivision thereof, accept and use the services</w:t>
      </w:r>
      <w:r w:rsidRPr="001B2492" w:rsidR="00E73E42">
        <w:t>,</w:t>
      </w:r>
      <w:r w:rsidRPr="001B2492">
        <w:t xml:space="preserve"> facilities, and personnel of any agency of such </w:t>
      </w:r>
      <w:r w:rsidRPr="001B2492" w:rsidR="003775BE">
        <w:t>S</w:t>
      </w:r>
      <w:r w:rsidRPr="001B2492">
        <w:t xml:space="preserve">tate or subdivision with reimbursement.”  Section 21(c) of the Act authorizes the Secretary of Labor to “consult with and advise employers and </w:t>
      </w:r>
      <w:r w:rsidRPr="001B2492" w:rsidR="008440CF">
        <w:t>worker</w:t>
      </w:r>
      <w:r w:rsidRPr="001B2492">
        <w:t>s  . . .  as to effective means of preventing occupational illnesses and injuries.”  To satisfy the intent of these and other sections of the</w:t>
      </w:r>
      <w:r w:rsidRPr="001B2492" w:rsidR="00A33D7B">
        <w:t xml:space="preserve"> </w:t>
      </w:r>
      <w:r w:rsidRPr="001B2492">
        <w:t>Act, the Occupational Safety and Health Administration (OSHA) codified the terms that govern cooperative agreements between OSHA and State governments whereby State agencies provide</w:t>
      </w:r>
      <w:r w:rsidRPr="001B2492" w:rsidR="00E15D57">
        <w:t xml:space="preserve"> </w:t>
      </w:r>
      <w:r w:rsidRPr="001B2492" w:rsidR="00954BC8">
        <w:t>On-Site</w:t>
      </w:r>
      <w:r w:rsidRPr="001B2492">
        <w:t xml:space="preserve"> </w:t>
      </w:r>
      <w:r w:rsidRPr="001B2492" w:rsidR="00FE6A01">
        <w:t xml:space="preserve">Consultation </w:t>
      </w:r>
      <w:r w:rsidRPr="001B2492">
        <w:t xml:space="preserve">services to private employers to assist them in complying with the requirements of the Act.  The terms were codified as the </w:t>
      </w:r>
      <w:r w:rsidRPr="001B2492" w:rsidR="00954BC8">
        <w:t>On-Site</w:t>
      </w:r>
      <w:r w:rsidRPr="001B2492" w:rsidR="00FE6A01">
        <w:t xml:space="preserve"> </w:t>
      </w:r>
      <w:r w:rsidRPr="001B2492">
        <w:t>Consultati</w:t>
      </w:r>
      <w:r w:rsidRPr="001B2492" w:rsidR="00625A9F">
        <w:t>on Program regulations (29 CFR p</w:t>
      </w:r>
      <w:r w:rsidRPr="001B2492">
        <w:t>art 1908).</w:t>
      </w:r>
    </w:p>
    <w:p w:rsidRPr="001B2492" w:rsidR="00FC4BF3" w:rsidP="00B6448B" w:rsidRDefault="00FC4BF3" w14:paraId="5A39BBE3" w14:textId="77777777"/>
    <w:p w:rsidRPr="001B2492" w:rsidR="00FC4BF3" w:rsidP="00B6448B" w:rsidRDefault="00C76CDF" w14:paraId="2302DEE9" w14:textId="77777777">
      <w:bookmarkStart w:name="OLE_LINK2" w:id="0"/>
      <w:bookmarkStart w:name="OLE_LINK3" w:id="1"/>
      <w:r w:rsidRPr="001B2492">
        <w:t xml:space="preserve">The </w:t>
      </w:r>
      <w:r w:rsidRPr="001B2492" w:rsidR="00625A9F">
        <w:t xml:space="preserve">On-Site </w:t>
      </w:r>
      <w:r w:rsidRPr="001B2492">
        <w:t>C</w:t>
      </w:r>
      <w:r w:rsidRPr="001B2492" w:rsidR="00FC4BF3">
        <w:t>onsultation</w:t>
      </w:r>
      <w:r w:rsidRPr="001B2492">
        <w:t xml:space="preserve"> Program</w:t>
      </w:r>
      <w:r w:rsidRPr="001B2492" w:rsidR="00FC4BF3">
        <w:t xml:space="preserve"> regulations specify services to be provided</w:t>
      </w:r>
      <w:r w:rsidRPr="001B2492">
        <w:t>,</w:t>
      </w:r>
      <w:r w:rsidRPr="001B2492" w:rsidR="00FC4BF3">
        <w:t xml:space="preserve"> and practices and pr</w:t>
      </w:r>
      <w:r w:rsidRPr="001B2492">
        <w:t>ocedures to be followed by the State</w:t>
      </w:r>
      <w:r w:rsidRPr="001B2492" w:rsidR="00E15D57">
        <w:t xml:space="preserve"> </w:t>
      </w:r>
      <w:r w:rsidRPr="001B2492" w:rsidR="00954BC8">
        <w:t>On-Site</w:t>
      </w:r>
      <w:r w:rsidRPr="001B2492">
        <w:t xml:space="preserve"> Consultation </w:t>
      </w:r>
      <w:r w:rsidRPr="001B2492" w:rsidR="0020737B">
        <w:t>Program</w:t>
      </w:r>
      <w:r w:rsidRPr="001B2492" w:rsidR="00FE6A01">
        <w:t>s</w:t>
      </w:r>
      <w:r w:rsidRPr="001B2492" w:rsidR="00FC4BF3">
        <w:t xml:space="preserve">. </w:t>
      </w:r>
      <w:r w:rsidRPr="001B2492" w:rsidR="00F63FB6">
        <w:t>The information collection requirements</w:t>
      </w:r>
      <w:r w:rsidRPr="001B2492">
        <w:t xml:space="preserve"> set forth in the</w:t>
      </w:r>
      <w:r w:rsidRPr="001B2492" w:rsidR="00E15D57">
        <w:t xml:space="preserve"> </w:t>
      </w:r>
      <w:r w:rsidRPr="001B2492" w:rsidR="00954BC8">
        <w:t>On-Site</w:t>
      </w:r>
      <w:r w:rsidRPr="001B2492">
        <w:t xml:space="preserve"> C</w:t>
      </w:r>
      <w:r w:rsidRPr="001B2492" w:rsidR="00FC4BF3">
        <w:t xml:space="preserve">onsultation </w:t>
      </w:r>
      <w:r w:rsidRPr="001B2492">
        <w:t xml:space="preserve">Program </w:t>
      </w:r>
      <w:r w:rsidRPr="001B2492" w:rsidR="00FC4BF3">
        <w:t xml:space="preserve">regulations are in two categories: </w:t>
      </w:r>
      <w:r w:rsidRPr="001B2492" w:rsidR="00FC4BF3">
        <w:rPr>
          <w:u w:val="single"/>
        </w:rPr>
        <w:t>State Responsibilities</w:t>
      </w:r>
      <w:r w:rsidRPr="001B2492" w:rsidR="00AE66E2">
        <w:t xml:space="preserve"> and </w:t>
      </w:r>
      <w:r w:rsidRPr="001B2492" w:rsidR="00FC4BF3">
        <w:rPr>
          <w:u w:val="single"/>
        </w:rPr>
        <w:t>Employer Responsibilities</w:t>
      </w:r>
      <w:r w:rsidRPr="001B2492" w:rsidR="00FC4BF3">
        <w:t xml:space="preserve">.  </w:t>
      </w:r>
      <w:r w:rsidRPr="001B2492" w:rsidR="00965C94">
        <w:t>Eight</w:t>
      </w:r>
      <w:r w:rsidRPr="001B2492" w:rsidR="00FC4BF3">
        <w:t xml:space="preserve"> regulatory provisions require </w:t>
      </w:r>
      <w:r w:rsidRPr="001B2492" w:rsidR="00F63FB6">
        <w:t xml:space="preserve">information collection </w:t>
      </w:r>
      <w:r w:rsidRPr="001B2492" w:rsidR="00FC4BF3">
        <w:t>activities by the</w:t>
      </w:r>
      <w:r w:rsidRPr="001B2492" w:rsidR="00097ECE">
        <w:t xml:space="preserve"> State.  The Federal government </w:t>
      </w:r>
      <w:r w:rsidRPr="001B2492" w:rsidR="00FC4BF3">
        <w:t>provides 90</w:t>
      </w:r>
      <w:r w:rsidRPr="001B2492" w:rsidR="008A1D54">
        <w:t xml:space="preserve"> percent</w:t>
      </w:r>
      <w:r w:rsidRPr="001B2492" w:rsidR="00FC4BF3">
        <w:t xml:space="preserve"> of funds for</w:t>
      </w:r>
      <w:r w:rsidRPr="001B2492" w:rsidR="00E15D57">
        <w:t xml:space="preserve"> </w:t>
      </w:r>
      <w:r w:rsidRPr="001B2492" w:rsidR="00954BC8">
        <w:t>On-Site</w:t>
      </w:r>
      <w:r w:rsidRPr="001B2492" w:rsidR="00FC4BF3">
        <w:t xml:space="preserve"> </w:t>
      </w:r>
      <w:r w:rsidRPr="001B2492" w:rsidR="00FE6A01">
        <w:t xml:space="preserve">Consultation </w:t>
      </w:r>
      <w:r w:rsidRPr="001B2492" w:rsidR="00FC4BF3">
        <w:t xml:space="preserve">services delivered by the States, </w:t>
      </w:r>
      <w:r w:rsidRPr="001B2492" w:rsidR="00AE66E2">
        <w:t xml:space="preserve">which result in the </w:t>
      </w:r>
      <w:r w:rsidRPr="001B2492" w:rsidR="00A33D7B">
        <w:t xml:space="preserve">collection of </w:t>
      </w:r>
      <w:r w:rsidRPr="001B2492" w:rsidR="00AE66E2">
        <w:t>information</w:t>
      </w:r>
      <w:r w:rsidRPr="001B2492" w:rsidR="00FC4BF3">
        <w:t xml:space="preserve">.  </w:t>
      </w:r>
      <w:r w:rsidRPr="001B2492" w:rsidR="004D0230">
        <w:t>Four</w:t>
      </w:r>
      <w:r w:rsidRPr="001B2492" w:rsidR="00FC4BF3">
        <w:t xml:space="preserve"> requirements apply to employers and specify conditions </w:t>
      </w:r>
      <w:r w:rsidRPr="001B2492" w:rsidR="00AE66E2">
        <w:t>for receiving the free</w:t>
      </w:r>
      <w:r w:rsidRPr="001B2492" w:rsidR="00FC4BF3">
        <w:t xml:space="preserve"> </w:t>
      </w:r>
      <w:r w:rsidRPr="001B2492" w:rsidR="00954BC8">
        <w:t>On-Site</w:t>
      </w:r>
      <w:r w:rsidRPr="001B2492" w:rsidR="00DA4EC6">
        <w:t xml:space="preserve"> </w:t>
      </w:r>
      <w:r w:rsidRPr="001B2492" w:rsidR="00625A9F">
        <w:t>C</w:t>
      </w:r>
      <w:r w:rsidRPr="001B2492" w:rsidR="00FC4BF3">
        <w:t>onsultation services.</w:t>
      </w:r>
    </w:p>
    <w:bookmarkEnd w:id="0"/>
    <w:bookmarkEnd w:id="1"/>
    <w:p w:rsidRPr="001B2492" w:rsidR="00FC4BF3" w:rsidP="00B6448B" w:rsidRDefault="00FC4BF3" w14:paraId="41C8F396" w14:textId="77777777"/>
    <w:p w:rsidRPr="001B2492" w:rsidR="009B7AE0" w:rsidP="00B6448B" w:rsidRDefault="00C76CDF" w14:paraId="3BF92898" w14:textId="77777777">
      <w:pPr>
        <w:rPr>
          <w:b/>
        </w:rPr>
      </w:pPr>
      <w:r w:rsidRPr="001B2492">
        <w:t>OSHA’s</w:t>
      </w:r>
      <w:r w:rsidRPr="001B2492" w:rsidR="00492405">
        <w:t xml:space="preserve"> Compliance Assistance Authorization Act of 1998 (CAAA</w:t>
      </w:r>
      <w:r w:rsidRPr="001B2492" w:rsidR="008D5B1D">
        <w:t>)</w:t>
      </w:r>
      <w:r w:rsidRPr="001B2492">
        <w:t xml:space="preserve"> amend</w:t>
      </w:r>
      <w:r w:rsidRPr="001B2492" w:rsidR="00247A0B">
        <w:t>ed</w:t>
      </w:r>
      <w:r w:rsidRPr="001B2492">
        <w:t xml:space="preserve"> S</w:t>
      </w:r>
      <w:r w:rsidRPr="001B2492" w:rsidR="00FC4BF3">
        <w:t>ection 21 of the OSH Act by adding paragraph (d), authoriz</w:t>
      </w:r>
      <w:r w:rsidRPr="001B2492" w:rsidR="00247A0B">
        <w:t>ing</w:t>
      </w:r>
      <w:r w:rsidRPr="001B2492" w:rsidR="00FC4BF3">
        <w:t xml:space="preserve"> the Secretary of Labor to enter into agreements with</w:t>
      </w:r>
      <w:r w:rsidRPr="001B2492" w:rsidR="000A7718">
        <w:t xml:space="preserve"> the</w:t>
      </w:r>
      <w:r w:rsidRPr="001B2492" w:rsidR="00FC4BF3">
        <w:t xml:space="preserve"> States to provide</w:t>
      </w:r>
      <w:r w:rsidRPr="001B2492" w:rsidR="00E15D57">
        <w:t xml:space="preserve"> </w:t>
      </w:r>
      <w:r w:rsidRPr="001B2492" w:rsidR="00954BC8">
        <w:t>On-Site</w:t>
      </w:r>
      <w:r w:rsidRPr="001B2492" w:rsidR="00E15D57">
        <w:t xml:space="preserve"> </w:t>
      </w:r>
      <w:r w:rsidRPr="001B2492" w:rsidR="00B15859">
        <w:t>C</w:t>
      </w:r>
      <w:r w:rsidRPr="001B2492" w:rsidR="00E15D57">
        <w:t>onsultation services, and</w:t>
      </w:r>
      <w:r w:rsidRPr="001B2492" w:rsidR="00FC4BF3">
        <w:t xml:space="preserve"> establish</w:t>
      </w:r>
      <w:r w:rsidRPr="001B2492" w:rsidR="00E15D57">
        <w:t>e</w:t>
      </w:r>
      <w:r w:rsidRPr="001B2492" w:rsidR="008D5B1D">
        <w:t>d</w:t>
      </w:r>
      <w:r w:rsidRPr="001B2492" w:rsidR="00FC4BF3">
        <w:t xml:space="preserve"> rules under which employers may qualify for</w:t>
      </w:r>
      <w:r w:rsidRPr="001B2492" w:rsidR="00D85598">
        <w:t xml:space="preserve"> an</w:t>
      </w:r>
      <w:r w:rsidRPr="001B2492" w:rsidR="00FC4BF3">
        <w:t xml:space="preserve"> inspection exemption.  </w:t>
      </w:r>
      <w:r w:rsidRPr="001B2492" w:rsidR="00492405">
        <w:t xml:space="preserve">To achieve the intent of the CAAA, OSHA </w:t>
      </w:r>
      <w:r w:rsidRPr="001B2492" w:rsidR="00492405">
        <w:lastRenderedPageBreak/>
        <w:t>published a final rule to amend 29 CF</w:t>
      </w:r>
      <w:r w:rsidRPr="001B2492" w:rsidR="00625A9F">
        <w:t>R p</w:t>
      </w:r>
      <w:r w:rsidRPr="001B2492" w:rsidR="00492405">
        <w:t xml:space="preserve">art 1908.  The </w:t>
      </w:r>
      <w:r w:rsidRPr="001B2492" w:rsidR="009C02DD">
        <w:t>rule became effective on December</w:t>
      </w:r>
      <w:r w:rsidRPr="001B2492" w:rsidR="00492405">
        <w:t xml:space="preserve"> 26, 200</w:t>
      </w:r>
      <w:r w:rsidRPr="001B2492" w:rsidR="009C02DD">
        <w:t>0</w:t>
      </w:r>
      <w:r w:rsidRPr="001B2492" w:rsidR="00492405">
        <w:t xml:space="preserve">.  </w:t>
      </w:r>
    </w:p>
    <w:p w:rsidRPr="001B2492" w:rsidR="00FC4BF3" w:rsidP="00B6448B" w:rsidRDefault="00FC4BF3" w14:paraId="1B0926B9" w14:textId="77777777">
      <w:pPr>
        <w:rPr>
          <w:u w:val="single"/>
        </w:rPr>
      </w:pPr>
      <w:r w:rsidRPr="001B2492">
        <w:rPr>
          <w:b/>
        </w:rPr>
        <w:t>a.</w:t>
      </w:r>
      <w:r w:rsidRPr="001B2492" w:rsidR="00C24AC3">
        <w:rPr>
          <w:b/>
        </w:rPr>
        <w:t xml:space="preserve"> </w:t>
      </w:r>
      <w:r w:rsidRPr="001B2492">
        <w:rPr>
          <w:b/>
        </w:rPr>
        <w:t xml:space="preserve"> </w:t>
      </w:r>
      <w:r w:rsidRPr="001B2492">
        <w:rPr>
          <w:b/>
          <w:u w:val="single"/>
        </w:rPr>
        <w:t>State Responsibilities</w:t>
      </w:r>
      <w:r w:rsidRPr="001B2492">
        <w:t>.</w:t>
      </w:r>
    </w:p>
    <w:p w:rsidRPr="001B2492" w:rsidR="005A2BB1" w:rsidP="00B6448B" w:rsidRDefault="005A2BB1" w14:paraId="72A3D3EC" w14:textId="77777777">
      <w:pPr>
        <w:tabs>
          <w:tab w:val="left" w:pos="-1440"/>
        </w:tabs>
        <w:rPr>
          <w:u w:val="single"/>
        </w:rPr>
      </w:pPr>
    </w:p>
    <w:p w:rsidRPr="001B2492" w:rsidR="00616D60" w:rsidP="00B6448B" w:rsidRDefault="00FC4BF3" w14:paraId="662A5D38" w14:textId="77777777">
      <w:pPr>
        <w:tabs>
          <w:tab w:val="left" w:pos="-1440"/>
        </w:tabs>
        <w:ind w:left="720" w:hanging="720"/>
      </w:pPr>
      <w:r w:rsidRPr="001B2492">
        <w:t>(1)</w:t>
      </w:r>
      <w:r w:rsidRPr="001B2492" w:rsidR="00C24AC3">
        <w:tab/>
      </w:r>
      <w:r w:rsidRPr="001B2492" w:rsidR="00616D60">
        <w:rPr>
          <w:u w:val="single"/>
        </w:rPr>
        <w:t>1908.6(e)(3)</w:t>
      </w:r>
      <w:r w:rsidRPr="001B2492" w:rsidR="00616D60">
        <w:t xml:space="preserve">: </w:t>
      </w:r>
      <w:r w:rsidRPr="001B2492" w:rsidR="00616D60">
        <w:tab/>
        <w:t>State’s authorization to provide safety and health program assistance within the scope of the employer’s request.</w:t>
      </w:r>
    </w:p>
    <w:p w:rsidRPr="001B2492" w:rsidR="005A2BB1" w:rsidP="005A2BB1" w:rsidRDefault="005A2BB1" w14:paraId="0D0B940D" w14:textId="77777777">
      <w:pPr>
        <w:tabs>
          <w:tab w:val="left" w:pos="-1440"/>
        </w:tabs>
      </w:pPr>
    </w:p>
    <w:p w:rsidRPr="001B2492" w:rsidR="00616D60" w:rsidP="005A2BB1" w:rsidRDefault="00616D60" w14:paraId="0C0843A0" w14:textId="77777777">
      <w:pPr>
        <w:tabs>
          <w:tab w:val="left" w:pos="-1440"/>
        </w:tabs>
      </w:pPr>
      <w:r w:rsidRPr="001B2492">
        <w:rPr>
          <w:u w:val="single"/>
        </w:rPr>
        <w:t>Requirement</w:t>
      </w:r>
      <w:r w:rsidRPr="001B2492">
        <w:t>.</w:t>
      </w:r>
      <w:r w:rsidRPr="001B2492">
        <w:tab/>
        <w:t>Input data on employer’s safety and health program in the web-based</w:t>
      </w:r>
      <w:r w:rsidRPr="001B2492" w:rsidR="00F27B50">
        <w:t xml:space="preserve"> </w:t>
      </w:r>
      <w:r w:rsidRPr="001B2492">
        <w:t>Safety and</w:t>
      </w:r>
      <w:r w:rsidRPr="001B2492" w:rsidR="00F27B50">
        <w:t xml:space="preserve"> Health Program Assessment Worksheet.</w:t>
      </w:r>
    </w:p>
    <w:p w:rsidRPr="001B2492" w:rsidR="005A2BB1" w:rsidP="005A2BB1" w:rsidRDefault="005A2BB1" w14:paraId="0E27B00A" w14:textId="77777777">
      <w:pPr>
        <w:tabs>
          <w:tab w:val="left" w:pos="-1440"/>
        </w:tabs>
      </w:pPr>
    </w:p>
    <w:p w:rsidRPr="001B2492" w:rsidR="00F27B50" w:rsidP="005A2BB1" w:rsidRDefault="00F0315C" w14:paraId="6E8F6924" w14:textId="77777777">
      <w:pPr>
        <w:tabs>
          <w:tab w:val="left" w:pos="-1440"/>
        </w:tabs>
      </w:pPr>
      <w:r w:rsidRPr="001B2492">
        <w:rPr>
          <w:u w:val="single"/>
        </w:rPr>
        <w:t>Purpose</w:t>
      </w:r>
      <w:r w:rsidRPr="001B2492">
        <w:t xml:space="preserve">: </w:t>
      </w:r>
      <w:r w:rsidRPr="001B2492" w:rsidR="00F27B50">
        <w:t xml:space="preserve">OSHA’s experience has shown that employers who maintain an effective safety and health management system are more likely to identify and correct hazards in the workplace and, therefore, prevent injuries and illnesses to their </w:t>
      </w:r>
      <w:r w:rsidRPr="001B2492" w:rsidR="008440CF">
        <w:t>worker</w:t>
      </w:r>
      <w:r w:rsidRPr="001B2492" w:rsidR="00F27B50">
        <w:t>s.  This section provides the</w:t>
      </w:r>
      <w:r w:rsidRPr="001B2492" w:rsidR="000A7718">
        <w:t xml:space="preserve"> mechanism that authorizes the</w:t>
      </w:r>
      <w:r w:rsidRPr="001B2492" w:rsidR="00181966">
        <w:t xml:space="preserve"> </w:t>
      </w:r>
      <w:r w:rsidRPr="001B2492" w:rsidR="00954BC8">
        <w:t>On-Site</w:t>
      </w:r>
      <w:r w:rsidRPr="001B2492" w:rsidR="000A7718">
        <w:t xml:space="preserve"> Consultation </w:t>
      </w:r>
      <w:r w:rsidRPr="001B2492" w:rsidR="0020737B">
        <w:t>Program</w:t>
      </w:r>
      <w:r w:rsidRPr="001B2492" w:rsidR="00F27B50">
        <w:t xml:space="preserve">s to assist employers in developing </w:t>
      </w:r>
      <w:r w:rsidRPr="001B2492" w:rsidR="00181966">
        <w:t xml:space="preserve">effective </w:t>
      </w:r>
      <w:r w:rsidRPr="001B2492" w:rsidR="00F27B50">
        <w:t>safety and health mana</w:t>
      </w:r>
      <w:r w:rsidRPr="001B2492" w:rsidR="000A7718">
        <w:t>gement systems.  To assist the S</w:t>
      </w:r>
      <w:r w:rsidRPr="001B2492" w:rsidR="00F27B50">
        <w:t>tates in delivering this service</w:t>
      </w:r>
      <w:r w:rsidRPr="001B2492" w:rsidR="000A7718">
        <w:t>, OSHA</w:t>
      </w:r>
      <w:r w:rsidRPr="001B2492" w:rsidR="00C24AC3">
        <w:t>,</w:t>
      </w:r>
      <w:r w:rsidRPr="001B2492" w:rsidR="000A7718">
        <w:t xml:space="preserve"> in partnership with the S</w:t>
      </w:r>
      <w:r w:rsidRPr="001B2492" w:rsidR="00F27B50">
        <w:t xml:space="preserve">tates, developed a web-based </w:t>
      </w:r>
      <w:r w:rsidRPr="001B2492" w:rsidR="0034104A">
        <w:t xml:space="preserve">version of the </w:t>
      </w:r>
      <w:r w:rsidRPr="001B2492" w:rsidR="00BA600E">
        <w:t xml:space="preserve">Safety and Health </w:t>
      </w:r>
      <w:r w:rsidRPr="001B2492" w:rsidR="00B834A6">
        <w:t xml:space="preserve">Program </w:t>
      </w:r>
      <w:r w:rsidRPr="001B2492" w:rsidR="00BA600E">
        <w:t>Assessment</w:t>
      </w:r>
      <w:r w:rsidRPr="001B2492" w:rsidR="0034104A">
        <w:t xml:space="preserve"> Worksheet, which is incorporated into the OSHA Information System (OIS)</w:t>
      </w:r>
      <w:r w:rsidRPr="001B2492" w:rsidR="00F27B50">
        <w:t xml:space="preserve">.  </w:t>
      </w:r>
      <w:r w:rsidRPr="001B2492" w:rsidR="00BA600E">
        <w:t>This tool</w:t>
      </w:r>
      <w:r w:rsidRPr="001B2492" w:rsidR="00F27B50">
        <w:t xml:space="preserve"> </w:t>
      </w:r>
      <w:r w:rsidRPr="001B2492" w:rsidR="00190725">
        <w:t xml:space="preserve">is </w:t>
      </w:r>
      <w:r w:rsidRPr="001B2492" w:rsidR="00F27B50">
        <w:t xml:space="preserve">the basis for evaluating the effectiveness </w:t>
      </w:r>
      <w:r w:rsidRPr="001B2492" w:rsidR="000A7718">
        <w:t xml:space="preserve">of safety and health programs. </w:t>
      </w:r>
      <w:r w:rsidRPr="001B2492" w:rsidR="00DD7DA6">
        <w:t xml:space="preserve"> </w:t>
      </w:r>
    </w:p>
    <w:p w:rsidRPr="001B2492" w:rsidR="005A2BB1" w:rsidP="005A2BB1" w:rsidRDefault="005A2BB1" w14:paraId="60061E4C" w14:textId="77777777">
      <w:pPr>
        <w:tabs>
          <w:tab w:val="left" w:pos="-1440"/>
        </w:tabs>
      </w:pPr>
    </w:p>
    <w:p w:rsidRPr="001B2492" w:rsidR="0027208B" w:rsidP="005A2BB1" w:rsidRDefault="00405DBC" w14:paraId="345A8366" w14:textId="77777777">
      <w:pPr>
        <w:tabs>
          <w:tab w:val="left" w:pos="-1440"/>
        </w:tabs>
      </w:pPr>
      <w:r w:rsidRPr="001B2492">
        <w:t>(2)</w:t>
      </w:r>
      <w:r w:rsidRPr="001B2492">
        <w:tab/>
      </w:r>
      <w:r w:rsidRPr="001B2492">
        <w:rPr>
          <w:u w:val="single"/>
        </w:rPr>
        <w:t>1908.6(e)(8)</w:t>
      </w:r>
      <w:r w:rsidRPr="001B2492">
        <w:t>:</w:t>
      </w:r>
      <w:r w:rsidRPr="001B2492">
        <w:tab/>
        <w:t>State’s obligation to prepare and transmit the “List of Hazards”.</w:t>
      </w:r>
    </w:p>
    <w:p w:rsidRPr="001B2492" w:rsidR="005A2BB1" w:rsidP="005A2BB1" w:rsidRDefault="005A2BB1" w14:paraId="44EAFD9C" w14:textId="77777777">
      <w:pPr>
        <w:tabs>
          <w:tab w:val="left" w:pos="-1440"/>
        </w:tabs>
      </w:pPr>
    </w:p>
    <w:p w:rsidRPr="001B2492" w:rsidR="00405DBC" w:rsidP="005A2BB1" w:rsidRDefault="00405DBC" w14:paraId="249C1716" w14:textId="77777777">
      <w:pPr>
        <w:tabs>
          <w:tab w:val="left" w:pos="-1440"/>
        </w:tabs>
      </w:pPr>
      <w:r w:rsidRPr="001B2492">
        <w:rPr>
          <w:u w:val="single"/>
        </w:rPr>
        <w:t>Requirement</w:t>
      </w:r>
      <w:r w:rsidRPr="001B2492">
        <w:t>.</w:t>
      </w:r>
      <w:r w:rsidRPr="001B2492">
        <w:tab/>
        <w:t xml:space="preserve">Generate and transmit a list of all serious hazards and correction due dates to the employer for posting.  The </w:t>
      </w:r>
      <w:r w:rsidRPr="001B2492" w:rsidR="000A7718">
        <w:t>S</w:t>
      </w:r>
      <w:r w:rsidRPr="001B2492">
        <w:t xml:space="preserve">tate provides a copy of the list to </w:t>
      </w:r>
      <w:r w:rsidRPr="001B2492" w:rsidR="00796C7D">
        <w:t>a</w:t>
      </w:r>
      <w:r w:rsidRPr="001B2492">
        <w:t xml:space="preserve"> </w:t>
      </w:r>
      <w:r w:rsidRPr="001B2492" w:rsidR="008440CF">
        <w:t>worker</w:t>
      </w:r>
      <w:r w:rsidRPr="001B2492">
        <w:t xml:space="preserve"> representative who participates in the visit.</w:t>
      </w:r>
    </w:p>
    <w:p w:rsidRPr="001B2492" w:rsidR="005A2BB1" w:rsidP="005A2BB1" w:rsidRDefault="005A2BB1" w14:paraId="4B94D5A5" w14:textId="77777777">
      <w:pPr>
        <w:tabs>
          <w:tab w:val="left" w:pos="-1440"/>
        </w:tabs>
      </w:pPr>
    </w:p>
    <w:p w:rsidRPr="001B2492" w:rsidR="00405DBC" w:rsidP="005A2BB1" w:rsidRDefault="00F0315C" w14:paraId="1E40C8ED" w14:textId="77777777">
      <w:pPr>
        <w:tabs>
          <w:tab w:val="left" w:pos="-1440"/>
        </w:tabs>
      </w:pPr>
      <w:r w:rsidRPr="001B2492">
        <w:rPr>
          <w:u w:val="single"/>
        </w:rPr>
        <w:t>Purpose</w:t>
      </w:r>
      <w:r w:rsidRPr="001B2492">
        <w:t xml:space="preserve">: </w:t>
      </w:r>
      <w:r w:rsidRPr="001B2492" w:rsidR="00405DBC">
        <w:t xml:space="preserve">When posted, the list of serious hazards and correction due dates serves to notify (and warn) </w:t>
      </w:r>
      <w:r w:rsidRPr="001B2492" w:rsidR="008440CF">
        <w:t>worker</w:t>
      </w:r>
      <w:r w:rsidRPr="001B2492" w:rsidR="00405DBC">
        <w:t xml:space="preserve">s of the presence </w:t>
      </w:r>
      <w:r w:rsidRPr="001B2492" w:rsidR="00842F34">
        <w:t xml:space="preserve">of those hazards.  It also serves as a reminder of the employer’s obligation to correct hazards in a timely manner.  </w:t>
      </w:r>
    </w:p>
    <w:p w:rsidRPr="001B2492" w:rsidR="005A2BB1" w:rsidP="005A2BB1" w:rsidRDefault="005A2BB1" w14:paraId="3DEEC669" w14:textId="77777777">
      <w:pPr>
        <w:tabs>
          <w:tab w:val="left" w:pos="-1440"/>
        </w:tabs>
      </w:pPr>
    </w:p>
    <w:p w:rsidRPr="001B2492" w:rsidR="00FC4BF3" w:rsidP="00425724" w:rsidRDefault="00842F34" w14:paraId="46A1BC28" w14:textId="77777777">
      <w:pPr>
        <w:tabs>
          <w:tab w:val="left" w:pos="-1440"/>
        </w:tabs>
        <w:ind w:left="720" w:hanging="720"/>
      </w:pPr>
      <w:r w:rsidRPr="001B2492">
        <w:t xml:space="preserve">(3) </w:t>
      </w:r>
      <w:r w:rsidRPr="001B2492">
        <w:tab/>
      </w:r>
      <w:r w:rsidRPr="001B2492" w:rsidR="00FC4BF3">
        <w:rPr>
          <w:u w:val="single"/>
        </w:rPr>
        <w:t>1908.6(f)</w:t>
      </w:r>
      <w:r w:rsidRPr="001B2492">
        <w:rPr>
          <w:u w:val="single"/>
        </w:rPr>
        <w:t xml:space="preserve">(1) and </w:t>
      </w:r>
      <w:r w:rsidRPr="001B2492" w:rsidR="00FC4BF3">
        <w:rPr>
          <w:u w:val="single"/>
        </w:rPr>
        <w:t>(4)</w:t>
      </w:r>
      <w:r w:rsidRPr="001B2492" w:rsidR="00FC4BF3">
        <w:t>:</w:t>
      </w:r>
      <w:r w:rsidRPr="001B2492" w:rsidR="00FC4BF3">
        <w:tab/>
        <w:t xml:space="preserve">State’s obligation to inform OSHA of </w:t>
      </w:r>
      <w:r w:rsidRPr="001B2492" w:rsidR="00181966">
        <w:t xml:space="preserve">an </w:t>
      </w:r>
      <w:r w:rsidRPr="001B2492" w:rsidR="00FC4BF3">
        <w:t>employer’s refusal to correct hazards.</w:t>
      </w:r>
    </w:p>
    <w:p w:rsidRPr="001B2492" w:rsidR="00FC4BF3" w:rsidRDefault="00FC4BF3" w14:paraId="3656B9AB" w14:textId="77777777"/>
    <w:p w:rsidRPr="001B2492" w:rsidR="00B47A0B" w:rsidP="005A2BB1" w:rsidRDefault="00FC4BF3" w14:paraId="11D2C6FF" w14:textId="77777777">
      <w:r w:rsidRPr="001B2492">
        <w:rPr>
          <w:u w:val="single"/>
        </w:rPr>
        <w:t>Requirement</w:t>
      </w:r>
      <w:r w:rsidRPr="001B2492">
        <w:t>.</w:t>
      </w:r>
      <w:r w:rsidRPr="001B2492">
        <w:tab/>
        <w:t xml:space="preserve">Notify the appropriate OSHA enforcement authority and provide relevant information on </w:t>
      </w:r>
      <w:r w:rsidRPr="001B2492" w:rsidR="00B47A0B">
        <w:t>imminent danger situations and serious hazards, which the employer has failed to correct within established time frames.</w:t>
      </w:r>
    </w:p>
    <w:p w:rsidRPr="001B2492" w:rsidR="00FC4BF3" w:rsidRDefault="00FC4BF3" w14:paraId="45FB0818" w14:textId="77777777"/>
    <w:p w:rsidRPr="001B2492" w:rsidR="00B47A0B" w:rsidP="005A2BB1" w:rsidRDefault="00F0315C" w14:paraId="3D7D9FAB" w14:textId="77777777">
      <w:r w:rsidRPr="001B2492">
        <w:rPr>
          <w:u w:val="single"/>
        </w:rPr>
        <w:t>Purpose</w:t>
      </w:r>
      <w:r w:rsidRPr="001B2492">
        <w:t xml:space="preserve">: </w:t>
      </w:r>
      <w:r w:rsidRPr="001B2492" w:rsidR="00FC4BF3">
        <w:t xml:space="preserve">This requirement is necessary to protect </w:t>
      </w:r>
      <w:r w:rsidRPr="001B2492" w:rsidR="008440CF">
        <w:t>worker</w:t>
      </w:r>
      <w:r w:rsidRPr="001B2492" w:rsidR="00FC4BF3">
        <w:t xml:space="preserve">s from </w:t>
      </w:r>
      <w:r w:rsidRPr="001B2492" w:rsidR="00B47A0B">
        <w:t xml:space="preserve">imminent danger situations and </w:t>
      </w:r>
      <w:r w:rsidRPr="001B2492" w:rsidR="00FC4BF3">
        <w:t xml:space="preserve">serious injury or illness or death. Employers who request </w:t>
      </w:r>
      <w:r w:rsidRPr="001B2492" w:rsidR="00954BC8">
        <w:t>On-Site</w:t>
      </w:r>
      <w:r w:rsidRPr="001B2492" w:rsidR="00FC4BF3">
        <w:t xml:space="preserve"> </w:t>
      </w:r>
      <w:r w:rsidRPr="001B2492" w:rsidR="00B15859">
        <w:t xml:space="preserve">Consultation </w:t>
      </w:r>
      <w:r w:rsidRPr="001B2492" w:rsidR="00FC4BF3">
        <w:t xml:space="preserve">must agree to protect </w:t>
      </w:r>
      <w:r w:rsidRPr="001B2492" w:rsidR="008440CF">
        <w:t>worker</w:t>
      </w:r>
      <w:r w:rsidRPr="001B2492" w:rsidR="00FC4BF3">
        <w:t>s from all serious hazards identified by the consultant</w:t>
      </w:r>
      <w:r w:rsidRPr="001B2492" w:rsidR="00B47A0B">
        <w:t xml:space="preserve">.  When an employer </w:t>
      </w:r>
      <w:r w:rsidRPr="001B2492" w:rsidR="002547BA">
        <w:t>receives this free consultative assistance but refuses to correct s</w:t>
      </w:r>
      <w:r w:rsidRPr="001B2492" w:rsidR="00325CED">
        <w:t>erious hazards identified, the S</w:t>
      </w:r>
      <w:r w:rsidRPr="001B2492" w:rsidR="002547BA">
        <w:t xml:space="preserve">tate is obligated to make a referral to assure the correction of those hazards.  This notification is required by section 21(d)(3) of the </w:t>
      </w:r>
      <w:r w:rsidRPr="001B2492" w:rsidR="00C7748C">
        <w:t>OSH Act</w:t>
      </w:r>
      <w:r w:rsidRPr="001B2492" w:rsidR="002547BA">
        <w:t>.</w:t>
      </w:r>
    </w:p>
    <w:p w:rsidRPr="001B2492" w:rsidR="00B47A0B" w:rsidP="00B47A0B" w:rsidRDefault="00B47A0B" w14:paraId="049F31CB" w14:textId="77777777">
      <w:pPr>
        <w:ind w:left="720"/>
      </w:pPr>
    </w:p>
    <w:p w:rsidRPr="001B2492" w:rsidR="00FC4BF3" w:rsidP="00425724" w:rsidRDefault="002547BA" w14:paraId="2003671F" w14:textId="69CCAC63">
      <w:pPr>
        <w:ind w:left="720" w:hanging="720"/>
        <w:rPr>
          <w:u w:val="single"/>
        </w:rPr>
      </w:pPr>
      <w:r w:rsidRPr="001B2492">
        <w:t>(4</w:t>
      </w:r>
      <w:r w:rsidRPr="001B2492" w:rsidR="00FC4BF3">
        <w:t>)</w:t>
      </w:r>
      <w:r w:rsidRPr="001B2492" w:rsidR="00C24AC3">
        <w:tab/>
      </w:r>
      <w:r w:rsidRPr="001B2492" w:rsidR="00FC4BF3">
        <w:rPr>
          <w:u w:val="single"/>
        </w:rPr>
        <w:t>1908.6</w:t>
      </w:r>
      <w:r w:rsidRPr="001B2492" w:rsidR="005F0366">
        <w:rPr>
          <w:u w:val="single"/>
        </w:rPr>
        <w:t xml:space="preserve"> (b) and </w:t>
      </w:r>
      <w:r w:rsidRPr="001B2492" w:rsidR="00FC4BF3">
        <w:rPr>
          <w:u w:val="single"/>
        </w:rPr>
        <w:t>(</w:t>
      </w:r>
      <w:r w:rsidRPr="001B2492">
        <w:rPr>
          <w:u w:val="single"/>
        </w:rPr>
        <w:t>g</w:t>
      </w:r>
      <w:r w:rsidRPr="001B2492" w:rsidR="00FC4BF3">
        <w:rPr>
          <w:u w:val="single"/>
        </w:rPr>
        <w:t>)</w:t>
      </w:r>
      <w:r w:rsidRPr="001B2492" w:rsidR="006F3FA2">
        <w:rPr>
          <w:u w:val="single"/>
        </w:rPr>
        <w:t>(1)</w:t>
      </w:r>
      <w:r w:rsidRPr="001B2492" w:rsidR="00FC4BF3">
        <w:t>:</w:t>
      </w:r>
      <w:r w:rsidRPr="001B2492" w:rsidR="00C24AC3">
        <w:tab/>
      </w:r>
      <w:r w:rsidRPr="001B2492" w:rsidR="00FC4BF3">
        <w:t>State’s obligation to prepare a</w:t>
      </w:r>
      <w:r w:rsidRPr="001B2492" w:rsidR="00F23AC3">
        <w:t xml:space="preserve">nd submit a written report to the </w:t>
      </w:r>
      <w:r w:rsidRPr="001B2492" w:rsidR="00FC4BF3">
        <w:t>employer.</w:t>
      </w:r>
    </w:p>
    <w:p w:rsidRPr="001B2492" w:rsidR="00FC4BF3" w:rsidRDefault="00FC4BF3" w14:paraId="53128261" w14:textId="77777777">
      <w:pPr>
        <w:rPr>
          <w:u w:val="single"/>
        </w:rPr>
      </w:pPr>
    </w:p>
    <w:p w:rsidRPr="001B2492" w:rsidR="00FC4BF3" w:rsidP="005A2BB1" w:rsidRDefault="00FC4BF3" w14:paraId="4CE20FF9" w14:textId="77777777">
      <w:r w:rsidRPr="001B2492">
        <w:rPr>
          <w:u w:val="single"/>
        </w:rPr>
        <w:t>Requirement</w:t>
      </w:r>
      <w:r w:rsidRPr="001B2492">
        <w:t>.</w:t>
      </w:r>
      <w:r w:rsidRPr="001B2492">
        <w:tab/>
        <w:t xml:space="preserve">Prepare and transmit to </w:t>
      </w:r>
      <w:r w:rsidRPr="001B2492" w:rsidR="00E15D57">
        <w:t>the employer a written report relating to</w:t>
      </w:r>
      <w:r w:rsidRPr="001B2492">
        <w:t xml:space="preserve"> each</w:t>
      </w:r>
      <w:r w:rsidRPr="001B2492" w:rsidR="00325CED">
        <w:t xml:space="preserve"> </w:t>
      </w:r>
      <w:r w:rsidRPr="001B2492" w:rsidR="00954BC8">
        <w:t>On-Site</w:t>
      </w:r>
      <w:r w:rsidRPr="001B2492" w:rsidR="005A2BB1">
        <w:t xml:space="preserve"> </w:t>
      </w:r>
      <w:r w:rsidRPr="001B2492" w:rsidR="00B15859">
        <w:t xml:space="preserve">Consultation </w:t>
      </w:r>
      <w:r w:rsidRPr="001B2492" w:rsidR="00325CED">
        <w:t>visit which</w:t>
      </w:r>
      <w:r w:rsidRPr="001B2492">
        <w:t xml:space="preserve"> results in substantive findings and recommendations.  </w:t>
      </w:r>
      <w:r w:rsidRPr="001B2492" w:rsidR="0014676B">
        <w:t xml:space="preserve">All limited and comprehensive visits will result in substantive findings and recommendations.  </w:t>
      </w:r>
      <w:r w:rsidRPr="001B2492">
        <w:t>Prepare and transmit to the employer a list of serious hazards and co</w:t>
      </w:r>
      <w:r w:rsidRPr="001B2492" w:rsidR="002547BA">
        <w:t>rrection due dates for posting.</w:t>
      </w:r>
    </w:p>
    <w:p w:rsidRPr="001B2492" w:rsidR="00FC4BF3" w:rsidRDefault="00FC4BF3" w14:paraId="62486C05" w14:textId="77777777"/>
    <w:p w:rsidRPr="001B2492" w:rsidR="00FC4BF3" w:rsidP="005A2BB1" w:rsidRDefault="00F0315C" w14:paraId="61526A3F" w14:textId="77777777">
      <w:r w:rsidRPr="001B2492">
        <w:rPr>
          <w:u w:val="single"/>
        </w:rPr>
        <w:t>Purpose</w:t>
      </w:r>
      <w:r w:rsidRPr="001B2492">
        <w:t xml:space="preserve">: </w:t>
      </w:r>
      <w:r w:rsidRPr="001B2492" w:rsidR="00FC4BF3">
        <w:t>The written report serves as the employer's official notification of the consultant's fin</w:t>
      </w:r>
      <w:r w:rsidRPr="001B2492" w:rsidR="00417C26">
        <w:t>dings and recommendations.  This</w:t>
      </w:r>
      <w:r w:rsidRPr="001B2492" w:rsidR="00FC4BF3">
        <w:t xml:space="preserve"> reco</w:t>
      </w:r>
      <w:r w:rsidRPr="001B2492" w:rsidR="00417C26">
        <w:t>rd of the</w:t>
      </w:r>
      <w:r w:rsidRPr="001B2492" w:rsidR="00354EFB">
        <w:t xml:space="preserve"> </w:t>
      </w:r>
      <w:r w:rsidRPr="001B2492" w:rsidR="00954BC8">
        <w:t>On-Site</w:t>
      </w:r>
      <w:r w:rsidRPr="001B2492" w:rsidR="00417C26">
        <w:t xml:space="preserve"> </w:t>
      </w:r>
      <w:r w:rsidRPr="001B2492" w:rsidR="00B15859">
        <w:t xml:space="preserve">Consultation </w:t>
      </w:r>
      <w:r w:rsidRPr="001B2492" w:rsidR="00417C26">
        <w:t>visit also</w:t>
      </w:r>
      <w:r w:rsidRPr="001B2492" w:rsidR="00FC4BF3">
        <w:t xml:space="preserve"> serves as a mechanism for the employer to track and correct</w:t>
      </w:r>
      <w:r w:rsidRPr="001B2492" w:rsidR="00FC4BF3">
        <w:rPr>
          <w:b/>
          <w:bCs/>
        </w:rPr>
        <w:t xml:space="preserve"> </w:t>
      </w:r>
      <w:r w:rsidRPr="001B2492" w:rsidR="00FC4BF3">
        <w:t>identifie</w:t>
      </w:r>
      <w:r w:rsidRPr="001B2492" w:rsidR="00F1770F">
        <w:t>d serious hazards.  The list of</w:t>
      </w:r>
      <w:r w:rsidRPr="001B2492" w:rsidR="00FC4BF3">
        <w:t xml:space="preserve"> hazards a</w:t>
      </w:r>
      <w:r w:rsidRPr="001B2492" w:rsidR="00F1770F">
        <w:t>nd correction due dates, when</w:t>
      </w:r>
      <w:r w:rsidRPr="001B2492" w:rsidR="00FC4BF3">
        <w:t xml:space="preserve"> posted, serves to notify </w:t>
      </w:r>
      <w:r w:rsidRPr="001B2492" w:rsidR="008440CF">
        <w:t>worker</w:t>
      </w:r>
      <w:r w:rsidRPr="001B2492" w:rsidR="00FC4BF3">
        <w:t xml:space="preserve">s </w:t>
      </w:r>
      <w:r w:rsidRPr="001B2492" w:rsidR="00F1770F">
        <w:t>of the existence of any serious</w:t>
      </w:r>
      <w:r w:rsidRPr="001B2492" w:rsidR="00354EFB">
        <w:t xml:space="preserve"> hazard</w:t>
      </w:r>
      <w:r w:rsidRPr="001B2492" w:rsidR="00F1770F">
        <w:t>s</w:t>
      </w:r>
      <w:r w:rsidRPr="001B2492" w:rsidR="00BA600E">
        <w:t>.</w:t>
      </w:r>
    </w:p>
    <w:p w:rsidRPr="001B2492" w:rsidR="00FC4BF3" w:rsidRDefault="00FC4BF3" w14:paraId="4101652C" w14:textId="77777777"/>
    <w:p w:rsidRPr="001B2492" w:rsidR="00FC4BF3" w:rsidP="005A2BB1" w:rsidRDefault="00354EFB" w14:paraId="2D9270EC" w14:textId="77777777">
      <w:r w:rsidRPr="001B2492">
        <w:t>Employers who</w:t>
      </w:r>
      <w:r w:rsidRPr="001B2492" w:rsidR="00FC4BF3">
        <w:t xml:space="preserve"> request </w:t>
      </w:r>
      <w:r w:rsidRPr="001B2492" w:rsidR="00954BC8">
        <w:t>On-Site</w:t>
      </w:r>
      <w:r w:rsidRPr="001B2492" w:rsidR="00FC4BF3">
        <w:t xml:space="preserve"> </w:t>
      </w:r>
      <w:r w:rsidRPr="001B2492" w:rsidR="00B15859">
        <w:t xml:space="preserve">Consultation </w:t>
      </w:r>
      <w:r w:rsidRPr="001B2492" w:rsidR="00A36BE1">
        <w:t>services</w:t>
      </w:r>
      <w:r w:rsidRPr="001B2492" w:rsidR="00FC4BF3">
        <w:t xml:space="preserve"> must agree to correct all serious hazards</w:t>
      </w:r>
      <w:r w:rsidRPr="001B2492" w:rsidR="00A36BE1">
        <w:t xml:space="preserve"> which are</w:t>
      </w:r>
      <w:r w:rsidRPr="001B2492" w:rsidR="00FC4BF3">
        <w:t xml:space="preserve"> identified by the consultant. The written report provides a clear, formal statement of the results of the </w:t>
      </w:r>
      <w:r w:rsidRPr="001B2492" w:rsidR="00954BC8">
        <w:t>On-Site</w:t>
      </w:r>
      <w:r w:rsidRPr="001B2492">
        <w:t xml:space="preserve"> </w:t>
      </w:r>
      <w:r w:rsidRPr="001B2492" w:rsidR="00B15859">
        <w:t xml:space="preserve">Consultation </w:t>
      </w:r>
      <w:r w:rsidRPr="001B2492" w:rsidR="00FC4BF3">
        <w:t xml:space="preserve">visit: serious hazards identified; corrective methods recommended; and specific correction dates agreed upon by the consultant and the employer. </w:t>
      </w:r>
      <w:r w:rsidRPr="001B2492" w:rsidR="00417C26">
        <w:t xml:space="preserve"> </w:t>
      </w:r>
      <w:r w:rsidRPr="001B2492" w:rsidR="00FC4BF3">
        <w:t>It also provides guidance on the employer's safety and health program.</w:t>
      </w:r>
    </w:p>
    <w:p w:rsidRPr="001B2492" w:rsidR="004C2047" w:rsidRDefault="004C2047" w14:paraId="4B99056E" w14:textId="77777777">
      <w:pPr>
        <w:ind w:left="720"/>
      </w:pPr>
    </w:p>
    <w:p w:rsidRPr="001B2492" w:rsidR="004C2047" w:rsidP="00425724" w:rsidRDefault="004C2047" w14:paraId="1075AD5E" w14:textId="77777777">
      <w:pPr>
        <w:ind w:left="720" w:hanging="720"/>
        <w:rPr>
          <w:u w:val="single"/>
        </w:rPr>
      </w:pPr>
      <w:r w:rsidRPr="001B2492">
        <w:t>(5)</w:t>
      </w:r>
      <w:r w:rsidRPr="001B2492">
        <w:tab/>
      </w:r>
      <w:r w:rsidRPr="001B2492">
        <w:rPr>
          <w:u w:val="single"/>
        </w:rPr>
        <w:t>1908.7(b)(1):</w:t>
      </w:r>
      <w:r w:rsidRPr="001B2492">
        <w:tab/>
        <w:t xml:space="preserve">State’s obligation to inform compliance officers of </w:t>
      </w:r>
      <w:r w:rsidRPr="001B2492" w:rsidR="00B15859">
        <w:t xml:space="preserve">an </w:t>
      </w:r>
      <w:r w:rsidRPr="001B2492" w:rsidR="00954BC8">
        <w:t>On-Site</w:t>
      </w:r>
      <w:r w:rsidRPr="001B2492" w:rsidR="00B15859">
        <w:t xml:space="preserve"> C</w:t>
      </w:r>
      <w:r w:rsidRPr="001B2492">
        <w:t>onsultation “visit in progress.”</w:t>
      </w:r>
      <w:r w:rsidRPr="001B2492">
        <w:tab/>
      </w:r>
    </w:p>
    <w:p w:rsidRPr="001B2492" w:rsidR="004C2047" w:rsidP="004C2047" w:rsidRDefault="004C2047" w14:paraId="1299C43A" w14:textId="77777777">
      <w:pPr>
        <w:rPr>
          <w:u w:val="single"/>
        </w:rPr>
      </w:pPr>
    </w:p>
    <w:p w:rsidRPr="001B2492" w:rsidR="004C2047" w:rsidP="005A2BB1" w:rsidRDefault="004C2047" w14:paraId="7E84CDB7" w14:textId="77777777">
      <w:r w:rsidRPr="001B2492">
        <w:rPr>
          <w:u w:val="single"/>
        </w:rPr>
        <w:t>Requirement</w:t>
      </w:r>
      <w:r w:rsidRPr="001B2492">
        <w:t>.</w:t>
      </w:r>
      <w:r w:rsidRPr="001B2492">
        <w:tab/>
        <w:t>Inform any OSHA or State compliance offic</w:t>
      </w:r>
      <w:r w:rsidRPr="001B2492" w:rsidR="005A2BB1">
        <w:t xml:space="preserve">er who arrives during an </w:t>
      </w:r>
      <w:r w:rsidRPr="001B2492" w:rsidR="00954BC8">
        <w:t>On-Site</w:t>
      </w:r>
      <w:r w:rsidRPr="001B2492" w:rsidR="005A2BB1">
        <w:t xml:space="preserve"> </w:t>
      </w:r>
      <w:r w:rsidRPr="001B2492" w:rsidR="00FE6A01">
        <w:t xml:space="preserve">Consultation </w:t>
      </w:r>
      <w:r w:rsidRPr="001B2492">
        <w:t xml:space="preserve">visit that a </w:t>
      </w:r>
      <w:r w:rsidRPr="001B2492" w:rsidR="00FE6A01">
        <w:t xml:space="preserve">Consultation Visit </w:t>
      </w:r>
      <w:r w:rsidRPr="001B2492">
        <w:t>is “in progress.”</w:t>
      </w:r>
    </w:p>
    <w:p w:rsidRPr="001B2492" w:rsidR="004C2047" w:rsidP="004C2047" w:rsidRDefault="004C2047" w14:paraId="4DDBEF00" w14:textId="77777777"/>
    <w:p w:rsidRPr="001B2492" w:rsidR="00B23F01" w:rsidP="005A2BB1" w:rsidRDefault="00F0315C" w14:paraId="26647991" w14:textId="77777777">
      <w:r w:rsidRPr="001B2492">
        <w:rPr>
          <w:u w:val="single"/>
        </w:rPr>
        <w:t>Purpose:</w:t>
      </w:r>
      <w:r w:rsidRPr="001B2492">
        <w:t xml:space="preserve"> </w:t>
      </w:r>
      <w:r w:rsidRPr="001B2492" w:rsidR="004C2047">
        <w:t xml:space="preserve">This requirement is necessary to prevent duplication of effort between </w:t>
      </w:r>
      <w:r w:rsidRPr="001B2492" w:rsidR="00954BC8">
        <w:t>On-Site</w:t>
      </w:r>
      <w:r w:rsidRPr="001B2492" w:rsidR="004C2047">
        <w:t xml:space="preserve"> </w:t>
      </w:r>
      <w:r w:rsidRPr="001B2492" w:rsidR="00FE6A01">
        <w:t xml:space="preserve">Consultation </w:t>
      </w:r>
      <w:r w:rsidRPr="001B2492" w:rsidR="004C2047">
        <w:t xml:space="preserve">and enforcement.  </w:t>
      </w:r>
      <w:r w:rsidRPr="001B2492" w:rsidR="00954BC8">
        <w:t>On-Site</w:t>
      </w:r>
      <w:r w:rsidRPr="001B2492" w:rsidR="00B23F01">
        <w:t xml:space="preserve"> </w:t>
      </w:r>
      <w:r w:rsidRPr="001B2492" w:rsidR="00FE6A01">
        <w:t>C</w:t>
      </w:r>
      <w:r w:rsidRPr="001B2492" w:rsidR="00B23F01">
        <w:t xml:space="preserve">onsultation visits in progress take priority over OSHA or State programmed inspections. Without this stipulation, an employer receiving consultation would be subject to a concurrent enforcement inspection.  By eliminating this potential duplication between </w:t>
      </w:r>
      <w:r w:rsidRPr="001B2492" w:rsidR="00954BC8">
        <w:t>On-Site</w:t>
      </w:r>
      <w:r w:rsidRPr="001B2492" w:rsidR="00B23F01">
        <w:t xml:space="preserve"> </w:t>
      </w:r>
      <w:r w:rsidRPr="001B2492" w:rsidR="00FE6A01">
        <w:t xml:space="preserve">Consultation </w:t>
      </w:r>
      <w:r w:rsidRPr="001B2492" w:rsidR="00B23F01">
        <w:t>and enforcement, the employer is given the opportunity to voluntarily comply, while Federal and State costs are reduced and resources are conserved.</w:t>
      </w:r>
    </w:p>
    <w:p w:rsidRPr="001B2492" w:rsidR="00FC4BF3" w:rsidRDefault="00FC4BF3" w14:paraId="3461D779" w14:textId="77777777"/>
    <w:p w:rsidRPr="001B2492" w:rsidR="00FC4BF3" w:rsidP="005A2BB1" w:rsidRDefault="00FC4BF3" w14:paraId="58EF9F29" w14:textId="77777777">
      <w:pPr>
        <w:rPr>
          <w:u w:val="single"/>
        </w:rPr>
      </w:pPr>
      <w:r w:rsidRPr="001B2492">
        <w:t>(</w:t>
      </w:r>
      <w:r w:rsidRPr="001B2492" w:rsidR="004C2047">
        <w:t>6</w:t>
      </w:r>
      <w:r w:rsidRPr="001B2492">
        <w:t>)</w:t>
      </w:r>
      <w:r w:rsidRPr="001B2492">
        <w:tab/>
      </w:r>
      <w:r w:rsidRPr="001B2492">
        <w:rPr>
          <w:u w:val="single"/>
        </w:rPr>
        <w:t>1908.9(b):</w:t>
      </w:r>
      <w:r w:rsidRPr="001B2492">
        <w:tab/>
        <w:t>State’s obligation to monitor consultant performance.</w:t>
      </w:r>
    </w:p>
    <w:p w:rsidRPr="001B2492" w:rsidR="00FC4BF3" w:rsidRDefault="00FC4BF3" w14:paraId="3CF2D8B6" w14:textId="77777777">
      <w:pPr>
        <w:rPr>
          <w:u w:val="single"/>
        </w:rPr>
      </w:pPr>
    </w:p>
    <w:p w:rsidRPr="001B2492" w:rsidR="00FC4BF3" w:rsidP="005A2BB1" w:rsidRDefault="00FC4BF3" w14:paraId="280442C0" w14:textId="77777777">
      <w:pPr>
        <w:ind w:left="1440" w:hanging="1440"/>
      </w:pPr>
      <w:r w:rsidRPr="001B2492">
        <w:rPr>
          <w:u w:val="single"/>
        </w:rPr>
        <w:t>Requirement</w:t>
      </w:r>
      <w:r w:rsidRPr="001B2492">
        <w:t>.</w:t>
      </w:r>
      <w:r w:rsidRPr="001B2492">
        <w:tab/>
        <w:t>Establish and maintain an organized consultant performance monitoring system.</w:t>
      </w:r>
    </w:p>
    <w:p w:rsidRPr="001B2492" w:rsidR="00FC4BF3" w:rsidRDefault="00FC4BF3" w14:paraId="0FB78278" w14:textId="77777777"/>
    <w:p w:rsidRPr="001B2492" w:rsidR="00FC4BF3" w:rsidP="005A2BB1" w:rsidRDefault="00F0315C" w14:paraId="75BE0542" w14:textId="77777777">
      <w:r w:rsidRPr="001B2492">
        <w:rPr>
          <w:u w:val="single"/>
        </w:rPr>
        <w:t>Purpose:</w:t>
      </w:r>
      <w:r w:rsidRPr="001B2492">
        <w:t xml:space="preserve"> </w:t>
      </w:r>
      <w:r w:rsidRPr="001B2492" w:rsidR="00FC4BF3">
        <w:t xml:space="preserve">Performance monitoring of consultants is necessary to ensure that employers who request and receive </w:t>
      </w:r>
      <w:r w:rsidRPr="001B2492" w:rsidR="00954BC8">
        <w:t>On-Site</w:t>
      </w:r>
      <w:r w:rsidRPr="001B2492" w:rsidR="00354EFB">
        <w:t xml:space="preserve"> </w:t>
      </w:r>
      <w:r w:rsidRPr="001B2492" w:rsidR="00FE6A01">
        <w:t xml:space="preserve">Consultation </w:t>
      </w:r>
      <w:r w:rsidRPr="001B2492" w:rsidR="00FC4BF3">
        <w:t>services are provided quality assistance and that the skill levels of consultants are sufficient to perform the tasks required.</w:t>
      </w:r>
    </w:p>
    <w:p w:rsidRPr="001B2492" w:rsidR="00FC4BF3" w:rsidRDefault="00FC4BF3" w14:paraId="1FC39945" w14:textId="77777777"/>
    <w:p w:rsidRPr="001B2492" w:rsidR="00FC4BF3" w:rsidP="005A2BB1" w:rsidRDefault="00794C47" w14:paraId="5F3D36E8" w14:textId="77777777">
      <w:pPr>
        <w:rPr>
          <w:u w:val="single"/>
        </w:rPr>
      </w:pPr>
      <w:r w:rsidRPr="001B2492">
        <w:t>(</w:t>
      </w:r>
      <w:r w:rsidRPr="001B2492" w:rsidR="004C2047">
        <w:t>7</w:t>
      </w:r>
      <w:r w:rsidRPr="001B2492" w:rsidR="00FC4BF3">
        <w:t>)</w:t>
      </w:r>
      <w:r w:rsidRPr="001B2492" w:rsidR="00FC4BF3">
        <w:tab/>
      </w:r>
      <w:r w:rsidRPr="001B2492" w:rsidR="00FC4BF3">
        <w:rPr>
          <w:u w:val="single"/>
        </w:rPr>
        <w:t>1908.9(c):</w:t>
      </w:r>
      <w:r w:rsidRPr="001B2492" w:rsidR="00FC4BF3">
        <w:tab/>
        <w:t>State’s obligation to report data.</w:t>
      </w:r>
    </w:p>
    <w:p w:rsidRPr="001B2492" w:rsidR="00FC4BF3" w:rsidRDefault="00FC4BF3" w14:paraId="0562CB0E" w14:textId="77777777">
      <w:pPr>
        <w:rPr>
          <w:u w:val="single"/>
        </w:rPr>
      </w:pPr>
    </w:p>
    <w:p w:rsidRPr="001B2492" w:rsidR="00FC4BF3" w:rsidP="005A2BB1" w:rsidRDefault="00FC4BF3" w14:paraId="401C9DA8" w14:textId="77777777">
      <w:r w:rsidRPr="001B2492">
        <w:rPr>
          <w:u w:val="single"/>
        </w:rPr>
        <w:t>Requirement</w:t>
      </w:r>
      <w:r w:rsidRPr="001B2492">
        <w:t>.</w:t>
      </w:r>
      <w:r w:rsidRPr="001B2492">
        <w:tab/>
        <w:t>Compile and submit factual and statistical data.</w:t>
      </w:r>
    </w:p>
    <w:p w:rsidRPr="001B2492" w:rsidR="00FC4BF3" w:rsidRDefault="00FC4BF3" w14:paraId="34CE0A41" w14:textId="77777777"/>
    <w:p w:rsidRPr="001B2492" w:rsidR="00FC4BF3" w:rsidP="005A2BB1" w:rsidRDefault="00F0315C" w14:paraId="7B4488F5" w14:textId="77777777">
      <w:r w:rsidRPr="001B2492">
        <w:rPr>
          <w:u w:val="single"/>
        </w:rPr>
        <w:t>Purpose:</w:t>
      </w:r>
      <w:r w:rsidRPr="001B2492">
        <w:t xml:space="preserve"> </w:t>
      </w:r>
      <w:r w:rsidRPr="001B2492" w:rsidR="005C782E">
        <w:t xml:space="preserve">The </w:t>
      </w:r>
      <w:r w:rsidRPr="001B2492" w:rsidR="00954BC8">
        <w:t>On-Site</w:t>
      </w:r>
      <w:r w:rsidRPr="001B2492" w:rsidR="005C782E">
        <w:t xml:space="preserve"> Consultation </w:t>
      </w:r>
      <w:r w:rsidRPr="001B2492" w:rsidR="0020737B">
        <w:t>Program</w:t>
      </w:r>
      <w:r w:rsidRPr="001B2492" w:rsidR="00A56CC8">
        <w:t>s</w:t>
      </w:r>
      <w:r w:rsidRPr="001B2492" w:rsidR="002A24B5">
        <w:t xml:space="preserve"> gather</w:t>
      </w:r>
      <w:r w:rsidRPr="001B2492" w:rsidR="0039636B">
        <w:t xml:space="preserve"> factual</w:t>
      </w:r>
      <w:r w:rsidRPr="001B2492" w:rsidR="002A24B5">
        <w:t xml:space="preserve"> data </w:t>
      </w:r>
      <w:r w:rsidRPr="001B2492" w:rsidR="0039636B">
        <w:t>from</w:t>
      </w:r>
      <w:r w:rsidRPr="001B2492" w:rsidR="002A24B5">
        <w:t xml:space="preserve"> all</w:t>
      </w:r>
      <w:r w:rsidRPr="001B2492" w:rsidR="00B4100E">
        <w:t xml:space="preserve"> of the employers who utilize</w:t>
      </w:r>
      <w:r w:rsidRPr="001B2492" w:rsidR="0039636B">
        <w:t xml:space="preserve"> their</w:t>
      </w:r>
      <w:r w:rsidRPr="001B2492" w:rsidR="002A24B5">
        <w:t xml:space="preserve"> service</w:t>
      </w:r>
      <w:r w:rsidRPr="001B2492" w:rsidR="0039636B">
        <w:t>s</w:t>
      </w:r>
      <w:r w:rsidRPr="001B2492" w:rsidR="005C782E">
        <w:t xml:space="preserve"> and input the data into a computer system</w:t>
      </w:r>
      <w:r w:rsidRPr="001B2492" w:rsidR="002A24B5">
        <w:t xml:space="preserve">.  </w:t>
      </w:r>
      <w:r w:rsidRPr="001B2492" w:rsidR="00A56CC8">
        <w:t>OSHA does not require</w:t>
      </w:r>
      <w:r w:rsidRPr="001B2492" w:rsidR="00B4100E">
        <w:t xml:space="preserve"> the </w:t>
      </w:r>
      <w:r w:rsidRPr="001B2492" w:rsidR="00954BC8">
        <w:t>On-Site</w:t>
      </w:r>
      <w:r w:rsidRPr="001B2492" w:rsidR="00245185">
        <w:t xml:space="preserve"> Consultation </w:t>
      </w:r>
      <w:r w:rsidRPr="001B2492" w:rsidR="0020737B">
        <w:t>Program</w:t>
      </w:r>
      <w:r w:rsidRPr="001B2492" w:rsidR="00245185">
        <w:t xml:space="preserve">s </w:t>
      </w:r>
      <w:r w:rsidRPr="001B2492" w:rsidR="0039636B">
        <w:t>to</w:t>
      </w:r>
      <w:r w:rsidRPr="001B2492" w:rsidR="00B4100E">
        <w:t xml:space="preserve"> segregate or</w:t>
      </w:r>
      <w:r w:rsidRPr="001B2492" w:rsidR="00A56CC8">
        <w:t xml:space="preserve"> apply any statistical criteria</w:t>
      </w:r>
      <w:r w:rsidRPr="001B2492" w:rsidR="00B4100E">
        <w:t xml:space="preserve"> to</w:t>
      </w:r>
      <w:r w:rsidRPr="001B2492" w:rsidR="00A56CC8">
        <w:t xml:space="preserve"> </w:t>
      </w:r>
      <w:r w:rsidRPr="001B2492" w:rsidR="002A24B5">
        <w:t>the data</w:t>
      </w:r>
      <w:r w:rsidRPr="001B2492" w:rsidR="0039636B">
        <w:t>; nor are</w:t>
      </w:r>
      <w:r w:rsidRPr="001B2492" w:rsidR="00A56CC8">
        <w:t xml:space="preserve"> they</w:t>
      </w:r>
      <w:r w:rsidRPr="001B2492" w:rsidR="0039636B">
        <w:t xml:space="preserve"> required to</w:t>
      </w:r>
      <w:r w:rsidRPr="001B2492" w:rsidR="002A24B5">
        <w:t xml:space="preserve"> perform any specific statistical</w:t>
      </w:r>
      <w:r w:rsidRPr="001B2492" w:rsidR="00A56CC8">
        <w:t xml:space="preserve"> analysis using the data</w:t>
      </w:r>
      <w:r w:rsidRPr="001B2492" w:rsidR="002A24B5">
        <w:t xml:space="preserve">.  </w:t>
      </w:r>
      <w:r w:rsidRPr="001B2492" w:rsidR="005C782E">
        <w:t xml:space="preserve">The </w:t>
      </w:r>
      <w:r w:rsidRPr="001B2492" w:rsidR="00954BC8">
        <w:t>On-Site</w:t>
      </w:r>
      <w:r w:rsidRPr="001B2492" w:rsidR="002F5E16">
        <w:t xml:space="preserve"> C</w:t>
      </w:r>
      <w:r w:rsidRPr="001B2492" w:rsidR="005C782E">
        <w:t>onsulta</w:t>
      </w:r>
      <w:r w:rsidRPr="001B2492" w:rsidR="002F5E16">
        <w:t xml:space="preserve">tion </w:t>
      </w:r>
      <w:r w:rsidRPr="001B2492" w:rsidR="0020737B">
        <w:t>Program</w:t>
      </w:r>
      <w:r w:rsidRPr="001B2492" w:rsidR="005C782E">
        <w:t xml:space="preserve">s are the repository of the source data, but OSHA has access to the data through a computer program.  </w:t>
      </w:r>
      <w:r w:rsidRPr="001B2492" w:rsidR="002A24B5">
        <w:t>For example,</w:t>
      </w:r>
      <w:r w:rsidRPr="001B2492" w:rsidR="005C782E">
        <w:t xml:space="preserve"> the </w:t>
      </w:r>
      <w:r w:rsidRPr="001B2492" w:rsidR="00954BC8">
        <w:t>On-Site</w:t>
      </w:r>
      <w:r w:rsidRPr="001B2492" w:rsidR="005C782E">
        <w:t xml:space="preserve"> Consultation </w:t>
      </w:r>
      <w:r w:rsidRPr="001B2492" w:rsidR="0020737B">
        <w:t>Program</w:t>
      </w:r>
      <w:r w:rsidRPr="001B2492" w:rsidR="002A24B5">
        <w:t xml:space="preserve">s develop case files </w:t>
      </w:r>
      <w:r w:rsidRPr="001B2492" w:rsidR="0039636B">
        <w:t>from</w:t>
      </w:r>
      <w:r w:rsidRPr="001B2492" w:rsidR="00FC4BF3">
        <w:t xml:space="preserve"> all </w:t>
      </w:r>
      <w:r w:rsidRPr="001B2492" w:rsidR="00354EFB">
        <w:t xml:space="preserve">consultation </w:t>
      </w:r>
      <w:r w:rsidRPr="001B2492" w:rsidR="00FC4BF3">
        <w:t>visits</w:t>
      </w:r>
      <w:r w:rsidRPr="001B2492" w:rsidR="004F304E">
        <w:t xml:space="preserve"> and input the data into a computer system</w:t>
      </w:r>
      <w:r w:rsidRPr="001B2492" w:rsidR="00FC4BF3">
        <w:t xml:space="preserve"> for use b</w:t>
      </w:r>
      <w:r w:rsidRPr="001B2492" w:rsidR="00354EFB">
        <w:t xml:space="preserve">y the </w:t>
      </w:r>
      <w:r w:rsidRPr="001B2492" w:rsidR="007E70D4">
        <w:t>S</w:t>
      </w:r>
      <w:r w:rsidRPr="001B2492" w:rsidR="00354EFB">
        <w:t xml:space="preserve">tates in managing their </w:t>
      </w:r>
      <w:r w:rsidRPr="001B2492" w:rsidR="002F5E16">
        <w:t>p</w:t>
      </w:r>
      <w:r w:rsidRPr="001B2492" w:rsidR="0039636B">
        <w:t>rogram</w:t>
      </w:r>
      <w:r w:rsidRPr="001B2492" w:rsidR="002F5E16">
        <w:t>s</w:t>
      </w:r>
      <w:r w:rsidRPr="001B2492" w:rsidR="0039636B">
        <w:t>.</w:t>
      </w:r>
      <w:r w:rsidRPr="001B2492" w:rsidR="002A24B5">
        <w:t xml:space="preserve"> </w:t>
      </w:r>
      <w:r w:rsidRPr="001B2492" w:rsidR="004F304E">
        <w:t xml:space="preserve"> </w:t>
      </w:r>
      <w:r w:rsidRPr="001B2492" w:rsidR="00FC4BF3">
        <w:t>OSHA</w:t>
      </w:r>
      <w:r w:rsidRPr="001B2492" w:rsidR="0039636B">
        <w:t xml:space="preserve"> has access to the data</w:t>
      </w:r>
      <w:r w:rsidRPr="001B2492" w:rsidR="004F304E">
        <w:t xml:space="preserve"> through the computer program</w:t>
      </w:r>
      <w:r w:rsidRPr="001B2492" w:rsidR="0039636B">
        <w:t>, which it</w:t>
      </w:r>
      <w:r w:rsidRPr="001B2492" w:rsidR="005C782E">
        <w:t xml:space="preserve"> then</w:t>
      </w:r>
      <w:r w:rsidRPr="001B2492" w:rsidR="00C26DAB">
        <w:t xml:space="preserve"> uses to</w:t>
      </w:r>
      <w:r w:rsidRPr="001B2492" w:rsidR="00FC4BF3">
        <w:t xml:space="preserve"> perform annual monitoring and periodic </w:t>
      </w:r>
      <w:r w:rsidRPr="001B2492" w:rsidR="00DC1EF8">
        <w:t>electronic-</w:t>
      </w:r>
      <w:r w:rsidRPr="001B2492" w:rsidR="00FC4BF3">
        <w:t>tracking of</w:t>
      </w:r>
      <w:r w:rsidRPr="001B2492" w:rsidR="00C26DAB">
        <w:t xml:space="preserve"> each</w:t>
      </w:r>
      <w:r w:rsidRPr="001B2492" w:rsidR="00DC1EF8">
        <w:t xml:space="preserve"> </w:t>
      </w:r>
      <w:r w:rsidRPr="001B2492" w:rsidR="00954BC8">
        <w:t>On-Site</w:t>
      </w:r>
      <w:r w:rsidRPr="001B2492" w:rsidR="00DC1EF8">
        <w:t xml:space="preserve"> Consultation </w:t>
      </w:r>
      <w:r w:rsidRPr="001B2492" w:rsidR="0020737B">
        <w:t>Program</w:t>
      </w:r>
      <w:r w:rsidRPr="001B2492" w:rsidR="00DC1EF8">
        <w:t>’s</w:t>
      </w:r>
      <w:r w:rsidRPr="001B2492" w:rsidR="00FC4BF3">
        <w:t xml:space="preserve"> performance</w:t>
      </w:r>
      <w:r w:rsidRPr="001B2492" w:rsidR="00425B46">
        <w:t xml:space="preserve"> as</w:t>
      </w:r>
      <w:r w:rsidRPr="001B2492" w:rsidR="00FC4BF3">
        <w:t xml:space="preserve"> specified</w:t>
      </w:r>
      <w:r w:rsidRPr="001B2492" w:rsidR="00C26DAB">
        <w:t xml:space="preserve"> </w:t>
      </w:r>
      <w:r w:rsidRPr="001B2492" w:rsidR="00FC4BF3">
        <w:t>in the cooperative agreement.</w:t>
      </w:r>
      <w:r w:rsidRPr="001B2492" w:rsidR="00794C47">
        <w:t xml:space="preserve">  </w:t>
      </w:r>
      <w:r w:rsidRPr="001B2492" w:rsidR="00C26DAB">
        <w:t>Additionally,</w:t>
      </w:r>
      <w:r w:rsidRPr="001B2492" w:rsidR="00425B46">
        <w:t xml:space="preserve"> because</w:t>
      </w:r>
      <w:r w:rsidRPr="001B2492" w:rsidR="00C26DAB">
        <w:t xml:space="preserve"> t</w:t>
      </w:r>
      <w:r w:rsidRPr="001B2492" w:rsidR="00794C47">
        <w:t xml:space="preserve">he </w:t>
      </w:r>
      <w:r w:rsidRPr="001B2492" w:rsidR="00954BC8">
        <w:t>On-Site</w:t>
      </w:r>
      <w:r w:rsidRPr="001B2492" w:rsidR="00B15859">
        <w:t xml:space="preserve"> C</w:t>
      </w:r>
      <w:r w:rsidRPr="001B2492" w:rsidR="002F5E16">
        <w:t xml:space="preserve">onsultation </w:t>
      </w:r>
      <w:r w:rsidRPr="001B2492" w:rsidR="00B15859">
        <w:t xml:space="preserve">Program </w:t>
      </w:r>
      <w:r w:rsidRPr="001B2492" w:rsidR="00794C47">
        <w:t>and</w:t>
      </w:r>
      <w:r w:rsidRPr="001B2492" w:rsidR="00425B46">
        <w:t xml:space="preserve"> the</w:t>
      </w:r>
      <w:r w:rsidRPr="001B2492" w:rsidR="00794C47">
        <w:t xml:space="preserve"> services</w:t>
      </w:r>
      <w:r w:rsidRPr="001B2492" w:rsidR="002F5E16">
        <w:t xml:space="preserve"> it</w:t>
      </w:r>
      <w:r w:rsidRPr="001B2492" w:rsidR="00794C47">
        <w:t xml:space="preserve"> provide</w:t>
      </w:r>
      <w:r w:rsidRPr="001B2492" w:rsidR="002F5E16">
        <w:t>s</w:t>
      </w:r>
      <w:r w:rsidRPr="001B2492" w:rsidR="00794C47">
        <w:t xml:space="preserve"> </w:t>
      </w:r>
      <w:r w:rsidRPr="001B2492" w:rsidR="002F5E16">
        <w:t>is</w:t>
      </w:r>
      <w:r w:rsidRPr="001B2492" w:rsidR="00794C47">
        <w:t xml:space="preserve"> mandated by Congress and receive</w:t>
      </w:r>
      <w:r w:rsidRPr="001B2492" w:rsidR="002F5E16">
        <w:t>s</w:t>
      </w:r>
      <w:r w:rsidRPr="001B2492" w:rsidR="00794C47">
        <w:t xml:space="preserve"> up to 90 perc</w:t>
      </w:r>
      <w:r w:rsidRPr="001B2492" w:rsidR="00425B46">
        <w:t>ent</w:t>
      </w:r>
      <w:r w:rsidRPr="001B2492" w:rsidR="002F5E16">
        <w:t xml:space="preserve"> of its</w:t>
      </w:r>
      <w:r w:rsidRPr="001B2492" w:rsidR="00425B46">
        <w:t xml:space="preserve"> funding fr</w:t>
      </w:r>
      <w:r w:rsidRPr="001B2492" w:rsidR="004F304E">
        <w:t>om the Federal government, OSHA</w:t>
      </w:r>
      <w:r w:rsidRPr="001B2492" w:rsidR="00425B46">
        <w:t xml:space="preserve"> f</w:t>
      </w:r>
      <w:r w:rsidRPr="001B2492" w:rsidR="00794C47">
        <w:t>rom time-to-</w:t>
      </w:r>
      <w:r w:rsidRPr="001B2492" w:rsidR="00425B46">
        <w:t>time</w:t>
      </w:r>
      <w:r w:rsidRPr="001B2492" w:rsidR="00FC4BF3">
        <w:t xml:space="preserve"> uses</w:t>
      </w:r>
      <w:r w:rsidRPr="001B2492" w:rsidR="00425B46">
        <w:t xml:space="preserve"> the</w:t>
      </w:r>
      <w:r w:rsidRPr="001B2492" w:rsidR="00FC4BF3">
        <w:t xml:space="preserve"> information collected under this requirement to report on the performance of the </w:t>
      </w:r>
      <w:r w:rsidRPr="001B2492" w:rsidR="00954BC8">
        <w:t>On-Site</w:t>
      </w:r>
      <w:r w:rsidRPr="001B2492" w:rsidR="002F5E16">
        <w:t xml:space="preserve"> Consultation </w:t>
      </w:r>
      <w:r w:rsidRPr="001B2492" w:rsidR="0020737B">
        <w:t>Program</w:t>
      </w:r>
      <w:r w:rsidRPr="001B2492" w:rsidR="00FC4BF3">
        <w:t>s</w:t>
      </w:r>
      <w:r w:rsidRPr="001B2492" w:rsidR="00425B46">
        <w:t xml:space="preserve"> to Congress</w:t>
      </w:r>
      <w:r w:rsidRPr="001B2492" w:rsidR="00FC4BF3">
        <w:t>.</w:t>
      </w:r>
    </w:p>
    <w:p w:rsidRPr="001B2492" w:rsidR="00B4100E" w:rsidRDefault="00B4100E" w14:paraId="62EBF3C5" w14:textId="77777777"/>
    <w:p w:rsidRPr="001B2492" w:rsidR="00FC4BF3" w:rsidP="005A2BB1" w:rsidRDefault="00FC4BF3" w14:paraId="38857A13" w14:textId="77777777">
      <w:pPr>
        <w:rPr>
          <w:u w:val="single"/>
        </w:rPr>
      </w:pPr>
      <w:r w:rsidRPr="001B2492">
        <w:t>(</w:t>
      </w:r>
      <w:r w:rsidRPr="001B2492" w:rsidR="004C2047">
        <w:t>8</w:t>
      </w:r>
      <w:r w:rsidRPr="001B2492">
        <w:t xml:space="preserve">) </w:t>
      </w:r>
      <w:r w:rsidRPr="001B2492">
        <w:tab/>
      </w:r>
      <w:r w:rsidRPr="001B2492">
        <w:rPr>
          <w:u w:val="single"/>
        </w:rPr>
        <w:t>1908.10(c):</w:t>
      </w:r>
      <w:r w:rsidRPr="001B2492">
        <w:tab/>
        <w:t>Contents of cooperative agreement.</w:t>
      </w:r>
    </w:p>
    <w:p w:rsidRPr="001B2492" w:rsidR="00FC4BF3" w:rsidRDefault="00FC4BF3" w14:paraId="6D98A12B" w14:textId="77777777">
      <w:pPr>
        <w:rPr>
          <w:u w:val="single"/>
        </w:rPr>
      </w:pPr>
    </w:p>
    <w:p w:rsidRPr="001B2492" w:rsidR="00FC4BF3" w:rsidP="005A2BB1" w:rsidRDefault="00FC4BF3" w14:paraId="437F4FFB" w14:textId="77777777">
      <w:r w:rsidRPr="001B2492">
        <w:rPr>
          <w:u w:val="single"/>
        </w:rPr>
        <w:t>Requirement</w:t>
      </w:r>
      <w:r w:rsidRPr="001B2492">
        <w:t>.</w:t>
      </w:r>
      <w:r w:rsidRPr="001B2492">
        <w:tab/>
        <w:t xml:space="preserve">Prepare the annual cooperative agreement detailing budget information and program activities proposed for Federal funding each </w:t>
      </w:r>
      <w:r w:rsidRPr="001B2492" w:rsidR="00075203">
        <w:t>f</w:t>
      </w:r>
      <w:r w:rsidRPr="001B2492">
        <w:t xml:space="preserve">iscal </w:t>
      </w:r>
      <w:r w:rsidRPr="001B2492" w:rsidR="00075203">
        <w:t>y</w:t>
      </w:r>
      <w:r w:rsidRPr="001B2492">
        <w:t>ear.</w:t>
      </w:r>
    </w:p>
    <w:p w:rsidRPr="001B2492" w:rsidR="00FC4BF3" w:rsidRDefault="00FC4BF3" w14:paraId="2946DB82" w14:textId="77777777"/>
    <w:p w:rsidRPr="001B2492" w:rsidR="00FC4BF3" w:rsidP="005A2BB1" w:rsidRDefault="00F0315C" w14:paraId="63D3B872" w14:textId="77777777">
      <w:r w:rsidRPr="001B2492">
        <w:rPr>
          <w:u w:val="single"/>
        </w:rPr>
        <w:t>Purpose:</w:t>
      </w:r>
      <w:r w:rsidRPr="001B2492">
        <w:t xml:space="preserve"> </w:t>
      </w:r>
      <w:r w:rsidRPr="001B2492" w:rsidR="00FC4BF3">
        <w:t xml:space="preserve">This section provides the mechanism for funding </w:t>
      </w:r>
      <w:r w:rsidRPr="001B2492" w:rsidR="00954BC8">
        <w:t>On-Site</w:t>
      </w:r>
      <w:r w:rsidRPr="001B2492" w:rsidR="00B15859">
        <w:t xml:space="preserve"> Consultation </w:t>
      </w:r>
      <w:r w:rsidRPr="001B2492" w:rsidR="0020737B">
        <w:t>Program</w:t>
      </w:r>
      <w:r w:rsidRPr="001B2492" w:rsidR="00B15859">
        <w:t xml:space="preserve">s </w:t>
      </w:r>
      <w:r w:rsidRPr="001B2492" w:rsidR="00FC4BF3">
        <w:t>operated by the Sta</w:t>
      </w:r>
      <w:r w:rsidRPr="001B2492" w:rsidR="00075203">
        <w:t xml:space="preserve">tes. The cooperative agreement, </w:t>
      </w:r>
      <w:r w:rsidRPr="001B2492" w:rsidR="00FC4BF3">
        <w:t>and the funding mec</w:t>
      </w:r>
      <w:r w:rsidRPr="001B2492" w:rsidR="00075203">
        <w:t>hanism, is required by CAAA</w:t>
      </w:r>
      <w:r w:rsidRPr="001B2492" w:rsidR="00FC4BF3">
        <w:t>.</w:t>
      </w:r>
    </w:p>
    <w:p w:rsidRPr="001B2492" w:rsidR="00FC4BF3" w:rsidRDefault="00FC4BF3" w14:paraId="5997CC1D" w14:textId="77777777"/>
    <w:p w:rsidRPr="001B2492" w:rsidR="00FC4BF3" w:rsidP="005A2BB1" w:rsidRDefault="00FC4BF3" w14:paraId="00CC4EFF" w14:textId="77777777">
      <w:pPr>
        <w:tabs>
          <w:tab w:val="left" w:pos="540"/>
        </w:tabs>
      </w:pPr>
      <w:r w:rsidRPr="001B2492">
        <w:rPr>
          <w:b/>
        </w:rPr>
        <w:t>b.</w:t>
      </w:r>
      <w:r w:rsidRPr="001B2492" w:rsidR="005A2BB1">
        <w:rPr>
          <w:b/>
        </w:rPr>
        <w:tab/>
      </w:r>
      <w:r w:rsidRPr="001B2492">
        <w:rPr>
          <w:b/>
          <w:u w:val="single"/>
        </w:rPr>
        <w:t>Employer Responsibilities</w:t>
      </w:r>
      <w:r w:rsidRPr="001B2492">
        <w:t>.</w:t>
      </w:r>
    </w:p>
    <w:p w:rsidRPr="001B2492" w:rsidR="00F0315C" w:rsidP="00F0315C" w:rsidRDefault="00F0315C" w14:paraId="110FFD37" w14:textId="77777777">
      <w:pPr>
        <w:tabs>
          <w:tab w:val="left" w:pos="540"/>
        </w:tabs>
      </w:pPr>
    </w:p>
    <w:p w:rsidRPr="001B2492" w:rsidR="00CB56EB" w:rsidP="005900A1" w:rsidRDefault="00BA600E" w14:paraId="30550B89" w14:textId="77777777">
      <w:r w:rsidRPr="001B2492">
        <w:t>(1)</w:t>
      </w:r>
      <w:r w:rsidRPr="001B2492">
        <w:tab/>
      </w:r>
      <w:r w:rsidRPr="001B2492" w:rsidR="00CB56EB">
        <w:rPr>
          <w:u w:val="single"/>
        </w:rPr>
        <w:t>1908.6(e)(8)</w:t>
      </w:r>
      <w:r w:rsidRPr="001B2492" w:rsidR="00CB56EB">
        <w:t>:</w:t>
      </w:r>
      <w:r w:rsidRPr="001B2492">
        <w:t xml:space="preserve">    </w:t>
      </w:r>
      <w:r w:rsidRPr="001B2492" w:rsidR="00CB56EB">
        <w:t>Employer’s obligation to post</w:t>
      </w:r>
      <w:r w:rsidRPr="001B2492" w:rsidR="001D69A2">
        <w:t xml:space="preserve"> the “List of Hazards” and make </w:t>
      </w:r>
      <w:r w:rsidRPr="001B2492" w:rsidR="00CB56EB">
        <w:t xml:space="preserve">information on corrective methods proposed by the consultant available to </w:t>
      </w:r>
      <w:r w:rsidRPr="001B2492" w:rsidR="008440CF">
        <w:t>worker</w:t>
      </w:r>
      <w:r w:rsidRPr="001B2492" w:rsidR="00CB56EB">
        <w:t>s and their representatives.</w:t>
      </w:r>
    </w:p>
    <w:p w:rsidRPr="001B2492" w:rsidR="00CB56EB" w:rsidP="00CB56EB" w:rsidRDefault="00CB56EB" w14:paraId="6B699379" w14:textId="77777777">
      <w:pPr>
        <w:ind w:left="1440" w:hanging="720"/>
        <w:rPr>
          <w:u w:val="single"/>
        </w:rPr>
      </w:pPr>
    </w:p>
    <w:p w:rsidRPr="001B2492" w:rsidR="00CB56EB" w:rsidP="005A2BB1" w:rsidRDefault="00CB56EB" w14:paraId="0EEEE7F9" w14:textId="77777777">
      <w:r w:rsidRPr="001B2492">
        <w:rPr>
          <w:u w:val="single"/>
        </w:rPr>
        <w:t>Requirement</w:t>
      </w:r>
      <w:r w:rsidRPr="001B2492">
        <w:t>:</w:t>
      </w:r>
      <w:r w:rsidRPr="001B2492">
        <w:tab/>
        <w:t xml:space="preserve"> If serious hazards are identified by a consultant, the employer must post a list of all serious hazards and correction due dates.  The list of hazards must be posted unedited in a prominent place, where it is readily observable by all affected </w:t>
      </w:r>
      <w:r w:rsidRPr="001B2492" w:rsidR="008440CF">
        <w:t>worker</w:t>
      </w:r>
      <w:r w:rsidRPr="001B2492">
        <w:t xml:space="preserve">s, for three working days, or until the hazards are corrected, whichever is later.  A copy of the list of hazards must also be available to the </w:t>
      </w:r>
      <w:r w:rsidRPr="001B2492" w:rsidR="008440CF">
        <w:t>worker</w:t>
      </w:r>
      <w:r w:rsidRPr="001B2492">
        <w:t xml:space="preserve"> representative who participates in the visit.</w:t>
      </w:r>
    </w:p>
    <w:p w:rsidRPr="001B2492" w:rsidR="00CB56EB" w:rsidP="00CB56EB" w:rsidRDefault="00CB56EB" w14:paraId="3FE9F23F" w14:textId="77777777">
      <w:pPr>
        <w:ind w:left="2160" w:hanging="1440"/>
      </w:pPr>
    </w:p>
    <w:p w:rsidRPr="001B2492" w:rsidR="00CB56EB" w:rsidP="005A2BB1" w:rsidRDefault="00F0315C" w14:paraId="012BADFE" w14:textId="77777777">
      <w:r w:rsidRPr="001B2492">
        <w:rPr>
          <w:u w:val="single"/>
        </w:rPr>
        <w:t>Purpose:</w:t>
      </w:r>
      <w:r w:rsidRPr="001B2492">
        <w:t xml:space="preserve"> </w:t>
      </w:r>
      <w:r w:rsidRPr="001B2492" w:rsidR="00CB56EB">
        <w:t xml:space="preserve">This requirement is necessary to ensure that </w:t>
      </w:r>
      <w:r w:rsidRPr="001B2492" w:rsidR="008440CF">
        <w:t>worker</w:t>
      </w:r>
      <w:r w:rsidRPr="001B2492" w:rsidR="00CB56EB">
        <w:t xml:space="preserve">s are made aware of, and are able to avoid serious hazards, which could otherwise result in serious injury, illness, or death.  The House Report (H.R. 105-444) accompanying the CAAA encouraged the Secretary of Labor to include assurances of </w:t>
      </w:r>
      <w:r w:rsidRPr="001B2492" w:rsidR="008440CF">
        <w:t>worker</w:t>
      </w:r>
      <w:r w:rsidRPr="001B2492" w:rsidR="00CB56EB">
        <w:t xml:space="preserve"> notification of hazards in 29 CFR </w:t>
      </w:r>
      <w:r w:rsidRPr="001B2492" w:rsidR="00DC3A89">
        <w:t xml:space="preserve">part </w:t>
      </w:r>
      <w:r w:rsidRPr="001B2492" w:rsidR="00CB56EB">
        <w:t>1908.</w:t>
      </w:r>
    </w:p>
    <w:p w:rsidRPr="001B2492" w:rsidR="005A2BB1" w:rsidP="005A2BB1" w:rsidRDefault="005A2BB1" w14:paraId="1F72F646" w14:textId="77777777">
      <w:pPr>
        <w:tabs>
          <w:tab w:val="left" w:pos="-1440"/>
        </w:tabs>
        <w:rPr>
          <w:u w:val="single"/>
        </w:rPr>
      </w:pPr>
    </w:p>
    <w:p w:rsidRPr="001B2492" w:rsidR="00FC4BF3" w:rsidP="00DF5208" w:rsidRDefault="00FC4BF3" w14:paraId="30AC6FC6" w14:textId="77777777">
      <w:r w:rsidRPr="001B2492">
        <w:t>(</w:t>
      </w:r>
      <w:r w:rsidRPr="001B2492" w:rsidR="00CB56EB">
        <w:t>2</w:t>
      </w:r>
      <w:r w:rsidRPr="001B2492">
        <w:t>)</w:t>
      </w:r>
      <w:r w:rsidRPr="001B2492">
        <w:tab/>
      </w:r>
      <w:r w:rsidRPr="001B2492">
        <w:rPr>
          <w:u w:val="single"/>
        </w:rPr>
        <w:t>1908.6(f)(5)</w:t>
      </w:r>
      <w:r w:rsidRPr="001B2492">
        <w:t>:</w:t>
      </w:r>
      <w:r w:rsidRPr="001B2492">
        <w:tab/>
        <w:t xml:space="preserve">Employer’s obligation to notify the </w:t>
      </w:r>
      <w:r w:rsidRPr="001B2492" w:rsidR="00954BC8">
        <w:t>On-Site</w:t>
      </w:r>
      <w:r w:rsidRPr="001B2492" w:rsidR="00DC1EF8">
        <w:t xml:space="preserve"> C</w:t>
      </w:r>
      <w:r w:rsidRPr="001B2492">
        <w:t xml:space="preserve">onsultation </w:t>
      </w:r>
      <w:r w:rsidRPr="001B2492" w:rsidR="0020737B">
        <w:t>Program</w:t>
      </w:r>
      <w:r w:rsidRPr="001B2492" w:rsidR="00DF5208">
        <w:t xml:space="preserve"> </w:t>
      </w:r>
      <w:r w:rsidRPr="001B2492">
        <w:t>manager when hazards are corrected.</w:t>
      </w:r>
    </w:p>
    <w:p w:rsidRPr="001B2492" w:rsidR="00FC4BF3" w:rsidRDefault="00FC4BF3" w14:paraId="08CE6F91" w14:textId="77777777"/>
    <w:p w:rsidRPr="001B2492" w:rsidR="00FC4BF3" w:rsidP="005A2BB1" w:rsidRDefault="00FC4BF3" w14:paraId="0A8059FC" w14:textId="77777777">
      <w:r w:rsidRPr="001B2492">
        <w:rPr>
          <w:u w:val="single"/>
        </w:rPr>
        <w:t>Requirement</w:t>
      </w:r>
      <w:r w:rsidRPr="001B2492">
        <w:t>.</w:t>
      </w:r>
      <w:r w:rsidRPr="001B2492">
        <w:tab/>
        <w:t xml:space="preserve">Following the correction of serious hazards, the employer must provide the State </w:t>
      </w:r>
      <w:r w:rsidRPr="001B2492" w:rsidR="00954BC8">
        <w:t>On-Site</w:t>
      </w:r>
      <w:r w:rsidRPr="001B2492" w:rsidR="00DC1EF8">
        <w:t xml:space="preserve"> Consultation </w:t>
      </w:r>
      <w:r w:rsidRPr="001B2492" w:rsidR="0020737B">
        <w:t>Program</w:t>
      </w:r>
      <w:r w:rsidRPr="001B2492">
        <w:t xml:space="preserve"> manager with written confirmation of the hazards corrected, unless the</w:t>
      </w:r>
      <w:r w:rsidRPr="001B2492" w:rsidR="009A798B">
        <w:t xml:space="preserve"> consultant directly verifies the correction of those</w:t>
      </w:r>
      <w:r w:rsidRPr="001B2492">
        <w:t xml:space="preserve"> hazards.</w:t>
      </w:r>
      <w:r w:rsidRPr="001B2492" w:rsidR="006961CB">
        <w:t xml:space="preserve">  Since electronic mail </w:t>
      </w:r>
      <w:r w:rsidRPr="001B2492" w:rsidR="003C4886">
        <w:t xml:space="preserve">(e-mail) </w:t>
      </w:r>
      <w:r w:rsidRPr="001B2492" w:rsidR="006961CB">
        <w:t>is a form of legal</w:t>
      </w:r>
      <w:r w:rsidRPr="001B2492" w:rsidR="003C4886">
        <w:t>,</w:t>
      </w:r>
      <w:r w:rsidRPr="001B2492" w:rsidR="006961CB">
        <w:t xml:space="preserve"> written correspondence, employers may notify the </w:t>
      </w:r>
      <w:r w:rsidRPr="001B2492" w:rsidR="00954BC8">
        <w:t>On-Site</w:t>
      </w:r>
      <w:r w:rsidRPr="001B2492" w:rsidR="003F7D09">
        <w:t xml:space="preserve"> </w:t>
      </w:r>
      <w:r w:rsidRPr="001B2492" w:rsidR="003C4886">
        <w:t xml:space="preserve">Consultation </w:t>
      </w:r>
      <w:r w:rsidRPr="001B2492" w:rsidR="0020737B">
        <w:t>Program</w:t>
      </w:r>
      <w:r w:rsidRPr="001B2492" w:rsidR="003C4886">
        <w:t xml:space="preserve"> regarding the correction of hazards via</w:t>
      </w:r>
      <w:r w:rsidRPr="001B2492" w:rsidR="006961CB">
        <w:t xml:space="preserve"> e-mail if they so choose.</w:t>
      </w:r>
    </w:p>
    <w:p w:rsidRPr="001B2492" w:rsidR="00FC4BF3" w:rsidRDefault="00FC4BF3" w14:paraId="61CDCEAD" w14:textId="77777777"/>
    <w:p w:rsidRPr="001B2492" w:rsidR="00973E7F" w:rsidP="005A2BB1" w:rsidRDefault="00F0315C" w14:paraId="3787F1E8" w14:textId="77777777">
      <w:r w:rsidRPr="001B2492">
        <w:rPr>
          <w:u w:val="single"/>
        </w:rPr>
        <w:t>Purpose:</w:t>
      </w:r>
      <w:r w:rsidRPr="001B2492">
        <w:t xml:space="preserve"> </w:t>
      </w:r>
      <w:r w:rsidRPr="001B2492" w:rsidR="00FC4BF3">
        <w:t>This requirement is necessary to ensure</w:t>
      </w:r>
      <w:r w:rsidRPr="001B2492" w:rsidR="009A798B">
        <w:t xml:space="preserve"> that all hazards,</w:t>
      </w:r>
      <w:r w:rsidRPr="001B2492" w:rsidR="00FC4BF3">
        <w:t xml:space="preserve"> </w:t>
      </w:r>
      <w:r w:rsidRPr="001B2492" w:rsidR="009A798B">
        <w:t>which could</w:t>
      </w:r>
      <w:r w:rsidRPr="001B2492" w:rsidR="00FC4BF3">
        <w:t xml:space="preserve"> result in serious injury, illness, or </w:t>
      </w:r>
      <w:r w:rsidRPr="001B2492" w:rsidR="00B16B3A">
        <w:t>death,</w:t>
      </w:r>
      <w:r w:rsidRPr="001B2492" w:rsidR="009A798B">
        <w:t xml:space="preserve"> are corrected in a timely manner</w:t>
      </w:r>
      <w:r w:rsidRPr="001B2492" w:rsidR="00FC4BF3">
        <w:t>.</w:t>
      </w:r>
    </w:p>
    <w:p w:rsidRPr="001B2492" w:rsidR="00FC4BF3" w:rsidRDefault="00FC4BF3" w14:paraId="6BB9E253" w14:textId="77777777"/>
    <w:p w:rsidRPr="001B2492" w:rsidR="00FC4BF3" w:rsidP="005900A1" w:rsidRDefault="00FC4BF3" w14:paraId="1F6A3B8B" w14:textId="77777777">
      <w:pPr>
        <w:rPr>
          <w:u w:val="single"/>
        </w:rPr>
      </w:pPr>
      <w:r w:rsidRPr="001B2492">
        <w:t>(</w:t>
      </w:r>
      <w:r w:rsidRPr="001B2492" w:rsidR="009A798B">
        <w:t>3</w:t>
      </w:r>
      <w:r w:rsidRPr="001B2492">
        <w:t>)</w:t>
      </w:r>
      <w:r w:rsidRPr="001B2492">
        <w:tab/>
      </w:r>
      <w:r w:rsidRPr="001B2492">
        <w:rPr>
          <w:u w:val="single"/>
        </w:rPr>
        <w:t>1908.7(b)(1):</w:t>
      </w:r>
      <w:r w:rsidRPr="001B2492">
        <w:tab/>
        <w:t>Employer’s right to inform compliance officer</w:t>
      </w:r>
      <w:r w:rsidRPr="001B2492" w:rsidR="00870E43">
        <w:t>s</w:t>
      </w:r>
      <w:r w:rsidRPr="001B2492">
        <w:t xml:space="preserve"> of consultation</w:t>
      </w:r>
      <w:r w:rsidRPr="001B2492" w:rsidR="003E68CF">
        <w:t xml:space="preserve"> </w:t>
      </w:r>
      <w:r w:rsidRPr="001B2492" w:rsidR="00870E43">
        <w:t>“</w:t>
      </w:r>
      <w:r w:rsidRPr="001B2492" w:rsidR="003E68CF">
        <w:t>visit</w:t>
      </w:r>
      <w:r w:rsidRPr="001B2492">
        <w:t xml:space="preserve"> in</w:t>
      </w:r>
      <w:r w:rsidRPr="001B2492" w:rsidR="003E68CF">
        <w:t xml:space="preserve"> </w:t>
      </w:r>
      <w:r w:rsidRPr="001B2492">
        <w:t>progress.</w:t>
      </w:r>
      <w:r w:rsidRPr="001B2492" w:rsidR="003E68CF">
        <w:t>”</w:t>
      </w:r>
      <w:r w:rsidRPr="001B2492">
        <w:tab/>
      </w:r>
    </w:p>
    <w:p w:rsidRPr="001B2492" w:rsidR="00FC4BF3" w:rsidRDefault="00FC4BF3" w14:paraId="23DE523C" w14:textId="77777777">
      <w:pPr>
        <w:rPr>
          <w:u w:val="single"/>
        </w:rPr>
      </w:pPr>
    </w:p>
    <w:p w:rsidRPr="001B2492" w:rsidR="00FC4BF3" w:rsidP="005A2BB1" w:rsidRDefault="00FC4BF3" w14:paraId="4179F0FA" w14:textId="77777777">
      <w:r w:rsidRPr="001B2492">
        <w:rPr>
          <w:u w:val="single"/>
        </w:rPr>
        <w:t>Requirement</w:t>
      </w:r>
      <w:r w:rsidRPr="001B2492">
        <w:t>.</w:t>
      </w:r>
      <w:r w:rsidRPr="001B2492">
        <w:tab/>
        <w:t>Inform any OSHA or State compliance officer who arrives during a</w:t>
      </w:r>
      <w:r w:rsidRPr="001B2492" w:rsidR="00870E43">
        <w:t xml:space="preserve">n </w:t>
      </w:r>
      <w:r w:rsidRPr="001B2492" w:rsidR="00954BC8">
        <w:t>On-Site</w:t>
      </w:r>
      <w:r w:rsidRPr="001B2492" w:rsidR="00870E43">
        <w:t xml:space="preserve"> </w:t>
      </w:r>
      <w:r w:rsidRPr="001B2492" w:rsidR="00FE6A01">
        <w:t xml:space="preserve">Consultation </w:t>
      </w:r>
      <w:r w:rsidRPr="001B2492">
        <w:t xml:space="preserve">visit that a </w:t>
      </w:r>
      <w:r w:rsidRPr="001B2492" w:rsidR="00FE6A01">
        <w:t xml:space="preserve">Consultation Visit </w:t>
      </w:r>
      <w:r w:rsidRPr="001B2492">
        <w:t xml:space="preserve">is </w:t>
      </w:r>
      <w:r w:rsidRPr="001B2492" w:rsidR="003E68CF">
        <w:t>“</w:t>
      </w:r>
      <w:r w:rsidRPr="001B2492">
        <w:t>in progress.</w:t>
      </w:r>
      <w:r w:rsidRPr="001B2492" w:rsidR="003E68CF">
        <w:t>”</w:t>
      </w:r>
    </w:p>
    <w:p w:rsidRPr="001B2492" w:rsidR="00FC4BF3" w:rsidRDefault="00FC4BF3" w14:paraId="52E56223" w14:textId="77777777"/>
    <w:p w:rsidRPr="001B2492" w:rsidR="00B75B5C" w:rsidP="005A2BB1" w:rsidRDefault="00F0315C" w14:paraId="40C74BDF" w14:textId="77777777">
      <w:r w:rsidRPr="001B2492">
        <w:rPr>
          <w:u w:val="single"/>
        </w:rPr>
        <w:t>Purpose:</w:t>
      </w:r>
      <w:r w:rsidRPr="001B2492">
        <w:t xml:space="preserve"> </w:t>
      </w:r>
      <w:r w:rsidRPr="001B2492" w:rsidR="00FC4BF3">
        <w:t xml:space="preserve">This requirement is necessary to prevent duplication of effort between </w:t>
      </w:r>
      <w:r w:rsidRPr="001B2492" w:rsidR="00954BC8">
        <w:t>On-Site</w:t>
      </w:r>
      <w:r w:rsidRPr="001B2492" w:rsidR="00870E43">
        <w:t xml:space="preserve"> </w:t>
      </w:r>
      <w:r w:rsidRPr="001B2492" w:rsidR="00625A9F">
        <w:t>C</w:t>
      </w:r>
      <w:r w:rsidRPr="001B2492" w:rsidR="00FC4BF3">
        <w:t>onsul</w:t>
      </w:r>
      <w:r w:rsidRPr="001B2492" w:rsidR="003E68CF">
        <w:t>tation and enforcement.  It avoids wasting the employer</w:t>
      </w:r>
      <w:r w:rsidRPr="001B2492" w:rsidR="00870E43">
        <w:t>’</w:t>
      </w:r>
      <w:r w:rsidRPr="001B2492" w:rsidR="003E68CF">
        <w:t>s time and conserves</w:t>
      </w:r>
      <w:r w:rsidRPr="001B2492" w:rsidR="00FC4BF3">
        <w:t xml:space="preserve"> State and Federal government resources.</w:t>
      </w:r>
    </w:p>
    <w:p w:rsidRPr="001B2492" w:rsidR="002D65E9" w:rsidRDefault="002D65E9" w14:paraId="07547A01" w14:textId="77777777">
      <w:pPr>
        <w:ind w:left="720"/>
      </w:pPr>
    </w:p>
    <w:p w:rsidRPr="001B2492" w:rsidR="00FC4BF3" w:rsidP="005A2BB1" w:rsidRDefault="00954BC8" w14:paraId="4735169A" w14:textId="77777777">
      <w:r w:rsidRPr="001B2492">
        <w:t>On-Site</w:t>
      </w:r>
      <w:r w:rsidRPr="001B2492" w:rsidR="00870E43">
        <w:t xml:space="preserve"> </w:t>
      </w:r>
      <w:r w:rsidRPr="001B2492" w:rsidR="00FE6A01">
        <w:t xml:space="preserve">Consultation </w:t>
      </w:r>
      <w:r w:rsidRPr="001B2492" w:rsidR="00FC4BF3">
        <w:t>visits in progress take priority over OSHA or State</w:t>
      </w:r>
      <w:r w:rsidRPr="001B2492" w:rsidR="003E68CF">
        <w:t xml:space="preserve"> programmed inspections. </w:t>
      </w:r>
      <w:r w:rsidRPr="001B2492" w:rsidR="00FC4BF3">
        <w:t xml:space="preserve">Without this stipulation, an employer receiving consultation would be subject to a concurrent enforcement inspection.  By eliminating this potential duplication between </w:t>
      </w:r>
      <w:r w:rsidRPr="001B2492">
        <w:t>On-Site</w:t>
      </w:r>
      <w:r w:rsidRPr="001B2492" w:rsidR="00870E43">
        <w:t xml:space="preserve"> </w:t>
      </w:r>
      <w:r w:rsidRPr="001B2492" w:rsidR="00FE6A01">
        <w:t xml:space="preserve">Consultation </w:t>
      </w:r>
      <w:r w:rsidRPr="001B2492" w:rsidR="00FC4BF3">
        <w:t>and enforcement, the employer is given the opportunity to voluntarily comply, while Federal and State costs are reduced and resources are conserved.</w:t>
      </w:r>
    </w:p>
    <w:p w:rsidRPr="001B2492" w:rsidR="00FC4BF3" w:rsidRDefault="00FC4BF3" w14:paraId="5043CB0F" w14:textId="77777777"/>
    <w:p w:rsidRPr="001B2492" w:rsidR="00997083" w:rsidP="005A2BB1" w:rsidRDefault="00917C67" w14:paraId="625AE82E" w14:textId="77777777">
      <w:r w:rsidRPr="001B2492">
        <w:t>By cooperating with the State</w:t>
      </w:r>
      <w:r w:rsidRPr="001B2492" w:rsidR="003521AE">
        <w:t xml:space="preserve"> </w:t>
      </w:r>
      <w:r w:rsidRPr="001B2492" w:rsidR="00954BC8">
        <w:t>On-Site</w:t>
      </w:r>
      <w:r w:rsidRPr="001B2492">
        <w:t xml:space="preserve"> </w:t>
      </w:r>
      <w:r w:rsidRPr="001B2492" w:rsidR="003521AE">
        <w:t>Consultation P</w:t>
      </w:r>
      <w:r w:rsidRPr="001B2492">
        <w:t>r</w:t>
      </w:r>
      <w:r w:rsidRPr="001B2492" w:rsidR="0014676B">
        <w:t>ogram and voluntarily complying</w:t>
      </w:r>
      <w:r w:rsidRPr="001B2492">
        <w:t xml:space="preserve"> with OSHA standards, the employer prevents injury, illness and death to </w:t>
      </w:r>
      <w:r w:rsidRPr="001B2492" w:rsidR="008440CF">
        <w:t>worker</w:t>
      </w:r>
      <w:r w:rsidRPr="001B2492">
        <w:t>s and avoids costs associated with such incidents as well as penalties resulting from violations of OSHA standards.</w:t>
      </w:r>
    </w:p>
    <w:p w:rsidRPr="001B2492" w:rsidR="00C44D7E" w:rsidP="00D45BCB" w:rsidRDefault="00C44D7E" w14:paraId="07459315" w14:textId="77777777">
      <w:pPr>
        <w:ind w:left="720"/>
      </w:pPr>
    </w:p>
    <w:p w:rsidRPr="001B2492" w:rsidR="00FC4BF3" w:rsidP="00861BAA" w:rsidRDefault="001D69A2" w14:paraId="2C09B909" w14:textId="77777777">
      <w:pPr>
        <w:widowControl/>
        <w:rPr>
          <w:b/>
          <w:bCs/>
          <w:color w:val="000000"/>
        </w:rPr>
      </w:pPr>
      <w:r w:rsidRPr="001B2492">
        <w:rPr>
          <w:b/>
          <w:bCs/>
          <w:color w:val="000000"/>
        </w:rPr>
        <w:t>2.  Indicate how, by whom, and for what purpose the information is to be used.  Except for a new collection, indicate the actual use</w:t>
      </w:r>
      <w:r w:rsidRPr="001B2492" w:rsidR="00E349D0">
        <w:rPr>
          <w:b/>
          <w:bCs/>
          <w:color w:val="000000"/>
        </w:rPr>
        <w:t xml:space="preserve"> the agency has made of the </w:t>
      </w:r>
      <w:r w:rsidRPr="001B2492" w:rsidR="00691327">
        <w:rPr>
          <w:b/>
          <w:bCs/>
          <w:color w:val="000000"/>
        </w:rPr>
        <w:t>i</w:t>
      </w:r>
      <w:r w:rsidRPr="001B2492" w:rsidR="00E349D0">
        <w:rPr>
          <w:b/>
          <w:bCs/>
          <w:color w:val="000000"/>
        </w:rPr>
        <w:t>nformation received from the current collection.</w:t>
      </w:r>
    </w:p>
    <w:p w:rsidRPr="001B2492" w:rsidR="00FC4BF3" w:rsidRDefault="00FC4BF3" w14:paraId="6537F28F" w14:textId="77777777">
      <w:pPr>
        <w:rPr>
          <w:sz w:val="20"/>
          <w:szCs w:val="20"/>
          <w:u w:val="single"/>
        </w:rPr>
      </w:pPr>
    </w:p>
    <w:p w:rsidRPr="001B2492" w:rsidR="00FC4BF3" w:rsidP="001D69A2" w:rsidRDefault="00FC4BF3" w14:paraId="7920D195" w14:textId="77777777">
      <w:r w:rsidRPr="001B2492">
        <w:t xml:space="preserve">This is a request for </w:t>
      </w:r>
      <w:r w:rsidRPr="001B2492" w:rsidR="00FB7438">
        <w:t>continuation</w:t>
      </w:r>
      <w:r w:rsidRPr="001B2492">
        <w:t xml:space="preserve"> of a previously approved collection.  The requirements specified in the </w:t>
      </w:r>
      <w:r w:rsidRPr="001B2492" w:rsidR="00954BC8">
        <w:t>On-Site</w:t>
      </w:r>
      <w:r w:rsidRPr="001B2492" w:rsidR="001D6048">
        <w:t xml:space="preserve"> </w:t>
      </w:r>
      <w:r w:rsidRPr="001B2492" w:rsidR="00B15859">
        <w:t xml:space="preserve">Consultation </w:t>
      </w:r>
      <w:r w:rsidRPr="001B2492">
        <w:t>regulat</w:t>
      </w:r>
      <w:r w:rsidRPr="001B2492" w:rsidR="00FB7438">
        <w:t>ions for cooperative agreements</w:t>
      </w:r>
      <w:r w:rsidRPr="001B2492">
        <w:t xml:space="preserve"> are necessary to ensure</w:t>
      </w:r>
      <w:r w:rsidRPr="001B2492" w:rsidR="00FB7438">
        <w:t xml:space="preserve"> uniform delivery of</w:t>
      </w:r>
      <w:r w:rsidRPr="001B2492" w:rsidR="001D6048">
        <w:t xml:space="preserve"> </w:t>
      </w:r>
      <w:r w:rsidRPr="001B2492" w:rsidR="00954BC8">
        <w:t>On-Site</w:t>
      </w:r>
      <w:r w:rsidRPr="001B2492">
        <w:t xml:space="preserve"> </w:t>
      </w:r>
      <w:r w:rsidRPr="001B2492" w:rsidR="00FE6A01">
        <w:t xml:space="preserve">Consultation </w:t>
      </w:r>
      <w:r w:rsidRPr="001B2492">
        <w:t>service</w:t>
      </w:r>
      <w:r w:rsidRPr="001B2492" w:rsidR="001D6048">
        <w:t>s</w:t>
      </w:r>
      <w:r w:rsidRPr="001B2492">
        <w:t xml:space="preserve"> nationwide. The regulatory procedures specify the activities to be carried out on the part of State </w:t>
      </w:r>
      <w:r w:rsidRPr="001B2492" w:rsidR="00954BC8">
        <w:t>On-Site</w:t>
      </w:r>
      <w:r w:rsidRPr="001B2492" w:rsidR="001D6048">
        <w:t xml:space="preserve"> Consultation P</w:t>
      </w:r>
      <w:r w:rsidRPr="001B2492">
        <w:t>rograms funded by the Federal government, as well as the responsibilities of employers who receive the</w:t>
      </w:r>
      <w:r w:rsidRPr="001B2492" w:rsidR="001D6048">
        <w:t xml:space="preserve"> </w:t>
      </w:r>
      <w:r w:rsidRPr="001B2492" w:rsidR="00954BC8">
        <w:t>On-Site</w:t>
      </w:r>
      <w:r w:rsidRPr="001B2492">
        <w:t xml:space="preserve"> </w:t>
      </w:r>
      <w:r w:rsidRPr="001B2492" w:rsidR="00B15859">
        <w:t xml:space="preserve">Consultation </w:t>
      </w:r>
      <w:r w:rsidRPr="001B2492">
        <w:t xml:space="preserve">services. </w:t>
      </w:r>
      <w:r w:rsidRPr="001B2492" w:rsidR="00CC3C7C">
        <w:t>C</w:t>
      </w:r>
      <w:r w:rsidRPr="001B2492" w:rsidR="00A47766">
        <w:t xml:space="preserve">learance is requested for </w:t>
      </w:r>
      <w:r w:rsidRPr="001B2492" w:rsidR="00DC3A89">
        <w:t>12</w:t>
      </w:r>
      <w:r w:rsidRPr="001B2492">
        <w:t xml:space="preserve"> activities se</w:t>
      </w:r>
      <w:r w:rsidRPr="001B2492" w:rsidR="00CC3C7C">
        <w:t>t</w:t>
      </w:r>
      <w:r w:rsidRPr="001B2492" w:rsidR="00EA3B40">
        <w:t xml:space="preserve"> forth in the regulations; eight</w:t>
      </w:r>
      <w:r w:rsidRPr="001B2492">
        <w:t xml:space="preserve"> involve the responsibilities of State</w:t>
      </w:r>
      <w:r w:rsidRPr="001B2492" w:rsidR="00CC3C7C">
        <w:t xml:space="preserve"> </w:t>
      </w:r>
      <w:r w:rsidRPr="001B2492" w:rsidR="00954BC8">
        <w:t>On-Site</w:t>
      </w:r>
      <w:r w:rsidRPr="001B2492" w:rsidR="001D6048">
        <w:t xml:space="preserve"> C</w:t>
      </w:r>
      <w:r w:rsidRPr="001B2492" w:rsidR="00CC3C7C">
        <w:t xml:space="preserve">onsultation </w:t>
      </w:r>
      <w:r w:rsidRPr="001B2492" w:rsidR="0020737B">
        <w:t>Program</w:t>
      </w:r>
      <w:r w:rsidRPr="001B2492" w:rsidR="00EA3B40">
        <w:t xml:space="preserve">s and </w:t>
      </w:r>
      <w:r w:rsidRPr="001B2492" w:rsidR="00DA4EC6">
        <w:t>four</w:t>
      </w:r>
      <w:r w:rsidRPr="001B2492">
        <w:t xml:space="preserve"> involve the responsibilities of employers.</w:t>
      </w:r>
    </w:p>
    <w:p w:rsidRPr="001B2492" w:rsidR="00056580" w:rsidRDefault="00056580" w14:paraId="6DFB9E20" w14:textId="77777777">
      <w:pPr>
        <w:ind w:left="720"/>
      </w:pPr>
    </w:p>
    <w:p w:rsidRPr="001B2492" w:rsidR="00FC4BF3" w:rsidP="001D69A2" w:rsidRDefault="00FC4BF3" w14:paraId="2388B0AD" w14:textId="77777777">
      <w:pPr>
        <w:rPr>
          <w:b/>
          <w:u w:val="single"/>
        </w:rPr>
      </w:pPr>
      <w:r w:rsidRPr="001B2492">
        <w:rPr>
          <w:b/>
        </w:rPr>
        <w:t>a.</w:t>
      </w:r>
      <w:r w:rsidRPr="001B2492">
        <w:rPr>
          <w:b/>
        </w:rPr>
        <w:tab/>
      </w:r>
      <w:r w:rsidRPr="001B2492">
        <w:rPr>
          <w:b/>
          <w:u w:val="single"/>
        </w:rPr>
        <w:t>State Responsibilities</w:t>
      </w:r>
      <w:r w:rsidRPr="001B2492">
        <w:t>.</w:t>
      </w:r>
    </w:p>
    <w:p w:rsidRPr="001B2492" w:rsidR="00FC4BF3" w:rsidRDefault="00FC4BF3" w14:paraId="70DF9E56" w14:textId="77777777">
      <w:pPr>
        <w:rPr>
          <w:u w:val="single"/>
        </w:rPr>
      </w:pPr>
    </w:p>
    <w:p w:rsidRPr="001B2492" w:rsidR="007A61EB" w:rsidP="008138F3" w:rsidRDefault="00BC2DCD" w14:paraId="3221C6F6" w14:textId="77777777">
      <w:pPr>
        <w:numPr>
          <w:ilvl w:val="0"/>
          <w:numId w:val="1"/>
        </w:numPr>
        <w:tabs>
          <w:tab w:val="clear" w:pos="720"/>
          <w:tab w:val="left" w:pos="-1440"/>
          <w:tab w:val="num" w:pos="1440"/>
        </w:tabs>
        <w:ind w:left="1440" w:hanging="720"/>
      </w:pPr>
      <w:r w:rsidRPr="001B2492">
        <w:t xml:space="preserve">The primary product of the </w:t>
      </w:r>
      <w:r w:rsidRPr="001B2492" w:rsidR="00954BC8">
        <w:t>On-Site</w:t>
      </w:r>
      <w:r w:rsidRPr="001B2492" w:rsidR="001D6048">
        <w:t xml:space="preserve"> </w:t>
      </w:r>
      <w:r w:rsidRPr="001B2492" w:rsidR="00FE6A01">
        <w:t xml:space="preserve">Consultation </w:t>
      </w:r>
      <w:r w:rsidRPr="001B2492">
        <w:t xml:space="preserve">visit conducted by the State </w:t>
      </w:r>
      <w:r w:rsidRPr="001B2492" w:rsidR="00954BC8">
        <w:t>On-Site</w:t>
      </w:r>
      <w:r w:rsidRPr="001B2492" w:rsidR="001D6048">
        <w:t xml:space="preserve"> C</w:t>
      </w:r>
      <w:r w:rsidRPr="001B2492">
        <w:t xml:space="preserve">onsultation </w:t>
      </w:r>
      <w:r w:rsidRPr="001B2492" w:rsidR="0020737B">
        <w:t>Program</w:t>
      </w:r>
      <w:r w:rsidRPr="001B2492">
        <w:t xml:space="preserve">s is the written report to the employer.  This report provides the employer with the results of the hazard survey conducted at the worksite and details what actions must be taken, within specified time frames, to correct </w:t>
      </w:r>
      <w:r w:rsidRPr="001B2492" w:rsidR="00D67184">
        <w:t>the hazard and steps necessary to establish a high level of long-term occupational safety and health protection for workers at the establishment.  Because of the importance of the written report, certain criteria are set forth in the</w:t>
      </w:r>
      <w:r w:rsidRPr="001B2492" w:rsidR="001D6048">
        <w:t xml:space="preserve"> </w:t>
      </w:r>
      <w:r w:rsidRPr="001B2492" w:rsidR="00954BC8">
        <w:t>On-Site</w:t>
      </w:r>
      <w:r w:rsidRPr="001B2492" w:rsidR="00D67184">
        <w:t xml:space="preserve"> </w:t>
      </w:r>
      <w:r w:rsidRPr="001B2492" w:rsidR="00FE6A01">
        <w:t xml:space="preserve">Consultation </w:t>
      </w:r>
      <w:r w:rsidRPr="001B2492" w:rsidR="00D67184">
        <w:t>regulations.</w:t>
      </w:r>
    </w:p>
    <w:p w:rsidRPr="001B2492" w:rsidR="00DD4308" w:rsidP="00BE13BF" w:rsidRDefault="00DD4308" w14:paraId="44E871BC" w14:textId="77777777">
      <w:pPr>
        <w:tabs>
          <w:tab w:val="left" w:pos="-1440"/>
          <w:tab w:val="num" w:pos="1440"/>
        </w:tabs>
        <w:ind w:left="1440" w:hanging="720"/>
      </w:pPr>
    </w:p>
    <w:p w:rsidRPr="001B2492" w:rsidR="007A61EB" w:rsidP="0DCAB877" w:rsidRDefault="007A61EB" w14:paraId="0F974CB0" w14:textId="77777777">
      <w:pPr>
        <w:tabs>
          <w:tab w:val="num" w:pos="1440"/>
        </w:tabs>
        <w:ind w:left="1440"/>
      </w:pPr>
      <w:r w:rsidRPr="001B2492">
        <w:t xml:space="preserve">The written report to the employer is an important business communication between </w:t>
      </w:r>
      <w:r w:rsidRPr="001B2492" w:rsidR="009D7DA0">
        <w:t>the</w:t>
      </w:r>
      <w:r w:rsidRPr="001B2492" w:rsidR="001D6048">
        <w:t xml:space="preserve"> </w:t>
      </w:r>
      <w:r w:rsidRPr="001B2492" w:rsidR="00954BC8">
        <w:t>On-Site</w:t>
      </w:r>
      <w:r w:rsidRPr="001B2492" w:rsidR="001D6048">
        <w:t xml:space="preserve"> Consultation</w:t>
      </w:r>
      <w:r w:rsidRPr="001B2492" w:rsidR="009D7DA0">
        <w:t xml:space="preserve"> </w:t>
      </w:r>
      <w:r w:rsidRPr="001B2492" w:rsidR="0020737B">
        <w:t>Program</w:t>
      </w:r>
      <w:r w:rsidRPr="001B2492" w:rsidR="009D7DA0">
        <w:t xml:space="preserve"> and the employer, and is not </w:t>
      </w:r>
      <w:r w:rsidRPr="001B2492" w:rsidR="00E71957">
        <w:t xml:space="preserve">routinely </w:t>
      </w:r>
      <w:r w:rsidRPr="001B2492" w:rsidR="009D7DA0">
        <w:t xml:space="preserve">provided to OSHA.  Thousands of written reports have been generated by the </w:t>
      </w:r>
      <w:r w:rsidRPr="001B2492" w:rsidR="00DD4308">
        <w:t>S</w:t>
      </w:r>
      <w:r w:rsidRPr="001B2492" w:rsidR="009D7DA0">
        <w:t xml:space="preserve">tates </w:t>
      </w:r>
      <w:r w:rsidRPr="001B2492" w:rsidR="00DD4308">
        <w:t>and transmitted to employers nationwide.  The reports have been the basis for correction of innumerable serious hazards, and the improvement of thousands of safety and health programs.  A list of serious hazards and correction due dates is also produced by the consultant and transmitted to the employer for posting.</w:t>
      </w:r>
    </w:p>
    <w:p w:rsidRPr="001B2492" w:rsidR="00FC4BF3" w:rsidP="00BE13BF" w:rsidRDefault="00FC4BF3" w14:paraId="144A5D23" w14:textId="77777777">
      <w:pPr>
        <w:tabs>
          <w:tab w:val="num" w:pos="1440"/>
        </w:tabs>
        <w:ind w:left="1440" w:hanging="720"/>
      </w:pPr>
    </w:p>
    <w:p w:rsidRPr="001B2492" w:rsidR="00BE13BF" w:rsidP="0DCAB877" w:rsidRDefault="00FC4BF3" w14:paraId="4A47A048" w14:textId="5E769078">
      <w:pPr>
        <w:tabs>
          <w:tab w:val="num" w:pos="1440"/>
        </w:tabs>
        <w:ind w:left="1440" w:hanging="720"/>
      </w:pPr>
      <w:r w:rsidRPr="001B2492">
        <w:t>(2)</w:t>
      </w:r>
      <w:r w:rsidRPr="001B2492">
        <w:tab/>
      </w:r>
      <w:r w:rsidRPr="001B2492">
        <w:tab/>
      </w:r>
      <w:r w:rsidRPr="001B2492">
        <w:tab/>
      </w:r>
      <w:r w:rsidRPr="001B2492">
        <w:tab/>
      </w:r>
      <w:r w:rsidRPr="001B2492" w:rsidR="780D060C">
        <w:t xml:space="preserve">      </w:t>
      </w:r>
      <w:r w:rsidRPr="001B2492" w:rsidR="00BE13BF">
        <w:t xml:space="preserve">Within the scope of the employer’s request, State consultants provide advice on developing </w:t>
      </w:r>
      <w:r w:rsidRPr="001B2492" w:rsidR="00F9521D">
        <w:t>and/</w:t>
      </w:r>
      <w:r w:rsidRPr="001B2492" w:rsidR="00BE13BF">
        <w:t xml:space="preserve">or improving the employer’s safety and health management system.  </w:t>
      </w:r>
      <w:r w:rsidRPr="001B2492" w:rsidR="00222597">
        <w:t xml:space="preserve">In cooperation between OSHA’s training specialists, and </w:t>
      </w:r>
      <w:r w:rsidRPr="001B2492" w:rsidR="00954BC8">
        <w:t>On-Site</w:t>
      </w:r>
      <w:r w:rsidRPr="001B2492" w:rsidR="00222597">
        <w:t xml:space="preserve"> Consultation program specialists, OSHA </w:t>
      </w:r>
      <w:r w:rsidRPr="001B2492" w:rsidR="000C04A2">
        <w:t>developed</w:t>
      </w:r>
      <w:r w:rsidRPr="001B2492" w:rsidR="00222597">
        <w:t xml:space="preserve"> standardize</w:t>
      </w:r>
      <w:r w:rsidRPr="001B2492" w:rsidR="00254A12">
        <w:t>d</w:t>
      </w:r>
      <w:r w:rsidRPr="001B2492" w:rsidR="00222597">
        <w:t xml:space="preserve"> training for the use of this evaluative tool</w:t>
      </w:r>
      <w:r w:rsidRPr="001B2492" w:rsidR="00254A12">
        <w:t>,</w:t>
      </w:r>
      <w:r w:rsidRPr="001B2492" w:rsidR="00514C07">
        <w:t xml:space="preserve"> known as the Safety and Health Program Assessment Worksheet,</w:t>
      </w:r>
      <w:r w:rsidRPr="001B2492" w:rsidR="00B834A6">
        <w:t xml:space="preserve"> </w:t>
      </w:r>
      <w:r w:rsidRPr="001B2492" w:rsidR="00254A12">
        <w:t xml:space="preserve">or Form 33, which </w:t>
      </w:r>
      <w:r w:rsidRPr="001B2492" w:rsidR="00B834A6">
        <w:t xml:space="preserve">is incorporated into </w:t>
      </w:r>
      <w:r w:rsidRPr="001B2492" w:rsidR="00866114">
        <w:t xml:space="preserve">the </w:t>
      </w:r>
      <w:r w:rsidRPr="001B2492" w:rsidR="003F7D09">
        <w:t>OIS</w:t>
      </w:r>
      <w:r w:rsidRPr="001B2492" w:rsidR="00B834A6">
        <w:t xml:space="preserve">, </w:t>
      </w:r>
      <w:r w:rsidRPr="001B2492" w:rsidR="00254A12">
        <w:t xml:space="preserve">and </w:t>
      </w:r>
      <w:r w:rsidRPr="001B2492" w:rsidR="00B834A6">
        <w:t xml:space="preserve">is used by all consultants in the </w:t>
      </w:r>
      <w:r w:rsidRPr="001B2492" w:rsidR="00954BC8">
        <w:t>On-Site</w:t>
      </w:r>
      <w:r w:rsidRPr="001B2492" w:rsidR="00B834A6">
        <w:t xml:space="preserve"> Consultation Program</w:t>
      </w:r>
      <w:r w:rsidRPr="001B2492" w:rsidR="003F7D09">
        <w:t>.</w:t>
      </w:r>
      <w:r w:rsidRPr="001B2492" w:rsidR="00D81AFC">
        <w:t xml:space="preserve">  As a result, </w:t>
      </w:r>
      <w:r w:rsidRPr="001B2492" w:rsidR="00BD4C47">
        <w:t xml:space="preserve">State consultants perform useful data analysis and provide specific injury and illness reduction strategies to employers who use </w:t>
      </w:r>
      <w:r w:rsidRPr="001B2492" w:rsidR="00954BC8">
        <w:t>On-Site</w:t>
      </w:r>
      <w:r w:rsidRPr="001B2492" w:rsidR="00BD4C47">
        <w:t xml:space="preserve"> </w:t>
      </w:r>
      <w:r w:rsidRPr="001B2492" w:rsidR="00FE6A01">
        <w:t xml:space="preserve">Consultation </w:t>
      </w:r>
      <w:r w:rsidRPr="001B2492" w:rsidR="00BD4C47">
        <w:t>service</w:t>
      </w:r>
      <w:r w:rsidRPr="001B2492" w:rsidR="00FE6A01">
        <w:t>s</w:t>
      </w:r>
      <w:r w:rsidRPr="001B2492" w:rsidR="00BD4C47">
        <w:t>.</w:t>
      </w:r>
    </w:p>
    <w:p w:rsidRPr="001B2492" w:rsidR="00FC4BF3" w:rsidRDefault="00FC4BF3" w14:paraId="738610EB" w14:textId="77777777"/>
    <w:p w:rsidRPr="001B2492" w:rsidR="003369B5" w:rsidRDefault="00FC4BF3" w14:paraId="4466AB32" w14:textId="77777777">
      <w:pPr>
        <w:tabs>
          <w:tab w:val="left" w:pos="-1440"/>
        </w:tabs>
        <w:ind w:left="1440" w:hanging="720"/>
      </w:pPr>
      <w:r w:rsidRPr="001B2492">
        <w:t>(3)</w:t>
      </w:r>
      <w:r w:rsidRPr="001B2492">
        <w:tab/>
      </w:r>
      <w:r w:rsidRPr="001B2492" w:rsidR="004D0D63">
        <w:t>The State generates and transmits a list of hazards to the employer.  The list is</w:t>
      </w:r>
      <w:r w:rsidRPr="001B2492" w:rsidR="003369B5">
        <w:t xml:space="preserve"> to be</w:t>
      </w:r>
      <w:r w:rsidRPr="001B2492" w:rsidR="004D0D63">
        <w:t xml:space="preserve"> posted by the employer</w:t>
      </w:r>
      <w:r w:rsidRPr="001B2492" w:rsidR="003369B5">
        <w:t xml:space="preserve"> for three days or</w:t>
      </w:r>
      <w:r w:rsidRPr="001B2492" w:rsidR="004D0D63">
        <w:t xml:space="preserve"> until hazards on the list have been corrected.</w:t>
      </w:r>
    </w:p>
    <w:p w:rsidRPr="001B2492" w:rsidR="007C02AB" w:rsidRDefault="003369B5" w14:paraId="0A6959E7" w14:textId="77777777">
      <w:pPr>
        <w:tabs>
          <w:tab w:val="left" w:pos="-1440"/>
        </w:tabs>
        <w:ind w:left="1440" w:hanging="720"/>
      </w:pPr>
      <w:r w:rsidRPr="001B2492">
        <w:t xml:space="preserve"> </w:t>
      </w:r>
    </w:p>
    <w:p w:rsidRPr="001B2492" w:rsidR="00B23F01" w:rsidP="00B23F01" w:rsidRDefault="007C02AB" w14:paraId="477ED91C" w14:textId="77777777">
      <w:pPr>
        <w:tabs>
          <w:tab w:val="left" w:pos="1440"/>
        </w:tabs>
        <w:ind w:left="1440" w:hanging="720"/>
      </w:pPr>
      <w:r w:rsidRPr="001B2492">
        <w:t>(4)</w:t>
      </w:r>
      <w:r w:rsidRPr="001B2492">
        <w:tab/>
      </w:r>
      <w:r w:rsidRPr="001B2492" w:rsidR="00954BC8">
        <w:t>On-Site</w:t>
      </w:r>
      <w:r w:rsidRPr="001B2492" w:rsidR="00E61B51">
        <w:t xml:space="preserve"> Consultation Program managers must </w:t>
      </w:r>
      <w:r w:rsidRPr="001B2492">
        <w:t>orally inform an OSHA inspector who arrives</w:t>
      </w:r>
      <w:r w:rsidRPr="001B2492" w:rsidR="00B23F01">
        <w:t xml:space="preserve"> to do a programmed</w:t>
      </w:r>
      <w:r w:rsidRPr="001B2492" w:rsidR="00E61B51">
        <w:t xml:space="preserve"> inspection</w:t>
      </w:r>
      <w:r w:rsidRPr="001B2492">
        <w:t xml:space="preserve"> during a</w:t>
      </w:r>
      <w:r w:rsidRPr="001B2492" w:rsidR="00B15859">
        <w:t xml:space="preserve">n </w:t>
      </w:r>
      <w:r w:rsidRPr="001B2492" w:rsidR="00954BC8">
        <w:t>On-Site</w:t>
      </w:r>
      <w:r w:rsidRPr="001B2492">
        <w:t xml:space="preserve"> </w:t>
      </w:r>
      <w:r w:rsidRPr="001B2492" w:rsidR="00B15859">
        <w:t xml:space="preserve">Consultation </w:t>
      </w:r>
      <w:r w:rsidRPr="001B2492">
        <w:t xml:space="preserve">visit that a consultation is </w:t>
      </w:r>
      <w:r w:rsidRPr="001B2492" w:rsidR="00B16B3A">
        <w:t>“</w:t>
      </w:r>
      <w:r w:rsidRPr="001B2492">
        <w:t>in progress</w:t>
      </w:r>
      <w:r w:rsidRPr="001B2492" w:rsidR="00E61B51">
        <w:t>.</w:t>
      </w:r>
      <w:r w:rsidRPr="001B2492" w:rsidR="00B16B3A">
        <w:t>”</w:t>
      </w:r>
      <w:r w:rsidRPr="001B2492" w:rsidR="00E61B51">
        <w:t xml:space="preserve">  </w:t>
      </w:r>
      <w:r w:rsidRPr="001B2492" w:rsidR="00954BC8">
        <w:t>On-Site</w:t>
      </w:r>
      <w:r w:rsidRPr="001B2492" w:rsidR="00B23F01">
        <w:t xml:space="preserve"> </w:t>
      </w:r>
      <w:r w:rsidRPr="001B2492" w:rsidR="00FE6A01">
        <w:t xml:space="preserve">Consultation </w:t>
      </w:r>
      <w:r w:rsidRPr="001B2492" w:rsidR="00B23F01">
        <w:t xml:space="preserve">visits in progress take priority over OSHA or State programmed inspections. Without this stipulation, an employer receiving consultation would be subject to a concurrent enforcement inspection.  By eliminating this potential duplication between </w:t>
      </w:r>
      <w:r w:rsidRPr="001B2492" w:rsidR="00954BC8">
        <w:t>On-Site</w:t>
      </w:r>
      <w:r w:rsidRPr="001B2492" w:rsidR="00B23F01">
        <w:t xml:space="preserve"> </w:t>
      </w:r>
      <w:r w:rsidRPr="001B2492" w:rsidR="00FE6A01">
        <w:t xml:space="preserve">Consultation </w:t>
      </w:r>
      <w:r w:rsidRPr="001B2492" w:rsidR="00B23F01">
        <w:t>and enforcement, the employer is given the opportunity to voluntarily comply, while Federal and State costs are reduced and resources are conserved.</w:t>
      </w:r>
    </w:p>
    <w:p w:rsidRPr="001B2492" w:rsidR="00D81AFC" w:rsidRDefault="00B23F01" w14:paraId="637805D2" w14:textId="77777777">
      <w:pPr>
        <w:tabs>
          <w:tab w:val="left" w:pos="-1440"/>
        </w:tabs>
        <w:ind w:left="1440" w:hanging="720"/>
      </w:pPr>
      <w:r w:rsidRPr="001B2492">
        <w:tab/>
      </w:r>
    </w:p>
    <w:p w:rsidRPr="001B2492" w:rsidR="004D0D63" w:rsidRDefault="00FC4BF3" w14:paraId="70B45D61" w14:textId="77777777">
      <w:pPr>
        <w:tabs>
          <w:tab w:val="left" w:pos="-1440"/>
        </w:tabs>
        <w:ind w:left="1440" w:hanging="720"/>
      </w:pPr>
      <w:r w:rsidRPr="001B2492">
        <w:t>(</w:t>
      </w:r>
      <w:r w:rsidRPr="001B2492" w:rsidR="007C02AB">
        <w:t>5</w:t>
      </w:r>
      <w:r w:rsidRPr="001B2492">
        <w:t>)</w:t>
      </w:r>
      <w:r w:rsidRPr="001B2492">
        <w:tab/>
      </w:r>
      <w:r w:rsidRPr="001B2492" w:rsidR="00954BC8">
        <w:t>On-Site</w:t>
      </w:r>
      <w:r w:rsidRPr="001B2492" w:rsidR="00433505">
        <w:t xml:space="preserve"> Consultation P</w:t>
      </w:r>
      <w:r w:rsidRPr="001B2492" w:rsidR="004D0D63">
        <w:t xml:space="preserve">rogram managers report unmitigated imminent danger situations as well as uncorrected serious hazards to the </w:t>
      </w:r>
      <w:r w:rsidRPr="001B2492" w:rsidR="000247D0">
        <w:t xml:space="preserve">appropriate enforcement authority to ensure abatement of the hazard.  This action is required by the CAAA to ensure protection of </w:t>
      </w:r>
      <w:r w:rsidRPr="001B2492" w:rsidR="008440CF">
        <w:t>worker</w:t>
      </w:r>
      <w:r w:rsidRPr="001B2492" w:rsidR="000247D0">
        <w:t xml:space="preserve">s from hazards identified by consultants.  Because the use of </w:t>
      </w:r>
      <w:r w:rsidRPr="001B2492" w:rsidR="00954BC8">
        <w:t>On-Site</w:t>
      </w:r>
      <w:r w:rsidRPr="001B2492" w:rsidR="000247D0">
        <w:t xml:space="preserve"> </w:t>
      </w:r>
      <w:r w:rsidRPr="001B2492" w:rsidR="00FE6A01">
        <w:t xml:space="preserve">Consultation </w:t>
      </w:r>
      <w:r w:rsidRPr="001B2492" w:rsidR="000247D0">
        <w:t>service</w:t>
      </w:r>
      <w:r w:rsidRPr="001B2492" w:rsidR="00FE6A01">
        <w:t>s</w:t>
      </w:r>
      <w:r w:rsidRPr="001B2492" w:rsidR="000247D0">
        <w:t xml:space="preserve"> </w:t>
      </w:r>
      <w:r w:rsidRPr="001B2492" w:rsidR="00B06460">
        <w:t>is voluntary (and because the States work cooperatively with employers), referrals occur on very rare occasions.</w:t>
      </w:r>
    </w:p>
    <w:p w:rsidRPr="001B2492" w:rsidR="00B06460" w:rsidRDefault="00B06460" w14:paraId="463F29E8" w14:textId="77777777">
      <w:pPr>
        <w:tabs>
          <w:tab w:val="left" w:pos="-1440"/>
        </w:tabs>
        <w:ind w:left="1440" w:hanging="720"/>
      </w:pPr>
    </w:p>
    <w:p w:rsidRPr="001B2492" w:rsidR="00FC4BF3" w:rsidRDefault="007C02AB" w14:paraId="1DCC6C2D" w14:textId="77777777">
      <w:pPr>
        <w:tabs>
          <w:tab w:val="left" w:pos="-1440"/>
        </w:tabs>
        <w:ind w:left="1440" w:hanging="720"/>
      </w:pPr>
      <w:r w:rsidRPr="001B2492">
        <w:t>(6</w:t>
      </w:r>
      <w:r w:rsidRPr="001B2492" w:rsidR="00B06460">
        <w:t>)</w:t>
      </w:r>
      <w:r w:rsidRPr="001B2492" w:rsidR="00B06460">
        <w:tab/>
      </w:r>
      <w:r w:rsidRPr="001B2492" w:rsidR="00433505">
        <w:t xml:space="preserve">State </w:t>
      </w:r>
      <w:r w:rsidRPr="001B2492" w:rsidR="00954BC8">
        <w:t>On-Site</w:t>
      </w:r>
      <w:r w:rsidRPr="001B2492" w:rsidR="003F7D09">
        <w:t xml:space="preserve"> </w:t>
      </w:r>
      <w:r w:rsidRPr="001B2492" w:rsidR="00433505">
        <w:t>Consultation P</w:t>
      </w:r>
      <w:r w:rsidRPr="001B2492" w:rsidR="005C71D8">
        <w:t xml:space="preserve">rogram managers </w:t>
      </w:r>
      <w:r w:rsidRPr="001B2492" w:rsidR="00FC4BF3">
        <w:t xml:space="preserve">conduct </w:t>
      </w:r>
      <w:r w:rsidRPr="001B2492" w:rsidR="005C71D8">
        <w:t xml:space="preserve">annual monitoring of </w:t>
      </w:r>
      <w:r w:rsidRPr="001B2492" w:rsidR="00FC4BF3">
        <w:t>performance in order to ensure that consultants continue to meet the six major qualification requirements set forth in the</w:t>
      </w:r>
      <w:r w:rsidRPr="001B2492" w:rsidR="00CE1710">
        <w:t xml:space="preserve"> </w:t>
      </w:r>
      <w:r w:rsidRPr="001B2492" w:rsidR="00954BC8">
        <w:t>On-Site</w:t>
      </w:r>
      <w:r w:rsidRPr="001B2492" w:rsidR="00FC4BF3">
        <w:t xml:space="preserve"> </w:t>
      </w:r>
      <w:r w:rsidRPr="001B2492" w:rsidR="00FE6A01">
        <w:t xml:space="preserve">Consultation </w:t>
      </w:r>
      <w:r w:rsidRPr="001B2492" w:rsidR="00B06460">
        <w:t xml:space="preserve">regulations. These </w:t>
      </w:r>
      <w:r w:rsidRPr="001B2492" w:rsidR="00FC4BF3">
        <w:t>requirements include:</w:t>
      </w:r>
    </w:p>
    <w:p w:rsidRPr="001B2492" w:rsidR="00FC4BF3" w:rsidRDefault="00FC4BF3" w14:paraId="3B7B4B86" w14:textId="77777777"/>
    <w:p w:rsidRPr="001B2492" w:rsidR="00FC4BF3" w:rsidRDefault="00FC4BF3" w14:paraId="6288D69A" w14:textId="77777777">
      <w:pPr>
        <w:ind w:firstLine="1440"/>
      </w:pPr>
      <w:r w:rsidRPr="001B2492">
        <w:t>i.</w:t>
      </w:r>
      <w:r w:rsidRPr="001B2492">
        <w:tab/>
        <w:t>Ability to identify hazards;</w:t>
      </w:r>
    </w:p>
    <w:p w:rsidRPr="001B2492" w:rsidR="00FC4BF3" w:rsidRDefault="00FC4BF3" w14:paraId="50C943E8" w14:textId="77777777">
      <w:pPr>
        <w:ind w:firstLine="1440"/>
      </w:pPr>
      <w:r w:rsidRPr="001B2492">
        <w:t>ii.</w:t>
      </w:r>
      <w:r w:rsidRPr="001B2492">
        <w:tab/>
        <w:t xml:space="preserve">Ability to assess </w:t>
      </w:r>
      <w:r w:rsidRPr="001B2492" w:rsidR="008440CF">
        <w:t>worker</w:t>
      </w:r>
      <w:r w:rsidRPr="001B2492">
        <w:t xml:space="preserve"> exposure and risk;</w:t>
      </w:r>
    </w:p>
    <w:p w:rsidRPr="001B2492" w:rsidR="00FC4BF3" w:rsidRDefault="00FC4BF3" w14:paraId="1ABA9B6D" w14:textId="77777777">
      <w:pPr>
        <w:ind w:firstLine="1440"/>
      </w:pPr>
      <w:r w:rsidRPr="001B2492">
        <w:t>iii.</w:t>
      </w:r>
      <w:r w:rsidRPr="001B2492">
        <w:tab/>
        <w:t>Knowledge of OSHA standards;</w:t>
      </w:r>
    </w:p>
    <w:p w:rsidRPr="001B2492" w:rsidR="00FC4BF3" w:rsidRDefault="00FC4BF3" w14:paraId="41009048" w14:textId="77777777">
      <w:pPr>
        <w:ind w:firstLine="1440"/>
      </w:pPr>
      <w:r w:rsidRPr="001B2492">
        <w:t>iv.</w:t>
      </w:r>
      <w:r w:rsidRPr="001B2492">
        <w:tab/>
        <w:t>Knowledge of hazard correction techniques and practices;</w:t>
      </w:r>
    </w:p>
    <w:p w:rsidRPr="001B2492" w:rsidR="00FC4BF3" w:rsidRDefault="00FC4BF3" w14:paraId="6270F2E2" w14:textId="77777777">
      <w:pPr>
        <w:ind w:firstLine="1440"/>
      </w:pPr>
      <w:r w:rsidRPr="001B2492">
        <w:t>v.</w:t>
      </w:r>
      <w:r w:rsidRPr="001B2492">
        <w:tab/>
        <w:t xml:space="preserve">Knowledge of </w:t>
      </w:r>
      <w:r w:rsidRPr="001B2492" w:rsidR="00245185">
        <w:t xml:space="preserve">workplace </w:t>
      </w:r>
      <w:r w:rsidRPr="001B2492">
        <w:t>safety and health program requirements;</w:t>
      </w:r>
      <w:r w:rsidRPr="001B2492" w:rsidR="00CE1710">
        <w:t xml:space="preserve"> and</w:t>
      </w:r>
    </w:p>
    <w:p w:rsidRPr="001B2492" w:rsidR="00FC4BF3" w:rsidRDefault="00FC4BF3" w14:paraId="12419F15" w14:textId="77777777">
      <w:pPr>
        <w:ind w:firstLine="1440"/>
      </w:pPr>
      <w:r w:rsidRPr="001B2492">
        <w:t>vi.</w:t>
      </w:r>
      <w:r w:rsidRPr="001B2492">
        <w:tab/>
        <w:t>Ability to effectively communicate, both orally and in writing.</w:t>
      </w:r>
    </w:p>
    <w:p w:rsidRPr="001B2492" w:rsidR="00FC4BF3" w:rsidRDefault="00FC4BF3" w14:paraId="3A0FF5F2" w14:textId="77777777"/>
    <w:p w:rsidRPr="001B2492" w:rsidR="00FC4BF3" w:rsidP="0014676B" w:rsidRDefault="00FC4BF3" w14:paraId="3D308784" w14:textId="77777777">
      <w:pPr>
        <w:ind w:left="1440"/>
      </w:pPr>
      <w:r w:rsidRPr="001B2492">
        <w:t xml:space="preserve">Because individual State personnel systems establish their own employment criteria for hiring consultants, </w:t>
      </w:r>
      <w:r w:rsidRPr="001B2492" w:rsidR="005C71D8">
        <w:t>a standard level of</w:t>
      </w:r>
      <w:r w:rsidRPr="001B2492" w:rsidR="00CE1710">
        <w:t xml:space="preserve"> </w:t>
      </w:r>
      <w:r w:rsidRPr="001B2492" w:rsidR="005C71D8">
        <w:t xml:space="preserve">consultant competency in the areas of expertise which have been deemed critical to the effective delivery of </w:t>
      </w:r>
      <w:r w:rsidRPr="001B2492" w:rsidR="00954BC8">
        <w:t>On-Site</w:t>
      </w:r>
      <w:r w:rsidRPr="001B2492" w:rsidR="005C71D8">
        <w:t xml:space="preserve"> </w:t>
      </w:r>
      <w:r w:rsidRPr="001B2492" w:rsidR="00FE6A01">
        <w:t xml:space="preserve">Consultation </w:t>
      </w:r>
      <w:r w:rsidRPr="001B2492" w:rsidR="005C71D8">
        <w:t xml:space="preserve">services is principally achieved through continuous monitoring and training to improve areas of deficiency.  </w:t>
      </w:r>
    </w:p>
    <w:p w:rsidRPr="001B2492" w:rsidR="005C71D8" w:rsidP="0014676B" w:rsidRDefault="005C71D8" w14:paraId="5630AD66" w14:textId="77777777">
      <w:pPr>
        <w:ind w:left="1440"/>
      </w:pPr>
    </w:p>
    <w:p w:rsidRPr="001B2492" w:rsidR="00FC4BF3" w:rsidP="0014676B" w:rsidRDefault="005C71D8" w14:paraId="5CF14AAE" w14:textId="7145BFDE">
      <w:pPr>
        <w:ind w:left="1440"/>
      </w:pPr>
      <w:r w:rsidRPr="001B2492">
        <w:t>The</w:t>
      </w:r>
      <w:r w:rsidRPr="001B2492" w:rsidR="00CE1710">
        <w:t xml:space="preserve"> </w:t>
      </w:r>
      <w:r w:rsidRPr="001B2492" w:rsidR="00954BC8">
        <w:t>On-Site</w:t>
      </w:r>
      <w:r w:rsidRPr="001B2492">
        <w:t xml:space="preserve"> </w:t>
      </w:r>
      <w:r w:rsidRPr="001B2492" w:rsidR="00FE6A01">
        <w:t xml:space="preserve">Consultation </w:t>
      </w:r>
      <w:r w:rsidRPr="001B2492">
        <w:t>regulation requires that States accomplish annual self-monitoring activities by conducting performance evaluations of consultants</w:t>
      </w:r>
      <w:r w:rsidRPr="001B2492" w:rsidR="00CE1710">
        <w:t xml:space="preserve">, by accompanying consultants during </w:t>
      </w:r>
      <w:r w:rsidRPr="001B2492" w:rsidR="00954BC8">
        <w:t>On-Site</w:t>
      </w:r>
      <w:r w:rsidRPr="001B2492">
        <w:t xml:space="preserve"> </w:t>
      </w:r>
      <w:r w:rsidRPr="001B2492" w:rsidR="00FE6A01">
        <w:t xml:space="preserve">Consultation </w:t>
      </w:r>
      <w:r w:rsidRPr="001B2492">
        <w:t>visits, and by preparing quarterly summaries of their efforts in these areas.</w:t>
      </w:r>
      <w:r w:rsidRPr="001B2492" w:rsidR="00FC4BF3">
        <w:t xml:space="preserve">  The consultant performance evaluation is </w:t>
      </w:r>
      <w:r w:rsidRPr="001B2492" w:rsidR="00CE1710">
        <w:t xml:space="preserve">a </w:t>
      </w:r>
      <w:r w:rsidRPr="001B2492" w:rsidR="00FC4BF3">
        <w:t xml:space="preserve">confidential State personnel record and is not reviewed by </w:t>
      </w:r>
      <w:r w:rsidRPr="001B2492">
        <w:t>OSHA</w:t>
      </w:r>
      <w:r w:rsidRPr="001B2492" w:rsidR="00FC4BF3">
        <w:t xml:space="preserve">.  Federal </w:t>
      </w:r>
      <w:r w:rsidRPr="001B2492">
        <w:t>monitors</w:t>
      </w:r>
      <w:r w:rsidRPr="001B2492" w:rsidR="00FC4BF3">
        <w:t xml:space="preserve"> may, however, ask to review the summaries of State self</w:t>
      </w:r>
      <w:r w:rsidRPr="001B2492" w:rsidR="4077DD7C">
        <w:t xml:space="preserve"> </w:t>
      </w:r>
      <w:r w:rsidRPr="001B2492" w:rsidR="00FC4BF3">
        <w:t>monitoring activities and the accompanied visit reports.  These evaluations have assisted the States in determining training needs.  OSHA pays for</w:t>
      </w:r>
      <w:r w:rsidRPr="001B2492" w:rsidR="001879BD">
        <w:t xml:space="preserve"> continuing education</w:t>
      </w:r>
      <w:r w:rsidRPr="001B2492" w:rsidR="00FC4BF3">
        <w:t xml:space="preserve"> training of consultants at the OSHA Training Institute</w:t>
      </w:r>
      <w:r w:rsidRPr="001B2492" w:rsidR="001879BD">
        <w:t xml:space="preserve"> and at other institutions</w:t>
      </w:r>
      <w:r w:rsidRPr="001B2492" w:rsidR="00FC4BF3">
        <w:t xml:space="preserve">.  </w:t>
      </w:r>
    </w:p>
    <w:p w:rsidRPr="001B2492" w:rsidR="00FC4BF3" w:rsidRDefault="00FC4BF3" w14:paraId="61829076" w14:textId="77777777"/>
    <w:p w:rsidRPr="001B2492" w:rsidR="001879BD" w:rsidP="0DCAB877" w:rsidRDefault="001F1B43" w14:paraId="038232C8" w14:textId="47EF2D4E">
      <w:pPr>
        <w:ind w:left="2160" w:hanging="1440"/>
      </w:pPr>
      <w:r w:rsidRPr="001B2492">
        <w:tab/>
      </w:r>
      <w:r w:rsidRPr="001B2492" w:rsidR="00FC4BF3">
        <w:t>(</w:t>
      </w:r>
      <w:r w:rsidRPr="001B2492" w:rsidR="007C02AB">
        <w:t>7</w:t>
      </w:r>
      <w:r w:rsidRPr="001B2492" w:rsidR="00FC4BF3">
        <w:t>)</w:t>
      </w:r>
      <w:r w:rsidRPr="001B2492" w:rsidR="00FC4BF3">
        <w:tab/>
      </w:r>
      <w:r w:rsidRPr="001B2492" w:rsidR="001879BD">
        <w:t>Case files are the source of factual and statistical information reported to OSHA</w:t>
      </w:r>
    </w:p>
    <w:p w:rsidRPr="001B2492" w:rsidR="001879BD" w:rsidP="0DCAB877" w:rsidRDefault="001879BD" w14:paraId="49BA8D3E" w14:textId="77777777">
      <w:pPr>
        <w:ind w:left="2160" w:hanging="720"/>
      </w:pPr>
      <w:r w:rsidRPr="001B2492">
        <w:t>and, ultimately, to Congress on the progress and effectiveness of the</w:t>
      </w:r>
      <w:r w:rsidRPr="001B2492" w:rsidR="00CE1710">
        <w:t xml:space="preserve"> </w:t>
      </w:r>
      <w:r w:rsidRPr="001B2492" w:rsidR="00954BC8">
        <w:t>On-Site</w:t>
      </w:r>
    </w:p>
    <w:p w:rsidRPr="001B2492" w:rsidR="001879BD" w:rsidP="0DCAB877" w:rsidRDefault="00CE1710" w14:paraId="29A40817" w14:textId="631DFCCA">
      <w:pPr>
        <w:ind w:left="2160" w:hanging="720"/>
      </w:pPr>
      <w:r w:rsidRPr="001B2492">
        <w:t>Consultation P</w:t>
      </w:r>
      <w:r w:rsidRPr="001B2492" w:rsidR="001879BD">
        <w:t>rogram.  Additionally, maintenance of occupational safety and</w:t>
      </w:r>
    </w:p>
    <w:p w:rsidRPr="001B2492" w:rsidR="001879BD" w:rsidP="0DCAB877" w:rsidRDefault="001879BD" w14:paraId="6FFB0CC3" w14:textId="13117ED0">
      <w:pPr>
        <w:ind w:left="2160" w:hanging="720"/>
      </w:pPr>
      <w:r w:rsidRPr="001B2492">
        <w:t>health case files on employers receiving</w:t>
      </w:r>
      <w:r w:rsidRPr="001B2492" w:rsidR="00CE1710">
        <w:t xml:space="preserve"> </w:t>
      </w:r>
      <w:r w:rsidRPr="001B2492" w:rsidR="00954BC8">
        <w:t>On-Site</w:t>
      </w:r>
      <w:r w:rsidRPr="001B2492">
        <w:t xml:space="preserve"> consultation is critical to the</w:t>
      </w:r>
    </w:p>
    <w:p w:rsidRPr="001B2492" w:rsidR="001879BD" w:rsidP="0DCAB877" w:rsidRDefault="001879BD" w14:paraId="76CDCA72" w14:textId="7BC35B64">
      <w:pPr>
        <w:ind w:left="2160" w:hanging="720"/>
      </w:pPr>
      <w:r w:rsidRPr="001B2492">
        <w:t xml:space="preserve">delivery of this professional service.  This is especially </w:t>
      </w:r>
      <w:r w:rsidRPr="001B2492" w:rsidR="007E5013">
        <w:t>true for employers who</w:t>
      </w:r>
    </w:p>
    <w:p w:rsidRPr="001B2492" w:rsidR="001879BD" w:rsidP="0DCAB877" w:rsidRDefault="007E5013" w14:paraId="32DD8EFB" w14:textId="4C04745F">
      <w:pPr>
        <w:ind w:left="2160" w:hanging="720"/>
      </w:pPr>
      <w:r w:rsidRPr="001B2492">
        <w:t>meet all requirements of the Safety and Health Achievement Recognition</w:t>
      </w:r>
    </w:p>
    <w:p w:rsidRPr="001B2492" w:rsidR="001879BD" w:rsidP="0DCAB877" w:rsidRDefault="007E5013" w14:paraId="407BD053" w14:textId="0B13A5AB">
      <w:pPr>
        <w:ind w:left="2160" w:hanging="720"/>
      </w:pPr>
      <w:r w:rsidRPr="001B2492">
        <w:t>Program (SHARP), and for employers working toward SHARP</w:t>
      </w:r>
      <w:r w:rsidRPr="001B2492" w:rsidR="00CE1710">
        <w:t xml:space="preserve"> status</w:t>
      </w:r>
      <w:r w:rsidRPr="001B2492">
        <w:t xml:space="preserve"> who are</w:t>
      </w:r>
    </w:p>
    <w:p w:rsidRPr="001B2492" w:rsidR="001879BD" w:rsidP="0DCAB877" w:rsidRDefault="007E5013" w14:paraId="727AB8FE" w14:textId="7458B9E3">
      <w:pPr>
        <w:ind w:left="2160" w:hanging="720"/>
      </w:pPr>
      <w:r w:rsidRPr="001B2492">
        <w:t xml:space="preserve">granted </w:t>
      </w:r>
      <w:r w:rsidRPr="001B2492" w:rsidR="00F30C98">
        <w:t xml:space="preserve">exemptions </w:t>
      </w:r>
      <w:r w:rsidRPr="001B2492">
        <w:t>from OSHA’s programmed inspections</w:t>
      </w:r>
      <w:r w:rsidRPr="001B2492" w:rsidR="00F30C98">
        <w:t xml:space="preserve"> while they are</w:t>
      </w:r>
    </w:p>
    <w:p w:rsidRPr="001B2492" w:rsidR="001879BD" w:rsidP="0DCAB877" w:rsidRDefault="00F30C98" w14:paraId="5F4467D7" w14:textId="77777777">
      <w:pPr>
        <w:ind w:left="2160" w:hanging="720"/>
      </w:pPr>
      <w:r w:rsidRPr="001B2492">
        <w:t>participating in the program</w:t>
      </w:r>
      <w:r w:rsidRPr="001B2492" w:rsidR="007E5013">
        <w:t xml:space="preserve">.  The States submit an average of </w:t>
      </w:r>
      <w:r w:rsidRPr="001B2492" w:rsidR="003F7D09">
        <w:t>150 new</w:t>
      </w:r>
    </w:p>
    <w:p w:rsidRPr="001B2492" w:rsidR="001879BD" w:rsidP="0DCAB877" w:rsidRDefault="007E5013" w14:paraId="41F49E50" w14:textId="3B0DE7BB">
      <w:pPr>
        <w:ind w:left="2160" w:hanging="720"/>
      </w:pPr>
      <w:r w:rsidRPr="001B2492">
        <w:t>applications for recognition in SHARP on behalf of qualifying employers</w:t>
      </w:r>
    </w:p>
    <w:p w:rsidRPr="001B2492" w:rsidR="001879BD" w:rsidP="0DCAB877" w:rsidRDefault="007E5013" w14:paraId="07CA9D5A" w14:textId="77777777">
      <w:pPr>
        <w:ind w:left="2160" w:hanging="720"/>
      </w:pPr>
      <w:r w:rsidRPr="001B2492">
        <w:t>annually.</w:t>
      </w:r>
    </w:p>
    <w:p w:rsidRPr="001B2492" w:rsidR="007E5013" w:rsidRDefault="007E5013" w14:paraId="2BA226A1" w14:textId="77777777">
      <w:pPr>
        <w:tabs>
          <w:tab w:val="left" w:pos="-1440"/>
        </w:tabs>
        <w:ind w:left="1440" w:hanging="720"/>
      </w:pPr>
    </w:p>
    <w:p w:rsidRPr="001B2492" w:rsidR="007E5013" w:rsidP="0DCAB877" w:rsidRDefault="007E5013" w14:paraId="71F7B61D" w14:textId="77777777">
      <w:pPr>
        <w:ind w:left="2160" w:hanging="720"/>
      </w:pPr>
      <w:r w:rsidRPr="001B2492">
        <w:tab/>
        <w:t xml:space="preserve">Further, State </w:t>
      </w:r>
      <w:r w:rsidRPr="001B2492" w:rsidR="00954BC8">
        <w:t>On-Site</w:t>
      </w:r>
      <w:r w:rsidRPr="001B2492" w:rsidR="00AE54F4">
        <w:t xml:space="preserve"> Consultation P</w:t>
      </w:r>
      <w:r w:rsidRPr="001B2492">
        <w:t>rogram managers plan and schedule</w:t>
      </w:r>
      <w:r w:rsidRPr="001B2492" w:rsidR="00AE54F4">
        <w:t xml:space="preserve"> </w:t>
      </w:r>
      <w:r w:rsidRPr="001B2492" w:rsidR="00954BC8">
        <w:t>On-Site</w:t>
      </w:r>
    </w:p>
    <w:p w:rsidRPr="001B2492" w:rsidR="007E5013" w:rsidP="0DCAB877" w:rsidRDefault="00FE6A01" w14:paraId="39751C5F" w14:textId="77777777">
      <w:pPr>
        <w:ind w:left="2160" w:hanging="720"/>
      </w:pPr>
      <w:r w:rsidRPr="001B2492">
        <w:t xml:space="preserve">Consultation </w:t>
      </w:r>
      <w:r w:rsidRPr="001B2492" w:rsidR="007E5013">
        <w:t xml:space="preserve">visits on the basis of establishment size (number of </w:t>
      </w:r>
      <w:r w:rsidRPr="001B2492" w:rsidR="008440CF">
        <w:t>worker</w:t>
      </w:r>
      <w:r w:rsidRPr="001B2492" w:rsidR="007E5013">
        <w:t>s), and</w:t>
      </w:r>
    </w:p>
    <w:p w:rsidRPr="001B2492" w:rsidR="007E5013" w:rsidP="0DCAB877" w:rsidRDefault="00245185" w14:paraId="1B8D3B50" w14:textId="5D0BFA67">
      <w:pPr>
        <w:ind w:left="2160" w:hanging="720"/>
      </w:pPr>
      <w:r w:rsidRPr="001B2492">
        <w:t>North American Industrial Classification System (NAICS</w:t>
      </w:r>
      <w:r w:rsidRPr="001B2492" w:rsidR="007E5013">
        <w:t>) code group (high</w:t>
      </w:r>
    </w:p>
    <w:p w:rsidRPr="001B2492" w:rsidR="007E5013" w:rsidP="0DCAB877" w:rsidRDefault="007E5013" w14:paraId="6EE6A115" w14:textId="46AD5611">
      <w:pPr>
        <w:ind w:left="2160" w:hanging="720"/>
      </w:pPr>
      <w:r w:rsidRPr="001B2492">
        <w:t xml:space="preserve">hazard or non-high hazard).  Case files are valuable resources in determining </w:t>
      </w:r>
      <w:r w:rsidRPr="001B2492" w:rsidR="006F24E4">
        <w:t>the</w:t>
      </w:r>
    </w:p>
    <w:p w:rsidRPr="001B2492" w:rsidR="007E5013" w:rsidP="0DCAB877" w:rsidRDefault="006F24E4" w14:paraId="671E522F" w14:textId="36CFEB66">
      <w:pPr>
        <w:ind w:left="2160" w:hanging="720"/>
      </w:pPr>
      <w:r w:rsidRPr="001B2492">
        <w:t>size and hazardousness of an establishment previously visited, and in prioritizing</w:t>
      </w:r>
    </w:p>
    <w:p w:rsidRPr="001B2492" w:rsidR="007E5013" w:rsidP="0DCAB877" w:rsidRDefault="006F24E4" w14:paraId="70000897" w14:textId="4C75E75D">
      <w:pPr>
        <w:ind w:left="2160" w:hanging="720"/>
      </w:pPr>
      <w:r w:rsidRPr="001B2492">
        <w:t>new requests for assistance received from that establishment.  Case file</w:t>
      </w:r>
    </w:p>
    <w:p w:rsidRPr="001B2492" w:rsidR="007E5013" w:rsidP="0DCAB877" w:rsidRDefault="006F24E4" w14:paraId="3EFABDE3" w14:textId="77777777">
      <w:pPr>
        <w:ind w:left="2160" w:hanging="720"/>
      </w:pPr>
      <w:r w:rsidRPr="001B2492">
        <w:t>information has served as the basis for tracking</w:t>
      </w:r>
      <w:r w:rsidRPr="001B2492" w:rsidR="00AE54F4">
        <w:t xml:space="preserve"> </w:t>
      </w:r>
      <w:r w:rsidRPr="001B2492" w:rsidR="00954BC8">
        <w:t>On-Site</w:t>
      </w:r>
      <w:r w:rsidRPr="001B2492" w:rsidR="00AE54F4">
        <w:t xml:space="preserve"> Consultation </w:t>
      </w:r>
      <w:r w:rsidRPr="001B2492" w:rsidR="0020737B">
        <w:t>Program</w:t>
      </w:r>
    </w:p>
    <w:p w:rsidRPr="001B2492" w:rsidR="007E5013" w:rsidP="0DCAB877" w:rsidRDefault="006F24E4" w14:paraId="3BCF1CAD" w14:textId="77777777">
      <w:pPr>
        <w:ind w:left="2160" w:hanging="720"/>
      </w:pPr>
      <w:r w:rsidRPr="001B2492">
        <w:t>workloads and for monitoring and evaluating the impact of</w:t>
      </w:r>
      <w:r w:rsidRPr="001B2492" w:rsidR="00AE54F4">
        <w:t xml:space="preserve"> </w:t>
      </w:r>
      <w:r w:rsidRPr="001B2492" w:rsidR="00954BC8">
        <w:t>On-Site</w:t>
      </w:r>
      <w:r w:rsidRPr="001B2492">
        <w:t xml:space="preserve"> </w:t>
      </w:r>
      <w:r w:rsidRPr="001B2492" w:rsidR="00FE6A01">
        <w:t>Consultation</w:t>
      </w:r>
    </w:p>
    <w:p w:rsidRPr="001B2492" w:rsidR="007E5013" w:rsidP="0DCAB877" w:rsidRDefault="006F24E4" w14:paraId="27713757" w14:textId="77777777">
      <w:pPr>
        <w:ind w:left="2160" w:hanging="720"/>
      </w:pPr>
      <w:r w:rsidRPr="001B2492">
        <w:t>programs nationwide.</w:t>
      </w:r>
    </w:p>
    <w:p w:rsidRPr="001B2492" w:rsidR="003369B5" w:rsidRDefault="003369B5" w14:paraId="17AD93B2" w14:textId="77777777">
      <w:pPr>
        <w:tabs>
          <w:tab w:val="left" w:pos="-1440"/>
        </w:tabs>
        <w:ind w:left="1440" w:hanging="720"/>
      </w:pPr>
    </w:p>
    <w:p w:rsidRPr="001B2492" w:rsidR="00FC4BF3" w:rsidP="0DCAB877" w:rsidRDefault="001F1B43" w14:paraId="5013E5E2" w14:textId="51BCDBC2">
      <w:pPr>
        <w:ind w:left="2160" w:hanging="1440"/>
      </w:pPr>
      <w:r w:rsidRPr="001B2492">
        <w:tab/>
      </w:r>
      <w:r w:rsidRPr="001B2492" w:rsidR="007C02AB">
        <w:t>(8</w:t>
      </w:r>
      <w:r w:rsidRPr="001B2492" w:rsidR="006F24E4">
        <w:t>)</w:t>
      </w:r>
      <w:r w:rsidRPr="001B2492" w:rsidR="006F24E4">
        <w:tab/>
      </w:r>
      <w:r w:rsidRPr="001B2492" w:rsidR="00954BC8">
        <w:t>On-Site</w:t>
      </w:r>
      <w:r w:rsidRPr="001B2492" w:rsidR="00AE54F4">
        <w:t xml:space="preserve"> Consultation P</w:t>
      </w:r>
      <w:r w:rsidRPr="001B2492" w:rsidR="006F24E4">
        <w:t>rogram managers</w:t>
      </w:r>
      <w:r w:rsidRPr="001B2492" w:rsidR="00FC4BF3">
        <w:t xml:space="preserve"> prepare</w:t>
      </w:r>
      <w:r w:rsidRPr="001B2492" w:rsidR="006F24E4">
        <w:t xml:space="preserve"> and submit a</w:t>
      </w:r>
      <w:r w:rsidRPr="001B2492" w:rsidR="00FC4BF3">
        <w:t xml:space="preserve">nnual </w:t>
      </w:r>
      <w:r w:rsidRPr="001B2492" w:rsidR="006F24E4">
        <w:t>cooperative</w:t>
      </w:r>
    </w:p>
    <w:p w:rsidRPr="001B2492" w:rsidR="00FC4BF3" w:rsidP="0DCAB877" w:rsidRDefault="006F24E4" w14:paraId="51774FA3" w14:textId="5488496D">
      <w:pPr>
        <w:ind w:left="2160" w:hanging="720"/>
      </w:pPr>
      <w:r w:rsidRPr="001B2492">
        <w:t>a</w:t>
      </w:r>
      <w:r w:rsidRPr="001B2492" w:rsidR="00FC4BF3">
        <w:t>greement</w:t>
      </w:r>
      <w:r w:rsidRPr="001B2492">
        <w:t xml:space="preserve">s, including </w:t>
      </w:r>
      <w:r w:rsidRPr="001B2492" w:rsidR="00FC4BF3">
        <w:t>detailed budget and basic performance projections</w:t>
      </w:r>
      <w:r w:rsidRPr="001B2492" w:rsidR="00421088">
        <w:t>,</w:t>
      </w:r>
      <w:r w:rsidRPr="001B2492" w:rsidR="00FC4BF3">
        <w:t xml:space="preserve"> in</w:t>
      </w:r>
    </w:p>
    <w:p w:rsidRPr="001B2492" w:rsidR="00FC4BF3" w:rsidP="0DCAB877" w:rsidRDefault="30E2F93C" w14:paraId="135E2F50" w14:textId="32977DD2">
      <w:pPr>
        <w:ind w:left="2160" w:hanging="720"/>
      </w:pPr>
      <w:r w:rsidRPr="001B2492">
        <w:t>o</w:t>
      </w:r>
      <w:r w:rsidRPr="001B2492" w:rsidR="00FC4BF3">
        <w:t>rder</w:t>
      </w:r>
      <w:r w:rsidRPr="001B2492" w:rsidR="4DC80DF4">
        <w:t xml:space="preserve"> </w:t>
      </w:r>
      <w:r w:rsidRPr="001B2492" w:rsidR="00FC4BF3">
        <w:t>to ensure that adequate funding is available to provide</w:t>
      </w:r>
      <w:r w:rsidRPr="001B2492" w:rsidR="00421088">
        <w:t xml:space="preserve"> </w:t>
      </w:r>
      <w:r w:rsidRPr="001B2492" w:rsidR="00954BC8">
        <w:t>On-Site</w:t>
      </w:r>
    </w:p>
    <w:p w:rsidRPr="001B2492" w:rsidR="00FC4BF3" w:rsidP="0DCAB877" w:rsidRDefault="00FE6A01" w14:paraId="43E449CC" w14:textId="430FB7B4">
      <w:pPr>
        <w:ind w:left="2160" w:hanging="720"/>
      </w:pPr>
      <w:r w:rsidRPr="001B2492">
        <w:t>Consultation</w:t>
      </w:r>
      <w:r w:rsidRPr="001B2492" w:rsidR="798FBEDA">
        <w:t xml:space="preserve"> </w:t>
      </w:r>
      <w:r w:rsidRPr="001B2492" w:rsidR="006F24E4">
        <w:t>services throughout the f</w:t>
      </w:r>
      <w:r w:rsidRPr="001B2492" w:rsidR="00FC4BF3">
        <w:t xml:space="preserve">iscal </w:t>
      </w:r>
      <w:r w:rsidRPr="001B2492" w:rsidR="006F24E4">
        <w:t>y</w:t>
      </w:r>
      <w:r w:rsidRPr="001B2492" w:rsidR="00FC4BF3">
        <w:t>ear</w:t>
      </w:r>
      <w:r w:rsidRPr="001B2492" w:rsidR="00421088">
        <w:t>,</w:t>
      </w:r>
      <w:r w:rsidRPr="001B2492" w:rsidR="00FC4BF3">
        <w:t xml:space="preserve"> and to ensure conformance with</w:t>
      </w:r>
      <w:r w:rsidRPr="001B2492" w:rsidR="104AEEEC">
        <w:t xml:space="preserve"> </w:t>
      </w:r>
    </w:p>
    <w:p w:rsidRPr="001B2492" w:rsidR="00FC4BF3" w:rsidP="0DCAB877" w:rsidRDefault="00FC4BF3" w14:paraId="027FC67D" w14:textId="70FBEA69">
      <w:pPr>
        <w:ind w:left="2160" w:hanging="720"/>
      </w:pPr>
      <w:r w:rsidRPr="001B2492">
        <w:t xml:space="preserve">fiscal year budgetary allowances.  </w:t>
      </w:r>
      <w:r w:rsidRPr="001B2492" w:rsidR="00FE36A5">
        <w:t xml:space="preserve">Information from </w:t>
      </w:r>
      <w:r w:rsidRPr="001B2492" w:rsidR="00421088">
        <w:t xml:space="preserve">the cooperative </w:t>
      </w:r>
      <w:r w:rsidRPr="001B2492" w:rsidR="00FE36A5">
        <w:t>agreements</w:t>
      </w:r>
    </w:p>
    <w:p w:rsidRPr="001B2492" w:rsidR="00FC4BF3" w:rsidP="0DCAB877" w:rsidRDefault="00FE36A5" w14:paraId="228F9041" w14:textId="77777777">
      <w:pPr>
        <w:ind w:left="2160" w:hanging="720"/>
      </w:pPr>
      <w:r w:rsidRPr="001B2492">
        <w:t>has</w:t>
      </w:r>
      <w:r w:rsidRPr="001B2492" w:rsidR="00FC4BF3">
        <w:t xml:space="preserve"> been used to gauge performance, and to make projections of future activity.</w:t>
      </w:r>
    </w:p>
    <w:p w:rsidRPr="001B2492" w:rsidR="00FC4BF3" w:rsidRDefault="00FC4BF3" w14:paraId="0DE4B5B7" w14:textId="77777777"/>
    <w:p w:rsidRPr="001B2492" w:rsidR="00FC4BF3" w:rsidP="001F1B43" w:rsidRDefault="00FC4BF3" w14:paraId="5EC83BA4" w14:textId="77777777">
      <w:pPr>
        <w:tabs>
          <w:tab w:val="left" w:pos="1260"/>
        </w:tabs>
        <w:ind w:firstLine="720"/>
        <w:rPr>
          <w:u w:val="single"/>
        </w:rPr>
      </w:pPr>
      <w:r w:rsidRPr="001B2492">
        <w:rPr>
          <w:b/>
        </w:rPr>
        <w:t>b.</w:t>
      </w:r>
      <w:r w:rsidRPr="001B2492">
        <w:rPr>
          <w:b/>
        </w:rPr>
        <w:tab/>
      </w:r>
      <w:r w:rsidRPr="001B2492">
        <w:rPr>
          <w:b/>
          <w:u w:val="single"/>
        </w:rPr>
        <w:t>Employer Responsibilities</w:t>
      </w:r>
      <w:r w:rsidRPr="001B2492">
        <w:t>.</w:t>
      </w:r>
    </w:p>
    <w:p w:rsidRPr="001B2492" w:rsidR="00FC4BF3" w:rsidRDefault="00FC4BF3" w14:paraId="66204FF1" w14:textId="77777777">
      <w:pPr>
        <w:rPr>
          <w:u w:val="single"/>
        </w:rPr>
      </w:pPr>
    </w:p>
    <w:p w:rsidRPr="001B2492" w:rsidR="00FC4BF3" w:rsidP="001F1B43" w:rsidRDefault="00FC4BF3" w14:paraId="118452B4" w14:textId="77777777">
      <w:pPr>
        <w:ind w:left="1260"/>
      </w:pPr>
      <w:r w:rsidRPr="001B2492">
        <w:t xml:space="preserve">The employer is not required to complete any paperwork as a precondition to receiving consultative assistance. However, the employer must agree to: </w:t>
      </w:r>
      <w:r w:rsidRPr="001B2492" w:rsidR="009140DD">
        <w:t>(</w:t>
      </w:r>
      <w:r w:rsidRPr="001B2492">
        <w:t xml:space="preserve">1) inform the State </w:t>
      </w:r>
      <w:r w:rsidRPr="001B2492" w:rsidR="00954BC8">
        <w:t>On-Site</w:t>
      </w:r>
      <w:r w:rsidRPr="001B2492" w:rsidR="00B15859">
        <w:t xml:space="preserve"> C</w:t>
      </w:r>
      <w:r w:rsidRPr="001B2492">
        <w:t xml:space="preserve">onsultation project manager when all serious hazards have been corrected; </w:t>
      </w:r>
      <w:r w:rsidRPr="001B2492" w:rsidR="009140DD">
        <w:t>(</w:t>
      </w:r>
      <w:r w:rsidRPr="001B2492">
        <w:t xml:space="preserve">2) orally inform an OSHA inspector who arrives during a </w:t>
      </w:r>
      <w:r w:rsidRPr="001B2492" w:rsidR="00B15859">
        <w:t xml:space="preserve">consultative </w:t>
      </w:r>
      <w:r w:rsidRPr="001B2492">
        <w:t>visit that a</w:t>
      </w:r>
      <w:r w:rsidRPr="001B2492" w:rsidR="00B15859">
        <w:t>n</w:t>
      </w:r>
      <w:r w:rsidRPr="001B2492">
        <w:t xml:space="preserve"> </w:t>
      </w:r>
      <w:r w:rsidRPr="001B2492" w:rsidR="00954BC8">
        <w:t>On-Site</w:t>
      </w:r>
      <w:r w:rsidRPr="001B2492" w:rsidR="00B15859">
        <w:t xml:space="preserve"> C</w:t>
      </w:r>
      <w:r w:rsidRPr="001B2492">
        <w:t>onsultation</w:t>
      </w:r>
      <w:r w:rsidRPr="001B2492" w:rsidR="00C44D7E">
        <w:t xml:space="preserve"> visit</w:t>
      </w:r>
      <w:r w:rsidRPr="001B2492">
        <w:t xml:space="preserve"> is in progress;</w:t>
      </w:r>
      <w:r w:rsidRPr="001B2492" w:rsidR="00EA3B40">
        <w:t xml:space="preserve"> </w:t>
      </w:r>
      <w:r w:rsidRPr="001B2492" w:rsidR="009140DD">
        <w:t>(</w:t>
      </w:r>
      <w:r w:rsidRPr="001B2492">
        <w:t>3) post the list of serious h</w:t>
      </w:r>
      <w:r w:rsidRPr="001B2492" w:rsidR="00485B38">
        <w:t>azards and correction due dates</w:t>
      </w:r>
      <w:r w:rsidRPr="001B2492" w:rsidR="00C44D7E">
        <w:t xml:space="preserve">; and </w:t>
      </w:r>
      <w:r w:rsidRPr="001B2492" w:rsidR="009140DD">
        <w:t>(</w:t>
      </w:r>
      <w:r w:rsidRPr="001B2492" w:rsidR="00C44D7E">
        <w:t>4)</w:t>
      </w:r>
      <w:r w:rsidRPr="001B2492" w:rsidR="00C92E7F">
        <w:t xml:space="preserve"> </w:t>
      </w:r>
      <w:r w:rsidRPr="001B2492" w:rsidR="00935FB5">
        <w:t>request to be considered for SHARP if they wish to participate in this program</w:t>
      </w:r>
      <w:r w:rsidRPr="001B2492" w:rsidR="007A5928">
        <w:t>, which</w:t>
      </w:r>
      <w:r w:rsidRPr="001B2492" w:rsidR="00935FB5">
        <w:t xml:space="preserve"> recognizes employers for exemplary workplace safety and health programs and exempts them from programmed inspections. </w:t>
      </w:r>
    </w:p>
    <w:p w:rsidRPr="001B2492" w:rsidR="00FC4BF3" w:rsidRDefault="00FC4BF3" w14:paraId="2DBF0D7D" w14:textId="77777777"/>
    <w:p w:rsidRPr="001B2492" w:rsidR="00FC4BF3" w:rsidP="001F1B43" w:rsidRDefault="00FC4BF3" w14:paraId="3DA5DA63" w14:textId="77777777">
      <w:pPr>
        <w:ind w:left="1260"/>
      </w:pPr>
      <w:r w:rsidRPr="001B2492">
        <w:t xml:space="preserve">These operating requirements have ensured the smooth functioning of the </w:t>
      </w:r>
      <w:r w:rsidRPr="001B2492" w:rsidR="00954BC8">
        <w:t>On-Site</w:t>
      </w:r>
      <w:r w:rsidRPr="001B2492" w:rsidR="00B15859">
        <w:t xml:space="preserve"> C</w:t>
      </w:r>
      <w:r w:rsidRPr="001B2492">
        <w:t xml:space="preserve">onsultation </w:t>
      </w:r>
      <w:r w:rsidRPr="001B2492" w:rsidR="00B15859">
        <w:t xml:space="preserve">Program </w:t>
      </w:r>
      <w:r w:rsidRPr="001B2492">
        <w:t>in its interface with OSHA’s enforcement activity.</w:t>
      </w:r>
    </w:p>
    <w:p w:rsidRPr="001B2492" w:rsidR="00424F05" w:rsidRDefault="00424F05" w14:paraId="6B62F1B3" w14:textId="77777777"/>
    <w:p w:rsidRPr="001B2492" w:rsidR="00FC4BF3" w:rsidP="0030650B" w:rsidRDefault="00FC4BF3" w14:paraId="39C45956" w14:textId="77777777">
      <w:pPr>
        <w:tabs>
          <w:tab w:val="left" w:pos="-1440"/>
        </w:tabs>
        <w:ind w:left="1440" w:hanging="720"/>
        <w:rPr>
          <w:u w:val="single"/>
        </w:rPr>
      </w:pPr>
      <w:r w:rsidRPr="001B2492">
        <w:rPr>
          <w:b/>
        </w:rPr>
        <w:t>c.</w:t>
      </w:r>
      <w:r w:rsidRPr="001B2492">
        <w:rPr>
          <w:b/>
        </w:rPr>
        <w:tab/>
      </w:r>
      <w:r w:rsidRPr="001B2492">
        <w:rPr>
          <w:b/>
          <w:u w:val="single"/>
        </w:rPr>
        <w:t>Consequence to the Federal government of not performing the information collection activities identified in the regulation</w:t>
      </w:r>
      <w:r w:rsidRPr="001B2492">
        <w:t>.</w:t>
      </w:r>
    </w:p>
    <w:p w:rsidRPr="001B2492" w:rsidR="00FC4BF3" w:rsidRDefault="00FC4BF3" w14:paraId="02F2C34E" w14:textId="77777777">
      <w:pPr>
        <w:rPr>
          <w:u w:val="single"/>
        </w:rPr>
      </w:pPr>
    </w:p>
    <w:p w:rsidRPr="001B2492" w:rsidR="00FC4BF3" w:rsidP="0DCAB877" w:rsidRDefault="00FC4BF3" w14:paraId="1274AEBC" w14:textId="1E094986">
      <w:pPr>
        <w:ind w:left="720"/>
        <w:rPr>
          <w:u w:val="single"/>
        </w:rPr>
      </w:pPr>
      <w:r w:rsidRPr="001B2492">
        <w:t>(1)</w:t>
      </w:r>
      <w:r w:rsidRPr="001B2492">
        <w:tab/>
      </w:r>
      <w:r w:rsidRPr="001B2492">
        <w:rPr>
          <w:u w:val="single"/>
        </w:rPr>
        <w:t>State Responsibilities.</w:t>
      </w:r>
      <w:r w:rsidRPr="001B2492" w:rsidR="7BD0D913">
        <w:t xml:space="preserve"> </w:t>
      </w:r>
      <w:r w:rsidRPr="001B2492">
        <w:t xml:space="preserve">The State </w:t>
      </w:r>
      <w:r w:rsidRPr="001B2492" w:rsidR="00954BC8">
        <w:t>On-Site</w:t>
      </w:r>
      <w:r w:rsidRPr="001B2492" w:rsidR="00421088">
        <w:t xml:space="preserve"> Consultation </w:t>
      </w:r>
      <w:r w:rsidRPr="001B2492" w:rsidR="0020737B">
        <w:t>Program</w:t>
      </w:r>
      <w:r w:rsidRPr="001B2492">
        <w:t>s must:</w:t>
      </w:r>
    </w:p>
    <w:p w:rsidRPr="001B2492" w:rsidR="00FC4BF3" w:rsidRDefault="00FC4BF3" w14:paraId="19219836" w14:textId="77777777"/>
    <w:p w:rsidRPr="001B2492" w:rsidR="00736928" w:rsidP="008138F3" w:rsidRDefault="00736928" w14:paraId="09D31F36" w14:textId="77777777">
      <w:pPr>
        <w:numPr>
          <w:ilvl w:val="0"/>
          <w:numId w:val="2"/>
        </w:numPr>
        <w:tabs>
          <w:tab w:val="left" w:pos="-1440"/>
        </w:tabs>
      </w:pPr>
      <w:r w:rsidRPr="001B2492">
        <w:rPr>
          <w:b/>
          <w:bCs/>
          <w:u w:val="single"/>
        </w:rPr>
        <w:t>Input safety and health program assistance data into the web</w:t>
      </w:r>
      <w:r w:rsidRPr="001B2492" w:rsidR="00421088">
        <w:rPr>
          <w:b/>
          <w:bCs/>
          <w:u w:val="single"/>
        </w:rPr>
        <w:t>-</w:t>
      </w:r>
      <w:r w:rsidRPr="001B2492">
        <w:rPr>
          <w:b/>
          <w:bCs/>
          <w:u w:val="single"/>
        </w:rPr>
        <w:t>based Safety and Health Program Assistance Worksheet</w:t>
      </w:r>
      <w:r w:rsidRPr="001B2492" w:rsidR="0046007E">
        <w:rPr>
          <w:b/>
          <w:bCs/>
          <w:u w:val="single"/>
        </w:rPr>
        <w:t>:</w:t>
      </w:r>
      <w:r w:rsidRPr="001B2492" w:rsidR="00FC4BF3">
        <w:t xml:space="preserve">   </w:t>
      </w:r>
      <w:r w:rsidRPr="001B2492">
        <w:t>State consultants provide safety and health program assistance within the scope of the employer</w:t>
      </w:r>
      <w:r w:rsidRPr="001B2492" w:rsidR="0016380B">
        <w:t>’</w:t>
      </w:r>
      <w:r w:rsidRPr="001B2492">
        <w:t xml:space="preserve">s request.  </w:t>
      </w:r>
      <w:r w:rsidRPr="001B2492" w:rsidR="00222597">
        <w:t xml:space="preserve">In cooperation between OSHA’s training specialists, and </w:t>
      </w:r>
      <w:r w:rsidRPr="001B2492" w:rsidR="00954BC8">
        <w:t>On-Site</w:t>
      </w:r>
      <w:r w:rsidRPr="001B2492" w:rsidR="00222597">
        <w:t xml:space="preserve"> Consultation program specialists, OSHA developed standardized training for the use of </w:t>
      </w:r>
      <w:r w:rsidRPr="001B2492" w:rsidR="00EC0118">
        <w:t xml:space="preserve">the </w:t>
      </w:r>
      <w:r w:rsidRPr="001B2492" w:rsidR="00222597">
        <w:t>evaluative tool</w:t>
      </w:r>
      <w:r w:rsidRPr="001B2492" w:rsidR="00EC0118">
        <w:t xml:space="preserve"> known as the Safety and Health Program Assessment Worksheet, or Form 33, which is incorporated into the OIS, and is used by all consultants in the On-Site Consultation Program.  T</w:t>
      </w:r>
      <w:r w:rsidRPr="001B2492" w:rsidR="00866114">
        <w:t xml:space="preserve">he </w:t>
      </w:r>
      <w:r w:rsidRPr="001B2492" w:rsidR="00547AB8">
        <w:t>OIS system include</w:t>
      </w:r>
      <w:r w:rsidRPr="001B2492" w:rsidR="00EC0118">
        <w:t>s</w:t>
      </w:r>
      <w:r w:rsidRPr="001B2492" w:rsidR="00547AB8">
        <w:t xml:space="preserve"> </w:t>
      </w:r>
      <w:r w:rsidRPr="001B2492" w:rsidR="003F7D09">
        <w:t>an Employer Comparative Report (ECR) and an Industry Comparative Report (ICR)</w:t>
      </w:r>
      <w:r w:rsidRPr="001B2492" w:rsidR="00547AB8">
        <w:t>,</w:t>
      </w:r>
      <w:r w:rsidRPr="001B2492" w:rsidR="003F7D09">
        <w:t xml:space="preserve"> </w:t>
      </w:r>
      <w:r w:rsidRPr="001B2492" w:rsidR="00547AB8">
        <w:t>as part of</w:t>
      </w:r>
      <w:r w:rsidRPr="001B2492" w:rsidR="0016380B">
        <w:t xml:space="preserve"> this application </w:t>
      </w:r>
      <w:r w:rsidRPr="001B2492" w:rsidR="003F7D09">
        <w:t xml:space="preserve">that </w:t>
      </w:r>
      <w:r w:rsidRPr="001B2492" w:rsidR="0016380B">
        <w:t>provide</w:t>
      </w:r>
      <w:r w:rsidRPr="001B2492" w:rsidR="00EC0118">
        <w:t>s</w:t>
      </w:r>
      <w:r w:rsidRPr="001B2492" w:rsidR="0016380B">
        <w:t xml:space="preserve"> valuable information to consultants in making specific</w:t>
      </w:r>
      <w:r w:rsidRPr="001B2492" w:rsidR="00F829A4">
        <w:t xml:space="preserve"> </w:t>
      </w:r>
      <w:r w:rsidRPr="001B2492" w:rsidR="0046007E">
        <w:t xml:space="preserve">recommendations to employers to ensure reduction in injuries and illnesses and cost savings.  This web-based </w:t>
      </w:r>
      <w:r w:rsidRPr="001B2492" w:rsidR="003F7D09">
        <w:t xml:space="preserve">system </w:t>
      </w:r>
      <w:r w:rsidRPr="001B2492" w:rsidR="0046007E">
        <w:t>is essential for improving the quality of safety and health program assistance provided to small employers.</w:t>
      </w:r>
      <w:r w:rsidRPr="001B2492" w:rsidR="0014676B">
        <w:t xml:space="preserve">  Without this collection of data, the </w:t>
      </w:r>
      <w:r w:rsidRPr="001B2492" w:rsidR="00045F69">
        <w:t xml:space="preserve">consultant </w:t>
      </w:r>
      <w:r w:rsidRPr="001B2492" w:rsidR="0014676B">
        <w:t xml:space="preserve">will be </w:t>
      </w:r>
      <w:r w:rsidRPr="001B2492" w:rsidR="00045F69">
        <w:t xml:space="preserve">limited in their ability </w:t>
      </w:r>
      <w:r w:rsidRPr="001B2492" w:rsidR="0014676B">
        <w:t xml:space="preserve">to evaluate and improve </w:t>
      </w:r>
      <w:r w:rsidRPr="001B2492" w:rsidR="00045F69">
        <w:t xml:space="preserve">upon </w:t>
      </w:r>
      <w:r w:rsidRPr="001B2492" w:rsidR="0014676B">
        <w:t xml:space="preserve">the safety and health program of the participating employer. </w:t>
      </w:r>
    </w:p>
    <w:p w:rsidRPr="001B2492" w:rsidR="00FC4BF3" w:rsidRDefault="00FC4BF3" w14:paraId="296FEF7D" w14:textId="77777777"/>
    <w:p w:rsidRPr="001B2492" w:rsidR="006D236C" w:rsidP="008138F3" w:rsidRDefault="00FC4BF3" w14:paraId="08AF3580" w14:textId="77777777">
      <w:pPr>
        <w:numPr>
          <w:ilvl w:val="0"/>
          <w:numId w:val="2"/>
        </w:numPr>
        <w:tabs>
          <w:tab w:val="left" w:pos="-1440"/>
        </w:tabs>
      </w:pPr>
      <w:r w:rsidRPr="001B2492">
        <w:rPr>
          <w:b/>
          <w:bCs/>
          <w:u w:val="single"/>
        </w:rPr>
        <w:t>Produce a written report of the findings and recommendations of the</w:t>
      </w:r>
      <w:r w:rsidRPr="001B2492" w:rsidR="00421088">
        <w:rPr>
          <w:b/>
          <w:bCs/>
          <w:u w:val="single"/>
        </w:rPr>
        <w:t xml:space="preserve"> </w:t>
      </w:r>
      <w:r w:rsidRPr="001B2492" w:rsidR="00954BC8">
        <w:rPr>
          <w:b/>
          <w:bCs/>
          <w:u w:val="single"/>
        </w:rPr>
        <w:t>On-Site</w:t>
      </w:r>
      <w:r w:rsidRPr="001B2492">
        <w:rPr>
          <w:b/>
          <w:bCs/>
          <w:u w:val="single"/>
        </w:rPr>
        <w:t xml:space="preserve"> </w:t>
      </w:r>
      <w:r w:rsidRPr="001B2492" w:rsidR="00FE6A01">
        <w:rPr>
          <w:b/>
          <w:bCs/>
          <w:u w:val="single"/>
        </w:rPr>
        <w:t xml:space="preserve">Consultation </w:t>
      </w:r>
      <w:r w:rsidRPr="001B2492">
        <w:rPr>
          <w:b/>
          <w:bCs/>
          <w:u w:val="single"/>
        </w:rPr>
        <w:t>visit</w:t>
      </w:r>
      <w:r w:rsidRPr="001B2492" w:rsidR="0046007E">
        <w:rPr>
          <w:b/>
          <w:bCs/>
          <w:u w:val="single"/>
        </w:rPr>
        <w:t>:</w:t>
      </w:r>
      <w:r w:rsidRPr="001B2492">
        <w:t xml:space="preserve">  The written report is needed to pr</w:t>
      </w:r>
      <w:r w:rsidRPr="001B2492" w:rsidR="0046007E">
        <w:t>ovide the employer with clear</w:t>
      </w:r>
      <w:r w:rsidRPr="001B2492">
        <w:t xml:space="preserve"> identification of hazardous workplace conditions which require correction and improvement.  In the absence of a written report to the employer (i.e., reliance on oral communications only), effective demonstration that the employer was notified of identified hazards and of the correction dates for those hazards would be precluded. </w:t>
      </w:r>
      <w:r w:rsidRPr="001B2492" w:rsidR="002C62A2">
        <w:t xml:space="preserve"> As a result, t</w:t>
      </w:r>
      <w:r w:rsidRPr="001B2492">
        <w:t xml:space="preserve">he </w:t>
      </w:r>
      <w:r w:rsidRPr="001B2492" w:rsidR="00954BC8">
        <w:t>On-Site</w:t>
      </w:r>
      <w:r w:rsidRPr="001B2492" w:rsidR="00F77253">
        <w:t xml:space="preserve"> C</w:t>
      </w:r>
      <w:r w:rsidRPr="001B2492">
        <w:t xml:space="preserve">onsultation </w:t>
      </w:r>
      <w:r w:rsidRPr="001B2492" w:rsidR="00F77253">
        <w:t>P</w:t>
      </w:r>
      <w:r w:rsidRPr="001B2492">
        <w:t>rogram would</w:t>
      </w:r>
      <w:r w:rsidRPr="001B2492" w:rsidR="002C62A2">
        <w:t xml:space="preserve"> not</w:t>
      </w:r>
      <w:r w:rsidRPr="001B2492">
        <w:t xml:space="preserve"> be </w:t>
      </w:r>
      <w:r w:rsidRPr="001B2492" w:rsidR="0046007E">
        <w:t>able to verify</w:t>
      </w:r>
      <w:r w:rsidRPr="001B2492">
        <w:t xml:space="preserve"> the elimination of serious hazards and</w:t>
      </w:r>
      <w:r w:rsidRPr="001B2492" w:rsidR="00F77253">
        <w:t xml:space="preserve"> therefore</w:t>
      </w:r>
      <w:r w:rsidRPr="001B2492" w:rsidR="002C62A2">
        <w:t xml:space="preserve"> would not</w:t>
      </w:r>
      <w:r w:rsidRPr="001B2492" w:rsidR="00F77253">
        <w:t xml:space="preserve"> be</w:t>
      </w:r>
      <w:r w:rsidRPr="001B2492">
        <w:t xml:space="preserve"> able to carry out its primary function</w:t>
      </w:r>
      <w:r w:rsidRPr="001B2492" w:rsidR="0046007E">
        <w:t>s</w:t>
      </w:r>
      <w:r w:rsidRPr="001B2492">
        <w:t xml:space="preserve">. </w:t>
      </w:r>
    </w:p>
    <w:p w:rsidRPr="001B2492" w:rsidR="006D236C" w:rsidP="006D236C" w:rsidRDefault="006D236C" w14:paraId="7194DBDC" w14:textId="77777777">
      <w:pPr>
        <w:tabs>
          <w:tab w:val="left" w:pos="-1440"/>
        </w:tabs>
      </w:pPr>
    </w:p>
    <w:p w:rsidRPr="001B2492" w:rsidR="00FC4BF3" w:rsidP="006D236C" w:rsidRDefault="00FC4BF3" w14:paraId="4E27B8B5" w14:textId="77777777">
      <w:pPr>
        <w:tabs>
          <w:tab w:val="left" w:pos="-1440"/>
        </w:tabs>
        <w:ind w:left="1440"/>
      </w:pPr>
      <w:r w:rsidRPr="001B2492">
        <w:t xml:space="preserve">Furthermore, the written </w:t>
      </w:r>
      <w:r w:rsidRPr="001B2492" w:rsidR="00F77253">
        <w:t xml:space="preserve">report is the primary product that </w:t>
      </w:r>
      <w:r w:rsidRPr="001B2492" w:rsidR="00954BC8">
        <w:t>On-Site</w:t>
      </w:r>
      <w:r w:rsidRPr="001B2492">
        <w:t xml:space="preserve"> </w:t>
      </w:r>
      <w:r w:rsidRPr="001B2492" w:rsidR="00FE6A01">
        <w:t xml:space="preserve">Consultative </w:t>
      </w:r>
      <w:r w:rsidRPr="001B2492" w:rsidR="002C62A2">
        <w:t>assistance delivers</w:t>
      </w:r>
      <w:r w:rsidRPr="001B2492">
        <w:t xml:space="preserve"> to employers.  If OSHA were simply to </w:t>
      </w:r>
      <w:r w:rsidRPr="001B2492" w:rsidR="00222597">
        <w:t xml:space="preserve">allow </w:t>
      </w:r>
      <w:r w:rsidRPr="001B2492">
        <w:t>the States to orally communicate suggestions for workplace safety and health improvements, there would be no assurance that employers were receiving a uniform quality of service nationwide.  Without a written report of consultant findings and recommendations, the employer would not have a use</w:t>
      </w:r>
      <w:r w:rsidRPr="001B2492" w:rsidR="00D60C1D">
        <w:t>ful reference to guide decision-</w:t>
      </w:r>
      <w:r w:rsidRPr="001B2492">
        <w:t>making on workplace safety and health improvements.</w:t>
      </w:r>
    </w:p>
    <w:p w:rsidRPr="001B2492" w:rsidR="00541BFC" w:rsidP="00541BFC" w:rsidRDefault="00541BFC" w14:paraId="769D0D3C" w14:textId="77777777">
      <w:pPr>
        <w:tabs>
          <w:tab w:val="left" w:pos="-1440"/>
        </w:tabs>
        <w:ind w:left="720"/>
      </w:pPr>
    </w:p>
    <w:p w:rsidRPr="001B2492" w:rsidR="00541BFC" w:rsidP="008138F3" w:rsidRDefault="00003EEE" w14:paraId="7CDE7D19" w14:textId="77777777">
      <w:pPr>
        <w:numPr>
          <w:ilvl w:val="0"/>
          <w:numId w:val="2"/>
        </w:numPr>
        <w:tabs>
          <w:tab w:val="left" w:pos="-1440"/>
        </w:tabs>
      </w:pPr>
      <w:r w:rsidRPr="001B2492">
        <w:rPr>
          <w:b/>
          <w:bCs/>
          <w:u w:val="single"/>
        </w:rPr>
        <w:t>Provide the employer with</w:t>
      </w:r>
      <w:r w:rsidRPr="001B2492" w:rsidR="00541BFC">
        <w:rPr>
          <w:b/>
          <w:bCs/>
          <w:u w:val="single"/>
        </w:rPr>
        <w:t xml:space="preserve"> the list of serious hazards and correction due dates:</w:t>
      </w:r>
      <w:r w:rsidRPr="001B2492" w:rsidR="00541BFC">
        <w:t xml:space="preserve">  This requirement goes to the </w:t>
      </w:r>
      <w:r w:rsidRPr="001B2492" w:rsidR="0014676B">
        <w:t>core</w:t>
      </w:r>
      <w:r w:rsidRPr="001B2492" w:rsidR="00541BFC">
        <w:t xml:space="preserve"> of section 21(c) of the OSH Act in advising employers and </w:t>
      </w:r>
      <w:r w:rsidRPr="001B2492" w:rsidR="008440CF">
        <w:t>worker</w:t>
      </w:r>
      <w:r w:rsidRPr="001B2492" w:rsidR="00541BFC">
        <w:t xml:space="preserve">s of serious hazards in the workplace and methods of effective abatement.  The absence of this requirement could result in </w:t>
      </w:r>
      <w:r w:rsidRPr="001B2492" w:rsidR="008440CF">
        <w:t>worker</w:t>
      </w:r>
      <w:r w:rsidRPr="001B2492" w:rsidR="00541BFC">
        <w:t xml:space="preserve">s not being informed or educated about hazards in the workplace and therefore could result in injury and illness to </w:t>
      </w:r>
      <w:r w:rsidRPr="001B2492" w:rsidR="008440CF">
        <w:t>worker</w:t>
      </w:r>
      <w:r w:rsidRPr="001B2492" w:rsidR="00541BFC">
        <w:t>s.</w:t>
      </w:r>
    </w:p>
    <w:p w:rsidRPr="001B2492" w:rsidR="00541BFC" w:rsidP="00541BFC" w:rsidRDefault="00541BFC" w14:paraId="54CD245A" w14:textId="77777777">
      <w:pPr>
        <w:tabs>
          <w:tab w:val="left" w:pos="-1440"/>
        </w:tabs>
        <w:ind w:left="720"/>
      </w:pPr>
    </w:p>
    <w:p w:rsidRPr="001B2492" w:rsidR="003E39BD" w:rsidP="008138F3" w:rsidRDefault="00EC64B7" w14:paraId="4EF03406" w14:textId="77777777">
      <w:pPr>
        <w:numPr>
          <w:ilvl w:val="0"/>
          <w:numId w:val="2"/>
        </w:numPr>
        <w:tabs>
          <w:tab w:val="left" w:pos="-1440"/>
        </w:tabs>
      </w:pPr>
      <w:r w:rsidRPr="001B2492">
        <w:rPr>
          <w:b/>
          <w:bCs/>
          <w:u w:val="single"/>
        </w:rPr>
        <w:t>R</w:t>
      </w:r>
      <w:r w:rsidRPr="001B2492" w:rsidR="00541BFC">
        <w:rPr>
          <w:b/>
          <w:bCs/>
          <w:u w:val="single"/>
        </w:rPr>
        <w:t>eport any failure to correct serious hazards to OSHA</w:t>
      </w:r>
      <w:r w:rsidRPr="001B2492" w:rsidR="00541BFC">
        <w:rPr>
          <w:b/>
          <w:u w:val="single"/>
        </w:rPr>
        <w:t>:</w:t>
      </w:r>
      <w:r w:rsidRPr="001B2492" w:rsidR="00541BFC">
        <w:t xml:space="preserve">  Serious hazards are</w:t>
      </w:r>
      <w:r w:rsidRPr="001B2492" w:rsidR="00D60C1D">
        <w:t xml:space="preserve"> defined as</w:t>
      </w:r>
      <w:r w:rsidRPr="001B2492" w:rsidR="00541BFC">
        <w:t xml:space="preserve"> hazards which cause, or have the potential to cause, serious injury, illness or death.  This provision is considered the minimum necessary requirement to accomplish the OSHA </w:t>
      </w:r>
      <w:r w:rsidRPr="001B2492" w:rsidR="00954BC8">
        <w:t>On-Site</w:t>
      </w:r>
      <w:r w:rsidRPr="001B2492" w:rsidR="00D60C1D">
        <w:t xml:space="preserve"> C</w:t>
      </w:r>
      <w:r w:rsidRPr="001B2492" w:rsidR="00541BFC">
        <w:t xml:space="preserve">onsultation </w:t>
      </w:r>
      <w:r w:rsidRPr="001B2492" w:rsidR="00D60C1D">
        <w:t>P</w:t>
      </w:r>
      <w:r w:rsidRPr="001B2492" w:rsidR="00541BFC">
        <w:t xml:space="preserve">rogram’s goal of ensuring safe and healthful work and working conditions for </w:t>
      </w:r>
      <w:r w:rsidRPr="001B2492" w:rsidR="008440CF">
        <w:t>worker</w:t>
      </w:r>
      <w:r w:rsidRPr="001B2492" w:rsidR="00541BFC">
        <w:t xml:space="preserve">s.  </w:t>
      </w:r>
    </w:p>
    <w:p w:rsidRPr="001B2492" w:rsidR="005B3E40" w:rsidP="005B3E40" w:rsidRDefault="005B3E40" w14:paraId="1231BE67" w14:textId="77777777">
      <w:pPr>
        <w:tabs>
          <w:tab w:val="left" w:pos="-1440"/>
        </w:tabs>
      </w:pPr>
    </w:p>
    <w:p w:rsidRPr="001B2492" w:rsidR="005B3E40" w:rsidP="008138F3" w:rsidRDefault="005B3E40" w14:paraId="57BF44DF" w14:textId="77777777">
      <w:pPr>
        <w:numPr>
          <w:ilvl w:val="0"/>
          <w:numId w:val="2"/>
        </w:numPr>
        <w:tabs>
          <w:tab w:val="left" w:pos="-1440"/>
        </w:tabs>
      </w:pPr>
      <w:r w:rsidRPr="001B2492">
        <w:rPr>
          <w:b/>
          <w:u w:val="single"/>
        </w:rPr>
        <w:t xml:space="preserve">Inform any OSHA or State compliance officer who arrives that an </w:t>
      </w:r>
      <w:r w:rsidRPr="001B2492" w:rsidR="00954BC8">
        <w:rPr>
          <w:b/>
          <w:u w:val="single"/>
        </w:rPr>
        <w:t>On-Site</w:t>
      </w:r>
      <w:r w:rsidRPr="001B2492">
        <w:rPr>
          <w:b/>
          <w:u w:val="single"/>
        </w:rPr>
        <w:t xml:space="preserve"> </w:t>
      </w:r>
      <w:r w:rsidRPr="001B2492" w:rsidR="00FE6A01">
        <w:rPr>
          <w:b/>
          <w:u w:val="single"/>
        </w:rPr>
        <w:t xml:space="preserve">Consultation </w:t>
      </w:r>
      <w:r w:rsidRPr="001B2492">
        <w:rPr>
          <w:b/>
          <w:u w:val="single"/>
        </w:rPr>
        <w:t>visit is in progress.</w:t>
      </w:r>
      <w:r w:rsidRPr="001B2492">
        <w:t xml:space="preserve">  This </w:t>
      </w:r>
      <w:r w:rsidRPr="001B2492" w:rsidR="00EA13A4">
        <w:t xml:space="preserve">notification </w:t>
      </w:r>
      <w:r w:rsidRPr="001B2492">
        <w:t>requirement</w:t>
      </w:r>
      <w:r w:rsidRPr="001B2492" w:rsidR="004E72B3">
        <w:t xml:space="preserve"> of</w:t>
      </w:r>
      <w:r w:rsidRPr="001B2492" w:rsidR="00EA13A4">
        <w:t xml:space="preserve"> a “visit in progress”</w:t>
      </w:r>
      <w:r w:rsidRPr="001B2492">
        <w:t xml:space="preserve"> applies to any employer using the free consultation service and is designed to prevent a duplication of effort between </w:t>
      </w:r>
      <w:r w:rsidRPr="001B2492" w:rsidR="00954BC8">
        <w:t>On-Site</w:t>
      </w:r>
      <w:r w:rsidRPr="001B2492">
        <w:t xml:space="preserve"> </w:t>
      </w:r>
      <w:r w:rsidRPr="001B2492" w:rsidR="00FE6A01">
        <w:t xml:space="preserve">Consultation </w:t>
      </w:r>
      <w:r w:rsidRPr="001B2492">
        <w:t>and OSHA enforcement.</w:t>
      </w:r>
    </w:p>
    <w:p w:rsidRPr="001B2492" w:rsidR="00EC64B7" w:rsidP="00EC64B7" w:rsidRDefault="00EC64B7" w14:paraId="36FEB5B0" w14:textId="77777777">
      <w:pPr>
        <w:tabs>
          <w:tab w:val="left" w:pos="-1440"/>
        </w:tabs>
      </w:pPr>
    </w:p>
    <w:p w:rsidRPr="001B2492" w:rsidR="00C9229E" w:rsidP="008138F3" w:rsidRDefault="003E39BD" w14:paraId="0A41E289" w14:textId="77777777">
      <w:pPr>
        <w:numPr>
          <w:ilvl w:val="0"/>
          <w:numId w:val="2"/>
        </w:numPr>
        <w:tabs>
          <w:tab w:val="left" w:pos="-1440"/>
        </w:tabs>
      </w:pPr>
      <w:r w:rsidRPr="001B2492">
        <w:rPr>
          <w:b/>
          <w:bCs/>
          <w:u w:val="single"/>
        </w:rPr>
        <w:t xml:space="preserve">Require </w:t>
      </w:r>
      <w:r w:rsidRPr="001B2492" w:rsidR="00954BC8">
        <w:rPr>
          <w:b/>
          <w:bCs/>
          <w:u w:val="single"/>
        </w:rPr>
        <w:t>On-Site</w:t>
      </w:r>
      <w:r w:rsidRPr="001B2492" w:rsidR="00D60C1D">
        <w:rPr>
          <w:b/>
          <w:bCs/>
          <w:u w:val="single"/>
        </w:rPr>
        <w:t xml:space="preserve"> Consultation </w:t>
      </w:r>
      <w:r w:rsidRPr="001B2492" w:rsidR="0020737B">
        <w:rPr>
          <w:b/>
          <w:bCs/>
          <w:u w:val="single"/>
        </w:rPr>
        <w:t>Program</w:t>
      </w:r>
      <w:r w:rsidRPr="001B2492">
        <w:rPr>
          <w:b/>
          <w:bCs/>
          <w:u w:val="single"/>
        </w:rPr>
        <w:t>s to monitor and upgrade their consultants' performance</w:t>
      </w:r>
      <w:r w:rsidRPr="001B2492">
        <w:t>.  Because the individual State personnel systems establish their own employment criteria for hiring consultants,</w:t>
      </w:r>
      <w:r w:rsidRPr="001B2492" w:rsidR="007945B5">
        <w:t xml:space="preserve"> the</w:t>
      </w:r>
      <w:r w:rsidRPr="001B2492">
        <w:t xml:space="preserve"> only </w:t>
      </w:r>
      <w:r w:rsidRPr="001B2492" w:rsidR="007945B5">
        <w:t>way to maintain some consistency in the quality of service delivered is to ensure that consultants have, and maintain, the mandatory skill requirements identified in item 2</w:t>
      </w:r>
      <w:r w:rsidRPr="001B2492" w:rsidR="008B7F32">
        <w:t>.</w:t>
      </w:r>
      <w:r w:rsidRPr="001B2492" w:rsidR="007945B5">
        <w:t>a</w:t>
      </w:r>
      <w:r w:rsidRPr="001B2492" w:rsidR="008B7F32">
        <w:t>.</w:t>
      </w:r>
      <w:r w:rsidRPr="001B2492" w:rsidR="007945B5">
        <w:t xml:space="preserve">(5) above. </w:t>
      </w:r>
      <w:r w:rsidRPr="001B2492" w:rsidR="00C9229E">
        <w:t xml:space="preserve"> The consultant monitoring and training activities are designed to assist the States in achieving the level of consultant competency deemed critical to the effective delivery of </w:t>
      </w:r>
      <w:r w:rsidRPr="001B2492" w:rsidR="00954BC8">
        <w:t>On-Site</w:t>
      </w:r>
      <w:r w:rsidRPr="001B2492" w:rsidR="00C9229E">
        <w:t xml:space="preserve"> </w:t>
      </w:r>
      <w:r w:rsidRPr="001B2492" w:rsidR="00FE6A01">
        <w:t xml:space="preserve">Consultation </w:t>
      </w:r>
      <w:r w:rsidRPr="001B2492" w:rsidR="00C9229E">
        <w:t>services.  The absence of this requirement would result in increased disparity in consultant skills and greater variability of consultant competencies and service delivery among States.</w:t>
      </w:r>
    </w:p>
    <w:p w:rsidRPr="001B2492" w:rsidR="003E39BD" w:rsidP="003E39BD" w:rsidRDefault="003E39BD" w14:paraId="30D7AA69" w14:textId="77777777"/>
    <w:p w:rsidRPr="001B2492" w:rsidR="003E39BD" w:rsidP="008138F3" w:rsidRDefault="003E39BD" w14:paraId="637AC747" w14:textId="77777777">
      <w:pPr>
        <w:numPr>
          <w:ilvl w:val="0"/>
          <w:numId w:val="2"/>
        </w:numPr>
        <w:tabs>
          <w:tab w:val="left" w:pos="-1440"/>
        </w:tabs>
      </w:pPr>
      <w:r w:rsidRPr="001B2492">
        <w:rPr>
          <w:b/>
          <w:bCs/>
          <w:u w:val="single"/>
        </w:rPr>
        <w:t>Maintain case files on establishments served</w:t>
      </w:r>
      <w:r w:rsidRPr="001B2492" w:rsidR="008B7F32">
        <w:t>:</w:t>
      </w:r>
      <w:r w:rsidRPr="001B2492">
        <w:t xml:space="preserve">  </w:t>
      </w:r>
      <w:r w:rsidRPr="001B2492" w:rsidR="00954BC8">
        <w:t>On-Site</w:t>
      </w:r>
      <w:r w:rsidRPr="001B2492" w:rsidR="00D60C1D">
        <w:t xml:space="preserve"> Consultation </w:t>
      </w:r>
      <w:r w:rsidRPr="001B2492" w:rsidR="0020737B">
        <w:t>Program</w:t>
      </w:r>
      <w:r w:rsidRPr="001B2492">
        <w:t>s establish case files on establishments request</w:t>
      </w:r>
      <w:r w:rsidRPr="001B2492" w:rsidR="008B7F32">
        <w:t xml:space="preserve">ing </w:t>
      </w:r>
      <w:r w:rsidRPr="001B2492" w:rsidR="00954BC8">
        <w:t>On-Site</w:t>
      </w:r>
      <w:r w:rsidRPr="001B2492" w:rsidR="008B7F32">
        <w:t xml:space="preserve"> consultative assistance.  Initial information collected for the file identifies the requesting employer by name, mailing address and telephone number.  A description of the nature of the employer’s establishment by business type and the operations to be covered by the </w:t>
      </w:r>
      <w:r w:rsidRPr="001B2492" w:rsidR="00954BC8">
        <w:t>On-Site</w:t>
      </w:r>
      <w:r w:rsidRPr="001B2492" w:rsidR="004573F6">
        <w:t xml:space="preserve"> </w:t>
      </w:r>
      <w:r w:rsidRPr="001B2492" w:rsidR="00FE6A01">
        <w:t xml:space="preserve">Consultation </w:t>
      </w:r>
      <w:r w:rsidRPr="001B2492" w:rsidR="008B7F32">
        <w:t>visit are also entered in the case file.  The</w:t>
      </w:r>
      <w:r w:rsidRPr="001B2492" w:rsidR="004573F6">
        <w:t xml:space="preserve"> request is then evaluated and</w:t>
      </w:r>
      <w:r w:rsidRPr="001B2492" w:rsidR="008B7F32">
        <w:t xml:space="preserve"> priority assigned for scheduling.  Subsequently, the case file is updated to include a description of services provided, the workplace conditions examined, and the mutually agreed upon due dates for correction of identified serious</w:t>
      </w:r>
      <w:r w:rsidRPr="001B2492" w:rsidR="00FC3CF1">
        <w:t xml:space="preserve"> hazards.  Without these case files, there would be no record of the</w:t>
      </w:r>
      <w:r w:rsidRPr="001B2492" w:rsidR="004573F6">
        <w:t xml:space="preserve"> </w:t>
      </w:r>
      <w:r w:rsidRPr="001B2492" w:rsidR="00954BC8">
        <w:t>On-Site</w:t>
      </w:r>
      <w:r w:rsidRPr="001B2492" w:rsidR="00FC3CF1">
        <w:t xml:space="preserve"> </w:t>
      </w:r>
      <w:r w:rsidRPr="001B2492" w:rsidR="00FE6A01">
        <w:t xml:space="preserve">Consultation </w:t>
      </w:r>
      <w:r w:rsidRPr="001B2492" w:rsidR="00FC3CF1">
        <w:t>services provide</w:t>
      </w:r>
      <w:r w:rsidRPr="001B2492" w:rsidR="004573F6">
        <w:t>d</w:t>
      </w:r>
      <w:r w:rsidRPr="001B2492" w:rsidR="00FC3CF1">
        <w:t xml:space="preserve">, no means for the State </w:t>
      </w:r>
      <w:r w:rsidRPr="001B2492" w:rsidR="00954BC8">
        <w:t>On-Site</w:t>
      </w:r>
      <w:r w:rsidRPr="001B2492" w:rsidR="004573F6">
        <w:t xml:space="preserve"> Consultation </w:t>
      </w:r>
      <w:r w:rsidRPr="001B2492" w:rsidR="0020737B">
        <w:t>Program</w:t>
      </w:r>
      <w:r w:rsidRPr="001B2492" w:rsidR="00FC3CF1">
        <w:t xml:space="preserve"> manager to effectively manage workloads, and no record of the correction of serious hazards.  Furthermore, without</w:t>
      </w:r>
      <w:r w:rsidRPr="001B2492" w:rsidR="00EE2E7C">
        <w:t xml:space="preserve"> these case files </w:t>
      </w:r>
      <w:r w:rsidRPr="001B2492" w:rsidR="00954BC8">
        <w:t>On-Site</w:t>
      </w:r>
      <w:r w:rsidRPr="001B2492" w:rsidR="00EE2E7C">
        <w:t xml:space="preserve"> Consultation P</w:t>
      </w:r>
      <w:r w:rsidRPr="001B2492" w:rsidR="00FC3CF1">
        <w:t>rogram</w:t>
      </w:r>
      <w:r w:rsidRPr="001B2492" w:rsidR="00EE2E7C">
        <w:t>s</w:t>
      </w:r>
      <w:r w:rsidRPr="001B2492" w:rsidR="00FC3CF1">
        <w:t xml:space="preserve"> would lack information on </w:t>
      </w:r>
      <w:r w:rsidRPr="001B2492" w:rsidR="00EE2E7C">
        <w:t xml:space="preserve">the </w:t>
      </w:r>
      <w:r w:rsidRPr="001B2492" w:rsidR="00FC3CF1">
        <w:t xml:space="preserve">program accomplishments needed to support </w:t>
      </w:r>
      <w:r w:rsidRPr="001B2492" w:rsidR="006666DD">
        <w:t>continued Federal funding, and the monitoring and evaluation of the</w:t>
      </w:r>
      <w:r w:rsidRPr="001B2492" w:rsidR="00EE2E7C">
        <w:t xml:space="preserve"> </w:t>
      </w:r>
      <w:r w:rsidRPr="001B2492" w:rsidR="00954BC8">
        <w:t>On-Site</w:t>
      </w:r>
      <w:r w:rsidRPr="001B2492" w:rsidR="00EE2E7C">
        <w:t xml:space="preserve"> Consultation</w:t>
      </w:r>
      <w:r w:rsidRPr="001B2492" w:rsidR="006666DD">
        <w:t xml:space="preserve"> </w:t>
      </w:r>
      <w:r w:rsidRPr="001B2492" w:rsidR="00EE2E7C">
        <w:t>P</w:t>
      </w:r>
      <w:r w:rsidRPr="001B2492" w:rsidR="006666DD">
        <w:t>rogram on a national level would be impossible</w:t>
      </w:r>
      <w:r w:rsidRPr="001B2492">
        <w:t>.</w:t>
      </w:r>
    </w:p>
    <w:p w:rsidRPr="001B2492" w:rsidR="000B0B94" w:rsidP="000B0B94" w:rsidRDefault="000B0B94" w14:paraId="7196D064" w14:textId="77777777">
      <w:pPr>
        <w:tabs>
          <w:tab w:val="left" w:pos="-1440"/>
        </w:tabs>
      </w:pPr>
    </w:p>
    <w:p w:rsidRPr="001B2492" w:rsidR="009140DD" w:rsidP="008138F3" w:rsidRDefault="007945B5" w14:paraId="4CFDB9A5" w14:textId="77777777">
      <w:pPr>
        <w:numPr>
          <w:ilvl w:val="0"/>
          <w:numId w:val="2"/>
        </w:numPr>
        <w:tabs>
          <w:tab w:val="left" w:pos="-1440"/>
        </w:tabs>
      </w:pPr>
      <w:r w:rsidRPr="001B2492">
        <w:rPr>
          <w:b/>
          <w:bCs/>
          <w:u w:val="single"/>
        </w:rPr>
        <w:t>Submit an Annual Cooperative Agreement (with a budget of anticipated expenditures) t</w:t>
      </w:r>
      <w:r w:rsidRPr="001B2492" w:rsidR="000E107A">
        <w:rPr>
          <w:b/>
          <w:bCs/>
          <w:u w:val="single"/>
        </w:rPr>
        <w:t>o request Federal funding each fiscal y</w:t>
      </w:r>
      <w:r w:rsidRPr="001B2492">
        <w:rPr>
          <w:b/>
          <w:bCs/>
          <w:u w:val="single"/>
        </w:rPr>
        <w:t>ear</w:t>
      </w:r>
      <w:r w:rsidRPr="001B2492">
        <w:t xml:space="preserve">.  </w:t>
      </w:r>
      <w:r w:rsidRPr="001B2492" w:rsidR="000E107A">
        <w:t xml:space="preserve">The Cooperative Agreement is the document that establishes, in each </w:t>
      </w:r>
      <w:r w:rsidRPr="001B2492" w:rsidR="00E97D57">
        <w:t>fiscal year, the relation between States and OSHA to provide</w:t>
      </w:r>
      <w:r w:rsidRPr="001B2492" w:rsidR="00006780">
        <w:t xml:space="preserve"> </w:t>
      </w:r>
      <w:r w:rsidRPr="001B2492" w:rsidR="00954BC8">
        <w:t>On-Site</w:t>
      </w:r>
      <w:r w:rsidRPr="001B2492" w:rsidR="00E97D57">
        <w:t xml:space="preserve"> consultative services at no cost to employers.  O</w:t>
      </w:r>
      <w:r w:rsidRPr="001B2492" w:rsidR="006666DD">
        <w:t>SHA does not mandate a one-size-fits-</w:t>
      </w:r>
      <w:r w:rsidRPr="001B2492" w:rsidR="00E97D57">
        <w:t>all cooperative agreement.  The application package consists of financial documents, agreements to perform the mandated activities (discussed in section A.1.a(1) through (</w:t>
      </w:r>
      <w:r w:rsidRPr="001B2492" w:rsidR="007C02AB">
        <w:t>8</w:t>
      </w:r>
      <w:r w:rsidRPr="001B2492" w:rsidR="00E97D57">
        <w:t>) above</w:t>
      </w:r>
      <w:r w:rsidRPr="001B2492" w:rsidR="006666DD">
        <w:t>)</w:t>
      </w:r>
      <w:r w:rsidRPr="001B2492" w:rsidR="00E97D57">
        <w:t>,</w:t>
      </w:r>
      <w:r w:rsidRPr="001B2492" w:rsidR="006666DD">
        <w:t xml:space="preserve"> assurances to meet some specific requirements of Federal law, and the Consultation Annual Program Plan (CAPP).  Th</w:t>
      </w:r>
      <w:r w:rsidRPr="001B2492" w:rsidR="00006780">
        <w:t>e CAPP is negotiated between each</w:t>
      </w:r>
      <w:r w:rsidRPr="001B2492" w:rsidR="006666DD">
        <w:t xml:space="preserve"> State and</w:t>
      </w:r>
      <w:r w:rsidRPr="001B2492" w:rsidR="00006780">
        <w:t xml:space="preserve"> the</w:t>
      </w:r>
      <w:r w:rsidRPr="001B2492" w:rsidR="006666DD">
        <w:t xml:space="preserve"> OSHA Regional Office</w:t>
      </w:r>
      <w:r w:rsidRPr="001B2492" w:rsidR="00006780">
        <w:t xml:space="preserve"> which has jurisdiction</w:t>
      </w:r>
      <w:r w:rsidRPr="001B2492" w:rsidR="006666DD">
        <w:t xml:space="preserve">.  It defines the States’ objectives and projected activities for the fiscal year.  The CAPP is the basis for evaluating the performance of the State </w:t>
      </w:r>
      <w:r w:rsidRPr="001B2492" w:rsidR="00954BC8">
        <w:t>On-Site</w:t>
      </w:r>
      <w:r w:rsidRPr="001B2492" w:rsidR="00006780">
        <w:t xml:space="preserve"> C</w:t>
      </w:r>
      <w:r w:rsidRPr="001B2492" w:rsidR="006666DD">
        <w:t xml:space="preserve">onsultation </w:t>
      </w:r>
      <w:r w:rsidRPr="001B2492" w:rsidR="0020737B">
        <w:t>Program</w:t>
      </w:r>
      <w:r w:rsidRPr="001B2492" w:rsidR="00006780">
        <w:t>s</w:t>
      </w:r>
      <w:r w:rsidRPr="001B2492" w:rsidR="006666DD">
        <w:t>.  The financial documents are the basis for audits and for other reporting requirements.  The</w:t>
      </w:r>
      <w:r w:rsidRPr="001B2492" w:rsidR="00006780">
        <w:t>se</w:t>
      </w:r>
      <w:r w:rsidRPr="001B2492" w:rsidR="006666DD">
        <w:t xml:space="preserve"> financial documents consist of the OSHA 110, the SF 424, and SF 424A.  Without these requirements, it will be difficult for OSHA and the</w:t>
      </w:r>
      <w:r w:rsidRPr="001B2492" w:rsidR="00006780">
        <w:t xml:space="preserve"> </w:t>
      </w:r>
      <w:r w:rsidRPr="001B2492" w:rsidR="00954BC8">
        <w:t>On-Site</w:t>
      </w:r>
      <w:r w:rsidRPr="001B2492" w:rsidR="006666DD">
        <w:t xml:space="preserve"> </w:t>
      </w:r>
      <w:r w:rsidRPr="001B2492" w:rsidR="00006780">
        <w:t xml:space="preserve">Consultation </w:t>
      </w:r>
      <w:r w:rsidRPr="001B2492" w:rsidR="0020737B">
        <w:t>Program</w:t>
      </w:r>
      <w:r w:rsidRPr="001B2492" w:rsidR="006666DD">
        <w:t>s to meet Congressional mandates or to justify</w:t>
      </w:r>
      <w:r w:rsidRPr="001B2492" w:rsidR="000B2E3B">
        <w:t xml:space="preserve"> its</w:t>
      </w:r>
      <w:r w:rsidRPr="001B2492" w:rsidR="006666DD">
        <w:t xml:space="preserve"> </w:t>
      </w:r>
    </w:p>
    <w:p w:rsidRPr="001B2492" w:rsidR="000E107A" w:rsidP="001F1B43" w:rsidRDefault="006666DD" w14:paraId="40C85F1E" w14:textId="77777777">
      <w:pPr>
        <w:tabs>
          <w:tab w:val="left" w:pos="-1440"/>
        </w:tabs>
        <w:ind w:left="1440"/>
      </w:pPr>
      <w:r w:rsidRPr="001B2492">
        <w:t xml:space="preserve">funding.  It will also be difficult to ensure that </w:t>
      </w:r>
      <w:r w:rsidRPr="001B2492" w:rsidR="00954BC8">
        <w:t>On-Site</w:t>
      </w:r>
      <w:r w:rsidRPr="001B2492">
        <w:t xml:space="preserve"> </w:t>
      </w:r>
      <w:r w:rsidRPr="001B2492" w:rsidR="00FE6A01">
        <w:t xml:space="preserve">Consultation </w:t>
      </w:r>
      <w:r w:rsidRPr="001B2492">
        <w:t>service</w:t>
      </w:r>
      <w:r w:rsidRPr="001B2492" w:rsidR="00FE6A01">
        <w:t>s</w:t>
      </w:r>
      <w:r w:rsidRPr="001B2492">
        <w:t xml:space="preserve"> </w:t>
      </w:r>
      <w:r w:rsidRPr="001B2492" w:rsidR="00FE6A01">
        <w:t xml:space="preserve">are </w:t>
      </w:r>
      <w:r w:rsidRPr="001B2492">
        <w:t>appropriately targeted.</w:t>
      </w:r>
    </w:p>
    <w:p w:rsidRPr="001B2492" w:rsidR="00FC4BF3" w:rsidRDefault="00FC4BF3" w14:paraId="34FF1C98" w14:textId="77777777"/>
    <w:p w:rsidRPr="001B2492" w:rsidR="00FC4BF3" w:rsidP="001F1B43" w:rsidRDefault="00FC4BF3" w14:paraId="74FEC07F" w14:textId="77777777">
      <w:pPr>
        <w:ind w:left="720" w:firstLine="720"/>
        <w:rPr>
          <w:u w:val="single"/>
        </w:rPr>
      </w:pPr>
      <w:r w:rsidRPr="001B2492">
        <w:t>(2)</w:t>
      </w:r>
      <w:r w:rsidRPr="001B2492">
        <w:tab/>
      </w:r>
      <w:r w:rsidRPr="001B2492">
        <w:rPr>
          <w:u w:val="single"/>
        </w:rPr>
        <w:t>Employer Responsibilities.</w:t>
      </w:r>
    </w:p>
    <w:p w:rsidRPr="001B2492" w:rsidR="009E1BE8" w:rsidRDefault="009E1BE8" w14:paraId="6D072C0D" w14:textId="77777777"/>
    <w:p w:rsidRPr="001B2492" w:rsidR="00FC4BF3" w:rsidP="008138F3" w:rsidRDefault="009E1BE8" w14:paraId="59AA4CD0" w14:textId="77777777">
      <w:pPr>
        <w:numPr>
          <w:ilvl w:val="0"/>
          <w:numId w:val="4"/>
        </w:numPr>
      </w:pPr>
      <w:r w:rsidRPr="001B2492">
        <w:rPr>
          <w:b/>
          <w:u w:val="single"/>
        </w:rPr>
        <w:t xml:space="preserve">Employers must notify the </w:t>
      </w:r>
      <w:r w:rsidRPr="001B2492" w:rsidR="00954BC8">
        <w:rPr>
          <w:b/>
          <w:u w:val="single"/>
        </w:rPr>
        <w:t>On-Site</w:t>
      </w:r>
      <w:r w:rsidRPr="001B2492" w:rsidR="00B15859">
        <w:rPr>
          <w:b/>
          <w:u w:val="single"/>
        </w:rPr>
        <w:t xml:space="preserve"> C</w:t>
      </w:r>
      <w:r w:rsidRPr="001B2492">
        <w:rPr>
          <w:b/>
          <w:u w:val="single"/>
        </w:rPr>
        <w:t xml:space="preserve">onsultation </w:t>
      </w:r>
      <w:r w:rsidRPr="001B2492" w:rsidR="0020737B">
        <w:rPr>
          <w:b/>
          <w:u w:val="single"/>
        </w:rPr>
        <w:t>Program</w:t>
      </w:r>
      <w:r w:rsidRPr="001B2492" w:rsidR="00045F69">
        <w:rPr>
          <w:b/>
          <w:u w:val="single"/>
        </w:rPr>
        <w:t xml:space="preserve"> </w:t>
      </w:r>
      <w:r w:rsidRPr="001B2492">
        <w:rPr>
          <w:b/>
          <w:u w:val="single"/>
        </w:rPr>
        <w:t>when they have corrected serious hazards.</w:t>
      </w:r>
      <w:r w:rsidRPr="001B2492">
        <w:t xml:space="preserve">  </w:t>
      </w:r>
      <w:r w:rsidRPr="001B2492" w:rsidR="00FC4BF3">
        <w:t>Without the requirement for the employer</w:t>
      </w:r>
      <w:r w:rsidRPr="001B2492" w:rsidR="00FE6A01">
        <w:t>,</w:t>
      </w:r>
      <w:r w:rsidRPr="001B2492" w:rsidR="00FC4BF3">
        <w:t xml:space="preserve"> </w:t>
      </w:r>
      <w:r w:rsidRPr="001B2492" w:rsidR="00FE6A01">
        <w:t xml:space="preserve">who receives </w:t>
      </w:r>
      <w:r w:rsidRPr="001B2492" w:rsidR="00954BC8">
        <w:t>On-Site</w:t>
      </w:r>
      <w:r w:rsidRPr="001B2492" w:rsidR="00FC4BF3">
        <w:t xml:space="preserve"> </w:t>
      </w:r>
      <w:r w:rsidRPr="001B2492" w:rsidR="00FE6A01">
        <w:t xml:space="preserve">Consultation </w:t>
      </w:r>
      <w:r w:rsidRPr="001B2492" w:rsidR="000B2E3B">
        <w:t>services</w:t>
      </w:r>
      <w:r w:rsidRPr="001B2492" w:rsidR="00FE6A01">
        <w:t>,</w:t>
      </w:r>
      <w:r w:rsidRPr="001B2492" w:rsidR="000B2E3B">
        <w:t xml:space="preserve"> to notify the State</w:t>
      </w:r>
      <w:r w:rsidRPr="001B2492" w:rsidR="00FE6A01">
        <w:t>’s</w:t>
      </w:r>
      <w:r w:rsidRPr="001B2492" w:rsidR="000B2E3B">
        <w:t xml:space="preserve"> </w:t>
      </w:r>
      <w:r w:rsidRPr="001B2492" w:rsidR="00954BC8">
        <w:t>On-Site</w:t>
      </w:r>
      <w:r w:rsidRPr="001B2492" w:rsidR="000B2E3B">
        <w:t xml:space="preserve"> Consultation </w:t>
      </w:r>
      <w:r w:rsidRPr="001B2492" w:rsidR="0020737B">
        <w:t>Program</w:t>
      </w:r>
      <w:r w:rsidRPr="001B2492" w:rsidR="00FC4BF3">
        <w:t xml:space="preserve"> manager when serious hazards were corrected, there would be no assurance that hazards </w:t>
      </w:r>
      <w:r w:rsidRPr="001B2492" w:rsidR="00352F5B">
        <w:t>(</w:t>
      </w:r>
      <w:r w:rsidRPr="001B2492" w:rsidR="00FC4BF3">
        <w:t xml:space="preserve">which could result in serious injury, illness or death to </w:t>
      </w:r>
      <w:r w:rsidRPr="001B2492" w:rsidR="008440CF">
        <w:t>worker</w:t>
      </w:r>
      <w:r w:rsidRPr="001B2492" w:rsidR="00FC4BF3">
        <w:t>s</w:t>
      </w:r>
      <w:r w:rsidRPr="001B2492" w:rsidR="00352F5B">
        <w:t>)</w:t>
      </w:r>
      <w:r w:rsidRPr="001B2492" w:rsidR="00FC4BF3">
        <w:t xml:space="preserve"> </w:t>
      </w:r>
      <w:r w:rsidRPr="001B2492" w:rsidR="00352F5B">
        <w:t>have been corrected</w:t>
      </w:r>
      <w:r w:rsidRPr="001B2492" w:rsidR="00FC4BF3">
        <w:t>.  The only acceptable alternative is to require follow-up visits to verify correction of all serious hazards.</w:t>
      </w:r>
      <w:r w:rsidRPr="001B2492">
        <w:t xml:space="preserve"> </w:t>
      </w:r>
      <w:r w:rsidRPr="001B2492" w:rsidR="00FC4BF3">
        <w:t>This would be more burdensome, both for the State and the employer.</w:t>
      </w:r>
      <w:r w:rsidRPr="001B2492" w:rsidR="00352F5B">
        <w:t xml:space="preserve"> </w:t>
      </w:r>
    </w:p>
    <w:p w:rsidRPr="001B2492" w:rsidR="00A730C0" w:rsidP="00A730C0" w:rsidRDefault="00A730C0" w14:paraId="48A21919" w14:textId="77777777">
      <w:pPr>
        <w:ind w:left="720"/>
      </w:pPr>
    </w:p>
    <w:p w:rsidRPr="001B2492" w:rsidR="00A730C0" w:rsidP="008138F3" w:rsidRDefault="00A730C0" w14:paraId="006A507D" w14:textId="77777777">
      <w:pPr>
        <w:numPr>
          <w:ilvl w:val="0"/>
          <w:numId w:val="4"/>
        </w:numPr>
      </w:pPr>
      <w:r w:rsidRPr="001B2492">
        <w:rPr>
          <w:b/>
          <w:u w:val="single"/>
        </w:rPr>
        <w:t>Employers must post a list of hazards and correction due dates for all serious hazards identified by the consultants.</w:t>
      </w:r>
      <w:r w:rsidRPr="001B2492">
        <w:t xml:space="preserve">  The list of hazards must be posted unedited in a prominent place, where it is readily observable by all affected </w:t>
      </w:r>
      <w:r w:rsidRPr="001B2492" w:rsidR="008440CF">
        <w:t>worker</w:t>
      </w:r>
      <w:r w:rsidRPr="001B2492">
        <w:t xml:space="preserve">s, for three working days, or until the hazards are corrected, whichever is later.  A copy of the list of hazards must also be available to the </w:t>
      </w:r>
      <w:r w:rsidRPr="001B2492" w:rsidR="008440CF">
        <w:t>worker</w:t>
      </w:r>
      <w:r w:rsidRPr="001B2492">
        <w:t xml:space="preserve"> representative who participates in the visit.</w:t>
      </w:r>
    </w:p>
    <w:p w:rsidRPr="001B2492" w:rsidR="00E22113" w:rsidP="00E22113" w:rsidRDefault="00E22113" w14:paraId="6BD18F9B" w14:textId="77777777"/>
    <w:p w:rsidRPr="001B2492" w:rsidR="00E22113" w:rsidP="00E22113" w:rsidRDefault="00E22113" w14:paraId="6E03570F" w14:textId="77777777">
      <w:pPr>
        <w:ind w:left="1440" w:hanging="720"/>
      </w:pPr>
      <w:r w:rsidRPr="001B2492">
        <w:t>iii.</w:t>
      </w:r>
      <w:r w:rsidRPr="001B2492">
        <w:tab/>
      </w:r>
      <w:r w:rsidRPr="001B2492">
        <w:rPr>
          <w:b/>
          <w:u w:val="single"/>
        </w:rPr>
        <w:t xml:space="preserve">Employers must inform any OSHA or State compliance officer who arrives that an </w:t>
      </w:r>
      <w:r w:rsidRPr="001B2492" w:rsidR="00954BC8">
        <w:rPr>
          <w:b/>
          <w:u w:val="single"/>
        </w:rPr>
        <w:t>On-Site</w:t>
      </w:r>
      <w:r w:rsidRPr="001B2492">
        <w:rPr>
          <w:b/>
          <w:u w:val="single"/>
        </w:rPr>
        <w:t xml:space="preserve"> </w:t>
      </w:r>
      <w:r w:rsidRPr="001B2492" w:rsidR="00FE6A01">
        <w:rPr>
          <w:b/>
          <w:u w:val="single"/>
        </w:rPr>
        <w:t xml:space="preserve">Consultation </w:t>
      </w:r>
      <w:r w:rsidRPr="001B2492">
        <w:rPr>
          <w:b/>
          <w:u w:val="single"/>
        </w:rPr>
        <w:t>visit is in progress.</w:t>
      </w:r>
      <w:r w:rsidRPr="001B2492">
        <w:t xml:space="preserve">  This requirement applies to any employer using the free consultation service and is designed to prevent a duplication of effort between </w:t>
      </w:r>
      <w:r w:rsidRPr="001B2492" w:rsidR="00954BC8">
        <w:t>On-Site</w:t>
      </w:r>
      <w:r w:rsidRPr="001B2492">
        <w:t xml:space="preserve"> </w:t>
      </w:r>
      <w:r w:rsidRPr="001B2492" w:rsidR="00FE6A01">
        <w:t xml:space="preserve">Consultation </w:t>
      </w:r>
      <w:r w:rsidRPr="001B2492">
        <w:t>and OSHA enforcement.</w:t>
      </w:r>
    </w:p>
    <w:p w:rsidRPr="001B2492" w:rsidR="00666E3C" w:rsidP="00666E3C" w:rsidRDefault="00666E3C" w14:paraId="238601FE" w14:textId="77777777"/>
    <w:p w:rsidRPr="001B2492" w:rsidR="00666E3C" w:rsidP="00666E3C" w:rsidRDefault="00E22113" w14:paraId="6283BAD6" w14:textId="77777777">
      <w:pPr>
        <w:ind w:left="1440" w:hanging="720"/>
      </w:pPr>
      <w:r w:rsidRPr="001B2492">
        <w:t>iv</w:t>
      </w:r>
      <w:r w:rsidRPr="001B2492" w:rsidR="00666E3C">
        <w:t>.</w:t>
      </w:r>
      <w:r w:rsidRPr="001B2492" w:rsidR="00666E3C">
        <w:tab/>
      </w:r>
      <w:r w:rsidRPr="001B2492" w:rsidR="00666E3C">
        <w:rPr>
          <w:b/>
          <w:u w:val="single"/>
        </w:rPr>
        <w:t xml:space="preserve">Employers </w:t>
      </w:r>
      <w:r w:rsidRPr="001B2492">
        <w:rPr>
          <w:b/>
          <w:u w:val="single"/>
        </w:rPr>
        <w:t>who wish</w:t>
      </w:r>
      <w:r w:rsidRPr="001B2492" w:rsidR="00C44D7E">
        <w:rPr>
          <w:b/>
          <w:u w:val="single"/>
        </w:rPr>
        <w:t xml:space="preserve"> to voluntarily participate in </w:t>
      </w:r>
      <w:r w:rsidRPr="001B2492" w:rsidR="00666E3C">
        <w:rPr>
          <w:b/>
          <w:u w:val="single"/>
        </w:rPr>
        <w:t>SHARP</w:t>
      </w:r>
      <w:r w:rsidRPr="001B2492" w:rsidR="004A34F8">
        <w:rPr>
          <w:b/>
          <w:u w:val="single"/>
        </w:rPr>
        <w:t>, initiate consideration of their request by notifying the State</w:t>
      </w:r>
      <w:r w:rsidRPr="001B2492" w:rsidR="00666E3C">
        <w:rPr>
          <w:b/>
          <w:u w:val="single"/>
        </w:rPr>
        <w:t>.</w:t>
      </w:r>
      <w:r w:rsidRPr="001B2492" w:rsidR="00666E3C">
        <w:t xml:space="preserve">  The purpose of this section is for the granting </w:t>
      </w:r>
      <w:r w:rsidRPr="001B2492" w:rsidR="00AC0973">
        <w:t>an exemption from programmed enforcement inspections</w:t>
      </w:r>
      <w:r w:rsidRPr="001B2492" w:rsidDel="00AC0973" w:rsidR="00AC0973">
        <w:t xml:space="preserve"> </w:t>
      </w:r>
      <w:r w:rsidRPr="001B2492" w:rsidR="00666E3C">
        <w:t xml:space="preserve">to employers intending to pursue SHARP.  </w:t>
      </w:r>
      <w:r w:rsidRPr="001B2492" w:rsidR="00AC0973">
        <w:t xml:space="preserve">Employers who wish to </w:t>
      </w:r>
      <w:r w:rsidRPr="001B2492" w:rsidR="004A34F8">
        <w:t xml:space="preserve">voluntarily participate in SHARP, and receive </w:t>
      </w:r>
      <w:r w:rsidRPr="001B2492" w:rsidR="00AC0973">
        <w:t>the</w:t>
      </w:r>
      <w:r w:rsidRPr="001B2492" w:rsidR="004A34F8">
        <w:t xml:space="preserve"> exemption, initiate consideration of their request by notifying the State</w:t>
      </w:r>
      <w:r w:rsidRPr="001B2492" w:rsidR="00AC0973">
        <w:t>.</w:t>
      </w:r>
    </w:p>
    <w:p w:rsidRPr="001B2492" w:rsidR="00F1770F" w:rsidRDefault="00F1770F" w14:paraId="0F3CABC7" w14:textId="77777777"/>
    <w:p w:rsidRPr="001B2492" w:rsidR="001F1B43" w:rsidP="001F1B43" w:rsidRDefault="001F1B43" w14:paraId="50F25A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1B2492">
        <w:rPr>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1B2492" w:rsidR="00E349D0">
        <w:rPr>
          <w:b/>
          <w:bCs/>
          <w:color w:val="000000"/>
        </w:rPr>
        <w:t>,</w:t>
      </w:r>
      <w:r w:rsidRPr="001B2492">
        <w:rPr>
          <w:b/>
          <w:bCs/>
          <w:color w:val="000000"/>
        </w:rPr>
        <w:t xml:space="preserve"> describe any consideration of using information technology to reduce burden</w:t>
      </w:r>
      <w:r w:rsidRPr="001B2492" w:rsidR="00E349D0">
        <w:rPr>
          <w:b/>
          <w:bCs/>
          <w:color w:val="000000"/>
        </w:rPr>
        <w:t>s</w:t>
      </w:r>
      <w:r w:rsidRPr="001B2492">
        <w:rPr>
          <w:b/>
          <w:bCs/>
          <w:color w:val="000000"/>
        </w:rPr>
        <w:t>.</w:t>
      </w:r>
    </w:p>
    <w:p w:rsidRPr="001B2492" w:rsidR="00D107C7" w:rsidP="001F1B43" w:rsidRDefault="00D107C7" w14:paraId="5B08B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Pr="001B2492" w:rsidR="00D107C7" w:rsidP="00D107C7" w:rsidRDefault="00D107C7" w14:paraId="205E5137" w14:textId="77777777">
      <w:r w:rsidRPr="001B2492">
        <w:t xml:space="preserve">Much of the information collected and reported by the </w:t>
      </w:r>
      <w:r w:rsidRPr="001B2492" w:rsidR="00954BC8">
        <w:t>On-Site</w:t>
      </w:r>
      <w:r w:rsidRPr="001B2492">
        <w:t xml:space="preserve"> Consultation </w:t>
      </w:r>
      <w:r w:rsidRPr="001B2492" w:rsidR="0020737B">
        <w:t>Program</w:t>
      </w:r>
      <w:r w:rsidRPr="001B2492">
        <w:t xml:space="preserve">s are qualitative.  As a result, </w:t>
      </w:r>
      <w:r w:rsidRPr="001B2492" w:rsidR="00C00B06">
        <w:t xml:space="preserve">the </w:t>
      </w:r>
      <w:r w:rsidRPr="001B2492" w:rsidR="00F0315C">
        <w:t xml:space="preserve">information collection </w:t>
      </w:r>
      <w:r w:rsidRPr="001B2492">
        <w:t xml:space="preserve">requirements, for the most part, cannot be automated.  However, since the inception of the </w:t>
      </w:r>
      <w:r w:rsidRPr="001B2492" w:rsidR="00954BC8">
        <w:t>On-Site</w:t>
      </w:r>
      <w:r w:rsidRPr="001B2492">
        <w:t xml:space="preserve"> Consultation Program, OSHA has worked closely with the State </w:t>
      </w:r>
      <w:r w:rsidRPr="001B2492" w:rsidR="00954BC8">
        <w:t>On-Site</w:t>
      </w:r>
      <w:r w:rsidRPr="001B2492">
        <w:t xml:space="preserve"> Consultation </w:t>
      </w:r>
      <w:r w:rsidRPr="001B2492" w:rsidR="0020737B">
        <w:t>Program</w:t>
      </w:r>
      <w:r w:rsidRPr="001B2492">
        <w:t xml:space="preserve">s to automate the collection and reporting of those data elements that can be automated.  To that end, OSHA has continuously funded the purchase of computer equipment and provided support in tools development, network maintenance, and staff training.  OSHA coordinated the effort to standardize the consultants’ written report, thereby easing the States’ burden of report creation and also streamlining the report received by the employer.  </w:t>
      </w:r>
    </w:p>
    <w:p w:rsidRPr="001B2492" w:rsidR="00D107C7" w:rsidP="00D107C7" w:rsidRDefault="00D107C7" w14:paraId="16DEB4AB" w14:textId="77777777">
      <w:pPr>
        <w:ind w:left="720"/>
      </w:pPr>
    </w:p>
    <w:p w:rsidRPr="001B2492" w:rsidR="00D107C7" w:rsidP="00D107C7" w:rsidRDefault="00D107C7" w14:paraId="2E0F3979" w14:textId="77777777">
      <w:pPr>
        <w:rPr>
          <w:bCs/>
        </w:rPr>
      </w:pPr>
      <w:r w:rsidRPr="001B2492">
        <w:t xml:space="preserve">OSHA </w:t>
      </w:r>
      <w:r w:rsidRPr="001B2492" w:rsidR="00C00B06">
        <w:t xml:space="preserve">uses </w:t>
      </w:r>
      <w:r w:rsidRPr="001B2492">
        <w:t xml:space="preserve">the web to simplify the </w:t>
      </w:r>
      <w:r w:rsidRPr="001B2492" w:rsidR="00954BC8">
        <w:t>On-Site</w:t>
      </w:r>
      <w:r w:rsidRPr="001B2492">
        <w:t xml:space="preserve"> Consultation process.  For example, information about the quality of a site’s safety and health program is routinely collected </w:t>
      </w:r>
      <w:r w:rsidRPr="001B2492" w:rsidR="002B19F4">
        <w:t xml:space="preserve">by the State consultant </w:t>
      </w:r>
      <w:r w:rsidRPr="001B2492">
        <w:t xml:space="preserve">as a part of the </w:t>
      </w:r>
      <w:r w:rsidRPr="001B2492" w:rsidR="00954BC8">
        <w:t>On-Site</w:t>
      </w:r>
      <w:r w:rsidRPr="001B2492">
        <w:t xml:space="preserve"> Consultation process.  With the </w:t>
      </w:r>
      <w:r w:rsidRPr="001B2492" w:rsidR="00C00B06">
        <w:t xml:space="preserve">Agency’s internal </w:t>
      </w:r>
      <w:r w:rsidRPr="001B2492">
        <w:t xml:space="preserve">web-based </w:t>
      </w:r>
      <w:r w:rsidRPr="001B2492" w:rsidR="00045F69">
        <w:t>system</w:t>
      </w:r>
      <w:r w:rsidRPr="001B2492">
        <w:t xml:space="preserve">, </w:t>
      </w:r>
      <w:r w:rsidRPr="001B2492" w:rsidR="00C00B06">
        <w:t xml:space="preserve">the </w:t>
      </w:r>
      <w:r w:rsidRPr="001B2492" w:rsidR="00045F69">
        <w:t xml:space="preserve">OIS, </w:t>
      </w:r>
      <w:r w:rsidRPr="001B2492" w:rsidR="00C00B06">
        <w:t>a</w:t>
      </w:r>
      <w:r w:rsidRPr="001B2492">
        <w:t xml:space="preserve">ll consultants enter the data collected on the </w:t>
      </w:r>
      <w:r w:rsidRPr="001B2492" w:rsidR="00045F69">
        <w:t xml:space="preserve">Safety and Health </w:t>
      </w:r>
      <w:r w:rsidRPr="001B2492" w:rsidR="00216899">
        <w:t>Program Assessment Worksheet</w:t>
      </w:r>
      <w:r w:rsidRPr="001B2492" w:rsidR="00045F69">
        <w:t xml:space="preserve"> </w:t>
      </w:r>
      <w:r w:rsidRPr="001B2492">
        <w:t xml:space="preserve">directly on-line to the web-based </w:t>
      </w:r>
      <w:r w:rsidRPr="001B2492" w:rsidR="00045F69">
        <w:t>system</w:t>
      </w:r>
      <w:r w:rsidRPr="001B2492" w:rsidR="00045F69">
        <w:rPr>
          <w:color w:val="FF0000"/>
        </w:rPr>
        <w:t xml:space="preserve"> </w:t>
      </w:r>
      <w:r w:rsidRPr="001B2492" w:rsidR="00045F69">
        <w:t>(OIS)</w:t>
      </w:r>
      <w:r w:rsidRPr="001B2492" w:rsidR="00216899">
        <w:t>,</w:t>
      </w:r>
      <w:r w:rsidRPr="001B2492" w:rsidR="00045F69">
        <w:t xml:space="preserve"> which can be accessed from anywhere.</w:t>
      </w:r>
      <w:r w:rsidRPr="001B2492">
        <w:t xml:space="preserve">  </w:t>
      </w:r>
    </w:p>
    <w:p w:rsidRPr="001B2492" w:rsidR="00D107C7" w:rsidP="00D107C7" w:rsidRDefault="00D107C7" w14:paraId="0AD9C6F4" w14:textId="77777777"/>
    <w:p w:rsidRPr="001B2492" w:rsidR="000319DD" w:rsidP="000319DD" w:rsidRDefault="00D107C7" w14:paraId="4DB58FE9" w14:textId="77777777">
      <w:pPr>
        <w:rPr>
          <w:b/>
          <w:bCs/>
          <w:color w:val="000000"/>
          <w:sz w:val="20"/>
          <w:szCs w:val="20"/>
        </w:rPr>
      </w:pPr>
      <w:r w:rsidRPr="001B2492">
        <w:t xml:space="preserve">Additionally, OSHA now requires that State </w:t>
      </w:r>
      <w:r w:rsidRPr="001B2492" w:rsidR="00954BC8">
        <w:t>On-Site</w:t>
      </w:r>
      <w:r w:rsidRPr="001B2492">
        <w:t xml:space="preserve"> Consultation </w:t>
      </w:r>
      <w:r w:rsidRPr="001B2492" w:rsidR="0020737B">
        <w:t>Program</w:t>
      </w:r>
      <w:r w:rsidRPr="001B2492">
        <w:t>s submit their annual grant applications electronically using the Grants.gov (</w:t>
      </w:r>
      <w:hyperlink w:tooltip="http://www.grants.gov" w:history="1" r:id="rId11">
        <w:r w:rsidRPr="001B2492">
          <w:rPr>
            <w:color w:val="0000FF"/>
            <w:u w:val="single"/>
          </w:rPr>
          <w:t>www.grants.gov</w:t>
        </w:r>
      </w:hyperlink>
      <w:r w:rsidRPr="001B2492">
        <w:t>) system.  The applications can be up to 100 pages long and require review by the OSHA Regional and National Offices.  The electronic submission</w:t>
      </w:r>
      <w:r w:rsidRPr="001B2492" w:rsidR="00C00B06">
        <w:t>s</w:t>
      </w:r>
      <w:r w:rsidRPr="001B2492">
        <w:t xml:space="preserve"> streamline the process and reduce the need for copies.</w:t>
      </w:r>
      <w:r w:rsidRPr="001B2492" w:rsidR="000319DD">
        <w:t xml:space="preserve"> Another electronic feature made available to the States is the Department of Health and Human Services – Payment Management system.  The system is responsible for managing reimbursement to the States for On-Site Consultation and consultation-related services.  The payment system is fully automated and allows the grantees to submit their request and receive payments electronically.  This also reduces the paperwork burden on the States.  </w:t>
      </w:r>
    </w:p>
    <w:p w:rsidRPr="001B2492" w:rsidR="00D107C7" w:rsidP="00D107C7" w:rsidRDefault="00D107C7" w14:paraId="4B1F511A" w14:textId="77777777"/>
    <w:p w:rsidRPr="001B2492" w:rsidR="00D107C7" w:rsidP="00D107C7" w:rsidRDefault="00D107C7" w14:paraId="64CC757A" w14:textId="77777777">
      <w:r w:rsidRPr="001B2492">
        <w:t xml:space="preserve">The Wisconsin Occupational Health Laboratory, which provides laboratory services in support of the </w:t>
      </w:r>
      <w:r w:rsidRPr="001B2492" w:rsidR="00954BC8">
        <w:t>On-Site</w:t>
      </w:r>
      <w:r w:rsidRPr="001B2492">
        <w:t xml:space="preserve"> Consultation </w:t>
      </w:r>
      <w:r w:rsidRPr="001B2492" w:rsidR="0020737B">
        <w:t>Program</w:t>
      </w:r>
      <w:r w:rsidRPr="001B2492">
        <w:t xml:space="preserve">s, has developed a system for uploading data on all sample collection media before they are shipped to the projects for field use.  The sample media are bar-coded to ensure ease of information retrieval for analysis and reporting of sample results to the </w:t>
      </w:r>
      <w:r w:rsidRPr="001B2492" w:rsidR="0020737B">
        <w:t>Program</w:t>
      </w:r>
      <w:r w:rsidRPr="001B2492">
        <w:t xml:space="preserve">s.  The lab has also established an </w:t>
      </w:r>
      <w:r w:rsidRPr="001B2492" w:rsidR="00512DD1">
        <w:t>MS-A</w:t>
      </w:r>
      <w:r w:rsidRPr="001B2492">
        <w:t>ccess database (sample result data 1984-1994) and an on-line database (sample result data 1994 to date), to give the States access to historical data.  This reduces the time spent by the States on paperwork preparation and records retention.  Additionally, the laboratory sends sample results through email.  Although the lab still sends paper copies of the results, they are exploring with their information systems group, methods for sending the results only through email, unless specifically requested otherwise. </w:t>
      </w:r>
    </w:p>
    <w:p w:rsidRPr="001B2492" w:rsidR="00D107C7" w:rsidP="00D107C7" w:rsidRDefault="00D107C7" w14:paraId="65F9C3DC" w14:textId="77777777"/>
    <w:p w:rsidRPr="001B2492" w:rsidR="00FC4BF3" w:rsidRDefault="00FC4BF3" w14:paraId="5023141B" w14:textId="77777777">
      <w:pPr>
        <w:rPr>
          <w:sz w:val="20"/>
          <w:szCs w:val="20"/>
          <w:u w:val="single"/>
        </w:rPr>
      </w:pPr>
    </w:p>
    <w:p w:rsidRPr="001B2492" w:rsidR="001F1B43" w:rsidP="001F1B43" w:rsidRDefault="001F1B43" w14:paraId="5BF2A4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B2492">
        <w:rPr>
          <w:b/>
          <w:bCs/>
          <w:color w:val="000000"/>
        </w:rPr>
        <w:t xml:space="preserve">4.  Describe efforts to identify duplication.  Show specifically why any similar information already available cannot be used or modified for use for the purposes described in </w:t>
      </w:r>
      <w:r w:rsidRPr="001B2492" w:rsidR="00E349D0">
        <w:rPr>
          <w:b/>
          <w:bCs/>
          <w:color w:val="000000"/>
        </w:rPr>
        <w:t>A.</w:t>
      </w:r>
      <w:r w:rsidRPr="001B2492">
        <w:rPr>
          <w:b/>
          <w:bCs/>
          <w:color w:val="000000"/>
        </w:rPr>
        <w:t>2 above.</w:t>
      </w:r>
    </w:p>
    <w:p w:rsidRPr="001B2492" w:rsidR="00FC4BF3" w:rsidRDefault="00FC4BF3" w14:paraId="1F3B1409" w14:textId="77777777">
      <w:pPr>
        <w:rPr>
          <w:sz w:val="20"/>
          <w:szCs w:val="20"/>
          <w:u w:val="single"/>
        </w:rPr>
      </w:pPr>
    </w:p>
    <w:p w:rsidRPr="001B2492" w:rsidR="00FC4BF3" w:rsidP="006B1FC3" w:rsidRDefault="00FC4BF3" w14:paraId="298DD98F" w14:textId="77777777">
      <w:r w:rsidRPr="001B2492">
        <w:t xml:space="preserve">Communications </w:t>
      </w:r>
      <w:r w:rsidRPr="001B2492" w:rsidR="0014676B">
        <w:t xml:space="preserve">between the </w:t>
      </w:r>
      <w:r w:rsidRPr="001B2492" w:rsidR="00954BC8">
        <w:t>On-Site</w:t>
      </w:r>
      <w:r w:rsidRPr="001B2492" w:rsidR="0014676B">
        <w:t xml:space="preserve"> Consultation </w:t>
      </w:r>
      <w:r w:rsidRPr="001B2492" w:rsidR="0020737B">
        <w:t>Program</w:t>
      </w:r>
      <w:r w:rsidRPr="001B2492" w:rsidR="0014676B">
        <w:t xml:space="preserve">s and enforcement programs </w:t>
      </w:r>
      <w:r w:rsidRPr="001B2492">
        <w:t>specified in the</w:t>
      </w:r>
      <w:r w:rsidRPr="001B2492" w:rsidR="00FB0B22">
        <w:t xml:space="preserve"> </w:t>
      </w:r>
      <w:r w:rsidRPr="001B2492" w:rsidR="00954BC8">
        <w:t>On-Site</w:t>
      </w:r>
      <w:r w:rsidRPr="001B2492">
        <w:t xml:space="preserve"> </w:t>
      </w:r>
      <w:r w:rsidRPr="001B2492" w:rsidR="00FE6A01">
        <w:t xml:space="preserve">Consultation </w:t>
      </w:r>
      <w:r w:rsidRPr="001B2492">
        <w:t>regulations are designed to inform OSHA inspectors of the presence of a consultant.  This prevents duplication of effort between OSHA's</w:t>
      </w:r>
      <w:r w:rsidRPr="001B2492" w:rsidR="00FB0B22">
        <w:t xml:space="preserve"> </w:t>
      </w:r>
      <w:r w:rsidRPr="001B2492" w:rsidR="00954BC8">
        <w:t>On-Site</w:t>
      </w:r>
      <w:r w:rsidRPr="001B2492">
        <w:t xml:space="preserve"> </w:t>
      </w:r>
      <w:r w:rsidRPr="001B2492" w:rsidR="00FB0B22">
        <w:t>C</w:t>
      </w:r>
      <w:r w:rsidRPr="001B2492">
        <w:t xml:space="preserve">onsultation </w:t>
      </w:r>
      <w:r w:rsidRPr="001B2492" w:rsidR="0020737B">
        <w:t>Program</w:t>
      </w:r>
      <w:r w:rsidRPr="001B2492" w:rsidR="00FB0B22">
        <w:t xml:space="preserve">s </w:t>
      </w:r>
      <w:r w:rsidRPr="001B2492">
        <w:t>and enforcement programs.</w:t>
      </w:r>
    </w:p>
    <w:p w:rsidRPr="001B2492" w:rsidR="00FC4BF3" w:rsidRDefault="00FC4BF3" w14:paraId="562C75D1" w14:textId="77777777"/>
    <w:p w:rsidRPr="001B2492" w:rsidR="00FC4BF3" w:rsidP="006B1FC3" w:rsidRDefault="00FC4BF3" w14:paraId="3D46A972" w14:textId="77777777">
      <w:r w:rsidRPr="001B2492">
        <w:t>One purpose of the written report to the employer is to provide the employer with sufficient written documentation of identified hazards and recommended safety and health program improvements</w:t>
      </w:r>
      <w:r w:rsidRPr="001B2492" w:rsidR="00CA1774">
        <w:t>.  This</w:t>
      </w:r>
      <w:r w:rsidRPr="001B2492">
        <w:t xml:space="preserve"> enable</w:t>
      </w:r>
      <w:r w:rsidRPr="001B2492" w:rsidR="00CA1774">
        <w:t>s</w:t>
      </w:r>
      <w:r w:rsidRPr="001B2492" w:rsidR="00773EF0">
        <w:t xml:space="preserve"> employers working with the</w:t>
      </w:r>
      <w:r w:rsidRPr="001B2492">
        <w:t xml:space="preserve"> </w:t>
      </w:r>
      <w:r w:rsidRPr="001B2492" w:rsidR="00954BC8">
        <w:t>On-Site</w:t>
      </w:r>
      <w:r w:rsidRPr="001B2492" w:rsidR="00FB0B22">
        <w:t xml:space="preserve"> C</w:t>
      </w:r>
      <w:r w:rsidRPr="001B2492">
        <w:t>onsultation</w:t>
      </w:r>
      <w:r w:rsidRPr="001B2492" w:rsidR="00FB0B22">
        <w:t xml:space="preserve"> </w:t>
      </w:r>
      <w:r w:rsidRPr="001B2492" w:rsidR="0020737B">
        <w:t>Program</w:t>
      </w:r>
      <w:r w:rsidRPr="001B2492" w:rsidR="00773EF0">
        <w:t>s to be recognized for their exemplary programs, and to be</w:t>
      </w:r>
      <w:r w:rsidRPr="001B2492" w:rsidR="00C10F80">
        <w:t xml:space="preserve"> potentially</w:t>
      </w:r>
      <w:r w:rsidRPr="001B2492" w:rsidR="00773EF0">
        <w:t xml:space="preserve"> exempted from programmed </w:t>
      </w:r>
      <w:r w:rsidRPr="001B2492" w:rsidR="0014676B">
        <w:t>inspections, t</w:t>
      </w:r>
      <w:r w:rsidRPr="001B2492" w:rsidR="00773EF0">
        <w:t>hus eliminat</w:t>
      </w:r>
      <w:r w:rsidRPr="001B2492" w:rsidR="0014676B">
        <w:t>ing</w:t>
      </w:r>
      <w:r w:rsidRPr="001B2492" w:rsidR="00773EF0">
        <w:t xml:space="preserve"> the need </w:t>
      </w:r>
      <w:r w:rsidRPr="001B2492">
        <w:t>for OSHA to inspect establishments which have received a thorough consultation hazard evaluation survey, corrected all hazards identified, and established an effective workplace safety and health program.</w:t>
      </w:r>
    </w:p>
    <w:p w:rsidRPr="001B2492" w:rsidR="00FC4BF3" w:rsidRDefault="00FC4BF3" w14:paraId="664355AD" w14:textId="77777777">
      <w:pPr>
        <w:ind w:firstLine="720"/>
      </w:pPr>
    </w:p>
    <w:p w:rsidRPr="001B2492" w:rsidR="00FC4BF3" w:rsidP="006B1FC3" w:rsidRDefault="00FC4BF3" w14:paraId="085F2C72" w14:textId="77777777">
      <w:r w:rsidRPr="001B2492">
        <w:t>The case files on employers, who are provided</w:t>
      </w:r>
      <w:r w:rsidRPr="001B2492" w:rsidR="004F507E">
        <w:t xml:space="preserve"> </w:t>
      </w:r>
      <w:r w:rsidRPr="001B2492">
        <w:t>consultative assistance, record unique information on the needs of employers scheduled for consultation</w:t>
      </w:r>
      <w:r w:rsidRPr="001B2492" w:rsidR="00773EF0">
        <w:t xml:space="preserve">, and the field notes include </w:t>
      </w:r>
      <w:r w:rsidRPr="001B2492">
        <w:t xml:space="preserve">identified hazards, information on the services provided, and a description of recommendations made. </w:t>
      </w:r>
      <w:r w:rsidRPr="001B2492" w:rsidR="00773EF0">
        <w:t xml:space="preserve"> Maintaining these files </w:t>
      </w:r>
      <w:r w:rsidRPr="001B2492" w:rsidR="0023139B">
        <w:t xml:space="preserve">reduces duplication of </w:t>
      </w:r>
      <w:r w:rsidRPr="001B2492">
        <w:t>employers</w:t>
      </w:r>
      <w:r w:rsidRPr="001B2492" w:rsidR="0023139B">
        <w:t xml:space="preserve">’ efforts by preserving </w:t>
      </w:r>
      <w:r w:rsidRPr="001B2492">
        <w:t>historical data needed by</w:t>
      </w:r>
      <w:r w:rsidRPr="001B2492" w:rsidR="004F507E">
        <w:t xml:space="preserve"> </w:t>
      </w:r>
      <w:r w:rsidRPr="001B2492" w:rsidR="00954BC8">
        <w:t>On-Site</w:t>
      </w:r>
      <w:r w:rsidRPr="001B2492">
        <w:t xml:space="preserve"> </w:t>
      </w:r>
      <w:r w:rsidRPr="001B2492" w:rsidR="004F507E">
        <w:t xml:space="preserve">Consultation </w:t>
      </w:r>
      <w:r w:rsidRPr="001B2492" w:rsidR="0020737B">
        <w:t>Program</w:t>
      </w:r>
      <w:r w:rsidRPr="001B2492">
        <w:t xml:space="preserve"> managers to make decision</w:t>
      </w:r>
      <w:r w:rsidRPr="001B2492" w:rsidR="0023139B">
        <w:t>s</w:t>
      </w:r>
      <w:r w:rsidRPr="001B2492">
        <w:t xml:space="preserve"> on providing additional assistance to employers who were previously provided </w:t>
      </w:r>
      <w:r w:rsidRPr="001B2492" w:rsidR="00954BC8">
        <w:t>On-Site</w:t>
      </w:r>
      <w:r w:rsidRPr="001B2492" w:rsidR="00B15859">
        <w:t xml:space="preserve"> Consultation </w:t>
      </w:r>
      <w:r w:rsidRPr="001B2492">
        <w:t>services.</w:t>
      </w:r>
    </w:p>
    <w:p w:rsidRPr="001B2492" w:rsidR="00FC4BF3" w:rsidRDefault="00FC4BF3" w14:paraId="1A965116" w14:textId="77777777"/>
    <w:p w:rsidRPr="001B2492" w:rsidR="004F507E" w:rsidP="006B1FC3" w:rsidRDefault="00FC4BF3" w14:paraId="4DC23074" w14:textId="77777777">
      <w:r w:rsidRPr="001B2492">
        <w:t xml:space="preserve">The regulations for the </w:t>
      </w:r>
      <w:r w:rsidRPr="001B2492" w:rsidR="00954BC8">
        <w:t>On-Site</w:t>
      </w:r>
      <w:r w:rsidRPr="001B2492" w:rsidR="00B15859">
        <w:t xml:space="preserve"> Consultation Program </w:t>
      </w:r>
      <w:r w:rsidRPr="001B2492">
        <w:t>do not duplicate other agency programs.</w:t>
      </w:r>
      <w:r w:rsidRPr="001B2492" w:rsidR="00796C7D">
        <w:t xml:space="preserve">  </w:t>
      </w:r>
      <w:r w:rsidRPr="001B2492">
        <w:t>There is no similar information available.</w:t>
      </w:r>
    </w:p>
    <w:p w:rsidRPr="001B2492" w:rsidR="004F507E" w:rsidRDefault="004F507E" w14:paraId="7DF4E37C" w14:textId="77777777">
      <w:pPr>
        <w:ind w:firstLine="720"/>
      </w:pPr>
    </w:p>
    <w:p w:rsidRPr="001B2492" w:rsidR="006B1FC3" w:rsidP="006B1FC3" w:rsidRDefault="006B1FC3" w14:paraId="54B466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B2492">
        <w:rPr>
          <w:b/>
          <w:bCs/>
          <w:color w:val="000000"/>
        </w:rPr>
        <w:t xml:space="preserve">5.  If the collection of information impacts small businesses or other small entities, describe the methods used to </w:t>
      </w:r>
      <w:r w:rsidRPr="001B2492" w:rsidR="004211F2">
        <w:rPr>
          <w:b/>
          <w:bCs/>
          <w:color w:val="000000"/>
        </w:rPr>
        <w:t xml:space="preserve">minimize </w:t>
      </w:r>
      <w:r w:rsidRPr="001B2492">
        <w:rPr>
          <w:b/>
          <w:bCs/>
          <w:color w:val="000000"/>
        </w:rPr>
        <w:t>the burden.</w:t>
      </w:r>
    </w:p>
    <w:p w:rsidRPr="001B2492" w:rsidR="006B1FC3" w:rsidP="006B1FC3" w:rsidRDefault="006B1FC3" w14:paraId="44FB3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Pr="001B2492" w:rsidR="00FC4BF3" w:rsidP="006B1FC3" w:rsidRDefault="00FC4BF3" w14:paraId="78203B95" w14:textId="77777777">
      <w:r w:rsidRPr="001B2492">
        <w:t xml:space="preserve">Participation in the </w:t>
      </w:r>
      <w:r w:rsidRPr="001B2492" w:rsidR="00954BC8">
        <w:t>On-Site</w:t>
      </w:r>
      <w:r w:rsidRPr="001B2492" w:rsidR="004F507E">
        <w:t xml:space="preserve"> Consultation P</w:t>
      </w:r>
      <w:r w:rsidRPr="001B2492">
        <w:t>rogram is comp</w:t>
      </w:r>
      <w:r w:rsidRPr="001B2492" w:rsidR="00121CC4">
        <w:t>letely voluntary.  There is no F</w:t>
      </w:r>
      <w:r w:rsidRPr="001B2492">
        <w:t>ederal requirement that forces participation.  The employer is not required to complete any paperwork to request or receive</w:t>
      </w:r>
      <w:r w:rsidRPr="001B2492" w:rsidR="004F507E">
        <w:t xml:space="preserve"> </w:t>
      </w:r>
      <w:r w:rsidRPr="001B2492" w:rsidR="00954BC8">
        <w:t>On-Site</w:t>
      </w:r>
      <w:r w:rsidRPr="001B2492">
        <w:t xml:space="preserve"> </w:t>
      </w:r>
      <w:r w:rsidRPr="001B2492" w:rsidR="00FE6A01">
        <w:t xml:space="preserve">Consultation </w:t>
      </w:r>
      <w:r w:rsidRPr="001B2492">
        <w:t xml:space="preserve">services. The employers’ requirements (i.e., providing written confirmation to the State </w:t>
      </w:r>
      <w:r w:rsidRPr="001B2492" w:rsidR="00954BC8">
        <w:t>On-Site</w:t>
      </w:r>
      <w:r w:rsidRPr="001B2492" w:rsidR="004F507E">
        <w:t xml:space="preserve"> Consultation </w:t>
      </w:r>
      <w:r w:rsidRPr="001B2492" w:rsidR="0020737B">
        <w:t>Program</w:t>
      </w:r>
      <w:r w:rsidRPr="001B2492">
        <w:t xml:space="preserve"> manager that serious hazards have been corrected, orally informing an OSHA inspector that a</w:t>
      </w:r>
      <w:r w:rsidRPr="001B2492" w:rsidR="004F507E">
        <w:t xml:space="preserve">n </w:t>
      </w:r>
      <w:r w:rsidRPr="001B2492" w:rsidR="00954BC8">
        <w:t>On-Site</w:t>
      </w:r>
      <w:r w:rsidRPr="001B2492">
        <w:t xml:space="preserve"> </w:t>
      </w:r>
      <w:r w:rsidRPr="001B2492" w:rsidR="00FE6A01">
        <w:t xml:space="preserve">Consultation </w:t>
      </w:r>
      <w:r w:rsidRPr="001B2492">
        <w:t>visit is in progress,</w:t>
      </w:r>
      <w:r w:rsidRPr="001B2492" w:rsidR="008C06FC">
        <w:t xml:space="preserve"> and</w:t>
      </w:r>
      <w:r w:rsidRPr="001B2492">
        <w:t xml:space="preserve"> posting the list of serious hazards and correction due dates) are minimal actions.</w:t>
      </w:r>
    </w:p>
    <w:p w:rsidRPr="001B2492" w:rsidR="00FA637A" w:rsidRDefault="00FA637A" w14:paraId="1DA6542E" w14:textId="77777777">
      <w:pPr>
        <w:ind w:left="720"/>
      </w:pPr>
    </w:p>
    <w:p w:rsidRPr="001B2492" w:rsidR="00FA637A" w:rsidP="006B1FC3" w:rsidRDefault="00FA637A" w14:paraId="31ABED23" w14:textId="77777777">
      <w:r w:rsidRPr="001B2492">
        <w:t>This information collection does not have a significant impact on a substantial number of small entities.</w:t>
      </w:r>
    </w:p>
    <w:p w:rsidRPr="001B2492" w:rsidR="006B1FC3" w:rsidP="006B1FC3" w:rsidRDefault="006B1FC3" w14:paraId="3041E3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2492" w:rsidR="006B1FC3" w:rsidP="006B1FC3" w:rsidRDefault="00D4479D" w14:paraId="3F7305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B2492">
        <w:t xml:space="preserve"> </w:t>
      </w:r>
      <w:r w:rsidRPr="001B2492" w:rsidR="006B1FC3">
        <w:rPr>
          <w:b/>
          <w:bCs/>
          <w:color w:val="000000"/>
        </w:rPr>
        <w:t xml:space="preserve">6.  </w:t>
      </w:r>
      <w:r w:rsidRPr="001B2492" w:rsidR="004211F2">
        <w:rPr>
          <w:b/>
          <w:bCs/>
        </w:rPr>
        <w:t xml:space="preserve">Describe the consequence to federal program or policy activities if the collection is not conducted or is conducted less frequently, as well as any technical or legal obstacles to reducing burden. </w:t>
      </w:r>
    </w:p>
    <w:p w:rsidRPr="001B2492" w:rsidR="006B1FC3" w:rsidP="006B1FC3" w:rsidRDefault="006B1FC3" w14:paraId="722B00AE" w14:textId="77777777"/>
    <w:p w:rsidRPr="001B2492" w:rsidR="00FC4BF3" w:rsidP="006B1FC3" w:rsidRDefault="00FC4BF3" w14:paraId="5B6E376B" w14:textId="77777777">
      <w:r w:rsidRPr="001B2492">
        <w:t>All activities specified</w:t>
      </w:r>
      <w:r w:rsidRPr="001B2492" w:rsidR="00882427">
        <w:t xml:space="preserve"> in this report</w:t>
      </w:r>
      <w:r w:rsidRPr="001B2492">
        <w:t xml:space="preserve"> occur as a natural function or corollary of the</w:t>
      </w:r>
      <w:r w:rsidRPr="001B2492" w:rsidR="004F507E">
        <w:t xml:space="preserve"> </w:t>
      </w:r>
      <w:r w:rsidRPr="001B2492" w:rsidR="00954BC8">
        <w:t>On-Site</w:t>
      </w:r>
      <w:r w:rsidRPr="001B2492">
        <w:t xml:space="preserve"> </w:t>
      </w:r>
      <w:r w:rsidRPr="001B2492" w:rsidR="00FE6A01">
        <w:t xml:space="preserve">Consultation </w:t>
      </w:r>
      <w:r w:rsidRPr="001B2492">
        <w:t xml:space="preserve">process. </w:t>
      </w:r>
      <w:r w:rsidRPr="001B2492" w:rsidR="004F507E">
        <w:t xml:space="preserve"> </w:t>
      </w:r>
      <w:r w:rsidRPr="001B2492">
        <w:t xml:space="preserve">None of the activities specified could be </w:t>
      </w:r>
      <w:r w:rsidRPr="001B2492" w:rsidR="002C5CC2">
        <w:t>consolidated</w:t>
      </w:r>
      <w:r w:rsidRPr="001B2492">
        <w:t xml:space="preserve"> into a single activity because each is linked to a unique consultation visit.</w:t>
      </w:r>
      <w:r w:rsidRPr="001B2492" w:rsidR="002C5CC2">
        <w:t xml:space="preserve">  </w:t>
      </w:r>
      <w:r w:rsidRPr="001B2492" w:rsidR="00814612">
        <w:t>This is</w:t>
      </w:r>
      <w:r w:rsidRPr="001B2492" w:rsidR="00E85F9F">
        <w:t xml:space="preserve"> because</w:t>
      </w:r>
      <w:r w:rsidRPr="001B2492" w:rsidR="00814612">
        <w:t xml:space="preserve"> every small business is different and disti</w:t>
      </w:r>
      <w:r w:rsidRPr="001B2492" w:rsidR="00E85F9F">
        <w:t>nct from all others.  For example, even companies</w:t>
      </w:r>
      <w:r w:rsidRPr="001B2492" w:rsidR="00814612">
        <w:t xml:space="preserve"> within the same industry regularly employ different</w:t>
      </w:r>
      <w:r w:rsidRPr="001B2492" w:rsidR="00E85F9F">
        <w:t xml:space="preserve"> work methods and processes.  Therefore, </w:t>
      </w:r>
      <w:r w:rsidRPr="001B2492" w:rsidR="00814612">
        <w:t>e</w:t>
      </w:r>
      <w:r w:rsidRPr="001B2492" w:rsidR="00571BA6">
        <w:t>very piece of information collected is important</w:t>
      </w:r>
      <w:r w:rsidRPr="001B2492" w:rsidR="00814612">
        <w:t xml:space="preserve"> for the consultant</w:t>
      </w:r>
      <w:r w:rsidRPr="001B2492" w:rsidR="00571BA6">
        <w:t xml:space="preserve"> to have because </w:t>
      </w:r>
      <w:r w:rsidRPr="001B2492" w:rsidR="00E85F9F">
        <w:t>that</w:t>
      </w:r>
      <w:r w:rsidRPr="001B2492" w:rsidR="00814612">
        <w:t xml:space="preserve"> data</w:t>
      </w:r>
      <w:r w:rsidRPr="001B2492" w:rsidR="00571BA6">
        <w:t xml:space="preserve"> </w:t>
      </w:r>
      <w:r w:rsidRPr="001B2492" w:rsidR="00814612">
        <w:t>enables t</w:t>
      </w:r>
      <w:r w:rsidRPr="001B2492" w:rsidR="00571BA6">
        <w:t xml:space="preserve">he </w:t>
      </w:r>
      <w:r w:rsidRPr="001B2492" w:rsidR="00954BC8">
        <w:t>On-Site</w:t>
      </w:r>
      <w:r w:rsidRPr="001B2492" w:rsidR="00E26637">
        <w:t xml:space="preserve"> C</w:t>
      </w:r>
      <w:r w:rsidRPr="001B2492" w:rsidR="00571BA6">
        <w:t xml:space="preserve">onsultation </w:t>
      </w:r>
      <w:r w:rsidRPr="001B2492" w:rsidR="00E26637">
        <w:t xml:space="preserve">Program </w:t>
      </w:r>
      <w:r w:rsidRPr="001B2492" w:rsidR="00E85F9F">
        <w:t>to render effective services.</w:t>
      </w:r>
      <w:r w:rsidRPr="001B2492" w:rsidR="006B1FC3">
        <w:t xml:space="preserve">  </w:t>
      </w:r>
      <w:r w:rsidRPr="001B2492">
        <w:t>See the</w:t>
      </w:r>
      <w:r w:rsidRPr="001B2492" w:rsidR="00AA6FE6">
        <w:t xml:space="preserve"> </w:t>
      </w:r>
      <w:r w:rsidRPr="001B2492">
        <w:t>answer</w:t>
      </w:r>
      <w:r w:rsidRPr="001B2492" w:rsidR="00AA6FE6">
        <w:t xml:space="preserve"> above</w:t>
      </w:r>
      <w:r w:rsidRPr="001B2492">
        <w:t xml:space="preserve"> to question 2.</w:t>
      </w:r>
    </w:p>
    <w:p w:rsidRPr="001B2492" w:rsidR="00657F2B" w:rsidRDefault="00657F2B" w14:paraId="42C6D796" w14:textId="77777777">
      <w:pPr>
        <w:rPr>
          <w:sz w:val="20"/>
          <w:szCs w:val="20"/>
        </w:rPr>
      </w:pPr>
    </w:p>
    <w:p w:rsidRPr="001B2492" w:rsidR="004211F2" w:rsidP="004211F2" w:rsidRDefault="006B1FC3" w14:paraId="430C6B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2492">
        <w:rPr>
          <w:b/>
          <w:bCs/>
          <w:color w:val="000000"/>
        </w:rPr>
        <w:t xml:space="preserve"> 7.  </w:t>
      </w:r>
      <w:r w:rsidRPr="001B2492" w:rsidR="004211F2">
        <w:rPr>
          <w:b/>
          <w:bCs/>
        </w:rPr>
        <w:t>Explain any special circumstances that would cause an information collection to be conducted in a manner:</w:t>
      </w:r>
    </w:p>
    <w:p w:rsidRPr="001B2492" w:rsidR="004211F2" w:rsidP="004211F2" w:rsidRDefault="004211F2" w14:paraId="6E1831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2492" w:rsidR="004211F2" w:rsidP="008138F3" w:rsidRDefault="004211F2" w14:paraId="29B1D7A1"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requiring respondents to report information to the agency more often than quarterly;</w:t>
      </w:r>
    </w:p>
    <w:p w:rsidRPr="001B2492" w:rsidR="004211F2" w:rsidP="004211F2" w:rsidRDefault="004211F2" w14:paraId="54E11D2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1CA4CE55"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requiring respondents to prepare a written response to a collection of information in fewer than 30 days after receipt of it;</w:t>
      </w:r>
    </w:p>
    <w:p w:rsidRPr="001B2492" w:rsidR="004211F2" w:rsidP="004211F2" w:rsidRDefault="004211F2" w14:paraId="31126E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10AA5D52"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requiring respondents to submit more than an original and two copies of any document;</w:t>
      </w:r>
    </w:p>
    <w:p w:rsidRPr="001B2492" w:rsidR="004211F2" w:rsidP="004211F2" w:rsidRDefault="004211F2" w14:paraId="2DE403A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2844D2A8"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requiring respondents to retain records, other than health, medical, government contract, grant-in-aid, or tax records for more than three years;</w:t>
      </w:r>
    </w:p>
    <w:p w:rsidRPr="001B2492" w:rsidR="004211F2" w:rsidP="004211F2" w:rsidRDefault="004211F2" w14:paraId="62431CD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6B6C121A"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in connection with a statistical survey, that is not designed to produce valid and reliable results that can be generalized to the universe of study;</w:t>
      </w:r>
    </w:p>
    <w:p w:rsidRPr="001B2492" w:rsidR="004211F2" w:rsidP="004211F2" w:rsidRDefault="004211F2" w14:paraId="49E398E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016CB78D"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requiring the use of statistical data classification that has not been reviewed and approved by OMB;</w:t>
      </w:r>
    </w:p>
    <w:p w:rsidRPr="001B2492" w:rsidR="004211F2" w:rsidP="004211F2" w:rsidRDefault="004211F2" w14:paraId="16287F2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012E8771"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B2492" w:rsidR="004211F2" w:rsidP="004211F2" w:rsidRDefault="004211F2" w14:paraId="5BE93A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4211F2" w:rsidP="008138F3" w:rsidRDefault="004211F2" w14:paraId="457A4490"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2492">
        <w:rPr>
          <w:b/>
          <w:bCs/>
        </w:rPr>
        <w:t>requiring respondents to submit proprietary trade secret, or other confidential information unless the agency can demonstrate that it has instituted procedures to protect the information's confidentially to the extent permitted by law.</w:t>
      </w:r>
    </w:p>
    <w:p w:rsidRPr="001B2492" w:rsidR="006B1FC3" w:rsidP="004211F2" w:rsidRDefault="006B1FC3" w14:paraId="384BA7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2492" w:rsidR="00FC4BF3" w:rsidP="006B1FC3" w:rsidRDefault="00FC4BF3" w14:paraId="7D31680F" w14:textId="77777777">
      <w:r w:rsidRPr="001B2492">
        <w:t>There are no special circumstances for information collection.</w:t>
      </w:r>
      <w:r w:rsidRPr="001B2492" w:rsidR="0021783A">
        <w:t xml:space="preserve">  This collection of information complies with the requirements of 5 CFR 1320.5.</w:t>
      </w:r>
    </w:p>
    <w:p w:rsidRPr="001B2492" w:rsidR="004F507E" w:rsidRDefault="004F507E" w14:paraId="34B3F2EB" w14:textId="77777777">
      <w:pPr>
        <w:rPr>
          <w:sz w:val="20"/>
          <w:szCs w:val="20"/>
        </w:rPr>
      </w:pPr>
    </w:p>
    <w:p w:rsidRPr="001B2492" w:rsidR="006B1FC3" w:rsidP="006B1FC3" w:rsidRDefault="006B1FC3" w14:paraId="4D6C616E" w14:textId="77777777">
      <w:pPr>
        <w:widowControl/>
        <w:tabs>
          <w:tab w:val="left" w:pos="-1080"/>
          <w:tab w:val="left" w:pos="-720"/>
          <w:tab w:val="left" w:pos="0"/>
          <w:tab w:val="left" w:pos="720"/>
          <w:tab w:val="left" w:pos="990"/>
          <w:tab w:val="left" w:pos="2160"/>
        </w:tabs>
        <w:rPr>
          <w:b/>
          <w:bCs/>
          <w:color w:val="000000"/>
        </w:rPr>
      </w:pPr>
      <w:r w:rsidRPr="001B2492">
        <w:rPr>
          <w:b/>
          <w:bCs/>
          <w:color w:val="000000"/>
        </w:rPr>
        <w:t xml:space="preserve"> 8.  If applicable, provide a copy and identify the date and page number of publication in the </w:t>
      </w:r>
      <w:r w:rsidRPr="001B2492">
        <w:rPr>
          <w:b/>
          <w:bCs/>
          <w:i/>
          <w:color w:val="000000"/>
        </w:rPr>
        <w:t>Federal Register</w:t>
      </w:r>
      <w:r w:rsidRPr="001B2492">
        <w:rPr>
          <w:b/>
          <w:bCs/>
          <w:color w:val="000000"/>
        </w:rPr>
        <w:t xml:space="preserve"> of the agency's notice, required by 5 CFR 1320.8(d), soliciting comments on the information collection </w:t>
      </w:r>
      <w:r w:rsidRPr="001B2492" w:rsidR="004211F2">
        <w:rPr>
          <w:b/>
          <w:bCs/>
          <w:color w:val="000000"/>
        </w:rPr>
        <w:t xml:space="preserve">prior to </w:t>
      </w:r>
      <w:r w:rsidRPr="001B2492">
        <w:rPr>
          <w:b/>
          <w:bCs/>
          <w:color w:val="000000"/>
        </w:rPr>
        <w:t>submission to OMB.  Summarize public comments received in response to that notice and describe actions taken by the agency in response to th</w:t>
      </w:r>
      <w:r w:rsidRPr="001B2492" w:rsidR="00AA1704">
        <w:rPr>
          <w:b/>
          <w:bCs/>
          <w:color w:val="000000"/>
        </w:rPr>
        <w:t>e</w:t>
      </w:r>
      <w:r w:rsidRPr="001B2492">
        <w:rPr>
          <w:b/>
          <w:bCs/>
          <w:color w:val="000000"/>
        </w:rPr>
        <w:t>se comment</w:t>
      </w:r>
      <w:r w:rsidRPr="001B2492" w:rsidR="00AA1704">
        <w:rPr>
          <w:b/>
          <w:bCs/>
          <w:color w:val="000000"/>
        </w:rPr>
        <w:t xml:space="preserve">s.  </w:t>
      </w:r>
      <w:r w:rsidRPr="001B2492">
        <w:rPr>
          <w:b/>
          <w:bCs/>
          <w:color w:val="000000"/>
        </w:rPr>
        <w:t xml:space="preserve"> </w:t>
      </w:r>
      <w:r w:rsidRPr="001B2492" w:rsidR="00AA1704">
        <w:rPr>
          <w:b/>
          <w:bCs/>
          <w:color w:val="000000"/>
        </w:rPr>
        <w:t>S</w:t>
      </w:r>
      <w:r w:rsidRPr="001B2492">
        <w:rPr>
          <w:b/>
          <w:bCs/>
          <w:color w:val="000000"/>
        </w:rPr>
        <w:t>pecifically address comments received on cost and hour burden.</w:t>
      </w:r>
    </w:p>
    <w:p w:rsidRPr="001B2492" w:rsidR="006B1FC3" w:rsidP="006B1FC3" w:rsidRDefault="006B1FC3" w14:paraId="7D34F5C7" w14:textId="77777777">
      <w:pPr>
        <w:widowControl/>
        <w:tabs>
          <w:tab w:val="left" w:pos="-1080"/>
          <w:tab w:val="left" w:pos="-720"/>
          <w:tab w:val="left" w:pos="0"/>
          <w:tab w:val="left" w:pos="720"/>
          <w:tab w:val="left" w:pos="990"/>
          <w:tab w:val="left" w:pos="2160"/>
        </w:tabs>
        <w:ind w:left="720"/>
        <w:rPr>
          <w:b/>
          <w:bCs/>
          <w:color w:val="000000"/>
        </w:rPr>
      </w:pPr>
    </w:p>
    <w:p w:rsidRPr="001B2492" w:rsidR="006B1FC3" w:rsidP="006B1FC3" w:rsidRDefault="006B1FC3" w14:paraId="06A682B7" w14:textId="77777777">
      <w:pPr>
        <w:widowControl/>
        <w:tabs>
          <w:tab w:val="left" w:pos="-1080"/>
          <w:tab w:val="left" w:pos="-720"/>
          <w:tab w:val="left" w:pos="0"/>
          <w:tab w:val="left" w:pos="720"/>
          <w:tab w:val="left" w:pos="990"/>
          <w:tab w:val="left" w:pos="2160"/>
        </w:tabs>
        <w:rPr>
          <w:b/>
          <w:bCs/>
          <w:color w:val="000000"/>
        </w:rPr>
      </w:pPr>
      <w:r w:rsidRPr="001B2492">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1B2492" w:rsidR="00AA1704">
        <w:rPr>
          <w:b/>
          <w:bCs/>
          <w:color w:val="000000"/>
        </w:rPr>
        <w:t>disclosed</w:t>
      </w:r>
      <w:r w:rsidRPr="001B2492">
        <w:rPr>
          <w:b/>
          <w:bCs/>
          <w:color w:val="000000"/>
        </w:rPr>
        <w:t>, or reported.</w:t>
      </w:r>
    </w:p>
    <w:p w:rsidRPr="001B2492" w:rsidR="006B1FC3" w:rsidP="006B1FC3" w:rsidRDefault="006B1FC3" w14:paraId="0B4020A7" w14:textId="77777777">
      <w:pPr>
        <w:widowControl/>
        <w:tabs>
          <w:tab w:val="left" w:pos="-1080"/>
          <w:tab w:val="left" w:pos="-720"/>
          <w:tab w:val="left" w:pos="0"/>
          <w:tab w:val="left" w:pos="720"/>
          <w:tab w:val="left" w:pos="990"/>
          <w:tab w:val="left" w:pos="2160"/>
        </w:tabs>
        <w:rPr>
          <w:b/>
          <w:bCs/>
          <w:color w:val="000000"/>
        </w:rPr>
      </w:pPr>
    </w:p>
    <w:p w:rsidRPr="001B2492" w:rsidR="006B1FC3" w:rsidP="006B1FC3" w:rsidRDefault="006B1FC3" w14:paraId="4371A9FB" w14:textId="77777777">
      <w:pPr>
        <w:widowControl/>
        <w:tabs>
          <w:tab w:val="left" w:pos="-1080"/>
          <w:tab w:val="left" w:pos="-720"/>
          <w:tab w:val="left" w:pos="0"/>
          <w:tab w:val="left" w:pos="720"/>
          <w:tab w:val="left" w:pos="990"/>
          <w:tab w:val="left" w:pos="2160"/>
        </w:tabs>
        <w:rPr>
          <w:b/>
          <w:bCs/>
          <w:color w:val="000000"/>
        </w:rPr>
      </w:pPr>
      <w:r w:rsidRPr="001B2492">
        <w:rPr>
          <w:b/>
          <w:bCs/>
          <w:color w:val="000000"/>
        </w:rPr>
        <w:t>Consultation with representatives of those from whom information is to be obtained or those who must compile records should occur at least once every three years -- even if the collection</w:t>
      </w:r>
      <w:r w:rsidRPr="001B2492" w:rsidR="00BF4917">
        <w:rPr>
          <w:b/>
          <w:bCs/>
          <w:color w:val="000000"/>
        </w:rPr>
        <w:t>-</w:t>
      </w:r>
      <w:r w:rsidRPr="001B2492">
        <w:rPr>
          <w:b/>
          <w:bCs/>
          <w:color w:val="000000"/>
        </w:rPr>
        <w:t>of</w:t>
      </w:r>
      <w:r w:rsidRPr="001B2492" w:rsidR="00BF4917">
        <w:rPr>
          <w:b/>
          <w:bCs/>
          <w:color w:val="000000"/>
        </w:rPr>
        <w:t>-</w:t>
      </w:r>
      <w:r w:rsidRPr="001B2492">
        <w:rPr>
          <w:b/>
          <w:bCs/>
          <w:color w:val="000000"/>
        </w:rPr>
        <w:t xml:space="preserve">information activity is the same as in prior periods.  There may be circumstances that </w:t>
      </w:r>
      <w:r w:rsidRPr="001B2492" w:rsidR="00AA1704">
        <w:rPr>
          <w:b/>
          <w:bCs/>
          <w:color w:val="000000"/>
        </w:rPr>
        <w:t>preclude</w:t>
      </w:r>
      <w:r w:rsidRPr="001B2492">
        <w:rPr>
          <w:b/>
          <w:bCs/>
          <w:color w:val="000000"/>
        </w:rPr>
        <w:t xml:space="preserve"> consultation in a specific situation.  These circumstances should be explained.</w:t>
      </w:r>
    </w:p>
    <w:p w:rsidRPr="001B2492" w:rsidR="008B763D" w:rsidP="0064626C" w:rsidRDefault="008B763D" w14:paraId="1D7B27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D367C" w:rsidP="00B13FC9" w:rsidRDefault="008440CF" w14:paraId="1C2DA548" w14:textId="062EC22C">
      <w:pPr>
        <w:widowControl/>
        <w:tabs>
          <w:tab w:val="left" w:pos="-1080"/>
          <w:tab w:val="left" w:pos="-720"/>
          <w:tab w:val="left" w:pos="0"/>
          <w:tab w:val="left" w:pos="720"/>
          <w:tab w:val="left" w:pos="990"/>
          <w:tab w:val="left" w:pos="2160"/>
        </w:tabs>
      </w:pPr>
      <w:r w:rsidRPr="001B2492">
        <w:rPr>
          <w:color w:val="000000" w:themeColor="text1"/>
        </w:rPr>
        <w:t xml:space="preserve">Pursuant to </w:t>
      </w:r>
      <w:r w:rsidRPr="001B2492" w:rsidR="006D49BA">
        <w:rPr>
          <w:color w:val="000000" w:themeColor="text1"/>
        </w:rPr>
        <w:t>the Paperwork Reduction Act of 1995 (44 U.S.C. 350</w:t>
      </w:r>
      <w:r w:rsidRPr="001B2492">
        <w:rPr>
          <w:color w:val="000000" w:themeColor="text1"/>
        </w:rPr>
        <w:t>6</w:t>
      </w:r>
      <w:r w:rsidRPr="001B2492" w:rsidR="00B13FC9">
        <w:rPr>
          <w:color w:val="000000" w:themeColor="text1"/>
        </w:rPr>
        <w:t>(</w:t>
      </w:r>
      <w:r w:rsidRPr="001B2492">
        <w:rPr>
          <w:color w:val="000000" w:themeColor="text1"/>
        </w:rPr>
        <w:t>c</w:t>
      </w:r>
      <w:r w:rsidRPr="001B2492" w:rsidR="00B13FC9">
        <w:rPr>
          <w:color w:val="000000" w:themeColor="text1"/>
        </w:rPr>
        <w:t>)</w:t>
      </w:r>
      <w:r w:rsidRPr="001B2492">
        <w:rPr>
          <w:color w:val="000000" w:themeColor="text1"/>
        </w:rPr>
        <w:t>(2)(A)</w:t>
      </w:r>
      <w:r w:rsidRPr="001B2492" w:rsidR="006D49BA">
        <w:rPr>
          <w:color w:val="000000" w:themeColor="text1"/>
        </w:rPr>
        <w:t>), OSHA</w:t>
      </w:r>
      <w:r w:rsidRPr="001B2492" w:rsidR="008B763D">
        <w:rPr>
          <w:color w:val="000000" w:themeColor="text1"/>
        </w:rPr>
        <w:t xml:space="preserve"> published</w:t>
      </w:r>
      <w:r w:rsidRPr="001B2492" w:rsidR="00F85E11">
        <w:rPr>
          <w:color w:val="000000" w:themeColor="text1"/>
        </w:rPr>
        <w:t xml:space="preserve"> </w:t>
      </w:r>
      <w:r w:rsidRPr="001B2492" w:rsidR="006D49BA">
        <w:rPr>
          <w:color w:val="000000" w:themeColor="text1"/>
        </w:rPr>
        <w:t xml:space="preserve">a notice in the </w:t>
      </w:r>
      <w:r w:rsidRPr="001B2492" w:rsidR="006D49BA">
        <w:rPr>
          <w:i/>
          <w:iCs/>
          <w:color w:val="000000" w:themeColor="text1"/>
        </w:rPr>
        <w:t>Federal Register</w:t>
      </w:r>
      <w:r w:rsidRPr="001B2492" w:rsidR="006D49BA">
        <w:rPr>
          <w:color w:val="000000" w:themeColor="text1"/>
        </w:rPr>
        <w:t xml:space="preserve"> </w:t>
      </w:r>
      <w:r w:rsidRPr="001B2492" w:rsidR="0051133B">
        <w:rPr>
          <w:color w:val="000000" w:themeColor="text1"/>
        </w:rPr>
        <w:t xml:space="preserve">on </w:t>
      </w:r>
      <w:r w:rsidR="00CD367C">
        <w:rPr>
          <w:color w:val="000000" w:themeColor="text1"/>
        </w:rPr>
        <w:t xml:space="preserve">October 20, 2021 </w:t>
      </w:r>
      <w:r w:rsidRPr="001B2492" w:rsidR="0051133B">
        <w:rPr>
          <w:color w:val="000000" w:themeColor="text1"/>
        </w:rPr>
        <w:t>(</w:t>
      </w:r>
      <w:r w:rsidR="00CD367C">
        <w:rPr>
          <w:color w:val="000000" w:themeColor="text1"/>
        </w:rPr>
        <w:t>86</w:t>
      </w:r>
      <w:r w:rsidRPr="001B2492" w:rsidR="0051133B">
        <w:rPr>
          <w:color w:val="000000" w:themeColor="text1"/>
        </w:rPr>
        <w:t xml:space="preserve"> FR </w:t>
      </w:r>
      <w:r w:rsidR="00CD367C">
        <w:rPr>
          <w:color w:val="000000" w:themeColor="text1"/>
        </w:rPr>
        <w:t>58104</w:t>
      </w:r>
      <w:r w:rsidRPr="001B2492" w:rsidR="0051133B">
        <w:rPr>
          <w:color w:val="000000" w:themeColor="text1"/>
        </w:rPr>
        <w:t xml:space="preserve">) </w:t>
      </w:r>
      <w:r w:rsidRPr="001B2492">
        <w:rPr>
          <w:color w:val="000000" w:themeColor="text1"/>
        </w:rPr>
        <w:t>soliciting</w:t>
      </w:r>
      <w:r w:rsidRPr="001B2492" w:rsidR="006D49BA">
        <w:rPr>
          <w:color w:val="000000" w:themeColor="text1"/>
        </w:rPr>
        <w:t xml:space="preserve"> </w:t>
      </w:r>
      <w:r w:rsidRPr="001B2492" w:rsidR="00F85E11">
        <w:rPr>
          <w:color w:val="000000" w:themeColor="text1"/>
        </w:rPr>
        <w:t xml:space="preserve">public </w:t>
      </w:r>
      <w:r w:rsidRPr="001B2492" w:rsidR="006D49BA">
        <w:rPr>
          <w:color w:val="000000" w:themeColor="text1"/>
        </w:rPr>
        <w:t>comment</w:t>
      </w:r>
      <w:r w:rsidRPr="001B2492" w:rsidR="002326EF">
        <w:rPr>
          <w:color w:val="000000" w:themeColor="text1"/>
        </w:rPr>
        <w:t>s</w:t>
      </w:r>
      <w:r w:rsidRPr="001B2492" w:rsidR="006D49BA">
        <w:rPr>
          <w:color w:val="000000" w:themeColor="text1"/>
        </w:rPr>
        <w:t xml:space="preserve"> on its propos</w:t>
      </w:r>
      <w:r w:rsidRPr="001B2492">
        <w:rPr>
          <w:color w:val="000000" w:themeColor="text1"/>
        </w:rPr>
        <w:t>al</w:t>
      </w:r>
      <w:r w:rsidRPr="001B2492" w:rsidR="006D49BA">
        <w:rPr>
          <w:color w:val="000000" w:themeColor="text1"/>
        </w:rPr>
        <w:t xml:space="preserve"> </w:t>
      </w:r>
      <w:r w:rsidRPr="001B2492" w:rsidR="008B763D">
        <w:rPr>
          <w:color w:val="000000" w:themeColor="text1"/>
        </w:rPr>
        <w:t xml:space="preserve">to </w:t>
      </w:r>
      <w:r w:rsidRPr="001B2492" w:rsidR="006D49BA">
        <w:rPr>
          <w:color w:val="000000" w:themeColor="text1"/>
        </w:rPr>
        <w:t>exten</w:t>
      </w:r>
      <w:r w:rsidRPr="001B2492">
        <w:rPr>
          <w:color w:val="000000" w:themeColor="text1"/>
        </w:rPr>
        <w:t>d</w:t>
      </w:r>
      <w:r w:rsidRPr="001B2492" w:rsidR="006D49BA">
        <w:rPr>
          <w:color w:val="000000" w:themeColor="text1"/>
        </w:rPr>
        <w:t xml:space="preserve"> </w:t>
      </w:r>
      <w:r w:rsidRPr="001B2492" w:rsidR="00F85E11">
        <w:rPr>
          <w:color w:val="000000" w:themeColor="text1"/>
        </w:rPr>
        <w:t xml:space="preserve">OMB </w:t>
      </w:r>
      <w:r w:rsidRPr="001B2492">
        <w:rPr>
          <w:color w:val="000000" w:themeColor="text1"/>
        </w:rPr>
        <w:t xml:space="preserve">approval of </w:t>
      </w:r>
      <w:r w:rsidRPr="001B2492" w:rsidR="006D49BA">
        <w:rPr>
          <w:color w:val="000000" w:themeColor="text1"/>
        </w:rPr>
        <w:t xml:space="preserve">the </w:t>
      </w:r>
      <w:r w:rsidRPr="001B2492" w:rsidR="005900A1">
        <w:rPr>
          <w:color w:val="000000" w:themeColor="text1"/>
        </w:rPr>
        <w:t xml:space="preserve">information collection </w:t>
      </w:r>
      <w:r w:rsidRPr="001B2492" w:rsidR="006D49BA">
        <w:rPr>
          <w:color w:val="000000" w:themeColor="text1"/>
        </w:rPr>
        <w:t>requirements</w:t>
      </w:r>
      <w:r w:rsidRPr="001B2492" w:rsidR="002326EF">
        <w:t xml:space="preserve"> specified by the </w:t>
      </w:r>
      <w:r w:rsidRPr="001B2492" w:rsidR="00691327">
        <w:t>regulation</w:t>
      </w:r>
      <w:r w:rsidRPr="001B2492" w:rsidR="002326EF">
        <w:t xml:space="preserve"> on </w:t>
      </w:r>
      <w:r w:rsidRPr="001B2492" w:rsidR="006B1FC3">
        <w:t>On</w:t>
      </w:r>
      <w:r w:rsidRPr="001B2492" w:rsidR="00FE6A01">
        <w:t>-</w:t>
      </w:r>
      <w:r w:rsidRPr="001B2492" w:rsidR="6076160F">
        <w:t>S</w:t>
      </w:r>
      <w:r w:rsidRPr="001B2492" w:rsidR="006B1FC3">
        <w:t>ite Consultation Agreements</w:t>
      </w:r>
      <w:r w:rsidRPr="001B2492" w:rsidR="006D49BA">
        <w:t xml:space="preserve"> (29 CFR </w:t>
      </w:r>
      <w:r w:rsidRPr="001B2492" w:rsidR="006B1FC3">
        <w:t>part 1908</w:t>
      </w:r>
      <w:r w:rsidRPr="001B2492" w:rsidR="006D49BA">
        <w:t>)</w:t>
      </w:r>
      <w:r w:rsidRPr="001B2492" w:rsidR="00691327">
        <w:t xml:space="preserve"> </w:t>
      </w:r>
      <w:r w:rsidRPr="001B2492" w:rsidR="00D66613">
        <w:t>(Docket number OSHA-2011-0125)</w:t>
      </w:r>
      <w:r w:rsidRPr="001B2492" w:rsidR="006D49BA">
        <w:t xml:space="preserve">.  </w:t>
      </w:r>
      <w:r w:rsidRPr="001B2492" w:rsidR="008B763D">
        <w:rPr>
          <w:color w:val="000000" w:themeColor="text1"/>
        </w:rPr>
        <w:t>T</w:t>
      </w:r>
      <w:r w:rsidRPr="001B2492" w:rsidR="008B763D">
        <w:t xml:space="preserve">his notice </w:t>
      </w:r>
      <w:r w:rsidRPr="001B2492" w:rsidR="005900A1">
        <w:t xml:space="preserve">is </w:t>
      </w:r>
      <w:r w:rsidRPr="001B2492" w:rsidR="008B763D">
        <w:t xml:space="preserve">part of a preclearance consultation program intended to provide those interested parties the opportunity to comment on OSHA’s request for an extension by the Office of Management and Budget (OMB) of a previous approval of the </w:t>
      </w:r>
      <w:r w:rsidRPr="001B2492" w:rsidR="005900A1">
        <w:t xml:space="preserve">information collection </w:t>
      </w:r>
      <w:r w:rsidRPr="001B2492" w:rsidR="008B763D">
        <w:t xml:space="preserve">requirements of 29 CFR part 1908.  </w:t>
      </w:r>
      <w:r w:rsidR="00A03EB6">
        <w:t>The Agency did not receive any comments in response to this notice.</w:t>
      </w:r>
    </w:p>
    <w:p w:rsidR="00CD367C" w:rsidP="00B13FC9" w:rsidRDefault="00CD367C" w14:paraId="7EF80E97" w14:textId="77777777">
      <w:pPr>
        <w:widowControl/>
        <w:tabs>
          <w:tab w:val="left" w:pos="-1080"/>
          <w:tab w:val="left" w:pos="-720"/>
          <w:tab w:val="left" w:pos="0"/>
          <w:tab w:val="left" w:pos="720"/>
          <w:tab w:val="left" w:pos="990"/>
          <w:tab w:val="left" w:pos="2160"/>
        </w:tabs>
      </w:pPr>
    </w:p>
    <w:p w:rsidRPr="001B2492" w:rsidR="00B13FC9" w:rsidP="00B13FC9" w:rsidRDefault="00B13FC9" w14:paraId="1CAD6CA3" w14:textId="1FCC62D3">
      <w:pPr>
        <w:widowControl/>
        <w:tabs>
          <w:tab w:val="left" w:pos="-1080"/>
          <w:tab w:val="left" w:pos="-720"/>
          <w:tab w:val="left" w:pos="0"/>
          <w:tab w:val="left" w:pos="720"/>
          <w:tab w:val="left" w:pos="990"/>
          <w:tab w:val="left" w:pos="2160"/>
        </w:tabs>
        <w:rPr>
          <w:color w:val="000000"/>
        </w:rPr>
      </w:pPr>
      <w:r w:rsidRPr="001B2492">
        <w:rPr>
          <w:b/>
          <w:bCs/>
          <w:color w:val="000000"/>
        </w:rPr>
        <w:t xml:space="preserve"> 9.  Explain any decision to provide any payments or gift to respondents, other than </w:t>
      </w:r>
      <w:r w:rsidRPr="001B2492" w:rsidR="005900A1">
        <w:rPr>
          <w:b/>
          <w:bCs/>
          <w:color w:val="000000"/>
        </w:rPr>
        <w:t xml:space="preserve">remuneration </w:t>
      </w:r>
      <w:r w:rsidRPr="001B2492">
        <w:rPr>
          <w:b/>
          <w:bCs/>
          <w:color w:val="000000"/>
        </w:rPr>
        <w:t>of contractors or grantees.</w:t>
      </w:r>
    </w:p>
    <w:p w:rsidRPr="001B2492" w:rsidR="00B13FC9" w:rsidRDefault="00B13FC9" w14:paraId="06971CD3" w14:textId="77777777">
      <w:pPr>
        <w:ind w:firstLine="720"/>
      </w:pPr>
    </w:p>
    <w:p w:rsidRPr="001B2492" w:rsidR="00FC4BF3" w:rsidP="00B13FC9" w:rsidRDefault="00FC4BF3" w14:paraId="57B6900F" w14:textId="77777777">
      <w:r w:rsidRPr="001B2492">
        <w:t>No payments were</w:t>
      </w:r>
      <w:r w:rsidRPr="001B2492" w:rsidR="00AA6FE6">
        <w:t xml:space="preserve"> or will be</w:t>
      </w:r>
      <w:r w:rsidRPr="001B2492">
        <w:t xml:space="preserve"> made relative to this request.</w:t>
      </w:r>
    </w:p>
    <w:p w:rsidRPr="001B2492" w:rsidR="00657F2B" w:rsidRDefault="00657F2B" w14:paraId="2A1F701D" w14:textId="77777777"/>
    <w:p w:rsidRPr="001B2492" w:rsidR="00B13FC9" w:rsidP="00B13FC9" w:rsidRDefault="00B13FC9" w14:paraId="3DAAF4B6" w14:textId="77777777">
      <w:pPr>
        <w:widowControl/>
        <w:tabs>
          <w:tab w:val="left" w:pos="-1080"/>
          <w:tab w:val="left" w:pos="-720"/>
          <w:tab w:val="left" w:pos="0"/>
          <w:tab w:val="left" w:pos="720"/>
          <w:tab w:val="left" w:pos="990"/>
          <w:tab w:val="left" w:pos="2160"/>
        </w:tabs>
        <w:rPr>
          <w:color w:val="000000"/>
        </w:rPr>
      </w:pPr>
      <w:r w:rsidRPr="001B2492">
        <w:rPr>
          <w:b/>
          <w:bCs/>
          <w:color w:val="000000"/>
        </w:rPr>
        <w:t>10.  Describe any assurance of confidentiality provided to respondents and the basis for the assurance in statute, regulation, or agency policy.</w:t>
      </w:r>
    </w:p>
    <w:p w:rsidRPr="001B2492" w:rsidR="00FC4BF3" w:rsidRDefault="00FC4BF3" w14:paraId="03EFCA41" w14:textId="77777777">
      <w:pPr>
        <w:rPr>
          <w:sz w:val="20"/>
          <w:szCs w:val="20"/>
          <w:u w:val="single"/>
        </w:rPr>
      </w:pPr>
      <w:bookmarkStart w:name="_GoBack" w:id="2"/>
      <w:bookmarkEnd w:id="2"/>
    </w:p>
    <w:p w:rsidRPr="001B2492" w:rsidR="00FC4BF3" w:rsidP="00B13FC9" w:rsidRDefault="00FC4BF3" w14:paraId="08C39D86" w14:textId="77777777">
      <w:r w:rsidRPr="001B2492">
        <w:t xml:space="preserve">The primary respondents in this information collection activity are the State </w:t>
      </w:r>
      <w:r w:rsidRPr="001B2492" w:rsidR="00954BC8">
        <w:t>On-Site</w:t>
      </w:r>
      <w:r w:rsidRPr="001B2492" w:rsidR="00B63C63">
        <w:t xml:space="preserve"> Consultation </w:t>
      </w:r>
      <w:r w:rsidRPr="001B2492" w:rsidR="0020737B">
        <w:t>Program</w:t>
      </w:r>
      <w:r w:rsidRPr="001B2492">
        <w:t>s, which do not require</w:t>
      </w:r>
      <w:r w:rsidRPr="001B2492" w:rsidR="00AA6FE6">
        <w:t xml:space="preserve"> and do not receive</w:t>
      </w:r>
      <w:r w:rsidRPr="001B2492">
        <w:t xml:space="preserve"> assurance</w:t>
      </w:r>
      <w:r w:rsidRPr="001B2492" w:rsidR="00AA6FE6">
        <w:t>s</w:t>
      </w:r>
      <w:r w:rsidRPr="001B2492">
        <w:t xml:space="preserve"> of confidentiality.</w:t>
      </w:r>
    </w:p>
    <w:p w:rsidRPr="001B2492" w:rsidR="00FC4BF3" w:rsidRDefault="00FC4BF3" w14:paraId="5F96A722" w14:textId="77777777"/>
    <w:p w:rsidRPr="001B2492" w:rsidR="00FC4BF3" w:rsidP="00B13FC9" w:rsidRDefault="00FC4BF3" w14:paraId="481AD5D7" w14:textId="77777777">
      <w:r w:rsidRPr="001B2492">
        <w:t>Employer safeguards extend to preserving the confidentiality of the identity of employers receiving</w:t>
      </w:r>
      <w:r w:rsidRPr="001B2492" w:rsidR="00A25D85">
        <w:t xml:space="preserve"> </w:t>
      </w:r>
      <w:r w:rsidRPr="001B2492" w:rsidR="00954BC8">
        <w:t>On-Site</w:t>
      </w:r>
      <w:r w:rsidRPr="001B2492">
        <w:t xml:space="preserve"> </w:t>
      </w:r>
      <w:r w:rsidRPr="001B2492" w:rsidR="00FE6A01">
        <w:t xml:space="preserve">Consultation </w:t>
      </w:r>
      <w:r w:rsidRPr="001B2492" w:rsidR="00A25D85">
        <w:t>services</w:t>
      </w:r>
      <w:r w:rsidRPr="001B2492">
        <w:t xml:space="preserve">. </w:t>
      </w:r>
      <w:r w:rsidRPr="001B2492" w:rsidR="00A25D85">
        <w:t>Specifically, t</w:t>
      </w:r>
      <w:r w:rsidRPr="001B2492">
        <w:t xml:space="preserve">he employer's name or establishment is not revealed to OSHA routinely for use in any enforcement action, as stipulated in </w:t>
      </w:r>
      <w:r w:rsidRPr="001B2492" w:rsidR="001A263F">
        <w:t>1908.7(a)(3)</w:t>
      </w:r>
      <w:r w:rsidRPr="001B2492">
        <w:t xml:space="preserve">.  </w:t>
      </w:r>
      <w:r w:rsidRPr="001B2492" w:rsidR="00A25D85">
        <w:t>Also, 1908.6(h)(1)</w:t>
      </w:r>
      <w:r w:rsidRPr="001B2492">
        <w:t xml:space="preserve"> require</w:t>
      </w:r>
      <w:r w:rsidRPr="001B2492" w:rsidR="00A25D85">
        <w:t>s</w:t>
      </w:r>
      <w:r w:rsidRPr="001B2492">
        <w:t xml:space="preserve"> that consultants preserve the confidentiality of information obtained as a result of a</w:t>
      </w:r>
      <w:r w:rsidRPr="001B2492" w:rsidR="009C11D5">
        <w:t>ny</w:t>
      </w:r>
      <w:r w:rsidRPr="001B2492">
        <w:t xml:space="preserve"> consultative visit which contains or might reveal</w:t>
      </w:r>
      <w:r w:rsidRPr="001B2492" w:rsidR="00A53B62">
        <w:t xml:space="preserve"> a trade secret of the employer.</w:t>
      </w:r>
    </w:p>
    <w:p w:rsidRPr="001B2492" w:rsidR="00657F2B" w:rsidRDefault="00657F2B" w14:paraId="5B95CD12" w14:textId="77777777"/>
    <w:p w:rsidRPr="001B2492" w:rsidR="00B13FC9" w:rsidP="00B13FC9" w:rsidRDefault="00B13FC9" w14:paraId="53F45C87" w14:textId="77777777">
      <w:pPr>
        <w:widowControl/>
        <w:tabs>
          <w:tab w:val="left" w:pos="-1080"/>
          <w:tab w:val="left" w:pos="-720"/>
          <w:tab w:val="left" w:pos="0"/>
          <w:tab w:val="left" w:pos="720"/>
          <w:tab w:val="left" w:pos="990"/>
          <w:tab w:val="left" w:pos="2160"/>
        </w:tabs>
        <w:rPr>
          <w:color w:val="000000"/>
        </w:rPr>
      </w:pPr>
      <w:r w:rsidRPr="001B2492">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B2492" w:rsidR="009C11D5" w:rsidRDefault="009C11D5" w14:paraId="5220BBB2" w14:textId="77777777">
      <w:pPr>
        <w:ind w:left="720"/>
      </w:pPr>
    </w:p>
    <w:p w:rsidRPr="001B2492" w:rsidR="00FC4BF3" w:rsidP="00B13FC9" w:rsidRDefault="00FC4BF3" w14:paraId="5D2C09E0" w14:textId="77777777">
      <w:r w:rsidRPr="001B2492">
        <w:t>No questions of a sensitive nature, such as sexual behavior and attitudes, religious beliefs, and other matters that are commonly considered private are associated with the regulations for</w:t>
      </w:r>
      <w:r w:rsidRPr="001B2492" w:rsidR="00B63C63">
        <w:t xml:space="preserve"> </w:t>
      </w:r>
      <w:r w:rsidRPr="001B2492" w:rsidR="00954BC8">
        <w:t>On-Site</w:t>
      </w:r>
      <w:r w:rsidRPr="001B2492">
        <w:t xml:space="preserve"> </w:t>
      </w:r>
      <w:r w:rsidRPr="001B2492" w:rsidR="00FE6A01">
        <w:t xml:space="preserve">Consultation </w:t>
      </w:r>
      <w:r w:rsidRPr="001B2492">
        <w:t>agreements.</w:t>
      </w:r>
    </w:p>
    <w:p w:rsidRPr="001B2492" w:rsidR="00657F2B" w:rsidRDefault="00657F2B" w14:paraId="13CB595B" w14:textId="77777777">
      <w:pPr>
        <w:ind w:left="720"/>
      </w:pPr>
    </w:p>
    <w:p w:rsidRPr="001B2492" w:rsidR="00B13FC9" w:rsidP="00B13FC9" w:rsidRDefault="00B13FC9" w14:paraId="1129311F" w14:textId="77777777">
      <w:pPr>
        <w:widowControl/>
        <w:tabs>
          <w:tab w:val="left" w:pos="-1080"/>
          <w:tab w:val="left" w:pos="-720"/>
          <w:tab w:val="left" w:pos="0"/>
          <w:tab w:val="left" w:pos="720"/>
          <w:tab w:val="left" w:pos="990"/>
          <w:tab w:val="left" w:pos="2160"/>
        </w:tabs>
        <w:rPr>
          <w:b/>
          <w:bCs/>
          <w:color w:val="000000"/>
        </w:rPr>
      </w:pPr>
      <w:r w:rsidRPr="001B2492">
        <w:rPr>
          <w:b/>
          <w:bCs/>
          <w:color w:val="000000"/>
        </w:rPr>
        <w:t>12.  Provide estimates of the hour burden of the collection of information.  The statement should:</w:t>
      </w:r>
    </w:p>
    <w:p w:rsidRPr="001B2492" w:rsidR="00BF4917" w:rsidP="00BF4917" w:rsidRDefault="00B13FC9" w14:paraId="100C5B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1B2492">
        <w:rPr>
          <w:b/>
          <w:bCs/>
          <w:color w:val="000000"/>
        </w:rPr>
        <w:t xml:space="preserve"> </w:t>
      </w:r>
    </w:p>
    <w:p w:rsidRPr="001B2492" w:rsidR="00BF4917" w:rsidP="008138F3" w:rsidRDefault="00BF4917" w14:paraId="62FC8682" w14:textId="77777777">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1B249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1B2492" w:rsidR="00BF4917" w:rsidP="00BF4917" w:rsidRDefault="00BF4917" w14:paraId="6D9C8D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1B2492" w:rsidR="00BF4917" w:rsidP="008138F3" w:rsidRDefault="00BF4917" w14:paraId="657F4AB1" w14:textId="77777777">
      <w:pPr>
        <w:widowControl/>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rPr>
        <w:t xml:space="preserve">If this </w:t>
      </w:r>
      <w:r w:rsidRPr="001B2492">
        <w:rPr>
          <w:b/>
          <w:bCs/>
        </w:rPr>
        <w:t>request for approval covers more than one form, provide separate hour burden estimates for each form.</w:t>
      </w:r>
    </w:p>
    <w:p w:rsidRPr="001B2492" w:rsidR="00BF4917" w:rsidP="00BF4917" w:rsidRDefault="00BF4917" w14:paraId="675E05EE" w14:textId="77777777">
      <w:pPr>
        <w:ind w:left="720"/>
        <w:rPr>
          <w:rFonts w:ascii="Courier 12cpi" w:hAnsi="Courier 12cpi"/>
        </w:rPr>
      </w:pPr>
    </w:p>
    <w:p w:rsidRPr="001B2492" w:rsidR="00BF4917" w:rsidP="008138F3" w:rsidRDefault="00BF4917" w14:paraId="7E4AA83F" w14:textId="77777777">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1B249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1B2492">
        <w:rPr>
          <w:b/>
          <w:bCs/>
          <w:color w:val="000000"/>
        </w:rPr>
        <w:t xml:space="preserve"> </w:t>
      </w:r>
    </w:p>
    <w:p w:rsidRPr="001B2492" w:rsidR="00B13FC9" w:rsidP="00B6448B" w:rsidRDefault="00B13FC9" w14:paraId="2FC17F8B" w14:textId="77777777">
      <w:pPr>
        <w:pStyle w:val="Level1"/>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1B2492" w:rsidR="00EF6B82" w:rsidP="00EF6B82" w:rsidRDefault="00EF6B82" w14:paraId="0A4F7224" w14:textId="77777777">
      <w:pPr>
        <w:widowControl/>
        <w:rPr>
          <w:b/>
          <w:smallCaps/>
        </w:rPr>
      </w:pPr>
    </w:p>
    <w:p w:rsidRPr="001B2492" w:rsidR="00EF6B82" w:rsidP="00EF6B82" w:rsidRDefault="00EF6B82" w14:paraId="12659E1A" w14:textId="77777777">
      <w:pPr>
        <w:widowControl/>
        <w:rPr>
          <w:szCs w:val="22"/>
        </w:rPr>
      </w:pPr>
      <w:r w:rsidRPr="001B2492">
        <w:rPr>
          <w:b/>
          <w:smallCaps/>
        </w:rPr>
        <w:t>Respondent Burden Hour and Cost Burden Determinations</w:t>
      </w:r>
    </w:p>
    <w:p w:rsidRPr="001B2492" w:rsidR="00B13FC9" w:rsidP="00B13FC9" w:rsidRDefault="00B13FC9" w14:paraId="5AE48A43"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B2492" w:rsidR="00455BD0" w:rsidP="00455BD0" w:rsidRDefault="00EF6B82" w14:paraId="1013CE72" w14:textId="556121AA">
      <w:r w:rsidRPr="001B2492">
        <w:t>Wage Rate Determinations</w:t>
      </w:r>
      <w:r w:rsidRPr="001B2492" w:rsidR="00A85679">
        <w:rPr>
          <w:rStyle w:val="FootnoteReference"/>
          <w:vertAlign w:val="superscript"/>
        </w:rPr>
        <w:footnoteReference w:id="2"/>
      </w:r>
    </w:p>
    <w:p w:rsidRPr="001B2492" w:rsidR="002022B7" w:rsidP="002022B7" w:rsidRDefault="002022B7" w14:paraId="50F40DEB" w14:textId="77777777"/>
    <w:p w:rsidRPr="001B2492" w:rsidR="002022B7" w:rsidP="002022B7" w:rsidRDefault="002022B7" w14:paraId="1D35E06C" w14:textId="77777777">
      <w:pPr>
        <w:widowControl/>
        <w:autoSpaceDE/>
        <w:autoSpaceDN/>
        <w:adjustRightInd/>
        <w:rPr>
          <w:rFonts w:eastAsia="Calibri"/>
        </w:rPr>
      </w:pPr>
      <w:r w:rsidRPr="001B2492">
        <w:t xml:space="preserve">The Agency determined the wage rate from mean hourly wage earnings to represent the cost of employee time.  For the relevant standard occupational classification category, OSHA </w:t>
      </w:r>
      <w:r w:rsidRPr="001B2492">
        <w:rPr>
          <w:rFonts w:eastAsia="Calibri"/>
        </w:rPr>
        <w:t xml:space="preserve">used the wage rates reported in the Bureau of Labor Statistics, U.S. Department of Labor, </w:t>
      </w:r>
      <w:r w:rsidRPr="001B2492">
        <w:rPr>
          <w:rFonts w:eastAsia="Calibri"/>
          <w:i/>
        </w:rPr>
        <w:t>Occupational Employment and Wage Statistics</w:t>
      </w:r>
      <w:r w:rsidRPr="001B2492">
        <w:rPr>
          <w:rFonts w:eastAsia="Calibri"/>
        </w:rPr>
        <w:t xml:space="preserve"> (OEWS), May 2020 [date accessed: May 3, 2021)].</w:t>
      </w:r>
      <w:r w:rsidRPr="001B2492">
        <w:rPr>
          <w:rFonts w:eastAsia="Calibri"/>
          <w:color w:val="1F497D"/>
        </w:rPr>
        <w:t xml:space="preserve"> </w:t>
      </w:r>
      <w:r w:rsidRPr="001B2492">
        <w:rPr>
          <w:rFonts w:eastAsia="Calibri"/>
        </w:rPr>
        <w:t xml:space="preserve"> </w:t>
      </w:r>
      <w:r w:rsidRPr="001B2492">
        <w:t xml:space="preserve">(OES data is available at: </w:t>
      </w:r>
      <w:hyperlink w:history="1" r:id="rId12">
        <w:r w:rsidRPr="001B2492">
          <w:rPr>
            <w:color w:val="0000FF"/>
            <w:u w:val="single"/>
          </w:rPr>
          <w:t>https://www.bls.gov/oes/tables.htm</w:t>
        </w:r>
      </w:hyperlink>
      <w:r w:rsidRPr="001B2492">
        <w:rPr>
          <w:rFonts w:eastAsia="Calibri"/>
          <w:color w:val="1F497D"/>
        </w:rPr>
        <w:t xml:space="preserve">). </w:t>
      </w:r>
      <w:r w:rsidRPr="001B2492">
        <w:rPr>
          <w:rFonts w:eastAsia="Calibri"/>
        </w:rPr>
        <w:t>To access these wage rates, select the year, “National,” and the Standard Occupational Classification (SOC) code.)</w:t>
      </w:r>
    </w:p>
    <w:p w:rsidRPr="001B2492" w:rsidR="002022B7" w:rsidP="002022B7" w:rsidRDefault="002022B7" w14:paraId="77A52294" w14:textId="77777777">
      <w:pPr>
        <w:rPr>
          <w:color w:val="1F497D"/>
        </w:rPr>
      </w:pPr>
    </w:p>
    <w:p w:rsidRPr="001B2492" w:rsidR="002022B7" w:rsidP="0036697D" w:rsidRDefault="64843DEE" w14:paraId="3DC5E128" w14:textId="77777777">
      <w:pPr>
        <w:widowControl/>
      </w:pPr>
      <w:r w:rsidRPr="001B2492">
        <w:rPr>
          <w:color w:val="000000" w:themeColor="text1"/>
        </w:rPr>
        <w:t xml:space="preserve">To derive the loaded hourly wage rate presented in the table below, the agency used data from the Bureau of Labor Statistics’ (BLS) </w:t>
      </w:r>
      <w:r w:rsidRPr="001B2492">
        <w:rPr>
          <w:i/>
          <w:iCs/>
          <w:color w:val="000000" w:themeColor="text1"/>
        </w:rPr>
        <w:t>Occupational Employment Statistics (OES</w:t>
      </w:r>
      <w:r w:rsidRPr="001B2492">
        <w:rPr>
          <w:color w:val="000000" w:themeColor="text1"/>
        </w:rPr>
        <w:t xml:space="preserve">), as described in the paragraph above.  Then, the agency applied to the wage rates a fringe benefit markup based on data found in Table 2 of the following BLS release: </w:t>
      </w:r>
      <w:r w:rsidRPr="001B2492">
        <w:rPr>
          <w:i/>
          <w:iCs/>
          <w:color w:val="000000" w:themeColor="text1"/>
        </w:rPr>
        <w:t>Employer Costs for Employee Compensation</w:t>
      </w:r>
      <w:r w:rsidRPr="001B2492" w:rsidR="60AECDAC">
        <w:rPr>
          <w:i/>
          <w:iCs/>
          <w:color w:val="000000" w:themeColor="text1"/>
        </w:rPr>
        <w:t>,</w:t>
      </w:r>
      <w:r w:rsidRPr="001B2492">
        <w:rPr>
          <w:i/>
          <w:iCs/>
          <w:color w:val="000000" w:themeColor="text1"/>
        </w:rPr>
        <w:t xml:space="preserve"> </w:t>
      </w:r>
      <w:r w:rsidRPr="001B2492">
        <w:rPr>
          <w:color w:val="000000" w:themeColor="text1"/>
        </w:rPr>
        <w:t xml:space="preserve">news release text, released 10:00 AM (EDT), </w:t>
      </w:r>
      <w:r w:rsidRPr="001B2492" w:rsidR="4383309A">
        <w:rPr>
          <w:color w:val="000000" w:themeColor="text1"/>
        </w:rPr>
        <w:t xml:space="preserve">March 18, 2021 </w:t>
      </w:r>
      <w:r w:rsidRPr="001B2492">
        <w:rPr>
          <w:color w:val="000000" w:themeColor="text1"/>
        </w:rPr>
        <w:t>(</w:t>
      </w:r>
      <w:hyperlink r:id="rId13">
        <w:r w:rsidRPr="001B2492" w:rsidR="60AECDAC">
          <w:rPr>
            <w:rStyle w:val="Hyperlink"/>
          </w:rPr>
          <w:t>https://www.bls.gov/news.release/archives/ecec_03182021.htm</w:t>
        </w:r>
      </w:hyperlink>
      <w:r w:rsidRPr="001B2492">
        <w:rPr>
          <w:color w:val="000000" w:themeColor="text1"/>
        </w:rPr>
        <w:t>).</w:t>
      </w:r>
      <w:r w:rsidRPr="001B2492">
        <w:rPr>
          <w:i/>
          <w:iCs/>
          <w:color w:val="000000" w:themeColor="text1"/>
        </w:rPr>
        <w:t xml:space="preserve"> </w:t>
      </w:r>
      <w:r w:rsidRPr="001B2492">
        <w:rPr>
          <w:color w:val="000000" w:themeColor="text1"/>
        </w:rPr>
        <w:t>BLS reported that for civilian workers, fringe benefits accounted for 31.</w:t>
      </w:r>
      <w:r w:rsidRPr="001B2492" w:rsidR="4383309A">
        <w:rPr>
          <w:color w:val="000000" w:themeColor="text1"/>
        </w:rPr>
        <w:t>3</w:t>
      </w:r>
      <w:r w:rsidRPr="001B2492">
        <w:rPr>
          <w:color w:val="000000" w:themeColor="text1"/>
        </w:rPr>
        <w:t xml:space="preserve"> percent of total compensation and wages accounted for the remaining 68.</w:t>
      </w:r>
      <w:r w:rsidRPr="001B2492" w:rsidR="4383309A">
        <w:rPr>
          <w:color w:val="000000" w:themeColor="text1"/>
        </w:rPr>
        <w:t>7</w:t>
      </w:r>
      <w:r w:rsidRPr="001B2492">
        <w:rPr>
          <w:color w:val="000000" w:themeColor="text1"/>
        </w:rPr>
        <w:t xml:space="preserve"> percent. </w:t>
      </w:r>
      <w:r w:rsidRPr="001B2492" w:rsidR="60AECDAC">
        <w:rPr>
          <w:color w:val="000000" w:themeColor="text1"/>
        </w:rPr>
        <w:t xml:space="preserve">  In addition, </w:t>
      </w:r>
      <w:r w:rsidRPr="001B2492" w:rsidR="4383309A">
        <w:rPr>
          <w:color w:val="000000" w:themeColor="text1"/>
        </w:rPr>
        <w:t>Table 3 of the same news release indicates that for state and local government workers, fringe benefits accounted for 38.1 percent of total compensation and wages accounted for the remaining 61.9 percent.</w:t>
      </w:r>
      <w:r w:rsidRPr="001B2492">
        <w:rPr>
          <w:color w:val="000000" w:themeColor="text1"/>
        </w:rPr>
        <w:t xml:space="preserve"> To calculate the loaded hourly wage for each occupation, the agency divided the mean hourly wage rate by 1 minus the fringe benefits. </w:t>
      </w:r>
    </w:p>
    <w:p w:rsidRPr="001B2492" w:rsidR="002022B7" w:rsidP="002022B7" w:rsidRDefault="002022B7" w14:paraId="007DCDA8" w14:textId="77777777">
      <w:pPr>
        <w:widowControl/>
        <w:rPr>
          <w:b/>
          <w:bCs/>
          <w:smallCaps/>
        </w:rPr>
      </w:pPr>
    </w:p>
    <w:p w:rsidRPr="001B2492" w:rsidR="00EF6B82" w:rsidP="00455BD0" w:rsidRDefault="00EF6B82" w14:paraId="450EA2D7" w14:textId="77777777"/>
    <w:p w:rsidRPr="001B2492" w:rsidR="001946D3" w:rsidRDefault="001946D3" w14:paraId="3DD355C9" w14:textId="77777777">
      <w:r w:rsidRPr="001B2492">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46"/>
      </w:tblGrid>
      <w:tr w:rsidRPr="001B2492" w:rsidR="00455BD0" w:rsidTr="001946D3" w14:paraId="3F00AE9F" w14:textId="77777777">
        <w:trPr>
          <w:jc w:val="center"/>
        </w:trPr>
        <w:tc>
          <w:tcPr>
            <w:tcW w:w="8246" w:type="dxa"/>
            <w:tcBorders>
              <w:top w:val="nil"/>
              <w:left w:val="nil"/>
              <w:bottom w:val="single" w:color="auto" w:sz="4" w:space="0"/>
              <w:right w:val="nil"/>
            </w:tcBorders>
          </w:tcPr>
          <w:p w:rsidRPr="001B2492" w:rsidR="00455BD0" w:rsidP="006B7C45" w:rsidRDefault="00455BD0" w14:paraId="1A81F0B1" w14:textId="77777777">
            <w:pPr>
              <w:widowControl/>
              <w:tabs>
                <w:tab w:val="left" w:pos="-1440"/>
              </w:tabs>
              <w:jc w:val="center"/>
              <w:rPr>
                <w:b/>
                <w:szCs w:val="22"/>
              </w:rPr>
            </w:pPr>
          </w:p>
          <w:tbl>
            <w:tblPr>
              <w:tblW w:w="8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9"/>
              <w:gridCol w:w="1440"/>
              <w:gridCol w:w="1151"/>
              <w:gridCol w:w="1116"/>
              <w:gridCol w:w="2044"/>
            </w:tblGrid>
            <w:tr w:rsidRPr="001B2492" w:rsidR="00EF6B82" w:rsidTr="00B6448B" w14:paraId="18B510CF" w14:textId="77777777">
              <w:tc>
                <w:tcPr>
                  <w:tcW w:w="8020" w:type="dxa"/>
                  <w:gridSpan w:val="5"/>
                  <w:shd w:val="clear" w:color="auto" w:fill="C5E0B3"/>
                </w:tcPr>
                <w:p w:rsidRPr="001B2492" w:rsidR="00455BD0" w:rsidP="00EF6B82" w:rsidRDefault="00455BD0" w14:paraId="1ADCF319" w14:textId="77777777">
                  <w:pPr>
                    <w:widowControl/>
                    <w:tabs>
                      <w:tab w:val="left" w:pos="-1440"/>
                    </w:tabs>
                    <w:jc w:val="center"/>
                  </w:pPr>
                  <w:r w:rsidRPr="001B2492">
                    <w:rPr>
                      <w:b/>
                    </w:rPr>
                    <w:t>WAGE HOUR ESTIMATES</w:t>
                  </w:r>
                  <w:r w:rsidRPr="001B2492" w:rsidR="002022B7">
                    <w:rPr>
                      <w:b/>
                    </w:rPr>
                    <w:t xml:space="preserve"> </w:t>
                  </w:r>
                </w:p>
              </w:tc>
            </w:tr>
            <w:tr w:rsidRPr="001B2492" w:rsidR="009B7AE0" w:rsidTr="00B6448B" w14:paraId="0BC379F2" w14:textId="77777777">
              <w:tc>
                <w:tcPr>
                  <w:tcW w:w="2269" w:type="dxa"/>
                  <w:shd w:val="clear" w:color="auto" w:fill="E2EFD9"/>
                </w:tcPr>
                <w:p w:rsidRPr="001B2492" w:rsidR="00455BD0" w:rsidP="006B7C45" w:rsidRDefault="00455BD0" w14:paraId="01428458" w14:textId="77777777">
                  <w:pPr>
                    <w:widowControl/>
                    <w:tabs>
                      <w:tab w:val="left" w:pos="-1440"/>
                    </w:tabs>
                    <w:jc w:val="center"/>
                    <w:rPr>
                      <w:b/>
                    </w:rPr>
                  </w:pPr>
                  <w:r w:rsidRPr="001B2492">
                    <w:rPr>
                      <w:b/>
                    </w:rPr>
                    <w:t>Occupational Title</w:t>
                  </w:r>
                </w:p>
              </w:tc>
              <w:tc>
                <w:tcPr>
                  <w:tcW w:w="1440" w:type="dxa"/>
                  <w:shd w:val="clear" w:color="auto" w:fill="E2EFD9"/>
                </w:tcPr>
                <w:p w:rsidRPr="001B2492" w:rsidR="00455BD0" w:rsidP="006B7C45" w:rsidRDefault="00455BD0" w14:paraId="357E83BB" w14:textId="77777777">
                  <w:pPr>
                    <w:widowControl/>
                    <w:tabs>
                      <w:tab w:val="left" w:pos="-1440"/>
                    </w:tabs>
                    <w:jc w:val="center"/>
                    <w:rPr>
                      <w:b/>
                    </w:rPr>
                  </w:pPr>
                  <w:r w:rsidRPr="001B2492">
                    <w:rPr>
                      <w:b/>
                    </w:rPr>
                    <w:t>Standard Occupation Code</w:t>
                  </w:r>
                </w:p>
              </w:tc>
              <w:tc>
                <w:tcPr>
                  <w:tcW w:w="1151" w:type="dxa"/>
                  <w:shd w:val="clear" w:color="auto" w:fill="E2EFD9"/>
                </w:tcPr>
                <w:p w:rsidRPr="001B2492" w:rsidR="00455BD0" w:rsidP="006B7C45" w:rsidRDefault="00455BD0" w14:paraId="702DC89A" w14:textId="77777777">
                  <w:pPr>
                    <w:widowControl/>
                    <w:tabs>
                      <w:tab w:val="left" w:pos="-1440"/>
                    </w:tabs>
                    <w:jc w:val="center"/>
                    <w:rPr>
                      <w:b/>
                    </w:rPr>
                  </w:pPr>
                  <w:r w:rsidRPr="001B2492">
                    <w:rPr>
                      <w:b/>
                    </w:rPr>
                    <w:t>Mean Hour Wage Rate</w:t>
                  </w:r>
                </w:p>
                <w:p w:rsidRPr="001B2492" w:rsidR="00455BD0" w:rsidP="006B7C45" w:rsidRDefault="00455BD0" w14:paraId="58803070" w14:textId="77777777">
                  <w:pPr>
                    <w:widowControl/>
                    <w:tabs>
                      <w:tab w:val="left" w:pos="-1440"/>
                    </w:tabs>
                    <w:jc w:val="center"/>
                    <w:rPr>
                      <w:b/>
                    </w:rPr>
                  </w:pPr>
                  <w:r w:rsidRPr="001B2492">
                    <w:rPr>
                      <w:b/>
                    </w:rPr>
                    <w:t>(A)</w:t>
                  </w:r>
                </w:p>
                <w:p w:rsidRPr="001B2492" w:rsidR="00A4681B" w:rsidP="006B7C45" w:rsidRDefault="00A4681B" w14:paraId="717AAFBA" w14:textId="77777777">
                  <w:pPr>
                    <w:widowControl/>
                    <w:tabs>
                      <w:tab w:val="left" w:pos="-1440"/>
                    </w:tabs>
                    <w:jc w:val="center"/>
                    <w:rPr>
                      <w:b/>
                    </w:rPr>
                  </w:pPr>
                </w:p>
              </w:tc>
              <w:tc>
                <w:tcPr>
                  <w:tcW w:w="1116" w:type="dxa"/>
                  <w:shd w:val="clear" w:color="auto" w:fill="E2EFD9"/>
                </w:tcPr>
                <w:p w:rsidRPr="001B2492" w:rsidR="00455BD0" w:rsidP="006B7C45" w:rsidRDefault="00455BD0" w14:paraId="126D19E4" w14:textId="77777777">
                  <w:pPr>
                    <w:widowControl/>
                    <w:tabs>
                      <w:tab w:val="left" w:pos="-1440"/>
                    </w:tabs>
                    <w:jc w:val="center"/>
                    <w:rPr>
                      <w:b/>
                    </w:rPr>
                  </w:pPr>
                  <w:r w:rsidRPr="001B2492">
                    <w:rPr>
                      <w:b/>
                    </w:rPr>
                    <w:t>Fringe Benefits (B)</w:t>
                  </w:r>
                </w:p>
              </w:tc>
              <w:tc>
                <w:tcPr>
                  <w:tcW w:w="2044" w:type="dxa"/>
                  <w:shd w:val="clear" w:color="auto" w:fill="E2EFD9"/>
                </w:tcPr>
                <w:p w:rsidRPr="001B2492" w:rsidR="00455BD0" w:rsidP="006B7C45" w:rsidRDefault="00455BD0" w14:paraId="48B7F318" w14:textId="77777777">
                  <w:pPr>
                    <w:widowControl/>
                    <w:tabs>
                      <w:tab w:val="left" w:pos="-1440"/>
                    </w:tabs>
                    <w:jc w:val="center"/>
                    <w:rPr>
                      <w:b/>
                    </w:rPr>
                  </w:pPr>
                  <w:r w:rsidRPr="001B2492">
                    <w:rPr>
                      <w:b/>
                    </w:rPr>
                    <w:t xml:space="preserve">Loaded Hourly Wage Rate </w:t>
                  </w:r>
                </w:p>
                <w:p w:rsidRPr="001B2492" w:rsidR="00455BD0" w:rsidP="006B7C45" w:rsidRDefault="00455BD0" w14:paraId="53B9E95E" w14:textId="77777777">
                  <w:pPr>
                    <w:widowControl/>
                    <w:tabs>
                      <w:tab w:val="left" w:pos="-1440"/>
                    </w:tabs>
                    <w:jc w:val="center"/>
                    <w:rPr>
                      <w:b/>
                    </w:rPr>
                  </w:pPr>
                  <w:r w:rsidRPr="001B2492">
                    <w:rPr>
                      <w:b/>
                    </w:rPr>
                    <w:t>(C) = (A)/((1-(B))</w:t>
                  </w:r>
                </w:p>
              </w:tc>
            </w:tr>
            <w:tr w:rsidRPr="001B2492" w:rsidR="009B7AE0" w:rsidTr="009B7AE0" w14:paraId="7E8D3425" w14:textId="77777777">
              <w:tc>
                <w:tcPr>
                  <w:tcW w:w="2269" w:type="dxa"/>
                  <w:shd w:val="clear" w:color="auto" w:fill="auto"/>
                </w:tcPr>
                <w:p w:rsidRPr="001B2492" w:rsidR="00455BD0" w:rsidP="006B7C45" w:rsidRDefault="00455BD0" w14:paraId="71B96779" w14:textId="77777777">
                  <w:pPr>
                    <w:widowControl/>
                    <w:tabs>
                      <w:tab w:val="left" w:pos="-1440"/>
                    </w:tabs>
                  </w:pPr>
                  <w:r w:rsidRPr="001B2492">
                    <w:t xml:space="preserve">“Administrative Services </w:t>
                  </w:r>
                  <w:r w:rsidRPr="001B2492" w:rsidR="002022B7">
                    <w:t xml:space="preserve">and Facilities </w:t>
                  </w:r>
                  <w:r w:rsidRPr="001B2492">
                    <w:t>Manager</w:t>
                  </w:r>
                  <w:r w:rsidRPr="001B2492" w:rsidR="002022B7">
                    <w:t>s</w:t>
                  </w:r>
                  <w:r w:rsidRPr="001B2492">
                    <w:t>” (Program Manager)</w:t>
                  </w:r>
                </w:p>
              </w:tc>
              <w:tc>
                <w:tcPr>
                  <w:tcW w:w="1440" w:type="dxa"/>
                  <w:shd w:val="clear" w:color="auto" w:fill="auto"/>
                </w:tcPr>
                <w:p w:rsidRPr="001B2492" w:rsidR="00455BD0" w:rsidP="006B7C45" w:rsidRDefault="00455BD0" w14:paraId="366C31D1" w14:textId="77777777">
                  <w:pPr>
                    <w:widowControl/>
                    <w:tabs>
                      <w:tab w:val="left" w:pos="-1440"/>
                    </w:tabs>
                  </w:pPr>
                  <w:r w:rsidRPr="001B2492">
                    <w:t>11-301</w:t>
                  </w:r>
                  <w:r w:rsidRPr="001B2492" w:rsidR="002022B7">
                    <w:t>0</w:t>
                  </w:r>
                </w:p>
              </w:tc>
              <w:tc>
                <w:tcPr>
                  <w:tcW w:w="1151" w:type="dxa"/>
                  <w:shd w:val="clear" w:color="auto" w:fill="auto"/>
                </w:tcPr>
                <w:p w:rsidRPr="001B2492" w:rsidR="00455BD0" w:rsidP="006B7C45" w:rsidRDefault="00A4681B" w14:paraId="5509732D" w14:textId="77777777">
                  <w:pPr>
                    <w:widowControl/>
                    <w:tabs>
                      <w:tab w:val="left" w:pos="-1440"/>
                    </w:tabs>
                  </w:pPr>
                  <w:r w:rsidRPr="001B2492">
                    <w:t>$</w:t>
                  </w:r>
                  <w:r w:rsidRPr="001B2492" w:rsidR="002022B7">
                    <w:t>51.98</w:t>
                  </w:r>
                </w:p>
              </w:tc>
              <w:tc>
                <w:tcPr>
                  <w:tcW w:w="1116" w:type="dxa"/>
                  <w:shd w:val="clear" w:color="auto" w:fill="auto"/>
                </w:tcPr>
                <w:p w:rsidRPr="001B2492" w:rsidR="00455BD0" w:rsidP="006B7C45" w:rsidRDefault="004C7D01" w14:paraId="21FD8F04" w14:textId="77777777">
                  <w:pPr>
                    <w:widowControl/>
                    <w:tabs>
                      <w:tab w:val="left" w:pos="-1440"/>
                    </w:tabs>
                  </w:pPr>
                  <w:r w:rsidRPr="001B2492">
                    <w:t>0</w:t>
                  </w:r>
                  <w:r w:rsidRPr="001B2492" w:rsidR="00455BD0">
                    <w:t>.3</w:t>
                  </w:r>
                  <w:r w:rsidRPr="001B2492">
                    <w:t>81</w:t>
                  </w:r>
                </w:p>
              </w:tc>
              <w:tc>
                <w:tcPr>
                  <w:tcW w:w="2044" w:type="dxa"/>
                  <w:shd w:val="clear" w:color="auto" w:fill="auto"/>
                </w:tcPr>
                <w:p w:rsidRPr="001B2492" w:rsidR="00455BD0" w:rsidP="006B7C45" w:rsidRDefault="009B7AE0" w14:paraId="3BA2828B" w14:textId="77777777">
                  <w:pPr>
                    <w:widowControl/>
                    <w:tabs>
                      <w:tab w:val="left" w:pos="-1440"/>
                    </w:tabs>
                  </w:pPr>
                  <w:r w:rsidRPr="001B2492">
                    <w:t>$</w:t>
                  </w:r>
                  <w:r w:rsidRPr="001B2492" w:rsidR="0036697D">
                    <w:t>83.97</w:t>
                  </w:r>
                </w:p>
              </w:tc>
            </w:tr>
            <w:tr w:rsidRPr="001B2492" w:rsidR="009B7AE0" w:rsidTr="009B7AE0" w14:paraId="0D595E95" w14:textId="77777777">
              <w:tc>
                <w:tcPr>
                  <w:tcW w:w="2269" w:type="dxa"/>
                  <w:shd w:val="clear" w:color="auto" w:fill="auto"/>
                </w:tcPr>
                <w:p w:rsidRPr="001B2492" w:rsidR="00455BD0" w:rsidP="00214892" w:rsidRDefault="00455BD0" w14:paraId="5146A708" w14:textId="77777777">
                  <w:pPr>
                    <w:widowControl/>
                    <w:tabs>
                      <w:tab w:val="left" w:pos="-1440"/>
                    </w:tabs>
                  </w:pPr>
                  <w:r w:rsidRPr="001B2492">
                    <w:t>“</w:t>
                  </w:r>
                  <w:r w:rsidRPr="001B2492" w:rsidR="00214892">
                    <w:t>Occupational Health and Safety Specialist</w:t>
                  </w:r>
                  <w:r w:rsidRPr="001B2492">
                    <w:t>” (Consultant)</w:t>
                  </w:r>
                </w:p>
              </w:tc>
              <w:tc>
                <w:tcPr>
                  <w:tcW w:w="1440" w:type="dxa"/>
                  <w:shd w:val="clear" w:color="auto" w:fill="auto"/>
                </w:tcPr>
                <w:p w:rsidRPr="001B2492" w:rsidR="00455BD0" w:rsidP="006B7C45" w:rsidRDefault="00214892" w14:paraId="113990DD" w14:textId="77777777">
                  <w:pPr>
                    <w:widowControl/>
                    <w:tabs>
                      <w:tab w:val="left" w:pos="-1440"/>
                    </w:tabs>
                  </w:pPr>
                  <w:r w:rsidRPr="001B2492">
                    <w:t>19-5011</w:t>
                  </w:r>
                </w:p>
              </w:tc>
              <w:tc>
                <w:tcPr>
                  <w:tcW w:w="1151" w:type="dxa"/>
                  <w:shd w:val="clear" w:color="auto" w:fill="auto"/>
                </w:tcPr>
                <w:p w:rsidRPr="001B2492" w:rsidR="00455BD0" w:rsidP="006B7C45" w:rsidRDefault="00A4681B" w14:paraId="5CB3EAC5" w14:textId="77777777">
                  <w:pPr>
                    <w:widowControl/>
                    <w:tabs>
                      <w:tab w:val="left" w:pos="-1440"/>
                    </w:tabs>
                  </w:pPr>
                  <w:r w:rsidRPr="001B2492">
                    <w:t>$</w:t>
                  </w:r>
                  <w:r w:rsidRPr="001B2492" w:rsidR="00214892">
                    <w:t>37.55</w:t>
                  </w:r>
                </w:p>
              </w:tc>
              <w:tc>
                <w:tcPr>
                  <w:tcW w:w="1116" w:type="dxa"/>
                  <w:shd w:val="clear" w:color="auto" w:fill="auto"/>
                </w:tcPr>
                <w:p w:rsidRPr="001B2492" w:rsidR="00455BD0" w:rsidP="006B7C45" w:rsidRDefault="004C7D01" w14:paraId="0F579750" w14:textId="77777777">
                  <w:pPr>
                    <w:widowControl/>
                    <w:tabs>
                      <w:tab w:val="left" w:pos="-1440"/>
                    </w:tabs>
                  </w:pPr>
                  <w:r w:rsidRPr="001B2492">
                    <w:t>0</w:t>
                  </w:r>
                  <w:r w:rsidRPr="001B2492" w:rsidR="00455BD0">
                    <w:t>.3</w:t>
                  </w:r>
                  <w:r w:rsidRPr="001B2492">
                    <w:t>81</w:t>
                  </w:r>
                </w:p>
              </w:tc>
              <w:tc>
                <w:tcPr>
                  <w:tcW w:w="2044" w:type="dxa"/>
                  <w:shd w:val="clear" w:color="auto" w:fill="auto"/>
                </w:tcPr>
                <w:p w:rsidRPr="001B2492" w:rsidR="00455BD0" w:rsidP="006B7C45" w:rsidRDefault="009B7AE0" w14:paraId="7E1A59E4" w14:textId="77777777">
                  <w:pPr>
                    <w:widowControl/>
                    <w:tabs>
                      <w:tab w:val="left" w:pos="-1440"/>
                    </w:tabs>
                  </w:pPr>
                  <w:r w:rsidRPr="001B2492">
                    <w:t>$</w:t>
                  </w:r>
                  <w:r w:rsidRPr="001B2492" w:rsidR="0036697D">
                    <w:t>60.66</w:t>
                  </w:r>
                </w:p>
              </w:tc>
            </w:tr>
            <w:tr w:rsidRPr="001B2492" w:rsidR="009B7AE0" w:rsidTr="009B7AE0" w14:paraId="4486F123" w14:textId="77777777">
              <w:tc>
                <w:tcPr>
                  <w:tcW w:w="2269" w:type="dxa"/>
                  <w:shd w:val="clear" w:color="auto" w:fill="auto"/>
                </w:tcPr>
                <w:p w:rsidRPr="001B2492" w:rsidR="00455BD0" w:rsidP="006B7C45" w:rsidRDefault="00455BD0" w14:paraId="15439860" w14:textId="77777777">
                  <w:pPr>
                    <w:widowControl/>
                    <w:tabs>
                      <w:tab w:val="left" w:pos="-1440"/>
                    </w:tabs>
                  </w:pPr>
                  <w:r w:rsidRPr="001B2492">
                    <w:t>“Secretaries, Except Legal, Medical, and Executive” (Clerical/Secretary)</w:t>
                  </w:r>
                </w:p>
              </w:tc>
              <w:tc>
                <w:tcPr>
                  <w:tcW w:w="1440" w:type="dxa"/>
                  <w:shd w:val="clear" w:color="auto" w:fill="auto"/>
                </w:tcPr>
                <w:p w:rsidRPr="001B2492" w:rsidR="00455BD0" w:rsidP="006B7C45" w:rsidRDefault="00455BD0" w14:paraId="1AAF208D" w14:textId="77777777">
                  <w:pPr>
                    <w:widowControl/>
                    <w:tabs>
                      <w:tab w:val="left" w:pos="-1440"/>
                    </w:tabs>
                  </w:pPr>
                  <w:r w:rsidRPr="001B2492">
                    <w:t>43-6014</w:t>
                  </w:r>
                </w:p>
              </w:tc>
              <w:tc>
                <w:tcPr>
                  <w:tcW w:w="1151" w:type="dxa"/>
                  <w:shd w:val="clear" w:color="auto" w:fill="auto"/>
                </w:tcPr>
                <w:p w:rsidRPr="001B2492" w:rsidR="00455BD0" w:rsidP="006B7C45" w:rsidRDefault="00A4681B" w14:paraId="70DF4C03" w14:textId="77777777">
                  <w:pPr>
                    <w:widowControl/>
                    <w:tabs>
                      <w:tab w:val="left" w:pos="-1440"/>
                    </w:tabs>
                  </w:pPr>
                  <w:r w:rsidRPr="001B2492">
                    <w:t>$</w:t>
                  </w:r>
                  <w:r w:rsidRPr="001B2492" w:rsidR="00214892">
                    <w:t>19.43</w:t>
                  </w:r>
                </w:p>
              </w:tc>
              <w:tc>
                <w:tcPr>
                  <w:tcW w:w="1116" w:type="dxa"/>
                  <w:shd w:val="clear" w:color="auto" w:fill="auto"/>
                </w:tcPr>
                <w:p w:rsidRPr="001B2492" w:rsidR="00455BD0" w:rsidP="006B7C45" w:rsidRDefault="004C7D01" w14:paraId="4D25466C" w14:textId="77777777">
                  <w:pPr>
                    <w:widowControl/>
                    <w:tabs>
                      <w:tab w:val="left" w:pos="-1440"/>
                    </w:tabs>
                  </w:pPr>
                  <w:r w:rsidRPr="001B2492">
                    <w:t>0</w:t>
                  </w:r>
                  <w:r w:rsidRPr="001B2492" w:rsidR="00455BD0">
                    <w:t>.31</w:t>
                  </w:r>
                  <w:r w:rsidRPr="001B2492">
                    <w:t>3</w:t>
                  </w:r>
                </w:p>
              </w:tc>
              <w:tc>
                <w:tcPr>
                  <w:tcW w:w="2044" w:type="dxa"/>
                  <w:shd w:val="clear" w:color="auto" w:fill="auto"/>
                </w:tcPr>
                <w:p w:rsidRPr="001B2492" w:rsidR="00455BD0" w:rsidP="006B7C45" w:rsidRDefault="009B7AE0" w14:paraId="133BAB05" w14:textId="77777777">
                  <w:pPr>
                    <w:widowControl/>
                    <w:tabs>
                      <w:tab w:val="left" w:pos="-1440"/>
                    </w:tabs>
                  </w:pPr>
                  <w:r w:rsidRPr="001B2492">
                    <w:t>$</w:t>
                  </w:r>
                  <w:r w:rsidRPr="001B2492" w:rsidR="0036697D">
                    <w:t>28.28</w:t>
                  </w:r>
                </w:p>
              </w:tc>
            </w:tr>
            <w:tr w:rsidRPr="001B2492" w:rsidR="00EF6B82" w:rsidTr="005900A1" w14:paraId="64D5B4BA" w14:textId="77777777">
              <w:tc>
                <w:tcPr>
                  <w:tcW w:w="2269" w:type="dxa"/>
                  <w:shd w:val="clear" w:color="auto" w:fill="auto"/>
                </w:tcPr>
                <w:p w:rsidRPr="001B2492" w:rsidR="00455BD0" w:rsidP="006B7C45" w:rsidRDefault="00455BD0" w14:paraId="5BCF1CF5" w14:textId="77777777">
                  <w:pPr>
                    <w:widowControl/>
                    <w:tabs>
                      <w:tab w:val="left" w:pos="-1440"/>
                    </w:tabs>
                  </w:pPr>
                  <w:r w:rsidRPr="001B2492">
                    <w:t>“General and Operations Managers” (Employers)</w:t>
                  </w:r>
                </w:p>
              </w:tc>
              <w:tc>
                <w:tcPr>
                  <w:tcW w:w="1440" w:type="dxa"/>
                  <w:shd w:val="clear" w:color="auto" w:fill="auto"/>
                </w:tcPr>
                <w:p w:rsidRPr="001B2492" w:rsidR="00455BD0" w:rsidP="006B7C45" w:rsidRDefault="00455BD0" w14:paraId="439CA6B6" w14:textId="77777777">
                  <w:pPr>
                    <w:widowControl/>
                    <w:tabs>
                      <w:tab w:val="left" w:pos="-1440"/>
                    </w:tabs>
                  </w:pPr>
                  <w:r w:rsidRPr="001B2492">
                    <w:t>11-1021</w:t>
                  </w:r>
                </w:p>
              </w:tc>
              <w:tc>
                <w:tcPr>
                  <w:tcW w:w="1151" w:type="dxa"/>
                  <w:shd w:val="clear" w:color="auto" w:fill="auto"/>
                </w:tcPr>
                <w:p w:rsidRPr="001B2492" w:rsidR="00455BD0" w:rsidP="006B7C45" w:rsidRDefault="00A4681B" w14:paraId="11B141A6" w14:textId="77777777">
                  <w:pPr>
                    <w:widowControl/>
                    <w:tabs>
                      <w:tab w:val="left" w:pos="-1440"/>
                    </w:tabs>
                  </w:pPr>
                  <w:r w:rsidRPr="001B2492">
                    <w:t>$</w:t>
                  </w:r>
                  <w:r w:rsidRPr="001B2492" w:rsidR="00214892">
                    <w:t>60.45</w:t>
                  </w:r>
                </w:p>
              </w:tc>
              <w:tc>
                <w:tcPr>
                  <w:tcW w:w="1116" w:type="dxa"/>
                  <w:shd w:val="clear" w:color="auto" w:fill="auto"/>
                </w:tcPr>
                <w:p w:rsidRPr="001B2492" w:rsidR="00455BD0" w:rsidP="006B7C45" w:rsidRDefault="004C7D01" w14:paraId="5DBD1695" w14:textId="77777777">
                  <w:pPr>
                    <w:widowControl/>
                    <w:tabs>
                      <w:tab w:val="left" w:pos="-1440"/>
                    </w:tabs>
                  </w:pPr>
                  <w:r w:rsidRPr="001B2492">
                    <w:t>0</w:t>
                  </w:r>
                  <w:r w:rsidRPr="001B2492" w:rsidR="00EF6B82">
                    <w:t>.31</w:t>
                  </w:r>
                  <w:r w:rsidRPr="001B2492">
                    <w:t>3</w:t>
                  </w:r>
                </w:p>
              </w:tc>
              <w:tc>
                <w:tcPr>
                  <w:tcW w:w="2044" w:type="dxa"/>
                  <w:shd w:val="clear" w:color="auto" w:fill="auto"/>
                </w:tcPr>
                <w:p w:rsidRPr="001B2492" w:rsidR="00455BD0" w:rsidP="006B7C45" w:rsidRDefault="009B7AE0" w14:paraId="2AA884B1" w14:textId="77777777">
                  <w:pPr>
                    <w:widowControl/>
                    <w:tabs>
                      <w:tab w:val="left" w:pos="-1440"/>
                    </w:tabs>
                  </w:pPr>
                  <w:r w:rsidRPr="001B2492">
                    <w:t>$8</w:t>
                  </w:r>
                  <w:r w:rsidRPr="001B2492" w:rsidR="0036697D">
                    <w:t>7.99</w:t>
                  </w:r>
                </w:p>
              </w:tc>
            </w:tr>
          </w:tbl>
          <w:p w:rsidRPr="001B2492" w:rsidR="00455BD0" w:rsidP="006B7C45" w:rsidRDefault="00455BD0" w14:paraId="56EE48EE" w14:textId="77777777">
            <w:pPr>
              <w:widowControl/>
              <w:tabs>
                <w:tab w:val="left" w:pos="-1440"/>
              </w:tabs>
            </w:pPr>
          </w:p>
          <w:p w:rsidRPr="001B2492" w:rsidR="00455BD0" w:rsidP="006B7C45" w:rsidRDefault="00455BD0" w14:paraId="2908EB2C" w14:textId="77777777">
            <w:pPr>
              <w:widowControl/>
              <w:autoSpaceDE/>
              <w:autoSpaceDN/>
              <w:adjustRightInd/>
              <w:jc w:val="center"/>
              <w:rPr>
                <w:b/>
                <w:bCs/>
              </w:rPr>
            </w:pPr>
          </w:p>
        </w:tc>
      </w:tr>
    </w:tbl>
    <w:p w:rsidRPr="001B2492" w:rsidR="00455BD0" w:rsidP="007169AB" w:rsidRDefault="00455BD0" w14:paraId="121FD38A" w14:textId="77777777"/>
    <w:p w:rsidRPr="001B2492" w:rsidR="00FC4BF3" w:rsidP="007169AB" w:rsidRDefault="00FC4BF3" w14:paraId="4BBEB67D" w14:textId="77777777">
      <w:r w:rsidRPr="001B2492">
        <w:t>OSHA’s requirement for information collection is largely inseparable from the normal business practice of information collection associated with this type of professional service.  Similar information would be collected by the State if the service was provided without a Federal grant.  Further, private sector concerns (e.g., insurance companies, private consultants, in-house safety and health staff) providing professional occupational safety and health services routinely collect and report similar information.</w:t>
      </w:r>
    </w:p>
    <w:p w:rsidRPr="001B2492" w:rsidR="00455BD0" w:rsidP="007169AB" w:rsidRDefault="00455BD0" w14:paraId="1FE2DD96" w14:textId="77777777"/>
    <w:p w:rsidRPr="001B2492" w:rsidR="00A53B62" w:rsidP="00241A20" w:rsidRDefault="00455BD0" w14:paraId="043EA1BB" w14:textId="6417E82C">
      <w:pPr>
        <w:widowControl/>
        <w:autoSpaceDE/>
        <w:autoSpaceDN/>
        <w:adjustRightInd/>
      </w:pPr>
      <w:r w:rsidRPr="001B2492">
        <w:t xml:space="preserve">There are two groups of respondents affected by the 1908 regulation: </w:t>
      </w:r>
      <w:r w:rsidRPr="001B2492" w:rsidR="00876362">
        <w:t>(</w:t>
      </w:r>
      <w:r w:rsidRPr="001B2492" w:rsidR="00A4681B">
        <w:t>i.</w:t>
      </w:r>
      <w:r w:rsidRPr="001B2492">
        <w:t xml:space="preserve">) State </w:t>
      </w:r>
      <w:r w:rsidRPr="001B2492" w:rsidR="00876362">
        <w:t xml:space="preserve">providing </w:t>
      </w:r>
      <w:r w:rsidRPr="001B2492">
        <w:t xml:space="preserve">On-Site Consultation Programs, and </w:t>
      </w:r>
      <w:r w:rsidRPr="001B2492" w:rsidR="00876362">
        <w:t>(</w:t>
      </w:r>
      <w:r w:rsidRPr="001B2492" w:rsidR="00A4681B">
        <w:t>ii.</w:t>
      </w:r>
      <w:r w:rsidRPr="001B2492">
        <w:t>)</w:t>
      </w:r>
      <w:r w:rsidRPr="001B2492" w:rsidR="008C65A6">
        <w:t xml:space="preserve"> </w:t>
      </w:r>
      <w:r w:rsidRPr="001B2492" w:rsidR="00876362">
        <w:t>E</w:t>
      </w:r>
      <w:r w:rsidRPr="001B2492">
        <w:t>mployers receiving On-Site Consultation assistance.</w:t>
      </w:r>
      <w:r w:rsidRPr="001B2492" w:rsidR="00A4681B">
        <w:t xml:space="preserve">  </w:t>
      </w:r>
      <w:r w:rsidRPr="001B2492" w:rsidR="007E5B3C">
        <w:t>The Agency estimates</w:t>
      </w:r>
      <w:r w:rsidRPr="001B2492" w:rsidR="00CC5466">
        <w:t xml:space="preserve"> the</w:t>
      </w:r>
      <w:r w:rsidRPr="001B2492" w:rsidR="007E5B3C">
        <w:t xml:space="preserve"> total burden hours </w:t>
      </w:r>
      <w:r w:rsidRPr="001B2492" w:rsidR="005E21F8">
        <w:t xml:space="preserve">for both </w:t>
      </w:r>
      <w:r w:rsidRPr="001B2492" w:rsidR="00B51909">
        <w:t xml:space="preserve">groups of </w:t>
      </w:r>
      <w:r w:rsidRPr="001B2492" w:rsidR="005E21F8">
        <w:t xml:space="preserve">respondents is </w:t>
      </w:r>
      <w:r w:rsidRPr="001B2492" w:rsidR="00FB737F">
        <w:rPr>
          <w:b/>
          <w:bCs/>
        </w:rPr>
        <w:t>223,495.29</w:t>
      </w:r>
      <w:r w:rsidRPr="001B2492" w:rsidR="00F00A16">
        <w:rPr>
          <w:b/>
          <w:bCs/>
        </w:rPr>
        <w:t xml:space="preserve"> </w:t>
      </w:r>
      <w:r w:rsidRPr="001B2492" w:rsidR="00446362">
        <w:t xml:space="preserve">hours; </w:t>
      </w:r>
      <w:r w:rsidRPr="001B2492" w:rsidR="00FB737F">
        <w:rPr>
          <w:b/>
          <w:bCs/>
        </w:rPr>
        <w:t>216,689.14</w:t>
      </w:r>
      <w:r w:rsidRPr="001B2492" w:rsidR="00370B7E">
        <w:rPr>
          <w:b/>
          <w:bCs/>
          <w:sz w:val="20"/>
          <w:szCs w:val="20"/>
        </w:rPr>
        <w:t xml:space="preserve"> </w:t>
      </w:r>
      <w:r w:rsidRPr="001B2492" w:rsidR="00446362">
        <w:t>hours</w:t>
      </w:r>
      <w:r w:rsidRPr="001B2492" w:rsidR="005E21F8">
        <w:t xml:space="preserve"> </w:t>
      </w:r>
      <w:r w:rsidRPr="001B2492" w:rsidR="007E5B3C">
        <w:t xml:space="preserve">for State </w:t>
      </w:r>
      <w:r w:rsidRPr="001B2492" w:rsidR="00954BC8">
        <w:t>On-Site</w:t>
      </w:r>
      <w:r w:rsidRPr="001B2492" w:rsidR="007E5B3C">
        <w:t xml:space="preserve"> Consultation </w:t>
      </w:r>
      <w:r w:rsidRPr="001B2492" w:rsidR="0020737B">
        <w:t>Program</w:t>
      </w:r>
      <w:r w:rsidRPr="001B2492" w:rsidR="007E5B3C">
        <w:t>s (</w:t>
      </w:r>
      <w:r w:rsidRPr="001B2492" w:rsidR="00446362">
        <w:t xml:space="preserve">see </w:t>
      </w:r>
      <w:r w:rsidRPr="001B2492" w:rsidR="007E5B3C">
        <w:t>Table</w:t>
      </w:r>
      <w:r w:rsidRPr="001B2492" w:rsidR="00CC5466">
        <w:t xml:space="preserve"> </w:t>
      </w:r>
      <w:r w:rsidRPr="001B2492" w:rsidR="007E5B3C">
        <w:t>1</w:t>
      </w:r>
      <w:r w:rsidRPr="001B2492" w:rsidR="00CC5466">
        <w:t>,</w:t>
      </w:r>
      <w:r w:rsidRPr="001B2492" w:rsidR="007169AB">
        <w:rPr>
          <w:i/>
          <w:iCs/>
          <w:color w:val="000000" w:themeColor="text1"/>
        </w:rPr>
        <w:t xml:space="preserve"> Summary of Estimated Annualized Respondent (State Consultation Program) Hour and Cost Burden</w:t>
      </w:r>
      <w:r w:rsidRPr="001B2492" w:rsidR="007E5B3C">
        <w:t>)</w:t>
      </w:r>
      <w:r w:rsidRPr="001B2492" w:rsidR="00CC5466">
        <w:t>, and</w:t>
      </w:r>
      <w:r w:rsidRPr="001B2492" w:rsidR="00446362">
        <w:t xml:space="preserve"> </w:t>
      </w:r>
      <w:r w:rsidRPr="001B2492" w:rsidR="009724AA">
        <w:rPr>
          <w:b/>
          <w:bCs/>
        </w:rPr>
        <w:t>6,806.15</w:t>
      </w:r>
      <w:r w:rsidRPr="001B2492" w:rsidR="00D21792">
        <w:rPr>
          <w:b/>
          <w:bCs/>
          <w:sz w:val="20"/>
          <w:szCs w:val="20"/>
        </w:rPr>
        <w:t xml:space="preserve"> </w:t>
      </w:r>
      <w:r w:rsidRPr="001B2492" w:rsidR="00446362">
        <w:t>hours</w:t>
      </w:r>
      <w:r w:rsidRPr="001B2492" w:rsidR="00CC5466">
        <w:t xml:space="preserve"> for </w:t>
      </w:r>
      <w:r w:rsidRPr="001B2492" w:rsidR="005E21F8">
        <w:t>e</w:t>
      </w:r>
      <w:r w:rsidRPr="001B2492" w:rsidR="00CC5466">
        <w:t>mployers (</w:t>
      </w:r>
      <w:r w:rsidRPr="001B2492" w:rsidR="00446362">
        <w:t xml:space="preserve">see </w:t>
      </w:r>
      <w:r w:rsidRPr="001B2492" w:rsidR="00CC5466">
        <w:t>Table 2,</w:t>
      </w:r>
      <w:r w:rsidRPr="001B2492" w:rsidR="00241A20">
        <w:rPr>
          <w:i/>
          <w:iCs/>
        </w:rPr>
        <w:t xml:space="preserve"> Summary of Estimated Annualized Respondent (Employer) Hour and Cost Burden</w:t>
      </w:r>
      <w:r w:rsidRPr="001B2492" w:rsidR="00CC5466">
        <w:t>)</w:t>
      </w:r>
      <w:r w:rsidRPr="001B2492" w:rsidR="00B51909">
        <w:t>.</w:t>
      </w:r>
      <w:r w:rsidRPr="001B2492" w:rsidR="0001520F">
        <w:t xml:space="preserve">  </w:t>
      </w:r>
    </w:p>
    <w:p w:rsidRPr="001B2492" w:rsidR="00CD1B54" w:rsidRDefault="00CD1B54" w14:paraId="27357532" w14:textId="77777777">
      <w:pPr>
        <w:ind w:firstLine="720"/>
        <w:rPr>
          <w:b/>
          <w:bCs/>
        </w:rPr>
      </w:pPr>
    </w:p>
    <w:p w:rsidRPr="001B2492" w:rsidR="00FC4BF3" w:rsidP="007169AB" w:rsidRDefault="00FC4BF3" w14:paraId="56A8C511" w14:textId="77777777">
      <w:r w:rsidRPr="001B2492">
        <w:rPr>
          <w:b/>
          <w:bCs/>
        </w:rPr>
        <w:t>i.</w:t>
      </w:r>
      <w:r w:rsidRPr="001B2492">
        <w:rPr>
          <w:b/>
          <w:bCs/>
        </w:rPr>
        <w:tab/>
        <w:t xml:space="preserve">Burden Hour Estimates for State </w:t>
      </w:r>
      <w:r w:rsidRPr="001B2492" w:rsidR="00954BC8">
        <w:rPr>
          <w:b/>
          <w:bCs/>
        </w:rPr>
        <w:t>On-Site</w:t>
      </w:r>
      <w:r w:rsidRPr="001B2492" w:rsidR="00D66A86">
        <w:rPr>
          <w:b/>
          <w:bCs/>
        </w:rPr>
        <w:t xml:space="preserve"> </w:t>
      </w:r>
      <w:r w:rsidRPr="001B2492">
        <w:rPr>
          <w:b/>
          <w:bCs/>
        </w:rPr>
        <w:t xml:space="preserve">Consultation </w:t>
      </w:r>
      <w:r w:rsidRPr="001B2492" w:rsidR="0020737B">
        <w:rPr>
          <w:b/>
          <w:bCs/>
        </w:rPr>
        <w:t>Program</w:t>
      </w:r>
      <w:r w:rsidRPr="001B2492">
        <w:rPr>
          <w:b/>
          <w:bCs/>
        </w:rPr>
        <w:t>s:</w:t>
      </w:r>
    </w:p>
    <w:p w:rsidRPr="001B2492" w:rsidR="007F2F94" w:rsidRDefault="007F2F94" w14:paraId="07F023C8" w14:textId="77777777">
      <w:pPr>
        <w:ind w:left="1440"/>
      </w:pPr>
    </w:p>
    <w:p w:rsidRPr="001B2492" w:rsidR="00FC4BF3" w:rsidRDefault="00FC4BF3" w14:paraId="38AB0994" w14:textId="77777777">
      <w:pPr>
        <w:ind w:left="1440"/>
      </w:pPr>
      <w:r w:rsidRPr="001B2492">
        <w:t xml:space="preserve">The following regulations require information collection and/or reporting on the part of </w:t>
      </w:r>
      <w:r w:rsidRPr="001B2492" w:rsidR="009C11D5">
        <w:t xml:space="preserve">the State </w:t>
      </w:r>
      <w:r w:rsidRPr="001B2492" w:rsidR="00954BC8">
        <w:t>On-Site</w:t>
      </w:r>
      <w:r w:rsidRPr="001B2492" w:rsidR="00D66A86">
        <w:t xml:space="preserve"> Consultation </w:t>
      </w:r>
      <w:r w:rsidRPr="001B2492" w:rsidR="0020737B">
        <w:t>Program</w:t>
      </w:r>
      <w:r w:rsidRPr="001B2492" w:rsidR="009C11D5">
        <w:t>s:</w:t>
      </w:r>
    </w:p>
    <w:p w:rsidRPr="001B2492" w:rsidR="00087D85" w:rsidP="00087D85" w:rsidRDefault="00087D85" w14:paraId="4BDB5498" w14:textId="77777777"/>
    <w:p w:rsidRPr="001B2492" w:rsidR="00087D85" w:rsidP="00087D85" w:rsidRDefault="00087D85" w14:paraId="3D38F7F0" w14:textId="77777777">
      <w:r w:rsidRPr="001B2492">
        <w:tab/>
      </w:r>
      <w:r w:rsidRPr="001B2492" w:rsidR="00175F43">
        <w:t>A</w:t>
      </w:r>
      <w:r w:rsidRPr="001B2492">
        <w:t>.</w:t>
      </w:r>
      <w:r w:rsidRPr="001B2492">
        <w:tab/>
        <w:t>1908.6(e)(3):</w:t>
      </w:r>
    </w:p>
    <w:p w:rsidRPr="001B2492" w:rsidR="008041A6" w:rsidP="00DA381A" w:rsidRDefault="008041A6" w14:paraId="2916C19D" w14:textId="77777777">
      <w:pPr>
        <w:ind w:left="1440"/>
      </w:pPr>
    </w:p>
    <w:p w:rsidRPr="001B2492" w:rsidR="00DA381A" w:rsidP="00DA381A" w:rsidRDefault="00D9275B" w14:paraId="09FF787A" w14:textId="77777777">
      <w:pPr>
        <w:ind w:left="1440"/>
      </w:pPr>
      <w:r w:rsidRPr="001B2492">
        <w:t>D</w:t>
      </w:r>
      <w:r w:rsidRPr="001B2492" w:rsidR="00520D88">
        <w:t xml:space="preserve">ata </w:t>
      </w:r>
      <w:r w:rsidRPr="001B2492" w:rsidR="00E71AF1">
        <w:t xml:space="preserve">from the </w:t>
      </w:r>
      <w:r w:rsidRPr="001B2492" w:rsidR="00D273C0">
        <w:t>OSHA Information System (</w:t>
      </w:r>
      <w:r w:rsidRPr="001B2492" w:rsidR="00E71AF1">
        <w:t>OIS</w:t>
      </w:r>
      <w:r w:rsidRPr="001B2492" w:rsidR="00D273C0">
        <w:t>)</w:t>
      </w:r>
      <w:r w:rsidRPr="001B2492" w:rsidR="00E71AF1">
        <w:t xml:space="preserve"> </w:t>
      </w:r>
      <w:r w:rsidRPr="001B2492" w:rsidR="00D273C0">
        <w:t>database</w:t>
      </w:r>
      <w:r w:rsidRPr="001B2492" w:rsidR="00D273C0">
        <w:rPr>
          <w:rStyle w:val="FootnoteReference"/>
          <w:sz w:val="22"/>
          <w:szCs w:val="22"/>
          <w:vertAlign w:val="superscript"/>
        </w:rPr>
        <w:footnoteReference w:id="3"/>
      </w:r>
      <w:r w:rsidRPr="001B2492" w:rsidR="00D273C0">
        <w:t xml:space="preserve"> </w:t>
      </w:r>
      <w:r w:rsidRPr="001B2492" w:rsidR="00520D88">
        <w:t>indicates</w:t>
      </w:r>
      <w:r w:rsidRPr="001B2492" w:rsidR="00BF3C45">
        <w:t xml:space="preserve"> th</w:t>
      </w:r>
      <w:r w:rsidRPr="001B2492" w:rsidR="007765ED">
        <w:t>at</w:t>
      </w:r>
      <w:r w:rsidRPr="001B2492" w:rsidR="00BF3C45">
        <w:t xml:space="preserve"> </w:t>
      </w:r>
      <w:r w:rsidRPr="001B2492" w:rsidR="00D96FE1">
        <w:t>22,843</w:t>
      </w:r>
      <w:r w:rsidRPr="001B2492" w:rsidR="00204B3F">
        <w:t xml:space="preserve"> </w:t>
      </w:r>
      <w:r w:rsidRPr="001B2492" w:rsidR="00345783">
        <w:t>initial</w:t>
      </w:r>
      <w:r w:rsidRPr="001B2492" w:rsidR="00BF0615">
        <w:t xml:space="preserve"> </w:t>
      </w:r>
      <w:r w:rsidRPr="001B2492" w:rsidR="00954BC8">
        <w:t>On-Site</w:t>
      </w:r>
      <w:r w:rsidRPr="001B2492" w:rsidR="00520D88">
        <w:t xml:space="preserve"> Consultation </w:t>
      </w:r>
      <w:r w:rsidRPr="001B2492" w:rsidR="00DA381A">
        <w:t xml:space="preserve">visits </w:t>
      </w:r>
      <w:r w:rsidRPr="001B2492">
        <w:t>we</w:t>
      </w:r>
      <w:r w:rsidRPr="001B2492" w:rsidR="00520D88">
        <w:t xml:space="preserve">re </w:t>
      </w:r>
      <w:r w:rsidRPr="001B2492" w:rsidR="00DA381A">
        <w:t>conducted throughout the United States and the Territories</w:t>
      </w:r>
      <w:r w:rsidRPr="001B2492">
        <w:t xml:space="preserve"> in FY </w:t>
      </w:r>
      <w:r w:rsidRPr="001B2492" w:rsidR="00D96FE1">
        <w:t>2019</w:t>
      </w:r>
      <w:r w:rsidRPr="001B2492" w:rsidR="00DA381A">
        <w:t>.  Of this to</w:t>
      </w:r>
      <w:r w:rsidRPr="001B2492" w:rsidR="00BF3C45">
        <w:t xml:space="preserve">tal, </w:t>
      </w:r>
      <w:r w:rsidRPr="001B2492" w:rsidR="00D96FE1">
        <w:t>18,288</w:t>
      </w:r>
      <w:r w:rsidRPr="001B2492" w:rsidR="00DD15E6">
        <w:t xml:space="preserve"> </w:t>
      </w:r>
      <w:r w:rsidRPr="001B2492" w:rsidR="00E9365F">
        <w:t xml:space="preserve">visits were either limited in scope or focused only on safety hazards or only on health hazards; </w:t>
      </w:r>
      <w:r w:rsidRPr="001B2492" w:rsidR="00921559">
        <w:t xml:space="preserve">3,382 non-SHARP visits and 1,173 visits were full service safety and health visits; </w:t>
      </w:r>
      <w:r w:rsidRPr="001B2492" w:rsidR="00D96FE1">
        <w:t xml:space="preserve">7 </w:t>
      </w:r>
      <w:r w:rsidRPr="001B2492" w:rsidR="00BF3C45">
        <w:t>visits</w:t>
      </w:r>
      <w:r w:rsidRPr="001B2492" w:rsidR="00DA381A">
        <w:t xml:space="preserve"> result</w:t>
      </w:r>
      <w:r w:rsidRPr="001B2492" w:rsidR="002552D1">
        <w:t>ed</w:t>
      </w:r>
      <w:r w:rsidRPr="001B2492" w:rsidR="00DA381A">
        <w:t xml:space="preserve"> in referrals for enforcement.  </w:t>
      </w:r>
    </w:p>
    <w:p w:rsidRPr="001B2492" w:rsidR="00DA381A" w:rsidP="00087D85" w:rsidRDefault="00DA381A" w14:paraId="74869460" w14:textId="77777777">
      <w:pPr>
        <w:ind w:left="1440"/>
      </w:pPr>
    </w:p>
    <w:p w:rsidRPr="001B2492" w:rsidR="00087D85" w:rsidP="00087D85" w:rsidRDefault="00BF3C45" w14:paraId="0F65BDAF" w14:textId="77777777">
      <w:pPr>
        <w:ind w:left="1440"/>
      </w:pPr>
      <w:r w:rsidRPr="001B2492">
        <w:t xml:space="preserve">For each </w:t>
      </w:r>
      <w:r w:rsidRPr="001B2492" w:rsidR="00954BC8">
        <w:t>On-Site</w:t>
      </w:r>
      <w:r w:rsidRPr="001B2492">
        <w:t xml:space="preserve"> </w:t>
      </w:r>
      <w:r w:rsidRPr="001B2492" w:rsidR="00FE6A01">
        <w:t xml:space="preserve">Consultation </w:t>
      </w:r>
      <w:r w:rsidRPr="001B2492">
        <w:t>visit, c</w:t>
      </w:r>
      <w:r w:rsidRPr="001B2492" w:rsidR="00DA381A">
        <w:t>onsultants i</w:t>
      </w:r>
      <w:r w:rsidRPr="001B2492">
        <w:t xml:space="preserve">nput data regarding the </w:t>
      </w:r>
      <w:r w:rsidRPr="001B2492" w:rsidR="00087D85">
        <w:t xml:space="preserve">employers’ safety and health </w:t>
      </w:r>
      <w:r w:rsidRPr="001B2492">
        <w:t xml:space="preserve">management </w:t>
      </w:r>
      <w:r w:rsidRPr="001B2492" w:rsidR="00087D85">
        <w:t>program</w:t>
      </w:r>
      <w:r w:rsidRPr="001B2492">
        <w:t xml:space="preserve"> </w:t>
      </w:r>
      <w:r w:rsidRPr="001B2492" w:rsidR="00087D85">
        <w:t xml:space="preserve">in the web-based </w:t>
      </w:r>
      <w:r w:rsidRPr="001B2492" w:rsidR="00216899">
        <w:t xml:space="preserve">version of the </w:t>
      </w:r>
      <w:r w:rsidRPr="001B2492" w:rsidR="00087D85">
        <w:t>Safety and Health Program Assessment Worksheet</w:t>
      </w:r>
      <w:r w:rsidRPr="001B2492" w:rsidR="00866114">
        <w:t xml:space="preserve"> in the OIS</w:t>
      </w:r>
      <w:r w:rsidRPr="001B2492" w:rsidR="00087D85">
        <w:t>.  This function is performed by every consultant. Information about the quality of a site’s safety and health program is routinely collected as a part of the</w:t>
      </w:r>
      <w:r w:rsidRPr="001B2492" w:rsidR="008604F5">
        <w:t xml:space="preserve"> </w:t>
      </w:r>
      <w:r w:rsidRPr="001B2492" w:rsidR="00954BC8">
        <w:t>On-Site</w:t>
      </w:r>
      <w:r w:rsidRPr="001B2492" w:rsidR="00087D85">
        <w:t xml:space="preserve"> </w:t>
      </w:r>
      <w:r w:rsidRPr="001B2492" w:rsidR="00FE6A01">
        <w:t xml:space="preserve">Consultation </w:t>
      </w:r>
      <w:r w:rsidRPr="001B2492" w:rsidR="00087D85">
        <w:t xml:space="preserve">process. With </w:t>
      </w:r>
      <w:r w:rsidRPr="001B2492" w:rsidR="00866114">
        <w:t xml:space="preserve">the </w:t>
      </w:r>
      <w:r w:rsidRPr="001B2492" w:rsidR="00087D85">
        <w:t xml:space="preserve">web-based application, consultants enter the data </w:t>
      </w:r>
      <w:r w:rsidRPr="001B2492" w:rsidR="00204B3F">
        <w:t xml:space="preserve">into a form </w:t>
      </w:r>
      <w:r w:rsidRPr="001B2492" w:rsidR="00041200">
        <w:t xml:space="preserve">directly via </w:t>
      </w:r>
      <w:r w:rsidRPr="001B2492" w:rsidR="00087D85">
        <w:t>the web.  The time estimates below do not include the time for developing information about the safety and health management systems, since that is done as a corollary of the</w:t>
      </w:r>
      <w:r w:rsidRPr="001B2492" w:rsidR="000532B2">
        <w:t xml:space="preserve"> </w:t>
      </w:r>
      <w:r w:rsidRPr="001B2492" w:rsidR="00954BC8">
        <w:t>On-Site</w:t>
      </w:r>
      <w:r w:rsidRPr="001B2492" w:rsidR="00087D85">
        <w:t xml:space="preserve"> </w:t>
      </w:r>
      <w:r w:rsidRPr="001B2492" w:rsidR="00FE6A01">
        <w:t xml:space="preserve">Consultation </w:t>
      </w:r>
      <w:r w:rsidRPr="001B2492" w:rsidR="00087D85">
        <w:t>process.</w:t>
      </w:r>
    </w:p>
    <w:p w:rsidRPr="001B2492" w:rsidR="0023658A" w:rsidP="00087D85" w:rsidRDefault="0023658A" w14:paraId="187F57B8" w14:textId="77777777">
      <w:pPr>
        <w:ind w:left="1440"/>
      </w:pPr>
    </w:p>
    <w:p w:rsidRPr="001B2492" w:rsidR="00087D85" w:rsidP="00715231" w:rsidRDefault="00087D85" w14:paraId="1D699500" w14:textId="77777777">
      <w:pPr>
        <w:ind w:left="1440"/>
      </w:pPr>
      <w:r w:rsidRPr="001B2492">
        <w:t>Consultants are only required to perform this function to the extent that data is available.  OSHA estimates that, after a</w:t>
      </w:r>
      <w:r w:rsidRPr="001B2492" w:rsidR="000532B2">
        <w:t xml:space="preserve">n </w:t>
      </w:r>
      <w:r w:rsidRPr="001B2492" w:rsidR="00954BC8">
        <w:t>On-Site</w:t>
      </w:r>
      <w:r w:rsidRPr="001B2492" w:rsidR="000532B2">
        <w:t xml:space="preserve"> </w:t>
      </w:r>
      <w:r w:rsidRPr="001B2492" w:rsidR="00FE6A01">
        <w:t xml:space="preserve">Consultation </w:t>
      </w:r>
      <w:r w:rsidRPr="001B2492">
        <w:t xml:space="preserve">visit that does not involve comprehensive program assistance, 12 to 18 entries will be made on the </w:t>
      </w:r>
      <w:r w:rsidRPr="001B2492" w:rsidR="00A31F39">
        <w:t xml:space="preserve">Safety and Health </w:t>
      </w:r>
      <w:r w:rsidRPr="001B2492" w:rsidR="00204B3F">
        <w:t xml:space="preserve">Program </w:t>
      </w:r>
      <w:r w:rsidRPr="001B2492" w:rsidR="00A31F39">
        <w:t xml:space="preserve">Assessment </w:t>
      </w:r>
      <w:r w:rsidRPr="001B2492" w:rsidR="00204B3F">
        <w:t xml:space="preserve">Worksheet </w:t>
      </w:r>
      <w:r w:rsidRPr="001B2492" w:rsidR="00A31F39">
        <w:t>(“Form 33”) directly on-line to the web-based system (OIS)</w:t>
      </w:r>
      <w:r w:rsidRPr="001B2492">
        <w:t xml:space="preserve">.  This estimate </w:t>
      </w:r>
      <w:r w:rsidRPr="001B2492" w:rsidR="00350F72">
        <w:t xml:space="preserve">is liberally construed on the assumption that hazards are identified on all visits, and that consultants are able to make professional judgments about the employer’s safety and health management system on the basis of hazards identified, interviews, and review of related documents.  OSHA estimates that 12 to 18 entries can be made </w:t>
      </w:r>
      <w:r w:rsidRPr="001B2492" w:rsidR="00C65F6D">
        <w:t xml:space="preserve">in </w:t>
      </w:r>
      <w:r w:rsidRPr="001B2492" w:rsidR="00204B3F">
        <w:t>1 hour</w:t>
      </w:r>
      <w:r w:rsidRPr="001B2492" w:rsidR="00350F72">
        <w:t>.</w:t>
      </w:r>
      <w:r w:rsidRPr="001B2492" w:rsidR="00710CE1">
        <w:t xml:space="preserve">  </w:t>
      </w:r>
      <w:r w:rsidRPr="001B2492" w:rsidR="00D9275B">
        <w:t xml:space="preserve">In FY </w:t>
      </w:r>
      <w:r w:rsidRPr="001B2492" w:rsidR="00D96FE1">
        <w:t>2019</w:t>
      </w:r>
      <w:r w:rsidRPr="001B2492" w:rsidR="00D9275B">
        <w:t>, there were</w:t>
      </w:r>
      <w:r w:rsidRPr="001B2492" w:rsidR="00710CE1">
        <w:t xml:space="preserve"> </w:t>
      </w:r>
      <w:r w:rsidRPr="001B2492" w:rsidR="00D96FE1">
        <w:t>18,288</w:t>
      </w:r>
      <w:r w:rsidRPr="001B2492" w:rsidR="00710CE1">
        <w:t xml:space="preserve"> </w:t>
      </w:r>
      <w:r w:rsidRPr="001B2492" w:rsidR="00216899">
        <w:t xml:space="preserve">visits that </w:t>
      </w:r>
      <w:r w:rsidRPr="001B2492" w:rsidR="00D9275B">
        <w:t xml:space="preserve">were </w:t>
      </w:r>
      <w:r w:rsidRPr="001B2492" w:rsidR="00216899">
        <w:t>either limited in scope or focused only on safety hazards or only on health hazards</w:t>
      </w:r>
      <w:r w:rsidRPr="001B2492" w:rsidR="00D9275B">
        <w:t>.  Such visits</w:t>
      </w:r>
      <w:r w:rsidRPr="001B2492" w:rsidR="00D427DF">
        <w:t xml:space="preserve"> require </w:t>
      </w:r>
      <w:r w:rsidRPr="001B2492" w:rsidR="00204B3F">
        <w:t xml:space="preserve">1 hour of data entry time </w:t>
      </w:r>
      <w:r w:rsidRPr="001B2492" w:rsidR="00D427DF">
        <w:t>per visit</w:t>
      </w:r>
      <w:r w:rsidRPr="001B2492" w:rsidR="00D9275B">
        <w:t xml:space="preserve">. </w:t>
      </w:r>
      <w:r w:rsidRPr="001B2492" w:rsidR="00710CE1">
        <w:t xml:space="preserve"> </w:t>
      </w:r>
      <w:r w:rsidRPr="001B2492" w:rsidR="00D9275B">
        <w:t>T</w:t>
      </w:r>
      <w:r w:rsidRPr="001B2492" w:rsidR="00710CE1">
        <w:t>he total a</w:t>
      </w:r>
      <w:r w:rsidRPr="001B2492" w:rsidR="00D427DF">
        <w:t>nnual burden hours for limited visits</w:t>
      </w:r>
      <w:r w:rsidRPr="001B2492" w:rsidR="00710CE1">
        <w:t xml:space="preserve"> </w:t>
      </w:r>
      <w:r w:rsidRPr="001B2492" w:rsidR="00D9275B">
        <w:t xml:space="preserve">was </w:t>
      </w:r>
      <w:r w:rsidRPr="001B2492" w:rsidR="00D96FE1">
        <w:rPr>
          <w:b/>
          <w:bCs/>
        </w:rPr>
        <w:t>18,288</w:t>
      </w:r>
      <w:r w:rsidRPr="001B2492" w:rsidR="00921559">
        <w:rPr>
          <w:b/>
          <w:bCs/>
        </w:rPr>
        <w:t>.00</w:t>
      </w:r>
      <w:r w:rsidRPr="001B2492" w:rsidR="00DD15E6">
        <w:rPr>
          <w:b/>
          <w:bCs/>
        </w:rPr>
        <w:t xml:space="preserve"> </w:t>
      </w:r>
      <w:r w:rsidRPr="001B2492" w:rsidR="00710CE1">
        <w:rPr>
          <w:b/>
          <w:bCs/>
        </w:rPr>
        <w:t>hours</w:t>
      </w:r>
      <w:r w:rsidRPr="001B2492" w:rsidR="00D9275B">
        <w:t xml:space="preserve"> in FY </w:t>
      </w:r>
      <w:r w:rsidRPr="001B2492" w:rsidR="00D96FE1">
        <w:t>2019</w:t>
      </w:r>
      <w:r w:rsidRPr="001B2492" w:rsidR="00D9275B">
        <w:t>.</w:t>
      </w:r>
    </w:p>
    <w:p w:rsidRPr="001B2492" w:rsidR="00350F72" w:rsidP="00087D85" w:rsidRDefault="00350F72" w14:paraId="54738AF4" w14:textId="77777777">
      <w:pPr>
        <w:ind w:left="1440"/>
      </w:pPr>
    </w:p>
    <w:p w:rsidRPr="001B2492" w:rsidR="00D427DF" w:rsidP="00320EC9" w:rsidRDefault="00350F72" w14:paraId="1E01DB63" w14:textId="77777777">
      <w:pPr>
        <w:ind w:left="1440"/>
      </w:pPr>
      <w:r w:rsidRPr="001B2492">
        <w:t xml:space="preserve">During all </w:t>
      </w:r>
      <w:r w:rsidRPr="001B2492" w:rsidR="00954BC8">
        <w:t>On-Site</w:t>
      </w:r>
      <w:r w:rsidRPr="001B2492" w:rsidR="000532B2">
        <w:t xml:space="preserve"> </w:t>
      </w:r>
      <w:r w:rsidRPr="001B2492" w:rsidR="00FE6A01">
        <w:t xml:space="preserve">Consultation </w:t>
      </w:r>
      <w:r w:rsidRPr="001B2492">
        <w:t xml:space="preserve">visits related to SHARP or </w:t>
      </w:r>
      <w:r w:rsidRPr="001B2492" w:rsidR="00735E4C">
        <w:t xml:space="preserve">requiring </w:t>
      </w:r>
      <w:r w:rsidRPr="001B2492">
        <w:t xml:space="preserve">comprehensive program assistance, </w:t>
      </w:r>
      <w:r w:rsidRPr="001B2492" w:rsidR="000C368A">
        <w:t xml:space="preserve">consultants evaluate worksites on all attributes of the Safety and Health Program Assessment Worksheet, and make </w:t>
      </w:r>
      <w:r w:rsidRPr="001B2492">
        <w:t xml:space="preserve">58 entries </w:t>
      </w:r>
      <w:r w:rsidRPr="001B2492" w:rsidR="00235F75">
        <w:t xml:space="preserve">into </w:t>
      </w:r>
      <w:r w:rsidRPr="001B2492" w:rsidR="000C368A">
        <w:t xml:space="preserve">the web-based version of </w:t>
      </w:r>
      <w:r w:rsidRPr="001B2492" w:rsidR="00235F75">
        <w:t>Form 33</w:t>
      </w:r>
      <w:r w:rsidRPr="001B2492">
        <w:t>.</w:t>
      </w:r>
      <w:r w:rsidRPr="001B2492" w:rsidR="008649D7">
        <w:t xml:space="preserve">  OSHA estimates that 58 entries can be </w:t>
      </w:r>
      <w:r w:rsidRPr="001B2492" w:rsidR="00CA01CD">
        <w:t xml:space="preserve">assessed and entered </w:t>
      </w:r>
      <w:r w:rsidRPr="001B2492" w:rsidR="008649D7">
        <w:t xml:space="preserve">on the web-based </w:t>
      </w:r>
      <w:r w:rsidRPr="001B2492" w:rsidR="00A31F39">
        <w:t>Safety and Health</w:t>
      </w:r>
      <w:r w:rsidRPr="001B2492" w:rsidR="00216899">
        <w:t xml:space="preserve"> Program</w:t>
      </w:r>
      <w:r w:rsidRPr="001B2492" w:rsidR="00A31F39">
        <w:t xml:space="preserve"> Assessment </w:t>
      </w:r>
      <w:r w:rsidRPr="001B2492" w:rsidR="00216899">
        <w:t xml:space="preserve">Worksheet </w:t>
      </w:r>
      <w:r w:rsidRPr="001B2492" w:rsidR="008649D7">
        <w:t xml:space="preserve">in </w:t>
      </w:r>
      <w:r w:rsidRPr="001B2492" w:rsidR="00CA01CD">
        <w:t>5 hours</w:t>
      </w:r>
      <w:r w:rsidRPr="001B2492" w:rsidR="00C60B3C">
        <w:t>.</w:t>
      </w:r>
      <w:r w:rsidRPr="001B2492" w:rsidR="00D427DF">
        <w:t xml:space="preserve"> </w:t>
      </w:r>
      <w:r w:rsidRPr="001B2492" w:rsidR="00D9275B">
        <w:t>There were</w:t>
      </w:r>
      <w:r w:rsidRPr="001B2492" w:rsidR="00D427DF">
        <w:t xml:space="preserve"> </w:t>
      </w:r>
      <w:r w:rsidRPr="001B2492" w:rsidR="00921559">
        <w:t>1,173</w:t>
      </w:r>
      <w:r w:rsidRPr="001B2492" w:rsidR="00D427DF">
        <w:t xml:space="preserve"> </w:t>
      </w:r>
      <w:r w:rsidRPr="001B2492" w:rsidR="00735E4C">
        <w:t xml:space="preserve">SHARP </w:t>
      </w:r>
      <w:r w:rsidRPr="001B2492" w:rsidR="00D427DF">
        <w:t xml:space="preserve">visits </w:t>
      </w:r>
      <w:r w:rsidRPr="001B2492" w:rsidR="00D9275B">
        <w:t xml:space="preserve">in FY </w:t>
      </w:r>
      <w:r w:rsidRPr="001B2492" w:rsidR="00D96FE1">
        <w:t>2019</w:t>
      </w:r>
      <w:r w:rsidRPr="001B2492" w:rsidR="00D427DF">
        <w:t xml:space="preserve">, each requiring </w:t>
      </w:r>
      <w:r w:rsidRPr="001B2492" w:rsidR="00CA01CD">
        <w:t>5 hours</w:t>
      </w:r>
      <w:r w:rsidRPr="001B2492" w:rsidR="00D9275B">
        <w:t>.</w:t>
      </w:r>
      <w:r w:rsidRPr="001B2492" w:rsidR="00D427DF">
        <w:t xml:space="preserve"> </w:t>
      </w:r>
      <w:r w:rsidRPr="001B2492" w:rsidR="00D9275B">
        <w:t xml:space="preserve"> T</w:t>
      </w:r>
      <w:r w:rsidRPr="001B2492" w:rsidR="00D427DF">
        <w:t xml:space="preserve">he total annual burden hours for </w:t>
      </w:r>
      <w:r w:rsidRPr="001B2492" w:rsidR="00735E4C">
        <w:t xml:space="preserve">SHARP </w:t>
      </w:r>
      <w:r w:rsidRPr="001B2492" w:rsidR="00D427DF">
        <w:t xml:space="preserve">visits </w:t>
      </w:r>
      <w:r w:rsidRPr="001B2492" w:rsidR="00FC206B">
        <w:t xml:space="preserve">in FY </w:t>
      </w:r>
      <w:r w:rsidRPr="001B2492" w:rsidR="00921559">
        <w:t xml:space="preserve">2019 </w:t>
      </w:r>
      <w:r w:rsidRPr="001B2492" w:rsidR="00FC206B">
        <w:t>was</w:t>
      </w:r>
      <w:r w:rsidRPr="001B2492" w:rsidR="00D427DF">
        <w:t xml:space="preserve"> </w:t>
      </w:r>
      <w:r w:rsidRPr="001B2492" w:rsidR="00DD15E6">
        <w:rPr>
          <w:b/>
          <w:bCs/>
        </w:rPr>
        <w:t>5,</w:t>
      </w:r>
      <w:r w:rsidRPr="001B2492" w:rsidR="00921559">
        <w:rPr>
          <w:b/>
          <w:bCs/>
        </w:rPr>
        <w:t xml:space="preserve">865.00 </w:t>
      </w:r>
      <w:r w:rsidRPr="001B2492" w:rsidR="00D427DF">
        <w:rPr>
          <w:b/>
          <w:bCs/>
        </w:rPr>
        <w:t>hours</w:t>
      </w:r>
      <w:r w:rsidRPr="001B2492" w:rsidR="00D427DF">
        <w:t>.</w:t>
      </w:r>
    </w:p>
    <w:p w:rsidRPr="001B2492" w:rsidR="00235F75" w:rsidP="00320EC9" w:rsidRDefault="00235F75" w14:paraId="46ABBD8F" w14:textId="77777777">
      <w:pPr>
        <w:ind w:left="1440"/>
      </w:pPr>
    </w:p>
    <w:p w:rsidRPr="001B2492" w:rsidR="00235F75" w:rsidP="00320EC9" w:rsidRDefault="00235F75" w14:paraId="32256AFA" w14:textId="77777777">
      <w:pPr>
        <w:ind w:left="1440"/>
      </w:pPr>
      <w:r w:rsidRPr="001B2492">
        <w:t xml:space="preserve">In recent years a greater emphasis has been placed on providing comprehensive visits, and consequently a higher percentage of all visits involve a comprehensive analysis of the safety and health management programs. As a result, some Non-SHARP worksites have </w:t>
      </w:r>
      <w:r w:rsidRPr="001B2492" w:rsidR="00E6565A">
        <w:t>elected to receive</w:t>
      </w:r>
      <w:r w:rsidRPr="001B2492">
        <w:t xml:space="preserve"> a “Full Service Safety and Health Both” visit.</w:t>
      </w:r>
      <w:r w:rsidRPr="001B2492" w:rsidR="00E6565A">
        <w:t xml:space="preserve"> Such visits require</w:t>
      </w:r>
      <w:r w:rsidRPr="001B2492">
        <w:t xml:space="preserve"> the consultant to evaluate the worksite on all 58 attributes of the Safety and Health Assessment Worksheet, and enter the information into </w:t>
      </w:r>
      <w:r w:rsidRPr="001B2492" w:rsidR="00E6565A">
        <w:t xml:space="preserve">the web-based version of </w:t>
      </w:r>
      <w:r w:rsidRPr="001B2492">
        <w:t xml:space="preserve">Form 33.  </w:t>
      </w:r>
      <w:r w:rsidRPr="001B2492" w:rsidR="00F61400">
        <w:t>A total of</w:t>
      </w:r>
      <w:r w:rsidRPr="001B2492">
        <w:t xml:space="preserve"> </w:t>
      </w:r>
      <w:r w:rsidRPr="001B2492" w:rsidR="00921559">
        <w:t xml:space="preserve">3,382 </w:t>
      </w:r>
      <w:r w:rsidRPr="001B2492">
        <w:t>worksites receive</w:t>
      </w:r>
      <w:r w:rsidRPr="001B2492" w:rsidR="00F61400">
        <w:t>d</w:t>
      </w:r>
      <w:r w:rsidRPr="001B2492">
        <w:t xml:space="preserve"> Full Service Safety and Health Both visits </w:t>
      </w:r>
      <w:r w:rsidRPr="001B2492" w:rsidR="0021419B">
        <w:t xml:space="preserve">in FY </w:t>
      </w:r>
      <w:r w:rsidRPr="001B2492" w:rsidR="00D96FE1">
        <w:t>2019</w:t>
      </w:r>
      <w:r w:rsidRPr="001B2492">
        <w:t xml:space="preserve">. </w:t>
      </w:r>
      <w:r w:rsidRPr="001B2492" w:rsidR="0021419B">
        <w:t xml:space="preserve">The </w:t>
      </w:r>
      <w:r w:rsidRPr="001B2492" w:rsidR="00921559">
        <w:t>3,365</w:t>
      </w:r>
      <w:r w:rsidRPr="001B2492" w:rsidR="00F61400">
        <w:t xml:space="preserve"> </w:t>
      </w:r>
      <w:r w:rsidRPr="001B2492">
        <w:t xml:space="preserve">Full Service Safety and Health Both visits, each requiring 5 hours to complete the entire Form 33, </w:t>
      </w:r>
      <w:r w:rsidRPr="001B2492" w:rsidR="00C8391C">
        <w:t xml:space="preserve">resulting in </w:t>
      </w:r>
      <w:r w:rsidRPr="001B2492">
        <w:t xml:space="preserve">total annual burden hours for </w:t>
      </w:r>
      <w:r w:rsidRPr="001B2492" w:rsidR="00E6565A">
        <w:t xml:space="preserve">Full Service Safety and Health Both </w:t>
      </w:r>
      <w:r w:rsidRPr="001B2492">
        <w:t xml:space="preserve">visits </w:t>
      </w:r>
      <w:r w:rsidRPr="001B2492" w:rsidR="00C8391C">
        <w:t>of</w:t>
      </w:r>
      <w:r w:rsidRPr="001B2492" w:rsidR="0021419B">
        <w:t xml:space="preserve"> </w:t>
      </w:r>
      <w:r w:rsidRPr="001B2492" w:rsidR="00921559">
        <w:rPr>
          <w:b/>
          <w:bCs/>
        </w:rPr>
        <w:t>16,910.00</w:t>
      </w:r>
      <w:r w:rsidRPr="001B2492" w:rsidR="00CC1437">
        <w:rPr>
          <w:b/>
          <w:bCs/>
        </w:rPr>
        <w:t xml:space="preserve"> hours</w:t>
      </w:r>
      <w:r w:rsidRPr="001B2492">
        <w:t>.</w:t>
      </w:r>
    </w:p>
    <w:p w:rsidRPr="001B2492" w:rsidR="00D427DF" w:rsidP="00320EC9" w:rsidRDefault="00D427DF" w14:paraId="06BBA33E" w14:textId="77777777">
      <w:pPr>
        <w:ind w:left="1440"/>
      </w:pPr>
    </w:p>
    <w:p w:rsidRPr="001B2492" w:rsidR="00467EEB" w:rsidP="00467EEB" w:rsidRDefault="001D20CF" w14:paraId="1C70607F" w14:textId="77777777">
      <w:pPr>
        <w:ind w:firstLine="720"/>
        <w:rPr>
          <w:u w:val="single"/>
        </w:rPr>
      </w:pPr>
      <w:r w:rsidRPr="001B2492">
        <w:t>B</w:t>
      </w:r>
      <w:r w:rsidRPr="001B2492" w:rsidR="002C65D8">
        <w:t>.</w:t>
      </w:r>
      <w:r w:rsidRPr="001B2492">
        <w:tab/>
      </w:r>
      <w:r w:rsidRPr="001B2492" w:rsidR="00467EEB">
        <w:rPr>
          <w:u w:val="single"/>
        </w:rPr>
        <w:t>1908.6(e)</w:t>
      </w:r>
      <w:r w:rsidRPr="001B2492" w:rsidR="00866114">
        <w:rPr>
          <w:u w:val="single"/>
        </w:rPr>
        <w:t>(</w:t>
      </w:r>
      <w:r w:rsidRPr="001B2492" w:rsidR="00467EEB">
        <w:rPr>
          <w:u w:val="single"/>
        </w:rPr>
        <w:t>8</w:t>
      </w:r>
      <w:r w:rsidRPr="001B2492" w:rsidR="00E71AF1">
        <w:rPr>
          <w:u w:val="single"/>
        </w:rPr>
        <w:t>)</w:t>
      </w:r>
      <w:r w:rsidRPr="001B2492" w:rsidR="00467EEB">
        <w:rPr>
          <w:u w:val="single"/>
        </w:rPr>
        <w:t>:</w:t>
      </w:r>
    </w:p>
    <w:p w:rsidRPr="001B2492" w:rsidR="00467EEB" w:rsidP="00467EEB" w:rsidRDefault="00467EEB" w14:paraId="0465C0D0" w14:textId="77777777">
      <w:pPr>
        <w:ind w:left="1440"/>
      </w:pPr>
      <w:r w:rsidRPr="001B2492">
        <w:t xml:space="preserve">Prepare and transmit a list of serious hazards and their correction due dates.  </w:t>
      </w:r>
      <w:r w:rsidRPr="001B2492" w:rsidR="0021419B">
        <w:t xml:space="preserve">OSHA has determined </w:t>
      </w:r>
      <w:r w:rsidRPr="001B2492">
        <w:t>that it takes the consultant an average of five minutes</w:t>
      </w:r>
      <w:r w:rsidRPr="001B2492" w:rsidR="009078D2">
        <w:t xml:space="preserve"> (.08 hour) </w:t>
      </w:r>
      <w:r w:rsidRPr="001B2492">
        <w:t xml:space="preserve">to compile the list.  Assuming that serious hazards are identified in each of </w:t>
      </w:r>
      <w:r w:rsidRPr="001B2492" w:rsidR="009078D2">
        <w:t xml:space="preserve">the </w:t>
      </w:r>
      <w:r w:rsidRPr="001B2492" w:rsidR="00B85EA0">
        <w:t>22,</w:t>
      </w:r>
      <w:r w:rsidRPr="001B2492" w:rsidR="00921559">
        <w:t xml:space="preserve">843 </w:t>
      </w:r>
      <w:r w:rsidRPr="001B2492">
        <w:t xml:space="preserve">consultation </w:t>
      </w:r>
      <w:r w:rsidRPr="001B2492" w:rsidR="00B85EA0">
        <w:t xml:space="preserve">initial </w:t>
      </w:r>
      <w:r w:rsidRPr="001B2492">
        <w:t>visits</w:t>
      </w:r>
      <w:r w:rsidRPr="001B2492" w:rsidR="00B85EA0">
        <w:t xml:space="preserve"> conducted in FY </w:t>
      </w:r>
      <w:r w:rsidRPr="001B2492" w:rsidR="00D96FE1">
        <w:t>2019</w:t>
      </w:r>
      <w:r w:rsidRPr="001B2492">
        <w:t xml:space="preserve">, the resulting burden hours </w:t>
      </w:r>
      <w:r w:rsidRPr="001B2492" w:rsidR="00B85EA0">
        <w:t>is</w:t>
      </w:r>
      <w:r w:rsidRPr="001B2492">
        <w:t xml:space="preserve"> </w:t>
      </w:r>
      <w:r w:rsidRPr="001B2492" w:rsidR="009D5F7D">
        <w:rPr>
          <w:b/>
          <w:bCs/>
        </w:rPr>
        <w:t>1,</w:t>
      </w:r>
      <w:r w:rsidRPr="001B2492" w:rsidR="00921559">
        <w:rPr>
          <w:b/>
          <w:bCs/>
        </w:rPr>
        <w:t xml:space="preserve">827.44 </w:t>
      </w:r>
      <w:r w:rsidRPr="001B2492">
        <w:rPr>
          <w:b/>
          <w:bCs/>
        </w:rPr>
        <w:t>hours</w:t>
      </w:r>
      <w:r w:rsidRPr="001B2492">
        <w:t xml:space="preserve">.  </w:t>
      </w:r>
    </w:p>
    <w:p w:rsidRPr="001B2492" w:rsidR="009078D2" w:rsidP="00467EEB" w:rsidRDefault="009078D2" w14:paraId="464FCBC1" w14:textId="77777777">
      <w:pPr>
        <w:ind w:left="1440"/>
      </w:pPr>
    </w:p>
    <w:p w:rsidRPr="001B2492" w:rsidR="002C65D8" w:rsidP="5A644184" w:rsidRDefault="00467EEB" w14:paraId="291829EA" w14:textId="77777777">
      <w:pPr>
        <w:ind w:firstLine="720"/>
        <w:rPr>
          <w:u w:val="single"/>
        </w:rPr>
      </w:pPr>
      <w:r w:rsidRPr="001B2492">
        <w:t>C.</w:t>
      </w:r>
      <w:r w:rsidRPr="001B2492">
        <w:tab/>
      </w:r>
      <w:r w:rsidRPr="001B2492" w:rsidR="002C65D8">
        <w:rPr>
          <w:u w:val="single"/>
        </w:rPr>
        <w:t>1908.6(f)(1) and (4):</w:t>
      </w:r>
    </w:p>
    <w:p w:rsidRPr="001B2492" w:rsidR="002C65D8" w:rsidP="002C65D8" w:rsidRDefault="002C65D8" w14:paraId="34A3E8D5" w14:textId="77777777">
      <w:pPr>
        <w:ind w:left="1440"/>
      </w:pPr>
      <w:r w:rsidRPr="001B2492">
        <w:t xml:space="preserve">Inform enforcement authority if the employer fails to take action to correct serious hazard and/or fails to comply with the requirement to post report of serious hazards.  The </w:t>
      </w:r>
      <w:r w:rsidRPr="001B2492" w:rsidR="00954BC8">
        <w:t>On-Site</w:t>
      </w:r>
      <w:r w:rsidRPr="001B2492">
        <w:t xml:space="preserve"> Consultation </w:t>
      </w:r>
      <w:r w:rsidRPr="001B2492" w:rsidR="0020737B">
        <w:t>Program</w:t>
      </w:r>
      <w:r w:rsidRPr="001B2492">
        <w:t xml:space="preserve"> manager is responsible for making referrals to the enforcement authority.</w:t>
      </w:r>
    </w:p>
    <w:p w:rsidRPr="001B2492" w:rsidR="002C65D8" w:rsidP="002C65D8" w:rsidRDefault="002C65D8" w14:paraId="5C8C6B09" w14:textId="77777777"/>
    <w:p w:rsidRPr="001B2492" w:rsidR="002C65D8" w:rsidP="00710CE1" w:rsidRDefault="002C65D8" w14:paraId="4352CAAF" w14:textId="77777777">
      <w:pPr>
        <w:ind w:left="1440"/>
      </w:pPr>
      <w:r w:rsidRPr="001B2492">
        <w:t xml:space="preserve">OSHA </w:t>
      </w:r>
      <w:r w:rsidRPr="001B2492" w:rsidR="00361537">
        <w:t xml:space="preserve">has </w:t>
      </w:r>
      <w:r w:rsidRPr="001B2492" w:rsidR="00C34D4C">
        <w:t xml:space="preserve">determined </w:t>
      </w:r>
      <w:r w:rsidRPr="001B2492" w:rsidR="00361537">
        <w:t xml:space="preserve">that </w:t>
      </w:r>
      <w:r w:rsidRPr="001B2492" w:rsidR="00F86390">
        <w:t xml:space="preserve">7 </w:t>
      </w:r>
      <w:r w:rsidRPr="001B2492">
        <w:t>visits result</w:t>
      </w:r>
      <w:r w:rsidRPr="001B2492" w:rsidR="00C34D4C">
        <w:t>ed</w:t>
      </w:r>
      <w:r w:rsidRPr="001B2492">
        <w:t xml:space="preserve"> in referrals </w:t>
      </w:r>
      <w:r w:rsidRPr="001B2492" w:rsidR="00361537">
        <w:t xml:space="preserve">to </w:t>
      </w:r>
      <w:r w:rsidRPr="001B2492">
        <w:t>enforcement</w:t>
      </w:r>
      <w:r w:rsidRPr="001B2492" w:rsidR="00361537">
        <w:t xml:space="preserve"> </w:t>
      </w:r>
      <w:r w:rsidRPr="001B2492" w:rsidR="00C34D4C">
        <w:t xml:space="preserve">in FY </w:t>
      </w:r>
      <w:r w:rsidRPr="001B2492" w:rsidR="00D96FE1">
        <w:t>2019</w:t>
      </w:r>
      <w:r w:rsidRPr="001B2492">
        <w:t xml:space="preserve">. Therefore, </w:t>
      </w:r>
      <w:r w:rsidRPr="001B2492" w:rsidR="003D57A3">
        <w:t>the</w:t>
      </w:r>
      <w:r w:rsidRPr="001B2492">
        <w:t xml:space="preserve"> </w:t>
      </w:r>
      <w:r w:rsidRPr="001B2492" w:rsidR="00F86390">
        <w:t xml:space="preserve">7 </w:t>
      </w:r>
      <w:r w:rsidRPr="001B2492">
        <w:t>referrals</w:t>
      </w:r>
      <w:r w:rsidRPr="001B2492" w:rsidR="003D57A3">
        <w:t>, requiring 30</w:t>
      </w:r>
      <w:r w:rsidRPr="001B2492" w:rsidR="004B641B">
        <w:t xml:space="preserve"> minutes (</w:t>
      </w:r>
      <w:r w:rsidRPr="001B2492">
        <w:t>0.5 hour</w:t>
      </w:r>
      <w:r w:rsidRPr="001B2492" w:rsidR="004B641B">
        <w:t>)</w:t>
      </w:r>
      <w:r w:rsidRPr="001B2492">
        <w:t xml:space="preserve"> per referral, </w:t>
      </w:r>
      <w:r w:rsidRPr="001B2492" w:rsidR="003D57A3">
        <w:t xml:space="preserve">totaled resulted in </w:t>
      </w:r>
      <w:r w:rsidRPr="001B2492">
        <w:t xml:space="preserve">annual burden hours </w:t>
      </w:r>
      <w:r w:rsidRPr="001B2492" w:rsidR="003D57A3">
        <w:t>of</w:t>
      </w:r>
      <w:r w:rsidRPr="001B2492">
        <w:t xml:space="preserve"> </w:t>
      </w:r>
      <w:r w:rsidRPr="001B2492" w:rsidR="00F86390">
        <w:rPr>
          <w:b/>
          <w:bCs/>
        </w:rPr>
        <w:t>3</w:t>
      </w:r>
      <w:r w:rsidRPr="001B2492" w:rsidR="00B5234E">
        <w:rPr>
          <w:b/>
          <w:bCs/>
        </w:rPr>
        <w:t>.5</w:t>
      </w:r>
      <w:r w:rsidRPr="001B2492" w:rsidR="00006D1C">
        <w:rPr>
          <w:b/>
          <w:bCs/>
        </w:rPr>
        <w:t>0</w:t>
      </w:r>
      <w:r w:rsidRPr="001B2492" w:rsidR="00B5234E">
        <w:rPr>
          <w:b/>
          <w:bCs/>
        </w:rPr>
        <w:t xml:space="preserve"> </w:t>
      </w:r>
      <w:r w:rsidRPr="001B2492" w:rsidR="00C8391C">
        <w:rPr>
          <w:b/>
          <w:bCs/>
        </w:rPr>
        <w:t>hours</w:t>
      </w:r>
      <w:r w:rsidRPr="001B2492">
        <w:t>.</w:t>
      </w:r>
    </w:p>
    <w:p w:rsidRPr="001B2492" w:rsidR="004B641B" w:rsidP="00710CE1" w:rsidRDefault="004B641B" w14:paraId="3382A365" w14:textId="77777777">
      <w:pPr>
        <w:ind w:left="1440"/>
      </w:pPr>
    </w:p>
    <w:p w:rsidRPr="001B2492" w:rsidR="00FC4BF3" w:rsidP="004A2281" w:rsidRDefault="00467EEB" w14:paraId="2B40A172" w14:textId="77777777">
      <w:pPr>
        <w:ind w:firstLine="720"/>
        <w:rPr>
          <w:u w:val="single"/>
        </w:rPr>
      </w:pPr>
      <w:r w:rsidRPr="001B2492">
        <w:t>D</w:t>
      </w:r>
      <w:r w:rsidRPr="001B2492" w:rsidR="004A2281">
        <w:t>.</w:t>
      </w:r>
      <w:r w:rsidRPr="001B2492">
        <w:tab/>
      </w:r>
      <w:r w:rsidRPr="001B2492" w:rsidR="003D7551">
        <w:rPr>
          <w:u w:val="single"/>
        </w:rPr>
        <w:t>1908.6(g</w:t>
      </w:r>
      <w:r w:rsidRPr="001B2492" w:rsidR="00FC4BF3">
        <w:rPr>
          <w:u w:val="single"/>
        </w:rPr>
        <w:t>)</w:t>
      </w:r>
      <w:r w:rsidRPr="001B2492" w:rsidR="003D7551">
        <w:rPr>
          <w:u w:val="single"/>
        </w:rPr>
        <w:t>(1)</w:t>
      </w:r>
      <w:r w:rsidRPr="001B2492" w:rsidR="00FC4BF3">
        <w:rPr>
          <w:u w:val="single"/>
        </w:rPr>
        <w:t>:</w:t>
      </w:r>
    </w:p>
    <w:p w:rsidRPr="001B2492" w:rsidR="00FC4BF3" w:rsidP="00467EEB" w:rsidRDefault="00FC4BF3" w14:paraId="3065AA9B" w14:textId="77777777">
      <w:pPr>
        <w:ind w:left="1440"/>
      </w:pPr>
      <w:r w:rsidRPr="001B2492">
        <w:t>Prepare and transmit</w:t>
      </w:r>
      <w:r w:rsidRPr="001B2492" w:rsidR="00033BC5">
        <w:t xml:space="preserve"> a</w:t>
      </w:r>
      <w:r w:rsidRPr="001B2492">
        <w:t xml:space="preserve"> written rep</w:t>
      </w:r>
      <w:r w:rsidRPr="001B2492" w:rsidR="00385988">
        <w:t>ort</w:t>
      </w:r>
      <w:r w:rsidRPr="001B2492" w:rsidR="00033BC5">
        <w:t xml:space="preserve"> to the employer</w:t>
      </w:r>
      <w:r w:rsidRPr="001B2492" w:rsidR="00571644">
        <w:t xml:space="preserve"> for each </w:t>
      </w:r>
      <w:r w:rsidRPr="001B2492" w:rsidR="00954BC8">
        <w:t>On-Site</w:t>
      </w:r>
      <w:r w:rsidRPr="001B2492" w:rsidR="00E26637">
        <w:t xml:space="preserve"> C</w:t>
      </w:r>
      <w:r w:rsidRPr="001B2492" w:rsidR="00571644">
        <w:t>onsultation visit which results in substantive findings or recommendations</w:t>
      </w:r>
      <w:r w:rsidRPr="001B2492" w:rsidR="009513E3">
        <w:t>.  The report consists of</w:t>
      </w:r>
      <w:r w:rsidRPr="001B2492" w:rsidR="00CB4D0E">
        <w:t>:</w:t>
      </w:r>
      <w:r w:rsidRPr="001B2492" w:rsidR="009513E3">
        <w:t xml:space="preserve"> </w:t>
      </w:r>
      <w:r w:rsidRPr="001B2492" w:rsidR="00934250">
        <w:t>a</w:t>
      </w:r>
      <w:r w:rsidRPr="001B2492" w:rsidR="00CB4D0E">
        <w:t>) a</w:t>
      </w:r>
      <w:r w:rsidRPr="001B2492" w:rsidR="00934250">
        <w:t xml:space="preserve"> restatement of the employer’s request for a</w:t>
      </w:r>
      <w:r w:rsidRPr="001B2492" w:rsidR="00E26637">
        <w:t xml:space="preserve">n </w:t>
      </w:r>
      <w:r w:rsidRPr="001B2492" w:rsidR="00954BC8">
        <w:t>On-Site</w:t>
      </w:r>
      <w:r w:rsidRPr="001B2492" w:rsidR="00934250">
        <w:t xml:space="preserve"> </w:t>
      </w:r>
      <w:r w:rsidRPr="001B2492" w:rsidR="00E26637">
        <w:t xml:space="preserve">Consultation </w:t>
      </w:r>
      <w:r w:rsidRPr="001B2492" w:rsidR="00934250">
        <w:t>visit</w:t>
      </w:r>
      <w:r w:rsidRPr="001B2492" w:rsidR="00571644">
        <w:t xml:space="preserve"> and a description of </w:t>
      </w:r>
      <w:r w:rsidRPr="001B2492" w:rsidR="00495BBD">
        <w:t>the working conditions</w:t>
      </w:r>
      <w:r w:rsidRPr="001B2492" w:rsidR="00934250">
        <w:t>;</w:t>
      </w:r>
      <w:r w:rsidRPr="001B2492" w:rsidR="00CB4D0E">
        <w:t xml:space="preserve"> b) a</w:t>
      </w:r>
      <w:r w:rsidRPr="001B2492" w:rsidR="00934250">
        <w:t xml:space="preserve"> </w:t>
      </w:r>
      <w:r w:rsidRPr="001B2492" w:rsidR="00CB4D0E">
        <w:t>description of</w:t>
      </w:r>
      <w:r w:rsidRPr="001B2492" w:rsidR="00033BC5">
        <w:t xml:space="preserve"> </w:t>
      </w:r>
      <w:r w:rsidRPr="001B2492" w:rsidR="00571644">
        <w:t xml:space="preserve">all </w:t>
      </w:r>
      <w:r w:rsidRPr="001B2492" w:rsidR="00385988">
        <w:t>hazards identified</w:t>
      </w:r>
      <w:r w:rsidRPr="001B2492" w:rsidR="003904F4">
        <w:t xml:space="preserve"> dur</w:t>
      </w:r>
      <w:r w:rsidRPr="001B2492" w:rsidR="00CB4D0E">
        <w:t xml:space="preserve">ing the </w:t>
      </w:r>
      <w:r w:rsidRPr="001B2492" w:rsidR="00954BC8">
        <w:t>On-Site</w:t>
      </w:r>
      <w:r w:rsidRPr="001B2492" w:rsidR="00E26637">
        <w:t xml:space="preserve"> Consultation visit, </w:t>
      </w:r>
      <w:r w:rsidRPr="001B2492" w:rsidR="00495BBD">
        <w:t>including a reference to the applicable standards and codes</w:t>
      </w:r>
      <w:r w:rsidRPr="001B2492" w:rsidR="00CB4D0E">
        <w:t>; c) an evaluation of</w:t>
      </w:r>
      <w:r w:rsidRPr="001B2492" w:rsidR="003904F4">
        <w:t xml:space="preserve"> the employer’s safety and health management plan</w:t>
      </w:r>
      <w:r w:rsidRPr="001B2492" w:rsidR="00495BBD">
        <w:t xml:space="preserve"> and suggestions to improve upon it</w:t>
      </w:r>
      <w:r w:rsidRPr="001B2492" w:rsidR="003904F4">
        <w:t xml:space="preserve">; </w:t>
      </w:r>
      <w:r w:rsidRPr="001B2492" w:rsidR="00CB4D0E">
        <w:t>d) suggested</w:t>
      </w:r>
      <w:r w:rsidRPr="001B2492" w:rsidR="009513E3">
        <w:t xml:space="preserve"> means or approaches to correcting the identified hazards</w:t>
      </w:r>
      <w:r w:rsidRPr="001B2492" w:rsidR="00571644">
        <w:t>;</w:t>
      </w:r>
      <w:r w:rsidRPr="001B2492" w:rsidR="006117AB">
        <w:t xml:space="preserve"> e) references to additional sources of assistance to correct a hazard</w:t>
      </w:r>
      <w:r w:rsidRPr="001B2492" w:rsidR="00571644">
        <w:t>; and f) completion dates for</w:t>
      </w:r>
      <w:r w:rsidRPr="001B2492" w:rsidR="00495BBD">
        <w:t xml:space="preserve"> the</w:t>
      </w:r>
      <w:r w:rsidRPr="001B2492" w:rsidR="00571644">
        <w:t xml:space="preserve"> correction of all hazards</w:t>
      </w:r>
      <w:r w:rsidRPr="001B2492" w:rsidR="006117AB">
        <w:t>.</w:t>
      </w:r>
      <w:r w:rsidRPr="001B2492">
        <w:t xml:space="preserve">  </w:t>
      </w:r>
      <w:r w:rsidRPr="001B2492" w:rsidR="00495BBD">
        <w:t>It is estimated that it takes a</w:t>
      </w:r>
      <w:r w:rsidRPr="001B2492" w:rsidR="00421002">
        <w:t xml:space="preserve"> consultant an average of </w:t>
      </w:r>
      <w:r w:rsidRPr="001B2492" w:rsidR="00524FDD">
        <w:t>7</w:t>
      </w:r>
      <w:r w:rsidRPr="001B2492" w:rsidR="004B641B">
        <w:t>.5 hour</w:t>
      </w:r>
      <w:r w:rsidRPr="001B2492" w:rsidR="00524FDD">
        <w:t>s</w:t>
      </w:r>
      <w:r w:rsidRPr="001B2492" w:rsidR="004B641B">
        <w:t xml:space="preserve"> </w:t>
      </w:r>
      <w:r w:rsidRPr="001B2492" w:rsidR="007E66EC">
        <w:t>to</w:t>
      </w:r>
      <w:r w:rsidRPr="001B2492" w:rsidR="006117AB">
        <w:t xml:space="preserve"> complete</w:t>
      </w:r>
      <w:r w:rsidRPr="001B2492" w:rsidR="00495BBD">
        <w:t xml:space="preserve"> such</w:t>
      </w:r>
      <w:r w:rsidRPr="001B2492" w:rsidR="006117AB">
        <w:t xml:space="preserve"> a</w:t>
      </w:r>
      <w:r w:rsidRPr="001B2492" w:rsidR="007E66EC">
        <w:t xml:space="preserve"> </w:t>
      </w:r>
      <w:r w:rsidRPr="001B2492" w:rsidR="006117AB">
        <w:t>written</w:t>
      </w:r>
      <w:r w:rsidRPr="001B2492" w:rsidR="00421002">
        <w:t xml:space="preserve"> report</w:t>
      </w:r>
      <w:r w:rsidRPr="001B2492" w:rsidR="007E66EC">
        <w:t xml:space="preserve">.  </w:t>
      </w:r>
      <w:r w:rsidRPr="001B2492" w:rsidR="003D57A3">
        <w:t>S</w:t>
      </w:r>
      <w:r w:rsidRPr="001B2492" w:rsidR="007E66EC">
        <w:t xml:space="preserve">erious hazards </w:t>
      </w:r>
      <w:r w:rsidRPr="001B2492" w:rsidR="003D57A3">
        <w:t>we</w:t>
      </w:r>
      <w:r w:rsidRPr="001B2492" w:rsidR="007E66EC">
        <w:t xml:space="preserve">re identified in </w:t>
      </w:r>
      <w:r w:rsidRPr="001B2492" w:rsidR="00F86390">
        <w:t>22,843</w:t>
      </w:r>
      <w:r w:rsidRPr="001B2492" w:rsidR="00B85EA0">
        <w:t xml:space="preserve"> </w:t>
      </w:r>
      <w:r w:rsidRPr="001B2492" w:rsidR="00BF0615">
        <w:t xml:space="preserve">initial </w:t>
      </w:r>
      <w:r w:rsidRPr="001B2492" w:rsidR="006117AB">
        <w:t>consultation visits</w:t>
      </w:r>
      <w:r w:rsidRPr="001B2492" w:rsidR="003D57A3">
        <w:t>.  The</w:t>
      </w:r>
      <w:r w:rsidRPr="001B2492" w:rsidR="007E66EC">
        <w:t xml:space="preserve"> resulting burden hours</w:t>
      </w:r>
      <w:r w:rsidRPr="001B2492" w:rsidR="00495BBD">
        <w:t xml:space="preserve"> </w:t>
      </w:r>
      <w:r w:rsidRPr="001B2492" w:rsidR="003D57A3">
        <w:t xml:space="preserve">in FY </w:t>
      </w:r>
      <w:r w:rsidRPr="001B2492" w:rsidR="00D96FE1">
        <w:t>2019</w:t>
      </w:r>
      <w:r w:rsidRPr="001B2492" w:rsidR="003D57A3">
        <w:t xml:space="preserve"> </w:t>
      </w:r>
      <w:r w:rsidRPr="001B2492" w:rsidR="00495BBD">
        <w:t>for this activity</w:t>
      </w:r>
      <w:r w:rsidRPr="001B2492" w:rsidR="007E66EC">
        <w:t xml:space="preserve"> </w:t>
      </w:r>
      <w:r w:rsidRPr="001B2492" w:rsidR="003D57A3">
        <w:t>therefore was</w:t>
      </w:r>
      <w:r w:rsidRPr="001B2492" w:rsidR="007E66EC">
        <w:t xml:space="preserve"> </w:t>
      </w:r>
      <w:r w:rsidRPr="001B2492" w:rsidR="00F86390">
        <w:rPr>
          <w:b/>
          <w:bCs/>
        </w:rPr>
        <w:t>171,322.50</w:t>
      </w:r>
      <w:r w:rsidRPr="001B2492" w:rsidR="00B85EA0">
        <w:rPr>
          <w:b/>
          <w:bCs/>
        </w:rPr>
        <w:t xml:space="preserve"> </w:t>
      </w:r>
      <w:r w:rsidRPr="001B2492" w:rsidR="007E66EC">
        <w:rPr>
          <w:b/>
          <w:bCs/>
        </w:rPr>
        <w:t>hours</w:t>
      </w:r>
      <w:r w:rsidRPr="001B2492" w:rsidR="007E66EC">
        <w:t xml:space="preserve">.  </w:t>
      </w:r>
    </w:p>
    <w:p w:rsidRPr="001B2492" w:rsidR="004B641B" w:rsidP="00467EEB" w:rsidRDefault="004B641B" w14:paraId="5C71F136" w14:textId="77777777">
      <w:pPr>
        <w:ind w:left="1440"/>
      </w:pPr>
    </w:p>
    <w:p w:rsidRPr="001B2492" w:rsidR="00013D73" w:rsidP="5A644184" w:rsidRDefault="00467EEB" w14:paraId="7A51A0FA" w14:textId="77777777">
      <w:pPr>
        <w:ind w:firstLine="720"/>
        <w:rPr>
          <w:u w:val="single"/>
        </w:rPr>
      </w:pPr>
      <w:r w:rsidRPr="001B2492">
        <w:t>E</w:t>
      </w:r>
      <w:r w:rsidRPr="001B2492" w:rsidR="00013D73">
        <w:t>.</w:t>
      </w:r>
      <w:r w:rsidRPr="001B2492">
        <w:tab/>
      </w:r>
      <w:r w:rsidRPr="001B2492" w:rsidR="00013D73">
        <w:rPr>
          <w:u w:val="single"/>
        </w:rPr>
        <w:t>1908.7(b)(1):</w:t>
      </w:r>
    </w:p>
    <w:p w:rsidRPr="001B2492" w:rsidR="00013D73" w:rsidP="00013D73" w:rsidRDefault="00013D73" w14:paraId="679367B7" w14:textId="77777777">
      <w:pPr>
        <w:ind w:left="1440"/>
      </w:pPr>
      <w:r w:rsidRPr="001B2492">
        <w:t xml:space="preserve">Inform any OSHA or State compliance officer who arrives that an </w:t>
      </w:r>
      <w:r w:rsidRPr="001B2492" w:rsidR="00954BC8">
        <w:t>On-Site</w:t>
      </w:r>
      <w:r w:rsidRPr="001B2492">
        <w:t xml:space="preserve"> </w:t>
      </w:r>
      <w:r w:rsidRPr="001B2492" w:rsidR="00FE6A01">
        <w:t xml:space="preserve">Consultation </w:t>
      </w:r>
      <w:r w:rsidRPr="001B2492">
        <w:t xml:space="preserve">visit is in progress.  This requirement applies to any employer using the free consultation service and is designed to prevent a duplication of effort between </w:t>
      </w:r>
      <w:r w:rsidRPr="001B2492" w:rsidR="00954BC8">
        <w:t>On-Site</w:t>
      </w:r>
      <w:r w:rsidRPr="001B2492">
        <w:t xml:space="preserve"> </w:t>
      </w:r>
      <w:r w:rsidRPr="001B2492" w:rsidR="00FE6A01">
        <w:t xml:space="preserve">Consultation </w:t>
      </w:r>
      <w:r w:rsidRPr="001B2492">
        <w:t>and OSHA enforcement.</w:t>
      </w:r>
    </w:p>
    <w:p w:rsidRPr="001B2492" w:rsidR="00013D73" w:rsidP="00013D73" w:rsidRDefault="00013D73" w14:paraId="62199465" w14:textId="77777777"/>
    <w:p w:rsidRPr="001B2492" w:rsidR="00013D73" w:rsidP="00283B73" w:rsidRDefault="00013D73" w14:paraId="3E6ED432" w14:textId="77777777">
      <w:pPr>
        <w:ind w:left="1440"/>
      </w:pPr>
      <w:r w:rsidRPr="001B2492">
        <w:t xml:space="preserve">OSHA estimates that 5 percent of all high hazard employers eligible for inspections are actually inspected in any given year.  Priority for </w:t>
      </w:r>
      <w:r w:rsidRPr="001B2492" w:rsidR="00954BC8">
        <w:t>On-Site</w:t>
      </w:r>
      <w:r w:rsidRPr="001B2492" w:rsidR="00E26637">
        <w:t xml:space="preserve"> Consultation </w:t>
      </w:r>
      <w:r w:rsidRPr="001B2492">
        <w:t xml:space="preserve">visits are given to small, high-hazard companies.  By extension of the fact that both OSHA and the </w:t>
      </w:r>
      <w:r w:rsidRPr="001B2492" w:rsidR="00954BC8">
        <w:t>On-Site</w:t>
      </w:r>
      <w:r w:rsidRPr="001B2492">
        <w:t xml:space="preserve"> Consultation </w:t>
      </w:r>
      <w:r w:rsidRPr="001B2492" w:rsidR="0020737B">
        <w:t>Program</w:t>
      </w:r>
      <w:r w:rsidRPr="001B2492">
        <w:t>s place a higher priority on high hazard companies, and the fact that five percent of companies receive compliance inspections, OSHA estimates that a compliance officer will arrive at a facility receiving a</w:t>
      </w:r>
      <w:r w:rsidRPr="001B2492" w:rsidR="00E26637">
        <w:t>n</w:t>
      </w:r>
      <w:r w:rsidRPr="001B2492">
        <w:t xml:space="preserve"> </w:t>
      </w:r>
      <w:r w:rsidRPr="001B2492" w:rsidR="00954BC8">
        <w:t>On-Site</w:t>
      </w:r>
      <w:r w:rsidRPr="001B2492" w:rsidR="00E26637">
        <w:t xml:space="preserve"> C</w:t>
      </w:r>
      <w:r w:rsidRPr="001B2492">
        <w:t xml:space="preserve">onsultation visit on five percent of all </w:t>
      </w:r>
      <w:r w:rsidRPr="001B2492" w:rsidR="00954BC8">
        <w:t>On-Site</w:t>
      </w:r>
      <w:r w:rsidRPr="001B2492" w:rsidR="00E26637">
        <w:t xml:space="preserve"> Consultation </w:t>
      </w:r>
      <w:r w:rsidRPr="001B2492">
        <w:t xml:space="preserve">visits (i.e. </w:t>
      </w:r>
      <w:r w:rsidRPr="001B2492" w:rsidR="00595714">
        <w:t>1,</w:t>
      </w:r>
      <w:r w:rsidRPr="001B2492" w:rsidR="00F86390">
        <w:t xml:space="preserve">142 </w:t>
      </w:r>
      <w:r w:rsidRPr="001B2492">
        <w:t xml:space="preserve">employers).  It takes approximately </w:t>
      </w:r>
      <w:r w:rsidRPr="001B2492" w:rsidR="00A610DA">
        <w:t>six minutes (</w:t>
      </w:r>
      <w:r w:rsidRPr="001B2492">
        <w:t>.1</w:t>
      </w:r>
      <w:r w:rsidRPr="001B2492" w:rsidR="00A610DA">
        <w:t>0</w:t>
      </w:r>
      <w:r w:rsidRPr="001B2492">
        <w:t xml:space="preserve"> hour</w:t>
      </w:r>
      <w:r w:rsidRPr="001B2492" w:rsidR="00A610DA">
        <w:t>)</w:t>
      </w:r>
      <w:r w:rsidRPr="001B2492">
        <w:t xml:space="preserve"> to inform a compliance officer that a</w:t>
      </w:r>
      <w:r w:rsidRPr="001B2492" w:rsidR="00E26637">
        <w:t xml:space="preserve">n </w:t>
      </w:r>
      <w:r w:rsidRPr="001B2492" w:rsidR="00954BC8">
        <w:t>On-Site</w:t>
      </w:r>
      <w:r w:rsidRPr="001B2492" w:rsidR="00E26637">
        <w:t xml:space="preserve"> C</w:t>
      </w:r>
      <w:r w:rsidRPr="001B2492">
        <w:t>onsultation visit is in progress.  This func</w:t>
      </w:r>
      <w:r w:rsidRPr="001B2492" w:rsidR="00283B73">
        <w:t xml:space="preserve">tion is performed by the </w:t>
      </w:r>
      <w:r w:rsidRPr="001B2492" w:rsidR="0020737B">
        <w:t>Program</w:t>
      </w:r>
      <w:r w:rsidRPr="001B2492" w:rsidR="00283B73">
        <w:t xml:space="preserve"> Manager</w:t>
      </w:r>
      <w:r w:rsidRPr="001B2492">
        <w:t xml:space="preserve"> and results in a maximum of </w:t>
      </w:r>
      <w:r w:rsidRPr="001B2492" w:rsidR="00EB7F24">
        <w:rPr>
          <w:b/>
          <w:bCs/>
        </w:rPr>
        <w:t>114</w:t>
      </w:r>
      <w:r w:rsidRPr="001B2492" w:rsidR="00F86390">
        <w:rPr>
          <w:b/>
          <w:bCs/>
        </w:rPr>
        <w:t>.20</w:t>
      </w:r>
      <w:r w:rsidRPr="001B2492" w:rsidR="00595714">
        <w:rPr>
          <w:b/>
          <w:bCs/>
        </w:rPr>
        <w:t xml:space="preserve"> </w:t>
      </w:r>
      <w:r w:rsidRPr="001B2492">
        <w:rPr>
          <w:b/>
          <w:bCs/>
        </w:rPr>
        <w:t>burden hours</w:t>
      </w:r>
      <w:r w:rsidRPr="001B2492">
        <w:t>.</w:t>
      </w:r>
    </w:p>
    <w:p w:rsidRPr="001B2492" w:rsidR="00A610DA" w:rsidP="00283B73" w:rsidRDefault="00A610DA" w14:paraId="0DA123B1" w14:textId="77777777">
      <w:pPr>
        <w:ind w:left="1440"/>
      </w:pPr>
    </w:p>
    <w:p w:rsidRPr="001B2492" w:rsidR="00FC4BF3" w:rsidP="5A644184" w:rsidRDefault="00467EEB" w14:paraId="203D7A84" w14:textId="77777777">
      <w:pPr>
        <w:ind w:firstLine="720"/>
        <w:rPr>
          <w:u w:val="single"/>
        </w:rPr>
      </w:pPr>
      <w:r w:rsidRPr="001B2492">
        <w:t>F</w:t>
      </w:r>
      <w:r w:rsidRPr="001B2492" w:rsidR="00FC4BF3">
        <w:t>.</w:t>
      </w:r>
      <w:r w:rsidRPr="001B2492">
        <w:tab/>
      </w:r>
      <w:r w:rsidRPr="001B2492" w:rsidR="00FC4BF3">
        <w:rPr>
          <w:u w:val="single"/>
        </w:rPr>
        <w:t>1908.9(</w:t>
      </w:r>
      <w:r w:rsidRPr="001B2492" w:rsidR="00010C1D">
        <w:rPr>
          <w:u w:val="single"/>
        </w:rPr>
        <w:t>b</w:t>
      </w:r>
      <w:r w:rsidRPr="001B2492" w:rsidR="00FC4BF3">
        <w:rPr>
          <w:u w:val="single"/>
        </w:rPr>
        <w:t>):</w:t>
      </w:r>
    </w:p>
    <w:p w:rsidRPr="001B2492" w:rsidR="00FC4BF3" w:rsidRDefault="00FC4BF3" w14:paraId="42D4AEF5" w14:textId="77777777">
      <w:pPr>
        <w:ind w:left="1440"/>
      </w:pPr>
      <w:r w:rsidRPr="001B2492">
        <w:t>Establish and maintain an organized consultant performance monitoring system.</w:t>
      </w:r>
    </w:p>
    <w:p w:rsidRPr="001B2492" w:rsidR="00FC4BF3" w:rsidRDefault="00FC4BF3" w14:paraId="4C4CEA3D" w14:textId="77777777"/>
    <w:p w:rsidRPr="001B2492" w:rsidR="00FC4BF3" w:rsidP="00FC1122" w:rsidRDefault="00FC4BF3" w14:paraId="106FB18B" w14:textId="77777777">
      <w:pPr>
        <w:widowControl/>
        <w:ind w:left="1440"/>
      </w:pPr>
      <w:r w:rsidRPr="001B2492">
        <w:t xml:space="preserve">It is </w:t>
      </w:r>
      <w:r w:rsidRPr="001B2492" w:rsidR="00A610DA">
        <w:t xml:space="preserve">a usual and customary </w:t>
      </w:r>
      <w:r w:rsidRPr="001B2492">
        <w:t>business practice</w:t>
      </w:r>
      <w:r w:rsidRPr="001B2492" w:rsidR="00000071">
        <w:t xml:space="preserve"> for employers</w:t>
      </w:r>
      <w:r w:rsidRPr="001B2492">
        <w:t xml:space="preserve"> to establish performance standards, and to evaluate </w:t>
      </w:r>
      <w:r w:rsidRPr="001B2492" w:rsidR="008440CF">
        <w:t>worker</w:t>
      </w:r>
      <w:r w:rsidRPr="001B2492">
        <w:t xml:space="preserve"> performance against the standard.  The States will perform this function without a requirement from OSHA</w:t>
      </w:r>
      <w:r w:rsidRPr="001B2492" w:rsidR="00A610DA">
        <w:t xml:space="preserve">; therefore, the Agency is not assigning any </w:t>
      </w:r>
      <w:r w:rsidRPr="001B2492">
        <w:t xml:space="preserve">burden hours </w:t>
      </w:r>
      <w:r w:rsidRPr="001B2492" w:rsidR="00A610DA">
        <w:t>for t</w:t>
      </w:r>
      <w:r w:rsidRPr="001B2492">
        <w:t xml:space="preserve">his activity. </w:t>
      </w:r>
    </w:p>
    <w:p w:rsidRPr="001B2492" w:rsidR="00FC4BF3" w:rsidRDefault="00FC4BF3" w14:paraId="50895670" w14:textId="77777777"/>
    <w:p w:rsidRPr="001B2492" w:rsidR="00FC4BF3" w:rsidP="5A644184" w:rsidRDefault="00467EEB" w14:paraId="05161A97" w14:textId="77777777">
      <w:pPr>
        <w:ind w:firstLine="720"/>
        <w:rPr>
          <w:u w:val="single"/>
        </w:rPr>
      </w:pPr>
      <w:r w:rsidRPr="001B2492">
        <w:t>G</w:t>
      </w:r>
      <w:r w:rsidRPr="001B2492" w:rsidR="00FC4BF3">
        <w:t>.</w:t>
      </w:r>
      <w:r w:rsidRPr="001B2492">
        <w:tab/>
      </w:r>
      <w:r w:rsidRPr="001B2492" w:rsidR="00FC4BF3">
        <w:rPr>
          <w:u w:val="single"/>
        </w:rPr>
        <w:t>1908.9(c):</w:t>
      </w:r>
    </w:p>
    <w:p w:rsidRPr="001B2492" w:rsidR="00FC4BF3" w:rsidRDefault="00FC4BF3" w14:paraId="3BBBA5DE" w14:textId="77777777">
      <w:pPr>
        <w:ind w:firstLine="1440"/>
      </w:pPr>
      <w:r w:rsidRPr="001B2492">
        <w:t>Compile and submit factual and statistical information.</w:t>
      </w:r>
    </w:p>
    <w:p w:rsidRPr="001B2492" w:rsidR="00FC4BF3" w:rsidRDefault="00FC4BF3" w14:paraId="38C1F859" w14:textId="77777777"/>
    <w:p w:rsidRPr="001B2492" w:rsidR="000620D3" w:rsidP="0087141C" w:rsidRDefault="00FC4BF3" w14:paraId="6EC71EBD" w14:textId="77777777">
      <w:pPr>
        <w:tabs>
          <w:tab w:val="left" w:pos="1890"/>
        </w:tabs>
        <w:ind w:left="1440"/>
      </w:pPr>
      <w:r w:rsidRPr="001B2492">
        <w:t xml:space="preserve">Currently, the statistical information is entered as part of the report preparation process and is one of the major tools used by the </w:t>
      </w:r>
      <w:r w:rsidRPr="001B2492" w:rsidR="009B01E2">
        <w:t>S</w:t>
      </w:r>
      <w:r w:rsidRPr="001B2492">
        <w:t xml:space="preserve">tates in the management of their programs.  OSHA electronically extracts this information periodically (without assistance from the </w:t>
      </w:r>
      <w:r w:rsidRPr="001B2492" w:rsidR="009B01E2">
        <w:t>S</w:t>
      </w:r>
      <w:r w:rsidRPr="001B2492">
        <w:t xml:space="preserve">tates) for use in program monitoring and evaluation. During </w:t>
      </w:r>
      <w:r w:rsidRPr="001B2492" w:rsidR="00F573EA">
        <w:t>the bi</w:t>
      </w:r>
      <w:r w:rsidRPr="001B2492">
        <w:t xml:space="preserve">annual evaluations, the </w:t>
      </w:r>
      <w:r w:rsidRPr="001B2492" w:rsidR="00954BC8">
        <w:t>On-Site</w:t>
      </w:r>
      <w:r w:rsidRPr="001B2492" w:rsidR="00C2148F">
        <w:t xml:space="preserve"> Consultation </w:t>
      </w:r>
      <w:r w:rsidRPr="001B2492" w:rsidR="0020737B">
        <w:t>Program</w:t>
      </w:r>
      <w:r w:rsidRPr="001B2492">
        <w:t xml:space="preserve">s are required to provide access to some randomly selected files.  </w:t>
      </w:r>
      <w:r w:rsidRPr="001B2492" w:rsidR="00C2148F">
        <w:t xml:space="preserve">The files are reviewed by Federal </w:t>
      </w:r>
      <w:r w:rsidRPr="001B2492" w:rsidR="0020737B">
        <w:t>Program</w:t>
      </w:r>
      <w:r w:rsidRPr="001B2492" w:rsidR="00C2148F">
        <w:t xml:space="preserve"> Officers for quality of content only.  </w:t>
      </w:r>
      <w:r w:rsidRPr="001B2492" w:rsidR="009B01E2">
        <w:t xml:space="preserve">Preparation of files </w:t>
      </w:r>
      <w:r w:rsidRPr="001B2492">
        <w:t>for review</w:t>
      </w:r>
      <w:r w:rsidRPr="001B2492" w:rsidR="009B01E2">
        <w:t xml:space="preserve"> is a function performed</w:t>
      </w:r>
      <w:r w:rsidRPr="001B2492">
        <w:t xml:space="preserve"> by clerical </w:t>
      </w:r>
      <w:r w:rsidRPr="001B2492" w:rsidR="008440CF">
        <w:t>worker</w:t>
      </w:r>
      <w:r w:rsidRPr="001B2492" w:rsidR="009B01E2">
        <w:t>s of the S</w:t>
      </w:r>
      <w:r w:rsidRPr="001B2492">
        <w:t>tate.  There ar</w:t>
      </w:r>
      <w:r w:rsidRPr="001B2492" w:rsidR="009B01E2">
        <w:t xml:space="preserve">e </w:t>
      </w:r>
      <w:r w:rsidRPr="001B2492" w:rsidR="00573008">
        <w:t>26</w:t>
      </w:r>
      <w:r w:rsidRPr="001B2492" w:rsidR="00F86390">
        <w:t>.5</w:t>
      </w:r>
      <w:r w:rsidRPr="001B2492" w:rsidR="00D46FD0">
        <w:t xml:space="preserve"> </w:t>
      </w:r>
      <w:r w:rsidRPr="001B2492" w:rsidR="0020737B">
        <w:t>Program</w:t>
      </w:r>
      <w:r w:rsidRPr="001B2492" w:rsidR="00A31F39">
        <w:t xml:space="preserve">s </w:t>
      </w:r>
      <w:r w:rsidRPr="001B2492" w:rsidR="009B01E2">
        <w:t xml:space="preserve">and </w:t>
      </w:r>
      <w:r w:rsidRPr="001B2492" w:rsidR="00673148">
        <w:t xml:space="preserve">18 </w:t>
      </w:r>
      <w:r w:rsidRPr="001B2492" w:rsidR="009B01E2">
        <w:t>reports</w:t>
      </w:r>
      <w:r w:rsidRPr="001B2492">
        <w:t xml:space="preserve"> reviewed per project per year</w:t>
      </w:r>
      <w:r w:rsidRPr="001B2492" w:rsidR="00D46FD0">
        <w:t xml:space="preserve">, totaling </w:t>
      </w:r>
      <w:r w:rsidRPr="001B2492" w:rsidR="00FB6A03">
        <w:t xml:space="preserve">477 </w:t>
      </w:r>
      <w:r w:rsidRPr="001B2492" w:rsidR="00D46FD0">
        <w:t>reports</w:t>
      </w:r>
      <w:r w:rsidRPr="001B2492">
        <w:t xml:space="preserve">.  It takes </w:t>
      </w:r>
      <w:r w:rsidRPr="001B2492" w:rsidR="00FF6638">
        <w:t>30 minutes (</w:t>
      </w:r>
      <w:r w:rsidRPr="001B2492" w:rsidR="00006D1C">
        <w:t>0</w:t>
      </w:r>
      <w:r w:rsidRPr="001B2492">
        <w:t>.5 hour</w:t>
      </w:r>
      <w:r w:rsidRPr="001B2492" w:rsidR="00006D1C">
        <w:t>s</w:t>
      </w:r>
      <w:r w:rsidRPr="001B2492" w:rsidR="00FF6638">
        <w:t>)</w:t>
      </w:r>
      <w:r w:rsidRPr="001B2492">
        <w:t xml:space="preserve"> to prepare each file for review</w:t>
      </w:r>
      <w:r w:rsidRPr="001B2492" w:rsidR="00D46FD0">
        <w:t xml:space="preserve"> resulting in</w:t>
      </w:r>
      <w:r w:rsidRPr="001B2492" w:rsidR="009B01E2">
        <w:t xml:space="preserve"> </w:t>
      </w:r>
      <w:r w:rsidRPr="001B2492" w:rsidR="00FB6A03">
        <w:rPr>
          <w:b/>
          <w:bCs/>
        </w:rPr>
        <w:t>238.5</w:t>
      </w:r>
      <w:r w:rsidRPr="001B2492" w:rsidR="00006D1C">
        <w:rPr>
          <w:b/>
          <w:bCs/>
        </w:rPr>
        <w:t>0</w:t>
      </w:r>
      <w:r w:rsidRPr="001B2492" w:rsidR="00FB6A03">
        <w:rPr>
          <w:b/>
          <w:bCs/>
        </w:rPr>
        <w:t xml:space="preserve"> </w:t>
      </w:r>
      <w:r w:rsidRPr="001B2492" w:rsidR="009B01E2">
        <w:rPr>
          <w:b/>
          <w:bCs/>
        </w:rPr>
        <w:t>total hours</w:t>
      </w:r>
      <w:r w:rsidRPr="001B2492" w:rsidR="009B01E2">
        <w:t>.</w:t>
      </w:r>
      <w:r w:rsidRPr="001B2492">
        <w:t xml:space="preserve"> </w:t>
      </w:r>
    </w:p>
    <w:p w:rsidRPr="001B2492" w:rsidR="001610B4" w:rsidRDefault="001610B4" w14:paraId="0C8FE7CE" w14:textId="77777777"/>
    <w:p w:rsidRPr="001B2492" w:rsidR="00FC4BF3" w:rsidP="5A644184" w:rsidRDefault="00467EEB" w14:paraId="72A72BD9" w14:textId="77777777">
      <w:pPr>
        <w:ind w:firstLine="720"/>
        <w:rPr>
          <w:u w:val="single"/>
        </w:rPr>
      </w:pPr>
      <w:r w:rsidRPr="001B2492">
        <w:t>H</w:t>
      </w:r>
      <w:r w:rsidRPr="001B2492" w:rsidR="00FC4BF3">
        <w:t>.</w:t>
      </w:r>
      <w:r w:rsidRPr="001B2492">
        <w:tab/>
      </w:r>
      <w:r w:rsidRPr="001B2492" w:rsidR="00FC4BF3">
        <w:rPr>
          <w:u w:val="single"/>
        </w:rPr>
        <w:t>1908.10(c):</w:t>
      </w:r>
    </w:p>
    <w:p w:rsidRPr="001B2492" w:rsidR="00FC4BF3" w:rsidRDefault="00FC4BF3" w14:paraId="2E0A5262" w14:textId="77777777">
      <w:pPr>
        <w:ind w:firstLine="1440"/>
      </w:pPr>
      <w:r w:rsidRPr="001B2492">
        <w:t>Prepare and submit Annual Cooperative Agreement.</w:t>
      </w:r>
    </w:p>
    <w:p w:rsidRPr="001B2492" w:rsidR="00FC4BF3" w:rsidRDefault="00FC4BF3" w14:paraId="41004F19" w14:textId="77777777"/>
    <w:p w:rsidRPr="001B2492" w:rsidR="000620D3" w:rsidRDefault="000620D3" w14:paraId="24556133" w14:textId="77777777">
      <w:pPr>
        <w:ind w:left="1440"/>
      </w:pPr>
      <w:r w:rsidRPr="001B2492">
        <w:t xml:space="preserve">Each of the </w:t>
      </w:r>
      <w:r w:rsidRPr="001B2492" w:rsidR="00095E5F">
        <w:t xml:space="preserve">53 </w:t>
      </w:r>
      <w:r w:rsidRPr="001B2492">
        <w:t xml:space="preserve">State </w:t>
      </w:r>
      <w:r w:rsidRPr="001B2492" w:rsidR="00954BC8">
        <w:t>On-Site</w:t>
      </w:r>
      <w:r w:rsidRPr="001B2492" w:rsidR="00C2148F">
        <w:t xml:space="preserve"> Consultation </w:t>
      </w:r>
      <w:r w:rsidRPr="001B2492" w:rsidR="0020737B">
        <w:t>Program</w:t>
      </w:r>
      <w:r w:rsidRPr="001B2492">
        <w:t xml:space="preserve">s </w:t>
      </w:r>
      <w:r w:rsidRPr="001B2492" w:rsidR="00F84F5F">
        <w:t>prepares</w:t>
      </w:r>
      <w:r w:rsidRPr="001B2492">
        <w:t xml:space="preserve"> and </w:t>
      </w:r>
      <w:r w:rsidRPr="001B2492" w:rsidR="00F84F5F">
        <w:t>submits</w:t>
      </w:r>
      <w:r w:rsidRPr="001B2492">
        <w:t xml:space="preserve"> an annual cooperative agreement.  </w:t>
      </w:r>
    </w:p>
    <w:p w:rsidRPr="001B2492" w:rsidR="000620D3" w:rsidRDefault="000620D3" w14:paraId="67C0C651" w14:textId="77777777">
      <w:pPr>
        <w:ind w:left="1440"/>
      </w:pPr>
    </w:p>
    <w:p w:rsidRPr="001B2492" w:rsidR="001B18BA" w:rsidP="00657F2B" w:rsidRDefault="00FC4BF3" w14:paraId="1187FE45" w14:textId="77777777">
      <w:pPr>
        <w:ind w:left="1440"/>
      </w:pPr>
      <w:r w:rsidRPr="001B2492">
        <w:t>This function is performed on an annua</w:t>
      </w:r>
      <w:r w:rsidRPr="001B2492" w:rsidR="00C2148F">
        <w:t xml:space="preserve">l basis by </w:t>
      </w:r>
      <w:r w:rsidRPr="001B2492" w:rsidR="00954BC8">
        <w:t>On-Site</w:t>
      </w:r>
      <w:r w:rsidRPr="001B2492" w:rsidR="00C2148F">
        <w:t xml:space="preserve"> Consultation </w:t>
      </w:r>
      <w:r w:rsidRPr="001B2492" w:rsidR="0020737B">
        <w:t>Program</w:t>
      </w:r>
      <w:r w:rsidRPr="001B2492">
        <w:t xml:space="preserve"> managers.  </w:t>
      </w:r>
      <w:r w:rsidRPr="001B2492" w:rsidR="001B18BA">
        <w:t>It tak</w:t>
      </w:r>
      <w:r w:rsidRPr="001B2492" w:rsidR="00C2148F">
        <w:t xml:space="preserve">es an average of 32 hours of an </w:t>
      </w:r>
      <w:r w:rsidRPr="001B2492" w:rsidR="00954BC8">
        <w:t>On-Site</w:t>
      </w:r>
      <w:r w:rsidRPr="001B2492" w:rsidR="00C2148F">
        <w:t xml:space="preserve"> Consultation </w:t>
      </w:r>
      <w:r w:rsidRPr="001B2492" w:rsidR="0020737B">
        <w:t>Program</w:t>
      </w:r>
      <w:r w:rsidRPr="001B2492" w:rsidR="001B18BA">
        <w:t xml:space="preserve"> manager</w:t>
      </w:r>
      <w:r w:rsidRPr="001B2492" w:rsidR="00C2148F">
        <w:t>’s</w:t>
      </w:r>
      <w:r w:rsidRPr="001B2492" w:rsidR="001B18BA">
        <w:t xml:space="preserve"> time, and 8 hours of clerical time annually for a total of 40 hours per agreement.  The total burden</w:t>
      </w:r>
      <w:r w:rsidRPr="001B2492" w:rsidR="00010C1D">
        <w:t xml:space="preserve"> hours</w:t>
      </w:r>
      <w:r w:rsidRPr="001B2492" w:rsidR="000C7B90">
        <w:t xml:space="preserve"> for this function</w:t>
      </w:r>
      <w:r w:rsidRPr="001B2492" w:rsidR="00010C1D">
        <w:t>, (which consists of 1,</w:t>
      </w:r>
      <w:r w:rsidRPr="001B2492" w:rsidR="00FB6A03">
        <w:t>696</w:t>
      </w:r>
      <w:r w:rsidRPr="001B2492" w:rsidR="00006D1C">
        <w:t>.00</w:t>
      </w:r>
      <w:r w:rsidRPr="001B2492" w:rsidR="00FB6A03">
        <w:t xml:space="preserve"> </w:t>
      </w:r>
      <w:r w:rsidRPr="001B2492" w:rsidR="00010C1D">
        <w:t xml:space="preserve">for project managers and </w:t>
      </w:r>
      <w:r w:rsidRPr="001B2492" w:rsidR="00FB6A03">
        <w:t>424</w:t>
      </w:r>
      <w:r w:rsidRPr="001B2492" w:rsidR="00006D1C">
        <w:t>.00</w:t>
      </w:r>
      <w:r w:rsidRPr="001B2492" w:rsidR="00FB6A03">
        <w:t xml:space="preserve"> </w:t>
      </w:r>
      <w:r w:rsidRPr="001B2492" w:rsidR="00010C1D">
        <w:t>clerical),</w:t>
      </w:r>
      <w:r w:rsidRPr="001B2492" w:rsidR="001B18BA">
        <w:t xml:space="preserve"> is </w:t>
      </w:r>
      <w:r w:rsidRPr="001B2492" w:rsidR="005D6D97">
        <w:rPr>
          <w:b/>
          <w:bCs/>
        </w:rPr>
        <w:t>2,</w:t>
      </w:r>
      <w:r w:rsidRPr="001B2492" w:rsidR="00FB6A03">
        <w:rPr>
          <w:b/>
          <w:bCs/>
        </w:rPr>
        <w:t xml:space="preserve">120.00 </w:t>
      </w:r>
      <w:r w:rsidRPr="001B2492" w:rsidR="001B18BA">
        <w:rPr>
          <w:b/>
          <w:bCs/>
        </w:rPr>
        <w:t>hours</w:t>
      </w:r>
      <w:r w:rsidRPr="001B2492" w:rsidR="001B18BA">
        <w:t>.</w:t>
      </w:r>
      <w:r w:rsidRPr="001B2492" w:rsidR="00C426FC">
        <w:t xml:space="preserve"> </w:t>
      </w:r>
    </w:p>
    <w:p w:rsidRPr="001B2492" w:rsidR="00F84F5F" w:rsidP="008209C8" w:rsidRDefault="00F84F5F" w14:paraId="308D56CC" w14:textId="77777777">
      <w:pPr>
        <w:ind w:left="1440"/>
        <w:rPr>
          <w:b/>
          <w:bCs/>
        </w:rPr>
      </w:pPr>
    </w:p>
    <w:p w:rsidRPr="001B2492" w:rsidR="00C24ED1" w:rsidP="00BF0615" w:rsidRDefault="00FC4BF3" w14:paraId="6CB0AEB1" w14:textId="0F4C88FA">
      <w:pPr>
        <w:sectPr w:rsidRPr="001B2492" w:rsidR="00C24ED1" w:rsidSect="001A2279">
          <w:headerReference w:type="default" r:id="rId14"/>
          <w:footerReference w:type="even" r:id="rId15"/>
          <w:footerReference w:type="default" r:id="rId16"/>
          <w:headerReference w:type="first" r:id="rId17"/>
          <w:footnotePr>
            <w:pos w:val="beneathText"/>
          </w:footnotePr>
          <w:type w:val="continuous"/>
          <w:pgSz w:w="12240" w:h="15840"/>
          <w:pgMar w:top="1008" w:right="1440" w:bottom="1008" w:left="1440" w:header="720" w:footer="720" w:gutter="0"/>
          <w:cols w:space="720"/>
          <w:noEndnote/>
          <w:titlePg/>
        </w:sectPr>
      </w:pPr>
      <w:r w:rsidRPr="001B2492">
        <w:rPr>
          <w:b/>
          <w:bCs/>
        </w:rPr>
        <w:t xml:space="preserve">OSHA estimates a total of </w:t>
      </w:r>
      <w:r w:rsidRPr="001B2492" w:rsidR="005312DD">
        <w:rPr>
          <w:b/>
          <w:bCs/>
        </w:rPr>
        <w:t>216,689.14</w:t>
      </w:r>
      <w:r w:rsidRPr="001B2492" w:rsidR="004918A4">
        <w:rPr>
          <w:b/>
          <w:bCs/>
        </w:rPr>
        <w:t xml:space="preserve"> </w:t>
      </w:r>
      <w:r w:rsidRPr="001B2492" w:rsidR="00F048A3">
        <w:rPr>
          <w:b/>
          <w:bCs/>
        </w:rPr>
        <w:t>burden</w:t>
      </w:r>
      <w:r w:rsidRPr="001B2492" w:rsidR="00FF3424">
        <w:rPr>
          <w:b/>
          <w:bCs/>
        </w:rPr>
        <w:t xml:space="preserve"> hours</w:t>
      </w:r>
      <w:r w:rsidRPr="001B2492" w:rsidR="00F048A3">
        <w:rPr>
          <w:b/>
          <w:bCs/>
        </w:rPr>
        <w:t xml:space="preserve"> </w:t>
      </w:r>
      <w:r w:rsidRPr="001B2492" w:rsidR="000620D3">
        <w:rPr>
          <w:b/>
          <w:bCs/>
        </w:rPr>
        <w:t xml:space="preserve">for the States to comply with the information collection and reporting requirements </w:t>
      </w:r>
      <w:r w:rsidRPr="001B2492">
        <w:rPr>
          <w:b/>
          <w:bCs/>
        </w:rPr>
        <w:t xml:space="preserve">of 29 CFR 1908. </w:t>
      </w:r>
      <w:r w:rsidRPr="001B2492" w:rsidR="004640E5">
        <w:t>The cost for this activity is</w:t>
      </w:r>
      <w:r w:rsidRPr="001B2492" w:rsidR="00A72266">
        <w:t xml:space="preserve"> </w:t>
      </w:r>
      <w:r w:rsidRPr="001B2492" w:rsidR="003732F4">
        <w:rPr>
          <w:b/>
        </w:rPr>
        <w:t>$</w:t>
      </w:r>
      <w:r w:rsidRPr="001B2492" w:rsidR="00FB6A03">
        <w:rPr>
          <w:b/>
        </w:rPr>
        <w:t>13,165,188.82</w:t>
      </w:r>
      <w:r w:rsidRPr="001B2492" w:rsidR="00A72266">
        <w:rPr>
          <w:b/>
        </w:rPr>
        <w:t>.</w:t>
      </w:r>
      <w:r w:rsidRPr="001B2492" w:rsidR="004640E5">
        <w:t xml:space="preserve">  </w:t>
      </w:r>
      <w:r w:rsidRPr="001B2492" w:rsidR="0033709A">
        <w:t xml:space="preserve">See </w:t>
      </w:r>
      <w:r w:rsidRPr="001B2492" w:rsidR="008C1C2B">
        <w:t>Table 1 (</w:t>
      </w:r>
      <w:r w:rsidRPr="001B2492" w:rsidR="0033709A">
        <w:rPr>
          <w:bCs/>
          <w:i/>
          <w:color w:val="000000"/>
        </w:rPr>
        <w:t>Summary of Estimated Annualized Respondent (State Consultation Program) Hour and Cost Burden</w:t>
      </w:r>
      <w:r w:rsidRPr="001B2492" w:rsidR="00D404EF">
        <w:t>)</w:t>
      </w:r>
      <w:r w:rsidRPr="001B2492" w:rsidR="0033709A">
        <w:t>, as follows:</w:t>
      </w:r>
      <w:r w:rsidRPr="001B2492" w:rsidR="00FF1A2F">
        <w:t xml:space="preserve"> </w:t>
      </w:r>
      <w:r w:rsidRPr="001B2492" w:rsidR="00CB1D40">
        <w:t xml:space="preserve"> </w:t>
      </w:r>
    </w:p>
    <w:p w:rsidRPr="001B2492" w:rsidR="00862ED6" w:rsidP="00B6448B" w:rsidRDefault="001469BF" w14:paraId="7FC26EE3" w14:textId="77777777">
      <w:pPr>
        <w:widowControl/>
        <w:autoSpaceDE/>
        <w:autoSpaceDN/>
        <w:adjustRightInd/>
        <w:rPr>
          <w:b/>
          <w:bCs/>
          <w:color w:val="000000"/>
        </w:rPr>
      </w:pPr>
      <w:r w:rsidRPr="001B2492">
        <w:rPr>
          <w:b/>
          <w:bCs/>
          <w:color w:val="000000"/>
        </w:rPr>
        <w:t>Table 1 -- Summary of Estimated Annualized Respond</w:t>
      </w:r>
      <w:r w:rsidRPr="001B2492" w:rsidR="0033709A">
        <w:rPr>
          <w:b/>
          <w:bCs/>
          <w:color w:val="000000"/>
        </w:rPr>
        <w:t>ent (State Consultation Program</w:t>
      </w:r>
      <w:r w:rsidRPr="001B2492">
        <w:rPr>
          <w:b/>
          <w:bCs/>
          <w:color w:val="000000"/>
        </w:rPr>
        <w:t>) Hour and Cost Burden</w:t>
      </w:r>
    </w:p>
    <w:p w:rsidRPr="001B2492" w:rsidR="007E5B3C" w:rsidP="00A97382" w:rsidRDefault="007E5B3C" w14:paraId="797E50C6" w14:textId="77777777">
      <w:pPr>
        <w:widowControl/>
        <w:autoSpaceDE/>
        <w:autoSpaceDN/>
        <w:adjustRightInd/>
        <w:jc w:val="center"/>
      </w:pPr>
    </w:p>
    <w:tbl>
      <w:tblPr>
        <w:tblW w:w="11520" w:type="dxa"/>
        <w:tblInd w:w="468" w:type="dxa"/>
        <w:tblLayout w:type="fixed"/>
        <w:tblLook w:val="04A0" w:firstRow="1" w:lastRow="0" w:firstColumn="1" w:lastColumn="0" w:noHBand="0" w:noVBand="1"/>
      </w:tblPr>
      <w:tblGrid>
        <w:gridCol w:w="1995"/>
        <w:gridCol w:w="1455"/>
        <w:gridCol w:w="1380"/>
        <w:gridCol w:w="1290"/>
        <w:gridCol w:w="1170"/>
        <w:gridCol w:w="915"/>
        <w:gridCol w:w="1080"/>
        <w:gridCol w:w="840"/>
        <w:gridCol w:w="1395"/>
      </w:tblGrid>
      <w:tr w:rsidRPr="001B2492" w:rsidR="006371D3" w:rsidTr="00F46FBC" w14:paraId="5057B5CA" w14:textId="77777777">
        <w:trPr>
          <w:cantSplit/>
          <w:trHeight w:val="1196"/>
          <w:tblHeader/>
        </w:trPr>
        <w:tc>
          <w:tcPr>
            <w:tcW w:w="1995" w:type="dxa"/>
            <w:tcBorders>
              <w:top w:val="single" w:color="auto" w:sz="4" w:space="0"/>
              <w:left w:val="single" w:color="auto" w:sz="4" w:space="0"/>
              <w:bottom w:val="single" w:color="auto" w:sz="4" w:space="0"/>
              <w:right w:val="single" w:color="auto" w:sz="4" w:space="0"/>
            </w:tcBorders>
            <w:shd w:val="clear" w:color="auto" w:fill="87A6E3"/>
            <w:vAlign w:val="bottom"/>
            <w:hideMark/>
          </w:tcPr>
          <w:p w:rsidRPr="001B2492" w:rsidR="006371D3" w:rsidP="001469BF" w:rsidRDefault="006371D3" w14:paraId="6215B1B5" w14:textId="77777777">
            <w:pPr>
              <w:widowControl/>
              <w:autoSpaceDE/>
              <w:autoSpaceDN/>
              <w:adjustRightInd/>
              <w:rPr>
                <w:b/>
                <w:bCs/>
                <w:color w:val="000000"/>
                <w:sz w:val="20"/>
                <w:szCs w:val="20"/>
              </w:rPr>
            </w:pPr>
            <w:r w:rsidRPr="001B2492">
              <w:rPr>
                <w:b/>
                <w:bCs/>
                <w:color w:val="000000"/>
                <w:sz w:val="20"/>
                <w:szCs w:val="20"/>
              </w:rPr>
              <w:t>Information Collection Requirements</w:t>
            </w:r>
          </w:p>
        </w:tc>
        <w:tc>
          <w:tcPr>
            <w:tcW w:w="1455"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1469BF" w:rsidRDefault="006371D3" w14:paraId="416F5D64" w14:textId="77777777">
            <w:pPr>
              <w:widowControl/>
              <w:autoSpaceDE/>
              <w:autoSpaceDN/>
              <w:adjustRightInd/>
              <w:rPr>
                <w:b/>
                <w:bCs/>
                <w:color w:val="000000"/>
                <w:sz w:val="20"/>
                <w:szCs w:val="20"/>
              </w:rPr>
            </w:pPr>
            <w:r w:rsidRPr="001B2492">
              <w:rPr>
                <w:b/>
                <w:bCs/>
                <w:color w:val="000000"/>
                <w:sz w:val="20"/>
                <w:szCs w:val="20"/>
              </w:rPr>
              <w:t xml:space="preserve">Type of Respondent </w:t>
            </w:r>
            <w:r w:rsidRPr="001B2492">
              <w:rPr>
                <w:rStyle w:val="FootnoteReference"/>
                <w:rFonts w:ascii="Times New Roman Bold" w:hAnsi="Times New Roman Bold"/>
                <w:b/>
                <w:bCs/>
                <w:color w:val="000000"/>
                <w:sz w:val="20"/>
                <w:szCs w:val="20"/>
                <w:vertAlign w:val="superscript"/>
              </w:rPr>
              <w:footnoteReference w:id="4"/>
            </w:r>
          </w:p>
        </w:tc>
        <w:tc>
          <w:tcPr>
            <w:tcW w:w="1380"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9C13152" w:rsidRDefault="1E546C6C" w14:paraId="001C0780" w14:textId="1B233D1F">
            <w:pPr>
              <w:widowControl/>
              <w:autoSpaceDE/>
              <w:autoSpaceDN/>
              <w:adjustRightInd/>
              <w:rPr>
                <w:b/>
                <w:bCs/>
                <w:color w:val="000000" w:themeColor="text1"/>
                <w:sz w:val="20"/>
                <w:szCs w:val="20"/>
              </w:rPr>
            </w:pPr>
            <w:r w:rsidRPr="001B2492">
              <w:rPr>
                <w:b/>
                <w:bCs/>
                <w:color w:val="000000" w:themeColor="text1"/>
                <w:sz w:val="20"/>
                <w:szCs w:val="20"/>
              </w:rPr>
              <w:t xml:space="preserve">No. </w:t>
            </w:r>
          </w:p>
          <w:p w:rsidRPr="001B2492" w:rsidR="006371D3" w:rsidP="00AE5D7A" w:rsidRDefault="1E546C6C" w14:paraId="16B1A0CE" w14:textId="140A6059">
            <w:pPr>
              <w:widowControl/>
              <w:autoSpaceDE/>
              <w:autoSpaceDN/>
              <w:adjustRightInd/>
              <w:rPr>
                <w:b/>
                <w:bCs/>
                <w:color w:val="000000"/>
                <w:sz w:val="20"/>
                <w:szCs w:val="20"/>
              </w:rPr>
            </w:pPr>
            <w:r w:rsidRPr="001B2492">
              <w:rPr>
                <w:b/>
                <w:bCs/>
                <w:color w:val="000000" w:themeColor="text1"/>
                <w:sz w:val="20"/>
                <w:szCs w:val="20"/>
              </w:rPr>
              <w:t>of Respondents</w:t>
            </w:r>
          </w:p>
        </w:tc>
        <w:tc>
          <w:tcPr>
            <w:tcW w:w="1290"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785E84" w:rsidRDefault="006371D3" w14:paraId="6497698B" w14:textId="77777777">
            <w:pPr>
              <w:widowControl/>
              <w:autoSpaceDE/>
              <w:autoSpaceDN/>
              <w:adjustRightInd/>
              <w:ind w:right="-103"/>
              <w:rPr>
                <w:b/>
                <w:bCs/>
                <w:color w:val="000000"/>
                <w:sz w:val="20"/>
                <w:szCs w:val="20"/>
              </w:rPr>
            </w:pPr>
            <w:r w:rsidRPr="001B2492">
              <w:rPr>
                <w:b/>
                <w:bCs/>
                <w:color w:val="000000"/>
                <w:sz w:val="20"/>
                <w:szCs w:val="20"/>
              </w:rPr>
              <w:t>No. of Responses per Respondent</w:t>
            </w:r>
          </w:p>
        </w:tc>
        <w:tc>
          <w:tcPr>
            <w:tcW w:w="1170"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BF4917" w:rsidRDefault="1E546C6C" w14:paraId="0B3E5393" w14:textId="062FA794">
            <w:pPr>
              <w:widowControl/>
              <w:autoSpaceDE/>
              <w:autoSpaceDN/>
              <w:adjustRightInd/>
              <w:rPr>
                <w:b/>
                <w:bCs/>
                <w:color w:val="000000"/>
                <w:sz w:val="20"/>
                <w:szCs w:val="20"/>
              </w:rPr>
            </w:pPr>
            <w:r w:rsidRPr="001B2492">
              <w:rPr>
                <w:b/>
                <w:bCs/>
                <w:color w:val="000000" w:themeColor="text1"/>
                <w:sz w:val="20"/>
                <w:szCs w:val="20"/>
              </w:rPr>
              <w:t xml:space="preserve">Total Responses </w:t>
            </w:r>
          </w:p>
        </w:tc>
        <w:tc>
          <w:tcPr>
            <w:tcW w:w="915" w:type="dxa"/>
            <w:tcBorders>
              <w:top w:val="single" w:color="auto" w:sz="4" w:space="0"/>
              <w:left w:val="single" w:color="auto" w:sz="4" w:space="0"/>
              <w:bottom w:val="single" w:color="auto" w:sz="4" w:space="0"/>
              <w:right w:val="single" w:color="auto" w:sz="4" w:space="0"/>
            </w:tcBorders>
            <w:shd w:val="clear" w:color="auto" w:fill="87A6E3"/>
            <w:vAlign w:val="bottom"/>
            <w:hideMark/>
          </w:tcPr>
          <w:p w:rsidRPr="001B2492" w:rsidR="006371D3" w:rsidP="00414A77" w:rsidRDefault="006371D3" w14:paraId="4A539DA3" w14:textId="77777777">
            <w:pPr>
              <w:widowControl/>
              <w:autoSpaceDE/>
              <w:autoSpaceDN/>
              <w:adjustRightInd/>
              <w:rPr>
                <w:b/>
                <w:bCs/>
                <w:color w:val="000000"/>
                <w:sz w:val="20"/>
                <w:szCs w:val="20"/>
              </w:rPr>
            </w:pPr>
            <w:r w:rsidRPr="001B2492">
              <w:rPr>
                <w:b/>
                <w:bCs/>
                <w:color w:val="000000"/>
                <w:sz w:val="20"/>
                <w:szCs w:val="20"/>
              </w:rPr>
              <w:t>Avg. Burden (In Hours)</w:t>
            </w:r>
          </w:p>
        </w:tc>
        <w:tc>
          <w:tcPr>
            <w:tcW w:w="1080"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36697D" w:rsidRDefault="006371D3" w14:paraId="27583647" w14:textId="77777777">
            <w:pPr>
              <w:widowControl/>
              <w:autoSpaceDE/>
              <w:autoSpaceDN/>
              <w:adjustRightInd/>
              <w:rPr>
                <w:b/>
                <w:bCs/>
                <w:color w:val="000000"/>
                <w:sz w:val="20"/>
                <w:szCs w:val="20"/>
              </w:rPr>
            </w:pPr>
            <w:r w:rsidRPr="001B2492">
              <w:rPr>
                <w:b/>
                <w:bCs/>
                <w:color w:val="000000"/>
                <w:sz w:val="20"/>
                <w:szCs w:val="20"/>
              </w:rPr>
              <w:t xml:space="preserve">Total Burden Hours </w:t>
            </w:r>
          </w:p>
        </w:tc>
        <w:tc>
          <w:tcPr>
            <w:tcW w:w="840"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1469BF" w:rsidRDefault="006371D3" w14:paraId="0C5C480F" w14:textId="77777777">
            <w:pPr>
              <w:widowControl/>
              <w:autoSpaceDE/>
              <w:autoSpaceDN/>
              <w:adjustRightInd/>
              <w:rPr>
                <w:b/>
                <w:bCs/>
                <w:color w:val="000000"/>
                <w:sz w:val="20"/>
                <w:szCs w:val="20"/>
              </w:rPr>
            </w:pPr>
            <w:r w:rsidRPr="001B2492">
              <w:rPr>
                <w:b/>
                <w:bCs/>
                <w:color w:val="000000"/>
                <w:sz w:val="20"/>
                <w:szCs w:val="20"/>
              </w:rPr>
              <w:t>Hourly Wage Rate</w:t>
            </w:r>
          </w:p>
        </w:tc>
        <w:tc>
          <w:tcPr>
            <w:tcW w:w="1395" w:type="dxa"/>
            <w:tcBorders>
              <w:top w:val="single" w:color="auto" w:sz="4" w:space="0"/>
              <w:left w:val="nil"/>
              <w:bottom w:val="single" w:color="auto" w:sz="4" w:space="0"/>
              <w:right w:val="single" w:color="auto" w:sz="4" w:space="0"/>
            </w:tcBorders>
            <w:shd w:val="clear" w:color="auto" w:fill="87A6E3"/>
            <w:vAlign w:val="bottom"/>
            <w:hideMark/>
          </w:tcPr>
          <w:p w:rsidRPr="001B2492" w:rsidR="006371D3" w:rsidP="0036697D" w:rsidRDefault="006371D3" w14:paraId="30EC6C04" w14:textId="77777777">
            <w:pPr>
              <w:widowControl/>
              <w:autoSpaceDE/>
              <w:autoSpaceDN/>
              <w:adjustRightInd/>
              <w:rPr>
                <w:b/>
                <w:bCs/>
                <w:color w:val="000000"/>
                <w:sz w:val="20"/>
                <w:szCs w:val="20"/>
              </w:rPr>
            </w:pPr>
            <w:r w:rsidRPr="001B2492">
              <w:rPr>
                <w:b/>
                <w:bCs/>
                <w:color w:val="000000"/>
                <w:sz w:val="20"/>
                <w:szCs w:val="20"/>
              </w:rPr>
              <w:t xml:space="preserve">Total Burden Cost </w:t>
            </w:r>
          </w:p>
        </w:tc>
      </w:tr>
      <w:tr w:rsidRPr="001B2492" w:rsidR="006371D3" w:rsidTr="00F46FBC" w14:paraId="105FB725" w14:textId="77777777">
        <w:trPr>
          <w:cantSplit/>
          <w:trHeight w:val="341"/>
        </w:trPr>
        <w:tc>
          <w:tcPr>
            <w:tcW w:w="11520" w:type="dxa"/>
            <w:gridSpan w:val="9"/>
            <w:tcBorders>
              <w:top w:val="nil"/>
              <w:left w:val="single" w:color="auto" w:sz="4" w:space="0"/>
              <w:bottom w:val="single" w:color="auto" w:sz="4" w:space="0"/>
              <w:right w:val="single" w:color="auto" w:sz="4" w:space="0"/>
            </w:tcBorders>
            <w:shd w:val="clear" w:color="auto" w:fill="auto"/>
            <w:vAlign w:val="bottom"/>
          </w:tcPr>
          <w:p w:rsidRPr="001B2492" w:rsidR="006371D3" w:rsidP="00CC705E" w:rsidRDefault="006371D3" w14:paraId="6BE684EC" w14:textId="77777777">
            <w:pPr>
              <w:widowControl/>
              <w:autoSpaceDE/>
              <w:autoSpaceDN/>
              <w:adjustRightInd/>
              <w:rPr>
                <w:color w:val="000000"/>
                <w:sz w:val="20"/>
                <w:szCs w:val="20"/>
              </w:rPr>
            </w:pPr>
            <w:r w:rsidRPr="001B2492">
              <w:rPr>
                <w:color w:val="000000"/>
                <w:sz w:val="20"/>
                <w:szCs w:val="20"/>
              </w:rPr>
              <w:t>A. Safety and Health Program Assessment Worksheet  (1908.6(e)(3))</w:t>
            </w:r>
          </w:p>
        </w:tc>
      </w:tr>
      <w:tr w:rsidRPr="001B2492" w:rsidR="006371D3" w:rsidTr="00F46FBC" w14:paraId="6B9E0204" w14:textId="77777777">
        <w:trPr>
          <w:cantSplit/>
          <w:trHeight w:val="76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6BECA918" w14:textId="77777777">
            <w:pPr>
              <w:widowControl/>
              <w:autoSpaceDE/>
              <w:autoSpaceDN/>
              <w:adjustRightInd/>
              <w:rPr>
                <w:color w:val="000000"/>
                <w:sz w:val="20"/>
                <w:szCs w:val="20"/>
              </w:rPr>
            </w:pPr>
            <w:r w:rsidRPr="001B2492">
              <w:rPr>
                <w:color w:val="000000"/>
                <w:sz w:val="20"/>
                <w:szCs w:val="20"/>
              </w:rPr>
              <w:t>Safety and Health Program Assessment Worksheet – Limited</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00F144D0" w14:textId="77777777">
            <w:pPr>
              <w:widowControl/>
              <w:autoSpaceDE/>
              <w:autoSpaceDN/>
              <w:adjustRightInd/>
              <w:rPr>
                <w:color w:val="000000"/>
                <w:sz w:val="20"/>
                <w:szCs w:val="20"/>
              </w:rPr>
            </w:pPr>
            <w:r w:rsidRPr="001B2492">
              <w:rPr>
                <w:color w:val="000000"/>
                <w:sz w:val="20"/>
                <w:szCs w:val="20"/>
              </w:rPr>
              <w:t>Consultant</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3F6FB1E0"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0FE02F5" w:rsidRDefault="006371D3" w14:paraId="28EDDA4C" w14:textId="77777777">
            <w:pPr>
              <w:widowControl/>
              <w:autoSpaceDE/>
              <w:autoSpaceDN/>
              <w:adjustRightInd/>
              <w:jc w:val="right"/>
              <w:rPr>
                <w:color w:val="000000"/>
                <w:sz w:val="20"/>
                <w:szCs w:val="20"/>
              </w:rPr>
            </w:pPr>
            <w:r w:rsidRPr="001B2492">
              <w:rPr>
                <w:color w:val="000000"/>
                <w:sz w:val="20"/>
                <w:szCs w:val="20"/>
              </w:rPr>
              <w:t>345.05</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1B2492" w:rsidR="006371D3" w:rsidP="00C8391C" w:rsidRDefault="006371D3" w14:paraId="04A07B95" w14:textId="77777777">
            <w:pPr>
              <w:widowControl/>
              <w:autoSpaceDE/>
              <w:autoSpaceDN/>
              <w:adjustRightInd/>
              <w:jc w:val="right"/>
              <w:rPr>
                <w:color w:val="000000"/>
                <w:sz w:val="20"/>
                <w:szCs w:val="20"/>
              </w:rPr>
            </w:pPr>
            <w:r w:rsidRPr="001B2492">
              <w:rPr>
                <w:color w:val="000000"/>
                <w:sz w:val="20"/>
                <w:szCs w:val="20"/>
              </w:rPr>
              <w:t>18,288</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49841BE" w14:textId="77777777">
            <w:pPr>
              <w:widowControl/>
              <w:autoSpaceDE/>
              <w:autoSpaceDN/>
              <w:adjustRightInd/>
              <w:jc w:val="right"/>
              <w:rPr>
                <w:color w:val="000000"/>
                <w:sz w:val="20"/>
                <w:szCs w:val="20"/>
              </w:rPr>
            </w:pPr>
            <w:r w:rsidRPr="001B2492">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5A644184" w:rsidRDefault="648B6C09" w14:paraId="2D01370C" w14:textId="77777777">
            <w:pPr>
              <w:widowControl/>
              <w:autoSpaceDE/>
              <w:autoSpaceDN/>
              <w:adjustRightInd/>
              <w:jc w:val="right"/>
              <w:rPr>
                <w:color w:val="000000"/>
                <w:sz w:val="20"/>
                <w:szCs w:val="20"/>
              </w:rPr>
            </w:pPr>
            <w:r w:rsidRPr="001B2492">
              <w:rPr>
                <w:color w:val="000000" w:themeColor="text1"/>
                <w:sz w:val="20"/>
                <w:szCs w:val="20"/>
              </w:rPr>
              <w:t>18,288.00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FE02F5" w:rsidRDefault="006371D3" w14:paraId="69B7A175" w14:textId="77777777">
            <w:pPr>
              <w:widowControl/>
              <w:autoSpaceDE/>
              <w:autoSpaceDN/>
              <w:adjustRightInd/>
              <w:jc w:val="right"/>
              <w:rPr>
                <w:color w:val="000000"/>
                <w:sz w:val="20"/>
                <w:szCs w:val="20"/>
              </w:rPr>
            </w:pPr>
            <w:r w:rsidRPr="001B2492">
              <w:rPr>
                <w:color w:val="000000"/>
                <w:sz w:val="20"/>
                <w:szCs w:val="20"/>
              </w:rPr>
              <w:t xml:space="preserve">$60.66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0B6448B" w:rsidRDefault="006371D3" w14:paraId="0475F512" w14:textId="77777777">
            <w:pPr>
              <w:widowControl/>
              <w:tabs>
                <w:tab w:val="left" w:pos="1043"/>
              </w:tabs>
              <w:autoSpaceDE/>
              <w:autoSpaceDN/>
              <w:adjustRightInd/>
              <w:ind w:left="-201"/>
              <w:jc w:val="right"/>
              <w:rPr>
                <w:color w:val="000000"/>
                <w:sz w:val="20"/>
                <w:szCs w:val="20"/>
              </w:rPr>
            </w:pPr>
            <w:r w:rsidRPr="001B2492">
              <w:rPr>
                <w:color w:val="000000" w:themeColor="text1"/>
                <w:sz w:val="20"/>
                <w:szCs w:val="20"/>
              </w:rPr>
              <w:t xml:space="preserve">$1,109,350.08 </w:t>
            </w:r>
          </w:p>
        </w:tc>
      </w:tr>
      <w:tr w:rsidRPr="001B2492" w:rsidR="006371D3" w:rsidTr="00F46FBC" w14:paraId="6BBE00D3" w14:textId="77777777">
        <w:trPr>
          <w:cantSplit/>
          <w:trHeight w:val="102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15BC219" w14:textId="77777777">
            <w:pPr>
              <w:widowControl/>
              <w:autoSpaceDE/>
              <w:autoSpaceDN/>
              <w:adjustRightInd/>
              <w:rPr>
                <w:color w:val="000000"/>
                <w:sz w:val="20"/>
                <w:szCs w:val="20"/>
              </w:rPr>
            </w:pPr>
            <w:r w:rsidRPr="001B2492">
              <w:rPr>
                <w:color w:val="000000"/>
                <w:sz w:val="20"/>
                <w:szCs w:val="20"/>
              </w:rPr>
              <w:t>Safety and Health Program Assessment Worksheet – Full Service Safety and Health</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37139FA" w14:textId="77777777">
            <w:pPr>
              <w:widowControl/>
              <w:autoSpaceDE/>
              <w:autoSpaceDN/>
              <w:adjustRightInd/>
              <w:rPr>
                <w:color w:val="000000"/>
                <w:sz w:val="20"/>
                <w:szCs w:val="20"/>
              </w:rPr>
            </w:pPr>
            <w:r w:rsidRPr="001B2492">
              <w:rPr>
                <w:color w:val="000000"/>
                <w:sz w:val="20"/>
                <w:szCs w:val="20"/>
              </w:rPr>
              <w:t>Consultant</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08E5B882"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FE02F5" w:rsidRDefault="006371D3" w14:paraId="5F5BB39E" w14:textId="77777777">
            <w:pPr>
              <w:widowControl/>
              <w:autoSpaceDE/>
              <w:autoSpaceDN/>
              <w:adjustRightInd/>
              <w:jc w:val="right"/>
              <w:rPr>
                <w:color w:val="000000"/>
                <w:sz w:val="20"/>
                <w:szCs w:val="20"/>
              </w:rPr>
            </w:pPr>
            <w:r w:rsidRPr="001B2492">
              <w:rPr>
                <w:color w:val="000000"/>
                <w:sz w:val="20"/>
                <w:szCs w:val="20"/>
              </w:rPr>
              <w:t>63.81</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23929AF" w14:textId="77777777">
            <w:pPr>
              <w:widowControl/>
              <w:autoSpaceDE/>
              <w:autoSpaceDN/>
              <w:adjustRightInd/>
              <w:jc w:val="right"/>
              <w:rPr>
                <w:color w:val="000000"/>
                <w:sz w:val="20"/>
                <w:szCs w:val="20"/>
              </w:rPr>
            </w:pPr>
            <w:r w:rsidRPr="001B2492">
              <w:rPr>
                <w:color w:val="000000"/>
                <w:sz w:val="20"/>
                <w:szCs w:val="20"/>
              </w:rPr>
              <w:t>3,382</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78941E47" w14:textId="77777777">
            <w:pPr>
              <w:widowControl/>
              <w:autoSpaceDE/>
              <w:autoSpaceDN/>
              <w:adjustRightInd/>
              <w:jc w:val="right"/>
              <w:rPr>
                <w:color w:val="000000"/>
                <w:sz w:val="20"/>
                <w:szCs w:val="20"/>
              </w:rPr>
            </w:pPr>
            <w:r w:rsidRPr="001B2492">
              <w:rPr>
                <w:color w:val="000000"/>
                <w:sz w:val="20"/>
                <w:szCs w:val="20"/>
              </w:rPr>
              <w:t>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5A644184" w:rsidRDefault="648B6C09" w14:paraId="5276FE60" w14:textId="77777777">
            <w:pPr>
              <w:widowControl/>
              <w:autoSpaceDE/>
              <w:autoSpaceDN/>
              <w:adjustRightInd/>
              <w:jc w:val="right"/>
              <w:rPr>
                <w:color w:val="000000"/>
                <w:sz w:val="20"/>
                <w:szCs w:val="20"/>
              </w:rPr>
            </w:pPr>
            <w:r w:rsidRPr="001B2492">
              <w:rPr>
                <w:color w:val="000000" w:themeColor="text1"/>
                <w:sz w:val="20"/>
                <w:szCs w:val="20"/>
              </w:rPr>
              <w:t>16,910.00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DCA498D" w14:textId="77777777">
            <w:pPr>
              <w:widowControl/>
              <w:autoSpaceDE/>
              <w:autoSpaceDN/>
              <w:adjustRightInd/>
              <w:jc w:val="right"/>
              <w:rPr>
                <w:color w:val="000000"/>
                <w:sz w:val="20"/>
                <w:szCs w:val="20"/>
              </w:rPr>
            </w:pPr>
            <w:r w:rsidRPr="001B2492">
              <w:rPr>
                <w:color w:val="000000"/>
                <w:sz w:val="20"/>
                <w:szCs w:val="20"/>
              </w:rPr>
              <w:t>$60.66</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6448B" w:rsidRDefault="006371D3" w14:paraId="2F01F834" w14:textId="77777777">
            <w:pPr>
              <w:widowControl/>
              <w:autoSpaceDE/>
              <w:autoSpaceDN/>
              <w:adjustRightInd/>
              <w:ind w:left="-111" w:right="-105"/>
              <w:jc w:val="right"/>
              <w:rPr>
                <w:color w:val="000000"/>
                <w:sz w:val="20"/>
                <w:szCs w:val="20"/>
              </w:rPr>
            </w:pPr>
            <w:r w:rsidRPr="001B2492">
              <w:rPr>
                <w:color w:val="000000"/>
                <w:sz w:val="20"/>
                <w:szCs w:val="20"/>
              </w:rPr>
              <w:t>$1,025,760.60</w:t>
            </w:r>
          </w:p>
        </w:tc>
      </w:tr>
      <w:tr w:rsidRPr="001B2492" w:rsidR="006371D3" w:rsidTr="00F46FBC" w14:paraId="044BBE9D" w14:textId="77777777">
        <w:trPr>
          <w:cantSplit/>
          <w:trHeight w:val="127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BA3AAE7" w14:textId="77777777">
            <w:pPr>
              <w:widowControl/>
              <w:autoSpaceDE/>
              <w:autoSpaceDN/>
              <w:adjustRightInd/>
              <w:rPr>
                <w:color w:val="000000"/>
                <w:sz w:val="20"/>
                <w:szCs w:val="20"/>
              </w:rPr>
            </w:pPr>
            <w:r w:rsidRPr="001B2492">
              <w:rPr>
                <w:color w:val="000000"/>
                <w:sz w:val="20"/>
                <w:szCs w:val="20"/>
              </w:rPr>
              <w:t xml:space="preserve">Safety and Health Program Assessment Worksheet – SHARP, Inspection Exemption, Comprehensive Program Assistance </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3CD5E968" w14:textId="77777777">
            <w:pPr>
              <w:widowControl/>
              <w:autoSpaceDE/>
              <w:autoSpaceDN/>
              <w:adjustRightInd/>
              <w:rPr>
                <w:color w:val="000000"/>
                <w:sz w:val="20"/>
                <w:szCs w:val="20"/>
              </w:rPr>
            </w:pPr>
            <w:r w:rsidRPr="001B2492">
              <w:rPr>
                <w:color w:val="000000"/>
                <w:sz w:val="20"/>
                <w:szCs w:val="20"/>
              </w:rPr>
              <w:t>Consultant</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7BFBEB8E"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6D1BCAD3" w14:textId="77777777">
            <w:pPr>
              <w:widowControl/>
              <w:autoSpaceDE/>
              <w:autoSpaceDN/>
              <w:adjustRightInd/>
              <w:jc w:val="right"/>
              <w:rPr>
                <w:color w:val="000000"/>
                <w:sz w:val="20"/>
                <w:szCs w:val="20"/>
              </w:rPr>
            </w:pPr>
            <w:r w:rsidRPr="001B2492">
              <w:rPr>
                <w:color w:val="000000"/>
                <w:sz w:val="20"/>
                <w:szCs w:val="20"/>
              </w:rPr>
              <w:t>22.13</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CDB0ACC" w14:textId="77777777">
            <w:pPr>
              <w:widowControl/>
              <w:autoSpaceDE/>
              <w:autoSpaceDN/>
              <w:adjustRightInd/>
              <w:jc w:val="right"/>
              <w:rPr>
                <w:color w:val="000000"/>
                <w:sz w:val="20"/>
                <w:szCs w:val="20"/>
              </w:rPr>
            </w:pPr>
            <w:r w:rsidRPr="001B2492">
              <w:rPr>
                <w:color w:val="000000"/>
                <w:sz w:val="20"/>
                <w:szCs w:val="20"/>
              </w:rPr>
              <w:t>1,173</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4240AAE" w14:textId="77777777">
            <w:pPr>
              <w:widowControl/>
              <w:autoSpaceDE/>
              <w:autoSpaceDN/>
              <w:adjustRightInd/>
              <w:jc w:val="right"/>
              <w:rPr>
                <w:color w:val="000000"/>
                <w:sz w:val="20"/>
                <w:szCs w:val="20"/>
              </w:rPr>
            </w:pPr>
            <w:r w:rsidRPr="001B2492">
              <w:rPr>
                <w:color w:val="000000"/>
                <w:sz w:val="20"/>
                <w:szCs w:val="20"/>
              </w:rPr>
              <w:t>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5A644184" w:rsidRDefault="648B6C09" w14:paraId="4805D10B" w14:textId="77777777">
            <w:pPr>
              <w:widowControl/>
              <w:autoSpaceDE/>
              <w:autoSpaceDN/>
              <w:adjustRightInd/>
              <w:jc w:val="right"/>
              <w:rPr>
                <w:color w:val="000000"/>
                <w:sz w:val="20"/>
                <w:szCs w:val="20"/>
              </w:rPr>
            </w:pPr>
            <w:r w:rsidRPr="001B2492">
              <w:rPr>
                <w:color w:val="000000" w:themeColor="text1"/>
                <w:sz w:val="20"/>
                <w:szCs w:val="20"/>
              </w:rPr>
              <w:t>5,865.00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AF6EEB9" w14:textId="77777777">
            <w:pPr>
              <w:widowControl/>
              <w:autoSpaceDE/>
              <w:autoSpaceDN/>
              <w:adjustRightInd/>
              <w:jc w:val="right"/>
              <w:rPr>
                <w:color w:val="000000"/>
                <w:sz w:val="20"/>
                <w:szCs w:val="20"/>
              </w:rPr>
            </w:pPr>
            <w:r w:rsidRPr="001B2492">
              <w:rPr>
                <w:color w:val="000000"/>
                <w:sz w:val="20"/>
                <w:szCs w:val="20"/>
              </w:rPr>
              <w:t>$60.66</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57783F7B" w14:textId="77777777">
            <w:pPr>
              <w:widowControl/>
              <w:autoSpaceDE/>
              <w:autoSpaceDN/>
              <w:adjustRightInd/>
              <w:jc w:val="right"/>
              <w:rPr>
                <w:color w:val="000000"/>
                <w:sz w:val="20"/>
                <w:szCs w:val="20"/>
              </w:rPr>
            </w:pPr>
            <w:r w:rsidRPr="001B2492">
              <w:rPr>
                <w:color w:val="000000"/>
                <w:sz w:val="20"/>
                <w:szCs w:val="20"/>
              </w:rPr>
              <w:t xml:space="preserve">$355,770.90 </w:t>
            </w:r>
          </w:p>
        </w:tc>
      </w:tr>
      <w:tr w:rsidRPr="001B2492" w:rsidR="006371D3" w:rsidTr="00F46FBC" w14:paraId="3D26CEDB" w14:textId="77777777">
        <w:trPr>
          <w:cantSplit/>
          <w:trHeight w:val="25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E0FC290" w14:textId="77777777">
            <w:pPr>
              <w:widowControl/>
              <w:autoSpaceDE/>
              <w:autoSpaceDN/>
              <w:adjustRightInd/>
              <w:jc w:val="right"/>
              <w:rPr>
                <w:b/>
                <w:bCs/>
                <w:color w:val="000000"/>
                <w:sz w:val="20"/>
                <w:szCs w:val="20"/>
              </w:rPr>
            </w:pPr>
            <w:r w:rsidRPr="001B2492">
              <w:rPr>
                <w:b/>
                <w:bCs/>
                <w:color w:val="000000"/>
                <w:sz w:val="20"/>
                <w:szCs w:val="20"/>
              </w:rPr>
              <w:t>Subtotal A.</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E7BEAA2" w14:textId="77777777">
            <w:pPr>
              <w:widowControl/>
              <w:autoSpaceDE/>
              <w:autoSpaceDN/>
              <w:adjustRightInd/>
              <w:rPr>
                <w:color w:val="000000"/>
                <w:sz w:val="20"/>
                <w:szCs w:val="20"/>
              </w:rPr>
            </w:pPr>
            <w:r w:rsidRPr="001B2492">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3E4A9CD" w14:textId="77777777">
            <w:pPr>
              <w:widowControl/>
              <w:autoSpaceDE/>
              <w:autoSpaceDN/>
              <w:adjustRightInd/>
              <w:rPr>
                <w:color w:val="000000"/>
                <w:sz w:val="20"/>
                <w:szCs w:val="20"/>
              </w:rPr>
            </w:pPr>
            <w:r w:rsidRPr="001B2492">
              <w:rPr>
                <w:color w:val="000000"/>
                <w:sz w:val="20"/>
                <w:szCs w:val="20"/>
              </w:rPr>
              <w:t> </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F6584BE" w14:textId="77777777">
            <w:pPr>
              <w:widowControl/>
              <w:autoSpaceDE/>
              <w:autoSpaceDN/>
              <w:adjustRightInd/>
              <w:rPr>
                <w:color w:val="000000"/>
                <w:sz w:val="20"/>
                <w:szCs w:val="20"/>
              </w:rPr>
            </w:pPr>
            <w:r w:rsidRPr="001B2492">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45383C" w:rsidRDefault="006371D3" w14:paraId="516FCAF1" w14:textId="77777777">
            <w:pPr>
              <w:widowControl/>
              <w:autoSpaceDE/>
              <w:autoSpaceDN/>
              <w:adjustRightInd/>
              <w:jc w:val="right"/>
              <w:rPr>
                <w:b/>
                <w:bCs/>
                <w:color w:val="000000"/>
                <w:sz w:val="20"/>
                <w:szCs w:val="20"/>
              </w:rPr>
            </w:pPr>
            <w:r w:rsidRPr="001B2492">
              <w:rPr>
                <w:b/>
                <w:bCs/>
                <w:color w:val="000000"/>
                <w:sz w:val="20"/>
                <w:szCs w:val="20"/>
              </w:rPr>
              <w:t>22,843</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09AF38FC" w14:textId="77777777">
            <w:pPr>
              <w:widowControl/>
              <w:autoSpaceDE/>
              <w:autoSpaceDN/>
              <w:adjustRightInd/>
              <w:rPr>
                <w:b/>
                <w:bCs/>
                <w:color w:val="000000"/>
                <w:sz w:val="20"/>
                <w:szCs w:val="20"/>
              </w:rPr>
            </w:pPr>
            <w:r w:rsidRPr="001B2492">
              <w:rPr>
                <w:b/>
                <w:bCs/>
                <w:color w:val="000000"/>
                <w:sz w:val="20"/>
                <w:szCs w:val="20"/>
              </w:rPr>
              <w:t> </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325BD3D0" w14:textId="77777777">
            <w:pPr>
              <w:widowControl/>
              <w:autoSpaceDE/>
              <w:autoSpaceDN/>
              <w:adjustRightInd/>
              <w:jc w:val="right"/>
              <w:rPr>
                <w:b/>
                <w:bCs/>
                <w:color w:val="000000"/>
                <w:sz w:val="20"/>
                <w:szCs w:val="20"/>
              </w:rPr>
            </w:pPr>
            <w:r w:rsidRPr="001B2492">
              <w:rPr>
                <w:b/>
                <w:bCs/>
                <w:color w:val="000000"/>
                <w:sz w:val="20"/>
                <w:szCs w:val="20"/>
              </w:rPr>
              <w:t>41,063.00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5AA318D" w14:textId="77777777">
            <w:pPr>
              <w:widowControl/>
              <w:autoSpaceDE/>
              <w:autoSpaceDN/>
              <w:adjustRightInd/>
              <w:rPr>
                <w:b/>
                <w:bCs/>
                <w:color w:val="000000"/>
                <w:sz w:val="20"/>
                <w:szCs w:val="20"/>
              </w:rPr>
            </w:pPr>
            <w:r w:rsidRPr="001B2492">
              <w:rPr>
                <w:b/>
                <w:bCs/>
                <w:color w:val="000000"/>
                <w:sz w:val="20"/>
                <w:szCs w:val="20"/>
              </w:rPr>
              <w:t> </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6448B" w:rsidRDefault="006371D3" w14:paraId="69297BF1" w14:textId="77777777">
            <w:pPr>
              <w:widowControl/>
              <w:autoSpaceDE/>
              <w:autoSpaceDN/>
              <w:adjustRightInd/>
              <w:ind w:left="-111" w:right="-15"/>
              <w:jc w:val="right"/>
              <w:rPr>
                <w:b/>
                <w:bCs/>
                <w:color w:val="000000"/>
                <w:sz w:val="20"/>
                <w:szCs w:val="20"/>
              </w:rPr>
            </w:pPr>
            <w:r w:rsidRPr="001B2492">
              <w:rPr>
                <w:b/>
                <w:bCs/>
                <w:color w:val="000000"/>
                <w:sz w:val="20"/>
                <w:szCs w:val="20"/>
              </w:rPr>
              <w:t xml:space="preserve">$2,490,881.58 </w:t>
            </w:r>
          </w:p>
        </w:tc>
      </w:tr>
      <w:tr w:rsidRPr="001B2492" w:rsidR="006371D3" w:rsidTr="00F46FBC" w14:paraId="30C84E5B" w14:textId="77777777">
        <w:trPr>
          <w:cantSplit/>
          <w:trHeight w:val="51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6EC1E87A" w14:textId="77777777">
            <w:pPr>
              <w:widowControl/>
              <w:autoSpaceDE/>
              <w:autoSpaceDN/>
              <w:adjustRightInd/>
              <w:rPr>
                <w:color w:val="000000"/>
                <w:sz w:val="20"/>
                <w:szCs w:val="20"/>
              </w:rPr>
            </w:pPr>
            <w:r w:rsidRPr="001B2492">
              <w:rPr>
                <w:color w:val="000000"/>
                <w:sz w:val="20"/>
                <w:szCs w:val="20"/>
              </w:rPr>
              <w:t>B. Prepare list of hazards (1908.6(e)(8))</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7628DE39" w14:textId="77777777">
            <w:pPr>
              <w:widowControl/>
              <w:autoSpaceDE/>
              <w:autoSpaceDN/>
              <w:adjustRightInd/>
              <w:rPr>
                <w:color w:val="000000"/>
                <w:sz w:val="20"/>
                <w:szCs w:val="20"/>
              </w:rPr>
            </w:pPr>
            <w:r w:rsidRPr="001B2492">
              <w:rPr>
                <w:color w:val="000000"/>
                <w:sz w:val="20"/>
                <w:szCs w:val="20"/>
              </w:rPr>
              <w:t>Consultant</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1BF70EF8"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3F2F22" w:rsidRDefault="006371D3" w14:paraId="550F9073" w14:textId="77777777">
            <w:pPr>
              <w:widowControl/>
              <w:autoSpaceDE/>
              <w:autoSpaceDN/>
              <w:adjustRightInd/>
              <w:jc w:val="right"/>
              <w:rPr>
                <w:color w:val="000000"/>
                <w:sz w:val="20"/>
                <w:szCs w:val="20"/>
              </w:rPr>
            </w:pPr>
            <w:r w:rsidRPr="001B2492">
              <w:rPr>
                <w:color w:val="000000"/>
                <w:sz w:val="20"/>
                <w:szCs w:val="20"/>
              </w:rPr>
              <w:t>431.00</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3BAA15B" w14:textId="77777777">
            <w:pPr>
              <w:widowControl/>
              <w:autoSpaceDE/>
              <w:autoSpaceDN/>
              <w:adjustRightInd/>
              <w:jc w:val="right"/>
              <w:rPr>
                <w:b/>
                <w:bCs/>
                <w:color w:val="000000"/>
                <w:sz w:val="20"/>
                <w:szCs w:val="20"/>
              </w:rPr>
            </w:pPr>
            <w:r w:rsidRPr="001B2492">
              <w:rPr>
                <w:b/>
                <w:bCs/>
                <w:color w:val="000000"/>
                <w:sz w:val="20"/>
                <w:szCs w:val="20"/>
              </w:rPr>
              <w:t>22,843</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BFE43F8" w14:textId="77777777">
            <w:pPr>
              <w:widowControl/>
              <w:autoSpaceDE/>
              <w:autoSpaceDN/>
              <w:adjustRightInd/>
              <w:jc w:val="right"/>
              <w:rPr>
                <w:color w:val="000000"/>
                <w:sz w:val="20"/>
                <w:szCs w:val="20"/>
              </w:rPr>
            </w:pPr>
            <w:r w:rsidRPr="001B2492">
              <w:rPr>
                <w:color w:val="000000"/>
                <w:sz w:val="20"/>
                <w:szCs w:val="20"/>
              </w:rPr>
              <w:t>0.08</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DF008B4" w14:textId="77777777">
            <w:pPr>
              <w:widowControl/>
              <w:autoSpaceDE/>
              <w:autoSpaceDN/>
              <w:adjustRightInd/>
              <w:jc w:val="right"/>
              <w:rPr>
                <w:b/>
                <w:bCs/>
                <w:color w:val="000000"/>
                <w:sz w:val="20"/>
                <w:szCs w:val="20"/>
              </w:rPr>
            </w:pPr>
            <w:r w:rsidRPr="001B2492">
              <w:rPr>
                <w:b/>
                <w:bCs/>
                <w:color w:val="000000"/>
                <w:sz w:val="20"/>
                <w:szCs w:val="20"/>
              </w:rPr>
              <w:t>1,827.44</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6EA7868" w14:textId="77777777">
            <w:pPr>
              <w:widowControl/>
              <w:autoSpaceDE/>
              <w:autoSpaceDN/>
              <w:adjustRightInd/>
              <w:jc w:val="right"/>
              <w:rPr>
                <w:color w:val="000000"/>
                <w:sz w:val="20"/>
                <w:szCs w:val="20"/>
              </w:rPr>
            </w:pPr>
            <w:r w:rsidRPr="001B2492">
              <w:rPr>
                <w:color w:val="000000"/>
                <w:sz w:val="20"/>
                <w:szCs w:val="20"/>
              </w:rPr>
              <w:t>$60.66</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76C9EAE8" w14:textId="77777777">
            <w:pPr>
              <w:widowControl/>
              <w:autoSpaceDE/>
              <w:autoSpaceDN/>
              <w:adjustRightInd/>
              <w:jc w:val="right"/>
              <w:rPr>
                <w:b/>
                <w:bCs/>
                <w:color w:val="000000"/>
                <w:sz w:val="20"/>
                <w:szCs w:val="20"/>
              </w:rPr>
            </w:pPr>
            <w:r w:rsidRPr="001B2492">
              <w:rPr>
                <w:b/>
                <w:bCs/>
                <w:color w:val="000000"/>
                <w:sz w:val="20"/>
                <w:szCs w:val="20"/>
              </w:rPr>
              <w:t xml:space="preserve">$110,852.51 </w:t>
            </w:r>
          </w:p>
        </w:tc>
      </w:tr>
      <w:tr w:rsidRPr="001B2492" w:rsidR="006371D3" w:rsidTr="00F46FBC" w14:paraId="5F99F744" w14:textId="77777777">
        <w:trPr>
          <w:cantSplit/>
          <w:trHeight w:val="51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B0D1FFF" w14:textId="77777777">
            <w:pPr>
              <w:widowControl/>
              <w:autoSpaceDE/>
              <w:autoSpaceDN/>
              <w:adjustRightInd/>
              <w:rPr>
                <w:color w:val="000000"/>
                <w:sz w:val="20"/>
                <w:szCs w:val="20"/>
              </w:rPr>
            </w:pPr>
            <w:r w:rsidRPr="001B2492">
              <w:rPr>
                <w:color w:val="000000"/>
                <w:sz w:val="20"/>
                <w:szCs w:val="20"/>
              </w:rPr>
              <w:t>C. Referral to enforcement (1908.6(f)(1) and (4))</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232785F" w14:textId="77777777">
            <w:pPr>
              <w:widowControl/>
              <w:autoSpaceDE/>
              <w:autoSpaceDN/>
              <w:adjustRightInd/>
              <w:rPr>
                <w:color w:val="000000"/>
                <w:sz w:val="20"/>
                <w:szCs w:val="20"/>
              </w:rPr>
            </w:pPr>
            <w:r w:rsidRPr="001B2492">
              <w:rPr>
                <w:color w:val="000000"/>
                <w:sz w:val="20"/>
                <w:szCs w:val="20"/>
              </w:rPr>
              <w:t>Program Manager</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75697EEC" w14:textId="77777777">
            <w:pPr>
              <w:widowControl/>
              <w:autoSpaceDE/>
              <w:autoSpaceDN/>
              <w:adjustRightInd/>
              <w:jc w:val="right"/>
              <w:rPr>
                <w:color w:val="000000"/>
                <w:sz w:val="20"/>
                <w:szCs w:val="20"/>
              </w:rPr>
            </w:pPr>
            <w:r w:rsidRPr="001B2492">
              <w:rPr>
                <w:color w:val="000000"/>
                <w:sz w:val="20"/>
                <w:szCs w:val="20"/>
              </w:rPr>
              <w:t>7</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6B20A0C" w14:textId="77777777">
            <w:pPr>
              <w:widowControl/>
              <w:autoSpaceDE/>
              <w:autoSpaceDN/>
              <w:adjustRightInd/>
              <w:jc w:val="right"/>
              <w:rPr>
                <w:color w:val="000000"/>
                <w:sz w:val="20"/>
                <w:szCs w:val="20"/>
              </w:rPr>
            </w:pPr>
            <w:r w:rsidRPr="001B2492">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09B8484" w14:textId="77777777">
            <w:pPr>
              <w:widowControl/>
              <w:autoSpaceDE/>
              <w:autoSpaceDN/>
              <w:adjustRightInd/>
              <w:jc w:val="right"/>
              <w:rPr>
                <w:b/>
                <w:bCs/>
                <w:color w:val="000000"/>
                <w:sz w:val="20"/>
                <w:szCs w:val="20"/>
              </w:rPr>
            </w:pPr>
            <w:r w:rsidRPr="001B2492">
              <w:rPr>
                <w:b/>
                <w:bCs/>
                <w:color w:val="000000"/>
                <w:sz w:val="20"/>
                <w:szCs w:val="20"/>
              </w:rPr>
              <w:t>7</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21320B8" w14:textId="77777777">
            <w:pPr>
              <w:widowControl/>
              <w:autoSpaceDE/>
              <w:autoSpaceDN/>
              <w:adjustRightInd/>
              <w:jc w:val="right"/>
              <w:rPr>
                <w:color w:val="000000"/>
                <w:sz w:val="20"/>
                <w:szCs w:val="20"/>
              </w:rPr>
            </w:pPr>
            <w:r w:rsidRPr="001B2492">
              <w:rPr>
                <w:color w:val="000000"/>
                <w:sz w:val="20"/>
                <w:szCs w:val="20"/>
              </w:rPr>
              <w:t>0.5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1678D19C" w14:textId="77777777">
            <w:pPr>
              <w:widowControl/>
              <w:autoSpaceDE/>
              <w:autoSpaceDN/>
              <w:adjustRightInd/>
              <w:jc w:val="right"/>
              <w:rPr>
                <w:b/>
                <w:bCs/>
                <w:color w:val="000000"/>
                <w:sz w:val="20"/>
                <w:szCs w:val="20"/>
              </w:rPr>
            </w:pPr>
            <w:r w:rsidRPr="001B2492">
              <w:rPr>
                <w:b/>
                <w:bCs/>
                <w:color w:val="000000"/>
                <w:sz w:val="20"/>
                <w:szCs w:val="20"/>
              </w:rPr>
              <w:t>3.50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96B6A12" w14:textId="77777777">
            <w:pPr>
              <w:widowControl/>
              <w:autoSpaceDE/>
              <w:autoSpaceDN/>
              <w:adjustRightInd/>
              <w:jc w:val="right"/>
              <w:rPr>
                <w:color w:val="000000"/>
                <w:sz w:val="20"/>
                <w:szCs w:val="20"/>
              </w:rPr>
            </w:pPr>
            <w:r w:rsidRPr="001B2492">
              <w:rPr>
                <w:color w:val="000000"/>
                <w:sz w:val="20"/>
                <w:szCs w:val="20"/>
              </w:rPr>
              <w:t xml:space="preserve">$83.97 </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7C1E775B" w14:textId="77777777">
            <w:pPr>
              <w:widowControl/>
              <w:autoSpaceDE/>
              <w:autoSpaceDN/>
              <w:adjustRightInd/>
              <w:jc w:val="right"/>
              <w:rPr>
                <w:b/>
                <w:bCs/>
                <w:color w:val="000000"/>
                <w:sz w:val="20"/>
                <w:szCs w:val="20"/>
              </w:rPr>
            </w:pPr>
            <w:r w:rsidRPr="001B2492">
              <w:rPr>
                <w:b/>
                <w:bCs/>
                <w:color w:val="000000"/>
                <w:sz w:val="20"/>
                <w:szCs w:val="20"/>
              </w:rPr>
              <w:t xml:space="preserve">$293.89 </w:t>
            </w:r>
          </w:p>
        </w:tc>
      </w:tr>
      <w:tr w:rsidRPr="001B2492" w:rsidR="006371D3" w:rsidTr="00F46FBC" w14:paraId="3124B45A" w14:textId="77777777">
        <w:trPr>
          <w:cantSplit/>
          <w:trHeight w:val="76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C13D3D7" w14:textId="77777777">
            <w:pPr>
              <w:widowControl/>
              <w:autoSpaceDE/>
              <w:autoSpaceDN/>
              <w:adjustRightInd/>
              <w:rPr>
                <w:color w:val="000000"/>
                <w:sz w:val="20"/>
                <w:szCs w:val="20"/>
              </w:rPr>
            </w:pPr>
            <w:r w:rsidRPr="001B2492">
              <w:rPr>
                <w:color w:val="000000"/>
                <w:sz w:val="20"/>
                <w:szCs w:val="20"/>
              </w:rPr>
              <w:t>D.  Prepare written report describing all serious hazards (1908.6(g)(1))</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543D5DF0" w14:textId="77777777">
            <w:pPr>
              <w:widowControl/>
              <w:autoSpaceDE/>
              <w:autoSpaceDN/>
              <w:adjustRightInd/>
              <w:rPr>
                <w:color w:val="000000"/>
                <w:sz w:val="20"/>
                <w:szCs w:val="20"/>
              </w:rPr>
            </w:pPr>
            <w:r w:rsidRPr="001B2492">
              <w:rPr>
                <w:color w:val="000000"/>
                <w:sz w:val="20"/>
                <w:szCs w:val="20"/>
              </w:rPr>
              <w:t>Consultant</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62DA9573"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0C6945B" w14:textId="77777777">
            <w:pPr>
              <w:widowControl/>
              <w:autoSpaceDE/>
              <w:autoSpaceDN/>
              <w:adjustRightInd/>
              <w:jc w:val="right"/>
              <w:rPr>
                <w:color w:val="000000"/>
                <w:sz w:val="20"/>
                <w:szCs w:val="20"/>
              </w:rPr>
            </w:pPr>
            <w:r w:rsidRPr="001B2492">
              <w:rPr>
                <w:color w:val="000000"/>
                <w:sz w:val="20"/>
                <w:szCs w:val="20"/>
              </w:rPr>
              <w:t>431.00</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5A644184" w:rsidRDefault="00CF1B48" w14:paraId="6372C0A3" w14:textId="676AE28C">
            <w:pPr>
              <w:widowControl/>
              <w:autoSpaceDE/>
              <w:autoSpaceDN/>
              <w:adjustRightInd/>
              <w:jc w:val="right"/>
              <w:rPr>
                <w:b/>
                <w:bCs/>
                <w:color w:val="000000"/>
                <w:sz w:val="20"/>
                <w:szCs w:val="20"/>
              </w:rPr>
            </w:pPr>
            <w:r w:rsidRPr="001B2492">
              <w:rPr>
                <w:b/>
                <w:bCs/>
                <w:color w:val="000000" w:themeColor="text1"/>
                <w:sz w:val="20"/>
                <w:szCs w:val="20"/>
              </w:rPr>
              <w:t>2</w:t>
            </w:r>
            <w:r w:rsidRPr="001B2492" w:rsidR="648B6C09">
              <w:rPr>
                <w:b/>
                <w:bCs/>
                <w:color w:val="000000" w:themeColor="text1"/>
                <w:sz w:val="20"/>
                <w:szCs w:val="20"/>
              </w:rPr>
              <w:t>2,843</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ECE0164" w14:textId="77777777">
            <w:pPr>
              <w:widowControl/>
              <w:autoSpaceDE/>
              <w:autoSpaceDN/>
              <w:adjustRightInd/>
              <w:jc w:val="right"/>
              <w:rPr>
                <w:color w:val="000000"/>
                <w:sz w:val="20"/>
                <w:szCs w:val="20"/>
              </w:rPr>
            </w:pPr>
            <w:r w:rsidRPr="001B2492">
              <w:rPr>
                <w:color w:val="000000"/>
                <w:sz w:val="20"/>
                <w:szCs w:val="20"/>
              </w:rPr>
              <w:t>7.5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7D763D" w:rsidRDefault="006371D3" w14:paraId="19B84F0F" w14:textId="77777777">
            <w:pPr>
              <w:widowControl/>
              <w:autoSpaceDE/>
              <w:autoSpaceDN/>
              <w:adjustRightInd/>
              <w:ind w:left="-107"/>
              <w:jc w:val="right"/>
              <w:rPr>
                <w:b/>
                <w:bCs/>
                <w:color w:val="000000"/>
                <w:sz w:val="20"/>
                <w:szCs w:val="20"/>
              </w:rPr>
            </w:pPr>
            <w:r w:rsidRPr="001B2492">
              <w:rPr>
                <w:b/>
                <w:bCs/>
                <w:color w:val="000000"/>
                <w:sz w:val="20"/>
                <w:szCs w:val="20"/>
              </w:rPr>
              <w:t>171,322.50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3190C1EF" w14:textId="77777777">
            <w:pPr>
              <w:widowControl/>
              <w:autoSpaceDE/>
              <w:autoSpaceDN/>
              <w:adjustRightInd/>
              <w:jc w:val="right"/>
              <w:rPr>
                <w:color w:val="000000"/>
                <w:sz w:val="20"/>
                <w:szCs w:val="20"/>
              </w:rPr>
            </w:pPr>
            <w:r w:rsidRPr="001B2492">
              <w:rPr>
                <w:color w:val="000000"/>
                <w:sz w:val="20"/>
                <w:szCs w:val="20"/>
              </w:rPr>
              <w:t>$60.66</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6448B" w:rsidRDefault="006371D3" w14:paraId="6D907E64" w14:textId="77777777">
            <w:pPr>
              <w:widowControl/>
              <w:autoSpaceDE/>
              <w:autoSpaceDN/>
              <w:adjustRightInd/>
              <w:ind w:left="-111" w:right="-105"/>
              <w:jc w:val="right"/>
              <w:rPr>
                <w:b/>
                <w:bCs/>
                <w:color w:val="000000"/>
                <w:sz w:val="20"/>
                <w:szCs w:val="20"/>
              </w:rPr>
            </w:pPr>
            <w:r w:rsidRPr="001B2492">
              <w:rPr>
                <w:b/>
                <w:bCs/>
                <w:color w:val="000000"/>
                <w:sz w:val="20"/>
                <w:szCs w:val="20"/>
              </w:rPr>
              <w:t>$10,392,422.85</w:t>
            </w:r>
          </w:p>
        </w:tc>
      </w:tr>
      <w:tr w:rsidRPr="001B2492" w:rsidR="006371D3" w:rsidTr="00F46FBC" w14:paraId="4FEAF175" w14:textId="77777777">
        <w:trPr>
          <w:cantSplit/>
          <w:trHeight w:val="102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33E648DE" w14:textId="77777777">
            <w:pPr>
              <w:widowControl/>
              <w:autoSpaceDE/>
              <w:autoSpaceDN/>
              <w:adjustRightInd/>
              <w:rPr>
                <w:color w:val="000000"/>
                <w:sz w:val="20"/>
                <w:szCs w:val="20"/>
              </w:rPr>
            </w:pPr>
            <w:r w:rsidRPr="001B2492">
              <w:rPr>
                <w:color w:val="000000"/>
                <w:sz w:val="20"/>
                <w:szCs w:val="20"/>
              </w:rPr>
              <w:t>E. Inform OSHA Compliance Officer there is a Consultation "Visit in Progress" (1908.7(b)(1))</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55BA17A0" w14:textId="77777777">
            <w:pPr>
              <w:widowControl/>
              <w:autoSpaceDE/>
              <w:autoSpaceDN/>
              <w:adjustRightInd/>
              <w:rPr>
                <w:color w:val="000000"/>
                <w:sz w:val="20"/>
                <w:szCs w:val="20"/>
              </w:rPr>
            </w:pPr>
            <w:r w:rsidRPr="001B2492">
              <w:rPr>
                <w:color w:val="000000"/>
                <w:sz w:val="20"/>
                <w:szCs w:val="20"/>
              </w:rPr>
              <w:t>Program Manager</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54487826"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0ADCE1E0" w14:textId="77777777">
            <w:pPr>
              <w:widowControl/>
              <w:autoSpaceDE/>
              <w:autoSpaceDN/>
              <w:adjustRightInd/>
              <w:jc w:val="right"/>
              <w:rPr>
                <w:color w:val="000000"/>
                <w:sz w:val="20"/>
                <w:szCs w:val="20"/>
              </w:rPr>
            </w:pPr>
            <w:r w:rsidRPr="001B2492">
              <w:rPr>
                <w:color w:val="000000"/>
                <w:sz w:val="20"/>
                <w:szCs w:val="20"/>
              </w:rPr>
              <w:t>21.54</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07F1ABD3" w14:textId="77777777">
            <w:pPr>
              <w:widowControl/>
              <w:autoSpaceDE/>
              <w:autoSpaceDN/>
              <w:adjustRightInd/>
              <w:jc w:val="right"/>
              <w:rPr>
                <w:b/>
                <w:bCs/>
                <w:color w:val="000000"/>
                <w:sz w:val="20"/>
                <w:szCs w:val="20"/>
              </w:rPr>
            </w:pPr>
            <w:r w:rsidRPr="001B2492">
              <w:rPr>
                <w:b/>
                <w:bCs/>
                <w:color w:val="000000"/>
                <w:sz w:val="20"/>
                <w:szCs w:val="20"/>
              </w:rPr>
              <w:t>1,142</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F54A5A7" w14:textId="77777777">
            <w:pPr>
              <w:widowControl/>
              <w:autoSpaceDE/>
              <w:autoSpaceDN/>
              <w:adjustRightInd/>
              <w:jc w:val="right"/>
              <w:rPr>
                <w:color w:val="000000"/>
                <w:sz w:val="20"/>
                <w:szCs w:val="20"/>
              </w:rPr>
            </w:pPr>
            <w:r w:rsidRPr="001B2492">
              <w:rPr>
                <w:color w:val="000000"/>
                <w:sz w:val="20"/>
                <w:szCs w:val="20"/>
              </w:rPr>
              <w:t>0.1</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5A644184" w:rsidRDefault="648B6C09" w14:paraId="5D1E4DBE" w14:textId="77777777">
            <w:pPr>
              <w:widowControl/>
              <w:autoSpaceDE/>
              <w:autoSpaceDN/>
              <w:adjustRightInd/>
              <w:jc w:val="right"/>
              <w:rPr>
                <w:b/>
                <w:bCs/>
                <w:color w:val="000000"/>
                <w:sz w:val="20"/>
                <w:szCs w:val="20"/>
              </w:rPr>
            </w:pPr>
            <w:r w:rsidRPr="001B2492">
              <w:rPr>
                <w:b/>
                <w:bCs/>
                <w:color w:val="000000" w:themeColor="text1"/>
                <w:sz w:val="20"/>
                <w:szCs w:val="20"/>
              </w:rPr>
              <w:t>114.20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56F14B94" w14:textId="77777777">
            <w:pPr>
              <w:widowControl/>
              <w:autoSpaceDE/>
              <w:autoSpaceDN/>
              <w:adjustRightInd/>
              <w:jc w:val="right"/>
              <w:rPr>
                <w:color w:val="000000"/>
                <w:sz w:val="20"/>
                <w:szCs w:val="20"/>
              </w:rPr>
            </w:pPr>
            <w:r w:rsidRPr="001B2492">
              <w:rPr>
                <w:color w:val="000000"/>
                <w:sz w:val="20"/>
                <w:szCs w:val="20"/>
              </w:rPr>
              <w:t>$83.97</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5807992C" w14:textId="77777777">
            <w:pPr>
              <w:widowControl/>
              <w:autoSpaceDE/>
              <w:autoSpaceDN/>
              <w:adjustRightInd/>
              <w:jc w:val="right"/>
              <w:rPr>
                <w:b/>
                <w:bCs/>
                <w:color w:val="000000"/>
                <w:sz w:val="20"/>
                <w:szCs w:val="20"/>
              </w:rPr>
            </w:pPr>
            <w:r w:rsidRPr="001B2492">
              <w:rPr>
                <w:b/>
                <w:bCs/>
                <w:color w:val="000000"/>
                <w:sz w:val="20"/>
                <w:szCs w:val="20"/>
              </w:rPr>
              <w:t xml:space="preserve">$9,589.37 </w:t>
            </w:r>
          </w:p>
        </w:tc>
      </w:tr>
      <w:tr w:rsidRPr="001B2492" w:rsidR="084F941C" w:rsidTr="00F46FBC" w14:paraId="401BF868" w14:textId="77777777">
        <w:trPr>
          <w:cantSplit/>
          <w:trHeight w:val="102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4BD37086" w:rsidP="084F941C" w:rsidRDefault="4BD37086" w14:paraId="2F777BA1" w14:textId="7480958C">
            <w:pPr>
              <w:spacing w:line="259" w:lineRule="auto"/>
              <w:rPr>
                <w:color w:val="000000" w:themeColor="text1"/>
                <w:sz w:val="20"/>
                <w:szCs w:val="20"/>
              </w:rPr>
            </w:pPr>
            <w:r w:rsidRPr="001B2492">
              <w:rPr>
                <w:color w:val="000000" w:themeColor="text1"/>
                <w:sz w:val="20"/>
                <w:szCs w:val="20"/>
              </w:rPr>
              <w:t>F. 1908.9(b):</w:t>
            </w:r>
          </w:p>
          <w:p w:rsidRPr="001B2492" w:rsidR="4BD37086" w:rsidP="084F941C" w:rsidRDefault="4BD37086" w14:paraId="5046C41A" w14:textId="46EBE97D">
            <w:pPr>
              <w:spacing w:line="259" w:lineRule="auto"/>
              <w:rPr>
                <w:color w:val="000000" w:themeColor="text1"/>
                <w:sz w:val="20"/>
                <w:szCs w:val="20"/>
              </w:rPr>
            </w:pPr>
            <w:r w:rsidRPr="001B2492">
              <w:rPr>
                <w:color w:val="000000" w:themeColor="text1"/>
                <w:sz w:val="20"/>
                <w:szCs w:val="20"/>
              </w:rPr>
              <w:t>Establish and maintain an organized consultant performance monitoring system.</w:t>
            </w:r>
          </w:p>
        </w:tc>
        <w:tc>
          <w:tcPr>
            <w:tcW w:w="1455" w:type="dxa"/>
            <w:tcBorders>
              <w:top w:val="nil"/>
              <w:left w:val="nil"/>
              <w:bottom w:val="single" w:color="auto" w:sz="4" w:space="0"/>
              <w:right w:val="single" w:color="auto" w:sz="4" w:space="0"/>
            </w:tcBorders>
            <w:shd w:val="clear" w:color="auto" w:fill="auto"/>
            <w:vAlign w:val="bottom"/>
            <w:hideMark/>
          </w:tcPr>
          <w:p w:rsidRPr="001B2492" w:rsidR="0D10A9CC" w:rsidP="084F941C" w:rsidRDefault="0D10A9CC" w14:paraId="17BD59FF" w14:textId="1A534DB1">
            <w:pPr>
              <w:rPr>
                <w:color w:val="000000" w:themeColor="text1"/>
                <w:sz w:val="20"/>
                <w:szCs w:val="20"/>
              </w:rPr>
            </w:pPr>
            <w:r w:rsidRPr="001B2492">
              <w:rPr>
                <w:color w:val="000000" w:themeColor="text1"/>
                <w:sz w:val="20"/>
                <w:szCs w:val="20"/>
              </w:rPr>
              <w:t>Program Manager</w:t>
            </w:r>
          </w:p>
        </w:tc>
        <w:tc>
          <w:tcPr>
            <w:tcW w:w="1380" w:type="dxa"/>
            <w:tcBorders>
              <w:top w:val="nil"/>
              <w:left w:val="nil"/>
              <w:bottom w:val="single" w:color="auto" w:sz="4" w:space="0"/>
              <w:right w:val="single" w:color="auto" w:sz="4" w:space="0"/>
            </w:tcBorders>
            <w:shd w:val="clear" w:color="auto" w:fill="auto"/>
            <w:vAlign w:val="bottom"/>
            <w:hideMark/>
          </w:tcPr>
          <w:p w:rsidRPr="001B2492" w:rsidR="0D10A9CC" w:rsidP="084F941C" w:rsidRDefault="0D10A9CC" w14:paraId="6501CDE6" w14:textId="6648AD0E">
            <w:pPr>
              <w:jc w:val="right"/>
              <w:rPr>
                <w:color w:val="000000" w:themeColor="text1"/>
              </w:rPr>
            </w:pPr>
            <w:r w:rsidRPr="001B2492">
              <w:rPr>
                <w:color w:val="000000" w:themeColor="text1"/>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D10A9CC" w:rsidP="084F941C" w:rsidRDefault="0D10A9CC" w14:paraId="41F78F6A" w14:textId="1DD0D22A">
            <w:pPr>
              <w:jc w:val="right"/>
              <w:rPr>
                <w:color w:val="000000" w:themeColor="text1"/>
              </w:rPr>
            </w:pPr>
            <w:r w:rsidRPr="001B2492">
              <w:rPr>
                <w:color w:val="000000" w:themeColor="text1"/>
              </w:rPr>
              <w:t>0</w:t>
            </w:r>
          </w:p>
        </w:tc>
        <w:tc>
          <w:tcPr>
            <w:tcW w:w="1170" w:type="dxa"/>
            <w:tcBorders>
              <w:top w:val="nil"/>
              <w:left w:val="nil"/>
              <w:bottom w:val="single" w:color="auto" w:sz="4" w:space="0"/>
              <w:right w:val="single" w:color="auto" w:sz="4" w:space="0"/>
            </w:tcBorders>
            <w:shd w:val="clear" w:color="auto" w:fill="auto"/>
            <w:vAlign w:val="bottom"/>
            <w:hideMark/>
          </w:tcPr>
          <w:p w:rsidRPr="001B2492" w:rsidR="0D10A9CC" w:rsidP="084F941C" w:rsidRDefault="0D10A9CC" w14:paraId="7852CFAE" w14:textId="263C1319">
            <w:pPr>
              <w:jc w:val="right"/>
              <w:rPr>
                <w:b/>
                <w:bCs/>
                <w:color w:val="000000" w:themeColor="text1"/>
              </w:rPr>
            </w:pPr>
            <w:r w:rsidRPr="001B2492">
              <w:rPr>
                <w:b/>
                <w:bCs/>
                <w:color w:val="000000" w:themeColor="text1"/>
              </w:rPr>
              <w:t>0</w:t>
            </w:r>
          </w:p>
        </w:tc>
        <w:tc>
          <w:tcPr>
            <w:tcW w:w="915" w:type="dxa"/>
            <w:tcBorders>
              <w:top w:val="nil"/>
              <w:left w:val="nil"/>
              <w:bottom w:val="single" w:color="auto" w:sz="4" w:space="0"/>
              <w:right w:val="single" w:color="auto" w:sz="4" w:space="0"/>
            </w:tcBorders>
            <w:shd w:val="clear" w:color="auto" w:fill="auto"/>
            <w:vAlign w:val="bottom"/>
            <w:hideMark/>
          </w:tcPr>
          <w:p w:rsidRPr="001B2492" w:rsidR="0D10A9CC" w:rsidP="084F941C" w:rsidRDefault="0D10A9CC" w14:paraId="1DA4B6D7" w14:textId="00F81BF6">
            <w:pPr>
              <w:jc w:val="right"/>
              <w:rPr>
                <w:color w:val="000000" w:themeColor="text1"/>
              </w:rPr>
            </w:pPr>
            <w:r w:rsidRPr="001B2492">
              <w:rPr>
                <w:color w:val="000000" w:themeColor="text1"/>
              </w:rPr>
              <w:t>0</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D10A9CC" w:rsidP="084F941C" w:rsidRDefault="0D10A9CC" w14:paraId="1A165F9F" w14:textId="26E1BFEC">
            <w:pPr>
              <w:jc w:val="right"/>
              <w:rPr>
                <w:b/>
                <w:bCs/>
                <w:color w:val="000000" w:themeColor="text1"/>
              </w:rPr>
            </w:pPr>
            <w:r w:rsidRPr="001B2492">
              <w:rPr>
                <w:b/>
                <w:bCs/>
                <w:color w:val="000000" w:themeColor="text1"/>
              </w:rPr>
              <w:t>0</w:t>
            </w:r>
          </w:p>
        </w:tc>
        <w:tc>
          <w:tcPr>
            <w:tcW w:w="840" w:type="dxa"/>
            <w:tcBorders>
              <w:top w:val="nil"/>
              <w:left w:val="nil"/>
              <w:bottom w:val="single" w:color="auto" w:sz="4" w:space="0"/>
              <w:right w:val="single" w:color="auto" w:sz="4" w:space="0"/>
            </w:tcBorders>
            <w:shd w:val="clear" w:color="auto" w:fill="auto"/>
            <w:vAlign w:val="bottom"/>
            <w:hideMark/>
          </w:tcPr>
          <w:p w:rsidRPr="001B2492" w:rsidR="0D10A9CC" w:rsidP="084F941C" w:rsidRDefault="0D10A9CC" w14:paraId="7E3CC829" w14:textId="5B8B75CC">
            <w:pPr>
              <w:jc w:val="right"/>
              <w:rPr>
                <w:color w:val="000000" w:themeColor="text1"/>
              </w:rPr>
            </w:pPr>
            <w:r w:rsidRPr="001B2492">
              <w:rPr>
                <w:color w:val="000000" w:themeColor="text1"/>
              </w:rPr>
              <w:t>$0</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D10A9CC" w:rsidP="084F941C" w:rsidRDefault="0D10A9CC" w14:paraId="05F30836" w14:textId="7692161C">
            <w:pPr>
              <w:jc w:val="right"/>
              <w:rPr>
                <w:b/>
                <w:bCs/>
                <w:color w:val="000000" w:themeColor="text1"/>
              </w:rPr>
            </w:pPr>
            <w:r w:rsidRPr="001B2492">
              <w:rPr>
                <w:b/>
                <w:bCs/>
                <w:color w:val="000000" w:themeColor="text1"/>
              </w:rPr>
              <w:t>$0</w:t>
            </w:r>
          </w:p>
        </w:tc>
      </w:tr>
      <w:tr w:rsidRPr="001B2492" w:rsidR="006371D3" w:rsidTr="00F46FBC" w14:paraId="52F1EF35" w14:textId="77777777">
        <w:trPr>
          <w:cantSplit/>
          <w:trHeight w:val="76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27E40FDE" w14:paraId="4DDBD549" w14:textId="66EFF192">
            <w:pPr>
              <w:widowControl/>
              <w:autoSpaceDE/>
              <w:autoSpaceDN/>
              <w:adjustRightInd/>
              <w:rPr>
                <w:color w:val="000000"/>
                <w:sz w:val="20"/>
                <w:szCs w:val="20"/>
              </w:rPr>
            </w:pPr>
            <w:r w:rsidRPr="001B2492">
              <w:rPr>
                <w:color w:val="000000" w:themeColor="text1"/>
                <w:sz w:val="20"/>
                <w:szCs w:val="20"/>
              </w:rPr>
              <w:t>G</w:t>
            </w:r>
            <w:r w:rsidRPr="001B2492" w:rsidR="79E87595">
              <w:rPr>
                <w:color w:val="000000" w:themeColor="text1"/>
                <w:sz w:val="20"/>
                <w:szCs w:val="20"/>
              </w:rPr>
              <w:t xml:space="preserve">. </w:t>
            </w:r>
            <w:r w:rsidRPr="001B2492" w:rsidR="09BC0B7F">
              <w:rPr>
                <w:color w:val="000000" w:themeColor="text1"/>
                <w:sz w:val="20"/>
                <w:szCs w:val="20"/>
              </w:rPr>
              <w:t xml:space="preserve"> Preparation for Federal Project Officer review (1908.9 (c))</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3946853" w14:textId="77777777">
            <w:pPr>
              <w:widowControl/>
              <w:autoSpaceDE/>
              <w:autoSpaceDN/>
              <w:adjustRightInd/>
              <w:rPr>
                <w:color w:val="000000"/>
                <w:sz w:val="20"/>
                <w:szCs w:val="20"/>
              </w:rPr>
            </w:pPr>
            <w:r w:rsidRPr="001B2492">
              <w:rPr>
                <w:color w:val="000000"/>
                <w:sz w:val="20"/>
                <w:szCs w:val="20"/>
              </w:rPr>
              <w:t>Clerical</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4DE5A535"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2B2B7304" w14:textId="77777777">
            <w:pPr>
              <w:widowControl/>
              <w:autoSpaceDE/>
              <w:autoSpaceDN/>
              <w:adjustRightInd/>
              <w:jc w:val="right"/>
              <w:rPr>
                <w:color w:val="000000"/>
                <w:sz w:val="20"/>
                <w:szCs w:val="20"/>
              </w:rPr>
            </w:pPr>
            <w:r w:rsidRPr="001B2492">
              <w:rPr>
                <w:color w:val="000000"/>
                <w:sz w:val="20"/>
                <w:szCs w:val="20"/>
              </w:rPr>
              <w:t>9</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FB4D08" w:rsidRDefault="00FB4D08" w14:paraId="5EC727CF" w14:textId="6D3C9A8D">
            <w:pPr>
              <w:widowControl/>
              <w:autoSpaceDE/>
              <w:autoSpaceDN/>
              <w:adjustRightInd/>
              <w:jc w:val="right"/>
              <w:rPr>
                <w:b/>
                <w:bCs/>
                <w:color w:val="000000"/>
                <w:sz w:val="20"/>
                <w:szCs w:val="20"/>
              </w:rPr>
            </w:pPr>
            <w:r w:rsidRPr="001B2492">
              <w:rPr>
                <w:b/>
                <w:bCs/>
                <w:color w:val="000000" w:themeColor="text1"/>
                <w:sz w:val="20"/>
                <w:szCs w:val="20"/>
              </w:rPr>
              <w:t>477</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D74DB76" w14:textId="77777777">
            <w:pPr>
              <w:widowControl/>
              <w:autoSpaceDE/>
              <w:autoSpaceDN/>
              <w:adjustRightInd/>
              <w:jc w:val="right"/>
              <w:rPr>
                <w:color w:val="000000"/>
                <w:sz w:val="20"/>
                <w:szCs w:val="20"/>
              </w:rPr>
            </w:pPr>
            <w:r w:rsidRPr="001B2492">
              <w:rPr>
                <w:color w:val="000000"/>
                <w:sz w:val="20"/>
                <w:szCs w:val="20"/>
              </w:rPr>
              <w:t>0.5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9BC0B7F" w14:paraId="1D1792C9" w14:textId="59AC5525">
            <w:pPr>
              <w:widowControl/>
              <w:autoSpaceDE/>
              <w:autoSpaceDN/>
              <w:adjustRightInd/>
              <w:jc w:val="right"/>
              <w:rPr>
                <w:b/>
                <w:bCs/>
                <w:color w:val="000000"/>
                <w:sz w:val="20"/>
                <w:szCs w:val="20"/>
              </w:rPr>
            </w:pPr>
            <w:r w:rsidRPr="001B2492">
              <w:rPr>
                <w:b/>
                <w:bCs/>
                <w:color w:val="000000" w:themeColor="text1"/>
                <w:sz w:val="20"/>
                <w:szCs w:val="20"/>
              </w:rPr>
              <w:t>23</w:t>
            </w:r>
            <w:r w:rsidRPr="001B2492" w:rsidR="3C73D7E0">
              <w:rPr>
                <w:b/>
                <w:bCs/>
                <w:color w:val="000000" w:themeColor="text1"/>
                <w:sz w:val="20"/>
                <w:szCs w:val="20"/>
              </w:rPr>
              <w:t>8.50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B77450" w:rsidRDefault="006371D3" w14:paraId="5E91EAA0" w14:textId="77777777">
            <w:pPr>
              <w:widowControl/>
              <w:autoSpaceDE/>
              <w:autoSpaceDN/>
              <w:adjustRightInd/>
              <w:jc w:val="right"/>
              <w:rPr>
                <w:color w:val="000000"/>
                <w:sz w:val="20"/>
                <w:szCs w:val="20"/>
              </w:rPr>
            </w:pPr>
            <w:r w:rsidRPr="001B2492">
              <w:rPr>
                <w:color w:val="000000"/>
                <w:sz w:val="20"/>
                <w:szCs w:val="20"/>
              </w:rPr>
              <w:t xml:space="preserve">$28.28 </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513B20" w:rsidRDefault="006371D3" w14:paraId="14345596" w14:textId="4901FF7E">
            <w:pPr>
              <w:widowControl/>
              <w:autoSpaceDE/>
              <w:autoSpaceDN/>
              <w:adjustRightInd/>
              <w:jc w:val="right"/>
              <w:rPr>
                <w:b/>
                <w:bCs/>
                <w:color w:val="000000"/>
                <w:sz w:val="20"/>
                <w:szCs w:val="20"/>
              </w:rPr>
            </w:pPr>
            <w:r w:rsidRPr="001B2492">
              <w:rPr>
                <w:b/>
                <w:bCs/>
                <w:color w:val="000000"/>
                <w:sz w:val="20"/>
                <w:szCs w:val="20"/>
              </w:rPr>
              <w:t>$</w:t>
            </w:r>
            <w:r w:rsidRPr="001B2492" w:rsidR="00513B20">
              <w:rPr>
                <w:b/>
                <w:bCs/>
                <w:color w:val="000000"/>
                <w:sz w:val="20"/>
                <w:szCs w:val="20"/>
              </w:rPr>
              <w:t>6,744.78</w:t>
            </w:r>
            <w:r w:rsidRPr="001B2492">
              <w:rPr>
                <w:b/>
                <w:bCs/>
                <w:color w:val="000000"/>
                <w:sz w:val="20"/>
                <w:szCs w:val="20"/>
              </w:rPr>
              <w:t xml:space="preserve"> </w:t>
            </w:r>
          </w:p>
        </w:tc>
      </w:tr>
      <w:tr w:rsidRPr="001B2492" w:rsidR="006371D3" w:rsidTr="00F46FBC" w14:paraId="6F69CEF5" w14:textId="77777777">
        <w:trPr>
          <w:cantSplit/>
          <w:trHeight w:val="296"/>
        </w:trPr>
        <w:tc>
          <w:tcPr>
            <w:tcW w:w="11520" w:type="dxa"/>
            <w:gridSpan w:val="9"/>
            <w:tcBorders>
              <w:top w:val="nil"/>
              <w:left w:val="single" w:color="auto" w:sz="4" w:space="0"/>
              <w:bottom w:val="single" w:color="auto" w:sz="4" w:space="0"/>
              <w:right w:val="single" w:color="auto" w:sz="4" w:space="0"/>
            </w:tcBorders>
            <w:shd w:val="clear" w:color="auto" w:fill="auto"/>
            <w:vAlign w:val="bottom"/>
          </w:tcPr>
          <w:p w:rsidRPr="001B2492" w:rsidR="006371D3" w:rsidP="00C8391C" w:rsidRDefault="271B17EE" w14:paraId="2F7400CF" w14:textId="11ADF3FD">
            <w:pPr>
              <w:widowControl/>
              <w:autoSpaceDE/>
              <w:autoSpaceDN/>
              <w:adjustRightInd/>
              <w:rPr>
                <w:color w:val="000000"/>
                <w:sz w:val="20"/>
                <w:szCs w:val="20"/>
              </w:rPr>
            </w:pPr>
            <w:r w:rsidRPr="001B2492">
              <w:rPr>
                <w:color w:val="000000" w:themeColor="text1"/>
                <w:sz w:val="20"/>
                <w:szCs w:val="20"/>
              </w:rPr>
              <w:t>H</w:t>
            </w:r>
            <w:r w:rsidRPr="001B2492" w:rsidR="09BC0B7F">
              <w:rPr>
                <w:color w:val="000000" w:themeColor="text1"/>
                <w:sz w:val="20"/>
                <w:szCs w:val="20"/>
              </w:rPr>
              <w:t>.  Annual Cooperative Agreement (1908.10(c))</w:t>
            </w:r>
          </w:p>
        </w:tc>
      </w:tr>
      <w:tr w:rsidRPr="001B2492" w:rsidR="006371D3" w:rsidTr="00F46FBC" w14:paraId="635583BA" w14:textId="77777777">
        <w:trPr>
          <w:cantSplit/>
          <w:trHeight w:val="510"/>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01512BE8" w14:textId="77777777">
            <w:pPr>
              <w:widowControl/>
              <w:autoSpaceDE/>
              <w:autoSpaceDN/>
              <w:adjustRightInd/>
              <w:rPr>
                <w:color w:val="000000"/>
                <w:sz w:val="20"/>
                <w:szCs w:val="20"/>
              </w:rPr>
            </w:pPr>
            <w:r w:rsidRPr="001B2492">
              <w:rPr>
                <w:color w:val="000000"/>
                <w:sz w:val="20"/>
                <w:szCs w:val="20"/>
              </w:rPr>
              <w:t> </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01F53F6C" w14:textId="77777777">
            <w:pPr>
              <w:widowControl/>
              <w:autoSpaceDE/>
              <w:autoSpaceDN/>
              <w:adjustRightInd/>
              <w:rPr>
                <w:color w:val="000000"/>
                <w:sz w:val="20"/>
                <w:szCs w:val="20"/>
              </w:rPr>
            </w:pPr>
            <w:r w:rsidRPr="001B2492">
              <w:rPr>
                <w:color w:val="000000"/>
                <w:sz w:val="20"/>
                <w:szCs w:val="20"/>
              </w:rPr>
              <w:t>Program Manager</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50EFA4B0"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249FAAB8" w14:textId="77777777">
            <w:pPr>
              <w:widowControl/>
              <w:autoSpaceDE/>
              <w:autoSpaceDN/>
              <w:adjustRightInd/>
              <w:jc w:val="right"/>
              <w:rPr>
                <w:color w:val="000000"/>
                <w:sz w:val="20"/>
                <w:szCs w:val="20"/>
              </w:rPr>
            </w:pPr>
            <w:r w:rsidRPr="001B2492">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B77450" w:rsidRDefault="006371D3" w14:paraId="7D5154B1" w14:textId="77777777">
            <w:pPr>
              <w:widowControl/>
              <w:autoSpaceDE/>
              <w:autoSpaceDN/>
              <w:adjustRightInd/>
              <w:jc w:val="right"/>
              <w:rPr>
                <w:color w:val="000000"/>
                <w:sz w:val="20"/>
                <w:szCs w:val="20"/>
              </w:rPr>
            </w:pPr>
            <w:r w:rsidRPr="001B2492">
              <w:rPr>
                <w:color w:val="000000"/>
                <w:sz w:val="20"/>
                <w:szCs w:val="20"/>
              </w:rPr>
              <w:t>53</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34292C4" w14:textId="77777777">
            <w:pPr>
              <w:widowControl/>
              <w:autoSpaceDE/>
              <w:autoSpaceDN/>
              <w:adjustRightInd/>
              <w:jc w:val="right"/>
              <w:rPr>
                <w:color w:val="000000"/>
                <w:sz w:val="20"/>
                <w:szCs w:val="20"/>
              </w:rPr>
            </w:pPr>
            <w:r w:rsidRPr="001B2492">
              <w:rPr>
                <w:color w:val="000000"/>
                <w:sz w:val="20"/>
                <w:szCs w:val="20"/>
              </w:rPr>
              <w:t>32</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15075F7" w14:textId="77777777">
            <w:pPr>
              <w:widowControl/>
              <w:autoSpaceDE/>
              <w:autoSpaceDN/>
              <w:adjustRightInd/>
              <w:jc w:val="right"/>
              <w:rPr>
                <w:color w:val="000000"/>
                <w:sz w:val="20"/>
                <w:szCs w:val="20"/>
              </w:rPr>
            </w:pPr>
            <w:r w:rsidRPr="001B2492">
              <w:rPr>
                <w:color w:val="000000"/>
                <w:sz w:val="20"/>
                <w:szCs w:val="20"/>
              </w:rPr>
              <w:t>1,696.00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589F54C" w14:textId="77777777">
            <w:pPr>
              <w:widowControl/>
              <w:autoSpaceDE/>
              <w:autoSpaceDN/>
              <w:adjustRightInd/>
              <w:jc w:val="right"/>
              <w:rPr>
                <w:color w:val="000000"/>
                <w:sz w:val="20"/>
                <w:szCs w:val="20"/>
              </w:rPr>
            </w:pPr>
            <w:r w:rsidRPr="001B2492">
              <w:rPr>
                <w:color w:val="000000"/>
                <w:sz w:val="20"/>
                <w:szCs w:val="20"/>
              </w:rPr>
              <w:t>$83.97</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065EE928" w14:textId="77777777">
            <w:pPr>
              <w:widowControl/>
              <w:autoSpaceDE/>
              <w:autoSpaceDN/>
              <w:adjustRightInd/>
              <w:jc w:val="right"/>
              <w:rPr>
                <w:color w:val="000000"/>
                <w:sz w:val="20"/>
                <w:szCs w:val="20"/>
              </w:rPr>
            </w:pPr>
            <w:r w:rsidRPr="001B2492">
              <w:rPr>
                <w:color w:val="000000"/>
                <w:sz w:val="20"/>
                <w:szCs w:val="20"/>
              </w:rPr>
              <w:t xml:space="preserve">$142,413.12 </w:t>
            </w:r>
          </w:p>
        </w:tc>
      </w:tr>
      <w:tr w:rsidRPr="001B2492" w:rsidR="006371D3" w:rsidTr="00F46FBC" w14:paraId="1B964BC7" w14:textId="77777777">
        <w:trPr>
          <w:cantSplit/>
          <w:trHeight w:val="25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0DA70637" w14:textId="77777777">
            <w:pPr>
              <w:widowControl/>
              <w:autoSpaceDE/>
              <w:autoSpaceDN/>
              <w:adjustRightInd/>
              <w:rPr>
                <w:color w:val="000000"/>
                <w:sz w:val="20"/>
                <w:szCs w:val="20"/>
              </w:rPr>
            </w:pPr>
            <w:r w:rsidRPr="001B2492">
              <w:rPr>
                <w:color w:val="000000"/>
                <w:sz w:val="20"/>
                <w:szCs w:val="20"/>
              </w:rPr>
              <w:t> </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2B378F13" w14:textId="77777777">
            <w:pPr>
              <w:widowControl/>
              <w:autoSpaceDE/>
              <w:autoSpaceDN/>
              <w:adjustRightInd/>
              <w:rPr>
                <w:color w:val="000000"/>
                <w:sz w:val="20"/>
                <w:szCs w:val="20"/>
              </w:rPr>
            </w:pPr>
            <w:r w:rsidRPr="001B2492">
              <w:rPr>
                <w:color w:val="000000"/>
                <w:sz w:val="20"/>
                <w:szCs w:val="20"/>
              </w:rPr>
              <w:t>Clerical</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6BC4" w:rsidRDefault="006371D3" w14:paraId="65B0A599" w14:textId="77777777">
            <w:pPr>
              <w:widowControl/>
              <w:autoSpaceDE/>
              <w:autoSpaceDN/>
              <w:adjustRightInd/>
              <w:jc w:val="right"/>
              <w:rPr>
                <w:color w:val="000000"/>
                <w:sz w:val="20"/>
                <w:szCs w:val="20"/>
              </w:rPr>
            </w:pPr>
            <w:r w:rsidRPr="001B2492">
              <w:rPr>
                <w:color w:val="000000"/>
                <w:sz w:val="20"/>
                <w:szCs w:val="20"/>
              </w:rPr>
              <w:t>53</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19F14E3C" w14:textId="77777777">
            <w:pPr>
              <w:widowControl/>
              <w:autoSpaceDE/>
              <w:autoSpaceDN/>
              <w:adjustRightInd/>
              <w:jc w:val="right"/>
              <w:rPr>
                <w:color w:val="000000"/>
                <w:sz w:val="20"/>
                <w:szCs w:val="20"/>
              </w:rPr>
            </w:pPr>
            <w:r w:rsidRPr="001B2492">
              <w:rPr>
                <w:color w:val="000000"/>
                <w:sz w:val="20"/>
                <w:szCs w:val="20"/>
              </w:rPr>
              <w:t>1</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1B2492" w:rsidR="006371D3" w:rsidP="00B77450" w:rsidRDefault="006371D3" w14:paraId="1F555E5F" w14:textId="77777777">
            <w:pPr>
              <w:widowControl/>
              <w:autoSpaceDE/>
              <w:autoSpaceDN/>
              <w:adjustRightInd/>
              <w:jc w:val="right"/>
              <w:rPr>
                <w:color w:val="000000"/>
                <w:sz w:val="20"/>
                <w:szCs w:val="20"/>
              </w:rPr>
            </w:pPr>
            <w:r w:rsidRPr="001B2492">
              <w:rPr>
                <w:color w:val="000000"/>
                <w:sz w:val="20"/>
                <w:szCs w:val="20"/>
              </w:rPr>
              <w:t>53</w:t>
            </w:r>
          </w:p>
        </w:tc>
        <w:tc>
          <w:tcPr>
            <w:tcW w:w="915" w:type="dxa"/>
            <w:tcBorders>
              <w:top w:val="single" w:color="auto" w:sz="4" w:space="0"/>
              <w:left w:val="nil"/>
              <w:bottom w:val="single" w:color="auto" w:sz="4" w:space="0"/>
              <w:right w:val="single" w:color="auto" w:sz="4" w:space="0"/>
            </w:tcBorders>
            <w:shd w:val="clear" w:color="auto" w:fill="auto"/>
            <w:vAlign w:val="bottom"/>
            <w:hideMark/>
          </w:tcPr>
          <w:p w:rsidRPr="001B2492" w:rsidR="006371D3" w:rsidP="00C8391C" w:rsidRDefault="006371D3" w14:paraId="44B0A208" w14:textId="77777777">
            <w:pPr>
              <w:widowControl/>
              <w:autoSpaceDE/>
              <w:autoSpaceDN/>
              <w:adjustRightInd/>
              <w:jc w:val="right"/>
              <w:rPr>
                <w:color w:val="000000"/>
                <w:sz w:val="20"/>
                <w:szCs w:val="20"/>
              </w:rPr>
            </w:pPr>
            <w:r w:rsidRPr="001B2492">
              <w:rPr>
                <w:color w:val="000000"/>
                <w:sz w:val="20"/>
                <w:szCs w:val="20"/>
              </w:rPr>
              <w:t>8</w:t>
            </w:r>
          </w:p>
        </w:tc>
        <w:tc>
          <w:tcPr>
            <w:tcW w:w="1080" w:type="dxa"/>
            <w:tcBorders>
              <w:top w:val="single" w:color="auto" w:sz="4" w:space="0"/>
              <w:left w:val="nil"/>
              <w:bottom w:val="single" w:color="auto" w:sz="4" w:space="0"/>
              <w:right w:val="nil"/>
            </w:tcBorders>
            <w:shd w:val="clear" w:color="auto" w:fill="auto"/>
            <w:vAlign w:val="bottom"/>
            <w:hideMark/>
          </w:tcPr>
          <w:p w:rsidRPr="001B2492" w:rsidR="006371D3" w:rsidP="00C8391C" w:rsidRDefault="006371D3" w14:paraId="6A363882" w14:textId="77777777">
            <w:pPr>
              <w:widowControl/>
              <w:autoSpaceDE/>
              <w:autoSpaceDN/>
              <w:adjustRightInd/>
              <w:jc w:val="right"/>
              <w:rPr>
                <w:color w:val="000000"/>
                <w:sz w:val="20"/>
                <w:szCs w:val="20"/>
              </w:rPr>
            </w:pPr>
            <w:r w:rsidRPr="001B2492">
              <w:rPr>
                <w:color w:val="000000"/>
                <w:sz w:val="20"/>
                <w:szCs w:val="20"/>
              </w:rPr>
              <w:t>424.00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0FE02F5" w:rsidRDefault="006371D3" w14:paraId="632FB1DD" w14:textId="77777777">
            <w:pPr>
              <w:widowControl/>
              <w:autoSpaceDE/>
              <w:autoSpaceDN/>
              <w:adjustRightInd/>
              <w:jc w:val="right"/>
              <w:rPr>
                <w:color w:val="000000"/>
                <w:sz w:val="20"/>
                <w:szCs w:val="20"/>
              </w:rPr>
            </w:pPr>
            <w:r w:rsidRPr="001B2492">
              <w:rPr>
                <w:color w:val="000000"/>
                <w:sz w:val="20"/>
                <w:szCs w:val="20"/>
              </w:rPr>
              <w:t>$28.28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149878B7" w14:textId="77777777">
            <w:pPr>
              <w:widowControl/>
              <w:autoSpaceDE/>
              <w:autoSpaceDN/>
              <w:adjustRightInd/>
              <w:jc w:val="right"/>
              <w:rPr>
                <w:color w:val="000000"/>
                <w:sz w:val="20"/>
                <w:szCs w:val="20"/>
              </w:rPr>
            </w:pPr>
            <w:r w:rsidRPr="001B2492">
              <w:rPr>
                <w:color w:val="000000"/>
                <w:sz w:val="20"/>
                <w:szCs w:val="20"/>
              </w:rPr>
              <w:t xml:space="preserve">$11,990.72 </w:t>
            </w:r>
          </w:p>
        </w:tc>
      </w:tr>
      <w:tr w:rsidRPr="001B2492" w:rsidR="006371D3" w:rsidTr="00F46FBC" w14:paraId="2C77376C" w14:textId="77777777">
        <w:trPr>
          <w:cantSplit/>
          <w:trHeight w:val="28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9BC0B7F" w14:paraId="485B5809" w14:textId="2B260571">
            <w:pPr>
              <w:widowControl/>
              <w:autoSpaceDE/>
              <w:autoSpaceDN/>
              <w:adjustRightInd/>
              <w:jc w:val="right"/>
              <w:rPr>
                <w:b/>
                <w:bCs/>
                <w:color w:val="000000"/>
                <w:sz w:val="20"/>
                <w:szCs w:val="20"/>
              </w:rPr>
            </w:pPr>
            <w:r w:rsidRPr="001B2492">
              <w:rPr>
                <w:b/>
                <w:bCs/>
                <w:color w:val="000000" w:themeColor="text1"/>
                <w:sz w:val="20"/>
                <w:szCs w:val="20"/>
              </w:rPr>
              <w:t xml:space="preserve">Subtotal </w:t>
            </w:r>
            <w:r w:rsidRPr="001B2492" w:rsidR="1BB59DC2">
              <w:rPr>
                <w:b/>
                <w:bCs/>
                <w:color w:val="000000" w:themeColor="text1"/>
                <w:sz w:val="20"/>
                <w:szCs w:val="20"/>
              </w:rPr>
              <w:t>H</w:t>
            </w:r>
            <w:r w:rsidRPr="001B2492">
              <w:rPr>
                <w:b/>
                <w:bCs/>
                <w:color w:val="000000" w:themeColor="text1"/>
                <w:sz w:val="20"/>
                <w:szCs w:val="20"/>
              </w:rPr>
              <w:t>.</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6624170" w14:textId="77777777">
            <w:pPr>
              <w:widowControl/>
              <w:autoSpaceDE/>
              <w:autoSpaceDN/>
              <w:adjustRightInd/>
              <w:rPr>
                <w:b/>
                <w:bCs/>
                <w:color w:val="000000"/>
                <w:sz w:val="20"/>
                <w:szCs w:val="20"/>
              </w:rPr>
            </w:pPr>
            <w:r w:rsidRPr="001B2492">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B8484D5" w14:textId="77777777">
            <w:pPr>
              <w:widowControl/>
              <w:autoSpaceDE/>
              <w:autoSpaceDN/>
              <w:adjustRightInd/>
              <w:rPr>
                <w:color w:val="000000"/>
                <w:sz w:val="20"/>
                <w:szCs w:val="20"/>
              </w:rPr>
            </w:pPr>
            <w:r w:rsidRPr="001B2492">
              <w:rPr>
                <w:color w:val="000000"/>
                <w:sz w:val="20"/>
                <w:szCs w:val="20"/>
              </w:rPr>
              <w:t> </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4F8F56C0" w14:textId="77777777">
            <w:pPr>
              <w:widowControl/>
              <w:autoSpaceDE/>
              <w:autoSpaceDN/>
              <w:adjustRightInd/>
              <w:rPr>
                <w:b/>
                <w:bCs/>
                <w:color w:val="000000"/>
                <w:sz w:val="20"/>
                <w:szCs w:val="20"/>
              </w:rPr>
            </w:pPr>
            <w:r w:rsidRPr="001B2492">
              <w:rPr>
                <w:b/>
                <w:bCs/>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B77450" w:rsidRDefault="006371D3" w14:paraId="30CBA9E8" w14:textId="77777777">
            <w:pPr>
              <w:widowControl/>
              <w:autoSpaceDE/>
              <w:autoSpaceDN/>
              <w:adjustRightInd/>
              <w:jc w:val="right"/>
              <w:rPr>
                <w:b/>
                <w:bCs/>
                <w:color w:val="000000"/>
                <w:sz w:val="20"/>
                <w:szCs w:val="20"/>
              </w:rPr>
            </w:pPr>
            <w:r w:rsidRPr="001B2492">
              <w:rPr>
                <w:b/>
                <w:bCs/>
                <w:color w:val="000000"/>
                <w:sz w:val="20"/>
                <w:szCs w:val="20"/>
              </w:rPr>
              <w:t>106</w:t>
            </w:r>
          </w:p>
        </w:tc>
        <w:tc>
          <w:tcPr>
            <w:tcW w:w="915" w:type="dxa"/>
            <w:tcBorders>
              <w:top w:val="single" w:color="auto" w:sz="4" w:space="0"/>
              <w:left w:val="nil"/>
              <w:bottom w:val="single" w:color="auto" w:sz="4" w:space="0"/>
              <w:right w:val="single" w:color="auto" w:sz="4" w:space="0"/>
            </w:tcBorders>
            <w:shd w:val="clear" w:color="auto" w:fill="auto"/>
            <w:vAlign w:val="bottom"/>
            <w:hideMark/>
          </w:tcPr>
          <w:p w:rsidRPr="001B2492" w:rsidR="006371D3" w:rsidP="00C8391C" w:rsidRDefault="006371D3" w14:paraId="649CC1FA" w14:textId="77777777">
            <w:pPr>
              <w:widowControl/>
              <w:autoSpaceDE/>
              <w:autoSpaceDN/>
              <w:adjustRightInd/>
              <w:rPr>
                <w:b/>
                <w:bCs/>
                <w:color w:val="000000"/>
                <w:sz w:val="20"/>
                <w:szCs w:val="20"/>
              </w:rPr>
            </w:pPr>
            <w:r w:rsidRPr="001B2492">
              <w:rPr>
                <w:b/>
                <w:bCs/>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84F941C" w:rsidRDefault="406C77E5" w14:paraId="4D52B58D" w14:textId="0023A817">
            <w:pPr>
              <w:spacing w:line="259" w:lineRule="auto"/>
              <w:jc w:val="right"/>
              <w:rPr>
                <w:b/>
                <w:bCs/>
                <w:color w:val="000000" w:themeColor="text1"/>
              </w:rPr>
            </w:pPr>
            <w:r w:rsidRPr="001B2492">
              <w:rPr>
                <w:b/>
                <w:bCs/>
                <w:color w:val="000000" w:themeColor="text1"/>
                <w:sz w:val="20"/>
                <w:szCs w:val="20"/>
              </w:rPr>
              <w:t>2,120.00</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0EF996B" w14:textId="51D97728">
            <w:pPr>
              <w:widowControl/>
              <w:autoSpaceDE/>
              <w:autoSpaceDN/>
              <w:adjustRightInd/>
              <w:rPr>
                <w:b/>
                <w:bCs/>
                <w:color w:val="000000"/>
                <w:sz w:val="20"/>
                <w:szCs w:val="20"/>
              </w:rPr>
            </w:pP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B77450" w:rsidRDefault="006371D3" w14:paraId="2C8CA9FA" w14:textId="77777777">
            <w:pPr>
              <w:widowControl/>
              <w:autoSpaceDE/>
              <w:autoSpaceDN/>
              <w:adjustRightInd/>
              <w:jc w:val="right"/>
              <w:rPr>
                <w:b/>
                <w:bCs/>
                <w:color w:val="000000"/>
                <w:sz w:val="20"/>
                <w:szCs w:val="20"/>
              </w:rPr>
            </w:pPr>
            <w:r w:rsidRPr="001B2492">
              <w:rPr>
                <w:b/>
                <w:bCs/>
                <w:color w:val="000000"/>
                <w:sz w:val="20"/>
                <w:szCs w:val="20"/>
              </w:rPr>
              <w:t xml:space="preserve">$154,403.84 </w:t>
            </w:r>
          </w:p>
        </w:tc>
      </w:tr>
      <w:tr w:rsidRPr="001B2492" w:rsidR="006371D3" w:rsidTr="00F46FBC" w14:paraId="3865702D" w14:textId="77777777">
        <w:trPr>
          <w:cantSplit/>
          <w:trHeight w:val="25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E3886A4" w14:textId="77777777">
            <w:pPr>
              <w:widowControl/>
              <w:autoSpaceDE/>
              <w:autoSpaceDN/>
              <w:adjustRightInd/>
              <w:jc w:val="right"/>
              <w:rPr>
                <w:b/>
                <w:bCs/>
                <w:color w:val="000000"/>
                <w:sz w:val="20"/>
                <w:szCs w:val="20"/>
              </w:rPr>
            </w:pPr>
            <w:r w:rsidRPr="001B2492">
              <w:rPr>
                <w:b/>
                <w:bCs/>
                <w:color w:val="000000"/>
                <w:sz w:val="20"/>
                <w:szCs w:val="20"/>
              </w:rPr>
              <w:t> </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ECEB114" w14:textId="77777777">
            <w:pPr>
              <w:widowControl/>
              <w:autoSpaceDE/>
              <w:autoSpaceDN/>
              <w:adjustRightInd/>
              <w:rPr>
                <w:color w:val="000000"/>
                <w:sz w:val="20"/>
                <w:szCs w:val="20"/>
              </w:rPr>
            </w:pPr>
            <w:r w:rsidRPr="001B2492">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0D8BF348" w14:textId="77777777">
            <w:pPr>
              <w:widowControl/>
              <w:autoSpaceDE/>
              <w:autoSpaceDN/>
              <w:adjustRightInd/>
              <w:rPr>
                <w:color w:val="000000"/>
                <w:sz w:val="20"/>
                <w:szCs w:val="20"/>
              </w:rPr>
            </w:pPr>
            <w:r w:rsidRPr="001B2492">
              <w:rPr>
                <w:color w:val="000000"/>
                <w:sz w:val="20"/>
                <w:szCs w:val="20"/>
              </w:rPr>
              <w:t> </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5EDB29A5" w14:textId="77777777">
            <w:pPr>
              <w:widowControl/>
              <w:autoSpaceDE/>
              <w:autoSpaceDN/>
              <w:adjustRightInd/>
              <w:rPr>
                <w:color w:val="000000"/>
                <w:sz w:val="20"/>
                <w:szCs w:val="20"/>
              </w:rPr>
            </w:pPr>
            <w:r w:rsidRPr="001B2492">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4474F8A0" w14:textId="77777777">
            <w:pPr>
              <w:widowControl/>
              <w:autoSpaceDE/>
              <w:autoSpaceDN/>
              <w:adjustRightInd/>
              <w:rPr>
                <w:color w:val="000000"/>
                <w:sz w:val="20"/>
                <w:szCs w:val="20"/>
              </w:rPr>
            </w:pPr>
            <w:r w:rsidRPr="001B2492">
              <w:rPr>
                <w:color w:val="000000"/>
                <w:sz w:val="20"/>
                <w:szCs w:val="20"/>
              </w:rPr>
              <w:t> </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5E6F60B5" w14:textId="77777777">
            <w:pPr>
              <w:widowControl/>
              <w:autoSpaceDE/>
              <w:autoSpaceDN/>
              <w:adjustRightInd/>
              <w:rPr>
                <w:color w:val="000000"/>
                <w:sz w:val="20"/>
                <w:szCs w:val="20"/>
              </w:rPr>
            </w:pPr>
            <w:r w:rsidRPr="001B2492">
              <w:rPr>
                <w:color w:val="000000"/>
                <w:sz w:val="20"/>
                <w:szCs w:val="20"/>
              </w:rPr>
              <w:t> </w:t>
            </w:r>
          </w:p>
        </w:tc>
        <w:tc>
          <w:tcPr>
            <w:tcW w:w="1080" w:type="dxa"/>
            <w:tcBorders>
              <w:top w:val="nil"/>
              <w:left w:val="nil"/>
              <w:bottom w:val="nil"/>
              <w:right w:val="nil"/>
            </w:tcBorders>
            <w:shd w:val="clear" w:color="auto" w:fill="auto"/>
            <w:vAlign w:val="bottom"/>
            <w:hideMark/>
          </w:tcPr>
          <w:p w:rsidRPr="001B2492" w:rsidR="006371D3" w:rsidP="00C8391C" w:rsidRDefault="006371D3" w14:paraId="62EBF9A1" w14:textId="77777777">
            <w:pPr>
              <w:widowControl/>
              <w:autoSpaceDE/>
              <w:autoSpaceDN/>
              <w:adjustRightInd/>
              <w:rPr>
                <w:color w:val="000000"/>
                <w:sz w:val="20"/>
                <w:szCs w:val="20"/>
              </w:rPr>
            </w:pPr>
          </w:p>
        </w:tc>
        <w:tc>
          <w:tcPr>
            <w:tcW w:w="84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1DF8BA61" w14:textId="77777777">
            <w:pPr>
              <w:widowControl/>
              <w:autoSpaceDE/>
              <w:autoSpaceDN/>
              <w:adjustRightInd/>
              <w:rPr>
                <w:color w:val="000000"/>
                <w:sz w:val="20"/>
                <w:szCs w:val="20"/>
              </w:rPr>
            </w:pPr>
            <w:r w:rsidRPr="001B2492">
              <w:rPr>
                <w:color w:val="000000"/>
                <w:sz w:val="20"/>
                <w:szCs w:val="20"/>
              </w:rPr>
              <w:t> </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365DB198" w14:textId="77777777">
            <w:pPr>
              <w:widowControl/>
              <w:autoSpaceDE/>
              <w:autoSpaceDN/>
              <w:adjustRightInd/>
              <w:rPr>
                <w:color w:val="000000"/>
                <w:sz w:val="20"/>
                <w:szCs w:val="20"/>
              </w:rPr>
            </w:pPr>
            <w:r w:rsidRPr="001B2492">
              <w:rPr>
                <w:color w:val="000000"/>
                <w:sz w:val="20"/>
                <w:szCs w:val="20"/>
              </w:rPr>
              <w:t> </w:t>
            </w:r>
          </w:p>
        </w:tc>
      </w:tr>
      <w:tr w:rsidRPr="001B2492" w:rsidR="006371D3" w:rsidTr="00F46FBC" w14:paraId="05718463" w14:textId="77777777">
        <w:trPr>
          <w:cantSplit/>
          <w:trHeight w:val="255"/>
        </w:trPr>
        <w:tc>
          <w:tcPr>
            <w:tcW w:w="19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648B6C09" w14:paraId="3CA77C81" w14:textId="77777777">
            <w:pPr>
              <w:widowControl/>
              <w:autoSpaceDE/>
              <w:autoSpaceDN/>
              <w:adjustRightInd/>
              <w:jc w:val="right"/>
              <w:rPr>
                <w:b/>
                <w:bCs/>
                <w:color w:val="000000"/>
                <w:sz w:val="20"/>
                <w:szCs w:val="20"/>
              </w:rPr>
            </w:pPr>
            <w:r w:rsidRPr="001B2492">
              <w:rPr>
                <w:b/>
                <w:bCs/>
                <w:color w:val="000000" w:themeColor="text1"/>
                <w:sz w:val="20"/>
                <w:szCs w:val="20"/>
              </w:rPr>
              <w:t>GRAND TOTAL</w:t>
            </w:r>
          </w:p>
        </w:tc>
        <w:tc>
          <w:tcPr>
            <w:tcW w:w="145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1D5BCD6B" w14:textId="77777777">
            <w:pPr>
              <w:widowControl/>
              <w:autoSpaceDE/>
              <w:autoSpaceDN/>
              <w:adjustRightInd/>
              <w:rPr>
                <w:b/>
                <w:bCs/>
                <w:color w:val="000000"/>
                <w:sz w:val="20"/>
                <w:szCs w:val="20"/>
              </w:rPr>
            </w:pPr>
            <w:r w:rsidRPr="001B2492">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3BC5EC03" w14:textId="77777777">
            <w:pPr>
              <w:widowControl/>
              <w:autoSpaceDE/>
              <w:autoSpaceDN/>
              <w:adjustRightInd/>
              <w:rPr>
                <w:b/>
                <w:bCs/>
                <w:color w:val="000000"/>
                <w:sz w:val="20"/>
                <w:szCs w:val="20"/>
              </w:rPr>
            </w:pPr>
            <w:r w:rsidRPr="001B2492">
              <w:rPr>
                <w:b/>
                <w:bCs/>
                <w:color w:val="000000"/>
                <w:sz w:val="20"/>
                <w:szCs w:val="20"/>
              </w:rPr>
              <w:t> </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C8391C" w:rsidRDefault="006371D3" w14:paraId="3751300F" w14:textId="77777777">
            <w:pPr>
              <w:widowControl/>
              <w:autoSpaceDE/>
              <w:autoSpaceDN/>
              <w:adjustRightInd/>
              <w:rPr>
                <w:b/>
                <w:bCs/>
                <w:color w:val="000000"/>
                <w:sz w:val="20"/>
                <w:szCs w:val="20"/>
              </w:rPr>
            </w:pPr>
            <w:r w:rsidRPr="001B2492">
              <w:rPr>
                <w:b/>
                <w:bCs/>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6371D3" w:rsidP="00FB4D08" w:rsidRDefault="00FB4D08" w14:paraId="7556AEB6" w14:textId="6CB370BE">
            <w:pPr>
              <w:widowControl/>
              <w:autoSpaceDE/>
              <w:autoSpaceDN/>
              <w:adjustRightInd/>
              <w:jc w:val="right"/>
              <w:rPr>
                <w:b/>
                <w:bCs/>
                <w:color w:val="000000"/>
                <w:sz w:val="20"/>
                <w:szCs w:val="20"/>
              </w:rPr>
            </w:pPr>
            <w:r w:rsidRPr="001B2492">
              <w:rPr>
                <w:b/>
                <w:bCs/>
                <w:color w:val="000000" w:themeColor="text1"/>
                <w:sz w:val="20"/>
                <w:szCs w:val="20"/>
              </w:rPr>
              <w:t>70,261</w:t>
            </w:r>
          </w:p>
        </w:tc>
        <w:tc>
          <w:tcPr>
            <w:tcW w:w="915"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35F0889A" w14:textId="77777777">
            <w:pPr>
              <w:widowControl/>
              <w:autoSpaceDE/>
              <w:autoSpaceDN/>
              <w:adjustRightInd/>
              <w:rPr>
                <w:b/>
                <w:bCs/>
                <w:color w:val="000000"/>
                <w:sz w:val="20"/>
                <w:szCs w:val="20"/>
              </w:rPr>
            </w:pPr>
            <w:r w:rsidRPr="001B2492">
              <w:rPr>
                <w:b/>
                <w:bCs/>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2492" w:rsidR="006371D3" w:rsidP="007E13D0" w:rsidRDefault="582D4F1C" w14:paraId="2CBD5B6F" w14:textId="0236D8B0">
            <w:pPr>
              <w:widowControl/>
              <w:autoSpaceDE/>
              <w:autoSpaceDN/>
              <w:adjustRightInd/>
              <w:ind w:left="-107"/>
              <w:jc w:val="right"/>
              <w:rPr>
                <w:b/>
                <w:bCs/>
                <w:color w:val="000000"/>
                <w:sz w:val="20"/>
                <w:szCs w:val="20"/>
              </w:rPr>
            </w:pPr>
            <w:r w:rsidRPr="001B2492">
              <w:rPr>
                <w:b/>
                <w:bCs/>
                <w:color w:val="000000" w:themeColor="text1"/>
                <w:sz w:val="20"/>
                <w:szCs w:val="20"/>
              </w:rPr>
              <w:t>216,689</w:t>
            </w:r>
          </w:p>
        </w:tc>
        <w:tc>
          <w:tcPr>
            <w:tcW w:w="840" w:type="dxa"/>
            <w:tcBorders>
              <w:top w:val="nil"/>
              <w:left w:val="nil"/>
              <w:bottom w:val="single" w:color="auto" w:sz="4" w:space="0"/>
              <w:right w:val="single" w:color="auto" w:sz="4" w:space="0"/>
            </w:tcBorders>
            <w:shd w:val="clear" w:color="auto" w:fill="auto"/>
            <w:vAlign w:val="bottom"/>
            <w:hideMark/>
          </w:tcPr>
          <w:p w:rsidRPr="001B2492" w:rsidR="006371D3" w:rsidP="00C8391C" w:rsidRDefault="006371D3" w14:paraId="6B515302" w14:textId="77777777">
            <w:pPr>
              <w:widowControl/>
              <w:autoSpaceDE/>
              <w:autoSpaceDN/>
              <w:adjustRightInd/>
              <w:rPr>
                <w:b/>
                <w:bCs/>
                <w:color w:val="000000"/>
                <w:sz w:val="20"/>
                <w:szCs w:val="20"/>
              </w:rPr>
            </w:pPr>
            <w:r w:rsidRPr="001B2492">
              <w:rPr>
                <w:b/>
                <w:bCs/>
                <w:color w:val="000000"/>
                <w:sz w:val="20"/>
                <w:szCs w:val="20"/>
              </w:rPr>
              <w:t> </w:t>
            </w:r>
          </w:p>
        </w:tc>
        <w:tc>
          <w:tcPr>
            <w:tcW w:w="1395" w:type="dxa"/>
            <w:tcBorders>
              <w:top w:val="nil"/>
              <w:left w:val="single" w:color="auto" w:sz="4" w:space="0"/>
              <w:bottom w:val="single" w:color="auto" w:sz="4" w:space="0"/>
              <w:right w:val="single" w:color="auto" w:sz="4" w:space="0"/>
            </w:tcBorders>
            <w:shd w:val="clear" w:color="auto" w:fill="auto"/>
            <w:vAlign w:val="bottom"/>
            <w:hideMark/>
          </w:tcPr>
          <w:p w:rsidRPr="001B2492" w:rsidR="006371D3" w:rsidP="00513B20" w:rsidRDefault="648B6C09" w14:paraId="467B0885" w14:textId="0D238DBD">
            <w:pPr>
              <w:widowControl/>
              <w:autoSpaceDE/>
              <w:autoSpaceDN/>
              <w:adjustRightInd/>
              <w:ind w:left="-111" w:right="-105"/>
              <w:jc w:val="right"/>
              <w:rPr>
                <w:b/>
                <w:bCs/>
                <w:color w:val="000000"/>
                <w:sz w:val="20"/>
                <w:szCs w:val="20"/>
              </w:rPr>
            </w:pPr>
            <w:r w:rsidRPr="001B2492">
              <w:rPr>
                <w:b/>
                <w:bCs/>
                <w:color w:val="000000" w:themeColor="text1"/>
                <w:sz w:val="20"/>
                <w:szCs w:val="20"/>
              </w:rPr>
              <w:t>$</w:t>
            </w:r>
            <w:r w:rsidRPr="001B2492" w:rsidR="00513B20">
              <w:rPr>
                <w:b/>
                <w:bCs/>
                <w:color w:val="000000" w:themeColor="text1"/>
                <w:sz w:val="20"/>
                <w:szCs w:val="20"/>
              </w:rPr>
              <w:t>13,165,188.82</w:t>
            </w:r>
            <w:r w:rsidRPr="001B2492">
              <w:rPr>
                <w:b/>
                <w:bCs/>
                <w:color w:val="000000" w:themeColor="text1"/>
                <w:sz w:val="20"/>
                <w:szCs w:val="20"/>
              </w:rPr>
              <w:t xml:space="preserve"> </w:t>
            </w:r>
          </w:p>
        </w:tc>
      </w:tr>
    </w:tbl>
    <w:p w:rsidRPr="001B2492" w:rsidR="00F73F89" w:rsidRDefault="00325456" w14:paraId="508C98E9" w14:textId="77777777">
      <w:pPr>
        <w:ind w:firstLine="720"/>
        <w:rPr>
          <w:b/>
          <w:bCs/>
        </w:rPr>
        <w:sectPr w:rsidRPr="001B2492" w:rsidR="00F73F89" w:rsidSect="009724AA">
          <w:footnotePr>
            <w:pos w:val="beneathText"/>
          </w:footnotePr>
          <w:pgSz w:w="15840" w:h="12240" w:orient="landscape"/>
          <w:pgMar w:top="1440" w:right="1008" w:bottom="1440" w:left="1008" w:header="720" w:footer="720" w:gutter="0"/>
          <w:cols w:space="720"/>
          <w:noEndnote/>
          <w:titlePg/>
          <w:docGrid w:linePitch="326"/>
        </w:sectPr>
      </w:pPr>
      <w:r w:rsidRPr="001B2492">
        <w:rPr>
          <w:b/>
          <w:bCs/>
        </w:rPr>
        <w:br w:type="page"/>
      </w:r>
    </w:p>
    <w:p w:rsidRPr="001B2492" w:rsidR="00FC4BF3" w:rsidRDefault="00FC4BF3" w14:paraId="07FAD5BB" w14:textId="77777777">
      <w:pPr>
        <w:ind w:firstLine="720"/>
      </w:pPr>
      <w:r w:rsidRPr="001B2492">
        <w:rPr>
          <w:b/>
          <w:bCs/>
        </w:rPr>
        <w:t>ii.</w:t>
      </w:r>
      <w:r w:rsidRPr="001B2492">
        <w:rPr>
          <w:b/>
          <w:bCs/>
        </w:rPr>
        <w:tab/>
        <w:t>Estimate of Burden Hours to Employers:</w:t>
      </w:r>
    </w:p>
    <w:p w:rsidRPr="001B2492" w:rsidR="00FC4BF3" w:rsidRDefault="00FC4BF3" w14:paraId="779F8E76" w14:textId="77777777"/>
    <w:p w:rsidRPr="001B2492" w:rsidR="00CB3C62" w:rsidP="00241A20" w:rsidRDefault="00FC4BF3" w14:paraId="637D54BF" w14:textId="77777777">
      <w:pPr>
        <w:ind w:left="1440"/>
        <w:rPr>
          <w:bCs/>
        </w:rPr>
      </w:pPr>
      <w:r w:rsidRPr="001B2492">
        <w:t>OSHA estimates</w:t>
      </w:r>
      <w:r w:rsidRPr="001B2492" w:rsidR="0098083E">
        <w:t xml:space="preserve"> the</w:t>
      </w:r>
      <w:r w:rsidRPr="001B2492">
        <w:t xml:space="preserve"> burden hours to employers using the free consultation services as fo</w:t>
      </w:r>
      <w:r w:rsidRPr="001B2492" w:rsidR="00D404EF">
        <w:t>llows</w:t>
      </w:r>
      <w:r w:rsidRPr="001B2492" w:rsidR="00760693">
        <w:t xml:space="preserve"> </w:t>
      </w:r>
      <w:r w:rsidRPr="001B2492" w:rsidR="00DE3839">
        <w:t>(See</w:t>
      </w:r>
      <w:r w:rsidRPr="001B2492" w:rsidR="00BE0263">
        <w:t xml:space="preserve"> below</w:t>
      </w:r>
      <w:r w:rsidRPr="001B2492" w:rsidR="00DE3839">
        <w:t xml:space="preserve"> Table 2.</w:t>
      </w:r>
      <w:r w:rsidRPr="001B2492" w:rsidR="00241A20">
        <w:rPr>
          <w:bCs/>
        </w:rPr>
        <w:t xml:space="preserve"> </w:t>
      </w:r>
      <w:r w:rsidRPr="001B2492" w:rsidR="00241A20">
        <w:rPr>
          <w:bCs/>
          <w:i/>
        </w:rPr>
        <w:t>Summary of Estimated Annualized Respondent (Employer) Hour and Cost Burden</w:t>
      </w:r>
      <w:r w:rsidRPr="001B2492" w:rsidR="00DE3839">
        <w:rPr>
          <w:bCs/>
        </w:rPr>
        <w:t>)</w:t>
      </w:r>
      <w:r w:rsidRPr="001B2492" w:rsidR="00760693">
        <w:rPr>
          <w:bCs/>
        </w:rPr>
        <w:t>:</w:t>
      </w:r>
    </w:p>
    <w:p w:rsidRPr="001B2492" w:rsidR="000D72F8" w:rsidP="008209C8" w:rsidRDefault="000D72F8" w14:paraId="7818863E" w14:textId="77777777">
      <w:pPr>
        <w:ind w:left="1440"/>
        <w:rPr>
          <w:bCs/>
        </w:rPr>
      </w:pPr>
    </w:p>
    <w:p w:rsidRPr="001B2492" w:rsidR="00FC4BF3" w:rsidRDefault="00FC4BF3" w14:paraId="5D386EEE" w14:textId="77777777">
      <w:pPr>
        <w:ind w:firstLine="720"/>
      </w:pPr>
      <w:r w:rsidRPr="001B2492">
        <w:t>A.</w:t>
      </w:r>
      <w:r w:rsidRPr="001B2492">
        <w:tab/>
      </w:r>
      <w:r w:rsidRPr="001B2492">
        <w:rPr>
          <w:u w:val="single"/>
        </w:rPr>
        <w:t>1908.6</w:t>
      </w:r>
      <w:r w:rsidRPr="001B2492" w:rsidR="004C5AC3">
        <w:rPr>
          <w:u w:val="single"/>
        </w:rPr>
        <w:t>(e)(8); 1908.6(f)(5)</w:t>
      </w:r>
      <w:r w:rsidRPr="001B2492">
        <w:rPr>
          <w:u w:val="single"/>
        </w:rPr>
        <w:t>:</w:t>
      </w:r>
    </w:p>
    <w:p w:rsidRPr="001B2492" w:rsidR="00D404EF" w:rsidP="00B53542" w:rsidRDefault="00A447A2" w14:paraId="3BBF61F9" w14:textId="77777777">
      <w:pPr>
        <w:ind w:left="1440"/>
      </w:pPr>
      <w:r w:rsidRPr="001B2492">
        <w:t>Employers must p</w:t>
      </w:r>
      <w:r w:rsidRPr="001B2492" w:rsidR="00FC4BF3">
        <w:t xml:space="preserve">ost the list of serious hazards and correction due dates, and notify the </w:t>
      </w:r>
      <w:r w:rsidRPr="001B2492" w:rsidR="00954BC8">
        <w:t>On-Site</w:t>
      </w:r>
      <w:r w:rsidRPr="001B2492" w:rsidR="00880AAC">
        <w:t xml:space="preserve"> Consultation </w:t>
      </w:r>
      <w:r w:rsidRPr="001B2492" w:rsidR="0020737B">
        <w:t>Program</w:t>
      </w:r>
      <w:r w:rsidRPr="001B2492" w:rsidR="00FC4BF3">
        <w:t xml:space="preserve"> manager in writing when serious hazards are corrected.  This requirement is necessary to ensure that </w:t>
      </w:r>
      <w:r w:rsidRPr="001B2492" w:rsidR="008440CF">
        <w:t>worker</w:t>
      </w:r>
      <w:r w:rsidRPr="001B2492" w:rsidR="00FC4BF3">
        <w:t>s are informed of the hazards in the workplace, and to ensure that employers take the necessary action to correct those hazards.</w:t>
      </w:r>
    </w:p>
    <w:p w:rsidRPr="001B2492" w:rsidR="005B6812" w:rsidRDefault="005B6812" w14:paraId="44F69B9A" w14:textId="77777777">
      <w:pPr>
        <w:ind w:left="1440"/>
      </w:pPr>
    </w:p>
    <w:p w:rsidRPr="001B2492" w:rsidR="00D404EF" w:rsidRDefault="008F7635" w14:paraId="6FF6E3F5" w14:textId="77777777">
      <w:pPr>
        <w:ind w:left="1440"/>
      </w:pPr>
      <w:r w:rsidRPr="001B2492">
        <w:t xml:space="preserve">Some hazards are corrected or abated while the consultant is still at the employer’s worksite, so the consultant can view them before leaving the place of business.  For those that are not corrected immediately, </w:t>
      </w:r>
      <w:r w:rsidRPr="001B2492" w:rsidR="00D404EF">
        <w:t>OSHA estimates that it takes 15 minute</w:t>
      </w:r>
      <w:r w:rsidRPr="001B2492" w:rsidR="005B6812">
        <w:t xml:space="preserve">s for an employer to notify the </w:t>
      </w:r>
      <w:r w:rsidRPr="001B2492" w:rsidR="00954BC8">
        <w:t>On-Site</w:t>
      </w:r>
      <w:r w:rsidRPr="001B2492" w:rsidR="00E26637">
        <w:t xml:space="preserve"> Consultation </w:t>
      </w:r>
      <w:r w:rsidRPr="001B2492" w:rsidR="0020737B">
        <w:t>Program</w:t>
      </w:r>
      <w:r w:rsidRPr="001B2492" w:rsidR="00D404EF">
        <w:t xml:space="preserve"> when serious hazards are corrected.  Since the list to be posted by the employer is provided by the </w:t>
      </w:r>
      <w:r w:rsidRPr="001B2492" w:rsidR="00954BC8">
        <w:t>On-Site</w:t>
      </w:r>
      <w:r w:rsidRPr="001B2492" w:rsidR="00880AAC">
        <w:t xml:space="preserve"> Consultation </w:t>
      </w:r>
      <w:r w:rsidRPr="001B2492" w:rsidR="0020737B">
        <w:t>Program</w:t>
      </w:r>
      <w:r w:rsidRPr="001B2492" w:rsidR="00D404EF">
        <w:t>, there is no information collec</w:t>
      </w:r>
      <w:r w:rsidRPr="001B2492" w:rsidR="00880AAC">
        <w:t xml:space="preserve">tion burden to the employer.  </w:t>
      </w:r>
      <w:r w:rsidRPr="001B2492" w:rsidR="0051188C">
        <w:t xml:space="preserve">However, </w:t>
      </w:r>
      <w:r w:rsidRPr="001B2492" w:rsidR="00880AAC">
        <w:t>OSHA</w:t>
      </w:r>
      <w:r w:rsidRPr="001B2492" w:rsidR="00D404EF">
        <w:t xml:space="preserve"> estimate</w:t>
      </w:r>
      <w:r w:rsidRPr="001B2492" w:rsidR="00880AAC">
        <w:t>s</w:t>
      </w:r>
      <w:r w:rsidRPr="001B2492" w:rsidR="00D404EF">
        <w:t xml:space="preserve"> a total of 0.25 hours to comply with this requirement on every</w:t>
      </w:r>
      <w:r w:rsidRPr="001B2492" w:rsidR="006C0821">
        <w:t xml:space="preserve"> visit.  The total burden for </w:t>
      </w:r>
      <w:r w:rsidRPr="001B2492" w:rsidR="004A5C8B">
        <w:t>22,843</w:t>
      </w:r>
      <w:r w:rsidRPr="001B2492" w:rsidR="00C35A38">
        <w:t xml:space="preserve"> </w:t>
      </w:r>
      <w:r w:rsidRPr="001B2492" w:rsidR="00D404EF">
        <w:t xml:space="preserve">visits is </w:t>
      </w:r>
      <w:r w:rsidRPr="001B2492" w:rsidR="004A5C8B">
        <w:rPr>
          <w:b/>
        </w:rPr>
        <w:t>5,710.75</w:t>
      </w:r>
      <w:r w:rsidRPr="001B2492" w:rsidR="00C35A38">
        <w:rPr>
          <w:b/>
        </w:rPr>
        <w:t xml:space="preserve"> </w:t>
      </w:r>
      <w:r w:rsidRPr="001B2492" w:rsidR="00D404EF">
        <w:rPr>
          <w:b/>
        </w:rPr>
        <w:t>hours</w:t>
      </w:r>
      <w:r w:rsidRPr="001B2492" w:rsidR="00D404EF">
        <w:t>.</w:t>
      </w:r>
    </w:p>
    <w:p w:rsidRPr="001B2492" w:rsidR="00155E68" w:rsidP="00155E68" w:rsidRDefault="00155E68" w14:paraId="5F07D11E" w14:textId="77777777">
      <w:pPr>
        <w:ind w:left="720"/>
        <w:rPr>
          <w:u w:val="single"/>
        </w:rPr>
      </w:pPr>
    </w:p>
    <w:p w:rsidRPr="001B2492" w:rsidR="00155E68" w:rsidP="008138F3" w:rsidRDefault="00155E68" w14:paraId="6FF8375A" w14:textId="77777777">
      <w:pPr>
        <w:numPr>
          <w:ilvl w:val="0"/>
          <w:numId w:val="3"/>
        </w:numPr>
        <w:rPr>
          <w:u w:val="single"/>
        </w:rPr>
      </w:pPr>
      <w:r w:rsidRPr="001B2492">
        <w:rPr>
          <w:u w:val="single"/>
        </w:rPr>
        <w:t>1908.7(b)(1):</w:t>
      </w:r>
    </w:p>
    <w:p w:rsidRPr="001B2492" w:rsidR="00FC4BF3" w:rsidRDefault="00FC4BF3" w14:paraId="5F24EC1E" w14:textId="77777777">
      <w:pPr>
        <w:ind w:left="1440"/>
      </w:pPr>
      <w:r w:rsidRPr="001B2492">
        <w:t>Inform any OSHA or State compliance officer who arrives that a</w:t>
      </w:r>
      <w:r w:rsidRPr="001B2492" w:rsidR="00880AAC">
        <w:t xml:space="preserve">n </w:t>
      </w:r>
      <w:r w:rsidRPr="001B2492" w:rsidR="00954BC8">
        <w:t>On-Site</w:t>
      </w:r>
      <w:r w:rsidRPr="001B2492">
        <w:t xml:space="preserve"> </w:t>
      </w:r>
      <w:r w:rsidRPr="001B2492" w:rsidR="00FE6A01">
        <w:t xml:space="preserve">Consultation </w:t>
      </w:r>
      <w:r w:rsidRPr="001B2492">
        <w:t>visit is in progress.  This requirement applies to any employer using the free consult</w:t>
      </w:r>
      <w:r w:rsidRPr="001B2492" w:rsidR="00DA2F0C">
        <w:t>ation service and</w:t>
      </w:r>
      <w:r w:rsidRPr="001B2492">
        <w:t xml:space="preserve"> is designed to prevent a duplication of effort between</w:t>
      </w:r>
      <w:r w:rsidRPr="001B2492" w:rsidR="00DA2F0C">
        <w:t xml:space="preserve"> </w:t>
      </w:r>
      <w:r w:rsidRPr="001B2492" w:rsidR="00954BC8">
        <w:t>On-Site</w:t>
      </w:r>
      <w:r w:rsidRPr="001B2492" w:rsidR="00DA2F0C">
        <w:t xml:space="preserve"> </w:t>
      </w:r>
      <w:r w:rsidRPr="001B2492" w:rsidR="00FE6A01">
        <w:t xml:space="preserve">Consultation </w:t>
      </w:r>
      <w:r w:rsidRPr="001B2492">
        <w:t xml:space="preserve">and </w:t>
      </w:r>
      <w:r w:rsidRPr="001B2492" w:rsidR="00AA2392">
        <w:t xml:space="preserve">OSHA </w:t>
      </w:r>
      <w:r w:rsidRPr="001B2492">
        <w:t>enforcement.</w:t>
      </w:r>
    </w:p>
    <w:p w:rsidRPr="001B2492" w:rsidR="00FC4BF3" w:rsidRDefault="00FC4BF3" w14:paraId="41508A3C" w14:textId="77777777"/>
    <w:p w:rsidRPr="001B2492" w:rsidR="00FC4BF3" w:rsidRDefault="00AB7993" w14:paraId="6574454A" w14:textId="77777777">
      <w:pPr>
        <w:ind w:left="1440"/>
      </w:pPr>
      <w:r w:rsidRPr="001B2492">
        <w:t>OSHA estimates that 5 percent</w:t>
      </w:r>
      <w:r w:rsidRPr="001B2492" w:rsidR="00FC4BF3">
        <w:t xml:space="preserve"> of all high hazard employers eligible for inspections are actually inspected in any given year.  Priority for </w:t>
      </w:r>
      <w:r w:rsidRPr="001B2492" w:rsidR="00954BC8">
        <w:t>On-Site</w:t>
      </w:r>
      <w:r w:rsidRPr="001B2492" w:rsidR="00E26637">
        <w:t xml:space="preserve"> Consultation </w:t>
      </w:r>
      <w:r w:rsidRPr="001B2492" w:rsidR="00FC4BF3">
        <w:t>visit</w:t>
      </w:r>
      <w:r w:rsidRPr="001B2492">
        <w:t>s</w:t>
      </w:r>
      <w:r w:rsidRPr="001B2492" w:rsidR="00FC4BF3">
        <w:t xml:space="preserve"> are given to small</w:t>
      </w:r>
      <w:r w:rsidRPr="001B2492" w:rsidR="008A3628">
        <w:t>,</w:t>
      </w:r>
      <w:r w:rsidRPr="001B2492" w:rsidR="00FC4BF3">
        <w:t xml:space="preserve"> high</w:t>
      </w:r>
      <w:r w:rsidRPr="001B2492" w:rsidR="008A3628">
        <w:t>-</w:t>
      </w:r>
      <w:r w:rsidRPr="001B2492" w:rsidR="00FC4BF3">
        <w:t>hazard companies.  By extension of the fact that both OSHA and the</w:t>
      </w:r>
      <w:r w:rsidRPr="001B2492" w:rsidR="008A3628">
        <w:t xml:space="preserve"> </w:t>
      </w:r>
      <w:r w:rsidRPr="001B2492" w:rsidR="00954BC8">
        <w:t>On-Site</w:t>
      </w:r>
      <w:r w:rsidRPr="001B2492" w:rsidR="00FC4BF3">
        <w:t xml:space="preserve"> </w:t>
      </w:r>
      <w:r w:rsidRPr="001B2492" w:rsidR="008A3628">
        <w:t>C</w:t>
      </w:r>
      <w:r w:rsidRPr="001B2492" w:rsidR="00FC4BF3">
        <w:t xml:space="preserve">onsultation </w:t>
      </w:r>
      <w:r w:rsidRPr="001B2492" w:rsidR="0020737B">
        <w:t>Program</w:t>
      </w:r>
      <w:r w:rsidRPr="001B2492" w:rsidR="00FC4BF3">
        <w:t>s place a higher priority on high hazard companies, and t</w:t>
      </w:r>
      <w:r w:rsidRPr="001B2492" w:rsidR="00CD6B12">
        <w:t>he fact that five</w:t>
      </w:r>
      <w:r w:rsidRPr="001B2492" w:rsidR="00FC4BF3">
        <w:t xml:space="preserve"> percent of companies receive compliance inspection</w:t>
      </w:r>
      <w:r w:rsidRPr="001B2492" w:rsidR="004C5AC3">
        <w:t>s</w:t>
      </w:r>
      <w:r w:rsidRPr="001B2492" w:rsidR="00FC4BF3">
        <w:t>, OSHA estimates that a compliance officer will arrive at a facility rece</w:t>
      </w:r>
      <w:r w:rsidRPr="001B2492" w:rsidR="00CD6B12">
        <w:t>iving a</w:t>
      </w:r>
      <w:r w:rsidRPr="001B2492" w:rsidR="00E26637">
        <w:t xml:space="preserve">n </w:t>
      </w:r>
      <w:r w:rsidRPr="001B2492" w:rsidR="00954BC8">
        <w:t>On-Site</w:t>
      </w:r>
      <w:r w:rsidRPr="001B2492" w:rsidR="00CD6B12">
        <w:t xml:space="preserve"> </w:t>
      </w:r>
      <w:r w:rsidRPr="001B2492" w:rsidR="00E26637">
        <w:t>C</w:t>
      </w:r>
      <w:r w:rsidRPr="001B2492" w:rsidR="00CD6B12">
        <w:t>onsultation visit on five</w:t>
      </w:r>
      <w:r w:rsidRPr="001B2492">
        <w:t xml:space="preserve"> percent</w:t>
      </w:r>
      <w:r w:rsidRPr="001B2492" w:rsidR="00FC4BF3">
        <w:t xml:space="preserve"> of all </w:t>
      </w:r>
      <w:r w:rsidRPr="001B2492" w:rsidR="00954BC8">
        <w:t>On-Site</w:t>
      </w:r>
      <w:r w:rsidRPr="001B2492" w:rsidR="00E26637">
        <w:t xml:space="preserve"> C</w:t>
      </w:r>
      <w:r w:rsidRPr="001B2492" w:rsidR="00FC4BF3">
        <w:t xml:space="preserve">onsultation visits (i.e. </w:t>
      </w:r>
      <w:r w:rsidRPr="001B2492" w:rsidR="00C24ED1">
        <w:t>1,142</w:t>
      </w:r>
      <w:r w:rsidRPr="001B2492" w:rsidR="00C35A38">
        <w:t xml:space="preserve"> </w:t>
      </w:r>
      <w:r w:rsidRPr="001B2492">
        <w:t>employers).  It takes approximately</w:t>
      </w:r>
      <w:r w:rsidRPr="001B2492" w:rsidR="00FC4BF3">
        <w:t xml:space="preserve"> 0.1 hours to inform a compliance officer that a</w:t>
      </w:r>
      <w:r w:rsidRPr="001B2492" w:rsidR="00E26637">
        <w:t xml:space="preserve">n </w:t>
      </w:r>
      <w:r w:rsidRPr="001B2492" w:rsidR="00954BC8">
        <w:t>On-Site</w:t>
      </w:r>
      <w:r w:rsidRPr="001B2492" w:rsidR="00E26637">
        <w:t xml:space="preserve"> C</w:t>
      </w:r>
      <w:r w:rsidRPr="001B2492" w:rsidR="00FC4BF3">
        <w:t xml:space="preserve">onsultation visit is in progress.  This function is performed by a management </w:t>
      </w:r>
      <w:r w:rsidRPr="001B2492" w:rsidR="008440CF">
        <w:t>worker</w:t>
      </w:r>
      <w:r w:rsidRPr="001B2492">
        <w:t>,</w:t>
      </w:r>
      <w:r w:rsidRPr="001B2492" w:rsidR="00FC4BF3">
        <w:t xml:space="preserve"> or</w:t>
      </w:r>
      <w:r w:rsidRPr="001B2492">
        <w:t xml:space="preserve"> by</w:t>
      </w:r>
      <w:r w:rsidRPr="001B2492" w:rsidR="00FC4BF3">
        <w:t xml:space="preserve"> owner</w:t>
      </w:r>
      <w:r w:rsidRPr="001B2492">
        <w:t>,</w:t>
      </w:r>
      <w:r w:rsidRPr="001B2492" w:rsidR="00FC4BF3">
        <w:t xml:space="preserve"> and results in a maximum of </w:t>
      </w:r>
      <w:r w:rsidRPr="001B2492" w:rsidR="003476DC">
        <w:rPr>
          <w:b/>
        </w:rPr>
        <w:t>114</w:t>
      </w:r>
      <w:r w:rsidRPr="001B2492" w:rsidR="004A5C8B">
        <w:rPr>
          <w:b/>
        </w:rPr>
        <w:t>.2</w:t>
      </w:r>
      <w:r w:rsidRPr="001B2492" w:rsidR="00006D1C">
        <w:rPr>
          <w:b/>
        </w:rPr>
        <w:t>0</w:t>
      </w:r>
      <w:r w:rsidRPr="001B2492" w:rsidR="00FA61B2">
        <w:rPr>
          <w:b/>
        </w:rPr>
        <w:t xml:space="preserve"> </w:t>
      </w:r>
      <w:r w:rsidRPr="001B2492" w:rsidR="00FC4BF3">
        <w:rPr>
          <w:b/>
        </w:rPr>
        <w:t xml:space="preserve">burden hours </w:t>
      </w:r>
      <w:r w:rsidRPr="001B2492" w:rsidR="00FC4BF3">
        <w:t>nationwide.</w:t>
      </w:r>
    </w:p>
    <w:p w:rsidRPr="001B2492" w:rsidR="00FC4BF3" w:rsidRDefault="00FC4BF3" w14:paraId="43D6B1D6" w14:textId="77777777"/>
    <w:p w:rsidRPr="001B2492" w:rsidR="00FC4BF3" w:rsidRDefault="00FC4BF3" w14:paraId="404BC7E0" w14:textId="77777777">
      <w:pPr>
        <w:ind w:firstLine="720"/>
      </w:pPr>
      <w:r w:rsidRPr="001B2492">
        <w:t>C.</w:t>
      </w:r>
      <w:r w:rsidRPr="001B2492">
        <w:tab/>
      </w:r>
      <w:r w:rsidRPr="001B2492" w:rsidR="00483E57">
        <w:rPr>
          <w:u w:val="single"/>
        </w:rPr>
        <w:t>1908.7(b</w:t>
      </w:r>
      <w:r w:rsidRPr="001B2492">
        <w:rPr>
          <w:u w:val="single"/>
        </w:rPr>
        <w:t>)(4):</w:t>
      </w:r>
    </w:p>
    <w:p w:rsidRPr="001B2492" w:rsidR="007C46C6" w:rsidRDefault="00F21264" w14:paraId="14CDFC4E" w14:textId="77777777">
      <w:pPr>
        <w:ind w:left="1440"/>
      </w:pPr>
      <w:r w:rsidRPr="001B2492">
        <w:t xml:space="preserve">Qualifying employers </w:t>
      </w:r>
      <w:r w:rsidRPr="001B2492" w:rsidR="00CF786A">
        <w:t xml:space="preserve">may voluntarily </w:t>
      </w:r>
      <w:r w:rsidRPr="001B2492" w:rsidR="002B19F4">
        <w:t xml:space="preserve">request to participate </w:t>
      </w:r>
      <w:r w:rsidRPr="001B2492" w:rsidR="00CF786A">
        <w:t>in</w:t>
      </w:r>
      <w:r w:rsidRPr="001B2492">
        <w:t xml:space="preserve"> </w:t>
      </w:r>
      <w:r w:rsidRPr="001B2492" w:rsidR="00D8580F">
        <w:t>SHARP</w:t>
      </w:r>
      <w:r w:rsidRPr="001B2492" w:rsidR="00CF786A">
        <w:t>, which is a programmed</w:t>
      </w:r>
      <w:r w:rsidRPr="001B2492">
        <w:t xml:space="preserve"> </w:t>
      </w:r>
      <w:r w:rsidRPr="001B2492" w:rsidR="00CF786A">
        <w:t>inspection exemption</w:t>
      </w:r>
      <w:r w:rsidRPr="001B2492">
        <w:t xml:space="preserve"> </w:t>
      </w:r>
      <w:r w:rsidRPr="001B2492" w:rsidR="00CF786A">
        <w:t>program for employers that meet the requirements for SHARP</w:t>
      </w:r>
      <w:r w:rsidRPr="001B2492" w:rsidR="00FC4BF3">
        <w:t xml:space="preserve">.  The purpose </w:t>
      </w:r>
      <w:r w:rsidRPr="001B2492" w:rsidR="00CD2935">
        <w:t xml:space="preserve">of this section is for </w:t>
      </w:r>
      <w:r w:rsidRPr="001B2492" w:rsidR="00930B8E">
        <w:t xml:space="preserve">the granting of inspection </w:t>
      </w:r>
      <w:r w:rsidRPr="001B2492" w:rsidR="00AC0973">
        <w:t xml:space="preserve">exemption </w:t>
      </w:r>
      <w:r w:rsidRPr="001B2492" w:rsidR="00930B8E">
        <w:t>to employers intending to pursue SHARP.</w:t>
      </w:r>
      <w:r w:rsidRPr="001B2492" w:rsidR="00FC4BF3">
        <w:t xml:space="preserve"> </w:t>
      </w:r>
      <w:r w:rsidRPr="001B2492" w:rsidR="00930B8E">
        <w:t xml:space="preserve"> It takes approximately 3 minutes </w:t>
      </w:r>
      <w:r w:rsidRPr="001B2492" w:rsidR="00F217E2">
        <w:t xml:space="preserve">(.05 hour) </w:t>
      </w:r>
      <w:r w:rsidRPr="001B2492" w:rsidR="00B524C3">
        <w:t xml:space="preserve">for an employer </w:t>
      </w:r>
      <w:r w:rsidRPr="001B2492" w:rsidR="00930B8E">
        <w:t xml:space="preserve">to </w:t>
      </w:r>
      <w:r w:rsidRPr="001B2492" w:rsidR="00AC0973">
        <w:t>submit</w:t>
      </w:r>
      <w:r w:rsidRPr="001B2492" w:rsidR="00A447A2">
        <w:t xml:space="preserve"> the</w:t>
      </w:r>
      <w:r w:rsidRPr="001B2492" w:rsidR="00CD2935">
        <w:t xml:space="preserve"> SHARP</w:t>
      </w:r>
      <w:r w:rsidRPr="001B2492" w:rsidR="00A447A2">
        <w:t xml:space="preserve"> </w:t>
      </w:r>
      <w:r w:rsidRPr="001B2492" w:rsidR="004007F7">
        <w:t>request</w:t>
      </w:r>
      <w:r w:rsidRPr="001B2492" w:rsidR="00FC4BF3">
        <w:t xml:space="preserve">.  </w:t>
      </w:r>
      <w:r w:rsidRPr="001B2492" w:rsidR="00930B8E">
        <w:t>O</w:t>
      </w:r>
      <w:r w:rsidRPr="001B2492" w:rsidR="00F74543">
        <w:t>SH</w:t>
      </w:r>
      <w:r w:rsidRPr="001B2492" w:rsidR="00930B8E">
        <w:t xml:space="preserve">A </w:t>
      </w:r>
      <w:r w:rsidRPr="001B2492" w:rsidR="003E3F22">
        <w:t>received</w:t>
      </w:r>
      <w:r w:rsidRPr="001B2492" w:rsidR="0035692C">
        <w:t xml:space="preserve"> </w:t>
      </w:r>
      <w:r w:rsidRPr="001B2492" w:rsidR="004A5C8B">
        <w:t xml:space="preserve">104 </w:t>
      </w:r>
      <w:r w:rsidRPr="001B2492" w:rsidR="0035692C">
        <w:t xml:space="preserve">new applications for SHARP </w:t>
      </w:r>
      <w:r w:rsidRPr="001B2492" w:rsidR="003E3F22">
        <w:t xml:space="preserve">in FY </w:t>
      </w:r>
      <w:r w:rsidRPr="001B2492" w:rsidR="00D96FE1">
        <w:t>2019</w:t>
      </w:r>
      <w:r w:rsidRPr="001B2492" w:rsidR="0035692C">
        <w:t>.</w:t>
      </w:r>
      <w:r w:rsidRPr="001B2492" w:rsidR="00204886">
        <w:t xml:space="preserve">  The total burden of initial SHARP applications </w:t>
      </w:r>
      <w:r w:rsidRPr="001B2492" w:rsidR="00204886">
        <w:rPr>
          <w:b/>
        </w:rPr>
        <w:t xml:space="preserve">is </w:t>
      </w:r>
      <w:r w:rsidRPr="001B2492" w:rsidR="004A5C8B">
        <w:rPr>
          <w:b/>
        </w:rPr>
        <w:t>5.2</w:t>
      </w:r>
      <w:r w:rsidRPr="001B2492" w:rsidR="00006D1C">
        <w:rPr>
          <w:b/>
        </w:rPr>
        <w:t>0</w:t>
      </w:r>
      <w:r w:rsidRPr="001B2492" w:rsidR="004A5C8B">
        <w:rPr>
          <w:b/>
        </w:rPr>
        <w:t xml:space="preserve"> </w:t>
      </w:r>
      <w:r w:rsidRPr="001B2492" w:rsidR="00204886">
        <w:rPr>
          <w:b/>
        </w:rPr>
        <w:t>hours</w:t>
      </w:r>
      <w:r w:rsidRPr="001B2492" w:rsidR="00204886">
        <w:t xml:space="preserve">. </w:t>
      </w:r>
    </w:p>
    <w:p w:rsidRPr="001B2492" w:rsidR="007C46C6" w:rsidRDefault="007C46C6" w14:paraId="17DBC151" w14:textId="77777777">
      <w:pPr>
        <w:ind w:left="1440"/>
      </w:pPr>
    </w:p>
    <w:p w:rsidRPr="001B2492" w:rsidR="00DF5341" w:rsidRDefault="00DF01CE" w14:paraId="3993EFD2" w14:textId="77777777">
      <w:pPr>
        <w:ind w:left="1440"/>
      </w:pPr>
      <w:r w:rsidRPr="001B2492">
        <w:t xml:space="preserve">The SHARP program </w:t>
      </w:r>
      <w:r w:rsidRPr="001B2492" w:rsidR="00A62951">
        <w:t>had 1,</w:t>
      </w:r>
      <w:r w:rsidRPr="001B2492" w:rsidR="004A5C8B">
        <w:t xml:space="preserve">173 </w:t>
      </w:r>
      <w:r w:rsidRPr="001B2492">
        <w:t>active participants nationwide</w:t>
      </w:r>
      <w:r w:rsidRPr="001B2492" w:rsidR="00C35A38">
        <w:t xml:space="preserve"> in FY </w:t>
      </w:r>
      <w:r w:rsidRPr="001B2492" w:rsidR="00D96FE1">
        <w:t>2019</w:t>
      </w:r>
      <w:r w:rsidRPr="001B2492">
        <w:t xml:space="preserve">.  This figure has been relatively </w:t>
      </w:r>
      <w:r w:rsidRPr="001B2492" w:rsidR="007776DC">
        <w:t xml:space="preserve">unchanged in recent years as new participants join and others drop out because they either no longer meet the requirements of the program, or choose to no longer participate in SHARP.  </w:t>
      </w:r>
      <w:r w:rsidRPr="001B2492" w:rsidR="00204886">
        <w:t xml:space="preserve">Initial approvals of SHARP Status (and inspection </w:t>
      </w:r>
      <w:r w:rsidRPr="001B2492" w:rsidR="00AC0973">
        <w:t>exemption</w:t>
      </w:r>
      <w:r w:rsidRPr="001B2492" w:rsidR="00204886">
        <w:t>) are</w:t>
      </w:r>
      <w:r w:rsidRPr="001B2492" w:rsidR="000D5AD3">
        <w:t xml:space="preserve"> for a period of up to two</w:t>
      </w:r>
      <w:r w:rsidRPr="001B2492" w:rsidR="0035692C">
        <w:t xml:space="preserve"> (2) years.  After the initial approval, SHARP renewals will be for a period of two to three years.</w:t>
      </w:r>
      <w:r w:rsidRPr="001B2492" w:rsidR="00FC4BF3">
        <w:t xml:space="preserve"> </w:t>
      </w:r>
      <w:r w:rsidRPr="001B2492" w:rsidR="000D5AD3">
        <w:t xml:space="preserve"> Employers may apply for renewal of SHARP status at the end of the</w:t>
      </w:r>
      <w:r w:rsidRPr="001B2492" w:rsidR="00E93A95">
        <w:t>ir</w:t>
      </w:r>
      <w:r w:rsidRPr="001B2492" w:rsidR="000D5AD3">
        <w:t xml:space="preserve"> initial two years in SHARP.  </w:t>
      </w:r>
      <w:r w:rsidRPr="001B2492" w:rsidR="00C35A38">
        <w:t xml:space="preserve">OSHA received </w:t>
      </w:r>
      <w:r w:rsidRPr="001B2492" w:rsidR="004A5C8B">
        <w:t xml:space="preserve">488 </w:t>
      </w:r>
      <w:r w:rsidRPr="001B2492" w:rsidR="00C35A38">
        <w:t xml:space="preserve">requests for renewal in FY </w:t>
      </w:r>
      <w:r w:rsidRPr="001B2492" w:rsidR="00D96FE1">
        <w:t>2019</w:t>
      </w:r>
      <w:r w:rsidRPr="001B2492" w:rsidR="00C35A38">
        <w:t>.</w:t>
      </w:r>
      <w:r w:rsidRPr="001B2492" w:rsidR="000D5AD3">
        <w:t xml:space="preserve">  Renewal requires</w:t>
      </w:r>
      <w:r w:rsidRPr="001B2492" w:rsidR="00204886">
        <w:t xml:space="preserve"> </w:t>
      </w:r>
      <w:r w:rsidRPr="001B2492" w:rsidR="000D5AD3">
        <w:t>the employer to provide an explanation of what systems they are working to maintain or improve</w:t>
      </w:r>
      <w:r w:rsidRPr="001B2492" w:rsidR="00204886">
        <w:t xml:space="preserve"> the employer’s safety and health management systems</w:t>
      </w:r>
      <w:r w:rsidRPr="001B2492" w:rsidR="000D5AD3">
        <w:t xml:space="preserve">, what </w:t>
      </w:r>
      <w:r w:rsidRPr="001B2492" w:rsidR="00954BC8">
        <w:t>On-Site</w:t>
      </w:r>
      <w:r w:rsidRPr="001B2492" w:rsidR="00E26637">
        <w:t xml:space="preserve"> C</w:t>
      </w:r>
      <w:r w:rsidRPr="001B2492" w:rsidR="000D5AD3">
        <w:t xml:space="preserve">onsultation recommendations they are acting on, </w:t>
      </w:r>
      <w:r w:rsidRPr="001B2492" w:rsidR="006C59F9">
        <w:t xml:space="preserve">calculation of the employer’s injury and illness rates, </w:t>
      </w:r>
      <w:r w:rsidRPr="001B2492" w:rsidR="000D5AD3">
        <w:t xml:space="preserve">and what actions </w:t>
      </w:r>
      <w:r w:rsidRPr="001B2492" w:rsidR="006C59F9">
        <w:t>the employer has</w:t>
      </w:r>
      <w:r w:rsidRPr="001B2492" w:rsidR="000D5AD3">
        <w:t xml:space="preserve"> </w:t>
      </w:r>
      <w:r w:rsidRPr="001B2492" w:rsidR="00204886">
        <w:t xml:space="preserve">taken in the previous year.  This </w:t>
      </w:r>
      <w:r w:rsidRPr="001B2492" w:rsidR="002C6867">
        <w:t>s</w:t>
      </w:r>
      <w:r w:rsidRPr="001B2492" w:rsidR="00204886">
        <w:t>elf-</w:t>
      </w:r>
      <w:r w:rsidRPr="001B2492" w:rsidR="002C6867">
        <w:t>e</w:t>
      </w:r>
      <w:r w:rsidRPr="001B2492" w:rsidR="00204886">
        <w:t xml:space="preserve">valuation is estimated at 2 hours for each renewal.  </w:t>
      </w:r>
      <w:r w:rsidRPr="001B2492" w:rsidR="00FC4BF3">
        <w:t xml:space="preserve">The total burden </w:t>
      </w:r>
      <w:r w:rsidRPr="001B2492" w:rsidR="00CD6B12">
        <w:t xml:space="preserve">hours for this </w:t>
      </w:r>
      <w:r w:rsidRPr="001B2492" w:rsidR="00204886">
        <w:t xml:space="preserve">renewal </w:t>
      </w:r>
      <w:r w:rsidRPr="001B2492" w:rsidR="00CD6B12">
        <w:t xml:space="preserve">activity </w:t>
      </w:r>
      <w:r w:rsidRPr="001B2492" w:rsidR="00A62951">
        <w:t xml:space="preserve">in FY </w:t>
      </w:r>
      <w:r w:rsidRPr="001B2492" w:rsidR="00D96FE1">
        <w:t>2019</w:t>
      </w:r>
      <w:r w:rsidRPr="001B2492" w:rsidR="00A62951">
        <w:t xml:space="preserve"> for </w:t>
      </w:r>
      <w:r w:rsidRPr="001B2492" w:rsidR="00C24ED1">
        <w:t xml:space="preserve">488 </w:t>
      </w:r>
      <w:r w:rsidRPr="001B2492" w:rsidR="00A62951">
        <w:t xml:space="preserve">SHARP renewals was </w:t>
      </w:r>
      <w:r w:rsidRPr="001B2492" w:rsidR="004A5C8B">
        <w:rPr>
          <w:b/>
        </w:rPr>
        <w:t>976</w:t>
      </w:r>
      <w:r w:rsidRPr="001B2492" w:rsidR="00006D1C">
        <w:rPr>
          <w:b/>
        </w:rPr>
        <w:t>.00</w:t>
      </w:r>
      <w:r w:rsidRPr="001B2492" w:rsidR="004A5C8B">
        <w:rPr>
          <w:b/>
        </w:rPr>
        <w:t xml:space="preserve"> </w:t>
      </w:r>
      <w:r w:rsidRPr="001B2492" w:rsidR="00FC4BF3">
        <w:rPr>
          <w:b/>
        </w:rPr>
        <w:t>hours</w:t>
      </w:r>
      <w:r w:rsidRPr="001B2492" w:rsidR="00FC4BF3">
        <w:t xml:space="preserve">.  </w:t>
      </w:r>
    </w:p>
    <w:p w:rsidRPr="001B2492" w:rsidR="002C6867" w:rsidRDefault="002C6867" w14:paraId="6F8BD81B" w14:textId="77777777">
      <w:pPr>
        <w:ind w:left="1440"/>
      </w:pPr>
    </w:p>
    <w:p w:rsidRPr="001B2492" w:rsidR="00C24ED1" w:rsidP="00E7026A" w:rsidRDefault="00E7026A" w14:paraId="242F0F3E" w14:textId="77777777">
      <w:pPr>
        <w:sectPr w:rsidRPr="001B2492" w:rsidR="00C24ED1" w:rsidSect="00B6448B">
          <w:footnotePr>
            <w:pos w:val="beneathText"/>
          </w:footnotePr>
          <w:pgSz w:w="12240" w:h="15840"/>
          <w:pgMar w:top="1008" w:right="1440" w:bottom="1008" w:left="1440" w:header="720" w:footer="720" w:gutter="0"/>
          <w:cols w:space="720"/>
          <w:noEndnote/>
          <w:titlePg/>
          <w:docGrid w:linePitch="326"/>
        </w:sectPr>
      </w:pPr>
      <w:r w:rsidRPr="001B2492">
        <w:rPr>
          <w:b/>
        </w:rPr>
        <w:t>The</w:t>
      </w:r>
      <w:r w:rsidRPr="001B2492">
        <w:t xml:space="preserve"> </w:t>
      </w:r>
      <w:r w:rsidRPr="001B2492">
        <w:rPr>
          <w:b/>
        </w:rPr>
        <w:t xml:space="preserve">total estimated burden hours for the private sector employers is </w:t>
      </w:r>
      <w:r w:rsidRPr="001B2492" w:rsidR="00C35A38">
        <w:rPr>
          <w:b/>
        </w:rPr>
        <w:t>6,</w:t>
      </w:r>
      <w:r w:rsidRPr="001B2492" w:rsidR="00C24ED1">
        <w:rPr>
          <w:b/>
        </w:rPr>
        <w:t xml:space="preserve">806.15 </w:t>
      </w:r>
      <w:r w:rsidRPr="001B2492">
        <w:rPr>
          <w:b/>
        </w:rPr>
        <w:t>and the total estimated burden hour cost is $</w:t>
      </w:r>
      <w:r w:rsidRPr="001B2492" w:rsidR="00C24ED1">
        <w:rPr>
          <w:b/>
        </w:rPr>
        <w:t>598,873.12</w:t>
      </w:r>
      <w:r w:rsidRPr="001B2492">
        <w:rPr>
          <w:b/>
        </w:rPr>
        <w:t xml:space="preserve">.  </w:t>
      </w:r>
      <w:r w:rsidRPr="001B2492">
        <w:t>See Table 2 (</w:t>
      </w:r>
      <w:r w:rsidRPr="001B2492">
        <w:rPr>
          <w:bCs/>
          <w:color w:val="000000"/>
        </w:rPr>
        <w:t>Summary of Estimated Annualized Respondent (Employer) Hour and Cost Burden</w:t>
      </w:r>
      <w:r w:rsidRPr="001B2492">
        <w:t xml:space="preserve">), as follows:  </w:t>
      </w:r>
    </w:p>
    <w:p w:rsidRPr="001B2492" w:rsidR="00DF5341" w:rsidP="00E7026A" w:rsidRDefault="00DF5341" w14:paraId="2613E9C1" w14:textId="77777777">
      <w:pPr>
        <w:rPr>
          <w:b/>
        </w:rPr>
      </w:pPr>
    </w:p>
    <w:p w:rsidRPr="001B2492" w:rsidR="007624F1" w:rsidP="00B6448B" w:rsidRDefault="007624F1" w14:paraId="438F675A" w14:textId="77777777">
      <w:pPr>
        <w:widowControl/>
        <w:autoSpaceDE/>
        <w:autoSpaceDN/>
        <w:adjustRightInd/>
        <w:rPr>
          <w:b/>
          <w:bCs/>
          <w:color w:val="000000"/>
        </w:rPr>
      </w:pPr>
      <w:r w:rsidRPr="001B2492">
        <w:rPr>
          <w:b/>
          <w:bCs/>
          <w:color w:val="000000"/>
        </w:rPr>
        <w:t>Table 2 -- Summary of Estimated Annualized Respondent (Employer) Hour and Cost Burden</w:t>
      </w:r>
    </w:p>
    <w:p w:rsidRPr="001B2492" w:rsidR="007624F1" w:rsidP="00092BB3" w:rsidRDefault="007624F1" w14:paraId="1037B8A3" w14:textId="77777777">
      <w:pPr>
        <w:ind w:left="1440"/>
      </w:pPr>
    </w:p>
    <w:tbl>
      <w:tblPr>
        <w:tblW w:w="12150" w:type="dxa"/>
        <w:tblInd w:w="378" w:type="dxa"/>
        <w:tblLayout w:type="fixed"/>
        <w:tblLook w:val="04A0" w:firstRow="1" w:lastRow="0" w:firstColumn="1" w:lastColumn="0" w:noHBand="0" w:noVBand="1"/>
      </w:tblPr>
      <w:tblGrid>
        <w:gridCol w:w="1980"/>
        <w:gridCol w:w="1620"/>
        <w:gridCol w:w="990"/>
        <w:gridCol w:w="1260"/>
        <w:gridCol w:w="1170"/>
        <w:gridCol w:w="1080"/>
        <w:gridCol w:w="1170"/>
        <w:gridCol w:w="1170"/>
        <w:gridCol w:w="1710"/>
      </w:tblGrid>
      <w:tr w:rsidRPr="001B2492" w:rsidR="00EB3F13" w:rsidTr="5A644184" w14:paraId="05D18BB2" w14:textId="77777777">
        <w:trPr>
          <w:trHeight w:val="1200"/>
          <w:tblHeader/>
        </w:trPr>
        <w:tc>
          <w:tcPr>
            <w:tcW w:w="1980"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1B2492" w:rsidR="007624F1" w:rsidP="005B3B0F" w:rsidRDefault="007624F1" w14:paraId="4756B716" w14:textId="77777777">
            <w:pPr>
              <w:widowControl/>
              <w:autoSpaceDE/>
              <w:autoSpaceDN/>
              <w:adjustRightInd/>
              <w:jc w:val="center"/>
              <w:rPr>
                <w:b/>
                <w:color w:val="000000"/>
                <w:sz w:val="20"/>
                <w:szCs w:val="20"/>
              </w:rPr>
            </w:pPr>
            <w:r w:rsidRPr="001B2492">
              <w:rPr>
                <w:b/>
                <w:color w:val="000000"/>
                <w:sz w:val="20"/>
                <w:szCs w:val="20"/>
              </w:rPr>
              <w:t>Information Collection Requirement</w:t>
            </w:r>
            <w:r w:rsidRPr="001B2492" w:rsidR="00930024">
              <w:rPr>
                <w:b/>
                <w:color w:val="000000"/>
                <w:sz w:val="20"/>
                <w:szCs w:val="20"/>
              </w:rPr>
              <w:t>s</w:t>
            </w:r>
          </w:p>
        </w:tc>
        <w:tc>
          <w:tcPr>
            <w:tcW w:w="162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5B3B0F" w:rsidRDefault="007624F1" w14:paraId="03534710" w14:textId="77777777">
            <w:pPr>
              <w:widowControl/>
              <w:autoSpaceDE/>
              <w:autoSpaceDN/>
              <w:adjustRightInd/>
              <w:jc w:val="center"/>
              <w:rPr>
                <w:b/>
                <w:color w:val="000000"/>
                <w:sz w:val="20"/>
                <w:szCs w:val="20"/>
              </w:rPr>
            </w:pPr>
            <w:r w:rsidRPr="001B2492">
              <w:rPr>
                <w:b/>
                <w:color w:val="000000"/>
                <w:sz w:val="20"/>
                <w:szCs w:val="20"/>
              </w:rPr>
              <w:t>Type of Respondent</w:t>
            </w:r>
            <w:r w:rsidRPr="001B2492" w:rsidR="00862ED6">
              <w:rPr>
                <w:rStyle w:val="FootnoteReference"/>
                <w:b/>
                <w:color w:val="000000"/>
                <w:sz w:val="20"/>
                <w:szCs w:val="20"/>
                <w:vertAlign w:val="superscript"/>
              </w:rPr>
              <w:footnoteReference w:id="5"/>
            </w:r>
          </w:p>
        </w:tc>
        <w:tc>
          <w:tcPr>
            <w:tcW w:w="99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5B3B0F" w:rsidRDefault="007624F1" w14:paraId="2BD448F6" w14:textId="77777777">
            <w:pPr>
              <w:widowControl/>
              <w:autoSpaceDE/>
              <w:autoSpaceDN/>
              <w:adjustRightInd/>
              <w:jc w:val="center"/>
              <w:rPr>
                <w:b/>
                <w:color w:val="000000"/>
                <w:sz w:val="20"/>
                <w:szCs w:val="20"/>
              </w:rPr>
            </w:pPr>
            <w:r w:rsidRPr="001B2492">
              <w:rPr>
                <w:b/>
                <w:color w:val="000000"/>
                <w:sz w:val="20"/>
                <w:szCs w:val="20"/>
              </w:rPr>
              <w:t>No. of Respon</w:t>
            </w:r>
            <w:r w:rsidRPr="001B2492" w:rsidR="00930024">
              <w:rPr>
                <w:b/>
                <w:color w:val="000000"/>
                <w:sz w:val="20"/>
                <w:szCs w:val="20"/>
              </w:rPr>
              <w:t>dents</w:t>
            </w:r>
          </w:p>
        </w:tc>
        <w:tc>
          <w:tcPr>
            <w:tcW w:w="126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5B3B0F" w:rsidRDefault="00930024" w14:paraId="704192E3" w14:textId="77777777">
            <w:pPr>
              <w:widowControl/>
              <w:autoSpaceDE/>
              <w:autoSpaceDN/>
              <w:adjustRightInd/>
              <w:jc w:val="center"/>
              <w:rPr>
                <w:b/>
                <w:color w:val="000000"/>
                <w:sz w:val="20"/>
                <w:szCs w:val="20"/>
              </w:rPr>
            </w:pPr>
            <w:r w:rsidRPr="001B2492">
              <w:rPr>
                <w:b/>
                <w:color w:val="000000"/>
                <w:sz w:val="20"/>
                <w:szCs w:val="20"/>
              </w:rPr>
              <w:t xml:space="preserve">No. of </w:t>
            </w:r>
            <w:r w:rsidRPr="001B2492" w:rsidR="007624F1">
              <w:rPr>
                <w:b/>
                <w:color w:val="000000"/>
                <w:sz w:val="20"/>
                <w:szCs w:val="20"/>
              </w:rPr>
              <w:t>Respon</w:t>
            </w:r>
            <w:r w:rsidRPr="001B2492" w:rsidR="007169AB">
              <w:rPr>
                <w:b/>
                <w:color w:val="000000"/>
                <w:sz w:val="20"/>
                <w:szCs w:val="20"/>
              </w:rPr>
              <w:t>s</w:t>
            </w:r>
            <w:r w:rsidRPr="001B2492" w:rsidR="007624F1">
              <w:rPr>
                <w:b/>
                <w:color w:val="000000"/>
                <w:sz w:val="20"/>
                <w:szCs w:val="20"/>
              </w:rPr>
              <w:t>es per Respondent</w:t>
            </w:r>
          </w:p>
        </w:tc>
        <w:tc>
          <w:tcPr>
            <w:tcW w:w="117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930024" w:rsidRDefault="007624F1" w14:paraId="5D36BA98" w14:textId="77777777">
            <w:pPr>
              <w:widowControl/>
              <w:autoSpaceDE/>
              <w:autoSpaceDN/>
              <w:adjustRightInd/>
              <w:jc w:val="center"/>
              <w:rPr>
                <w:b/>
                <w:color w:val="000000"/>
                <w:sz w:val="20"/>
                <w:szCs w:val="20"/>
              </w:rPr>
            </w:pPr>
            <w:r w:rsidRPr="001B2492">
              <w:rPr>
                <w:b/>
                <w:color w:val="000000"/>
                <w:sz w:val="20"/>
                <w:szCs w:val="20"/>
              </w:rPr>
              <w:t>Total Responses</w:t>
            </w:r>
          </w:p>
        </w:tc>
        <w:tc>
          <w:tcPr>
            <w:tcW w:w="108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930024" w:rsidRDefault="00EB3F13" w14:paraId="066A2D6B" w14:textId="77777777">
            <w:pPr>
              <w:widowControl/>
              <w:autoSpaceDE/>
              <w:autoSpaceDN/>
              <w:adjustRightInd/>
              <w:jc w:val="center"/>
              <w:rPr>
                <w:b/>
                <w:color w:val="000000"/>
                <w:sz w:val="20"/>
                <w:szCs w:val="20"/>
              </w:rPr>
            </w:pPr>
            <w:r w:rsidRPr="001B2492">
              <w:rPr>
                <w:b/>
                <w:color w:val="000000"/>
                <w:sz w:val="20"/>
                <w:szCs w:val="20"/>
              </w:rPr>
              <w:t>Average</w:t>
            </w:r>
            <w:r w:rsidRPr="001B2492" w:rsidR="00930024">
              <w:rPr>
                <w:b/>
                <w:color w:val="000000"/>
                <w:sz w:val="20"/>
                <w:szCs w:val="20"/>
              </w:rPr>
              <w:t xml:space="preserve"> </w:t>
            </w:r>
            <w:r w:rsidRPr="001B2492" w:rsidR="007624F1">
              <w:rPr>
                <w:b/>
                <w:color w:val="000000"/>
                <w:sz w:val="20"/>
                <w:szCs w:val="20"/>
              </w:rPr>
              <w:t>Burden (</w:t>
            </w:r>
            <w:r w:rsidRPr="001B2492" w:rsidR="00930024">
              <w:rPr>
                <w:b/>
                <w:color w:val="000000"/>
                <w:sz w:val="20"/>
                <w:szCs w:val="20"/>
              </w:rPr>
              <w:t>In</w:t>
            </w:r>
            <w:r w:rsidRPr="001B2492" w:rsidR="007624F1">
              <w:rPr>
                <w:b/>
                <w:color w:val="000000"/>
                <w:sz w:val="20"/>
                <w:szCs w:val="20"/>
              </w:rPr>
              <w:t xml:space="preserve"> </w:t>
            </w:r>
            <w:r w:rsidRPr="001B2492" w:rsidR="00930024">
              <w:rPr>
                <w:b/>
                <w:color w:val="000000"/>
                <w:sz w:val="20"/>
                <w:szCs w:val="20"/>
              </w:rPr>
              <w:t>H</w:t>
            </w:r>
            <w:r w:rsidRPr="001B2492" w:rsidR="00AE5D7A">
              <w:rPr>
                <w:b/>
                <w:color w:val="000000"/>
                <w:sz w:val="20"/>
                <w:szCs w:val="20"/>
              </w:rPr>
              <w:t>ours</w:t>
            </w:r>
            <w:r w:rsidRPr="001B2492" w:rsidR="007624F1">
              <w:rPr>
                <w:b/>
                <w:color w:val="000000"/>
                <w:sz w:val="20"/>
                <w:szCs w:val="20"/>
              </w:rPr>
              <w:t>)</w:t>
            </w:r>
          </w:p>
        </w:tc>
        <w:tc>
          <w:tcPr>
            <w:tcW w:w="117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36697D" w:rsidRDefault="007624F1" w14:paraId="22609DDE" w14:textId="77777777">
            <w:pPr>
              <w:widowControl/>
              <w:autoSpaceDE/>
              <w:autoSpaceDN/>
              <w:adjustRightInd/>
              <w:jc w:val="center"/>
              <w:rPr>
                <w:b/>
                <w:color w:val="000000"/>
                <w:sz w:val="20"/>
                <w:szCs w:val="20"/>
              </w:rPr>
            </w:pPr>
            <w:r w:rsidRPr="001B2492">
              <w:rPr>
                <w:b/>
                <w:color w:val="000000"/>
                <w:sz w:val="20"/>
                <w:szCs w:val="20"/>
              </w:rPr>
              <w:t xml:space="preserve">Total Burden Hours </w:t>
            </w:r>
          </w:p>
        </w:tc>
        <w:tc>
          <w:tcPr>
            <w:tcW w:w="117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5B3B0F" w:rsidRDefault="007624F1" w14:paraId="68B10831" w14:textId="77777777">
            <w:pPr>
              <w:widowControl/>
              <w:autoSpaceDE/>
              <w:autoSpaceDN/>
              <w:adjustRightInd/>
              <w:jc w:val="center"/>
              <w:rPr>
                <w:b/>
                <w:color w:val="000000"/>
                <w:sz w:val="20"/>
                <w:szCs w:val="20"/>
              </w:rPr>
            </w:pPr>
            <w:r w:rsidRPr="001B2492">
              <w:rPr>
                <w:b/>
                <w:color w:val="000000"/>
                <w:sz w:val="20"/>
                <w:szCs w:val="20"/>
              </w:rPr>
              <w:t>Hourly Wage Rate</w:t>
            </w:r>
          </w:p>
        </w:tc>
        <w:tc>
          <w:tcPr>
            <w:tcW w:w="1710" w:type="dxa"/>
            <w:tcBorders>
              <w:top w:val="single" w:color="auto" w:sz="4" w:space="0"/>
              <w:left w:val="nil"/>
              <w:bottom w:val="single" w:color="auto" w:sz="4" w:space="0"/>
              <w:right w:val="single" w:color="auto" w:sz="4" w:space="0"/>
            </w:tcBorders>
            <w:shd w:val="clear" w:color="auto" w:fill="D9E2F3" w:themeFill="accent1" w:themeFillTint="33"/>
            <w:hideMark/>
          </w:tcPr>
          <w:p w:rsidRPr="001B2492" w:rsidR="007624F1" w:rsidP="0036697D" w:rsidRDefault="005B3B0F" w14:paraId="0CDB1852" w14:textId="77777777">
            <w:pPr>
              <w:widowControl/>
              <w:autoSpaceDE/>
              <w:autoSpaceDN/>
              <w:adjustRightInd/>
              <w:jc w:val="center"/>
              <w:rPr>
                <w:b/>
                <w:color w:val="000000"/>
                <w:sz w:val="20"/>
                <w:szCs w:val="20"/>
              </w:rPr>
            </w:pPr>
            <w:r w:rsidRPr="001B2492">
              <w:rPr>
                <w:b/>
                <w:color w:val="000000"/>
                <w:sz w:val="20"/>
                <w:szCs w:val="20"/>
              </w:rPr>
              <w:t>Total Burden Cost</w:t>
            </w:r>
          </w:p>
        </w:tc>
      </w:tr>
      <w:tr w:rsidRPr="001B2492" w:rsidR="00EB3F13" w:rsidTr="5A644184" w14:paraId="68841E5A" w14:textId="77777777">
        <w:trPr>
          <w:trHeight w:val="1826"/>
        </w:trPr>
        <w:tc>
          <w:tcPr>
            <w:tcW w:w="1980" w:type="dxa"/>
            <w:tcBorders>
              <w:top w:val="nil"/>
              <w:left w:val="single" w:color="auto" w:sz="4" w:space="0"/>
              <w:bottom w:val="single" w:color="auto" w:sz="4" w:space="0"/>
              <w:right w:val="single" w:color="auto" w:sz="4" w:space="0"/>
            </w:tcBorders>
            <w:shd w:val="clear" w:color="auto" w:fill="auto"/>
            <w:hideMark/>
          </w:tcPr>
          <w:p w:rsidRPr="001B2492" w:rsidR="007624F1" w:rsidP="005B3B0F" w:rsidRDefault="005B3B0F" w14:paraId="64E50E3E" w14:textId="77777777">
            <w:pPr>
              <w:widowControl/>
              <w:autoSpaceDE/>
              <w:autoSpaceDN/>
              <w:adjustRightInd/>
              <w:rPr>
                <w:color w:val="000000"/>
                <w:sz w:val="22"/>
                <w:szCs w:val="22"/>
              </w:rPr>
            </w:pPr>
            <w:r w:rsidRPr="001B2492">
              <w:rPr>
                <w:color w:val="000000"/>
                <w:sz w:val="22"/>
                <w:szCs w:val="22"/>
              </w:rPr>
              <w:t xml:space="preserve">A. </w:t>
            </w:r>
            <w:r w:rsidRPr="001B2492" w:rsidR="007624F1">
              <w:rPr>
                <w:color w:val="000000"/>
                <w:sz w:val="22"/>
                <w:szCs w:val="22"/>
              </w:rPr>
              <w:t>Hazard posting and abatement notification to Consultation Program (1908.6(e)(8) and 1908.6(f)(5))</w:t>
            </w:r>
          </w:p>
        </w:tc>
        <w:tc>
          <w:tcPr>
            <w:tcW w:w="1620" w:type="dxa"/>
            <w:tcBorders>
              <w:top w:val="nil"/>
              <w:left w:val="nil"/>
              <w:bottom w:val="single" w:color="auto" w:sz="4" w:space="0"/>
              <w:right w:val="single" w:color="auto" w:sz="4" w:space="0"/>
            </w:tcBorders>
            <w:shd w:val="clear" w:color="auto" w:fill="auto"/>
            <w:hideMark/>
          </w:tcPr>
          <w:p w:rsidRPr="001B2492" w:rsidR="007624F1" w:rsidP="009643BF" w:rsidRDefault="009643BF" w14:paraId="38D8578A" w14:textId="77777777">
            <w:pPr>
              <w:widowControl/>
              <w:autoSpaceDE/>
              <w:autoSpaceDN/>
              <w:adjustRightInd/>
              <w:ind w:left="-102" w:right="-21"/>
              <w:jc w:val="center"/>
              <w:rPr>
                <w:color w:val="000000"/>
                <w:sz w:val="22"/>
                <w:szCs w:val="22"/>
              </w:rPr>
            </w:pPr>
            <w:r w:rsidRPr="001B2492">
              <w:rPr>
                <w:color w:val="000000"/>
                <w:sz w:val="22"/>
                <w:szCs w:val="22"/>
              </w:rPr>
              <w:t>General / Operations Manager</w:t>
            </w:r>
            <w:r w:rsidRPr="001B2492" w:rsidR="005F4865">
              <w:rPr>
                <w:color w:val="000000"/>
                <w:sz w:val="22"/>
                <w:szCs w:val="22"/>
              </w:rPr>
              <w:t>s (Employers)</w:t>
            </w:r>
          </w:p>
        </w:tc>
        <w:tc>
          <w:tcPr>
            <w:tcW w:w="990" w:type="dxa"/>
            <w:tcBorders>
              <w:top w:val="nil"/>
              <w:left w:val="nil"/>
              <w:bottom w:val="single" w:color="auto" w:sz="4" w:space="0"/>
              <w:right w:val="single" w:color="auto" w:sz="4" w:space="0"/>
            </w:tcBorders>
            <w:shd w:val="clear" w:color="auto" w:fill="auto"/>
            <w:hideMark/>
          </w:tcPr>
          <w:p w:rsidRPr="001B2492" w:rsidR="007624F1" w:rsidP="00B77450" w:rsidRDefault="007624F1" w14:paraId="6B41F336" w14:textId="77777777">
            <w:pPr>
              <w:widowControl/>
              <w:autoSpaceDE/>
              <w:autoSpaceDN/>
              <w:adjustRightInd/>
              <w:jc w:val="center"/>
              <w:rPr>
                <w:color w:val="000000"/>
                <w:sz w:val="22"/>
                <w:szCs w:val="22"/>
              </w:rPr>
            </w:pPr>
            <w:r w:rsidRPr="001B2492">
              <w:rPr>
                <w:color w:val="000000"/>
                <w:sz w:val="22"/>
                <w:szCs w:val="22"/>
              </w:rPr>
              <w:t>22,</w:t>
            </w:r>
            <w:r w:rsidRPr="001B2492" w:rsidR="00884FCF">
              <w:rPr>
                <w:color w:val="000000"/>
                <w:sz w:val="22"/>
                <w:szCs w:val="22"/>
              </w:rPr>
              <w:t>843</w:t>
            </w:r>
          </w:p>
        </w:tc>
        <w:tc>
          <w:tcPr>
            <w:tcW w:w="1260" w:type="dxa"/>
            <w:tcBorders>
              <w:top w:val="nil"/>
              <w:left w:val="nil"/>
              <w:bottom w:val="single" w:color="auto" w:sz="4" w:space="0"/>
              <w:right w:val="single" w:color="auto" w:sz="4" w:space="0"/>
            </w:tcBorders>
            <w:shd w:val="clear" w:color="auto" w:fill="auto"/>
            <w:hideMark/>
          </w:tcPr>
          <w:p w:rsidRPr="001B2492" w:rsidR="007624F1" w:rsidP="005B3B0F" w:rsidRDefault="007624F1" w14:paraId="065D2414" w14:textId="77777777">
            <w:pPr>
              <w:widowControl/>
              <w:autoSpaceDE/>
              <w:autoSpaceDN/>
              <w:adjustRightInd/>
              <w:jc w:val="center"/>
              <w:rPr>
                <w:color w:val="000000"/>
                <w:sz w:val="22"/>
                <w:szCs w:val="22"/>
              </w:rPr>
            </w:pPr>
            <w:r w:rsidRPr="001B2492">
              <w:rPr>
                <w:color w:val="000000"/>
                <w:sz w:val="22"/>
                <w:szCs w:val="22"/>
              </w:rPr>
              <w:t>1</w:t>
            </w:r>
          </w:p>
        </w:tc>
        <w:tc>
          <w:tcPr>
            <w:tcW w:w="1170" w:type="dxa"/>
            <w:tcBorders>
              <w:top w:val="nil"/>
              <w:left w:val="nil"/>
              <w:bottom w:val="single" w:color="auto" w:sz="4" w:space="0"/>
              <w:right w:val="single" w:color="auto" w:sz="4" w:space="0"/>
            </w:tcBorders>
            <w:shd w:val="clear" w:color="auto" w:fill="auto"/>
            <w:hideMark/>
          </w:tcPr>
          <w:p w:rsidRPr="001B2492" w:rsidR="007624F1" w:rsidP="00B77450" w:rsidRDefault="007624F1" w14:paraId="751383D3" w14:textId="77777777">
            <w:pPr>
              <w:widowControl/>
              <w:autoSpaceDE/>
              <w:autoSpaceDN/>
              <w:adjustRightInd/>
              <w:jc w:val="center"/>
              <w:rPr>
                <w:color w:val="000000"/>
                <w:sz w:val="22"/>
                <w:szCs w:val="22"/>
              </w:rPr>
            </w:pPr>
            <w:r w:rsidRPr="001B2492">
              <w:rPr>
                <w:color w:val="000000"/>
                <w:sz w:val="22"/>
                <w:szCs w:val="22"/>
              </w:rPr>
              <w:t>22,</w:t>
            </w:r>
            <w:r w:rsidRPr="001B2492" w:rsidR="00884FCF">
              <w:rPr>
                <w:color w:val="000000"/>
                <w:sz w:val="22"/>
                <w:szCs w:val="22"/>
              </w:rPr>
              <w:t>843</w:t>
            </w:r>
          </w:p>
        </w:tc>
        <w:tc>
          <w:tcPr>
            <w:tcW w:w="1080" w:type="dxa"/>
            <w:tcBorders>
              <w:top w:val="nil"/>
              <w:left w:val="nil"/>
              <w:bottom w:val="single" w:color="auto" w:sz="4" w:space="0"/>
              <w:right w:val="single" w:color="auto" w:sz="4" w:space="0"/>
            </w:tcBorders>
            <w:shd w:val="clear" w:color="auto" w:fill="auto"/>
            <w:hideMark/>
          </w:tcPr>
          <w:p w:rsidRPr="001B2492" w:rsidR="007624F1" w:rsidP="005B3B0F" w:rsidRDefault="007624F1" w14:paraId="18EF2E85" w14:textId="77777777">
            <w:pPr>
              <w:widowControl/>
              <w:autoSpaceDE/>
              <w:autoSpaceDN/>
              <w:adjustRightInd/>
              <w:jc w:val="center"/>
              <w:rPr>
                <w:color w:val="000000"/>
                <w:sz w:val="22"/>
                <w:szCs w:val="22"/>
              </w:rPr>
            </w:pPr>
            <w:r w:rsidRPr="001B2492">
              <w:rPr>
                <w:color w:val="000000"/>
                <w:sz w:val="22"/>
                <w:szCs w:val="22"/>
              </w:rPr>
              <w:t>0.25</w:t>
            </w:r>
          </w:p>
        </w:tc>
        <w:tc>
          <w:tcPr>
            <w:tcW w:w="1170" w:type="dxa"/>
            <w:tcBorders>
              <w:top w:val="nil"/>
              <w:left w:val="nil"/>
              <w:bottom w:val="single" w:color="auto" w:sz="4" w:space="0"/>
              <w:right w:val="single" w:color="auto" w:sz="4" w:space="0"/>
            </w:tcBorders>
            <w:shd w:val="clear" w:color="auto" w:fill="auto"/>
            <w:hideMark/>
          </w:tcPr>
          <w:p w:rsidRPr="001B2492" w:rsidR="007624F1" w:rsidP="00B77450" w:rsidRDefault="007624F1" w14:paraId="590732D3" w14:textId="77777777">
            <w:pPr>
              <w:widowControl/>
              <w:autoSpaceDE/>
              <w:autoSpaceDN/>
              <w:adjustRightInd/>
              <w:jc w:val="center"/>
              <w:rPr>
                <w:b/>
                <w:bCs/>
                <w:color w:val="000000"/>
                <w:sz w:val="22"/>
                <w:szCs w:val="22"/>
              </w:rPr>
            </w:pPr>
            <w:r w:rsidRPr="001B2492">
              <w:rPr>
                <w:b/>
                <w:bCs/>
                <w:color w:val="000000"/>
                <w:sz w:val="22"/>
                <w:szCs w:val="22"/>
              </w:rPr>
              <w:t>5,</w:t>
            </w:r>
            <w:r w:rsidRPr="001B2492" w:rsidR="00884FCF">
              <w:rPr>
                <w:b/>
                <w:bCs/>
                <w:color w:val="000000"/>
                <w:sz w:val="22"/>
                <w:szCs w:val="22"/>
              </w:rPr>
              <w:t>710.75</w:t>
            </w:r>
          </w:p>
        </w:tc>
        <w:tc>
          <w:tcPr>
            <w:tcW w:w="1170" w:type="dxa"/>
            <w:tcBorders>
              <w:top w:val="nil"/>
              <w:left w:val="nil"/>
              <w:bottom w:val="single" w:color="auto" w:sz="4" w:space="0"/>
              <w:right w:val="single" w:color="auto" w:sz="4" w:space="0"/>
            </w:tcBorders>
            <w:shd w:val="clear" w:color="auto" w:fill="auto"/>
            <w:hideMark/>
          </w:tcPr>
          <w:p w:rsidRPr="001B2492" w:rsidR="007624F1" w:rsidP="0045383C" w:rsidRDefault="007624F1" w14:paraId="3A56F5FF" w14:textId="77777777">
            <w:pPr>
              <w:widowControl/>
              <w:autoSpaceDE/>
              <w:autoSpaceDN/>
              <w:adjustRightInd/>
              <w:jc w:val="center"/>
              <w:rPr>
                <w:color w:val="000000"/>
                <w:sz w:val="22"/>
                <w:szCs w:val="22"/>
              </w:rPr>
            </w:pPr>
            <w:r w:rsidRPr="001B2492">
              <w:rPr>
                <w:color w:val="000000"/>
                <w:sz w:val="22"/>
                <w:szCs w:val="22"/>
              </w:rPr>
              <w:t>$</w:t>
            </w:r>
            <w:r w:rsidRPr="001B2492" w:rsidR="009643BF">
              <w:rPr>
                <w:color w:val="000000"/>
                <w:sz w:val="22"/>
                <w:szCs w:val="22"/>
              </w:rPr>
              <w:t>87.99</w:t>
            </w:r>
          </w:p>
        </w:tc>
        <w:tc>
          <w:tcPr>
            <w:tcW w:w="1710" w:type="dxa"/>
            <w:tcBorders>
              <w:top w:val="nil"/>
              <w:left w:val="nil"/>
              <w:bottom w:val="single" w:color="auto" w:sz="4" w:space="0"/>
              <w:right w:val="single" w:color="auto" w:sz="4" w:space="0"/>
            </w:tcBorders>
            <w:shd w:val="clear" w:color="auto" w:fill="auto"/>
            <w:hideMark/>
          </w:tcPr>
          <w:p w:rsidRPr="001B2492" w:rsidR="007624F1" w:rsidP="00B6448B" w:rsidRDefault="007624F1" w14:paraId="25BE1FFA" w14:textId="77777777">
            <w:pPr>
              <w:widowControl/>
              <w:tabs>
                <w:tab w:val="left" w:pos="1045"/>
              </w:tabs>
              <w:autoSpaceDE/>
              <w:autoSpaceDN/>
              <w:adjustRightInd/>
              <w:ind w:left="-106"/>
              <w:jc w:val="center"/>
              <w:rPr>
                <w:b/>
                <w:bCs/>
                <w:color w:val="000000"/>
                <w:sz w:val="22"/>
                <w:szCs w:val="22"/>
              </w:rPr>
            </w:pPr>
            <w:r w:rsidRPr="001B2492">
              <w:rPr>
                <w:b/>
                <w:bCs/>
                <w:color w:val="000000" w:themeColor="text1"/>
                <w:sz w:val="22"/>
                <w:szCs w:val="22"/>
              </w:rPr>
              <w:t>$</w:t>
            </w:r>
            <w:r w:rsidRPr="001B2492" w:rsidR="4AB8E166">
              <w:rPr>
                <w:b/>
                <w:bCs/>
                <w:color w:val="000000" w:themeColor="text1"/>
                <w:sz w:val="22"/>
                <w:szCs w:val="22"/>
              </w:rPr>
              <w:t>502,488.89</w:t>
            </w:r>
          </w:p>
        </w:tc>
      </w:tr>
      <w:tr w:rsidRPr="001B2492" w:rsidR="00EB3F13" w:rsidTr="5A644184" w14:paraId="14C63853" w14:textId="77777777">
        <w:trPr>
          <w:trHeight w:val="1691"/>
        </w:trPr>
        <w:tc>
          <w:tcPr>
            <w:tcW w:w="1980" w:type="dxa"/>
            <w:tcBorders>
              <w:top w:val="nil"/>
              <w:left w:val="single" w:color="auto" w:sz="4" w:space="0"/>
              <w:bottom w:val="single" w:color="auto" w:sz="4" w:space="0"/>
              <w:right w:val="single" w:color="auto" w:sz="4" w:space="0"/>
            </w:tcBorders>
            <w:shd w:val="clear" w:color="auto" w:fill="auto"/>
            <w:hideMark/>
          </w:tcPr>
          <w:p w:rsidRPr="001B2492" w:rsidR="005F4865" w:rsidP="005F4865" w:rsidRDefault="005F4865" w14:paraId="481A8A9F" w14:textId="77777777">
            <w:pPr>
              <w:widowControl/>
              <w:autoSpaceDE/>
              <w:autoSpaceDN/>
              <w:adjustRightInd/>
              <w:rPr>
                <w:color w:val="000000"/>
                <w:sz w:val="22"/>
                <w:szCs w:val="22"/>
              </w:rPr>
            </w:pPr>
            <w:r w:rsidRPr="001B2492">
              <w:rPr>
                <w:color w:val="000000"/>
                <w:sz w:val="22"/>
                <w:szCs w:val="22"/>
              </w:rPr>
              <w:t>B. Inform OSHA Compliance Officer there is a Consultation "Visit in Progress" (1908.7(b)(1))</w:t>
            </w:r>
          </w:p>
        </w:tc>
        <w:tc>
          <w:tcPr>
            <w:tcW w:w="1620" w:type="dxa"/>
            <w:tcBorders>
              <w:top w:val="nil"/>
              <w:left w:val="nil"/>
              <w:bottom w:val="single" w:color="auto" w:sz="4" w:space="0"/>
              <w:right w:val="single" w:color="auto" w:sz="4" w:space="0"/>
            </w:tcBorders>
            <w:shd w:val="clear" w:color="auto" w:fill="auto"/>
            <w:hideMark/>
          </w:tcPr>
          <w:p w:rsidRPr="001B2492" w:rsidR="005F4865" w:rsidP="005F4865" w:rsidRDefault="005F4865" w14:paraId="18A345C4" w14:textId="77777777">
            <w:pPr>
              <w:widowControl/>
              <w:autoSpaceDE/>
              <w:autoSpaceDN/>
              <w:adjustRightInd/>
              <w:ind w:left="-102" w:right="-21"/>
              <w:jc w:val="center"/>
              <w:rPr>
                <w:color w:val="000000"/>
                <w:sz w:val="22"/>
                <w:szCs w:val="22"/>
              </w:rPr>
            </w:pPr>
            <w:r w:rsidRPr="001B2492">
              <w:rPr>
                <w:color w:val="000000"/>
                <w:sz w:val="22"/>
                <w:szCs w:val="22"/>
              </w:rPr>
              <w:t>General / Operations Managers (Employers)</w:t>
            </w:r>
          </w:p>
        </w:tc>
        <w:tc>
          <w:tcPr>
            <w:tcW w:w="990" w:type="dxa"/>
            <w:tcBorders>
              <w:top w:val="nil"/>
              <w:left w:val="nil"/>
              <w:bottom w:val="single" w:color="auto" w:sz="4" w:space="0"/>
              <w:right w:val="single" w:color="auto" w:sz="4" w:space="0"/>
            </w:tcBorders>
            <w:shd w:val="clear" w:color="auto" w:fill="auto"/>
            <w:hideMark/>
          </w:tcPr>
          <w:p w:rsidRPr="001B2492" w:rsidR="005F4865" w:rsidP="005F4865" w:rsidRDefault="005F4865" w14:paraId="6F7DCF2C" w14:textId="77777777">
            <w:pPr>
              <w:widowControl/>
              <w:autoSpaceDE/>
              <w:autoSpaceDN/>
              <w:adjustRightInd/>
              <w:jc w:val="center"/>
              <w:rPr>
                <w:color w:val="000000"/>
                <w:sz w:val="22"/>
                <w:szCs w:val="22"/>
              </w:rPr>
            </w:pPr>
            <w:r w:rsidRPr="001B2492">
              <w:rPr>
                <w:color w:val="000000"/>
                <w:sz w:val="22"/>
                <w:szCs w:val="22"/>
              </w:rPr>
              <w:t>1,142</w:t>
            </w:r>
          </w:p>
        </w:tc>
        <w:tc>
          <w:tcPr>
            <w:tcW w:w="1260" w:type="dxa"/>
            <w:tcBorders>
              <w:top w:val="nil"/>
              <w:left w:val="nil"/>
              <w:bottom w:val="single" w:color="auto" w:sz="4" w:space="0"/>
              <w:right w:val="single" w:color="auto" w:sz="4" w:space="0"/>
            </w:tcBorders>
            <w:shd w:val="clear" w:color="auto" w:fill="auto"/>
            <w:hideMark/>
          </w:tcPr>
          <w:p w:rsidRPr="001B2492" w:rsidR="005F4865" w:rsidP="005F4865" w:rsidRDefault="005F4865" w14:paraId="2E32D521" w14:textId="77777777">
            <w:pPr>
              <w:widowControl/>
              <w:autoSpaceDE/>
              <w:autoSpaceDN/>
              <w:adjustRightInd/>
              <w:jc w:val="center"/>
              <w:rPr>
                <w:color w:val="000000"/>
                <w:sz w:val="22"/>
                <w:szCs w:val="22"/>
              </w:rPr>
            </w:pPr>
            <w:r w:rsidRPr="001B2492">
              <w:rPr>
                <w:color w:val="000000"/>
                <w:sz w:val="22"/>
                <w:szCs w:val="22"/>
              </w:rPr>
              <w:t>1</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752C252C" w14:textId="77777777">
            <w:pPr>
              <w:widowControl/>
              <w:autoSpaceDE/>
              <w:autoSpaceDN/>
              <w:adjustRightInd/>
              <w:jc w:val="center"/>
              <w:rPr>
                <w:color w:val="000000"/>
                <w:sz w:val="22"/>
                <w:szCs w:val="22"/>
              </w:rPr>
            </w:pPr>
            <w:r w:rsidRPr="001B2492">
              <w:rPr>
                <w:color w:val="000000"/>
                <w:sz w:val="22"/>
                <w:szCs w:val="22"/>
              </w:rPr>
              <w:t>1,142</w:t>
            </w:r>
          </w:p>
        </w:tc>
        <w:tc>
          <w:tcPr>
            <w:tcW w:w="1080" w:type="dxa"/>
            <w:tcBorders>
              <w:top w:val="nil"/>
              <w:left w:val="nil"/>
              <w:bottom w:val="single" w:color="auto" w:sz="4" w:space="0"/>
              <w:right w:val="single" w:color="auto" w:sz="4" w:space="0"/>
            </w:tcBorders>
            <w:shd w:val="clear" w:color="auto" w:fill="auto"/>
            <w:hideMark/>
          </w:tcPr>
          <w:p w:rsidRPr="001B2492" w:rsidR="005F4865" w:rsidP="005F4865" w:rsidRDefault="005F4865" w14:paraId="719526B8" w14:textId="77777777">
            <w:pPr>
              <w:widowControl/>
              <w:autoSpaceDE/>
              <w:autoSpaceDN/>
              <w:adjustRightInd/>
              <w:jc w:val="center"/>
              <w:rPr>
                <w:color w:val="000000"/>
                <w:sz w:val="22"/>
                <w:szCs w:val="22"/>
              </w:rPr>
            </w:pPr>
            <w:r w:rsidRPr="001B2492">
              <w:rPr>
                <w:color w:val="000000"/>
                <w:sz w:val="22"/>
                <w:szCs w:val="22"/>
              </w:rPr>
              <w:t>0.1</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32C763CC" w14:textId="77777777">
            <w:pPr>
              <w:widowControl/>
              <w:autoSpaceDE/>
              <w:autoSpaceDN/>
              <w:adjustRightInd/>
              <w:jc w:val="center"/>
              <w:rPr>
                <w:b/>
                <w:bCs/>
                <w:color w:val="000000"/>
                <w:sz w:val="22"/>
                <w:szCs w:val="22"/>
              </w:rPr>
            </w:pPr>
            <w:r w:rsidRPr="001B2492">
              <w:rPr>
                <w:b/>
                <w:bCs/>
                <w:color w:val="000000"/>
                <w:sz w:val="22"/>
                <w:szCs w:val="22"/>
              </w:rPr>
              <w:t>114.20</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74281534" w14:textId="77777777">
            <w:pPr>
              <w:widowControl/>
              <w:autoSpaceDE/>
              <w:autoSpaceDN/>
              <w:adjustRightInd/>
              <w:jc w:val="center"/>
              <w:rPr>
                <w:color w:val="000000"/>
                <w:sz w:val="22"/>
                <w:szCs w:val="22"/>
              </w:rPr>
            </w:pPr>
            <w:r w:rsidRPr="001B2492">
              <w:rPr>
                <w:color w:val="000000"/>
                <w:sz w:val="22"/>
                <w:szCs w:val="22"/>
              </w:rPr>
              <w:t>$87.99</w:t>
            </w:r>
          </w:p>
        </w:tc>
        <w:tc>
          <w:tcPr>
            <w:tcW w:w="1710" w:type="dxa"/>
            <w:tcBorders>
              <w:top w:val="nil"/>
              <w:left w:val="nil"/>
              <w:bottom w:val="single" w:color="auto" w:sz="4" w:space="0"/>
              <w:right w:val="single" w:color="auto" w:sz="4" w:space="0"/>
            </w:tcBorders>
            <w:shd w:val="clear" w:color="auto" w:fill="auto"/>
            <w:hideMark/>
          </w:tcPr>
          <w:p w:rsidRPr="001B2492" w:rsidR="005F4865" w:rsidP="00513B20" w:rsidRDefault="2E38B68A" w14:paraId="56EAB45D" w14:textId="28014F2D">
            <w:pPr>
              <w:widowControl/>
              <w:autoSpaceDE/>
              <w:autoSpaceDN/>
              <w:adjustRightInd/>
              <w:jc w:val="center"/>
              <w:rPr>
                <w:b/>
                <w:bCs/>
                <w:color w:val="000000"/>
                <w:sz w:val="22"/>
                <w:szCs w:val="22"/>
              </w:rPr>
            </w:pPr>
            <w:r w:rsidRPr="001B2492">
              <w:rPr>
                <w:b/>
                <w:bCs/>
                <w:color w:val="000000" w:themeColor="text1"/>
                <w:sz w:val="22"/>
                <w:szCs w:val="22"/>
              </w:rPr>
              <w:t>$10,048.4</w:t>
            </w:r>
            <w:r w:rsidRPr="001B2492" w:rsidR="00513B20">
              <w:rPr>
                <w:b/>
                <w:bCs/>
                <w:color w:val="000000" w:themeColor="text1"/>
                <w:sz w:val="22"/>
                <w:szCs w:val="22"/>
              </w:rPr>
              <w:t>6</w:t>
            </w:r>
          </w:p>
        </w:tc>
      </w:tr>
      <w:tr w:rsidRPr="001B2492" w:rsidR="084F941C" w:rsidTr="5A644184" w14:paraId="4748DF55" w14:textId="77777777">
        <w:trPr>
          <w:trHeight w:val="341"/>
        </w:trPr>
        <w:tc>
          <w:tcPr>
            <w:tcW w:w="12150" w:type="dxa"/>
            <w:gridSpan w:val="9"/>
            <w:tcBorders>
              <w:top w:val="nil"/>
              <w:left w:val="single" w:color="auto" w:sz="4" w:space="0"/>
              <w:bottom w:val="single" w:color="auto" w:sz="4" w:space="0"/>
              <w:right w:val="single" w:color="auto" w:sz="4" w:space="0"/>
            </w:tcBorders>
            <w:shd w:val="clear" w:color="auto" w:fill="auto"/>
            <w:hideMark/>
          </w:tcPr>
          <w:p w:rsidRPr="001B2492" w:rsidR="3D8DD0B3" w:rsidP="084F941C" w:rsidRDefault="3D8DD0B3" w14:paraId="258BD44A" w14:textId="1CB0AA7D">
            <w:pPr>
              <w:rPr>
                <w:color w:val="000000" w:themeColor="text1"/>
                <w:sz w:val="22"/>
                <w:szCs w:val="22"/>
              </w:rPr>
            </w:pPr>
            <w:r w:rsidRPr="001B2492">
              <w:rPr>
                <w:color w:val="000000" w:themeColor="text1"/>
                <w:sz w:val="22"/>
                <w:szCs w:val="22"/>
              </w:rPr>
              <w:t xml:space="preserve">C. </w:t>
            </w:r>
            <w:r w:rsidRPr="001B2492" w:rsidR="680A0270">
              <w:rPr>
                <w:color w:val="000000" w:themeColor="text1"/>
                <w:sz w:val="22"/>
                <w:szCs w:val="22"/>
              </w:rPr>
              <w:t xml:space="preserve">Qualifying employers voluntarily request </w:t>
            </w:r>
            <w:r w:rsidRPr="001B2492" w:rsidR="11C622BF">
              <w:rPr>
                <w:color w:val="000000" w:themeColor="text1"/>
                <w:sz w:val="22"/>
                <w:szCs w:val="22"/>
              </w:rPr>
              <w:t xml:space="preserve">to </w:t>
            </w:r>
            <w:r w:rsidRPr="001B2492" w:rsidR="680A0270">
              <w:rPr>
                <w:color w:val="000000" w:themeColor="text1"/>
                <w:sz w:val="22"/>
                <w:szCs w:val="22"/>
              </w:rPr>
              <w:t>participat</w:t>
            </w:r>
            <w:r w:rsidRPr="001B2492" w:rsidR="48C36545">
              <w:rPr>
                <w:color w:val="000000" w:themeColor="text1"/>
                <w:sz w:val="22"/>
                <w:szCs w:val="22"/>
              </w:rPr>
              <w:t>e</w:t>
            </w:r>
            <w:r w:rsidRPr="001B2492" w:rsidR="680A0270">
              <w:rPr>
                <w:color w:val="000000" w:themeColor="text1"/>
                <w:sz w:val="22"/>
                <w:szCs w:val="22"/>
              </w:rPr>
              <w:t xml:space="preserve"> </w:t>
            </w:r>
            <w:r w:rsidRPr="001B2492" w:rsidR="1EC59D9E">
              <w:rPr>
                <w:color w:val="000000" w:themeColor="text1"/>
                <w:sz w:val="22"/>
                <w:szCs w:val="22"/>
              </w:rPr>
              <w:t>i</w:t>
            </w:r>
            <w:r w:rsidRPr="001B2492" w:rsidR="680A0270">
              <w:rPr>
                <w:color w:val="000000" w:themeColor="text1"/>
                <w:sz w:val="22"/>
                <w:szCs w:val="22"/>
              </w:rPr>
              <w:t>n SHARP</w:t>
            </w:r>
            <w:r w:rsidRPr="001B2492">
              <w:rPr>
                <w:color w:val="000000" w:themeColor="text1"/>
                <w:sz w:val="22"/>
                <w:szCs w:val="22"/>
              </w:rPr>
              <w:t xml:space="preserve"> (1908.7(b)(</w:t>
            </w:r>
            <w:r w:rsidRPr="001B2492" w:rsidR="2C074CEA">
              <w:rPr>
                <w:color w:val="000000" w:themeColor="text1"/>
                <w:sz w:val="22"/>
                <w:szCs w:val="22"/>
              </w:rPr>
              <w:t>4</w:t>
            </w:r>
            <w:r w:rsidRPr="001B2492">
              <w:rPr>
                <w:color w:val="000000" w:themeColor="text1"/>
                <w:sz w:val="22"/>
                <w:szCs w:val="22"/>
              </w:rPr>
              <w:t>))</w:t>
            </w:r>
          </w:p>
        </w:tc>
      </w:tr>
      <w:tr w:rsidRPr="001B2492" w:rsidR="00EB3F13" w:rsidTr="5A644184" w14:paraId="716C96EF" w14:textId="77777777">
        <w:trPr>
          <w:trHeight w:val="1160"/>
        </w:trPr>
        <w:tc>
          <w:tcPr>
            <w:tcW w:w="1980" w:type="dxa"/>
            <w:tcBorders>
              <w:top w:val="nil"/>
              <w:left w:val="single" w:color="auto" w:sz="4" w:space="0"/>
              <w:bottom w:val="single" w:color="auto" w:sz="4" w:space="0"/>
              <w:right w:val="single" w:color="auto" w:sz="4" w:space="0"/>
            </w:tcBorders>
            <w:shd w:val="clear" w:color="auto" w:fill="auto"/>
            <w:hideMark/>
          </w:tcPr>
          <w:p w:rsidRPr="001B2492" w:rsidR="005F4865" w:rsidP="005F4865" w:rsidRDefault="005F4865" w14:paraId="2079939A" w14:textId="62C4DF31">
            <w:pPr>
              <w:widowControl/>
              <w:autoSpaceDE/>
              <w:autoSpaceDN/>
              <w:adjustRightInd/>
              <w:rPr>
                <w:color w:val="000000"/>
                <w:sz w:val="22"/>
                <w:szCs w:val="22"/>
              </w:rPr>
            </w:pPr>
          </w:p>
        </w:tc>
        <w:tc>
          <w:tcPr>
            <w:tcW w:w="1620" w:type="dxa"/>
            <w:tcBorders>
              <w:top w:val="nil"/>
              <w:left w:val="nil"/>
              <w:bottom w:val="single" w:color="auto" w:sz="4" w:space="0"/>
              <w:right w:val="single" w:color="auto" w:sz="4" w:space="0"/>
            </w:tcBorders>
            <w:shd w:val="clear" w:color="auto" w:fill="auto"/>
            <w:hideMark/>
          </w:tcPr>
          <w:p w:rsidRPr="001B2492" w:rsidR="005F4865" w:rsidP="005F4865" w:rsidRDefault="005F4865" w14:paraId="4D10F0F8" w14:textId="77777777">
            <w:pPr>
              <w:widowControl/>
              <w:autoSpaceDE/>
              <w:autoSpaceDN/>
              <w:adjustRightInd/>
              <w:ind w:left="-102"/>
              <w:jc w:val="center"/>
              <w:rPr>
                <w:color w:val="000000"/>
                <w:sz w:val="22"/>
                <w:szCs w:val="22"/>
              </w:rPr>
            </w:pPr>
            <w:r w:rsidRPr="001B2492">
              <w:rPr>
                <w:color w:val="000000"/>
                <w:sz w:val="22"/>
                <w:szCs w:val="22"/>
              </w:rPr>
              <w:t>General / Operations Managers (Employers)</w:t>
            </w:r>
          </w:p>
        </w:tc>
        <w:tc>
          <w:tcPr>
            <w:tcW w:w="990" w:type="dxa"/>
            <w:tcBorders>
              <w:top w:val="nil"/>
              <w:left w:val="nil"/>
              <w:bottom w:val="single" w:color="auto" w:sz="4" w:space="0"/>
              <w:right w:val="single" w:color="auto" w:sz="4" w:space="0"/>
            </w:tcBorders>
            <w:shd w:val="clear" w:color="auto" w:fill="auto"/>
            <w:hideMark/>
          </w:tcPr>
          <w:p w:rsidRPr="001B2492" w:rsidR="005F4865" w:rsidP="005F4865" w:rsidRDefault="005F4865" w14:paraId="0F3167D2" w14:textId="77777777">
            <w:pPr>
              <w:widowControl/>
              <w:autoSpaceDE/>
              <w:autoSpaceDN/>
              <w:adjustRightInd/>
              <w:jc w:val="center"/>
              <w:rPr>
                <w:color w:val="000000"/>
                <w:sz w:val="22"/>
                <w:szCs w:val="22"/>
              </w:rPr>
            </w:pPr>
            <w:r w:rsidRPr="001B2492">
              <w:rPr>
                <w:color w:val="000000"/>
                <w:sz w:val="22"/>
                <w:szCs w:val="22"/>
              </w:rPr>
              <w:t>104</w:t>
            </w:r>
          </w:p>
        </w:tc>
        <w:tc>
          <w:tcPr>
            <w:tcW w:w="1260" w:type="dxa"/>
            <w:tcBorders>
              <w:top w:val="nil"/>
              <w:left w:val="nil"/>
              <w:bottom w:val="single" w:color="auto" w:sz="4" w:space="0"/>
              <w:right w:val="single" w:color="auto" w:sz="4" w:space="0"/>
            </w:tcBorders>
            <w:shd w:val="clear" w:color="auto" w:fill="auto"/>
            <w:hideMark/>
          </w:tcPr>
          <w:p w:rsidRPr="001B2492" w:rsidR="005F4865" w:rsidP="005F4865" w:rsidRDefault="005F4865" w14:paraId="0C50080F" w14:textId="77777777">
            <w:pPr>
              <w:widowControl/>
              <w:autoSpaceDE/>
              <w:autoSpaceDN/>
              <w:adjustRightInd/>
              <w:jc w:val="center"/>
              <w:rPr>
                <w:color w:val="000000"/>
                <w:sz w:val="22"/>
                <w:szCs w:val="22"/>
              </w:rPr>
            </w:pPr>
            <w:r w:rsidRPr="001B2492">
              <w:rPr>
                <w:color w:val="000000"/>
                <w:sz w:val="22"/>
                <w:szCs w:val="22"/>
              </w:rPr>
              <w:t>1</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63456FA9" w14:textId="77777777">
            <w:pPr>
              <w:widowControl/>
              <w:autoSpaceDE/>
              <w:autoSpaceDN/>
              <w:adjustRightInd/>
              <w:jc w:val="center"/>
              <w:rPr>
                <w:color w:val="000000"/>
                <w:sz w:val="22"/>
                <w:szCs w:val="22"/>
              </w:rPr>
            </w:pPr>
            <w:r w:rsidRPr="001B2492">
              <w:rPr>
                <w:color w:val="000000"/>
                <w:sz w:val="22"/>
                <w:szCs w:val="22"/>
              </w:rPr>
              <w:t>104</w:t>
            </w:r>
          </w:p>
        </w:tc>
        <w:tc>
          <w:tcPr>
            <w:tcW w:w="1080" w:type="dxa"/>
            <w:tcBorders>
              <w:top w:val="nil"/>
              <w:left w:val="nil"/>
              <w:bottom w:val="single" w:color="auto" w:sz="4" w:space="0"/>
              <w:right w:val="single" w:color="auto" w:sz="4" w:space="0"/>
            </w:tcBorders>
            <w:shd w:val="clear" w:color="auto" w:fill="auto"/>
            <w:hideMark/>
          </w:tcPr>
          <w:p w:rsidRPr="001B2492" w:rsidR="005F4865" w:rsidP="005F4865" w:rsidRDefault="005F4865" w14:paraId="7DB5D32B" w14:textId="77777777">
            <w:pPr>
              <w:widowControl/>
              <w:autoSpaceDE/>
              <w:autoSpaceDN/>
              <w:adjustRightInd/>
              <w:jc w:val="center"/>
              <w:rPr>
                <w:color w:val="000000"/>
                <w:sz w:val="22"/>
                <w:szCs w:val="22"/>
              </w:rPr>
            </w:pPr>
            <w:r w:rsidRPr="001B2492">
              <w:rPr>
                <w:color w:val="000000"/>
                <w:sz w:val="22"/>
                <w:szCs w:val="22"/>
              </w:rPr>
              <w:t>.05</w:t>
            </w:r>
          </w:p>
          <w:p w:rsidRPr="001B2492" w:rsidR="005F4865" w:rsidP="005F4865" w:rsidRDefault="005F4865" w14:paraId="687C6DE0" w14:textId="77777777">
            <w:pPr>
              <w:widowControl/>
              <w:autoSpaceDE/>
              <w:autoSpaceDN/>
              <w:adjustRightInd/>
              <w:jc w:val="center"/>
              <w:rPr>
                <w:color w:val="000000"/>
                <w:sz w:val="22"/>
                <w:szCs w:val="22"/>
              </w:rPr>
            </w:pP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723B5CDC" w14:textId="77777777">
            <w:pPr>
              <w:widowControl/>
              <w:autoSpaceDE/>
              <w:autoSpaceDN/>
              <w:adjustRightInd/>
              <w:jc w:val="center"/>
              <w:rPr>
                <w:b/>
                <w:bCs/>
                <w:color w:val="000000"/>
                <w:sz w:val="22"/>
                <w:szCs w:val="22"/>
              </w:rPr>
            </w:pPr>
            <w:r w:rsidRPr="001B2492">
              <w:rPr>
                <w:b/>
                <w:bCs/>
                <w:color w:val="000000"/>
                <w:sz w:val="22"/>
                <w:szCs w:val="22"/>
              </w:rPr>
              <w:t>5.20</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6F4CBC74" w14:textId="77777777">
            <w:pPr>
              <w:widowControl/>
              <w:autoSpaceDE/>
              <w:autoSpaceDN/>
              <w:adjustRightInd/>
              <w:jc w:val="center"/>
              <w:rPr>
                <w:color w:val="000000"/>
                <w:sz w:val="22"/>
                <w:szCs w:val="22"/>
              </w:rPr>
            </w:pPr>
            <w:r w:rsidRPr="001B2492">
              <w:rPr>
                <w:color w:val="000000"/>
                <w:sz w:val="22"/>
                <w:szCs w:val="22"/>
              </w:rPr>
              <w:t>$87.99</w:t>
            </w:r>
          </w:p>
        </w:tc>
        <w:tc>
          <w:tcPr>
            <w:tcW w:w="1710" w:type="dxa"/>
            <w:tcBorders>
              <w:top w:val="nil"/>
              <w:left w:val="nil"/>
              <w:bottom w:val="single" w:color="auto" w:sz="4" w:space="0"/>
              <w:right w:val="single" w:color="auto" w:sz="4" w:space="0"/>
            </w:tcBorders>
            <w:shd w:val="clear" w:color="auto" w:fill="auto"/>
            <w:hideMark/>
          </w:tcPr>
          <w:p w:rsidRPr="001B2492" w:rsidR="005F4865" w:rsidP="5A644184" w:rsidRDefault="2E38B68A" w14:paraId="7130CE00" w14:textId="55472EB4">
            <w:pPr>
              <w:jc w:val="center"/>
              <w:rPr>
                <w:b/>
                <w:bCs/>
                <w:color w:val="000000"/>
                <w:sz w:val="22"/>
                <w:szCs w:val="22"/>
              </w:rPr>
            </w:pPr>
            <w:r w:rsidRPr="001B2492">
              <w:rPr>
                <w:b/>
                <w:bCs/>
                <w:color w:val="000000" w:themeColor="text1"/>
                <w:sz w:val="22"/>
                <w:szCs w:val="22"/>
              </w:rPr>
              <w:t>$457.5</w:t>
            </w:r>
            <w:r w:rsidRPr="001B2492" w:rsidR="00513B20">
              <w:rPr>
                <w:b/>
                <w:bCs/>
                <w:color w:val="000000" w:themeColor="text1"/>
                <w:sz w:val="22"/>
                <w:szCs w:val="22"/>
              </w:rPr>
              <w:t>5</w:t>
            </w:r>
          </w:p>
          <w:p w:rsidRPr="001B2492" w:rsidR="005F4865" w:rsidP="005F4865" w:rsidRDefault="005F4865" w14:paraId="5B2F9378" w14:textId="77777777">
            <w:pPr>
              <w:widowControl/>
              <w:autoSpaceDE/>
              <w:autoSpaceDN/>
              <w:adjustRightInd/>
              <w:jc w:val="center"/>
              <w:rPr>
                <w:b/>
                <w:bCs/>
                <w:color w:val="000000"/>
                <w:sz w:val="22"/>
                <w:szCs w:val="22"/>
              </w:rPr>
            </w:pPr>
          </w:p>
        </w:tc>
      </w:tr>
      <w:tr w:rsidRPr="001B2492" w:rsidR="00EB3F13" w:rsidTr="5A644184" w14:paraId="3E258219" w14:textId="77777777">
        <w:trPr>
          <w:trHeight w:val="1430"/>
        </w:trPr>
        <w:tc>
          <w:tcPr>
            <w:tcW w:w="1980" w:type="dxa"/>
            <w:tcBorders>
              <w:top w:val="nil"/>
              <w:left w:val="single" w:color="auto" w:sz="4" w:space="0"/>
              <w:bottom w:val="single" w:color="auto" w:sz="4" w:space="0"/>
              <w:right w:val="single" w:color="auto" w:sz="4" w:space="0"/>
            </w:tcBorders>
            <w:shd w:val="clear" w:color="auto" w:fill="auto"/>
            <w:hideMark/>
          </w:tcPr>
          <w:p w:rsidRPr="001B2492" w:rsidR="005F4865" w:rsidP="005F4865" w:rsidRDefault="005F4865" w14:paraId="54F670E0" w14:textId="1FF5294A">
            <w:pPr>
              <w:widowControl/>
              <w:autoSpaceDE/>
              <w:autoSpaceDN/>
              <w:adjustRightInd/>
              <w:rPr>
                <w:color w:val="000000"/>
                <w:sz w:val="22"/>
                <w:szCs w:val="22"/>
              </w:rPr>
            </w:pPr>
          </w:p>
        </w:tc>
        <w:tc>
          <w:tcPr>
            <w:tcW w:w="1620" w:type="dxa"/>
            <w:tcBorders>
              <w:top w:val="nil"/>
              <w:left w:val="nil"/>
              <w:bottom w:val="single" w:color="auto" w:sz="4" w:space="0"/>
              <w:right w:val="single" w:color="auto" w:sz="4" w:space="0"/>
            </w:tcBorders>
            <w:shd w:val="clear" w:color="auto" w:fill="auto"/>
            <w:hideMark/>
          </w:tcPr>
          <w:p w:rsidRPr="001B2492" w:rsidR="005F4865" w:rsidP="005F4865" w:rsidRDefault="005F4865" w14:paraId="4BFEB052" w14:textId="77777777">
            <w:pPr>
              <w:widowControl/>
              <w:autoSpaceDE/>
              <w:autoSpaceDN/>
              <w:adjustRightInd/>
              <w:ind w:left="-102"/>
              <w:jc w:val="center"/>
              <w:rPr>
                <w:color w:val="000000"/>
                <w:sz w:val="22"/>
                <w:szCs w:val="22"/>
              </w:rPr>
            </w:pPr>
            <w:r w:rsidRPr="001B2492">
              <w:rPr>
                <w:color w:val="000000"/>
                <w:sz w:val="22"/>
                <w:szCs w:val="22"/>
              </w:rPr>
              <w:t>General / Operations Managers (Employers)</w:t>
            </w:r>
          </w:p>
        </w:tc>
        <w:tc>
          <w:tcPr>
            <w:tcW w:w="990" w:type="dxa"/>
            <w:tcBorders>
              <w:top w:val="nil"/>
              <w:left w:val="nil"/>
              <w:bottom w:val="single" w:color="auto" w:sz="4" w:space="0"/>
              <w:right w:val="single" w:color="auto" w:sz="4" w:space="0"/>
            </w:tcBorders>
            <w:shd w:val="clear" w:color="auto" w:fill="auto"/>
            <w:hideMark/>
          </w:tcPr>
          <w:p w:rsidRPr="001B2492" w:rsidR="005F4865" w:rsidP="005F4865" w:rsidRDefault="005F4865" w14:paraId="4DA8B9E6" w14:textId="77777777">
            <w:pPr>
              <w:widowControl/>
              <w:autoSpaceDE/>
              <w:autoSpaceDN/>
              <w:adjustRightInd/>
              <w:jc w:val="center"/>
              <w:rPr>
                <w:color w:val="000000"/>
                <w:sz w:val="22"/>
                <w:szCs w:val="22"/>
              </w:rPr>
            </w:pPr>
            <w:r w:rsidRPr="001B2492">
              <w:rPr>
                <w:color w:val="000000"/>
                <w:sz w:val="22"/>
                <w:szCs w:val="22"/>
              </w:rPr>
              <w:t>488</w:t>
            </w:r>
          </w:p>
        </w:tc>
        <w:tc>
          <w:tcPr>
            <w:tcW w:w="1260" w:type="dxa"/>
            <w:tcBorders>
              <w:top w:val="nil"/>
              <w:left w:val="nil"/>
              <w:bottom w:val="single" w:color="auto" w:sz="4" w:space="0"/>
              <w:right w:val="single" w:color="auto" w:sz="4" w:space="0"/>
            </w:tcBorders>
            <w:shd w:val="clear" w:color="auto" w:fill="auto"/>
            <w:hideMark/>
          </w:tcPr>
          <w:p w:rsidRPr="001B2492" w:rsidR="005F4865" w:rsidP="005F4865" w:rsidRDefault="005F4865" w14:paraId="050B3AD0" w14:textId="77777777">
            <w:pPr>
              <w:widowControl/>
              <w:autoSpaceDE/>
              <w:autoSpaceDN/>
              <w:adjustRightInd/>
              <w:jc w:val="center"/>
              <w:rPr>
                <w:color w:val="000000"/>
                <w:sz w:val="22"/>
                <w:szCs w:val="22"/>
              </w:rPr>
            </w:pPr>
            <w:r w:rsidRPr="001B2492">
              <w:rPr>
                <w:color w:val="000000"/>
                <w:sz w:val="22"/>
                <w:szCs w:val="22"/>
              </w:rPr>
              <w:t>1</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7931D37D" w14:textId="77777777">
            <w:pPr>
              <w:widowControl/>
              <w:autoSpaceDE/>
              <w:autoSpaceDN/>
              <w:adjustRightInd/>
              <w:jc w:val="center"/>
              <w:rPr>
                <w:color w:val="000000"/>
                <w:sz w:val="22"/>
                <w:szCs w:val="22"/>
              </w:rPr>
            </w:pPr>
            <w:r w:rsidRPr="001B2492">
              <w:rPr>
                <w:color w:val="000000"/>
                <w:sz w:val="22"/>
                <w:szCs w:val="22"/>
              </w:rPr>
              <w:t>488</w:t>
            </w:r>
          </w:p>
        </w:tc>
        <w:tc>
          <w:tcPr>
            <w:tcW w:w="1080" w:type="dxa"/>
            <w:tcBorders>
              <w:top w:val="nil"/>
              <w:left w:val="nil"/>
              <w:bottom w:val="single" w:color="auto" w:sz="4" w:space="0"/>
              <w:right w:val="single" w:color="auto" w:sz="4" w:space="0"/>
            </w:tcBorders>
            <w:shd w:val="clear" w:color="auto" w:fill="auto"/>
            <w:hideMark/>
          </w:tcPr>
          <w:p w:rsidRPr="001B2492" w:rsidR="005F4865" w:rsidP="005F4865" w:rsidRDefault="005F4865" w14:paraId="18F999B5" w14:textId="77777777">
            <w:pPr>
              <w:widowControl/>
              <w:autoSpaceDE/>
              <w:autoSpaceDN/>
              <w:adjustRightInd/>
              <w:jc w:val="center"/>
              <w:rPr>
                <w:color w:val="000000"/>
                <w:sz w:val="22"/>
                <w:szCs w:val="22"/>
              </w:rPr>
            </w:pPr>
            <w:r w:rsidRPr="001B2492">
              <w:rPr>
                <w:color w:val="000000"/>
                <w:sz w:val="22"/>
                <w:szCs w:val="22"/>
              </w:rPr>
              <w:t>2</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4DF22C39" w14:textId="77777777">
            <w:pPr>
              <w:widowControl/>
              <w:autoSpaceDE/>
              <w:autoSpaceDN/>
              <w:adjustRightInd/>
              <w:jc w:val="center"/>
              <w:rPr>
                <w:b/>
                <w:bCs/>
                <w:color w:val="000000"/>
                <w:sz w:val="22"/>
                <w:szCs w:val="22"/>
              </w:rPr>
            </w:pPr>
            <w:r w:rsidRPr="001B2492">
              <w:rPr>
                <w:b/>
                <w:bCs/>
                <w:color w:val="000000"/>
                <w:sz w:val="22"/>
                <w:szCs w:val="22"/>
              </w:rPr>
              <w:t>976.00</w:t>
            </w:r>
          </w:p>
        </w:tc>
        <w:tc>
          <w:tcPr>
            <w:tcW w:w="1170" w:type="dxa"/>
            <w:tcBorders>
              <w:top w:val="nil"/>
              <w:left w:val="nil"/>
              <w:bottom w:val="single" w:color="auto" w:sz="4" w:space="0"/>
              <w:right w:val="single" w:color="auto" w:sz="4" w:space="0"/>
            </w:tcBorders>
            <w:shd w:val="clear" w:color="auto" w:fill="auto"/>
            <w:hideMark/>
          </w:tcPr>
          <w:p w:rsidRPr="001B2492" w:rsidR="005F4865" w:rsidP="005F4865" w:rsidRDefault="005F4865" w14:paraId="748ACD76" w14:textId="77777777">
            <w:pPr>
              <w:widowControl/>
              <w:autoSpaceDE/>
              <w:autoSpaceDN/>
              <w:adjustRightInd/>
              <w:jc w:val="center"/>
              <w:rPr>
                <w:color w:val="000000"/>
                <w:sz w:val="22"/>
                <w:szCs w:val="22"/>
              </w:rPr>
            </w:pPr>
            <w:r w:rsidRPr="001B2492">
              <w:rPr>
                <w:color w:val="000000"/>
                <w:sz w:val="22"/>
                <w:szCs w:val="22"/>
              </w:rPr>
              <w:t>$87.99</w:t>
            </w:r>
          </w:p>
        </w:tc>
        <w:tc>
          <w:tcPr>
            <w:tcW w:w="1710" w:type="dxa"/>
            <w:tcBorders>
              <w:top w:val="nil"/>
              <w:left w:val="nil"/>
              <w:bottom w:val="single" w:color="auto" w:sz="4" w:space="0"/>
              <w:right w:val="single" w:color="auto" w:sz="4" w:space="0"/>
            </w:tcBorders>
            <w:shd w:val="clear" w:color="auto" w:fill="auto"/>
            <w:hideMark/>
          </w:tcPr>
          <w:p w:rsidRPr="001B2492" w:rsidR="005F4865" w:rsidP="005F4865" w:rsidRDefault="005F4865" w14:paraId="1773BA76" w14:textId="77777777">
            <w:pPr>
              <w:widowControl/>
              <w:autoSpaceDE/>
              <w:autoSpaceDN/>
              <w:adjustRightInd/>
              <w:jc w:val="center"/>
              <w:rPr>
                <w:b/>
                <w:bCs/>
                <w:color w:val="000000"/>
                <w:sz w:val="22"/>
                <w:szCs w:val="22"/>
              </w:rPr>
            </w:pPr>
            <w:r w:rsidRPr="001B2492">
              <w:rPr>
                <w:b/>
                <w:bCs/>
                <w:color w:val="000000"/>
                <w:sz w:val="22"/>
                <w:szCs w:val="22"/>
              </w:rPr>
              <w:t>$85,878.24</w:t>
            </w:r>
          </w:p>
        </w:tc>
      </w:tr>
      <w:tr w:rsidRPr="001B2492" w:rsidR="00EB3F13" w:rsidTr="5A644184" w14:paraId="125DF53B" w14:textId="77777777">
        <w:trPr>
          <w:trHeight w:val="300"/>
        </w:trPr>
        <w:tc>
          <w:tcPr>
            <w:tcW w:w="1980" w:type="dxa"/>
            <w:tcBorders>
              <w:top w:val="nil"/>
              <w:left w:val="single" w:color="auto" w:sz="4" w:space="0"/>
              <w:bottom w:val="single" w:color="auto" w:sz="4" w:space="0"/>
              <w:right w:val="single" w:color="auto" w:sz="4" w:space="0"/>
            </w:tcBorders>
            <w:shd w:val="clear" w:color="auto" w:fill="auto"/>
            <w:vAlign w:val="bottom"/>
            <w:hideMark/>
          </w:tcPr>
          <w:p w:rsidRPr="001B2492" w:rsidR="005F4865" w:rsidP="084F941C" w:rsidRDefault="48B84AF0" w14:paraId="4253EF77" w14:textId="2C5169DF">
            <w:pPr>
              <w:spacing w:line="259" w:lineRule="auto"/>
              <w:jc w:val="right"/>
              <w:rPr>
                <w:b/>
                <w:bCs/>
                <w:color w:val="000000" w:themeColor="text1"/>
                <w:sz w:val="20"/>
                <w:szCs w:val="20"/>
              </w:rPr>
            </w:pPr>
            <w:r w:rsidRPr="001B2492">
              <w:rPr>
                <w:b/>
                <w:bCs/>
                <w:color w:val="000000" w:themeColor="text1"/>
                <w:sz w:val="20"/>
                <w:szCs w:val="20"/>
              </w:rPr>
              <w:t> </w:t>
            </w:r>
            <w:r w:rsidRPr="001B2492" w:rsidR="747C84FC">
              <w:rPr>
                <w:b/>
                <w:bCs/>
                <w:color w:val="000000" w:themeColor="text1"/>
                <w:sz w:val="20"/>
                <w:szCs w:val="20"/>
              </w:rPr>
              <w:t>Subtotal C.</w:t>
            </w:r>
          </w:p>
        </w:tc>
        <w:tc>
          <w:tcPr>
            <w:tcW w:w="162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2D6473E8" w14:textId="77777777">
            <w:pPr>
              <w:widowControl/>
              <w:autoSpaceDE/>
              <w:autoSpaceDN/>
              <w:adjustRightInd/>
              <w:rPr>
                <w:color w:val="000000"/>
                <w:sz w:val="22"/>
                <w:szCs w:val="22"/>
              </w:rPr>
            </w:pPr>
            <w:r w:rsidRPr="001B2492">
              <w:rPr>
                <w:color w:val="000000"/>
                <w:sz w:val="22"/>
                <w:szCs w:val="22"/>
              </w:rPr>
              <w:t> </w:t>
            </w:r>
          </w:p>
        </w:tc>
        <w:tc>
          <w:tcPr>
            <w:tcW w:w="99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696D69FC" w14:textId="77777777">
            <w:pPr>
              <w:widowControl/>
              <w:autoSpaceDE/>
              <w:autoSpaceDN/>
              <w:adjustRightInd/>
              <w:rPr>
                <w:color w:val="000000"/>
                <w:sz w:val="22"/>
                <w:szCs w:val="22"/>
              </w:rPr>
            </w:pPr>
            <w:r w:rsidRPr="001B2492">
              <w:rPr>
                <w:color w:val="000000"/>
                <w:sz w:val="22"/>
                <w:szCs w:val="22"/>
              </w:rPr>
              <w:t> </w:t>
            </w:r>
          </w:p>
        </w:tc>
        <w:tc>
          <w:tcPr>
            <w:tcW w:w="126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72302A59" w14:textId="77777777">
            <w:pPr>
              <w:widowControl/>
              <w:autoSpaceDE/>
              <w:autoSpaceDN/>
              <w:adjustRightInd/>
              <w:rPr>
                <w:color w:val="000000"/>
                <w:sz w:val="22"/>
                <w:szCs w:val="22"/>
              </w:rPr>
            </w:pPr>
            <w:r w:rsidRPr="001B2492">
              <w:rPr>
                <w:color w:val="000000"/>
                <w:sz w:val="22"/>
                <w:szCs w:val="22"/>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84F941C" w:rsidRDefault="48B84AF0" w14:paraId="31CBAF0D" w14:textId="77A92879">
            <w:pPr>
              <w:spacing w:line="259" w:lineRule="auto"/>
              <w:jc w:val="center"/>
              <w:rPr>
                <w:b/>
                <w:bCs/>
                <w:color w:val="000000" w:themeColor="text1"/>
                <w:sz w:val="22"/>
                <w:szCs w:val="22"/>
              </w:rPr>
            </w:pPr>
            <w:r w:rsidRPr="001B2492">
              <w:rPr>
                <w:b/>
                <w:bCs/>
                <w:color w:val="000000" w:themeColor="text1"/>
                <w:sz w:val="22"/>
                <w:szCs w:val="22"/>
              </w:rPr>
              <w:t> </w:t>
            </w:r>
            <w:r w:rsidRPr="001B2492" w:rsidR="68B7BC78">
              <w:rPr>
                <w:b/>
                <w:bCs/>
                <w:color w:val="000000" w:themeColor="text1"/>
                <w:sz w:val="22"/>
                <w:szCs w:val="22"/>
              </w:rPr>
              <w:t>592</w:t>
            </w:r>
          </w:p>
        </w:tc>
        <w:tc>
          <w:tcPr>
            <w:tcW w:w="108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4A7717C8" w14:textId="77777777">
            <w:pPr>
              <w:widowControl/>
              <w:autoSpaceDE/>
              <w:autoSpaceDN/>
              <w:adjustRightInd/>
              <w:rPr>
                <w:color w:val="000000"/>
                <w:sz w:val="22"/>
                <w:szCs w:val="22"/>
              </w:rPr>
            </w:pPr>
            <w:r w:rsidRPr="001B2492">
              <w:rPr>
                <w:color w:val="000000"/>
                <w:sz w:val="22"/>
                <w:szCs w:val="22"/>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84F941C" w:rsidRDefault="48B84AF0" w14:paraId="419A23A7" w14:textId="31E1B01D">
            <w:pPr>
              <w:spacing w:line="259" w:lineRule="auto"/>
              <w:jc w:val="center"/>
              <w:rPr>
                <w:b/>
                <w:bCs/>
                <w:color w:val="000000" w:themeColor="text1"/>
                <w:sz w:val="22"/>
                <w:szCs w:val="22"/>
              </w:rPr>
            </w:pPr>
            <w:r w:rsidRPr="001B2492">
              <w:rPr>
                <w:b/>
                <w:bCs/>
                <w:color w:val="000000" w:themeColor="text1"/>
                <w:sz w:val="22"/>
                <w:szCs w:val="22"/>
              </w:rPr>
              <w:t> </w:t>
            </w:r>
            <w:r w:rsidRPr="001B2492" w:rsidR="298EA525">
              <w:rPr>
                <w:b/>
                <w:bCs/>
                <w:color w:val="000000" w:themeColor="text1"/>
                <w:sz w:val="22"/>
                <w:szCs w:val="22"/>
              </w:rPr>
              <w:t>981.20</w:t>
            </w: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74536B0D" w14:textId="77777777">
            <w:pPr>
              <w:widowControl/>
              <w:autoSpaceDE/>
              <w:autoSpaceDN/>
              <w:adjustRightInd/>
              <w:rPr>
                <w:color w:val="000000"/>
                <w:sz w:val="22"/>
                <w:szCs w:val="22"/>
              </w:rPr>
            </w:pPr>
            <w:r w:rsidRPr="001B2492">
              <w:rPr>
                <w:color w:val="000000"/>
                <w:sz w:val="22"/>
                <w:szCs w:val="22"/>
              </w:rPr>
              <w:t> </w:t>
            </w:r>
          </w:p>
        </w:tc>
        <w:tc>
          <w:tcPr>
            <w:tcW w:w="1710" w:type="dxa"/>
            <w:tcBorders>
              <w:top w:val="nil"/>
              <w:left w:val="nil"/>
              <w:bottom w:val="single" w:color="auto" w:sz="4" w:space="0"/>
              <w:right w:val="single" w:color="auto" w:sz="4" w:space="0"/>
            </w:tcBorders>
            <w:shd w:val="clear" w:color="auto" w:fill="auto"/>
            <w:vAlign w:val="bottom"/>
            <w:hideMark/>
          </w:tcPr>
          <w:p w:rsidRPr="001B2492" w:rsidR="005F4865" w:rsidP="084F941C" w:rsidRDefault="48B84AF0" w14:paraId="7D7A3EC8" w14:textId="26D79748">
            <w:pPr>
              <w:spacing w:line="259" w:lineRule="auto"/>
              <w:jc w:val="center"/>
              <w:rPr>
                <w:b/>
                <w:bCs/>
                <w:color w:val="000000" w:themeColor="text1"/>
                <w:sz w:val="22"/>
                <w:szCs w:val="22"/>
              </w:rPr>
            </w:pPr>
            <w:r w:rsidRPr="001B2492">
              <w:rPr>
                <w:b/>
                <w:bCs/>
                <w:color w:val="000000" w:themeColor="text1"/>
                <w:sz w:val="22"/>
                <w:szCs w:val="22"/>
              </w:rPr>
              <w:t> </w:t>
            </w:r>
            <w:r w:rsidRPr="001B2492" w:rsidR="46535D44">
              <w:rPr>
                <w:b/>
                <w:bCs/>
                <w:color w:val="000000" w:themeColor="text1"/>
                <w:sz w:val="22"/>
                <w:szCs w:val="22"/>
              </w:rPr>
              <w:t>$86,335.7</w:t>
            </w:r>
            <w:r w:rsidRPr="001B2492" w:rsidR="00FB2D35">
              <w:rPr>
                <w:b/>
                <w:bCs/>
                <w:color w:val="000000" w:themeColor="text1"/>
                <w:sz w:val="22"/>
                <w:szCs w:val="22"/>
              </w:rPr>
              <w:t>9</w:t>
            </w:r>
          </w:p>
        </w:tc>
      </w:tr>
      <w:tr w:rsidRPr="001B2492" w:rsidR="00EB3F13" w:rsidTr="5A644184" w14:paraId="1471A9AF" w14:textId="77777777">
        <w:trPr>
          <w:trHeight w:val="395"/>
        </w:trPr>
        <w:tc>
          <w:tcPr>
            <w:tcW w:w="1980" w:type="dxa"/>
            <w:tcBorders>
              <w:top w:val="nil"/>
              <w:left w:val="single" w:color="auto" w:sz="4" w:space="0"/>
              <w:bottom w:val="single" w:color="auto" w:sz="4" w:space="0"/>
              <w:right w:val="single" w:color="auto" w:sz="4" w:space="0"/>
            </w:tcBorders>
            <w:shd w:val="clear" w:color="auto" w:fill="auto"/>
            <w:vAlign w:val="bottom"/>
            <w:hideMark/>
          </w:tcPr>
          <w:p w:rsidRPr="001B2492" w:rsidR="005F4865" w:rsidP="005F4865" w:rsidRDefault="005F4865" w14:paraId="296C3E9D" w14:textId="77777777">
            <w:pPr>
              <w:widowControl/>
              <w:autoSpaceDE/>
              <w:autoSpaceDN/>
              <w:adjustRightInd/>
              <w:rPr>
                <w:b/>
                <w:bCs/>
                <w:color w:val="000000"/>
                <w:sz w:val="22"/>
                <w:szCs w:val="22"/>
              </w:rPr>
            </w:pPr>
            <w:r w:rsidRPr="001B2492">
              <w:rPr>
                <w:b/>
                <w:bCs/>
                <w:color w:val="000000"/>
                <w:sz w:val="22"/>
                <w:szCs w:val="22"/>
              </w:rPr>
              <w:t xml:space="preserve">TOTAL </w:t>
            </w:r>
          </w:p>
        </w:tc>
        <w:tc>
          <w:tcPr>
            <w:tcW w:w="162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129C278E" w14:textId="77777777">
            <w:pPr>
              <w:widowControl/>
              <w:autoSpaceDE/>
              <w:autoSpaceDN/>
              <w:adjustRightInd/>
              <w:rPr>
                <w:b/>
                <w:bCs/>
                <w:color w:val="000000"/>
                <w:sz w:val="22"/>
                <w:szCs w:val="22"/>
              </w:rPr>
            </w:pPr>
            <w:r w:rsidRPr="001B2492">
              <w:rPr>
                <w:b/>
                <w:bCs/>
                <w:color w:val="000000"/>
                <w:sz w:val="22"/>
                <w:szCs w:val="22"/>
              </w:rPr>
              <w:t> </w:t>
            </w:r>
          </w:p>
        </w:tc>
        <w:tc>
          <w:tcPr>
            <w:tcW w:w="99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2790C8A6" w14:textId="77777777">
            <w:pPr>
              <w:widowControl/>
              <w:autoSpaceDE/>
              <w:autoSpaceDN/>
              <w:adjustRightInd/>
              <w:rPr>
                <w:b/>
                <w:bCs/>
                <w:color w:val="000000"/>
                <w:sz w:val="22"/>
                <w:szCs w:val="22"/>
              </w:rPr>
            </w:pPr>
            <w:r w:rsidRPr="001B2492">
              <w:rPr>
                <w:b/>
                <w:bCs/>
                <w:color w:val="000000"/>
                <w:sz w:val="22"/>
                <w:szCs w:val="22"/>
              </w:rPr>
              <w:t> </w:t>
            </w:r>
          </w:p>
        </w:tc>
        <w:tc>
          <w:tcPr>
            <w:tcW w:w="126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58E6DD4E" w14:textId="77777777">
            <w:pPr>
              <w:widowControl/>
              <w:autoSpaceDE/>
              <w:autoSpaceDN/>
              <w:adjustRightInd/>
              <w:jc w:val="right"/>
              <w:rPr>
                <w:b/>
                <w:bCs/>
                <w:color w:val="000000"/>
                <w:sz w:val="22"/>
                <w:szCs w:val="22"/>
              </w:rPr>
            </w:pP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0D897593" w14:textId="77777777">
            <w:pPr>
              <w:widowControl/>
              <w:autoSpaceDE/>
              <w:autoSpaceDN/>
              <w:adjustRightInd/>
              <w:rPr>
                <w:b/>
                <w:bCs/>
                <w:color w:val="000000"/>
                <w:sz w:val="22"/>
                <w:szCs w:val="22"/>
              </w:rPr>
            </w:pPr>
            <w:r w:rsidRPr="001B2492">
              <w:rPr>
                <w:b/>
                <w:bCs/>
                <w:color w:val="000000"/>
                <w:sz w:val="22"/>
                <w:szCs w:val="22"/>
              </w:rPr>
              <w:t> 24,577</w:t>
            </w:r>
          </w:p>
        </w:tc>
        <w:tc>
          <w:tcPr>
            <w:tcW w:w="108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6ECDD213" w14:textId="77777777">
            <w:pPr>
              <w:widowControl/>
              <w:autoSpaceDE/>
              <w:autoSpaceDN/>
              <w:adjustRightInd/>
              <w:rPr>
                <w:b/>
                <w:bCs/>
                <w:color w:val="000000"/>
                <w:sz w:val="22"/>
                <w:szCs w:val="22"/>
              </w:rPr>
            </w:pPr>
            <w:r w:rsidRPr="001B2492">
              <w:rPr>
                <w:b/>
                <w:bCs/>
                <w:color w:val="000000"/>
                <w:sz w:val="22"/>
                <w:szCs w:val="22"/>
              </w:rPr>
              <w:t> </w:t>
            </w: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3C96CD61" w14:textId="77777777">
            <w:pPr>
              <w:widowControl/>
              <w:autoSpaceDE/>
              <w:autoSpaceDN/>
              <w:adjustRightInd/>
              <w:jc w:val="right"/>
              <w:rPr>
                <w:b/>
                <w:bCs/>
                <w:color w:val="000000"/>
                <w:sz w:val="22"/>
                <w:szCs w:val="22"/>
              </w:rPr>
            </w:pPr>
            <w:r w:rsidRPr="001B2492">
              <w:rPr>
                <w:b/>
                <w:bCs/>
                <w:color w:val="000000"/>
                <w:sz w:val="22"/>
                <w:szCs w:val="22"/>
              </w:rPr>
              <w:t>6,806.15</w:t>
            </w:r>
          </w:p>
        </w:tc>
        <w:tc>
          <w:tcPr>
            <w:tcW w:w="1170" w:type="dxa"/>
            <w:tcBorders>
              <w:top w:val="nil"/>
              <w:left w:val="nil"/>
              <w:bottom w:val="single" w:color="auto" w:sz="4" w:space="0"/>
              <w:right w:val="single" w:color="auto" w:sz="4" w:space="0"/>
            </w:tcBorders>
            <w:shd w:val="clear" w:color="auto" w:fill="auto"/>
            <w:vAlign w:val="bottom"/>
            <w:hideMark/>
          </w:tcPr>
          <w:p w:rsidRPr="001B2492" w:rsidR="005F4865" w:rsidP="005F4865" w:rsidRDefault="005F4865" w14:paraId="71CA3204" w14:textId="77777777">
            <w:pPr>
              <w:widowControl/>
              <w:autoSpaceDE/>
              <w:autoSpaceDN/>
              <w:adjustRightInd/>
              <w:rPr>
                <w:b/>
                <w:bCs/>
                <w:color w:val="000000"/>
                <w:sz w:val="22"/>
                <w:szCs w:val="22"/>
              </w:rPr>
            </w:pPr>
            <w:r w:rsidRPr="001B2492">
              <w:rPr>
                <w:b/>
                <w:bCs/>
                <w:color w:val="000000"/>
                <w:sz w:val="22"/>
                <w:szCs w:val="22"/>
              </w:rPr>
              <w:t> </w:t>
            </w:r>
          </w:p>
        </w:tc>
        <w:tc>
          <w:tcPr>
            <w:tcW w:w="1710" w:type="dxa"/>
            <w:tcBorders>
              <w:top w:val="nil"/>
              <w:left w:val="nil"/>
              <w:bottom w:val="single" w:color="auto" w:sz="4" w:space="0"/>
              <w:right w:val="single" w:color="auto" w:sz="4" w:space="0"/>
            </w:tcBorders>
            <w:shd w:val="clear" w:color="auto" w:fill="auto"/>
            <w:vAlign w:val="bottom"/>
            <w:hideMark/>
          </w:tcPr>
          <w:p w:rsidRPr="001B2492" w:rsidR="005F4865" w:rsidP="00FB2D35" w:rsidRDefault="2E38B68A" w14:paraId="0B608A65" w14:textId="37D365E5">
            <w:pPr>
              <w:widowControl/>
              <w:autoSpaceDE/>
              <w:autoSpaceDN/>
              <w:adjustRightInd/>
              <w:ind w:right="-109"/>
              <w:jc w:val="right"/>
              <w:rPr>
                <w:b/>
                <w:bCs/>
                <w:color w:val="000000"/>
                <w:sz w:val="22"/>
                <w:szCs w:val="22"/>
              </w:rPr>
            </w:pPr>
            <w:r w:rsidRPr="001B2492">
              <w:rPr>
                <w:b/>
                <w:bCs/>
                <w:color w:val="000000" w:themeColor="text1"/>
                <w:sz w:val="22"/>
                <w:szCs w:val="22"/>
              </w:rPr>
              <w:t>$598,873.1</w:t>
            </w:r>
            <w:r w:rsidRPr="001B2492" w:rsidR="00FB2D35">
              <w:rPr>
                <w:b/>
                <w:bCs/>
                <w:color w:val="000000" w:themeColor="text1"/>
                <w:sz w:val="22"/>
                <w:szCs w:val="22"/>
              </w:rPr>
              <w:t>4</w:t>
            </w:r>
          </w:p>
        </w:tc>
      </w:tr>
    </w:tbl>
    <w:p w:rsidRPr="001B2492" w:rsidR="00342B04" w:rsidP="00AE03DD" w:rsidRDefault="00342B04" w14:paraId="7D3BEE8F" w14:textId="77777777">
      <w:pPr>
        <w:widowControl/>
      </w:pPr>
    </w:p>
    <w:p w:rsidRPr="001B2492" w:rsidR="00990C13" w:rsidP="00861BAA" w:rsidRDefault="00990C13" w14:paraId="734A2DAE" w14:textId="77777777">
      <w:pPr>
        <w:ind w:left="720"/>
        <w:rPr>
          <w:b/>
          <w:bCs/>
        </w:rPr>
      </w:pPr>
      <w:r w:rsidRPr="001B2492">
        <w:rPr>
          <w:b/>
          <w:bCs/>
          <w:u w:val="single"/>
        </w:rPr>
        <w:t>Combined Costs to States and Employers</w:t>
      </w:r>
      <w:r w:rsidRPr="001B2492" w:rsidR="005B3B0F">
        <w:rPr>
          <w:b/>
          <w:bCs/>
          <w:u w:val="single"/>
        </w:rPr>
        <w:t xml:space="preserve"> (Table 1 and Table 2)</w:t>
      </w:r>
      <w:r w:rsidRPr="001B2492">
        <w:rPr>
          <w:bCs/>
        </w:rPr>
        <w:t>:</w:t>
      </w:r>
    </w:p>
    <w:p w:rsidRPr="001B2492" w:rsidR="00990C13" w:rsidP="00861BAA" w:rsidRDefault="00990C13" w14:paraId="3B88899E" w14:textId="77777777">
      <w:pPr>
        <w:ind w:left="720"/>
        <w:rPr>
          <w:b/>
          <w:bCs/>
        </w:rPr>
      </w:pPr>
    </w:p>
    <w:p w:rsidRPr="001B2492" w:rsidR="00F217E2" w:rsidP="5A644184" w:rsidRDefault="00F217E2" w14:paraId="6C1D5F05" w14:textId="3CC1F4B8">
      <w:pPr>
        <w:ind w:left="720"/>
        <w:rPr>
          <w:b/>
          <w:bCs/>
        </w:rPr>
      </w:pPr>
      <w:r w:rsidRPr="001B2492">
        <w:rPr>
          <w:b/>
          <w:bCs/>
        </w:rPr>
        <w:t xml:space="preserve">The total respondent burden, which is comprised of the States plus </w:t>
      </w:r>
      <w:r w:rsidRPr="001B2492" w:rsidR="0099448E">
        <w:rPr>
          <w:b/>
          <w:bCs/>
        </w:rPr>
        <w:t>the civilian</w:t>
      </w:r>
      <w:r w:rsidRPr="001B2492">
        <w:rPr>
          <w:b/>
          <w:bCs/>
        </w:rPr>
        <w:t xml:space="preserve"> employers, is </w:t>
      </w:r>
      <w:r w:rsidRPr="001B2492" w:rsidR="0099448E">
        <w:rPr>
          <w:b/>
          <w:bCs/>
        </w:rPr>
        <w:t>223,495.29</w:t>
      </w:r>
      <w:r w:rsidRPr="001B2492" w:rsidR="00CE55E9">
        <w:rPr>
          <w:b/>
          <w:bCs/>
        </w:rPr>
        <w:t xml:space="preserve"> </w:t>
      </w:r>
      <w:r w:rsidRPr="001B2492">
        <w:rPr>
          <w:b/>
          <w:bCs/>
        </w:rPr>
        <w:t xml:space="preserve">hours. </w:t>
      </w:r>
    </w:p>
    <w:p w:rsidRPr="001B2492" w:rsidR="00F217E2" w:rsidP="00861BAA" w:rsidRDefault="00F217E2" w14:paraId="69E2BB2B" w14:textId="77777777">
      <w:pPr>
        <w:rPr>
          <w:b/>
        </w:rPr>
      </w:pPr>
    </w:p>
    <w:p w:rsidRPr="001B2492" w:rsidR="00C24ED1" w:rsidP="00861BAA" w:rsidRDefault="00F217E2" w14:paraId="4F612476" w14:textId="2FEC3D6C">
      <w:pPr>
        <w:ind w:left="720"/>
        <w:rPr>
          <w:b/>
          <w:bCs/>
        </w:rPr>
        <w:sectPr w:rsidRPr="001B2492" w:rsidR="00C24ED1" w:rsidSect="00C24ED1">
          <w:footnotePr>
            <w:pos w:val="beneathText"/>
          </w:footnotePr>
          <w:pgSz w:w="15840" w:h="12240" w:orient="landscape"/>
          <w:pgMar w:top="1440" w:right="1008" w:bottom="1440" w:left="1008" w:header="720" w:footer="720" w:gutter="0"/>
          <w:cols w:space="720"/>
          <w:noEndnote/>
          <w:titlePg/>
          <w:docGrid w:linePitch="326"/>
        </w:sectPr>
      </w:pPr>
      <w:r w:rsidRPr="001B2492">
        <w:rPr>
          <w:b/>
          <w:bCs/>
        </w:rPr>
        <w:t xml:space="preserve">The total cost burden to respondents, which consists of the States plus </w:t>
      </w:r>
      <w:r w:rsidRPr="001B2492" w:rsidR="0099448E">
        <w:rPr>
          <w:b/>
          <w:bCs/>
        </w:rPr>
        <w:t>the civilian</w:t>
      </w:r>
      <w:r w:rsidRPr="001B2492">
        <w:rPr>
          <w:b/>
          <w:bCs/>
        </w:rPr>
        <w:t xml:space="preserve"> employers, </w:t>
      </w:r>
      <w:r w:rsidRPr="001B2492" w:rsidR="00056BE6">
        <w:rPr>
          <w:b/>
          <w:bCs/>
        </w:rPr>
        <w:t>is $</w:t>
      </w:r>
      <w:r w:rsidRPr="001B2492" w:rsidR="0099448E">
        <w:rPr>
          <w:b/>
          <w:bCs/>
        </w:rPr>
        <w:t>13,764,061.96</w:t>
      </w:r>
      <w:r w:rsidRPr="001B2492" w:rsidR="000A2189">
        <w:rPr>
          <w:b/>
          <w:bCs/>
        </w:rPr>
        <w:t>.</w:t>
      </w:r>
    </w:p>
    <w:p w:rsidRPr="001B2492" w:rsidR="00342B04" w:rsidP="00861BAA" w:rsidRDefault="00342B04" w14:paraId="57C0D796" w14:textId="77777777">
      <w:pPr>
        <w:ind w:left="720"/>
        <w:rPr>
          <w:b/>
        </w:rPr>
      </w:pPr>
    </w:p>
    <w:p w:rsidRPr="001B2492" w:rsidR="00BD5F6D" w:rsidP="00861BAA" w:rsidRDefault="00BD5F6D" w14:paraId="19A240CD" w14:textId="77777777">
      <w:pPr>
        <w:rPr>
          <w:color w:val="000000"/>
        </w:rPr>
      </w:pPr>
      <w:r w:rsidRPr="001B2492">
        <w:rPr>
          <w:b/>
          <w:bCs/>
          <w:color w:val="000000"/>
        </w:rPr>
        <w:t>13.  Provide an estimate of the total annual cost burden to respondents or recordkeepers resulting from the collection of information.  (Do not include the cost of any hour burden shown in Items 12 and 14.)</w:t>
      </w:r>
    </w:p>
    <w:p w:rsidRPr="001B2492" w:rsidR="00BD5F6D" w:rsidP="00BD5F6D" w:rsidRDefault="00BD5F6D" w14:paraId="0D142F6F"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color w:val="000000"/>
        </w:rPr>
      </w:pPr>
    </w:p>
    <w:p w:rsidRPr="001B2492" w:rsidR="00BD5F6D" w:rsidP="00BD5F6D" w:rsidRDefault="00BD5F6D" w14:paraId="561F7550" w14:textId="77777777">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b/>
          <w:bCs/>
          <w:color w:val="000000"/>
        </w:rPr>
      </w:pPr>
      <w:r w:rsidRPr="001B2492">
        <w:rPr>
          <w:rFonts w:ascii="Times New Roman" w:hAnsi="Times New Roman"/>
          <w:b/>
          <w:bCs/>
          <w:color w:val="000000"/>
        </w:rPr>
        <w:t>•</w:t>
      </w:r>
      <w:r w:rsidRPr="001B2492">
        <w:rPr>
          <w:rFonts w:ascii="Times New Roman" w:hAnsi="Times New Roman"/>
          <w:b/>
          <w:bCs/>
          <w:color w:val="000000"/>
        </w:rPr>
        <w:tab/>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B2492" w:rsidR="00BD5F6D" w:rsidP="00BD5F6D" w:rsidRDefault="00BD5F6D" w14:paraId="4475AD1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1B2492" w:rsidR="00BD5F6D" w:rsidP="084F941C" w:rsidRDefault="00BD5F6D" w14:paraId="073B4FBF" w14:textId="1DD32CB6">
      <w:pPr>
        <w:pStyle w:val="Level1"/>
        <w:widowControl/>
        <w:tabs>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sz w:val="20"/>
          <w:szCs w:val="20"/>
        </w:rPr>
      </w:pPr>
      <w:r w:rsidRPr="001B2492">
        <w:rPr>
          <w:rFonts w:ascii="Times New Roman" w:hAnsi="Times New Roman"/>
          <w:b/>
          <w:bCs/>
          <w:color w:val="000000"/>
        </w:rPr>
        <w:tab/>
      </w:r>
      <w:r w:rsidRPr="001B2492" w:rsidR="47CCF1FD">
        <w:rPr>
          <w:rFonts w:ascii="Times New Roman" w:hAnsi="Times New Roman"/>
          <w:b/>
          <w:bCs/>
          <w:color w:val="000000"/>
        </w:rPr>
        <w:t>•</w:t>
      </w:r>
      <w:r w:rsidRPr="001B2492">
        <w:rPr>
          <w:rFonts w:ascii="Times New Roman" w:hAnsi="Times New Roman"/>
          <w:b/>
          <w:bCs/>
          <w:color w:val="000000"/>
        </w:rPr>
        <w:tab/>
      </w:r>
      <w:r w:rsidRPr="001B2492">
        <w:rPr>
          <w:rFonts w:ascii="Times New Roman" w:hAnsi="Times New Roman"/>
          <w:b/>
          <w:bCs/>
          <w:color w:val="000000"/>
        </w:rPr>
        <w:tab/>
      </w:r>
      <w:r w:rsidRPr="001B2492" w:rsidR="12006E0A">
        <w:rPr>
          <w:rFonts w:ascii="Times New Roman" w:hAnsi="Times New Roman"/>
          <w:b/>
          <w:bCs/>
          <w:color w:val="000000"/>
        </w:rPr>
        <w:t xml:space="preserve">      </w:t>
      </w:r>
      <w:r w:rsidRPr="001B2492" w:rsidR="47CCF1FD">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w:t>
      </w:r>
      <w:r w:rsidRPr="001B2492" w:rsidR="47CCF1FD">
        <w:rPr>
          <w:rFonts w:ascii="Times New Roman" w:hAnsi="Times New Roman"/>
          <w:b/>
          <w:bCs/>
          <w:color w:val="000000"/>
          <w:sz w:val="20"/>
          <w:szCs w:val="20"/>
        </w:rPr>
        <w:t xml:space="preserve"> analysis associated with the rulemaking containing the information collection, as appropriate</w:t>
      </w:r>
      <w:r w:rsidRPr="001B2492" w:rsidR="47CCF1FD">
        <w:rPr>
          <w:rFonts w:ascii="Times New Roman" w:hAnsi="Times New Roman"/>
          <w:color w:val="000000"/>
          <w:sz w:val="20"/>
          <w:szCs w:val="20"/>
        </w:rPr>
        <w:t>.</w:t>
      </w:r>
    </w:p>
    <w:p w:rsidRPr="001B2492" w:rsidR="00FC4BF3" w:rsidRDefault="00FC4BF3" w14:paraId="120C4E94" w14:textId="77777777">
      <w:pPr>
        <w:rPr>
          <w:sz w:val="20"/>
          <w:szCs w:val="20"/>
          <w:u w:val="single"/>
        </w:rPr>
      </w:pPr>
    </w:p>
    <w:p w:rsidRPr="001B2492" w:rsidR="00361393" w:rsidRDefault="00361393" w14:paraId="42AFC42D" w14:textId="77777777">
      <w:pPr>
        <w:rPr>
          <w:sz w:val="20"/>
          <w:szCs w:val="20"/>
          <w:u w:val="single"/>
        </w:rPr>
      </w:pPr>
    </w:p>
    <w:p w:rsidRPr="001B2492" w:rsidR="00361393" w:rsidRDefault="00E864D0" w14:paraId="484FF3A3" w14:textId="77777777">
      <w:r w:rsidRPr="001B2492">
        <w:t>Items</w:t>
      </w:r>
      <w:r w:rsidRPr="001B2492">
        <w:rPr>
          <w:spacing w:val="-2"/>
        </w:rPr>
        <w:t xml:space="preserve"> </w:t>
      </w:r>
      <w:r w:rsidRPr="001B2492">
        <w:t>12</w:t>
      </w:r>
      <w:r w:rsidRPr="001B2492">
        <w:rPr>
          <w:spacing w:val="1"/>
        </w:rPr>
        <w:t xml:space="preserve"> and 14 </w:t>
      </w:r>
      <w:r w:rsidRPr="001B2492">
        <w:t>provide</w:t>
      </w:r>
      <w:r w:rsidRPr="001B2492">
        <w:rPr>
          <w:spacing w:val="-1"/>
        </w:rPr>
        <w:t xml:space="preserve"> </w:t>
      </w:r>
      <w:r w:rsidRPr="001B2492">
        <w:t>the</w:t>
      </w:r>
      <w:r w:rsidRPr="001B2492">
        <w:rPr>
          <w:spacing w:val="-2"/>
        </w:rPr>
        <w:t xml:space="preserve"> </w:t>
      </w:r>
      <w:r w:rsidRPr="001B2492">
        <w:t>total</w:t>
      </w:r>
      <w:r w:rsidRPr="001B2492">
        <w:rPr>
          <w:spacing w:val="-1"/>
        </w:rPr>
        <w:t xml:space="preserve"> </w:t>
      </w:r>
      <w:r w:rsidRPr="001B2492">
        <w:t>cost</w:t>
      </w:r>
      <w:r w:rsidRPr="001B2492">
        <w:rPr>
          <w:spacing w:val="-1"/>
        </w:rPr>
        <w:t xml:space="preserve"> contained in this ICR </w:t>
      </w:r>
      <w:r w:rsidRPr="001B2492">
        <w:t>specified</w:t>
      </w:r>
      <w:r w:rsidRPr="001B2492">
        <w:rPr>
          <w:spacing w:val="-1"/>
        </w:rPr>
        <w:t xml:space="preserve"> </w:t>
      </w:r>
      <w:r w:rsidRPr="001B2492">
        <w:t>by</w:t>
      </w:r>
      <w:r w:rsidRPr="001B2492">
        <w:rPr>
          <w:spacing w:val="-6"/>
        </w:rPr>
        <w:t xml:space="preserve"> </w:t>
      </w:r>
      <w:r w:rsidRPr="001B2492">
        <w:t>the</w:t>
      </w:r>
      <w:r w:rsidRPr="001B2492">
        <w:rPr>
          <w:spacing w:val="-57"/>
        </w:rPr>
        <w:t xml:space="preserve"> </w:t>
      </w:r>
      <w:r w:rsidRPr="001B2492">
        <w:t>Standard.</w:t>
      </w:r>
    </w:p>
    <w:p w:rsidRPr="001B2492" w:rsidR="00E864D0" w:rsidRDefault="00E864D0" w14:paraId="271CA723" w14:textId="77777777">
      <w:pPr>
        <w:rPr>
          <w:sz w:val="20"/>
          <w:szCs w:val="20"/>
          <w:u w:val="single"/>
        </w:rPr>
      </w:pPr>
    </w:p>
    <w:p w:rsidRPr="001B2492" w:rsidR="003A4940" w:rsidP="008138F3" w:rsidRDefault="00FC4BF3" w14:paraId="0236CA0D" w14:textId="77777777">
      <w:pPr>
        <w:numPr>
          <w:ilvl w:val="0"/>
          <w:numId w:val="7"/>
        </w:numPr>
      </w:pPr>
      <w:r w:rsidRPr="001B2492">
        <w:t xml:space="preserve">This is a continuation of an existing </w:t>
      </w:r>
      <w:r w:rsidRPr="001B2492" w:rsidR="000F4544">
        <w:t>program;</w:t>
      </w:r>
      <w:r w:rsidRPr="001B2492">
        <w:t xml:space="preserve"> therefore</w:t>
      </w:r>
      <w:r w:rsidRPr="001B2492" w:rsidR="00DD5FF6">
        <w:t xml:space="preserve"> there are</w:t>
      </w:r>
      <w:r w:rsidRPr="001B2492">
        <w:t xml:space="preserve"> no capital or start-up cost </w:t>
      </w:r>
      <w:r w:rsidRPr="001B2492" w:rsidR="0099135F">
        <w:t>component</w:t>
      </w:r>
      <w:r w:rsidRPr="001B2492" w:rsidR="00DD5FF6">
        <w:t>s</w:t>
      </w:r>
      <w:r w:rsidRPr="001B2492" w:rsidR="0099135F">
        <w:t>.</w:t>
      </w:r>
    </w:p>
    <w:p w:rsidRPr="001B2492" w:rsidR="00E864D0" w:rsidP="00B6448B" w:rsidRDefault="00E864D0" w14:paraId="75FBE423" w14:textId="77777777">
      <w:pPr>
        <w:ind w:left="720"/>
      </w:pPr>
    </w:p>
    <w:p w:rsidRPr="001B2492" w:rsidR="00814DD5" w:rsidP="008138F3" w:rsidRDefault="0099135F" w14:paraId="02E76208" w14:textId="77777777">
      <w:pPr>
        <w:numPr>
          <w:ilvl w:val="0"/>
          <w:numId w:val="7"/>
        </w:numPr>
      </w:pPr>
      <w:r w:rsidRPr="001B2492">
        <w:t>Ninety percent</w:t>
      </w:r>
      <w:r w:rsidRPr="001B2492" w:rsidR="00FC4BF3">
        <w:t xml:space="preserve"> of the program cost is borne by the Federal Government including the cost of capital equipment such as comp</w:t>
      </w:r>
      <w:r w:rsidRPr="001B2492">
        <w:t>uters.  OSHA also reimburses 90 percent</w:t>
      </w:r>
      <w:r w:rsidRPr="001B2492" w:rsidR="00FC4BF3">
        <w:t xml:space="preserve"> of the cost for operation and maintenance as well as any cost of purchase of service, such as computer equipment repair.  Such costs are included in the annual cooperative agreement</w:t>
      </w:r>
      <w:r w:rsidRPr="001B2492">
        <w:t>,</w:t>
      </w:r>
      <w:r w:rsidRPr="001B2492" w:rsidR="00FC4BF3">
        <w:t xml:space="preserve"> which is the mechanism for funding the </w:t>
      </w:r>
      <w:r w:rsidRPr="001B2492" w:rsidR="00954BC8">
        <w:t>On-Site</w:t>
      </w:r>
      <w:r w:rsidRPr="001B2492" w:rsidR="00BA600E">
        <w:t xml:space="preserve"> Consultation </w:t>
      </w:r>
      <w:r w:rsidRPr="001B2492" w:rsidR="0020737B">
        <w:t>Program</w:t>
      </w:r>
      <w:r w:rsidRPr="001B2492" w:rsidR="00BA600E">
        <w:t>s</w:t>
      </w:r>
      <w:r w:rsidRPr="001B2492" w:rsidR="00FC4BF3">
        <w:t xml:space="preserve">.  OSHA considers information collection as incidental and integral to the total </w:t>
      </w:r>
      <w:r w:rsidRPr="001B2492" w:rsidR="00954BC8">
        <w:t>On-Site</w:t>
      </w:r>
      <w:r w:rsidRPr="001B2492" w:rsidR="00BA600E">
        <w:t xml:space="preserve"> Consultation Program</w:t>
      </w:r>
      <w:r w:rsidRPr="001B2492" w:rsidR="00FC4BF3">
        <w:t>.  The cost of information collection is therefore limited to the cost that can</w:t>
      </w:r>
      <w:r w:rsidRPr="001B2492" w:rsidR="00B870FC">
        <w:t xml:space="preserve"> be</w:t>
      </w:r>
      <w:r w:rsidRPr="001B2492" w:rsidR="00FC4BF3">
        <w:t xml:space="preserve"> attributed to the proportion of time spent on information collection and/or transmittal.  This time component was calculated in </w:t>
      </w:r>
      <w:r w:rsidRPr="001B2492" w:rsidR="001638CF">
        <w:t>Table 2 (</w:t>
      </w:r>
      <w:r w:rsidRPr="001B2492" w:rsidR="00241A20">
        <w:rPr>
          <w:i/>
        </w:rPr>
        <w:t>Summary of Estimated Annualized Respondent (Employer) Hour and Cost Burden</w:t>
      </w:r>
      <w:r w:rsidRPr="001B2492" w:rsidR="001638CF">
        <w:t>)</w:t>
      </w:r>
      <w:r w:rsidRPr="001B2492" w:rsidR="00B642DA">
        <w:t xml:space="preserve"> in question 12</w:t>
      </w:r>
      <w:r w:rsidRPr="001B2492" w:rsidR="001638CF">
        <w:t xml:space="preserve"> above</w:t>
      </w:r>
      <w:r w:rsidRPr="001B2492" w:rsidR="00814DD5">
        <w:t>.</w:t>
      </w:r>
    </w:p>
    <w:p w:rsidRPr="001B2492" w:rsidR="00814DD5" w:rsidP="00814DD5" w:rsidRDefault="00814DD5" w14:paraId="2D3F0BEC" w14:textId="77777777">
      <w:pPr>
        <w:rPr>
          <w:b/>
          <w:sz w:val="20"/>
          <w:szCs w:val="20"/>
        </w:rPr>
      </w:pPr>
    </w:p>
    <w:p w:rsidRPr="001B2492" w:rsidR="00BD5F6D" w:rsidP="00BD5F6D" w:rsidRDefault="00BD5F6D" w14:paraId="2BFCCE5D"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1B2492" w:rsidR="00BD5F6D" w:rsidP="00BD5F6D" w:rsidRDefault="00BD5F6D" w14:paraId="75CF4315" w14:textId="77777777"/>
    <w:p w:rsidRPr="001B2492" w:rsidR="00FC4BF3" w:rsidP="00BD5F6D" w:rsidRDefault="00FC4BF3" w14:paraId="419D7187" w14:textId="77777777">
      <w:r w:rsidRPr="001B2492">
        <w:t xml:space="preserve">OSHA performs three categories of </w:t>
      </w:r>
      <w:r w:rsidRPr="001B2492" w:rsidR="00954BC8">
        <w:t>On-Site</w:t>
      </w:r>
      <w:r w:rsidRPr="001B2492" w:rsidR="00BA600E">
        <w:t xml:space="preserve"> Consultation </w:t>
      </w:r>
      <w:r w:rsidRPr="001B2492" w:rsidR="0020737B">
        <w:t>Program</w:t>
      </w:r>
      <w:r w:rsidRPr="001B2492">
        <w:t xml:space="preserve"> performance review and monitoring, and a fourth category for review of annual cooperative agreement</w:t>
      </w:r>
      <w:r w:rsidRPr="001B2492" w:rsidR="00B642DA">
        <w:t>s</w:t>
      </w:r>
      <w:r w:rsidRPr="001B2492">
        <w:t xml:space="preserve"> that result in cost to the Federal government.  The reviews are performed on</w:t>
      </w:r>
      <w:r w:rsidRPr="001B2492" w:rsidR="00B642DA">
        <w:t xml:space="preserve"> an</w:t>
      </w:r>
      <w:r w:rsidRPr="001B2492">
        <w:t xml:space="preserve"> annual or quarterly basis.  All re</w:t>
      </w:r>
      <w:r w:rsidRPr="001B2492" w:rsidR="008D6F59">
        <w:t>views are conducted by Program O</w:t>
      </w:r>
      <w:r w:rsidRPr="001B2492">
        <w:t>fficers in the Regional Office.  Depending on the complexity of the review, the Program Officer may be assisted by a Program Analyst and/or clerk.  The quarterly review consist</w:t>
      </w:r>
      <w:r w:rsidRPr="001B2492" w:rsidR="008D6F59">
        <w:t>s</w:t>
      </w:r>
      <w:r w:rsidRPr="001B2492">
        <w:t xml:space="preserve"> solely of extraction of </w:t>
      </w:r>
      <w:r w:rsidRPr="001B2492" w:rsidR="008D6F59">
        <w:t>mandatory</w:t>
      </w:r>
      <w:r w:rsidRPr="001B2492">
        <w:t xml:space="preserve"> activity measure (</w:t>
      </w:r>
      <w:r w:rsidRPr="001B2492" w:rsidR="008D6F59">
        <w:t>M</w:t>
      </w:r>
      <w:r w:rsidRPr="001B2492">
        <w:t>AM</w:t>
      </w:r>
      <w:r w:rsidRPr="001B2492" w:rsidR="008D6F59">
        <w:t>s</w:t>
      </w:r>
      <w:r w:rsidRPr="001B2492">
        <w:t>) data, and review of data to identify potential problem areas</w:t>
      </w:r>
      <w:r w:rsidRPr="001B2492" w:rsidR="008D6F59">
        <w:t xml:space="preserve"> (as compared to the CAP</w:t>
      </w:r>
      <w:r w:rsidRPr="001B2492" w:rsidR="00DD79C0">
        <w:t>P</w:t>
      </w:r>
      <w:r w:rsidRPr="001B2492" w:rsidR="008D6F59">
        <w:t>)</w:t>
      </w:r>
      <w:r w:rsidRPr="001B2492">
        <w:t>.  The program officer holds an informal phone conference with</w:t>
      </w:r>
      <w:r w:rsidRPr="001B2492" w:rsidR="002C0EBF">
        <w:t xml:space="preserve"> the</w:t>
      </w:r>
      <w:r w:rsidRPr="001B2492">
        <w:t xml:space="preserve"> </w:t>
      </w:r>
      <w:r w:rsidRPr="001B2492" w:rsidR="00954BC8">
        <w:t>On-Site</w:t>
      </w:r>
      <w:r w:rsidRPr="001B2492" w:rsidR="00BA600E">
        <w:t xml:space="preserve"> C</w:t>
      </w:r>
      <w:r w:rsidRPr="001B2492">
        <w:t>onsultation project man</w:t>
      </w:r>
      <w:r w:rsidRPr="001B2492" w:rsidR="00B642DA">
        <w:t>a</w:t>
      </w:r>
      <w:r w:rsidRPr="001B2492">
        <w:t>ger to discuss his/her findings.  The</w:t>
      </w:r>
      <w:r w:rsidRPr="001B2492" w:rsidR="008D6F59">
        <w:t xml:space="preserve"> quarterly review is a process </w:t>
      </w:r>
      <w:r w:rsidRPr="001B2492">
        <w:t>quality check, and is a way to identify and correct problems before the annual review.  There are no site visits or formal reports associated with the quarterly review.</w:t>
      </w:r>
    </w:p>
    <w:p w:rsidRPr="001B2492" w:rsidR="00FC4BF3" w:rsidRDefault="00FC4BF3" w14:paraId="3CB648E9" w14:textId="77777777"/>
    <w:p w:rsidRPr="001B2492" w:rsidR="00FC4BF3" w:rsidP="00BD5F6D" w:rsidRDefault="022A5CE7" w14:paraId="2673F186" w14:textId="5F67675D">
      <w:r w:rsidRPr="001B2492">
        <w:t>There are two types of annual revi</w:t>
      </w:r>
      <w:r w:rsidRPr="001B2492" w:rsidR="400CBB59">
        <w:t>ews:</w:t>
      </w:r>
      <w:r w:rsidRPr="001B2492">
        <w:t xml:space="preserve"> a comprehensive biennial review and</w:t>
      </w:r>
      <w:r w:rsidRPr="001B2492" w:rsidR="400CBB59">
        <w:t xml:space="preserve"> an</w:t>
      </w:r>
      <w:r w:rsidRPr="001B2492">
        <w:t xml:space="preserve"> interim biennial review (conducted between comprehensive reviews).  The comprehensive biennial review is an </w:t>
      </w:r>
      <w:r w:rsidRPr="001B2492" w:rsidR="17FDE159">
        <w:t>o</w:t>
      </w:r>
      <w:r w:rsidRPr="001B2492" w:rsidR="5D7D50CB">
        <w:t>nsite</w:t>
      </w:r>
      <w:r w:rsidRPr="001B2492">
        <w:t xml:space="preserve"> review of </w:t>
      </w:r>
      <w:r w:rsidRPr="001B2492" w:rsidR="400CBB59">
        <w:t>M</w:t>
      </w:r>
      <w:r w:rsidRPr="001B2492">
        <w:t>AMs, randomly selected case files, consultant training, and application of technology.  The interim review is a scaled down version of the comprehensive review</w:t>
      </w:r>
      <w:r w:rsidRPr="001B2492" w:rsidR="400CBB59">
        <w:t>.  It has all the elements of a</w:t>
      </w:r>
      <w:r w:rsidRPr="001B2492">
        <w:t xml:space="preserve"> comprehensive review except for the </w:t>
      </w:r>
      <w:r w:rsidRPr="001B2492" w:rsidR="7FBD4DD9">
        <w:t xml:space="preserve">onsite </w:t>
      </w:r>
      <w:r w:rsidRPr="001B2492">
        <w:t xml:space="preserve">component. </w:t>
      </w:r>
      <w:r w:rsidRPr="001B2492" w:rsidR="400CBB59">
        <w:t xml:space="preserve"> </w:t>
      </w:r>
      <w:r w:rsidRPr="001B2492">
        <w:t xml:space="preserve">The Region prepares either a comprehensive or interim report that is submitted to the National Office for approval.  A copy of the final report is sent to the </w:t>
      </w:r>
      <w:r w:rsidRPr="001B2492" w:rsidR="18D383DE">
        <w:t>On-Site</w:t>
      </w:r>
      <w:r w:rsidRPr="001B2492" w:rsidR="2BD08297">
        <w:t xml:space="preserve"> C</w:t>
      </w:r>
      <w:r w:rsidRPr="001B2492">
        <w:t xml:space="preserve">onsultation </w:t>
      </w:r>
      <w:r w:rsidRPr="001B2492" w:rsidR="267159EE">
        <w:t>Program</w:t>
      </w:r>
      <w:r w:rsidRPr="001B2492" w:rsidR="2BD08297">
        <w:t xml:space="preserve"> </w:t>
      </w:r>
      <w:r w:rsidRPr="001B2492">
        <w:t xml:space="preserve">for use in program improvement as necessary.  Upon request, copies of the report are made available to </w:t>
      </w:r>
      <w:r w:rsidRPr="001B2492" w:rsidR="6F3A1237">
        <w:t>M</w:t>
      </w:r>
      <w:r w:rsidRPr="001B2492">
        <w:t xml:space="preserve">embers of </w:t>
      </w:r>
      <w:r w:rsidRPr="001B2492" w:rsidR="6F3A1237">
        <w:t>C</w:t>
      </w:r>
      <w:r w:rsidRPr="001B2492">
        <w:t>ongress.</w:t>
      </w:r>
    </w:p>
    <w:p w:rsidRPr="001B2492" w:rsidR="00E70EB6" w:rsidP="00E70EB6" w:rsidRDefault="00E70EB6" w14:paraId="0C178E9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1B2492" w:rsidR="00FC4BF3" w:rsidP="00BF0615" w:rsidRDefault="00B13E0D" w14:paraId="405B8742" w14:textId="234B1486">
      <w:r w:rsidRPr="001B2492">
        <w:t xml:space="preserve">The Agency estimates the total cost to the Federal government is </w:t>
      </w:r>
      <w:r w:rsidRPr="001B2492">
        <w:rPr>
          <w:b/>
        </w:rPr>
        <w:t>$</w:t>
      </w:r>
      <w:r w:rsidRPr="001B2492" w:rsidR="00EB3F13">
        <w:rPr>
          <w:b/>
        </w:rPr>
        <w:t>299,652.86</w:t>
      </w:r>
      <w:r w:rsidRPr="001B2492" w:rsidR="00EB3F13">
        <w:t xml:space="preserve"> </w:t>
      </w:r>
      <w:r w:rsidRPr="001B2492">
        <w:t xml:space="preserve">(See Table 3 – </w:t>
      </w:r>
      <w:r w:rsidRPr="001B2492">
        <w:rPr>
          <w:i/>
        </w:rPr>
        <w:t>Cost to the Federal Government</w:t>
      </w:r>
      <w:r w:rsidRPr="001B2492">
        <w:t>).  Table 3 estimates t</w:t>
      </w:r>
      <w:r w:rsidRPr="001B2492" w:rsidR="00601F5F">
        <w:t>he c</w:t>
      </w:r>
      <w:r w:rsidRPr="001B2492" w:rsidR="00FC4BF3">
        <w:t xml:space="preserve">ost to the Federal Government by </w:t>
      </w:r>
      <w:r w:rsidRPr="001B2492">
        <w:t>identifying</w:t>
      </w:r>
      <w:r w:rsidRPr="001B2492" w:rsidR="00C02F7B">
        <w:t xml:space="preserve"> categories of Federal g</w:t>
      </w:r>
      <w:r w:rsidRPr="001B2492" w:rsidR="00FC4BF3">
        <w:t xml:space="preserve">overnment </w:t>
      </w:r>
      <w:r w:rsidRPr="001B2492" w:rsidR="008440CF">
        <w:t>worker</w:t>
      </w:r>
      <w:r w:rsidRPr="001B2492" w:rsidR="00FC4BF3">
        <w:t>s involved with the task of evaluating</w:t>
      </w:r>
      <w:r w:rsidRPr="001B2492" w:rsidR="00CE5DBA">
        <w:t xml:space="preserve"> and preparing</w:t>
      </w:r>
      <w:r w:rsidRPr="001B2492" w:rsidR="00FC4BF3">
        <w:t xml:space="preserve"> the consultation</w:t>
      </w:r>
      <w:r w:rsidRPr="001B2492" w:rsidR="00CE5DBA">
        <w:t xml:space="preserve"> documentation</w:t>
      </w:r>
      <w:r w:rsidRPr="001B2492" w:rsidR="00E70EB6">
        <w:t xml:space="preserve"> and their wage rates</w:t>
      </w:r>
      <w:r w:rsidRPr="001B2492" w:rsidR="00FC4BF3">
        <w:t>.</w:t>
      </w:r>
      <w:r w:rsidRPr="001B2492" w:rsidR="00E70EB6">
        <w:rPr>
          <w:vertAlign w:val="superscript"/>
        </w:rPr>
        <w:footnoteReference w:id="6"/>
      </w:r>
      <w:r w:rsidRPr="001B2492" w:rsidR="00FC4BF3">
        <w:t xml:space="preserve"> </w:t>
      </w:r>
      <w:r w:rsidRPr="001B2492">
        <w:t xml:space="preserve"> </w:t>
      </w:r>
      <w:r w:rsidRPr="001B2492" w:rsidR="00E70EB6">
        <w:t xml:space="preserve">A fringe benefit rate of </w:t>
      </w:r>
      <w:r w:rsidRPr="001B2492" w:rsidR="00095E5F">
        <w:t>38.1</w:t>
      </w:r>
      <w:r w:rsidRPr="001B2492" w:rsidR="00E70EB6">
        <w:t xml:space="preserve"> percent is applied.  </w:t>
      </w:r>
      <w:r w:rsidRPr="001B2492" w:rsidR="00CE5DBA">
        <w:t xml:space="preserve">The total labor cost was then </w:t>
      </w:r>
      <w:r w:rsidRPr="001B2492" w:rsidR="00FC4BF3">
        <w:t xml:space="preserve">multiplied by </w:t>
      </w:r>
      <w:r w:rsidRPr="001B2492" w:rsidR="00095E5F">
        <w:t xml:space="preserve">53 </w:t>
      </w:r>
      <w:r w:rsidRPr="001B2492" w:rsidR="00FC4BF3">
        <w:t xml:space="preserve">(the number of </w:t>
      </w:r>
      <w:r w:rsidRPr="001B2492" w:rsidR="00954BC8">
        <w:t>On-Site</w:t>
      </w:r>
      <w:r w:rsidRPr="001B2492" w:rsidR="00BA600E">
        <w:t xml:space="preserve"> C</w:t>
      </w:r>
      <w:r w:rsidRPr="001B2492" w:rsidR="00FC4BF3">
        <w:t xml:space="preserve">onsultation </w:t>
      </w:r>
      <w:r w:rsidRPr="001B2492" w:rsidR="0020737B">
        <w:t>Program</w:t>
      </w:r>
      <w:r w:rsidRPr="001B2492" w:rsidR="00BA600E">
        <w:t>s</w:t>
      </w:r>
      <w:r w:rsidRPr="001B2492" w:rsidR="00FC4BF3">
        <w:t xml:space="preserve">) </w:t>
      </w:r>
      <w:r w:rsidRPr="001B2492">
        <w:t xml:space="preserve">and then by the frequency </w:t>
      </w:r>
      <w:r w:rsidRPr="001B2492" w:rsidR="007E5B3C">
        <w:t>of recordkeeping discussed in the above paragraphs</w:t>
      </w:r>
      <w:r w:rsidRPr="001B2492">
        <w:t>.</w:t>
      </w:r>
    </w:p>
    <w:p w:rsidRPr="001B2492" w:rsidR="0012364F" w:rsidRDefault="0012364F" w14:paraId="3C0395D3" w14:textId="77777777">
      <w:pPr>
        <w:ind w:left="1440"/>
      </w:pPr>
    </w:p>
    <w:p w:rsidRPr="001B2492" w:rsidR="00361393" w:rsidRDefault="00361393" w14:paraId="3254BC2F" w14:textId="77777777">
      <w:pPr>
        <w:ind w:left="1440"/>
        <w:sectPr w:rsidRPr="001B2492" w:rsidR="00361393" w:rsidSect="00C24ED1">
          <w:footnotePr>
            <w:pos w:val="beneathText"/>
          </w:footnotePr>
          <w:pgSz w:w="12240" w:h="15840"/>
          <w:pgMar w:top="1008" w:right="1440" w:bottom="1008" w:left="1440" w:header="720" w:footer="720" w:gutter="0"/>
          <w:cols w:space="720"/>
          <w:noEndnote/>
          <w:titlePg/>
          <w:docGrid w:linePitch="326"/>
        </w:sectPr>
      </w:pPr>
    </w:p>
    <w:p w:rsidRPr="001B2492" w:rsidR="00361393" w:rsidRDefault="00361393" w14:paraId="651E9592" w14:textId="77777777">
      <w:pPr>
        <w:ind w:left="1440"/>
      </w:pPr>
    </w:p>
    <w:p w:rsidRPr="001B2492" w:rsidR="00361393" w:rsidP="006B3AC3" w:rsidRDefault="00361393" w14:paraId="269E314A"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361393" w:rsidRDefault="00361393" w14:paraId="47341341" w14:textId="77777777">
      <w:pPr>
        <w:tabs>
          <w:tab w:val="left" w:pos="-2160"/>
        </w:tabs>
        <w:ind w:left="720" w:hanging="720"/>
        <w:rPr>
          <w:b/>
          <w:bCs/>
        </w:rPr>
      </w:pPr>
    </w:p>
    <w:p w:rsidRPr="001B2492" w:rsidR="00361393" w:rsidP="00361393" w:rsidRDefault="00361393" w14:paraId="42EF2083" w14:textId="77777777">
      <w:pPr>
        <w:tabs>
          <w:tab w:val="left" w:pos="-2160"/>
        </w:tabs>
        <w:ind w:left="720" w:hanging="720"/>
        <w:rPr>
          <w:b/>
          <w:bCs/>
        </w:rPr>
      </w:pPr>
    </w:p>
    <w:p w:rsidRPr="001B2492" w:rsidR="00361393" w:rsidP="00361393" w:rsidRDefault="00361393" w14:paraId="740AFDDF" w14:textId="77777777">
      <w:pPr>
        <w:tabs>
          <w:tab w:val="left" w:pos="-2160"/>
        </w:tabs>
        <w:ind w:left="720" w:hanging="720"/>
        <w:rPr>
          <w:b/>
          <w:bCs/>
        </w:rPr>
      </w:pPr>
      <w:r w:rsidRPr="001B2492">
        <w:rPr>
          <w:b/>
          <w:bCs/>
        </w:rPr>
        <w:t>Table 3 - Estimate of Cost to the Federal Government</w:t>
      </w:r>
    </w:p>
    <w:p w:rsidRPr="001B2492" w:rsidR="00361393" w:rsidP="00361393" w:rsidRDefault="00361393" w14:paraId="7B40C95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16"/>
          <w:szCs w:val="16"/>
        </w:rPr>
      </w:pPr>
    </w:p>
    <w:tbl>
      <w:tblPr>
        <w:tblW w:w="13320" w:type="dxa"/>
        <w:tblInd w:w="120" w:type="dxa"/>
        <w:tblLayout w:type="fixed"/>
        <w:tblCellMar>
          <w:left w:w="120" w:type="dxa"/>
          <w:right w:w="120" w:type="dxa"/>
        </w:tblCellMar>
        <w:tblLook w:val="0000" w:firstRow="0" w:lastRow="0" w:firstColumn="0" w:lastColumn="0" w:noHBand="0" w:noVBand="0"/>
      </w:tblPr>
      <w:tblGrid>
        <w:gridCol w:w="2700"/>
        <w:gridCol w:w="2700"/>
        <w:gridCol w:w="3240"/>
        <w:gridCol w:w="1170"/>
        <w:gridCol w:w="810"/>
        <w:gridCol w:w="1440"/>
        <w:gridCol w:w="1260"/>
      </w:tblGrid>
      <w:tr w:rsidRPr="001B2492" w:rsidR="00361393" w:rsidTr="00B6448B" w14:paraId="52313D3C" w14:textId="77777777">
        <w:tc>
          <w:tcPr>
            <w:tcW w:w="2700" w:type="dxa"/>
            <w:tcBorders>
              <w:top w:val="single" w:color="000000" w:sz="7" w:space="0"/>
              <w:left w:val="single" w:color="000000" w:sz="7" w:space="0"/>
              <w:bottom w:val="single" w:color="000000" w:sz="15" w:space="0"/>
              <w:right w:val="single" w:color="000000" w:sz="15" w:space="0"/>
            </w:tcBorders>
            <w:shd w:val="pct10" w:color="000000" w:fill="FFFFFF"/>
          </w:tcPr>
          <w:p w:rsidRPr="001B2492" w:rsidR="00361393" w:rsidP="00A11020" w:rsidRDefault="00361393" w14:paraId="4B4D723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p>
          <w:p w:rsidRPr="001B2492" w:rsidR="00361393" w:rsidP="00A11020" w:rsidRDefault="00361393" w14:paraId="1828346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1B2492">
              <w:rPr>
                <w:b/>
                <w:bCs/>
                <w:sz w:val="20"/>
                <w:szCs w:val="20"/>
              </w:rPr>
              <w:t>Activity</w:t>
            </w:r>
          </w:p>
        </w:tc>
        <w:tc>
          <w:tcPr>
            <w:tcW w:w="2700" w:type="dxa"/>
            <w:tcBorders>
              <w:top w:val="single" w:color="000000" w:sz="7" w:space="0"/>
              <w:left w:val="single" w:color="000000" w:sz="7" w:space="0"/>
              <w:bottom w:val="single" w:color="000000" w:sz="15" w:space="0"/>
              <w:right w:val="single" w:color="000000" w:sz="7" w:space="0"/>
            </w:tcBorders>
            <w:shd w:val="pct10" w:color="000000" w:fill="FFFFFF"/>
          </w:tcPr>
          <w:p w:rsidRPr="001B2492" w:rsidR="00361393" w:rsidP="00A11020" w:rsidRDefault="00361393" w14:paraId="2093CA6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p>
          <w:p w:rsidRPr="001B2492" w:rsidR="00361393" w:rsidP="00A11020" w:rsidRDefault="00361393" w14:paraId="5EF8972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1B2492">
              <w:rPr>
                <w:b/>
                <w:bCs/>
                <w:sz w:val="20"/>
                <w:szCs w:val="20"/>
              </w:rPr>
              <w:t>Position</w:t>
            </w:r>
          </w:p>
        </w:tc>
        <w:tc>
          <w:tcPr>
            <w:tcW w:w="3240" w:type="dxa"/>
            <w:tcBorders>
              <w:top w:val="single" w:color="000000" w:sz="7" w:space="0"/>
              <w:left w:val="single" w:color="000000" w:sz="7" w:space="0"/>
              <w:bottom w:val="single" w:color="000000" w:sz="15" w:space="0"/>
              <w:right w:val="single" w:color="000000" w:sz="7" w:space="0"/>
            </w:tcBorders>
            <w:shd w:val="pct10" w:color="000000" w:fill="FFFFFF"/>
          </w:tcPr>
          <w:p w:rsidRPr="001B2492" w:rsidR="00361393" w:rsidP="00A11020" w:rsidRDefault="00361393" w14:paraId="2503B19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p>
          <w:p w:rsidRPr="001B2492" w:rsidR="00361393" w:rsidP="00A11020" w:rsidRDefault="00361393" w14:paraId="45BDA06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1B2492">
              <w:rPr>
                <w:b/>
                <w:bCs/>
                <w:sz w:val="20"/>
                <w:szCs w:val="20"/>
              </w:rPr>
              <w:t>Tasks</w:t>
            </w:r>
          </w:p>
        </w:tc>
        <w:tc>
          <w:tcPr>
            <w:tcW w:w="1170" w:type="dxa"/>
            <w:tcBorders>
              <w:top w:val="single" w:color="000000" w:sz="7" w:space="0"/>
              <w:left w:val="single" w:color="000000" w:sz="7" w:space="0"/>
              <w:bottom w:val="single" w:color="000000" w:sz="15" w:space="0"/>
              <w:right w:val="single" w:color="000000" w:sz="7" w:space="0"/>
            </w:tcBorders>
            <w:shd w:val="pct10" w:color="000000" w:fill="FFFFFF"/>
          </w:tcPr>
          <w:p w:rsidRPr="001B2492" w:rsidR="00361393" w:rsidP="00A11020" w:rsidRDefault="00361393" w14:paraId="6D6C56D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r w:rsidRPr="001B2492">
              <w:rPr>
                <w:b/>
                <w:bCs/>
                <w:sz w:val="20"/>
                <w:szCs w:val="20"/>
              </w:rPr>
              <w:t xml:space="preserve">Hourly </w:t>
            </w:r>
          </w:p>
          <w:p w:rsidRPr="001B2492" w:rsidR="00361393" w:rsidP="00A11020" w:rsidRDefault="00361393" w14:paraId="123B8D1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1B2492">
              <w:rPr>
                <w:b/>
                <w:bCs/>
                <w:sz w:val="20"/>
                <w:szCs w:val="20"/>
              </w:rPr>
              <w:t>Pay</w:t>
            </w:r>
          </w:p>
        </w:tc>
        <w:tc>
          <w:tcPr>
            <w:tcW w:w="810" w:type="dxa"/>
            <w:tcBorders>
              <w:top w:val="single" w:color="000000" w:sz="7" w:space="0"/>
              <w:left w:val="single" w:color="000000" w:sz="7" w:space="0"/>
              <w:bottom w:val="single" w:color="000000" w:sz="15" w:space="0"/>
              <w:right w:val="single" w:color="000000" w:sz="7" w:space="0"/>
            </w:tcBorders>
            <w:shd w:val="pct10" w:color="000000" w:fill="FFFFFF"/>
          </w:tcPr>
          <w:p w:rsidRPr="001B2492" w:rsidR="00361393" w:rsidP="00A11020" w:rsidRDefault="00361393" w14:paraId="3828874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p>
          <w:p w:rsidRPr="001B2492" w:rsidR="00361393" w:rsidP="00A11020" w:rsidRDefault="00361393" w14:paraId="310018A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1B2492">
              <w:rPr>
                <w:b/>
                <w:bCs/>
                <w:sz w:val="20"/>
                <w:szCs w:val="20"/>
              </w:rPr>
              <w:t>Hours</w:t>
            </w:r>
          </w:p>
        </w:tc>
        <w:tc>
          <w:tcPr>
            <w:tcW w:w="2700" w:type="dxa"/>
            <w:gridSpan w:val="2"/>
            <w:tcBorders>
              <w:top w:val="single" w:color="000000" w:sz="7" w:space="0"/>
              <w:left w:val="single" w:color="000000" w:sz="7" w:space="0"/>
              <w:bottom w:val="single" w:color="000000" w:sz="15" w:space="0"/>
              <w:right w:val="single" w:color="000000" w:sz="7" w:space="0"/>
            </w:tcBorders>
            <w:shd w:val="pct10" w:color="000000" w:fill="FFFFFF"/>
          </w:tcPr>
          <w:p w:rsidRPr="001B2492" w:rsidR="00361393" w:rsidP="00A11020" w:rsidRDefault="00361393" w14:paraId="3C47FCD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r w:rsidRPr="001B2492">
              <w:rPr>
                <w:b/>
                <w:bCs/>
                <w:sz w:val="20"/>
                <w:szCs w:val="20"/>
              </w:rPr>
              <w:t>Total Per Review</w:t>
            </w:r>
          </w:p>
          <w:p w:rsidRPr="001B2492" w:rsidR="00361393" w:rsidP="00A11020" w:rsidRDefault="00361393" w14:paraId="20BD9A1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p>
        </w:tc>
      </w:tr>
      <w:tr w:rsidRPr="001B2492" w:rsidR="00361393" w:rsidTr="00B6448B" w14:paraId="00C79670" w14:textId="77777777">
        <w:tc>
          <w:tcPr>
            <w:tcW w:w="2700" w:type="dxa"/>
            <w:vMerge w:val="restart"/>
            <w:tcBorders>
              <w:top w:val="single" w:color="000000" w:sz="7" w:space="0"/>
              <w:left w:val="single" w:color="000000" w:sz="7" w:space="0"/>
              <w:bottom w:val="nil"/>
              <w:right w:val="single" w:color="000000" w:sz="15" w:space="0"/>
            </w:tcBorders>
            <w:shd w:val="pct10" w:color="000000" w:fill="FFFFFF"/>
          </w:tcPr>
          <w:p w:rsidRPr="001B2492" w:rsidR="00361393" w:rsidP="00A11020" w:rsidRDefault="00361393" w14:paraId="0C136CF1" w14:textId="77777777">
            <w:pPr>
              <w:spacing w:line="120" w:lineRule="exact"/>
              <w:rPr>
                <w:b/>
                <w:bCs/>
                <w:sz w:val="20"/>
                <w:szCs w:val="20"/>
              </w:rPr>
            </w:pPr>
          </w:p>
          <w:p w:rsidRPr="001B2492" w:rsidR="00361393" w:rsidP="00A11020" w:rsidRDefault="00361393" w14:paraId="5B8F182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Comprehensive Biennial Review</w:t>
            </w: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0A392C6A" w14:textId="77777777">
            <w:pPr>
              <w:spacing w:line="120" w:lineRule="exact"/>
              <w:rPr>
                <w:sz w:val="20"/>
                <w:szCs w:val="20"/>
              </w:rPr>
            </w:pPr>
          </w:p>
          <w:p w:rsidRPr="001B2492" w:rsidR="00361393" w:rsidP="00A11020" w:rsidRDefault="00361393" w14:paraId="516854F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290583F9" w14:textId="77777777">
            <w:pPr>
              <w:spacing w:line="120" w:lineRule="exact"/>
              <w:rPr>
                <w:sz w:val="20"/>
                <w:szCs w:val="20"/>
              </w:rPr>
            </w:pPr>
          </w:p>
          <w:p w:rsidRPr="001B2492" w:rsidR="00361393" w:rsidP="00A11020" w:rsidRDefault="00361393" w14:paraId="3D0DB50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Monitoring &amp; Report Preparation</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5AC53F2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$51.51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68F21D90" w14:textId="77777777">
            <w:pPr>
              <w:spacing w:line="120" w:lineRule="exact"/>
              <w:rPr>
                <w:sz w:val="20"/>
                <w:szCs w:val="20"/>
              </w:rPr>
            </w:pPr>
          </w:p>
          <w:p w:rsidRPr="001B2492" w:rsidR="00361393" w:rsidP="00A11020" w:rsidRDefault="00361393" w14:paraId="6089FD3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48</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44CB764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$2,472.48 </w:t>
            </w:r>
          </w:p>
        </w:tc>
        <w:tc>
          <w:tcPr>
            <w:tcW w:w="1260" w:type="dxa"/>
            <w:vMerge w:val="restart"/>
            <w:tcBorders>
              <w:top w:val="single" w:color="000000" w:sz="7" w:space="0"/>
              <w:left w:val="single" w:color="000000" w:sz="7" w:space="0"/>
              <w:bottom w:val="nil"/>
              <w:right w:val="single" w:color="000000" w:sz="7" w:space="0"/>
            </w:tcBorders>
          </w:tcPr>
          <w:p w:rsidRPr="001B2492" w:rsidR="00361393" w:rsidP="00A11020" w:rsidRDefault="00361393" w14:paraId="13C326F3" w14:textId="77777777">
            <w:pPr>
              <w:spacing w:line="120" w:lineRule="exact"/>
              <w:rPr>
                <w:sz w:val="20"/>
                <w:szCs w:val="20"/>
              </w:rPr>
            </w:pPr>
          </w:p>
          <w:p w:rsidRPr="001B2492" w:rsidR="00361393" w:rsidP="00A11020" w:rsidRDefault="00361393" w14:paraId="4853B84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5012523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5A25747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454C6B3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$4,812.54</w:t>
            </w:r>
          </w:p>
        </w:tc>
      </w:tr>
      <w:tr w:rsidRPr="001B2492" w:rsidR="00361393" w:rsidTr="00B6448B" w14:paraId="058B4539" w14:textId="77777777">
        <w:tc>
          <w:tcPr>
            <w:tcW w:w="2700" w:type="dxa"/>
            <w:vMerge/>
            <w:tcBorders>
              <w:top w:val="nil"/>
              <w:left w:val="single" w:color="000000" w:sz="7" w:space="0"/>
              <w:bottom w:val="nil"/>
              <w:right w:val="single" w:color="000000" w:sz="15" w:space="0"/>
            </w:tcBorders>
            <w:shd w:val="pct10" w:color="000000" w:fill="FFFFFF"/>
          </w:tcPr>
          <w:p w:rsidRPr="001B2492" w:rsidR="00361393" w:rsidP="00A11020" w:rsidRDefault="00361393" w14:paraId="09B8D95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78BEFD2A" w14:textId="77777777">
            <w:pPr>
              <w:spacing w:line="120" w:lineRule="exact"/>
              <w:rPr>
                <w:sz w:val="20"/>
                <w:szCs w:val="20"/>
              </w:rPr>
            </w:pPr>
          </w:p>
          <w:p w:rsidRPr="001B2492" w:rsidR="00361393" w:rsidP="00A11020" w:rsidRDefault="00361393" w14:paraId="139683B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27A76422" w14:textId="77777777">
            <w:pPr>
              <w:spacing w:line="120" w:lineRule="exact"/>
              <w:rPr>
                <w:sz w:val="20"/>
                <w:szCs w:val="20"/>
              </w:rPr>
            </w:pPr>
          </w:p>
          <w:p w:rsidRPr="001B2492" w:rsidR="00361393" w:rsidP="00A11020" w:rsidRDefault="00361393" w14:paraId="45306D3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National Office Review</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55D7728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$51.51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49206A88" w14:textId="77777777">
            <w:pPr>
              <w:spacing w:line="120" w:lineRule="exact"/>
              <w:rPr>
                <w:sz w:val="20"/>
                <w:szCs w:val="20"/>
              </w:rPr>
            </w:pPr>
          </w:p>
          <w:p w:rsidRPr="001B2492" w:rsidR="00361393" w:rsidP="00A11020" w:rsidRDefault="00361393" w14:paraId="7144751B"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2043809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$103.02 </w:t>
            </w:r>
          </w:p>
        </w:tc>
        <w:tc>
          <w:tcPr>
            <w:tcW w:w="1260" w:type="dxa"/>
            <w:vMerge/>
            <w:tcBorders>
              <w:top w:val="nil"/>
              <w:left w:val="single" w:color="000000" w:sz="7" w:space="0"/>
              <w:bottom w:val="nil"/>
              <w:right w:val="single" w:color="000000" w:sz="7" w:space="0"/>
            </w:tcBorders>
          </w:tcPr>
          <w:p w:rsidRPr="001B2492" w:rsidR="00361393" w:rsidP="00A11020" w:rsidRDefault="00361393" w14:paraId="67B7A70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rsidRPr="001B2492" w:rsidR="00361393" w:rsidTr="00B6448B" w14:paraId="76328E44" w14:textId="77777777">
        <w:tc>
          <w:tcPr>
            <w:tcW w:w="2700" w:type="dxa"/>
            <w:vMerge/>
            <w:tcBorders>
              <w:top w:val="nil"/>
              <w:left w:val="single" w:color="000000" w:sz="7" w:space="0"/>
              <w:bottom w:val="nil"/>
              <w:right w:val="single" w:color="000000" w:sz="15" w:space="0"/>
            </w:tcBorders>
            <w:shd w:val="pct10" w:color="000000" w:fill="FFFFFF"/>
          </w:tcPr>
          <w:p w:rsidRPr="001B2492" w:rsidR="00361393" w:rsidP="00A11020" w:rsidRDefault="00361393" w14:paraId="71887C7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B7FD67C" w14:textId="77777777">
            <w:pPr>
              <w:spacing w:line="120" w:lineRule="exact"/>
              <w:rPr>
                <w:sz w:val="20"/>
                <w:szCs w:val="20"/>
              </w:rPr>
            </w:pPr>
          </w:p>
          <w:p w:rsidRPr="001B2492" w:rsidR="00361393" w:rsidP="00A11020" w:rsidRDefault="00361393" w14:paraId="7D6B248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GS-12 Program Analyst</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8D6B9B6" w14:textId="77777777">
            <w:pPr>
              <w:spacing w:line="120" w:lineRule="exact"/>
              <w:rPr>
                <w:sz w:val="20"/>
                <w:szCs w:val="20"/>
              </w:rPr>
            </w:pPr>
          </w:p>
          <w:p w:rsidRPr="001B2492" w:rsidR="00361393" w:rsidP="00A11020" w:rsidRDefault="00361393" w14:paraId="2D3809D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Monitoring &amp; Report Preparation</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45BB8A2F"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$43.32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22F860BB" w14:textId="77777777">
            <w:pPr>
              <w:spacing w:line="120" w:lineRule="exact"/>
              <w:rPr>
                <w:sz w:val="20"/>
                <w:szCs w:val="20"/>
              </w:rPr>
            </w:pPr>
          </w:p>
          <w:p w:rsidRPr="001B2492" w:rsidR="00361393" w:rsidP="00A11020" w:rsidRDefault="00361393" w14:paraId="779F5E7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48</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2A4F718F"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$2,079.36 </w:t>
            </w:r>
          </w:p>
        </w:tc>
        <w:tc>
          <w:tcPr>
            <w:tcW w:w="1260" w:type="dxa"/>
            <w:vMerge/>
            <w:tcBorders>
              <w:top w:val="nil"/>
              <w:left w:val="single" w:color="000000" w:sz="7" w:space="0"/>
              <w:bottom w:val="nil"/>
              <w:right w:val="single" w:color="000000" w:sz="7" w:space="0"/>
            </w:tcBorders>
          </w:tcPr>
          <w:p w:rsidRPr="001B2492" w:rsidR="00361393" w:rsidP="00A11020" w:rsidRDefault="00361393" w14:paraId="698536F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rsidRPr="001B2492" w:rsidR="00361393" w:rsidTr="00B6448B" w14:paraId="1D05F3D3" w14:textId="77777777">
        <w:tc>
          <w:tcPr>
            <w:tcW w:w="2700" w:type="dxa"/>
            <w:vMerge/>
            <w:tcBorders>
              <w:top w:val="nil"/>
              <w:left w:val="single" w:color="000000" w:sz="7" w:space="0"/>
              <w:bottom w:val="single" w:color="000000" w:sz="7" w:space="0"/>
              <w:right w:val="single" w:color="000000" w:sz="15" w:space="0"/>
            </w:tcBorders>
            <w:shd w:val="pct10" w:color="000000" w:fill="FFFFFF"/>
          </w:tcPr>
          <w:p w:rsidRPr="001B2492" w:rsidR="00361393" w:rsidP="00A11020" w:rsidRDefault="00361393" w14:paraId="7BC1BAF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61C988F9" w14:textId="77777777">
            <w:pPr>
              <w:spacing w:line="120" w:lineRule="exact"/>
              <w:rPr>
                <w:sz w:val="20"/>
                <w:szCs w:val="20"/>
              </w:rPr>
            </w:pPr>
          </w:p>
          <w:p w:rsidRPr="001B2492" w:rsidR="00361393" w:rsidP="00A11020" w:rsidRDefault="00361393" w14:paraId="64B1A32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GS-05 Clerk</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B22BB7D" w14:textId="77777777">
            <w:pPr>
              <w:spacing w:line="120" w:lineRule="exact"/>
              <w:rPr>
                <w:sz w:val="20"/>
                <w:szCs w:val="20"/>
              </w:rPr>
            </w:pPr>
          </w:p>
          <w:p w:rsidRPr="001B2492" w:rsidR="00361393" w:rsidP="00A11020" w:rsidRDefault="00361393" w14:paraId="5294D0B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Extraction of Data</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13D00C1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$19.71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17B246DD" w14:textId="77777777">
            <w:pPr>
              <w:spacing w:line="120" w:lineRule="exact"/>
              <w:rPr>
                <w:sz w:val="20"/>
                <w:szCs w:val="20"/>
              </w:rPr>
            </w:pPr>
          </w:p>
          <w:p w:rsidRPr="001B2492" w:rsidR="00361393" w:rsidP="00A11020" w:rsidRDefault="00361393" w14:paraId="0385369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8</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5FC8C78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$157.68 </w:t>
            </w:r>
          </w:p>
        </w:tc>
        <w:tc>
          <w:tcPr>
            <w:tcW w:w="1260" w:type="dxa"/>
            <w:vMerge/>
            <w:tcBorders>
              <w:top w:val="nil"/>
              <w:left w:val="single" w:color="000000" w:sz="7" w:space="0"/>
              <w:bottom w:val="single" w:color="000000" w:sz="7" w:space="0"/>
              <w:right w:val="single" w:color="000000" w:sz="7" w:space="0"/>
            </w:tcBorders>
          </w:tcPr>
          <w:p w:rsidRPr="001B2492" w:rsidR="00361393" w:rsidP="00A11020" w:rsidRDefault="00361393" w14:paraId="6BF89DA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rsidRPr="001B2492" w:rsidR="00361393" w:rsidTr="00B6448B" w14:paraId="02398A44" w14:textId="77777777">
        <w:tc>
          <w:tcPr>
            <w:tcW w:w="2700" w:type="dxa"/>
            <w:vMerge w:val="restart"/>
            <w:tcBorders>
              <w:top w:val="single" w:color="000000" w:sz="7" w:space="0"/>
              <w:left w:val="single" w:color="000000" w:sz="7" w:space="0"/>
              <w:bottom w:val="nil"/>
              <w:right w:val="single" w:color="000000" w:sz="15" w:space="0"/>
            </w:tcBorders>
            <w:shd w:val="pct10" w:color="000000" w:fill="FFFFFF"/>
          </w:tcPr>
          <w:p w:rsidRPr="001B2492" w:rsidR="00361393" w:rsidP="00A11020" w:rsidRDefault="00361393" w14:paraId="5C3E0E74" w14:textId="77777777">
            <w:pPr>
              <w:spacing w:line="120" w:lineRule="exact"/>
              <w:rPr>
                <w:sz w:val="20"/>
                <w:szCs w:val="20"/>
              </w:rPr>
            </w:pPr>
          </w:p>
          <w:p w:rsidRPr="001B2492" w:rsidR="00361393" w:rsidP="00A11020" w:rsidRDefault="00361393" w14:paraId="3B07E23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Interim Biennial Review</w:t>
            </w: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66A1FAB9" w14:textId="77777777">
            <w:pPr>
              <w:spacing w:line="120" w:lineRule="exact"/>
              <w:rPr>
                <w:sz w:val="20"/>
                <w:szCs w:val="20"/>
              </w:rPr>
            </w:pPr>
          </w:p>
          <w:p w:rsidRPr="001B2492" w:rsidR="00361393" w:rsidP="00A11020" w:rsidRDefault="00361393" w14:paraId="79BE10F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76BB753C" w14:textId="77777777">
            <w:pPr>
              <w:spacing w:line="120" w:lineRule="exact"/>
              <w:rPr>
                <w:sz w:val="20"/>
                <w:szCs w:val="20"/>
              </w:rPr>
            </w:pPr>
          </w:p>
          <w:p w:rsidRPr="001B2492" w:rsidR="00361393" w:rsidP="00A11020" w:rsidRDefault="00361393" w14:paraId="2CD3D56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Monitoring &amp; Report Preparation</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5DE1A75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$51.51</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513DA1E0" w14:textId="77777777">
            <w:pPr>
              <w:spacing w:line="120" w:lineRule="exact"/>
              <w:rPr>
                <w:sz w:val="20"/>
                <w:szCs w:val="20"/>
              </w:rPr>
            </w:pPr>
          </w:p>
          <w:p w:rsidRPr="001B2492" w:rsidR="00361393" w:rsidP="00A11020" w:rsidRDefault="00361393" w14:paraId="1D8EB8E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24</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3C0899F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$1,236.24 </w:t>
            </w:r>
          </w:p>
        </w:tc>
        <w:tc>
          <w:tcPr>
            <w:tcW w:w="1260" w:type="dxa"/>
            <w:vMerge w:val="restart"/>
            <w:tcBorders>
              <w:top w:val="single" w:color="000000" w:sz="7" w:space="0"/>
              <w:left w:val="single" w:color="000000" w:sz="7" w:space="0"/>
              <w:bottom w:val="nil"/>
              <w:right w:val="single" w:color="000000" w:sz="7" w:space="0"/>
            </w:tcBorders>
          </w:tcPr>
          <w:p w:rsidRPr="001B2492" w:rsidR="00361393" w:rsidP="00A11020" w:rsidRDefault="00361393" w14:paraId="75CAC6F5" w14:textId="77777777">
            <w:pPr>
              <w:spacing w:line="120" w:lineRule="exact"/>
              <w:rPr>
                <w:sz w:val="20"/>
                <w:szCs w:val="20"/>
              </w:rPr>
            </w:pPr>
          </w:p>
          <w:p w:rsidRPr="001B2492" w:rsidR="00361393" w:rsidP="00A11020" w:rsidRDefault="00361393" w14:paraId="6606042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1BD02DB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$1,315.08</w:t>
            </w:r>
          </w:p>
        </w:tc>
      </w:tr>
      <w:tr w:rsidRPr="001B2492" w:rsidR="00361393" w:rsidTr="00B6448B" w14:paraId="5FE960E7" w14:textId="77777777">
        <w:tc>
          <w:tcPr>
            <w:tcW w:w="2700" w:type="dxa"/>
            <w:vMerge/>
            <w:tcBorders>
              <w:top w:val="nil"/>
              <w:left w:val="single" w:color="000000" w:sz="7" w:space="0"/>
              <w:bottom w:val="single" w:color="000000" w:sz="7" w:space="0"/>
              <w:right w:val="single" w:color="000000" w:sz="15" w:space="0"/>
            </w:tcBorders>
            <w:shd w:val="pct10" w:color="000000" w:fill="FFFFFF"/>
          </w:tcPr>
          <w:p w:rsidRPr="001B2492" w:rsidR="00361393" w:rsidP="00A11020" w:rsidRDefault="00361393" w14:paraId="1D0656F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7B37605A" w14:textId="77777777">
            <w:pPr>
              <w:spacing w:line="120" w:lineRule="exact"/>
              <w:rPr>
                <w:sz w:val="20"/>
                <w:szCs w:val="20"/>
              </w:rPr>
            </w:pPr>
          </w:p>
          <w:p w:rsidRPr="001B2492" w:rsidR="00361393" w:rsidP="00A11020" w:rsidRDefault="00361393" w14:paraId="32C2F8F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GS-05 Clerk</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94798F2" w14:textId="77777777">
            <w:pPr>
              <w:spacing w:line="120" w:lineRule="exact"/>
              <w:rPr>
                <w:sz w:val="20"/>
                <w:szCs w:val="20"/>
              </w:rPr>
            </w:pPr>
          </w:p>
          <w:p w:rsidRPr="001B2492" w:rsidR="00361393" w:rsidP="00A11020" w:rsidRDefault="00361393" w14:paraId="5B5DCDC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Extraction of Data</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40BB40B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$19.71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889A505" w14:textId="77777777">
            <w:pPr>
              <w:spacing w:line="120" w:lineRule="exact"/>
              <w:rPr>
                <w:sz w:val="20"/>
                <w:szCs w:val="20"/>
              </w:rPr>
            </w:pPr>
          </w:p>
          <w:p w:rsidRPr="001B2492" w:rsidR="00361393" w:rsidP="00A11020" w:rsidRDefault="00361393" w14:paraId="2598DEE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4</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3501C01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$78.84</w:t>
            </w:r>
          </w:p>
        </w:tc>
        <w:tc>
          <w:tcPr>
            <w:tcW w:w="1260" w:type="dxa"/>
            <w:vMerge/>
            <w:tcBorders>
              <w:top w:val="nil"/>
              <w:left w:val="single" w:color="000000" w:sz="7" w:space="0"/>
              <w:bottom w:val="single" w:color="000000" w:sz="7" w:space="0"/>
              <w:right w:val="single" w:color="000000" w:sz="7" w:space="0"/>
            </w:tcBorders>
          </w:tcPr>
          <w:p w:rsidRPr="001B2492" w:rsidR="00361393" w:rsidP="00A11020" w:rsidRDefault="00361393" w14:paraId="29079D3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rsidRPr="001B2492" w:rsidR="00361393" w:rsidTr="00B6448B" w14:paraId="7EB32714" w14:textId="77777777">
        <w:trPr>
          <w:trHeight w:val="523"/>
        </w:trPr>
        <w:tc>
          <w:tcPr>
            <w:tcW w:w="2700" w:type="dxa"/>
            <w:tcBorders>
              <w:top w:val="single" w:color="000000" w:sz="7" w:space="0"/>
              <w:left w:val="single" w:color="000000" w:sz="7" w:space="0"/>
              <w:bottom w:val="single" w:color="000000" w:sz="7" w:space="0"/>
              <w:right w:val="single" w:color="000000" w:sz="15" w:space="0"/>
            </w:tcBorders>
            <w:shd w:val="pct10" w:color="000000" w:fill="FFFFFF"/>
          </w:tcPr>
          <w:p w:rsidRPr="001B2492" w:rsidR="00361393" w:rsidP="00A11020" w:rsidRDefault="00361393" w14:paraId="17686DC7" w14:textId="77777777">
            <w:pPr>
              <w:spacing w:line="120" w:lineRule="exact"/>
              <w:rPr>
                <w:sz w:val="20"/>
                <w:szCs w:val="20"/>
              </w:rPr>
            </w:pPr>
          </w:p>
          <w:p w:rsidRPr="001B2492" w:rsidR="00361393" w:rsidP="00A11020" w:rsidRDefault="00361393" w14:paraId="53BD644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Pr="001B2492" w:rsidR="00361393" w:rsidP="00A11020" w:rsidRDefault="00361393" w14:paraId="551A0BA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Quarterly Review</w:t>
            </w: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1A3FAC43" w14:textId="77777777">
            <w:pPr>
              <w:spacing w:line="120" w:lineRule="exact"/>
              <w:rPr>
                <w:sz w:val="20"/>
                <w:szCs w:val="20"/>
              </w:rPr>
            </w:pPr>
          </w:p>
          <w:p w:rsidRPr="001B2492" w:rsidR="00361393" w:rsidP="00A11020" w:rsidRDefault="00361393" w14:paraId="2BBD94B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Pr="001B2492" w:rsidR="00361393" w:rsidP="00A11020" w:rsidRDefault="00361393" w14:paraId="78A87B0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5854DE7F" w14:textId="77777777">
            <w:pPr>
              <w:spacing w:line="120" w:lineRule="exact"/>
              <w:rPr>
                <w:sz w:val="20"/>
                <w:szCs w:val="20"/>
              </w:rPr>
            </w:pPr>
          </w:p>
          <w:p w:rsidRPr="001B2492" w:rsidR="00361393" w:rsidP="00A11020" w:rsidRDefault="00361393" w14:paraId="2CA7ADD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Pr="001B2492" w:rsidR="00361393" w:rsidP="00A11020" w:rsidRDefault="00361393" w14:paraId="784541D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Extraction and Review of Data</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216703E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$51.51 </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14EE24A" w14:textId="77777777">
            <w:pPr>
              <w:spacing w:line="120" w:lineRule="exact"/>
              <w:rPr>
                <w:sz w:val="20"/>
                <w:szCs w:val="20"/>
              </w:rPr>
            </w:pPr>
          </w:p>
          <w:p w:rsidRPr="001B2492" w:rsidR="00361393" w:rsidP="00A11020" w:rsidRDefault="00361393" w14:paraId="706FBB2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sidDel="009D4D02">
              <w:rPr>
                <w:sz w:val="20"/>
                <w:szCs w:val="20"/>
              </w:rPr>
              <w:t xml:space="preserve"> </w:t>
            </w:r>
            <w:r w:rsidRPr="001B2492">
              <w:rPr>
                <w:sz w:val="20"/>
                <w:szCs w:val="20"/>
              </w:rPr>
              <w:t>4</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5FB728B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$206.04</w:t>
            </w:r>
          </w:p>
        </w:tc>
        <w:tc>
          <w:tcPr>
            <w:tcW w:w="126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76614669" w14:textId="77777777">
            <w:pPr>
              <w:spacing w:line="120" w:lineRule="exact"/>
              <w:rPr>
                <w:sz w:val="20"/>
                <w:szCs w:val="20"/>
              </w:rPr>
            </w:pPr>
          </w:p>
          <w:p w:rsidRPr="001B2492" w:rsidR="00361393" w:rsidP="00A11020" w:rsidRDefault="00361393" w14:paraId="5759004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2CBA71CB"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$206.04</w:t>
            </w:r>
          </w:p>
        </w:tc>
      </w:tr>
      <w:tr w:rsidRPr="001B2492" w:rsidR="00361393" w:rsidTr="00B6448B" w14:paraId="5276FA2D" w14:textId="77777777">
        <w:tc>
          <w:tcPr>
            <w:tcW w:w="2700" w:type="dxa"/>
            <w:vMerge w:val="restart"/>
            <w:tcBorders>
              <w:top w:val="single" w:color="000000" w:sz="15" w:space="0"/>
              <w:left w:val="single" w:color="000000" w:sz="7" w:space="0"/>
              <w:bottom w:val="nil"/>
              <w:right w:val="single" w:color="000000" w:sz="15" w:space="0"/>
            </w:tcBorders>
            <w:shd w:val="pct10" w:color="000000" w:fill="FFFFFF"/>
          </w:tcPr>
          <w:p w:rsidRPr="001B2492" w:rsidR="00361393" w:rsidP="00A11020" w:rsidRDefault="00361393" w14:paraId="0C5B615A" w14:textId="77777777">
            <w:pPr>
              <w:spacing w:line="120" w:lineRule="exact"/>
              <w:rPr>
                <w:sz w:val="20"/>
                <w:szCs w:val="20"/>
              </w:rPr>
            </w:pPr>
          </w:p>
          <w:p w:rsidRPr="001B2492" w:rsidR="00361393" w:rsidP="00A11020" w:rsidRDefault="00361393" w14:paraId="30B96E9F"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r w:rsidRPr="001B2492">
              <w:rPr>
                <w:sz w:val="20"/>
                <w:szCs w:val="20"/>
              </w:rPr>
              <w:t>Cooperative Agreements</w:t>
            </w:r>
          </w:p>
          <w:p w:rsidRPr="001B2492" w:rsidR="00361393" w:rsidP="00A11020" w:rsidRDefault="00361393" w14:paraId="1118921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Review</w:t>
            </w:r>
          </w:p>
        </w:tc>
        <w:tc>
          <w:tcPr>
            <w:tcW w:w="2700" w:type="dxa"/>
            <w:tcBorders>
              <w:top w:val="single" w:color="000000" w:sz="15" w:space="0"/>
              <w:left w:val="single" w:color="000000" w:sz="7" w:space="0"/>
              <w:bottom w:val="single" w:color="000000" w:sz="7" w:space="0"/>
              <w:right w:val="single" w:color="000000" w:sz="7" w:space="0"/>
            </w:tcBorders>
          </w:tcPr>
          <w:p w:rsidRPr="001B2492" w:rsidR="00361393" w:rsidP="00A11020" w:rsidRDefault="00361393" w14:paraId="792F1AA2" w14:textId="77777777">
            <w:pPr>
              <w:spacing w:line="120" w:lineRule="exact"/>
              <w:rPr>
                <w:sz w:val="20"/>
                <w:szCs w:val="20"/>
              </w:rPr>
            </w:pPr>
          </w:p>
          <w:p w:rsidRPr="001B2492" w:rsidR="00361393" w:rsidP="00A11020" w:rsidRDefault="00361393" w14:paraId="02D9DE2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15" w:space="0"/>
              <w:left w:val="single" w:color="000000" w:sz="7" w:space="0"/>
              <w:bottom w:val="single" w:color="000000" w:sz="7" w:space="0"/>
              <w:right w:val="single" w:color="000000" w:sz="7" w:space="0"/>
            </w:tcBorders>
          </w:tcPr>
          <w:p w:rsidRPr="001B2492" w:rsidR="00361393" w:rsidP="00A11020" w:rsidRDefault="00361393" w14:paraId="1A499DFC" w14:textId="77777777">
            <w:pPr>
              <w:spacing w:line="120" w:lineRule="exact"/>
              <w:rPr>
                <w:sz w:val="20"/>
                <w:szCs w:val="20"/>
              </w:rPr>
            </w:pPr>
          </w:p>
          <w:p w:rsidRPr="001B2492" w:rsidR="00361393" w:rsidP="00A11020" w:rsidRDefault="00361393" w14:paraId="5479749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Regional Office Review</w:t>
            </w:r>
          </w:p>
        </w:tc>
        <w:tc>
          <w:tcPr>
            <w:tcW w:w="1170" w:type="dxa"/>
            <w:tcBorders>
              <w:top w:val="single" w:color="000000" w:sz="15" w:space="0"/>
              <w:left w:val="single" w:color="000000" w:sz="7" w:space="0"/>
              <w:bottom w:val="single" w:color="000000" w:sz="7" w:space="0"/>
              <w:right w:val="single" w:color="000000" w:sz="7" w:space="0"/>
            </w:tcBorders>
            <w:vAlign w:val="center"/>
          </w:tcPr>
          <w:p w:rsidRPr="001B2492" w:rsidR="00361393" w:rsidP="00A11020" w:rsidRDefault="00361393" w14:paraId="4B49746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$51.51</w:t>
            </w:r>
          </w:p>
        </w:tc>
        <w:tc>
          <w:tcPr>
            <w:tcW w:w="810" w:type="dxa"/>
            <w:tcBorders>
              <w:top w:val="single" w:color="000000" w:sz="15" w:space="0"/>
              <w:left w:val="single" w:color="000000" w:sz="7" w:space="0"/>
              <w:bottom w:val="single" w:color="000000" w:sz="7" w:space="0"/>
              <w:right w:val="single" w:color="000000" w:sz="7" w:space="0"/>
            </w:tcBorders>
          </w:tcPr>
          <w:p w:rsidRPr="001B2492" w:rsidR="00361393" w:rsidP="00A11020" w:rsidRDefault="00361393" w14:paraId="5E7E3C41" w14:textId="77777777">
            <w:pPr>
              <w:spacing w:line="120" w:lineRule="exact"/>
              <w:rPr>
                <w:sz w:val="20"/>
                <w:szCs w:val="20"/>
              </w:rPr>
            </w:pPr>
          </w:p>
          <w:p w:rsidRPr="001B2492" w:rsidR="00361393" w:rsidP="00A11020" w:rsidRDefault="00361393" w14:paraId="78E884C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w:t>
            </w:r>
          </w:p>
        </w:tc>
        <w:tc>
          <w:tcPr>
            <w:tcW w:w="1440" w:type="dxa"/>
            <w:tcBorders>
              <w:top w:val="single" w:color="000000" w:sz="15" w:space="0"/>
              <w:left w:val="single" w:color="000000" w:sz="7" w:space="0"/>
              <w:bottom w:val="single" w:color="000000" w:sz="7" w:space="0"/>
              <w:right w:val="single" w:color="000000" w:sz="7" w:space="0"/>
            </w:tcBorders>
            <w:vAlign w:val="center"/>
          </w:tcPr>
          <w:p w:rsidRPr="001B2492" w:rsidR="00361393" w:rsidP="00A11020" w:rsidRDefault="00361393" w14:paraId="79C3FDA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$103.02 </w:t>
            </w:r>
          </w:p>
        </w:tc>
        <w:tc>
          <w:tcPr>
            <w:tcW w:w="1260" w:type="dxa"/>
            <w:vMerge w:val="restart"/>
            <w:tcBorders>
              <w:top w:val="single" w:color="000000" w:sz="15" w:space="0"/>
              <w:left w:val="single" w:color="000000" w:sz="7" w:space="0"/>
              <w:bottom w:val="nil"/>
              <w:right w:val="single" w:color="000000" w:sz="7" w:space="0"/>
            </w:tcBorders>
          </w:tcPr>
          <w:p w:rsidRPr="001B2492" w:rsidR="00361393" w:rsidP="00A11020" w:rsidRDefault="00361393" w14:paraId="03F828E4" w14:textId="77777777">
            <w:pPr>
              <w:spacing w:line="120" w:lineRule="exact"/>
              <w:rPr>
                <w:sz w:val="20"/>
                <w:szCs w:val="20"/>
              </w:rPr>
            </w:pPr>
          </w:p>
          <w:p w:rsidRPr="001B2492" w:rsidR="00361393" w:rsidP="00A11020" w:rsidRDefault="00361393" w14:paraId="2AC57CB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Pr="001B2492" w:rsidR="00361393" w:rsidP="00A11020" w:rsidRDefault="00361393" w14:paraId="749B1FD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$206.04</w:t>
            </w:r>
          </w:p>
        </w:tc>
      </w:tr>
      <w:tr w:rsidRPr="001B2492" w:rsidR="00361393" w:rsidTr="00B6448B" w14:paraId="0D7D98A3" w14:textId="77777777">
        <w:trPr>
          <w:trHeight w:val="63"/>
        </w:trPr>
        <w:tc>
          <w:tcPr>
            <w:tcW w:w="2700" w:type="dxa"/>
            <w:vMerge/>
            <w:tcBorders>
              <w:top w:val="nil"/>
              <w:left w:val="single" w:color="000000" w:sz="7" w:space="0"/>
              <w:bottom w:val="single" w:color="000000" w:sz="7" w:space="0"/>
              <w:right w:val="single" w:color="000000" w:sz="15" w:space="0"/>
            </w:tcBorders>
            <w:shd w:val="pct10" w:color="000000" w:fill="FFFFFF"/>
          </w:tcPr>
          <w:p w:rsidRPr="001B2492" w:rsidR="00361393" w:rsidP="00A11020" w:rsidRDefault="00361393" w14:paraId="5186B13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6C57C439" w14:textId="77777777">
            <w:pPr>
              <w:spacing w:line="120" w:lineRule="exact"/>
              <w:rPr>
                <w:sz w:val="20"/>
                <w:szCs w:val="20"/>
              </w:rPr>
            </w:pPr>
          </w:p>
          <w:p w:rsidRPr="001B2492" w:rsidR="00361393" w:rsidP="00A11020" w:rsidRDefault="00361393" w14:paraId="59E8BE4F"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GS-13 Program Officer</w:t>
            </w:r>
          </w:p>
        </w:tc>
        <w:tc>
          <w:tcPr>
            <w:tcW w:w="324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3D404BC9" w14:textId="77777777">
            <w:pPr>
              <w:spacing w:line="120" w:lineRule="exact"/>
              <w:rPr>
                <w:sz w:val="20"/>
                <w:szCs w:val="20"/>
              </w:rPr>
            </w:pPr>
          </w:p>
          <w:p w:rsidRPr="001B2492" w:rsidR="00361393" w:rsidP="00A11020" w:rsidRDefault="00361393" w14:paraId="754DDE4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1B2492">
              <w:rPr>
                <w:sz w:val="20"/>
                <w:szCs w:val="20"/>
              </w:rPr>
              <w:t>National Office Review</w:t>
            </w:r>
          </w:p>
        </w:tc>
        <w:tc>
          <w:tcPr>
            <w:tcW w:w="117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15623D1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$51.51</w:t>
            </w:r>
          </w:p>
        </w:tc>
        <w:tc>
          <w:tcPr>
            <w:tcW w:w="810" w:type="dxa"/>
            <w:tcBorders>
              <w:top w:val="single" w:color="000000" w:sz="7" w:space="0"/>
              <w:left w:val="single" w:color="000000" w:sz="7" w:space="0"/>
              <w:bottom w:val="single" w:color="000000" w:sz="7" w:space="0"/>
              <w:right w:val="single" w:color="000000" w:sz="7" w:space="0"/>
            </w:tcBorders>
          </w:tcPr>
          <w:p w:rsidRPr="001B2492" w:rsidR="00361393" w:rsidP="00A11020" w:rsidRDefault="00361393" w14:paraId="61319B8A" w14:textId="77777777">
            <w:pPr>
              <w:spacing w:line="120" w:lineRule="exact"/>
              <w:rPr>
                <w:sz w:val="20"/>
                <w:szCs w:val="20"/>
              </w:rPr>
            </w:pPr>
          </w:p>
          <w:p w:rsidRPr="001B2492" w:rsidR="00361393" w:rsidP="00A11020" w:rsidRDefault="00361393" w14:paraId="7842F59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sz w:val="20"/>
                <w:szCs w:val="20"/>
              </w:rPr>
              <w:t>2</w:t>
            </w:r>
          </w:p>
        </w:tc>
        <w:tc>
          <w:tcPr>
            <w:tcW w:w="1440" w:type="dxa"/>
            <w:tcBorders>
              <w:top w:val="single" w:color="000000" w:sz="7" w:space="0"/>
              <w:left w:val="single" w:color="000000" w:sz="7" w:space="0"/>
              <w:bottom w:val="single" w:color="000000" w:sz="7" w:space="0"/>
              <w:right w:val="single" w:color="000000" w:sz="7" w:space="0"/>
            </w:tcBorders>
            <w:vAlign w:val="center"/>
          </w:tcPr>
          <w:p w:rsidRPr="001B2492" w:rsidR="00361393" w:rsidP="00A11020" w:rsidRDefault="00361393" w14:paraId="21FC450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1B2492">
              <w:rPr>
                <w:color w:val="000000"/>
                <w:sz w:val="20"/>
                <w:szCs w:val="20"/>
              </w:rPr>
              <w:t xml:space="preserve">$103.02 </w:t>
            </w:r>
          </w:p>
        </w:tc>
        <w:tc>
          <w:tcPr>
            <w:tcW w:w="1260" w:type="dxa"/>
            <w:vMerge/>
            <w:tcBorders>
              <w:top w:val="nil"/>
              <w:left w:val="single" w:color="000000" w:sz="7" w:space="0"/>
              <w:bottom w:val="single" w:color="000000" w:sz="7" w:space="0"/>
              <w:right w:val="single" w:color="000000" w:sz="7" w:space="0"/>
            </w:tcBorders>
          </w:tcPr>
          <w:p w:rsidRPr="001B2492" w:rsidR="00361393" w:rsidP="00A11020" w:rsidRDefault="00361393" w14:paraId="31A560F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bl>
    <w:p w:rsidRPr="001B2492" w:rsidR="00361393" w:rsidP="00361393" w:rsidRDefault="00361393" w14:paraId="70DF735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rPr>
          <w:b/>
          <w:sz w:val="18"/>
          <w:szCs w:val="18"/>
        </w:rPr>
      </w:pPr>
    </w:p>
    <w:tbl>
      <w:tblPr>
        <w:tblpPr w:leftFromText="180" w:rightFromText="180" w:vertAnchor="text" w:tblpY="1"/>
        <w:tblOverlap w:val="never"/>
        <w:tblW w:w="9230" w:type="dxa"/>
        <w:tblLook w:val="04A0" w:firstRow="1" w:lastRow="0" w:firstColumn="1" w:lastColumn="0" w:noHBand="0" w:noVBand="1"/>
      </w:tblPr>
      <w:tblGrid>
        <w:gridCol w:w="2560"/>
        <w:gridCol w:w="1550"/>
        <w:gridCol w:w="1260"/>
        <w:gridCol w:w="1260"/>
        <w:gridCol w:w="1480"/>
        <w:gridCol w:w="1216"/>
      </w:tblGrid>
      <w:tr w:rsidRPr="001B2492" w:rsidR="00361393" w:rsidTr="5A644184" w14:paraId="1947F967"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24E4ED14" w14:textId="77777777">
            <w:pPr>
              <w:widowControl/>
              <w:autoSpaceDE/>
              <w:autoSpaceDN/>
              <w:adjustRightInd/>
              <w:rPr>
                <w:b/>
                <w:color w:val="000000"/>
                <w:sz w:val="20"/>
                <w:szCs w:val="20"/>
                <w:u w:val="single"/>
              </w:rPr>
            </w:pPr>
            <w:r w:rsidRPr="001B2492">
              <w:rPr>
                <w:b/>
                <w:color w:val="000000"/>
                <w:sz w:val="20"/>
                <w:szCs w:val="20"/>
                <w:u w:val="single"/>
              </w:rPr>
              <w:t>Grand Total Calculations</w:t>
            </w:r>
            <w:r w:rsidRPr="001B2492" w:rsidR="00F77A7D">
              <w:rPr>
                <w:b/>
                <w:color w:val="000000"/>
                <w:sz w:val="20"/>
                <w:szCs w:val="20"/>
                <w:u w:val="single"/>
              </w:rPr>
              <w:t>:</w:t>
            </w:r>
          </w:p>
        </w:tc>
        <w:tc>
          <w:tcPr>
            <w:tcW w:w="1550" w:type="dxa"/>
            <w:tcBorders>
              <w:top w:val="nil"/>
              <w:left w:val="nil"/>
              <w:right w:val="nil"/>
            </w:tcBorders>
            <w:shd w:val="clear" w:color="auto" w:fill="auto"/>
            <w:noWrap/>
            <w:vAlign w:val="bottom"/>
            <w:hideMark/>
          </w:tcPr>
          <w:p w:rsidRPr="001B2492" w:rsidR="00361393" w:rsidP="00B6448B" w:rsidRDefault="00361393" w14:paraId="3A413BF6" w14:textId="77777777">
            <w:pPr>
              <w:widowControl/>
              <w:autoSpaceDE/>
              <w:autoSpaceDN/>
              <w:adjustRightInd/>
              <w:rPr>
                <w:color w:val="000000"/>
                <w:sz w:val="20"/>
                <w:szCs w:val="20"/>
              </w:rPr>
            </w:pPr>
          </w:p>
        </w:tc>
        <w:tc>
          <w:tcPr>
            <w:tcW w:w="1260" w:type="dxa"/>
            <w:tcBorders>
              <w:top w:val="nil"/>
              <w:left w:val="nil"/>
              <w:right w:val="nil"/>
            </w:tcBorders>
            <w:shd w:val="clear" w:color="auto" w:fill="auto"/>
            <w:noWrap/>
            <w:vAlign w:val="bottom"/>
            <w:hideMark/>
          </w:tcPr>
          <w:p w:rsidRPr="001B2492" w:rsidR="00361393" w:rsidP="00B6448B" w:rsidRDefault="00361393" w14:paraId="33D28B4B" w14:textId="77777777">
            <w:pPr>
              <w:widowControl/>
              <w:autoSpaceDE/>
              <w:autoSpaceDN/>
              <w:adjustRightInd/>
              <w:rPr>
                <w:color w:val="000000"/>
                <w:sz w:val="20"/>
                <w:szCs w:val="20"/>
              </w:rPr>
            </w:pPr>
          </w:p>
        </w:tc>
        <w:tc>
          <w:tcPr>
            <w:tcW w:w="1260" w:type="dxa"/>
            <w:tcBorders>
              <w:top w:val="nil"/>
              <w:left w:val="nil"/>
              <w:right w:val="nil"/>
            </w:tcBorders>
            <w:shd w:val="clear" w:color="auto" w:fill="auto"/>
            <w:noWrap/>
            <w:vAlign w:val="bottom"/>
            <w:hideMark/>
          </w:tcPr>
          <w:p w:rsidRPr="001B2492" w:rsidR="00361393" w:rsidP="00B6448B" w:rsidRDefault="00361393" w14:paraId="37EFA3E3" w14:textId="77777777">
            <w:pPr>
              <w:widowControl/>
              <w:autoSpaceDE/>
              <w:autoSpaceDN/>
              <w:adjustRightInd/>
              <w:rPr>
                <w:color w:val="000000"/>
                <w:sz w:val="20"/>
                <w:szCs w:val="20"/>
              </w:rPr>
            </w:pPr>
          </w:p>
        </w:tc>
        <w:tc>
          <w:tcPr>
            <w:tcW w:w="1480" w:type="dxa"/>
            <w:tcBorders>
              <w:top w:val="nil"/>
              <w:left w:val="nil"/>
              <w:right w:val="nil"/>
            </w:tcBorders>
            <w:shd w:val="clear" w:color="auto" w:fill="auto"/>
            <w:noWrap/>
            <w:vAlign w:val="bottom"/>
            <w:hideMark/>
          </w:tcPr>
          <w:p w:rsidRPr="001B2492" w:rsidR="00361393" w:rsidP="00B6448B" w:rsidRDefault="00361393" w14:paraId="41C6AC2A" w14:textId="77777777">
            <w:pPr>
              <w:widowControl/>
              <w:autoSpaceDE/>
              <w:autoSpaceDN/>
              <w:adjustRightInd/>
              <w:rPr>
                <w:color w:val="000000"/>
                <w:sz w:val="20"/>
                <w:szCs w:val="20"/>
              </w:rPr>
            </w:pPr>
          </w:p>
        </w:tc>
        <w:tc>
          <w:tcPr>
            <w:tcW w:w="1120" w:type="dxa"/>
            <w:tcBorders>
              <w:top w:val="nil"/>
              <w:left w:val="nil"/>
              <w:right w:val="nil"/>
            </w:tcBorders>
            <w:shd w:val="clear" w:color="auto" w:fill="auto"/>
            <w:noWrap/>
            <w:vAlign w:val="bottom"/>
            <w:hideMark/>
          </w:tcPr>
          <w:p w:rsidRPr="001B2492" w:rsidR="00361393" w:rsidP="00B6448B" w:rsidRDefault="00361393" w14:paraId="2DC44586" w14:textId="77777777">
            <w:pPr>
              <w:widowControl/>
              <w:autoSpaceDE/>
              <w:autoSpaceDN/>
              <w:adjustRightInd/>
              <w:rPr>
                <w:color w:val="000000"/>
                <w:sz w:val="20"/>
                <w:szCs w:val="20"/>
              </w:rPr>
            </w:pPr>
          </w:p>
        </w:tc>
      </w:tr>
      <w:tr w:rsidRPr="001B2492" w:rsidR="00361393" w:rsidTr="5A644184" w14:paraId="46358271" w14:textId="77777777">
        <w:trPr>
          <w:trHeight w:val="510"/>
        </w:trPr>
        <w:tc>
          <w:tcPr>
            <w:tcW w:w="2560" w:type="dxa"/>
            <w:tcBorders>
              <w:top w:val="nil"/>
              <w:left w:val="nil"/>
              <w:bottom w:val="nil"/>
              <w:right w:val="nil"/>
            </w:tcBorders>
            <w:shd w:val="clear" w:color="auto" w:fill="auto"/>
            <w:noWrap/>
            <w:vAlign w:val="bottom"/>
            <w:hideMark/>
          </w:tcPr>
          <w:p w:rsidRPr="001B2492" w:rsidR="00361393" w:rsidP="00B6448B" w:rsidRDefault="00361393" w14:paraId="4FFCBC07" w14:textId="77777777">
            <w:pPr>
              <w:widowControl/>
              <w:autoSpaceDE/>
              <w:autoSpaceDN/>
              <w:adjustRightInd/>
              <w:rPr>
                <w:color w:val="000000"/>
                <w:sz w:val="20"/>
                <w:szCs w:val="20"/>
              </w:rPr>
            </w:pPr>
          </w:p>
        </w:tc>
        <w:tc>
          <w:tcPr>
            <w:tcW w:w="1550" w:type="dxa"/>
            <w:tcBorders>
              <w:top w:val="nil"/>
              <w:left w:val="nil"/>
              <w:bottom w:val="single" w:color="auto" w:sz="4" w:space="0"/>
              <w:right w:val="nil"/>
            </w:tcBorders>
            <w:shd w:val="clear" w:color="auto" w:fill="auto"/>
            <w:noWrap/>
            <w:vAlign w:val="bottom"/>
            <w:hideMark/>
          </w:tcPr>
          <w:p w:rsidRPr="001B2492" w:rsidR="00361393" w:rsidP="00B6448B" w:rsidRDefault="00361393" w14:paraId="5C52C904" w14:textId="77777777">
            <w:pPr>
              <w:widowControl/>
              <w:autoSpaceDE/>
              <w:autoSpaceDN/>
              <w:adjustRightInd/>
              <w:rPr>
                <w:b/>
                <w:bCs/>
                <w:color w:val="000000"/>
                <w:sz w:val="20"/>
                <w:szCs w:val="20"/>
              </w:rPr>
            </w:pPr>
            <w:r w:rsidRPr="001B2492">
              <w:rPr>
                <w:b/>
                <w:bCs/>
                <w:color w:val="000000"/>
                <w:sz w:val="20"/>
                <w:szCs w:val="20"/>
              </w:rPr>
              <w:t>Comprehensive</w:t>
            </w:r>
          </w:p>
        </w:tc>
        <w:tc>
          <w:tcPr>
            <w:tcW w:w="1260" w:type="dxa"/>
            <w:tcBorders>
              <w:top w:val="nil"/>
              <w:left w:val="nil"/>
              <w:bottom w:val="single" w:color="auto" w:sz="4" w:space="0"/>
              <w:right w:val="nil"/>
            </w:tcBorders>
            <w:shd w:val="clear" w:color="auto" w:fill="auto"/>
            <w:noWrap/>
            <w:vAlign w:val="bottom"/>
            <w:hideMark/>
          </w:tcPr>
          <w:p w:rsidRPr="001B2492" w:rsidR="00361393" w:rsidP="00B6448B" w:rsidRDefault="00361393" w14:paraId="010DEC45" w14:textId="77777777">
            <w:pPr>
              <w:widowControl/>
              <w:autoSpaceDE/>
              <w:autoSpaceDN/>
              <w:adjustRightInd/>
              <w:rPr>
                <w:b/>
                <w:bCs/>
                <w:color w:val="000000"/>
                <w:sz w:val="20"/>
                <w:szCs w:val="20"/>
              </w:rPr>
            </w:pPr>
            <w:r w:rsidRPr="001B2492">
              <w:rPr>
                <w:b/>
                <w:bCs/>
                <w:color w:val="000000"/>
                <w:sz w:val="20"/>
                <w:szCs w:val="20"/>
              </w:rPr>
              <w:t>Interim</w:t>
            </w:r>
          </w:p>
        </w:tc>
        <w:tc>
          <w:tcPr>
            <w:tcW w:w="1260" w:type="dxa"/>
            <w:tcBorders>
              <w:top w:val="nil"/>
              <w:left w:val="nil"/>
              <w:bottom w:val="single" w:color="auto" w:sz="4" w:space="0"/>
              <w:right w:val="nil"/>
            </w:tcBorders>
            <w:shd w:val="clear" w:color="auto" w:fill="auto"/>
            <w:noWrap/>
            <w:vAlign w:val="bottom"/>
            <w:hideMark/>
          </w:tcPr>
          <w:p w:rsidRPr="001B2492" w:rsidR="00361393" w:rsidP="00B6448B" w:rsidRDefault="00361393" w14:paraId="2F7AF8B3" w14:textId="77777777">
            <w:pPr>
              <w:widowControl/>
              <w:autoSpaceDE/>
              <w:autoSpaceDN/>
              <w:adjustRightInd/>
              <w:rPr>
                <w:b/>
                <w:bCs/>
                <w:color w:val="000000"/>
                <w:sz w:val="20"/>
                <w:szCs w:val="20"/>
              </w:rPr>
            </w:pPr>
            <w:r w:rsidRPr="001B2492">
              <w:rPr>
                <w:b/>
                <w:bCs/>
                <w:color w:val="000000"/>
                <w:sz w:val="20"/>
                <w:szCs w:val="20"/>
              </w:rPr>
              <w:t>Quarterly</w:t>
            </w:r>
          </w:p>
        </w:tc>
        <w:tc>
          <w:tcPr>
            <w:tcW w:w="1480" w:type="dxa"/>
            <w:tcBorders>
              <w:top w:val="nil"/>
              <w:left w:val="nil"/>
              <w:bottom w:val="single" w:color="auto" w:sz="4" w:space="0"/>
              <w:right w:val="nil"/>
            </w:tcBorders>
            <w:shd w:val="clear" w:color="auto" w:fill="auto"/>
            <w:vAlign w:val="bottom"/>
            <w:hideMark/>
          </w:tcPr>
          <w:p w:rsidRPr="001B2492" w:rsidR="00361393" w:rsidP="00B6448B" w:rsidRDefault="00361393" w14:paraId="3DADD0B4" w14:textId="77777777">
            <w:pPr>
              <w:widowControl/>
              <w:autoSpaceDE/>
              <w:autoSpaceDN/>
              <w:adjustRightInd/>
              <w:rPr>
                <w:b/>
                <w:bCs/>
                <w:color w:val="000000"/>
                <w:sz w:val="20"/>
                <w:szCs w:val="20"/>
              </w:rPr>
            </w:pPr>
            <w:r w:rsidRPr="001B2492">
              <w:rPr>
                <w:b/>
                <w:bCs/>
                <w:color w:val="000000"/>
                <w:sz w:val="20"/>
                <w:szCs w:val="20"/>
              </w:rPr>
              <w:t>Cooperative Agreements</w:t>
            </w:r>
          </w:p>
        </w:tc>
        <w:tc>
          <w:tcPr>
            <w:tcW w:w="1120" w:type="dxa"/>
            <w:tcBorders>
              <w:top w:val="nil"/>
              <w:left w:val="nil"/>
              <w:bottom w:val="single" w:color="auto" w:sz="4" w:space="0"/>
              <w:right w:val="nil"/>
            </w:tcBorders>
            <w:shd w:val="clear" w:color="auto" w:fill="auto"/>
            <w:noWrap/>
            <w:vAlign w:val="bottom"/>
            <w:hideMark/>
          </w:tcPr>
          <w:p w:rsidRPr="001B2492" w:rsidR="00361393" w:rsidP="00B6448B" w:rsidRDefault="00361393" w14:paraId="30C80894" w14:textId="77777777">
            <w:pPr>
              <w:widowControl/>
              <w:autoSpaceDE/>
              <w:autoSpaceDN/>
              <w:adjustRightInd/>
              <w:jc w:val="center"/>
              <w:rPr>
                <w:b/>
                <w:color w:val="000000"/>
                <w:sz w:val="20"/>
                <w:szCs w:val="20"/>
              </w:rPr>
            </w:pPr>
            <w:r w:rsidRPr="001B2492">
              <w:rPr>
                <w:b/>
                <w:color w:val="000000"/>
                <w:sz w:val="20"/>
                <w:szCs w:val="20"/>
              </w:rPr>
              <w:t>GRAND TOTAL</w:t>
            </w:r>
          </w:p>
        </w:tc>
      </w:tr>
      <w:tr w:rsidRPr="001B2492" w:rsidR="00361393" w:rsidTr="5A644184" w14:paraId="724428A9"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4C93E251" w14:textId="77777777">
            <w:pPr>
              <w:widowControl/>
              <w:autoSpaceDE/>
              <w:autoSpaceDN/>
              <w:adjustRightInd/>
              <w:rPr>
                <w:b/>
                <w:bCs/>
                <w:color w:val="000000"/>
                <w:sz w:val="20"/>
                <w:szCs w:val="20"/>
              </w:rPr>
            </w:pPr>
            <w:r w:rsidRPr="001B2492">
              <w:rPr>
                <w:b/>
                <w:bCs/>
                <w:color w:val="000000"/>
                <w:sz w:val="20"/>
                <w:szCs w:val="20"/>
              </w:rPr>
              <w:t>Government:</w:t>
            </w:r>
          </w:p>
        </w:tc>
        <w:tc>
          <w:tcPr>
            <w:tcW w:w="1550" w:type="dxa"/>
            <w:tcBorders>
              <w:top w:val="single" w:color="auto" w:sz="4" w:space="0"/>
              <w:left w:val="nil"/>
              <w:bottom w:val="nil"/>
              <w:right w:val="nil"/>
            </w:tcBorders>
            <w:shd w:val="clear" w:color="auto" w:fill="auto"/>
            <w:noWrap/>
            <w:vAlign w:val="bottom"/>
            <w:hideMark/>
          </w:tcPr>
          <w:p w:rsidRPr="001B2492" w:rsidR="00361393" w:rsidP="00B6448B" w:rsidRDefault="00361393" w14:paraId="1728B4D0" w14:textId="77777777">
            <w:pPr>
              <w:widowControl/>
              <w:autoSpaceDE/>
              <w:autoSpaceDN/>
              <w:adjustRightInd/>
              <w:rPr>
                <w:color w:val="000000"/>
                <w:sz w:val="20"/>
                <w:szCs w:val="20"/>
              </w:rPr>
            </w:pPr>
          </w:p>
        </w:tc>
        <w:tc>
          <w:tcPr>
            <w:tcW w:w="1260" w:type="dxa"/>
            <w:tcBorders>
              <w:top w:val="single" w:color="auto" w:sz="4" w:space="0"/>
              <w:left w:val="nil"/>
              <w:bottom w:val="nil"/>
              <w:right w:val="nil"/>
            </w:tcBorders>
            <w:shd w:val="clear" w:color="auto" w:fill="auto"/>
            <w:noWrap/>
            <w:vAlign w:val="bottom"/>
            <w:hideMark/>
          </w:tcPr>
          <w:p w:rsidRPr="001B2492" w:rsidR="00361393" w:rsidP="00B6448B" w:rsidRDefault="00361393" w14:paraId="34959D4B" w14:textId="77777777">
            <w:pPr>
              <w:widowControl/>
              <w:autoSpaceDE/>
              <w:autoSpaceDN/>
              <w:adjustRightInd/>
              <w:rPr>
                <w:color w:val="000000"/>
                <w:sz w:val="20"/>
                <w:szCs w:val="20"/>
              </w:rPr>
            </w:pPr>
          </w:p>
        </w:tc>
        <w:tc>
          <w:tcPr>
            <w:tcW w:w="1260" w:type="dxa"/>
            <w:tcBorders>
              <w:top w:val="single" w:color="auto" w:sz="4" w:space="0"/>
              <w:left w:val="nil"/>
              <w:bottom w:val="nil"/>
              <w:right w:val="nil"/>
            </w:tcBorders>
            <w:shd w:val="clear" w:color="auto" w:fill="auto"/>
            <w:noWrap/>
            <w:vAlign w:val="bottom"/>
            <w:hideMark/>
          </w:tcPr>
          <w:p w:rsidRPr="001B2492" w:rsidR="00361393" w:rsidP="00B6448B" w:rsidRDefault="00361393" w14:paraId="7BD58BA2" w14:textId="77777777">
            <w:pPr>
              <w:widowControl/>
              <w:autoSpaceDE/>
              <w:autoSpaceDN/>
              <w:adjustRightInd/>
              <w:rPr>
                <w:color w:val="000000"/>
                <w:sz w:val="20"/>
                <w:szCs w:val="20"/>
              </w:rPr>
            </w:pPr>
          </w:p>
        </w:tc>
        <w:tc>
          <w:tcPr>
            <w:tcW w:w="1480" w:type="dxa"/>
            <w:tcBorders>
              <w:top w:val="single" w:color="auto" w:sz="4" w:space="0"/>
              <w:left w:val="nil"/>
              <w:bottom w:val="nil"/>
              <w:right w:val="nil"/>
            </w:tcBorders>
            <w:shd w:val="clear" w:color="auto" w:fill="auto"/>
            <w:noWrap/>
            <w:vAlign w:val="bottom"/>
            <w:hideMark/>
          </w:tcPr>
          <w:p w:rsidRPr="001B2492" w:rsidR="00361393" w:rsidP="00B6448B" w:rsidRDefault="00361393" w14:paraId="4357A966" w14:textId="77777777">
            <w:pPr>
              <w:widowControl/>
              <w:autoSpaceDE/>
              <w:autoSpaceDN/>
              <w:adjustRightInd/>
              <w:rPr>
                <w:color w:val="000000"/>
                <w:sz w:val="20"/>
                <w:szCs w:val="20"/>
              </w:rPr>
            </w:pPr>
          </w:p>
        </w:tc>
        <w:tc>
          <w:tcPr>
            <w:tcW w:w="1120" w:type="dxa"/>
            <w:tcBorders>
              <w:top w:val="single" w:color="auto" w:sz="4" w:space="0"/>
              <w:left w:val="nil"/>
              <w:bottom w:val="nil"/>
              <w:right w:val="nil"/>
            </w:tcBorders>
            <w:shd w:val="clear" w:color="auto" w:fill="auto"/>
            <w:noWrap/>
            <w:vAlign w:val="bottom"/>
            <w:hideMark/>
          </w:tcPr>
          <w:p w:rsidRPr="001B2492" w:rsidR="00361393" w:rsidP="00B6448B" w:rsidRDefault="00361393" w14:paraId="44690661" w14:textId="77777777">
            <w:pPr>
              <w:widowControl/>
              <w:autoSpaceDE/>
              <w:autoSpaceDN/>
              <w:adjustRightInd/>
              <w:rPr>
                <w:color w:val="000000"/>
                <w:sz w:val="20"/>
                <w:szCs w:val="20"/>
              </w:rPr>
            </w:pPr>
          </w:p>
        </w:tc>
      </w:tr>
      <w:tr w:rsidRPr="001B2492" w:rsidR="00361393" w:rsidTr="5A644184" w14:paraId="36D3D5A0"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3A29FD46" w14:textId="77777777">
            <w:pPr>
              <w:widowControl/>
              <w:autoSpaceDE/>
              <w:autoSpaceDN/>
              <w:adjustRightInd/>
              <w:rPr>
                <w:color w:val="000000"/>
                <w:sz w:val="20"/>
                <w:szCs w:val="20"/>
              </w:rPr>
            </w:pPr>
            <w:r w:rsidRPr="001B2492">
              <w:rPr>
                <w:color w:val="000000"/>
                <w:sz w:val="20"/>
                <w:szCs w:val="20"/>
              </w:rPr>
              <w:t>Labor Costs</w:t>
            </w:r>
          </w:p>
        </w:tc>
        <w:tc>
          <w:tcPr>
            <w:tcW w:w="1550" w:type="dxa"/>
            <w:tcBorders>
              <w:top w:val="nil"/>
              <w:left w:val="nil"/>
              <w:bottom w:val="nil"/>
              <w:right w:val="nil"/>
            </w:tcBorders>
            <w:shd w:val="clear" w:color="auto" w:fill="auto"/>
            <w:noWrap/>
            <w:vAlign w:val="center"/>
            <w:hideMark/>
          </w:tcPr>
          <w:p w:rsidRPr="001B2492" w:rsidR="00361393" w:rsidP="00B6448B" w:rsidRDefault="00361393" w14:paraId="6ACC7C9F" w14:textId="77777777">
            <w:pPr>
              <w:widowControl/>
              <w:autoSpaceDE/>
              <w:autoSpaceDN/>
              <w:adjustRightInd/>
              <w:jc w:val="right"/>
              <w:rPr>
                <w:color w:val="000000"/>
                <w:sz w:val="20"/>
                <w:szCs w:val="20"/>
              </w:rPr>
            </w:pPr>
            <w:r w:rsidRPr="001B2492">
              <w:rPr>
                <w:color w:val="000000"/>
                <w:sz w:val="20"/>
                <w:szCs w:val="20"/>
              </w:rPr>
              <w:t xml:space="preserve">$4,812.54 </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381BDC64" w14:textId="77777777">
            <w:pPr>
              <w:widowControl/>
              <w:autoSpaceDE/>
              <w:autoSpaceDN/>
              <w:adjustRightInd/>
              <w:jc w:val="right"/>
              <w:rPr>
                <w:color w:val="000000"/>
                <w:sz w:val="20"/>
                <w:szCs w:val="20"/>
              </w:rPr>
            </w:pPr>
            <w:r w:rsidRPr="001B2492">
              <w:rPr>
                <w:color w:val="000000"/>
                <w:sz w:val="20"/>
                <w:szCs w:val="20"/>
              </w:rPr>
              <w:t xml:space="preserve">$1,315.08 </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4B84C89E" w14:textId="77777777">
            <w:pPr>
              <w:widowControl/>
              <w:autoSpaceDE/>
              <w:autoSpaceDN/>
              <w:adjustRightInd/>
              <w:jc w:val="right"/>
              <w:rPr>
                <w:color w:val="000000"/>
                <w:sz w:val="20"/>
                <w:szCs w:val="20"/>
              </w:rPr>
            </w:pPr>
            <w:r w:rsidRPr="001B2492">
              <w:rPr>
                <w:color w:val="000000"/>
                <w:sz w:val="20"/>
                <w:szCs w:val="20"/>
              </w:rPr>
              <w:t xml:space="preserve">$206.04 </w:t>
            </w:r>
          </w:p>
        </w:tc>
        <w:tc>
          <w:tcPr>
            <w:tcW w:w="1480" w:type="dxa"/>
            <w:tcBorders>
              <w:top w:val="nil"/>
              <w:left w:val="nil"/>
              <w:bottom w:val="nil"/>
              <w:right w:val="nil"/>
            </w:tcBorders>
            <w:shd w:val="clear" w:color="auto" w:fill="auto"/>
            <w:noWrap/>
            <w:vAlign w:val="center"/>
            <w:hideMark/>
          </w:tcPr>
          <w:p w:rsidRPr="001B2492" w:rsidR="00361393" w:rsidP="00B6448B" w:rsidRDefault="00361393" w14:paraId="126412D4" w14:textId="77777777">
            <w:pPr>
              <w:widowControl/>
              <w:autoSpaceDE/>
              <w:autoSpaceDN/>
              <w:adjustRightInd/>
              <w:jc w:val="right"/>
              <w:rPr>
                <w:color w:val="000000"/>
                <w:sz w:val="20"/>
                <w:szCs w:val="20"/>
              </w:rPr>
            </w:pPr>
            <w:r w:rsidRPr="001B2492">
              <w:rPr>
                <w:color w:val="000000"/>
                <w:sz w:val="20"/>
                <w:szCs w:val="20"/>
              </w:rPr>
              <w:t xml:space="preserve">$206.04 </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74539910" w14:textId="77777777">
            <w:pPr>
              <w:widowControl/>
              <w:autoSpaceDE/>
              <w:autoSpaceDN/>
              <w:adjustRightInd/>
              <w:rPr>
                <w:color w:val="000000"/>
                <w:sz w:val="20"/>
                <w:szCs w:val="20"/>
              </w:rPr>
            </w:pPr>
          </w:p>
        </w:tc>
      </w:tr>
      <w:tr w:rsidRPr="001B2492" w:rsidR="00361393" w:rsidTr="5A644184" w14:paraId="6A208AA3"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68D82F34" w14:textId="77777777">
            <w:pPr>
              <w:widowControl/>
              <w:autoSpaceDE/>
              <w:autoSpaceDN/>
              <w:adjustRightInd/>
              <w:rPr>
                <w:color w:val="000000"/>
                <w:sz w:val="20"/>
                <w:szCs w:val="20"/>
                <w:u w:val="single"/>
              </w:rPr>
            </w:pPr>
            <w:r w:rsidRPr="001B2492">
              <w:rPr>
                <w:color w:val="000000"/>
                <w:sz w:val="20"/>
                <w:szCs w:val="20"/>
                <w:u w:val="single"/>
              </w:rPr>
              <w:t xml:space="preserve"> x 38.1% Benefits</w:t>
            </w:r>
          </w:p>
        </w:tc>
        <w:tc>
          <w:tcPr>
            <w:tcW w:w="1550" w:type="dxa"/>
            <w:tcBorders>
              <w:top w:val="nil"/>
              <w:left w:val="nil"/>
              <w:bottom w:val="nil"/>
              <w:right w:val="nil"/>
            </w:tcBorders>
            <w:shd w:val="clear" w:color="auto" w:fill="auto"/>
            <w:noWrap/>
            <w:vAlign w:val="center"/>
            <w:hideMark/>
          </w:tcPr>
          <w:p w:rsidRPr="001B2492" w:rsidR="00361393" w:rsidP="00B6448B" w:rsidRDefault="00361393" w14:paraId="002043B4" w14:textId="77777777">
            <w:pPr>
              <w:widowControl/>
              <w:autoSpaceDE/>
              <w:autoSpaceDN/>
              <w:adjustRightInd/>
              <w:jc w:val="right"/>
              <w:rPr>
                <w:color w:val="000000"/>
                <w:sz w:val="20"/>
                <w:szCs w:val="20"/>
                <w:u w:val="single"/>
              </w:rPr>
            </w:pPr>
            <w:r w:rsidRPr="001B2492">
              <w:rPr>
                <w:color w:val="000000"/>
                <w:sz w:val="20"/>
                <w:szCs w:val="20"/>
                <w:u w:val="single"/>
              </w:rPr>
              <w:t>1.381</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202CB1F4" w14:textId="77777777">
            <w:pPr>
              <w:widowControl/>
              <w:autoSpaceDE/>
              <w:autoSpaceDN/>
              <w:adjustRightInd/>
              <w:jc w:val="right"/>
              <w:rPr>
                <w:color w:val="000000"/>
                <w:sz w:val="20"/>
                <w:szCs w:val="20"/>
                <w:u w:val="single"/>
              </w:rPr>
            </w:pPr>
            <w:r w:rsidRPr="001B2492">
              <w:rPr>
                <w:color w:val="000000"/>
                <w:sz w:val="20"/>
                <w:szCs w:val="20"/>
                <w:u w:val="single"/>
              </w:rPr>
              <w:t>1.381</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1D13CE48" w14:textId="77777777">
            <w:pPr>
              <w:widowControl/>
              <w:autoSpaceDE/>
              <w:autoSpaceDN/>
              <w:adjustRightInd/>
              <w:jc w:val="right"/>
              <w:rPr>
                <w:color w:val="000000"/>
                <w:sz w:val="20"/>
                <w:szCs w:val="20"/>
                <w:u w:val="single"/>
              </w:rPr>
            </w:pPr>
            <w:r w:rsidRPr="001B2492">
              <w:rPr>
                <w:color w:val="000000"/>
                <w:sz w:val="20"/>
                <w:szCs w:val="20"/>
                <w:u w:val="single"/>
              </w:rPr>
              <w:t>1.381</w:t>
            </w:r>
          </w:p>
        </w:tc>
        <w:tc>
          <w:tcPr>
            <w:tcW w:w="1480" w:type="dxa"/>
            <w:tcBorders>
              <w:top w:val="nil"/>
              <w:left w:val="nil"/>
              <w:bottom w:val="nil"/>
              <w:right w:val="nil"/>
            </w:tcBorders>
            <w:shd w:val="clear" w:color="auto" w:fill="auto"/>
            <w:noWrap/>
            <w:vAlign w:val="center"/>
            <w:hideMark/>
          </w:tcPr>
          <w:p w:rsidRPr="001B2492" w:rsidR="00361393" w:rsidP="00B6448B" w:rsidRDefault="00361393" w14:paraId="62D85EA1" w14:textId="77777777">
            <w:pPr>
              <w:widowControl/>
              <w:autoSpaceDE/>
              <w:autoSpaceDN/>
              <w:adjustRightInd/>
              <w:jc w:val="right"/>
              <w:rPr>
                <w:color w:val="000000"/>
                <w:sz w:val="20"/>
                <w:szCs w:val="20"/>
                <w:u w:val="single"/>
              </w:rPr>
            </w:pPr>
            <w:r w:rsidRPr="001B2492">
              <w:rPr>
                <w:color w:val="000000"/>
                <w:sz w:val="20"/>
                <w:szCs w:val="20"/>
                <w:u w:val="single"/>
              </w:rPr>
              <w:t>1.381</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5A7E0CF2" w14:textId="77777777">
            <w:pPr>
              <w:widowControl/>
              <w:autoSpaceDE/>
              <w:autoSpaceDN/>
              <w:adjustRightInd/>
              <w:rPr>
                <w:color w:val="000000"/>
                <w:sz w:val="20"/>
                <w:szCs w:val="20"/>
              </w:rPr>
            </w:pPr>
          </w:p>
        </w:tc>
      </w:tr>
      <w:tr w:rsidRPr="001B2492" w:rsidR="00361393" w:rsidTr="5A644184" w14:paraId="2956E098" w14:textId="77777777">
        <w:trPr>
          <w:trHeight w:val="510"/>
        </w:trPr>
        <w:tc>
          <w:tcPr>
            <w:tcW w:w="2560" w:type="dxa"/>
            <w:tcBorders>
              <w:top w:val="nil"/>
              <w:left w:val="nil"/>
              <w:bottom w:val="nil"/>
              <w:right w:val="nil"/>
            </w:tcBorders>
            <w:shd w:val="clear" w:color="auto" w:fill="auto"/>
            <w:vAlign w:val="bottom"/>
            <w:hideMark/>
          </w:tcPr>
          <w:p w:rsidRPr="001B2492" w:rsidR="00361393" w:rsidP="00B6448B" w:rsidRDefault="00361393" w14:paraId="0372926C" w14:textId="77777777">
            <w:pPr>
              <w:widowControl/>
              <w:autoSpaceDE/>
              <w:autoSpaceDN/>
              <w:adjustRightInd/>
              <w:rPr>
                <w:color w:val="000000"/>
                <w:sz w:val="20"/>
                <w:szCs w:val="20"/>
              </w:rPr>
            </w:pPr>
            <w:r w:rsidRPr="001B2492">
              <w:rPr>
                <w:color w:val="000000"/>
                <w:sz w:val="20"/>
                <w:szCs w:val="20"/>
              </w:rPr>
              <w:t>Total Labor Costs  per Consultation</w:t>
            </w:r>
          </w:p>
        </w:tc>
        <w:tc>
          <w:tcPr>
            <w:tcW w:w="1550" w:type="dxa"/>
            <w:tcBorders>
              <w:top w:val="nil"/>
              <w:left w:val="nil"/>
              <w:bottom w:val="nil"/>
              <w:right w:val="nil"/>
            </w:tcBorders>
            <w:shd w:val="clear" w:color="auto" w:fill="auto"/>
            <w:noWrap/>
            <w:vAlign w:val="center"/>
          </w:tcPr>
          <w:p w:rsidRPr="001B2492" w:rsidR="00361393" w:rsidP="00BA1F1C" w:rsidRDefault="00361393" w14:paraId="06605FB7" w14:textId="125F2BEE">
            <w:pPr>
              <w:widowControl/>
              <w:autoSpaceDE/>
              <w:autoSpaceDN/>
              <w:adjustRightInd/>
              <w:jc w:val="right"/>
              <w:rPr>
                <w:b/>
                <w:bCs/>
                <w:color w:val="000000"/>
                <w:sz w:val="20"/>
                <w:szCs w:val="20"/>
              </w:rPr>
            </w:pPr>
            <w:r w:rsidRPr="001B2492">
              <w:rPr>
                <w:b/>
                <w:bCs/>
                <w:color w:val="000000"/>
                <w:sz w:val="20"/>
                <w:szCs w:val="20"/>
              </w:rPr>
              <w:t>$6,646.1</w:t>
            </w:r>
            <w:r w:rsidRPr="001B2492" w:rsidR="00BA1F1C">
              <w:rPr>
                <w:b/>
                <w:bCs/>
                <w:color w:val="000000"/>
                <w:sz w:val="20"/>
                <w:szCs w:val="20"/>
              </w:rPr>
              <w:t>2</w:t>
            </w:r>
          </w:p>
        </w:tc>
        <w:tc>
          <w:tcPr>
            <w:tcW w:w="1260" w:type="dxa"/>
            <w:tcBorders>
              <w:top w:val="nil"/>
              <w:left w:val="nil"/>
              <w:bottom w:val="nil"/>
              <w:right w:val="nil"/>
            </w:tcBorders>
            <w:shd w:val="clear" w:color="auto" w:fill="auto"/>
            <w:noWrap/>
            <w:vAlign w:val="center"/>
          </w:tcPr>
          <w:p w:rsidRPr="001B2492" w:rsidR="00361393" w:rsidP="00BE29C1" w:rsidRDefault="00361393" w14:paraId="0F05622B" w14:textId="6824F55E">
            <w:pPr>
              <w:widowControl/>
              <w:autoSpaceDE/>
              <w:autoSpaceDN/>
              <w:adjustRightInd/>
              <w:jc w:val="right"/>
              <w:rPr>
                <w:b/>
                <w:bCs/>
                <w:color w:val="000000"/>
                <w:sz w:val="20"/>
                <w:szCs w:val="20"/>
              </w:rPr>
            </w:pPr>
            <w:r w:rsidRPr="001B2492">
              <w:rPr>
                <w:b/>
                <w:bCs/>
                <w:color w:val="000000" w:themeColor="text1"/>
                <w:sz w:val="20"/>
                <w:szCs w:val="20"/>
              </w:rPr>
              <w:t>$1,816.1</w:t>
            </w:r>
            <w:r w:rsidRPr="001B2492" w:rsidR="00BE29C1">
              <w:rPr>
                <w:b/>
                <w:bCs/>
                <w:color w:val="000000" w:themeColor="text1"/>
                <w:sz w:val="20"/>
                <w:szCs w:val="20"/>
              </w:rPr>
              <w:t>3</w:t>
            </w:r>
          </w:p>
        </w:tc>
        <w:tc>
          <w:tcPr>
            <w:tcW w:w="1260" w:type="dxa"/>
            <w:tcBorders>
              <w:top w:val="nil"/>
              <w:left w:val="nil"/>
              <w:bottom w:val="nil"/>
              <w:right w:val="nil"/>
            </w:tcBorders>
            <w:shd w:val="clear" w:color="auto" w:fill="auto"/>
            <w:noWrap/>
            <w:vAlign w:val="center"/>
          </w:tcPr>
          <w:p w:rsidRPr="001B2492" w:rsidR="00361393" w:rsidP="00B6448B" w:rsidRDefault="00361393" w14:paraId="18329EE8" w14:textId="77777777">
            <w:pPr>
              <w:widowControl/>
              <w:autoSpaceDE/>
              <w:autoSpaceDN/>
              <w:adjustRightInd/>
              <w:jc w:val="right"/>
              <w:rPr>
                <w:b/>
                <w:bCs/>
                <w:color w:val="000000"/>
                <w:sz w:val="20"/>
                <w:szCs w:val="20"/>
              </w:rPr>
            </w:pPr>
            <w:r w:rsidRPr="001B2492">
              <w:rPr>
                <w:b/>
                <w:bCs/>
                <w:color w:val="000000"/>
                <w:sz w:val="20"/>
                <w:szCs w:val="20"/>
              </w:rPr>
              <w:t>$284.54</w:t>
            </w:r>
          </w:p>
        </w:tc>
        <w:tc>
          <w:tcPr>
            <w:tcW w:w="1480" w:type="dxa"/>
            <w:tcBorders>
              <w:top w:val="nil"/>
              <w:left w:val="nil"/>
              <w:bottom w:val="nil"/>
              <w:right w:val="nil"/>
            </w:tcBorders>
            <w:shd w:val="clear" w:color="auto" w:fill="auto"/>
            <w:noWrap/>
            <w:vAlign w:val="center"/>
          </w:tcPr>
          <w:p w:rsidRPr="001B2492" w:rsidR="00361393" w:rsidP="00B6448B" w:rsidRDefault="00361393" w14:paraId="61EE76BD" w14:textId="77777777">
            <w:pPr>
              <w:widowControl/>
              <w:autoSpaceDE/>
              <w:autoSpaceDN/>
              <w:adjustRightInd/>
              <w:jc w:val="right"/>
              <w:rPr>
                <w:b/>
                <w:bCs/>
                <w:color w:val="000000"/>
                <w:sz w:val="20"/>
                <w:szCs w:val="20"/>
              </w:rPr>
            </w:pPr>
            <w:r w:rsidRPr="001B2492">
              <w:rPr>
                <w:b/>
                <w:bCs/>
                <w:color w:val="000000"/>
                <w:sz w:val="20"/>
                <w:szCs w:val="20"/>
              </w:rPr>
              <w:t>$284.54</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60FA6563" w14:textId="77777777">
            <w:pPr>
              <w:widowControl/>
              <w:autoSpaceDE/>
              <w:autoSpaceDN/>
              <w:adjustRightInd/>
              <w:rPr>
                <w:color w:val="000000"/>
                <w:sz w:val="20"/>
                <w:szCs w:val="20"/>
              </w:rPr>
            </w:pPr>
          </w:p>
        </w:tc>
      </w:tr>
      <w:tr w:rsidRPr="001B2492" w:rsidR="00361393" w:rsidTr="5A644184" w14:paraId="312A7746" w14:textId="77777777">
        <w:trPr>
          <w:trHeight w:val="510"/>
        </w:trPr>
        <w:tc>
          <w:tcPr>
            <w:tcW w:w="2560" w:type="dxa"/>
            <w:tcBorders>
              <w:top w:val="nil"/>
              <w:left w:val="nil"/>
              <w:bottom w:val="nil"/>
              <w:right w:val="nil"/>
            </w:tcBorders>
            <w:shd w:val="clear" w:color="auto" w:fill="auto"/>
            <w:vAlign w:val="bottom"/>
            <w:hideMark/>
          </w:tcPr>
          <w:p w:rsidRPr="001B2492" w:rsidR="00361393" w:rsidP="00B6448B" w:rsidRDefault="00361393" w14:paraId="3FB781A9" w14:textId="77777777">
            <w:pPr>
              <w:widowControl/>
              <w:autoSpaceDE/>
              <w:autoSpaceDN/>
              <w:adjustRightInd/>
              <w:rPr>
                <w:color w:val="000000"/>
                <w:sz w:val="20"/>
                <w:szCs w:val="20"/>
              </w:rPr>
            </w:pPr>
            <w:r w:rsidRPr="001B2492">
              <w:rPr>
                <w:color w:val="000000"/>
                <w:sz w:val="20"/>
                <w:szCs w:val="20"/>
              </w:rPr>
              <w:t>x Number of Consultation Programs</w:t>
            </w:r>
          </w:p>
        </w:tc>
        <w:tc>
          <w:tcPr>
            <w:tcW w:w="1550" w:type="dxa"/>
            <w:tcBorders>
              <w:top w:val="nil"/>
              <w:left w:val="nil"/>
              <w:bottom w:val="nil"/>
              <w:right w:val="nil"/>
            </w:tcBorders>
            <w:shd w:val="clear" w:color="auto" w:fill="auto"/>
            <w:noWrap/>
            <w:vAlign w:val="center"/>
            <w:hideMark/>
          </w:tcPr>
          <w:p w:rsidRPr="001B2492" w:rsidR="00361393" w:rsidP="00B6448B" w:rsidRDefault="00361393" w14:paraId="75A96932" w14:textId="77777777">
            <w:pPr>
              <w:widowControl/>
              <w:autoSpaceDE/>
              <w:autoSpaceDN/>
              <w:adjustRightInd/>
              <w:jc w:val="right"/>
              <w:rPr>
                <w:color w:val="000000"/>
                <w:sz w:val="20"/>
                <w:szCs w:val="20"/>
              </w:rPr>
            </w:pPr>
            <w:r w:rsidRPr="001B2492">
              <w:rPr>
                <w:color w:val="000000"/>
                <w:sz w:val="20"/>
                <w:szCs w:val="20"/>
              </w:rPr>
              <w:t>53</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0156A849" w14:textId="77777777">
            <w:pPr>
              <w:widowControl/>
              <w:autoSpaceDE/>
              <w:autoSpaceDN/>
              <w:adjustRightInd/>
              <w:jc w:val="right"/>
              <w:rPr>
                <w:color w:val="000000"/>
                <w:sz w:val="20"/>
                <w:szCs w:val="20"/>
              </w:rPr>
            </w:pPr>
            <w:r w:rsidRPr="001B2492">
              <w:rPr>
                <w:color w:val="000000"/>
                <w:sz w:val="20"/>
                <w:szCs w:val="20"/>
              </w:rPr>
              <w:t>53</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172BA0D5" w14:textId="77777777">
            <w:pPr>
              <w:widowControl/>
              <w:autoSpaceDE/>
              <w:autoSpaceDN/>
              <w:adjustRightInd/>
              <w:jc w:val="right"/>
              <w:rPr>
                <w:color w:val="000000"/>
                <w:sz w:val="20"/>
                <w:szCs w:val="20"/>
              </w:rPr>
            </w:pPr>
            <w:r w:rsidRPr="001B2492">
              <w:rPr>
                <w:color w:val="000000"/>
                <w:sz w:val="20"/>
                <w:szCs w:val="20"/>
              </w:rPr>
              <w:t>53</w:t>
            </w:r>
          </w:p>
        </w:tc>
        <w:tc>
          <w:tcPr>
            <w:tcW w:w="1480" w:type="dxa"/>
            <w:tcBorders>
              <w:top w:val="nil"/>
              <w:left w:val="nil"/>
              <w:bottom w:val="nil"/>
              <w:right w:val="nil"/>
            </w:tcBorders>
            <w:shd w:val="clear" w:color="auto" w:fill="auto"/>
            <w:noWrap/>
            <w:vAlign w:val="center"/>
            <w:hideMark/>
          </w:tcPr>
          <w:p w:rsidRPr="001B2492" w:rsidR="00361393" w:rsidP="00B6448B" w:rsidRDefault="00361393" w14:paraId="7496BD11" w14:textId="77777777">
            <w:pPr>
              <w:widowControl/>
              <w:autoSpaceDE/>
              <w:autoSpaceDN/>
              <w:adjustRightInd/>
              <w:jc w:val="right"/>
              <w:rPr>
                <w:color w:val="000000"/>
                <w:sz w:val="20"/>
                <w:szCs w:val="20"/>
              </w:rPr>
            </w:pPr>
            <w:r w:rsidRPr="001B2492">
              <w:rPr>
                <w:color w:val="000000"/>
                <w:sz w:val="20"/>
                <w:szCs w:val="20"/>
              </w:rPr>
              <w:t>53</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1AC5CDBE" w14:textId="77777777">
            <w:pPr>
              <w:widowControl/>
              <w:autoSpaceDE/>
              <w:autoSpaceDN/>
              <w:adjustRightInd/>
              <w:rPr>
                <w:color w:val="000000"/>
                <w:sz w:val="20"/>
                <w:szCs w:val="20"/>
              </w:rPr>
            </w:pPr>
          </w:p>
        </w:tc>
      </w:tr>
      <w:tr w:rsidRPr="001B2492" w:rsidR="00361393" w:rsidTr="5A644184" w14:paraId="6565A2DF"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4A0ABE4E" w14:textId="77777777">
            <w:pPr>
              <w:widowControl/>
              <w:autoSpaceDE/>
              <w:autoSpaceDN/>
              <w:adjustRightInd/>
              <w:rPr>
                <w:color w:val="000000"/>
                <w:sz w:val="20"/>
                <w:szCs w:val="20"/>
              </w:rPr>
            </w:pPr>
            <w:r w:rsidRPr="001B2492">
              <w:rPr>
                <w:color w:val="000000"/>
                <w:sz w:val="20"/>
                <w:szCs w:val="20"/>
              </w:rPr>
              <w:t>Subtotals</w:t>
            </w:r>
          </w:p>
        </w:tc>
        <w:tc>
          <w:tcPr>
            <w:tcW w:w="1550" w:type="dxa"/>
            <w:tcBorders>
              <w:top w:val="nil"/>
              <w:left w:val="nil"/>
              <w:bottom w:val="nil"/>
              <w:right w:val="nil"/>
            </w:tcBorders>
            <w:shd w:val="clear" w:color="auto" w:fill="auto"/>
            <w:noWrap/>
            <w:vAlign w:val="center"/>
            <w:hideMark/>
          </w:tcPr>
          <w:p w:rsidRPr="001B2492" w:rsidR="00361393" w:rsidP="00BA1F1C" w:rsidRDefault="00361393" w14:paraId="0B8A64DA" w14:textId="6CE601EB">
            <w:pPr>
              <w:widowControl/>
              <w:autoSpaceDE/>
              <w:autoSpaceDN/>
              <w:adjustRightInd/>
              <w:jc w:val="right"/>
              <w:rPr>
                <w:color w:val="000000"/>
                <w:sz w:val="20"/>
                <w:szCs w:val="20"/>
              </w:rPr>
            </w:pPr>
            <w:r w:rsidRPr="001B2492">
              <w:rPr>
                <w:color w:val="000000"/>
                <w:sz w:val="20"/>
                <w:szCs w:val="20"/>
              </w:rPr>
              <w:t>$352,244.</w:t>
            </w:r>
            <w:r w:rsidRPr="001B2492" w:rsidR="00BA1F1C">
              <w:rPr>
                <w:color w:val="000000"/>
                <w:sz w:val="20"/>
                <w:szCs w:val="20"/>
              </w:rPr>
              <w:t>36</w:t>
            </w:r>
            <w:r w:rsidRPr="001B2492">
              <w:rPr>
                <w:color w:val="000000"/>
                <w:sz w:val="20"/>
                <w:szCs w:val="20"/>
              </w:rPr>
              <w:t xml:space="preserve"> </w:t>
            </w:r>
          </w:p>
        </w:tc>
        <w:tc>
          <w:tcPr>
            <w:tcW w:w="1260" w:type="dxa"/>
            <w:tcBorders>
              <w:top w:val="nil"/>
              <w:left w:val="nil"/>
              <w:bottom w:val="nil"/>
              <w:right w:val="nil"/>
            </w:tcBorders>
            <w:shd w:val="clear" w:color="auto" w:fill="auto"/>
            <w:noWrap/>
            <w:vAlign w:val="center"/>
            <w:hideMark/>
          </w:tcPr>
          <w:p w:rsidRPr="001B2492" w:rsidR="00361393" w:rsidP="00BA1F1C" w:rsidRDefault="00361393" w14:paraId="5B6690C4" w14:textId="4EE48E5B">
            <w:pPr>
              <w:widowControl/>
              <w:autoSpaceDE/>
              <w:autoSpaceDN/>
              <w:adjustRightInd/>
              <w:jc w:val="right"/>
              <w:rPr>
                <w:color w:val="000000"/>
                <w:sz w:val="20"/>
                <w:szCs w:val="20"/>
              </w:rPr>
            </w:pPr>
            <w:r w:rsidRPr="001B2492">
              <w:rPr>
                <w:color w:val="000000"/>
                <w:sz w:val="20"/>
                <w:szCs w:val="20"/>
              </w:rPr>
              <w:t>$96,254.</w:t>
            </w:r>
            <w:r w:rsidRPr="001B2492" w:rsidR="00BA1F1C">
              <w:rPr>
                <w:color w:val="000000"/>
                <w:sz w:val="20"/>
                <w:szCs w:val="20"/>
              </w:rPr>
              <w:t>89</w:t>
            </w:r>
            <w:r w:rsidRPr="001B2492">
              <w:rPr>
                <w:color w:val="000000"/>
                <w:sz w:val="20"/>
                <w:szCs w:val="20"/>
              </w:rPr>
              <w:t xml:space="preserve"> </w:t>
            </w:r>
          </w:p>
        </w:tc>
        <w:tc>
          <w:tcPr>
            <w:tcW w:w="1260" w:type="dxa"/>
            <w:tcBorders>
              <w:top w:val="nil"/>
              <w:left w:val="nil"/>
              <w:bottom w:val="nil"/>
              <w:right w:val="nil"/>
            </w:tcBorders>
            <w:shd w:val="clear" w:color="auto" w:fill="auto"/>
            <w:noWrap/>
            <w:vAlign w:val="center"/>
            <w:hideMark/>
          </w:tcPr>
          <w:p w:rsidRPr="001B2492" w:rsidR="00361393" w:rsidP="00BA1F1C" w:rsidRDefault="00361393" w14:paraId="2039374A" w14:textId="313607CF">
            <w:pPr>
              <w:widowControl/>
              <w:autoSpaceDE/>
              <w:autoSpaceDN/>
              <w:adjustRightInd/>
              <w:jc w:val="right"/>
              <w:rPr>
                <w:color w:val="000000"/>
                <w:sz w:val="20"/>
                <w:szCs w:val="20"/>
              </w:rPr>
            </w:pPr>
            <w:r w:rsidRPr="001B2492">
              <w:rPr>
                <w:color w:val="000000"/>
                <w:sz w:val="20"/>
                <w:szCs w:val="20"/>
              </w:rPr>
              <w:t>$15,080.6</w:t>
            </w:r>
            <w:r w:rsidRPr="001B2492" w:rsidR="00BA1F1C">
              <w:rPr>
                <w:color w:val="000000"/>
                <w:sz w:val="20"/>
                <w:szCs w:val="20"/>
              </w:rPr>
              <w:t>9</w:t>
            </w:r>
            <w:r w:rsidRPr="001B2492">
              <w:rPr>
                <w:color w:val="000000"/>
                <w:sz w:val="20"/>
                <w:szCs w:val="20"/>
              </w:rPr>
              <w:t xml:space="preserve"> </w:t>
            </w:r>
          </w:p>
        </w:tc>
        <w:tc>
          <w:tcPr>
            <w:tcW w:w="1480" w:type="dxa"/>
            <w:tcBorders>
              <w:top w:val="nil"/>
              <w:left w:val="nil"/>
              <w:bottom w:val="nil"/>
              <w:right w:val="nil"/>
            </w:tcBorders>
            <w:shd w:val="clear" w:color="auto" w:fill="auto"/>
            <w:noWrap/>
            <w:vAlign w:val="center"/>
            <w:hideMark/>
          </w:tcPr>
          <w:p w:rsidRPr="001B2492" w:rsidR="00361393" w:rsidP="00BA1F1C" w:rsidRDefault="00361393" w14:paraId="10166D2C" w14:textId="00D6665F">
            <w:pPr>
              <w:widowControl/>
              <w:autoSpaceDE/>
              <w:autoSpaceDN/>
              <w:adjustRightInd/>
              <w:jc w:val="right"/>
              <w:rPr>
                <w:color w:val="000000"/>
                <w:sz w:val="20"/>
                <w:szCs w:val="20"/>
              </w:rPr>
            </w:pPr>
            <w:r w:rsidRPr="001B2492">
              <w:rPr>
                <w:color w:val="000000" w:themeColor="text1"/>
                <w:sz w:val="20"/>
                <w:szCs w:val="20"/>
              </w:rPr>
              <w:t>$15,080.6</w:t>
            </w:r>
            <w:r w:rsidRPr="001B2492" w:rsidR="00BA1F1C">
              <w:rPr>
                <w:color w:val="000000" w:themeColor="text1"/>
                <w:sz w:val="20"/>
                <w:szCs w:val="20"/>
              </w:rPr>
              <w:t>9</w:t>
            </w:r>
            <w:r w:rsidRPr="001B2492">
              <w:rPr>
                <w:color w:val="000000" w:themeColor="text1"/>
                <w:sz w:val="20"/>
                <w:szCs w:val="20"/>
              </w:rPr>
              <w:t xml:space="preserve"> </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342D4C27" w14:textId="77777777">
            <w:pPr>
              <w:widowControl/>
              <w:autoSpaceDE/>
              <w:autoSpaceDN/>
              <w:adjustRightInd/>
              <w:rPr>
                <w:color w:val="000000"/>
                <w:sz w:val="20"/>
                <w:szCs w:val="20"/>
              </w:rPr>
            </w:pPr>
          </w:p>
        </w:tc>
      </w:tr>
      <w:tr w:rsidRPr="001B2492" w:rsidR="00361393" w:rsidTr="5A644184" w14:paraId="69686764" w14:textId="77777777">
        <w:trPr>
          <w:trHeight w:val="510"/>
        </w:trPr>
        <w:tc>
          <w:tcPr>
            <w:tcW w:w="2560" w:type="dxa"/>
            <w:tcBorders>
              <w:top w:val="nil"/>
              <w:left w:val="nil"/>
              <w:bottom w:val="nil"/>
              <w:right w:val="nil"/>
            </w:tcBorders>
            <w:shd w:val="clear" w:color="auto" w:fill="auto"/>
            <w:noWrap/>
            <w:vAlign w:val="bottom"/>
            <w:hideMark/>
          </w:tcPr>
          <w:p w:rsidRPr="001B2492" w:rsidR="00361393" w:rsidP="00B6448B" w:rsidRDefault="00361393" w14:paraId="5F701A1C" w14:textId="77777777">
            <w:pPr>
              <w:widowControl/>
              <w:autoSpaceDE/>
              <w:autoSpaceDN/>
              <w:adjustRightInd/>
              <w:rPr>
                <w:color w:val="000000"/>
                <w:sz w:val="20"/>
                <w:szCs w:val="20"/>
              </w:rPr>
            </w:pPr>
            <w:r w:rsidRPr="001B2492">
              <w:rPr>
                <w:color w:val="000000"/>
                <w:sz w:val="20"/>
                <w:szCs w:val="20"/>
              </w:rPr>
              <w:t xml:space="preserve"> x  Frequency</w:t>
            </w:r>
          </w:p>
        </w:tc>
        <w:tc>
          <w:tcPr>
            <w:tcW w:w="1550" w:type="dxa"/>
            <w:tcBorders>
              <w:top w:val="nil"/>
              <w:left w:val="nil"/>
              <w:bottom w:val="nil"/>
              <w:right w:val="nil"/>
            </w:tcBorders>
            <w:shd w:val="clear" w:color="auto" w:fill="auto"/>
            <w:vAlign w:val="center"/>
            <w:hideMark/>
          </w:tcPr>
          <w:p w:rsidRPr="001B2492" w:rsidR="00361393" w:rsidP="00B6448B" w:rsidRDefault="00361393" w14:paraId="062479EB" w14:textId="77777777">
            <w:pPr>
              <w:widowControl/>
              <w:autoSpaceDE/>
              <w:autoSpaceDN/>
              <w:adjustRightInd/>
              <w:jc w:val="right"/>
              <w:rPr>
                <w:color w:val="000000"/>
                <w:sz w:val="20"/>
                <w:szCs w:val="20"/>
              </w:rPr>
            </w:pPr>
            <w:r w:rsidRPr="001B2492">
              <w:rPr>
                <w:color w:val="000000"/>
                <w:sz w:val="20"/>
                <w:szCs w:val="20"/>
              </w:rPr>
              <w:t>Every Two Years</w:t>
            </w:r>
          </w:p>
        </w:tc>
        <w:tc>
          <w:tcPr>
            <w:tcW w:w="1260" w:type="dxa"/>
            <w:tcBorders>
              <w:top w:val="nil"/>
              <w:left w:val="nil"/>
              <w:bottom w:val="nil"/>
              <w:right w:val="nil"/>
            </w:tcBorders>
            <w:shd w:val="clear" w:color="auto" w:fill="auto"/>
            <w:vAlign w:val="center"/>
            <w:hideMark/>
          </w:tcPr>
          <w:p w:rsidRPr="001B2492" w:rsidR="00361393" w:rsidP="00B6448B" w:rsidRDefault="005A02AB" w14:paraId="21962B48" w14:textId="6EA09F00">
            <w:pPr>
              <w:widowControl/>
              <w:autoSpaceDE/>
              <w:autoSpaceDN/>
              <w:adjustRightInd/>
              <w:jc w:val="right"/>
              <w:rPr>
                <w:color w:val="000000"/>
                <w:sz w:val="20"/>
                <w:szCs w:val="20"/>
              </w:rPr>
            </w:pPr>
            <w:r w:rsidRPr="001B2492">
              <w:rPr>
                <w:color w:val="000000"/>
                <w:sz w:val="20"/>
                <w:szCs w:val="20"/>
              </w:rPr>
              <w:t xml:space="preserve"> </w:t>
            </w:r>
            <w:r w:rsidRPr="001B2492" w:rsidR="00361393">
              <w:rPr>
                <w:color w:val="000000"/>
                <w:sz w:val="20"/>
                <w:szCs w:val="20"/>
              </w:rPr>
              <w:t>Every Two Years</w:t>
            </w:r>
          </w:p>
        </w:tc>
        <w:tc>
          <w:tcPr>
            <w:tcW w:w="1260" w:type="dxa"/>
            <w:tcBorders>
              <w:top w:val="nil"/>
              <w:left w:val="nil"/>
              <w:bottom w:val="nil"/>
              <w:right w:val="nil"/>
            </w:tcBorders>
            <w:shd w:val="clear" w:color="auto" w:fill="auto"/>
            <w:noWrap/>
            <w:vAlign w:val="center"/>
            <w:hideMark/>
          </w:tcPr>
          <w:p w:rsidRPr="001B2492" w:rsidR="00361393" w:rsidP="00B6448B" w:rsidRDefault="00361393" w14:paraId="182DB2A9" w14:textId="77777777">
            <w:pPr>
              <w:widowControl/>
              <w:autoSpaceDE/>
              <w:autoSpaceDN/>
              <w:adjustRightInd/>
              <w:jc w:val="right"/>
              <w:rPr>
                <w:color w:val="000000"/>
                <w:sz w:val="20"/>
                <w:szCs w:val="20"/>
              </w:rPr>
            </w:pPr>
            <w:r w:rsidRPr="001B2492">
              <w:rPr>
                <w:color w:val="000000"/>
                <w:sz w:val="20"/>
                <w:szCs w:val="20"/>
              </w:rPr>
              <w:t xml:space="preserve">Every Quarter </w:t>
            </w:r>
          </w:p>
        </w:tc>
        <w:tc>
          <w:tcPr>
            <w:tcW w:w="1480" w:type="dxa"/>
            <w:tcBorders>
              <w:top w:val="nil"/>
              <w:left w:val="nil"/>
              <w:bottom w:val="nil"/>
              <w:right w:val="nil"/>
            </w:tcBorders>
            <w:shd w:val="clear" w:color="auto" w:fill="auto"/>
            <w:noWrap/>
            <w:vAlign w:val="center"/>
            <w:hideMark/>
          </w:tcPr>
          <w:p w:rsidRPr="001B2492" w:rsidR="00361393" w:rsidP="00B6448B" w:rsidRDefault="00361393" w14:paraId="6867D454" w14:textId="77777777">
            <w:pPr>
              <w:widowControl/>
              <w:autoSpaceDE/>
              <w:autoSpaceDN/>
              <w:adjustRightInd/>
              <w:jc w:val="right"/>
              <w:rPr>
                <w:color w:val="000000"/>
                <w:sz w:val="20"/>
                <w:szCs w:val="20"/>
              </w:rPr>
            </w:pPr>
            <w:r w:rsidRPr="001B2492">
              <w:rPr>
                <w:color w:val="000000"/>
                <w:sz w:val="20"/>
                <w:szCs w:val="20"/>
              </w:rPr>
              <w:t>Yearly</w:t>
            </w:r>
          </w:p>
        </w:tc>
        <w:tc>
          <w:tcPr>
            <w:tcW w:w="1120" w:type="dxa"/>
            <w:tcBorders>
              <w:top w:val="nil"/>
              <w:left w:val="nil"/>
              <w:bottom w:val="nil"/>
              <w:right w:val="nil"/>
            </w:tcBorders>
            <w:shd w:val="clear" w:color="auto" w:fill="auto"/>
            <w:noWrap/>
            <w:vAlign w:val="bottom"/>
            <w:hideMark/>
          </w:tcPr>
          <w:p w:rsidRPr="001B2492" w:rsidR="00361393" w:rsidP="00B6448B" w:rsidRDefault="00361393" w14:paraId="3572E399" w14:textId="77777777">
            <w:pPr>
              <w:widowControl/>
              <w:autoSpaceDE/>
              <w:autoSpaceDN/>
              <w:adjustRightInd/>
              <w:rPr>
                <w:color w:val="000000"/>
                <w:sz w:val="20"/>
                <w:szCs w:val="20"/>
              </w:rPr>
            </w:pPr>
          </w:p>
        </w:tc>
      </w:tr>
      <w:tr w:rsidRPr="001B2492" w:rsidR="00361393" w:rsidTr="5A644184" w14:paraId="08B8D90C" w14:textId="77777777">
        <w:trPr>
          <w:trHeight w:val="255"/>
        </w:trPr>
        <w:tc>
          <w:tcPr>
            <w:tcW w:w="2560" w:type="dxa"/>
            <w:tcBorders>
              <w:top w:val="nil"/>
              <w:left w:val="nil"/>
              <w:bottom w:val="nil"/>
              <w:right w:val="nil"/>
            </w:tcBorders>
            <w:shd w:val="clear" w:color="auto" w:fill="auto"/>
            <w:noWrap/>
            <w:vAlign w:val="bottom"/>
            <w:hideMark/>
          </w:tcPr>
          <w:p w:rsidRPr="001B2492" w:rsidR="00361393" w:rsidP="00B6448B" w:rsidRDefault="00361393" w14:paraId="0BF8237E" w14:textId="77777777">
            <w:pPr>
              <w:widowControl/>
              <w:autoSpaceDE/>
              <w:autoSpaceDN/>
              <w:adjustRightInd/>
              <w:rPr>
                <w:color w:val="000000"/>
                <w:sz w:val="20"/>
                <w:szCs w:val="20"/>
              </w:rPr>
            </w:pPr>
            <w:r w:rsidRPr="001B2492">
              <w:rPr>
                <w:color w:val="000000"/>
                <w:sz w:val="20"/>
                <w:szCs w:val="20"/>
              </w:rPr>
              <w:t>Totals Rounded</w:t>
            </w:r>
          </w:p>
        </w:tc>
        <w:tc>
          <w:tcPr>
            <w:tcW w:w="1550" w:type="dxa"/>
            <w:tcBorders>
              <w:top w:val="nil"/>
              <w:left w:val="nil"/>
              <w:bottom w:val="nil"/>
              <w:right w:val="nil"/>
            </w:tcBorders>
            <w:shd w:val="clear" w:color="auto" w:fill="auto"/>
            <w:noWrap/>
            <w:vAlign w:val="center"/>
            <w:hideMark/>
          </w:tcPr>
          <w:p w:rsidRPr="001B2492" w:rsidR="00361393" w:rsidP="00BA1F1C" w:rsidRDefault="00361393" w14:paraId="5425A409" w14:textId="3C21F9A4">
            <w:pPr>
              <w:widowControl/>
              <w:autoSpaceDE/>
              <w:autoSpaceDN/>
              <w:adjustRightInd/>
              <w:jc w:val="right"/>
              <w:rPr>
                <w:b/>
                <w:bCs/>
                <w:color w:val="000000"/>
                <w:sz w:val="20"/>
                <w:szCs w:val="20"/>
              </w:rPr>
            </w:pPr>
            <w:r w:rsidRPr="001B2492">
              <w:rPr>
                <w:b/>
                <w:bCs/>
                <w:color w:val="000000"/>
                <w:sz w:val="20"/>
                <w:szCs w:val="20"/>
              </w:rPr>
              <w:t>$176,122.1</w:t>
            </w:r>
            <w:r w:rsidRPr="001B2492" w:rsidR="00BA1F1C">
              <w:rPr>
                <w:b/>
                <w:bCs/>
                <w:color w:val="000000"/>
                <w:sz w:val="20"/>
                <w:szCs w:val="20"/>
              </w:rPr>
              <w:t>8</w:t>
            </w:r>
            <w:r w:rsidRPr="001B2492">
              <w:rPr>
                <w:b/>
                <w:bCs/>
                <w:color w:val="000000"/>
                <w:sz w:val="20"/>
                <w:szCs w:val="20"/>
              </w:rPr>
              <w:t xml:space="preserve"> </w:t>
            </w:r>
          </w:p>
        </w:tc>
        <w:tc>
          <w:tcPr>
            <w:tcW w:w="1260" w:type="dxa"/>
            <w:tcBorders>
              <w:top w:val="nil"/>
              <w:left w:val="nil"/>
              <w:bottom w:val="nil"/>
              <w:right w:val="nil"/>
            </w:tcBorders>
            <w:shd w:val="clear" w:color="auto" w:fill="auto"/>
            <w:noWrap/>
            <w:vAlign w:val="center"/>
            <w:hideMark/>
          </w:tcPr>
          <w:p w:rsidRPr="001B2492" w:rsidR="00361393" w:rsidP="00BA1F1C" w:rsidRDefault="00361393" w14:paraId="7110C81F" w14:textId="7E72EC15">
            <w:pPr>
              <w:widowControl/>
              <w:autoSpaceDE/>
              <w:autoSpaceDN/>
              <w:adjustRightInd/>
              <w:jc w:val="right"/>
              <w:rPr>
                <w:b/>
                <w:bCs/>
                <w:color w:val="000000"/>
                <w:sz w:val="20"/>
                <w:szCs w:val="20"/>
              </w:rPr>
            </w:pPr>
            <w:r w:rsidRPr="001B2492">
              <w:rPr>
                <w:b/>
                <w:bCs/>
                <w:color w:val="000000"/>
                <w:sz w:val="20"/>
                <w:szCs w:val="20"/>
              </w:rPr>
              <w:t>$48,127.</w:t>
            </w:r>
            <w:r w:rsidRPr="001B2492" w:rsidR="00BA1F1C">
              <w:rPr>
                <w:b/>
                <w:bCs/>
                <w:color w:val="000000"/>
                <w:sz w:val="20"/>
                <w:szCs w:val="20"/>
              </w:rPr>
              <w:t>45</w:t>
            </w:r>
            <w:r w:rsidRPr="001B2492">
              <w:rPr>
                <w:b/>
                <w:bCs/>
                <w:color w:val="000000"/>
                <w:sz w:val="20"/>
                <w:szCs w:val="20"/>
              </w:rPr>
              <w:t xml:space="preserve"> </w:t>
            </w:r>
          </w:p>
        </w:tc>
        <w:tc>
          <w:tcPr>
            <w:tcW w:w="1260" w:type="dxa"/>
            <w:tcBorders>
              <w:top w:val="nil"/>
              <w:left w:val="nil"/>
              <w:bottom w:val="nil"/>
              <w:right w:val="nil"/>
            </w:tcBorders>
            <w:shd w:val="clear" w:color="auto" w:fill="auto"/>
            <w:noWrap/>
            <w:vAlign w:val="center"/>
            <w:hideMark/>
          </w:tcPr>
          <w:p w:rsidRPr="001B2492" w:rsidR="00361393" w:rsidP="002A1471" w:rsidRDefault="00361393" w14:paraId="1D1E6BA9" w14:textId="19D7CF54">
            <w:pPr>
              <w:widowControl/>
              <w:autoSpaceDE/>
              <w:autoSpaceDN/>
              <w:adjustRightInd/>
              <w:jc w:val="right"/>
              <w:rPr>
                <w:b/>
                <w:bCs/>
                <w:color w:val="000000"/>
                <w:sz w:val="20"/>
                <w:szCs w:val="20"/>
              </w:rPr>
            </w:pPr>
            <w:r w:rsidRPr="001B2492">
              <w:rPr>
                <w:b/>
                <w:bCs/>
                <w:color w:val="000000"/>
                <w:sz w:val="20"/>
                <w:szCs w:val="20"/>
              </w:rPr>
              <w:t>$60,322.7</w:t>
            </w:r>
            <w:r w:rsidRPr="001B2492" w:rsidR="002A1471">
              <w:rPr>
                <w:b/>
                <w:bCs/>
                <w:color w:val="000000"/>
                <w:sz w:val="20"/>
                <w:szCs w:val="20"/>
              </w:rPr>
              <w:t>6</w:t>
            </w:r>
            <w:r w:rsidRPr="001B2492">
              <w:rPr>
                <w:b/>
                <w:bCs/>
                <w:color w:val="000000"/>
                <w:sz w:val="20"/>
                <w:szCs w:val="20"/>
              </w:rPr>
              <w:t xml:space="preserve"> </w:t>
            </w:r>
          </w:p>
        </w:tc>
        <w:tc>
          <w:tcPr>
            <w:tcW w:w="1480" w:type="dxa"/>
            <w:tcBorders>
              <w:top w:val="nil"/>
              <w:left w:val="nil"/>
              <w:bottom w:val="nil"/>
              <w:right w:val="nil"/>
            </w:tcBorders>
            <w:shd w:val="clear" w:color="auto" w:fill="auto"/>
            <w:noWrap/>
            <w:vAlign w:val="center"/>
            <w:hideMark/>
          </w:tcPr>
          <w:p w:rsidRPr="001B2492" w:rsidR="00361393" w:rsidP="002A1471" w:rsidRDefault="00361393" w14:paraId="1A06001E" w14:textId="073979FF">
            <w:pPr>
              <w:widowControl/>
              <w:autoSpaceDE/>
              <w:autoSpaceDN/>
              <w:adjustRightInd/>
              <w:jc w:val="right"/>
              <w:rPr>
                <w:b/>
                <w:bCs/>
                <w:color w:val="000000"/>
                <w:sz w:val="20"/>
                <w:szCs w:val="20"/>
              </w:rPr>
            </w:pPr>
            <w:r w:rsidRPr="001B2492">
              <w:rPr>
                <w:b/>
                <w:bCs/>
                <w:color w:val="000000"/>
                <w:sz w:val="20"/>
                <w:szCs w:val="20"/>
              </w:rPr>
              <w:t>$15,080.6</w:t>
            </w:r>
            <w:r w:rsidRPr="001B2492" w:rsidR="002A1471">
              <w:rPr>
                <w:b/>
                <w:bCs/>
                <w:color w:val="000000"/>
                <w:sz w:val="20"/>
                <w:szCs w:val="20"/>
              </w:rPr>
              <w:t>9</w:t>
            </w:r>
            <w:r w:rsidRPr="001B2492">
              <w:rPr>
                <w:b/>
                <w:bCs/>
                <w:color w:val="000000"/>
                <w:sz w:val="20"/>
                <w:szCs w:val="20"/>
              </w:rPr>
              <w:t xml:space="preserve"> </w:t>
            </w:r>
          </w:p>
        </w:tc>
        <w:tc>
          <w:tcPr>
            <w:tcW w:w="1120" w:type="dxa"/>
            <w:tcBorders>
              <w:top w:val="nil"/>
              <w:left w:val="nil"/>
              <w:bottom w:val="nil"/>
              <w:right w:val="nil"/>
            </w:tcBorders>
            <w:shd w:val="clear" w:color="auto" w:fill="auto"/>
            <w:noWrap/>
            <w:vAlign w:val="bottom"/>
            <w:hideMark/>
          </w:tcPr>
          <w:p w:rsidRPr="001B2492" w:rsidR="00361393" w:rsidP="002A1471" w:rsidRDefault="00361393" w14:paraId="006449E1" w14:textId="4309F31E">
            <w:pPr>
              <w:widowControl/>
              <w:autoSpaceDE/>
              <w:autoSpaceDN/>
              <w:adjustRightInd/>
              <w:jc w:val="right"/>
              <w:rPr>
                <w:b/>
                <w:bCs/>
                <w:color w:val="000000"/>
                <w:sz w:val="20"/>
                <w:szCs w:val="20"/>
              </w:rPr>
            </w:pPr>
            <w:r w:rsidRPr="001B2492">
              <w:rPr>
                <w:b/>
                <w:bCs/>
                <w:color w:val="000000" w:themeColor="text1"/>
                <w:sz w:val="20"/>
                <w:szCs w:val="20"/>
              </w:rPr>
              <w:t>$299,65</w:t>
            </w:r>
            <w:r w:rsidRPr="001B2492" w:rsidR="002A1471">
              <w:rPr>
                <w:b/>
                <w:bCs/>
                <w:color w:val="000000" w:themeColor="text1"/>
                <w:sz w:val="20"/>
                <w:szCs w:val="20"/>
              </w:rPr>
              <w:t>3.08</w:t>
            </w:r>
          </w:p>
        </w:tc>
      </w:tr>
    </w:tbl>
    <w:p w:rsidRPr="001B2492" w:rsidR="00361393" w:rsidP="00361393" w:rsidRDefault="00361393" w14:paraId="6CEB15C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rPr>
          <w:sz w:val="20"/>
          <w:szCs w:val="20"/>
        </w:rPr>
      </w:pPr>
    </w:p>
    <w:p w:rsidRPr="001B2492" w:rsidR="00361393" w:rsidP="006B3AC3" w:rsidRDefault="00361393" w14:paraId="66518E3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E75FCD0"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10FDAA0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74AF2BF"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A29289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2191599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673E5A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041D98D7"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5AB7C0C5"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55B33694"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4455F193"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1C2776EB"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15342E60"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5EB89DE8"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D62D46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078B034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492506DD"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31CD0C1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7FD8715F"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6BDFDFC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41F9AE5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00F03A6D"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6930E82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20E36DAB"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32D8521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B2492" w:rsidR="00361393" w:rsidP="006B3AC3" w:rsidRDefault="00361393" w14:paraId="0CE19BC3"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rsidRPr="001B2492" w:rsidR="00361393" w:rsidSect="00361393">
          <w:footnotePr>
            <w:pos w:val="beneathText"/>
          </w:footnotePr>
          <w:pgSz w:w="15840" w:h="12240" w:orient="landscape"/>
          <w:pgMar w:top="1440" w:right="1008" w:bottom="1440" w:left="1008" w:header="720" w:footer="720" w:gutter="0"/>
          <w:cols w:space="720"/>
          <w:noEndnote/>
          <w:titlePg/>
          <w:docGrid w:linePitch="326"/>
        </w:sectPr>
      </w:pPr>
    </w:p>
    <w:p w:rsidRPr="001B2492" w:rsidR="006B3AC3" w:rsidP="006B3AC3" w:rsidRDefault="006B3AC3" w14:paraId="001B2DF7"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15.  Explain the reasons for any program changes or adjustments</w:t>
      </w:r>
      <w:r w:rsidRPr="001B2492" w:rsidR="000E47BE">
        <w:rPr>
          <w:b/>
          <w:bCs/>
        </w:rPr>
        <w:t>.</w:t>
      </w:r>
    </w:p>
    <w:p w:rsidRPr="001B2492" w:rsidR="00C61729" w:rsidP="00C61729" w:rsidRDefault="00C61729" w14:paraId="63966B72" w14:textId="77777777">
      <w:pPr>
        <w:tabs>
          <w:tab w:val="left" w:pos="-1440"/>
        </w:tabs>
        <w:ind w:left="360"/>
        <w:rPr>
          <w:b/>
          <w:sz w:val="20"/>
          <w:szCs w:val="20"/>
        </w:rPr>
      </w:pPr>
    </w:p>
    <w:p w:rsidRPr="001B2492" w:rsidR="00E74EEC" w:rsidP="00BF0615" w:rsidRDefault="009948D4" w14:paraId="10A006F7" w14:textId="6808BFE5">
      <w:r w:rsidRPr="001B2492">
        <w:t>OSHA is requesting an extension of it</w:t>
      </w:r>
      <w:r w:rsidRPr="001B2492" w:rsidR="004728B1">
        <w:t>s</w:t>
      </w:r>
      <w:r w:rsidRPr="001B2492">
        <w:t xml:space="preserve"> current approval of </w:t>
      </w:r>
      <w:r w:rsidRPr="001B2492" w:rsidR="00796C7D">
        <w:t xml:space="preserve">the </w:t>
      </w:r>
      <w:r w:rsidRPr="001B2492" w:rsidR="00A51C5A">
        <w:t xml:space="preserve">collection of information </w:t>
      </w:r>
      <w:r w:rsidRPr="001B2492">
        <w:t>requirement</w:t>
      </w:r>
      <w:r w:rsidRPr="001B2492" w:rsidR="00796C7D">
        <w:t>s</w:t>
      </w:r>
      <w:r w:rsidRPr="001B2492">
        <w:t xml:space="preserve"> for th</w:t>
      </w:r>
      <w:r w:rsidRPr="001B2492" w:rsidR="00A51C5A">
        <w:t>e</w:t>
      </w:r>
      <w:r w:rsidRPr="001B2492">
        <w:t xml:space="preserve"> </w:t>
      </w:r>
      <w:r w:rsidRPr="001B2492" w:rsidR="00A51C5A">
        <w:t>regulation</w:t>
      </w:r>
      <w:r w:rsidRPr="001B2492">
        <w:t>. The Agency</w:t>
      </w:r>
      <w:r w:rsidRPr="001B2492" w:rsidR="00FC4BF3">
        <w:t xml:space="preserve"> is request</w:t>
      </w:r>
      <w:r w:rsidRPr="001B2492">
        <w:t>ing</w:t>
      </w:r>
      <w:r w:rsidRPr="001B2492" w:rsidR="00FC4BF3">
        <w:t xml:space="preserve"> </w:t>
      </w:r>
      <w:r w:rsidRPr="001B2492">
        <w:t>a</w:t>
      </w:r>
      <w:r w:rsidRPr="001B2492" w:rsidR="00D212ED">
        <w:t>n adjustment</w:t>
      </w:r>
      <w:r w:rsidRPr="001B2492" w:rsidR="007C0E3C">
        <w:t xml:space="preserve"> </w:t>
      </w:r>
      <w:r w:rsidRPr="001B2492" w:rsidR="00B77450">
        <w:t>in</w:t>
      </w:r>
      <w:r w:rsidRPr="001B2492" w:rsidR="007C0E3C">
        <w:t>crease</w:t>
      </w:r>
      <w:r w:rsidRPr="001B2492">
        <w:t xml:space="preserve"> </w:t>
      </w:r>
      <w:r w:rsidRPr="001B2492" w:rsidR="00F519B4">
        <w:t xml:space="preserve">of </w:t>
      </w:r>
      <w:r w:rsidRPr="001B2492" w:rsidR="00B12262">
        <w:t>8,745</w:t>
      </w:r>
      <w:r w:rsidRPr="001B2492" w:rsidR="00B77450">
        <w:t xml:space="preserve"> </w:t>
      </w:r>
      <w:r w:rsidRPr="001B2492" w:rsidR="00F519B4">
        <w:t>burden hours (</w:t>
      </w:r>
      <w:r w:rsidRPr="001B2492">
        <w:t xml:space="preserve">from </w:t>
      </w:r>
      <w:r w:rsidRPr="001B2492" w:rsidR="00B77450">
        <w:t>214,750</w:t>
      </w:r>
      <w:r w:rsidRPr="001B2492">
        <w:t xml:space="preserve"> hours to </w:t>
      </w:r>
      <w:r w:rsidRPr="001B2492" w:rsidR="00B12262">
        <w:t>223,495</w:t>
      </w:r>
      <w:r w:rsidRPr="001B2492" w:rsidR="00B77450">
        <w:rPr>
          <w:b/>
          <w:bCs/>
        </w:rPr>
        <w:t xml:space="preserve"> </w:t>
      </w:r>
      <w:r w:rsidRPr="001B2492" w:rsidR="00662394">
        <w:t>hours</w:t>
      </w:r>
      <w:r w:rsidRPr="001B2492" w:rsidR="0030079B">
        <w:t>)</w:t>
      </w:r>
      <w:r w:rsidRPr="001B2492" w:rsidR="00E3691F">
        <w:t>.</w:t>
      </w:r>
      <w:r w:rsidRPr="001B2492" w:rsidR="007C0E3C">
        <w:t xml:space="preserve"> </w:t>
      </w:r>
      <w:r w:rsidRPr="001B2492" w:rsidR="00437367">
        <w:t xml:space="preserve"> </w:t>
      </w:r>
      <w:r w:rsidRPr="001B2492" w:rsidR="00B77450">
        <w:t xml:space="preserve">This increase </w:t>
      </w:r>
      <w:r w:rsidRPr="001B2492" w:rsidR="00D52570">
        <w:t>is primarily due to adding Puerto Rico Consultation to the OSHA 21(d) Program. Prior to 201</w:t>
      </w:r>
      <w:r w:rsidRPr="001B2492" w:rsidR="004A5C8B">
        <w:t>8</w:t>
      </w:r>
      <w:r w:rsidRPr="001B2492" w:rsidR="00D52570">
        <w:t>, Puerto Rico Consultation had operated under OSHA State Plans, under the governance of section 23(g) of the OSHA Act.</w:t>
      </w:r>
      <w:r w:rsidRPr="001B2492" w:rsidR="007C0E3C">
        <w:t xml:space="preserve"> </w:t>
      </w:r>
    </w:p>
    <w:p w:rsidRPr="001B2492" w:rsidR="00F519B4" w:rsidP="00E3691F" w:rsidRDefault="00F519B4" w14:paraId="23536548" w14:textId="77777777">
      <w:pPr>
        <w:jc w:val="center"/>
      </w:pPr>
    </w:p>
    <w:p w:rsidRPr="001B2492" w:rsidR="00EB59D8" w:rsidP="00BF0615" w:rsidRDefault="00EB59D8" w14:paraId="271AE1F2" w14:textId="77777777"/>
    <w:p w:rsidRPr="001B2492" w:rsidR="006B3AC3" w:rsidP="00BF0615" w:rsidRDefault="006B3AC3" w14:paraId="0B82C580" w14:textId="77777777">
      <w:r w:rsidRPr="001B2492">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B2492" w:rsidR="00FC4BF3" w:rsidRDefault="00FC4BF3" w14:paraId="4AE5B7AF" w14:textId="77777777">
      <w:pPr>
        <w:rPr>
          <w:sz w:val="20"/>
          <w:szCs w:val="20"/>
        </w:rPr>
      </w:pPr>
    </w:p>
    <w:p w:rsidRPr="001B2492" w:rsidR="00FC4BF3" w:rsidP="006B3AC3" w:rsidRDefault="00FC4BF3" w14:paraId="7BF40006" w14:textId="77777777">
      <w:r w:rsidRPr="001B2492">
        <w:t>OSHA has no plans to publish information that is collected.</w:t>
      </w:r>
    </w:p>
    <w:p w:rsidRPr="001B2492" w:rsidR="00FC4BF3" w:rsidRDefault="00FC4BF3" w14:paraId="3955E093" w14:textId="77777777"/>
    <w:p w:rsidRPr="001B2492" w:rsidR="006B3AC3" w:rsidP="006B3AC3" w:rsidRDefault="006B3AC3" w14:paraId="034C9F9A"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 xml:space="preserve">17.  If seeking approval to not display the expiration date for OMB approval of the information collection, explain the reasons that display would be </w:t>
      </w:r>
      <w:r w:rsidRPr="001B2492" w:rsidR="00414A77">
        <w:rPr>
          <w:b/>
          <w:bCs/>
        </w:rPr>
        <w:t>in</w:t>
      </w:r>
      <w:r w:rsidRPr="001B2492">
        <w:rPr>
          <w:b/>
          <w:bCs/>
        </w:rPr>
        <w:t>appropriate.</w:t>
      </w:r>
    </w:p>
    <w:p w:rsidRPr="001B2492" w:rsidR="00FC4BF3" w:rsidRDefault="00FC4BF3" w14:paraId="12C42424" w14:textId="77777777"/>
    <w:p w:rsidRPr="001B2492" w:rsidR="00FC4BF3" w:rsidP="006B3AC3" w:rsidRDefault="00593CDD" w14:paraId="4FAA481F" w14:textId="77777777">
      <w:r w:rsidRPr="001B2492">
        <w:t xml:space="preserve">OSHA </w:t>
      </w:r>
      <w:r w:rsidRPr="001B2492" w:rsidR="006038C8">
        <w:t xml:space="preserve">will </w:t>
      </w:r>
      <w:r w:rsidRPr="001B2492">
        <w:t xml:space="preserve">display the OMB control </w:t>
      </w:r>
      <w:r w:rsidRPr="001B2492" w:rsidR="00796C7D">
        <w:t xml:space="preserve">number </w:t>
      </w:r>
      <w:r w:rsidRPr="001B2492">
        <w:t xml:space="preserve">and the expiration date on </w:t>
      </w:r>
      <w:r w:rsidRPr="001B2492" w:rsidR="00936643">
        <w:t xml:space="preserve">the </w:t>
      </w:r>
      <w:r w:rsidRPr="001B2492">
        <w:t>Form 33.</w:t>
      </w:r>
      <w:r w:rsidRPr="001B2492" w:rsidR="00323E15">
        <w:t xml:space="preserve">  Other collection</w:t>
      </w:r>
      <w:r w:rsidRPr="001B2492" w:rsidR="004B3925">
        <w:t xml:space="preserve"> of information by State </w:t>
      </w:r>
      <w:r w:rsidRPr="001B2492" w:rsidR="00954BC8">
        <w:t>On-Site</w:t>
      </w:r>
      <w:r w:rsidRPr="001B2492" w:rsidR="00BA600E">
        <w:t xml:space="preserve"> Consultation </w:t>
      </w:r>
      <w:r w:rsidRPr="001B2492" w:rsidR="0020737B">
        <w:t>Program</w:t>
      </w:r>
      <w:r w:rsidRPr="001B2492" w:rsidR="00BA600E">
        <w:t xml:space="preserve">s </w:t>
      </w:r>
      <w:r w:rsidRPr="001B2492" w:rsidR="004B3925">
        <w:t>from employers addressed in this report do not involve forms</w:t>
      </w:r>
      <w:r w:rsidRPr="001B2492" w:rsidR="00746F45">
        <w:t>.</w:t>
      </w:r>
      <w:r w:rsidRPr="001B2492" w:rsidR="00323E15">
        <w:t xml:space="preserve"> </w:t>
      </w:r>
      <w:r w:rsidRPr="001B2492" w:rsidR="00746F45">
        <w:t xml:space="preserve"> </w:t>
      </w:r>
      <w:r w:rsidRPr="001B2492" w:rsidR="00323E15">
        <w:t>C</w:t>
      </w:r>
      <w:r w:rsidRPr="001B2492" w:rsidR="004B3925">
        <w:t>onsequently, that</w:t>
      </w:r>
      <w:r w:rsidRPr="001B2492" w:rsidR="00323E15">
        <w:t xml:space="preserve"> information is assemble</w:t>
      </w:r>
      <w:r w:rsidRPr="001B2492" w:rsidR="0062498C">
        <w:t>d in a way that the display of</w:t>
      </w:r>
      <w:r w:rsidRPr="001B2492" w:rsidR="00323E15">
        <w:t xml:space="preserve"> an OMB control number and expiration date </w:t>
      </w:r>
      <w:r w:rsidRPr="001B2492" w:rsidR="00FE4517">
        <w:t>is</w:t>
      </w:r>
      <w:r w:rsidRPr="001B2492" w:rsidR="004B3925">
        <w:t xml:space="preserve"> not possible.</w:t>
      </w:r>
    </w:p>
    <w:p w:rsidRPr="001B2492" w:rsidR="00ED49C8" w:rsidP="006038C8" w:rsidRDefault="00ED49C8" w14:paraId="379CA55B" w14:textId="77777777"/>
    <w:p w:rsidRPr="001B2492" w:rsidR="006B3AC3" w:rsidP="006B3AC3" w:rsidRDefault="006B3AC3" w14:paraId="36CC0D43"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B2492">
        <w:rPr>
          <w:b/>
          <w:bCs/>
        </w:rPr>
        <w:t>18.  Explain each exception to the certification statement.</w:t>
      </w:r>
    </w:p>
    <w:p w:rsidRPr="001B2492" w:rsidR="00FC4BF3" w:rsidRDefault="00FC4BF3" w14:paraId="5ABF93C4" w14:textId="77777777">
      <w:pPr>
        <w:rPr>
          <w:sz w:val="20"/>
          <w:szCs w:val="20"/>
        </w:rPr>
      </w:pPr>
    </w:p>
    <w:p w:rsidRPr="001B2492" w:rsidR="00FC4BF3" w:rsidP="006B3AC3" w:rsidRDefault="006B3AC3" w14:paraId="6A1B0F52" w14:textId="77777777">
      <w:r w:rsidRPr="001B2492">
        <w:t>OSHA is not seeking an exception to the certification statement</w:t>
      </w:r>
      <w:r w:rsidRPr="001B2492" w:rsidR="000E47BE">
        <w:t>.</w:t>
      </w:r>
    </w:p>
    <w:p w:rsidRPr="001B2492" w:rsidR="00923729" w:rsidP="00AD3339" w:rsidRDefault="00923729" w14:paraId="71DCB018" w14:textId="77777777">
      <w:pPr>
        <w:ind w:firstLine="720"/>
      </w:pPr>
    </w:p>
    <w:p w:rsidRPr="001B2492" w:rsidR="000E47BE" w:rsidP="000E47BE" w:rsidRDefault="000E47BE" w14:paraId="6C249C75" w14:textId="77777777">
      <w:r w:rsidRPr="001B2492">
        <w:rPr>
          <w:b/>
        </w:rPr>
        <w:t>B. COLLECTION</w:t>
      </w:r>
      <w:r w:rsidRPr="001B2492" w:rsidR="00414A77">
        <w:rPr>
          <w:b/>
        </w:rPr>
        <w:t>S</w:t>
      </w:r>
      <w:r w:rsidRPr="001B2492">
        <w:rPr>
          <w:b/>
        </w:rPr>
        <w:t xml:space="preserve"> OF INFORMATION EMPLOYING STATISITICAL METHODS</w:t>
      </w:r>
      <w:r w:rsidRPr="001B2492">
        <w:t>.</w:t>
      </w:r>
    </w:p>
    <w:p w:rsidRPr="001B2492" w:rsidR="000E47BE" w:rsidP="000E47BE" w:rsidRDefault="000E47BE" w14:paraId="4B644A8D" w14:textId="77777777"/>
    <w:p w:rsidRPr="001B2492" w:rsidR="00B26CBE" w:rsidP="00B26CBE" w:rsidRDefault="00B26CBE" w14:paraId="3B6C24BC" w14:textId="77777777">
      <w:pPr>
        <w:rPr>
          <w:bCs/>
        </w:rPr>
      </w:pPr>
      <w:bookmarkStart w:name="OLE_LINK1" w:id="3"/>
      <w:r w:rsidRPr="001B2492">
        <w:rPr>
          <w:bCs/>
        </w:rPr>
        <w:t xml:space="preserve">This Supporting Statement does not contain any </w:t>
      </w:r>
      <w:r w:rsidRPr="001B2492" w:rsidR="00EB59D8">
        <w:rPr>
          <w:bCs/>
        </w:rPr>
        <w:t xml:space="preserve">information collection </w:t>
      </w:r>
      <w:r w:rsidRPr="001B2492">
        <w:rPr>
          <w:bCs/>
        </w:rPr>
        <w:t>requirements that employ statistical methods.</w:t>
      </w:r>
    </w:p>
    <w:bookmarkEnd w:id="3"/>
    <w:p w:rsidRPr="001B2492" w:rsidR="004807F5" w:rsidP="00BF0615" w:rsidRDefault="004807F5" w14:paraId="082C48EB"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2677290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249BF8C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0EF4647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3AB58C4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4EA9BA1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7332107B"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5D98A3F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50C86B8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60EDCC5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3BBB881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55B91B0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1B2492" w:rsidR="00F02D62" w:rsidP="00BF0615" w:rsidRDefault="00F02D62" w14:paraId="6810F0D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Pr="00B6448B" w:rsidR="008138F3" w:rsidP="008138F3" w:rsidRDefault="008138F3" w14:paraId="32D8EEAF" w14:textId="77777777"/>
    <w:sectPr w:rsidRPr="00B6448B" w:rsidR="008138F3" w:rsidSect="00B6448B">
      <w:footnotePr>
        <w:pos w:val="beneathText"/>
        <w:numRestart w:val="eachPage"/>
      </w:footnotePr>
      <w:pgSz w:w="12240" w:h="15840"/>
      <w:pgMar w:top="1008" w:right="1440" w:bottom="1008" w:left="1440"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3B90CC" w16cex:dateUtc="2021-09-09T21:31:16.498Z"/>
  <w16cex:commentExtensible w16cex:durableId="66B95989" w16cex:dateUtc="2021-09-09T22:41:30.268Z"/>
  <w16cex:commentExtensible w16cex:durableId="33A5AB56" w16cex:dateUtc="2021-09-09T23:15:10.476Z"/>
  <w16cex:commentExtensible w16cex:durableId="219150A4" w16cex:dateUtc="2021-09-09T23:39:41.518Z"/>
  <w16cex:commentExtensible w16cex:durableId="64393045" w16cex:dateUtc="2021-09-09T23:40:08.93Z"/>
  <w16cex:commentExtensible w16cex:durableId="5CD47832" w16cex:dateUtc="2021-09-09T23:41:00.731Z"/>
  <w16cex:commentExtensible w16cex:durableId="021140F1" w16cex:dateUtc="2021-09-09T23:45:19.263Z"/>
  <w16cex:commentExtensible w16cex:durableId="7C9F22BF" w16cex:dateUtc="2021-09-09T23:58:24.465Z"/>
  <w16cex:commentExtensible w16cex:durableId="2F8B6FBD" w16cex:dateUtc="2021-09-10T00:02:00.538Z"/>
  <w16cex:commentExtensible w16cex:durableId="1840D439" w16cex:dateUtc="2021-09-10T00:02:43.782Z"/>
  <w16cex:commentExtensible w16cex:durableId="79ADBC2D" w16cex:dateUtc="2021-09-16T22:11:54.602Z"/>
  <w16cex:commentExtensible w16cex:durableId="5B44EFD1" w16cex:dateUtc="2021-09-16T22:12:28.044Z"/>
  <w16cex:commentExtensible w16cex:durableId="2D5C40C0" w16cex:dateUtc="2021-09-16T22:13:02.969Z"/>
  <w16cex:commentExtensible w16cex:durableId="1F71757A" w16cex:dateUtc="2021-09-16T22:29:30.445Z"/>
</w16cex:commentsExtensible>
</file>

<file path=word/commentsIds.xml><?xml version="1.0" encoding="utf-8"?>
<w16cid:commentsIds xmlns:mc="http://schemas.openxmlformats.org/markup-compatibility/2006" xmlns:w16cid="http://schemas.microsoft.com/office/word/2016/wordml/cid" mc:Ignorable="w16cid">
  <w16cid:commentId w16cid:paraId="5218A32A" w16cid:durableId="5D3B90CC"/>
  <w16cid:commentId w16cid:paraId="30CC7FE0" w16cid:durableId="66B95989"/>
  <w16cid:commentId w16cid:paraId="7C6AB9BC" w16cid:durableId="33A5AB56"/>
  <w16cid:commentId w16cid:paraId="246DC363" w16cid:durableId="219150A4"/>
  <w16cid:commentId w16cid:paraId="147B56DD" w16cid:durableId="64393045"/>
  <w16cid:commentId w16cid:paraId="1C6B53A2" w16cid:durableId="5CD47832"/>
  <w16cid:commentId w16cid:paraId="2ADE2018" w16cid:durableId="021140F1"/>
  <w16cid:commentId w16cid:paraId="63704034" w16cid:durableId="7C9F22BF"/>
  <w16cid:commentId w16cid:paraId="390CA3DC" w16cid:durableId="2F8B6FBD"/>
  <w16cid:commentId w16cid:paraId="0B0301FC" w16cid:durableId="1840D439"/>
  <w16cid:commentId w16cid:paraId="4F4959ED" w16cid:durableId="0A3309A0"/>
  <w16cid:commentId w16cid:paraId="132E0DD7" w16cid:durableId="44018BC7"/>
  <w16cid:commentId w16cid:paraId="1A918942" w16cid:durableId="7A29BD7C"/>
  <w16cid:commentId w16cid:paraId="62CB2F79" w16cid:durableId="487E9EED"/>
  <w16cid:commentId w16cid:paraId="7D37170A" w16cid:durableId="0CD5F22F"/>
  <w16cid:commentId w16cid:paraId="594ADF2A" w16cid:durableId="78D75761"/>
  <w16cid:commentId w16cid:paraId="4A97FE5F" w16cid:durableId="085649AF"/>
  <w16cid:commentId w16cid:paraId="00C38886" w16cid:durableId="11D9B544"/>
  <w16cid:commentId w16cid:paraId="40AFB2F8" w16cid:durableId="568EBB5D"/>
  <w16cid:commentId w16cid:paraId="6DBD1C16" w16cid:durableId="40118767"/>
  <w16cid:commentId w16cid:paraId="6787E713" w16cid:durableId="11085B7E"/>
  <w16cid:commentId w16cid:paraId="642E7629" w16cid:durableId="5E24F6FC"/>
  <w16cid:commentId w16cid:paraId="4269055A" w16cid:durableId="3B28CB9F"/>
  <w16cid:commentId w16cid:paraId="71BCD27B" w16cid:durableId="05B0144B"/>
  <w16cid:commentId w16cid:paraId="03A1BD14" w16cid:durableId="66802665"/>
  <w16cid:commentId w16cid:paraId="74CE4960" w16cid:durableId="3DB9F72F"/>
  <w16cid:commentId w16cid:paraId="0B030FDE" w16cid:durableId="6AFE7C64"/>
  <w16cid:commentId w16cid:paraId="76BE29EB" w16cid:durableId="3D541E14"/>
  <w16cid:commentId w16cid:paraId="3621D539" w16cid:durableId="79ADBC2D"/>
  <w16cid:commentId w16cid:paraId="162F40A2" w16cid:durableId="5B44EFD1"/>
  <w16cid:commentId w16cid:paraId="2F7E25CE" w16cid:durableId="2D5C40C0"/>
  <w16cid:commentId w16cid:paraId="4DBC2ED8" w16cid:durableId="1F7175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5251A" w14:textId="77777777" w:rsidR="00A03EB6" w:rsidRDefault="00A03EB6">
      <w:r>
        <w:separator/>
      </w:r>
    </w:p>
  </w:endnote>
  <w:endnote w:type="continuationSeparator" w:id="0">
    <w:p w14:paraId="4F6D2C48" w14:textId="77777777" w:rsidR="00A03EB6" w:rsidRDefault="00A0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1"/>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21053AFF" w:usb1="0000008D" w:usb2="00000000" w:usb3="00000000" w:csb0="006609FF" w:csb1="00BD5CC0"/>
  </w:font>
  <w:font w:name="Courier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03EB6" w:rsidRDefault="00A03EB6" w:rsidP="00DC3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1CA98" w14:textId="77777777" w:rsidR="00A03EB6" w:rsidRDefault="00A03EB6" w:rsidP="00616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379A" w14:textId="64B49F9A" w:rsidR="00A03EB6" w:rsidRDefault="00A03EB6">
    <w:pPr>
      <w:pStyle w:val="Footer"/>
      <w:jc w:val="center"/>
    </w:pPr>
    <w:r>
      <w:fldChar w:fldCharType="begin"/>
    </w:r>
    <w:r>
      <w:instrText xml:space="preserve"> PAGE   \* MERGEFORMAT </w:instrText>
    </w:r>
    <w:r>
      <w:fldChar w:fldCharType="separate"/>
    </w:r>
    <w:r w:rsidR="00312909">
      <w:rPr>
        <w:noProof/>
      </w:rPr>
      <w:t>14</w:t>
    </w:r>
    <w:r>
      <w:rPr>
        <w:noProof/>
      </w:rPr>
      <w:fldChar w:fldCharType="end"/>
    </w:r>
  </w:p>
  <w:p w14:paraId="040360B8" w14:textId="77777777" w:rsidR="00A03EB6" w:rsidRDefault="00A03EB6" w:rsidP="00616D6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9947C" w14:textId="77777777" w:rsidR="00A03EB6" w:rsidRDefault="00A03EB6">
      <w:r>
        <w:separator/>
      </w:r>
    </w:p>
  </w:footnote>
  <w:footnote w:type="continuationSeparator" w:id="0">
    <w:p w14:paraId="1413D853" w14:textId="77777777" w:rsidR="00A03EB6" w:rsidRDefault="00A03EB6">
      <w:r>
        <w:continuationSeparator/>
      </w:r>
    </w:p>
  </w:footnote>
  <w:footnote w:id="1">
    <w:p w14:paraId="635EA859" w14:textId="77777777" w:rsidR="00A03EB6" w:rsidRDefault="00A03EB6" w:rsidP="00A33D7B">
      <w:pPr>
        <w:spacing w:after="72"/>
        <w:ind w:firstLine="720"/>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14:paraId="0A554F7A" w14:textId="543F33ED" w:rsidR="00A03EB6" w:rsidRDefault="00A03EB6">
      <w:pPr>
        <w:pStyle w:val="FootnoteText"/>
      </w:pPr>
      <w:r w:rsidRPr="00F46FBC">
        <w:rPr>
          <w:rStyle w:val="FootnoteReference"/>
          <w:vertAlign w:val="superscript"/>
        </w:rPr>
        <w:footnoteRef/>
      </w:r>
      <w:r>
        <w:t xml:space="preserve"> In this ICR, OSHA will be using wage determinations for both the civilian workers and the state and local government workers.</w:t>
      </w:r>
    </w:p>
  </w:footnote>
  <w:footnote w:id="3">
    <w:p w14:paraId="72DCD698" w14:textId="77777777" w:rsidR="00A03EB6" w:rsidRDefault="00A03EB6">
      <w:pPr>
        <w:pStyle w:val="FootnoteText"/>
      </w:pPr>
      <w:r w:rsidRPr="00B23991">
        <w:rPr>
          <w:rStyle w:val="FootnoteReference"/>
          <w:sz w:val="22"/>
          <w:vertAlign w:val="superscript"/>
        </w:rPr>
        <w:footnoteRef/>
      </w:r>
      <w:r>
        <w:t xml:space="preserve"> </w:t>
      </w:r>
      <w:r w:rsidRPr="005C0455">
        <w:rPr>
          <w:color w:val="000000"/>
        </w:rPr>
        <w:t xml:space="preserve">Source: OSHA On-Site Consultation OIS database; data run for Fiscal Year </w:t>
      </w:r>
      <w:r>
        <w:rPr>
          <w:color w:val="000000"/>
        </w:rPr>
        <w:t>2019</w:t>
      </w:r>
      <w:r w:rsidRPr="005C0455">
        <w:rPr>
          <w:color w:val="000000"/>
        </w:rPr>
        <w:t xml:space="preserve"> (run date </w:t>
      </w:r>
      <w:r>
        <w:rPr>
          <w:color w:val="000000"/>
        </w:rPr>
        <w:t>July 8</w:t>
      </w:r>
      <w:r w:rsidRPr="005C0455">
        <w:rPr>
          <w:color w:val="000000"/>
        </w:rPr>
        <w:t>, 20</w:t>
      </w:r>
      <w:r>
        <w:rPr>
          <w:color w:val="000000"/>
        </w:rPr>
        <w:t>21</w:t>
      </w:r>
      <w:r w:rsidRPr="005C0455">
        <w:rPr>
          <w:color w:val="000000"/>
        </w:rPr>
        <w:t>).</w:t>
      </w:r>
      <w:r>
        <w:rPr>
          <w:color w:val="000000"/>
        </w:rPr>
        <w:t xml:space="preserve">  Data for FY 2019 were chosen over FY 2020 data because FY 2020 was significantly and adversely impacted by the COVID-19 Pandemic, and visit numbers in FY 2019 more accurately represent annual numbers.</w:t>
      </w:r>
    </w:p>
  </w:footnote>
  <w:footnote w:id="4">
    <w:p w14:paraId="32495D44" w14:textId="77777777" w:rsidR="00A03EB6" w:rsidRDefault="00A03EB6" w:rsidP="00862ED6">
      <w:pPr>
        <w:pStyle w:val="FootnoteText"/>
      </w:pPr>
      <w:r w:rsidRPr="00A97382">
        <w:rPr>
          <w:rStyle w:val="FootnoteReference"/>
          <w:sz w:val="22"/>
          <w:vertAlign w:val="superscript"/>
        </w:rPr>
        <w:footnoteRef/>
      </w:r>
      <w:r w:rsidRPr="00A97382">
        <w:rPr>
          <w:sz w:val="22"/>
          <w:vertAlign w:val="superscript"/>
        </w:rPr>
        <w:t xml:space="preserve"> </w:t>
      </w:r>
      <w:r>
        <w:t>For the purpose of entering this analysis into the ROCIS system, the Agency categorizes respondents reflected in Table 1 as “State, Local and Tribal Governments.”</w:t>
      </w:r>
    </w:p>
    <w:p w14:paraId="2A7A9836" w14:textId="77777777" w:rsidR="00A03EB6" w:rsidRDefault="00A03EB6">
      <w:pPr>
        <w:pStyle w:val="FootnoteText"/>
      </w:pPr>
    </w:p>
  </w:footnote>
  <w:footnote w:id="5">
    <w:p w14:paraId="571BBF0B" w14:textId="77777777" w:rsidR="00A03EB6" w:rsidRDefault="00A03EB6" w:rsidP="00862ED6">
      <w:pPr>
        <w:pStyle w:val="FootnoteText"/>
      </w:pPr>
      <w:r w:rsidRPr="00E365FC">
        <w:rPr>
          <w:rStyle w:val="FootnoteReference"/>
          <w:sz w:val="22"/>
          <w:vertAlign w:val="superscript"/>
        </w:rPr>
        <w:footnoteRef/>
      </w:r>
      <w:r w:rsidRPr="00E365FC">
        <w:rPr>
          <w:sz w:val="22"/>
          <w:vertAlign w:val="superscript"/>
        </w:rPr>
        <w:t xml:space="preserve"> </w:t>
      </w:r>
      <w:r>
        <w:t>For the purpose of entering this analysis into the ROCIS system, the Agency categorizes respondents reflected in Table 2 as “Private Sector – businesses or other for-profits.”</w:t>
      </w:r>
    </w:p>
    <w:p w14:paraId="47CE7A2C" w14:textId="77777777" w:rsidR="00A03EB6" w:rsidRDefault="00A03EB6">
      <w:pPr>
        <w:pStyle w:val="FootnoteText"/>
      </w:pPr>
    </w:p>
  </w:footnote>
  <w:footnote w:id="6">
    <w:p w14:paraId="73BCDEA4" w14:textId="77777777" w:rsidR="00A03EB6" w:rsidRDefault="00A03EB6" w:rsidP="00E70EB6">
      <w:pPr>
        <w:pStyle w:val="FootnoteText"/>
      </w:pPr>
      <w:r w:rsidRPr="00CC746B">
        <w:rPr>
          <w:rStyle w:val="FootnoteReference"/>
          <w:sz w:val="22"/>
          <w:vertAlign w:val="superscript"/>
        </w:rPr>
        <w:footnoteRef/>
      </w:r>
      <w:r>
        <w:t xml:space="preserve"> Source:  OPM SALARY TABLE 2021</w:t>
      </w:r>
      <w:r w:rsidRPr="00982DFD">
        <w:t>-RU</w:t>
      </w:r>
      <w:r>
        <w:t>S</w:t>
      </w:r>
      <w:r w:rsidRPr="00982DFD">
        <w:t xml:space="preserve"> </w:t>
      </w:r>
      <w:r>
        <w:t>(</w:t>
      </w:r>
      <w:hyperlink r:id="rId1" w:history="1">
        <w:r w:rsidRPr="0056300B">
          <w:rPr>
            <w:rStyle w:val="Hyperlink"/>
          </w:rPr>
          <w:t>https://www.opm.gov/policy-data-oversight/pay-leave/salaries-wages/salary-tables/21Tables/html/RUS_h.aspx</w:t>
        </w:r>
      </w:hyperlink>
      <w:r>
        <w:t xml:space="preserve"> </w:t>
      </w:r>
      <w:r w:rsidRPr="00982DFD">
        <w:t>).</w:t>
      </w:r>
      <w:r>
        <w:t xml:space="preserve">  For each salary grade, an average salary of Step 6 is used.</w:t>
      </w:r>
    </w:p>
    <w:p w14:paraId="2C7DA92C" w14:textId="77777777" w:rsidR="00A03EB6" w:rsidRPr="00982DFD" w:rsidRDefault="00A03EB6" w:rsidP="00E70E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5829" w14:textId="77777777" w:rsidR="00A03EB6" w:rsidRDefault="00A03EB6" w:rsidP="0032005F">
    <w:pPr>
      <w:tabs>
        <w:tab w:val="center" w:pos="4680"/>
        <w:tab w:val="right" w:pos="9360"/>
      </w:tabs>
      <w:rPr>
        <w:b/>
        <w:bCs/>
      </w:rPr>
    </w:pPr>
    <w:r w:rsidRPr="001B2492">
      <w:rPr>
        <w:b/>
        <w:bCs/>
      </w:rPr>
      <w:t>ON-SITE CONSULTATION AGREEMENTS (29 CFR PART 1908)</w:t>
    </w:r>
  </w:p>
  <w:p w14:paraId="2F07C4AF" w14:textId="77777777" w:rsidR="00A03EB6" w:rsidRDefault="00A03EB6" w:rsidP="0032005F">
    <w:pPr>
      <w:tabs>
        <w:tab w:val="center" w:pos="4680"/>
        <w:tab w:val="right" w:pos="9360"/>
      </w:tabs>
      <w:rPr>
        <w:b/>
        <w:bCs/>
      </w:rPr>
    </w:pPr>
    <w:r>
      <w:rPr>
        <w:b/>
        <w:bCs/>
      </w:rPr>
      <w:t>OMB Control Number 1218-0110</w:t>
    </w:r>
  </w:p>
  <w:p w14:paraId="5811325B" w14:textId="77777777" w:rsidR="00A03EB6" w:rsidRDefault="00A03EB6" w:rsidP="0032005F">
    <w:pPr>
      <w:tabs>
        <w:tab w:val="center" w:pos="4680"/>
        <w:tab w:val="right" w:pos="9360"/>
      </w:tabs>
      <w:rPr>
        <w:b/>
        <w:bCs/>
      </w:rPr>
    </w:pPr>
    <w:r>
      <w:rPr>
        <w:b/>
        <w:bCs/>
      </w:rPr>
      <w:t>Expires: January 31, 2022</w:t>
    </w:r>
  </w:p>
  <w:p w14:paraId="31F27C88" w14:textId="77777777" w:rsidR="00A03EB6" w:rsidRDefault="00A03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7D61" w14:textId="77777777" w:rsidR="00A03EB6" w:rsidRDefault="00A03EB6" w:rsidP="00F63FB6">
    <w:pPr>
      <w:tabs>
        <w:tab w:val="center" w:pos="4680"/>
        <w:tab w:val="right" w:pos="9360"/>
      </w:tabs>
      <w:rPr>
        <w:b/>
        <w:bCs/>
      </w:rPr>
    </w:pPr>
    <w:r w:rsidRPr="001B2492">
      <w:rPr>
        <w:b/>
        <w:bCs/>
      </w:rPr>
      <w:t>ON-SITE CONSULTATION AGREEMENTS (29 CFR PART 1908)</w:t>
    </w:r>
  </w:p>
  <w:p w14:paraId="54460922" w14:textId="77777777" w:rsidR="00A03EB6" w:rsidRDefault="00A03EB6" w:rsidP="00F63FB6">
    <w:pPr>
      <w:tabs>
        <w:tab w:val="center" w:pos="4680"/>
        <w:tab w:val="right" w:pos="9360"/>
      </w:tabs>
      <w:rPr>
        <w:b/>
        <w:bCs/>
      </w:rPr>
    </w:pPr>
    <w:r>
      <w:rPr>
        <w:b/>
        <w:bCs/>
      </w:rPr>
      <w:t>OMB Control Number 1218-0110</w:t>
    </w:r>
  </w:p>
  <w:p w14:paraId="1F69A32B" w14:textId="77777777" w:rsidR="00A03EB6" w:rsidRDefault="00A03EB6" w:rsidP="00F63FB6">
    <w:pPr>
      <w:tabs>
        <w:tab w:val="center" w:pos="4680"/>
        <w:tab w:val="right" w:pos="9360"/>
      </w:tabs>
      <w:rPr>
        <w:b/>
        <w:bCs/>
      </w:rPr>
    </w:pPr>
    <w:r>
      <w:rPr>
        <w:b/>
        <w:bCs/>
      </w:rPr>
      <w:t>Expires: January 31, 2022</w:t>
    </w:r>
  </w:p>
  <w:p w14:paraId="3F904CCB" w14:textId="77777777" w:rsidR="00A03EB6" w:rsidRPr="00F63FB6" w:rsidRDefault="00A03EB6" w:rsidP="00B524D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DC72B6"/>
    <w:lvl w:ilvl="0">
      <w:numFmt w:val="bullet"/>
      <w:lvlText w:val="*"/>
      <w:lvlJc w:val="left"/>
    </w:lvl>
  </w:abstractNum>
  <w:abstractNum w:abstractNumId="1" w15:restartNumberingAfterBreak="0">
    <w:nsid w:val="2215467D"/>
    <w:multiLevelType w:val="hybridMultilevel"/>
    <w:tmpl w:val="E1E80028"/>
    <w:lvl w:ilvl="0" w:tplc="527CB568">
      <w:start w:val="1"/>
      <w:numFmt w:val="upperRoman"/>
      <w:lvlText w:val="%1."/>
      <w:lvlJc w:val="left"/>
      <w:pPr>
        <w:ind w:left="2040" w:hanging="720"/>
        <w:jc w:val="right"/>
      </w:pPr>
      <w:rPr>
        <w:rFonts w:ascii="Times New Roman" w:eastAsia="Times New Roman" w:hAnsi="Times New Roman" w:cs="Times New Roman" w:hint="default"/>
        <w:spacing w:val="-4"/>
        <w:w w:val="100"/>
        <w:sz w:val="24"/>
        <w:szCs w:val="24"/>
        <w:lang w:val="en-US" w:eastAsia="en-US" w:bidi="ar-SA"/>
      </w:rPr>
    </w:lvl>
    <w:lvl w:ilvl="1" w:tplc="CEC85ED2">
      <w:start w:val="1"/>
      <w:numFmt w:val="upperLetter"/>
      <w:lvlText w:val="%2."/>
      <w:lvlJc w:val="left"/>
      <w:pPr>
        <w:ind w:left="2760" w:hanging="720"/>
        <w:jc w:val="left"/>
      </w:pPr>
      <w:rPr>
        <w:rFonts w:ascii="Times New Roman" w:eastAsia="Times New Roman" w:hAnsi="Times New Roman" w:cs="Times New Roman" w:hint="default"/>
        <w:spacing w:val="-1"/>
        <w:w w:val="100"/>
        <w:sz w:val="24"/>
        <w:szCs w:val="24"/>
        <w:lang w:val="en-US" w:eastAsia="en-US" w:bidi="ar-SA"/>
      </w:rPr>
    </w:lvl>
    <w:lvl w:ilvl="2" w:tplc="1304E120">
      <w:start w:val="1"/>
      <w:numFmt w:val="decimal"/>
      <w:lvlText w:val="%3."/>
      <w:lvlJc w:val="left"/>
      <w:pPr>
        <w:ind w:left="3480" w:hanging="720"/>
        <w:jc w:val="left"/>
      </w:pPr>
      <w:rPr>
        <w:rFonts w:ascii="Times New Roman" w:eastAsia="Times New Roman" w:hAnsi="Times New Roman" w:cs="Times New Roman" w:hint="default"/>
        <w:w w:val="100"/>
        <w:sz w:val="24"/>
        <w:szCs w:val="24"/>
        <w:lang w:val="en-US" w:eastAsia="en-US" w:bidi="ar-SA"/>
      </w:rPr>
    </w:lvl>
    <w:lvl w:ilvl="3" w:tplc="4ADC5412">
      <w:start w:val="1"/>
      <w:numFmt w:val="lowerLetter"/>
      <w:lvlText w:val="%4."/>
      <w:lvlJc w:val="left"/>
      <w:pPr>
        <w:ind w:left="4200" w:hanging="720"/>
        <w:jc w:val="left"/>
      </w:pPr>
      <w:rPr>
        <w:rFonts w:ascii="Times New Roman" w:eastAsia="Times New Roman" w:hAnsi="Times New Roman" w:cs="Times New Roman" w:hint="default"/>
        <w:spacing w:val="-1"/>
        <w:w w:val="100"/>
        <w:sz w:val="24"/>
        <w:szCs w:val="24"/>
        <w:lang w:val="en-US" w:eastAsia="en-US" w:bidi="ar-SA"/>
      </w:rPr>
    </w:lvl>
    <w:lvl w:ilvl="4" w:tplc="8BA854E4">
      <w:start w:val="1"/>
      <w:numFmt w:val="lowerRoman"/>
      <w:lvlText w:val="%5."/>
      <w:lvlJc w:val="left"/>
      <w:pPr>
        <w:ind w:left="4920" w:hanging="848"/>
        <w:jc w:val="right"/>
      </w:pPr>
      <w:rPr>
        <w:rFonts w:ascii="Times New Roman" w:eastAsia="Times New Roman" w:hAnsi="Times New Roman" w:cs="Times New Roman" w:hint="default"/>
        <w:w w:val="100"/>
        <w:sz w:val="24"/>
        <w:szCs w:val="24"/>
        <w:lang w:val="en-US" w:eastAsia="en-US" w:bidi="ar-SA"/>
      </w:rPr>
    </w:lvl>
    <w:lvl w:ilvl="5" w:tplc="07D4A74C">
      <w:start w:val="1"/>
      <w:numFmt w:val="lowerLetter"/>
      <w:lvlText w:val="%6."/>
      <w:lvlJc w:val="left"/>
      <w:pPr>
        <w:ind w:left="5640" w:hanging="720"/>
        <w:jc w:val="left"/>
      </w:pPr>
      <w:rPr>
        <w:rFonts w:ascii="Times New Roman" w:eastAsia="Times New Roman" w:hAnsi="Times New Roman" w:cs="Times New Roman" w:hint="default"/>
        <w:spacing w:val="-1"/>
        <w:w w:val="100"/>
        <w:sz w:val="24"/>
        <w:szCs w:val="24"/>
        <w:lang w:val="en-US" w:eastAsia="en-US" w:bidi="ar-SA"/>
      </w:rPr>
    </w:lvl>
    <w:lvl w:ilvl="6" w:tplc="A254DCAE">
      <w:numFmt w:val="bullet"/>
      <w:lvlText w:val="•"/>
      <w:lvlJc w:val="left"/>
      <w:pPr>
        <w:ind w:left="5640" w:hanging="720"/>
      </w:pPr>
      <w:rPr>
        <w:rFonts w:hint="default"/>
        <w:lang w:val="en-US" w:eastAsia="en-US" w:bidi="ar-SA"/>
      </w:rPr>
    </w:lvl>
    <w:lvl w:ilvl="7" w:tplc="7BDE943C">
      <w:numFmt w:val="bullet"/>
      <w:lvlText w:val="•"/>
      <w:lvlJc w:val="left"/>
      <w:pPr>
        <w:ind w:left="7220" w:hanging="720"/>
      </w:pPr>
      <w:rPr>
        <w:rFonts w:hint="default"/>
        <w:lang w:val="en-US" w:eastAsia="en-US" w:bidi="ar-SA"/>
      </w:rPr>
    </w:lvl>
    <w:lvl w:ilvl="8" w:tplc="2822E6AE">
      <w:numFmt w:val="bullet"/>
      <w:lvlText w:val="•"/>
      <w:lvlJc w:val="left"/>
      <w:pPr>
        <w:ind w:left="8800" w:hanging="720"/>
      </w:pPr>
      <w:rPr>
        <w:rFonts w:hint="default"/>
        <w:lang w:val="en-US" w:eastAsia="en-US" w:bidi="ar-SA"/>
      </w:rPr>
    </w:lvl>
  </w:abstractNum>
  <w:abstractNum w:abstractNumId="2" w15:restartNumberingAfterBreak="0">
    <w:nsid w:val="359F4B59"/>
    <w:multiLevelType w:val="hybridMultilevel"/>
    <w:tmpl w:val="BA1C37CA"/>
    <w:lvl w:ilvl="0" w:tplc="2466C8B0">
      <w:start w:val="2"/>
      <w:numFmt w:val="upperLetter"/>
      <w:lvlText w:val="%1."/>
      <w:lvlJc w:val="left"/>
      <w:pPr>
        <w:tabs>
          <w:tab w:val="num" w:pos="1440"/>
        </w:tabs>
        <w:ind w:left="1440" w:hanging="72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4A41276"/>
    <w:multiLevelType w:val="hybridMultilevel"/>
    <w:tmpl w:val="C2946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840EA"/>
    <w:multiLevelType w:val="hybridMultilevel"/>
    <w:tmpl w:val="D054D0EC"/>
    <w:lvl w:ilvl="0" w:tplc="8542D7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133FB1"/>
    <w:multiLevelType w:val="hybridMultilevel"/>
    <w:tmpl w:val="416EA5FE"/>
    <w:lvl w:ilvl="0" w:tplc="16200EA8">
      <w:start w:val="1"/>
      <w:numFmt w:val="lowerRoman"/>
      <w:lvlText w:val="%1."/>
      <w:lvlJc w:val="left"/>
      <w:pPr>
        <w:tabs>
          <w:tab w:val="num" w:pos="1440"/>
        </w:tabs>
        <w:ind w:left="1440" w:hanging="720"/>
      </w:pPr>
      <w:rPr>
        <w:rFonts w:hint="default"/>
      </w:rPr>
    </w:lvl>
    <w:lvl w:ilvl="1" w:tplc="8DE2AE64">
      <w:start w:val="2"/>
      <w:numFmt w:val="upperLetter"/>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69956E3"/>
    <w:multiLevelType w:val="hybridMultilevel"/>
    <w:tmpl w:val="04C66298"/>
    <w:lvl w:ilvl="0" w:tplc="16200EA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2"/>
  </w:num>
  <w:num w:numId="4">
    <w:abstractNumId w:val="7"/>
  </w:num>
  <w:num w:numId="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6">
    <w:abstractNumId w:val="5"/>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13313"/>
  </w:hdrShapeDefaults>
  <w:footnotePr>
    <w:pos w:val="beneathText"/>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F3"/>
    <w:rsid w:val="00000071"/>
    <w:rsid w:val="000007EB"/>
    <w:rsid w:val="00003EEE"/>
    <w:rsid w:val="00005ECF"/>
    <w:rsid w:val="00006780"/>
    <w:rsid w:val="00006B3D"/>
    <w:rsid w:val="00006D1C"/>
    <w:rsid w:val="000100D9"/>
    <w:rsid w:val="000101B8"/>
    <w:rsid w:val="00010C1D"/>
    <w:rsid w:val="0001115C"/>
    <w:rsid w:val="00011431"/>
    <w:rsid w:val="00011BE5"/>
    <w:rsid w:val="00013D73"/>
    <w:rsid w:val="0001520F"/>
    <w:rsid w:val="00015333"/>
    <w:rsid w:val="00015859"/>
    <w:rsid w:val="000167DD"/>
    <w:rsid w:val="00020FD4"/>
    <w:rsid w:val="000247D0"/>
    <w:rsid w:val="000319DD"/>
    <w:rsid w:val="00032E2A"/>
    <w:rsid w:val="000332BA"/>
    <w:rsid w:val="00033BC5"/>
    <w:rsid w:val="0003530E"/>
    <w:rsid w:val="0003633C"/>
    <w:rsid w:val="00037228"/>
    <w:rsid w:val="000404A9"/>
    <w:rsid w:val="00041200"/>
    <w:rsid w:val="000421AE"/>
    <w:rsid w:val="00045BA1"/>
    <w:rsid w:val="00045F69"/>
    <w:rsid w:val="00050053"/>
    <w:rsid w:val="0005120D"/>
    <w:rsid w:val="000520BD"/>
    <w:rsid w:val="00052410"/>
    <w:rsid w:val="000532B2"/>
    <w:rsid w:val="00054DA7"/>
    <w:rsid w:val="00055379"/>
    <w:rsid w:val="00056580"/>
    <w:rsid w:val="00056BE6"/>
    <w:rsid w:val="000575C6"/>
    <w:rsid w:val="000620D3"/>
    <w:rsid w:val="00062381"/>
    <w:rsid w:val="00062778"/>
    <w:rsid w:val="00062A6C"/>
    <w:rsid w:val="00064977"/>
    <w:rsid w:val="00064E1D"/>
    <w:rsid w:val="00070B57"/>
    <w:rsid w:val="00071E4D"/>
    <w:rsid w:val="000733C5"/>
    <w:rsid w:val="00075203"/>
    <w:rsid w:val="0007527A"/>
    <w:rsid w:val="00076865"/>
    <w:rsid w:val="000804F7"/>
    <w:rsid w:val="00084478"/>
    <w:rsid w:val="00085188"/>
    <w:rsid w:val="00087D85"/>
    <w:rsid w:val="00087F5E"/>
    <w:rsid w:val="00092BB3"/>
    <w:rsid w:val="000950A8"/>
    <w:rsid w:val="00095E5F"/>
    <w:rsid w:val="00096B74"/>
    <w:rsid w:val="00097ECE"/>
    <w:rsid w:val="000A2189"/>
    <w:rsid w:val="000A2829"/>
    <w:rsid w:val="000A4A11"/>
    <w:rsid w:val="000A660D"/>
    <w:rsid w:val="000A7718"/>
    <w:rsid w:val="000B08C0"/>
    <w:rsid w:val="000B0B94"/>
    <w:rsid w:val="000B0BFA"/>
    <w:rsid w:val="000B2E3B"/>
    <w:rsid w:val="000B2ED2"/>
    <w:rsid w:val="000B378A"/>
    <w:rsid w:val="000B50AF"/>
    <w:rsid w:val="000B5397"/>
    <w:rsid w:val="000B545F"/>
    <w:rsid w:val="000B61C5"/>
    <w:rsid w:val="000B7C97"/>
    <w:rsid w:val="000C04A2"/>
    <w:rsid w:val="000C0BB3"/>
    <w:rsid w:val="000C368A"/>
    <w:rsid w:val="000C7B90"/>
    <w:rsid w:val="000D0039"/>
    <w:rsid w:val="000D1DF2"/>
    <w:rsid w:val="000D50C3"/>
    <w:rsid w:val="000D5A62"/>
    <w:rsid w:val="000D5AD3"/>
    <w:rsid w:val="000D5F56"/>
    <w:rsid w:val="000D6882"/>
    <w:rsid w:val="000D72F8"/>
    <w:rsid w:val="000E003D"/>
    <w:rsid w:val="000E09E3"/>
    <w:rsid w:val="000E107A"/>
    <w:rsid w:val="000E10E7"/>
    <w:rsid w:val="000E47BE"/>
    <w:rsid w:val="000E4B21"/>
    <w:rsid w:val="000E51FF"/>
    <w:rsid w:val="000E757D"/>
    <w:rsid w:val="000F2538"/>
    <w:rsid w:val="000F4544"/>
    <w:rsid w:val="000F56CC"/>
    <w:rsid w:val="000F5EF5"/>
    <w:rsid w:val="000F7EED"/>
    <w:rsid w:val="0010247E"/>
    <w:rsid w:val="00102C20"/>
    <w:rsid w:val="0010512E"/>
    <w:rsid w:val="001071A7"/>
    <w:rsid w:val="00115B08"/>
    <w:rsid w:val="001207A2"/>
    <w:rsid w:val="00121CC4"/>
    <w:rsid w:val="0012364F"/>
    <w:rsid w:val="00123DAA"/>
    <w:rsid w:val="001246A3"/>
    <w:rsid w:val="001305E8"/>
    <w:rsid w:val="0013469A"/>
    <w:rsid w:val="00134E17"/>
    <w:rsid w:val="0014676B"/>
    <w:rsid w:val="001469BF"/>
    <w:rsid w:val="001508AC"/>
    <w:rsid w:val="00153799"/>
    <w:rsid w:val="00154F46"/>
    <w:rsid w:val="00155E68"/>
    <w:rsid w:val="00156266"/>
    <w:rsid w:val="001610B4"/>
    <w:rsid w:val="00161D6F"/>
    <w:rsid w:val="0016380B"/>
    <w:rsid w:val="001638CF"/>
    <w:rsid w:val="00165790"/>
    <w:rsid w:val="00166764"/>
    <w:rsid w:val="00175F43"/>
    <w:rsid w:val="00181966"/>
    <w:rsid w:val="00183904"/>
    <w:rsid w:val="00185006"/>
    <w:rsid w:val="00185035"/>
    <w:rsid w:val="00185D78"/>
    <w:rsid w:val="0018730D"/>
    <w:rsid w:val="001879BD"/>
    <w:rsid w:val="00190725"/>
    <w:rsid w:val="00190B83"/>
    <w:rsid w:val="00190E52"/>
    <w:rsid w:val="00191A64"/>
    <w:rsid w:val="001946D3"/>
    <w:rsid w:val="001947AE"/>
    <w:rsid w:val="00195E50"/>
    <w:rsid w:val="00197450"/>
    <w:rsid w:val="001A2279"/>
    <w:rsid w:val="001A2321"/>
    <w:rsid w:val="001A263F"/>
    <w:rsid w:val="001A569C"/>
    <w:rsid w:val="001A6AFB"/>
    <w:rsid w:val="001B0C2B"/>
    <w:rsid w:val="001B18BA"/>
    <w:rsid w:val="001B2492"/>
    <w:rsid w:val="001B2AB1"/>
    <w:rsid w:val="001B3C33"/>
    <w:rsid w:val="001B55FC"/>
    <w:rsid w:val="001B59DB"/>
    <w:rsid w:val="001C44A9"/>
    <w:rsid w:val="001C4D9B"/>
    <w:rsid w:val="001C5D8A"/>
    <w:rsid w:val="001D13C9"/>
    <w:rsid w:val="001D20CF"/>
    <w:rsid w:val="001D2175"/>
    <w:rsid w:val="001D2D6F"/>
    <w:rsid w:val="001D380D"/>
    <w:rsid w:val="001D6048"/>
    <w:rsid w:val="001D645F"/>
    <w:rsid w:val="001D69A2"/>
    <w:rsid w:val="001D6FBC"/>
    <w:rsid w:val="001E0A08"/>
    <w:rsid w:val="001E42E9"/>
    <w:rsid w:val="001E61FA"/>
    <w:rsid w:val="001F060A"/>
    <w:rsid w:val="001F1B43"/>
    <w:rsid w:val="001F4E34"/>
    <w:rsid w:val="002022B7"/>
    <w:rsid w:val="00203FE5"/>
    <w:rsid w:val="0020471F"/>
    <w:rsid w:val="00204886"/>
    <w:rsid w:val="00204B3F"/>
    <w:rsid w:val="0020737B"/>
    <w:rsid w:val="00211EAC"/>
    <w:rsid w:val="0021419B"/>
    <w:rsid w:val="00214892"/>
    <w:rsid w:val="00216899"/>
    <w:rsid w:val="0021783A"/>
    <w:rsid w:val="002201CC"/>
    <w:rsid w:val="00222597"/>
    <w:rsid w:val="00222CDC"/>
    <w:rsid w:val="00222EF2"/>
    <w:rsid w:val="002237D4"/>
    <w:rsid w:val="0023139B"/>
    <w:rsid w:val="002326EF"/>
    <w:rsid w:val="0023594E"/>
    <w:rsid w:val="00235F75"/>
    <w:rsid w:val="0023658A"/>
    <w:rsid w:val="00241A20"/>
    <w:rsid w:val="00242A71"/>
    <w:rsid w:val="002438FD"/>
    <w:rsid w:val="00245185"/>
    <w:rsid w:val="002463A2"/>
    <w:rsid w:val="00247A0B"/>
    <w:rsid w:val="00251A50"/>
    <w:rsid w:val="002527B1"/>
    <w:rsid w:val="002530C9"/>
    <w:rsid w:val="00253A80"/>
    <w:rsid w:val="0025424A"/>
    <w:rsid w:val="00254629"/>
    <w:rsid w:val="002547BA"/>
    <w:rsid w:val="00254A12"/>
    <w:rsid w:val="002552D1"/>
    <w:rsid w:val="0026154E"/>
    <w:rsid w:val="002625AF"/>
    <w:rsid w:val="0026368E"/>
    <w:rsid w:val="00267BC7"/>
    <w:rsid w:val="0027208B"/>
    <w:rsid w:val="00273F9D"/>
    <w:rsid w:val="00276BC1"/>
    <w:rsid w:val="002808E9"/>
    <w:rsid w:val="00283909"/>
    <w:rsid w:val="00283A6B"/>
    <w:rsid w:val="00283B73"/>
    <w:rsid w:val="00286A77"/>
    <w:rsid w:val="00286FD6"/>
    <w:rsid w:val="00291D42"/>
    <w:rsid w:val="00296306"/>
    <w:rsid w:val="002A0BAC"/>
    <w:rsid w:val="002A1471"/>
    <w:rsid w:val="002A1A0A"/>
    <w:rsid w:val="002A24B5"/>
    <w:rsid w:val="002A4F98"/>
    <w:rsid w:val="002A5010"/>
    <w:rsid w:val="002B0B27"/>
    <w:rsid w:val="002B19F4"/>
    <w:rsid w:val="002B3298"/>
    <w:rsid w:val="002B3D74"/>
    <w:rsid w:val="002C0EBF"/>
    <w:rsid w:val="002C171C"/>
    <w:rsid w:val="002C177C"/>
    <w:rsid w:val="002C3326"/>
    <w:rsid w:val="002C3362"/>
    <w:rsid w:val="002C5CC2"/>
    <w:rsid w:val="002C62A2"/>
    <w:rsid w:val="002C65D8"/>
    <w:rsid w:val="002C6867"/>
    <w:rsid w:val="002D6552"/>
    <w:rsid w:val="002D65E9"/>
    <w:rsid w:val="002E2ED9"/>
    <w:rsid w:val="002E432A"/>
    <w:rsid w:val="002E5E92"/>
    <w:rsid w:val="002E6AAF"/>
    <w:rsid w:val="002F2728"/>
    <w:rsid w:val="002F2D10"/>
    <w:rsid w:val="002F433F"/>
    <w:rsid w:val="002F500D"/>
    <w:rsid w:val="002F5E16"/>
    <w:rsid w:val="002F7472"/>
    <w:rsid w:val="002F7E14"/>
    <w:rsid w:val="003002F7"/>
    <w:rsid w:val="0030079B"/>
    <w:rsid w:val="00301B09"/>
    <w:rsid w:val="0030650B"/>
    <w:rsid w:val="00306B59"/>
    <w:rsid w:val="00307E13"/>
    <w:rsid w:val="003115C7"/>
    <w:rsid w:val="00312909"/>
    <w:rsid w:val="00315CB6"/>
    <w:rsid w:val="0032005F"/>
    <w:rsid w:val="00320119"/>
    <w:rsid w:val="0032079B"/>
    <w:rsid w:val="00320EC9"/>
    <w:rsid w:val="00323E15"/>
    <w:rsid w:val="003244ED"/>
    <w:rsid w:val="00325456"/>
    <w:rsid w:val="00325CED"/>
    <w:rsid w:val="003260EF"/>
    <w:rsid w:val="0033009E"/>
    <w:rsid w:val="0033051E"/>
    <w:rsid w:val="00330586"/>
    <w:rsid w:val="00331396"/>
    <w:rsid w:val="0033180F"/>
    <w:rsid w:val="003353E5"/>
    <w:rsid w:val="003369B5"/>
    <w:rsid w:val="0033709A"/>
    <w:rsid w:val="0034104A"/>
    <w:rsid w:val="00342B04"/>
    <w:rsid w:val="00343996"/>
    <w:rsid w:val="00345783"/>
    <w:rsid w:val="003476DC"/>
    <w:rsid w:val="003507F2"/>
    <w:rsid w:val="00350CC9"/>
    <w:rsid w:val="00350F72"/>
    <w:rsid w:val="003510CC"/>
    <w:rsid w:val="00351FAD"/>
    <w:rsid w:val="003521AE"/>
    <w:rsid w:val="00352F5B"/>
    <w:rsid w:val="003543FC"/>
    <w:rsid w:val="00354EFB"/>
    <w:rsid w:val="003551C2"/>
    <w:rsid w:val="00355646"/>
    <w:rsid w:val="0035692C"/>
    <w:rsid w:val="00361393"/>
    <w:rsid w:val="00361537"/>
    <w:rsid w:val="00364042"/>
    <w:rsid w:val="00364273"/>
    <w:rsid w:val="0036697D"/>
    <w:rsid w:val="003704E2"/>
    <w:rsid w:val="00370B7E"/>
    <w:rsid w:val="00370CEB"/>
    <w:rsid w:val="0037306B"/>
    <w:rsid w:val="003732F4"/>
    <w:rsid w:val="00373C38"/>
    <w:rsid w:val="003775BE"/>
    <w:rsid w:val="00380F8B"/>
    <w:rsid w:val="003823A8"/>
    <w:rsid w:val="00382A8A"/>
    <w:rsid w:val="003831F1"/>
    <w:rsid w:val="00384699"/>
    <w:rsid w:val="00385988"/>
    <w:rsid w:val="0038607A"/>
    <w:rsid w:val="00387F8E"/>
    <w:rsid w:val="003904F4"/>
    <w:rsid w:val="0039608D"/>
    <w:rsid w:val="0039636B"/>
    <w:rsid w:val="00397D95"/>
    <w:rsid w:val="003A04F1"/>
    <w:rsid w:val="003A3B28"/>
    <w:rsid w:val="003A4940"/>
    <w:rsid w:val="003A7528"/>
    <w:rsid w:val="003B2C04"/>
    <w:rsid w:val="003B41E0"/>
    <w:rsid w:val="003B4F90"/>
    <w:rsid w:val="003B7769"/>
    <w:rsid w:val="003C17BB"/>
    <w:rsid w:val="003C233E"/>
    <w:rsid w:val="003C4886"/>
    <w:rsid w:val="003D3980"/>
    <w:rsid w:val="003D57A3"/>
    <w:rsid w:val="003D69E4"/>
    <w:rsid w:val="003D7551"/>
    <w:rsid w:val="003D7D77"/>
    <w:rsid w:val="003E14B1"/>
    <w:rsid w:val="003E39BD"/>
    <w:rsid w:val="003E3F22"/>
    <w:rsid w:val="003E68CF"/>
    <w:rsid w:val="003E7828"/>
    <w:rsid w:val="003F0497"/>
    <w:rsid w:val="003F1336"/>
    <w:rsid w:val="003F2F22"/>
    <w:rsid w:val="003F5B15"/>
    <w:rsid w:val="003F7D09"/>
    <w:rsid w:val="004002A1"/>
    <w:rsid w:val="004007F7"/>
    <w:rsid w:val="004008B5"/>
    <w:rsid w:val="00400BE0"/>
    <w:rsid w:val="00400E66"/>
    <w:rsid w:val="004032EB"/>
    <w:rsid w:val="004046D1"/>
    <w:rsid w:val="00405DBC"/>
    <w:rsid w:val="0040699F"/>
    <w:rsid w:val="00406FE3"/>
    <w:rsid w:val="00407D2B"/>
    <w:rsid w:val="00407F17"/>
    <w:rsid w:val="00414A77"/>
    <w:rsid w:val="0041639B"/>
    <w:rsid w:val="00417C26"/>
    <w:rsid w:val="00420767"/>
    <w:rsid w:val="00420CBF"/>
    <w:rsid w:val="00421002"/>
    <w:rsid w:val="00421088"/>
    <w:rsid w:val="004211F2"/>
    <w:rsid w:val="00421CDF"/>
    <w:rsid w:val="004249FD"/>
    <w:rsid w:val="00424F05"/>
    <w:rsid w:val="00425724"/>
    <w:rsid w:val="00425B46"/>
    <w:rsid w:val="00427160"/>
    <w:rsid w:val="00433505"/>
    <w:rsid w:val="00433E71"/>
    <w:rsid w:val="004360ED"/>
    <w:rsid w:val="00437367"/>
    <w:rsid w:val="004409BC"/>
    <w:rsid w:val="0044440B"/>
    <w:rsid w:val="00446362"/>
    <w:rsid w:val="004504D4"/>
    <w:rsid w:val="004523CB"/>
    <w:rsid w:val="0045383C"/>
    <w:rsid w:val="00453FBE"/>
    <w:rsid w:val="00454172"/>
    <w:rsid w:val="00454814"/>
    <w:rsid w:val="004555F5"/>
    <w:rsid w:val="00455BD0"/>
    <w:rsid w:val="004573F6"/>
    <w:rsid w:val="0046007E"/>
    <w:rsid w:val="004617F1"/>
    <w:rsid w:val="004640E5"/>
    <w:rsid w:val="0046594E"/>
    <w:rsid w:val="00467EEB"/>
    <w:rsid w:val="00467F49"/>
    <w:rsid w:val="00470088"/>
    <w:rsid w:val="00471276"/>
    <w:rsid w:val="004728B1"/>
    <w:rsid w:val="0047467A"/>
    <w:rsid w:val="0047537D"/>
    <w:rsid w:val="004807F5"/>
    <w:rsid w:val="00483E57"/>
    <w:rsid w:val="00485B38"/>
    <w:rsid w:val="00485BB4"/>
    <w:rsid w:val="00486506"/>
    <w:rsid w:val="004876CA"/>
    <w:rsid w:val="00490D1F"/>
    <w:rsid w:val="004918A4"/>
    <w:rsid w:val="00492405"/>
    <w:rsid w:val="00494FE4"/>
    <w:rsid w:val="00495BBD"/>
    <w:rsid w:val="00496505"/>
    <w:rsid w:val="004A2281"/>
    <w:rsid w:val="004A34F8"/>
    <w:rsid w:val="004A4A61"/>
    <w:rsid w:val="004A5C8B"/>
    <w:rsid w:val="004A73DB"/>
    <w:rsid w:val="004B2B7E"/>
    <w:rsid w:val="004B3925"/>
    <w:rsid w:val="004B57A4"/>
    <w:rsid w:val="004B641B"/>
    <w:rsid w:val="004B691A"/>
    <w:rsid w:val="004B722C"/>
    <w:rsid w:val="004C0AA8"/>
    <w:rsid w:val="004C2047"/>
    <w:rsid w:val="004C3BD8"/>
    <w:rsid w:val="004C5AC3"/>
    <w:rsid w:val="004C6C90"/>
    <w:rsid w:val="004C7D01"/>
    <w:rsid w:val="004D0230"/>
    <w:rsid w:val="004D02CB"/>
    <w:rsid w:val="004D0BC7"/>
    <w:rsid w:val="004D0D63"/>
    <w:rsid w:val="004D0E7B"/>
    <w:rsid w:val="004D0F8C"/>
    <w:rsid w:val="004D5757"/>
    <w:rsid w:val="004D60A8"/>
    <w:rsid w:val="004E276C"/>
    <w:rsid w:val="004E6689"/>
    <w:rsid w:val="004E72B3"/>
    <w:rsid w:val="004E7D45"/>
    <w:rsid w:val="004F21B9"/>
    <w:rsid w:val="004F2B5D"/>
    <w:rsid w:val="004F304E"/>
    <w:rsid w:val="004F4088"/>
    <w:rsid w:val="004F507E"/>
    <w:rsid w:val="005007D8"/>
    <w:rsid w:val="00505435"/>
    <w:rsid w:val="00506131"/>
    <w:rsid w:val="0051133B"/>
    <w:rsid w:val="0051188C"/>
    <w:rsid w:val="00512DD1"/>
    <w:rsid w:val="00513B20"/>
    <w:rsid w:val="00514C07"/>
    <w:rsid w:val="00514E9C"/>
    <w:rsid w:val="00520D88"/>
    <w:rsid w:val="00522C28"/>
    <w:rsid w:val="005236AD"/>
    <w:rsid w:val="00524FDD"/>
    <w:rsid w:val="005253C8"/>
    <w:rsid w:val="0052617F"/>
    <w:rsid w:val="00530233"/>
    <w:rsid w:val="00530BD7"/>
    <w:rsid w:val="00531022"/>
    <w:rsid w:val="005312DD"/>
    <w:rsid w:val="0053761C"/>
    <w:rsid w:val="00540191"/>
    <w:rsid w:val="00541BFC"/>
    <w:rsid w:val="0054333E"/>
    <w:rsid w:val="0054531C"/>
    <w:rsid w:val="0054550D"/>
    <w:rsid w:val="00547740"/>
    <w:rsid w:val="00547AB8"/>
    <w:rsid w:val="00551737"/>
    <w:rsid w:val="00560E4A"/>
    <w:rsid w:val="00561BA6"/>
    <w:rsid w:val="00571644"/>
    <w:rsid w:val="00571BA6"/>
    <w:rsid w:val="00573008"/>
    <w:rsid w:val="00574AF3"/>
    <w:rsid w:val="00580723"/>
    <w:rsid w:val="0058672B"/>
    <w:rsid w:val="005875CD"/>
    <w:rsid w:val="005900A1"/>
    <w:rsid w:val="00590ADF"/>
    <w:rsid w:val="00593CDD"/>
    <w:rsid w:val="00595714"/>
    <w:rsid w:val="00595F4D"/>
    <w:rsid w:val="005A02AB"/>
    <w:rsid w:val="005A2BB1"/>
    <w:rsid w:val="005A4D24"/>
    <w:rsid w:val="005A63F9"/>
    <w:rsid w:val="005A7DA8"/>
    <w:rsid w:val="005B0CC9"/>
    <w:rsid w:val="005B3B0F"/>
    <w:rsid w:val="005B3E40"/>
    <w:rsid w:val="005B665B"/>
    <w:rsid w:val="005B6812"/>
    <w:rsid w:val="005B76DF"/>
    <w:rsid w:val="005C0455"/>
    <w:rsid w:val="005C07CD"/>
    <w:rsid w:val="005C2929"/>
    <w:rsid w:val="005C3463"/>
    <w:rsid w:val="005C4F53"/>
    <w:rsid w:val="005C58E9"/>
    <w:rsid w:val="005C68E8"/>
    <w:rsid w:val="005C71D8"/>
    <w:rsid w:val="005C770C"/>
    <w:rsid w:val="005C782E"/>
    <w:rsid w:val="005D182F"/>
    <w:rsid w:val="005D2AA4"/>
    <w:rsid w:val="005D399B"/>
    <w:rsid w:val="005D6D97"/>
    <w:rsid w:val="005D73DD"/>
    <w:rsid w:val="005E21F8"/>
    <w:rsid w:val="005E2E76"/>
    <w:rsid w:val="005E3384"/>
    <w:rsid w:val="005E5330"/>
    <w:rsid w:val="005E5393"/>
    <w:rsid w:val="005E6637"/>
    <w:rsid w:val="005F0366"/>
    <w:rsid w:val="005F4865"/>
    <w:rsid w:val="00600A7D"/>
    <w:rsid w:val="00601CAB"/>
    <w:rsid w:val="00601F5F"/>
    <w:rsid w:val="006038C8"/>
    <w:rsid w:val="00603943"/>
    <w:rsid w:val="00603BD9"/>
    <w:rsid w:val="00605695"/>
    <w:rsid w:val="006117AB"/>
    <w:rsid w:val="006133D1"/>
    <w:rsid w:val="0061370E"/>
    <w:rsid w:val="0061392F"/>
    <w:rsid w:val="00616D60"/>
    <w:rsid w:val="006171B2"/>
    <w:rsid w:val="006211AB"/>
    <w:rsid w:val="00622940"/>
    <w:rsid w:val="0062498C"/>
    <w:rsid w:val="00625A9F"/>
    <w:rsid w:val="006301C3"/>
    <w:rsid w:val="00636BE1"/>
    <w:rsid w:val="006371D3"/>
    <w:rsid w:val="00637FE7"/>
    <w:rsid w:val="006408D0"/>
    <w:rsid w:val="00640EAE"/>
    <w:rsid w:val="006451D1"/>
    <w:rsid w:val="0064626C"/>
    <w:rsid w:val="00646497"/>
    <w:rsid w:val="0064792A"/>
    <w:rsid w:val="006515EE"/>
    <w:rsid w:val="006516D2"/>
    <w:rsid w:val="00653608"/>
    <w:rsid w:val="006556F1"/>
    <w:rsid w:val="00657A67"/>
    <w:rsid w:val="00657F2B"/>
    <w:rsid w:val="00662394"/>
    <w:rsid w:val="006656E5"/>
    <w:rsid w:val="00666186"/>
    <w:rsid w:val="006666DD"/>
    <w:rsid w:val="00666E3C"/>
    <w:rsid w:val="00667A37"/>
    <w:rsid w:val="00673148"/>
    <w:rsid w:val="006802D2"/>
    <w:rsid w:val="00680453"/>
    <w:rsid w:val="00680F5A"/>
    <w:rsid w:val="006845E4"/>
    <w:rsid w:val="0068619F"/>
    <w:rsid w:val="006865DF"/>
    <w:rsid w:val="00686C46"/>
    <w:rsid w:val="00687461"/>
    <w:rsid w:val="00691327"/>
    <w:rsid w:val="006961CB"/>
    <w:rsid w:val="006A17EC"/>
    <w:rsid w:val="006A240F"/>
    <w:rsid w:val="006A29AC"/>
    <w:rsid w:val="006A42E2"/>
    <w:rsid w:val="006A64D2"/>
    <w:rsid w:val="006A723B"/>
    <w:rsid w:val="006A7932"/>
    <w:rsid w:val="006B1FC3"/>
    <w:rsid w:val="006B25E3"/>
    <w:rsid w:val="006B3AA3"/>
    <w:rsid w:val="006B3AC3"/>
    <w:rsid w:val="006B4DCD"/>
    <w:rsid w:val="006B5353"/>
    <w:rsid w:val="006B578B"/>
    <w:rsid w:val="006B7C45"/>
    <w:rsid w:val="006B7FE3"/>
    <w:rsid w:val="006C0821"/>
    <w:rsid w:val="006C0BB8"/>
    <w:rsid w:val="006C0E9F"/>
    <w:rsid w:val="006C3DA8"/>
    <w:rsid w:val="006C59F9"/>
    <w:rsid w:val="006C5E87"/>
    <w:rsid w:val="006C75BA"/>
    <w:rsid w:val="006D08BC"/>
    <w:rsid w:val="006D1A99"/>
    <w:rsid w:val="006D236C"/>
    <w:rsid w:val="006D42FC"/>
    <w:rsid w:val="006D49BA"/>
    <w:rsid w:val="006D5658"/>
    <w:rsid w:val="006D7EEA"/>
    <w:rsid w:val="006E5619"/>
    <w:rsid w:val="006E5DBF"/>
    <w:rsid w:val="006E63E8"/>
    <w:rsid w:val="006F1838"/>
    <w:rsid w:val="006F24E4"/>
    <w:rsid w:val="006F3FA2"/>
    <w:rsid w:val="006F5791"/>
    <w:rsid w:val="006F7B73"/>
    <w:rsid w:val="007020A7"/>
    <w:rsid w:val="00703224"/>
    <w:rsid w:val="007038B6"/>
    <w:rsid w:val="00704078"/>
    <w:rsid w:val="00704156"/>
    <w:rsid w:val="00705359"/>
    <w:rsid w:val="00706555"/>
    <w:rsid w:val="00710376"/>
    <w:rsid w:val="00710CE1"/>
    <w:rsid w:val="00715231"/>
    <w:rsid w:val="007157C6"/>
    <w:rsid w:val="007169AB"/>
    <w:rsid w:val="00720DEA"/>
    <w:rsid w:val="00721025"/>
    <w:rsid w:val="0072201E"/>
    <w:rsid w:val="007244C9"/>
    <w:rsid w:val="0072671E"/>
    <w:rsid w:val="00727433"/>
    <w:rsid w:val="00732618"/>
    <w:rsid w:val="00732AA6"/>
    <w:rsid w:val="00732B59"/>
    <w:rsid w:val="00732C94"/>
    <w:rsid w:val="00735E4C"/>
    <w:rsid w:val="00736928"/>
    <w:rsid w:val="00737983"/>
    <w:rsid w:val="00737BDF"/>
    <w:rsid w:val="007406A2"/>
    <w:rsid w:val="0074099B"/>
    <w:rsid w:val="007430AC"/>
    <w:rsid w:val="00743A9B"/>
    <w:rsid w:val="00746F45"/>
    <w:rsid w:val="00747A86"/>
    <w:rsid w:val="0075136F"/>
    <w:rsid w:val="00751CAC"/>
    <w:rsid w:val="007527F4"/>
    <w:rsid w:val="00752F18"/>
    <w:rsid w:val="0075326F"/>
    <w:rsid w:val="0075340F"/>
    <w:rsid w:val="00753829"/>
    <w:rsid w:val="00753917"/>
    <w:rsid w:val="00753F28"/>
    <w:rsid w:val="007556D5"/>
    <w:rsid w:val="00760693"/>
    <w:rsid w:val="00761058"/>
    <w:rsid w:val="00761160"/>
    <w:rsid w:val="0076225F"/>
    <w:rsid w:val="007624F1"/>
    <w:rsid w:val="00765028"/>
    <w:rsid w:val="00765487"/>
    <w:rsid w:val="00767EE0"/>
    <w:rsid w:val="00772DA7"/>
    <w:rsid w:val="00773EF0"/>
    <w:rsid w:val="007765ED"/>
    <w:rsid w:val="007776DC"/>
    <w:rsid w:val="007800FF"/>
    <w:rsid w:val="007818E4"/>
    <w:rsid w:val="0078320A"/>
    <w:rsid w:val="00783CD1"/>
    <w:rsid w:val="00783CD9"/>
    <w:rsid w:val="00785E84"/>
    <w:rsid w:val="00787C57"/>
    <w:rsid w:val="007945B5"/>
    <w:rsid w:val="0079491C"/>
    <w:rsid w:val="00794C47"/>
    <w:rsid w:val="00796793"/>
    <w:rsid w:val="00796C7D"/>
    <w:rsid w:val="007A0757"/>
    <w:rsid w:val="007A42CC"/>
    <w:rsid w:val="007A5928"/>
    <w:rsid w:val="007A61EB"/>
    <w:rsid w:val="007B2320"/>
    <w:rsid w:val="007B44CA"/>
    <w:rsid w:val="007C02AB"/>
    <w:rsid w:val="007C0E3C"/>
    <w:rsid w:val="007C1324"/>
    <w:rsid w:val="007C27F3"/>
    <w:rsid w:val="007C46C6"/>
    <w:rsid w:val="007C5E3A"/>
    <w:rsid w:val="007C5F81"/>
    <w:rsid w:val="007C624C"/>
    <w:rsid w:val="007C63B8"/>
    <w:rsid w:val="007C6D6C"/>
    <w:rsid w:val="007C7A61"/>
    <w:rsid w:val="007D126D"/>
    <w:rsid w:val="007D3ACC"/>
    <w:rsid w:val="007D763D"/>
    <w:rsid w:val="007E13D0"/>
    <w:rsid w:val="007E2B67"/>
    <w:rsid w:val="007E4280"/>
    <w:rsid w:val="007E5013"/>
    <w:rsid w:val="007E5B3C"/>
    <w:rsid w:val="007E66EC"/>
    <w:rsid w:val="007E70D4"/>
    <w:rsid w:val="007F04C3"/>
    <w:rsid w:val="007F2F94"/>
    <w:rsid w:val="007F5609"/>
    <w:rsid w:val="007F711D"/>
    <w:rsid w:val="0080416A"/>
    <w:rsid w:val="008041A6"/>
    <w:rsid w:val="00804CFC"/>
    <w:rsid w:val="00807176"/>
    <w:rsid w:val="0080787C"/>
    <w:rsid w:val="008107B6"/>
    <w:rsid w:val="00811E1C"/>
    <w:rsid w:val="008128CB"/>
    <w:rsid w:val="008138F3"/>
    <w:rsid w:val="00814612"/>
    <w:rsid w:val="00814DD5"/>
    <w:rsid w:val="00814F04"/>
    <w:rsid w:val="0081665F"/>
    <w:rsid w:val="008169FB"/>
    <w:rsid w:val="00820336"/>
    <w:rsid w:val="008209C8"/>
    <w:rsid w:val="008219DD"/>
    <w:rsid w:val="00821AFA"/>
    <w:rsid w:val="00827D4A"/>
    <w:rsid w:val="008314FC"/>
    <w:rsid w:val="00832DCE"/>
    <w:rsid w:val="00842F34"/>
    <w:rsid w:val="008440CF"/>
    <w:rsid w:val="0084664A"/>
    <w:rsid w:val="008477B3"/>
    <w:rsid w:val="008520D9"/>
    <w:rsid w:val="00852EF7"/>
    <w:rsid w:val="00857432"/>
    <w:rsid w:val="008604F5"/>
    <w:rsid w:val="00860B76"/>
    <w:rsid w:val="00860DC9"/>
    <w:rsid w:val="00861BAA"/>
    <w:rsid w:val="00862ED6"/>
    <w:rsid w:val="008649D7"/>
    <w:rsid w:val="00864ABF"/>
    <w:rsid w:val="00865E9B"/>
    <w:rsid w:val="00866114"/>
    <w:rsid w:val="008662A6"/>
    <w:rsid w:val="00866397"/>
    <w:rsid w:val="00870E43"/>
    <w:rsid w:val="00871041"/>
    <w:rsid w:val="00871079"/>
    <w:rsid w:val="0087141C"/>
    <w:rsid w:val="00871DE6"/>
    <w:rsid w:val="00872831"/>
    <w:rsid w:val="008754E7"/>
    <w:rsid w:val="00875962"/>
    <w:rsid w:val="00876362"/>
    <w:rsid w:val="008770FC"/>
    <w:rsid w:val="00880727"/>
    <w:rsid w:val="00880AAC"/>
    <w:rsid w:val="00881674"/>
    <w:rsid w:val="00882427"/>
    <w:rsid w:val="008836ED"/>
    <w:rsid w:val="00884FCF"/>
    <w:rsid w:val="00886183"/>
    <w:rsid w:val="008901DC"/>
    <w:rsid w:val="00890ED5"/>
    <w:rsid w:val="008920BF"/>
    <w:rsid w:val="00895AA4"/>
    <w:rsid w:val="008A1D54"/>
    <w:rsid w:val="008A3628"/>
    <w:rsid w:val="008B08FA"/>
    <w:rsid w:val="008B0C77"/>
    <w:rsid w:val="008B28C2"/>
    <w:rsid w:val="008B40BA"/>
    <w:rsid w:val="008B763D"/>
    <w:rsid w:val="008B7F32"/>
    <w:rsid w:val="008C06FC"/>
    <w:rsid w:val="008C1865"/>
    <w:rsid w:val="008C1C2B"/>
    <w:rsid w:val="008C39BE"/>
    <w:rsid w:val="008C65A6"/>
    <w:rsid w:val="008D0E74"/>
    <w:rsid w:val="008D43D1"/>
    <w:rsid w:val="008D4DED"/>
    <w:rsid w:val="008D5B1D"/>
    <w:rsid w:val="008D6F59"/>
    <w:rsid w:val="008E432F"/>
    <w:rsid w:val="008E7AEB"/>
    <w:rsid w:val="008F10C9"/>
    <w:rsid w:val="008F2D9C"/>
    <w:rsid w:val="008F2E54"/>
    <w:rsid w:val="008F41AB"/>
    <w:rsid w:val="008F4A51"/>
    <w:rsid w:val="008F4BD6"/>
    <w:rsid w:val="008F5F9B"/>
    <w:rsid w:val="008F6C8D"/>
    <w:rsid w:val="008F7009"/>
    <w:rsid w:val="008F7635"/>
    <w:rsid w:val="00902EF1"/>
    <w:rsid w:val="00903DB3"/>
    <w:rsid w:val="009078D2"/>
    <w:rsid w:val="009116A9"/>
    <w:rsid w:val="0091401D"/>
    <w:rsid w:val="009140DD"/>
    <w:rsid w:val="00914AEA"/>
    <w:rsid w:val="00916D7E"/>
    <w:rsid w:val="00917657"/>
    <w:rsid w:val="00917C67"/>
    <w:rsid w:val="009210FE"/>
    <w:rsid w:val="00921559"/>
    <w:rsid w:val="00923729"/>
    <w:rsid w:val="009256EB"/>
    <w:rsid w:val="00930024"/>
    <w:rsid w:val="00930B8E"/>
    <w:rsid w:val="009310C1"/>
    <w:rsid w:val="00934250"/>
    <w:rsid w:val="0093477F"/>
    <w:rsid w:val="009347E8"/>
    <w:rsid w:val="00934CCB"/>
    <w:rsid w:val="009353D7"/>
    <w:rsid w:val="009358B2"/>
    <w:rsid w:val="00935FB5"/>
    <w:rsid w:val="00936643"/>
    <w:rsid w:val="00937BA6"/>
    <w:rsid w:val="00943B58"/>
    <w:rsid w:val="009513E3"/>
    <w:rsid w:val="00953C65"/>
    <w:rsid w:val="00954593"/>
    <w:rsid w:val="00954BC8"/>
    <w:rsid w:val="00956506"/>
    <w:rsid w:val="0096049A"/>
    <w:rsid w:val="0096177C"/>
    <w:rsid w:val="009625BC"/>
    <w:rsid w:val="00963FD4"/>
    <w:rsid w:val="009643BF"/>
    <w:rsid w:val="00965C94"/>
    <w:rsid w:val="00970FC5"/>
    <w:rsid w:val="009710CE"/>
    <w:rsid w:val="009724AA"/>
    <w:rsid w:val="00973E7F"/>
    <w:rsid w:val="0098083E"/>
    <w:rsid w:val="00984C36"/>
    <w:rsid w:val="00985654"/>
    <w:rsid w:val="00986DA9"/>
    <w:rsid w:val="00990C13"/>
    <w:rsid w:val="0099135F"/>
    <w:rsid w:val="0099364A"/>
    <w:rsid w:val="0099448E"/>
    <w:rsid w:val="00994798"/>
    <w:rsid w:val="009948D4"/>
    <w:rsid w:val="009966DF"/>
    <w:rsid w:val="00997083"/>
    <w:rsid w:val="009A419C"/>
    <w:rsid w:val="009A4E5C"/>
    <w:rsid w:val="009A5B25"/>
    <w:rsid w:val="009A755A"/>
    <w:rsid w:val="009A798B"/>
    <w:rsid w:val="009A7A95"/>
    <w:rsid w:val="009B01E2"/>
    <w:rsid w:val="009B74A2"/>
    <w:rsid w:val="009B7AE0"/>
    <w:rsid w:val="009C02DD"/>
    <w:rsid w:val="009C035D"/>
    <w:rsid w:val="009C1096"/>
    <w:rsid w:val="009C11D5"/>
    <w:rsid w:val="009C185C"/>
    <w:rsid w:val="009C56CB"/>
    <w:rsid w:val="009D10BE"/>
    <w:rsid w:val="009D3596"/>
    <w:rsid w:val="009D4D02"/>
    <w:rsid w:val="009D5259"/>
    <w:rsid w:val="009D5F7D"/>
    <w:rsid w:val="009D7DA0"/>
    <w:rsid w:val="009E1BE8"/>
    <w:rsid w:val="009E1F37"/>
    <w:rsid w:val="009E1FF9"/>
    <w:rsid w:val="009E32E5"/>
    <w:rsid w:val="009E57E8"/>
    <w:rsid w:val="009E586A"/>
    <w:rsid w:val="009E5A94"/>
    <w:rsid w:val="009E63C5"/>
    <w:rsid w:val="009E6587"/>
    <w:rsid w:val="009E6FDC"/>
    <w:rsid w:val="009E7463"/>
    <w:rsid w:val="009E7E08"/>
    <w:rsid w:val="009E7F7E"/>
    <w:rsid w:val="009F17B3"/>
    <w:rsid w:val="009F3EB8"/>
    <w:rsid w:val="009F4B5D"/>
    <w:rsid w:val="009F61E2"/>
    <w:rsid w:val="00A017F6"/>
    <w:rsid w:val="00A01C46"/>
    <w:rsid w:val="00A03813"/>
    <w:rsid w:val="00A03EB6"/>
    <w:rsid w:val="00A05905"/>
    <w:rsid w:val="00A103CB"/>
    <w:rsid w:val="00A11020"/>
    <w:rsid w:val="00A12DC8"/>
    <w:rsid w:val="00A15F50"/>
    <w:rsid w:val="00A238C9"/>
    <w:rsid w:val="00A25D85"/>
    <w:rsid w:val="00A319C4"/>
    <w:rsid w:val="00A31F39"/>
    <w:rsid w:val="00A32F1D"/>
    <w:rsid w:val="00A33D7B"/>
    <w:rsid w:val="00A34B4E"/>
    <w:rsid w:val="00A34F6C"/>
    <w:rsid w:val="00A34FC9"/>
    <w:rsid w:val="00A35261"/>
    <w:rsid w:val="00A35CC8"/>
    <w:rsid w:val="00A36BE1"/>
    <w:rsid w:val="00A37D82"/>
    <w:rsid w:val="00A40F9C"/>
    <w:rsid w:val="00A4215E"/>
    <w:rsid w:val="00A42F2C"/>
    <w:rsid w:val="00A4462E"/>
    <w:rsid w:val="00A447A2"/>
    <w:rsid w:val="00A4585A"/>
    <w:rsid w:val="00A4599E"/>
    <w:rsid w:val="00A4681B"/>
    <w:rsid w:val="00A4739D"/>
    <w:rsid w:val="00A47766"/>
    <w:rsid w:val="00A505A6"/>
    <w:rsid w:val="00A51C5A"/>
    <w:rsid w:val="00A52400"/>
    <w:rsid w:val="00A528F5"/>
    <w:rsid w:val="00A53B62"/>
    <w:rsid w:val="00A53B85"/>
    <w:rsid w:val="00A54E43"/>
    <w:rsid w:val="00A554DC"/>
    <w:rsid w:val="00A56CC8"/>
    <w:rsid w:val="00A610DA"/>
    <w:rsid w:val="00A6249C"/>
    <w:rsid w:val="00A62951"/>
    <w:rsid w:val="00A6349F"/>
    <w:rsid w:val="00A70A13"/>
    <w:rsid w:val="00A72089"/>
    <w:rsid w:val="00A72266"/>
    <w:rsid w:val="00A730C0"/>
    <w:rsid w:val="00A75759"/>
    <w:rsid w:val="00A8418C"/>
    <w:rsid w:val="00A85679"/>
    <w:rsid w:val="00A86306"/>
    <w:rsid w:val="00A94003"/>
    <w:rsid w:val="00A95036"/>
    <w:rsid w:val="00A97382"/>
    <w:rsid w:val="00A97565"/>
    <w:rsid w:val="00AA0943"/>
    <w:rsid w:val="00AA1704"/>
    <w:rsid w:val="00AA1B8C"/>
    <w:rsid w:val="00AA2392"/>
    <w:rsid w:val="00AA2A8E"/>
    <w:rsid w:val="00AA3BBE"/>
    <w:rsid w:val="00AA4B45"/>
    <w:rsid w:val="00AA50F8"/>
    <w:rsid w:val="00AA6FE6"/>
    <w:rsid w:val="00AB11CB"/>
    <w:rsid w:val="00AB2EFB"/>
    <w:rsid w:val="00AB4BBF"/>
    <w:rsid w:val="00AB5150"/>
    <w:rsid w:val="00AB5811"/>
    <w:rsid w:val="00AB5F60"/>
    <w:rsid w:val="00AB7993"/>
    <w:rsid w:val="00AC0973"/>
    <w:rsid w:val="00AC2F54"/>
    <w:rsid w:val="00AC3EF3"/>
    <w:rsid w:val="00AC4C38"/>
    <w:rsid w:val="00AC6F76"/>
    <w:rsid w:val="00AD1050"/>
    <w:rsid w:val="00AD1052"/>
    <w:rsid w:val="00AD3159"/>
    <w:rsid w:val="00AD3339"/>
    <w:rsid w:val="00AD3A6D"/>
    <w:rsid w:val="00AE03DD"/>
    <w:rsid w:val="00AE1BB8"/>
    <w:rsid w:val="00AE54F4"/>
    <w:rsid w:val="00AE5D7A"/>
    <w:rsid w:val="00AE66E2"/>
    <w:rsid w:val="00AE7B6C"/>
    <w:rsid w:val="00AF380E"/>
    <w:rsid w:val="00AF397F"/>
    <w:rsid w:val="00AF3EBA"/>
    <w:rsid w:val="00AF63B1"/>
    <w:rsid w:val="00AF70BC"/>
    <w:rsid w:val="00B028DD"/>
    <w:rsid w:val="00B0641F"/>
    <w:rsid w:val="00B06460"/>
    <w:rsid w:val="00B12262"/>
    <w:rsid w:val="00B13E0D"/>
    <w:rsid w:val="00B13FC9"/>
    <w:rsid w:val="00B1435F"/>
    <w:rsid w:val="00B152E1"/>
    <w:rsid w:val="00B15859"/>
    <w:rsid w:val="00B16AA9"/>
    <w:rsid w:val="00B16B3A"/>
    <w:rsid w:val="00B216CB"/>
    <w:rsid w:val="00B23991"/>
    <w:rsid w:val="00B23F01"/>
    <w:rsid w:val="00B26CBE"/>
    <w:rsid w:val="00B278A0"/>
    <w:rsid w:val="00B27AE8"/>
    <w:rsid w:val="00B27F9F"/>
    <w:rsid w:val="00B32FB9"/>
    <w:rsid w:val="00B368CF"/>
    <w:rsid w:val="00B36D37"/>
    <w:rsid w:val="00B372B7"/>
    <w:rsid w:val="00B37CC5"/>
    <w:rsid w:val="00B4100E"/>
    <w:rsid w:val="00B426A0"/>
    <w:rsid w:val="00B4513B"/>
    <w:rsid w:val="00B46D10"/>
    <w:rsid w:val="00B46D3C"/>
    <w:rsid w:val="00B47335"/>
    <w:rsid w:val="00B47A0B"/>
    <w:rsid w:val="00B50B60"/>
    <w:rsid w:val="00B51909"/>
    <w:rsid w:val="00B52245"/>
    <w:rsid w:val="00B5234E"/>
    <w:rsid w:val="00B524C3"/>
    <w:rsid w:val="00B524D0"/>
    <w:rsid w:val="00B53542"/>
    <w:rsid w:val="00B53F1B"/>
    <w:rsid w:val="00B5407B"/>
    <w:rsid w:val="00B57F82"/>
    <w:rsid w:val="00B61301"/>
    <w:rsid w:val="00B622CF"/>
    <w:rsid w:val="00B639C4"/>
    <w:rsid w:val="00B63C63"/>
    <w:rsid w:val="00B640DD"/>
    <w:rsid w:val="00B642DA"/>
    <w:rsid w:val="00B6448B"/>
    <w:rsid w:val="00B67349"/>
    <w:rsid w:val="00B70BFE"/>
    <w:rsid w:val="00B7156F"/>
    <w:rsid w:val="00B756E9"/>
    <w:rsid w:val="00B75B5C"/>
    <w:rsid w:val="00B75FB4"/>
    <w:rsid w:val="00B77450"/>
    <w:rsid w:val="00B7769F"/>
    <w:rsid w:val="00B808DF"/>
    <w:rsid w:val="00B813EE"/>
    <w:rsid w:val="00B81714"/>
    <w:rsid w:val="00B834A6"/>
    <w:rsid w:val="00B8382F"/>
    <w:rsid w:val="00B84D62"/>
    <w:rsid w:val="00B85194"/>
    <w:rsid w:val="00B851EE"/>
    <w:rsid w:val="00B85EA0"/>
    <w:rsid w:val="00B86453"/>
    <w:rsid w:val="00B8682C"/>
    <w:rsid w:val="00B86D46"/>
    <w:rsid w:val="00B870FC"/>
    <w:rsid w:val="00B9155F"/>
    <w:rsid w:val="00B96194"/>
    <w:rsid w:val="00B9750C"/>
    <w:rsid w:val="00B976E4"/>
    <w:rsid w:val="00BA1F1C"/>
    <w:rsid w:val="00BA5996"/>
    <w:rsid w:val="00BA600E"/>
    <w:rsid w:val="00BA679D"/>
    <w:rsid w:val="00BB4E8E"/>
    <w:rsid w:val="00BB656B"/>
    <w:rsid w:val="00BC1602"/>
    <w:rsid w:val="00BC2DCD"/>
    <w:rsid w:val="00BC4FA9"/>
    <w:rsid w:val="00BC5AEA"/>
    <w:rsid w:val="00BC66C4"/>
    <w:rsid w:val="00BC6C59"/>
    <w:rsid w:val="00BD2881"/>
    <w:rsid w:val="00BD4C47"/>
    <w:rsid w:val="00BD5F6D"/>
    <w:rsid w:val="00BD6E41"/>
    <w:rsid w:val="00BD7E1E"/>
    <w:rsid w:val="00BE0263"/>
    <w:rsid w:val="00BE13BF"/>
    <w:rsid w:val="00BE29C1"/>
    <w:rsid w:val="00BE2C72"/>
    <w:rsid w:val="00BE444C"/>
    <w:rsid w:val="00BE5756"/>
    <w:rsid w:val="00BE621D"/>
    <w:rsid w:val="00BE680D"/>
    <w:rsid w:val="00BE70C3"/>
    <w:rsid w:val="00BF0615"/>
    <w:rsid w:val="00BF153F"/>
    <w:rsid w:val="00BF1852"/>
    <w:rsid w:val="00BF2CA8"/>
    <w:rsid w:val="00BF39C4"/>
    <w:rsid w:val="00BF3C45"/>
    <w:rsid w:val="00BF4917"/>
    <w:rsid w:val="00BF6502"/>
    <w:rsid w:val="00C00B06"/>
    <w:rsid w:val="00C01C02"/>
    <w:rsid w:val="00C02F7B"/>
    <w:rsid w:val="00C0647A"/>
    <w:rsid w:val="00C10F80"/>
    <w:rsid w:val="00C111EE"/>
    <w:rsid w:val="00C11C68"/>
    <w:rsid w:val="00C1650A"/>
    <w:rsid w:val="00C20DCB"/>
    <w:rsid w:val="00C2148F"/>
    <w:rsid w:val="00C21589"/>
    <w:rsid w:val="00C21842"/>
    <w:rsid w:val="00C24AC3"/>
    <w:rsid w:val="00C24ED1"/>
    <w:rsid w:val="00C25D3F"/>
    <w:rsid w:val="00C26DAB"/>
    <w:rsid w:val="00C34D4C"/>
    <w:rsid w:val="00C35A38"/>
    <w:rsid w:val="00C40240"/>
    <w:rsid w:val="00C40F88"/>
    <w:rsid w:val="00C426FC"/>
    <w:rsid w:val="00C437B4"/>
    <w:rsid w:val="00C44169"/>
    <w:rsid w:val="00C44D7E"/>
    <w:rsid w:val="00C47077"/>
    <w:rsid w:val="00C47579"/>
    <w:rsid w:val="00C47DBB"/>
    <w:rsid w:val="00C52784"/>
    <w:rsid w:val="00C53403"/>
    <w:rsid w:val="00C56E2D"/>
    <w:rsid w:val="00C60B3C"/>
    <w:rsid w:val="00C61729"/>
    <w:rsid w:val="00C65F6D"/>
    <w:rsid w:val="00C67277"/>
    <w:rsid w:val="00C71B81"/>
    <w:rsid w:val="00C71E5F"/>
    <w:rsid w:val="00C76CDF"/>
    <w:rsid w:val="00C7748C"/>
    <w:rsid w:val="00C82773"/>
    <w:rsid w:val="00C8391C"/>
    <w:rsid w:val="00C83DD2"/>
    <w:rsid w:val="00C86BC4"/>
    <w:rsid w:val="00C9107F"/>
    <w:rsid w:val="00C910C3"/>
    <w:rsid w:val="00C9229E"/>
    <w:rsid w:val="00C92E7F"/>
    <w:rsid w:val="00C93C65"/>
    <w:rsid w:val="00C944C7"/>
    <w:rsid w:val="00C957BA"/>
    <w:rsid w:val="00CA01CD"/>
    <w:rsid w:val="00CA0DE7"/>
    <w:rsid w:val="00CA1774"/>
    <w:rsid w:val="00CA1BBB"/>
    <w:rsid w:val="00CA370F"/>
    <w:rsid w:val="00CA61DD"/>
    <w:rsid w:val="00CB1D40"/>
    <w:rsid w:val="00CB30EA"/>
    <w:rsid w:val="00CB3C62"/>
    <w:rsid w:val="00CB4D0E"/>
    <w:rsid w:val="00CB56EB"/>
    <w:rsid w:val="00CC1437"/>
    <w:rsid w:val="00CC21B4"/>
    <w:rsid w:val="00CC3279"/>
    <w:rsid w:val="00CC3C7C"/>
    <w:rsid w:val="00CC5466"/>
    <w:rsid w:val="00CC6C78"/>
    <w:rsid w:val="00CC6D2D"/>
    <w:rsid w:val="00CC705E"/>
    <w:rsid w:val="00CD1B54"/>
    <w:rsid w:val="00CD239D"/>
    <w:rsid w:val="00CD2935"/>
    <w:rsid w:val="00CD367C"/>
    <w:rsid w:val="00CD3826"/>
    <w:rsid w:val="00CD6B12"/>
    <w:rsid w:val="00CE01D6"/>
    <w:rsid w:val="00CE02CA"/>
    <w:rsid w:val="00CE14B6"/>
    <w:rsid w:val="00CE1710"/>
    <w:rsid w:val="00CE4811"/>
    <w:rsid w:val="00CE55E9"/>
    <w:rsid w:val="00CE5DBA"/>
    <w:rsid w:val="00CE6902"/>
    <w:rsid w:val="00CE6B6F"/>
    <w:rsid w:val="00CF1B48"/>
    <w:rsid w:val="00CF4EA7"/>
    <w:rsid w:val="00CF786A"/>
    <w:rsid w:val="00D00228"/>
    <w:rsid w:val="00D00AC7"/>
    <w:rsid w:val="00D049D3"/>
    <w:rsid w:val="00D0740E"/>
    <w:rsid w:val="00D07F2A"/>
    <w:rsid w:val="00D1034D"/>
    <w:rsid w:val="00D107C7"/>
    <w:rsid w:val="00D212ED"/>
    <w:rsid w:val="00D21792"/>
    <w:rsid w:val="00D22239"/>
    <w:rsid w:val="00D22454"/>
    <w:rsid w:val="00D237D5"/>
    <w:rsid w:val="00D24A2E"/>
    <w:rsid w:val="00D24CD6"/>
    <w:rsid w:val="00D25A11"/>
    <w:rsid w:val="00D269C2"/>
    <w:rsid w:val="00D273C0"/>
    <w:rsid w:val="00D3276C"/>
    <w:rsid w:val="00D346F7"/>
    <w:rsid w:val="00D35AA6"/>
    <w:rsid w:val="00D3791F"/>
    <w:rsid w:val="00D404EF"/>
    <w:rsid w:val="00D427DF"/>
    <w:rsid w:val="00D429AB"/>
    <w:rsid w:val="00D4479D"/>
    <w:rsid w:val="00D45BCB"/>
    <w:rsid w:val="00D46FD0"/>
    <w:rsid w:val="00D473E8"/>
    <w:rsid w:val="00D504DB"/>
    <w:rsid w:val="00D51099"/>
    <w:rsid w:val="00D52570"/>
    <w:rsid w:val="00D53904"/>
    <w:rsid w:val="00D60C1D"/>
    <w:rsid w:val="00D62AEE"/>
    <w:rsid w:val="00D66613"/>
    <w:rsid w:val="00D66A86"/>
    <w:rsid w:val="00D67184"/>
    <w:rsid w:val="00D6778F"/>
    <w:rsid w:val="00D71671"/>
    <w:rsid w:val="00D73B50"/>
    <w:rsid w:val="00D76A2E"/>
    <w:rsid w:val="00D77971"/>
    <w:rsid w:val="00D8126E"/>
    <w:rsid w:val="00D81AFC"/>
    <w:rsid w:val="00D83725"/>
    <w:rsid w:val="00D841E6"/>
    <w:rsid w:val="00D842B5"/>
    <w:rsid w:val="00D84319"/>
    <w:rsid w:val="00D85598"/>
    <w:rsid w:val="00D8580F"/>
    <w:rsid w:val="00D85881"/>
    <w:rsid w:val="00D9275B"/>
    <w:rsid w:val="00D96FE1"/>
    <w:rsid w:val="00D973CD"/>
    <w:rsid w:val="00D97481"/>
    <w:rsid w:val="00DA05E7"/>
    <w:rsid w:val="00DA2F0C"/>
    <w:rsid w:val="00DA381A"/>
    <w:rsid w:val="00DA3B57"/>
    <w:rsid w:val="00DA469B"/>
    <w:rsid w:val="00DA4EC6"/>
    <w:rsid w:val="00DC10FB"/>
    <w:rsid w:val="00DC1345"/>
    <w:rsid w:val="00DC1EF8"/>
    <w:rsid w:val="00DC2106"/>
    <w:rsid w:val="00DC3A89"/>
    <w:rsid w:val="00DC4B8D"/>
    <w:rsid w:val="00DC4E76"/>
    <w:rsid w:val="00DC505F"/>
    <w:rsid w:val="00DD15E6"/>
    <w:rsid w:val="00DD2663"/>
    <w:rsid w:val="00DD4051"/>
    <w:rsid w:val="00DD4308"/>
    <w:rsid w:val="00DD4CED"/>
    <w:rsid w:val="00DD4E6C"/>
    <w:rsid w:val="00DD5FF6"/>
    <w:rsid w:val="00DD6FFD"/>
    <w:rsid w:val="00DD7625"/>
    <w:rsid w:val="00DD79C0"/>
    <w:rsid w:val="00DD7DA6"/>
    <w:rsid w:val="00DE0A65"/>
    <w:rsid w:val="00DE33BA"/>
    <w:rsid w:val="00DE3839"/>
    <w:rsid w:val="00DE3C63"/>
    <w:rsid w:val="00DF01CE"/>
    <w:rsid w:val="00DF1EA6"/>
    <w:rsid w:val="00DF412E"/>
    <w:rsid w:val="00DF5208"/>
    <w:rsid w:val="00DF5341"/>
    <w:rsid w:val="00DF7428"/>
    <w:rsid w:val="00E0273F"/>
    <w:rsid w:val="00E05427"/>
    <w:rsid w:val="00E075D6"/>
    <w:rsid w:val="00E11610"/>
    <w:rsid w:val="00E1473B"/>
    <w:rsid w:val="00E1492B"/>
    <w:rsid w:val="00E15D57"/>
    <w:rsid w:val="00E209F2"/>
    <w:rsid w:val="00E22113"/>
    <w:rsid w:val="00E22281"/>
    <w:rsid w:val="00E26637"/>
    <w:rsid w:val="00E26648"/>
    <w:rsid w:val="00E30E67"/>
    <w:rsid w:val="00E321A6"/>
    <w:rsid w:val="00E32F8B"/>
    <w:rsid w:val="00E349D0"/>
    <w:rsid w:val="00E363FC"/>
    <w:rsid w:val="00E365FC"/>
    <w:rsid w:val="00E3691F"/>
    <w:rsid w:val="00E40492"/>
    <w:rsid w:val="00E41A45"/>
    <w:rsid w:val="00E44B3C"/>
    <w:rsid w:val="00E4515B"/>
    <w:rsid w:val="00E46069"/>
    <w:rsid w:val="00E46224"/>
    <w:rsid w:val="00E50BA5"/>
    <w:rsid w:val="00E5148D"/>
    <w:rsid w:val="00E54566"/>
    <w:rsid w:val="00E54DB2"/>
    <w:rsid w:val="00E56A55"/>
    <w:rsid w:val="00E57970"/>
    <w:rsid w:val="00E608C2"/>
    <w:rsid w:val="00E60E64"/>
    <w:rsid w:val="00E61B51"/>
    <w:rsid w:val="00E641F6"/>
    <w:rsid w:val="00E6565A"/>
    <w:rsid w:val="00E664D6"/>
    <w:rsid w:val="00E67158"/>
    <w:rsid w:val="00E701B2"/>
    <w:rsid w:val="00E7026A"/>
    <w:rsid w:val="00E70EB6"/>
    <w:rsid w:val="00E71957"/>
    <w:rsid w:val="00E71AF1"/>
    <w:rsid w:val="00E72DD7"/>
    <w:rsid w:val="00E73E42"/>
    <w:rsid w:val="00E74EEC"/>
    <w:rsid w:val="00E80439"/>
    <w:rsid w:val="00E82F0F"/>
    <w:rsid w:val="00E85089"/>
    <w:rsid w:val="00E85F9F"/>
    <w:rsid w:val="00E86239"/>
    <w:rsid w:val="00E864D0"/>
    <w:rsid w:val="00E8786F"/>
    <w:rsid w:val="00E87FCB"/>
    <w:rsid w:val="00E918A7"/>
    <w:rsid w:val="00E92E3D"/>
    <w:rsid w:val="00E9365F"/>
    <w:rsid w:val="00E93A95"/>
    <w:rsid w:val="00E94CC7"/>
    <w:rsid w:val="00E97D57"/>
    <w:rsid w:val="00EA0141"/>
    <w:rsid w:val="00EA041A"/>
    <w:rsid w:val="00EA13A4"/>
    <w:rsid w:val="00EA1677"/>
    <w:rsid w:val="00EA1DC3"/>
    <w:rsid w:val="00EA3B40"/>
    <w:rsid w:val="00EA4289"/>
    <w:rsid w:val="00EA77E2"/>
    <w:rsid w:val="00EB3F13"/>
    <w:rsid w:val="00EB59D8"/>
    <w:rsid w:val="00EB6557"/>
    <w:rsid w:val="00EB7F24"/>
    <w:rsid w:val="00EC0118"/>
    <w:rsid w:val="00EC41EA"/>
    <w:rsid w:val="00EC62D7"/>
    <w:rsid w:val="00EC64B7"/>
    <w:rsid w:val="00ED116B"/>
    <w:rsid w:val="00ED4361"/>
    <w:rsid w:val="00ED49C8"/>
    <w:rsid w:val="00EE07BE"/>
    <w:rsid w:val="00EE0FDE"/>
    <w:rsid w:val="00EE18EB"/>
    <w:rsid w:val="00EE2E7C"/>
    <w:rsid w:val="00EE5181"/>
    <w:rsid w:val="00EE68F9"/>
    <w:rsid w:val="00EE750E"/>
    <w:rsid w:val="00EF2D4D"/>
    <w:rsid w:val="00EF39DD"/>
    <w:rsid w:val="00EF4312"/>
    <w:rsid w:val="00EF57AB"/>
    <w:rsid w:val="00EF5C31"/>
    <w:rsid w:val="00EF663B"/>
    <w:rsid w:val="00EF6B82"/>
    <w:rsid w:val="00F00353"/>
    <w:rsid w:val="00F008E6"/>
    <w:rsid w:val="00F00A16"/>
    <w:rsid w:val="00F00AAA"/>
    <w:rsid w:val="00F02D62"/>
    <w:rsid w:val="00F0315C"/>
    <w:rsid w:val="00F032EB"/>
    <w:rsid w:val="00F0399B"/>
    <w:rsid w:val="00F048A3"/>
    <w:rsid w:val="00F15CC6"/>
    <w:rsid w:val="00F1770F"/>
    <w:rsid w:val="00F21199"/>
    <w:rsid w:val="00F21264"/>
    <w:rsid w:val="00F217E2"/>
    <w:rsid w:val="00F233A1"/>
    <w:rsid w:val="00F23AC3"/>
    <w:rsid w:val="00F276B4"/>
    <w:rsid w:val="00F27B50"/>
    <w:rsid w:val="00F300D3"/>
    <w:rsid w:val="00F30C98"/>
    <w:rsid w:val="00F323FA"/>
    <w:rsid w:val="00F35241"/>
    <w:rsid w:val="00F35553"/>
    <w:rsid w:val="00F35AB5"/>
    <w:rsid w:val="00F40206"/>
    <w:rsid w:val="00F46FBC"/>
    <w:rsid w:val="00F50C2C"/>
    <w:rsid w:val="00F519B4"/>
    <w:rsid w:val="00F51BE4"/>
    <w:rsid w:val="00F536ED"/>
    <w:rsid w:val="00F54396"/>
    <w:rsid w:val="00F573EA"/>
    <w:rsid w:val="00F61400"/>
    <w:rsid w:val="00F61F35"/>
    <w:rsid w:val="00F6242C"/>
    <w:rsid w:val="00F62F0A"/>
    <w:rsid w:val="00F63FB6"/>
    <w:rsid w:val="00F65748"/>
    <w:rsid w:val="00F67A71"/>
    <w:rsid w:val="00F71166"/>
    <w:rsid w:val="00F72810"/>
    <w:rsid w:val="00F738CF"/>
    <w:rsid w:val="00F73F89"/>
    <w:rsid w:val="00F74543"/>
    <w:rsid w:val="00F76F6E"/>
    <w:rsid w:val="00F77253"/>
    <w:rsid w:val="00F775FE"/>
    <w:rsid w:val="00F77A7D"/>
    <w:rsid w:val="00F81710"/>
    <w:rsid w:val="00F829A4"/>
    <w:rsid w:val="00F83167"/>
    <w:rsid w:val="00F83B58"/>
    <w:rsid w:val="00F83C3F"/>
    <w:rsid w:val="00F84F5F"/>
    <w:rsid w:val="00F85E11"/>
    <w:rsid w:val="00F86390"/>
    <w:rsid w:val="00F8704D"/>
    <w:rsid w:val="00F91372"/>
    <w:rsid w:val="00F91813"/>
    <w:rsid w:val="00F92BD1"/>
    <w:rsid w:val="00F931E2"/>
    <w:rsid w:val="00F943D7"/>
    <w:rsid w:val="00F9483D"/>
    <w:rsid w:val="00F9521D"/>
    <w:rsid w:val="00F9790B"/>
    <w:rsid w:val="00FA61B2"/>
    <w:rsid w:val="00FA637A"/>
    <w:rsid w:val="00FA6D50"/>
    <w:rsid w:val="00FB0B22"/>
    <w:rsid w:val="00FB0D21"/>
    <w:rsid w:val="00FB1F41"/>
    <w:rsid w:val="00FB2D35"/>
    <w:rsid w:val="00FB4D08"/>
    <w:rsid w:val="00FB6A03"/>
    <w:rsid w:val="00FB737F"/>
    <w:rsid w:val="00FB7438"/>
    <w:rsid w:val="00FC1122"/>
    <w:rsid w:val="00FC206B"/>
    <w:rsid w:val="00FC23A4"/>
    <w:rsid w:val="00FC27E3"/>
    <w:rsid w:val="00FC3CF1"/>
    <w:rsid w:val="00FC4BF3"/>
    <w:rsid w:val="00FD018E"/>
    <w:rsid w:val="00FD7CB3"/>
    <w:rsid w:val="00FE02F5"/>
    <w:rsid w:val="00FE36A5"/>
    <w:rsid w:val="00FE4517"/>
    <w:rsid w:val="00FE6A01"/>
    <w:rsid w:val="00FF14F8"/>
    <w:rsid w:val="00FF1A14"/>
    <w:rsid w:val="00FF1A2F"/>
    <w:rsid w:val="00FF2AFA"/>
    <w:rsid w:val="00FF3424"/>
    <w:rsid w:val="00FF6638"/>
    <w:rsid w:val="00FF6B5F"/>
    <w:rsid w:val="022A5CE7"/>
    <w:rsid w:val="02F1681D"/>
    <w:rsid w:val="02F53F7C"/>
    <w:rsid w:val="043DA895"/>
    <w:rsid w:val="04910FDD"/>
    <w:rsid w:val="0586E526"/>
    <w:rsid w:val="05C02261"/>
    <w:rsid w:val="0759A6D7"/>
    <w:rsid w:val="084F941C"/>
    <w:rsid w:val="08869058"/>
    <w:rsid w:val="092EBFFE"/>
    <w:rsid w:val="093DF68A"/>
    <w:rsid w:val="09BC0B7F"/>
    <w:rsid w:val="09C13152"/>
    <w:rsid w:val="0AABA5F9"/>
    <w:rsid w:val="0D10A9CC"/>
    <w:rsid w:val="0D9DC97A"/>
    <w:rsid w:val="0DCAB877"/>
    <w:rsid w:val="0EA1FDF6"/>
    <w:rsid w:val="0F149F0F"/>
    <w:rsid w:val="0F88DC87"/>
    <w:rsid w:val="104AEEEC"/>
    <w:rsid w:val="11C622BF"/>
    <w:rsid w:val="12006E0A"/>
    <w:rsid w:val="12028E1D"/>
    <w:rsid w:val="1227534D"/>
    <w:rsid w:val="130C523F"/>
    <w:rsid w:val="13B2675C"/>
    <w:rsid w:val="14DBDEA5"/>
    <w:rsid w:val="15D70506"/>
    <w:rsid w:val="1634FAF7"/>
    <w:rsid w:val="17FDE159"/>
    <w:rsid w:val="18D383DE"/>
    <w:rsid w:val="193C7AF6"/>
    <w:rsid w:val="19C139E8"/>
    <w:rsid w:val="1A553F60"/>
    <w:rsid w:val="1AAA7629"/>
    <w:rsid w:val="1B19D9C2"/>
    <w:rsid w:val="1B4B14A9"/>
    <w:rsid w:val="1B567FA6"/>
    <w:rsid w:val="1BB59DC2"/>
    <w:rsid w:val="1C895D36"/>
    <w:rsid w:val="1CB77F10"/>
    <w:rsid w:val="1CC99960"/>
    <w:rsid w:val="1E546C6C"/>
    <w:rsid w:val="1EC59D9E"/>
    <w:rsid w:val="1F8560D5"/>
    <w:rsid w:val="1FC0ACB1"/>
    <w:rsid w:val="20C0A985"/>
    <w:rsid w:val="20C480E4"/>
    <w:rsid w:val="219B9F25"/>
    <w:rsid w:val="220CC94D"/>
    <w:rsid w:val="233E16F6"/>
    <w:rsid w:val="246726CD"/>
    <w:rsid w:val="24E4398F"/>
    <w:rsid w:val="255F37BB"/>
    <w:rsid w:val="260727DE"/>
    <w:rsid w:val="267159EE"/>
    <w:rsid w:val="271B17EE"/>
    <w:rsid w:val="276FD0D4"/>
    <w:rsid w:val="27E40FDE"/>
    <w:rsid w:val="284FEF69"/>
    <w:rsid w:val="29131ABE"/>
    <w:rsid w:val="294F6934"/>
    <w:rsid w:val="297BB65E"/>
    <w:rsid w:val="298EA525"/>
    <w:rsid w:val="29A71034"/>
    <w:rsid w:val="2ABD3FF4"/>
    <w:rsid w:val="2B126740"/>
    <w:rsid w:val="2B9B6638"/>
    <w:rsid w:val="2BD08297"/>
    <w:rsid w:val="2C074CEA"/>
    <w:rsid w:val="2E38B68A"/>
    <w:rsid w:val="2E4A0802"/>
    <w:rsid w:val="2FBBB539"/>
    <w:rsid w:val="30E2F93C"/>
    <w:rsid w:val="31B53F44"/>
    <w:rsid w:val="320A760D"/>
    <w:rsid w:val="32599D8C"/>
    <w:rsid w:val="328CC909"/>
    <w:rsid w:val="32A3F150"/>
    <w:rsid w:val="341A32F6"/>
    <w:rsid w:val="34564162"/>
    <w:rsid w:val="3A2B5650"/>
    <w:rsid w:val="3C73D7E0"/>
    <w:rsid w:val="3D8DD0B3"/>
    <w:rsid w:val="3E6E5C2E"/>
    <w:rsid w:val="3F98AEFA"/>
    <w:rsid w:val="400CBB59"/>
    <w:rsid w:val="406C77E5"/>
    <w:rsid w:val="4077DD7C"/>
    <w:rsid w:val="43544909"/>
    <w:rsid w:val="4383309A"/>
    <w:rsid w:val="463306DE"/>
    <w:rsid w:val="46535D44"/>
    <w:rsid w:val="466A20E2"/>
    <w:rsid w:val="46776777"/>
    <w:rsid w:val="47CCF1FD"/>
    <w:rsid w:val="483EBAB9"/>
    <w:rsid w:val="48B84AF0"/>
    <w:rsid w:val="48C36545"/>
    <w:rsid w:val="4AB8E166"/>
    <w:rsid w:val="4B9B20AB"/>
    <w:rsid w:val="4BD37086"/>
    <w:rsid w:val="4C517371"/>
    <w:rsid w:val="4C5C404B"/>
    <w:rsid w:val="4CCD809E"/>
    <w:rsid w:val="4CF13E32"/>
    <w:rsid w:val="4D122BDC"/>
    <w:rsid w:val="4D20F0D8"/>
    <w:rsid w:val="4DC80DF4"/>
    <w:rsid w:val="4DD47D5E"/>
    <w:rsid w:val="4DDA6BEE"/>
    <w:rsid w:val="4EB417C8"/>
    <w:rsid w:val="5000E520"/>
    <w:rsid w:val="50C3FA46"/>
    <w:rsid w:val="50D6879B"/>
    <w:rsid w:val="519086A3"/>
    <w:rsid w:val="52398445"/>
    <w:rsid w:val="529597F3"/>
    <w:rsid w:val="53E5023A"/>
    <w:rsid w:val="56E158AC"/>
    <w:rsid w:val="56F8F3ED"/>
    <w:rsid w:val="5753EED6"/>
    <w:rsid w:val="5763E997"/>
    <w:rsid w:val="582D4F1C"/>
    <w:rsid w:val="59A2CF4B"/>
    <w:rsid w:val="59EFCBA5"/>
    <w:rsid w:val="5A086AE8"/>
    <w:rsid w:val="5A644184"/>
    <w:rsid w:val="5BBF89CD"/>
    <w:rsid w:val="5C3B96FA"/>
    <w:rsid w:val="5C5F4630"/>
    <w:rsid w:val="5D7D50CB"/>
    <w:rsid w:val="5EFEDEF0"/>
    <w:rsid w:val="6076160F"/>
    <w:rsid w:val="60AECDAC"/>
    <w:rsid w:val="60C76EB1"/>
    <w:rsid w:val="62953CF1"/>
    <w:rsid w:val="63375A2F"/>
    <w:rsid w:val="6480F0BC"/>
    <w:rsid w:val="64843DEE"/>
    <w:rsid w:val="648B6C09"/>
    <w:rsid w:val="66BACFE7"/>
    <w:rsid w:val="678E4F0D"/>
    <w:rsid w:val="680A0270"/>
    <w:rsid w:val="680A5433"/>
    <w:rsid w:val="6895BBCA"/>
    <w:rsid w:val="68B7BC78"/>
    <w:rsid w:val="69B0EC99"/>
    <w:rsid w:val="69E6812E"/>
    <w:rsid w:val="6A51D6A3"/>
    <w:rsid w:val="6BC1F18F"/>
    <w:rsid w:val="6E0EAAA5"/>
    <w:rsid w:val="6ED4CE06"/>
    <w:rsid w:val="6F3A1237"/>
    <w:rsid w:val="6FBB65AC"/>
    <w:rsid w:val="7076ABAA"/>
    <w:rsid w:val="70F05AD0"/>
    <w:rsid w:val="747C84FC"/>
    <w:rsid w:val="75F64025"/>
    <w:rsid w:val="771DFE69"/>
    <w:rsid w:val="780D060C"/>
    <w:rsid w:val="78A2F5C8"/>
    <w:rsid w:val="792C71E6"/>
    <w:rsid w:val="798FBEDA"/>
    <w:rsid w:val="79DD7904"/>
    <w:rsid w:val="79E87595"/>
    <w:rsid w:val="7A25654B"/>
    <w:rsid w:val="7B9A9528"/>
    <w:rsid w:val="7BA6A8C3"/>
    <w:rsid w:val="7BD0D913"/>
    <w:rsid w:val="7BEB6DDC"/>
    <w:rsid w:val="7DC6E1CD"/>
    <w:rsid w:val="7DCEFAD5"/>
    <w:rsid w:val="7E9DB445"/>
    <w:rsid w:val="7FBD4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7046C13C"/>
  <w15:chartTrackingRefBased/>
  <w15:docId w15:val="{183B8747-EC0D-4ABC-9A36-F9965D52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9DD"/>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1"/>
    <w:qFormat/>
    <w:rsid w:val="00F02D6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720" w:hanging="720"/>
    </w:pPr>
  </w:style>
  <w:style w:type="paragraph" w:styleId="Footer">
    <w:name w:val="footer"/>
    <w:basedOn w:val="Normal"/>
    <w:link w:val="FooterChar"/>
    <w:uiPriority w:val="99"/>
    <w:rsid w:val="00616D60"/>
    <w:pPr>
      <w:tabs>
        <w:tab w:val="center" w:pos="4320"/>
        <w:tab w:val="right" w:pos="8640"/>
      </w:tabs>
    </w:pPr>
  </w:style>
  <w:style w:type="character" w:styleId="PageNumber">
    <w:name w:val="page number"/>
    <w:basedOn w:val="DefaultParagraphFont"/>
    <w:rsid w:val="00616D60"/>
  </w:style>
  <w:style w:type="paragraph" w:styleId="BalloonText">
    <w:name w:val="Balloon Text"/>
    <w:basedOn w:val="Normal"/>
    <w:semiHidden/>
    <w:rsid w:val="00156266"/>
    <w:rPr>
      <w:rFonts w:ascii="Tahoma" w:hAnsi="Tahoma" w:cs="Tahoma"/>
      <w:sz w:val="16"/>
      <w:szCs w:val="16"/>
    </w:rPr>
  </w:style>
  <w:style w:type="paragraph" w:styleId="Header">
    <w:name w:val="header"/>
    <w:basedOn w:val="Normal"/>
    <w:rsid w:val="00D66A86"/>
    <w:pPr>
      <w:tabs>
        <w:tab w:val="center" w:pos="4320"/>
        <w:tab w:val="right" w:pos="8640"/>
      </w:tabs>
    </w:pPr>
  </w:style>
  <w:style w:type="character" w:styleId="CommentReference">
    <w:name w:val="annotation reference"/>
    <w:uiPriority w:val="99"/>
    <w:rsid w:val="00C47579"/>
    <w:rPr>
      <w:sz w:val="16"/>
      <w:szCs w:val="16"/>
    </w:rPr>
  </w:style>
  <w:style w:type="paragraph" w:styleId="CommentText">
    <w:name w:val="annotation text"/>
    <w:basedOn w:val="Normal"/>
    <w:link w:val="CommentTextChar"/>
    <w:semiHidden/>
    <w:rsid w:val="00C47579"/>
    <w:rPr>
      <w:sz w:val="20"/>
      <w:szCs w:val="20"/>
    </w:rPr>
  </w:style>
  <w:style w:type="paragraph" w:styleId="CommentSubject">
    <w:name w:val="annotation subject"/>
    <w:basedOn w:val="CommentText"/>
    <w:next w:val="CommentText"/>
    <w:semiHidden/>
    <w:rsid w:val="00C47579"/>
    <w:rPr>
      <w:b/>
      <w:bCs/>
    </w:rPr>
  </w:style>
  <w:style w:type="character" w:styleId="Hyperlink">
    <w:name w:val="Hyperlink"/>
    <w:rsid w:val="00BD6E41"/>
    <w:rPr>
      <w:color w:val="0000FF"/>
      <w:u w:val="single"/>
    </w:rPr>
  </w:style>
  <w:style w:type="paragraph" w:styleId="FootnoteText">
    <w:name w:val="footnote text"/>
    <w:basedOn w:val="Normal"/>
    <w:link w:val="FootnoteTextChar"/>
    <w:semiHidden/>
    <w:rsid w:val="00097ECE"/>
    <w:rPr>
      <w:sz w:val="20"/>
      <w:szCs w:val="20"/>
    </w:rPr>
  </w:style>
  <w:style w:type="paragraph" w:customStyle="1" w:styleId="Level1">
    <w:name w:val="Level 1"/>
    <w:basedOn w:val="Normal"/>
    <w:rsid w:val="006B1FC3"/>
    <w:pPr>
      <w:ind w:left="720" w:hanging="270"/>
    </w:pPr>
    <w:rPr>
      <w:rFonts w:ascii="Courier" w:hAnsi="Courier"/>
    </w:rPr>
  </w:style>
  <w:style w:type="paragraph" w:styleId="Revision">
    <w:name w:val="Revision"/>
    <w:hidden/>
    <w:uiPriority w:val="99"/>
    <w:semiHidden/>
    <w:rsid w:val="00A53B85"/>
    <w:rPr>
      <w:sz w:val="24"/>
      <w:szCs w:val="24"/>
      <w:lang w:eastAsia="en-US"/>
    </w:rPr>
  </w:style>
  <w:style w:type="character" w:customStyle="1" w:styleId="FootnoteTextChar">
    <w:name w:val="Footnote Text Char"/>
    <w:link w:val="FootnoteText"/>
    <w:semiHidden/>
    <w:rsid w:val="00CE6B6F"/>
  </w:style>
  <w:style w:type="character" w:customStyle="1" w:styleId="FooterChar">
    <w:name w:val="Footer Char"/>
    <w:link w:val="Footer"/>
    <w:uiPriority w:val="99"/>
    <w:rsid w:val="008901DC"/>
    <w:rPr>
      <w:sz w:val="24"/>
      <w:szCs w:val="24"/>
    </w:rPr>
  </w:style>
  <w:style w:type="character" w:styleId="FollowedHyperlink">
    <w:name w:val="FollowedHyperlink"/>
    <w:rsid w:val="00990C13"/>
    <w:rPr>
      <w:color w:val="800080"/>
      <w:u w:val="single"/>
    </w:rPr>
  </w:style>
  <w:style w:type="character" w:customStyle="1" w:styleId="CommentTextChar">
    <w:name w:val="Comment Text Char"/>
    <w:link w:val="CommentText"/>
    <w:semiHidden/>
    <w:rsid w:val="00AC4C38"/>
  </w:style>
  <w:style w:type="character" w:customStyle="1" w:styleId="Heading1Char">
    <w:name w:val="Heading 1 Char"/>
    <w:link w:val="Heading1"/>
    <w:uiPriority w:val="1"/>
    <w:rsid w:val="00F02D62"/>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sid w:val="00F02D62"/>
    <w:pPr>
      <w:suppressAutoHyphens/>
      <w:autoSpaceDE/>
      <w:autoSpaceDN/>
      <w:adjustRightInd/>
      <w:spacing w:after="120"/>
    </w:pPr>
    <w:rPr>
      <w:rFonts w:eastAsia="SimSun" w:cs="Mangal"/>
      <w:kern w:val="1"/>
      <w:lang w:eastAsia="hi-IN" w:bidi="hi-IN"/>
    </w:rPr>
  </w:style>
  <w:style w:type="character" w:customStyle="1" w:styleId="BodyTextChar">
    <w:name w:val="Body Text Char"/>
    <w:link w:val="BodyText"/>
    <w:uiPriority w:val="1"/>
    <w:rsid w:val="00F02D62"/>
    <w:rPr>
      <w:rFonts w:eastAsia="SimSun" w:cs="Mangal"/>
      <w:kern w:val="1"/>
      <w:sz w:val="24"/>
      <w:szCs w:val="24"/>
      <w:lang w:eastAsia="hi-IN" w:bidi="hi-IN"/>
    </w:rPr>
  </w:style>
  <w:style w:type="paragraph" w:customStyle="1" w:styleId="TableContents">
    <w:name w:val="Table Contents"/>
    <w:basedOn w:val="Normal"/>
    <w:rsid w:val="00F02D62"/>
    <w:pPr>
      <w:suppressLineNumbers/>
      <w:suppressAutoHyphens/>
      <w:autoSpaceDE/>
      <w:autoSpaceDN/>
      <w:adjustRightInd/>
    </w:pPr>
    <w:rPr>
      <w:rFonts w:eastAsia="SimSun" w:cs="Mangal"/>
      <w:kern w:val="1"/>
      <w:lang w:eastAsia="hi-IN" w:bidi="hi-IN"/>
    </w:rPr>
  </w:style>
  <w:style w:type="paragraph" w:customStyle="1" w:styleId="Default">
    <w:name w:val="Default"/>
    <w:rsid w:val="008138F3"/>
    <w:pPr>
      <w:autoSpaceDE w:val="0"/>
      <w:autoSpaceDN w:val="0"/>
      <w:adjustRightInd w:val="0"/>
    </w:pPr>
    <w:rPr>
      <w:rFonts w:ascii="Verdana" w:hAnsi="Verdana" w:cs="Verdana"/>
      <w:color w:val="000000"/>
      <w:sz w:val="24"/>
      <w:szCs w:val="24"/>
    </w:rPr>
  </w:style>
  <w:style w:type="paragraph" w:styleId="TOC1">
    <w:name w:val="toc 1"/>
    <w:basedOn w:val="Normal"/>
    <w:uiPriority w:val="1"/>
    <w:qFormat/>
    <w:rsid w:val="008138F3"/>
    <w:pPr>
      <w:adjustRightInd/>
      <w:ind w:left="1320"/>
    </w:pPr>
  </w:style>
  <w:style w:type="paragraph" w:styleId="TOC2">
    <w:name w:val="toc 2"/>
    <w:basedOn w:val="Normal"/>
    <w:uiPriority w:val="1"/>
    <w:qFormat/>
    <w:rsid w:val="008138F3"/>
    <w:pPr>
      <w:adjustRightInd/>
      <w:ind w:left="2491"/>
    </w:pPr>
  </w:style>
  <w:style w:type="paragraph" w:styleId="ListParagraph">
    <w:name w:val="List Paragraph"/>
    <w:basedOn w:val="Normal"/>
    <w:uiPriority w:val="1"/>
    <w:qFormat/>
    <w:rsid w:val="008138F3"/>
    <w:pPr>
      <w:adjustRightInd/>
      <w:ind w:left="3480" w:hanging="720"/>
    </w:pPr>
    <w:rPr>
      <w:sz w:val="22"/>
      <w:szCs w:val="22"/>
    </w:rPr>
  </w:style>
  <w:style w:type="paragraph" w:customStyle="1" w:styleId="TableParagraph">
    <w:name w:val="Table Paragraph"/>
    <w:basedOn w:val="Normal"/>
    <w:uiPriority w:val="1"/>
    <w:qFormat/>
    <w:rsid w:val="008138F3"/>
    <w:pPr>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21">
      <w:bodyDiv w:val="1"/>
      <w:marLeft w:val="0"/>
      <w:marRight w:val="0"/>
      <w:marTop w:val="0"/>
      <w:marBottom w:val="0"/>
      <w:divBdr>
        <w:top w:val="none" w:sz="0" w:space="0" w:color="auto"/>
        <w:left w:val="none" w:sz="0" w:space="0" w:color="auto"/>
        <w:bottom w:val="none" w:sz="0" w:space="0" w:color="auto"/>
        <w:right w:val="none" w:sz="0" w:space="0" w:color="auto"/>
      </w:divBdr>
    </w:div>
    <w:div w:id="34742166">
      <w:bodyDiv w:val="1"/>
      <w:marLeft w:val="0"/>
      <w:marRight w:val="0"/>
      <w:marTop w:val="0"/>
      <w:marBottom w:val="0"/>
      <w:divBdr>
        <w:top w:val="none" w:sz="0" w:space="0" w:color="auto"/>
        <w:left w:val="none" w:sz="0" w:space="0" w:color="auto"/>
        <w:bottom w:val="none" w:sz="0" w:space="0" w:color="auto"/>
        <w:right w:val="none" w:sz="0" w:space="0" w:color="auto"/>
      </w:divBdr>
    </w:div>
    <w:div w:id="210073260">
      <w:bodyDiv w:val="1"/>
      <w:marLeft w:val="0"/>
      <w:marRight w:val="0"/>
      <w:marTop w:val="0"/>
      <w:marBottom w:val="0"/>
      <w:divBdr>
        <w:top w:val="none" w:sz="0" w:space="0" w:color="auto"/>
        <w:left w:val="none" w:sz="0" w:space="0" w:color="auto"/>
        <w:bottom w:val="none" w:sz="0" w:space="0" w:color="auto"/>
        <w:right w:val="none" w:sz="0" w:space="0" w:color="auto"/>
      </w:divBdr>
    </w:div>
    <w:div w:id="317655820">
      <w:bodyDiv w:val="1"/>
      <w:marLeft w:val="0"/>
      <w:marRight w:val="0"/>
      <w:marTop w:val="0"/>
      <w:marBottom w:val="0"/>
      <w:divBdr>
        <w:top w:val="none" w:sz="0" w:space="0" w:color="auto"/>
        <w:left w:val="none" w:sz="0" w:space="0" w:color="auto"/>
        <w:bottom w:val="none" w:sz="0" w:space="0" w:color="auto"/>
        <w:right w:val="none" w:sz="0" w:space="0" w:color="auto"/>
      </w:divBdr>
    </w:div>
    <w:div w:id="454176198">
      <w:bodyDiv w:val="1"/>
      <w:marLeft w:val="0"/>
      <w:marRight w:val="0"/>
      <w:marTop w:val="0"/>
      <w:marBottom w:val="0"/>
      <w:divBdr>
        <w:top w:val="none" w:sz="0" w:space="0" w:color="auto"/>
        <w:left w:val="none" w:sz="0" w:space="0" w:color="auto"/>
        <w:bottom w:val="none" w:sz="0" w:space="0" w:color="auto"/>
        <w:right w:val="none" w:sz="0" w:space="0" w:color="auto"/>
      </w:divBdr>
    </w:div>
    <w:div w:id="474570448">
      <w:bodyDiv w:val="1"/>
      <w:marLeft w:val="0"/>
      <w:marRight w:val="0"/>
      <w:marTop w:val="0"/>
      <w:marBottom w:val="0"/>
      <w:divBdr>
        <w:top w:val="none" w:sz="0" w:space="0" w:color="auto"/>
        <w:left w:val="none" w:sz="0" w:space="0" w:color="auto"/>
        <w:bottom w:val="none" w:sz="0" w:space="0" w:color="auto"/>
        <w:right w:val="none" w:sz="0" w:space="0" w:color="auto"/>
      </w:divBdr>
    </w:div>
    <w:div w:id="569266789">
      <w:bodyDiv w:val="1"/>
      <w:marLeft w:val="0"/>
      <w:marRight w:val="0"/>
      <w:marTop w:val="0"/>
      <w:marBottom w:val="0"/>
      <w:divBdr>
        <w:top w:val="none" w:sz="0" w:space="0" w:color="auto"/>
        <w:left w:val="none" w:sz="0" w:space="0" w:color="auto"/>
        <w:bottom w:val="none" w:sz="0" w:space="0" w:color="auto"/>
        <w:right w:val="none" w:sz="0" w:space="0" w:color="auto"/>
      </w:divBdr>
    </w:div>
    <w:div w:id="686256826">
      <w:bodyDiv w:val="1"/>
      <w:marLeft w:val="0"/>
      <w:marRight w:val="0"/>
      <w:marTop w:val="0"/>
      <w:marBottom w:val="0"/>
      <w:divBdr>
        <w:top w:val="none" w:sz="0" w:space="0" w:color="auto"/>
        <w:left w:val="none" w:sz="0" w:space="0" w:color="auto"/>
        <w:bottom w:val="none" w:sz="0" w:space="0" w:color="auto"/>
        <w:right w:val="none" w:sz="0" w:space="0" w:color="auto"/>
      </w:divBdr>
    </w:div>
    <w:div w:id="935669541">
      <w:bodyDiv w:val="1"/>
      <w:marLeft w:val="0"/>
      <w:marRight w:val="0"/>
      <w:marTop w:val="0"/>
      <w:marBottom w:val="0"/>
      <w:divBdr>
        <w:top w:val="none" w:sz="0" w:space="0" w:color="auto"/>
        <w:left w:val="none" w:sz="0" w:space="0" w:color="auto"/>
        <w:bottom w:val="none" w:sz="0" w:space="0" w:color="auto"/>
        <w:right w:val="none" w:sz="0" w:space="0" w:color="auto"/>
      </w:divBdr>
    </w:div>
    <w:div w:id="939487872">
      <w:bodyDiv w:val="1"/>
      <w:marLeft w:val="0"/>
      <w:marRight w:val="0"/>
      <w:marTop w:val="0"/>
      <w:marBottom w:val="0"/>
      <w:divBdr>
        <w:top w:val="none" w:sz="0" w:space="0" w:color="auto"/>
        <w:left w:val="none" w:sz="0" w:space="0" w:color="auto"/>
        <w:bottom w:val="none" w:sz="0" w:space="0" w:color="auto"/>
        <w:right w:val="none" w:sz="0" w:space="0" w:color="auto"/>
      </w:divBdr>
    </w:div>
    <w:div w:id="949245436">
      <w:bodyDiv w:val="1"/>
      <w:marLeft w:val="0"/>
      <w:marRight w:val="0"/>
      <w:marTop w:val="0"/>
      <w:marBottom w:val="0"/>
      <w:divBdr>
        <w:top w:val="none" w:sz="0" w:space="0" w:color="auto"/>
        <w:left w:val="none" w:sz="0" w:space="0" w:color="auto"/>
        <w:bottom w:val="none" w:sz="0" w:space="0" w:color="auto"/>
        <w:right w:val="none" w:sz="0" w:space="0" w:color="auto"/>
      </w:divBdr>
      <w:divsChild>
        <w:div w:id="1298103784">
          <w:marLeft w:val="0"/>
          <w:marRight w:val="0"/>
          <w:marTop w:val="0"/>
          <w:marBottom w:val="0"/>
          <w:divBdr>
            <w:top w:val="none" w:sz="0" w:space="0" w:color="auto"/>
            <w:left w:val="none" w:sz="0" w:space="0" w:color="auto"/>
            <w:bottom w:val="none" w:sz="0" w:space="0" w:color="auto"/>
            <w:right w:val="single" w:sz="6" w:space="4" w:color="CCCCCC"/>
          </w:divBdr>
        </w:div>
        <w:div w:id="1725063460">
          <w:marLeft w:val="180"/>
          <w:marRight w:val="180"/>
          <w:marTop w:val="45"/>
          <w:marBottom w:val="45"/>
          <w:divBdr>
            <w:top w:val="none" w:sz="0" w:space="0" w:color="auto"/>
            <w:left w:val="none" w:sz="0" w:space="0" w:color="auto"/>
            <w:bottom w:val="none" w:sz="0" w:space="0" w:color="auto"/>
            <w:right w:val="none" w:sz="0" w:space="0" w:color="auto"/>
          </w:divBdr>
          <w:divsChild>
            <w:div w:id="27682284">
              <w:marLeft w:val="0"/>
              <w:marRight w:val="0"/>
              <w:marTop w:val="0"/>
              <w:marBottom w:val="0"/>
              <w:divBdr>
                <w:top w:val="none" w:sz="0" w:space="0" w:color="auto"/>
                <w:left w:val="none" w:sz="0" w:space="0" w:color="auto"/>
                <w:bottom w:val="none" w:sz="0" w:space="0" w:color="auto"/>
                <w:right w:val="none" w:sz="0" w:space="0" w:color="auto"/>
              </w:divBdr>
            </w:div>
            <w:div w:id="62990454">
              <w:marLeft w:val="0"/>
              <w:marRight w:val="0"/>
              <w:marTop w:val="0"/>
              <w:marBottom w:val="0"/>
              <w:divBdr>
                <w:top w:val="none" w:sz="0" w:space="0" w:color="auto"/>
                <w:left w:val="none" w:sz="0" w:space="0" w:color="auto"/>
                <w:bottom w:val="none" w:sz="0" w:space="0" w:color="auto"/>
                <w:right w:val="none" w:sz="0" w:space="0" w:color="auto"/>
              </w:divBdr>
            </w:div>
            <w:div w:id="271792035">
              <w:marLeft w:val="0"/>
              <w:marRight w:val="0"/>
              <w:marTop w:val="0"/>
              <w:marBottom w:val="0"/>
              <w:divBdr>
                <w:top w:val="none" w:sz="0" w:space="0" w:color="auto"/>
                <w:left w:val="none" w:sz="0" w:space="0" w:color="auto"/>
                <w:bottom w:val="none" w:sz="0" w:space="0" w:color="auto"/>
                <w:right w:val="none" w:sz="0" w:space="0" w:color="auto"/>
              </w:divBdr>
            </w:div>
            <w:div w:id="436759907">
              <w:marLeft w:val="0"/>
              <w:marRight w:val="0"/>
              <w:marTop w:val="0"/>
              <w:marBottom w:val="0"/>
              <w:divBdr>
                <w:top w:val="none" w:sz="0" w:space="0" w:color="auto"/>
                <w:left w:val="none" w:sz="0" w:space="0" w:color="auto"/>
                <w:bottom w:val="none" w:sz="0" w:space="0" w:color="auto"/>
                <w:right w:val="none" w:sz="0" w:space="0" w:color="auto"/>
              </w:divBdr>
            </w:div>
            <w:div w:id="501550568">
              <w:marLeft w:val="0"/>
              <w:marRight w:val="0"/>
              <w:marTop w:val="0"/>
              <w:marBottom w:val="0"/>
              <w:divBdr>
                <w:top w:val="none" w:sz="0" w:space="0" w:color="auto"/>
                <w:left w:val="none" w:sz="0" w:space="0" w:color="auto"/>
                <w:bottom w:val="none" w:sz="0" w:space="0" w:color="auto"/>
                <w:right w:val="none" w:sz="0" w:space="0" w:color="auto"/>
              </w:divBdr>
            </w:div>
            <w:div w:id="618731524">
              <w:marLeft w:val="0"/>
              <w:marRight w:val="0"/>
              <w:marTop w:val="0"/>
              <w:marBottom w:val="0"/>
              <w:divBdr>
                <w:top w:val="none" w:sz="0" w:space="0" w:color="auto"/>
                <w:left w:val="none" w:sz="0" w:space="0" w:color="auto"/>
                <w:bottom w:val="none" w:sz="0" w:space="0" w:color="auto"/>
                <w:right w:val="none" w:sz="0" w:space="0" w:color="auto"/>
              </w:divBdr>
            </w:div>
            <w:div w:id="620913677">
              <w:marLeft w:val="0"/>
              <w:marRight w:val="0"/>
              <w:marTop w:val="0"/>
              <w:marBottom w:val="0"/>
              <w:divBdr>
                <w:top w:val="none" w:sz="0" w:space="0" w:color="auto"/>
                <w:left w:val="none" w:sz="0" w:space="0" w:color="auto"/>
                <w:bottom w:val="none" w:sz="0" w:space="0" w:color="auto"/>
                <w:right w:val="none" w:sz="0" w:space="0" w:color="auto"/>
              </w:divBdr>
            </w:div>
            <w:div w:id="662125397">
              <w:marLeft w:val="0"/>
              <w:marRight w:val="0"/>
              <w:marTop w:val="0"/>
              <w:marBottom w:val="0"/>
              <w:divBdr>
                <w:top w:val="none" w:sz="0" w:space="0" w:color="auto"/>
                <w:left w:val="none" w:sz="0" w:space="0" w:color="auto"/>
                <w:bottom w:val="none" w:sz="0" w:space="0" w:color="auto"/>
                <w:right w:val="none" w:sz="0" w:space="0" w:color="auto"/>
              </w:divBdr>
            </w:div>
            <w:div w:id="820776116">
              <w:marLeft w:val="0"/>
              <w:marRight w:val="0"/>
              <w:marTop w:val="0"/>
              <w:marBottom w:val="0"/>
              <w:divBdr>
                <w:top w:val="none" w:sz="0" w:space="0" w:color="auto"/>
                <w:left w:val="none" w:sz="0" w:space="0" w:color="auto"/>
                <w:bottom w:val="none" w:sz="0" w:space="0" w:color="auto"/>
                <w:right w:val="none" w:sz="0" w:space="0" w:color="auto"/>
              </w:divBdr>
            </w:div>
            <w:div w:id="920943999">
              <w:marLeft w:val="0"/>
              <w:marRight w:val="0"/>
              <w:marTop w:val="0"/>
              <w:marBottom w:val="0"/>
              <w:divBdr>
                <w:top w:val="none" w:sz="0" w:space="0" w:color="auto"/>
                <w:left w:val="none" w:sz="0" w:space="0" w:color="auto"/>
                <w:bottom w:val="none" w:sz="0" w:space="0" w:color="auto"/>
                <w:right w:val="none" w:sz="0" w:space="0" w:color="auto"/>
              </w:divBdr>
            </w:div>
            <w:div w:id="1092894572">
              <w:marLeft w:val="0"/>
              <w:marRight w:val="0"/>
              <w:marTop w:val="0"/>
              <w:marBottom w:val="0"/>
              <w:divBdr>
                <w:top w:val="none" w:sz="0" w:space="0" w:color="auto"/>
                <w:left w:val="none" w:sz="0" w:space="0" w:color="auto"/>
                <w:bottom w:val="none" w:sz="0" w:space="0" w:color="auto"/>
                <w:right w:val="none" w:sz="0" w:space="0" w:color="auto"/>
              </w:divBdr>
            </w:div>
            <w:div w:id="1355613377">
              <w:marLeft w:val="0"/>
              <w:marRight w:val="0"/>
              <w:marTop w:val="0"/>
              <w:marBottom w:val="0"/>
              <w:divBdr>
                <w:top w:val="none" w:sz="0" w:space="0" w:color="auto"/>
                <w:left w:val="none" w:sz="0" w:space="0" w:color="auto"/>
                <w:bottom w:val="none" w:sz="0" w:space="0" w:color="auto"/>
                <w:right w:val="none" w:sz="0" w:space="0" w:color="auto"/>
              </w:divBdr>
            </w:div>
            <w:div w:id="1706368613">
              <w:marLeft w:val="0"/>
              <w:marRight w:val="0"/>
              <w:marTop w:val="0"/>
              <w:marBottom w:val="0"/>
              <w:divBdr>
                <w:top w:val="none" w:sz="0" w:space="0" w:color="auto"/>
                <w:left w:val="none" w:sz="0" w:space="0" w:color="auto"/>
                <w:bottom w:val="none" w:sz="0" w:space="0" w:color="auto"/>
                <w:right w:val="none" w:sz="0" w:space="0" w:color="auto"/>
              </w:divBdr>
            </w:div>
            <w:div w:id="1745565273">
              <w:marLeft w:val="0"/>
              <w:marRight w:val="0"/>
              <w:marTop w:val="0"/>
              <w:marBottom w:val="0"/>
              <w:divBdr>
                <w:top w:val="none" w:sz="0" w:space="0" w:color="auto"/>
                <w:left w:val="none" w:sz="0" w:space="0" w:color="auto"/>
                <w:bottom w:val="none" w:sz="0" w:space="0" w:color="auto"/>
                <w:right w:val="none" w:sz="0" w:space="0" w:color="auto"/>
              </w:divBdr>
            </w:div>
            <w:div w:id="1787458865">
              <w:marLeft w:val="0"/>
              <w:marRight w:val="0"/>
              <w:marTop w:val="0"/>
              <w:marBottom w:val="0"/>
              <w:divBdr>
                <w:top w:val="single" w:sz="12" w:space="4" w:color="FF0000"/>
                <w:left w:val="single" w:sz="12" w:space="4" w:color="FF0000"/>
                <w:bottom w:val="single" w:sz="12" w:space="4" w:color="FF0000"/>
                <w:right w:val="single" w:sz="12" w:space="4" w:color="FF0000"/>
              </w:divBdr>
            </w:div>
          </w:divsChild>
        </w:div>
      </w:divsChild>
    </w:div>
    <w:div w:id="982393159">
      <w:bodyDiv w:val="1"/>
      <w:marLeft w:val="0"/>
      <w:marRight w:val="0"/>
      <w:marTop w:val="0"/>
      <w:marBottom w:val="0"/>
      <w:divBdr>
        <w:top w:val="none" w:sz="0" w:space="0" w:color="auto"/>
        <w:left w:val="none" w:sz="0" w:space="0" w:color="auto"/>
        <w:bottom w:val="none" w:sz="0" w:space="0" w:color="auto"/>
        <w:right w:val="none" w:sz="0" w:space="0" w:color="auto"/>
      </w:divBdr>
    </w:div>
    <w:div w:id="1031733338">
      <w:bodyDiv w:val="1"/>
      <w:marLeft w:val="0"/>
      <w:marRight w:val="0"/>
      <w:marTop w:val="0"/>
      <w:marBottom w:val="0"/>
      <w:divBdr>
        <w:top w:val="none" w:sz="0" w:space="0" w:color="auto"/>
        <w:left w:val="none" w:sz="0" w:space="0" w:color="auto"/>
        <w:bottom w:val="none" w:sz="0" w:space="0" w:color="auto"/>
        <w:right w:val="none" w:sz="0" w:space="0" w:color="auto"/>
      </w:divBdr>
    </w:div>
    <w:div w:id="1050954434">
      <w:bodyDiv w:val="1"/>
      <w:marLeft w:val="0"/>
      <w:marRight w:val="0"/>
      <w:marTop w:val="0"/>
      <w:marBottom w:val="0"/>
      <w:divBdr>
        <w:top w:val="none" w:sz="0" w:space="0" w:color="auto"/>
        <w:left w:val="none" w:sz="0" w:space="0" w:color="auto"/>
        <w:bottom w:val="none" w:sz="0" w:space="0" w:color="auto"/>
        <w:right w:val="none" w:sz="0" w:space="0" w:color="auto"/>
      </w:divBdr>
    </w:div>
    <w:div w:id="1110860356">
      <w:bodyDiv w:val="1"/>
      <w:marLeft w:val="0"/>
      <w:marRight w:val="0"/>
      <w:marTop w:val="0"/>
      <w:marBottom w:val="0"/>
      <w:divBdr>
        <w:top w:val="none" w:sz="0" w:space="0" w:color="auto"/>
        <w:left w:val="none" w:sz="0" w:space="0" w:color="auto"/>
        <w:bottom w:val="none" w:sz="0" w:space="0" w:color="auto"/>
        <w:right w:val="none" w:sz="0" w:space="0" w:color="auto"/>
      </w:divBdr>
    </w:div>
    <w:div w:id="1120414431">
      <w:bodyDiv w:val="1"/>
      <w:marLeft w:val="0"/>
      <w:marRight w:val="0"/>
      <w:marTop w:val="0"/>
      <w:marBottom w:val="0"/>
      <w:divBdr>
        <w:top w:val="none" w:sz="0" w:space="0" w:color="auto"/>
        <w:left w:val="none" w:sz="0" w:space="0" w:color="auto"/>
        <w:bottom w:val="none" w:sz="0" w:space="0" w:color="auto"/>
        <w:right w:val="none" w:sz="0" w:space="0" w:color="auto"/>
      </w:divBdr>
    </w:div>
    <w:div w:id="1169638118">
      <w:bodyDiv w:val="1"/>
      <w:marLeft w:val="0"/>
      <w:marRight w:val="0"/>
      <w:marTop w:val="0"/>
      <w:marBottom w:val="0"/>
      <w:divBdr>
        <w:top w:val="none" w:sz="0" w:space="0" w:color="auto"/>
        <w:left w:val="none" w:sz="0" w:space="0" w:color="auto"/>
        <w:bottom w:val="none" w:sz="0" w:space="0" w:color="auto"/>
        <w:right w:val="none" w:sz="0" w:space="0" w:color="auto"/>
      </w:divBdr>
    </w:div>
    <w:div w:id="1366371527">
      <w:bodyDiv w:val="1"/>
      <w:marLeft w:val="0"/>
      <w:marRight w:val="0"/>
      <w:marTop w:val="0"/>
      <w:marBottom w:val="0"/>
      <w:divBdr>
        <w:top w:val="none" w:sz="0" w:space="0" w:color="auto"/>
        <w:left w:val="none" w:sz="0" w:space="0" w:color="auto"/>
        <w:bottom w:val="none" w:sz="0" w:space="0" w:color="auto"/>
        <w:right w:val="none" w:sz="0" w:space="0" w:color="auto"/>
      </w:divBdr>
    </w:div>
    <w:div w:id="1388603098">
      <w:bodyDiv w:val="1"/>
      <w:marLeft w:val="0"/>
      <w:marRight w:val="0"/>
      <w:marTop w:val="0"/>
      <w:marBottom w:val="0"/>
      <w:divBdr>
        <w:top w:val="none" w:sz="0" w:space="0" w:color="auto"/>
        <w:left w:val="none" w:sz="0" w:space="0" w:color="auto"/>
        <w:bottom w:val="none" w:sz="0" w:space="0" w:color="auto"/>
        <w:right w:val="none" w:sz="0" w:space="0" w:color="auto"/>
      </w:divBdr>
    </w:div>
    <w:div w:id="1432780016">
      <w:bodyDiv w:val="1"/>
      <w:marLeft w:val="0"/>
      <w:marRight w:val="0"/>
      <w:marTop w:val="0"/>
      <w:marBottom w:val="0"/>
      <w:divBdr>
        <w:top w:val="none" w:sz="0" w:space="0" w:color="auto"/>
        <w:left w:val="none" w:sz="0" w:space="0" w:color="auto"/>
        <w:bottom w:val="none" w:sz="0" w:space="0" w:color="auto"/>
        <w:right w:val="none" w:sz="0" w:space="0" w:color="auto"/>
      </w:divBdr>
    </w:div>
    <w:div w:id="1445543062">
      <w:bodyDiv w:val="1"/>
      <w:marLeft w:val="0"/>
      <w:marRight w:val="0"/>
      <w:marTop w:val="0"/>
      <w:marBottom w:val="0"/>
      <w:divBdr>
        <w:top w:val="none" w:sz="0" w:space="0" w:color="auto"/>
        <w:left w:val="none" w:sz="0" w:space="0" w:color="auto"/>
        <w:bottom w:val="none" w:sz="0" w:space="0" w:color="auto"/>
        <w:right w:val="none" w:sz="0" w:space="0" w:color="auto"/>
      </w:divBdr>
      <w:divsChild>
        <w:div w:id="1907377509">
          <w:marLeft w:val="0"/>
          <w:marRight w:val="0"/>
          <w:marTop w:val="0"/>
          <w:marBottom w:val="0"/>
          <w:divBdr>
            <w:top w:val="none" w:sz="0" w:space="0" w:color="auto"/>
            <w:left w:val="none" w:sz="0" w:space="0" w:color="auto"/>
            <w:bottom w:val="none" w:sz="0" w:space="0" w:color="auto"/>
            <w:right w:val="none" w:sz="0" w:space="0" w:color="auto"/>
          </w:divBdr>
          <w:divsChild>
            <w:div w:id="7857384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78724241">
      <w:bodyDiv w:val="1"/>
      <w:marLeft w:val="0"/>
      <w:marRight w:val="0"/>
      <w:marTop w:val="0"/>
      <w:marBottom w:val="0"/>
      <w:divBdr>
        <w:top w:val="none" w:sz="0" w:space="0" w:color="auto"/>
        <w:left w:val="none" w:sz="0" w:space="0" w:color="auto"/>
        <w:bottom w:val="none" w:sz="0" w:space="0" w:color="auto"/>
        <w:right w:val="none" w:sz="0" w:space="0" w:color="auto"/>
      </w:divBdr>
    </w:div>
    <w:div w:id="1939408623">
      <w:bodyDiv w:val="1"/>
      <w:marLeft w:val="0"/>
      <w:marRight w:val="0"/>
      <w:marTop w:val="0"/>
      <w:marBottom w:val="0"/>
      <w:divBdr>
        <w:top w:val="none" w:sz="0" w:space="0" w:color="auto"/>
        <w:left w:val="none" w:sz="0" w:space="0" w:color="auto"/>
        <w:bottom w:val="none" w:sz="0" w:space="0" w:color="auto"/>
        <w:right w:val="none" w:sz="0" w:space="0" w:color="auto"/>
      </w:divBdr>
    </w:div>
    <w:div w:id="2026520930">
      <w:bodyDiv w:val="1"/>
      <w:marLeft w:val="0"/>
      <w:marRight w:val="0"/>
      <w:marTop w:val="0"/>
      <w:marBottom w:val="0"/>
      <w:divBdr>
        <w:top w:val="none" w:sz="0" w:space="0" w:color="auto"/>
        <w:left w:val="none" w:sz="0" w:space="0" w:color="auto"/>
        <w:bottom w:val="none" w:sz="0" w:space="0" w:color="auto"/>
        <w:right w:val="none" w:sz="0" w:space="0" w:color="auto"/>
      </w:divBdr>
    </w:div>
    <w:div w:id="2073262600">
      <w:bodyDiv w:val="1"/>
      <w:marLeft w:val="0"/>
      <w:marRight w:val="0"/>
      <w:marTop w:val="0"/>
      <w:marBottom w:val="0"/>
      <w:divBdr>
        <w:top w:val="none" w:sz="0" w:space="0" w:color="auto"/>
        <w:left w:val="none" w:sz="0" w:space="0" w:color="auto"/>
        <w:bottom w:val="none" w:sz="0" w:space="0" w:color="auto"/>
        <w:right w:val="none" w:sz="0" w:space="0" w:color="auto"/>
      </w:divBdr>
    </w:div>
    <w:div w:id="21073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archives/ecec_03182021.htm" TargetMode="External"/><Relationship Id="rId18" Type="http://schemas.openxmlformats.org/officeDocument/2006/relationships/fontTable" Target="fontTable.xml"/><Relationship Id="R77723828c59346c1"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309043ddb0ed4bdf"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1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852B-569D-41F1-9094-C93AC22C5AC4}">
  <ds:schemaRefs>
    <ds:schemaRef ds:uri="http://schemas.microsoft.com/sharepoint/v3/contenttype/forms"/>
  </ds:schemaRefs>
</ds:datastoreItem>
</file>

<file path=customXml/itemProps2.xml><?xml version="1.0" encoding="utf-8"?>
<ds:datastoreItem xmlns:ds="http://schemas.openxmlformats.org/officeDocument/2006/customXml" ds:itemID="{F192BC36-80A5-4BC6-87D1-A85BEF94D5F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3BB22998-40D6-4693-A756-86E305DAE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CC99A-8B0C-490E-9CC5-CEBA5E45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10669</Words>
  <Characters>60818</Characters>
  <Application>Microsoft Office Word</Application>
  <DocSecurity>0</DocSecurity>
  <Lines>506</Lines>
  <Paragraphs>142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SUPPORTING STATEMENT FOR 29 CFR 1908 - CONSULTATION AGREEMENTS, UNDER THE PAPERWORK REDUCTION ACT</vt:lpstr>
      <vt:lpstr>Attachment A:</vt:lpstr>
      <vt:lpstr>Chapter 4</vt:lpstr>
      <vt:lpstr>Form 33 Usage.</vt:lpstr>
      <vt:lpstr>Form 33 Training.</vt:lpstr>
    </vt:vector>
  </TitlesOfParts>
  <Company>USDOL/OSHA</Company>
  <LinksUpToDate>false</LinksUpToDate>
  <CharactersWithSpaces>71345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 CFR 1908 - CONSULTATION AGREEMENTS, UNDER THE PAPERWORK REDUCTION ACT</dc:title>
  <dc:subject/>
  <dc:creator>OSHA_User</dc:creator>
  <cp:keywords/>
  <cp:lastModifiedBy>Cannon, Belinda - OSHA</cp:lastModifiedBy>
  <cp:revision>3</cp:revision>
  <cp:lastPrinted>2018-05-11T22:05:00Z</cp:lastPrinted>
  <dcterms:created xsi:type="dcterms:W3CDTF">2021-11-16T01:04:00Z</dcterms:created>
  <dcterms:modified xsi:type="dcterms:W3CDTF">2021-11-16T01:06:00Z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0x0101000E00F11FDD8BCE42B3E3D299A4BF2C16</vt:lpwstr>
  </property>
</Properties>
</file>