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5FF3" w:rsidR="00024B9F" w:rsidP="00024B9F" w:rsidRDefault="00024B9F" w14:paraId="17C9B844" w14:textId="1CAD6887">
      <w:pPr>
        <w:jc w:val="center"/>
        <w:rPr>
          <w:b/>
          <w:caps/>
        </w:rPr>
      </w:pPr>
      <w:r w:rsidRPr="002D5FF3">
        <w:rPr>
          <w:b/>
          <w:caps/>
        </w:rPr>
        <w:t>Supporting Statement</w:t>
      </w:r>
      <w:r w:rsidRPr="002D5FF3" w:rsidR="004869E2">
        <w:rPr>
          <w:b/>
          <w:caps/>
        </w:rPr>
        <w:t xml:space="preserve"> for</w:t>
      </w:r>
    </w:p>
    <w:p w:rsidR="00024B9F" w:rsidP="00024B9F" w:rsidRDefault="00024B9F" w14:paraId="30AEBB35" w14:textId="19EF1A4F">
      <w:pPr>
        <w:jc w:val="center"/>
        <w:rPr>
          <w:b/>
          <w:caps/>
        </w:rPr>
      </w:pPr>
      <w:r w:rsidRPr="002D5FF3">
        <w:rPr>
          <w:b/>
          <w:caps/>
        </w:rPr>
        <w:t>U.S. Import and Export Price Indexes</w:t>
      </w:r>
    </w:p>
    <w:p w:rsidR="004869E2" w:rsidP="00024B9F" w:rsidRDefault="004869E2" w14:paraId="04D11426" w14:textId="63FE96A9">
      <w:pPr>
        <w:jc w:val="center"/>
        <w:rPr>
          <w:b/>
          <w:caps/>
        </w:rPr>
      </w:pPr>
    </w:p>
    <w:p w:rsidRPr="002D5FF3" w:rsidR="004869E2" w:rsidP="00024B9F" w:rsidRDefault="004869E2" w14:paraId="38E6B0F7" w14:textId="50C5174F">
      <w:pPr>
        <w:jc w:val="center"/>
        <w:rPr>
          <w:b/>
          <w:caps/>
        </w:rPr>
      </w:pPr>
      <w:r w:rsidRPr="004869E2">
        <w:rPr>
          <w:b/>
          <w:caps/>
        </w:rPr>
        <w:t>OMB CONTROL NO. 1220-0025</w:t>
      </w:r>
    </w:p>
    <w:p w:rsidR="00024B9F" w:rsidP="00024B9F" w:rsidRDefault="00024B9F" w14:paraId="3A50A411" w14:textId="647F33DB">
      <w:pPr>
        <w:jc w:val="center"/>
        <w:rPr>
          <w:rFonts w:ascii="Verdana" w:hAnsi="Verdana"/>
          <w:color w:val="0000FF"/>
        </w:rPr>
      </w:pPr>
    </w:p>
    <w:p w:rsidRPr="00BB6DD4" w:rsidR="004869E2" w:rsidP="004869E2" w:rsidRDefault="004869E2" w14:paraId="2E2BADE6" w14:textId="4CF42F1B">
      <w:pPr>
        <w:ind w:left="360"/>
        <w:rPr>
          <w:sz w:val="22"/>
          <w:szCs w:val="22"/>
        </w:rPr>
      </w:pPr>
      <w:r w:rsidRPr="00BB6DD4">
        <w:rPr>
          <w:sz w:val="22"/>
          <w:szCs w:val="22"/>
        </w:rPr>
        <w:t>Th</w:t>
      </w:r>
      <w:r>
        <w:rPr>
          <w:sz w:val="22"/>
          <w:szCs w:val="22"/>
        </w:rPr>
        <w:t xml:space="preserve">is ICR seeks a </w:t>
      </w:r>
      <w:proofErr w:type="gramStart"/>
      <w:r>
        <w:rPr>
          <w:sz w:val="22"/>
          <w:szCs w:val="22"/>
        </w:rPr>
        <w:t>3 year</w:t>
      </w:r>
      <w:proofErr w:type="gramEnd"/>
      <w:r>
        <w:rPr>
          <w:sz w:val="22"/>
          <w:szCs w:val="22"/>
        </w:rPr>
        <w:t xml:space="preserve"> extension of the U.S import and Export Price Indexes</w:t>
      </w:r>
      <w:r w:rsidR="006C1CFC">
        <w:rPr>
          <w:sz w:val="22"/>
          <w:szCs w:val="22"/>
        </w:rPr>
        <w:t xml:space="preserve"> (MXP)</w:t>
      </w:r>
      <w:r>
        <w:rPr>
          <w:sz w:val="22"/>
          <w:szCs w:val="22"/>
        </w:rPr>
        <w:t xml:space="preserve"> information collection.  There are no substantive changes to the collection forms or methodology of this collection.</w:t>
      </w:r>
      <w:r w:rsidRPr="00BB6DD4">
        <w:rPr>
          <w:sz w:val="22"/>
          <w:szCs w:val="22"/>
        </w:rPr>
        <w:t xml:space="preserve"> </w:t>
      </w:r>
    </w:p>
    <w:p w:rsidR="00024B9F" w:rsidP="00024B9F" w:rsidRDefault="00024B9F" w14:paraId="42B2E26A" w14:textId="77777777">
      <w:pPr>
        <w:jc w:val="center"/>
        <w:rPr>
          <w:rFonts w:ascii="Verdana" w:hAnsi="Verdana"/>
          <w:color w:val="0000FF"/>
        </w:rPr>
      </w:pPr>
    </w:p>
    <w:p w:rsidRPr="002D5FF3" w:rsidR="00024B9F" w:rsidP="00024B9F" w:rsidRDefault="00024B9F" w14:paraId="63A4C5DC" w14:textId="77777777">
      <w:pPr>
        <w:rPr>
          <w:b/>
          <w:color w:val="000000"/>
        </w:rPr>
      </w:pPr>
      <w:r w:rsidRPr="002D5FF3">
        <w:rPr>
          <w:b/>
          <w:color w:val="000000"/>
        </w:rPr>
        <w:t>A.  JUSTIFICATION</w:t>
      </w:r>
    </w:p>
    <w:p w:rsidRPr="002D5FF3" w:rsidR="00024B9F" w:rsidP="00024B9F" w:rsidRDefault="00024B9F" w14:paraId="43478275" w14:textId="77777777">
      <w:pPr>
        <w:rPr>
          <w:b/>
          <w:color w:val="000000"/>
        </w:rPr>
      </w:pPr>
    </w:p>
    <w:p w:rsidRPr="00D53DEB" w:rsidR="004869E2" w:rsidP="002D5FF3" w:rsidRDefault="004869E2" w14:paraId="7E335D7C" w14:textId="56A854FE">
      <w:pPr>
        <w:pStyle w:val="ListParagraph"/>
        <w:numPr>
          <w:ilvl w:val="0"/>
          <w:numId w:val="45"/>
        </w:numPr>
      </w:pPr>
      <w:r w:rsidRPr="002D5FF3">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D5FF3" w:rsidR="00024B9F" w:rsidP="00024B9F" w:rsidRDefault="00024B9F" w14:paraId="11A106BC" w14:textId="77777777">
      <w:pPr>
        <w:rPr>
          <w:b/>
          <w:color w:val="000000"/>
        </w:rPr>
      </w:pPr>
    </w:p>
    <w:p w:rsidRPr="002D5FF3" w:rsidR="00024B9F" w:rsidP="00024B9F" w:rsidRDefault="00024B9F" w14:paraId="698C072D" w14:textId="1DD083CF">
      <w:pPr>
        <w:rPr>
          <w:b/>
          <w:color w:val="000000"/>
        </w:rPr>
      </w:pPr>
      <w:r w:rsidRPr="002D5FF3">
        <w:t>The U.S. Import and Export Price Indexes</w:t>
      </w:r>
      <w:r w:rsidR="00364279">
        <w:t xml:space="preserve"> (MXP)</w:t>
      </w:r>
      <w:r w:rsidRPr="002D5FF3">
        <w:t>, together with the Consumer Price Index</w:t>
      </w:r>
      <w:r w:rsidR="00A56954">
        <w:t xml:space="preserve"> (CPI)</w:t>
      </w:r>
      <w:r w:rsidRPr="002D5FF3">
        <w:t xml:space="preserve"> and the Producer Price Index</w:t>
      </w:r>
      <w:r w:rsidR="00A56954">
        <w:t xml:space="preserve"> (PPI)</w:t>
      </w:r>
      <w:r w:rsidRPr="002D5FF3">
        <w:t>, constitute the major outputs of the price programs of the Bureau of Labor Statistics</w:t>
      </w:r>
      <w:r w:rsidR="00CE29FF">
        <w:t xml:space="preserve"> (BLS)</w:t>
      </w:r>
      <w:r w:rsidRPr="002D5FF3">
        <w:t>.  Although the International Price Program (IPP), which produces the U.S. Import and Export Price Indexes, is the Bureau of Labor Statistics' newest price program, it can trace its origins to the late 19th Century.  In 1886, the Aldrich Committee of the U.S. Senate recommended the establishment of a Bureau of Labor to provide statistics on the condition of U.S. workers and the prices of imported goods in the U.S. and other countries.  The committee sent staff members to other countries, principally in Western Europe, to collect prices and in 1889</w:t>
      </w:r>
      <w:r w:rsidR="00364279">
        <w:t>,</w:t>
      </w:r>
      <w:r w:rsidRPr="002D5FF3">
        <w:t xml:space="preserve"> published a report comparing prices in the U.S. with those of Western Europe.  This report, which focused on prices for goods imported into the U.S., was the precursor of the Wholesale Price Index.  Following World War II, the BLS again began a program to develop import and export price indexes.  The program advanced to the point where hundreds of prices had been collected from importers and exporters and test indexes had been calculated.  Because of a Bureau</w:t>
      </w:r>
      <w:r w:rsidRPr="002D5FF3">
        <w:noBreakHyphen/>
        <w:t>wide 50 percent budget reduction, however, the program was terminated in 1948.</w:t>
      </w:r>
    </w:p>
    <w:p w:rsidRPr="002D5FF3" w:rsidR="00024B9F" w:rsidP="00024B9F" w:rsidRDefault="00024B9F" w14:paraId="3BFC41FC" w14:textId="77777777">
      <w:pPr>
        <w:tabs>
          <w:tab w:val="left" w:pos="480"/>
          <w:tab w:val="left" w:pos="960"/>
          <w:tab w:val="left" w:pos="2760"/>
        </w:tabs>
        <w:spacing w:line="240" w:lineRule="exact"/>
        <w:rPr>
          <w:b/>
          <w:color w:val="000000"/>
        </w:rPr>
      </w:pPr>
    </w:p>
    <w:p w:rsidRPr="002D5FF3" w:rsidR="00024B9F" w:rsidP="00024B9F" w:rsidRDefault="004107C8" w14:paraId="577C24F5" w14:textId="411B3B87">
      <w:pPr>
        <w:tabs>
          <w:tab w:val="left" w:pos="480"/>
          <w:tab w:val="left" w:pos="960"/>
          <w:tab w:val="left" w:pos="2760"/>
        </w:tabs>
      </w:pPr>
      <w:r w:rsidRPr="002D5FF3">
        <w:t>In 1961, a report on federal price s</w:t>
      </w:r>
      <w:r w:rsidRPr="002D5FF3" w:rsidR="00024B9F">
        <w:t>tatistics prepared by the National Bureau of Economic Research (NBER) for Congress' Joint Economic Committee suggested that responsibility for compilation of import and export price indexes be assigned to a federal statistical agency "to obtain the attention and resources for these indexes that we believe are essential."  A further study undertaken for the NBER by Irving Kravis and Robert Lipsey gave greater impetus to the project.  In their study, eventually published as</w:t>
      </w:r>
      <w:r w:rsidRPr="002D5FF3" w:rsidR="005D7BD9">
        <w:t xml:space="preserve"> </w:t>
      </w:r>
      <w:r w:rsidRPr="002D5FF3" w:rsidR="009F15D3">
        <w:rPr>
          <w:i/>
        </w:rPr>
        <w:t>Price Competitiveness in World Trade</w:t>
      </w:r>
      <w:r w:rsidRPr="002D5FF3" w:rsidR="009F15D3">
        <w:t xml:space="preserve"> (</w:t>
      </w:r>
      <w:hyperlink w:history="1" r:id="rId8">
        <w:r w:rsidRPr="002D5FF3" w:rsidR="009F15D3">
          <w:rPr>
            <w:rStyle w:val="Hyperlink"/>
          </w:rPr>
          <w:t>https://www.nber.org/books-and-chapters/price-competitiveness-world-trade</w:t>
        </w:r>
      </w:hyperlink>
      <w:r w:rsidRPr="002D5FF3" w:rsidR="009F15D3">
        <w:rPr>
          <w:rStyle w:val="Hyperlink"/>
        </w:rPr>
        <w:t>)</w:t>
      </w:r>
      <w:r w:rsidRPr="002D5FF3" w:rsidR="00024B9F">
        <w:t xml:space="preserve">, Kravis and Lipsey outlined both the need for such measures and the feasibility of producing them.  In the </w:t>
      </w:r>
      <w:proofErr w:type="gramStart"/>
      <w:r w:rsidRPr="002D5FF3" w:rsidR="00024B9F">
        <w:t>meantime</w:t>
      </w:r>
      <w:proofErr w:type="gramEnd"/>
      <w:r w:rsidRPr="002D5FF3" w:rsidR="00024B9F">
        <w:t xml:space="preserve"> the BLS, largely because of its expertise in the development of other price measures, had also begun research on the feasibility of producing import and export price indexes.  In 1970, Congress provided funds for the construction of import and export price indexes.  The legal </w:t>
      </w:r>
      <w:r w:rsidRPr="002D5FF3" w:rsidR="00024B9F">
        <w:lastRenderedPageBreak/>
        <w:t>authority for the collection of import and export data is contained in Title 29, Section 2 of the</w:t>
      </w:r>
      <w:r w:rsidRPr="002D5FF3" w:rsidR="00973E1F">
        <w:t xml:space="preserve"> United States Code (Attachment </w:t>
      </w:r>
      <w:r w:rsidRPr="002D5FF3" w:rsidR="00024B9F">
        <w:t>1).</w:t>
      </w:r>
    </w:p>
    <w:p w:rsidRPr="002D5FF3" w:rsidR="00024B9F" w:rsidP="00024B9F" w:rsidRDefault="00024B9F" w14:paraId="50A29EA0" w14:textId="77777777">
      <w:pPr>
        <w:tabs>
          <w:tab w:val="left" w:pos="480"/>
          <w:tab w:val="left" w:pos="960"/>
          <w:tab w:val="left" w:pos="2760"/>
        </w:tabs>
        <w:rPr>
          <w:b/>
          <w:color w:val="000000"/>
        </w:rPr>
      </w:pPr>
    </w:p>
    <w:p w:rsidRPr="002D5FF3" w:rsidR="00024B9F" w:rsidP="00024B9F" w:rsidRDefault="00024B9F" w14:paraId="09AC2EE1" w14:textId="5C292E66">
      <w:pPr>
        <w:tabs>
          <w:tab w:val="left" w:pos="480"/>
          <w:tab w:val="left" w:pos="960"/>
          <w:tab w:val="left" w:pos="2760"/>
        </w:tabs>
        <w:rPr>
          <w:b/>
          <w:color w:val="000000"/>
        </w:rPr>
      </w:pPr>
      <w:r w:rsidRPr="002D5FF3">
        <w:t>The first export price indexes, published in 1971, showed annual price changes for selected categories of goods, primarily machinery and transportation equipment for the period 1964</w:t>
      </w:r>
      <w:r w:rsidRPr="002D5FF3">
        <w:noBreakHyphen/>
        <w:t>71.  The first annual import price indexes were produced in 1973.  Largely as a response to changing international economic conditions and the need on the part of both the government and the private sector</w:t>
      </w:r>
      <w:r w:rsidRPr="002D5FF3" w:rsidR="003E3B57">
        <w:t xml:space="preserve"> to obtain these data on a </w:t>
      </w:r>
      <w:proofErr w:type="gramStart"/>
      <w:r w:rsidRPr="002D5FF3" w:rsidR="003E3B57">
        <w:t xml:space="preserve">more </w:t>
      </w:r>
      <w:r w:rsidRPr="002D5FF3">
        <w:t>timely</w:t>
      </w:r>
      <w:proofErr w:type="gramEnd"/>
      <w:r w:rsidRPr="002D5FF3">
        <w:t xml:space="preserve"> basis, collection and publication of the international price indexes were begun on a quarterly basis in 1974.  A general index for all-import goods was published for the first time in the fourth quarter of 1982 and an index for all-exports was first available at the end of 1983.   </w:t>
      </w:r>
    </w:p>
    <w:p w:rsidRPr="002D5FF3" w:rsidR="00024B9F" w:rsidP="00024B9F" w:rsidRDefault="00024B9F" w14:paraId="2D8F1D8B" w14:textId="77777777">
      <w:pPr>
        <w:tabs>
          <w:tab w:val="left" w:pos="480"/>
          <w:tab w:val="left" w:pos="960"/>
          <w:tab w:val="left" w:pos="2760"/>
        </w:tabs>
        <w:rPr>
          <w:b/>
          <w:color w:val="000000"/>
        </w:rPr>
      </w:pPr>
    </w:p>
    <w:p w:rsidRPr="002D5FF3" w:rsidR="009850DC" w:rsidP="00024B9F" w:rsidRDefault="00024B9F" w14:paraId="3A18FAEE" w14:textId="02751440">
      <w:pPr>
        <w:tabs>
          <w:tab w:val="left" w:pos="480"/>
          <w:tab w:val="left" w:pos="960"/>
          <w:tab w:val="left" w:pos="2760"/>
        </w:tabs>
      </w:pPr>
      <w:r w:rsidRPr="002D5FF3">
        <w:t>The expansion of international trade and improvements in the design of the IPP survey led the Office of Management and Budget (OMB) in 1982 to place the IPP indexes on its list of Principal Federal Economic Indicators</w:t>
      </w:r>
      <w:r w:rsidR="007556D0">
        <w:t xml:space="preserve"> (PFEI)</w:t>
      </w:r>
      <w:r w:rsidRPr="002D5FF3" w:rsidR="009850DC">
        <w:t>,</w:t>
      </w:r>
      <w:r w:rsidRPr="002D5FF3">
        <w:t xml:space="preserve"> alongside the CPI and the PPI.  Economic indicators placed on this list must be released on schedule and are recommended for use in public and private sector economic analysis.</w:t>
      </w:r>
    </w:p>
    <w:p w:rsidRPr="002D5FF3" w:rsidR="00904953" w:rsidP="00024B9F" w:rsidRDefault="00904953" w14:paraId="6399E001" w14:textId="77777777">
      <w:pPr>
        <w:tabs>
          <w:tab w:val="left" w:pos="480"/>
          <w:tab w:val="left" w:pos="960"/>
          <w:tab w:val="left" w:pos="2760"/>
        </w:tabs>
      </w:pPr>
    </w:p>
    <w:p w:rsidRPr="002D5FF3" w:rsidR="00024B9F" w:rsidP="00024B9F" w:rsidRDefault="00024B9F" w14:paraId="5EA57FBD" w14:textId="18A38EF0">
      <w:pPr>
        <w:tabs>
          <w:tab w:val="left" w:pos="480"/>
          <w:tab w:val="left" w:pos="960"/>
          <w:tab w:val="left" w:pos="2760"/>
        </w:tabs>
      </w:pPr>
      <w:r w:rsidRPr="002D5FF3">
        <w:t xml:space="preserve">The increasing importance and value of the IPP's indexes led to requests </w:t>
      </w:r>
      <w:r w:rsidRPr="002D5FF3" w:rsidR="00654F3D">
        <w:t xml:space="preserve">for monthly indexes </w:t>
      </w:r>
      <w:r w:rsidRPr="002D5FF3">
        <w:t>in 1988 from OMB and several other policy-making government agencies</w:t>
      </w:r>
      <w:r w:rsidRPr="002D5FF3" w:rsidR="00654F3D">
        <w:t>.</w:t>
      </w:r>
      <w:r w:rsidRPr="002D5FF3">
        <w:t xml:space="preserve"> To fill this need, the </w:t>
      </w:r>
      <w:r w:rsidRPr="002D5FF3" w:rsidR="007B3197">
        <w:t>IPP</w:t>
      </w:r>
      <w:r w:rsidRPr="002D5FF3">
        <w:t xml:space="preserve"> initiated an effort in late 1988 to provide these agencies with monthly indexes for all-imports, all-exports, and certain </w:t>
      </w:r>
      <w:proofErr w:type="gramStart"/>
      <w:r w:rsidRPr="002D5FF3">
        <w:t>highly-aggregated</w:t>
      </w:r>
      <w:proofErr w:type="gramEnd"/>
      <w:r w:rsidRPr="002D5FF3">
        <w:t xml:space="preserve"> import and export product groupings.  Using a subset of data from the regular quarterly sample, the </w:t>
      </w:r>
      <w:r w:rsidRPr="002D5FF3" w:rsidR="007B3197">
        <w:t>Program</w:t>
      </w:r>
      <w:r w:rsidRPr="002D5FF3">
        <w:t xml:space="preserve"> began publishing these indexes in February 1989.  Because of continuing interest from OMB and other government agencies and because of the need to deflate monthly </w:t>
      </w:r>
      <w:r w:rsidRPr="002D5FF3" w:rsidR="00353EFB">
        <w:t>Gross Domestic Product (</w:t>
      </w:r>
      <w:r w:rsidRPr="002D5FF3">
        <w:t>GDP</w:t>
      </w:r>
      <w:r w:rsidRPr="002D5FF3" w:rsidR="00353EFB">
        <w:t>)</w:t>
      </w:r>
      <w:r w:rsidRPr="002D5FF3">
        <w:t xml:space="preserve"> figures using IPP indexes, the IPP now collects </w:t>
      </w:r>
      <w:proofErr w:type="gramStart"/>
      <w:r w:rsidRPr="002D5FF3">
        <w:t>all of</w:t>
      </w:r>
      <w:proofErr w:type="gramEnd"/>
      <w:r w:rsidRPr="002D5FF3">
        <w:t xml:space="preserve"> its data for goods on a monthly basis.</w:t>
      </w:r>
    </w:p>
    <w:p w:rsidRPr="002D5FF3" w:rsidR="00C37BC8" w:rsidP="00024B9F" w:rsidRDefault="00C37BC8" w14:paraId="0E225486" w14:textId="77777777">
      <w:pPr>
        <w:tabs>
          <w:tab w:val="left" w:pos="480"/>
          <w:tab w:val="left" w:pos="960"/>
          <w:tab w:val="left" w:pos="2760"/>
        </w:tabs>
        <w:rPr>
          <w:color w:val="000000"/>
        </w:rPr>
      </w:pPr>
    </w:p>
    <w:p w:rsidRPr="002D5FF3" w:rsidR="007663F6" w:rsidP="007663F6" w:rsidRDefault="007663F6" w14:paraId="110BC306" w14:textId="2014808C">
      <w:r w:rsidRPr="002D5FF3">
        <w:t>In 1992, the IPP began publishing import price indexes delineated by locality of origin (LOO), including two country breakouts (Canada and Japan), three regional breakouts (European Union, Latin America, and Asian Newly Industrialized Countries), and breakouts for Developed and Developing Countries (later changed to Industrialized Countries and Other, the latter of which has since been discontinued.) Ongoing customer interest has prompted the IPP to significantly expand this set of data over the years, adding LOO price indexes for France, Germany, the United Kingdom, Mexico, the Pacific Rim, China, the Association of Southeast Asian Nations, and Asia Near East countries in 2005</w:t>
      </w:r>
      <w:r w:rsidR="001B0602">
        <w:t>,</w:t>
      </w:r>
      <w:r w:rsidRPr="002D5FF3">
        <w:t xml:space="preserve"> and breakouts for select industry areas in subsequent years. In 2019, the Program began publishing a LOO price index for Taiwan. To date, the IPP publishes 197 LOO price indexes across the various localities, including 27 price indexes for imports from China and 22 price indexes for imports from the European Union.</w:t>
      </w:r>
    </w:p>
    <w:p w:rsidRPr="002D5FF3" w:rsidR="00A66106" w:rsidP="00024B9F" w:rsidRDefault="00A66106" w14:paraId="70642F0C" w14:textId="77777777">
      <w:pPr>
        <w:tabs>
          <w:tab w:val="left" w:pos="480"/>
          <w:tab w:val="left" w:pos="960"/>
          <w:tab w:val="left" w:pos="2760"/>
        </w:tabs>
        <w:rPr>
          <w:b/>
          <w:color w:val="000000"/>
        </w:rPr>
      </w:pPr>
    </w:p>
    <w:p w:rsidRPr="002D5FF3" w:rsidR="007663F6" w:rsidP="007663F6" w:rsidRDefault="007663F6" w14:paraId="7F9FBB3D" w14:textId="0103BB31">
      <w:pPr>
        <w:rPr>
          <w:color w:val="000000"/>
        </w:rPr>
      </w:pPr>
      <w:r w:rsidRPr="002D5FF3">
        <w:rPr>
          <w:color w:val="000000"/>
        </w:rPr>
        <w:t xml:space="preserve">In addition to the expansion of the LOO price indexes, the Program has developed new measures to further address interest in the competitiveness of the U.S. in the global marketplace.  In 2018, the IPP added two more competitive measures to its published data set: locality of destination (LOD) indexes and terms of trade (TOT) indexes. The locality of destination indexes </w:t>
      </w:r>
      <w:proofErr w:type="gramStart"/>
      <w:r w:rsidRPr="002D5FF3">
        <w:rPr>
          <w:color w:val="000000"/>
        </w:rPr>
        <w:t>are</w:t>
      </w:r>
      <w:proofErr w:type="gramEnd"/>
      <w:r w:rsidRPr="002D5FF3">
        <w:rPr>
          <w:color w:val="000000"/>
        </w:rPr>
        <w:t xml:space="preserve"> the counterpart to the existing locality of origin import price indexes, measuring U.S. export prices of goods based on the country, region, or grouping to which items are exported. IPP currently publishes LOD price indexes for the following countries, regions, and groupings: Industrialized </w:t>
      </w:r>
      <w:r w:rsidRPr="002D5FF3">
        <w:rPr>
          <w:color w:val="000000"/>
        </w:rPr>
        <w:lastRenderedPageBreak/>
        <w:t>Countries, Canada, European Union, Germany, Latin America, Mexico, the Pacific Rim, China, and Japan; price indexes for manufacturing and nonmanufacturing industries are published for these localities where sufficient data are available.  Terms of trade indexes are calculated by dividing the LOD index for a given locality by the corresponding LOO index, measuring the change in the purchasing power of exports relative to imports (for a given locality). These indexes broadly describe the relative trade competitiveness over time between the United States and its trading partners.  Currently, the Program publishes TOT indexes for all top-level groupings for w</w:t>
      </w:r>
      <w:r w:rsidRPr="002D5FF3" w:rsidR="007921D9">
        <w:rPr>
          <w:color w:val="000000"/>
        </w:rPr>
        <w:t xml:space="preserve">hich LOD indexes are published.  </w:t>
      </w:r>
      <w:r w:rsidRPr="002D5FF3">
        <w:rPr>
          <w:color w:val="000000"/>
        </w:rPr>
        <w:t xml:space="preserve">Previously, the only measures of U.S. terms of trade were the all-world terms of trade indexes produced by the U.S. Bureau of Economic Analysis (BEA) and published in </w:t>
      </w:r>
      <w:r w:rsidRPr="002D5FF3" w:rsidR="00BA5BBF">
        <w:rPr>
          <w:color w:val="000000"/>
        </w:rPr>
        <w:t>BEA table 1.8.6</w:t>
      </w:r>
      <w:r w:rsidRPr="002D5FF3" w:rsidR="009F15D3">
        <w:rPr>
          <w:color w:val="000000"/>
        </w:rPr>
        <w:t xml:space="preserve"> (</w:t>
      </w:r>
      <w:hyperlink w:history="1" w:anchor="reqid=19&amp;step=3&amp;isuri=1&amp;1921=survey&amp;1903=46" r:id="rId9">
        <w:r w:rsidRPr="002D5FF3" w:rsidR="009F15D3">
          <w:rPr>
            <w:rStyle w:val="Hyperlink"/>
          </w:rPr>
          <w:t>https://apps.bea.gov/iTable/iTable.cfm?reqid=19&amp;step=3&amp;isuri=1&amp;1921=survey&amp;1903=46#reqid=19&amp;step=3&amp;isuri=1&amp;1921=survey&amp;1903=46</w:t>
        </w:r>
      </w:hyperlink>
      <w:r w:rsidRPr="002D5FF3" w:rsidR="007921D9">
        <w:rPr>
          <w:rStyle w:val="Hyperlink"/>
          <w:color w:val="auto"/>
          <w:u w:val="none"/>
        </w:rPr>
        <w:t>).</w:t>
      </w:r>
      <w:r w:rsidR="00F77C1D">
        <w:rPr>
          <w:rStyle w:val="Hyperlink"/>
          <w:color w:val="auto"/>
          <w:u w:val="none"/>
        </w:rPr>
        <w:t xml:space="preserve">  </w:t>
      </w:r>
      <w:r w:rsidRPr="002D5FF3">
        <w:t xml:space="preserve">More information about the Program’s TOT indexes is available on </w:t>
      </w:r>
      <w:r w:rsidRPr="002D5FF3" w:rsidR="00BA5BBF">
        <w:t>IPP’s Terms of Trade Indexes page</w:t>
      </w:r>
      <w:r w:rsidRPr="002D5FF3" w:rsidR="009F15D3">
        <w:t xml:space="preserve"> (</w:t>
      </w:r>
      <w:hyperlink w:history="1" r:id="rId10">
        <w:r w:rsidRPr="002D5FF3" w:rsidR="009F15D3">
          <w:rPr>
            <w:rStyle w:val="Hyperlink"/>
          </w:rPr>
          <w:t>https://www.bls.gov/mxp/publications/factsheets/terms-of-trade.htm</w:t>
        </w:r>
      </w:hyperlink>
      <w:r w:rsidRPr="002D5FF3" w:rsidR="009F15D3">
        <w:rPr>
          <w:rStyle w:val="Hyperlink"/>
        </w:rPr>
        <w:t>)</w:t>
      </w:r>
      <w:r w:rsidRPr="002D5FF3">
        <w:t>.</w:t>
      </w:r>
      <w:r w:rsidRPr="002D5FF3" w:rsidR="007921D9">
        <w:rPr>
          <w:color w:val="000000"/>
        </w:rPr>
        <w:t xml:space="preserve">  </w:t>
      </w:r>
      <w:r w:rsidRPr="002D5FF3">
        <w:t xml:space="preserve">Also in 2018, the IPP collaborated with the PPI to publish a </w:t>
      </w:r>
      <w:hyperlink w:history="1" r:id="rId11">
        <w:r w:rsidRPr="002D5FF3" w:rsidR="009F15D3">
          <w:rPr>
            <w:rStyle w:val="Hyperlink"/>
          </w:rPr>
          <w:t>NAICS-based PPI Industry Net Output Data and IPP Import Data table</w:t>
        </w:r>
      </w:hyperlink>
      <w:r w:rsidRPr="002D5FF3" w:rsidR="009F15D3">
        <w:t xml:space="preserve"> </w:t>
      </w:r>
      <w:r w:rsidRPr="002D5FF3">
        <w:t>and report</w:t>
      </w:r>
      <w:r w:rsidRPr="002D5FF3" w:rsidR="009F15D3">
        <w:t xml:space="preserve"> (</w:t>
      </w:r>
      <w:hyperlink w:history="1" r:id="rId12">
        <w:r w:rsidRPr="002D5FF3" w:rsidR="009F15D3">
          <w:rPr>
            <w:rStyle w:val="Hyperlink"/>
          </w:rPr>
          <w:t>https://www.bls.gov/mxp/publications/additional-publications/import-export-price-indexes-producer-price-indexes-comparability-table.htm</w:t>
        </w:r>
      </w:hyperlink>
      <w:r w:rsidRPr="002D5FF3" w:rsidR="009F15D3">
        <w:rPr>
          <w:rStyle w:val="Hyperlink"/>
        </w:rPr>
        <w:t>)</w:t>
      </w:r>
      <w:r w:rsidRPr="002D5FF3" w:rsidR="009F15D3">
        <w:t xml:space="preserve"> </w:t>
      </w:r>
      <w:r w:rsidRPr="002D5FF3">
        <w:t xml:space="preserve">for determining comparability between the NAICS indexes published by both programs. This table can assist with comparing price trends in domestically produced and imported products. </w:t>
      </w:r>
    </w:p>
    <w:p w:rsidRPr="002D5FF3" w:rsidR="007663F6" w:rsidP="007663F6" w:rsidRDefault="007663F6" w14:paraId="2DDF0C9F" w14:textId="77777777"/>
    <w:p w:rsidRPr="002D5FF3" w:rsidR="007663F6" w:rsidP="007663F6" w:rsidRDefault="007663F6" w14:paraId="60F3F42B" w14:textId="7D6FDC7D">
      <w:r w:rsidRPr="002D5FF3">
        <w:t xml:space="preserve">In 2019, the Program once again collaborated with the PPI to produce an </w:t>
      </w:r>
      <w:r w:rsidRPr="002D5FF3" w:rsidR="00BA5BBF">
        <w:t>experimental set of satellite inputs to industry indexes</w:t>
      </w:r>
      <w:r w:rsidRPr="002D5FF3" w:rsidR="009F15D3">
        <w:t xml:space="preserve"> (</w:t>
      </w:r>
      <w:hyperlink w:history="1" r:id="rId13">
        <w:r w:rsidRPr="002D5FF3" w:rsidR="009F15D3">
          <w:rPr>
            <w:rStyle w:val="Hyperlink"/>
          </w:rPr>
          <w:t>https://www.bls.gov/ppi/input-indexes/bls-satellite-input-to-industry-indexes.xlsx</w:t>
        </w:r>
      </w:hyperlink>
      <w:r w:rsidRPr="002D5FF3" w:rsidR="009F15D3">
        <w:rPr>
          <w:rStyle w:val="Hyperlink"/>
        </w:rPr>
        <w:t>)</w:t>
      </w:r>
      <w:r w:rsidRPr="002D5FF3">
        <w:t xml:space="preserve">, available for most 3-digit NAICS industry groups. To calculate an index at the 3-digit NAICS level, PPI commodity indexes are used to construct the domestic portion of the index and IPP import price indexes are used to construct the imported portion of the index; the PPI and IPP indexes are then aggregated to an overall price index that measures price change for inputs to the industry sector, regardless of their country of origin. Data for these (unofficial) indexes are available beginning in December 2018 and are published monthly. In 2020, the Program expanded its list of published NAICS indexes to include data for select 6-digit groupings, for both import and export price indexes, and began publishing price indexes for Advanced Technology Products. On the import side, IPP publishes price indexes for biotechnology products, life science products, information &amp; communications products, electronics, and aerospace products; export price indexes are published for life science products, information &amp; communications products, electronics, flexible manufacturing products, and aerospace products. Most recently, the Program began publishing a new table which includes the </w:t>
      </w:r>
      <w:r w:rsidR="0067455E">
        <w:t>date since when</w:t>
      </w:r>
      <w:r w:rsidRPr="002D5FF3">
        <w:t xml:space="preserve"> there was an equal or larger (1-month and 12-month) percent change for select End-Use import and export price indexes: </w:t>
      </w:r>
      <w:r w:rsidRPr="002D5FF3" w:rsidR="00BA5BBF">
        <w:t>Percent Changes and Historical References for Select Import and Export Price Indexes</w:t>
      </w:r>
      <w:r w:rsidRPr="002D5FF3" w:rsidR="009F15D3">
        <w:t xml:space="preserve"> (</w:t>
      </w:r>
      <w:hyperlink w:history="1" r:id="rId14">
        <w:r w:rsidRPr="002D5FF3" w:rsidR="005164B7">
          <w:rPr>
            <w:rStyle w:val="Hyperlink"/>
          </w:rPr>
          <w:t>https://www.bls.gov/web/ximpim/largest.htm</w:t>
        </w:r>
      </w:hyperlink>
      <w:r w:rsidRPr="002D5FF3" w:rsidR="009F15D3">
        <w:t>).</w:t>
      </w:r>
    </w:p>
    <w:p w:rsidRPr="002D5FF3" w:rsidR="00F66ACB" w:rsidP="007663F6" w:rsidRDefault="00F66ACB" w14:paraId="4EE41596" w14:textId="77777777"/>
    <w:p w:rsidRPr="002D5FF3" w:rsidR="00F66ACB" w:rsidP="007663F6" w:rsidRDefault="003E7643" w14:paraId="34F6CFCF" w14:textId="1F89C30E">
      <w:r w:rsidRPr="002D5FF3">
        <w:t xml:space="preserve">In 2020, </w:t>
      </w:r>
      <w:r w:rsidRPr="002D5FF3" w:rsidR="00F66ACB">
        <w:t xml:space="preserve">IPP expanded the annual publication of variance estimates to cover </w:t>
      </w:r>
      <w:proofErr w:type="gramStart"/>
      <w:r w:rsidRPr="002D5FF3" w:rsidR="00F66ACB">
        <w:t>the major</w:t>
      </w:r>
      <w:r w:rsidRPr="002D5FF3" w:rsidR="003D6122">
        <w:t>ity of</w:t>
      </w:r>
      <w:proofErr w:type="gramEnd"/>
      <w:r w:rsidRPr="002D5FF3" w:rsidR="003D6122">
        <w:t xml:space="preserve"> published goods indexes; </w:t>
      </w:r>
      <w:r w:rsidRPr="002D5FF3" w:rsidR="00F66ACB">
        <w:t xml:space="preserve">data </w:t>
      </w:r>
      <w:r w:rsidRPr="002D5FF3">
        <w:t xml:space="preserve">for 2019 onward are </w:t>
      </w:r>
      <w:r w:rsidRPr="002D5FF3" w:rsidR="00F66ACB">
        <w:t>published by classification system to the 5-digit level of detail for the Bureau of Economic Analysis (BEA) End-Use Classification System, the 5-digit level of detail for the North American Industrial Classification System (NAICS), and to the 4-digit level of detail for the Harmonized Classification System</w:t>
      </w:r>
      <w:r w:rsidRPr="002D5FF3" w:rsidR="003D6122">
        <w:t xml:space="preserve">. (Variance data were previously only available for two series, all-imports and all-exports.) These estimates help users </w:t>
      </w:r>
      <w:r w:rsidRPr="002D5FF3" w:rsidR="003D6122">
        <w:lastRenderedPageBreak/>
        <w:t xml:space="preserve">assess the precision of the Import and Export Price Indexes and are available at </w:t>
      </w:r>
      <w:hyperlink w:history="1" r:id="rId15">
        <w:r w:rsidRPr="002D5FF3" w:rsidR="003D6122">
          <w:rPr>
            <w:rStyle w:val="Hyperlink"/>
          </w:rPr>
          <w:t>https://www.bls.gov/mxp/data/variance-statistics.htm</w:t>
        </w:r>
      </w:hyperlink>
      <w:r w:rsidRPr="002D5FF3" w:rsidR="003D6122">
        <w:t>.</w:t>
      </w:r>
    </w:p>
    <w:p w:rsidRPr="002D5FF3" w:rsidR="007663F6" w:rsidP="00024B9F" w:rsidRDefault="007663F6" w14:paraId="3BE811BF" w14:textId="77777777">
      <w:pPr>
        <w:tabs>
          <w:tab w:val="left" w:pos="480"/>
          <w:tab w:val="left" w:pos="960"/>
          <w:tab w:val="left" w:pos="2760"/>
        </w:tabs>
      </w:pPr>
    </w:p>
    <w:p w:rsidRPr="002D5FF3" w:rsidR="00024B9F" w:rsidP="00024B9F" w:rsidRDefault="003D3766" w14:paraId="4E6DC6AF" w14:textId="39CD90B6">
      <w:pPr>
        <w:tabs>
          <w:tab w:val="left" w:pos="480"/>
          <w:tab w:val="left" w:pos="960"/>
          <w:tab w:val="left" w:pos="2760"/>
        </w:tabs>
        <w:rPr>
          <w:b/>
          <w:i/>
        </w:rPr>
      </w:pPr>
      <w:r w:rsidRPr="002D5FF3">
        <w:t xml:space="preserve">In the realm of services, </w:t>
      </w:r>
      <w:r w:rsidRPr="002D5FF3" w:rsidR="00E41AA5">
        <w:t xml:space="preserve">the </w:t>
      </w:r>
      <w:r w:rsidRPr="002D5FF3">
        <w:t xml:space="preserve">IPP publishes indexes on import and export air passenger fares and air freight rates as well as indexes for inbound and outbound air freight rates.  The tremendous growth of the </w:t>
      </w:r>
      <w:r w:rsidRPr="002D5FF3" w:rsidR="00024B9F">
        <w:t>international service</w:t>
      </w:r>
      <w:r w:rsidRPr="002D5FF3" w:rsidR="009850DC">
        <w:t xml:space="preserve">s sector over the last </w:t>
      </w:r>
      <w:r w:rsidRPr="002D5FF3" w:rsidR="00106BD4">
        <w:t xml:space="preserve">30 </w:t>
      </w:r>
      <w:r w:rsidRPr="002D5FF3" w:rsidR="009850DC">
        <w:t>years</w:t>
      </w:r>
      <w:r w:rsidRPr="002D5FF3" w:rsidR="00024B9F">
        <w:t xml:space="preserve"> </w:t>
      </w:r>
      <w:r w:rsidRPr="002D5FF3">
        <w:t xml:space="preserve">has </w:t>
      </w:r>
      <w:r w:rsidRPr="002D5FF3" w:rsidR="00024B9F">
        <w:t>creat</w:t>
      </w:r>
      <w:r w:rsidRPr="002D5FF3">
        <w:t>ed</w:t>
      </w:r>
      <w:r w:rsidRPr="002D5FF3" w:rsidR="00024B9F">
        <w:t xml:space="preserve"> the need for more comprehensive, reliable, and timely information on price trends of international prices.  </w:t>
      </w:r>
      <w:r w:rsidRPr="002D5FF3">
        <w:t>(</w:t>
      </w:r>
      <w:r w:rsidRPr="002D5FF3" w:rsidR="00024B9F">
        <w:t xml:space="preserve">In </w:t>
      </w:r>
      <w:r w:rsidRPr="002D5FF3" w:rsidR="009A3B7F">
        <w:t>2020</w:t>
      </w:r>
      <w:r w:rsidRPr="002D5FF3" w:rsidR="00024B9F">
        <w:t xml:space="preserve">, services comprised approximately </w:t>
      </w:r>
      <w:r w:rsidRPr="002D5FF3" w:rsidR="001236E6">
        <w:t>1</w:t>
      </w:r>
      <w:r w:rsidRPr="002D5FF3" w:rsidR="009A3B7F">
        <w:t>6</w:t>
      </w:r>
      <w:r w:rsidRPr="002D5FF3" w:rsidR="001236E6">
        <w:t xml:space="preserve"> </w:t>
      </w:r>
      <w:r w:rsidRPr="002D5FF3" w:rsidR="00024B9F">
        <w:t xml:space="preserve">percent of cross-border imports and approximately </w:t>
      </w:r>
      <w:r w:rsidRPr="002D5FF3" w:rsidR="009A3B7F">
        <w:t>32</w:t>
      </w:r>
      <w:r w:rsidRPr="002D5FF3" w:rsidR="00B85E41">
        <w:t xml:space="preserve"> </w:t>
      </w:r>
      <w:r w:rsidRPr="002D5FF3" w:rsidR="00024B9F">
        <w:t>percent of cross-border exports.</w:t>
      </w:r>
      <w:r w:rsidRPr="002D5FF3" w:rsidR="00024B9F">
        <w:rPr>
          <w:rStyle w:val="FootnoteReference"/>
        </w:rPr>
        <w:footnoteReference w:id="1"/>
      </w:r>
      <w:r w:rsidRPr="002D5FF3">
        <w:t>)</w:t>
      </w:r>
      <w:r w:rsidRPr="002D5FF3" w:rsidR="00024B9F">
        <w:t xml:space="preserve">  In </w:t>
      </w:r>
      <w:r w:rsidRPr="002D5FF3">
        <w:t xml:space="preserve">an effort to further fulfill this need, </w:t>
      </w:r>
      <w:r w:rsidRPr="002D5FF3" w:rsidR="00024B9F">
        <w:t xml:space="preserve">the </w:t>
      </w:r>
      <w:r w:rsidRPr="002D5FF3" w:rsidR="00E41AA5">
        <w:t xml:space="preserve">Program </w:t>
      </w:r>
      <w:r w:rsidRPr="002D5FF3" w:rsidR="00024B9F">
        <w:t>began publishing two new indexes covering Export Travel and Tourism and Export Education</w:t>
      </w:r>
      <w:r w:rsidRPr="002D5FF3">
        <w:t xml:space="preserve"> in 2007</w:t>
      </w:r>
      <w:r w:rsidRPr="002D5FF3" w:rsidR="00024B9F">
        <w:t xml:space="preserve">.  </w:t>
      </w:r>
      <w:r w:rsidRPr="002D5FF3" w:rsidR="00A66106">
        <w:t>However, t</w:t>
      </w:r>
      <w:r w:rsidRPr="002D5FF3" w:rsidR="00024B9F">
        <w:t xml:space="preserve">hese new series, along with the Inbound Crude Oil Tanker Freight, Inbound Ocean Liner Freight, and Inbound/Outbound Air Passenger Fares indexes </w:t>
      </w:r>
      <w:r w:rsidRPr="002D5FF3" w:rsidR="00F150F4">
        <w:t xml:space="preserve">were </w:t>
      </w:r>
      <w:r w:rsidRPr="002D5FF3" w:rsidR="00024B9F">
        <w:t>no longer supported due to budget constraints</w:t>
      </w:r>
      <w:r w:rsidRPr="002D5FF3" w:rsidR="00F150F4">
        <w:t xml:space="preserve"> and</w:t>
      </w:r>
      <w:r w:rsidRPr="002D5FF3" w:rsidR="00024B9F">
        <w:t xml:space="preserve"> were discontinued effective January 2008. </w:t>
      </w:r>
    </w:p>
    <w:p w:rsidRPr="002D5FF3" w:rsidR="00024B9F" w:rsidP="00024B9F" w:rsidRDefault="00024B9F" w14:paraId="646C13FE" w14:textId="77777777">
      <w:pPr>
        <w:rPr>
          <w:color w:val="000000"/>
        </w:rPr>
      </w:pPr>
    </w:p>
    <w:p w:rsidRPr="002D5FF3" w:rsidR="00A66106" w:rsidP="00024B9F" w:rsidRDefault="00A26EF9" w14:paraId="2147F11C" w14:textId="77777777">
      <w:pPr>
        <w:rPr>
          <w:color w:val="000000"/>
        </w:rPr>
      </w:pPr>
      <w:r w:rsidRPr="002D5FF3">
        <w:rPr>
          <w:color w:val="000000"/>
        </w:rPr>
        <w:t>In producing monthly price indexes on goods and services traded between the U.S. and the rest of the world, the International Price Program remains</w:t>
      </w:r>
      <w:r w:rsidRPr="002D5FF3" w:rsidR="00925F1B">
        <w:rPr>
          <w:color w:val="000000"/>
        </w:rPr>
        <w:t xml:space="preserve"> the primary source of data on price changes in the foreign sector</w:t>
      </w:r>
      <w:r w:rsidRPr="002D5FF3">
        <w:rPr>
          <w:color w:val="000000"/>
        </w:rPr>
        <w:t>.</w:t>
      </w:r>
      <w:r w:rsidRPr="002D5FF3" w:rsidR="00925F1B">
        <w:rPr>
          <w:color w:val="000000"/>
        </w:rPr>
        <w:t xml:space="preserve"> </w:t>
      </w:r>
    </w:p>
    <w:p w:rsidRPr="002D5FF3" w:rsidR="00A66106" w:rsidP="00024B9F" w:rsidRDefault="00A66106" w14:paraId="5FF97FFC" w14:textId="77777777">
      <w:pPr>
        <w:rPr>
          <w:color w:val="000000"/>
        </w:rPr>
      </w:pPr>
    </w:p>
    <w:p w:rsidRPr="002D5FF3" w:rsidR="00CF593B" w:rsidP="00CF593B" w:rsidRDefault="00CF593B" w14:paraId="72629C9C" w14:textId="0F0F751F">
      <w:pPr>
        <w:pStyle w:val="ListParagraph"/>
        <w:numPr>
          <w:ilvl w:val="0"/>
          <w:numId w:val="45"/>
        </w:numPr>
      </w:pPr>
      <w:r w:rsidRPr="002D5FF3">
        <w:rPr>
          <w:b/>
          <w:bCs/>
        </w:rPr>
        <w:t>Indicate how, by whom, and for what purpose the information is to be used.  Except for a new collection, indicate the actual use the agency has made of the information received from the current collection.</w:t>
      </w:r>
    </w:p>
    <w:p w:rsidRPr="00D53DEB" w:rsidR="00CF593B" w:rsidP="002D5FF3" w:rsidRDefault="00CF593B" w14:paraId="21DA4DD2" w14:textId="77777777">
      <w:pPr>
        <w:pStyle w:val="ListParagraph"/>
        <w:ind w:left="360"/>
      </w:pPr>
    </w:p>
    <w:p w:rsidRPr="002D5FF3" w:rsidR="00024B9F" w:rsidP="00024B9F" w:rsidRDefault="00024B9F" w14:paraId="297FECF0" w14:textId="476A9B07">
      <w:pPr>
        <w:tabs>
          <w:tab w:val="left" w:pos="480"/>
          <w:tab w:val="left" w:pos="960"/>
          <w:tab w:val="left" w:pos="1320"/>
          <w:tab w:val="left" w:pos="1800"/>
          <w:tab w:val="left" w:pos="2760"/>
        </w:tabs>
      </w:pPr>
      <w:r w:rsidRPr="002D5FF3">
        <w:t xml:space="preserve">The most critical uses of the IPP indexes are found in the public sector.  Major public-sector uses of the IPP indexes include deflating monthly import and export trade statistics, deflating the foreign trade component of </w:t>
      </w:r>
      <w:r w:rsidRPr="002D5FF3" w:rsidR="000F0AE4">
        <w:t xml:space="preserve">the </w:t>
      </w:r>
      <w:r w:rsidRPr="002D5FF3" w:rsidR="00353EFB">
        <w:t>GDP</w:t>
      </w:r>
      <w:r w:rsidRPr="002D5FF3">
        <w:t xml:space="preserve">, </w:t>
      </w:r>
      <w:r w:rsidRPr="002D5FF3" w:rsidR="00F150F4">
        <w:t xml:space="preserve">formulating </w:t>
      </w:r>
      <w:r w:rsidRPr="002D5FF3">
        <w:t xml:space="preserve">monetary and fiscal policy, determining trade and commercial policy, negotiating trade agreements, and escalating government contracts. The prices provided by respondents form the foundation of information necessary to </w:t>
      </w:r>
      <w:r w:rsidRPr="002D5FF3" w:rsidR="00F150F4">
        <w:t xml:space="preserve">ensure </w:t>
      </w:r>
      <w:r w:rsidRPr="002D5FF3">
        <w:t>that the IPP indexes accurately reflect conditions in the international marketplace.  U.S. policy makers must have reliable</w:t>
      </w:r>
      <w:r w:rsidR="009A71CA">
        <w:t xml:space="preserve"> and</w:t>
      </w:r>
      <w:r w:rsidRPr="002D5FF3" w:rsidR="009A71CA">
        <w:t xml:space="preserve"> </w:t>
      </w:r>
      <w:r w:rsidRPr="002D5FF3">
        <w:t xml:space="preserve">accurate statistics to </w:t>
      </w:r>
      <w:proofErr w:type="gramStart"/>
      <w:r w:rsidRPr="002D5FF3">
        <w:t>insure</w:t>
      </w:r>
      <w:proofErr w:type="gramEnd"/>
      <w:r w:rsidRPr="002D5FF3">
        <w:t xml:space="preserve"> that appropriate actions are taken, especially during periods of economic difficulty.  When public policy makers have reliable statistics on international trade, they are in a better position to make sound decisions on the regulation and promotion of international trade.  These decisions can benefit all internationally active companies</w:t>
      </w:r>
      <w:r w:rsidRPr="002D5FF3" w:rsidR="001C0DCC">
        <w:t>.</w:t>
      </w:r>
    </w:p>
    <w:p w:rsidRPr="002D5FF3" w:rsidR="00024B9F" w:rsidP="00024B9F" w:rsidRDefault="00024B9F" w14:paraId="2BB188E8" w14:textId="77777777">
      <w:pPr>
        <w:tabs>
          <w:tab w:val="left" w:pos="480"/>
          <w:tab w:val="left" w:pos="960"/>
          <w:tab w:val="left" w:pos="1320"/>
          <w:tab w:val="left" w:pos="1800"/>
          <w:tab w:val="left" w:pos="2760"/>
        </w:tabs>
      </w:pPr>
    </w:p>
    <w:p w:rsidRPr="002D5FF3" w:rsidR="00024B9F" w:rsidP="00024B9F" w:rsidRDefault="00E41AA5" w14:paraId="54DDFE54" w14:textId="0FB818EF">
      <w:pPr>
        <w:tabs>
          <w:tab w:val="left" w:pos="480"/>
          <w:tab w:val="left" w:pos="960"/>
          <w:tab w:val="left" w:pos="2760"/>
        </w:tabs>
      </w:pPr>
      <w:r w:rsidRPr="002D5FF3">
        <w:t xml:space="preserve">The </w:t>
      </w:r>
      <w:r w:rsidRPr="002D5FF3" w:rsidR="00024B9F">
        <w:t xml:space="preserve">IPP produces monthly indexes </w:t>
      </w:r>
      <w:proofErr w:type="gramStart"/>
      <w:r w:rsidRPr="002D5FF3" w:rsidR="00024B9F">
        <w:t>in order to</w:t>
      </w:r>
      <w:proofErr w:type="gramEnd"/>
      <w:r w:rsidRPr="002D5FF3" w:rsidR="00024B9F">
        <w:t xml:space="preserve"> provide information with which to deflate the monthly merchandise trade data issued by the Department of Commerce.  (Attachments 3 and 4 are examples of trade balances issued monthly </w:t>
      </w:r>
      <w:r w:rsidRPr="002D5FF3" w:rsidR="003048AB">
        <w:t>in “United States Department of Commerce:  U.S. International Trade in Goods and Services</w:t>
      </w:r>
      <w:r w:rsidRPr="002D5FF3" w:rsidR="00D52B33">
        <w:t>,</w:t>
      </w:r>
      <w:r w:rsidRPr="002D5FF3" w:rsidR="003048AB">
        <w:t xml:space="preserve">" </w:t>
      </w:r>
      <w:r w:rsidRPr="002D5FF3" w:rsidR="00D52B33">
        <w:t xml:space="preserve">available online at </w:t>
      </w:r>
      <w:hyperlink w:history="1" r:id="rId16">
        <w:r w:rsidRPr="002D5FF3" w:rsidR="003048AB">
          <w:rPr>
            <w:rStyle w:val="Hyperlink"/>
          </w:rPr>
          <w:t>https://www.bea.gov/data/intl-trade-investment/international-trade-goods-and-services</w:t>
        </w:r>
      </w:hyperlink>
      <w:r w:rsidRPr="002D5FF3" w:rsidR="00D52B33">
        <w:t>.)</w:t>
      </w:r>
      <w:r w:rsidRPr="002D5FF3" w:rsidR="003048AB">
        <w:t xml:space="preserve">  </w:t>
      </w:r>
      <w:r w:rsidRPr="002D5FF3" w:rsidR="00024B9F">
        <w:t>The resulting real trade flows, obtained by using monthly international price indexes as deflators, enable measurement of real output and provide a more comprehensive understanding of the underlying dynamics of international trade.</w:t>
      </w:r>
    </w:p>
    <w:p w:rsidRPr="002D5FF3" w:rsidR="00024B9F" w:rsidP="00024B9F" w:rsidRDefault="00024B9F" w14:paraId="6372B262" w14:textId="77777777">
      <w:pPr>
        <w:tabs>
          <w:tab w:val="left" w:pos="480"/>
          <w:tab w:val="left" w:pos="960"/>
          <w:tab w:val="left" w:pos="2760"/>
        </w:tabs>
      </w:pPr>
    </w:p>
    <w:p w:rsidRPr="002D5FF3" w:rsidR="00024B9F" w:rsidP="00024B9F" w:rsidRDefault="00024B9F" w14:paraId="42323996" w14:textId="596DD998">
      <w:pPr>
        <w:tabs>
          <w:tab w:val="left" w:pos="480"/>
          <w:tab w:val="left" w:pos="960"/>
          <w:tab w:val="left" w:pos="2760"/>
        </w:tabs>
      </w:pPr>
      <w:r w:rsidRPr="002D5FF3">
        <w:t>The Commerce Department also uses international price indexes to adjust for inflation in the foreign trade sector of its quarterly National Income and Product Account (NIP</w:t>
      </w:r>
      <w:r w:rsidRPr="002D5FF3" w:rsidR="003048AB">
        <w:t xml:space="preserve">A).  </w:t>
      </w:r>
      <w:r w:rsidRPr="002D5FF3">
        <w:t xml:space="preserve">(Attachments </w:t>
      </w:r>
      <w:r w:rsidRPr="002D5FF3">
        <w:lastRenderedPageBreak/>
        <w:t>5 and 6 show the constant dollar tabulation of imports and exports from the U.S. Department of Commerce,</w:t>
      </w:r>
      <w:r w:rsidRPr="002D5FF3" w:rsidR="0050792B">
        <w:t xml:space="preserve"> </w:t>
      </w:r>
      <w:r w:rsidRPr="002D5FF3" w:rsidR="003E3A73">
        <w:rPr>
          <w:u w:val="single"/>
        </w:rPr>
        <w:t>Survey of Current Business</w:t>
      </w:r>
      <w:r w:rsidRPr="002D5FF3" w:rsidR="00D52B33">
        <w:t xml:space="preserve">, available online at </w:t>
      </w:r>
      <w:hyperlink w:history="1" r:id="rId17">
        <w:r w:rsidRPr="002D5FF3" w:rsidR="003E3A73">
          <w:rPr>
            <w:rStyle w:val="Hyperlink"/>
          </w:rPr>
          <w:t>https://apps.bea.gov/scb/</w:t>
        </w:r>
      </w:hyperlink>
      <w:r w:rsidRPr="002D5FF3" w:rsidR="003E3A73">
        <w:t>).</w:t>
      </w:r>
    </w:p>
    <w:p w:rsidRPr="002D5FF3" w:rsidR="00024B9F" w:rsidP="00024B9F" w:rsidRDefault="00024B9F" w14:paraId="1BD7FD1F" w14:textId="77777777">
      <w:pPr>
        <w:tabs>
          <w:tab w:val="left" w:pos="480"/>
          <w:tab w:val="left" w:pos="960"/>
          <w:tab w:val="left" w:pos="2760"/>
        </w:tabs>
      </w:pPr>
    </w:p>
    <w:p w:rsidRPr="002D5FF3" w:rsidR="00024B9F" w:rsidP="00024B9F" w:rsidRDefault="00024B9F" w14:paraId="481648A1" w14:textId="77777777">
      <w:pPr>
        <w:tabs>
          <w:tab w:val="left" w:pos="480"/>
          <w:tab w:val="left" w:pos="960"/>
          <w:tab w:val="left" w:pos="1320"/>
          <w:tab w:val="left" w:pos="1800"/>
          <w:tab w:val="left" w:pos="2760"/>
        </w:tabs>
        <w:spacing w:after="120"/>
      </w:pPr>
      <w:r w:rsidRPr="002D5FF3">
        <w:t xml:space="preserve">In addition to serving as a tool for the public sector, the Import and Export Price Indexes have a variety of other private sector uses by the media, bankers, financial analysts, academic researchers, and corporate managers.  These uses include market analysis, forecasting future price trends, estimating for contract escalation and replacement cost accounting, measuring import price and income elasticity, and estimating exchange rate pass-through values and the effect of currency fluctuations on prices by specific countries or regions. </w:t>
      </w:r>
    </w:p>
    <w:p w:rsidRPr="002D5FF3" w:rsidR="00024B9F" w:rsidP="00024B9F" w:rsidRDefault="00024B9F" w14:paraId="19ED3570" w14:textId="5FCA250C">
      <w:pPr>
        <w:tabs>
          <w:tab w:val="left" w:pos="480"/>
          <w:tab w:val="left" w:pos="960"/>
          <w:tab w:val="left" w:pos="1320"/>
          <w:tab w:val="left" w:pos="1800"/>
          <w:tab w:val="left" w:pos="2760"/>
        </w:tabs>
        <w:spacing w:after="120"/>
      </w:pPr>
      <w:r w:rsidRPr="002D5FF3">
        <w:t xml:space="preserve">The Import and Export Price Indexes can also be used in various ways to measure a country’s international competitiveness.  One method for indicating international competitiveness is </w:t>
      </w:r>
      <w:proofErr w:type="gramStart"/>
      <w:r w:rsidRPr="002D5FF3">
        <w:t>through the use of</w:t>
      </w:r>
      <w:proofErr w:type="gramEnd"/>
      <w:r w:rsidRPr="002D5FF3">
        <w:t xml:space="preserve"> terms of trade indexes.  A terms of trade index is defined as an export price index divided by the respective import price index.  Because demand for imports and exports </w:t>
      </w:r>
      <w:r w:rsidR="00F370C4">
        <w:t>is</w:t>
      </w:r>
      <w:r w:rsidRPr="002D5FF3" w:rsidR="00F370C4">
        <w:t xml:space="preserve"> </w:t>
      </w:r>
      <w:r w:rsidRPr="002D5FF3">
        <w:t xml:space="preserve">tied to import and export prices, a change in the terms of trade will lead to a change in the trade balance.  </w:t>
      </w:r>
      <w:r w:rsidRPr="002D5FF3" w:rsidR="00353EFB">
        <w:t xml:space="preserve">A second method to measure a country’s international competitiveness is to create </w:t>
      </w:r>
      <w:r w:rsidRPr="002D5FF3">
        <w:t xml:space="preserve">export price comparison indexes that compare one country’s export prices against another country’s export prices.  A third way is by expressing Import and Export Price Indexes in foreign currency terms.  Foreign currency import price indexes measure fluctuations in the revenue for foreign sellers in the U.S., and foreign currency export price indexes illustrate how U.S. export prices vary from the perspective of buyers of U.S. goods. </w:t>
      </w:r>
    </w:p>
    <w:p w:rsidRPr="002D5FF3" w:rsidR="00024B9F" w:rsidP="00024B9F" w:rsidRDefault="00024B9F" w14:paraId="3C27C136" w14:textId="77777777">
      <w:pPr>
        <w:rPr>
          <w:b/>
          <w:color w:val="000000"/>
        </w:rPr>
      </w:pPr>
    </w:p>
    <w:p w:rsidRPr="002D5FF3" w:rsidR="00CF593B" w:rsidP="002D5FF3" w:rsidRDefault="00CF593B" w14:paraId="4C8DDB98" w14:textId="437F8D87">
      <w:pPr>
        <w:pStyle w:val="ListParagraph"/>
        <w:numPr>
          <w:ilvl w:val="0"/>
          <w:numId w:val="45"/>
        </w:numPr>
        <w:rPr>
          <w:b/>
          <w:bCs/>
        </w:rPr>
      </w:pPr>
      <w:r>
        <w:rPr>
          <w:b/>
          <w:color w:val="000000"/>
        </w:rPr>
        <w:t xml:space="preserve"> </w:t>
      </w:r>
      <w:r w:rsidRPr="002D5FF3">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D5FF3" w:rsidR="009850DC" w:rsidP="00024B9F" w:rsidRDefault="009850DC" w14:paraId="615BF43B" w14:textId="77777777">
      <w:pPr>
        <w:tabs>
          <w:tab w:val="left" w:pos="1080"/>
        </w:tabs>
        <w:autoSpaceDE w:val="0"/>
        <w:autoSpaceDN w:val="0"/>
        <w:adjustRightInd w:val="0"/>
      </w:pPr>
    </w:p>
    <w:p w:rsidR="00CF22D0" w:rsidP="00CF22D0" w:rsidRDefault="00CF22D0" w14:paraId="530DF87E" w14:textId="77777777">
      <w:pPr>
        <w:autoSpaceDE w:val="0"/>
        <w:autoSpaceDN w:val="0"/>
      </w:pPr>
      <w:r w:rsidRPr="00CF22D0">
        <w:t>Prior to the onset of the coronavirus pandemic, initiation of respondents into the IPP survey was primarily conducted in person by BLS data collectors. However, because of the coronavirus pandemic, data collectors temporarily ceased all personal interviews and began conducting initiation interviews by telephone and video. IPP plans to continue the use of video collection beyond the pandemic to reduce respondent burden and data collection costs associated with travel.</w:t>
      </w:r>
      <w:r>
        <w:t xml:space="preserve">  </w:t>
      </w:r>
    </w:p>
    <w:p w:rsidR="00CF22D0" w:rsidP="00024B9F" w:rsidRDefault="00CF22D0" w14:paraId="02CAC76F" w14:textId="77777777">
      <w:pPr>
        <w:tabs>
          <w:tab w:val="left" w:pos="1080"/>
        </w:tabs>
        <w:autoSpaceDE w:val="0"/>
        <w:autoSpaceDN w:val="0"/>
        <w:adjustRightInd w:val="0"/>
      </w:pPr>
    </w:p>
    <w:p w:rsidRPr="002D5FF3" w:rsidR="00EA0AAD" w:rsidP="00024B9F" w:rsidRDefault="00CF22D0" w14:paraId="1EE06AF3" w14:textId="5EC65C75">
      <w:pPr>
        <w:tabs>
          <w:tab w:val="left" w:pos="1080"/>
        </w:tabs>
        <w:autoSpaceDE w:val="0"/>
        <w:autoSpaceDN w:val="0"/>
        <w:adjustRightInd w:val="0"/>
      </w:pPr>
      <w:r>
        <w:t>For repricing,</w:t>
      </w:r>
      <w:r w:rsidRPr="002D5FF3" w:rsidR="00024B9F">
        <w:t xml:space="preserve"> the primary interaction between the Bureau and the respondents </w:t>
      </w:r>
      <w:r w:rsidRPr="002D5FF3" w:rsidR="00F0606F">
        <w:t xml:space="preserve">was </w:t>
      </w:r>
      <w:r>
        <w:t xml:space="preserve">historically </w:t>
      </w:r>
      <w:r w:rsidRPr="002D5FF3" w:rsidR="00024B9F">
        <w:t xml:space="preserve">through the </w:t>
      </w:r>
      <w:r w:rsidRPr="002D5FF3" w:rsidR="00F02374">
        <w:t xml:space="preserve">hard copy of the </w:t>
      </w:r>
      <w:r w:rsidRPr="002D5FF3" w:rsidR="00024B9F">
        <w:t>repricing form</w:t>
      </w:r>
      <w:r w:rsidRPr="002D5FF3" w:rsidR="00054ED3">
        <w:t>; a return</w:t>
      </w:r>
      <w:r w:rsidRPr="002D5FF3" w:rsidR="00E53C52">
        <w:t xml:space="preserve"> envelo</w:t>
      </w:r>
      <w:r w:rsidRPr="002D5FF3" w:rsidR="00D15956">
        <w:t xml:space="preserve">pe was included with all </w:t>
      </w:r>
      <w:r>
        <w:t>r</w:t>
      </w:r>
      <w:r w:rsidRPr="002D5FF3" w:rsidR="00E53C52">
        <w:t xml:space="preserve">epricing forms </w:t>
      </w:r>
      <w:r w:rsidRPr="002D5FF3" w:rsidR="00D15956">
        <w:t xml:space="preserve">mailed by BLS </w:t>
      </w:r>
      <w:r w:rsidRPr="002D5FF3" w:rsidR="00E53C52">
        <w:t xml:space="preserve">and respondents returned their completed forms via mail or fax. However, effective January 2018, the IPP discontinued mail out/fax back repricing </w:t>
      </w:r>
      <w:proofErr w:type="gramStart"/>
      <w:r w:rsidRPr="002D5FF3" w:rsidR="00E53C52">
        <w:t>in order to</w:t>
      </w:r>
      <w:proofErr w:type="gramEnd"/>
      <w:r w:rsidRPr="002D5FF3" w:rsidR="00E53C52">
        <w:t xml:space="preserve"> contain program costs and </w:t>
      </w:r>
      <w:r w:rsidR="00F370C4">
        <w:t>shifted</w:t>
      </w:r>
      <w:r w:rsidRPr="002D5FF3" w:rsidR="00B02DC9">
        <w:t xml:space="preserve"> towards web repricing, the </w:t>
      </w:r>
      <w:r>
        <w:t xml:space="preserve">secure </w:t>
      </w:r>
      <w:r w:rsidRPr="002D5FF3" w:rsidR="00E53C52">
        <w:t>direct update of data online via the internet</w:t>
      </w:r>
      <w:r w:rsidRPr="002D5FF3" w:rsidR="00B02DC9">
        <w:t>. The web application was</w:t>
      </w:r>
      <w:r w:rsidRPr="002D5FF3" w:rsidR="00E53C52">
        <w:t xml:space="preserve"> introduced by IPP </w:t>
      </w:r>
      <w:r w:rsidRPr="002D5FF3" w:rsidR="00B02DC9">
        <w:t xml:space="preserve">in 2003 and </w:t>
      </w:r>
      <w:r w:rsidRPr="002D5FF3" w:rsidR="006A07E4">
        <w:t xml:space="preserve">web repricing </w:t>
      </w:r>
      <w:r>
        <w:t xml:space="preserve">quickly became the </w:t>
      </w:r>
      <w:r w:rsidRPr="002D5FF3" w:rsidR="00D15956">
        <w:t>primary m</w:t>
      </w:r>
      <w:r w:rsidRPr="002D5FF3" w:rsidR="006A07E4">
        <w:t xml:space="preserve">ethod used to collect </w:t>
      </w:r>
      <w:r w:rsidRPr="002D5FF3" w:rsidR="00D15956">
        <w:t xml:space="preserve">data from respondents. </w:t>
      </w:r>
      <w:r w:rsidRPr="002D5FF3" w:rsidR="00214AE2">
        <w:t>As of September</w:t>
      </w:r>
      <w:r w:rsidRPr="002D5FF3" w:rsidR="00B02DC9">
        <w:t xml:space="preserve"> 2021, 93 percent of IPP respondents were providing prices via the web application or had agreed to start using this method</w:t>
      </w:r>
      <w:r w:rsidR="002A7FF5">
        <w:t xml:space="preserve"> and 96 percent were reporting electronically (web or email repricing) or had agreed to start reporting electronically</w:t>
      </w:r>
      <w:r w:rsidRPr="002D5FF3" w:rsidR="00B02DC9">
        <w:t xml:space="preserve">. </w:t>
      </w:r>
      <w:r w:rsidRPr="002D5FF3" w:rsidR="00F02374">
        <w:t xml:space="preserve">(Attachments </w:t>
      </w:r>
      <w:r w:rsidRPr="002D5FF3" w:rsidR="00DD0405">
        <w:t>7A-7</w:t>
      </w:r>
      <w:r w:rsidRPr="002D5FF3" w:rsidR="00F02374">
        <w:t>E contain instructions and temporary account/password e-mails for providing prices via the web.  Attachment</w:t>
      </w:r>
      <w:r w:rsidRPr="002D5FF3" w:rsidR="00D66ED7">
        <w:t>s</w:t>
      </w:r>
      <w:r w:rsidRPr="002D5FF3" w:rsidR="00DD0405">
        <w:t xml:space="preserve"> 7E</w:t>
      </w:r>
      <w:r w:rsidRPr="002D5FF3" w:rsidR="00F02374">
        <w:t xml:space="preserve"> </w:t>
      </w:r>
      <w:r w:rsidRPr="002D5FF3" w:rsidR="00DD0405">
        <w:t>and 7</w:t>
      </w:r>
      <w:r w:rsidRPr="002D5FF3" w:rsidR="00D66ED7">
        <w:t xml:space="preserve">G are the </w:t>
      </w:r>
      <w:r w:rsidRPr="002D5FF3" w:rsidR="00F02374">
        <w:t xml:space="preserve">‘time to reprice’ e-mail </w:t>
      </w:r>
      <w:r w:rsidRPr="002D5FF3" w:rsidR="00D66ED7">
        <w:t xml:space="preserve">for </w:t>
      </w:r>
      <w:proofErr w:type="gramStart"/>
      <w:r w:rsidRPr="002D5FF3" w:rsidR="00D66ED7">
        <w:t>newly-initiated</w:t>
      </w:r>
      <w:proofErr w:type="gramEnd"/>
      <w:r w:rsidRPr="002D5FF3" w:rsidR="00D66ED7">
        <w:t xml:space="preserve"> and existing web respondents, respectively. </w:t>
      </w:r>
      <w:r w:rsidRPr="002D5FF3" w:rsidR="00D66ED7">
        <w:lastRenderedPageBreak/>
        <w:t>Attachment</w:t>
      </w:r>
      <w:r w:rsidRPr="002D5FF3" w:rsidR="00DD0405">
        <w:t>s</w:t>
      </w:r>
      <w:r w:rsidRPr="002D5FF3" w:rsidR="00D66ED7">
        <w:t xml:space="preserve"> </w:t>
      </w:r>
      <w:r w:rsidRPr="002D5FF3" w:rsidR="00DD0405">
        <w:t>7F and 7</w:t>
      </w:r>
      <w:r w:rsidRPr="002D5FF3" w:rsidR="00D66ED7">
        <w:t>H</w:t>
      </w:r>
      <w:r w:rsidRPr="002D5FF3" w:rsidR="00F02374">
        <w:t xml:space="preserve"> </w:t>
      </w:r>
      <w:r w:rsidRPr="002D5FF3" w:rsidR="00DD0405">
        <w:t>are the r</w:t>
      </w:r>
      <w:r w:rsidRPr="002D5FF3" w:rsidR="00D66ED7">
        <w:t>eminder e-mail</w:t>
      </w:r>
      <w:r w:rsidRPr="002D5FF3" w:rsidR="00DD0405">
        <w:t xml:space="preserve">s for </w:t>
      </w:r>
      <w:proofErr w:type="gramStart"/>
      <w:r w:rsidRPr="002D5FF3" w:rsidR="00DD0405">
        <w:t>newly-initiated</w:t>
      </w:r>
      <w:proofErr w:type="gramEnd"/>
      <w:r w:rsidRPr="002D5FF3" w:rsidR="00DD0405">
        <w:t xml:space="preserve"> </w:t>
      </w:r>
      <w:r w:rsidRPr="002D5FF3" w:rsidR="00F02374">
        <w:t>web respondents w</w:t>
      </w:r>
      <w:r w:rsidRPr="002D5FF3" w:rsidR="00D66ED7">
        <w:t xml:space="preserve">ho have not yet provided data and </w:t>
      </w:r>
      <w:r w:rsidRPr="002D5FF3" w:rsidR="00DD0405">
        <w:t>for existing web respondents who have not yet provided data, respectively. A</w:t>
      </w:r>
      <w:r w:rsidRPr="002D5FF3" w:rsidR="00F02374">
        <w:t xml:space="preserve">ttachments </w:t>
      </w:r>
      <w:r w:rsidRPr="002D5FF3" w:rsidR="00DD0405">
        <w:t>7</w:t>
      </w:r>
      <w:r w:rsidRPr="002D5FF3" w:rsidR="00F02374">
        <w:t xml:space="preserve">I and </w:t>
      </w:r>
      <w:r w:rsidRPr="002D5FF3" w:rsidR="00DD0405">
        <w:t>7</w:t>
      </w:r>
      <w:r w:rsidRPr="002D5FF3" w:rsidR="00F02374">
        <w:t xml:space="preserve">J show screen shots of the web application.)  </w:t>
      </w:r>
    </w:p>
    <w:p w:rsidRPr="002D5FF3" w:rsidR="00B02DC9" w:rsidP="00024B9F" w:rsidRDefault="00B02DC9" w14:paraId="31CE01BA" w14:textId="77777777">
      <w:pPr>
        <w:autoSpaceDE w:val="0"/>
        <w:autoSpaceDN w:val="0"/>
        <w:adjustRightInd w:val="0"/>
      </w:pPr>
    </w:p>
    <w:p w:rsidRPr="002D5FF3" w:rsidR="00F02374" w:rsidP="00024B9F" w:rsidRDefault="00FF30CC" w14:paraId="048A3A3D" w14:textId="1D5EC4AF">
      <w:pPr>
        <w:autoSpaceDE w:val="0"/>
        <w:autoSpaceDN w:val="0"/>
        <w:adjustRightInd w:val="0"/>
      </w:pPr>
      <w:r w:rsidRPr="002D5FF3">
        <w:rPr>
          <w:color w:val="000000"/>
        </w:rPr>
        <w:t>T</w:t>
      </w:r>
      <w:r w:rsidRPr="002D5FF3" w:rsidR="003B2DE9">
        <w:rPr>
          <w:color w:val="000000"/>
        </w:rPr>
        <w:t xml:space="preserve">he </w:t>
      </w:r>
      <w:r w:rsidRPr="002D5FF3">
        <w:rPr>
          <w:color w:val="000000"/>
        </w:rPr>
        <w:t>respondents</w:t>
      </w:r>
      <w:r w:rsidRPr="002D5FF3" w:rsidR="00024B9F">
        <w:rPr>
          <w:color w:val="000000"/>
        </w:rPr>
        <w:t xml:space="preserve"> </w:t>
      </w:r>
      <w:r w:rsidRPr="002D5FF3" w:rsidR="00E31DB4">
        <w:rPr>
          <w:color w:val="000000"/>
        </w:rPr>
        <w:t>who provide pricing information</w:t>
      </w:r>
      <w:r w:rsidRPr="002D5FF3" w:rsidR="005C469D">
        <w:rPr>
          <w:color w:val="000000"/>
        </w:rPr>
        <w:t xml:space="preserve"> using non-web options</w:t>
      </w:r>
      <w:r w:rsidRPr="002D5FF3" w:rsidR="00C8003C">
        <w:rPr>
          <w:color w:val="000000"/>
        </w:rPr>
        <w:t xml:space="preserve"> </w:t>
      </w:r>
      <w:r w:rsidRPr="002D5FF3" w:rsidR="00024B9F">
        <w:rPr>
          <w:color w:val="000000"/>
        </w:rPr>
        <w:t>provide data via non-automated phone, special arrangements between the analysts and the respondent</w:t>
      </w:r>
      <w:r w:rsidRPr="002D5FF3" w:rsidR="00424E98">
        <w:rPr>
          <w:color w:val="000000"/>
        </w:rPr>
        <w:t>s, or e-mail</w:t>
      </w:r>
      <w:r w:rsidRPr="002D5FF3" w:rsidR="00DD0405">
        <w:rPr>
          <w:color w:val="000000"/>
        </w:rPr>
        <w:t xml:space="preserve">. </w:t>
      </w:r>
      <w:r w:rsidRPr="002D5FF3" w:rsidR="00024B9F">
        <w:rPr>
          <w:color w:val="000000"/>
        </w:rPr>
        <w:t xml:space="preserve">The </w:t>
      </w:r>
      <w:r w:rsidRPr="002D5FF3" w:rsidR="006F1110">
        <w:rPr>
          <w:color w:val="000000"/>
        </w:rPr>
        <w:t xml:space="preserve">e-mail </w:t>
      </w:r>
      <w:r w:rsidRPr="002D5FF3" w:rsidR="00024B9F">
        <w:rPr>
          <w:color w:val="000000"/>
        </w:rPr>
        <w:t xml:space="preserve">option was broadened in 2008 with the introduction of an e-mail repricing application which generates the repricing form in an Excel spreadsheet as an attachment in a corresponding e-mail prompting the respondent to provide prices. </w:t>
      </w:r>
      <w:r w:rsidRPr="002D5FF3" w:rsidR="00DD0405">
        <w:rPr>
          <w:color w:val="000000"/>
        </w:rPr>
        <w:t xml:space="preserve"> (Attachment 8</w:t>
      </w:r>
      <w:r w:rsidRPr="002D5FF3" w:rsidR="009850DC">
        <w:rPr>
          <w:color w:val="000000"/>
        </w:rPr>
        <w:t>A is the ‘</w:t>
      </w:r>
      <w:r w:rsidRPr="002D5FF3" w:rsidR="00024B9F">
        <w:rPr>
          <w:color w:val="000000"/>
        </w:rPr>
        <w:t>notification to reprice</w:t>
      </w:r>
      <w:r w:rsidRPr="002D5FF3" w:rsidR="009850DC">
        <w:rPr>
          <w:color w:val="000000"/>
        </w:rPr>
        <w:t>’</w:t>
      </w:r>
      <w:r w:rsidRPr="002D5FF3" w:rsidR="00024B9F">
        <w:rPr>
          <w:color w:val="000000"/>
        </w:rPr>
        <w:t xml:space="preserve"> e-mail sent to respondents using this r</w:t>
      </w:r>
      <w:r w:rsidRPr="002D5FF3" w:rsidR="00DD0405">
        <w:rPr>
          <w:color w:val="000000"/>
        </w:rPr>
        <w:t>epricing method and Attachment 8</w:t>
      </w:r>
      <w:r w:rsidRPr="002D5FF3" w:rsidR="00024B9F">
        <w:rPr>
          <w:color w:val="000000"/>
        </w:rPr>
        <w:t>B is a sample Excel spreadsheet containing repricing data.)  Respondents using this repricing method include their price information in the Excel document and return it via e-mail.  This collection method is not offered to respondents by Field Economists during initiation</w:t>
      </w:r>
      <w:r w:rsidRPr="002D5FF3" w:rsidR="00C17C2B">
        <w:rPr>
          <w:color w:val="000000"/>
        </w:rPr>
        <w:t xml:space="preserve"> </w:t>
      </w:r>
      <w:r w:rsidRPr="002D5FF3" w:rsidR="006F1110">
        <w:rPr>
          <w:color w:val="000000"/>
        </w:rPr>
        <w:t xml:space="preserve">but </w:t>
      </w:r>
      <w:r w:rsidRPr="002D5FF3" w:rsidR="00024B9F">
        <w:rPr>
          <w:color w:val="000000"/>
        </w:rPr>
        <w:t>is used by Industry Analy</w:t>
      </w:r>
      <w:r w:rsidRPr="002D5FF3" w:rsidR="009850DC">
        <w:rPr>
          <w:color w:val="000000"/>
        </w:rPr>
        <w:t xml:space="preserve">sts at the National Office </w:t>
      </w:r>
      <w:r w:rsidRPr="002D5FF3" w:rsidR="00024B9F">
        <w:rPr>
          <w:color w:val="000000"/>
        </w:rPr>
        <w:t xml:space="preserve">as a last resort for securing respondent cooperation. </w:t>
      </w:r>
      <w:r w:rsidRPr="002D5FF3" w:rsidR="00024B9F">
        <w:t xml:space="preserve"> </w:t>
      </w:r>
      <w:r w:rsidRPr="002D5FF3" w:rsidR="00DD0405">
        <w:t>(Attachment 9</w:t>
      </w:r>
      <w:r w:rsidRPr="002D5FF3" w:rsidR="00F02374">
        <w:t xml:space="preserve"> is the phaseout letter e-mailed to all web/non-web respondents who have provided IPP with an e-mail address.)</w:t>
      </w:r>
    </w:p>
    <w:p w:rsidRPr="002D5FF3" w:rsidR="00F02374" w:rsidP="00024B9F" w:rsidRDefault="00F02374" w14:paraId="45E8EA3C" w14:textId="77777777">
      <w:pPr>
        <w:autoSpaceDE w:val="0"/>
        <w:autoSpaceDN w:val="0"/>
        <w:adjustRightInd w:val="0"/>
      </w:pPr>
    </w:p>
    <w:p w:rsidRPr="002D5FF3" w:rsidR="00024B9F" w:rsidP="00024B9F" w:rsidRDefault="00024B9F" w14:paraId="050FF167" w14:textId="48963EC1">
      <w:pPr>
        <w:autoSpaceDE w:val="0"/>
        <w:autoSpaceDN w:val="0"/>
        <w:adjustRightInd w:val="0"/>
      </w:pPr>
      <w:r w:rsidRPr="002D5FF3">
        <w:t>Over time, these various electronic data collection methods for repricing have permitted the Program to collect and publish monthly information</w:t>
      </w:r>
      <w:r w:rsidRPr="002D5FF3" w:rsidR="00791741">
        <w:t xml:space="preserve"> more rapidly</w:t>
      </w:r>
      <w:r w:rsidRPr="002D5FF3">
        <w:t xml:space="preserve">.  </w:t>
      </w:r>
    </w:p>
    <w:p w:rsidRPr="002D5FF3" w:rsidR="00024B9F" w:rsidP="00024B9F" w:rsidRDefault="00024B9F" w14:paraId="4FACA421" w14:textId="77777777">
      <w:pPr>
        <w:autoSpaceDE w:val="0"/>
        <w:autoSpaceDN w:val="0"/>
        <w:adjustRightInd w:val="0"/>
      </w:pPr>
    </w:p>
    <w:p w:rsidRPr="002D5FF3" w:rsidR="00024B9F" w:rsidP="00024B9F" w:rsidRDefault="00024B9F" w14:paraId="2D216A2B" w14:textId="77777777">
      <w:pPr>
        <w:tabs>
          <w:tab w:val="left" w:pos="480"/>
          <w:tab w:val="left" w:pos="960"/>
          <w:tab w:val="left" w:pos="1320"/>
          <w:tab w:val="left" w:pos="1800"/>
          <w:tab w:val="left" w:pos="2760"/>
        </w:tabs>
        <w:spacing w:before="120"/>
        <w:rPr>
          <w:u w:val="single"/>
        </w:rPr>
      </w:pPr>
      <w:r w:rsidRPr="002D5FF3">
        <w:rPr>
          <w:u w:val="single"/>
        </w:rPr>
        <w:t>Respondent Burden</w:t>
      </w:r>
    </w:p>
    <w:p w:rsidRPr="002D5FF3" w:rsidR="005C53C3" w:rsidP="00CD2381" w:rsidRDefault="004815E8" w14:paraId="40F93ECC" w14:textId="6EA9D6ED">
      <w:pPr>
        <w:tabs>
          <w:tab w:val="left" w:pos="480"/>
          <w:tab w:val="left" w:pos="960"/>
          <w:tab w:val="left" w:pos="1320"/>
          <w:tab w:val="left" w:pos="1800"/>
          <w:tab w:val="left" w:pos="2760"/>
        </w:tabs>
        <w:spacing w:before="120"/>
      </w:pPr>
      <w:r w:rsidRPr="002D5FF3">
        <w:t>IPP’s most notable reduction in respondent burden occurred with the introduction of web repricing in 2003</w:t>
      </w:r>
      <w:r w:rsidRPr="002D5FF3" w:rsidR="00EC1A9E">
        <w:t xml:space="preserve">, an overall less time-consuming and more efficient repricing method than </w:t>
      </w:r>
      <w:r w:rsidRPr="002D5FF3" w:rsidR="001F2310">
        <w:t xml:space="preserve">the </w:t>
      </w:r>
      <w:r w:rsidRPr="002D5FF3" w:rsidR="00EC1A9E">
        <w:t>mail out/fax back</w:t>
      </w:r>
      <w:r w:rsidRPr="002D5FF3" w:rsidR="001F2310">
        <w:t xml:space="preserve"> method</w:t>
      </w:r>
      <w:r w:rsidRPr="002D5FF3" w:rsidR="00EC1A9E">
        <w:t xml:space="preserve">. The </w:t>
      </w:r>
      <w:r w:rsidRPr="002D5FF3" w:rsidR="001F2310">
        <w:t xml:space="preserve">shift </w:t>
      </w:r>
      <w:r w:rsidRPr="002D5FF3" w:rsidR="00EC1A9E">
        <w:t xml:space="preserve">to web-based repricing </w:t>
      </w:r>
      <w:r w:rsidRPr="002D5FF3" w:rsidR="001F2310">
        <w:t xml:space="preserve">as the primary repricing method </w:t>
      </w:r>
      <w:r w:rsidRPr="002D5FF3" w:rsidR="00EC1A9E">
        <w:t xml:space="preserve">has resulted in less follow-up by the </w:t>
      </w:r>
      <w:r w:rsidRPr="002D5FF3" w:rsidR="001F2310">
        <w:t>Program</w:t>
      </w:r>
      <w:r w:rsidRPr="002D5FF3" w:rsidR="00EC1A9E">
        <w:t xml:space="preserve"> as </w:t>
      </w:r>
      <w:r w:rsidRPr="002D5FF3" w:rsidR="001F2310">
        <w:t>the web-based application</w:t>
      </w:r>
      <w:r w:rsidRPr="002D5FF3" w:rsidR="00EC1A9E">
        <w:t xml:space="preserve"> allows for verification/revisions of data previously provided to IPP, </w:t>
      </w:r>
      <w:r w:rsidRPr="002D5FF3" w:rsidR="00C272D0">
        <w:t xml:space="preserve">immediately </w:t>
      </w:r>
      <w:r w:rsidRPr="002D5FF3" w:rsidR="00EC1A9E">
        <w:t xml:space="preserve">prompts for explanations for large price changes, and provides the option to replace discontinued items with new ones. </w:t>
      </w:r>
      <w:proofErr w:type="gramStart"/>
      <w:r w:rsidRPr="002D5FF3" w:rsidR="00C272D0">
        <w:t>In order to</w:t>
      </w:r>
      <w:proofErr w:type="gramEnd"/>
      <w:r w:rsidRPr="002D5FF3" w:rsidR="00C272D0">
        <w:t xml:space="preserve"> further reduce burden, the Program has </w:t>
      </w:r>
      <w:r w:rsidRPr="002D5FF3" w:rsidR="005C53C3">
        <w:t xml:space="preserve">implemented several system changes </w:t>
      </w:r>
      <w:r w:rsidRPr="002D5FF3" w:rsidR="00C272D0">
        <w:t xml:space="preserve">to the web-based application </w:t>
      </w:r>
      <w:r w:rsidRPr="002D5FF3" w:rsidR="005C53C3">
        <w:t>over the years</w:t>
      </w:r>
      <w:r w:rsidRPr="002D5FF3" w:rsidR="00336125">
        <w:t>, including the development of an</w:t>
      </w:r>
      <w:r w:rsidRPr="002D5FF3" w:rsidR="00C272D0">
        <w:t xml:space="preserve"> </w:t>
      </w:r>
      <w:r w:rsidRPr="002D5FF3" w:rsidR="005C53C3">
        <w:t>easier login</w:t>
      </w:r>
      <w:r w:rsidRPr="002D5FF3" w:rsidR="00FC5C9D">
        <w:t xml:space="preserve">, notifications of system downtimes, and self-registration for </w:t>
      </w:r>
      <w:r w:rsidRPr="002D5FF3" w:rsidR="005C53C3">
        <w:t>respondents who have agreed to provide data to both the IPP and the PPI</w:t>
      </w:r>
      <w:r w:rsidRPr="002D5FF3" w:rsidR="00FC5C9D">
        <w:t>.  Other enhancements</w:t>
      </w:r>
      <w:r w:rsidRPr="002D5FF3" w:rsidR="005C53C3">
        <w:t xml:space="preserve"> have allowed for respondents to </w:t>
      </w:r>
      <w:r w:rsidRPr="002D5FF3" w:rsidR="00FC5C9D">
        <w:t xml:space="preserve">specify an additional e-mail address to be copied on all e-mails sent by IPP and to </w:t>
      </w:r>
      <w:r w:rsidRPr="002D5FF3" w:rsidR="005C53C3">
        <w:t xml:space="preserve">provide more info via the web application, therefore requiring </w:t>
      </w:r>
      <w:r w:rsidRPr="002D5FF3" w:rsidR="003A3A75">
        <w:t xml:space="preserve">even </w:t>
      </w:r>
      <w:r w:rsidRPr="002D5FF3" w:rsidR="005C53C3">
        <w:t>less follow-up by analysts at the National Office.</w:t>
      </w:r>
    </w:p>
    <w:p w:rsidRPr="002D5FF3" w:rsidR="00993482" w:rsidP="002D5FF3" w:rsidRDefault="00993482" w14:paraId="3A0DBED6" w14:textId="77777777"/>
    <w:p w:rsidRPr="002D5FF3" w:rsidR="00993482" w:rsidP="00993482" w:rsidRDefault="00993482" w14:paraId="6955D9FF" w14:textId="77777777">
      <w:pPr>
        <w:spacing w:after="240"/>
      </w:pPr>
      <w:r w:rsidRPr="002D5FF3">
        <w:t xml:space="preserve">More recently, IPP adopted the use of a new web survey format/layout, deployed to production in late November 2019. The new, user-friendly design is now suitable for both desktop and mobile devices.  Further, the web survey formerly used separate pages for each part of the repricing process; now, the web survey utilizes modal windows in combination with separate pages. For example, when respondents update price factors, a modal window pops up in front of the parent screen. This makes navigation more user-friendly since previously, respondents would be taken to a different page to update the price factors and then returned to the parent page. </w:t>
      </w:r>
    </w:p>
    <w:p w:rsidRPr="002D5FF3" w:rsidR="00993482" w:rsidP="00993482" w:rsidRDefault="00993482" w14:paraId="1D9900FA" w14:textId="042AB468">
      <w:pPr>
        <w:spacing w:after="240"/>
      </w:pPr>
      <w:r w:rsidRPr="002D5FF3">
        <w:t>In addition, IPP has implemented “Contact Restriction” functionality which allows the program to suspend reminder emails to respondents upon request. This feature accommodates respondents during times of difficulty (natural disaster, etc</w:t>
      </w:r>
      <w:r w:rsidRPr="002D5FF3" w:rsidR="002935B4">
        <w:t>.</w:t>
      </w:r>
      <w:r w:rsidRPr="002D5FF3">
        <w:t xml:space="preserve">) and has been especially useful managing burden during the pandemic when respondents may be overwhelmed or not trading certain products. The </w:t>
      </w:r>
      <w:r w:rsidRPr="002D5FF3">
        <w:lastRenderedPageBreak/>
        <w:t>program also proactively monitors certain situations (hurricanes, wildfires etc</w:t>
      </w:r>
      <w:r w:rsidRPr="002D5FF3" w:rsidR="002935B4">
        <w:t>.</w:t>
      </w:r>
      <w:r w:rsidRPr="002D5FF3">
        <w:t>) by state to determine if contact restriction may be proactively called for.</w:t>
      </w:r>
    </w:p>
    <w:p w:rsidRPr="002D5FF3" w:rsidR="00993482" w:rsidP="00993482" w:rsidRDefault="00993482" w14:paraId="11C73B88" w14:textId="77777777">
      <w:r w:rsidRPr="002D5FF3">
        <w:t xml:space="preserve">Further, to accommodate those respondents who do not wish to login to the web survey, the program is actively developing a secure method for respondents to upload files without using a login and password. </w:t>
      </w:r>
    </w:p>
    <w:p w:rsidRPr="002D5FF3" w:rsidR="007E4B76" w:rsidP="00047E7C" w:rsidRDefault="007E4B76" w14:paraId="65575170" w14:textId="77777777"/>
    <w:p w:rsidRPr="002D5FF3" w:rsidR="00993482" w:rsidP="00047E7C" w:rsidRDefault="00993482" w14:paraId="26DD0D5B" w14:textId="6DD250AD">
      <w:r w:rsidRPr="002D5FF3">
        <w:t>In 2019, the IPP hired a part-time contractor devoted exclusively to assisting respondents in signing up for the Web Repricing tool, resolving undeliverable respondent email notifications, and contacting delinquent respondents to improve response.</w:t>
      </w:r>
    </w:p>
    <w:p w:rsidRPr="002D5FF3" w:rsidR="00993482" w:rsidP="00047E7C" w:rsidRDefault="00993482" w14:paraId="09561C0D" w14:textId="77777777"/>
    <w:p w:rsidRPr="002D5FF3" w:rsidR="007E4B76" w:rsidP="00047E7C" w:rsidRDefault="007E4B76" w14:paraId="61DC342A" w14:textId="3D795C10">
      <w:pPr>
        <w:rPr>
          <w:color w:val="1F497D"/>
        </w:rPr>
      </w:pPr>
      <w:r w:rsidRPr="002D5FF3">
        <w:t xml:space="preserve">Lastly and most notably, the Program has been conducting research into whether administrative trade data can be used in place of directly collected price data for more homogenous product areas. The calculation of indexes using transaction trade data presents the challenge of unit value bias, the measurement of price trends reflecting changes in product mix within a unit instead of price changes for the products in that unit. However, IPP has applied new methods to mitigate this bias and identify homogenous product areas where unit value bias is less of a concern. As part of this effort, IPP published research export unit value price indexes calculated using Census’ trade data and will soon begin researching the use of administrative trade data on the import side. Should IPP’s research efforts result in the replacement of directly collected (import or export) data with trade data collected by other government agencies, the Program would </w:t>
      </w:r>
      <w:r w:rsidRPr="002D5FF3" w:rsidR="007A2988">
        <w:t xml:space="preserve">achieve </w:t>
      </w:r>
      <w:r w:rsidRPr="002D5FF3">
        <w:t>a milestone in burden reduction. More details are available on the MXP Research page (https://www.bls.gov/mxp/data/research.htm).</w:t>
      </w:r>
    </w:p>
    <w:p w:rsidRPr="002D5FF3" w:rsidR="003E3B57" w:rsidP="00A96982" w:rsidRDefault="003E3B57" w14:paraId="6AD66C5D" w14:textId="77777777">
      <w:pPr>
        <w:rPr>
          <w:color w:val="000000"/>
        </w:rPr>
      </w:pPr>
    </w:p>
    <w:p w:rsidRPr="002D5FF3" w:rsidR="00024B9F" w:rsidP="002D5FF3" w:rsidRDefault="00CF593B" w14:paraId="35DAD33B" w14:textId="5FC563AA">
      <w:pPr>
        <w:pStyle w:val="ListParagraph"/>
        <w:numPr>
          <w:ilvl w:val="0"/>
          <w:numId w:val="45"/>
        </w:numPr>
        <w:rPr>
          <w:b/>
          <w:color w:val="000000"/>
        </w:rPr>
      </w:pPr>
      <w:r w:rsidRPr="002D5FF3">
        <w:rPr>
          <w:b/>
          <w:bCs/>
        </w:rPr>
        <w:t>Describe efforts to identify duplication.  Show specifically why any similar information already available cannot be used or modified for use for the purposes described in Item A.2 above.</w:t>
      </w:r>
    </w:p>
    <w:p w:rsidRPr="002D5FF3" w:rsidR="00024B9F" w:rsidP="00024B9F" w:rsidRDefault="00024B9F" w14:paraId="26E63EA6" w14:textId="0A6D8756">
      <w:pPr>
        <w:tabs>
          <w:tab w:val="left" w:pos="480"/>
          <w:tab w:val="left" w:pos="960"/>
          <w:tab w:val="left" w:pos="1320"/>
          <w:tab w:val="left" w:pos="1800"/>
          <w:tab w:val="left" w:pos="2760"/>
        </w:tabs>
        <w:spacing w:before="120"/>
      </w:pPr>
      <w:r w:rsidRPr="002D5FF3">
        <w:t xml:space="preserve">The U.S. </w:t>
      </w:r>
      <w:r w:rsidRPr="002D5FF3" w:rsidR="00194494">
        <w:t xml:space="preserve">Census Bureau </w:t>
      </w:r>
      <w:r w:rsidRPr="002D5FF3">
        <w:t xml:space="preserve">collects data on the value of all U.S. </w:t>
      </w:r>
      <w:r w:rsidRPr="002D5FF3" w:rsidR="00194494">
        <w:t xml:space="preserve">imported and </w:t>
      </w:r>
      <w:r w:rsidRPr="002D5FF3">
        <w:t xml:space="preserve">exported goods.  Until 1989, the Department of Commerce used these data to construct unit value indexes.  These indexes have been shown to be inadequate and were discontinued in October 1989.  Since then, the IPP Indexes are the sole comprehensive price indexes for imports and exports.  </w:t>
      </w:r>
    </w:p>
    <w:p w:rsidRPr="002D5FF3" w:rsidR="00024B9F" w:rsidP="00024B9F" w:rsidRDefault="00713784" w14:paraId="69FE3354" w14:textId="78B1026C">
      <w:pPr>
        <w:tabs>
          <w:tab w:val="left" w:pos="480"/>
          <w:tab w:val="left" w:pos="960"/>
          <w:tab w:val="left" w:pos="1320"/>
          <w:tab w:val="left" w:pos="1800"/>
          <w:tab w:val="left" w:pos="2760"/>
        </w:tabs>
        <w:spacing w:before="120"/>
      </w:pPr>
      <w:proofErr w:type="gramStart"/>
      <w:r w:rsidRPr="002D5FF3">
        <w:t>I</w:t>
      </w:r>
      <w:r w:rsidRPr="002D5FF3" w:rsidR="00024B9F">
        <w:t>n order to</w:t>
      </w:r>
      <w:proofErr w:type="gramEnd"/>
      <w:r w:rsidRPr="002D5FF3" w:rsidR="00024B9F">
        <w:t xml:space="preserve"> reduce costs and duplication, the Program use</w:t>
      </w:r>
      <w:r w:rsidRPr="002D5FF3" w:rsidR="002A5A2A">
        <w:t>s</w:t>
      </w:r>
      <w:r w:rsidRPr="002D5FF3" w:rsidR="00024B9F">
        <w:t xml:space="preserve"> secondary source data</w:t>
      </w:r>
      <w:r w:rsidRPr="002D5FF3" w:rsidR="002A5A2A">
        <w:t>.  F</w:t>
      </w:r>
      <w:r w:rsidRPr="002D5FF3" w:rsidR="00024B9F">
        <w:t>or example, the IPP survey does incorporate Department of Agriculture, Department of Energy, and certain other published market data in selected areas of goods and services.</w:t>
      </w:r>
      <w:r w:rsidRPr="002D5FF3">
        <w:t xml:space="preserve"> Generally, similar data which exist in the field of international prices cannot be used in lieu of the data collected by the IPP survey because the only "similar" data (trade journal prices and the former Department of Commerce unit value indexes) are the same </w:t>
      </w:r>
      <w:r w:rsidRPr="002D5FF3" w:rsidR="00654F3D">
        <w:t xml:space="preserve">ones </w:t>
      </w:r>
      <w:r w:rsidRPr="002D5FF3">
        <w:t xml:space="preserve">whose deficiencies prompted the creation of the IPP survey.  </w:t>
      </w:r>
    </w:p>
    <w:p w:rsidRPr="002D5FF3" w:rsidR="005628AF" w:rsidP="00024B9F" w:rsidRDefault="005628AF" w14:paraId="5FAB6DC9" w14:textId="77777777">
      <w:pPr>
        <w:rPr>
          <w:b/>
          <w:color w:val="000000"/>
        </w:rPr>
      </w:pPr>
    </w:p>
    <w:p w:rsidRPr="002D5FF3" w:rsidR="00CF593B" w:rsidP="00CF593B" w:rsidRDefault="00CF593B" w14:paraId="0FD5CF4D" w14:textId="5A8B8944">
      <w:pPr>
        <w:pStyle w:val="ListParagraph"/>
        <w:numPr>
          <w:ilvl w:val="0"/>
          <w:numId w:val="45"/>
        </w:numPr>
        <w:rPr>
          <w:b/>
          <w:color w:val="000000"/>
        </w:rPr>
      </w:pPr>
      <w:r w:rsidRPr="002D5FF3">
        <w:rPr>
          <w:b/>
          <w:bCs/>
        </w:rPr>
        <w:t>If the collection of information impacts small businesses or other small entities, describe any methods used to minimize burden.</w:t>
      </w:r>
    </w:p>
    <w:p w:rsidRPr="002D5FF3" w:rsidR="00024B9F" w:rsidRDefault="00CF593B" w14:paraId="1665B3CF" w14:textId="287D71AF">
      <w:pPr>
        <w:rPr>
          <w:b/>
          <w:color w:val="000000"/>
        </w:rPr>
      </w:pPr>
      <w:r>
        <w:br/>
      </w:r>
      <w:r w:rsidRPr="002D5FF3" w:rsidR="00024B9F">
        <w:t>The sampling procedures used by the IPP tend to select firms that are high</w:t>
      </w:r>
      <w:r w:rsidRPr="002D5FF3" w:rsidR="00024B9F">
        <w:noBreakHyphen/>
        <w:t>volume, regular traders in a product or service area.  This technique minimizes the chances of small organizations being selected to report data for more than one or two items.</w:t>
      </w:r>
    </w:p>
    <w:p w:rsidRPr="002D5FF3" w:rsidR="00024B9F" w:rsidP="00024B9F" w:rsidRDefault="00024B9F" w14:paraId="56AFD242" w14:textId="77777777">
      <w:pPr>
        <w:rPr>
          <w:b/>
          <w:color w:val="000000"/>
        </w:rPr>
      </w:pPr>
    </w:p>
    <w:p w:rsidRPr="002D5FF3" w:rsidR="00024B9F" w:rsidP="002D5FF3" w:rsidRDefault="00CF593B" w14:paraId="5D9E5997" w14:textId="032DB58F">
      <w:pPr>
        <w:pStyle w:val="ListParagraph"/>
        <w:numPr>
          <w:ilvl w:val="0"/>
          <w:numId w:val="45"/>
        </w:numPr>
        <w:rPr>
          <w:b/>
          <w:color w:val="000000"/>
        </w:rPr>
      </w:pPr>
      <w:r w:rsidRPr="002D5FF3">
        <w:rPr>
          <w:b/>
          <w:bCs/>
        </w:rPr>
        <w:lastRenderedPageBreak/>
        <w:t>Describe the consequence to federal program or policy activities if the collection is not conducted or is conducted less frequently, as well as any technical or legal obstacles to reducing burden.</w:t>
      </w:r>
      <w:r>
        <w:rPr>
          <w:b/>
          <w:color w:val="000000"/>
        </w:rPr>
        <w:br/>
      </w:r>
    </w:p>
    <w:p w:rsidRPr="002D5FF3" w:rsidR="00024B9F" w:rsidP="00024B9F" w:rsidRDefault="00024B9F" w14:paraId="1EDFD444" w14:textId="402740AB">
      <w:pPr>
        <w:rPr>
          <w:color w:val="000000"/>
        </w:rPr>
      </w:pPr>
      <w:r w:rsidRPr="002D5FF3">
        <w:t>The International Price Program indexes are closely followed statistics which are viewed as a sensitive indicator of the economic environment.  Federal policy</w:t>
      </w:r>
      <w:r w:rsidRPr="002D5FF3">
        <w:noBreakHyphen/>
        <w:t xml:space="preserve">makers in the Department of Treasury, the Council of Economic Advisors, the Bureau of the Census, the Bureau of Economic Analysis, and the Federal Reserve Board utilize these statistics to form and evaluate monetary and fiscal policy and the general business environment.  These agencies use the monthly </w:t>
      </w:r>
      <w:r w:rsidRPr="002D5FF3" w:rsidR="002A5A2A">
        <w:t xml:space="preserve">index information </w:t>
      </w:r>
      <w:r w:rsidRPr="002D5FF3">
        <w:t xml:space="preserve">to deflate trade statistics to produce real, as opposed to the nominal, trade flows.  These real figures help to improve the agencies' formulation and evaluation of monetary and fiscal policy and the general business environment.  Failure to provide current data would tend to </w:t>
      </w:r>
      <w:r w:rsidRPr="002D5FF3" w:rsidR="00654F3D">
        <w:t xml:space="preserve">delay </w:t>
      </w:r>
      <w:r w:rsidRPr="002D5FF3">
        <w:t>recognition and adaptation time to economic events.</w:t>
      </w:r>
    </w:p>
    <w:p w:rsidRPr="002D5FF3" w:rsidR="001C0DCC" w:rsidP="00024B9F" w:rsidRDefault="001C0DCC" w14:paraId="1BB47673" w14:textId="77777777">
      <w:pPr>
        <w:rPr>
          <w:b/>
          <w:color w:val="000000"/>
        </w:rPr>
      </w:pPr>
    </w:p>
    <w:p w:rsidRPr="00D53DEB" w:rsidR="00CF593B" w:rsidP="002D5FF3" w:rsidRDefault="00CF593B" w14:paraId="79F5BA59" w14:textId="0B9AE0C8">
      <w:pPr>
        <w:pStyle w:val="ListParagraph"/>
        <w:numPr>
          <w:ilvl w:val="0"/>
          <w:numId w:val="45"/>
        </w:numPr>
      </w:pPr>
      <w:r w:rsidRPr="002D5FF3">
        <w:rPr>
          <w:b/>
          <w:bCs/>
        </w:rPr>
        <w:t>Explain any special circumstances that would cause an information collection to be conducted in a manner:</w:t>
      </w:r>
    </w:p>
    <w:p w:rsidRPr="00B65823" w:rsidR="00CF593B" w:rsidP="00CF593B" w:rsidRDefault="00CF593B" w14:paraId="62FADD25" w14:textId="77777777">
      <w:pPr>
        <w:rPr>
          <w:b/>
        </w:rPr>
      </w:pPr>
    </w:p>
    <w:p w:rsidRPr="003E1039" w:rsidR="00CF593B" w:rsidP="00CF593B" w:rsidRDefault="00CF593B" w14:paraId="4D02B52C" w14:textId="77777777">
      <w:pPr>
        <w:numPr>
          <w:ilvl w:val="0"/>
          <w:numId w:val="46"/>
        </w:numPr>
        <w:tabs>
          <w:tab w:val="clear" w:pos="1080"/>
        </w:tabs>
        <w:autoSpaceDE w:val="0"/>
        <w:autoSpaceDN w:val="0"/>
        <w:adjustRightInd w:val="0"/>
        <w:spacing w:after="120"/>
        <w:rPr>
          <w:b/>
          <w:bCs/>
        </w:rPr>
      </w:pPr>
      <w:r w:rsidRPr="003E1039">
        <w:rPr>
          <w:b/>
          <w:bCs/>
        </w:rPr>
        <w:t xml:space="preserve">requiring respondents to report information to the agency more often than </w:t>
      </w:r>
      <w:proofErr w:type="gramStart"/>
      <w:r w:rsidRPr="003E1039">
        <w:rPr>
          <w:b/>
          <w:bCs/>
        </w:rPr>
        <w:t>quarterly;</w:t>
      </w:r>
      <w:proofErr w:type="gramEnd"/>
    </w:p>
    <w:p w:rsidRPr="003E1039" w:rsidR="00CF593B" w:rsidP="00CF593B" w:rsidRDefault="00CF593B" w14:paraId="7BED45ED" w14:textId="77777777">
      <w:pPr>
        <w:numPr>
          <w:ilvl w:val="0"/>
          <w:numId w:val="46"/>
        </w:numPr>
        <w:tabs>
          <w:tab w:val="clear" w:pos="1080"/>
        </w:tabs>
        <w:autoSpaceDE w:val="0"/>
        <w:autoSpaceDN w:val="0"/>
        <w:adjustRightInd w:val="0"/>
        <w:spacing w:after="120"/>
        <w:rPr>
          <w:b/>
          <w:bCs/>
        </w:rPr>
      </w:pPr>
      <w:r w:rsidRPr="003E1039">
        <w:rPr>
          <w:b/>
          <w:bCs/>
        </w:rPr>
        <w:t xml:space="preserve">requiring respondents to prepare a written response to a collection of information in fewer than 30 days after receipt of </w:t>
      </w:r>
      <w:proofErr w:type="gramStart"/>
      <w:r w:rsidRPr="003E1039">
        <w:rPr>
          <w:b/>
          <w:bCs/>
        </w:rPr>
        <w:t>it;</w:t>
      </w:r>
      <w:proofErr w:type="gramEnd"/>
    </w:p>
    <w:p w:rsidRPr="003E1039" w:rsidR="00CF593B" w:rsidP="00CF593B" w:rsidRDefault="00CF593B" w14:paraId="58A09958" w14:textId="77777777">
      <w:pPr>
        <w:numPr>
          <w:ilvl w:val="0"/>
          <w:numId w:val="46"/>
        </w:numPr>
        <w:tabs>
          <w:tab w:val="clear" w:pos="1080"/>
        </w:tabs>
        <w:autoSpaceDE w:val="0"/>
        <w:autoSpaceDN w:val="0"/>
        <w:adjustRightInd w:val="0"/>
        <w:spacing w:after="120"/>
        <w:rPr>
          <w:b/>
          <w:bCs/>
        </w:rPr>
      </w:pPr>
      <w:r w:rsidRPr="003E1039">
        <w:rPr>
          <w:b/>
          <w:bCs/>
        </w:rPr>
        <w:t xml:space="preserve">requiring respondents to submit more than an original and two copies of any </w:t>
      </w:r>
      <w:proofErr w:type="gramStart"/>
      <w:r w:rsidRPr="003E1039">
        <w:rPr>
          <w:b/>
          <w:bCs/>
        </w:rPr>
        <w:t>document;</w:t>
      </w:r>
      <w:proofErr w:type="gramEnd"/>
    </w:p>
    <w:p w:rsidRPr="003E1039" w:rsidR="00CF593B" w:rsidP="00CF593B" w:rsidRDefault="00CF593B" w14:paraId="2427B5BD" w14:textId="77777777">
      <w:pPr>
        <w:numPr>
          <w:ilvl w:val="0"/>
          <w:numId w:val="46"/>
        </w:numPr>
        <w:tabs>
          <w:tab w:val="clear" w:pos="1080"/>
        </w:tabs>
        <w:autoSpaceDE w:val="0"/>
        <w:autoSpaceDN w:val="0"/>
        <w:adjustRightInd w:val="0"/>
        <w:spacing w:after="120"/>
        <w:rPr>
          <w:b/>
          <w:bCs/>
        </w:rPr>
      </w:pPr>
      <w:r w:rsidRPr="003E1039">
        <w:rPr>
          <w:b/>
          <w:bCs/>
        </w:rPr>
        <w:t xml:space="preserve">requiring respondents to retain records, other than health, medical, government contract, grant-in-aid, or tax records for more than three </w:t>
      </w:r>
      <w:proofErr w:type="gramStart"/>
      <w:r w:rsidRPr="003E1039">
        <w:rPr>
          <w:b/>
          <w:bCs/>
        </w:rPr>
        <w:t>years;</w:t>
      </w:r>
      <w:proofErr w:type="gramEnd"/>
    </w:p>
    <w:p w:rsidRPr="003E1039" w:rsidR="00CF593B" w:rsidP="00CF593B" w:rsidRDefault="00CF593B" w14:paraId="2273D54D" w14:textId="77777777">
      <w:pPr>
        <w:numPr>
          <w:ilvl w:val="0"/>
          <w:numId w:val="46"/>
        </w:numPr>
        <w:tabs>
          <w:tab w:val="clear" w:pos="1080"/>
        </w:tabs>
        <w:autoSpaceDE w:val="0"/>
        <w:autoSpaceDN w:val="0"/>
        <w:adjustRightInd w:val="0"/>
        <w:spacing w:after="120"/>
        <w:rPr>
          <w:b/>
          <w:bCs/>
        </w:rPr>
      </w:pPr>
      <w:r w:rsidRPr="003E1039">
        <w:rPr>
          <w:b/>
          <w:bCs/>
        </w:rPr>
        <w:t xml:space="preserve">in connection with a statistical survey, that is not designed to produce valid and reliable results that can be generalized to the universe of </w:t>
      </w:r>
      <w:proofErr w:type="gramStart"/>
      <w:r w:rsidRPr="003E1039">
        <w:rPr>
          <w:b/>
          <w:bCs/>
        </w:rPr>
        <w:t>study;</w:t>
      </w:r>
      <w:proofErr w:type="gramEnd"/>
    </w:p>
    <w:p w:rsidRPr="003E1039" w:rsidR="00CF593B" w:rsidP="00CF593B" w:rsidRDefault="00CF593B" w14:paraId="50CAA2F2" w14:textId="77777777">
      <w:pPr>
        <w:numPr>
          <w:ilvl w:val="0"/>
          <w:numId w:val="46"/>
        </w:numPr>
        <w:tabs>
          <w:tab w:val="clear" w:pos="1080"/>
        </w:tabs>
        <w:autoSpaceDE w:val="0"/>
        <w:autoSpaceDN w:val="0"/>
        <w:adjustRightInd w:val="0"/>
        <w:spacing w:after="120"/>
        <w:rPr>
          <w:b/>
          <w:bCs/>
        </w:rPr>
      </w:pPr>
      <w:r w:rsidRPr="003E1039">
        <w:rPr>
          <w:b/>
          <w:bCs/>
        </w:rPr>
        <w:t xml:space="preserve">requiring the use of statistical data classification that has not been reviewed and approved by </w:t>
      </w:r>
      <w:proofErr w:type="gramStart"/>
      <w:r w:rsidRPr="003E1039">
        <w:rPr>
          <w:b/>
          <w:bCs/>
        </w:rPr>
        <w:t>OMB;</w:t>
      </w:r>
      <w:proofErr w:type="gramEnd"/>
    </w:p>
    <w:p w:rsidR="00CF593B" w:rsidP="00CF593B" w:rsidRDefault="00CF593B" w14:paraId="08D9EBB1" w14:textId="29ED23D9">
      <w:pPr>
        <w:numPr>
          <w:ilvl w:val="0"/>
          <w:numId w:val="46"/>
        </w:numPr>
        <w:tabs>
          <w:tab w:val="clear" w:pos="1080"/>
        </w:tabs>
        <w:autoSpaceDE w:val="0"/>
        <w:autoSpaceDN w:val="0"/>
        <w:adjustRightInd w:val="0"/>
        <w:spacing w:after="12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D5FF3" w:rsidR="00024B9F" w:rsidP="002D5FF3" w:rsidRDefault="00CF593B" w14:paraId="7530CE86" w14:textId="4FAE041E">
      <w:pPr>
        <w:numPr>
          <w:ilvl w:val="0"/>
          <w:numId w:val="46"/>
        </w:numPr>
        <w:tabs>
          <w:tab w:val="clear" w:pos="1080"/>
        </w:tabs>
        <w:autoSpaceDE w:val="0"/>
        <w:autoSpaceDN w:val="0"/>
        <w:adjustRightInd w:val="0"/>
        <w:spacing w:after="120"/>
        <w:rPr>
          <w:b/>
          <w:bCs/>
        </w:rPr>
      </w:pPr>
      <w:r w:rsidRPr="00CF593B">
        <w:rPr>
          <w:b/>
          <w:bCs/>
        </w:rPr>
        <w:t>requiring respondents to submit proprietary trade secret, or other confidential information unless the agency can demonstrate that it has instituted procedures to protect the information's confidentially to the extent permitted by law.</w:t>
      </w:r>
      <w:r w:rsidRPr="002D5FF3" w:rsidR="00024B9F">
        <w:rPr>
          <w:b/>
          <w:color w:val="000000"/>
        </w:rPr>
        <w:tab/>
      </w:r>
    </w:p>
    <w:p w:rsidRPr="002D5FF3" w:rsidR="00024B9F" w:rsidP="00024B9F" w:rsidRDefault="00024B9F" w14:paraId="6C6FE616" w14:textId="77777777">
      <w:pPr>
        <w:tabs>
          <w:tab w:val="left" w:pos="480"/>
          <w:tab w:val="left" w:pos="960"/>
          <w:tab w:val="left" w:pos="1320"/>
          <w:tab w:val="left" w:pos="1800"/>
          <w:tab w:val="left" w:pos="2760"/>
        </w:tabs>
        <w:rPr>
          <w:b/>
          <w:color w:val="000000"/>
        </w:rPr>
      </w:pPr>
    </w:p>
    <w:p w:rsidRPr="002D5FF3" w:rsidR="00024B9F" w:rsidP="00024B9F" w:rsidRDefault="00024B9F" w14:paraId="1BDABA21" w14:textId="77777777">
      <w:pPr>
        <w:tabs>
          <w:tab w:val="left" w:pos="480"/>
          <w:tab w:val="left" w:pos="960"/>
          <w:tab w:val="left" w:pos="1320"/>
          <w:tab w:val="left" w:pos="1800"/>
          <w:tab w:val="left" w:pos="2760"/>
        </w:tabs>
      </w:pPr>
      <w:r w:rsidRPr="002D5FF3">
        <w:t xml:space="preserve">All IPP data for goods and services are collected and published </w:t>
      </w:r>
      <w:proofErr w:type="gramStart"/>
      <w:r w:rsidRPr="002D5FF3">
        <w:t>on a monthly basis</w:t>
      </w:r>
      <w:proofErr w:type="gramEnd"/>
      <w:r w:rsidRPr="002D5FF3">
        <w:t>.  This monthly collection and publication of price data enables the Department of Commerce to produce monthly merchandise trade flow figures adjusted for inflation.</w:t>
      </w:r>
    </w:p>
    <w:p w:rsidRPr="002D5FF3" w:rsidR="00024B9F" w:rsidP="00024B9F" w:rsidRDefault="00024B9F" w14:paraId="31233943" w14:textId="7C8A93FF">
      <w:pPr>
        <w:tabs>
          <w:tab w:val="left" w:pos="480"/>
          <w:tab w:val="left" w:pos="960"/>
          <w:tab w:val="left" w:pos="1320"/>
          <w:tab w:val="left" w:pos="1800"/>
          <w:tab w:val="left" w:pos="2760"/>
        </w:tabs>
        <w:spacing w:before="120"/>
      </w:pPr>
      <w:proofErr w:type="gramStart"/>
      <w:r w:rsidRPr="002D5FF3">
        <w:t>In order to</w:t>
      </w:r>
      <w:proofErr w:type="gramEnd"/>
      <w:r w:rsidRPr="002D5FF3">
        <w:t xml:space="preserve"> meet our publication deadlines, the IPP requests that its respondents </w:t>
      </w:r>
      <w:r w:rsidRPr="002D5FF3" w:rsidR="00150094">
        <w:t xml:space="preserve">provide </w:t>
      </w:r>
      <w:r w:rsidRPr="002D5FF3">
        <w:t xml:space="preserve">the monthly price information within a week </w:t>
      </w:r>
      <w:r w:rsidRPr="002D5FF3" w:rsidR="00150094">
        <w:t>of the original request</w:t>
      </w:r>
      <w:r w:rsidRPr="002D5FF3">
        <w:t xml:space="preserve">.  Currently, the IPP Press </w:t>
      </w:r>
      <w:r w:rsidRPr="002D5FF3">
        <w:lastRenderedPageBreak/>
        <w:t xml:space="preserve">Release is </w:t>
      </w:r>
      <w:r w:rsidRPr="002D5FF3" w:rsidR="00C12EF9">
        <w:t xml:space="preserve">published </w:t>
      </w:r>
      <w:r w:rsidRPr="002D5FF3">
        <w:t xml:space="preserve">during the second </w:t>
      </w:r>
      <w:r w:rsidRPr="002D5FF3" w:rsidR="00C30FB2">
        <w:t xml:space="preserve">or third </w:t>
      </w:r>
      <w:r w:rsidRPr="002D5FF3">
        <w:t>week of the month following the reference period.</w:t>
      </w:r>
    </w:p>
    <w:p w:rsidRPr="002D5FF3" w:rsidR="00024B9F" w:rsidP="00024B9F" w:rsidRDefault="00024B9F" w14:paraId="2F589ECD" w14:textId="77777777">
      <w:pPr>
        <w:tabs>
          <w:tab w:val="left" w:pos="480"/>
          <w:tab w:val="left" w:pos="960"/>
          <w:tab w:val="left" w:pos="1320"/>
          <w:tab w:val="left" w:pos="1800"/>
          <w:tab w:val="left" w:pos="2760"/>
        </w:tabs>
        <w:spacing w:before="120"/>
      </w:pPr>
      <w:r w:rsidRPr="002D5FF3">
        <w:t>The International Price Program does not request duplicates of any document.</w:t>
      </w:r>
    </w:p>
    <w:p w:rsidRPr="002D5FF3" w:rsidR="00024B9F" w:rsidP="00024B9F" w:rsidRDefault="00024B9F" w14:paraId="75D0E1AE" w14:textId="77777777">
      <w:pPr>
        <w:tabs>
          <w:tab w:val="left" w:pos="480"/>
          <w:tab w:val="left" w:pos="960"/>
          <w:tab w:val="left" w:pos="1320"/>
          <w:tab w:val="left" w:pos="1800"/>
          <w:tab w:val="left" w:pos="2760"/>
        </w:tabs>
        <w:spacing w:before="120"/>
      </w:pPr>
      <w:r w:rsidRPr="002D5FF3">
        <w:t>The IPP does not require respondents to retain records of any kind, for a period of any duration.</w:t>
      </w:r>
    </w:p>
    <w:p w:rsidRPr="002D5FF3" w:rsidR="00024B9F" w:rsidP="00024B9F" w:rsidRDefault="00024B9F" w14:paraId="696ECDCA" w14:textId="77777777">
      <w:pPr>
        <w:tabs>
          <w:tab w:val="left" w:pos="480"/>
          <w:tab w:val="left" w:pos="960"/>
          <w:tab w:val="left" w:pos="1320"/>
          <w:tab w:val="left" w:pos="1800"/>
          <w:tab w:val="left" w:pos="2760"/>
        </w:tabs>
        <w:spacing w:before="120"/>
      </w:pPr>
      <w:r w:rsidRPr="002D5FF3">
        <w:t>The IPP is designed to produce valid and reliable results that can be generalized to the universe of study.</w:t>
      </w:r>
    </w:p>
    <w:p w:rsidRPr="002D5FF3" w:rsidR="00024B9F" w:rsidP="00024B9F" w:rsidRDefault="00024B9F" w14:paraId="5AD9A8B4" w14:textId="77777777">
      <w:pPr>
        <w:tabs>
          <w:tab w:val="left" w:pos="480"/>
          <w:tab w:val="left" w:pos="960"/>
          <w:tab w:val="left" w:pos="1320"/>
          <w:tab w:val="left" w:pos="1800"/>
          <w:tab w:val="left" w:pos="2760"/>
        </w:tabs>
        <w:spacing w:before="120"/>
      </w:pPr>
      <w:r w:rsidRPr="002D5FF3">
        <w:t xml:space="preserve">The IPP indexes are based on established classification systems.  </w:t>
      </w:r>
    </w:p>
    <w:p w:rsidRPr="002D5FF3" w:rsidR="00024B9F" w:rsidP="00024B9F" w:rsidRDefault="00024B9F" w14:paraId="6B29F7ED" w14:textId="77777777">
      <w:pPr>
        <w:tabs>
          <w:tab w:val="left" w:pos="480"/>
          <w:tab w:val="left" w:pos="960"/>
          <w:tab w:val="left" w:pos="1320"/>
          <w:tab w:val="left" w:pos="1800"/>
          <w:tab w:val="left" w:pos="2760"/>
        </w:tabs>
        <w:spacing w:before="120"/>
      </w:pPr>
      <w:r w:rsidRPr="002D5FF3">
        <w:t>The IPP collects confidential price data.  These data are for internal BLS use only, to construct price indexes.</w:t>
      </w:r>
    </w:p>
    <w:p w:rsidRPr="002D5FF3" w:rsidR="00C739EB" w:rsidP="00024B9F" w:rsidRDefault="00C739EB" w14:paraId="3332B6B1" w14:textId="77777777">
      <w:pPr>
        <w:rPr>
          <w:b/>
          <w:color w:val="000000"/>
        </w:rPr>
      </w:pPr>
    </w:p>
    <w:p w:rsidRPr="002D5FF3" w:rsidR="005A039F" w:rsidP="009579CA" w:rsidRDefault="00722542" w14:paraId="3663607D" w14:textId="22B8D8F9">
      <w:pPr>
        <w:pStyle w:val="ListParagraph"/>
        <w:numPr>
          <w:ilvl w:val="0"/>
          <w:numId w:val="45"/>
        </w:numPr>
        <w:tabs>
          <w:tab w:val="left" w:pos="480"/>
          <w:tab w:val="left" w:pos="1170"/>
          <w:tab w:val="left" w:pos="1800"/>
          <w:tab w:val="left" w:pos="2760"/>
        </w:tabs>
        <w:spacing w:after="120"/>
      </w:pPr>
      <w:r w:rsidRPr="00ED2132">
        <w:rPr>
          <w:b/>
          <w:bCs/>
        </w:rPr>
        <w:t xml:space="preserve">If applicable, provide a copy and identify the date and page number of </w:t>
      </w:r>
      <w:proofErr w:type="gramStart"/>
      <w:r w:rsidRPr="00ED2132">
        <w:rPr>
          <w:b/>
          <w:bCs/>
        </w:rPr>
        <w:t>publication</w:t>
      </w:r>
      <w:proofErr w:type="gramEnd"/>
      <w:r w:rsidRPr="00ED2132">
        <w:rPr>
          <w:b/>
          <w:bCs/>
        </w:rPr>
        <w:t xml:space="preserve"> in the </w:t>
      </w:r>
      <w:r w:rsidRPr="00ED2132">
        <w:rPr>
          <w:rStyle w:val="Heading2Char"/>
          <w:rFonts w:ascii="Times New Roman" w:hAnsi="Times New Roman" w:cs="Times New Roman"/>
          <w:sz w:val="24"/>
          <w:szCs w:val="24"/>
        </w:rPr>
        <w:t>Federal Register</w:t>
      </w:r>
      <w:r w:rsidRPr="00ED2132">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A039F" w:rsidP="00E84489" w:rsidRDefault="005A039F" w14:paraId="312E9093" w14:textId="183903FC">
      <w:pPr>
        <w:tabs>
          <w:tab w:val="left" w:pos="480"/>
          <w:tab w:val="left" w:pos="1170"/>
          <w:tab w:val="left" w:pos="1800"/>
          <w:tab w:val="left" w:pos="2760"/>
        </w:tabs>
        <w:spacing w:after="120"/>
      </w:pPr>
      <w:r>
        <w:t>One</w:t>
      </w:r>
      <w:r w:rsidRPr="002D5FF3">
        <w:t xml:space="preserve"> comment w</w:t>
      </w:r>
      <w:r>
        <w:t>as</w:t>
      </w:r>
      <w:r w:rsidRPr="002D5FF3">
        <w:t xml:space="preserve"> received </w:t>
      </w:r>
      <w:proofErr w:type="gramStart"/>
      <w:r w:rsidRPr="002D5FF3">
        <w:t>as a result of</w:t>
      </w:r>
      <w:proofErr w:type="gramEnd"/>
      <w:r w:rsidRPr="002D5FF3">
        <w:t xml:space="preserve"> the Federal Register Notice published in </w:t>
      </w:r>
      <w:r>
        <w:t>86 FR 60293</w:t>
      </w:r>
      <w:r w:rsidRPr="002D5FF3">
        <w:t xml:space="preserve"> on November </w:t>
      </w:r>
      <w:r>
        <w:t>1</w:t>
      </w:r>
      <w:r w:rsidRPr="002D5FF3">
        <w:t>, 2021.</w:t>
      </w:r>
    </w:p>
    <w:p w:rsidR="005A039F" w:rsidP="00ED2132" w:rsidRDefault="005A039F" w14:paraId="4F2C12E5" w14:textId="77777777">
      <w:pPr>
        <w:tabs>
          <w:tab w:val="left" w:pos="480"/>
          <w:tab w:val="left" w:pos="1170"/>
          <w:tab w:val="left" w:pos="1800"/>
          <w:tab w:val="left" w:pos="2760"/>
        </w:tabs>
        <w:spacing w:after="120"/>
      </w:pPr>
      <w:r w:rsidRPr="00E84489">
        <w:t>The Bureau of Economic Analysis (BEA) commented that it supports the continuation of the International Price Program since it is the only data source for several key components of BEA’s economic statistics.  BEA uses information from the IPP indexes in preparing “real” estimates of most components of exports and imports of goods, imports of equipment and software, and imports in inventories in the national income and product accounts.  The indexes available for services are used to prepare estimates of real exports and imports of services while the end-use import price indexes are used to prepare annual estimates of real gross domestic product by industry.  BEA requested that they be kept informed of any changes which would substantially affect their use of IPP’s data.</w:t>
      </w:r>
    </w:p>
    <w:p w:rsidRPr="002D5FF3" w:rsidR="00024B9F" w:rsidP="00ED2132" w:rsidRDefault="00024B9F" w14:paraId="395CB389" w14:textId="36579EFE">
      <w:pPr>
        <w:tabs>
          <w:tab w:val="left" w:pos="480"/>
          <w:tab w:val="left" w:pos="1170"/>
          <w:tab w:val="left" w:pos="1800"/>
          <w:tab w:val="left" w:pos="2760"/>
        </w:tabs>
        <w:spacing w:after="120"/>
      </w:pPr>
      <w:r w:rsidRPr="002D5FF3">
        <w:t>The IPP survey reflects inputs that have been provided by a wide range of organizations and individuals over the years.  The original recommendations for the IPP survey grew out of the 1961 report sponsored by the Joint Economic Committee of the Congress.  This information has been updated and maint</w:t>
      </w:r>
      <w:r w:rsidRPr="002D5FF3" w:rsidR="004107C8">
        <w:t>ained via regular contact with federal statistical users</w:t>
      </w:r>
      <w:r w:rsidRPr="002D5FF3" w:rsidR="00D60892">
        <w:t>’</w:t>
      </w:r>
      <w:r w:rsidRPr="002D5FF3" w:rsidR="004107C8">
        <w:t xml:space="preserve"> c</w:t>
      </w:r>
      <w:r w:rsidRPr="002D5FF3">
        <w:t>onferences, numerous international conferences, and ong</w:t>
      </w:r>
      <w:r w:rsidRPr="002D5FF3" w:rsidR="004107C8">
        <w:t>oing meetings with the various federal a</w:t>
      </w:r>
      <w:r w:rsidRPr="002D5FF3">
        <w:t xml:space="preserve">gencies which use the IPP data for analysis.  Users include offices of the Departments of Labor, Commerce, Treasury, and Energy, as well as the Congressional Budget Office and the Federal Reserve Board.  </w:t>
      </w:r>
    </w:p>
    <w:p w:rsidRPr="002D5FF3" w:rsidR="00024B9F" w:rsidP="00024B9F" w:rsidRDefault="00024B9F" w14:paraId="346056B4" w14:textId="5E299DD9">
      <w:pPr>
        <w:tabs>
          <w:tab w:val="left" w:pos="480"/>
          <w:tab w:val="left" w:pos="605"/>
          <w:tab w:val="left" w:pos="1530"/>
          <w:tab w:val="left" w:pos="1800"/>
          <w:tab w:val="left" w:pos="2760"/>
        </w:tabs>
        <w:spacing w:after="120"/>
        <w:rPr>
          <w:b/>
        </w:rPr>
      </w:pPr>
      <w:r w:rsidRPr="002D5FF3">
        <w:t xml:space="preserve">Since the Program involves a continuing rotation of industries and sampling units, contacts are conducted in person with trade groups and </w:t>
      </w:r>
      <w:proofErr w:type="gramStart"/>
      <w:r w:rsidRPr="002D5FF3">
        <w:t>a number of</w:t>
      </w:r>
      <w:proofErr w:type="gramEnd"/>
      <w:r w:rsidRPr="002D5FF3">
        <w:t xml:space="preserve"> individual businessmen.  </w:t>
      </w:r>
      <w:r w:rsidRPr="002D5FF3" w:rsidR="00654F3D">
        <w:t>T</w:t>
      </w:r>
      <w:r w:rsidRPr="002D5FF3">
        <w:t xml:space="preserve">he IPP survey is voluntary </w:t>
      </w:r>
      <w:r w:rsidRPr="002D5FF3" w:rsidR="00654F3D">
        <w:t xml:space="preserve">and may be susceptible to nonresponse.  It therefore </w:t>
      </w:r>
      <w:r w:rsidRPr="002D5FF3">
        <w:t>requires that the ideas on survey design, survey operations and data presentation offered by these sources be studied carefully and instituted when possible.</w:t>
      </w:r>
      <w:r w:rsidRPr="002D5FF3">
        <w:rPr>
          <w:b/>
        </w:rPr>
        <w:tab/>
      </w:r>
    </w:p>
    <w:p w:rsidRPr="002D5FF3" w:rsidR="00024B9F" w:rsidP="002D5FF3" w:rsidRDefault="00722542" w14:paraId="4768FF7D" w14:textId="3195BEC7">
      <w:pPr>
        <w:pStyle w:val="ListParagraph"/>
        <w:numPr>
          <w:ilvl w:val="0"/>
          <w:numId w:val="45"/>
        </w:numPr>
        <w:rPr>
          <w:b/>
          <w:color w:val="000000"/>
        </w:rPr>
      </w:pPr>
      <w:r w:rsidRPr="002D5FF3">
        <w:rPr>
          <w:b/>
          <w:bCs/>
        </w:rPr>
        <w:t>Explain any decision to provide any payments or gifts to respondents, other than remuneration of contractors or grantees.</w:t>
      </w:r>
    </w:p>
    <w:p w:rsidRPr="002D5FF3" w:rsidR="00024B9F" w:rsidP="00024B9F" w:rsidRDefault="00024B9F" w14:paraId="221E4656" w14:textId="77777777">
      <w:pPr>
        <w:rPr>
          <w:color w:val="000000"/>
        </w:rPr>
      </w:pPr>
    </w:p>
    <w:p w:rsidRPr="002D5FF3" w:rsidR="00024B9F" w:rsidP="00024B9F" w:rsidRDefault="00024B9F" w14:paraId="7E7D289B" w14:textId="77777777">
      <w:pPr>
        <w:rPr>
          <w:color w:val="000000"/>
        </w:rPr>
      </w:pPr>
      <w:r w:rsidRPr="002D5FF3">
        <w:rPr>
          <w:color w:val="000000"/>
        </w:rPr>
        <w:t>The IPP does not provide any payment or gift to its respondents.</w:t>
      </w:r>
    </w:p>
    <w:p w:rsidRPr="002D5FF3" w:rsidR="00024B9F" w:rsidP="00024B9F" w:rsidRDefault="00024B9F" w14:paraId="228BBA92" w14:textId="77777777">
      <w:pPr>
        <w:rPr>
          <w:color w:val="000000"/>
        </w:rPr>
      </w:pPr>
    </w:p>
    <w:p w:rsidRPr="002D5FF3" w:rsidR="00024B9F" w:rsidP="002D5FF3" w:rsidRDefault="00722542" w14:paraId="65813B0B" w14:textId="0BC1E1BC">
      <w:pPr>
        <w:pStyle w:val="ListParagraph"/>
        <w:numPr>
          <w:ilvl w:val="0"/>
          <w:numId w:val="45"/>
        </w:numPr>
        <w:rPr>
          <w:b/>
          <w:color w:val="000000"/>
        </w:rPr>
      </w:pPr>
      <w:r w:rsidRPr="002D5FF3">
        <w:rPr>
          <w:b/>
          <w:bCs/>
        </w:rPr>
        <w:t>Describe any assurance of confidentiality provided to respondents and the basis for the assurance in statute, regulation, or agency policy.</w:t>
      </w:r>
    </w:p>
    <w:p w:rsidRPr="002D5FF3" w:rsidR="00024B9F" w:rsidP="00024B9F" w:rsidRDefault="00024B9F" w14:paraId="29C30431" w14:textId="77777777">
      <w:pPr>
        <w:tabs>
          <w:tab w:val="left" w:pos="1170"/>
        </w:tabs>
        <w:rPr>
          <w:color w:val="000000"/>
        </w:rPr>
      </w:pPr>
    </w:p>
    <w:p w:rsidRPr="002D5FF3" w:rsidR="00024B9F" w:rsidP="00024B9F" w:rsidRDefault="00024B9F" w14:paraId="3984948F" w14:textId="499C10C5">
      <w:r w:rsidRPr="002D5FF3">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2D5FF3" w:rsidR="00024B9F" w:rsidP="00024B9F" w:rsidRDefault="00024B9F" w14:paraId="2E43F3BD" w14:textId="77777777">
      <w:r w:rsidRPr="002D5FF3">
        <w:t> </w:t>
      </w:r>
    </w:p>
    <w:p w:rsidRPr="002D5FF3" w:rsidR="00024B9F" w:rsidP="00024B9F" w:rsidRDefault="00024B9F" w14:paraId="7FEA5F91" w14:textId="77777777">
      <w:r w:rsidRPr="002D5FF3">
        <w:t>Based on this law, the BLS provides respondents with the following confidentiality pledge/informed consent statement:</w:t>
      </w:r>
    </w:p>
    <w:p w:rsidRPr="002D5FF3" w:rsidR="00024B9F" w:rsidP="00024B9F" w:rsidRDefault="00024B9F" w14:paraId="5D612992" w14:textId="77777777">
      <w:r w:rsidRPr="002D5FF3">
        <w:t> </w:t>
      </w:r>
    </w:p>
    <w:p w:rsidRPr="002D5FF3" w:rsidR="003E1501" w:rsidP="003E1501" w:rsidRDefault="00024B9F" w14:paraId="5BCD2A82" w14:textId="54570B94">
      <w:pPr>
        <w:pStyle w:val="Default"/>
        <w:rPr>
          <w:i/>
        </w:rPr>
      </w:pPr>
      <w:r w:rsidRPr="002D5FF3">
        <w:rPr>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2D5FF3" w:rsidR="0047147D">
        <w:rPr>
          <w:i/>
          <w:iCs/>
        </w:rPr>
        <w:t>44 U.S.C. 3572)</w:t>
      </w:r>
      <w:r w:rsidRPr="002D5FF3">
        <w:rPr>
          <w:i/>
          <w:iCs/>
        </w:rPr>
        <w:t xml:space="preserve"> and other applicable Federal laws, your responses will not be disclosed in identifiable form without your informed consent.</w:t>
      </w:r>
      <w:r w:rsidRPr="002D5FF3" w:rsidR="003E1501">
        <w:rPr>
          <w:i/>
          <w:iCs/>
        </w:rPr>
        <w:t xml:space="preserve">  </w:t>
      </w:r>
      <w:r w:rsidRPr="002D5FF3" w:rsidR="003E1501">
        <w:rPr>
          <w:i/>
        </w:rPr>
        <w:t>Per the Federal Cybersecurity Enhancement Act of 2015, Federal information systems are protected from malicious activities through cybersecurity screening of transmitted data.</w:t>
      </w:r>
    </w:p>
    <w:p w:rsidRPr="002D5FF3" w:rsidR="00024B9F" w:rsidP="00024B9F" w:rsidRDefault="00024B9F" w14:paraId="4532272A" w14:textId="77777777">
      <w:r w:rsidRPr="002D5FF3">
        <w:t> </w:t>
      </w:r>
    </w:p>
    <w:p w:rsidRPr="002D5FF3" w:rsidR="00024B9F" w:rsidP="00024B9F" w:rsidRDefault="00024B9F" w14:paraId="30155232" w14:textId="77777777">
      <w:r w:rsidRPr="002D5FF3">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2D5FF3" w:rsidR="00024B9F" w:rsidP="00024B9F" w:rsidRDefault="00024B9F" w14:paraId="3CFF1D22" w14:textId="77777777"/>
    <w:p w:rsidRPr="002D5FF3" w:rsidR="00024B9F" w:rsidP="002D5FF3" w:rsidRDefault="00722542" w14:paraId="7A1F19C3" w14:textId="438DC559">
      <w:pPr>
        <w:pStyle w:val="ListParagraph"/>
        <w:numPr>
          <w:ilvl w:val="0"/>
          <w:numId w:val="45"/>
        </w:numPr>
        <w:rPr>
          <w:b/>
          <w:color w:val="000000"/>
        </w:rPr>
      </w:pPr>
      <w:r w:rsidRPr="002D5FF3">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D5FF3" w:rsidR="00024B9F" w:rsidP="00024B9F" w:rsidRDefault="001E5031" w14:paraId="162C5071" w14:textId="337B8654">
      <w:pPr>
        <w:tabs>
          <w:tab w:val="left" w:pos="360"/>
          <w:tab w:val="left" w:pos="480"/>
          <w:tab w:val="left" w:pos="960"/>
          <w:tab w:val="left" w:pos="1320"/>
          <w:tab w:val="left" w:pos="1800"/>
          <w:tab w:val="left" w:pos="2760"/>
        </w:tabs>
        <w:spacing w:before="240" w:line="240" w:lineRule="exact"/>
      </w:pPr>
      <w:r w:rsidRPr="002D5FF3">
        <w:t xml:space="preserve">As part of the disaggregation process (conducted during initiation), Field Economists request </w:t>
      </w:r>
      <w:r w:rsidRPr="002D5FF3" w:rsidR="00024B9F">
        <w:t xml:space="preserve">company trade data </w:t>
      </w:r>
      <w:r w:rsidRPr="002D5FF3">
        <w:t>(</w:t>
      </w:r>
      <w:r w:rsidRPr="002D5FF3" w:rsidR="00024B9F">
        <w:t>required to assign measures of size for disaggregation</w:t>
      </w:r>
      <w:r w:rsidRPr="002D5FF3">
        <w:t xml:space="preserve">) which some respondents consider sensitive information.  </w:t>
      </w:r>
      <w:r w:rsidRPr="002D5FF3" w:rsidR="00D00293">
        <w:t xml:space="preserve">To alleviate </w:t>
      </w:r>
      <w:r w:rsidRPr="002D5FF3">
        <w:t>their</w:t>
      </w:r>
      <w:r w:rsidRPr="002D5FF3" w:rsidR="00D00293">
        <w:t xml:space="preserve"> concerns, Field Economists explain that the purpose of the </w:t>
      </w:r>
      <w:r w:rsidRPr="002D5FF3" w:rsidR="00024B9F">
        <w:t>disaggregation process is to identify a single (or very few) specific goods or services for pricing</w:t>
      </w:r>
      <w:r w:rsidRPr="002D5FF3">
        <w:t xml:space="preserve"> and inform them of </w:t>
      </w:r>
      <w:r w:rsidRPr="002D5FF3" w:rsidR="00D00293">
        <w:t xml:space="preserve">BLS’ </w:t>
      </w:r>
      <w:r w:rsidRPr="002D5FF3" w:rsidR="00B32529">
        <w:t>policies</w:t>
      </w:r>
      <w:r w:rsidRPr="002D5FF3" w:rsidR="00D00293">
        <w:t xml:space="preserve"> concerning confidentiality.  In IPP’s experience, </w:t>
      </w:r>
      <w:r w:rsidRPr="002D5FF3" w:rsidR="00AC2654">
        <w:t>the BLS policies</w:t>
      </w:r>
      <w:r w:rsidRPr="002D5FF3" w:rsidR="00D00293">
        <w:t xml:space="preserve"> and discussions with the Field Economists alleviate any serious concerns.</w:t>
      </w:r>
      <w:r w:rsidRPr="002D5FF3" w:rsidR="00024B9F">
        <w:t xml:space="preserve"> </w:t>
      </w:r>
    </w:p>
    <w:p w:rsidRPr="002D5FF3" w:rsidR="00024B9F" w:rsidP="00024B9F" w:rsidRDefault="00024B9F" w14:paraId="3D16C99B" w14:textId="77777777">
      <w:pPr>
        <w:tabs>
          <w:tab w:val="left" w:pos="360"/>
          <w:tab w:val="left" w:pos="480"/>
          <w:tab w:val="left" w:pos="960"/>
          <w:tab w:val="left" w:pos="1320"/>
          <w:tab w:val="left" w:pos="1800"/>
          <w:tab w:val="left" w:pos="2760"/>
        </w:tabs>
        <w:spacing w:line="240" w:lineRule="exact"/>
      </w:pPr>
    </w:p>
    <w:p w:rsidRPr="002D5FF3" w:rsidR="00024B9F" w:rsidP="00024B9F" w:rsidRDefault="00B32529" w14:paraId="2E410EE2" w14:textId="5C8C371B">
      <w:pPr>
        <w:tabs>
          <w:tab w:val="left" w:pos="360"/>
          <w:tab w:val="left" w:pos="480"/>
          <w:tab w:val="left" w:pos="960"/>
          <w:tab w:val="left" w:pos="1320"/>
          <w:tab w:val="left" w:pos="1800"/>
          <w:tab w:val="left" w:pos="2760"/>
        </w:tabs>
        <w:spacing w:line="240" w:lineRule="exact"/>
      </w:pPr>
      <w:r w:rsidRPr="002D5FF3">
        <w:t xml:space="preserve">Additionally, price information and whether prices are representative of intracompany transfers (both requested during initiation and on </w:t>
      </w:r>
      <w:r w:rsidRPr="002D5FF3" w:rsidR="00D62BA1">
        <w:t xml:space="preserve">the Repricing </w:t>
      </w:r>
      <w:r w:rsidRPr="002D5FF3">
        <w:t xml:space="preserve">form) are also considered sensitive information by some respondents.  Again, Field Economists (during initiation) and Industry Analysts (during repricing) inform them of BLS’ policies on confidentiality to alleviate any concerns.   (Note </w:t>
      </w:r>
      <w:r w:rsidRPr="002D5FF3" w:rsidR="00306014">
        <w:t xml:space="preserve">also </w:t>
      </w:r>
      <w:r w:rsidRPr="002D5FF3">
        <w:t xml:space="preserve">that </w:t>
      </w:r>
      <w:r w:rsidRPr="002D5FF3" w:rsidR="00E41AA5">
        <w:t xml:space="preserve">the </w:t>
      </w:r>
      <w:r w:rsidRPr="002D5FF3" w:rsidR="00306014">
        <w:t xml:space="preserve">IPP conducted a study which found no significant difference in the </w:t>
      </w:r>
      <w:r w:rsidRPr="002D5FF3" w:rsidR="00306014">
        <w:lastRenderedPageBreak/>
        <w:t>trends for non-</w:t>
      </w:r>
      <w:proofErr w:type="gramStart"/>
      <w:r w:rsidRPr="002D5FF3" w:rsidR="00306014">
        <w:t>market based</w:t>
      </w:r>
      <w:proofErr w:type="gramEnd"/>
      <w:r w:rsidRPr="002D5FF3" w:rsidR="00306014">
        <w:t xml:space="preserve"> transfer prices and those at arm’s length.  This conclusion prompted </w:t>
      </w:r>
      <w:r w:rsidRPr="002D5FF3" w:rsidR="00E41AA5">
        <w:t xml:space="preserve">the </w:t>
      </w:r>
      <w:r w:rsidRPr="002D5FF3" w:rsidR="00306014">
        <w:t xml:space="preserve">IPP to begin including all transfer prices in index calculation beginning with the February 1998 indexes.)  </w:t>
      </w:r>
    </w:p>
    <w:p w:rsidRPr="002D5FF3" w:rsidR="00024B9F" w:rsidP="00024B9F" w:rsidRDefault="00024B9F" w14:paraId="10E4CA33" w14:textId="77777777">
      <w:pPr>
        <w:rPr>
          <w:b/>
          <w:color w:val="000000"/>
        </w:rPr>
      </w:pPr>
    </w:p>
    <w:p w:rsidRPr="002D5FF3" w:rsidR="00722542" w:rsidP="002D5FF3" w:rsidRDefault="00722542" w14:paraId="49BE80F0" w14:textId="30D8CD89">
      <w:pPr>
        <w:pStyle w:val="ListParagraph"/>
        <w:numPr>
          <w:ilvl w:val="0"/>
          <w:numId w:val="45"/>
        </w:numPr>
        <w:rPr>
          <w:b/>
          <w:bCs/>
        </w:rPr>
      </w:pPr>
      <w:r w:rsidRPr="002D5FF3">
        <w:rPr>
          <w:b/>
          <w:bCs/>
        </w:rPr>
        <w:t>Provide estimates of the hour burden of the collection of information.  The statement should:</w:t>
      </w:r>
    </w:p>
    <w:p w:rsidRPr="00D53DEB" w:rsidR="00722542" w:rsidP="00722542" w:rsidRDefault="00722542" w14:paraId="2C6545F0" w14:textId="77777777">
      <w:pPr>
        <w:rPr>
          <w:b/>
          <w:bCs/>
        </w:rPr>
      </w:pPr>
    </w:p>
    <w:p w:rsidRPr="003A5F9D" w:rsidR="00722542" w:rsidP="00722542" w:rsidRDefault="00722542" w14:paraId="4438DE5B" w14:textId="77777777">
      <w:pPr>
        <w:numPr>
          <w:ilvl w:val="0"/>
          <w:numId w:val="46"/>
        </w:numPr>
        <w:tabs>
          <w:tab w:val="clear" w:pos="1080"/>
        </w:tabs>
        <w:autoSpaceDE w:val="0"/>
        <w:autoSpaceDN w:val="0"/>
        <w:adjustRightInd w:val="0"/>
        <w:spacing w:after="120"/>
        <w:rPr>
          <w:b/>
          <w:bCs/>
        </w:rPr>
      </w:pPr>
      <w:r w:rsidRPr="00B65823">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65823" w:rsidR="00722542" w:rsidP="00722542" w:rsidRDefault="00722542" w14:paraId="54B71E8D" w14:textId="77777777">
      <w:pPr>
        <w:numPr>
          <w:ilvl w:val="0"/>
          <w:numId w:val="46"/>
        </w:numPr>
        <w:tabs>
          <w:tab w:val="clear" w:pos="1080"/>
        </w:tabs>
        <w:autoSpaceDE w:val="0"/>
        <w:autoSpaceDN w:val="0"/>
        <w:adjustRightInd w:val="0"/>
        <w:spacing w:after="120"/>
      </w:pPr>
      <w:r w:rsidRPr="00B65823">
        <w:rPr>
          <w:b/>
          <w:bCs/>
        </w:rPr>
        <w:t>If this request for approval covers more than one form, provide separate hour burden estimates for each form</w:t>
      </w:r>
    </w:p>
    <w:p w:rsidR="00722542" w:rsidP="00722542" w:rsidRDefault="00722542" w14:paraId="101BEABB" w14:textId="188CBAC4">
      <w:pPr>
        <w:numPr>
          <w:ilvl w:val="0"/>
          <w:numId w:val="46"/>
        </w:numPr>
        <w:tabs>
          <w:tab w:val="clear" w:pos="1080"/>
        </w:tabs>
        <w:autoSpaceDE w:val="0"/>
        <w:autoSpaceDN w:val="0"/>
        <w:adjustRightInd w:val="0"/>
        <w:rPr>
          <w:b/>
          <w:bCs/>
        </w:rPr>
      </w:pPr>
      <w:r w:rsidRPr="00B65823">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22542" w:rsidP="00722542" w:rsidRDefault="00722542" w14:paraId="69E5AAE5" w14:textId="2ADA0E26">
      <w:pPr>
        <w:autoSpaceDE w:val="0"/>
        <w:autoSpaceDN w:val="0"/>
        <w:adjustRightInd w:val="0"/>
        <w:ind w:left="1080"/>
        <w:rPr>
          <w:b/>
          <w:bCs/>
        </w:rPr>
      </w:pPr>
    </w:p>
    <w:p w:rsidRPr="00B65823" w:rsidR="00722542" w:rsidP="002D5FF3" w:rsidRDefault="00722542" w14:paraId="0A5DA46B" w14:textId="77777777">
      <w:pPr>
        <w:autoSpaceDE w:val="0"/>
        <w:autoSpaceDN w:val="0"/>
        <w:adjustRightInd w:val="0"/>
        <w:ind w:left="1080"/>
        <w:rPr>
          <w:b/>
          <w:bCs/>
        </w:rPr>
      </w:pPr>
    </w:p>
    <w:p w:rsidRPr="002D5FF3" w:rsidR="00B65333" w:rsidP="00024B9F" w:rsidRDefault="00024B9F" w14:paraId="7FA27783" w14:textId="77777777">
      <w:pPr>
        <w:tabs>
          <w:tab w:val="left" w:pos="360"/>
          <w:tab w:val="left" w:pos="480"/>
          <w:tab w:val="left" w:pos="960"/>
          <w:tab w:val="left" w:pos="1320"/>
          <w:tab w:val="left" w:pos="1800"/>
          <w:tab w:val="left" w:pos="2760"/>
        </w:tabs>
        <w:spacing w:before="120"/>
      </w:pPr>
      <w:r w:rsidRPr="002D5FF3">
        <w:t>Average person</w:t>
      </w:r>
      <w:r w:rsidRPr="002D5FF3">
        <w:noBreakHyphen/>
        <w:t xml:space="preserve">hours per response is estimated separately for initiation and for repricing. </w:t>
      </w:r>
    </w:p>
    <w:p w:rsidRPr="002D5FF3" w:rsidR="002149AF" w:rsidP="00024B9F" w:rsidRDefault="00B65333" w14:paraId="1EC0D1A9" w14:textId="4765F958">
      <w:pPr>
        <w:tabs>
          <w:tab w:val="left" w:pos="360"/>
          <w:tab w:val="left" w:pos="480"/>
          <w:tab w:val="left" w:pos="960"/>
          <w:tab w:val="left" w:pos="1320"/>
          <w:tab w:val="left" w:pos="1800"/>
          <w:tab w:val="left" w:pos="2760"/>
        </w:tabs>
        <w:spacing w:before="120"/>
      </w:pPr>
      <w:r w:rsidRPr="002D5FF3">
        <w:t xml:space="preserve">Prior to initiation, the Field mails an intro letter to </w:t>
      </w:r>
      <w:r w:rsidRPr="002D5FF3" w:rsidR="006820AA">
        <w:t>the</w:t>
      </w:r>
      <w:r w:rsidRPr="002D5FF3" w:rsidR="00CA7AE7">
        <w:t xml:space="preserve"> companies</w:t>
      </w:r>
      <w:r w:rsidRPr="002D5FF3">
        <w:t xml:space="preserve"> sampled for inclusion in the Import and Export Price Indexes survey; the letter explains the importance of participating in the survey and includes BLS’ confi</w:t>
      </w:r>
      <w:r w:rsidRPr="002D5FF3" w:rsidR="00DD0405">
        <w:t>dentiality pledge (Attachment 10</w:t>
      </w:r>
      <w:r w:rsidRPr="002D5FF3">
        <w:t>).</w:t>
      </w:r>
      <w:r w:rsidRPr="002D5FF3" w:rsidR="006820AA">
        <w:t xml:space="preserve"> (Note that there may be special circumstances when an intro letter is not sent, such as when a cooperative current reporter immediately agrees to participate.)</w:t>
      </w:r>
    </w:p>
    <w:p w:rsidRPr="002D5FF3" w:rsidR="00E248CA" w:rsidP="00024B9F" w:rsidRDefault="00024B9F" w14:paraId="3CD015B5" w14:textId="0652A02E">
      <w:pPr>
        <w:tabs>
          <w:tab w:val="left" w:pos="360"/>
          <w:tab w:val="left" w:pos="480"/>
          <w:tab w:val="left" w:pos="960"/>
          <w:tab w:val="left" w:pos="1320"/>
          <w:tab w:val="left" w:pos="1800"/>
          <w:tab w:val="left" w:pos="2760"/>
        </w:tabs>
        <w:spacing w:before="120"/>
      </w:pPr>
      <w:r w:rsidRPr="002D5FF3">
        <w:t xml:space="preserve">For initiation, which requires an interview with a </w:t>
      </w:r>
      <w:r w:rsidRPr="002D5FF3" w:rsidR="00AC2654">
        <w:t>Field Economist</w:t>
      </w:r>
      <w:r w:rsidRPr="002D5FF3" w:rsidR="007E5BCC">
        <w:t xml:space="preserve">, </w:t>
      </w:r>
      <w:r w:rsidRPr="002D5FF3">
        <w:t xml:space="preserve">information is entered directly into a laptop </w:t>
      </w:r>
      <w:r w:rsidRPr="002D5FF3" w:rsidR="009D0619">
        <w:t>computer; A</w:t>
      </w:r>
      <w:r w:rsidRPr="002D5FF3">
        <w:t>ttachment 1</w:t>
      </w:r>
      <w:r w:rsidRPr="002D5FF3" w:rsidR="00DD0405">
        <w:t>1</w:t>
      </w:r>
      <w:r w:rsidRPr="002D5FF3" w:rsidR="007E5BCC">
        <w:t xml:space="preserve"> </w:t>
      </w:r>
      <w:r w:rsidRPr="002D5FF3">
        <w:t>contains screen</w:t>
      </w:r>
      <w:r w:rsidRPr="002D5FF3" w:rsidR="00973E1F">
        <w:t xml:space="preserve"> </w:t>
      </w:r>
      <w:r w:rsidRPr="002D5FF3" w:rsidR="009D0619">
        <w:t xml:space="preserve">shots from this application.  </w:t>
      </w:r>
      <w:r w:rsidRPr="002D5FF3" w:rsidR="00DD0405">
        <w:t xml:space="preserve">The disaggregation worksheet </w:t>
      </w:r>
      <w:r w:rsidRPr="002D5FF3">
        <w:t>(</w:t>
      </w:r>
      <w:r w:rsidRPr="002D5FF3" w:rsidR="00DD0405">
        <w:t xml:space="preserve">form 3008, </w:t>
      </w:r>
      <w:r w:rsidRPr="002D5FF3">
        <w:t>Attachment 1</w:t>
      </w:r>
      <w:r w:rsidRPr="002D5FF3" w:rsidR="00DD0405">
        <w:t>2</w:t>
      </w:r>
      <w:r w:rsidRPr="002D5FF3">
        <w:t xml:space="preserve">), </w:t>
      </w:r>
      <w:r w:rsidRPr="002D5FF3" w:rsidR="00DD0405">
        <w:t xml:space="preserve">the B form </w:t>
      </w:r>
      <w:r w:rsidRPr="002D5FF3">
        <w:t>(</w:t>
      </w:r>
      <w:r w:rsidRPr="002D5FF3" w:rsidR="00DD0405">
        <w:t xml:space="preserve">form 230, </w:t>
      </w:r>
      <w:r w:rsidRPr="002D5FF3">
        <w:t>Attachment 1</w:t>
      </w:r>
      <w:r w:rsidRPr="002D5FF3" w:rsidR="00DD0405">
        <w:t>3</w:t>
      </w:r>
      <w:r w:rsidRPr="002D5FF3">
        <w:t xml:space="preserve">), and checklists </w:t>
      </w:r>
      <w:r w:rsidRPr="002D5FF3" w:rsidR="002C6375">
        <w:t>(</w:t>
      </w:r>
      <w:r w:rsidRPr="002D5FF3" w:rsidR="00DD0405">
        <w:t xml:space="preserve">form 231, </w:t>
      </w:r>
      <w:r w:rsidRPr="002D5FF3" w:rsidR="002C6375">
        <w:t>Attachm</w:t>
      </w:r>
      <w:r w:rsidRPr="002D5FF3" w:rsidR="00E94C3E">
        <w:t>ents 1</w:t>
      </w:r>
      <w:r w:rsidRPr="002D5FF3" w:rsidR="00DD0405">
        <w:t>5</w:t>
      </w:r>
      <w:r w:rsidRPr="002D5FF3" w:rsidR="00E94C3E">
        <w:t xml:space="preserve"> &amp; 1</w:t>
      </w:r>
      <w:r w:rsidRPr="002D5FF3" w:rsidR="00DD0405">
        <w:t>6</w:t>
      </w:r>
      <w:r w:rsidRPr="002D5FF3" w:rsidR="002C6375">
        <w:t xml:space="preserve">) </w:t>
      </w:r>
      <w:r w:rsidRPr="002D5FF3">
        <w:t xml:space="preserve">based on the Harmonized manual are all used by BLS data collectors during initiation. </w:t>
      </w:r>
      <w:r w:rsidRPr="002D5FF3" w:rsidR="00E94C3E">
        <w:t>Note that</w:t>
      </w:r>
      <w:r w:rsidRPr="002D5FF3" w:rsidR="00D50575">
        <w:t xml:space="preserve"> both versions of the checklists will be in use for the f</w:t>
      </w:r>
      <w:r w:rsidRPr="002D5FF3" w:rsidR="00EB1FFE">
        <w:t>oreseeable future</w:t>
      </w:r>
      <w:r w:rsidRPr="002D5FF3" w:rsidR="00D50575">
        <w:t xml:space="preserve"> as </w:t>
      </w:r>
      <w:r w:rsidRPr="002D5FF3" w:rsidR="00E94C3E">
        <w:t>one sample currently in collection was</w:t>
      </w:r>
      <w:r w:rsidRPr="002D5FF3" w:rsidR="00E248CA">
        <w:t xml:space="preserve"> fielded with the older version of the checklist</w:t>
      </w:r>
      <w:r w:rsidRPr="002D5FF3" w:rsidR="0040307A">
        <w:t xml:space="preserve"> (Attachment 15)</w:t>
      </w:r>
      <w:r w:rsidRPr="002D5FF3" w:rsidR="00E248CA">
        <w:t xml:space="preserve">. In about a year, all checklists </w:t>
      </w:r>
      <w:r w:rsidRPr="002D5FF3" w:rsidR="00E94C3E">
        <w:t>in use will be the Attachment 1</w:t>
      </w:r>
      <w:r w:rsidRPr="002D5FF3" w:rsidR="00DD0405">
        <w:t>6</w:t>
      </w:r>
      <w:r w:rsidRPr="002D5FF3" w:rsidR="00E248CA">
        <w:t xml:space="preserve"> version. </w:t>
      </w:r>
      <w:r w:rsidRPr="002D5FF3" w:rsidR="009D0619">
        <w:t>(</w:t>
      </w:r>
      <w:r w:rsidRPr="002D5FF3">
        <w:t>IPP has checklists covering all Harmonized and Schedule B product areas excluding chapters</w:t>
      </w:r>
      <w:r w:rsidRPr="002D5FF3" w:rsidR="00645AED">
        <w:rPr>
          <w:rStyle w:val="FootnoteReference"/>
        </w:rPr>
        <w:footnoteReference w:id="2"/>
      </w:r>
      <w:r w:rsidRPr="002D5FF3">
        <w:t xml:space="preserve"> 86, 97, 98, and 99.  For import chapters and descriptions, go to</w:t>
      </w:r>
      <w:r w:rsidRPr="002D5FF3" w:rsidR="008C6565">
        <w:t xml:space="preserve"> </w:t>
      </w:r>
      <w:hyperlink w:history="1" r:id="rId18">
        <w:r w:rsidRPr="002D5FF3" w:rsidR="004460C2">
          <w:rPr>
            <w:rStyle w:val="Hyperlink"/>
          </w:rPr>
          <w:t>https://hts.usitc.gov/current</w:t>
        </w:r>
      </w:hyperlink>
      <w:r w:rsidRPr="002D5FF3">
        <w:t>.  For export chapters and descriptions, go to</w:t>
      </w:r>
      <w:r w:rsidRPr="002D5FF3" w:rsidR="004460C2">
        <w:t xml:space="preserve"> </w:t>
      </w:r>
      <w:hyperlink w:history="1" r:id="rId19">
        <w:r w:rsidRPr="002D5FF3" w:rsidR="007421F8">
          <w:rPr>
            <w:rStyle w:val="Hyperlink"/>
          </w:rPr>
          <w:t>https://www.census.gov/foreign-trade/schedules/b/2021/index.html</w:t>
        </w:r>
      </w:hyperlink>
      <w:r w:rsidRPr="002D5FF3">
        <w:t xml:space="preserve">.) </w:t>
      </w:r>
      <w:proofErr w:type="gramStart"/>
      <w:r w:rsidRPr="002D5FF3" w:rsidR="00DD0405">
        <w:t xml:space="preserve">The </w:t>
      </w:r>
      <w:r w:rsidRPr="002D5FF3" w:rsidR="00186320">
        <w:t>Survey Unit Information (SUI) L</w:t>
      </w:r>
      <w:r w:rsidRPr="002D5FF3" w:rsidR="00E94C3E">
        <w:t>isting (</w:t>
      </w:r>
      <w:r w:rsidRPr="002D5FF3" w:rsidR="00DD0405">
        <w:t xml:space="preserve">form 228, </w:t>
      </w:r>
      <w:r w:rsidRPr="002D5FF3" w:rsidR="00E94C3E">
        <w:t>Attachment 1</w:t>
      </w:r>
      <w:r w:rsidRPr="002D5FF3" w:rsidR="00DD0405">
        <w:t>4</w:t>
      </w:r>
      <w:r w:rsidRPr="002D5FF3" w:rsidR="00E94C3E">
        <w:t>),</w:t>
      </w:r>
      <w:proofErr w:type="gramEnd"/>
      <w:r w:rsidRPr="002D5FF3" w:rsidR="00E94C3E">
        <w:t xml:space="preserve"> is a new material which d</w:t>
      </w:r>
      <w:r w:rsidRPr="002D5FF3" w:rsidR="00186320">
        <w:t xml:space="preserve">ata collectors are planning to use </w:t>
      </w:r>
      <w:r w:rsidRPr="002D5FF3" w:rsidR="00E94C3E">
        <w:t>as part of the initiation process</w:t>
      </w:r>
      <w:r w:rsidRPr="002D5FF3" w:rsidR="00624961">
        <w:t xml:space="preserve"> no earlier than FY23.  </w:t>
      </w:r>
      <w:r w:rsidRPr="002D5FF3" w:rsidR="00186320">
        <w:t>The SUI L</w:t>
      </w:r>
      <w:r w:rsidRPr="002D5FF3" w:rsidR="00E7342A">
        <w:t>isting provides information to the Field Economists and is not filled out by respondents, nor is it required that Field Economists fill them out.</w:t>
      </w:r>
    </w:p>
    <w:p w:rsidRPr="002D5FF3" w:rsidR="00024B9F" w:rsidP="00024B9F" w:rsidRDefault="00024B9F" w14:paraId="57937D90" w14:textId="45D7F461">
      <w:pPr>
        <w:tabs>
          <w:tab w:val="left" w:pos="360"/>
          <w:tab w:val="left" w:pos="480"/>
          <w:tab w:val="left" w:pos="960"/>
          <w:tab w:val="left" w:pos="1320"/>
          <w:tab w:val="left" w:pos="1800"/>
          <w:tab w:val="left" w:pos="2760"/>
        </w:tabs>
        <w:spacing w:before="120"/>
      </w:pPr>
      <w:r w:rsidRPr="002D5FF3">
        <w:t xml:space="preserve">The </w:t>
      </w:r>
      <w:r w:rsidRPr="002D5FF3" w:rsidR="00E248CA">
        <w:t xml:space="preserve">initiation </w:t>
      </w:r>
      <w:r w:rsidRPr="002D5FF3">
        <w:t xml:space="preserve">response burden estimate is based on field collection experience.  Response burden varies depending on the size of the company, the number and variety of goods or services </w:t>
      </w:r>
      <w:r w:rsidRPr="002D5FF3" w:rsidR="002A5A2A">
        <w:t xml:space="preserve">traded </w:t>
      </w:r>
      <w:r w:rsidRPr="002D5FF3">
        <w:t>in the establishment, and the types of records kept.  Thus far in the survey, which has been carried out at small, medium, and large size establishments, the respondent burden for initiation average</w:t>
      </w:r>
      <w:r w:rsidR="0045092A">
        <w:t>s</w:t>
      </w:r>
      <w:r w:rsidRPr="002D5FF3">
        <w:t xml:space="preserve"> approximately one hour.</w:t>
      </w:r>
    </w:p>
    <w:p w:rsidRPr="002D5FF3" w:rsidR="00024B9F" w:rsidP="00024B9F" w:rsidRDefault="00024B9F" w14:paraId="5044DF2B" w14:textId="5A92D1D6">
      <w:pPr>
        <w:tabs>
          <w:tab w:val="left" w:pos="360"/>
          <w:tab w:val="left" w:pos="480"/>
          <w:tab w:val="left" w:pos="960"/>
          <w:tab w:val="left" w:pos="1320"/>
          <w:tab w:val="left" w:pos="1800"/>
          <w:tab w:val="left" w:pos="2760"/>
        </w:tabs>
        <w:spacing w:before="120" w:line="240" w:lineRule="exact"/>
      </w:pPr>
      <w:r w:rsidRPr="002D5FF3">
        <w:t>For repricing, which is an update to price data previously provided by the respondent (using the online data collection application), the burden estimate is based on internal testing and BLS experience in earlier samples.  (Attachment</w:t>
      </w:r>
      <w:r w:rsidRPr="002D5FF3" w:rsidR="00140B58">
        <w:t>s</w:t>
      </w:r>
      <w:r w:rsidRPr="002D5FF3" w:rsidR="004D2F15">
        <w:t xml:space="preserve"> </w:t>
      </w:r>
      <w:r w:rsidRPr="002D5FF3" w:rsidR="00DD0405">
        <w:t>7</w:t>
      </w:r>
      <w:r w:rsidRPr="002D5FF3" w:rsidR="004D2F15">
        <w:t>I</w:t>
      </w:r>
      <w:r w:rsidRPr="002D5FF3" w:rsidR="00140B58">
        <w:t xml:space="preserve"> and </w:t>
      </w:r>
      <w:r w:rsidRPr="002D5FF3" w:rsidR="00DD0405">
        <w:t>7</w:t>
      </w:r>
      <w:r w:rsidRPr="002D5FF3" w:rsidR="00140B58">
        <w:t xml:space="preserve">J </w:t>
      </w:r>
      <w:r w:rsidRPr="002D5FF3">
        <w:t xml:space="preserve">show screenshots from the web repricing application.)  The burden varies from one minute for routine updates of prices for unaltered goods or services, to thirty minutes for reporting changes in product or service specifications or substitution of models within a product or service line.  </w:t>
      </w:r>
      <w:r w:rsidRPr="002D5FF3" w:rsidR="00E41AA5">
        <w:t xml:space="preserve">The </w:t>
      </w:r>
      <w:r w:rsidRPr="002D5FF3" w:rsidR="00262883">
        <w:t xml:space="preserve">IPP </w:t>
      </w:r>
      <w:r w:rsidRPr="002D5FF3">
        <w:t>estimate</w:t>
      </w:r>
      <w:r w:rsidRPr="002D5FF3" w:rsidR="00262883">
        <w:t>s</w:t>
      </w:r>
      <w:r w:rsidRPr="002D5FF3">
        <w:t xml:space="preserve"> that it takes approximately 5 minutes, on average, to reprice one item.</w:t>
      </w:r>
    </w:p>
    <w:p w:rsidRPr="002D5FF3" w:rsidR="00024B9F" w:rsidP="00024B9F" w:rsidRDefault="00024B9F" w14:paraId="7D325700" w14:textId="7DAE97D9">
      <w:pPr>
        <w:tabs>
          <w:tab w:val="left" w:pos="360"/>
          <w:tab w:val="left" w:pos="480"/>
          <w:tab w:val="left" w:pos="960"/>
          <w:tab w:val="left" w:pos="1320"/>
          <w:tab w:val="left" w:pos="1800"/>
          <w:tab w:val="left" w:pos="2760"/>
        </w:tabs>
        <w:spacing w:before="120" w:line="240" w:lineRule="exact"/>
      </w:pPr>
      <w:r w:rsidRPr="002D5FF3">
        <w:t>Companies and establishments of all employment sizes, including those with fewer than 100 employees, are covered in the samples.  This comprehensive coverage is necessary to avoid bias and assure that the sample is representative of the universe of exporters</w:t>
      </w:r>
      <w:r w:rsidRPr="002D5FF3" w:rsidR="00BE0C59">
        <w:t>/importers</w:t>
      </w:r>
      <w:r w:rsidRPr="002D5FF3">
        <w:t>.  Small companies, collectively, have substantial weight in the price</w:t>
      </w:r>
      <w:r w:rsidRPr="002D5FF3">
        <w:noBreakHyphen/>
        <w:t xml:space="preserve">forming universe, and the evidence suggests that the pricing behavior of small companies is different from that of large companies.  Therefore, the smaller units </w:t>
      </w:r>
      <w:r w:rsidRPr="002D5FF3" w:rsidR="00654F3D">
        <w:t xml:space="preserve">need to </w:t>
      </w:r>
      <w:r w:rsidRPr="002D5FF3">
        <w:t xml:space="preserve">be directly surveyed.  </w:t>
      </w:r>
    </w:p>
    <w:p w:rsidRPr="002D5FF3" w:rsidR="00024B9F" w:rsidP="00024B9F" w:rsidRDefault="00024B9F" w14:paraId="0F4087CD" w14:textId="412CCF70">
      <w:pPr>
        <w:tabs>
          <w:tab w:val="left" w:pos="360"/>
          <w:tab w:val="left" w:pos="480"/>
          <w:tab w:val="left" w:pos="960"/>
          <w:tab w:val="left" w:pos="1320"/>
          <w:tab w:val="left" w:pos="1800"/>
          <w:tab w:val="left" w:pos="2760"/>
        </w:tabs>
        <w:spacing w:before="120" w:line="240" w:lineRule="exact"/>
      </w:pPr>
      <w:r w:rsidRPr="002D5FF3">
        <w:t>The sample sizes and estimated annual respondent</w:t>
      </w:r>
      <w:r w:rsidRPr="002D5FF3" w:rsidR="00071402">
        <w:t xml:space="preserve"> burden for FY 2022</w:t>
      </w:r>
      <w:r w:rsidRPr="002D5FF3">
        <w:t>, FY 20</w:t>
      </w:r>
      <w:r w:rsidRPr="002D5FF3" w:rsidR="00071402">
        <w:t>23</w:t>
      </w:r>
      <w:r w:rsidRPr="002D5FF3">
        <w:t>, and FY 20</w:t>
      </w:r>
      <w:r w:rsidRPr="002D5FF3" w:rsidR="00071402">
        <w:t>24</w:t>
      </w:r>
      <w:r w:rsidRPr="002D5FF3">
        <w:t xml:space="preserve"> are shown on the following pages.  Data on exports and imports are calculated separately for analysis purposes.</w:t>
      </w:r>
    </w:p>
    <w:p w:rsidRPr="002D5FF3" w:rsidR="00024B9F" w:rsidP="00024B9F" w:rsidRDefault="00024B9F" w14:paraId="39A66D0F" w14:textId="77777777">
      <w:pPr>
        <w:tabs>
          <w:tab w:val="left" w:pos="360"/>
          <w:tab w:val="left" w:pos="480"/>
          <w:tab w:val="left" w:pos="960"/>
          <w:tab w:val="left" w:pos="1320"/>
          <w:tab w:val="left" w:pos="1800"/>
          <w:tab w:val="left" w:pos="2760"/>
        </w:tabs>
        <w:spacing w:before="120"/>
        <w:jc w:val="center"/>
        <w:rPr>
          <w:b/>
          <w:color w:val="000000"/>
        </w:rPr>
      </w:pPr>
      <w:r w:rsidRPr="002D5FF3">
        <w:rPr>
          <w:b/>
        </w:rPr>
        <w:br w:type="page"/>
      </w:r>
      <w:r w:rsidRPr="002D5FF3">
        <w:rPr>
          <w:b/>
        </w:rPr>
        <w:lastRenderedPageBreak/>
        <w:t>EXPORTS</w:t>
      </w:r>
    </w:p>
    <w:p w:rsidRPr="002D5FF3" w:rsidR="00024B9F" w:rsidP="00024B9F" w:rsidRDefault="00024B9F" w14:paraId="40B2AB05" w14:textId="77777777">
      <w:pPr>
        <w:tabs>
          <w:tab w:val="left" w:pos="360"/>
          <w:tab w:val="left" w:pos="480"/>
          <w:tab w:val="left" w:pos="960"/>
          <w:tab w:val="left" w:pos="1320"/>
          <w:tab w:val="left" w:pos="1800"/>
          <w:tab w:val="left" w:pos="2760"/>
        </w:tabs>
        <w:spacing w:before="120"/>
        <w:rPr>
          <w:b/>
          <w:color w:val="000000"/>
        </w:rPr>
      </w:pPr>
    </w:p>
    <w:tbl>
      <w:tblPr>
        <w:tblW w:w="5274" w:type="pct"/>
        <w:tblBorders>
          <w:top w:val="single" w:color="auto" w:sz="18" w:space="0"/>
          <w:left w:val="single" w:color="auto" w:sz="18" w:space="0"/>
          <w:bottom w:val="single" w:color="auto" w:sz="18" w:space="0"/>
          <w:right w:val="single" w:color="auto" w:sz="18" w:space="0"/>
        </w:tblBorders>
        <w:tblLook w:val="01E0" w:firstRow="1" w:lastRow="1" w:firstColumn="1" w:lastColumn="1" w:noHBand="0" w:noVBand="0"/>
      </w:tblPr>
      <w:tblGrid>
        <w:gridCol w:w="1243"/>
        <w:gridCol w:w="1523"/>
        <w:gridCol w:w="336"/>
        <w:gridCol w:w="1310"/>
        <w:gridCol w:w="352"/>
        <w:gridCol w:w="1270"/>
        <w:gridCol w:w="222"/>
        <w:gridCol w:w="1270"/>
        <w:gridCol w:w="336"/>
        <w:gridCol w:w="1256"/>
        <w:gridCol w:w="352"/>
        <w:gridCol w:w="1256"/>
      </w:tblGrid>
      <w:tr w:rsidRPr="004869E2" w:rsidR="00024B9F" w:rsidTr="00791741" w14:paraId="07460197" w14:textId="77777777">
        <w:tc>
          <w:tcPr>
            <w:tcW w:w="1495" w:type="dxa"/>
            <w:tcBorders>
              <w:bottom w:val="nil"/>
              <w:right w:val="single" w:color="auto" w:sz="18" w:space="0"/>
            </w:tcBorders>
          </w:tcPr>
          <w:p w:rsidRPr="002D5FF3" w:rsidR="00024B9F" w:rsidP="00791741" w:rsidRDefault="00024B9F" w14:paraId="2157BF1A" w14:textId="77777777">
            <w:pPr>
              <w:tabs>
                <w:tab w:val="left" w:pos="360"/>
                <w:tab w:val="left" w:pos="480"/>
                <w:tab w:val="left" w:pos="960"/>
                <w:tab w:val="left" w:pos="1320"/>
                <w:tab w:val="left" w:pos="1800"/>
                <w:tab w:val="left" w:pos="2760"/>
              </w:tabs>
              <w:spacing w:before="120" w:line="240" w:lineRule="exact"/>
              <w:rPr>
                <w:b/>
              </w:rPr>
            </w:pPr>
            <w:bookmarkStart w:name="OLE_LINK3" w:id="0"/>
            <w:bookmarkStart w:name="OLE_LINK4" w:id="1"/>
          </w:p>
        </w:tc>
        <w:tc>
          <w:tcPr>
            <w:tcW w:w="4565" w:type="dxa"/>
            <w:gridSpan w:val="5"/>
            <w:tcBorders>
              <w:top w:val="single" w:color="auto" w:sz="18" w:space="0"/>
              <w:left w:val="single" w:color="auto" w:sz="18" w:space="0"/>
              <w:bottom w:val="nil"/>
              <w:right w:val="single" w:color="auto" w:sz="18" w:space="0"/>
            </w:tcBorders>
          </w:tcPr>
          <w:p w:rsidRPr="002D5FF3" w:rsidR="00024B9F" w:rsidP="00791741" w:rsidRDefault="00024B9F" w14:paraId="3E4B0B95" w14:textId="77777777">
            <w:pPr>
              <w:tabs>
                <w:tab w:val="left" w:pos="360"/>
                <w:tab w:val="left" w:pos="480"/>
                <w:tab w:val="left" w:pos="960"/>
                <w:tab w:val="left" w:pos="1320"/>
                <w:tab w:val="left" w:pos="1800"/>
                <w:tab w:val="left" w:pos="2760"/>
              </w:tabs>
              <w:spacing w:before="120" w:line="240" w:lineRule="exact"/>
              <w:jc w:val="center"/>
              <w:rPr>
                <w:u w:val="single"/>
              </w:rPr>
            </w:pPr>
            <w:r w:rsidRPr="002D5FF3">
              <w:rPr>
                <w:u w:val="single"/>
              </w:rPr>
              <w:t>Total Annual Responses</w:t>
            </w:r>
          </w:p>
        </w:tc>
        <w:tc>
          <w:tcPr>
            <w:tcW w:w="720" w:type="dxa"/>
            <w:tcBorders>
              <w:top w:val="nil"/>
              <w:left w:val="single" w:color="auto" w:sz="18" w:space="0"/>
              <w:bottom w:val="nil"/>
              <w:right w:val="single" w:color="auto" w:sz="18" w:space="0"/>
            </w:tcBorders>
          </w:tcPr>
          <w:p w:rsidRPr="002D5FF3" w:rsidR="00024B9F" w:rsidP="00791741" w:rsidRDefault="00024B9F" w14:paraId="60082360" w14:textId="77777777">
            <w:pPr>
              <w:tabs>
                <w:tab w:val="left" w:pos="360"/>
                <w:tab w:val="left" w:pos="480"/>
                <w:tab w:val="left" w:pos="960"/>
                <w:tab w:val="left" w:pos="1320"/>
                <w:tab w:val="left" w:pos="1800"/>
                <w:tab w:val="left" w:pos="2760"/>
              </w:tabs>
              <w:spacing w:before="120" w:line="240" w:lineRule="exact"/>
              <w:rPr>
                <w:b/>
              </w:rPr>
            </w:pPr>
          </w:p>
        </w:tc>
        <w:tc>
          <w:tcPr>
            <w:tcW w:w="4565" w:type="dxa"/>
            <w:gridSpan w:val="5"/>
            <w:tcBorders>
              <w:top w:val="single" w:color="auto" w:sz="18" w:space="0"/>
              <w:left w:val="single" w:color="auto" w:sz="18" w:space="0"/>
              <w:bottom w:val="nil"/>
            </w:tcBorders>
          </w:tcPr>
          <w:p w:rsidRPr="002D5FF3" w:rsidR="00024B9F" w:rsidP="00791741" w:rsidRDefault="00024B9F" w14:paraId="33420852" w14:textId="77777777">
            <w:pPr>
              <w:tabs>
                <w:tab w:val="left" w:pos="360"/>
                <w:tab w:val="left" w:pos="480"/>
                <w:tab w:val="left" w:pos="960"/>
                <w:tab w:val="left" w:pos="1320"/>
                <w:tab w:val="left" w:pos="1800"/>
                <w:tab w:val="left" w:pos="2760"/>
              </w:tabs>
              <w:spacing w:before="120" w:line="240" w:lineRule="exact"/>
              <w:jc w:val="center"/>
              <w:rPr>
                <w:u w:val="single"/>
              </w:rPr>
            </w:pPr>
            <w:r w:rsidRPr="002D5FF3">
              <w:rPr>
                <w:u w:val="single"/>
              </w:rPr>
              <w:t xml:space="preserve">Estimated Total </w:t>
            </w:r>
            <w:proofErr w:type="spellStart"/>
            <w:r w:rsidRPr="002D5FF3">
              <w:rPr>
                <w:u w:val="single"/>
              </w:rPr>
              <w:t>Hrs</w:t>
            </w:r>
            <w:proofErr w:type="spellEnd"/>
            <w:r w:rsidRPr="002D5FF3">
              <w:rPr>
                <w:u w:val="single"/>
              </w:rPr>
              <w:t xml:space="preserve"> of Annual Burden</w:t>
            </w:r>
          </w:p>
        </w:tc>
      </w:tr>
      <w:tr w:rsidRPr="004869E2" w:rsidR="00024B9F" w:rsidTr="00791741" w14:paraId="75E3C9F0" w14:textId="77777777">
        <w:tc>
          <w:tcPr>
            <w:tcW w:w="1495" w:type="dxa"/>
            <w:tcBorders>
              <w:top w:val="nil"/>
              <w:bottom w:val="nil"/>
              <w:right w:val="single" w:color="auto" w:sz="18" w:space="0"/>
            </w:tcBorders>
          </w:tcPr>
          <w:p w:rsidRPr="002D5FF3" w:rsidR="00024B9F" w:rsidP="00791741" w:rsidRDefault="00024B9F" w14:paraId="23B7C27E"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left w:val="single" w:color="auto" w:sz="18" w:space="0"/>
              <w:bottom w:val="nil"/>
            </w:tcBorders>
          </w:tcPr>
          <w:p w:rsidRPr="002D5FF3" w:rsidR="00024B9F" w:rsidP="00791741" w:rsidRDefault="00024B9F" w14:paraId="5BAD1DEF" w14:textId="77777777">
            <w:pPr>
              <w:tabs>
                <w:tab w:val="left" w:pos="360"/>
                <w:tab w:val="left" w:pos="480"/>
                <w:tab w:val="left" w:pos="960"/>
                <w:tab w:val="left" w:pos="1320"/>
                <w:tab w:val="left" w:pos="1800"/>
                <w:tab w:val="left" w:pos="2760"/>
              </w:tabs>
              <w:spacing w:before="120" w:line="240" w:lineRule="exact"/>
              <w:rPr>
                <w:b/>
              </w:rPr>
            </w:pPr>
            <w:r w:rsidRPr="002D5FF3">
              <w:rPr>
                <w:b/>
              </w:rPr>
              <w:t>Number of Respondents (end of FY)</w:t>
            </w:r>
            <w:r w:rsidRPr="002D5FF3">
              <w:rPr>
                <w:rStyle w:val="FootnoteReference"/>
                <w:b/>
              </w:rPr>
              <w:footnoteReference w:id="3"/>
            </w:r>
          </w:p>
        </w:tc>
        <w:tc>
          <w:tcPr>
            <w:tcW w:w="337" w:type="dxa"/>
            <w:tcBorders>
              <w:top w:val="nil"/>
              <w:bottom w:val="nil"/>
            </w:tcBorders>
          </w:tcPr>
          <w:p w:rsidRPr="002D5FF3" w:rsidR="00024B9F" w:rsidP="00791741" w:rsidRDefault="00024B9F" w14:paraId="1B624294"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bottom w:val="nil"/>
            </w:tcBorders>
          </w:tcPr>
          <w:p w:rsidRPr="002D5FF3" w:rsidR="00024B9F" w:rsidP="00791741" w:rsidRDefault="00024B9F" w14:paraId="23A0D8B2" w14:textId="77777777">
            <w:pPr>
              <w:tabs>
                <w:tab w:val="left" w:pos="360"/>
                <w:tab w:val="left" w:pos="480"/>
                <w:tab w:val="left" w:pos="960"/>
                <w:tab w:val="left" w:pos="1320"/>
                <w:tab w:val="left" w:pos="1800"/>
                <w:tab w:val="left" w:pos="2760"/>
              </w:tabs>
              <w:spacing w:before="120" w:line="240" w:lineRule="exact"/>
              <w:rPr>
                <w:b/>
              </w:rPr>
            </w:pPr>
            <w:r w:rsidRPr="002D5FF3">
              <w:rPr>
                <w:b/>
              </w:rPr>
              <w:t>Frequency of Response Per Year</w:t>
            </w:r>
          </w:p>
        </w:tc>
        <w:tc>
          <w:tcPr>
            <w:tcW w:w="337" w:type="dxa"/>
            <w:tcBorders>
              <w:top w:val="nil"/>
              <w:bottom w:val="nil"/>
            </w:tcBorders>
          </w:tcPr>
          <w:p w:rsidRPr="002D5FF3" w:rsidR="00024B9F" w:rsidP="00791741" w:rsidRDefault="00024B9F" w14:paraId="6CA5EF97"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bottom w:val="nil"/>
              <w:right w:val="single" w:color="auto" w:sz="18" w:space="0"/>
            </w:tcBorders>
          </w:tcPr>
          <w:p w:rsidRPr="002D5FF3" w:rsidR="00024B9F" w:rsidP="00791741" w:rsidRDefault="00024B9F" w14:paraId="34E56646" w14:textId="77777777">
            <w:pPr>
              <w:tabs>
                <w:tab w:val="left" w:pos="360"/>
                <w:tab w:val="left" w:pos="480"/>
                <w:tab w:val="left" w:pos="960"/>
                <w:tab w:val="left" w:pos="1320"/>
                <w:tab w:val="left" w:pos="1800"/>
                <w:tab w:val="left" w:pos="2760"/>
              </w:tabs>
              <w:spacing w:before="120" w:line="240" w:lineRule="exact"/>
              <w:rPr>
                <w:b/>
              </w:rPr>
            </w:pPr>
            <w:r w:rsidRPr="002D5FF3">
              <w:rPr>
                <w:b/>
              </w:rPr>
              <w:t>Total Annual Responses</w:t>
            </w:r>
          </w:p>
        </w:tc>
        <w:tc>
          <w:tcPr>
            <w:tcW w:w="720" w:type="dxa"/>
            <w:tcBorders>
              <w:top w:val="nil"/>
              <w:left w:val="single" w:color="auto" w:sz="18" w:space="0"/>
              <w:bottom w:val="nil"/>
              <w:right w:val="single" w:color="auto" w:sz="18" w:space="0"/>
            </w:tcBorders>
          </w:tcPr>
          <w:p w:rsidRPr="002D5FF3" w:rsidR="00024B9F" w:rsidP="00791741" w:rsidRDefault="00024B9F" w14:paraId="5F914CFE"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left w:val="single" w:color="auto" w:sz="18" w:space="0"/>
              <w:bottom w:val="nil"/>
            </w:tcBorders>
          </w:tcPr>
          <w:p w:rsidRPr="002D5FF3" w:rsidR="00024B9F" w:rsidP="00791741" w:rsidRDefault="00024B9F" w14:paraId="644383A3" w14:textId="77777777">
            <w:pPr>
              <w:tabs>
                <w:tab w:val="left" w:pos="360"/>
                <w:tab w:val="left" w:pos="480"/>
                <w:tab w:val="left" w:pos="960"/>
                <w:tab w:val="left" w:pos="1320"/>
                <w:tab w:val="left" w:pos="1800"/>
                <w:tab w:val="left" w:pos="2760"/>
              </w:tabs>
              <w:spacing w:before="120" w:line="240" w:lineRule="exact"/>
              <w:rPr>
                <w:b/>
              </w:rPr>
            </w:pPr>
            <w:r w:rsidRPr="002D5FF3">
              <w:rPr>
                <w:b/>
              </w:rPr>
              <w:t>Total Annual Responses</w:t>
            </w:r>
          </w:p>
        </w:tc>
        <w:tc>
          <w:tcPr>
            <w:tcW w:w="337" w:type="dxa"/>
            <w:tcBorders>
              <w:top w:val="nil"/>
              <w:bottom w:val="nil"/>
            </w:tcBorders>
          </w:tcPr>
          <w:p w:rsidRPr="002D5FF3" w:rsidR="00024B9F" w:rsidP="00791741" w:rsidRDefault="00024B9F" w14:paraId="0D1DFC7A"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bottom w:val="nil"/>
            </w:tcBorders>
          </w:tcPr>
          <w:p w:rsidRPr="002D5FF3" w:rsidR="00024B9F" w:rsidP="00791741" w:rsidRDefault="00024B9F" w14:paraId="526B9C40" w14:textId="77777777">
            <w:pPr>
              <w:tabs>
                <w:tab w:val="left" w:pos="360"/>
                <w:tab w:val="left" w:pos="480"/>
                <w:tab w:val="left" w:pos="960"/>
                <w:tab w:val="left" w:pos="1320"/>
                <w:tab w:val="left" w:pos="1800"/>
                <w:tab w:val="left" w:pos="2760"/>
              </w:tabs>
              <w:spacing w:before="120" w:line="240" w:lineRule="exact"/>
              <w:rPr>
                <w:b/>
              </w:rPr>
            </w:pPr>
            <w:r w:rsidRPr="002D5FF3">
              <w:rPr>
                <w:b/>
              </w:rPr>
              <w:t xml:space="preserve">Estimated Avg # of </w:t>
            </w:r>
            <w:proofErr w:type="spellStart"/>
            <w:r w:rsidRPr="002D5FF3">
              <w:rPr>
                <w:b/>
              </w:rPr>
              <w:t>Hrs</w:t>
            </w:r>
            <w:proofErr w:type="spellEnd"/>
            <w:r w:rsidRPr="002D5FF3">
              <w:rPr>
                <w:b/>
              </w:rPr>
              <w:t xml:space="preserve"> Per Response</w:t>
            </w:r>
          </w:p>
        </w:tc>
        <w:tc>
          <w:tcPr>
            <w:tcW w:w="337" w:type="dxa"/>
            <w:tcBorders>
              <w:top w:val="nil"/>
              <w:bottom w:val="nil"/>
            </w:tcBorders>
          </w:tcPr>
          <w:p w:rsidRPr="002D5FF3" w:rsidR="00024B9F" w:rsidP="00791741" w:rsidRDefault="00024B9F" w14:paraId="05562B7B" w14:textId="77777777">
            <w:pPr>
              <w:tabs>
                <w:tab w:val="left" w:pos="360"/>
                <w:tab w:val="left" w:pos="480"/>
                <w:tab w:val="left" w:pos="960"/>
                <w:tab w:val="left" w:pos="1320"/>
                <w:tab w:val="left" w:pos="1800"/>
                <w:tab w:val="left" w:pos="2760"/>
              </w:tabs>
              <w:spacing w:before="120" w:line="240" w:lineRule="exact"/>
              <w:rPr>
                <w:b/>
              </w:rPr>
            </w:pPr>
          </w:p>
        </w:tc>
        <w:tc>
          <w:tcPr>
            <w:tcW w:w="1297" w:type="dxa"/>
            <w:tcBorders>
              <w:top w:val="nil"/>
              <w:bottom w:val="nil"/>
            </w:tcBorders>
          </w:tcPr>
          <w:p w:rsidRPr="002D5FF3" w:rsidR="00024B9F" w:rsidP="00791741" w:rsidRDefault="00024B9F" w14:paraId="55CEB432" w14:textId="77777777">
            <w:pPr>
              <w:tabs>
                <w:tab w:val="left" w:pos="360"/>
                <w:tab w:val="left" w:pos="480"/>
                <w:tab w:val="left" w:pos="960"/>
                <w:tab w:val="left" w:pos="1320"/>
                <w:tab w:val="left" w:pos="1800"/>
                <w:tab w:val="left" w:pos="2760"/>
              </w:tabs>
              <w:spacing w:before="120" w:line="240" w:lineRule="exact"/>
              <w:rPr>
                <w:b/>
              </w:rPr>
            </w:pPr>
            <w:r w:rsidRPr="002D5FF3">
              <w:rPr>
                <w:b/>
              </w:rPr>
              <w:t xml:space="preserve">Estimated Total </w:t>
            </w:r>
            <w:proofErr w:type="spellStart"/>
            <w:r w:rsidRPr="002D5FF3">
              <w:rPr>
                <w:b/>
              </w:rPr>
              <w:t>Hrs</w:t>
            </w:r>
            <w:proofErr w:type="spellEnd"/>
            <w:r w:rsidRPr="002D5FF3">
              <w:rPr>
                <w:b/>
              </w:rPr>
              <w:t xml:space="preserve"> of Annual Burden</w:t>
            </w:r>
          </w:p>
        </w:tc>
      </w:tr>
      <w:tr w:rsidRPr="004869E2" w:rsidR="00024B9F" w:rsidTr="00791741" w14:paraId="1DB902B7" w14:textId="77777777">
        <w:tc>
          <w:tcPr>
            <w:tcW w:w="1495" w:type="dxa"/>
            <w:tcBorders>
              <w:top w:val="nil"/>
              <w:right w:val="single" w:color="auto" w:sz="18" w:space="0"/>
            </w:tcBorders>
          </w:tcPr>
          <w:p w:rsidRPr="002D5FF3" w:rsidR="00024B9F" w:rsidP="00D923C7" w:rsidRDefault="005F1AC0" w14:paraId="3EC6EBFB" w14:textId="4B8AE833">
            <w:pPr>
              <w:tabs>
                <w:tab w:val="left" w:pos="360"/>
                <w:tab w:val="left" w:pos="480"/>
                <w:tab w:val="left" w:pos="960"/>
                <w:tab w:val="left" w:pos="1320"/>
                <w:tab w:val="left" w:pos="1800"/>
                <w:tab w:val="left" w:pos="2760"/>
              </w:tabs>
              <w:spacing w:before="120" w:line="240" w:lineRule="exact"/>
              <w:rPr>
                <w:b/>
              </w:rPr>
            </w:pPr>
            <w:r w:rsidRPr="002D5FF3">
              <w:rPr>
                <w:b/>
              </w:rPr>
              <w:t>Fiscal Year 2022</w:t>
            </w:r>
          </w:p>
        </w:tc>
        <w:tc>
          <w:tcPr>
            <w:tcW w:w="1297" w:type="dxa"/>
            <w:tcBorders>
              <w:top w:val="nil"/>
              <w:left w:val="single" w:color="auto" w:sz="18" w:space="0"/>
              <w:bottom w:val="nil"/>
            </w:tcBorders>
          </w:tcPr>
          <w:p w:rsidRPr="002D5FF3" w:rsidR="00024B9F" w:rsidP="00791741" w:rsidRDefault="00024B9F" w14:paraId="7057D652"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74C5F555"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6961AD4C"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63421A58"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right w:val="single" w:color="auto" w:sz="18" w:space="0"/>
            </w:tcBorders>
          </w:tcPr>
          <w:p w:rsidRPr="002D5FF3" w:rsidR="00024B9F" w:rsidP="00791741" w:rsidRDefault="00024B9F" w14:paraId="79F984B9" w14:textId="77777777">
            <w:pPr>
              <w:tabs>
                <w:tab w:val="left" w:pos="360"/>
                <w:tab w:val="left" w:pos="480"/>
                <w:tab w:val="left" w:pos="960"/>
                <w:tab w:val="left" w:pos="1320"/>
                <w:tab w:val="left" w:pos="1800"/>
                <w:tab w:val="left" w:pos="2760"/>
              </w:tabs>
              <w:spacing w:before="120" w:line="240" w:lineRule="exact"/>
            </w:pPr>
          </w:p>
        </w:tc>
        <w:tc>
          <w:tcPr>
            <w:tcW w:w="720" w:type="dxa"/>
            <w:tcBorders>
              <w:top w:val="nil"/>
              <w:left w:val="single" w:color="auto" w:sz="18" w:space="0"/>
              <w:bottom w:val="nil"/>
              <w:right w:val="single" w:color="auto" w:sz="18" w:space="0"/>
            </w:tcBorders>
          </w:tcPr>
          <w:p w:rsidRPr="002D5FF3" w:rsidR="00024B9F" w:rsidP="00791741" w:rsidRDefault="00024B9F" w14:paraId="7465967A"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784ACE76"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68DF86B7"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62401270"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4F104B79"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3F2C334E" w14:textId="77777777">
            <w:pPr>
              <w:tabs>
                <w:tab w:val="left" w:pos="360"/>
                <w:tab w:val="left" w:pos="480"/>
                <w:tab w:val="left" w:pos="960"/>
                <w:tab w:val="left" w:pos="1320"/>
                <w:tab w:val="left" w:pos="1800"/>
                <w:tab w:val="left" w:pos="2760"/>
              </w:tabs>
              <w:spacing w:before="120" w:line="240" w:lineRule="exact"/>
            </w:pPr>
          </w:p>
        </w:tc>
      </w:tr>
      <w:tr w:rsidRPr="004869E2" w:rsidR="00024B9F" w:rsidTr="00791741" w14:paraId="030854C2" w14:textId="77777777">
        <w:tc>
          <w:tcPr>
            <w:tcW w:w="1495" w:type="dxa"/>
            <w:tcBorders>
              <w:right w:val="single" w:color="auto" w:sz="18" w:space="0"/>
            </w:tcBorders>
          </w:tcPr>
          <w:p w:rsidRPr="002D5FF3" w:rsidR="00024B9F" w:rsidP="00791741" w:rsidRDefault="00024B9F" w14:paraId="5DA9F5FA" w14:textId="77777777">
            <w:pPr>
              <w:tabs>
                <w:tab w:val="left" w:pos="360"/>
                <w:tab w:val="left" w:pos="480"/>
                <w:tab w:val="left" w:pos="960"/>
                <w:tab w:val="left" w:pos="1320"/>
                <w:tab w:val="left" w:pos="1800"/>
                <w:tab w:val="left" w:pos="2760"/>
              </w:tabs>
              <w:spacing w:before="120" w:line="240" w:lineRule="exact"/>
            </w:pPr>
            <w:r w:rsidRPr="002D5FF3">
              <w:t>Initiation</w:t>
            </w:r>
            <w:r w:rsidRPr="002D5FF3">
              <w:rPr>
                <w:rStyle w:val="FootnoteReference"/>
              </w:rPr>
              <w:footnoteReference w:id="4"/>
            </w:r>
          </w:p>
        </w:tc>
        <w:tc>
          <w:tcPr>
            <w:tcW w:w="1297" w:type="dxa"/>
            <w:tcBorders>
              <w:top w:val="nil"/>
              <w:left w:val="single" w:color="auto" w:sz="18" w:space="0"/>
              <w:bottom w:val="nil"/>
            </w:tcBorders>
          </w:tcPr>
          <w:p w:rsidRPr="002D5FF3" w:rsidR="00024B9F" w:rsidP="00791741" w:rsidRDefault="00516912" w14:paraId="5C4E6D4E" w14:textId="0EA5CBAE">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r w:rsidRPr="002D5FF3" w:rsidR="00024B9F">
              <w:t xml:space="preserve">  </w:t>
            </w:r>
          </w:p>
        </w:tc>
        <w:tc>
          <w:tcPr>
            <w:tcW w:w="337" w:type="dxa"/>
            <w:tcBorders>
              <w:top w:val="nil"/>
              <w:bottom w:val="nil"/>
            </w:tcBorders>
          </w:tcPr>
          <w:p w:rsidRPr="002D5FF3" w:rsidR="00024B9F" w:rsidP="00791741" w:rsidRDefault="00024B9F" w14:paraId="47C44258" w14:textId="77777777">
            <w:pPr>
              <w:tabs>
                <w:tab w:val="left" w:pos="360"/>
                <w:tab w:val="left" w:pos="480"/>
                <w:tab w:val="left" w:pos="960"/>
                <w:tab w:val="left" w:pos="1320"/>
                <w:tab w:val="left" w:pos="1800"/>
                <w:tab w:val="left" w:pos="2760"/>
              </w:tabs>
              <w:spacing w:before="120" w:line="240" w:lineRule="exact"/>
            </w:pPr>
            <w:r w:rsidRPr="002D5FF3">
              <w:t>x</w:t>
            </w:r>
          </w:p>
        </w:tc>
        <w:tc>
          <w:tcPr>
            <w:tcW w:w="1297" w:type="dxa"/>
            <w:tcBorders>
              <w:top w:val="nil"/>
              <w:bottom w:val="nil"/>
            </w:tcBorders>
          </w:tcPr>
          <w:p w:rsidRPr="002D5FF3" w:rsidR="00024B9F" w:rsidP="00791741" w:rsidRDefault="00024B9F" w14:paraId="4F321138"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4ECB76B9"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624255" w:rsidRDefault="005F1AC0" w14:paraId="6E9667D4" w14:textId="7603C9E6">
            <w:pPr>
              <w:tabs>
                <w:tab w:val="left" w:pos="360"/>
                <w:tab w:val="left" w:pos="480"/>
                <w:tab w:val="left" w:pos="960"/>
                <w:tab w:val="left" w:pos="1320"/>
                <w:tab w:val="left" w:pos="1800"/>
                <w:tab w:val="left" w:pos="2760"/>
              </w:tabs>
              <w:spacing w:before="120" w:line="240" w:lineRule="exact"/>
              <w:jc w:val="center"/>
            </w:pPr>
            <w:r w:rsidRPr="002D5FF3">
              <w:t xml:space="preserve"> </w:t>
            </w:r>
            <w:r w:rsidR="00ED0168">
              <w:t xml:space="preserve">   </w:t>
            </w:r>
            <w:r w:rsidRPr="002D5FF3">
              <w:t>900</w:t>
            </w:r>
          </w:p>
        </w:tc>
        <w:tc>
          <w:tcPr>
            <w:tcW w:w="720" w:type="dxa"/>
            <w:tcBorders>
              <w:top w:val="nil"/>
              <w:left w:val="single" w:color="auto" w:sz="18" w:space="0"/>
              <w:bottom w:val="nil"/>
              <w:right w:val="single" w:color="auto" w:sz="18" w:space="0"/>
            </w:tcBorders>
          </w:tcPr>
          <w:p w:rsidRPr="002D5FF3" w:rsidR="00024B9F" w:rsidP="00791741" w:rsidRDefault="00024B9F" w14:paraId="1B1A1AF1" w14:textId="77777777">
            <w:pPr>
              <w:tabs>
                <w:tab w:val="left" w:pos="360"/>
                <w:tab w:val="left" w:pos="480"/>
                <w:tab w:val="left" w:pos="960"/>
                <w:tab w:val="left" w:pos="1320"/>
                <w:tab w:val="left" w:pos="1800"/>
                <w:tab w:val="left" w:pos="2760"/>
              </w:tabs>
              <w:spacing w:before="120" w:line="240" w:lineRule="exact"/>
            </w:pPr>
            <w:r w:rsidRPr="002D5FF3">
              <w:t xml:space="preserve"> </w:t>
            </w:r>
          </w:p>
        </w:tc>
        <w:tc>
          <w:tcPr>
            <w:tcW w:w="1297" w:type="dxa"/>
            <w:tcBorders>
              <w:top w:val="nil"/>
              <w:left w:val="single" w:color="auto" w:sz="18" w:space="0"/>
              <w:bottom w:val="nil"/>
            </w:tcBorders>
          </w:tcPr>
          <w:p w:rsidRPr="002D5FF3" w:rsidR="00024B9F" w:rsidP="00791741" w:rsidRDefault="00516912" w14:paraId="53884AD1" w14:textId="0B6B7498">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p>
        </w:tc>
        <w:tc>
          <w:tcPr>
            <w:tcW w:w="337" w:type="dxa"/>
            <w:tcBorders>
              <w:top w:val="nil"/>
              <w:bottom w:val="nil"/>
            </w:tcBorders>
          </w:tcPr>
          <w:p w:rsidRPr="002D5FF3" w:rsidR="00024B9F" w:rsidP="00791741" w:rsidRDefault="00024B9F" w14:paraId="2EAB27C4"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791741" w:rsidRDefault="00024B9F" w14:paraId="77215CFF"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55F997D3"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5F1AC0" w14:paraId="634256C9" w14:textId="663CD210">
            <w:pPr>
              <w:tabs>
                <w:tab w:val="left" w:pos="360"/>
                <w:tab w:val="left" w:pos="480"/>
                <w:tab w:val="left" w:pos="960"/>
                <w:tab w:val="left" w:pos="1320"/>
                <w:tab w:val="left" w:pos="1800"/>
                <w:tab w:val="left" w:pos="2760"/>
              </w:tabs>
              <w:spacing w:before="120" w:line="240" w:lineRule="exact"/>
              <w:jc w:val="center"/>
            </w:pPr>
            <w:r w:rsidRPr="002D5FF3">
              <w:t xml:space="preserve">   900</w:t>
            </w:r>
          </w:p>
        </w:tc>
      </w:tr>
      <w:tr w:rsidRPr="004869E2" w:rsidR="00024B9F" w:rsidTr="00791741" w14:paraId="01546AA8" w14:textId="77777777">
        <w:tc>
          <w:tcPr>
            <w:tcW w:w="1495" w:type="dxa"/>
            <w:tcBorders>
              <w:right w:val="single" w:color="auto" w:sz="18" w:space="0"/>
            </w:tcBorders>
          </w:tcPr>
          <w:p w:rsidRPr="002D5FF3" w:rsidR="00024B9F" w:rsidP="00791741" w:rsidRDefault="00024B9F" w14:paraId="71A853FD" w14:textId="77777777">
            <w:pPr>
              <w:tabs>
                <w:tab w:val="left" w:pos="360"/>
                <w:tab w:val="left" w:pos="480"/>
                <w:tab w:val="left" w:pos="960"/>
                <w:tab w:val="left" w:pos="1320"/>
                <w:tab w:val="left" w:pos="1800"/>
                <w:tab w:val="left" w:pos="2760"/>
              </w:tabs>
              <w:spacing w:before="120" w:line="240" w:lineRule="exact"/>
            </w:pPr>
            <w:r w:rsidRPr="002D5FF3">
              <w:t>Repricing</w:t>
            </w:r>
            <w:r w:rsidRPr="002D5FF3">
              <w:rPr>
                <w:rStyle w:val="FootnoteReference"/>
              </w:rPr>
              <w:footnoteReference w:id="5"/>
            </w:r>
          </w:p>
        </w:tc>
        <w:tc>
          <w:tcPr>
            <w:tcW w:w="1297" w:type="dxa"/>
            <w:tcBorders>
              <w:top w:val="nil"/>
              <w:left w:val="single" w:color="auto" w:sz="18" w:space="0"/>
              <w:bottom w:val="nil"/>
            </w:tcBorders>
          </w:tcPr>
          <w:p w:rsidRPr="002D5FF3" w:rsidR="00024B9F" w:rsidP="00791741" w:rsidRDefault="005F1AC0" w14:paraId="61AB15FC" w14:textId="7B43558C">
            <w:pPr>
              <w:tabs>
                <w:tab w:val="left" w:pos="360"/>
                <w:tab w:val="left" w:pos="480"/>
                <w:tab w:val="left" w:pos="960"/>
                <w:tab w:val="left" w:pos="1320"/>
                <w:tab w:val="left" w:pos="1800"/>
                <w:tab w:val="left" w:pos="2760"/>
              </w:tabs>
              <w:spacing w:before="120" w:line="240" w:lineRule="exact"/>
              <w:jc w:val="center"/>
            </w:pPr>
            <w:r w:rsidRPr="002D5FF3">
              <w:t>1500</w:t>
            </w:r>
          </w:p>
        </w:tc>
        <w:tc>
          <w:tcPr>
            <w:tcW w:w="337" w:type="dxa"/>
            <w:tcBorders>
              <w:top w:val="nil"/>
              <w:bottom w:val="nil"/>
            </w:tcBorders>
          </w:tcPr>
          <w:p w:rsidRPr="002D5FF3" w:rsidR="00024B9F" w:rsidP="00791741" w:rsidRDefault="00024B9F" w14:paraId="7B7745E0" w14:textId="77777777">
            <w:pPr>
              <w:tabs>
                <w:tab w:val="left" w:pos="360"/>
                <w:tab w:val="left" w:pos="480"/>
                <w:tab w:val="left" w:pos="960"/>
                <w:tab w:val="left" w:pos="1320"/>
                <w:tab w:val="left" w:pos="1800"/>
                <w:tab w:val="left" w:pos="2760"/>
              </w:tabs>
              <w:spacing w:before="120" w:line="240" w:lineRule="exact"/>
            </w:pPr>
            <w:r w:rsidRPr="002D5FF3">
              <w:t>x</w:t>
            </w:r>
          </w:p>
        </w:tc>
        <w:tc>
          <w:tcPr>
            <w:tcW w:w="1297" w:type="dxa"/>
            <w:tcBorders>
              <w:top w:val="nil"/>
              <w:bottom w:val="nil"/>
            </w:tcBorders>
          </w:tcPr>
          <w:p w:rsidRPr="002D5FF3" w:rsidR="00024B9F" w:rsidP="00624255" w:rsidRDefault="00C7311A" w14:paraId="29C0A0B5" w14:textId="6FA0F70C">
            <w:pPr>
              <w:tabs>
                <w:tab w:val="left" w:pos="360"/>
                <w:tab w:val="left" w:pos="480"/>
                <w:tab w:val="left" w:pos="960"/>
                <w:tab w:val="left" w:pos="1320"/>
                <w:tab w:val="left" w:pos="1800"/>
                <w:tab w:val="left" w:pos="2760"/>
              </w:tabs>
              <w:spacing w:before="120" w:line="240" w:lineRule="exact"/>
              <w:jc w:val="center"/>
            </w:pPr>
            <w:r w:rsidRPr="002D5FF3">
              <w:t>9</w:t>
            </w:r>
            <w:r w:rsidRPr="002D5FF3" w:rsidR="00024B9F">
              <w:t>.</w:t>
            </w:r>
            <w:r w:rsidRPr="002D5FF3" w:rsidR="005F1AC0">
              <w:t>1</w:t>
            </w:r>
            <w:r w:rsidRPr="002D5FF3" w:rsidR="00024B9F">
              <w:rPr>
                <w:rStyle w:val="FootnoteReference"/>
              </w:rPr>
              <w:footnoteReference w:id="6"/>
            </w:r>
          </w:p>
        </w:tc>
        <w:tc>
          <w:tcPr>
            <w:tcW w:w="337" w:type="dxa"/>
            <w:tcBorders>
              <w:top w:val="nil"/>
              <w:bottom w:val="nil"/>
            </w:tcBorders>
          </w:tcPr>
          <w:p w:rsidRPr="002D5FF3" w:rsidR="00024B9F" w:rsidP="00791741" w:rsidRDefault="00024B9F" w14:paraId="5DE1FCD2"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791741" w:rsidRDefault="005F1AC0" w14:paraId="41ACDF8D" w14:textId="034DE167">
            <w:pPr>
              <w:tabs>
                <w:tab w:val="left" w:pos="360"/>
                <w:tab w:val="left" w:pos="480"/>
                <w:tab w:val="left" w:pos="960"/>
                <w:tab w:val="left" w:pos="1320"/>
                <w:tab w:val="left" w:pos="1800"/>
                <w:tab w:val="left" w:pos="2760"/>
              </w:tabs>
              <w:spacing w:before="120" w:line="240" w:lineRule="exact"/>
              <w:jc w:val="center"/>
            </w:pPr>
            <w:r w:rsidRPr="002D5FF3">
              <w:t>13650</w:t>
            </w:r>
          </w:p>
        </w:tc>
        <w:tc>
          <w:tcPr>
            <w:tcW w:w="720" w:type="dxa"/>
            <w:tcBorders>
              <w:top w:val="nil"/>
              <w:left w:val="single" w:color="auto" w:sz="18" w:space="0"/>
              <w:bottom w:val="nil"/>
              <w:right w:val="single" w:color="auto" w:sz="18" w:space="0"/>
            </w:tcBorders>
          </w:tcPr>
          <w:p w:rsidRPr="002D5FF3" w:rsidR="00024B9F" w:rsidP="00791741" w:rsidRDefault="00024B9F" w14:paraId="20090735"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tcPr>
          <w:p w:rsidRPr="002D5FF3" w:rsidR="00024B9F" w:rsidP="00791741" w:rsidRDefault="005F1AC0" w14:paraId="15662DB6" w14:textId="3D317009">
            <w:pPr>
              <w:tabs>
                <w:tab w:val="left" w:pos="360"/>
                <w:tab w:val="left" w:pos="480"/>
                <w:tab w:val="left" w:pos="960"/>
                <w:tab w:val="left" w:pos="1320"/>
                <w:tab w:val="left" w:pos="1800"/>
                <w:tab w:val="left" w:pos="2760"/>
              </w:tabs>
              <w:spacing w:before="120" w:line="240" w:lineRule="exact"/>
              <w:jc w:val="center"/>
            </w:pPr>
            <w:r w:rsidRPr="002D5FF3">
              <w:t>13650</w:t>
            </w:r>
          </w:p>
        </w:tc>
        <w:tc>
          <w:tcPr>
            <w:tcW w:w="337" w:type="dxa"/>
            <w:tcBorders>
              <w:top w:val="nil"/>
              <w:bottom w:val="nil"/>
            </w:tcBorders>
          </w:tcPr>
          <w:p w:rsidRPr="002D5FF3" w:rsidR="00024B9F" w:rsidP="00791741" w:rsidRDefault="00024B9F" w14:paraId="0BF44E1A"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5F1AC0" w:rsidRDefault="00C7311A" w14:paraId="3664EAA7" w14:textId="69E84FCC">
            <w:pPr>
              <w:tabs>
                <w:tab w:val="left" w:pos="360"/>
                <w:tab w:val="left" w:pos="480"/>
                <w:tab w:val="left" w:pos="960"/>
                <w:tab w:val="left" w:pos="1320"/>
                <w:tab w:val="left" w:pos="1800"/>
                <w:tab w:val="left" w:pos="2760"/>
              </w:tabs>
              <w:spacing w:before="120" w:line="240" w:lineRule="exact"/>
              <w:jc w:val="center"/>
            </w:pPr>
            <w:r w:rsidRPr="002D5FF3">
              <w:t>0.4</w:t>
            </w:r>
            <w:r w:rsidRPr="002D5FF3" w:rsidR="005F1AC0">
              <w:t>277</w:t>
            </w:r>
            <w:r w:rsidRPr="002D5FF3" w:rsidR="00024B9F">
              <w:rPr>
                <w:rStyle w:val="FootnoteReference"/>
              </w:rPr>
              <w:footnoteReference w:id="7"/>
            </w:r>
          </w:p>
        </w:tc>
        <w:tc>
          <w:tcPr>
            <w:tcW w:w="337" w:type="dxa"/>
            <w:tcBorders>
              <w:top w:val="nil"/>
              <w:bottom w:val="nil"/>
            </w:tcBorders>
          </w:tcPr>
          <w:p w:rsidRPr="002D5FF3" w:rsidR="00024B9F" w:rsidP="00791741" w:rsidRDefault="00024B9F" w14:paraId="588ACCC7"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024B9F" w14:paraId="5FDECC67" w14:textId="433B5A33">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5F1AC0">
              <w:t>5838</w:t>
            </w:r>
          </w:p>
        </w:tc>
      </w:tr>
      <w:tr w:rsidRPr="004869E2" w:rsidR="00024B9F" w:rsidTr="00791741" w14:paraId="40F4167A" w14:textId="77777777">
        <w:tc>
          <w:tcPr>
            <w:tcW w:w="1495" w:type="dxa"/>
            <w:tcBorders>
              <w:right w:val="single" w:color="auto" w:sz="18" w:space="0"/>
            </w:tcBorders>
            <w:shd w:val="clear" w:color="auto" w:fill="E6E6E6"/>
          </w:tcPr>
          <w:p w:rsidRPr="002D5FF3" w:rsidR="00024B9F" w:rsidP="00791741" w:rsidRDefault="00024B9F" w14:paraId="1E8C5D57"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297" w:type="dxa"/>
            <w:tcBorders>
              <w:top w:val="nil"/>
              <w:left w:val="single" w:color="auto" w:sz="18" w:space="0"/>
              <w:bottom w:val="nil"/>
            </w:tcBorders>
            <w:shd w:val="clear" w:color="auto" w:fill="E6E6E6"/>
          </w:tcPr>
          <w:p w:rsidRPr="002D5FF3" w:rsidR="00024B9F" w:rsidP="00791741" w:rsidRDefault="0045255D" w14:paraId="09E58FD4" w14:textId="25001405">
            <w:pPr>
              <w:tabs>
                <w:tab w:val="left" w:pos="360"/>
                <w:tab w:val="left" w:pos="480"/>
                <w:tab w:val="left" w:pos="960"/>
                <w:tab w:val="left" w:pos="1320"/>
                <w:tab w:val="left" w:pos="1800"/>
                <w:tab w:val="left" w:pos="2760"/>
              </w:tabs>
              <w:spacing w:before="120" w:line="240" w:lineRule="exact"/>
              <w:jc w:val="center"/>
            </w:pPr>
            <w:r w:rsidRPr="002D5FF3">
              <w:t>2400</w:t>
            </w:r>
          </w:p>
        </w:tc>
        <w:tc>
          <w:tcPr>
            <w:tcW w:w="337" w:type="dxa"/>
            <w:tcBorders>
              <w:top w:val="nil"/>
              <w:bottom w:val="nil"/>
            </w:tcBorders>
            <w:shd w:val="clear" w:color="auto" w:fill="E6E6E6"/>
          </w:tcPr>
          <w:p w:rsidRPr="002D5FF3" w:rsidR="00024B9F" w:rsidP="00791741" w:rsidRDefault="00024B9F" w14:paraId="46CB5FFD"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shd w:val="clear" w:color="auto" w:fill="E6E6E6"/>
          </w:tcPr>
          <w:p w:rsidRPr="002D5FF3" w:rsidR="00024B9F" w:rsidP="00791741" w:rsidRDefault="00024B9F" w14:paraId="032E564D"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nil"/>
            </w:tcBorders>
            <w:shd w:val="clear" w:color="auto" w:fill="E6E6E6"/>
          </w:tcPr>
          <w:p w:rsidRPr="002D5FF3" w:rsidR="00024B9F" w:rsidP="00791741" w:rsidRDefault="00024B9F" w14:paraId="23B17AA0"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right w:val="single" w:color="auto" w:sz="18" w:space="0"/>
            </w:tcBorders>
            <w:shd w:val="clear" w:color="auto" w:fill="E6E6E6"/>
          </w:tcPr>
          <w:p w:rsidRPr="002D5FF3" w:rsidR="00024B9F" w:rsidP="00791741" w:rsidRDefault="005F1AC0" w14:paraId="6ABA1DDF" w14:textId="3C7C223C">
            <w:pPr>
              <w:tabs>
                <w:tab w:val="left" w:pos="360"/>
                <w:tab w:val="left" w:pos="480"/>
                <w:tab w:val="left" w:pos="960"/>
                <w:tab w:val="left" w:pos="1320"/>
                <w:tab w:val="left" w:pos="1800"/>
                <w:tab w:val="left" w:pos="2760"/>
              </w:tabs>
              <w:spacing w:before="120" w:line="240" w:lineRule="exact"/>
              <w:jc w:val="center"/>
            </w:pPr>
            <w:r w:rsidRPr="002D5FF3">
              <w:t>14550</w:t>
            </w:r>
          </w:p>
        </w:tc>
        <w:tc>
          <w:tcPr>
            <w:tcW w:w="720" w:type="dxa"/>
            <w:tcBorders>
              <w:top w:val="nil"/>
              <w:left w:val="single" w:color="auto" w:sz="18" w:space="0"/>
              <w:bottom w:val="nil"/>
              <w:right w:val="single" w:color="auto" w:sz="18" w:space="0"/>
            </w:tcBorders>
            <w:shd w:val="clear" w:color="auto" w:fill="E6E6E6"/>
          </w:tcPr>
          <w:p w:rsidRPr="002D5FF3" w:rsidR="00024B9F" w:rsidP="00791741" w:rsidRDefault="00024B9F" w14:paraId="0118EB60"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shd w:val="clear" w:color="auto" w:fill="E6E6E6"/>
          </w:tcPr>
          <w:p w:rsidRPr="002D5FF3" w:rsidR="00024B9F" w:rsidP="00791741" w:rsidRDefault="005F1AC0" w14:paraId="340A82EA" w14:textId="241ED3EF">
            <w:pPr>
              <w:tabs>
                <w:tab w:val="left" w:pos="360"/>
                <w:tab w:val="left" w:pos="480"/>
                <w:tab w:val="left" w:pos="960"/>
                <w:tab w:val="left" w:pos="1320"/>
                <w:tab w:val="left" w:pos="1800"/>
                <w:tab w:val="left" w:pos="2760"/>
              </w:tabs>
              <w:spacing w:before="120" w:line="240" w:lineRule="exact"/>
              <w:jc w:val="center"/>
            </w:pPr>
            <w:r w:rsidRPr="002D5FF3">
              <w:t>14550</w:t>
            </w:r>
          </w:p>
        </w:tc>
        <w:tc>
          <w:tcPr>
            <w:tcW w:w="337" w:type="dxa"/>
            <w:tcBorders>
              <w:top w:val="nil"/>
              <w:bottom w:val="nil"/>
            </w:tcBorders>
            <w:shd w:val="clear" w:color="auto" w:fill="E6E6E6"/>
          </w:tcPr>
          <w:p w:rsidRPr="002D5FF3" w:rsidR="00024B9F" w:rsidP="00791741" w:rsidRDefault="00024B9F" w14:paraId="124D17F7"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tcBorders>
            <w:shd w:val="clear" w:color="auto" w:fill="E6E6E6"/>
          </w:tcPr>
          <w:p w:rsidRPr="002D5FF3" w:rsidR="00024B9F" w:rsidP="00791741" w:rsidRDefault="00024B9F" w14:paraId="329D0C40"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nil"/>
            </w:tcBorders>
            <w:shd w:val="clear" w:color="auto" w:fill="E6E6E6"/>
          </w:tcPr>
          <w:p w:rsidRPr="002D5FF3" w:rsidR="00024B9F" w:rsidP="00791741" w:rsidRDefault="00024B9F" w14:paraId="4DEBC735"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tcBorders>
            <w:shd w:val="clear" w:color="auto" w:fill="E6E6E6"/>
          </w:tcPr>
          <w:p w:rsidRPr="002D5FF3" w:rsidR="00024B9F" w:rsidP="005F1AC0" w:rsidRDefault="00024B9F" w14:paraId="6946172D" w14:textId="1E00B408">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5F1AC0">
              <w:t>6738</w:t>
            </w:r>
            <w:r w:rsidRPr="002D5FF3">
              <w:rPr>
                <w:rStyle w:val="FootnoteReference"/>
              </w:rPr>
              <w:footnoteReference w:id="8"/>
            </w:r>
          </w:p>
        </w:tc>
      </w:tr>
      <w:tr w:rsidRPr="004869E2" w:rsidR="00024B9F" w:rsidTr="00791741" w14:paraId="3D18BC87" w14:textId="77777777">
        <w:tc>
          <w:tcPr>
            <w:tcW w:w="1495" w:type="dxa"/>
            <w:tcBorders>
              <w:right w:val="single" w:color="auto" w:sz="18" w:space="0"/>
            </w:tcBorders>
          </w:tcPr>
          <w:p w:rsidRPr="002D5FF3" w:rsidR="00024B9F" w:rsidP="00791741" w:rsidRDefault="00024B9F" w14:paraId="6F0F2D32"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3445C011"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72E60B0A"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7E4267AE"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54907186"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right w:val="single" w:color="auto" w:sz="18" w:space="0"/>
            </w:tcBorders>
          </w:tcPr>
          <w:p w:rsidRPr="002D5FF3" w:rsidR="00024B9F" w:rsidP="00791741" w:rsidRDefault="00024B9F" w14:paraId="44601080" w14:textId="77777777">
            <w:pPr>
              <w:tabs>
                <w:tab w:val="left" w:pos="360"/>
                <w:tab w:val="left" w:pos="480"/>
                <w:tab w:val="left" w:pos="960"/>
                <w:tab w:val="left" w:pos="1320"/>
                <w:tab w:val="left" w:pos="1800"/>
                <w:tab w:val="left" w:pos="2760"/>
              </w:tabs>
              <w:spacing w:before="120" w:line="240" w:lineRule="exact"/>
            </w:pPr>
          </w:p>
        </w:tc>
        <w:tc>
          <w:tcPr>
            <w:tcW w:w="720" w:type="dxa"/>
            <w:tcBorders>
              <w:top w:val="nil"/>
              <w:left w:val="single" w:color="auto" w:sz="18" w:space="0"/>
              <w:bottom w:val="nil"/>
              <w:right w:val="single" w:color="auto" w:sz="18" w:space="0"/>
            </w:tcBorders>
          </w:tcPr>
          <w:p w:rsidRPr="002D5FF3" w:rsidR="00024B9F" w:rsidP="00791741" w:rsidRDefault="00024B9F" w14:paraId="3465CAC7"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40210AB0"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4EA3C5F9"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7BEEB898"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102CA8F1"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1C59D3A2" w14:textId="77777777">
            <w:pPr>
              <w:tabs>
                <w:tab w:val="left" w:pos="360"/>
                <w:tab w:val="left" w:pos="480"/>
                <w:tab w:val="left" w:pos="960"/>
                <w:tab w:val="left" w:pos="1320"/>
                <w:tab w:val="left" w:pos="1800"/>
                <w:tab w:val="left" w:pos="2760"/>
              </w:tabs>
              <w:spacing w:before="120" w:line="240" w:lineRule="exact"/>
            </w:pPr>
          </w:p>
        </w:tc>
      </w:tr>
      <w:tr w:rsidRPr="004869E2" w:rsidR="00024B9F" w:rsidTr="00791741" w14:paraId="72F25139" w14:textId="77777777">
        <w:tc>
          <w:tcPr>
            <w:tcW w:w="1495" w:type="dxa"/>
            <w:tcBorders>
              <w:right w:val="single" w:color="auto" w:sz="18" w:space="0"/>
            </w:tcBorders>
          </w:tcPr>
          <w:p w:rsidRPr="002D5FF3" w:rsidR="00024B9F" w:rsidP="00D923C7" w:rsidRDefault="005F1AC0" w14:paraId="7905563D" w14:textId="7350A208">
            <w:pPr>
              <w:tabs>
                <w:tab w:val="left" w:pos="360"/>
                <w:tab w:val="left" w:pos="480"/>
                <w:tab w:val="left" w:pos="960"/>
                <w:tab w:val="left" w:pos="1320"/>
                <w:tab w:val="left" w:pos="1800"/>
                <w:tab w:val="left" w:pos="2760"/>
              </w:tabs>
              <w:spacing w:before="120" w:line="240" w:lineRule="exact"/>
              <w:rPr>
                <w:b/>
              </w:rPr>
            </w:pPr>
            <w:r w:rsidRPr="002D5FF3">
              <w:rPr>
                <w:b/>
              </w:rPr>
              <w:t>Fiscal Year 2023</w:t>
            </w:r>
          </w:p>
        </w:tc>
        <w:tc>
          <w:tcPr>
            <w:tcW w:w="1297" w:type="dxa"/>
            <w:tcBorders>
              <w:top w:val="nil"/>
              <w:left w:val="single" w:color="auto" w:sz="18" w:space="0"/>
              <w:bottom w:val="nil"/>
            </w:tcBorders>
          </w:tcPr>
          <w:p w:rsidRPr="002D5FF3" w:rsidR="00024B9F" w:rsidP="00791741" w:rsidRDefault="00024B9F" w14:paraId="5CCA6223"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5B23BBD8"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04EA333A"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27BBDECF"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right w:val="single" w:color="auto" w:sz="18" w:space="0"/>
            </w:tcBorders>
          </w:tcPr>
          <w:p w:rsidRPr="002D5FF3" w:rsidR="00024B9F" w:rsidP="00791741" w:rsidRDefault="00024B9F" w14:paraId="6D5F8184" w14:textId="77777777">
            <w:pPr>
              <w:tabs>
                <w:tab w:val="left" w:pos="360"/>
                <w:tab w:val="left" w:pos="480"/>
                <w:tab w:val="left" w:pos="960"/>
                <w:tab w:val="left" w:pos="1320"/>
                <w:tab w:val="left" w:pos="1800"/>
                <w:tab w:val="left" w:pos="2760"/>
              </w:tabs>
              <w:spacing w:before="120" w:line="240" w:lineRule="exact"/>
            </w:pPr>
          </w:p>
        </w:tc>
        <w:tc>
          <w:tcPr>
            <w:tcW w:w="720" w:type="dxa"/>
            <w:tcBorders>
              <w:top w:val="nil"/>
              <w:left w:val="single" w:color="auto" w:sz="18" w:space="0"/>
              <w:bottom w:val="nil"/>
              <w:right w:val="single" w:color="auto" w:sz="18" w:space="0"/>
            </w:tcBorders>
          </w:tcPr>
          <w:p w:rsidRPr="002D5FF3" w:rsidR="00024B9F" w:rsidP="00791741" w:rsidRDefault="00024B9F" w14:paraId="03F88863"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7094F2F0"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1D38CB23"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26D5D190"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73D53E9A"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56CF8A1D" w14:textId="77777777">
            <w:pPr>
              <w:tabs>
                <w:tab w:val="left" w:pos="360"/>
                <w:tab w:val="left" w:pos="480"/>
                <w:tab w:val="left" w:pos="960"/>
                <w:tab w:val="left" w:pos="1320"/>
                <w:tab w:val="left" w:pos="1800"/>
                <w:tab w:val="left" w:pos="2760"/>
              </w:tabs>
              <w:spacing w:before="120" w:line="240" w:lineRule="exact"/>
            </w:pPr>
          </w:p>
        </w:tc>
      </w:tr>
      <w:tr w:rsidRPr="004869E2" w:rsidR="00024B9F" w:rsidTr="00791741" w14:paraId="311DFAD0" w14:textId="77777777">
        <w:tc>
          <w:tcPr>
            <w:tcW w:w="1495" w:type="dxa"/>
            <w:tcBorders>
              <w:right w:val="single" w:color="auto" w:sz="18" w:space="0"/>
            </w:tcBorders>
          </w:tcPr>
          <w:p w:rsidRPr="002D5FF3" w:rsidR="00024B9F" w:rsidP="00791741" w:rsidRDefault="00024B9F" w14:paraId="5522FDFA" w14:textId="77777777">
            <w:pPr>
              <w:tabs>
                <w:tab w:val="left" w:pos="360"/>
                <w:tab w:val="left" w:pos="480"/>
                <w:tab w:val="left" w:pos="960"/>
                <w:tab w:val="left" w:pos="1320"/>
                <w:tab w:val="left" w:pos="1800"/>
                <w:tab w:val="left" w:pos="2760"/>
              </w:tabs>
              <w:spacing w:before="120" w:line="240" w:lineRule="exact"/>
            </w:pPr>
            <w:r w:rsidRPr="002D5FF3">
              <w:t>Initiation</w:t>
            </w:r>
          </w:p>
        </w:tc>
        <w:tc>
          <w:tcPr>
            <w:tcW w:w="1297" w:type="dxa"/>
            <w:tcBorders>
              <w:top w:val="nil"/>
              <w:left w:val="single" w:color="auto" w:sz="18" w:space="0"/>
              <w:bottom w:val="nil"/>
            </w:tcBorders>
          </w:tcPr>
          <w:p w:rsidRPr="002D5FF3" w:rsidR="00024B9F" w:rsidP="00624255" w:rsidRDefault="00516912" w14:paraId="3A764CD7" w14:textId="071FE86A">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p>
        </w:tc>
        <w:tc>
          <w:tcPr>
            <w:tcW w:w="337" w:type="dxa"/>
            <w:tcBorders>
              <w:top w:val="nil"/>
              <w:bottom w:val="nil"/>
            </w:tcBorders>
          </w:tcPr>
          <w:p w:rsidRPr="002D5FF3" w:rsidR="00024B9F" w:rsidP="00791741" w:rsidRDefault="00024B9F" w14:paraId="676EB8F5"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791741" w:rsidRDefault="00024B9F" w14:paraId="1DBA7B94"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162397D0"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624255" w:rsidRDefault="005F1AC0" w14:paraId="6E83BF21" w14:textId="593664AE">
            <w:pPr>
              <w:tabs>
                <w:tab w:val="left" w:pos="360"/>
                <w:tab w:val="left" w:pos="480"/>
                <w:tab w:val="left" w:pos="960"/>
                <w:tab w:val="left" w:pos="1320"/>
                <w:tab w:val="left" w:pos="1800"/>
                <w:tab w:val="left" w:pos="2760"/>
              </w:tabs>
              <w:spacing w:before="120" w:line="240" w:lineRule="exact"/>
              <w:jc w:val="center"/>
            </w:pPr>
            <w:r w:rsidRPr="002D5FF3">
              <w:t xml:space="preserve">  </w:t>
            </w:r>
            <w:r w:rsidR="00ED0168">
              <w:t xml:space="preserve">  </w:t>
            </w:r>
            <w:r w:rsidRPr="002D5FF3">
              <w:t>900</w:t>
            </w:r>
          </w:p>
        </w:tc>
        <w:tc>
          <w:tcPr>
            <w:tcW w:w="720" w:type="dxa"/>
            <w:tcBorders>
              <w:top w:val="nil"/>
              <w:left w:val="single" w:color="auto" w:sz="18" w:space="0"/>
              <w:bottom w:val="nil"/>
              <w:right w:val="single" w:color="auto" w:sz="18" w:space="0"/>
            </w:tcBorders>
          </w:tcPr>
          <w:p w:rsidRPr="002D5FF3" w:rsidR="00024B9F" w:rsidP="00791741" w:rsidRDefault="00024B9F" w14:paraId="4F485A83"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tcPr>
          <w:p w:rsidRPr="002D5FF3" w:rsidR="00024B9F" w:rsidP="00791741" w:rsidRDefault="00516912" w14:paraId="25C52171" w14:textId="373FFB91">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p>
        </w:tc>
        <w:tc>
          <w:tcPr>
            <w:tcW w:w="337" w:type="dxa"/>
            <w:tcBorders>
              <w:top w:val="nil"/>
              <w:bottom w:val="nil"/>
            </w:tcBorders>
          </w:tcPr>
          <w:p w:rsidRPr="002D5FF3" w:rsidR="00024B9F" w:rsidP="00791741" w:rsidRDefault="00024B9F" w14:paraId="16A0BB54"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791741" w:rsidRDefault="00024B9F" w14:paraId="2F3F3FBC"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287CEE4F"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5F1AC0" w14:paraId="5BCF0C76" w14:textId="683C32EF">
            <w:pPr>
              <w:tabs>
                <w:tab w:val="left" w:pos="360"/>
                <w:tab w:val="left" w:pos="480"/>
                <w:tab w:val="left" w:pos="960"/>
                <w:tab w:val="left" w:pos="1320"/>
                <w:tab w:val="left" w:pos="1800"/>
                <w:tab w:val="left" w:pos="2760"/>
              </w:tabs>
              <w:spacing w:before="120" w:line="240" w:lineRule="exact"/>
              <w:jc w:val="center"/>
            </w:pPr>
            <w:r w:rsidRPr="002D5FF3">
              <w:t xml:space="preserve"> </w:t>
            </w:r>
            <w:r w:rsidR="00516912">
              <w:t xml:space="preserve"> </w:t>
            </w:r>
            <w:r w:rsidRPr="002D5FF3">
              <w:t>900</w:t>
            </w:r>
          </w:p>
        </w:tc>
      </w:tr>
      <w:tr w:rsidRPr="004869E2" w:rsidR="00024B9F" w:rsidTr="00791741" w14:paraId="0FBA073F" w14:textId="77777777">
        <w:tc>
          <w:tcPr>
            <w:tcW w:w="1495" w:type="dxa"/>
            <w:tcBorders>
              <w:right w:val="single" w:color="auto" w:sz="18" w:space="0"/>
            </w:tcBorders>
          </w:tcPr>
          <w:p w:rsidRPr="002D5FF3" w:rsidR="00024B9F" w:rsidP="00791741" w:rsidRDefault="00024B9F" w14:paraId="662BBF46" w14:textId="77777777">
            <w:pPr>
              <w:tabs>
                <w:tab w:val="left" w:pos="360"/>
                <w:tab w:val="left" w:pos="480"/>
                <w:tab w:val="left" w:pos="960"/>
                <w:tab w:val="left" w:pos="1320"/>
                <w:tab w:val="left" w:pos="1800"/>
                <w:tab w:val="left" w:pos="2760"/>
              </w:tabs>
              <w:spacing w:before="120" w:line="240" w:lineRule="exact"/>
            </w:pPr>
            <w:r w:rsidRPr="002D5FF3">
              <w:t>Repricing</w:t>
            </w:r>
          </w:p>
        </w:tc>
        <w:tc>
          <w:tcPr>
            <w:tcW w:w="1297" w:type="dxa"/>
            <w:tcBorders>
              <w:top w:val="nil"/>
              <w:left w:val="single" w:color="auto" w:sz="18" w:space="0"/>
              <w:bottom w:val="nil"/>
            </w:tcBorders>
          </w:tcPr>
          <w:p w:rsidRPr="002D5FF3" w:rsidR="00024B9F" w:rsidP="00624255" w:rsidRDefault="00C7311A" w14:paraId="3755C5BC" w14:textId="60813B84">
            <w:pPr>
              <w:tabs>
                <w:tab w:val="left" w:pos="360"/>
                <w:tab w:val="left" w:pos="480"/>
                <w:tab w:val="left" w:pos="960"/>
                <w:tab w:val="left" w:pos="1320"/>
                <w:tab w:val="left" w:pos="1800"/>
                <w:tab w:val="left" w:pos="2760"/>
              </w:tabs>
              <w:spacing w:before="120" w:line="240" w:lineRule="exact"/>
              <w:jc w:val="center"/>
            </w:pPr>
            <w:r w:rsidRPr="002D5FF3">
              <w:t>1</w:t>
            </w:r>
            <w:r w:rsidRPr="002D5FF3" w:rsidR="005F1AC0">
              <w:t>500</w:t>
            </w:r>
          </w:p>
        </w:tc>
        <w:tc>
          <w:tcPr>
            <w:tcW w:w="337" w:type="dxa"/>
            <w:tcBorders>
              <w:top w:val="nil"/>
              <w:bottom w:val="nil"/>
            </w:tcBorders>
          </w:tcPr>
          <w:p w:rsidRPr="002D5FF3" w:rsidR="00024B9F" w:rsidP="00791741" w:rsidRDefault="00024B9F" w14:paraId="708F86F3"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624255" w:rsidRDefault="00C7311A" w14:paraId="4D390752" w14:textId="64820856">
            <w:pPr>
              <w:tabs>
                <w:tab w:val="left" w:pos="360"/>
                <w:tab w:val="left" w:pos="480"/>
                <w:tab w:val="left" w:pos="960"/>
                <w:tab w:val="left" w:pos="1320"/>
                <w:tab w:val="left" w:pos="1800"/>
                <w:tab w:val="left" w:pos="2760"/>
              </w:tabs>
              <w:spacing w:before="120" w:line="240" w:lineRule="exact"/>
              <w:jc w:val="center"/>
            </w:pPr>
            <w:r w:rsidRPr="002D5FF3">
              <w:t>9</w:t>
            </w:r>
            <w:r w:rsidRPr="002D5FF3" w:rsidR="00024B9F">
              <w:t>.</w:t>
            </w:r>
            <w:r w:rsidRPr="002D5FF3" w:rsidR="005F1AC0">
              <w:t>1</w:t>
            </w:r>
          </w:p>
        </w:tc>
        <w:tc>
          <w:tcPr>
            <w:tcW w:w="337" w:type="dxa"/>
            <w:tcBorders>
              <w:top w:val="nil"/>
              <w:bottom w:val="nil"/>
            </w:tcBorders>
          </w:tcPr>
          <w:p w:rsidRPr="002D5FF3" w:rsidR="00024B9F" w:rsidP="00791741" w:rsidRDefault="00024B9F" w14:paraId="1FDAB620"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791741" w:rsidRDefault="005F1AC0" w14:paraId="24899B3B" w14:textId="1646366C">
            <w:pPr>
              <w:tabs>
                <w:tab w:val="left" w:pos="360"/>
                <w:tab w:val="left" w:pos="480"/>
                <w:tab w:val="left" w:pos="960"/>
                <w:tab w:val="left" w:pos="1320"/>
                <w:tab w:val="left" w:pos="1800"/>
                <w:tab w:val="left" w:pos="2760"/>
              </w:tabs>
              <w:spacing w:before="120" w:line="240" w:lineRule="exact"/>
              <w:jc w:val="center"/>
            </w:pPr>
            <w:r w:rsidRPr="002D5FF3">
              <w:t>13650</w:t>
            </w:r>
          </w:p>
        </w:tc>
        <w:tc>
          <w:tcPr>
            <w:tcW w:w="720" w:type="dxa"/>
            <w:tcBorders>
              <w:top w:val="nil"/>
              <w:left w:val="single" w:color="auto" w:sz="18" w:space="0"/>
              <w:bottom w:val="nil"/>
              <w:right w:val="single" w:color="auto" w:sz="18" w:space="0"/>
            </w:tcBorders>
          </w:tcPr>
          <w:p w:rsidRPr="002D5FF3" w:rsidR="00024B9F" w:rsidP="00791741" w:rsidRDefault="00024B9F" w14:paraId="4E14E35A"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tcPr>
          <w:p w:rsidRPr="002D5FF3" w:rsidR="00024B9F" w:rsidP="00791741" w:rsidRDefault="005F1AC0" w14:paraId="1262C106" w14:textId="3F0DC3D0">
            <w:pPr>
              <w:tabs>
                <w:tab w:val="left" w:pos="360"/>
                <w:tab w:val="left" w:pos="480"/>
                <w:tab w:val="left" w:pos="960"/>
                <w:tab w:val="left" w:pos="1320"/>
                <w:tab w:val="left" w:pos="1800"/>
                <w:tab w:val="left" w:pos="2760"/>
              </w:tabs>
              <w:spacing w:before="120" w:line="240" w:lineRule="exact"/>
              <w:jc w:val="center"/>
            </w:pPr>
            <w:r w:rsidRPr="002D5FF3">
              <w:t>13650</w:t>
            </w:r>
          </w:p>
        </w:tc>
        <w:tc>
          <w:tcPr>
            <w:tcW w:w="337" w:type="dxa"/>
            <w:tcBorders>
              <w:top w:val="nil"/>
              <w:bottom w:val="nil"/>
            </w:tcBorders>
          </w:tcPr>
          <w:p w:rsidRPr="002D5FF3" w:rsidR="00024B9F" w:rsidP="00791741" w:rsidRDefault="00024B9F" w14:paraId="7193C809"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624255" w:rsidRDefault="005F1AC0" w14:paraId="4D6DFEB3" w14:textId="325F7743">
            <w:pPr>
              <w:tabs>
                <w:tab w:val="left" w:pos="360"/>
                <w:tab w:val="left" w:pos="480"/>
                <w:tab w:val="left" w:pos="960"/>
                <w:tab w:val="left" w:pos="1320"/>
                <w:tab w:val="left" w:pos="1800"/>
                <w:tab w:val="left" w:pos="2760"/>
              </w:tabs>
              <w:spacing w:before="120" w:line="240" w:lineRule="exact"/>
              <w:jc w:val="center"/>
            </w:pPr>
            <w:r w:rsidRPr="002D5FF3">
              <w:t>0.4277</w:t>
            </w:r>
          </w:p>
        </w:tc>
        <w:tc>
          <w:tcPr>
            <w:tcW w:w="337" w:type="dxa"/>
            <w:tcBorders>
              <w:top w:val="nil"/>
              <w:bottom w:val="nil"/>
            </w:tcBorders>
          </w:tcPr>
          <w:p w:rsidRPr="002D5FF3" w:rsidR="00024B9F" w:rsidP="00791741" w:rsidRDefault="00024B9F" w14:paraId="0FD0F591"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5F1AC0" w14:paraId="5E697BAA" w14:textId="48B0A111">
            <w:pPr>
              <w:tabs>
                <w:tab w:val="left" w:pos="360"/>
                <w:tab w:val="left" w:pos="480"/>
                <w:tab w:val="left" w:pos="960"/>
                <w:tab w:val="left" w:pos="1320"/>
                <w:tab w:val="left" w:pos="1800"/>
                <w:tab w:val="left" w:pos="2760"/>
              </w:tabs>
              <w:spacing w:before="120" w:line="240" w:lineRule="exact"/>
              <w:jc w:val="center"/>
            </w:pPr>
            <w:r w:rsidRPr="002D5FF3">
              <w:t>5838</w:t>
            </w:r>
          </w:p>
        </w:tc>
      </w:tr>
      <w:tr w:rsidRPr="004869E2" w:rsidR="00024B9F" w:rsidTr="00791741" w14:paraId="25451821" w14:textId="77777777">
        <w:tc>
          <w:tcPr>
            <w:tcW w:w="1495" w:type="dxa"/>
            <w:tcBorders>
              <w:right w:val="single" w:color="auto" w:sz="18" w:space="0"/>
            </w:tcBorders>
            <w:shd w:val="clear" w:color="auto" w:fill="E6E6E6"/>
          </w:tcPr>
          <w:p w:rsidRPr="002D5FF3" w:rsidR="00024B9F" w:rsidP="00791741" w:rsidRDefault="00024B9F" w14:paraId="6EB4B13C"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297" w:type="dxa"/>
            <w:tcBorders>
              <w:top w:val="nil"/>
              <w:left w:val="single" w:color="auto" w:sz="18" w:space="0"/>
              <w:bottom w:val="nil"/>
            </w:tcBorders>
            <w:shd w:val="clear" w:color="auto" w:fill="E6E6E6"/>
          </w:tcPr>
          <w:p w:rsidRPr="002D5FF3" w:rsidR="00024B9F" w:rsidP="00791741" w:rsidRDefault="0045255D" w14:paraId="2500313A" w14:textId="7702DCDA">
            <w:pPr>
              <w:tabs>
                <w:tab w:val="left" w:pos="360"/>
                <w:tab w:val="left" w:pos="480"/>
                <w:tab w:val="left" w:pos="960"/>
                <w:tab w:val="left" w:pos="1320"/>
                <w:tab w:val="left" w:pos="1800"/>
                <w:tab w:val="left" w:pos="2760"/>
              </w:tabs>
              <w:spacing w:before="120" w:line="240" w:lineRule="exact"/>
              <w:jc w:val="center"/>
            </w:pPr>
            <w:r w:rsidRPr="002D5FF3">
              <w:t>2400</w:t>
            </w:r>
          </w:p>
        </w:tc>
        <w:tc>
          <w:tcPr>
            <w:tcW w:w="337" w:type="dxa"/>
            <w:tcBorders>
              <w:top w:val="nil"/>
              <w:bottom w:val="nil"/>
            </w:tcBorders>
            <w:shd w:val="clear" w:color="auto" w:fill="E6E6E6"/>
          </w:tcPr>
          <w:p w:rsidRPr="002D5FF3" w:rsidR="00024B9F" w:rsidP="00791741" w:rsidRDefault="00024B9F" w14:paraId="136D3D3D"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tcBorders>
            <w:shd w:val="clear" w:color="auto" w:fill="E6E6E6"/>
          </w:tcPr>
          <w:p w:rsidRPr="002D5FF3" w:rsidR="00024B9F" w:rsidP="00791741" w:rsidRDefault="00024B9F" w14:paraId="60D3055B"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nil"/>
            </w:tcBorders>
            <w:shd w:val="clear" w:color="auto" w:fill="E6E6E6"/>
          </w:tcPr>
          <w:p w:rsidRPr="002D5FF3" w:rsidR="00024B9F" w:rsidP="00791741" w:rsidRDefault="00024B9F" w14:paraId="1A8156BE"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right w:val="single" w:color="auto" w:sz="18" w:space="0"/>
            </w:tcBorders>
            <w:shd w:val="clear" w:color="auto" w:fill="E6E6E6"/>
          </w:tcPr>
          <w:p w:rsidRPr="002D5FF3" w:rsidR="00024B9F" w:rsidP="00791741" w:rsidRDefault="005F1AC0" w14:paraId="6EE972F7" w14:textId="265558C2">
            <w:pPr>
              <w:tabs>
                <w:tab w:val="left" w:pos="360"/>
                <w:tab w:val="left" w:pos="480"/>
                <w:tab w:val="left" w:pos="960"/>
                <w:tab w:val="left" w:pos="1320"/>
                <w:tab w:val="left" w:pos="1800"/>
                <w:tab w:val="left" w:pos="2760"/>
              </w:tabs>
              <w:spacing w:before="120" w:line="240" w:lineRule="exact"/>
              <w:jc w:val="center"/>
            </w:pPr>
            <w:r w:rsidRPr="002D5FF3">
              <w:t>14550</w:t>
            </w:r>
          </w:p>
        </w:tc>
        <w:tc>
          <w:tcPr>
            <w:tcW w:w="720" w:type="dxa"/>
            <w:tcBorders>
              <w:top w:val="nil"/>
              <w:left w:val="single" w:color="auto" w:sz="18" w:space="0"/>
              <w:bottom w:val="nil"/>
              <w:right w:val="single" w:color="auto" w:sz="18" w:space="0"/>
            </w:tcBorders>
            <w:shd w:val="clear" w:color="auto" w:fill="E6E6E6"/>
          </w:tcPr>
          <w:p w:rsidRPr="002D5FF3" w:rsidR="00024B9F" w:rsidP="00791741" w:rsidRDefault="00024B9F" w14:paraId="0CEC5390"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shd w:val="clear" w:color="auto" w:fill="E6E6E6"/>
          </w:tcPr>
          <w:p w:rsidRPr="002D5FF3" w:rsidR="00024B9F" w:rsidP="00791741" w:rsidRDefault="005F1AC0" w14:paraId="614E6918" w14:textId="27671214">
            <w:pPr>
              <w:tabs>
                <w:tab w:val="left" w:pos="360"/>
                <w:tab w:val="left" w:pos="480"/>
                <w:tab w:val="left" w:pos="960"/>
                <w:tab w:val="left" w:pos="1320"/>
                <w:tab w:val="left" w:pos="1800"/>
                <w:tab w:val="left" w:pos="2760"/>
              </w:tabs>
              <w:spacing w:before="120" w:line="240" w:lineRule="exact"/>
              <w:jc w:val="center"/>
            </w:pPr>
            <w:r w:rsidRPr="002D5FF3">
              <w:t>14550</w:t>
            </w:r>
          </w:p>
        </w:tc>
        <w:tc>
          <w:tcPr>
            <w:tcW w:w="337" w:type="dxa"/>
            <w:tcBorders>
              <w:top w:val="nil"/>
              <w:bottom w:val="nil"/>
            </w:tcBorders>
            <w:shd w:val="clear" w:color="auto" w:fill="E6E6E6"/>
          </w:tcPr>
          <w:p w:rsidRPr="002D5FF3" w:rsidR="00024B9F" w:rsidP="00791741" w:rsidRDefault="00024B9F" w14:paraId="182296E3"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tcBorders>
            <w:shd w:val="clear" w:color="auto" w:fill="E6E6E6"/>
          </w:tcPr>
          <w:p w:rsidRPr="002D5FF3" w:rsidR="00024B9F" w:rsidP="00791741" w:rsidRDefault="00024B9F" w14:paraId="02033BCA"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nil"/>
            </w:tcBorders>
            <w:shd w:val="clear" w:color="auto" w:fill="E6E6E6"/>
          </w:tcPr>
          <w:p w:rsidRPr="002D5FF3" w:rsidR="00024B9F" w:rsidP="00791741" w:rsidRDefault="00024B9F" w14:paraId="51196622"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nil"/>
            </w:tcBorders>
            <w:shd w:val="clear" w:color="auto" w:fill="E6E6E6"/>
          </w:tcPr>
          <w:p w:rsidRPr="002D5FF3" w:rsidR="00024B9F" w:rsidP="00791741" w:rsidRDefault="005F1AC0" w14:paraId="56701792" w14:textId="274A4729">
            <w:pPr>
              <w:tabs>
                <w:tab w:val="left" w:pos="360"/>
                <w:tab w:val="left" w:pos="480"/>
                <w:tab w:val="left" w:pos="960"/>
                <w:tab w:val="left" w:pos="1320"/>
                <w:tab w:val="left" w:pos="1800"/>
                <w:tab w:val="left" w:pos="2760"/>
              </w:tabs>
              <w:spacing w:before="120" w:line="240" w:lineRule="exact"/>
              <w:jc w:val="center"/>
            </w:pPr>
            <w:r w:rsidRPr="002D5FF3">
              <w:t>6738</w:t>
            </w:r>
          </w:p>
        </w:tc>
      </w:tr>
      <w:tr w:rsidRPr="004869E2" w:rsidR="00024B9F" w:rsidTr="00791741" w14:paraId="632A50A4" w14:textId="77777777">
        <w:tc>
          <w:tcPr>
            <w:tcW w:w="1495" w:type="dxa"/>
            <w:tcBorders>
              <w:right w:val="single" w:color="auto" w:sz="18" w:space="0"/>
            </w:tcBorders>
          </w:tcPr>
          <w:p w:rsidRPr="002D5FF3" w:rsidR="00024B9F" w:rsidP="00791741" w:rsidRDefault="00024B9F" w14:paraId="66BB6687"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3E594041"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0102D715"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6501EF75"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164C4981"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right w:val="single" w:color="auto" w:sz="18" w:space="0"/>
            </w:tcBorders>
          </w:tcPr>
          <w:p w:rsidRPr="002D5FF3" w:rsidR="00024B9F" w:rsidP="00791741" w:rsidRDefault="00024B9F" w14:paraId="07AC8B52" w14:textId="77777777">
            <w:pPr>
              <w:tabs>
                <w:tab w:val="left" w:pos="360"/>
                <w:tab w:val="left" w:pos="480"/>
                <w:tab w:val="left" w:pos="960"/>
                <w:tab w:val="left" w:pos="1320"/>
                <w:tab w:val="left" w:pos="1800"/>
                <w:tab w:val="left" w:pos="2760"/>
              </w:tabs>
              <w:spacing w:before="120" w:line="240" w:lineRule="exact"/>
            </w:pPr>
          </w:p>
        </w:tc>
        <w:tc>
          <w:tcPr>
            <w:tcW w:w="720" w:type="dxa"/>
            <w:tcBorders>
              <w:top w:val="nil"/>
              <w:left w:val="single" w:color="auto" w:sz="18" w:space="0"/>
              <w:bottom w:val="nil"/>
              <w:right w:val="single" w:color="auto" w:sz="18" w:space="0"/>
            </w:tcBorders>
          </w:tcPr>
          <w:p w:rsidRPr="002D5FF3" w:rsidR="00024B9F" w:rsidP="00791741" w:rsidRDefault="00024B9F" w14:paraId="016977C6"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46249622"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04A080D4"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1C7B083B"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36F7704A"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4D9B8AD8" w14:textId="77777777">
            <w:pPr>
              <w:tabs>
                <w:tab w:val="left" w:pos="360"/>
                <w:tab w:val="left" w:pos="480"/>
                <w:tab w:val="left" w:pos="960"/>
                <w:tab w:val="left" w:pos="1320"/>
                <w:tab w:val="left" w:pos="1800"/>
                <w:tab w:val="left" w:pos="2760"/>
              </w:tabs>
              <w:spacing w:before="120" w:line="240" w:lineRule="exact"/>
            </w:pPr>
          </w:p>
        </w:tc>
      </w:tr>
      <w:tr w:rsidRPr="004869E2" w:rsidR="00024B9F" w:rsidTr="00791741" w14:paraId="5F3E398A" w14:textId="77777777">
        <w:tc>
          <w:tcPr>
            <w:tcW w:w="1495" w:type="dxa"/>
            <w:tcBorders>
              <w:right w:val="single" w:color="auto" w:sz="18" w:space="0"/>
            </w:tcBorders>
          </w:tcPr>
          <w:p w:rsidRPr="002D5FF3" w:rsidR="00024B9F" w:rsidP="00D923C7" w:rsidRDefault="005F1AC0" w14:paraId="69648B0D" w14:textId="78227A9B">
            <w:pPr>
              <w:tabs>
                <w:tab w:val="left" w:pos="360"/>
                <w:tab w:val="left" w:pos="480"/>
                <w:tab w:val="left" w:pos="960"/>
                <w:tab w:val="left" w:pos="1320"/>
                <w:tab w:val="left" w:pos="1800"/>
                <w:tab w:val="left" w:pos="2760"/>
              </w:tabs>
              <w:spacing w:before="120" w:line="240" w:lineRule="exact"/>
              <w:rPr>
                <w:b/>
              </w:rPr>
            </w:pPr>
            <w:r w:rsidRPr="002D5FF3">
              <w:rPr>
                <w:b/>
              </w:rPr>
              <w:t>Fiscal Year 2024</w:t>
            </w:r>
          </w:p>
        </w:tc>
        <w:tc>
          <w:tcPr>
            <w:tcW w:w="1297" w:type="dxa"/>
            <w:tcBorders>
              <w:top w:val="nil"/>
              <w:left w:val="single" w:color="auto" w:sz="18" w:space="0"/>
              <w:bottom w:val="nil"/>
            </w:tcBorders>
          </w:tcPr>
          <w:p w:rsidRPr="002D5FF3" w:rsidR="00024B9F" w:rsidP="00791741" w:rsidRDefault="00024B9F" w14:paraId="51376C01"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56374CFC"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22914B98"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3B0DDD36"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right w:val="single" w:color="auto" w:sz="18" w:space="0"/>
            </w:tcBorders>
          </w:tcPr>
          <w:p w:rsidRPr="002D5FF3" w:rsidR="00024B9F" w:rsidP="00791741" w:rsidRDefault="00024B9F" w14:paraId="1DEC360A" w14:textId="77777777">
            <w:pPr>
              <w:tabs>
                <w:tab w:val="left" w:pos="360"/>
                <w:tab w:val="left" w:pos="480"/>
                <w:tab w:val="left" w:pos="960"/>
                <w:tab w:val="left" w:pos="1320"/>
                <w:tab w:val="left" w:pos="1800"/>
                <w:tab w:val="left" w:pos="2760"/>
              </w:tabs>
              <w:spacing w:before="120" w:line="240" w:lineRule="exact"/>
            </w:pPr>
          </w:p>
        </w:tc>
        <w:tc>
          <w:tcPr>
            <w:tcW w:w="720" w:type="dxa"/>
            <w:tcBorders>
              <w:top w:val="nil"/>
              <w:left w:val="single" w:color="auto" w:sz="18" w:space="0"/>
              <w:bottom w:val="nil"/>
              <w:right w:val="single" w:color="auto" w:sz="18" w:space="0"/>
            </w:tcBorders>
          </w:tcPr>
          <w:p w:rsidRPr="002D5FF3" w:rsidR="00024B9F" w:rsidP="00791741" w:rsidRDefault="00024B9F" w14:paraId="09E1D3CF"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left w:val="single" w:color="auto" w:sz="18" w:space="0"/>
              <w:bottom w:val="nil"/>
            </w:tcBorders>
          </w:tcPr>
          <w:p w:rsidRPr="002D5FF3" w:rsidR="00024B9F" w:rsidP="00791741" w:rsidRDefault="00024B9F" w14:paraId="37876C30"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614E4BEC"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13C37873" w14:textId="77777777">
            <w:pPr>
              <w:tabs>
                <w:tab w:val="left" w:pos="360"/>
                <w:tab w:val="left" w:pos="480"/>
                <w:tab w:val="left" w:pos="960"/>
                <w:tab w:val="left" w:pos="1320"/>
                <w:tab w:val="left" w:pos="1800"/>
                <w:tab w:val="left" w:pos="2760"/>
              </w:tabs>
              <w:spacing w:before="120" w:line="240" w:lineRule="exact"/>
            </w:pPr>
          </w:p>
        </w:tc>
        <w:tc>
          <w:tcPr>
            <w:tcW w:w="337" w:type="dxa"/>
            <w:tcBorders>
              <w:top w:val="nil"/>
              <w:bottom w:val="nil"/>
            </w:tcBorders>
          </w:tcPr>
          <w:p w:rsidRPr="002D5FF3" w:rsidR="00024B9F" w:rsidP="00791741" w:rsidRDefault="00024B9F" w14:paraId="4CF093D7" w14:textId="77777777">
            <w:pPr>
              <w:tabs>
                <w:tab w:val="left" w:pos="360"/>
                <w:tab w:val="left" w:pos="480"/>
                <w:tab w:val="left" w:pos="960"/>
                <w:tab w:val="left" w:pos="1320"/>
                <w:tab w:val="left" w:pos="1800"/>
                <w:tab w:val="left" w:pos="2760"/>
              </w:tabs>
              <w:spacing w:before="120" w:line="240" w:lineRule="exact"/>
            </w:pPr>
          </w:p>
        </w:tc>
        <w:tc>
          <w:tcPr>
            <w:tcW w:w="1297" w:type="dxa"/>
            <w:tcBorders>
              <w:top w:val="nil"/>
              <w:bottom w:val="nil"/>
            </w:tcBorders>
          </w:tcPr>
          <w:p w:rsidRPr="002D5FF3" w:rsidR="00024B9F" w:rsidP="00791741" w:rsidRDefault="00024B9F" w14:paraId="4464848F" w14:textId="77777777">
            <w:pPr>
              <w:tabs>
                <w:tab w:val="left" w:pos="360"/>
                <w:tab w:val="left" w:pos="480"/>
                <w:tab w:val="left" w:pos="960"/>
                <w:tab w:val="left" w:pos="1320"/>
                <w:tab w:val="left" w:pos="1800"/>
                <w:tab w:val="left" w:pos="2760"/>
              </w:tabs>
              <w:spacing w:before="120" w:line="240" w:lineRule="exact"/>
            </w:pPr>
          </w:p>
        </w:tc>
      </w:tr>
      <w:tr w:rsidRPr="004869E2" w:rsidR="00024B9F" w:rsidTr="00791741" w14:paraId="0770A986" w14:textId="77777777">
        <w:tc>
          <w:tcPr>
            <w:tcW w:w="1495" w:type="dxa"/>
            <w:tcBorders>
              <w:right w:val="single" w:color="auto" w:sz="18" w:space="0"/>
            </w:tcBorders>
          </w:tcPr>
          <w:p w:rsidRPr="002D5FF3" w:rsidR="00024B9F" w:rsidP="00791741" w:rsidRDefault="00024B9F" w14:paraId="713249EF" w14:textId="77777777">
            <w:pPr>
              <w:tabs>
                <w:tab w:val="left" w:pos="360"/>
                <w:tab w:val="left" w:pos="480"/>
                <w:tab w:val="left" w:pos="960"/>
                <w:tab w:val="left" w:pos="1320"/>
                <w:tab w:val="left" w:pos="1800"/>
                <w:tab w:val="left" w:pos="2760"/>
              </w:tabs>
              <w:spacing w:before="120" w:line="240" w:lineRule="exact"/>
            </w:pPr>
            <w:r w:rsidRPr="002D5FF3">
              <w:t>Initiation</w:t>
            </w:r>
          </w:p>
        </w:tc>
        <w:tc>
          <w:tcPr>
            <w:tcW w:w="1297" w:type="dxa"/>
            <w:tcBorders>
              <w:top w:val="nil"/>
              <w:left w:val="single" w:color="auto" w:sz="18" w:space="0"/>
              <w:bottom w:val="nil"/>
            </w:tcBorders>
          </w:tcPr>
          <w:p w:rsidRPr="002D5FF3" w:rsidR="00024B9F" w:rsidP="00791741" w:rsidRDefault="000A12AA" w14:paraId="314B37C2" w14:textId="464299EB">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p>
        </w:tc>
        <w:tc>
          <w:tcPr>
            <w:tcW w:w="337" w:type="dxa"/>
            <w:tcBorders>
              <w:top w:val="nil"/>
              <w:bottom w:val="nil"/>
            </w:tcBorders>
          </w:tcPr>
          <w:p w:rsidRPr="002D5FF3" w:rsidR="00024B9F" w:rsidP="00791741" w:rsidRDefault="00024B9F" w14:paraId="2DA6D08A"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791741" w:rsidRDefault="00024B9F" w14:paraId="739B0769"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1D7839B6"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791741" w:rsidRDefault="005F1AC0" w14:paraId="284ACA9E" w14:textId="38DFF3CA">
            <w:pPr>
              <w:tabs>
                <w:tab w:val="left" w:pos="360"/>
                <w:tab w:val="left" w:pos="480"/>
                <w:tab w:val="left" w:pos="960"/>
                <w:tab w:val="left" w:pos="1320"/>
                <w:tab w:val="left" w:pos="1800"/>
                <w:tab w:val="left" w:pos="2760"/>
              </w:tabs>
              <w:spacing w:before="120" w:line="240" w:lineRule="exact"/>
              <w:jc w:val="center"/>
            </w:pPr>
            <w:r w:rsidRPr="002D5FF3">
              <w:t xml:space="preserve">  </w:t>
            </w:r>
            <w:r w:rsidR="000A12AA">
              <w:t xml:space="preserve">  </w:t>
            </w:r>
            <w:r w:rsidRPr="002D5FF3">
              <w:t>900</w:t>
            </w:r>
          </w:p>
        </w:tc>
        <w:tc>
          <w:tcPr>
            <w:tcW w:w="720" w:type="dxa"/>
            <w:tcBorders>
              <w:top w:val="nil"/>
              <w:left w:val="single" w:color="auto" w:sz="18" w:space="0"/>
              <w:bottom w:val="nil"/>
              <w:right w:val="single" w:color="auto" w:sz="18" w:space="0"/>
            </w:tcBorders>
          </w:tcPr>
          <w:p w:rsidRPr="002D5FF3" w:rsidR="00024B9F" w:rsidP="00791741" w:rsidRDefault="00024B9F" w14:paraId="584BDE86"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tcPr>
          <w:p w:rsidRPr="002D5FF3" w:rsidR="00024B9F" w:rsidP="00791741" w:rsidRDefault="000A12AA" w14:paraId="71A48D53" w14:textId="47D5B814">
            <w:pPr>
              <w:tabs>
                <w:tab w:val="left" w:pos="360"/>
                <w:tab w:val="left" w:pos="480"/>
                <w:tab w:val="left" w:pos="960"/>
                <w:tab w:val="left" w:pos="1320"/>
                <w:tab w:val="left" w:pos="1800"/>
                <w:tab w:val="left" w:pos="2760"/>
              </w:tabs>
              <w:spacing w:before="120" w:line="240" w:lineRule="exact"/>
              <w:jc w:val="center"/>
            </w:pPr>
            <w:r>
              <w:t xml:space="preserve">    </w:t>
            </w:r>
            <w:r w:rsidRPr="002D5FF3" w:rsidR="005F1AC0">
              <w:t>900</w:t>
            </w:r>
          </w:p>
        </w:tc>
        <w:tc>
          <w:tcPr>
            <w:tcW w:w="337" w:type="dxa"/>
            <w:tcBorders>
              <w:top w:val="nil"/>
              <w:bottom w:val="nil"/>
            </w:tcBorders>
          </w:tcPr>
          <w:p w:rsidRPr="002D5FF3" w:rsidR="00024B9F" w:rsidP="00791741" w:rsidRDefault="00024B9F" w14:paraId="50CE9067"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791741" w:rsidRDefault="00024B9F" w14:paraId="1F86A4F3"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37" w:type="dxa"/>
            <w:tcBorders>
              <w:top w:val="nil"/>
              <w:bottom w:val="nil"/>
            </w:tcBorders>
          </w:tcPr>
          <w:p w:rsidRPr="002D5FF3" w:rsidR="00024B9F" w:rsidP="00791741" w:rsidRDefault="00024B9F" w14:paraId="0B72B67A"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5F1AC0" w14:paraId="4ACF22A3" w14:textId="1D4F9878">
            <w:pPr>
              <w:tabs>
                <w:tab w:val="left" w:pos="360"/>
                <w:tab w:val="left" w:pos="480"/>
                <w:tab w:val="left" w:pos="960"/>
                <w:tab w:val="left" w:pos="1320"/>
                <w:tab w:val="left" w:pos="1800"/>
                <w:tab w:val="left" w:pos="2760"/>
              </w:tabs>
              <w:spacing w:before="120" w:line="240" w:lineRule="exact"/>
              <w:jc w:val="center"/>
            </w:pPr>
            <w:r w:rsidRPr="002D5FF3">
              <w:t xml:space="preserve"> </w:t>
            </w:r>
            <w:r w:rsidR="000A12AA">
              <w:t xml:space="preserve"> </w:t>
            </w:r>
            <w:r w:rsidRPr="002D5FF3">
              <w:t>900</w:t>
            </w:r>
          </w:p>
        </w:tc>
      </w:tr>
      <w:tr w:rsidRPr="004869E2" w:rsidR="00024B9F" w:rsidTr="00791741" w14:paraId="4B2491DD" w14:textId="77777777">
        <w:tc>
          <w:tcPr>
            <w:tcW w:w="1495" w:type="dxa"/>
            <w:tcBorders>
              <w:bottom w:val="nil"/>
              <w:right w:val="single" w:color="auto" w:sz="18" w:space="0"/>
            </w:tcBorders>
          </w:tcPr>
          <w:p w:rsidRPr="002D5FF3" w:rsidR="00024B9F" w:rsidP="00791741" w:rsidRDefault="00024B9F" w14:paraId="08243926" w14:textId="77777777">
            <w:pPr>
              <w:tabs>
                <w:tab w:val="left" w:pos="360"/>
                <w:tab w:val="left" w:pos="480"/>
                <w:tab w:val="left" w:pos="960"/>
                <w:tab w:val="left" w:pos="1320"/>
                <w:tab w:val="left" w:pos="1800"/>
                <w:tab w:val="left" w:pos="2760"/>
              </w:tabs>
              <w:spacing w:before="120" w:line="240" w:lineRule="exact"/>
            </w:pPr>
            <w:r w:rsidRPr="002D5FF3">
              <w:t>Repricing</w:t>
            </w:r>
          </w:p>
        </w:tc>
        <w:tc>
          <w:tcPr>
            <w:tcW w:w="1297" w:type="dxa"/>
            <w:tcBorders>
              <w:top w:val="nil"/>
              <w:left w:val="single" w:color="auto" w:sz="18" w:space="0"/>
              <w:bottom w:val="nil"/>
            </w:tcBorders>
          </w:tcPr>
          <w:p w:rsidRPr="002D5FF3" w:rsidR="00024B9F" w:rsidP="00791741" w:rsidRDefault="005F1AC0" w14:paraId="70B11482" w14:textId="0558DABA">
            <w:pPr>
              <w:tabs>
                <w:tab w:val="left" w:pos="360"/>
                <w:tab w:val="left" w:pos="480"/>
                <w:tab w:val="left" w:pos="960"/>
                <w:tab w:val="left" w:pos="1320"/>
                <w:tab w:val="left" w:pos="1800"/>
                <w:tab w:val="left" w:pos="2760"/>
              </w:tabs>
              <w:spacing w:before="120" w:line="240" w:lineRule="exact"/>
              <w:jc w:val="center"/>
            </w:pPr>
            <w:r w:rsidRPr="002D5FF3">
              <w:t>1500</w:t>
            </w:r>
          </w:p>
        </w:tc>
        <w:tc>
          <w:tcPr>
            <w:tcW w:w="337" w:type="dxa"/>
            <w:tcBorders>
              <w:top w:val="nil"/>
              <w:bottom w:val="nil"/>
            </w:tcBorders>
          </w:tcPr>
          <w:p w:rsidRPr="002D5FF3" w:rsidR="00024B9F" w:rsidP="00791741" w:rsidRDefault="00024B9F" w14:paraId="546CB7C9"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624255" w:rsidRDefault="00C7311A" w14:paraId="69D37DE6" w14:textId="2A6066CF">
            <w:pPr>
              <w:tabs>
                <w:tab w:val="left" w:pos="360"/>
                <w:tab w:val="left" w:pos="480"/>
                <w:tab w:val="left" w:pos="960"/>
                <w:tab w:val="left" w:pos="1320"/>
                <w:tab w:val="left" w:pos="1800"/>
                <w:tab w:val="left" w:pos="2760"/>
              </w:tabs>
              <w:spacing w:before="120" w:line="240" w:lineRule="exact"/>
              <w:jc w:val="center"/>
            </w:pPr>
            <w:r w:rsidRPr="002D5FF3">
              <w:t>9</w:t>
            </w:r>
            <w:r w:rsidRPr="002D5FF3" w:rsidR="00024B9F">
              <w:t>.</w:t>
            </w:r>
            <w:r w:rsidRPr="002D5FF3" w:rsidR="005F1AC0">
              <w:t>1</w:t>
            </w:r>
          </w:p>
        </w:tc>
        <w:tc>
          <w:tcPr>
            <w:tcW w:w="337" w:type="dxa"/>
            <w:tcBorders>
              <w:top w:val="nil"/>
              <w:bottom w:val="nil"/>
            </w:tcBorders>
          </w:tcPr>
          <w:p w:rsidRPr="002D5FF3" w:rsidR="00024B9F" w:rsidP="00791741" w:rsidRDefault="00024B9F" w14:paraId="7191BF43"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right w:val="single" w:color="auto" w:sz="18" w:space="0"/>
            </w:tcBorders>
          </w:tcPr>
          <w:p w:rsidRPr="002D5FF3" w:rsidR="00024B9F" w:rsidP="00791741" w:rsidRDefault="005F1AC0" w14:paraId="7F635DF4" w14:textId="5D21E16A">
            <w:pPr>
              <w:tabs>
                <w:tab w:val="left" w:pos="360"/>
                <w:tab w:val="left" w:pos="480"/>
                <w:tab w:val="left" w:pos="960"/>
                <w:tab w:val="left" w:pos="1320"/>
                <w:tab w:val="left" w:pos="1800"/>
                <w:tab w:val="left" w:pos="2760"/>
              </w:tabs>
              <w:spacing w:before="120" w:line="240" w:lineRule="exact"/>
              <w:jc w:val="center"/>
            </w:pPr>
            <w:r w:rsidRPr="002D5FF3">
              <w:t>13650</w:t>
            </w:r>
          </w:p>
        </w:tc>
        <w:tc>
          <w:tcPr>
            <w:tcW w:w="720" w:type="dxa"/>
            <w:tcBorders>
              <w:top w:val="nil"/>
              <w:left w:val="single" w:color="auto" w:sz="18" w:space="0"/>
              <w:bottom w:val="nil"/>
              <w:right w:val="single" w:color="auto" w:sz="18" w:space="0"/>
            </w:tcBorders>
          </w:tcPr>
          <w:p w:rsidRPr="002D5FF3" w:rsidR="00024B9F" w:rsidP="00791741" w:rsidRDefault="00024B9F" w14:paraId="22185A25"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nil"/>
            </w:tcBorders>
          </w:tcPr>
          <w:p w:rsidRPr="002D5FF3" w:rsidR="00024B9F" w:rsidP="00791741" w:rsidRDefault="005F1AC0" w14:paraId="1B4704B3" w14:textId="28F337EE">
            <w:pPr>
              <w:tabs>
                <w:tab w:val="left" w:pos="360"/>
                <w:tab w:val="left" w:pos="480"/>
                <w:tab w:val="left" w:pos="960"/>
                <w:tab w:val="left" w:pos="1320"/>
                <w:tab w:val="left" w:pos="1800"/>
                <w:tab w:val="left" w:pos="2760"/>
              </w:tabs>
              <w:spacing w:before="120" w:line="240" w:lineRule="exact"/>
              <w:jc w:val="center"/>
            </w:pPr>
            <w:r w:rsidRPr="002D5FF3">
              <w:t>13650</w:t>
            </w:r>
          </w:p>
        </w:tc>
        <w:tc>
          <w:tcPr>
            <w:tcW w:w="337" w:type="dxa"/>
            <w:tcBorders>
              <w:top w:val="nil"/>
              <w:bottom w:val="nil"/>
            </w:tcBorders>
          </w:tcPr>
          <w:p w:rsidRPr="002D5FF3" w:rsidR="00024B9F" w:rsidP="00791741" w:rsidRDefault="00024B9F" w14:paraId="0E8C16E7"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97" w:type="dxa"/>
            <w:tcBorders>
              <w:top w:val="nil"/>
              <w:bottom w:val="nil"/>
            </w:tcBorders>
          </w:tcPr>
          <w:p w:rsidRPr="002D5FF3" w:rsidR="00024B9F" w:rsidP="005F1AC0" w:rsidRDefault="00C7311A" w14:paraId="2F576786" w14:textId="6374D1D3">
            <w:pPr>
              <w:tabs>
                <w:tab w:val="left" w:pos="360"/>
                <w:tab w:val="left" w:pos="480"/>
                <w:tab w:val="left" w:pos="960"/>
                <w:tab w:val="left" w:pos="1320"/>
                <w:tab w:val="left" w:pos="1800"/>
                <w:tab w:val="left" w:pos="2760"/>
              </w:tabs>
              <w:spacing w:before="120" w:line="240" w:lineRule="exact"/>
              <w:jc w:val="center"/>
            </w:pPr>
            <w:r w:rsidRPr="002D5FF3">
              <w:t>0.</w:t>
            </w:r>
            <w:r w:rsidRPr="002D5FF3" w:rsidR="005F1AC0">
              <w:t>4277</w:t>
            </w:r>
          </w:p>
        </w:tc>
        <w:tc>
          <w:tcPr>
            <w:tcW w:w="337" w:type="dxa"/>
            <w:tcBorders>
              <w:top w:val="nil"/>
              <w:bottom w:val="nil"/>
            </w:tcBorders>
          </w:tcPr>
          <w:p w:rsidRPr="002D5FF3" w:rsidR="00024B9F" w:rsidP="00791741" w:rsidRDefault="00024B9F" w14:paraId="472B3DB8"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97" w:type="dxa"/>
            <w:tcBorders>
              <w:top w:val="nil"/>
              <w:bottom w:val="nil"/>
            </w:tcBorders>
          </w:tcPr>
          <w:p w:rsidRPr="002D5FF3" w:rsidR="00024B9F" w:rsidP="005F1AC0" w:rsidRDefault="005F1AC0" w14:paraId="60EBA4F7" w14:textId="6BFEEFEA">
            <w:pPr>
              <w:tabs>
                <w:tab w:val="left" w:pos="360"/>
                <w:tab w:val="left" w:pos="480"/>
                <w:tab w:val="left" w:pos="960"/>
                <w:tab w:val="left" w:pos="1320"/>
                <w:tab w:val="left" w:pos="1800"/>
                <w:tab w:val="left" w:pos="2760"/>
              </w:tabs>
              <w:spacing w:before="120" w:line="240" w:lineRule="exact"/>
              <w:jc w:val="center"/>
            </w:pPr>
            <w:r w:rsidRPr="002D5FF3">
              <w:t>5838</w:t>
            </w:r>
          </w:p>
        </w:tc>
      </w:tr>
      <w:tr w:rsidRPr="004869E2" w:rsidR="00024B9F" w:rsidTr="00791741" w14:paraId="3CB8B97C" w14:textId="77777777">
        <w:tc>
          <w:tcPr>
            <w:tcW w:w="1495" w:type="dxa"/>
            <w:tcBorders>
              <w:top w:val="nil"/>
              <w:right w:val="single" w:color="auto" w:sz="18" w:space="0"/>
            </w:tcBorders>
            <w:shd w:val="clear" w:color="auto" w:fill="D9D9D9"/>
          </w:tcPr>
          <w:p w:rsidRPr="002D5FF3" w:rsidR="00024B9F" w:rsidP="00791741" w:rsidRDefault="00024B9F" w14:paraId="54FCA7F8"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297" w:type="dxa"/>
            <w:tcBorders>
              <w:top w:val="nil"/>
              <w:left w:val="single" w:color="auto" w:sz="18" w:space="0"/>
              <w:bottom w:val="single" w:color="auto" w:sz="18" w:space="0"/>
            </w:tcBorders>
            <w:shd w:val="clear" w:color="auto" w:fill="D9D9D9"/>
          </w:tcPr>
          <w:p w:rsidRPr="002D5FF3" w:rsidR="00024B9F" w:rsidP="0045255D" w:rsidRDefault="0045255D" w14:paraId="7BC4C961" w14:textId="62FA0A4E">
            <w:pPr>
              <w:tabs>
                <w:tab w:val="left" w:pos="360"/>
                <w:tab w:val="left" w:pos="480"/>
                <w:tab w:val="left" w:pos="960"/>
                <w:tab w:val="left" w:pos="1320"/>
                <w:tab w:val="left" w:pos="1800"/>
                <w:tab w:val="left" w:pos="2760"/>
              </w:tabs>
              <w:spacing w:before="120" w:line="240" w:lineRule="exact"/>
              <w:jc w:val="center"/>
            </w:pPr>
            <w:r w:rsidRPr="002D5FF3">
              <w:t>2400</w:t>
            </w:r>
          </w:p>
        </w:tc>
        <w:tc>
          <w:tcPr>
            <w:tcW w:w="337" w:type="dxa"/>
            <w:tcBorders>
              <w:top w:val="nil"/>
              <w:bottom w:val="single" w:color="auto" w:sz="18" w:space="0"/>
            </w:tcBorders>
            <w:shd w:val="clear" w:color="auto" w:fill="D9D9D9"/>
          </w:tcPr>
          <w:p w:rsidRPr="002D5FF3" w:rsidR="00024B9F" w:rsidP="00791741" w:rsidRDefault="00024B9F" w14:paraId="476E8AD8"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single" w:color="auto" w:sz="18" w:space="0"/>
            </w:tcBorders>
            <w:shd w:val="clear" w:color="auto" w:fill="D9D9D9"/>
          </w:tcPr>
          <w:p w:rsidRPr="002D5FF3" w:rsidR="00024B9F" w:rsidP="00791741" w:rsidRDefault="00024B9F" w14:paraId="76D15D01"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single" w:color="auto" w:sz="18" w:space="0"/>
            </w:tcBorders>
            <w:shd w:val="clear" w:color="auto" w:fill="D9D9D9"/>
          </w:tcPr>
          <w:p w:rsidRPr="002D5FF3" w:rsidR="00024B9F" w:rsidP="00791741" w:rsidRDefault="00024B9F" w14:paraId="58E9D5B7"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single" w:color="auto" w:sz="18" w:space="0"/>
              <w:right w:val="single" w:color="auto" w:sz="18" w:space="0"/>
            </w:tcBorders>
            <w:shd w:val="clear" w:color="auto" w:fill="D9D9D9"/>
          </w:tcPr>
          <w:p w:rsidRPr="002D5FF3" w:rsidR="00024B9F" w:rsidP="00791741" w:rsidRDefault="005F1AC0" w14:paraId="1DB8AC1E" w14:textId="36509D5E">
            <w:pPr>
              <w:tabs>
                <w:tab w:val="left" w:pos="360"/>
                <w:tab w:val="left" w:pos="480"/>
                <w:tab w:val="left" w:pos="960"/>
                <w:tab w:val="left" w:pos="1320"/>
                <w:tab w:val="left" w:pos="1800"/>
                <w:tab w:val="left" w:pos="2760"/>
              </w:tabs>
              <w:spacing w:before="120" w:line="240" w:lineRule="exact"/>
              <w:jc w:val="center"/>
            </w:pPr>
            <w:r w:rsidRPr="002D5FF3">
              <w:t>14550</w:t>
            </w:r>
          </w:p>
        </w:tc>
        <w:tc>
          <w:tcPr>
            <w:tcW w:w="720" w:type="dxa"/>
            <w:tcBorders>
              <w:top w:val="nil"/>
              <w:left w:val="single" w:color="auto" w:sz="18" w:space="0"/>
              <w:bottom w:val="nil"/>
              <w:right w:val="single" w:color="auto" w:sz="18" w:space="0"/>
            </w:tcBorders>
            <w:shd w:val="clear" w:color="auto" w:fill="D9D9D9"/>
          </w:tcPr>
          <w:p w:rsidRPr="002D5FF3" w:rsidR="00024B9F" w:rsidP="00791741" w:rsidRDefault="00024B9F" w14:paraId="50AFBE2F"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left w:val="single" w:color="auto" w:sz="18" w:space="0"/>
              <w:bottom w:val="single" w:color="auto" w:sz="18" w:space="0"/>
            </w:tcBorders>
            <w:shd w:val="clear" w:color="auto" w:fill="D9D9D9"/>
          </w:tcPr>
          <w:p w:rsidRPr="002D5FF3" w:rsidR="00024B9F" w:rsidP="005F1AC0" w:rsidRDefault="005F1AC0" w14:paraId="011FEF43" w14:textId="66209966">
            <w:pPr>
              <w:tabs>
                <w:tab w:val="left" w:pos="360"/>
                <w:tab w:val="left" w:pos="480"/>
                <w:tab w:val="left" w:pos="960"/>
                <w:tab w:val="left" w:pos="1320"/>
                <w:tab w:val="left" w:pos="1800"/>
                <w:tab w:val="left" w:pos="2760"/>
              </w:tabs>
              <w:spacing w:before="120" w:line="240" w:lineRule="exact"/>
              <w:jc w:val="center"/>
              <w:rPr>
                <w:b/>
              </w:rPr>
            </w:pPr>
            <w:r w:rsidRPr="002D5FF3">
              <w:t>14550</w:t>
            </w:r>
          </w:p>
        </w:tc>
        <w:tc>
          <w:tcPr>
            <w:tcW w:w="337" w:type="dxa"/>
            <w:tcBorders>
              <w:top w:val="nil"/>
              <w:bottom w:val="single" w:color="auto" w:sz="18" w:space="0"/>
            </w:tcBorders>
            <w:shd w:val="clear" w:color="auto" w:fill="D9D9D9"/>
          </w:tcPr>
          <w:p w:rsidRPr="002D5FF3" w:rsidR="00024B9F" w:rsidP="00791741" w:rsidRDefault="00024B9F" w14:paraId="412A9D2E"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single" w:color="auto" w:sz="18" w:space="0"/>
            </w:tcBorders>
            <w:shd w:val="clear" w:color="auto" w:fill="D9D9D9"/>
          </w:tcPr>
          <w:p w:rsidRPr="002D5FF3" w:rsidR="00024B9F" w:rsidP="00791741" w:rsidRDefault="00024B9F" w14:paraId="1ADCBE43" w14:textId="77777777">
            <w:pPr>
              <w:tabs>
                <w:tab w:val="left" w:pos="360"/>
                <w:tab w:val="left" w:pos="480"/>
                <w:tab w:val="left" w:pos="960"/>
                <w:tab w:val="left" w:pos="1320"/>
                <w:tab w:val="left" w:pos="1800"/>
                <w:tab w:val="left" w:pos="2760"/>
              </w:tabs>
              <w:spacing w:before="120" w:line="240" w:lineRule="exact"/>
              <w:jc w:val="center"/>
            </w:pPr>
          </w:p>
        </w:tc>
        <w:tc>
          <w:tcPr>
            <w:tcW w:w="337" w:type="dxa"/>
            <w:tcBorders>
              <w:top w:val="nil"/>
              <w:bottom w:val="single" w:color="auto" w:sz="18" w:space="0"/>
            </w:tcBorders>
            <w:shd w:val="clear" w:color="auto" w:fill="D9D9D9"/>
          </w:tcPr>
          <w:p w:rsidRPr="002D5FF3" w:rsidR="00024B9F" w:rsidP="00791741" w:rsidRDefault="00024B9F" w14:paraId="217BD966" w14:textId="77777777">
            <w:pPr>
              <w:tabs>
                <w:tab w:val="left" w:pos="360"/>
                <w:tab w:val="left" w:pos="480"/>
                <w:tab w:val="left" w:pos="960"/>
                <w:tab w:val="left" w:pos="1320"/>
                <w:tab w:val="left" w:pos="1800"/>
                <w:tab w:val="left" w:pos="2760"/>
              </w:tabs>
              <w:spacing w:before="120" w:line="240" w:lineRule="exact"/>
              <w:jc w:val="center"/>
            </w:pPr>
          </w:p>
        </w:tc>
        <w:tc>
          <w:tcPr>
            <w:tcW w:w="1297" w:type="dxa"/>
            <w:tcBorders>
              <w:top w:val="nil"/>
              <w:bottom w:val="single" w:color="auto" w:sz="18" w:space="0"/>
            </w:tcBorders>
            <w:shd w:val="clear" w:color="auto" w:fill="D9D9D9"/>
          </w:tcPr>
          <w:p w:rsidRPr="002D5FF3" w:rsidR="00024B9F" w:rsidP="00791741" w:rsidRDefault="005F1AC0" w14:paraId="274FD55B" w14:textId="0ACD87C8">
            <w:pPr>
              <w:tabs>
                <w:tab w:val="left" w:pos="360"/>
                <w:tab w:val="left" w:pos="480"/>
                <w:tab w:val="left" w:pos="960"/>
                <w:tab w:val="left" w:pos="1320"/>
                <w:tab w:val="left" w:pos="1800"/>
                <w:tab w:val="left" w:pos="2760"/>
              </w:tabs>
              <w:spacing w:before="120" w:line="240" w:lineRule="exact"/>
              <w:jc w:val="center"/>
            </w:pPr>
            <w:r w:rsidRPr="002D5FF3">
              <w:t>6738</w:t>
            </w:r>
          </w:p>
        </w:tc>
      </w:tr>
      <w:bookmarkEnd w:id="0"/>
      <w:bookmarkEnd w:id="1"/>
    </w:tbl>
    <w:p w:rsidRPr="002D5FF3" w:rsidR="00024B9F" w:rsidP="00024B9F" w:rsidRDefault="00024B9F" w14:paraId="15B09115" w14:textId="77777777"/>
    <w:p w:rsidRPr="002D5FF3" w:rsidR="00EA0AAD" w:rsidRDefault="00797A35" w14:paraId="31BA8D99" w14:textId="77777777">
      <w:pPr>
        <w:spacing w:after="200" w:line="276" w:lineRule="auto"/>
        <w:rPr>
          <w:b/>
        </w:rPr>
      </w:pPr>
      <w:r w:rsidRPr="002D5FF3">
        <w:rPr>
          <w:b/>
        </w:rPr>
        <w:br w:type="page"/>
      </w:r>
    </w:p>
    <w:p w:rsidRPr="002D5FF3" w:rsidR="00024B9F" w:rsidP="00024B9F" w:rsidRDefault="00024B9F" w14:paraId="5CD6FE8C" w14:textId="77777777">
      <w:pPr>
        <w:jc w:val="center"/>
        <w:rPr>
          <w:b/>
        </w:rPr>
      </w:pPr>
      <w:r w:rsidRPr="002D5FF3">
        <w:rPr>
          <w:b/>
        </w:rPr>
        <w:lastRenderedPageBreak/>
        <w:t>IMPORTS</w:t>
      </w:r>
    </w:p>
    <w:p w:rsidRPr="002D5FF3" w:rsidR="00024B9F" w:rsidP="00024B9F" w:rsidRDefault="00024B9F" w14:paraId="3EF02424" w14:textId="77777777"/>
    <w:tbl>
      <w:tblPr>
        <w:tblW w:w="5600" w:type="pct"/>
        <w:tblBorders>
          <w:top w:val="single" w:color="auto" w:sz="18" w:space="0"/>
          <w:left w:val="single" w:color="auto" w:sz="18" w:space="0"/>
          <w:bottom w:val="single" w:color="auto" w:sz="18" w:space="0"/>
          <w:right w:val="single" w:color="auto" w:sz="18" w:space="0"/>
        </w:tblBorders>
        <w:tblLook w:val="01E0" w:firstRow="1" w:lastRow="1" w:firstColumn="1" w:lastColumn="1" w:noHBand="0" w:noVBand="0"/>
      </w:tblPr>
      <w:tblGrid>
        <w:gridCol w:w="1163"/>
        <w:gridCol w:w="473"/>
        <w:gridCol w:w="1050"/>
        <w:gridCol w:w="336"/>
        <w:gridCol w:w="399"/>
        <w:gridCol w:w="911"/>
        <w:gridCol w:w="352"/>
        <w:gridCol w:w="389"/>
        <w:gridCol w:w="881"/>
        <w:gridCol w:w="222"/>
        <w:gridCol w:w="501"/>
        <w:gridCol w:w="769"/>
        <w:gridCol w:w="336"/>
        <w:gridCol w:w="504"/>
        <w:gridCol w:w="752"/>
        <w:gridCol w:w="352"/>
        <w:gridCol w:w="451"/>
        <w:gridCol w:w="416"/>
        <w:gridCol w:w="389"/>
        <w:gridCol w:w="222"/>
      </w:tblGrid>
      <w:tr w:rsidRPr="004869E2" w:rsidR="00024B9F" w:rsidTr="00DF23AB" w14:paraId="303F0EEF" w14:textId="77777777">
        <w:trPr>
          <w:gridAfter w:val="1"/>
          <w:wAfter w:w="222" w:type="dxa"/>
        </w:trPr>
        <w:tc>
          <w:tcPr>
            <w:tcW w:w="1146" w:type="dxa"/>
            <w:tcBorders>
              <w:right w:val="single" w:color="auto" w:sz="18" w:space="0"/>
            </w:tcBorders>
          </w:tcPr>
          <w:p w:rsidRPr="002D5FF3" w:rsidR="00024B9F" w:rsidP="00791741" w:rsidRDefault="00024B9F" w14:paraId="1DA74668" w14:textId="77777777">
            <w:pPr>
              <w:tabs>
                <w:tab w:val="left" w:pos="360"/>
                <w:tab w:val="left" w:pos="480"/>
                <w:tab w:val="left" w:pos="960"/>
                <w:tab w:val="left" w:pos="1320"/>
                <w:tab w:val="left" w:pos="1800"/>
                <w:tab w:val="left" w:pos="2760"/>
              </w:tabs>
              <w:spacing w:before="120" w:line="240" w:lineRule="exact"/>
              <w:rPr>
                <w:b/>
              </w:rPr>
            </w:pPr>
          </w:p>
        </w:tc>
        <w:tc>
          <w:tcPr>
            <w:tcW w:w="4629" w:type="dxa"/>
            <w:gridSpan w:val="8"/>
            <w:tcBorders>
              <w:top w:val="single" w:color="auto" w:sz="18" w:space="0"/>
              <w:left w:val="single" w:color="auto" w:sz="18" w:space="0"/>
              <w:bottom w:val="nil"/>
              <w:right w:val="single" w:color="auto" w:sz="18" w:space="0"/>
            </w:tcBorders>
          </w:tcPr>
          <w:p w:rsidRPr="002D5FF3" w:rsidR="00024B9F" w:rsidP="00791741" w:rsidRDefault="00024B9F" w14:paraId="3544C8A4" w14:textId="77777777">
            <w:pPr>
              <w:tabs>
                <w:tab w:val="left" w:pos="360"/>
                <w:tab w:val="left" w:pos="480"/>
                <w:tab w:val="left" w:pos="960"/>
                <w:tab w:val="left" w:pos="1320"/>
                <w:tab w:val="left" w:pos="1800"/>
                <w:tab w:val="left" w:pos="2760"/>
              </w:tabs>
              <w:spacing w:before="120" w:line="240" w:lineRule="exact"/>
              <w:jc w:val="center"/>
              <w:rPr>
                <w:u w:val="single"/>
              </w:rPr>
            </w:pPr>
            <w:r w:rsidRPr="002D5FF3">
              <w:rPr>
                <w:u w:val="single"/>
              </w:rPr>
              <w:t>Total Annual Responses</w:t>
            </w:r>
          </w:p>
        </w:tc>
        <w:tc>
          <w:tcPr>
            <w:tcW w:w="241" w:type="dxa"/>
            <w:tcBorders>
              <w:top w:val="nil"/>
              <w:left w:val="single" w:color="auto" w:sz="18" w:space="0"/>
              <w:bottom w:val="nil"/>
              <w:right w:val="single" w:color="auto" w:sz="18" w:space="0"/>
            </w:tcBorders>
          </w:tcPr>
          <w:p w:rsidRPr="002D5FF3" w:rsidR="00024B9F" w:rsidP="00791741" w:rsidRDefault="00024B9F" w14:paraId="2AD212A5" w14:textId="77777777">
            <w:pPr>
              <w:tabs>
                <w:tab w:val="left" w:pos="360"/>
                <w:tab w:val="left" w:pos="480"/>
                <w:tab w:val="left" w:pos="960"/>
                <w:tab w:val="left" w:pos="1320"/>
                <w:tab w:val="left" w:pos="1800"/>
                <w:tab w:val="left" w:pos="2760"/>
              </w:tabs>
              <w:spacing w:before="120" w:line="240" w:lineRule="exact"/>
              <w:rPr>
                <w:b/>
              </w:rPr>
            </w:pPr>
          </w:p>
        </w:tc>
        <w:tc>
          <w:tcPr>
            <w:tcW w:w="4194" w:type="dxa"/>
            <w:gridSpan w:val="9"/>
            <w:tcBorders>
              <w:top w:val="single" w:color="auto" w:sz="18" w:space="0"/>
              <w:left w:val="single" w:color="auto" w:sz="18" w:space="0"/>
              <w:bottom w:val="nil"/>
            </w:tcBorders>
          </w:tcPr>
          <w:p w:rsidRPr="002D5FF3" w:rsidR="00024B9F" w:rsidP="00791741" w:rsidRDefault="00024B9F" w14:paraId="58222054" w14:textId="77777777">
            <w:pPr>
              <w:tabs>
                <w:tab w:val="left" w:pos="360"/>
                <w:tab w:val="left" w:pos="480"/>
                <w:tab w:val="left" w:pos="960"/>
                <w:tab w:val="left" w:pos="1320"/>
                <w:tab w:val="left" w:pos="1800"/>
                <w:tab w:val="left" w:pos="2760"/>
              </w:tabs>
              <w:spacing w:before="120" w:line="240" w:lineRule="exact"/>
              <w:jc w:val="center"/>
              <w:rPr>
                <w:u w:val="single"/>
              </w:rPr>
            </w:pPr>
            <w:r w:rsidRPr="002D5FF3">
              <w:rPr>
                <w:u w:val="single"/>
              </w:rPr>
              <w:t xml:space="preserve">Estimated Total </w:t>
            </w:r>
            <w:proofErr w:type="spellStart"/>
            <w:r w:rsidRPr="002D5FF3">
              <w:rPr>
                <w:u w:val="single"/>
              </w:rPr>
              <w:t>Hrs</w:t>
            </w:r>
            <w:proofErr w:type="spellEnd"/>
            <w:r w:rsidRPr="002D5FF3">
              <w:rPr>
                <w:u w:val="single"/>
              </w:rPr>
              <w:t xml:space="preserve"> of Annual Burden</w:t>
            </w:r>
          </w:p>
        </w:tc>
      </w:tr>
      <w:tr w:rsidRPr="004869E2" w:rsidR="00024B9F" w:rsidTr="00DF23AB" w14:paraId="26E0858E" w14:textId="77777777">
        <w:trPr>
          <w:gridAfter w:val="1"/>
          <w:wAfter w:w="222" w:type="dxa"/>
        </w:trPr>
        <w:tc>
          <w:tcPr>
            <w:tcW w:w="1146" w:type="dxa"/>
            <w:tcBorders>
              <w:right w:val="single" w:color="auto" w:sz="18" w:space="0"/>
            </w:tcBorders>
          </w:tcPr>
          <w:p w:rsidRPr="002D5FF3" w:rsidR="00024B9F" w:rsidP="00791741" w:rsidRDefault="00024B9F" w14:paraId="7E2CA72F" w14:textId="77777777">
            <w:pPr>
              <w:tabs>
                <w:tab w:val="left" w:pos="360"/>
                <w:tab w:val="left" w:pos="480"/>
                <w:tab w:val="left" w:pos="960"/>
                <w:tab w:val="left" w:pos="1320"/>
                <w:tab w:val="left" w:pos="1800"/>
                <w:tab w:val="left" w:pos="2760"/>
              </w:tabs>
              <w:spacing w:before="120" w:line="240" w:lineRule="exact"/>
              <w:rPr>
                <w:b/>
              </w:rPr>
            </w:pPr>
          </w:p>
        </w:tc>
        <w:tc>
          <w:tcPr>
            <w:tcW w:w="1480" w:type="dxa"/>
            <w:gridSpan w:val="2"/>
            <w:tcBorders>
              <w:top w:val="nil"/>
              <w:left w:val="single" w:color="auto" w:sz="18" w:space="0"/>
              <w:bottom w:val="nil"/>
            </w:tcBorders>
          </w:tcPr>
          <w:p w:rsidRPr="002D5FF3" w:rsidR="00024B9F" w:rsidP="00791741" w:rsidRDefault="00024B9F" w14:paraId="1216B767" w14:textId="77777777">
            <w:pPr>
              <w:tabs>
                <w:tab w:val="left" w:pos="360"/>
                <w:tab w:val="left" w:pos="480"/>
                <w:tab w:val="left" w:pos="960"/>
                <w:tab w:val="left" w:pos="1320"/>
                <w:tab w:val="left" w:pos="1800"/>
                <w:tab w:val="left" w:pos="2760"/>
              </w:tabs>
              <w:spacing w:before="120" w:line="240" w:lineRule="exact"/>
              <w:rPr>
                <w:b/>
              </w:rPr>
            </w:pPr>
            <w:r w:rsidRPr="002D5FF3">
              <w:rPr>
                <w:b/>
              </w:rPr>
              <w:t>Number of Respondents (end of FY)</w:t>
            </w:r>
          </w:p>
        </w:tc>
        <w:tc>
          <w:tcPr>
            <w:tcW w:w="329" w:type="dxa"/>
            <w:tcBorders>
              <w:top w:val="nil"/>
              <w:bottom w:val="nil"/>
            </w:tcBorders>
          </w:tcPr>
          <w:p w:rsidRPr="002D5FF3" w:rsidR="00024B9F" w:rsidP="00791741" w:rsidRDefault="00024B9F" w14:paraId="0C86B1AE" w14:textId="77777777">
            <w:pPr>
              <w:tabs>
                <w:tab w:val="left" w:pos="360"/>
                <w:tab w:val="left" w:pos="480"/>
                <w:tab w:val="left" w:pos="960"/>
                <w:tab w:val="left" w:pos="1320"/>
                <w:tab w:val="left" w:pos="1800"/>
                <w:tab w:val="left" w:pos="2760"/>
              </w:tabs>
              <w:spacing w:before="120" w:line="240" w:lineRule="exact"/>
              <w:rPr>
                <w:b/>
              </w:rPr>
            </w:pPr>
          </w:p>
        </w:tc>
        <w:tc>
          <w:tcPr>
            <w:tcW w:w="1232" w:type="dxa"/>
            <w:gridSpan w:val="2"/>
            <w:tcBorders>
              <w:top w:val="nil"/>
              <w:bottom w:val="nil"/>
            </w:tcBorders>
          </w:tcPr>
          <w:p w:rsidRPr="002D5FF3" w:rsidR="00024B9F" w:rsidP="00791741" w:rsidRDefault="00024B9F" w14:paraId="265B09B9" w14:textId="77777777">
            <w:pPr>
              <w:tabs>
                <w:tab w:val="left" w:pos="360"/>
                <w:tab w:val="left" w:pos="480"/>
                <w:tab w:val="left" w:pos="960"/>
                <w:tab w:val="left" w:pos="1320"/>
                <w:tab w:val="left" w:pos="1800"/>
                <w:tab w:val="left" w:pos="2760"/>
              </w:tabs>
              <w:spacing w:before="120" w:line="240" w:lineRule="exact"/>
              <w:rPr>
                <w:b/>
              </w:rPr>
            </w:pPr>
            <w:r w:rsidRPr="002D5FF3">
              <w:rPr>
                <w:b/>
              </w:rPr>
              <w:t>Frequency of Response Per Year</w:t>
            </w:r>
          </w:p>
        </w:tc>
        <w:tc>
          <w:tcPr>
            <w:tcW w:w="344" w:type="dxa"/>
            <w:tcBorders>
              <w:top w:val="nil"/>
              <w:bottom w:val="nil"/>
            </w:tcBorders>
          </w:tcPr>
          <w:p w:rsidRPr="002D5FF3" w:rsidR="00024B9F" w:rsidP="00791741" w:rsidRDefault="00024B9F" w14:paraId="0D90C9D0" w14:textId="77777777">
            <w:pPr>
              <w:tabs>
                <w:tab w:val="left" w:pos="360"/>
                <w:tab w:val="left" w:pos="480"/>
                <w:tab w:val="left" w:pos="960"/>
                <w:tab w:val="left" w:pos="1320"/>
                <w:tab w:val="left" w:pos="1800"/>
                <w:tab w:val="left" w:pos="2760"/>
              </w:tabs>
              <w:spacing w:before="120" w:line="240" w:lineRule="exact"/>
              <w:rPr>
                <w:b/>
              </w:rPr>
            </w:pPr>
          </w:p>
        </w:tc>
        <w:tc>
          <w:tcPr>
            <w:tcW w:w="1244" w:type="dxa"/>
            <w:gridSpan w:val="2"/>
            <w:tcBorders>
              <w:top w:val="nil"/>
              <w:bottom w:val="nil"/>
              <w:right w:val="single" w:color="auto" w:sz="18" w:space="0"/>
            </w:tcBorders>
          </w:tcPr>
          <w:p w:rsidRPr="002D5FF3" w:rsidR="00024B9F" w:rsidP="00791741" w:rsidRDefault="00024B9F" w14:paraId="069AEE9B" w14:textId="77777777">
            <w:pPr>
              <w:tabs>
                <w:tab w:val="left" w:pos="360"/>
                <w:tab w:val="left" w:pos="480"/>
                <w:tab w:val="left" w:pos="960"/>
                <w:tab w:val="left" w:pos="1320"/>
                <w:tab w:val="left" w:pos="1800"/>
                <w:tab w:val="left" w:pos="2760"/>
              </w:tabs>
              <w:spacing w:before="120" w:line="240" w:lineRule="exact"/>
              <w:rPr>
                <w:b/>
              </w:rPr>
            </w:pPr>
            <w:r w:rsidRPr="002D5FF3">
              <w:rPr>
                <w:b/>
              </w:rPr>
              <w:t>Total Annual Responses</w:t>
            </w:r>
          </w:p>
        </w:tc>
        <w:tc>
          <w:tcPr>
            <w:tcW w:w="241" w:type="dxa"/>
            <w:tcBorders>
              <w:top w:val="nil"/>
              <w:left w:val="single" w:color="auto" w:sz="18" w:space="0"/>
              <w:bottom w:val="nil"/>
              <w:right w:val="single" w:color="auto" w:sz="18" w:space="0"/>
            </w:tcBorders>
          </w:tcPr>
          <w:p w:rsidRPr="002D5FF3" w:rsidR="00024B9F" w:rsidP="00791741" w:rsidRDefault="00024B9F" w14:paraId="00C07313" w14:textId="77777777">
            <w:pPr>
              <w:tabs>
                <w:tab w:val="left" w:pos="360"/>
                <w:tab w:val="left" w:pos="480"/>
                <w:tab w:val="left" w:pos="960"/>
                <w:tab w:val="left" w:pos="1320"/>
                <w:tab w:val="left" w:pos="1800"/>
                <w:tab w:val="left" w:pos="2760"/>
              </w:tabs>
              <w:spacing w:before="120" w:line="240" w:lineRule="exact"/>
              <w:rPr>
                <w:b/>
              </w:rPr>
            </w:pPr>
          </w:p>
        </w:tc>
        <w:tc>
          <w:tcPr>
            <w:tcW w:w="1244" w:type="dxa"/>
            <w:gridSpan w:val="2"/>
            <w:tcBorders>
              <w:top w:val="nil"/>
              <w:left w:val="single" w:color="auto" w:sz="18" w:space="0"/>
              <w:bottom w:val="nil"/>
            </w:tcBorders>
          </w:tcPr>
          <w:p w:rsidRPr="002D5FF3" w:rsidR="00024B9F" w:rsidP="00791741" w:rsidRDefault="00024B9F" w14:paraId="720B4D4E" w14:textId="77777777">
            <w:pPr>
              <w:tabs>
                <w:tab w:val="left" w:pos="360"/>
                <w:tab w:val="left" w:pos="480"/>
                <w:tab w:val="left" w:pos="960"/>
                <w:tab w:val="left" w:pos="1320"/>
                <w:tab w:val="left" w:pos="1800"/>
                <w:tab w:val="left" w:pos="2760"/>
              </w:tabs>
              <w:spacing w:before="120" w:line="240" w:lineRule="exact"/>
              <w:rPr>
                <w:b/>
              </w:rPr>
            </w:pPr>
            <w:r w:rsidRPr="002D5FF3">
              <w:rPr>
                <w:b/>
              </w:rPr>
              <w:t>Total Annual Responses</w:t>
            </w:r>
          </w:p>
        </w:tc>
        <w:tc>
          <w:tcPr>
            <w:tcW w:w="329" w:type="dxa"/>
            <w:tcBorders>
              <w:top w:val="nil"/>
              <w:bottom w:val="nil"/>
            </w:tcBorders>
          </w:tcPr>
          <w:p w:rsidRPr="002D5FF3" w:rsidR="00024B9F" w:rsidP="00791741" w:rsidRDefault="00024B9F" w14:paraId="36A1AC63" w14:textId="77777777">
            <w:pPr>
              <w:tabs>
                <w:tab w:val="left" w:pos="360"/>
                <w:tab w:val="left" w:pos="480"/>
                <w:tab w:val="left" w:pos="960"/>
                <w:tab w:val="left" w:pos="1320"/>
                <w:tab w:val="left" w:pos="1800"/>
                <w:tab w:val="left" w:pos="2760"/>
              </w:tabs>
              <w:spacing w:before="120" w:line="240" w:lineRule="exact"/>
              <w:rPr>
                <w:b/>
              </w:rPr>
            </w:pPr>
          </w:p>
        </w:tc>
        <w:tc>
          <w:tcPr>
            <w:tcW w:w="1159" w:type="dxa"/>
            <w:gridSpan w:val="2"/>
            <w:tcBorders>
              <w:top w:val="nil"/>
              <w:bottom w:val="nil"/>
            </w:tcBorders>
          </w:tcPr>
          <w:p w:rsidRPr="002D5FF3" w:rsidR="00024B9F" w:rsidP="00791741" w:rsidRDefault="00024B9F" w14:paraId="735F2B80" w14:textId="77777777">
            <w:pPr>
              <w:tabs>
                <w:tab w:val="left" w:pos="360"/>
                <w:tab w:val="left" w:pos="480"/>
                <w:tab w:val="left" w:pos="960"/>
                <w:tab w:val="left" w:pos="1320"/>
                <w:tab w:val="left" w:pos="1800"/>
                <w:tab w:val="left" w:pos="2760"/>
              </w:tabs>
              <w:spacing w:before="120" w:line="240" w:lineRule="exact"/>
              <w:rPr>
                <w:b/>
              </w:rPr>
            </w:pPr>
            <w:r w:rsidRPr="002D5FF3">
              <w:rPr>
                <w:b/>
              </w:rPr>
              <w:t xml:space="preserve">Estimated Avg # of </w:t>
            </w:r>
            <w:proofErr w:type="spellStart"/>
            <w:r w:rsidRPr="002D5FF3">
              <w:rPr>
                <w:b/>
              </w:rPr>
              <w:t>Hrs</w:t>
            </w:r>
            <w:proofErr w:type="spellEnd"/>
            <w:r w:rsidRPr="002D5FF3">
              <w:rPr>
                <w:b/>
              </w:rPr>
              <w:t xml:space="preserve"> Per Response</w:t>
            </w:r>
          </w:p>
        </w:tc>
        <w:tc>
          <w:tcPr>
            <w:tcW w:w="326" w:type="dxa"/>
            <w:tcBorders>
              <w:top w:val="nil"/>
              <w:bottom w:val="nil"/>
            </w:tcBorders>
          </w:tcPr>
          <w:p w:rsidRPr="002D5FF3" w:rsidR="00024B9F" w:rsidP="00791741" w:rsidRDefault="00024B9F" w14:paraId="2514D007" w14:textId="77777777">
            <w:pPr>
              <w:tabs>
                <w:tab w:val="left" w:pos="360"/>
                <w:tab w:val="left" w:pos="480"/>
                <w:tab w:val="left" w:pos="960"/>
                <w:tab w:val="left" w:pos="1320"/>
                <w:tab w:val="left" w:pos="1800"/>
                <w:tab w:val="left" w:pos="2760"/>
              </w:tabs>
              <w:spacing w:before="120" w:line="240" w:lineRule="exact"/>
              <w:rPr>
                <w:b/>
              </w:rPr>
            </w:pPr>
          </w:p>
        </w:tc>
        <w:tc>
          <w:tcPr>
            <w:tcW w:w="1136" w:type="dxa"/>
            <w:gridSpan w:val="3"/>
            <w:tcBorders>
              <w:top w:val="nil"/>
              <w:bottom w:val="nil"/>
            </w:tcBorders>
          </w:tcPr>
          <w:p w:rsidRPr="002D5FF3" w:rsidR="00024B9F" w:rsidP="00791741" w:rsidRDefault="00024B9F" w14:paraId="2A7D6034" w14:textId="77777777">
            <w:pPr>
              <w:tabs>
                <w:tab w:val="left" w:pos="360"/>
                <w:tab w:val="left" w:pos="480"/>
                <w:tab w:val="left" w:pos="960"/>
                <w:tab w:val="left" w:pos="1320"/>
                <w:tab w:val="left" w:pos="1800"/>
                <w:tab w:val="left" w:pos="2760"/>
              </w:tabs>
              <w:spacing w:before="120" w:line="240" w:lineRule="exact"/>
              <w:rPr>
                <w:b/>
              </w:rPr>
            </w:pPr>
            <w:r w:rsidRPr="002D5FF3">
              <w:rPr>
                <w:b/>
              </w:rPr>
              <w:t xml:space="preserve">Estimated Total </w:t>
            </w:r>
            <w:proofErr w:type="spellStart"/>
            <w:r w:rsidRPr="002D5FF3">
              <w:rPr>
                <w:b/>
              </w:rPr>
              <w:t>Hrs</w:t>
            </w:r>
            <w:proofErr w:type="spellEnd"/>
            <w:r w:rsidRPr="002D5FF3">
              <w:rPr>
                <w:b/>
              </w:rPr>
              <w:t xml:space="preserve"> of Annual Burden</w:t>
            </w:r>
          </w:p>
        </w:tc>
      </w:tr>
      <w:tr w:rsidRPr="004869E2" w:rsidR="00024B9F" w:rsidTr="00DF23AB" w14:paraId="03D0EBB0" w14:textId="77777777">
        <w:trPr>
          <w:gridAfter w:val="1"/>
          <w:wAfter w:w="222" w:type="dxa"/>
        </w:trPr>
        <w:tc>
          <w:tcPr>
            <w:tcW w:w="1146" w:type="dxa"/>
            <w:tcBorders>
              <w:right w:val="single" w:color="auto" w:sz="18" w:space="0"/>
            </w:tcBorders>
          </w:tcPr>
          <w:p w:rsidRPr="002D5FF3" w:rsidR="00024B9F" w:rsidP="00D923C7" w:rsidRDefault="00024B9F" w14:paraId="0E706A30" w14:textId="73B34A6D">
            <w:pPr>
              <w:tabs>
                <w:tab w:val="left" w:pos="360"/>
                <w:tab w:val="left" w:pos="480"/>
                <w:tab w:val="left" w:pos="960"/>
                <w:tab w:val="left" w:pos="1320"/>
                <w:tab w:val="left" w:pos="1800"/>
                <w:tab w:val="left" w:pos="2760"/>
              </w:tabs>
              <w:spacing w:before="120" w:line="240" w:lineRule="exact"/>
              <w:rPr>
                <w:b/>
              </w:rPr>
            </w:pPr>
            <w:r w:rsidRPr="002D5FF3">
              <w:rPr>
                <w:b/>
              </w:rPr>
              <w:t xml:space="preserve">Fiscal Year </w:t>
            </w:r>
            <w:r w:rsidRPr="002D5FF3" w:rsidR="00BE0C59">
              <w:rPr>
                <w:b/>
              </w:rPr>
              <w:t>20</w:t>
            </w:r>
            <w:r w:rsidRPr="002D5FF3" w:rsidR="005F1AC0">
              <w:rPr>
                <w:b/>
              </w:rPr>
              <w:t>22</w:t>
            </w:r>
          </w:p>
        </w:tc>
        <w:tc>
          <w:tcPr>
            <w:tcW w:w="1480" w:type="dxa"/>
            <w:gridSpan w:val="2"/>
            <w:tcBorders>
              <w:top w:val="nil"/>
              <w:left w:val="single" w:color="auto" w:sz="18" w:space="0"/>
              <w:bottom w:val="nil"/>
            </w:tcBorders>
          </w:tcPr>
          <w:p w:rsidRPr="002D5FF3" w:rsidR="00024B9F" w:rsidP="00791741" w:rsidRDefault="00024B9F" w14:paraId="09A65F80"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4EAA5D7B"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tcPr>
          <w:p w:rsidRPr="002D5FF3" w:rsidR="00024B9F" w:rsidP="00791741" w:rsidRDefault="00024B9F" w14:paraId="78D1296C" w14:textId="77777777">
            <w:pPr>
              <w:tabs>
                <w:tab w:val="left" w:pos="360"/>
                <w:tab w:val="left" w:pos="480"/>
                <w:tab w:val="left" w:pos="960"/>
                <w:tab w:val="left" w:pos="1320"/>
                <w:tab w:val="left" w:pos="1800"/>
                <w:tab w:val="left" w:pos="2760"/>
              </w:tabs>
              <w:spacing w:before="120" w:line="240" w:lineRule="exact"/>
            </w:pPr>
          </w:p>
        </w:tc>
        <w:tc>
          <w:tcPr>
            <w:tcW w:w="344" w:type="dxa"/>
            <w:tcBorders>
              <w:top w:val="nil"/>
              <w:bottom w:val="nil"/>
            </w:tcBorders>
          </w:tcPr>
          <w:p w:rsidRPr="002D5FF3" w:rsidR="00024B9F" w:rsidP="00791741" w:rsidRDefault="00024B9F" w14:paraId="0B2F0A1A"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bottom w:val="nil"/>
              <w:right w:val="single" w:color="auto" w:sz="18" w:space="0"/>
            </w:tcBorders>
          </w:tcPr>
          <w:p w:rsidRPr="002D5FF3" w:rsidR="00024B9F" w:rsidP="00791741" w:rsidRDefault="00024B9F" w14:paraId="26A33048" w14:textId="77777777">
            <w:pPr>
              <w:tabs>
                <w:tab w:val="left" w:pos="360"/>
                <w:tab w:val="left" w:pos="480"/>
                <w:tab w:val="left" w:pos="960"/>
                <w:tab w:val="left" w:pos="1320"/>
                <w:tab w:val="left" w:pos="1800"/>
                <w:tab w:val="left" w:pos="2760"/>
              </w:tabs>
              <w:spacing w:before="120" w:line="240" w:lineRule="exact"/>
            </w:pPr>
          </w:p>
        </w:tc>
        <w:tc>
          <w:tcPr>
            <w:tcW w:w="241" w:type="dxa"/>
            <w:tcBorders>
              <w:top w:val="nil"/>
              <w:left w:val="single" w:color="auto" w:sz="18" w:space="0"/>
              <w:bottom w:val="nil"/>
              <w:right w:val="single" w:color="auto" w:sz="18" w:space="0"/>
            </w:tcBorders>
          </w:tcPr>
          <w:p w:rsidRPr="002D5FF3" w:rsidR="00024B9F" w:rsidP="00791741" w:rsidRDefault="00024B9F" w14:paraId="5D8013C5"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left w:val="single" w:color="auto" w:sz="18" w:space="0"/>
              <w:bottom w:val="nil"/>
            </w:tcBorders>
          </w:tcPr>
          <w:p w:rsidRPr="002D5FF3" w:rsidR="00024B9F" w:rsidP="00791741" w:rsidRDefault="00024B9F" w14:paraId="15834FB3"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6995456A" w14:textId="77777777">
            <w:pPr>
              <w:tabs>
                <w:tab w:val="left" w:pos="360"/>
                <w:tab w:val="left" w:pos="480"/>
                <w:tab w:val="left" w:pos="960"/>
                <w:tab w:val="left" w:pos="1320"/>
                <w:tab w:val="left" w:pos="1800"/>
                <w:tab w:val="left" w:pos="2760"/>
              </w:tabs>
              <w:spacing w:before="120" w:line="240" w:lineRule="exact"/>
            </w:pPr>
          </w:p>
        </w:tc>
        <w:tc>
          <w:tcPr>
            <w:tcW w:w="1159" w:type="dxa"/>
            <w:gridSpan w:val="2"/>
            <w:tcBorders>
              <w:top w:val="nil"/>
              <w:bottom w:val="nil"/>
            </w:tcBorders>
          </w:tcPr>
          <w:p w:rsidRPr="002D5FF3" w:rsidR="00024B9F" w:rsidP="00791741" w:rsidRDefault="00024B9F" w14:paraId="1E94E6FA" w14:textId="77777777">
            <w:pPr>
              <w:tabs>
                <w:tab w:val="left" w:pos="360"/>
                <w:tab w:val="left" w:pos="480"/>
                <w:tab w:val="left" w:pos="960"/>
                <w:tab w:val="left" w:pos="1320"/>
                <w:tab w:val="left" w:pos="1800"/>
                <w:tab w:val="left" w:pos="2760"/>
              </w:tabs>
              <w:spacing w:before="120" w:line="240" w:lineRule="exact"/>
            </w:pPr>
          </w:p>
        </w:tc>
        <w:tc>
          <w:tcPr>
            <w:tcW w:w="326" w:type="dxa"/>
            <w:tcBorders>
              <w:top w:val="nil"/>
              <w:bottom w:val="nil"/>
            </w:tcBorders>
          </w:tcPr>
          <w:p w:rsidRPr="002D5FF3" w:rsidR="00024B9F" w:rsidP="00791741" w:rsidRDefault="00024B9F" w14:paraId="516DB4C6" w14:textId="77777777">
            <w:pPr>
              <w:tabs>
                <w:tab w:val="left" w:pos="360"/>
                <w:tab w:val="left" w:pos="480"/>
                <w:tab w:val="left" w:pos="960"/>
                <w:tab w:val="left" w:pos="1320"/>
                <w:tab w:val="left" w:pos="1800"/>
                <w:tab w:val="left" w:pos="2760"/>
              </w:tabs>
              <w:spacing w:before="120" w:line="240" w:lineRule="exact"/>
            </w:pPr>
          </w:p>
        </w:tc>
        <w:tc>
          <w:tcPr>
            <w:tcW w:w="1136" w:type="dxa"/>
            <w:gridSpan w:val="3"/>
            <w:tcBorders>
              <w:top w:val="nil"/>
              <w:bottom w:val="nil"/>
            </w:tcBorders>
          </w:tcPr>
          <w:p w:rsidRPr="002D5FF3" w:rsidR="00024B9F" w:rsidP="00791741" w:rsidRDefault="00024B9F" w14:paraId="78BCF35B" w14:textId="77777777">
            <w:pPr>
              <w:tabs>
                <w:tab w:val="left" w:pos="360"/>
                <w:tab w:val="left" w:pos="480"/>
                <w:tab w:val="left" w:pos="960"/>
                <w:tab w:val="left" w:pos="1320"/>
                <w:tab w:val="left" w:pos="1800"/>
                <w:tab w:val="left" w:pos="2760"/>
              </w:tabs>
              <w:spacing w:before="120" w:line="240" w:lineRule="exact"/>
            </w:pPr>
          </w:p>
        </w:tc>
      </w:tr>
      <w:tr w:rsidRPr="004869E2" w:rsidR="00024B9F" w:rsidTr="00DF23AB" w14:paraId="062BFCB6" w14:textId="77777777">
        <w:trPr>
          <w:gridAfter w:val="1"/>
          <w:wAfter w:w="222" w:type="dxa"/>
        </w:trPr>
        <w:tc>
          <w:tcPr>
            <w:tcW w:w="1146" w:type="dxa"/>
            <w:tcBorders>
              <w:right w:val="single" w:color="auto" w:sz="18" w:space="0"/>
            </w:tcBorders>
          </w:tcPr>
          <w:p w:rsidRPr="002D5FF3" w:rsidR="00024B9F" w:rsidP="00791741" w:rsidRDefault="00024B9F" w14:paraId="00EE7BB5" w14:textId="77777777">
            <w:pPr>
              <w:tabs>
                <w:tab w:val="left" w:pos="360"/>
                <w:tab w:val="left" w:pos="480"/>
                <w:tab w:val="left" w:pos="960"/>
                <w:tab w:val="left" w:pos="1320"/>
                <w:tab w:val="left" w:pos="1800"/>
                <w:tab w:val="left" w:pos="2760"/>
              </w:tabs>
              <w:spacing w:before="120" w:line="240" w:lineRule="exact"/>
            </w:pPr>
            <w:r w:rsidRPr="002D5FF3">
              <w:t>Initiation</w:t>
            </w:r>
          </w:p>
        </w:tc>
        <w:tc>
          <w:tcPr>
            <w:tcW w:w="1480" w:type="dxa"/>
            <w:gridSpan w:val="2"/>
            <w:tcBorders>
              <w:top w:val="nil"/>
              <w:left w:val="single" w:color="auto" w:sz="18" w:space="0"/>
              <w:bottom w:val="nil"/>
            </w:tcBorders>
          </w:tcPr>
          <w:p w:rsidRPr="002D5FF3" w:rsidR="00024B9F" w:rsidP="00791741" w:rsidRDefault="00913278" w14:paraId="580C8E24" w14:textId="123BDFC8">
            <w:pPr>
              <w:tabs>
                <w:tab w:val="left" w:pos="360"/>
                <w:tab w:val="left" w:pos="480"/>
                <w:tab w:val="left" w:pos="960"/>
                <w:tab w:val="left" w:pos="1320"/>
                <w:tab w:val="left" w:pos="1800"/>
                <w:tab w:val="left" w:pos="2760"/>
              </w:tabs>
              <w:spacing w:before="120" w:line="240" w:lineRule="exact"/>
              <w:jc w:val="center"/>
            </w:pPr>
            <w:r w:rsidRPr="002D5FF3">
              <w:t>1300</w:t>
            </w:r>
            <w:r w:rsidRPr="002D5FF3" w:rsidR="00024B9F">
              <w:t xml:space="preserve"> </w:t>
            </w:r>
          </w:p>
        </w:tc>
        <w:tc>
          <w:tcPr>
            <w:tcW w:w="329" w:type="dxa"/>
            <w:tcBorders>
              <w:top w:val="nil"/>
              <w:bottom w:val="nil"/>
            </w:tcBorders>
          </w:tcPr>
          <w:p w:rsidRPr="002D5FF3" w:rsidR="00024B9F" w:rsidP="00791741" w:rsidRDefault="00024B9F" w14:paraId="74B5EE8A" w14:textId="77777777">
            <w:pPr>
              <w:tabs>
                <w:tab w:val="left" w:pos="360"/>
                <w:tab w:val="left" w:pos="480"/>
                <w:tab w:val="left" w:pos="960"/>
                <w:tab w:val="left" w:pos="1320"/>
                <w:tab w:val="left" w:pos="1800"/>
                <w:tab w:val="left" w:pos="2760"/>
              </w:tabs>
              <w:spacing w:before="120" w:line="240" w:lineRule="exact"/>
            </w:pPr>
            <w:r w:rsidRPr="002D5FF3">
              <w:t>x</w:t>
            </w:r>
          </w:p>
        </w:tc>
        <w:tc>
          <w:tcPr>
            <w:tcW w:w="1232" w:type="dxa"/>
            <w:gridSpan w:val="2"/>
            <w:tcBorders>
              <w:top w:val="nil"/>
              <w:bottom w:val="nil"/>
            </w:tcBorders>
          </w:tcPr>
          <w:p w:rsidRPr="002D5FF3" w:rsidR="00024B9F" w:rsidP="00791741" w:rsidRDefault="00024B9F" w14:paraId="028D2C48"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44" w:type="dxa"/>
            <w:tcBorders>
              <w:top w:val="nil"/>
              <w:bottom w:val="nil"/>
            </w:tcBorders>
          </w:tcPr>
          <w:p w:rsidRPr="002D5FF3" w:rsidR="00024B9F" w:rsidP="00791741" w:rsidRDefault="00024B9F" w14:paraId="7CE87B47"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656647" w:rsidRDefault="00024B9F" w14:paraId="7DCE4AAD" w14:textId="21064171">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2678F4">
              <w:t>13</w:t>
            </w:r>
            <w:r w:rsidRPr="002D5FF3" w:rsidR="00656647">
              <w:t>00</w:t>
            </w:r>
          </w:p>
        </w:tc>
        <w:tc>
          <w:tcPr>
            <w:tcW w:w="241" w:type="dxa"/>
            <w:tcBorders>
              <w:top w:val="nil"/>
              <w:left w:val="single" w:color="auto" w:sz="18" w:space="0"/>
              <w:bottom w:val="nil"/>
              <w:right w:val="single" w:color="auto" w:sz="18" w:space="0"/>
            </w:tcBorders>
          </w:tcPr>
          <w:p w:rsidRPr="002D5FF3" w:rsidR="00024B9F" w:rsidP="00791741" w:rsidRDefault="00024B9F" w14:paraId="6E13D7BD" w14:textId="77777777">
            <w:pPr>
              <w:tabs>
                <w:tab w:val="left" w:pos="360"/>
                <w:tab w:val="left" w:pos="480"/>
                <w:tab w:val="left" w:pos="960"/>
                <w:tab w:val="left" w:pos="1320"/>
                <w:tab w:val="left" w:pos="1800"/>
                <w:tab w:val="left" w:pos="2760"/>
              </w:tabs>
              <w:spacing w:before="120" w:line="240" w:lineRule="exact"/>
            </w:pPr>
            <w:r w:rsidRPr="002D5FF3">
              <w:t xml:space="preserve"> </w:t>
            </w:r>
          </w:p>
        </w:tc>
        <w:tc>
          <w:tcPr>
            <w:tcW w:w="1244" w:type="dxa"/>
            <w:gridSpan w:val="2"/>
            <w:tcBorders>
              <w:top w:val="nil"/>
              <w:left w:val="single" w:color="auto" w:sz="18" w:space="0"/>
              <w:bottom w:val="nil"/>
            </w:tcBorders>
          </w:tcPr>
          <w:p w:rsidRPr="002D5FF3" w:rsidR="00024B9F" w:rsidP="00791741" w:rsidRDefault="00AC2D59" w14:paraId="0A486879" w14:textId="02968BEE">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13</w:t>
            </w:r>
            <w:r w:rsidRPr="002D5FF3" w:rsidR="00656647">
              <w:t>00</w:t>
            </w:r>
          </w:p>
        </w:tc>
        <w:tc>
          <w:tcPr>
            <w:tcW w:w="329" w:type="dxa"/>
            <w:tcBorders>
              <w:top w:val="nil"/>
              <w:bottom w:val="nil"/>
            </w:tcBorders>
          </w:tcPr>
          <w:p w:rsidRPr="002D5FF3" w:rsidR="00024B9F" w:rsidP="00791741" w:rsidRDefault="00024B9F" w14:paraId="16DC9259"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791741" w:rsidRDefault="00024B9F" w14:paraId="26E71023"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26" w:type="dxa"/>
            <w:tcBorders>
              <w:top w:val="nil"/>
              <w:bottom w:val="nil"/>
            </w:tcBorders>
          </w:tcPr>
          <w:p w:rsidRPr="002D5FF3" w:rsidR="00024B9F" w:rsidP="00791741" w:rsidRDefault="00024B9F" w14:paraId="0962E436"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656647" w:rsidRDefault="00024B9F" w14:paraId="31D9A8C3" w14:textId="5BACC7F2">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913278">
              <w:t>13</w:t>
            </w:r>
            <w:r w:rsidRPr="002D5FF3" w:rsidR="00656647">
              <w:t>00</w:t>
            </w:r>
          </w:p>
        </w:tc>
      </w:tr>
      <w:tr w:rsidRPr="004869E2" w:rsidR="00024B9F" w:rsidTr="00DF23AB" w14:paraId="160FE0C0" w14:textId="77777777">
        <w:trPr>
          <w:gridAfter w:val="1"/>
          <w:wAfter w:w="222" w:type="dxa"/>
        </w:trPr>
        <w:tc>
          <w:tcPr>
            <w:tcW w:w="1146" w:type="dxa"/>
            <w:tcBorders>
              <w:right w:val="single" w:color="auto" w:sz="18" w:space="0"/>
            </w:tcBorders>
          </w:tcPr>
          <w:p w:rsidRPr="002D5FF3" w:rsidR="00024B9F" w:rsidP="00791741" w:rsidRDefault="00024B9F" w14:paraId="608A8A9D" w14:textId="77777777">
            <w:pPr>
              <w:tabs>
                <w:tab w:val="left" w:pos="360"/>
                <w:tab w:val="left" w:pos="480"/>
                <w:tab w:val="left" w:pos="960"/>
                <w:tab w:val="left" w:pos="1320"/>
                <w:tab w:val="left" w:pos="1800"/>
                <w:tab w:val="left" w:pos="2760"/>
              </w:tabs>
              <w:spacing w:before="120" w:line="240" w:lineRule="exact"/>
            </w:pPr>
            <w:r w:rsidRPr="002D5FF3">
              <w:t>Repricing</w:t>
            </w:r>
          </w:p>
        </w:tc>
        <w:tc>
          <w:tcPr>
            <w:tcW w:w="1480" w:type="dxa"/>
            <w:gridSpan w:val="2"/>
            <w:tcBorders>
              <w:top w:val="nil"/>
              <w:left w:val="single" w:color="auto" w:sz="18" w:space="0"/>
              <w:bottom w:val="nil"/>
            </w:tcBorders>
          </w:tcPr>
          <w:p w:rsidRPr="002D5FF3" w:rsidR="00024B9F" w:rsidP="00791741" w:rsidRDefault="00913278" w14:paraId="3DF4813A" w14:textId="341024EA">
            <w:pPr>
              <w:tabs>
                <w:tab w:val="left" w:pos="360"/>
                <w:tab w:val="left" w:pos="480"/>
                <w:tab w:val="left" w:pos="960"/>
                <w:tab w:val="left" w:pos="1320"/>
                <w:tab w:val="left" w:pos="1800"/>
                <w:tab w:val="left" w:pos="2760"/>
              </w:tabs>
              <w:spacing w:before="120" w:line="240" w:lineRule="exact"/>
              <w:jc w:val="center"/>
            </w:pPr>
            <w:r w:rsidRPr="002D5FF3">
              <w:t>2350</w:t>
            </w:r>
          </w:p>
        </w:tc>
        <w:tc>
          <w:tcPr>
            <w:tcW w:w="329" w:type="dxa"/>
            <w:tcBorders>
              <w:top w:val="nil"/>
              <w:bottom w:val="nil"/>
            </w:tcBorders>
          </w:tcPr>
          <w:p w:rsidRPr="002D5FF3" w:rsidR="00024B9F" w:rsidP="00791741" w:rsidRDefault="00024B9F" w14:paraId="680E5FE4" w14:textId="77777777">
            <w:pPr>
              <w:tabs>
                <w:tab w:val="left" w:pos="360"/>
                <w:tab w:val="left" w:pos="480"/>
                <w:tab w:val="left" w:pos="960"/>
                <w:tab w:val="left" w:pos="1320"/>
                <w:tab w:val="left" w:pos="1800"/>
                <w:tab w:val="left" w:pos="2760"/>
              </w:tabs>
              <w:spacing w:before="120" w:line="240" w:lineRule="exact"/>
            </w:pPr>
            <w:r w:rsidRPr="002D5FF3">
              <w:t>x</w:t>
            </w:r>
          </w:p>
        </w:tc>
        <w:tc>
          <w:tcPr>
            <w:tcW w:w="1232" w:type="dxa"/>
            <w:gridSpan w:val="2"/>
            <w:tcBorders>
              <w:top w:val="nil"/>
              <w:bottom w:val="nil"/>
            </w:tcBorders>
          </w:tcPr>
          <w:p w:rsidRPr="002D5FF3" w:rsidR="00024B9F" w:rsidP="0047063E" w:rsidRDefault="00913278" w14:paraId="0A819528" w14:textId="001D57E1">
            <w:pPr>
              <w:tabs>
                <w:tab w:val="left" w:pos="360"/>
                <w:tab w:val="left" w:pos="480"/>
                <w:tab w:val="left" w:pos="960"/>
                <w:tab w:val="left" w:pos="1320"/>
                <w:tab w:val="left" w:pos="1800"/>
                <w:tab w:val="left" w:pos="2760"/>
              </w:tabs>
              <w:spacing w:before="120" w:line="240" w:lineRule="exact"/>
              <w:jc w:val="center"/>
            </w:pPr>
            <w:r w:rsidRPr="002D5FF3">
              <w:t>8.9</w:t>
            </w:r>
          </w:p>
        </w:tc>
        <w:tc>
          <w:tcPr>
            <w:tcW w:w="344" w:type="dxa"/>
            <w:tcBorders>
              <w:top w:val="nil"/>
              <w:bottom w:val="nil"/>
            </w:tcBorders>
          </w:tcPr>
          <w:p w:rsidRPr="002D5FF3" w:rsidR="00024B9F" w:rsidP="00791741" w:rsidRDefault="00024B9F" w14:paraId="2843E584"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791741" w:rsidRDefault="002678F4" w14:paraId="4FC8C574" w14:textId="7431CCAD">
            <w:pPr>
              <w:tabs>
                <w:tab w:val="left" w:pos="360"/>
                <w:tab w:val="left" w:pos="480"/>
                <w:tab w:val="left" w:pos="960"/>
                <w:tab w:val="left" w:pos="1320"/>
                <w:tab w:val="left" w:pos="1800"/>
                <w:tab w:val="left" w:pos="2760"/>
              </w:tabs>
              <w:spacing w:before="120" w:line="240" w:lineRule="exact"/>
              <w:jc w:val="center"/>
            </w:pPr>
            <w:r w:rsidRPr="002D5FF3">
              <w:t>20915</w:t>
            </w:r>
          </w:p>
        </w:tc>
        <w:tc>
          <w:tcPr>
            <w:tcW w:w="241" w:type="dxa"/>
            <w:tcBorders>
              <w:top w:val="nil"/>
              <w:left w:val="single" w:color="auto" w:sz="18" w:space="0"/>
              <w:bottom w:val="nil"/>
              <w:right w:val="single" w:color="auto" w:sz="18" w:space="0"/>
            </w:tcBorders>
          </w:tcPr>
          <w:p w:rsidRPr="002D5FF3" w:rsidR="00024B9F" w:rsidP="00791741" w:rsidRDefault="00024B9F" w14:paraId="644BDE70"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tcPr>
          <w:p w:rsidRPr="002D5FF3" w:rsidR="00024B9F" w:rsidP="00791741" w:rsidRDefault="00913278" w14:paraId="4DA14CB9" w14:textId="38C97569">
            <w:pPr>
              <w:tabs>
                <w:tab w:val="left" w:pos="360"/>
                <w:tab w:val="left" w:pos="480"/>
                <w:tab w:val="left" w:pos="960"/>
                <w:tab w:val="left" w:pos="1320"/>
                <w:tab w:val="left" w:pos="1800"/>
                <w:tab w:val="left" w:pos="2760"/>
              </w:tabs>
              <w:spacing w:before="120" w:line="240" w:lineRule="exact"/>
              <w:jc w:val="center"/>
            </w:pPr>
            <w:r w:rsidRPr="002D5FF3">
              <w:t>20915</w:t>
            </w:r>
          </w:p>
        </w:tc>
        <w:tc>
          <w:tcPr>
            <w:tcW w:w="329" w:type="dxa"/>
            <w:tcBorders>
              <w:top w:val="nil"/>
              <w:bottom w:val="nil"/>
            </w:tcBorders>
          </w:tcPr>
          <w:p w:rsidRPr="002D5FF3" w:rsidR="00024B9F" w:rsidP="00791741" w:rsidRDefault="00024B9F" w14:paraId="40092D79"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913278" w:rsidRDefault="005475E1" w14:paraId="3B2253BF" w14:textId="0E747C3F">
            <w:pPr>
              <w:tabs>
                <w:tab w:val="left" w:pos="360"/>
                <w:tab w:val="left" w:pos="480"/>
                <w:tab w:val="left" w:pos="960"/>
                <w:tab w:val="left" w:pos="1320"/>
                <w:tab w:val="left" w:pos="1800"/>
                <w:tab w:val="left" w:pos="2760"/>
              </w:tabs>
              <w:spacing w:before="120" w:line="240" w:lineRule="exact"/>
              <w:jc w:val="center"/>
            </w:pPr>
            <w:r w:rsidRPr="002D5FF3">
              <w:t>0.</w:t>
            </w:r>
            <w:r w:rsidRPr="002D5FF3" w:rsidR="00913278">
              <w:t>4683</w:t>
            </w:r>
            <w:r w:rsidRPr="002D5FF3" w:rsidR="00024B9F">
              <w:rPr>
                <w:rStyle w:val="FootnoteReference"/>
              </w:rPr>
              <w:footnoteReference w:id="9"/>
            </w:r>
          </w:p>
        </w:tc>
        <w:tc>
          <w:tcPr>
            <w:tcW w:w="326" w:type="dxa"/>
            <w:tcBorders>
              <w:top w:val="nil"/>
              <w:bottom w:val="nil"/>
            </w:tcBorders>
          </w:tcPr>
          <w:p w:rsidRPr="002D5FF3" w:rsidR="00024B9F" w:rsidP="00791741" w:rsidRDefault="00024B9F" w14:paraId="2EF3A998"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791741" w:rsidRDefault="000A12AA" w14:paraId="54BDF293" w14:textId="18D1698F">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9794</w:t>
            </w:r>
          </w:p>
        </w:tc>
      </w:tr>
      <w:tr w:rsidRPr="004869E2" w:rsidR="00024B9F" w:rsidTr="00DF23AB" w14:paraId="0EE41E6B" w14:textId="77777777">
        <w:trPr>
          <w:gridAfter w:val="1"/>
          <w:wAfter w:w="222" w:type="dxa"/>
        </w:trPr>
        <w:tc>
          <w:tcPr>
            <w:tcW w:w="1146" w:type="dxa"/>
            <w:tcBorders>
              <w:right w:val="single" w:color="auto" w:sz="18" w:space="0"/>
            </w:tcBorders>
            <w:shd w:val="clear" w:color="auto" w:fill="E6E6E6"/>
          </w:tcPr>
          <w:p w:rsidRPr="002D5FF3" w:rsidR="00024B9F" w:rsidP="00791741" w:rsidRDefault="00024B9F" w14:paraId="7A2DD613"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480" w:type="dxa"/>
            <w:gridSpan w:val="2"/>
            <w:tcBorders>
              <w:top w:val="nil"/>
              <w:left w:val="single" w:color="auto" w:sz="18" w:space="0"/>
              <w:bottom w:val="nil"/>
            </w:tcBorders>
            <w:shd w:val="clear" w:color="auto" w:fill="E6E6E6"/>
          </w:tcPr>
          <w:p w:rsidRPr="002D5FF3" w:rsidR="00024B9F" w:rsidP="00791741" w:rsidRDefault="00913278" w14:paraId="4B7A9D2C" w14:textId="4AB589A7">
            <w:pPr>
              <w:tabs>
                <w:tab w:val="left" w:pos="360"/>
                <w:tab w:val="left" w:pos="480"/>
                <w:tab w:val="left" w:pos="960"/>
                <w:tab w:val="left" w:pos="1320"/>
                <w:tab w:val="left" w:pos="1800"/>
                <w:tab w:val="left" w:pos="2760"/>
              </w:tabs>
              <w:spacing w:before="120" w:line="240" w:lineRule="exact"/>
              <w:jc w:val="center"/>
            </w:pPr>
            <w:r w:rsidRPr="002D5FF3">
              <w:t>3650</w:t>
            </w:r>
          </w:p>
        </w:tc>
        <w:tc>
          <w:tcPr>
            <w:tcW w:w="329" w:type="dxa"/>
            <w:tcBorders>
              <w:top w:val="nil"/>
              <w:bottom w:val="nil"/>
            </w:tcBorders>
            <w:shd w:val="clear" w:color="auto" w:fill="E6E6E6"/>
          </w:tcPr>
          <w:p w:rsidRPr="002D5FF3" w:rsidR="00024B9F" w:rsidP="00791741" w:rsidRDefault="00024B9F" w14:paraId="39EC8E01"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shd w:val="clear" w:color="auto" w:fill="E6E6E6"/>
          </w:tcPr>
          <w:p w:rsidRPr="002D5FF3" w:rsidR="00024B9F" w:rsidP="00791741" w:rsidRDefault="00024B9F" w14:paraId="4310A138" w14:textId="77777777">
            <w:pPr>
              <w:tabs>
                <w:tab w:val="left" w:pos="360"/>
                <w:tab w:val="left" w:pos="480"/>
                <w:tab w:val="left" w:pos="960"/>
                <w:tab w:val="left" w:pos="1320"/>
                <w:tab w:val="left" w:pos="1800"/>
                <w:tab w:val="left" w:pos="2760"/>
              </w:tabs>
              <w:spacing w:before="120" w:line="240" w:lineRule="exact"/>
              <w:jc w:val="center"/>
            </w:pPr>
          </w:p>
        </w:tc>
        <w:tc>
          <w:tcPr>
            <w:tcW w:w="344" w:type="dxa"/>
            <w:tcBorders>
              <w:top w:val="nil"/>
              <w:bottom w:val="nil"/>
            </w:tcBorders>
            <w:shd w:val="clear" w:color="auto" w:fill="E6E6E6"/>
          </w:tcPr>
          <w:p w:rsidRPr="002D5FF3" w:rsidR="00024B9F" w:rsidP="00791741" w:rsidRDefault="00024B9F" w14:paraId="7005A78D"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bottom w:val="nil"/>
              <w:right w:val="single" w:color="auto" w:sz="18" w:space="0"/>
            </w:tcBorders>
            <w:shd w:val="clear" w:color="auto" w:fill="E6E6E6"/>
          </w:tcPr>
          <w:p w:rsidRPr="002D5FF3" w:rsidR="00024B9F" w:rsidP="00791741" w:rsidRDefault="002678F4" w14:paraId="23F9ADA2" w14:textId="092744C1">
            <w:pPr>
              <w:tabs>
                <w:tab w:val="left" w:pos="360"/>
                <w:tab w:val="left" w:pos="480"/>
                <w:tab w:val="left" w:pos="960"/>
                <w:tab w:val="left" w:pos="1320"/>
                <w:tab w:val="left" w:pos="1800"/>
                <w:tab w:val="left" w:pos="2760"/>
              </w:tabs>
              <w:spacing w:before="120" w:line="240" w:lineRule="exact"/>
              <w:jc w:val="center"/>
            </w:pPr>
            <w:r w:rsidRPr="002D5FF3">
              <w:t>22215</w:t>
            </w:r>
          </w:p>
        </w:tc>
        <w:tc>
          <w:tcPr>
            <w:tcW w:w="241" w:type="dxa"/>
            <w:tcBorders>
              <w:top w:val="nil"/>
              <w:left w:val="single" w:color="auto" w:sz="18" w:space="0"/>
              <w:bottom w:val="nil"/>
              <w:right w:val="single" w:color="auto" w:sz="18" w:space="0"/>
            </w:tcBorders>
            <w:shd w:val="clear" w:color="auto" w:fill="E6E6E6"/>
          </w:tcPr>
          <w:p w:rsidRPr="002D5FF3" w:rsidR="00024B9F" w:rsidP="00791741" w:rsidRDefault="00024B9F" w14:paraId="3C86D86C"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shd w:val="clear" w:color="auto" w:fill="E6E6E6"/>
          </w:tcPr>
          <w:p w:rsidRPr="002D5FF3" w:rsidR="00024B9F" w:rsidP="00791741" w:rsidRDefault="00913278" w14:paraId="1C298665" w14:textId="44D760F0">
            <w:pPr>
              <w:tabs>
                <w:tab w:val="left" w:pos="360"/>
                <w:tab w:val="left" w:pos="480"/>
                <w:tab w:val="left" w:pos="960"/>
                <w:tab w:val="left" w:pos="1320"/>
                <w:tab w:val="left" w:pos="1800"/>
                <w:tab w:val="left" w:pos="2760"/>
              </w:tabs>
              <w:spacing w:before="120" w:line="240" w:lineRule="exact"/>
              <w:jc w:val="center"/>
            </w:pPr>
            <w:r w:rsidRPr="002D5FF3">
              <w:t>22215</w:t>
            </w:r>
          </w:p>
        </w:tc>
        <w:tc>
          <w:tcPr>
            <w:tcW w:w="329" w:type="dxa"/>
            <w:tcBorders>
              <w:top w:val="nil"/>
              <w:bottom w:val="nil"/>
            </w:tcBorders>
            <w:shd w:val="clear" w:color="auto" w:fill="E6E6E6"/>
          </w:tcPr>
          <w:p w:rsidRPr="002D5FF3" w:rsidR="00024B9F" w:rsidP="00791741" w:rsidRDefault="00024B9F" w14:paraId="00159E65" w14:textId="77777777">
            <w:pPr>
              <w:tabs>
                <w:tab w:val="left" w:pos="360"/>
                <w:tab w:val="left" w:pos="480"/>
                <w:tab w:val="left" w:pos="960"/>
                <w:tab w:val="left" w:pos="1320"/>
                <w:tab w:val="left" w:pos="1800"/>
                <w:tab w:val="left" w:pos="2760"/>
              </w:tabs>
              <w:spacing w:before="120" w:line="240" w:lineRule="exact"/>
              <w:jc w:val="center"/>
            </w:pPr>
          </w:p>
        </w:tc>
        <w:tc>
          <w:tcPr>
            <w:tcW w:w="1159" w:type="dxa"/>
            <w:gridSpan w:val="2"/>
            <w:tcBorders>
              <w:top w:val="nil"/>
              <w:bottom w:val="nil"/>
            </w:tcBorders>
            <w:shd w:val="clear" w:color="auto" w:fill="E6E6E6"/>
          </w:tcPr>
          <w:p w:rsidRPr="002D5FF3" w:rsidR="00024B9F" w:rsidP="00791741" w:rsidRDefault="00024B9F" w14:paraId="586A4A07" w14:textId="77777777">
            <w:pPr>
              <w:tabs>
                <w:tab w:val="left" w:pos="360"/>
                <w:tab w:val="left" w:pos="480"/>
                <w:tab w:val="left" w:pos="960"/>
                <w:tab w:val="left" w:pos="1320"/>
                <w:tab w:val="left" w:pos="1800"/>
                <w:tab w:val="left" w:pos="2760"/>
              </w:tabs>
              <w:spacing w:before="120" w:line="240" w:lineRule="exact"/>
              <w:jc w:val="center"/>
            </w:pPr>
          </w:p>
        </w:tc>
        <w:tc>
          <w:tcPr>
            <w:tcW w:w="326" w:type="dxa"/>
            <w:tcBorders>
              <w:top w:val="nil"/>
              <w:bottom w:val="nil"/>
            </w:tcBorders>
            <w:shd w:val="clear" w:color="auto" w:fill="E6E6E6"/>
          </w:tcPr>
          <w:p w:rsidRPr="002D5FF3" w:rsidR="00024B9F" w:rsidP="00791741" w:rsidRDefault="00024B9F" w14:paraId="00A6D760" w14:textId="77777777">
            <w:pPr>
              <w:tabs>
                <w:tab w:val="left" w:pos="360"/>
                <w:tab w:val="left" w:pos="480"/>
                <w:tab w:val="left" w:pos="960"/>
                <w:tab w:val="left" w:pos="1320"/>
                <w:tab w:val="left" w:pos="1800"/>
                <w:tab w:val="left" w:pos="2760"/>
              </w:tabs>
              <w:spacing w:before="120" w:line="240" w:lineRule="exact"/>
              <w:jc w:val="center"/>
            </w:pPr>
          </w:p>
        </w:tc>
        <w:tc>
          <w:tcPr>
            <w:tcW w:w="1136" w:type="dxa"/>
            <w:gridSpan w:val="3"/>
            <w:tcBorders>
              <w:top w:val="nil"/>
              <w:bottom w:val="nil"/>
            </w:tcBorders>
            <w:shd w:val="clear" w:color="auto" w:fill="E6E6E6"/>
          </w:tcPr>
          <w:p w:rsidRPr="002D5FF3" w:rsidR="00024B9F" w:rsidP="00913278" w:rsidRDefault="00024B9F" w14:paraId="1BA11D0C" w14:textId="3D164A5C">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913278">
              <w:t>11094</w:t>
            </w:r>
            <w:r w:rsidRPr="002D5FF3">
              <w:rPr>
                <w:rStyle w:val="FootnoteReference"/>
              </w:rPr>
              <w:footnoteReference w:id="10"/>
            </w:r>
          </w:p>
        </w:tc>
      </w:tr>
      <w:tr w:rsidRPr="004869E2" w:rsidR="00024B9F" w:rsidTr="00DF23AB" w14:paraId="1F948E41" w14:textId="77777777">
        <w:trPr>
          <w:gridAfter w:val="1"/>
          <w:wAfter w:w="222" w:type="dxa"/>
        </w:trPr>
        <w:tc>
          <w:tcPr>
            <w:tcW w:w="1146" w:type="dxa"/>
            <w:tcBorders>
              <w:right w:val="single" w:color="auto" w:sz="18" w:space="0"/>
            </w:tcBorders>
          </w:tcPr>
          <w:p w:rsidRPr="002D5FF3" w:rsidR="00024B9F" w:rsidP="00791741" w:rsidRDefault="00024B9F" w14:paraId="606FB1AB" w14:textId="77777777">
            <w:pPr>
              <w:tabs>
                <w:tab w:val="left" w:pos="360"/>
                <w:tab w:val="left" w:pos="480"/>
                <w:tab w:val="left" w:pos="960"/>
                <w:tab w:val="left" w:pos="1320"/>
                <w:tab w:val="left" w:pos="1800"/>
                <w:tab w:val="left" w:pos="2760"/>
              </w:tabs>
              <w:spacing w:before="120" w:line="240" w:lineRule="exact"/>
            </w:pPr>
          </w:p>
        </w:tc>
        <w:tc>
          <w:tcPr>
            <w:tcW w:w="1480" w:type="dxa"/>
            <w:gridSpan w:val="2"/>
            <w:tcBorders>
              <w:top w:val="nil"/>
              <w:left w:val="single" w:color="auto" w:sz="18" w:space="0"/>
              <w:bottom w:val="nil"/>
            </w:tcBorders>
          </w:tcPr>
          <w:p w:rsidRPr="002D5FF3" w:rsidR="00024B9F" w:rsidP="00791741" w:rsidRDefault="00024B9F" w14:paraId="37FFD78F"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6CFD506E"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tcPr>
          <w:p w:rsidRPr="002D5FF3" w:rsidR="00024B9F" w:rsidP="00791741" w:rsidRDefault="00024B9F" w14:paraId="4D0370BD" w14:textId="77777777">
            <w:pPr>
              <w:tabs>
                <w:tab w:val="left" w:pos="360"/>
                <w:tab w:val="left" w:pos="480"/>
                <w:tab w:val="left" w:pos="960"/>
                <w:tab w:val="left" w:pos="1320"/>
                <w:tab w:val="left" w:pos="1800"/>
                <w:tab w:val="left" w:pos="2760"/>
              </w:tabs>
              <w:spacing w:before="120" w:line="240" w:lineRule="exact"/>
            </w:pPr>
          </w:p>
        </w:tc>
        <w:tc>
          <w:tcPr>
            <w:tcW w:w="344" w:type="dxa"/>
            <w:tcBorders>
              <w:top w:val="nil"/>
              <w:bottom w:val="nil"/>
            </w:tcBorders>
          </w:tcPr>
          <w:p w:rsidRPr="002D5FF3" w:rsidR="00024B9F" w:rsidP="00791741" w:rsidRDefault="00024B9F" w14:paraId="1808E857"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bottom w:val="nil"/>
              <w:right w:val="single" w:color="auto" w:sz="18" w:space="0"/>
            </w:tcBorders>
          </w:tcPr>
          <w:p w:rsidRPr="002D5FF3" w:rsidR="00024B9F" w:rsidP="00791741" w:rsidRDefault="00024B9F" w14:paraId="28C617BD" w14:textId="77777777">
            <w:pPr>
              <w:tabs>
                <w:tab w:val="left" w:pos="360"/>
                <w:tab w:val="left" w:pos="480"/>
                <w:tab w:val="left" w:pos="960"/>
                <w:tab w:val="left" w:pos="1320"/>
                <w:tab w:val="left" w:pos="1800"/>
                <w:tab w:val="left" w:pos="2760"/>
              </w:tabs>
              <w:spacing w:before="120" w:line="240" w:lineRule="exact"/>
            </w:pPr>
          </w:p>
        </w:tc>
        <w:tc>
          <w:tcPr>
            <w:tcW w:w="241" w:type="dxa"/>
            <w:tcBorders>
              <w:top w:val="nil"/>
              <w:left w:val="single" w:color="auto" w:sz="18" w:space="0"/>
              <w:bottom w:val="nil"/>
              <w:right w:val="single" w:color="auto" w:sz="18" w:space="0"/>
            </w:tcBorders>
          </w:tcPr>
          <w:p w:rsidRPr="002D5FF3" w:rsidR="00024B9F" w:rsidP="00791741" w:rsidRDefault="00024B9F" w14:paraId="52898819"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left w:val="single" w:color="auto" w:sz="18" w:space="0"/>
              <w:bottom w:val="nil"/>
            </w:tcBorders>
          </w:tcPr>
          <w:p w:rsidRPr="002D5FF3" w:rsidR="00024B9F" w:rsidP="00791741" w:rsidRDefault="00024B9F" w14:paraId="01370A24"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378CBF80" w14:textId="77777777">
            <w:pPr>
              <w:tabs>
                <w:tab w:val="left" w:pos="360"/>
                <w:tab w:val="left" w:pos="480"/>
                <w:tab w:val="left" w:pos="960"/>
                <w:tab w:val="left" w:pos="1320"/>
                <w:tab w:val="left" w:pos="1800"/>
                <w:tab w:val="left" w:pos="2760"/>
              </w:tabs>
              <w:spacing w:before="120" w:line="240" w:lineRule="exact"/>
            </w:pPr>
          </w:p>
        </w:tc>
        <w:tc>
          <w:tcPr>
            <w:tcW w:w="1159" w:type="dxa"/>
            <w:gridSpan w:val="2"/>
            <w:tcBorders>
              <w:top w:val="nil"/>
              <w:bottom w:val="nil"/>
            </w:tcBorders>
          </w:tcPr>
          <w:p w:rsidRPr="002D5FF3" w:rsidR="00024B9F" w:rsidP="00791741" w:rsidRDefault="00024B9F" w14:paraId="2D9B62BA" w14:textId="77777777">
            <w:pPr>
              <w:tabs>
                <w:tab w:val="left" w:pos="360"/>
                <w:tab w:val="left" w:pos="480"/>
                <w:tab w:val="left" w:pos="960"/>
                <w:tab w:val="left" w:pos="1320"/>
                <w:tab w:val="left" w:pos="1800"/>
                <w:tab w:val="left" w:pos="2760"/>
              </w:tabs>
              <w:spacing w:before="120" w:line="240" w:lineRule="exact"/>
            </w:pPr>
          </w:p>
        </w:tc>
        <w:tc>
          <w:tcPr>
            <w:tcW w:w="326" w:type="dxa"/>
            <w:tcBorders>
              <w:top w:val="nil"/>
              <w:bottom w:val="nil"/>
            </w:tcBorders>
          </w:tcPr>
          <w:p w:rsidRPr="002D5FF3" w:rsidR="00024B9F" w:rsidP="00791741" w:rsidRDefault="00024B9F" w14:paraId="3D27349D" w14:textId="77777777">
            <w:pPr>
              <w:tabs>
                <w:tab w:val="left" w:pos="360"/>
                <w:tab w:val="left" w:pos="480"/>
                <w:tab w:val="left" w:pos="960"/>
                <w:tab w:val="left" w:pos="1320"/>
                <w:tab w:val="left" w:pos="1800"/>
                <w:tab w:val="left" w:pos="2760"/>
              </w:tabs>
              <w:spacing w:before="120" w:line="240" w:lineRule="exact"/>
            </w:pPr>
          </w:p>
        </w:tc>
        <w:tc>
          <w:tcPr>
            <w:tcW w:w="1136" w:type="dxa"/>
            <w:gridSpan w:val="3"/>
            <w:tcBorders>
              <w:top w:val="nil"/>
              <w:bottom w:val="nil"/>
            </w:tcBorders>
          </w:tcPr>
          <w:p w:rsidRPr="002D5FF3" w:rsidR="00024B9F" w:rsidP="00791741" w:rsidRDefault="00024B9F" w14:paraId="241A49F9" w14:textId="77777777">
            <w:pPr>
              <w:tabs>
                <w:tab w:val="left" w:pos="360"/>
                <w:tab w:val="left" w:pos="480"/>
                <w:tab w:val="left" w:pos="960"/>
                <w:tab w:val="left" w:pos="1320"/>
                <w:tab w:val="left" w:pos="1800"/>
                <w:tab w:val="left" w:pos="2760"/>
              </w:tabs>
              <w:spacing w:before="120" w:line="240" w:lineRule="exact"/>
            </w:pPr>
          </w:p>
        </w:tc>
      </w:tr>
      <w:tr w:rsidRPr="004869E2" w:rsidR="00024B9F" w:rsidTr="00DF23AB" w14:paraId="5E1464B1" w14:textId="77777777">
        <w:trPr>
          <w:gridAfter w:val="1"/>
          <w:wAfter w:w="222" w:type="dxa"/>
        </w:trPr>
        <w:tc>
          <w:tcPr>
            <w:tcW w:w="1146" w:type="dxa"/>
            <w:tcBorders>
              <w:right w:val="single" w:color="auto" w:sz="18" w:space="0"/>
            </w:tcBorders>
          </w:tcPr>
          <w:p w:rsidRPr="002D5FF3" w:rsidR="00024B9F" w:rsidP="00D923C7" w:rsidRDefault="00024B9F" w14:paraId="21222151" w14:textId="3BB8BB22">
            <w:pPr>
              <w:tabs>
                <w:tab w:val="left" w:pos="360"/>
                <w:tab w:val="left" w:pos="480"/>
                <w:tab w:val="left" w:pos="960"/>
                <w:tab w:val="left" w:pos="1320"/>
                <w:tab w:val="left" w:pos="1800"/>
                <w:tab w:val="left" w:pos="2760"/>
              </w:tabs>
              <w:spacing w:before="120" w:line="240" w:lineRule="exact"/>
              <w:rPr>
                <w:b/>
              </w:rPr>
            </w:pPr>
            <w:r w:rsidRPr="002D5FF3">
              <w:rPr>
                <w:b/>
              </w:rPr>
              <w:t xml:space="preserve">Fiscal Year </w:t>
            </w:r>
            <w:r w:rsidRPr="002D5FF3" w:rsidR="00BE0C59">
              <w:rPr>
                <w:b/>
              </w:rPr>
              <w:t>20</w:t>
            </w:r>
            <w:r w:rsidRPr="002D5FF3" w:rsidR="005F1AC0">
              <w:rPr>
                <w:b/>
              </w:rPr>
              <w:t>23</w:t>
            </w:r>
          </w:p>
        </w:tc>
        <w:tc>
          <w:tcPr>
            <w:tcW w:w="1480" w:type="dxa"/>
            <w:gridSpan w:val="2"/>
            <w:tcBorders>
              <w:top w:val="nil"/>
              <w:left w:val="single" w:color="auto" w:sz="18" w:space="0"/>
              <w:bottom w:val="nil"/>
            </w:tcBorders>
          </w:tcPr>
          <w:p w:rsidRPr="002D5FF3" w:rsidR="00024B9F" w:rsidP="00791741" w:rsidRDefault="00024B9F" w14:paraId="3564E1C4"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7A35DEA9"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tcPr>
          <w:p w:rsidRPr="002D5FF3" w:rsidR="00024B9F" w:rsidP="00791741" w:rsidRDefault="00024B9F" w14:paraId="7FABFE04" w14:textId="77777777">
            <w:pPr>
              <w:tabs>
                <w:tab w:val="left" w:pos="360"/>
                <w:tab w:val="left" w:pos="480"/>
                <w:tab w:val="left" w:pos="960"/>
                <w:tab w:val="left" w:pos="1320"/>
                <w:tab w:val="left" w:pos="1800"/>
                <w:tab w:val="left" w:pos="2760"/>
              </w:tabs>
              <w:spacing w:before="120" w:line="240" w:lineRule="exact"/>
            </w:pPr>
          </w:p>
        </w:tc>
        <w:tc>
          <w:tcPr>
            <w:tcW w:w="344" w:type="dxa"/>
            <w:tcBorders>
              <w:top w:val="nil"/>
              <w:bottom w:val="nil"/>
            </w:tcBorders>
          </w:tcPr>
          <w:p w:rsidRPr="002D5FF3" w:rsidR="00024B9F" w:rsidP="00791741" w:rsidRDefault="00024B9F" w14:paraId="043CCCC7"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bottom w:val="nil"/>
              <w:right w:val="single" w:color="auto" w:sz="18" w:space="0"/>
            </w:tcBorders>
          </w:tcPr>
          <w:p w:rsidRPr="002D5FF3" w:rsidR="00024B9F" w:rsidP="00791741" w:rsidRDefault="00024B9F" w14:paraId="2B88A25F" w14:textId="77777777">
            <w:pPr>
              <w:tabs>
                <w:tab w:val="left" w:pos="360"/>
                <w:tab w:val="left" w:pos="480"/>
                <w:tab w:val="left" w:pos="960"/>
                <w:tab w:val="left" w:pos="1320"/>
                <w:tab w:val="left" w:pos="1800"/>
                <w:tab w:val="left" w:pos="2760"/>
              </w:tabs>
              <w:spacing w:before="120" w:line="240" w:lineRule="exact"/>
            </w:pPr>
          </w:p>
        </w:tc>
        <w:tc>
          <w:tcPr>
            <w:tcW w:w="241" w:type="dxa"/>
            <w:tcBorders>
              <w:top w:val="nil"/>
              <w:left w:val="single" w:color="auto" w:sz="18" w:space="0"/>
              <w:bottom w:val="nil"/>
              <w:right w:val="single" w:color="auto" w:sz="18" w:space="0"/>
            </w:tcBorders>
          </w:tcPr>
          <w:p w:rsidRPr="002D5FF3" w:rsidR="00024B9F" w:rsidP="00791741" w:rsidRDefault="00024B9F" w14:paraId="33C9D334"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left w:val="single" w:color="auto" w:sz="18" w:space="0"/>
              <w:bottom w:val="nil"/>
            </w:tcBorders>
          </w:tcPr>
          <w:p w:rsidRPr="002D5FF3" w:rsidR="00024B9F" w:rsidP="00791741" w:rsidRDefault="00024B9F" w14:paraId="60B850AC"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19FBCE13" w14:textId="77777777">
            <w:pPr>
              <w:tabs>
                <w:tab w:val="left" w:pos="360"/>
                <w:tab w:val="left" w:pos="480"/>
                <w:tab w:val="left" w:pos="960"/>
                <w:tab w:val="left" w:pos="1320"/>
                <w:tab w:val="left" w:pos="1800"/>
                <w:tab w:val="left" w:pos="2760"/>
              </w:tabs>
              <w:spacing w:before="120" w:line="240" w:lineRule="exact"/>
            </w:pPr>
          </w:p>
        </w:tc>
        <w:tc>
          <w:tcPr>
            <w:tcW w:w="1159" w:type="dxa"/>
            <w:gridSpan w:val="2"/>
            <w:tcBorders>
              <w:top w:val="nil"/>
              <w:bottom w:val="nil"/>
            </w:tcBorders>
          </w:tcPr>
          <w:p w:rsidRPr="002D5FF3" w:rsidR="00024B9F" w:rsidP="00791741" w:rsidRDefault="00024B9F" w14:paraId="6C1D5E7B" w14:textId="77777777">
            <w:pPr>
              <w:tabs>
                <w:tab w:val="left" w:pos="360"/>
                <w:tab w:val="left" w:pos="480"/>
                <w:tab w:val="left" w:pos="960"/>
                <w:tab w:val="left" w:pos="1320"/>
                <w:tab w:val="left" w:pos="1800"/>
                <w:tab w:val="left" w:pos="2760"/>
              </w:tabs>
              <w:spacing w:before="120" w:line="240" w:lineRule="exact"/>
            </w:pPr>
          </w:p>
        </w:tc>
        <w:tc>
          <w:tcPr>
            <w:tcW w:w="326" w:type="dxa"/>
            <w:tcBorders>
              <w:top w:val="nil"/>
              <w:bottom w:val="nil"/>
            </w:tcBorders>
          </w:tcPr>
          <w:p w:rsidRPr="002D5FF3" w:rsidR="00024B9F" w:rsidP="00791741" w:rsidRDefault="00024B9F" w14:paraId="3DBE7BA3" w14:textId="77777777">
            <w:pPr>
              <w:tabs>
                <w:tab w:val="left" w:pos="360"/>
                <w:tab w:val="left" w:pos="480"/>
                <w:tab w:val="left" w:pos="960"/>
                <w:tab w:val="left" w:pos="1320"/>
                <w:tab w:val="left" w:pos="1800"/>
                <w:tab w:val="left" w:pos="2760"/>
              </w:tabs>
              <w:spacing w:before="120" w:line="240" w:lineRule="exact"/>
            </w:pPr>
          </w:p>
        </w:tc>
        <w:tc>
          <w:tcPr>
            <w:tcW w:w="1136" w:type="dxa"/>
            <w:gridSpan w:val="3"/>
            <w:tcBorders>
              <w:top w:val="nil"/>
              <w:bottom w:val="nil"/>
            </w:tcBorders>
          </w:tcPr>
          <w:p w:rsidRPr="002D5FF3" w:rsidR="00024B9F" w:rsidP="00791741" w:rsidRDefault="00024B9F" w14:paraId="4F99E5DE" w14:textId="77777777">
            <w:pPr>
              <w:tabs>
                <w:tab w:val="left" w:pos="360"/>
                <w:tab w:val="left" w:pos="480"/>
                <w:tab w:val="left" w:pos="960"/>
                <w:tab w:val="left" w:pos="1320"/>
                <w:tab w:val="left" w:pos="1800"/>
                <w:tab w:val="left" w:pos="2760"/>
              </w:tabs>
              <w:spacing w:before="120" w:line="240" w:lineRule="exact"/>
            </w:pPr>
          </w:p>
        </w:tc>
      </w:tr>
      <w:tr w:rsidRPr="004869E2" w:rsidR="00024B9F" w:rsidTr="00DF23AB" w14:paraId="54F5986B" w14:textId="77777777">
        <w:trPr>
          <w:gridAfter w:val="1"/>
          <w:wAfter w:w="222" w:type="dxa"/>
        </w:trPr>
        <w:tc>
          <w:tcPr>
            <w:tcW w:w="1146" w:type="dxa"/>
            <w:tcBorders>
              <w:right w:val="single" w:color="auto" w:sz="18" w:space="0"/>
            </w:tcBorders>
          </w:tcPr>
          <w:p w:rsidRPr="002D5FF3" w:rsidR="00024B9F" w:rsidP="00791741" w:rsidRDefault="00024B9F" w14:paraId="4F67BB7B" w14:textId="77777777">
            <w:pPr>
              <w:tabs>
                <w:tab w:val="left" w:pos="360"/>
                <w:tab w:val="left" w:pos="480"/>
                <w:tab w:val="left" w:pos="960"/>
                <w:tab w:val="left" w:pos="1320"/>
                <w:tab w:val="left" w:pos="1800"/>
                <w:tab w:val="left" w:pos="2760"/>
              </w:tabs>
              <w:spacing w:before="120" w:line="240" w:lineRule="exact"/>
            </w:pPr>
            <w:r w:rsidRPr="002D5FF3">
              <w:t>Initiation</w:t>
            </w:r>
          </w:p>
        </w:tc>
        <w:tc>
          <w:tcPr>
            <w:tcW w:w="1480" w:type="dxa"/>
            <w:gridSpan w:val="2"/>
            <w:tcBorders>
              <w:top w:val="nil"/>
              <w:left w:val="single" w:color="auto" w:sz="18" w:space="0"/>
              <w:bottom w:val="nil"/>
            </w:tcBorders>
          </w:tcPr>
          <w:p w:rsidRPr="002D5FF3" w:rsidR="00024B9F" w:rsidP="00791741" w:rsidRDefault="00913278" w14:paraId="59904E13" w14:textId="3CEE1AE5">
            <w:pPr>
              <w:tabs>
                <w:tab w:val="left" w:pos="360"/>
                <w:tab w:val="left" w:pos="480"/>
                <w:tab w:val="left" w:pos="960"/>
                <w:tab w:val="left" w:pos="1320"/>
                <w:tab w:val="left" w:pos="1800"/>
                <w:tab w:val="left" w:pos="2760"/>
              </w:tabs>
              <w:spacing w:before="120" w:line="240" w:lineRule="exact"/>
              <w:jc w:val="center"/>
            </w:pPr>
            <w:r w:rsidRPr="002D5FF3">
              <w:t>1300</w:t>
            </w:r>
          </w:p>
        </w:tc>
        <w:tc>
          <w:tcPr>
            <w:tcW w:w="329" w:type="dxa"/>
            <w:tcBorders>
              <w:top w:val="nil"/>
              <w:bottom w:val="nil"/>
            </w:tcBorders>
          </w:tcPr>
          <w:p w:rsidRPr="002D5FF3" w:rsidR="00024B9F" w:rsidP="00791741" w:rsidRDefault="00024B9F" w14:paraId="10101A6D"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32" w:type="dxa"/>
            <w:gridSpan w:val="2"/>
            <w:tcBorders>
              <w:top w:val="nil"/>
              <w:bottom w:val="nil"/>
            </w:tcBorders>
          </w:tcPr>
          <w:p w:rsidRPr="002D5FF3" w:rsidR="00024B9F" w:rsidP="00791741" w:rsidRDefault="00024B9F" w14:paraId="54D2942C"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44" w:type="dxa"/>
            <w:tcBorders>
              <w:top w:val="nil"/>
              <w:bottom w:val="nil"/>
            </w:tcBorders>
          </w:tcPr>
          <w:p w:rsidRPr="002D5FF3" w:rsidR="00024B9F" w:rsidP="00791741" w:rsidRDefault="00024B9F" w14:paraId="2D8B4E40"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656647" w:rsidRDefault="00024B9F" w14:paraId="5445C72A" w14:textId="6AD061EC">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2678F4">
              <w:t>13</w:t>
            </w:r>
            <w:r w:rsidRPr="002D5FF3" w:rsidR="00656647">
              <w:t>00</w:t>
            </w:r>
          </w:p>
        </w:tc>
        <w:tc>
          <w:tcPr>
            <w:tcW w:w="241" w:type="dxa"/>
            <w:tcBorders>
              <w:top w:val="nil"/>
              <w:left w:val="single" w:color="auto" w:sz="18" w:space="0"/>
              <w:bottom w:val="nil"/>
              <w:right w:val="single" w:color="auto" w:sz="18" w:space="0"/>
            </w:tcBorders>
          </w:tcPr>
          <w:p w:rsidRPr="002D5FF3" w:rsidR="00024B9F" w:rsidP="00791741" w:rsidRDefault="00024B9F" w14:paraId="13F66EE7"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tcPr>
          <w:p w:rsidRPr="002D5FF3" w:rsidR="00024B9F" w:rsidP="00791741" w:rsidRDefault="00AC2D59" w14:paraId="700942D2" w14:textId="7C67396D">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13</w:t>
            </w:r>
            <w:r w:rsidRPr="002D5FF3" w:rsidR="00656647">
              <w:t>00</w:t>
            </w:r>
          </w:p>
        </w:tc>
        <w:tc>
          <w:tcPr>
            <w:tcW w:w="329" w:type="dxa"/>
            <w:tcBorders>
              <w:top w:val="nil"/>
              <w:bottom w:val="nil"/>
            </w:tcBorders>
          </w:tcPr>
          <w:p w:rsidRPr="002D5FF3" w:rsidR="00024B9F" w:rsidP="00791741" w:rsidRDefault="00024B9F" w14:paraId="2E556741"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791741" w:rsidRDefault="00024B9F" w14:paraId="1D66F0EC"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26" w:type="dxa"/>
            <w:tcBorders>
              <w:top w:val="nil"/>
              <w:bottom w:val="nil"/>
            </w:tcBorders>
          </w:tcPr>
          <w:p w:rsidRPr="002D5FF3" w:rsidR="00024B9F" w:rsidP="00791741" w:rsidRDefault="00024B9F" w14:paraId="11354C14"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656647" w:rsidRDefault="00AC2D59" w14:paraId="44B45389" w14:textId="7DB3F1F4">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13</w:t>
            </w:r>
            <w:r w:rsidRPr="002D5FF3" w:rsidR="00656647">
              <w:t>00</w:t>
            </w:r>
          </w:p>
        </w:tc>
      </w:tr>
      <w:tr w:rsidRPr="004869E2" w:rsidR="00024B9F" w:rsidTr="00DF23AB" w14:paraId="1AB95ADC" w14:textId="77777777">
        <w:trPr>
          <w:gridAfter w:val="1"/>
          <w:wAfter w:w="222" w:type="dxa"/>
        </w:trPr>
        <w:tc>
          <w:tcPr>
            <w:tcW w:w="1146" w:type="dxa"/>
            <w:tcBorders>
              <w:right w:val="single" w:color="auto" w:sz="18" w:space="0"/>
            </w:tcBorders>
          </w:tcPr>
          <w:p w:rsidRPr="002D5FF3" w:rsidR="00024B9F" w:rsidP="00791741" w:rsidRDefault="00024B9F" w14:paraId="6CE51F0E" w14:textId="77777777">
            <w:pPr>
              <w:tabs>
                <w:tab w:val="left" w:pos="360"/>
                <w:tab w:val="left" w:pos="480"/>
                <w:tab w:val="left" w:pos="960"/>
                <w:tab w:val="left" w:pos="1320"/>
                <w:tab w:val="left" w:pos="1800"/>
                <w:tab w:val="left" w:pos="2760"/>
              </w:tabs>
              <w:spacing w:before="120" w:line="240" w:lineRule="exact"/>
            </w:pPr>
            <w:r w:rsidRPr="002D5FF3">
              <w:t>Repricing</w:t>
            </w:r>
          </w:p>
        </w:tc>
        <w:tc>
          <w:tcPr>
            <w:tcW w:w="1480" w:type="dxa"/>
            <w:gridSpan w:val="2"/>
            <w:tcBorders>
              <w:top w:val="nil"/>
              <w:left w:val="single" w:color="auto" w:sz="18" w:space="0"/>
              <w:bottom w:val="nil"/>
            </w:tcBorders>
          </w:tcPr>
          <w:p w:rsidRPr="002D5FF3" w:rsidR="00024B9F" w:rsidP="00791741" w:rsidRDefault="00913278" w14:paraId="2CE5424A" w14:textId="030D1E31">
            <w:pPr>
              <w:tabs>
                <w:tab w:val="left" w:pos="360"/>
                <w:tab w:val="left" w:pos="480"/>
                <w:tab w:val="left" w:pos="960"/>
                <w:tab w:val="left" w:pos="1320"/>
                <w:tab w:val="left" w:pos="1800"/>
                <w:tab w:val="left" w:pos="2760"/>
              </w:tabs>
              <w:spacing w:before="120" w:line="240" w:lineRule="exact"/>
              <w:jc w:val="center"/>
            </w:pPr>
            <w:r w:rsidRPr="002D5FF3">
              <w:t>2350</w:t>
            </w:r>
          </w:p>
        </w:tc>
        <w:tc>
          <w:tcPr>
            <w:tcW w:w="329" w:type="dxa"/>
            <w:tcBorders>
              <w:top w:val="nil"/>
              <w:bottom w:val="nil"/>
            </w:tcBorders>
          </w:tcPr>
          <w:p w:rsidRPr="002D5FF3" w:rsidR="00024B9F" w:rsidP="00791741" w:rsidRDefault="00024B9F" w14:paraId="722CE16E"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32" w:type="dxa"/>
            <w:gridSpan w:val="2"/>
            <w:tcBorders>
              <w:top w:val="nil"/>
              <w:bottom w:val="nil"/>
            </w:tcBorders>
          </w:tcPr>
          <w:p w:rsidRPr="002D5FF3" w:rsidR="00024B9F" w:rsidP="00791741" w:rsidRDefault="00913278" w14:paraId="3ED11CEA" w14:textId="0A6E22C2">
            <w:pPr>
              <w:tabs>
                <w:tab w:val="left" w:pos="360"/>
                <w:tab w:val="left" w:pos="480"/>
                <w:tab w:val="left" w:pos="960"/>
                <w:tab w:val="left" w:pos="1320"/>
                <w:tab w:val="left" w:pos="1800"/>
                <w:tab w:val="left" w:pos="2760"/>
              </w:tabs>
              <w:spacing w:before="120" w:line="240" w:lineRule="exact"/>
              <w:jc w:val="center"/>
            </w:pPr>
            <w:r w:rsidRPr="002D5FF3">
              <w:t>8.9</w:t>
            </w:r>
          </w:p>
        </w:tc>
        <w:tc>
          <w:tcPr>
            <w:tcW w:w="344" w:type="dxa"/>
            <w:tcBorders>
              <w:top w:val="nil"/>
              <w:bottom w:val="nil"/>
            </w:tcBorders>
          </w:tcPr>
          <w:p w:rsidRPr="002D5FF3" w:rsidR="00024B9F" w:rsidP="00791741" w:rsidRDefault="00024B9F" w14:paraId="774F22D5"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791741" w:rsidRDefault="002678F4" w14:paraId="31F83FD0" w14:textId="06DF08A1">
            <w:pPr>
              <w:tabs>
                <w:tab w:val="left" w:pos="360"/>
                <w:tab w:val="left" w:pos="480"/>
                <w:tab w:val="left" w:pos="960"/>
                <w:tab w:val="left" w:pos="1320"/>
                <w:tab w:val="left" w:pos="1800"/>
                <w:tab w:val="left" w:pos="2760"/>
              </w:tabs>
              <w:spacing w:before="120" w:line="240" w:lineRule="exact"/>
              <w:jc w:val="center"/>
            </w:pPr>
            <w:r w:rsidRPr="002D5FF3">
              <w:t>20915</w:t>
            </w:r>
          </w:p>
        </w:tc>
        <w:tc>
          <w:tcPr>
            <w:tcW w:w="241" w:type="dxa"/>
            <w:tcBorders>
              <w:top w:val="nil"/>
              <w:left w:val="single" w:color="auto" w:sz="18" w:space="0"/>
              <w:bottom w:val="nil"/>
              <w:right w:val="single" w:color="auto" w:sz="18" w:space="0"/>
            </w:tcBorders>
          </w:tcPr>
          <w:p w:rsidRPr="002D5FF3" w:rsidR="00024B9F" w:rsidP="00791741" w:rsidRDefault="00024B9F" w14:paraId="1BB4E0E9"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tcPr>
          <w:p w:rsidRPr="002D5FF3" w:rsidR="00024B9F" w:rsidP="00791741" w:rsidRDefault="00913278" w14:paraId="05251607" w14:textId="4E18808A">
            <w:pPr>
              <w:tabs>
                <w:tab w:val="left" w:pos="360"/>
                <w:tab w:val="left" w:pos="480"/>
                <w:tab w:val="left" w:pos="960"/>
                <w:tab w:val="left" w:pos="1320"/>
                <w:tab w:val="left" w:pos="1800"/>
                <w:tab w:val="left" w:pos="2760"/>
              </w:tabs>
              <w:spacing w:before="120" w:line="240" w:lineRule="exact"/>
              <w:jc w:val="center"/>
            </w:pPr>
            <w:r w:rsidRPr="002D5FF3">
              <w:t>20915</w:t>
            </w:r>
          </w:p>
        </w:tc>
        <w:tc>
          <w:tcPr>
            <w:tcW w:w="329" w:type="dxa"/>
            <w:tcBorders>
              <w:top w:val="nil"/>
              <w:bottom w:val="nil"/>
            </w:tcBorders>
          </w:tcPr>
          <w:p w:rsidRPr="002D5FF3" w:rsidR="00024B9F" w:rsidP="00791741" w:rsidRDefault="00024B9F" w14:paraId="7ACAB3AD"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913278" w:rsidRDefault="005475E1" w14:paraId="4D5BE956" w14:textId="46E0B009">
            <w:pPr>
              <w:tabs>
                <w:tab w:val="left" w:pos="360"/>
                <w:tab w:val="left" w:pos="480"/>
                <w:tab w:val="left" w:pos="960"/>
                <w:tab w:val="left" w:pos="1320"/>
                <w:tab w:val="left" w:pos="1800"/>
                <w:tab w:val="left" w:pos="2760"/>
              </w:tabs>
              <w:spacing w:before="120" w:line="240" w:lineRule="exact"/>
              <w:jc w:val="center"/>
            </w:pPr>
            <w:r w:rsidRPr="002D5FF3">
              <w:t>0.</w:t>
            </w:r>
            <w:r w:rsidRPr="002D5FF3" w:rsidR="00913278">
              <w:t>4683</w:t>
            </w:r>
          </w:p>
        </w:tc>
        <w:tc>
          <w:tcPr>
            <w:tcW w:w="326" w:type="dxa"/>
            <w:tcBorders>
              <w:top w:val="nil"/>
              <w:bottom w:val="nil"/>
            </w:tcBorders>
          </w:tcPr>
          <w:p w:rsidRPr="002D5FF3" w:rsidR="00024B9F" w:rsidP="00791741" w:rsidRDefault="00024B9F" w14:paraId="5A135AE3"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791741" w:rsidRDefault="00AC2D59" w14:paraId="33929DB8" w14:textId="48B76DFB">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9794</w:t>
            </w:r>
          </w:p>
        </w:tc>
      </w:tr>
      <w:tr w:rsidRPr="004869E2" w:rsidR="00024B9F" w:rsidTr="00DF23AB" w14:paraId="69D9512D" w14:textId="77777777">
        <w:trPr>
          <w:gridAfter w:val="1"/>
          <w:wAfter w:w="222" w:type="dxa"/>
        </w:trPr>
        <w:tc>
          <w:tcPr>
            <w:tcW w:w="1146" w:type="dxa"/>
            <w:tcBorders>
              <w:right w:val="single" w:color="auto" w:sz="18" w:space="0"/>
            </w:tcBorders>
            <w:shd w:val="clear" w:color="auto" w:fill="E6E6E6"/>
          </w:tcPr>
          <w:p w:rsidRPr="002D5FF3" w:rsidR="00024B9F" w:rsidP="00791741" w:rsidRDefault="00024B9F" w14:paraId="53DF7A8B"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480" w:type="dxa"/>
            <w:gridSpan w:val="2"/>
            <w:tcBorders>
              <w:top w:val="nil"/>
              <w:left w:val="single" w:color="auto" w:sz="18" w:space="0"/>
              <w:bottom w:val="nil"/>
            </w:tcBorders>
            <w:shd w:val="clear" w:color="auto" w:fill="E6E6E6"/>
          </w:tcPr>
          <w:p w:rsidRPr="002D5FF3" w:rsidR="00024B9F" w:rsidP="00791741" w:rsidRDefault="00913278" w14:paraId="3F6D116B" w14:textId="4B300A6F">
            <w:pPr>
              <w:tabs>
                <w:tab w:val="left" w:pos="360"/>
                <w:tab w:val="left" w:pos="480"/>
                <w:tab w:val="left" w:pos="960"/>
                <w:tab w:val="left" w:pos="1320"/>
                <w:tab w:val="left" w:pos="1800"/>
                <w:tab w:val="left" w:pos="2760"/>
              </w:tabs>
              <w:spacing w:before="120" w:line="240" w:lineRule="exact"/>
              <w:jc w:val="center"/>
            </w:pPr>
            <w:r w:rsidRPr="002D5FF3">
              <w:t>3650</w:t>
            </w:r>
          </w:p>
        </w:tc>
        <w:tc>
          <w:tcPr>
            <w:tcW w:w="329" w:type="dxa"/>
            <w:tcBorders>
              <w:top w:val="nil"/>
              <w:bottom w:val="nil"/>
            </w:tcBorders>
            <w:shd w:val="clear" w:color="auto" w:fill="E6E6E6"/>
          </w:tcPr>
          <w:p w:rsidRPr="002D5FF3" w:rsidR="00024B9F" w:rsidP="00791741" w:rsidRDefault="00024B9F" w14:paraId="5642176D" w14:textId="77777777">
            <w:pPr>
              <w:tabs>
                <w:tab w:val="left" w:pos="360"/>
                <w:tab w:val="left" w:pos="480"/>
                <w:tab w:val="left" w:pos="960"/>
                <w:tab w:val="left" w:pos="1320"/>
                <w:tab w:val="left" w:pos="1800"/>
                <w:tab w:val="left" w:pos="2760"/>
              </w:tabs>
              <w:spacing w:before="120" w:line="240" w:lineRule="exact"/>
              <w:jc w:val="center"/>
            </w:pPr>
          </w:p>
        </w:tc>
        <w:tc>
          <w:tcPr>
            <w:tcW w:w="1232" w:type="dxa"/>
            <w:gridSpan w:val="2"/>
            <w:tcBorders>
              <w:top w:val="nil"/>
              <w:bottom w:val="nil"/>
            </w:tcBorders>
            <w:shd w:val="clear" w:color="auto" w:fill="E6E6E6"/>
          </w:tcPr>
          <w:p w:rsidRPr="002D5FF3" w:rsidR="00024B9F" w:rsidP="00791741" w:rsidRDefault="00024B9F" w14:paraId="40899D78" w14:textId="77777777">
            <w:pPr>
              <w:tabs>
                <w:tab w:val="left" w:pos="360"/>
                <w:tab w:val="left" w:pos="480"/>
                <w:tab w:val="left" w:pos="960"/>
                <w:tab w:val="left" w:pos="1320"/>
                <w:tab w:val="left" w:pos="1800"/>
                <w:tab w:val="left" w:pos="2760"/>
              </w:tabs>
              <w:spacing w:before="120" w:line="240" w:lineRule="exact"/>
              <w:jc w:val="center"/>
            </w:pPr>
          </w:p>
        </w:tc>
        <w:tc>
          <w:tcPr>
            <w:tcW w:w="344" w:type="dxa"/>
            <w:tcBorders>
              <w:top w:val="nil"/>
              <w:bottom w:val="nil"/>
            </w:tcBorders>
            <w:shd w:val="clear" w:color="auto" w:fill="E6E6E6"/>
          </w:tcPr>
          <w:p w:rsidRPr="002D5FF3" w:rsidR="00024B9F" w:rsidP="00791741" w:rsidRDefault="00024B9F" w14:paraId="7A6ADB82"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bottom w:val="nil"/>
              <w:right w:val="single" w:color="auto" w:sz="18" w:space="0"/>
            </w:tcBorders>
            <w:shd w:val="clear" w:color="auto" w:fill="E6E6E6"/>
          </w:tcPr>
          <w:p w:rsidRPr="002D5FF3" w:rsidR="00024B9F" w:rsidP="00791741" w:rsidRDefault="002678F4" w14:paraId="7073FF0A" w14:textId="7DBF329B">
            <w:pPr>
              <w:tabs>
                <w:tab w:val="left" w:pos="360"/>
                <w:tab w:val="left" w:pos="480"/>
                <w:tab w:val="left" w:pos="960"/>
                <w:tab w:val="left" w:pos="1320"/>
                <w:tab w:val="left" w:pos="1800"/>
                <w:tab w:val="left" w:pos="2760"/>
              </w:tabs>
              <w:spacing w:before="120" w:line="240" w:lineRule="exact"/>
              <w:jc w:val="center"/>
            </w:pPr>
            <w:r w:rsidRPr="002D5FF3">
              <w:t>22215</w:t>
            </w:r>
          </w:p>
        </w:tc>
        <w:tc>
          <w:tcPr>
            <w:tcW w:w="241" w:type="dxa"/>
            <w:tcBorders>
              <w:top w:val="nil"/>
              <w:left w:val="single" w:color="auto" w:sz="18" w:space="0"/>
              <w:bottom w:val="nil"/>
              <w:right w:val="single" w:color="auto" w:sz="18" w:space="0"/>
            </w:tcBorders>
            <w:shd w:val="clear" w:color="auto" w:fill="E6E6E6"/>
          </w:tcPr>
          <w:p w:rsidRPr="002D5FF3" w:rsidR="00024B9F" w:rsidP="00791741" w:rsidRDefault="00024B9F" w14:paraId="2D0C035E"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shd w:val="clear" w:color="auto" w:fill="E6E6E6"/>
          </w:tcPr>
          <w:p w:rsidRPr="002D5FF3" w:rsidR="00024B9F" w:rsidP="00791741" w:rsidRDefault="00913278" w14:paraId="40E9F3CE" w14:textId="6AAD4F62">
            <w:pPr>
              <w:tabs>
                <w:tab w:val="left" w:pos="360"/>
                <w:tab w:val="left" w:pos="480"/>
                <w:tab w:val="left" w:pos="960"/>
                <w:tab w:val="left" w:pos="1320"/>
                <w:tab w:val="left" w:pos="1800"/>
                <w:tab w:val="left" w:pos="2760"/>
              </w:tabs>
              <w:spacing w:before="120" w:line="240" w:lineRule="exact"/>
              <w:jc w:val="center"/>
            </w:pPr>
            <w:r w:rsidRPr="002D5FF3">
              <w:t>22215</w:t>
            </w:r>
          </w:p>
        </w:tc>
        <w:tc>
          <w:tcPr>
            <w:tcW w:w="329" w:type="dxa"/>
            <w:tcBorders>
              <w:top w:val="nil"/>
              <w:bottom w:val="nil"/>
            </w:tcBorders>
            <w:shd w:val="clear" w:color="auto" w:fill="E6E6E6"/>
          </w:tcPr>
          <w:p w:rsidRPr="002D5FF3" w:rsidR="00024B9F" w:rsidP="00791741" w:rsidRDefault="00024B9F" w14:paraId="6A3B0AB0" w14:textId="77777777">
            <w:pPr>
              <w:tabs>
                <w:tab w:val="left" w:pos="360"/>
                <w:tab w:val="left" w:pos="480"/>
                <w:tab w:val="left" w:pos="960"/>
                <w:tab w:val="left" w:pos="1320"/>
                <w:tab w:val="left" w:pos="1800"/>
                <w:tab w:val="left" w:pos="2760"/>
              </w:tabs>
              <w:spacing w:before="120" w:line="240" w:lineRule="exact"/>
              <w:jc w:val="center"/>
            </w:pPr>
          </w:p>
        </w:tc>
        <w:tc>
          <w:tcPr>
            <w:tcW w:w="1159" w:type="dxa"/>
            <w:gridSpan w:val="2"/>
            <w:tcBorders>
              <w:top w:val="nil"/>
              <w:bottom w:val="nil"/>
            </w:tcBorders>
            <w:shd w:val="clear" w:color="auto" w:fill="E6E6E6"/>
          </w:tcPr>
          <w:p w:rsidRPr="002D5FF3" w:rsidR="00024B9F" w:rsidP="00791741" w:rsidRDefault="00024B9F" w14:paraId="7615EE81" w14:textId="77777777">
            <w:pPr>
              <w:tabs>
                <w:tab w:val="left" w:pos="360"/>
                <w:tab w:val="left" w:pos="480"/>
                <w:tab w:val="left" w:pos="960"/>
                <w:tab w:val="left" w:pos="1320"/>
                <w:tab w:val="left" w:pos="1800"/>
                <w:tab w:val="left" w:pos="2760"/>
              </w:tabs>
              <w:spacing w:before="120" w:line="240" w:lineRule="exact"/>
              <w:jc w:val="center"/>
            </w:pPr>
          </w:p>
        </w:tc>
        <w:tc>
          <w:tcPr>
            <w:tcW w:w="326" w:type="dxa"/>
            <w:tcBorders>
              <w:top w:val="nil"/>
              <w:bottom w:val="nil"/>
            </w:tcBorders>
            <w:shd w:val="clear" w:color="auto" w:fill="E6E6E6"/>
          </w:tcPr>
          <w:p w:rsidRPr="002D5FF3" w:rsidR="00024B9F" w:rsidP="00791741" w:rsidRDefault="00024B9F" w14:paraId="426BD2A2" w14:textId="77777777">
            <w:pPr>
              <w:tabs>
                <w:tab w:val="left" w:pos="360"/>
                <w:tab w:val="left" w:pos="480"/>
                <w:tab w:val="left" w:pos="960"/>
                <w:tab w:val="left" w:pos="1320"/>
                <w:tab w:val="left" w:pos="1800"/>
                <w:tab w:val="left" w:pos="2760"/>
              </w:tabs>
              <w:spacing w:before="120" w:line="240" w:lineRule="exact"/>
              <w:jc w:val="center"/>
            </w:pPr>
          </w:p>
        </w:tc>
        <w:tc>
          <w:tcPr>
            <w:tcW w:w="1136" w:type="dxa"/>
            <w:gridSpan w:val="3"/>
            <w:tcBorders>
              <w:top w:val="nil"/>
              <w:bottom w:val="nil"/>
            </w:tcBorders>
            <w:shd w:val="clear" w:color="auto" w:fill="E6E6E6"/>
          </w:tcPr>
          <w:p w:rsidRPr="002D5FF3" w:rsidR="00024B9F" w:rsidP="00791741" w:rsidRDefault="00913278" w14:paraId="3D7C6FC9" w14:textId="47558E29">
            <w:pPr>
              <w:tabs>
                <w:tab w:val="left" w:pos="360"/>
                <w:tab w:val="left" w:pos="480"/>
                <w:tab w:val="left" w:pos="960"/>
                <w:tab w:val="left" w:pos="1320"/>
                <w:tab w:val="left" w:pos="1800"/>
                <w:tab w:val="left" w:pos="2760"/>
              </w:tabs>
              <w:spacing w:before="120" w:line="240" w:lineRule="exact"/>
              <w:jc w:val="center"/>
            </w:pPr>
            <w:r w:rsidRPr="002D5FF3">
              <w:t>11094</w:t>
            </w:r>
          </w:p>
        </w:tc>
      </w:tr>
      <w:tr w:rsidRPr="004869E2" w:rsidR="00024B9F" w:rsidTr="00DF23AB" w14:paraId="13968DA6" w14:textId="77777777">
        <w:trPr>
          <w:gridAfter w:val="1"/>
          <w:wAfter w:w="222" w:type="dxa"/>
        </w:trPr>
        <w:tc>
          <w:tcPr>
            <w:tcW w:w="1146" w:type="dxa"/>
            <w:tcBorders>
              <w:right w:val="single" w:color="auto" w:sz="18" w:space="0"/>
            </w:tcBorders>
          </w:tcPr>
          <w:p w:rsidRPr="002D5FF3" w:rsidR="00024B9F" w:rsidP="00791741" w:rsidRDefault="00024B9F" w14:paraId="510C1F69" w14:textId="77777777">
            <w:pPr>
              <w:tabs>
                <w:tab w:val="left" w:pos="360"/>
                <w:tab w:val="left" w:pos="480"/>
                <w:tab w:val="left" w:pos="960"/>
                <w:tab w:val="left" w:pos="1320"/>
                <w:tab w:val="left" w:pos="1800"/>
                <w:tab w:val="left" w:pos="2760"/>
              </w:tabs>
              <w:spacing w:before="120" w:line="240" w:lineRule="exact"/>
            </w:pPr>
          </w:p>
        </w:tc>
        <w:tc>
          <w:tcPr>
            <w:tcW w:w="1480" w:type="dxa"/>
            <w:gridSpan w:val="2"/>
            <w:tcBorders>
              <w:top w:val="nil"/>
              <w:left w:val="single" w:color="auto" w:sz="18" w:space="0"/>
              <w:bottom w:val="nil"/>
            </w:tcBorders>
          </w:tcPr>
          <w:p w:rsidRPr="002D5FF3" w:rsidR="00024B9F" w:rsidP="00791741" w:rsidRDefault="00024B9F" w14:paraId="591DE6D8"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6B2DD54B"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tcPr>
          <w:p w:rsidRPr="002D5FF3" w:rsidR="00024B9F" w:rsidP="00791741" w:rsidRDefault="00024B9F" w14:paraId="585C7C81" w14:textId="77777777">
            <w:pPr>
              <w:tabs>
                <w:tab w:val="left" w:pos="360"/>
                <w:tab w:val="left" w:pos="480"/>
                <w:tab w:val="left" w:pos="960"/>
                <w:tab w:val="left" w:pos="1320"/>
                <w:tab w:val="left" w:pos="1800"/>
                <w:tab w:val="left" w:pos="2760"/>
              </w:tabs>
              <w:spacing w:before="120" w:line="240" w:lineRule="exact"/>
            </w:pPr>
          </w:p>
        </w:tc>
        <w:tc>
          <w:tcPr>
            <w:tcW w:w="344" w:type="dxa"/>
            <w:tcBorders>
              <w:top w:val="nil"/>
              <w:bottom w:val="nil"/>
            </w:tcBorders>
          </w:tcPr>
          <w:p w:rsidRPr="002D5FF3" w:rsidR="00024B9F" w:rsidP="00791741" w:rsidRDefault="00024B9F" w14:paraId="6F214E2E"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bottom w:val="nil"/>
              <w:right w:val="single" w:color="auto" w:sz="18" w:space="0"/>
            </w:tcBorders>
          </w:tcPr>
          <w:p w:rsidRPr="002D5FF3" w:rsidR="00024B9F" w:rsidP="00791741" w:rsidRDefault="00024B9F" w14:paraId="6BC13B6F" w14:textId="77777777">
            <w:pPr>
              <w:tabs>
                <w:tab w:val="left" w:pos="360"/>
                <w:tab w:val="left" w:pos="480"/>
                <w:tab w:val="left" w:pos="960"/>
                <w:tab w:val="left" w:pos="1320"/>
                <w:tab w:val="left" w:pos="1800"/>
                <w:tab w:val="left" w:pos="2760"/>
              </w:tabs>
              <w:spacing w:before="120" w:line="240" w:lineRule="exact"/>
            </w:pPr>
          </w:p>
        </w:tc>
        <w:tc>
          <w:tcPr>
            <w:tcW w:w="241" w:type="dxa"/>
            <w:tcBorders>
              <w:top w:val="nil"/>
              <w:left w:val="single" w:color="auto" w:sz="18" w:space="0"/>
              <w:bottom w:val="nil"/>
              <w:right w:val="single" w:color="auto" w:sz="18" w:space="0"/>
            </w:tcBorders>
          </w:tcPr>
          <w:p w:rsidRPr="002D5FF3" w:rsidR="00024B9F" w:rsidP="00791741" w:rsidRDefault="00024B9F" w14:paraId="6F1213EC"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left w:val="single" w:color="auto" w:sz="18" w:space="0"/>
              <w:bottom w:val="nil"/>
            </w:tcBorders>
          </w:tcPr>
          <w:p w:rsidRPr="002D5FF3" w:rsidR="00024B9F" w:rsidP="00791741" w:rsidRDefault="00024B9F" w14:paraId="239335A7"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617E1751" w14:textId="77777777">
            <w:pPr>
              <w:tabs>
                <w:tab w:val="left" w:pos="360"/>
                <w:tab w:val="left" w:pos="480"/>
                <w:tab w:val="left" w:pos="960"/>
                <w:tab w:val="left" w:pos="1320"/>
                <w:tab w:val="left" w:pos="1800"/>
                <w:tab w:val="left" w:pos="2760"/>
              </w:tabs>
              <w:spacing w:before="120" w:line="240" w:lineRule="exact"/>
            </w:pPr>
          </w:p>
        </w:tc>
        <w:tc>
          <w:tcPr>
            <w:tcW w:w="1159" w:type="dxa"/>
            <w:gridSpan w:val="2"/>
            <w:tcBorders>
              <w:top w:val="nil"/>
              <w:bottom w:val="nil"/>
            </w:tcBorders>
          </w:tcPr>
          <w:p w:rsidRPr="002D5FF3" w:rsidR="00024B9F" w:rsidP="00791741" w:rsidRDefault="00024B9F" w14:paraId="3D515B7D" w14:textId="77777777">
            <w:pPr>
              <w:tabs>
                <w:tab w:val="left" w:pos="360"/>
                <w:tab w:val="left" w:pos="480"/>
                <w:tab w:val="left" w:pos="960"/>
                <w:tab w:val="left" w:pos="1320"/>
                <w:tab w:val="left" w:pos="1800"/>
                <w:tab w:val="left" w:pos="2760"/>
              </w:tabs>
              <w:spacing w:before="120" w:line="240" w:lineRule="exact"/>
            </w:pPr>
          </w:p>
        </w:tc>
        <w:tc>
          <w:tcPr>
            <w:tcW w:w="326" w:type="dxa"/>
            <w:tcBorders>
              <w:top w:val="nil"/>
              <w:bottom w:val="nil"/>
            </w:tcBorders>
          </w:tcPr>
          <w:p w:rsidRPr="002D5FF3" w:rsidR="00024B9F" w:rsidP="00791741" w:rsidRDefault="00024B9F" w14:paraId="752F94D0" w14:textId="77777777">
            <w:pPr>
              <w:tabs>
                <w:tab w:val="left" w:pos="360"/>
                <w:tab w:val="left" w:pos="480"/>
                <w:tab w:val="left" w:pos="960"/>
                <w:tab w:val="left" w:pos="1320"/>
                <w:tab w:val="left" w:pos="1800"/>
                <w:tab w:val="left" w:pos="2760"/>
              </w:tabs>
              <w:spacing w:before="120" w:line="240" w:lineRule="exact"/>
            </w:pPr>
          </w:p>
        </w:tc>
        <w:tc>
          <w:tcPr>
            <w:tcW w:w="1136" w:type="dxa"/>
            <w:gridSpan w:val="3"/>
            <w:tcBorders>
              <w:top w:val="nil"/>
              <w:bottom w:val="nil"/>
            </w:tcBorders>
          </w:tcPr>
          <w:p w:rsidRPr="002D5FF3" w:rsidR="00024B9F" w:rsidP="00791741" w:rsidRDefault="00024B9F" w14:paraId="3D6CD790" w14:textId="77777777">
            <w:pPr>
              <w:tabs>
                <w:tab w:val="left" w:pos="360"/>
                <w:tab w:val="left" w:pos="480"/>
                <w:tab w:val="left" w:pos="960"/>
                <w:tab w:val="left" w:pos="1320"/>
                <w:tab w:val="left" w:pos="1800"/>
                <w:tab w:val="left" w:pos="2760"/>
              </w:tabs>
              <w:spacing w:before="120" w:line="240" w:lineRule="exact"/>
            </w:pPr>
          </w:p>
        </w:tc>
      </w:tr>
      <w:tr w:rsidRPr="004869E2" w:rsidR="00024B9F" w:rsidTr="00DF23AB" w14:paraId="3CB40409" w14:textId="77777777">
        <w:trPr>
          <w:gridAfter w:val="1"/>
          <w:wAfter w:w="222" w:type="dxa"/>
        </w:trPr>
        <w:tc>
          <w:tcPr>
            <w:tcW w:w="1146" w:type="dxa"/>
            <w:tcBorders>
              <w:right w:val="single" w:color="auto" w:sz="18" w:space="0"/>
            </w:tcBorders>
          </w:tcPr>
          <w:p w:rsidRPr="002D5FF3" w:rsidR="00024B9F" w:rsidP="00D923C7" w:rsidRDefault="00024B9F" w14:paraId="11C4E715" w14:textId="646B544F">
            <w:pPr>
              <w:tabs>
                <w:tab w:val="left" w:pos="360"/>
                <w:tab w:val="left" w:pos="480"/>
                <w:tab w:val="left" w:pos="960"/>
                <w:tab w:val="left" w:pos="1320"/>
                <w:tab w:val="left" w:pos="1800"/>
                <w:tab w:val="left" w:pos="2760"/>
              </w:tabs>
              <w:spacing w:before="120" w:line="240" w:lineRule="exact"/>
              <w:rPr>
                <w:b/>
              </w:rPr>
            </w:pPr>
            <w:r w:rsidRPr="002D5FF3">
              <w:rPr>
                <w:b/>
              </w:rPr>
              <w:t xml:space="preserve">Fiscal Year </w:t>
            </w:r>
            <w:r w:rsidRPr="002D5FF3" w:rsidR="00BE0C59">
              <w:rPr>
                <w:b/>
              </w:rPr>
              <w:t>20</w:t>
            </w:r>
            <w:r w:rsidRPr="002D5FF3" w:rsidR="005F1AC0">
              <w:rPr>
                <w:b/>
              </w:rPr>
              <w:t>24</w:t>
            </w:r>
          </w:p>
        </w:tc>
        <w:tc>
          <w:tcPr>
            <w:tcW w:w="1480" w:type="dxa"/>
            <w:gridSpan w:val="2"/>
            <w:tcBorders>
              <w:top w:val="nil"/>
              <w:left w:val="single" w:color="auto" w:sz="18" w:space="0"/>
              <w:bottom w:val="nil"/>
            </w:tcBorders>
          </w:tcPr>
          <w:p w:rsidRPr="002D5FF3" w:rsidR="00024B9F" w:rsidP="00791741" w:rsidRDefault="00024B9F" w14:paraId="49E1D8EF"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784C2D86" w14:textId="77777777">
            <w:pPr>
              <w:tabs>
                <w:tab w:val="left" w:pos="360"/>
                <w:tab w:val="left" w:pos="480"/>
                <w:tab w:val="left" w:pos="960"/>
                <w:tab w:val="left" w:pos="1320"/>
                <w:tab w:val="left" w:pos="1800"/>
                <w:tab w:val="left" w:pos="2760"/>
              </w:tabs>
              <w:spacing w:before="120" w:line="240" w:lineRule="exact"/>
            </w:pPr>
          </w:p>
        </w:tc>
        <w:tc>
          <w:tcPr>
            <w:tcW w:w="1232" w:type="dxa"/>
            <w:gridSpan w:val="2"/>
            <w:tcBorders>
              <w:top w:val="nil"/>
              <w:bottom w:val="nil"/>
            </w:tcBorders>
          </w:tcPr>
          <w:p w:rsidRPr="002D5FF3" w:rsidR="00024B9F" w:rsidP="00791741" w:rsidRDefault="00024B9F" w14:paraId="1D7B72AE" w14:textId="77777777">
            <w:pPr>
              <w:tabs>
                <w:tab w:val="left" w:pos="360"/>
                <w:tab w:val="left" w:pos="480"/>
                <w:tab w:val="left" w:pos="960"/>
                <w:tab w:val="left" w:pos="1320"/>
                <w:tab w:val="left" w:pos="1800"/>
                <w:tab w:val="left" w:pos="2760"/>
              </w:tabs>
              <w:spacing w:before="120" w:line="240" w:lineRule="exact"/>
            </w:pPr>
          </w:p>
        </w:tc>
        <w:tc>
          <w:tcPr>
            <w:tcW w:w="344" w:type="dxa"/>
            <w:tcBorders>
              <w:top w:val="nil"/>
              <w:bottom w:val="nil"/>
            </w:tcBorders>
          </w:tcPr>
          <w:p w:rsidRPr="002D5FF3" w:rsidR="00024B9F" w:rsidP="00791741" w:rsidRDefault="00024B9F" w14:paraId="23EB4093"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bottom w:val="nil"/>
              <w:right w:val="single" w:color="auto" w:sz="18" w:space="0"/>
            </w:tcBorders>
          </w:tcPr>
          <w:p w:rsidRPr="002D5FF3" w:rsidR="00024B9F" w:rsidP="00791741" w:rsidRDefault="00024B9F" w14:paraId="13190632" w14:textId="77777777">
            <w:pPr>
              <w:tabs>
                <w:tab w:val="left" w:pos="360"/>
                <w:tab w:val="left" w:pos="480"/>
                <w:tab w:val="left" w:pos="960"/>
                <w:tab w:val="left" w:pos="1320"/>
                <w:tab w:val="left" w:pos="1800"/>
                <w:tab w:val="left" w:pos="2760"/>
              </w:tabs>
              <w:spacing w:before="120" w:line="240" w:lineRule="exact"/>
            </w:pPr>
          </w:p>
        </w:tc>
        <w:tc>
          <w:tcPr>
            <w:tcW w:w="241" w:type="dxa"/>
            <w:tcBorders>
              <w:top w:val="nil"/>
              <w:left w:val="single" w:color="auto" w:sz="18" w:space="0"/>
              <w:bottom w:val="nil"/>
              <w:right w:val="single" w:color="auto" w:sz="18" w:space="0"/>
            </w:tcBorders>
          </w:tcPr>
          <w:p w:rsidRPr="002D5FF3" w:rsidR="00024B9F" w:rsidP="00791741" w:rsidRDefault="00024B9F" w14:paraId="420F67E2" w14:textId="77777777">
            <w:pPr>
              <w:tabs>
                <w:tab w:val="left" w:pos="360"/>
                <w:tab w:val="left" w:pos="480"/>
                <w:tab w:val="left" w:pos="960"/>
                <w:tab w:val="left" w:pos="1320"/>
                <w:tab w:val="left" w:pos="1800"/>
                <w:tab w:val="left" w:pos="2760"/>
              </w:tabs>
              <w:spacing w:before="120" w:line="240" w:lineRule="exact"/>
            </w:pPr>
          </w:p>
        </w:tc>
        <w:tc>
          <w:tcPr>
            <w:tcW w:w="1244" w:type="dxa"/>
            <w:gridSpan w:val="2"/>
            <w:tcBorders>
              <w:top w:val="nil"/>
              <w:left w:val="single" w:color="auto" w:sz="18" w:space="0"/>
              <w:bottom w:val="nil"/>
            </w:tcBorders>
          </w:tcPr>
          <w:p w:rsidRPr="002D5FF3" w:rsidR="00024B9F" w:rsidP="00791741" w:rsidRDefault="00024B9F" w14:paraId="64111A06" w14:textId="77777777">
            <w:pPr>
              <w:tabs>
                <w:tab w:val="left" w:pos="360"/>
                <w:tab w:val="left" w:pos="480"/>
                <w:tab w:val="left" w:pos="960"/>
                <w:tab w:val="left" w:pos="1320"/>
                <w:tab w:val="left" w:pos="1800"/>
                <w:tab w:val="left" w:pos="2760"/>
              </w:tabs>
              <w:spacing w:before="120" w:line="240" w:lineRule="exact"/>
            </w:pPr>
          </w:p>
        </w:tc>
        <w:tc>
          <w:tcPr>
            <w:tcW w:w="329" w:type="dxa"/>
            <w:tcBorders>
              <w:top w:val="nil"/>
              <w:bottom w:val="nil"/>
            </w:tcBorders>
          </w:tcPr>
          <w:p w:rsidRPr="002D5FF3" w:rsidR="00024B9F" w:rsidP="00791741" w:rsidRDefault="00024B9F" w14:paraId="7F20389C" w14:textId="77777777">
            <w:pPr>
              <w:tabs>
                <w:tab w:val="left" w:pos="360"/>
                <w:tab w:val="left" w:pos="480"/>
                <w:tab w:val="left" w:pos="960"/>
                <w:tab w:val="left" w:pos="1320"/>
                <w:tab w:val="left" w:pos="1800"/>
                <w:tab w:val="left" w:pos="2760"/>
              </w:tabs>
              <w:spacing w:before="120" w:line="240" w:lineRule="exact"/>
            </w:pPr>
          </w:p>
        </w:tc>
        <w:tc>
          <w:tcPr>
            <w:tcW w:w="1159" w:type="dxa"/>
            <w:gridSpan w:val="2"/>
            <w:tcBorders>
              <w:top w:val="nil"/>
              <w:bottom w:val="nil"/>
            </w:tcBorders>
          </w:tcPr>
          <w:p w:rsidRPr="002D5FF3" w:rsidR="00024B9F" w:rsidP="00791741" w:rsidRDefault="00024B9F" w14:paraId="1228B01C" w14:textId="77777777">
            <w:pPr>
              <w:tabs>
                <w:tab w:val="left" w:pos="360"/>
                <w:tab w:val="left" w:pos="480"/>
                <w:tab w:val="left" w:pos="960"/>
                <w:tab w:val="left" w:pos="1320"/>
                <w:tab w:val="left" w:pos="1800"/>
                <w:tab w:val="left" w:pos="2760"/>
              </w:tabs>
              <w:spacing w:before="120" w:line="240" w:lineRule="exact"/>
            </w:pPr>
          </w:p>
        </w:tc>
        <w:tc>
          <w:tcPr>
            <w:tcW w:w="326" w:type="dxa"/>
            <w:tcBorders>
              <w:top w:val="nil"/>
              <w:bottom w:val="nil"/>
            </w:tcBorders>
          </w:tcPr>
          <w:p w:rsidRPr="002D5FF3" w:rsidR="00024B9F" w:rsidP="00791741" w:rsidRDefault="00024B9F" w14:paraId="3DF8EA54" w14:textId="77777777">
            <w:pPr>
              <w:tabs>
                <w:tab w:val="left" w:pos="360"/>
                <w:tab w:val="left" w:pos="480"/>
                <w:tab w:val="left" w:pos="960"/>
                <w:tab w:val="left" w:pos="1320"/>
                <w:tab w:val="left" w:pos="1800"/>
                <w:tab w:val="left" w:pos="2760"/>
              </w:tabs>
              <w:spacing w:before="120" w:line="240" w:lineRule="exact"/>
            </w:pPr>
          </w:p>
        </w:tc>
        <w:tc>
          <w:tcPr>
            <w:tcW w:w="1136" w:type="dxa"/>
            <w:gridSpan w:val="3"/>
            <w:tcBorders>
              <w:top w:val="nil"/>
              <w:bottom w:val="nil"/>
            </w:tcBorders>
          </w:tcPr>
          <w:p w:rsidRPr="002D5FF3" w:rsidR="00024B9F" w:rsidP="00791741" w:rsidRDefault="00024B9F" w14:paraId="11426F49" w14:textId="77777777">
            <w:pPr>
              <w:tabs>
                <w:tab w:val="left" w:pos="360"/>
                <w:tab w:val="left" w:pos="480"/>
                <w:tab w:val="left" w:pos="960"/>
                <w:tab w:val="left" w:pos="1320"/>
                <w:tab w:val="left" w:pos="1800"/>
                <w:tab w:val="left" w:pos="2760"/>
              </w:tabs>
              <w:spacing w:before="120" w:line="240" w:lineRule="exact"/>
            </w:pPr>
          </w:p>
        </w:tc>
      </w:tr>
      <w:tr w:rsidRPr="004869E2" w:rsidR="00024B9F" w:rsidTr="00DF23AB" w14:paraId="0487AA0A" w14:textId="77777777">
        <w:trPr>
          <w:gridAfter w:val="1"/>
          <w:wAfter w:w="222" w:type="dxa"/>
        </w:trPr>
        <w:tc>
          <w:tcPr>
            <w:tcW w:w="1146" w:type="dxa"/>
            <w:tcBorders>
              <w:right w:val="single" w:color="auto" w:sz="18" w:space="0"/>
            </w:tcBorders>
          </w:tcPr>
          <w:p w:rsidRPr="002D5FF3" w:rsidR="00024B9F" w:rsidP="00791741" w:rsidRDefault="00024B9F" w14:paraId="610B8FCE" w14:textId="77777777">
            <w:pPr>
              <w:tabs>
                <w:tab w:val="left" w:pos="360"/>
                <w:tab w:val="left" w:pos="480"/>
                <w:tab w:val="left" w:pos="960"/>
                <w:tab w:val="left" w:pos="1320"/>
                <w:tab w:val="left" w:pos="1800"/>
                <w:tab w:val="left" w:pos="2760"/>
              </w:tabs>
              <w:spacing w:before="120" w:line="240" w:lineRule="exact"/>
            </w:pPr>
            <w:r w:rsidRPr="002D5FF3">
              <w:t>Initiation</w:t>
            </w:r>
          </w:p>
        </w:tc>
        <w:tc>
          <w:tcPr>
            <w:tcW w:w="1480" w:type="dxa"/>
            <w:gridSpan w:val="2"/>
            <w:tcBorders>
              <w:top w:val="nil"/>
              <w:left w:val="single" w:color="auto" w:sz="18" w:space="0"/>
              <w:bottom w:val="nil"/>
            </w:tcBorders>
          </w:tcPr>
          <w:p w:rsidRPr="002D5FF3" w:rsidR="00024B9F" w:rsidP="00791741" w:rsidRDefault="00913278" w14:paraId="1398B711" w14:textId="62A1D4E3">
            <w:pPr>
              <w:tabs>
                <w:tab w:val="left" w:pos="360"/>
                <w:tab w:val="left" w:pos="480"/>
                <w:tab w:val="left" w:pos="960"/>
                <w:tab w:val="left" w:pos="1320"/>
                <w:tab w:val="left" w:pos="1800"/>
                <w:tab w:val="left" w:pos="2760"/>
              </w:tabs>
              <w:spacing w:before="120" w:line="240" w:lineRule="exact"/>
              <w:jc w:val="center"/>
            </w:pPr>
            <w:r w:rsidRPr="002D5FF3">
              <w:t>1300</w:t>
            </w:r>
          </w:p>
        </w:tc>
        <w:tc>
          <w:tcPr>
            <w:tcW w:w="329" w:type="dxa"/>
            <w:tcBorders>
              <w:top w:val="nil"/>
              <w:bottom w:val="nil"/>
            </w:tcBorders>
          </w:tcPr>
          <w:p w:rsidRPr="002D5FF3" w:rsidR="00024B9F" w:rsidP="00791741" w:rsidRDefault="00024B9F" w14:paraId="64B3C9DC"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32" w:type="dxa"/>
            <w:gridSpan w:val="2"/>
            <w:tcBorders>
              <w:top w:val="nil"/>
              <w:bottom w:val="nil"/>
            </w:tcBorders>
          </w:tcPr>
          <w:p w:rsidRPr="002D5FF3" w:rsidR="00024B9F" w:rsidP="00791741" w:rsidRDefault="00024B9F" w14:paraId="6053F016"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44" w:type="dxa"/>
            <w:tcBorders>
              <w:top w:val="nil"/>
              <w:bottom w:val="nil"/>
            </w:tcBorders>
          </w:tcPr>
          <w:p w:rsidRPr="002D5FF3" w:rsidR="00024B9F" w:rsidP="00791741" w:rsidRDefault="00024B9F" w14:paraId="0F2E5CCE"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656647" w:rsidRDefault="00024B9F" w14:paraId="00AAF207" w14:textId="3C893951">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2678F4">
              <w:t>13</w:t>
            </w:r>
            <w:r w:rsidRPr="002D5FF3" w:rsidR="00656647">
              <w:t>00</w:t>
            </w:r>
          </w:p>
        </w:tc>
        <w:tc>
          <w:tcPr>
            <w:tcW w:w="241" w:type="dxa"/>
            <w:tcBorders>
              <w:top w:val="nil"/>
              <w:left w:val="single" w:color="auto" w:sz="18" w:space="0"/>
              <w:bottom w:val="nil"/>
              <w:right w:val="single" w:color="auto" w:sz="18" w:space="0"/>
            </w:tcBorders>
          </w:tcPr>
          <w:p w:rsidRPr="002D5FF3" w:rsidR="00024B9F" w:rsidP="00791741" w:rsidRDefault="00024B9F" w14:paraId="3913A9F2"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tcPr>
          <w:p w:rsidRPr="002D5FF3" w:rsidR="00024B9F" w:rsidP="00913278" w:rsidRDefault="00FE1AE9" w14:paraId="426B739E" w14:textId="773DC651">
            <w:pPr>
              <w:tabs>
                <w:tab w:val="left" w:pos="360"/>
                <w:tab w:val="left" w:pos="480"/>
                <w:tab w:val="left" w:pos="960"/>
                <w:tab w:val="left" w:pos="1320"/>
                <w:tab w:val="left" w:pos="1800"/>
                <w:tab w:val="left" w:pos="2760"/>
              </w:tabs>
              <w:spacing w:before="120" w:line="240" w:lineRule="exact"/>
              <w:jc w:val="center"/>
            </w:pPr>
            <w:r>
              <w:t xml:space="preserve">  </w:t>
            </w:r>
            <w:r w:rsidRPr="002D5FF3" w:rsidR="00656647">
              <w:t>1</w:t>
            </w:r>
            <w:r w:rsidRPr="002D5FF3" w:rsidR="00913278">
              <w:t>3</w:t>
            </w:r>
            <w:r w:rsidRPr="002D5FF3" w:rsidR="00656647">
              <w:t>00</w:t>
            </w:r>
          </w:p>
        </w:tc>
        <w:tc>
          <w:tcPr>
            <w:tcW w:w="329" w:type="dxa"/>
            <w:tcBorders>
              <w:top w:val="nil"/>
              <w:bottom w:val="nil"/>
            </w:tcBorders>
          </w:tcPr>
          <w:p w:rsidRPr="002D5FF3" w:rsidR="00024B9F" w:rsidP="00791741" w:rsidRDefault="00024B9F" w14:paraId="2F3F5D60"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791741" w:rsidRDefault="00024B9F" w14:paraId="2CEDF1B6" w14:textId="77777777">
            <w:pPr>
              <w:tabs>
                <w:tab w:val="left" w:pos="360"/>
                <w:tab w:val="left" w:pos="480"/>
                <w:tab w:val="left" w:pos="960"/>
                <w:tab w:val="left" w:pos="1320"/>
                <w:tab w:val="left" w:pos="1800"/>
                <w:tab w:val="left" w:pos="2760"/>
              </w:tabs>
              <w:spacing w:before="120" w:line="240" w:lineRule="exact"/>
              <w:jc w:val="center"/>
            </w:pPr>
            <w:r w:rsidRPr="002D5FF3">
              <w:t>1</w:t>
            </w:r>
          </w:p>
        </w:tc>
        <w:tc>
          <w:tcPr>
            <w:tcW w:w="326" w:type="dxa"/>
            <w:tcBorders>
              <w:top w:val="nil"/>
              <w:bottom w:val="nil"/>
            </w:tcBorders>
          </w:tcPr>
          <w:p w:rsidRPr="002D5FF3" w:rsidR="00024B9F" w:rsidP="00791741" w:rsidRDefault="00024B9F" w14:paraId="3F5E91AF"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182BD3" w:rsidRDefault="00024B9F" w14:paraId="2A07B3C1" w14:textId="74C2E27D">
            <w:pPr>
              <w:tabs>
                <w:tab w:val="left" w:pos="360"/>
                <w:tab w:val="left" w:pos="480"/>
                <w:tab w:val="left" w:pos="960"/>
                <w:tab w:val="left" w:pos="1320"/>
                <w:tab w:val="left" w:pos="1800"/>
                <w:tab w:val="left" w:pos="2760"/>
              </w:tabs>
              <w:spacing w:before="120" w:line="240" w:lineRule="exact"/>
              <w:jc w:val="center"/>
            </w:pPr>
            <w:r w:rsidRPr="002D5FF3">
              <w:t xml:space="preserve">  </w:t>
            </w:r>
            <w:r w:rsidRPr="002D5FF3" w:rsidR="00913278">
              <w:t>13</w:t>
            </w:r>
            <w:r w:rsidRPr="002D5FF3" w:rsidR="00182BD3">
              <w:t>00</w:t>
            </w:r>
          </w:p>
        </w:tc>
      </w:tr>
      <w:tr w:rsidRPr="004869E2" w:rsidR="00024B9F" w:rsidTr="00DF23AB" w14:paraId="3F41B771" w14:textId="77777777">
        <w:trPr>
          <w:gridAfter w:val="1"/>
          <w:wAfter w:w="222" w:type="dxa"/>
        </w:trPr>
        <w:tc>
          <w:tcPr>
            <w:tcW w:w="1146" w:type="dxa"/>
            <w:tcBorders>
              <w:bottom w:val="nil"/>
              <w:right w:val="single" w:color="auto" w:sz="18" w:space="0"/>
            </w:tcBorders>
          </w:tcPr>
          <w:p w:rsidRPr="002D5FF3" w:rsidR="00024B9F" w:rsidP="00791741" w:rsidRDefault="00024B9F" w14:paraId="6392FA94" w14:textId="77777777">
            <w:pPr>
              <w:tabs>
                <w:tab w:val="left" w:pos="360"/>
                <w:tab w:val="left" w:pos="480"/>
                <w:tab w:val="left" w:pos="960"/>
                <w:tab w:val="left" w:pos="1320"/>
                <w:tab w:val="left" w:pos="1800"/>
                <w:tab w:val="left" w:pos="2760"/>
              </w:tabs>
              <w:spacing w:before="120" w:line="240" w:lineRule="exact"/>
            </w:pPr>
            <w:r w:rsidRPr="002D5FF3">
              <w:t>Repricing</w:t>
            </w:r>
          </w:p>
        </w:tc>
        <w:tc>
          <w:tcPr>
            <w:tcW w:w="1480" w:type="dxa"/>
            <w:gridSpan w:val="2"/>
            <w:tcBorders>
              <w:top w:val="nil"/>
              <w:left w:val="single" w:color="auto" w:sz="18" w:space="0"/>
              <w:bottom w:val="nil"/>
            </w:tcBorders>
          </w:tcPr>
          <w:p w:rsidRPr="002D5FF3" w:rsidR="00024B9F" w:rsidP="00791741" w:rsidRDefault="00913278" w14:paraId="18A3DB68" w14:textId="086CC794">
            <w:pPr>
              <w:tabs>
                <w:tab w:val="left" w:pos="360"/>
                <w:tab w:val="left" w:pos="480"/>
                <w:tab w:val="left" w:pos="960"/>
                <w:tab w:val="left" w:pos="1320"/>
                <w:tab w:val="left" w:pos="1800"/>
                <w:tab w:val="left" w:pos="2760"/>
              </w:tabs>
              <w:spacing w:before="120" w:line="240" w:lineRule="exact"/>
              <w:jc w:val="center"/>
            </w:pPr>
            <w:r w:rsidRPr="002D5FF3">
              <w:t>2350</w:t>
            </w:r>
          </w:p>
        </w:tc>
        <w:tc>
          <w:tcPr>
            <w:tcW w:w="329" w:type="dxa"/>
            <w:tcBorders>
              <w:top w:val="nil"/>
              <w:bottom w:val="nil"/>
            </w:tcBorders>
          </w:tcPr>
          <w:p w:rsidRPr="002D5FF3" w:rsidR="00024B9F" w:rsidP="00791741" w:rsidRDefault="00024B9F" w14:paraId="6124DDE0"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232" w:type="dxa"/>
            <w:gridSpan w:val="2"/>
            <w:tcBorders>
              <w:top w:val="nil"/>
              <w:bottom w:val="nil"/>
            </w:tcBorders>
          </w:tcPr>
          <w:p w:rsidRPr="002D5FF3" w:rsidR="00024B9F" w:rsidP="00791741" w:rsidRDefault="00913278" w14:paraId="5E60C3F3" w14:textId="0A4AE58B">
            <w:pPr>
              <w:tabs>
                <w:tab w:val="left" w:pos="360"/>
                <w:tab w:val="left" w:pos="480"/>
                <w:tab w:val="left" w:pos="960"/>
                <w:tab w:val="left" w:pos="1320"/>
                <w:tab w:val="left" w:pos="1800"/>
                <w:tab w:val="left" w:pos="2760"/>
              </w:tabs>
              <w:spacing w:before="120" w:line="240" w:lineRule="exact"/>
              <w:jc w:val="center"/>
            </w:pPr>
            <w:r w:rsidRPr="002D5FF3">
              <w:t>8.9</w:t>
            </w:r>
          </w:p>
        </w:tc>
        <w:tc>
          <w:tcPr>
            <w:tcW w:w="344" w:type="dxa"/>
            <w:tcBorders>
              <w:top w:val="nil"/>
              <w:bottom w:val="nil"/>
            </w:tcBorders>
          </w:tcPr>
          <w:p w:rsidRPr="002D5FF3" w:rsidR="00024B9F" w:rsidP="00791741" w:rsidRDefault="00024B9F" w14:paraId="414A187E"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244" w:type="dxa"/>
            <w:gridSpan w:val="2"/>
            <w:tcBorders>
              <w:top w:val="nil"/>
              <w:bottom w:val="nil"/>
              <w:right w:val="single" w:color="auto" w:sz="18" w:space="0"/>
            </w:tcBorders>
          </w:tcPr>
          <w:p w:rsidRPr="002D5FF3" w:rsidR="00024B9F" w:rsidP="00791741" w:rsidRDefault="002678F4" w14:paraId="529A8419" w14:textId="714CD285">
            <w:pPr>
              <w:tabs>
                <w:tab w:val="left" w:pos="360"/>
                <w:tab w:val="left" w:pos="480"/>
                <w:tab w:val="left" w:pos="960"/>
                <w:tab w:val="left" w:pos="1320"/>
                <w:tab w:val="left" w:pos="1800"/>
                <w:tab w:val="left" w:pos="2760"/>
              </w:tabs>
              <w:spacing w:before="120" w:line="240" w:lineRule="exact"/>
              <w:jc w:val="center"/>
            </w:pPr>
            <w:r w:rsidRPr="002D5FF3">
              <w:t>20915</w:t>
            </w:r>
          </w:p>
        </w:tc>
        <w:tc>
          <w:tcPr>
            <w:tcW w:w="241" w:type="dxa"/>
            <w:tcBorders>
              <w:top w:val="nil"/>
              <w:left w:val="single" w:color="auto" w:sz="18" w:space="0"/>
              <w:bottom w:val="nil"/>
              <w:right w:val="single" w:color="auto" w:sz="18" w:space="0"/>
            </w:tcBorders>
          </w:tcPr>
          <w:p w:rsidRPr="002D5FF3" w:rsidR="00024B9F" w:rsidP="00791741" w:rsidRDefault="00024B9F" w14:paraId="0CCA8342"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nil"/>
            </w:tcBorders>
          </w:tcPr>
          <w:p w:rsidRPr="002D5FF3" w:rsidR="00024B9F" w:rsidP="00791741" w:rsidRDefault="00913278" w14:paraId="501A3C17" w14:textId="587449A3">
            <w:pPr>
              <w:tabs>
                <w:tab w:val="left" w:pos="360"/>
                <w:tab w:val="left" w:pos="480"/>
                <w:tab w:val="left" w:pos="960"/>
                <w:tab w:val="left" w:pos="1320"/>
                <w:tab w:val="left" w:pos="1800"/>
                <w:tab w:val="left" w:pos="2760"/>
              </w:tabs>
              <w:spacing w:before="120" w:line="240" w:lineRule="exact"/>
              <w:jc w:val="center"/>
            </w:pPr>
            <w:r w:rsidRPr="002D5FF3">
              <w:t>20915</w:t>
            </w:r>
          </w:p>
        </w:tc>
        <w:tc>
          <w:tcPr>
            <w:tcW w:w="329" w:type="dxa"/>
            <w:tcBorders>
              <w:top w:val="nil"/>
              <w:bottom w:val="nil"/>
            </w:tcBorders>
          </w:tcPr>
          <w:p w:rsidRPr="002D5FF3" w:rsidR="00024B9F" w:rsidP="00791741" w:rsidRDefault="00024B9F" w14:paraId="19801247" w14:textId="77777777">
            <w:pPr>
              <w:tabs>
                <w:tab w:val="left" w:pos="360"/>
                <w:tab w:val="left" w:pos="480"/>
                <w:tab w:val="left" w:pos="960"/>
                <w:tab w:val="left" w:pos="1320"/>
                <w:tab w:val="left" w:pos="1800"/>
                <w:tab w:val="left" w:pos="2760"/>
              </w:tabs>
              <w:spacing w:before="120" w:line="240" w:lineRule="exact"/>
              <w:jc w:val="center"/>
            </w:pPr>
            <w:r w:rsidRPr="002D5FF3">
              <w:t>x</w:t>
            </w:r>
          </w:p>
        </w:tc>
        <w:tc>
          <w:tcPr>
            <w:tcW w:w="1159" w:type="dxa"/>
            <w:gridSpan w:val="2"/>
            <w:tcBorders>
              <w:top w:val="nil"/>
              <w:bottom w:val="nil"/>
            </w:tcBorders>
          </w:tcPr>
          <w:p w:rsidRPr="002D5FF3" w:rsidR="00024B9F" w:rsidP="00913278" w:rsidRDefault="005475E1" w14:paraId="6149F20D" w14:textId="6A413286">
            <w:pPr>
              <w:tabs>
                <w:tab w:val="left" w:pos="360"/>
                <w:tab w:val="left" w:pos="480"/>
                <w:tab w:val="left" w:pos="960"/>
                <w:tab w:val="left" w:pos="1320"/>
                <w:tab w:val="left" w:pos="1800"/>
                <w:tab w:val="left" w:pos="2760"/>
              </w:tabs>
              <w:spacing w:before="120" w:line="240" w:lineRule="exact"/>
              <w:jc w:val="center"/>
            </w:pPr>
            <w:r w:rsidRPr="002D5FF3">
              <w:t>0.</w:t>
            </w:r>
            <w:r w:rsidRPr="002D5FF3" w:rsidR="00913278">
              <w:t>4683</w:t>
            </w:r>
          </w:p>
        </w:tc>
        <w:tc>
          <w:tcPr>
            <w:tcW w:w="326" w:type="dxa"/>
            <w:tcBorders>
              <w:top w:val="nil"/>
              <w:bottom w:val="nil"/>
            </w:tcBorders>
          </w:tcPr>
          <w:p w:rsidRPr="002D5FF3" w:rsidR="00024B9F" w:rsidP="00791741" w:rsidRDefault="00024B9F" w14:paraId="6CD7C8C4" w14:textId="77777777">
            <w:pPr>
              <w:tabs>
                <w:tab w:val="left" w:pos="360"/>
                <w:tab w:val="left" w:pos="480"/>
                <w:tab w:val="left" w:pos="960"/>
                <w:tab w:val="left" w:pos="1320"/>
                <w:tab w:val="left" w:pos="1800"/>
                <w:tab w:val="left" w:pos="2760"/>
              </w:tabs>
              <w:spacing w:before="120" w:line="240" w:lineRule="exact"/>
              <w:jc w:val="center"/>
            </w:pPr>
            <w:r w:rsidRPr="002D5FF3">
              <w:t>=</w:t>
            </w:r>
          </w:p>
        </w:tc>
        <w:tc>
          <w:tcPr>
            <w:tcW w:w="1136" w:type="dxa"/>
            <w:gridSpan w:val="3"/>
            <w:tcBorders>
              <w:top w:val="nil"/>
              <w:bottom w:val="nil"/>
            </w:tcBorders>
          </w:tcPr>
          <w:p w:rsidRPr="002D5FF3" w:rsidR="00024B9F" w:rsidP="00791741" w:rsidRDefault="00FE1AE9" w14:paraId="2D3E048F" w14:textId="5814BA34">
            <w:pPr>
              <w:tabs>
                <w:tab w:val="left" w:pos="360"/>
                <w:tab w:val="left" w:pos="480"/>
                <w:tab w:val="left" w:pos="960"/>
                <w:tab w:val="left" w:pos="1320"/>
                <w:tab w:val="left" w:pos="1800"/>
                <w:tab w:val="left" w:pos="2760"/>
              </w:tabs>
              <w:spacing w:before="120" w:line="240" w:lineRule="exact"/>
              <w:jc w:val="center"/>
            </w:pPr>
            <w:r>
              <w:t xml:space="preserve">  </w:t>
            </w:r>
            <w:r w:rsidRPr="002D5FF3" w:rsidR="00913278">
              <w:t>9794</w:t>
            </w:r>
          </w:p>
        </w:tc>
      </w:tr>
      <w:tr w:rsidRPr="004869E2" w:rsidR="00024B9F" w:rsidTr="00DF23AB" w14:paraId="55391FA3" w14:textId="77777777">
        <w:trPr>
          <w:gridAfter w:val="1"/>
          <w:wAfter w:w="222" w:type="dxa"/>
        </w:trPr>
        <w:tc>
          <w:tcPr>
            <w:tcW w:w="1146" w:type="dxa"/>
            <w:tcBorders>
              <w:top w:val="nil"/>
              <w:left w:val="single" w:color="auto" w:sz="18" w:space="0"/>
              <w:bottom w:val="single" w:color="auto" w:sz="18" w:space="0"/>
              <w:right w:val="nil"/>
            </w:tcBorders>
            <w:shd w:val="clear" w:color="auto" w:fill="D9D9D9"/>
          </w:tcPr>
          <w:p w:rsidRPr="002D5FF3" w:rsidR="00024B9F" w:rsidP="00791741" w:rsidRDefault="00024B9F" w14:paraId="57274D8E" w14:textId="77777777">
            <w:pPr>
              <w:tabs>
                <w:tab w:val="left" w:pos="360"/>
                <w:tab w:val="left" w:pos="480"/>
                <w:tab w:val="left" w:pos="960"/>
                <w:tab w:val="left" w:pos="1320"/>
                <w:tab w:val="left" w:pos="1800"/>
                <w:tab w:val="left" w:pos="2760"/>
              </w:tabs>
              <w:spacing w:before="120" w:line="240" w:lineRule="exact"/>
              <w:rPr>
                <w:b/>
              </w:rPr>
            </w:pPr>
            <w:r w:rsidRPr="002D5FF3">
              <w:rPr>
                <w:b/>
              </w:rPr>
              <w:t>Total Burden</w:t>
            </w:r>
          </w:p>
        </w:tc>
        <w:tc>
          <w:tcPr>
            <w:tcW w:w="1480" w:type="dxa"/>
            <w:gridSpan w:val="2"/>
            <w:tcBorders>
              <w:top w:val="nil"/>
              <w:left w:val="nil"/>
              <w:bottom w:val="single" w:color="auto" w:sz="18" w:space="0"/>
            </w:tcBorders>
            <w:shd w:val="clear" w:color="auto" w:fill="D9D9D9"/>
          </w:tcPr>
          <w:p w:rsidRPr="002D5FF3" w:rsidR="00024B9F" w:rsidP="00791741" w:rsidRDefault="00913278" w14:paraId="19D722D2" w14:textId="0992172A">
            <w:pPr>
              <w:tabs>
                <w:tab w:val="left" w:pos="360"/>
                <w:tab w:val="left" w:pos="480"/>
                <w:tab w:val="left" w:pos="960"/>
                <w:tab w:val="left" w:pos="1320"/>
                <w:tab w:val="left" w:pos="1800"/>
                <w:tab w:val="left" w:pos="2760"/>
              </w:tabs>
              <w:spacing w:before="120" w:line="240" w:lineRule="exact"/>
              <w:jc w:val="center"/>
            </w:pPr>
            <w:r w:rsidRPr="002D5FF3">
              <w:t>3650</w:t>
            </w:r>
          </w:p>
        </w:tc>
        <w:tc>
          <w:tcPr>
            <w:tcW w:w="329" w:type="dxa"/>
            <w:tcBorders>
              <w:top w:val="nil"/>
              <w:bottom w:val="single" w:color="auto" w:sz="18" w:space="0"/>
            </w:tcBorders>
            <w:shd w:val="clear" w:color="auto" w:fill="D9D9D9"/>
          </w:tcPr>
          <w:p w:rsidRPr="002D5FF3" w:rsidR="00024B9F" w:rsidP="00791741" w:rsidRDefault="00024B9F" w14:paraId="6D5F8AC8" w14:textId="77777777">
            <w:pPr>
              <w:tabs>
                <w:tab w:val="left" w:pos="360"/>
                <w:tab w:val="left" w:pos="480"/>
                <w:tab w:val="left" w:pos="960"/>
                <w:tab w:val="left" w:pos="1320"/>
                <w:tab w:val="left" w:pos="1800"/>
                <w:tab w:val="left" w:pos="2760"/>
              </w:tabs>
              <w:spacing w:before="120" w:line="240" w:lineRule="exact"/>
              <w:jc w:val="center"/>
            </w:pPr>
          </w:p>
        </w:tc>
        <w:tc>
          <w:tcPr>
            <w:tcW w:w="1232" w:type="dxa"/>
            <w:gridSpan w:val="2"/>
            <w:tcBorders>
              <w:top w:val="nil"/>
              <w:bottom w:val="single" w:color="auto" w:sz="18" w:space="0"/>
            </w:tcBorders>
            <w:shd w:val="clear" w:color="auto" w:fill="D9D9D9"/>
          </w:tcPr>
          <w:p w:rsidRPr="002D5FF3" w:rsidR="00024B9F" w:rsidP="00791741" w:rsidRDefault="00024B9F" w14:paraId="055C1937" w14:textId="77777777">
            <w:pPr>
              <w:tabs>
                <w:tab w:val="left" w:pos="360"/>
                <w:tab w:val="left" w:pos="480"/>
                <w:tab w:val="left" w:pos="960"/>
                <w:tab w:val="left" w:pos="1320"/>
                <w:tab w:val="left" w:pos="1800"/>
                <w:tab w:val="left" w:pos="2760"/>
              </w:tabs>
              <w:spacing w:before="120" w:line="240" w:lineRule="exact"/>
              <w:jc w:val="center"/>
            </w:pPr>
          </w:p>
        </w:tc>
        <w:tc>
          <w:tcPr>
            <w:tcW w:w="344" w:type="dxa"/>
            <w:tcBorders>
              <w:top w:val="nil"/>
              <w:bottom w:val="single" w:color="auto" w:sz="18" w:space="0"/>
            </w:tcBorders>
            <w:shd w:val="clear" w:color="auto" w:fill="D9D9D9"/>
          </w:tcPr>
          <w:p w:rsidRPr="002D5FF3" w:rsidR="00024B9F" w:rsidP="00791741" w:rsidRDefault="00024B9F" w14:paraId="393FFE84"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bottom w:val="single" w:color="auto" w:sz="18" w:space="0"/>
              <w:right w:val="single" w:color="auto" w:sz="18" w:space="0"/>
            </w:tcBorders>
            <w:shd w:val="clear" w:color="auto" w:fill="D9D9D9"/>
          </w:tcPr>
          <w:p w:rsidRPr="002D5FF3" w:rsidR="00024B9F" w:rsidP="00791741" w:rsidRDefault="002678F4" w14:paraId="6713D5E2" w14:textId="31FD0C8D">
            <w:pPr>
              <w:tabs>
                <w:tab w:val="left" w:pos="360"/>
                <w:tab w:val="left" w:pos="480"/>
                <w:tab w:val="left" w:pos="960"/>
                <w:tab w:val="left" w:pos="1320"/>
                <w:tab w:val="left" w:pos="1800"/>
                <w:tab w:val="left" w:pos="2760"/>
              </w:tabs>
              <w:spacing w:before="120" w:line="240" w:lineRule="exact"/>
              <w:jc w:val="center"/>
            </w:pPr>
            <w:r w:rsidRPr="002D5FF3">
              <w:t>22215</w:t>
            </w:r>
          </w:p>
        </w:tc>
        <w:tc>
          <w:tcPr>
            <w:tcW w:w="241" w:type="dxa"/>
            <w:tcBorders>
              <w:top w:val="nil"/>
              <w:left w:val="single" w:color="auto" w:sz="18" w:space="0"/>
              <w:bottom w:val="nil"/>
              <w:right w:val="single" w:color="auto" w:sz="18" w:space="0"/>
            </w:tcBorders>
            <w:shd w:val="clear" w:color="auto" w:fill="D9D9D9"/>
          </w:tcPr>
          <w:p w:rsidRPr="002D5FF3" w:rsidR="00024B9F" w:rsidP="00791741" w:rsidRDefault="00024B9F" w14:paraId="7F012753" w14:textId="77777777">
            <w:pPr>
              <w:tabs>
                <w:tab w:val="left" w:pos="360"/>
                <w:tab w:val="left" w:pos="480"/>
                <w:tab w:val="left" w:pos="960"/>
                <w:tab w:val="left" w:pos="1320"/>
                <w:tab w:val="left" w:pos="1800"/>
                <w:tab w:val="left" w:pos="2760"/>
              </w:tabs>
              <w:spacing w:before="120" w:line="240" w:lineRule="exact"/>
              <w:jc w:val="center"/>
            </w:pPr>
          </w:p>
        </w:tc>
        <w:tc>
          <w:tcPr>
            <w:tcW w:w="1244" w:type="dxa"/>
            <w:gridSpan w:val="2"/>
            <w:tcBorders>
              <w:top w:val="nil"/>
              <w:left w:val="single" w:color="auto" w:sz="18" w:space="0"/>
              <w:bottom w:val="single" w:color="auto" w:sz="18" w:space="0"/>
            </w:tcBorders>
            <w:shd w:val="clear" w:color="auto" w:fill="D9D9D9"/>
          </w:tcPr>
          <w:p w:rsidRPr="002D5FF3" w:rsidR="00024B9F" w:rsidP="00791741" w:rsidRDefault="00913278" w14:paraId="6A4E8E64" w14:textId="330553C4">
            <w:pPr>
              <w:tabs>
                <w:tab w:val="left" w:pos="360"/>
                <w:tab w:val="left" w:pos="480"/>
                <w:tab w:val="left" w:pos="960"/>
                <w:tab w:val="left" w:pos="1320"/>
                <w:tab w:val="left" w:pos="1800"/>
                <w:tab w:val="left" w:pos="2760"/>
              </w:tabs>
              <w:spacing w:before="120" w:line="240" w:lineRule="exact"/>
              <w:jc w:val="center"/>
            </w:pPr>
            <w:r w:rsidRPr="002D5FF3">
              <w:t>22215</w:t>
            </w:r>
          </w:p>
        </w:tc>
        <w:tc>
          <w:tcPr>
            <w:tcW w:w="329" w:type="dxa"/>
            <w:tcBorders>
              <w:top w:val="nil"/>
              <w:bottom w:val="single" w:color="auto" w:sz="18" w:space="0"/>
            </w:tcBorders>
            <w:shd w:val="clear" w:color="auto" w:fill="D9D9D9"/>
          </w:tcPr>
          <w:p w:rsidRPr="002D5FF3" w:rsidR="00024B9F" w:rsidP="00791741" w:rsidRDefault="00024B9F" w14:paraId="62B97A40" w14:textId="77777777">
            <w:pPr>
              <w:tabs>
                <w:tab w:val="left" w:pos="360"/>
                <w:tab w:val="left" w:pos="480"/>
                <w:tab w:val="left" w:pos="960"/>
                <w:tab w:val="left" w:pos="1320"/>
                <w:tab w:val="left" w:pos="1800"/>
                <w:tab w:val="left" w:pos="2760"/>
              </w:tabs>
              <w:spacing w:before="120" w:line="240" w:lineRule="exact"/>
              <w:jc w:val="center"/>
            </w:pPr>
          </w:p>
        </w:tc>
        <w:tc>
          <w:tcPr>
            <w:tcW w:w="1159" w:type="dxa"/>
            <w:gridSpan w:val="2"/>
            <w:tcBorders>
              <w:top w:val="nil"/>
              <w:bottom w:val="single" w:color="auto" w:sz="18" w:space="0"/>
            </w:tcBorders>
            <w:shd w:val="clear" w:color="auto" w:fill="D9D9D9"/>
          </w:tcPr>
          <w:p w:rsidRPr="002D5FF3" w:rsidR="00024B9F" w:rsidP="00791741" w:rsidRDefault="00024B9F" w14:paraId="0093E6FC" w14:textId="77777777">
            <w:pPr>
              <w:tabs>
                <w:tab w:val="left" w:pos="360"/>
                <w:tab w:val="left" w:pos="480"/>
                <w:tab w:val="left" w:pos="960"/>
                <w:tab w:val="left" w:pos="1320"/>
                <w:tab w:val="left" w:pos="1800"/>
                <w:tab w:val="left" w:pos="2760"/>
              </w:tabs>
              <w:spacing w:before="120" w:line="240" w:lineRule="exact"/>
              <w:jc w:val="center"/>
            </w:pPr>
          </w:p>
        </w:tc>
        <w:tc>
          <w:tcPr>
            <w:tcW w:w="326" w:type="dxa"/>
            <w:tcBorders>
              <w:top w:val="nil"/>
              <w:bottom w:val="single" w:color="auto" w:sz="18" w:space="0"/>
            </w:tcBorders>
            <w:shd w:val="clear" w:color="auto" w:fill="D9D9D9"/>
          </w:tcPr>
          <w:p w:rsidRPr="002D5FF3" w:rsidR="00024B9F" w:rsidP="00791741" w:rsidRDefault="00024B9F" w14:paraId="4510FD15" w14:textId="77777777">
            <w:pPr>
              <w:tabs>
                <w:tab w:val="left" w:pos="360"/>
                <w:tab w:val="left" w:pos="480"/>
                <w:tab w:val="left" w:pos="960"/>
                <w:tab w:val="left" w:pos="1320"/>
                <w:tab w:val="left" w:pos="1800"/>
                <w:tab w:val="left" w:pos="2760"/>
              </w:tabs>
              <w:spacing w:before="120" w:line="240" w:lineRule="exact"/>
              <w:jc w:val="center"/>
            </w:pPr>
          </w:p>
        </w:tc>
        <w:tc>
          <w:tcPr>
            <w:tcW w:w="1136" w:type="dxa"/>
            <w:gridSpan w:val="3"/>
            <w:tcBorders>
              <w:top w:val="nil"/>
              <w:bottom w:val="single" w:color="auto" w:sz="18" w:space="0"/>
            </w:tcBorders>
            <w:shd w:val="clear" w:color="auto" w:fill="D9D9D9"/>
          </w:tcPr>
          <w:p w:rsidRPr="002D5FF3" w:rsidR="00024B9F" w:rsidP="00791741" w:rsidRDefault="00913278" w14:paraId="37C9D690" w14:textId="0DA07FF6">
            <w:pPr>
              <w:tabs>
                <w:tab w:val="left" w:pos="360"/>
                <w:tab w:val="left" w:pos="480"/>
                <w:tab w:val="left" w:pos="960"/>
                <w:tab w:val="left" w:pos="1320"/>
                <w:tab w:val="left" w:pos="1800"/>
                <w:tab w:val="left" w:pos="2760"/>
              </w:tabs>
              <w:spacing w:before="120" w:line="240" w:lineRule="exact"/>
              <w:jc w:val="center"/>
            </w:pPr>
            <w:r w:rsidRPr="002D5FF3">
              <w:t>11094</w:t>
            </w:r>
          </w:p>
        </w:tc>
      </w:tr>
      <w:tr w:rsidRPr="004869E2" w:rsidR="00024B9F" w:rsidTr="00DF23AB" w14:paraId="397AEE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9499" w:type="dxa"/>
            <w:gridSpan w:val="17"/>
            <w:tcBorders>
              <w:top w:val="nil"/>
              <w:left w:val="nil"/>
              <w:bottom w:val="nil"/>
              <w:right w:val="nil"/>
            </w:tcBorders>
          </w:tcPr>
          <w:p w:rsidRPr="002D5FF3" w:rsidR="00024B9F" w:rsidP="00791741" w:rsidRDefault="00024B9F" w14:paraId="25D58149" w14:textId="77777777">
            <w:pPr>
              <w:rPr>
                <w:u w:val="single"/>
              </w:rPr>
            </w:pPr>
          </w:p>
          <w:tbl>
            <w:tblPr>
              <w:tblStyle w:val="TableGrid"/>
              <w:tblpPr w:leftFromText="180" w:rightFromText="180" w:vertAnchor="text" w:horzAnchor="margin" w:tblpXSpec="center" w:tblpY="194"/>
              <w:tblOverlap w:val="never"/>
              <w:tblW w:w="7830" w:type="dxa"/>
              <w:tblLook w:val="04A0" w:firstRow="1" w:lastRow="0" w:firstColumn="1" w:lastColumn="0" w:noHBand="0" w:noVBand="1"/>
            </w:tblPr>
            <w:tblGrid>
              <w:gridCol w:w="1687"/>
              <w:gridCol w:w="1720"/>
              <w:gridCol w:w="1730"/>
              <w:gridCol w:w="2693"/>
            </w:tblGrid>
            <w:tr w:rsidRPr="004869E2" w:rsidR="00146A83" w:rsidTr="00146A83" w14:paraId="6E3EE6DF" w14:textId="77777777">
              <w:tc>
                <w:tcPr>
                  <w:tcW w:w="1687" w:type="dxa"/>
                  <w:tcBorders>
                    <w:top w:val="nil"/>
                    <w:left w:val="nil"/>
                    <w:bottom w:val="nil"/>
                    <w:right w:val="single" w:color="auto" w:sz="4" w:space="0"/>
                  </w:tcBorders>
                </w:tcPr>
                <w:p w:rsidRPr="002D5FF3" w:rsidR="00146A83" w:rsidP="008D63AD" w:rsidRDefault="00146A83" w14:paraId="5241713A" w14:textId="77777777">
                  <w:pPr>
                    <w:jc w:val="center"/>
                    <w:rPr>
                      <w:b/>
                    </w:rPr>
                  </w:pPr>
                </w:p>
              </w:tc>
              <w:tc>
                <w:tcPr>
                  <w:tcW w:w="6143" w:type="dxa"/>
                  <w:gridSpan w:val="3"/>
                  <w:tcBorders>
                    <w:left w:val="single" w:color="auto" w:sz="4" w:space="0"/>
                  </w:tcBorders>
                  <w:shd w:val="clear" w:color="auto" w:fill="D9D9D9" w:themeFill="background1" w:themeFillShade="D9"/>
                </w:tcPr>
                <w:p w:rsidRPr="002D5FF3" w:rsidR="00146A83" w:rsidP="008D63AD" w:rsidRDefault="00146A83" w14:paraId="7D317ABF" w14:textId="1A5B645E">
                  <w:pPr>
                    <w:jc w:val="center"/>
                    <w:rPr>
                      <w:b/>
                    </w:rPr>
                  </w:pPr>
                  <w:r w:rsidRPr="002D5FF3">
                    <w:rPr>
                      <w:b/>
                    </w:rPr>
                    <w:t>Number of Respondents</w:t>
                  </w:r>
                  <w:r w:rsidRPr="002D5FF3" w:rsidR="00E84E03">
                    <w:rPr>
                      <w:b/>
                    </w:rPr>
                    <w:t xml:space="preserve"> (Summary)</w:t>
                  </w:r>
                </w:p>
              </w:tc>
            </w:tr>
            <w:tr w:rsidRPr="004869E2" w:rsidR="008D63AD" w:rsidTr="00146A83" w14:paraId="52CB4109" w14:textId="77777777">
              <w:tc>
                <w:tcPr>
                  <w:tcW w:w="1687" w:type="dxa"/>
                  <w:tcBorders>
                    <w:top w:val="nil"/>
                    <w:left w:val="nil"/>
                    <w:bottom w:val="single" w:color="auto" w:sz="4" w:space="0"/>
                    <w:right w:val="single" w:color="auto" w:sz="4" w:space="0"/>
                  </w:tcBorders>
                </w:tcPr>
                <w:p w:rsidRPr="002D5FF3" w:rsidR="008D63AD" w:rsidP="008D63AD" w:rsidRDefault="008D63AD" w14:paraId="2027C34C" w14:textId="77777777">
                  <w:pPr>
                    <w:jc w:val="center"/>
                    <w:rPr>
                      <w:b/>
                    </w:rPr>
                  </w:pPr>
                </w:p>
              </w:tc>
              <w:tc>
                <w:tcPr>
                  <w:tcW w:w="1720" w:type="dxa"/>
                  <w:tcBorders>
                    <w:left w:val="single" w:color="auto" w:sz="4" w:space="0"/>
                  </w:tcBorders>
                  <w:shd w:val="clear" w:color="auto" w:fill="DBE5F1" w:themeFill="accent1" w:themeFillTint="33"/>
                </w:tcPr>
                <w:p w:rsidRPr="002D5FF3" w:rsidR="008D63AD" w:rsidP="008D63AD" w:rsidRDefault="008D63AD" w14:paraId="307BF3A2" w14:textId="77777777">
                  <w:pPr>
                    <w:jc w:val="center"/>
                    <w:rPr>
                      <w:b/>
                    </w:rPr>
                  </w:pPr>
                  <w:r w:rsidRPr="002D5FF3">
                    <w:rPr>
                      <w:b/>
                    </w:rPr>
                    <w:t>Initiation</w:t>
                  </w:r>
                </w:p>
              </w:tc>
              <w:tc>
                <w:tcPr>
                  <w:tcW w:w="1730" w:type="dxa"/>
                  <w:shd w:val="clear" w:color="auto" w:fill="DBE5F1" w:themeFill="accent1" w:themeFillTint="33"/>
                </w:tcPr>
                <w:p w:rsidRPr="002D5FF3" w:rsidR="008D63AD" w:rsidP="008D63AD" w:rsidRDefault="008D63AD" w14:paraId="1E3E4A19" w14:textId="77777777">
                  <w:pPr>
                    <w:jc w:val="center"/>
                    <w:rPr>
                      <w:b/>
                    </w:rPr>
                  </w:pPr>
                  <w:r w:rsidRPr="002D5FF3">
                    <w:rPr>
                      <w:b/>
                    </w:rPr>
                    <w:t>Repricing</w:t>
                  </w:r>
                </w:p>
              </w:tc>
              <w:tc>
                <w:tcPr>
                  <w:tcW w:w="2693" w:type="dxa"/>
                  <w:shd w:val="clear" w:color="auto" w:fill="DBE5F1" w:themeFill="accent1" w:themeFillTint="33"/>
                </w:tcPr>
                <w:p w:rsidRPr="002D5FF3" w:rsidR="008D63AD" w:rsidP="008D63AD" w:rsidRDefault="008D63AD" w14:paraId="56AD560E" w14:textId="77777777">
                  <w:pPr>
                    <w:jc w:val="center"/>
                    <w:rPr>
                      <w:b/>
                    </w:rPr>
                  </w:pPr>
                  <w:r w:rsidRPr="002D5FF3">
                    <w:rPr>
                      <w:b/>
                    </w:rPr>
                    <w:t>Initiation + Repricing</w:t>
                  </w:r>
                </w:p>
              </w:tc>
            </w:tr>
            <w:tr w:rsidRPr="004869E2" w:rsidR="00AC2654" w:rsidTr="00146E00" w14:paraId="7DBF2E27" w14:textId="77777777">
              <w:tc>
                <w:tcPr>
                  <w:tcW w:w="1687" w:type="dxa"/>
                  <w:shd w:val="clear" w:color="auto" w:fill="auto"/>
                </w:tcPr>
                <w:p w:rsidRPr="002D5FF3" w:rsidR="00AC2654" w:rsidP="00AC2654" w:rsidRDefault="00AC2654" w14:paraId="672E0182" w14:textId="18841E50">
                  <w:pPr>
                    <w:jc w:val="center"/>
                  </w:pPr>
                  <w:r w:rsidRPr="002D5FF3">
                    <w:t>Exports</w:t>
                  </w:r>
                </w:p>
              </w:tc>
              <w:tc>
                <w:tcPr>
                  <w:tcW w:w="1720" w:type="dxa"/>
                </w:tcPr>
                <w:p w:rsidRPr="002D5FF3" w:rsidR="00AC2654" w:rsidP="0010403A" w:rsidRDefault="00913278" w14:paraId="6AFCC9D1" w14:textId="14B35742">
                  <w:pPr>
                    <w:jc w:val="right"/>
                  </w:pPr>
                  <w:r w:rsidRPr="002D5FF3">
                    <w:t>900</w:t>
                  </w:r>
                </w:p>
              </w:tc>
              <w:tc>
                <w:tcPr>
                  <w:tcW w:w="1730" w:type="dxa"/>
                </w:tcPr>
                <w:p w:rsidRPr="002D5FF3" w:rsidR="00AC2654" w:rsidP="0010403A" w:rsidRDefault="00913278" w14:paraId="7ED73ED9" w14:textId="44E605D1">
                  <w:pPr>
                    <w:jc w:val="right"/>
                  </w:pPr>
                  <w:r w:rsidRPr="002D5FF3">
                    <w:t>1500</w:t>
                  </w:r>
                </w:p>
              </w:tc>
              <w:tc>
                <w:tcPr>
                  <w:tcW w:w="2693" w:type="dxa"/>
                </w:tcPr>
                <w:p w:rsidRPr="002D5FF3" w:rsidR="00AC2654" w:rsidP="0010403A" w:rsidRDefault="00913278" w14:paraId="229308A4" w14:textId="0CE5B7CD">
                  <w:pPr>
                    <w:jc w:val="right"/>
                  </w:pPr>
                  <w:r w:rsidRPr="002D5FF3">
                    <w:t>2400</w:t>
                  </w:r>
                </w:p>
              </w:tc>
            </w:tr>
            <w:tr w:rsidRPr="004869E2" w:rsidR="008D63AD" w:rsidTr="00926EA3" w14:paraId="775E7D4C" w14:textId="77777777">
              <w:tc>
                <w:tcPr>
                  <w:tcW w:w="1687" w:type="dxa"/>
                  <w:tcBorders>
                    <w:top w:val="single" w:color="auto" w:sz="4" w:space="0"/>
                  </w:tcBorders>
                  <w:shd w:val="clear" w:color="auto" w:fill="auto"/>
                </w:tcPr>
                <w:p w:rsidRPr="002D5FF3" w:rsidR="008D63AD" w:rsidP="008D63AD" w:rsidRDefault="008D63AD" w14:paraId="5A8AC9F7" w14:textId="77777777">
                  <w:pPr>
                    <w:jc w:val="center"/>
                  </w:pPr>
                  <w:r w:rsidRPr="002D5FF3">
                    <w:t>Imports</w:t>
                  </w:r>
                </w:p>
              </w:tc>
              <w:tc>
                <w:tcPr>
                  <w:tcW w:w="1720" w:type="dxa"/>
                </w:tcPr>
                <w:p w:rsidRPr="002D5FF3" w:rsidR="008D63AD" w:rsidP="0010403A" w:rsidRDefault="00913278" w14:paraId="1972DE73" w14:textId="5EB03356">
                  <w:pPr>
                    <w:jc w:val="right"/>
                  </w:pPr>
                  <w:r w:rsidRPr="002D5FF3">
                    <w:t>13</w:t>
                  </w:r>
                  <w:r w:rsidRPr="002D5FF3" w:rsidR="00F84450">
                    <w:t>00</w:t>
                  </w:r>
                </w:p>
              </w:tc>
              <w:tc>
                <w:tcPr>
                  <w:tcW w:w="1730" w:type="dxa"/>
                </w:tcPr>
                <w:p w:rsidRPr="002D5FF3" w:rsidR="008D63AD" w:rsidP="0010403A" w:rsidRDefault="00913278" w14:paraId="66CCB3D2" w14:textId="2EB1B391">
                  <w:pPr>
                    <w:jc w:val="right"/>
                  </w:pPr>
                  <w:r w:rsidRPr="002D5FF3">
                    <w:t>2350</w:t>
                  </w:r>
                </w:p>
              </w:tc>
              <w:tc>
                <w:tcPr>
                  <w:tcW w:w="2693" w:type="dxa"/>
                </w:tcPr>
                <w:p w:rsidRPr="002D5FF3" w:rsidR="008D63AD" w:rsidP="0010403A" w:rsidRDefault="00913278" w14:paraId="561B7B85" w14:textId="2CA171D7">
                  <w:pPr>
                    <w:jc w:val="right"/>
                  </w:pPr>
                  <w:r w:rsidRPr="002D5FF3">
                    <w:t>3650</w:t>
                  </w:r>
                </w:p>
              </w:tc>
            </w:tr>
            <w:tr w:rsidRPr="004869E2" w:rsidR="008D63AD" w:rsidTr="00926EA3" w14:paraId="35602930" w14:textId="77777777">
              <w:tc>
                <w:tcPr>
                  <w:tcW w:w="1687" w:type="dxa"/>
                  <w:shd w:val="clear" w:color="auto" w:fill="auto"/>
                </w:tcPr>
                <w:p w:rsidRPr="002D5FF3" w:rsidR="008D63AD" w:rsidP="008D63AD" w:rsidRDefault="008D63AD" w14:paraId="4C970818" w14:textId="77777777">
                  <w:pPr>
                    <w:jc w:val="center"/>
                  </w:pPr>
                  <w:r w:rsidRPr="002D5FF3">
                    <w:t>Total</w:t>
                  </w:r>
                </w:p>
              </w:tc>
              <w:tc>
                <w:tcPr>
                  <w:tcW w:w="1720" w:type="dxa"/>
                </w:tcPr>
                <w:p w:rsidRPr="002D5FF3" w:rsidR="008D63AD" w:rsidP="0010403A" w:rsidRDefault="00913278" w14:paraId="591E669F" w14:textId="421D384A">
                  <w:pPr>
                    <w:jc w:val="right"/>
                  </w:pPr>
                  <w:r w:rsidRPr="002D5FF3">
                    <w:t>2200</w:t>
                  </w:r>
                </w:p>
              </w:tc>
              <w:tc>
                <w:tcPr>
                  <w:tcW w:w="1730" w:type="dxa"/>
                </w:tcPr>
                <w:p w:rsidRPr="002D5FF3" w:rsidR="008D63AD" w:rsidP="0010403A" w:rsidRDefault="00913278" w14:paraId="7E53BCCC" w14:textId="7C0ADA06">
                  <w:pPr>
                    <w:jc w:val="right"/>
                  </w:pPr>
                  <w:r w:rsidRPr="002D5FF3">
                    <w:t>3850</w:t>
                  </w:r>
                </w:p>
              </w:tc>
              <w:tc>
                <w:tcPr>
                  <w:tcW w:w="2693" w:type="dxa"/>
                </w:tcPr>
                <w:p w:rsidRPr="002D5FF3" w:rsidR="008D63AD" w:rsidP="0010403A" w:rsidRDefault="00913278" w14:paraId="6D7ED28C" w14:textId="32A179FB">
                  <w:pPr>
                    <w:jc w:val="right"/>
                  </w:pPr>
                  <w:r w:rsidRPr="002D5FF3">
                    <w:t>6050</w:t>
                  </w:r>
                </w:p>
              </w:tc>
            </w:tr>
          </w:tbl>
          <w:p w:rsidRPr="002D5FF3" w:rsidR="008D63AD" w:rsidP="00791741" w:rsidRDefault="008D63AD" w14:paraId="0ACD9A53" w14:textId="77777777">
            <w:pPr>
              <w:rPr>
                <w:u w:val="single"/>
              </w:rPr>
            </w:pPr>
          </w:p>
          <w:p w:rsidRPr="002D5FF3" w:rsidR="008D63AD" w:rsidP="00791741" w:rsidRDefault="008D63AD" w14:paraId="0B7F9B71" w14:textId="77777777">
            <w:pPr>
              <w:rPr>
                <w:u w:val="single"/>
              </w:rPr>
            </w:pPr>
          </w:p>
        </w:tc>
      </w:tr>
      <w:tr w:rsidRPr="004869E2" w:rsidR="00024B9F" w:rsidTr="00DF23AB" w14:paraId="67577C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3C263E80" w14:textId="77777777"/>
        </w:tc>
        <w:tc>
          <w:tcPr>
            <w:tcW w:w="1726" w:type="dxa"/>
            <w:gridSpan w:val="3"/>
            <w:tcBorders>
              <w:top w:val="nil"/>
              <w:left w:val="nil"/>
              <w:bottom w:val="nil"/>
              <w:right w:val="nil"/>
            </w:tcBorders>
          </w:tcPr>
          <w:p w:rsidRPr="002D5FF3" w:rsidR="00024B9F" w:rsidP="008D63AD" w:rsidRDefault="00024B9F" w14:paraId="22388CEB" w14:textId="77777777">
            <w:pPr>
              <w:jc w:val="center"/>
              <w:rPr>
                <w:b/>
              </w:rPr>
            </w:pPr>
          </w:p>
        </w:tc>
        <w:tc>
          <w:tcPr>
            <w:tcW w:w="1582" w:type="dxa"/>
            <w:gridSpan w:val="3"/>
            <w:tcBorders>
              <w:top w:val="nil"/>
              <w:left w:val="nil"/>
              <w:bottom w:val="nil"/>
              <w:right w:val="nil"/>
            </w:tcBorders>
          </w:tcPr>
          <w:p w:rsidRPr="002D5FF3" w:rsidR="00024B9F" w:rsidP="00791741" w:rsidRDefault="00024B9F" w14:paraId="6E82D3BB" w14:textId="77777777">
            <w:pPr>
              <w:rPr>
                <w:b/>
              </w:rPr>
            </w:pPr>
          </w:p>
        </w:tc>
        <w:tc>
          <w:tcPr>
            <w:tcW w:w="1608" w:type="dxa"/>
            <w:gridSpan w:val="3"/>
            <w:tcBorders>
              <w:top w:val="nil"/>
              <w:left w:val="nil"/>
              <w:bottom w:val="nil"/>
              <w:right w:val="nil"/>
            </w:tcBorders>
          </w:tcPr>
          <w:p w:rsidRPr="002D5FF3" w:rsidR="00024B9F" w:rsidP="00791741" w:rsidRDefault="00024B9F" w14:paraId="2C01AE43" w14:textId="77777777">
            <w:pPr>
              <w:rPr>
                <w:b/>
              </w:rPr>
            </w:pPr>
          </w:p>
        </w:tc>
        <w:tc>
          <w:tcPr>
            <w:tcW w:w="1547" w:type="dxa"/>
            <w:gridSpan w:val="3"/>
            <w:tcBorders>
              <w:top w:val="nil"/>
              <w:left w:val="nil"/>
              <w:bottom w:val="nil"/>
              <w:right w:val="nil"/>
            </w:tcBorders>
          </w:tcPr>
          <w:p w:rsidRPr="002D5FF3" w:rsidR="00024B9F" w:rsidP="00791741" w:rsidRDefault="00024B9F" w14:paraId="57870798" w14:textId="77777777">
            <w:pPr>
              <w:rPr>
                <w:b/>
              </w:rPr>
            </w:pPr>
          </w:p>
        </w:tc>
        <w:tc>
          <w:tcPr>
            <w:tcW w:w="1446" w:type="dxa"/>
            <w:gridSpan w:val="3"/>
            <w:tcBorders>
              <w:top w:val="nil"/>
              <w:left w:val="nil"/>
              <w:bottom w:val="nil"/>
              <w:right w:val="nil"/>
            </w:tcBorders>
          </w:tcPr>
          <w:p w:rsidRPr="002D5FF3" w:rsidR="00024B9F" w:rsidP="00791741" w:rsidRDefault="00024B9F" w14:paraId="723B4874" w14:textId="77777777">
            <w:pPr>
              <w:rPr>
                <w:b/>
              </w:rPr>
            </w:pPr>
          </w:p>
        </w:tc>
      </w:tr>
      <w:tr w:rsidRPr="004869E2" w:rsidR="00024B9F" w:rsidTr="00DF23AB" w14:paraId="61421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2240FC4A" w14:textId="77777777"/>
        </w:tc>
        <w:tc>
          <w:tcPr>
            <w:tcW w:w="1726" w:type="dxa"/>
            <w:gridSpan w:val="3"/>
            <w:tcBorders>
              <w:top w:val="nil"/>
              <w:left w:val="nil"/>
              <w:bottom w:val="nil"/>
              <w:right w:val="nil"/>
            </w:tcBorders>
          </w:tcPr>
          <w:p w:rsidRPr="002D5FF3" w:rsidR="00024B9F" w:rsidP="00791741" w:rsidRDefault="00024B9F" w14:paraId="321B6C9D" w14:textId="77777777">
            <w:pPr>
              <w:rPr>
                <w:b/>
              </w:rPr>
            </w:pPr>
          </w:p>
        </w:tc>
        <w:tc>
          <w:tcPr>
            <w:tcW w:w="1582" w:type="dxa"/>
            <w:gridSpan w:val="3"/>
            <w:tcBorders>
              <w:top w:val="nil"/>
              <w:left w:val="nil"/>
              <w:bottom w:val="nil"/>
              <w:right w:val="nil"/>
            </w:tcBorders>
          </w:tcPr>
          <w:p w:rsidRPr="002D5FF3" w:rsidR="00024B9F" w:rsidP="00791741" w:rsidRDefault="00024B9F" w14:paraId="612292AF" w14:textId="77777777">
            <w:pPr>
              <w:rPr>
                <w:b/>
              </w:rPr>
            </w:pPr>
          </w:p>
        </w:tc>
        <w:tc>
          <w:tcPr>
            <w:tcW w:w="1608" w:type="dxa"/>
            <w:gridSpan w:val="3"/>
            <w:tcBorders>
              <w:top w:val="nil"/>
              <w:left w:val="nil"/>
              <w:bottom w:val="nil"/>
              <w:right w:val="nil"/>
            </w:tcBorders>
          </w:tcPr>
          <w:p w:rsidRPr="002D5FF3" w:rsidR="00024B9F" w:rsidP="00791741" w:rsidRDefault="00024B9F" w14:paraId="066220A4" w14:textId="77777777">
            <w:pPr>
              <w:rPr>
                <w:b/>
              </w:rPr>
            </w:pPr>
          </w:p>
        </w:tc>
        <w:tc>
          <w:tcPr>
            <w:tcW w:w="1547" w:type="dxa"/>
            <w:gridSpan w:val="3"/>
            <w:tcBorders>
              <w:top w:val="nil"/>
              <w:left w:val="nil"/>
              <w:bottom w:val="nil"/>
              <w:right w:val="nil"/>
            </w:tcBorders>
          </w:tcPr>
          <w:p w:rsidRPr="002D5FF3" w:rsidR="00024B9F" w:rsidP="00791741" w:rsidRDefault="00024B9F" w14:paraId="7D8AD79D" w14:textId="77777777">
            <w:pPr>
              <w:rPr>
                <w:b/>
              </w:rPr>
            </w:pPr>
          </w:p>
        </w:tc>
        <w:tc>
          <w:tcPr>
            <w:tcW w:w="1446" w:type="dxa"/>
            <w:gridSpan w:val="3"/>
            <w:tcBorders>
              <w:top w:val="nil"/>
              <w:left w:val="nil"/>
              <w:bottom w:val="nil"/>
              <w:right w:val="nil"/>
            </w:tcBorders>
          </w:tcPr>
          <w:p w:rsidRPr="002D5FF3" w:rsidR="00024B9F" w:rsidP="00791741" w:rsidRDefault="00024B9F" w14:paraId="527EB066" w14:textId="77777777">
            <w:pPr>
              <w:rPr>
                <w:b/>
              </w:rPr>
            </w:pPr>
          </w:p>
        </w:tc>
      </w:tr>
      <w:tr w:rsidRPr="004869E2" w:rsidR="00024B9F" w:rsidTr="00DF23AB" w14:paraId="5DA636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3F88251B" w14:textId="77777777"/>
        </w:tc>
        <w:tc>
          <w:tcPr>
            <w:tcW w:w="1726" w:type="dxa"/>
            <w:gridSpan w:val="3"/>
            <w:tcBorders>
              <w:top w:val="nil"/>
              <w:left w:val="nil"/>
              <w:bottom w:val="nil"/>
              <w:right w:val="nil"/>
            </w:tcBorders>
          </w:tcPr>
          <w:p w:rsidRPr="002D5FF3" w:rsidR="00024B9F" w:rsidP="00791741" w:rsidRDefault="00024B9F" w14:paraId="6504451D" w14:textId="77777777">
            <w:pPr>
              <w:rPr>
                <w:b/>
              </w:rPr>
            </w:pPr>
          </w:p>
        </w:tc>
        <w:tc>
          <w:tcPr>
            <w:tcW w:w="1582" w:type="dxa"/>
            <w:gridSpan w:val="3"/>
            <w:tcBorders>
              <w:top w:val="nil"/>
              <w:left w:val="nil"/>
              <w:bottom w:val="nil"/>
              <w:right w:val="nil"/>
            </w:tcBorders>
          </w:tcPr>
          <w:p w:rsidRPr="002D5FF3" w:rsidR="00024B9F" w:rsidP="00791741" w:rsidRDefault="00024B9F" w14:paraId="6FDC4E3C" w14:textId="77777777">
            <w:pPr>
              <w:rPr>
                <w:b/>
              </w:rPr>
            </w:pPr>
          </w:p>
        </w:tc>
        <w:tc>
          <w:tcPr>
            <w:tcW w:w="1608" w:type="dxa"/>
            <w:gridSpan w:val="3"/>
            <w:tcBorders>
              <w:top w:val="nil"/>
              <w:left w:val="nil"/>
              <w:bottom w:val="nil"/>
              <w:right w:val="nil"/>
            </w:tcBorders>
          </w:tcPr>
          <w:p w:rsidRPr="002D5FF3" w:rsidR="00024B9F" w:rsidP="00791741" w:rsidRDefault="00024B9F" w14:paraId="71B258CB" w14:textId="77777777">
            <w:pPr>
              <w:rPr>
                <w:b/>
              </w:rPr>
            </w:pPr>
          </w:p>
        </w:tc>
        <w:tc>
          <w:tcPr>
            <w:tcW w:w="1547" w:type="dxa"/>
            <w:gridSpan w:val="3"/>
            <w:tcBorders>
              <w:top w:val="nil"/>
              <w:left w:val="nil"/>
              <w:bottom w:val="nil"/>
              <w:right w:val="nil"/>
            </w:tcBorders>
          </w:tcPr>
          <w:p w:rsidRPr="002D5FF3" w:rsidR="00024B9F" w:rsidP="00791741" w:rsidRDefault="00024B9F" w14:paraId="62054D78" w14:textId="77777777">
            <w:pPr>
              <w:rPr>
                <w:b/>
              </w:rPr>
            </w:pPr>
          </w:p>
        </w:tc>
        <w:tc>
          <w:tcPr>
            <w:tcW w:w="1446" w:type="dxa"/>
            <w:gridSpan w:val="3"/>
            <w:tcBorders>
              <w:top w:val="nil"/>
              <w:left w:val="nil"/>
              <w:bottom w:val="nil"/>
              <w:right w:val="nil"/>
            </w:tcBorders>
          </w:tcPr>
          <w:p w:rsidRPr="002D5FF3" w:rsidR="00024B9F" w:rsidP="00791741" w:rsidRDefault="00024B9F" w14:paraId="0079D9D3" w14:textId="77777777">
            <w:pPr>
              <w:rPr>
                <w:b/>
              </w:rPr>
            </w:pPr>
          </w:p>
        </w:tc>
      </w:tr>
      <w:tr w:rsidRPr="004869E2" w:rsidR="00024B9F" w:rsidTr="00DF23AB" w14:paraId="72B0AE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4C7F7468" w14:textId="77777777"/>
        </w:tc>
        <w:tc>
          <w:tcPr>
            <w:tcW w:w="1726" w:type="dxa"/>
            <w:gridSpan w:val="3"/>
            <w:tcBorders>
              <w:top w:val="nil"/>
              <w:left w:val="nil"/>
              <w:bottom w:val="nil"/>
              <w:right w:val="nil"/>
            </w:tcBorders>
          </w:tcPr>
          <w:p w:rsidRPr="002D5FF3" w:rsidR="00024B9F" w:rsidP="00791741" w:rsidRDefault="00024B9F" w14:paraId="50A1A60D" w14:textId="77777777">
            <w:pPr>
              <w:rPr>
                <w:b/>
              </w:rPr>
            </w:pPr>
          </w:p>
        </w:tc>
        <w:tc>
          <w:tcPr>
            <w:tcW w:w="1582" w:type="dxa"/>
            <w:gridSpan w:val="3"/>
            <w:tcBorders>
              <w:top w:val="nil"/>
              <w:left w:val="nil"/>
              <w:bottom w:val="nil"/>
              <w:right w:val="nil"/>
            </w:tcBorders>
          </w:tcPr>
          <w:p w:rsidRPr="002D5FF3" w:rsidR="00024B9F" w:rsidP="00791741" w:rsidRDefault="00024B9F" w14:paraId="646C2C9E" w14:textId="77777777">
            <w:pPr>
              <w:rPr>
                <w:b/>
              </w:rPr>
            </w:pPr>
          </w:p>
        </w:tc>
        <w:tc>
          <w:tcPr>
            <w:tcW w:w="1608" w:type="dxa"/>
            <w:gridSpan w:val="3"/>
            <w:tcBorders>
              <w:top w:val="nil"/>
              <w:left w:val="nil"/>
              <w:bottom w:val="nil"/>
              <w:right w:val="nil"/>
            </w:tcBorders>
          </w:tcPr>
          <w:p w:rsidRPr="002D5FF3" w:rsidR="00024B9F" w:rsidP="00791741" w:rsidRDefault="00024B9F" w14:paraId="24F898D2" w14:textId="77777777">
            <w:pPr>
              <w:rPr>
                <w:b/>
              </w:rPr>
            </w:pPr>
          </w:p>
        </w:tc>
        <w:tc>
          <w:tcPr>
            <w:tcW w:w="1547" w:type="dxa"/>
            <w:gridSpan w:val="3"/>
            <w:tcBorders>
              <w:top w:val="nil"/>
              <w:left w:val="nil"/>
              <w:bottom w:val="nil"/>
              <w:right w:val="nil"/>
            </w:tcBorders>
          </w:tcPr>
          <w:p w:rsidRPr="002D5FF3" w:rsidR="00024B9F" w:rsidP="00791741" w:rsidRDefault="00024B9F" w14:paraId="700B6795" w14:textId="77777777">
            <w:pPr>
              <w:rPr>
                <w:b/>
              </w:rPr>
            </w:pPr>
          </w:p>
        </w:tc>
        <w:tc>
          <w:tcPr>
            <w:tcW w:w="1446" w:type="dxa"/>
            <w:gridSpan w:val="3"/>
            <w:tcBorders>
              <w:top w:val="nil"/>
              <w:left w:val="nil"/>
              <w:bottom w:val="nil"/>
              <w:right w:val="nil"/>
            </w:tcBorders>
          </w:tcPr>
          <w:p w:rsidRPr="002D5FF3" w:rsidR="00024B9F" w:rsidP="00791741" w:rsidRDefault="00024B9F" w14:paraId="0091C149" w14:textId="77777777">
            <w:pPr>
              <w:rPr>
                <w:b/>
              </w:rPr>
            </w:pPr>
          </w:p>
        </w:tc>
      </w:tr>
      <w:tr w:rsidRPr="004869E2" w:rsidR="00024B9F" w:rsidTr="00DF23AB" w14:paraId="6B54EB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7F1A28A3" w14:textId="77777777"/>
        </w:tc>
        <w:tc>
          <w:tcPr>
            <w:tcW w:w="1726" w:type="dxa"/>
            <w:gridSpan w:val="3"/>
            <w:tcBorders>
              <w:top w:val="nil"/>
              <w:left w:val="nil"/>
              <w:bottom w:val="nil"/>
              <w:right w:val="nil"/>
            </w:tcBorders>
          </w:tcPr>
          <w:p w:rsidRPr="002D5FF3" w:rsidR="00024B9F" w:rsidP="00791741" w:rsidRDefault="00024B9F" w14:paraId="2995FAF7" w14:textId="77777777">
            <w:pPr>
              <w:rPr>
                <w:b/>
              </w:rPr>
            </w:pPr>
          </w:p>
        </w:tc>
        <w:tc>
          <w:tcPr>
            <w:tcW w:w="1582" w:type="dxa"/>
            <w:gridSpan w:val="3"/>
            <w:tcBorders>
              <w:top w:val="nil"/>
              <w:left w:val="nil"/>
              <w:bottom w:val="nil"/>
              <w:right w:val="nil"/>
            </w:tcBorders>
          </w:tcPr>
          <w:p w:rsidRPr="002D5FF3" w:rsidR="00024B9F" w:rsidP="00791741" w:rsidRDefault="00024B9F" w14:paraId="79C9920B" w14:textId="77777777">
            <w:pPr>
              <w:rPr>
                <w:b/>
              </w:rPr>
            </w:pPr>
          </w:p>
        </w:tc>
        <w:tc>
          <w:tcPr>
            <w:tcW w:w="1608" w:type="dxa"/>
            <w:gridSpan w:val="3"/>
            <w:tcBorders>
              <w:top w:val="nil"/>
              <w:left w:val="nil"/>
              <w:bottom w:val="nil"/>
              <w:right w:val="nil"/>
            </w:tcBorders>
          </w:tcPr>
          <w:p w:rsidRPr="002D5FF3" w:rsidR="00024B9F" w:rsidP="00791741" w:rsidRDefault="00024B9F" w14:paraId="44F4B8AA" w14:textId="77777777">
            <w:pPr>
              <w:rPr>
                <w:b/>
              </w:rPr>
            </w:pPr>
          </w:p>
        </w:tc>
        <w:tc>
          <w:tcPr>
            <w:tcW w:w="1547" w:type="dxa"/>
            <w:gridSpan w:val="3"/>
            <w:tcBorders>
              <w:top w:val="nil"/>
              <w:left w:val="nil"/>
              <w:bottom w:val="nil"/>
              <w:right w:val="nil"/>
            </w:tcBorders>
          </w:tcPr>
          <w:p w:rsidRPr="002D5FF3" w:rsidR="00024B9F" w:rsidP="00791741" w:rsidRDefault="00024B9F" w14:paraId="7B5D3795" w14:textId="77777777">
            <w:pPr>
              <w:rPr>
                <w:b/>
              </w:rPr>
            </w:pPr>
          </w:p>
        </w:tc>
        <w:tc>
          <w:tcPr>
            <w:tcW w:w="1446" w:type="dxa"/>
            <w:gridSpan w:val="3"/>
            <w:tcBorders>
              <w:top w:val="nil"/>
              <w:left w:val="nil"/>
              <w:bottom w:val="nil"/>
              <w:right w:val="nil"/>
            </w:tcBorders>
          </w:tcPr>
          <w:p w:rsidRPr="002D5FF3" w:rsidR="00024B9F" w:rsidP="00791741" w:rsidRDefault="00024B9F" w14:paraId="422A4990" w14:textId="77777777">
            <w:pPr>
              <w:rPr>
                <w:b/>
              </w:rPr>
            </w:pPr>
          </w:p>
        </w:tc>
      </w:tr>
      <w:tr w:rsidRPr="004869E2" w:rsidR="00024B9F" w:rsidTr="00DF23AB" w14:paraId="76B6C2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933" w:type="dxa"/>
        </w:trPr>
        <w:tc>
          <w:tcPr>
            <w:tcW w:w="1590" w:type="dxa"/>
            <w:gridSpan w:val="2"/>
            <w:tcBorders>
              <w:top w:val="nil"/>
              <w:left w:val="nil"/>
              <w:bottom w:val="nil"/>
              <w:right w:val="nil"/>
            </w:tcBorders>
          </w:tcPr>
          <w:p w:rsidRPr="002D5FF3" w:rsidR="00024B9F" w:rsidP="00791741" w:rsidRDefault="00024B9F" w14:paraId="33E17DC6" w14:textId="77777777"/>
        </w:tc>
        <w:tc>
          <w:tcPr>
            <w:tcW w:w="1726" w:type="dxa"/>
            <w:gridSpan w:val="3"/>
            <w:tcBorders>
              <w:top w:val="nil"/>
              <w:left w:val="nil"/>
              <w:bottom w:val="nil"/>
              <w:right w:val="nil"/>
            </w:tcBorders>
          </w:tcPr>
          <w:p w:rsidRPr="002D5FF3" w:rsidR="00024B9F" w:rsidP="00791741" w:rsidRDefault="00024B9F" w14:paraId="6CA2E493" w14:textId="77777777">
            <w:pPr>
              <w:rPr>
                <w:b/>
              </w:rPr>
            </w:pPr>
          </w:p>
        </w:tc>
        <w:tc>
          <w:tcPr>
            <w:tcW w:w="1582" w:type="dxa"/>
            <w:gridSpan w:val="3"/>
            <w:tcBorders>
              <w:top w:val="nil"/>
              <w:left w:val="nil"/>
              <w:bottom w:val="nil"/>
              <w:right w:val="nil"/>
            </w:tcBorders>
          </w:tcPr>
          <w:p w:rsidRPr="002D5FF3" w:rsidR="00024B9F" w:rsidP="00791741" w:rsidRDefault="00024B9F" w14:paraId="4027DED4" w14:textId="77777777">
            <w:pPr>
              <w:rPr>
                <w:b/>
              </w:rPr>
            </w:pPr>
          </w:p>
        </w:tc>
        <w:tc>
          <w:tcPr>
            <w:tcW w:w="1608" w:type="dxa"/>
            <w:gridSpan w:val="3"/>
            <w:tcBorders>
              <w:top w:val="nil"/>
              <w:left w:val="nil"/>
              <w:bottom w:val="nil"/>
              <w:right w:val="nil"/>
            </w:tcBorders>
          </w:tcPr>
          <w:p w:rsidRPr="002D5FF3" w:rsidR="00024B9F" w:rsidP="00791741" w:rsidRDefault="00024B9F" w14:paraId="549C3591" w14:textId="77777777">
            <w:pPr>
              <w:rPr>
                <w:b/>
              </w:rPr>
            </w:pPr>
          </w:p>
        </w:tc>
        <w:tc>
          <w:tcPr>
            <w:tcW w:w="1547" w:type="dxa"/>
            <w:gridSpan w:val="3"/>
            <w:tcBorders>
              <w:top w:val="nil"/>
              <w:left w:val="nil"/>
              <w:bottom w:val="nil"/>
              <w:right w:val="nil"/>
            </w:tcBorders>
          </w:tcPr>
          <w:p w:rsidRPr="002D5FF3" w:rsidR="00024B9F" w:rsidP="00791741" w:rsidRDefault="00024B9F" w14:paraId="07BFF19E" w14:textId="77777777">
            <w:pPr>
              <w:rPr>
                <w:b/>
              </w:rPr>
            </w:pPr>
          </w:p>
        </w:tc>
        <w:tc>
          <w:tcPr>
            <w:tcW w:w="1446" w:type="dxa"/>
            <w:gridSpan w:val="3"/>
            <w:tcBorders>
              <w:top w:val="nil"/>
              <w:left w:val="nil"/>
              <w:bottom w:val="nil"/>
              <w:right w:val="nil"/>
            </w:tcBorders>
          </w:tcPr>
          <w:p w:rsidRPr="002D5FF3" w:rsidR="00024B9F" w:rsidP="00791741" w:rsidRDefault="00024B9F" w14:paraId="69A4EA20" w14:textId="77777777">
            <w:pPr>
              <w:rPr>
                <w:b/>
              </w:rPr>
            </w:pPr>
          </w:p>
        </w:tc>
      </w:tr>
      <w:tr w:rsidRPr="004869E2" w:rsidR="00024B9F" w:rsidTr="00DF23AB" w14:paraId="609ABF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3" w:type="dxa"/>
            <w:gridSpan w:val="14"/>
            <w:tcBorders>
              <w:top w:val="nil"/>
              <w:left w:val="nil"/>
              <w:bottom w:val="nil"/>
              <w:right w:val="nil"/>
            </w:tcBorders>
          </w:tcPr>
          <w:tbl>
            <w:tblPr>
              <w:tblStyle w:val="TableGrid"/>
              <w:tblpPr w:leftFromText="180" w:rightFromText="180" w:vertAnchor="text" w:horzAnchor="margin" w:tblpXSpec="center" w:tblpY="194"/>
              <w:tblOverlap w:val="never"/>
              <w:tblW w:w="7830" w:type="dxa"/>
              <w:tblLook w:val="04A0" w:firstRow="1" w:lastRow="0" w:firstColumn="1" w:lastColumn="0" w:noHBand="0" w:noVBand="1"/>
            </w:tblPr>
            <w:tblGrid>
              <w:gridCol w:w="1687"/>
              <w:gridCol w:w="1720"/>
              <w:gridCol w:w="1730"/>
              <w:gridCol w:w="2693"/>
            </w:tblGrid>
            <w:tr w:rsidRPr="004869E2" w:rsidR="00DF23AB" w:rsidTr="00E248CA" w14:paraId="1FDEB363" w14:textId="77777777">
              <w:tc>
                <w:tcPr>
                  <w:tcW w:w="1687" w:type="dxa"/>
                  <w:tcBorders>
                    <w:top w:val="nil"/>
                    <w:left w:val="nil"/>
                    <w:bottom w:val="nil"/>
                    <w:right w:val="single" w:color="auto" w:sz="4" w:space="0"/>
                  </w:tcBorders>
                </w:tcPr>
                <w:p w:rsidRPr="002D5FF3" w:rsidR="00DF23AB" w:rsidP="00DF23AB" w:rsidRDefault="00DF23AB" w14:paraId="719BE096" w14:textId="77777777">
                  <w:pPr>
                    <w:jc w:val="center"/>
                    <w:rPr>
                      <w:b/>
                    </w:rPr>
                  </w:pPr>
                </w:p>
              </w:tc>
              <w:tc>
                <w:tcPr>
                  <w:tcW w:w="6143" w:type="dxa"/>
                  <w:gridSpan w:val="3"/>
                  <w:tcBorders>
                    <w:left w:val="single" w:color="auto" w:sz="4" w:space="0"/>
                  </w:tcBorders>
                  <w:shd w:val="clear" w:color="auto" w:fill="D9D9D9" w:themeFill="background1" w:themeFillShade="D9"/>
                </w:tcPr>
                <w:p w:rsidRPr="002D5FF3" w:rsidR="00DF23AB" w:rsidP="00DF23AB" w:rsidRDefault="00DF23AB" w14:paraId="0403C665" w14:textId="01967FAC">
                  <w:pPr>
                    <w:jc w:val="center"/>
                    <w:rPr>
                      <w:b/>
                    </w:rPr>
                  </w:pPr>
                  <w:r w:rsidRPr="002D5FF3">
                    <w:rPr>
                      <w:b/>
                    </w:rPr>
                    <w:t xml:space="preserve">Burden </w:t>
                  </w:r>
                  <w:r w:rsidR="00BF3744">
                    <w:rPr>
                      <w:b/>
                    </w:rPr>
                    <w:t xml:space="preserve">Hours </w:t>
                  </w:r>
                  <w:r w:rsidRPr="002D5FF3">
                    <w:rPr>
                      <w:b/>
                    </w:rPr>
                    <w:t>(Summary)</w:t>
                  </w:r>
                </w:p>
              </w:tc>
            </w:tr>
            <w:tr w:rsidRPr="004869E2" w:rsidR="00DF23AB" w:rsidTr="00E248CA" w14:paraId="5D6699C5" w14:textId="77777777">
              <w:tc>
                <w:tcPr>
                  <w:tcW w:w="1687" w:type="dxa"/>
                  <w:tcBorders>
                    <w:top w:val="nil"/>
                    <w:left w:val="nil"/>
                    <w:bottom w:val="single" w:color="auto" w:sz="4" w:space="0"/>
                    <w:right w:val="single" w:color="auto" w:sz="4" w:space="0"/>
                  </w:tcBorders>
                </w:tcPr>
                <w:p w:rsidRPr="002D5FF3" w:rsidR="00DF23AB" w:rsidP="00DF23AB" w:rsidRDefault="00DF23AB" w14:paraId="3D949443" w14:textId="77777777">
                  <w:pPr>
                    <w:jc w:val="center"/>
                    <w:rPr>
                      <w:b/>
                    </w:rPr>
                  </w:pPr>
                </w:p>
              </w:tc>
              <w:tc>
                <w:tcPr>
                  <w:tcW w:w="1720" w:type="dxa"/>
                  <w:tcBorders>
                    <w:left w:val="single" w:color="auto" w:sz="4" w:space="0"/>
                  </w:tcBorders>
                  <w:shd w:val="clear" w:color="auto" w:fill="DBE5F1" w:themeFill="accent1" w:themeFillTint="33"/>
                </w:tcPr>
                <w:p w:rsidRPr="002D5FF3" w:rsidR="00DF23AB" w:rsidP="00DF23AB" w:rsidRDefault="00DF23AB" w14:paraId="0808AA21" w14:textId="77777777">
                  <w:pPr>
                    <w:jc w:val="center"/>
                    <w:rPr>
                      <w:b/>
                    </w:rPr>
                  </w:pPr>
                  <w:r w:rsidRPr="002D5FF3">
                    <w:rPr>
                      <w:b/>
                    </w:rPr>
                    <w:t>Initiation</w:t>
                  </w:r>
                </w:p>
              </w:tc>
              <w:tc>
                <w:tcPr>
                  <w:tcW w:w="1730" w:type="dxa"/>
                  <w:shd w:val="clear" w:color="auto" w:fill="DBE5F1" w:themeFill="accent1" w:themeFillTint="33"/>
                </w:tcPr>
                <w:p w:rsidRPr="002D5FF3" w:rsidR="00DF23AB" w:rsidP="00DF23AB" w:rsidRDefault="00DF23AB" w14:paraId="4F737B05" w14:textId="77777777">
                  <w:pPr>
                    <w:jc w:val="center"/>
                    <w:rPr>
                      <w:b/>
                    </w:rPr>
                  </w:pPr>
                  <w:r w:rsidRPr="002D5FF3">
                    <w:rPr>
                      <w:b/>
                    </w:rPr>
                    <w:t>Repricing</w:t>
                  </w:r>
                </w:p>
              </w:tc>
              <w:tc>
                <w:tcPr>
                  <w:tcW w:w="2693" w:type="dxa"/>
                  <w:shd w:val="clear" w:color="auto" w:fill="DBE5F1" w:themeFill="accent1" w:themeFillTint="33"/>
                </w:tcPr>
                <w:p w:rsidRPr="002D5FF3" w:rsidR="00DF23AB" w:rsidP="00DF23AB" w:rsidRDefault="00DF23AB" w14:paraId="1C435027" w14:textId="77777777">
                  <w:pPr>
                    <w:jc w:val="center"/>
                    <w:rPr>
                      <w:b/>
                    </w:rPr>
                  </w:pPr>
                  <w:r w:rsidRPr="002D5FF3">
                    <w:rPr>
                      <w:b/>
                    </w:rPr>
                    <w:t>Initiation + Repricing</w:t>
                  </w:r>
                </w:p>
              </w:tc>
            </w:tr>
            <w:tr w:rsidRPr="004869E2" w:rsidR="00DF23AB" w:rsidTr="00E248CA" w14:paraId="4CD0BB98" w14:textId="77777777">
              <w:tc>
                <w:tcPr>
                  <w:tcW w:w="1687" w:type="dxa"/>
                  <w:shd w:val="clear" w:color="auto" w:fill="auto"/>
                </w:tcPr>
                <w:p w:rsidRPr="002D5FF3" w:rsidR="00DF23AB" w:rsidP="00DF23AB" w:rsidRDefault="00DF23AB" w14:paraId="4425FDD9" w14:textId="77777777">
                  <w:pPr>
                    <w:jc w:val="center"/>
                  </w:pPr>
                  <w:r w:rsidRPr="002D5FF3">
                    <w:t>Exports</w:t>
                  </w:r>
                </w:p>
              </w:tc>
              <w:tc>
                <w:tcPr>
                  <w:tcW w:w="1720" w:type="dxa"/>
                </w:tcPr>
                <w:p w:rsidRPr="002D5FF3" w:rsidR="00DF23AB" w:rsidP="0010403A" w:rsidRDefault="00913278" w14:paraId="00883B2A" w14:textId="55F89170">
                  <w:pPr>
                    <w:jc w:val="right"/>
                  </w:pPr>
                  <w:r w:rsidRPr="002D5FF3">
                    <w:t>900</w:t>
                  </w:r>
                </w:p>
              </w:tc>
              <w:tc>
                <w:tcPr>
                  <w:tcW w:w="1730" w:type="dxa"/>
                </w:tcPr>
                <w:p w:rsidRPr="002D5FF3" w:rsidR="00DF23AB" w:rsidP="0010403A" w:rsidRDefault="004F7863" w14:paraId="055258C2" w14:textId="2E84AFF5">
                  <w:pPr>
                    <w:jc w:val="right"/>
                  </w:pPr>
                  <w:r w:rsidRPr="002D5FF3">
                    <w:t>5838</w:t>
                  </w:r>
                </w:p>
              </w:tc>
              <w:tc>
                <w:tcPr>
                  <w:tcW w:w="2693" w:type="dxa"/>
                </w:tcPr>
                <w:p w:rsidRPr="002D5FF3" w:rsidR="00DF23AB" w:rsidP="0010403A" w:rsidRDefault="004F7863" w14:paraId="4323BB2E" w14:textId="28EAAB57">
                  <w:pPr>
                    <w:jc w:val="right"/>
                  </w:pPr>
                  <w:r w:rsidRPr="002D5FF3">
                    <w:t>6738</w:t>
                  </w:r>
                </w:p>
              </w:tc>
            </w:tr>
            <w:tr w:rsidRPr="004869E2" w:rsidR="00DF23AB" w:rsidTr="00E248CA" w14:paraId="0F8E7683" w14:textId="77777777">
              <w:tc>
                <w:tcPr>
                  <w:tcW w:w="1687" w:type="dxa"/>
                  <w:tcBorders>
                    <w:top w:val="single" w:color="auto" w:sz="4" w:space="0"/>
                  </w:tcBorders>
                  <w:shd w:val="clear" w:color="auto" w:fill="auto"/>
                </w:tcPr>
                <w:p w:rsidRPr="002D5FF3" w:rsidR="00DF23AB" w:rsidP="00DF23AB" w:rsidRDefault="00DF23AB" w14:paraId="7EB995AD" w14:textId="77777777">
                  <w:pPr>
                    <w:jc w:val="center"/>
                  </w:pPr>
                  <w:r w:rsidRPr="002D5FF3">
                    <w:t>Imports</w:t>
                  </w:r>
                </w:p>
              </w:tc>
              <w:tc>
                <w:tcPr>
                  <w:tcW w:w="1720" w:type="dxa"/>
                </w:tcPr>
                <w:p w:rsidRPr="002D5FF3" w:rsidR="00DF23AB" w:rsidP="0010403A" w:rsidRDefault="00913278" w14:paraId="30AFF76C" w14:textId="0C8F6693">
                  <w:pPr>
                    <w:jc w:val="right"/>
                  </w:pPr>
                  <w:r w:rsidRPr="002D5FF3">
                    <w:t>1300</w:t>
                  </w:r>
                </w:p>
              </w:tc>
              <w:tc>
                <w:tcPr>
                  <w:tcW w:w="1730" w:type="dxa"/>
                </w:tcPr>
                <w:p w:rsidRPr="002D5FF3" w:rsidR="00DF23AB" w:rsidP="0010403A" w:rsidRDefault="004F7863" w14:paraId="69B3C186" w14:textId="62EF12A6">
                  <w:pPr>
                    <w:jc w:val="right"/>
                  </w:pPr>
                  <w:r w:rsidRPr="002D5FF3">
                    <w:t>9794</w:t>
                  </w:r>
                </w:p>
              </w:tc>
              <w:tc>
                <w:tcPr>
                  <w:tcW w:w="2693" w:type="dxa"/>
                </w:tcPr>
                <w:p w:rsidRPr="002D5FF3" w:rsidR="00DF23AB" w:rsidP="0010403A" w:rsidRDefault="004F7863" w14:paraId="301422F9" w14:textId="4DBBDEB4">
                  <w:pPr>
                    <w:jc w:val="right"/>
                  </w:pPr>
                  <w:r w:rsidRPr="002D5FF3">
                    <w:t>11094</w:t>
                  </w:r>
                </w:p>
              </w:tc>
            </w:tr>
            <w:tr w:rsidRPr="004869E2" w:rsidR="00DF23AB" w:rsidTr="00E248CA" w14:paraId="1B9C2895" w14:textId="77777777">
              <w:tc>
                <w:tcPr>
                  <w:tcW w:w="1687" w:type="dxa"/>
                  <w:shd w:val="clear" w:color="auto" w:fill="auto"/>
                </w:tcPr>
                <w:p w:rsidRPr="002D5FF3" w:rsidR="00DF23AB" w:rsidP="00DF23AB" w:rsidRDefault="00DF23AB" w14:paraId="67654113" w14:textId="77777777">
                  <w:pPr>
                    <w:jc w:val="center"/>
                  </w:pPr>
                  <w:r w:rsidRPr="002D5FF3">
                    <w:t>Total</w:t>
                  </w:r>
                </w:p>
              </w:tc>
              <w:tc>
                <w:tcPr>
                  <w:tcW w:w="1720" w:type="dxa"/>
                </w:tcPr>
                <w:p w:rsidRPr="002D5FF3" w:rsidR="00DF23AB" w:rsidP="0010403A" w:rsidRDefault="00913278" w14:paraId="327E6CAA" w14:textId="7178A67D">
                  <w:pPr>
                    <w:jc w:val="right"/>
                  </w:pPr>
                  <w:r w:rsidRPr="002D5FF3">
                    <w:t>2200</w:t>
                  </w:r>
                </w:p>
              </w:tc>
              <w:tc>
                <w:tcPr>
                  <w:tcW w:w="1730" w:type="dxa"/>
                </w:tcPr>
                <w:p w:rsidRPr="002D5FF3" w:rsidR="00DF23AB" w:rsidP="0010403A" w:rsidRDefault="004F7863" w14:paraId="371B8BC7" w14:textId="3089CCC6">
                  <w:pPr>
                    <w:jc w:val="right"/>
                  </w:pPr>
                  <w:r w:rsidRPr="002D5FF3">
                    <w:t>15632</w:t>
                  </w:r>
                </w:p>
              </w:tc>
              <w:tc>
                <w:tcPr>
                  <w:tcW w:w="2693" w:type="dxa"/>
                </w:tcPr>
                <w:p w:rsidRPr="002D5FF3" w:rsidR="00DF23AB" w:rsidP="0010403A" w:rsidRDefault="004F7863" w14:paraId="36CE18DA" w14:textId="3B5B7EC6">
                  <w:pPr>
                    <w:jc w:val="right"/>
                  </w:pPr>
                  <w:r w:rsidRPr="002D5FF3">
                    <w:t>17832</w:t>
                  </w:r>
                </w:p>
              </w:tc>
            </w:tr>
          </w:tbl>
          <w:tbl>
            <w:tblPr>
              <w:tblW w:w="53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8"/>
              <w:gridCol w:w="1428"/>
              <w:gridCol w:w="1473"/>
              <w:gridCol w:w="1505"/>
              <w:gridCol w:w="1442"/>
              <w:gridCol w:w="1437"/>
            </w:tblGrid>
            <w:tr w:rsidRPr="004869E2" w:rsidR="00DF23AB" w:rsidTr="00E248CA" w14:paraId="41B19E15" w14:textId="77777777">
              <w:tc>
                <w:tcPr>
                  <w:tcW w:w="1645" w:type="dxa"/>
                  <w:tcBorders>
                    <w:top w:val="nil"/>
                    <w:left w:val="nil"/>
                    <w:bottom w:val="nil"/>
                    <w:right w:val="nil"/>
                  </w:tcBorders>
                </w:tcPr>
                <w:p w:rsidRPr="002D5FF3" w:rsidR="00DF23AB" w:rsidP="00DF23AB" w:rsidRDefault="00DF23AB" w14:paraId="50CD973F" w14:textId="77777777"/>
              </w:tc>
              <w:tc>
                <w:tcPr>
                  <w:tcW w:w="1655" w:type="dxa"/>
                  <w:tcBorders>
                    <w:top w:val="nil"/>
                    <w:left w:val="nil"/>
                    <w:bottom w:val="nil"/>
                    <w:right w:val="nil"/>
                  </w:tcBorders>
                </w:tcPr>
                <w:p w:rsidRPr="002D5FF3" w:rsidR="00DF23AB" w:rsidP="00DF23AB" w:rsidRDefault="00DF23AB" w14:paraId="7A3031C9" w14:textId="77777777">
                  <w:pPr>
                    <w:rPr>
                      <w:b/>
                    </w:rPr>
                  </w:pPr>
                </w:p>
              </w:tc>
              <w:tc>
                <w:tcPr>
                  <w:tcW w:w="1709" w:type="dxa"/>
                  <w:tcBorders>
                    <w:top w:val="nil"/>
                    <w:left w:val="nil"/>
                    <w:bottom w:val="nil"/>
                    <w:right w:val="nil"/>
                  </w:tcBorders>
                </w:tcPr>
                <w:p w:rsidRPr="002D5FF3" w:rsidR="00DF23AB" w:rsidP="00DF23AB" w:rsidRDefault="00DF23AB" w14:paraId="25F2ED6C" w14:textId="77777777">
                  <w:pPr>
                    <w:rPr>
                      <w:b/>
                    </w:rPr>
                  </w:pPr>
                </w:p>
              </w:tc>
              <w:tc>
                <w:tcPr>
                  <w:tcW w:w="1747" w:type="dxa"/>
                  <w:tcBorders>
                    <w:top w:val="nil"/>
                    <w:left w:val="nil"/>
                    <w:bottom w:val="nil"/>
                    <w:right w:val="nil"/>
                  </w:tcBorders>
                </w:tcPr>
                <w:p w:rsidRPr="002D5FF3" w:rsidR="00DF23AB" w:rsidP="00DF23AB" w:rsidRDefault="00DF23AB" w14:paraId="738B1662" w14:textId="77777777">
                  <w:pPr>
                    <w:rPr>
                      <w:b/>
                    </w:rPr>
                  </w:pPr>
                </w:p>
              </w:tc>
              <w:tc>
                <w:tcPr>
                  <w:tcW w:w="1672" w:type="dxa"/>
                  <w:tcBorders>
                    <w:top w:val="nil"/>
                    <w:left w:val="nil"/>
                    <w:bottom w:val="nil"/>
                    <w:right w:val="nil"/>
                  </w:tcBorders>
                </w:tcPr>
                <w:p w:rsidRPr="002D5FF3" w:rsidR="00DF23AB" w:rsidP="00DF23AB" w:rsidRDefault="00DF23AB" w14:paraId="39E698C0" w14:textId="77777777">
                  <w:pPr>
                    <w:rPr>
                      <w:b/>
                    </w:rPr>
                  </w:pPr>
                </w:p>
              </w:tc>
              <w:tc>
                <w:tcPr>
                  <w:tcW w:w="1666" w:type="dxa"/>
                  <w:tcBorders>
                    <w:top w:val="nil"/>
                    <w:left w:val="nil"/>
                    <w:bottom w:val="nil"/>
                    <w:right w:val="nil"/>
                  </w:tcBorders>
                </w:tcPr>
                <w:p w:rsidRPr="002D5FF3" w:rsidR="00DF23AB" w:rsidP="00DF23AB" w:rsidRDefault="00DF23AB" w14:paraId="5E7ECDFF" w14:textId="77777777">
                  <w:pPr>
                    <w:rPr>
                      <w:b/>
                    </w:rPr>
                  </w:pPr>
                </w:p>
              </w:tc>
            </w:tr>
            <w:tr w:rsidRPr="004869E2" w:rsidR="00DF23AB" w:rsidTr="00E248CA" w14:paraId="6FC3DC44" w14:textId="77777777">
              <w:tc>
                <w:tcPr>
                  <w:tcW w:w="1645" w:type="dxa"/>
                  <w:tcBorders>
                    <w:top w:val="nil"/>
                    <w:left w:val="nil"/>
                    <w:bottom w:val="nil"/>
                    <w:right w:val="nil"/>
                  </w:tcBorders>
                </w:tcPr>
                <w:p w:rsidRPr="002D5FF3" w:rsidR="00DF23AB" w:rsidP="00DF23AB" w:rsidRDefault="00DF23AB" w14:paraId="560A5B6D" w14:textId="77777777"/>
              </w:tc>
              <w:tc>
                <w:tcPr>
                  <w:tcW w:w="1655" w:type="dxa"/>
                  <w:tcBorders>
                    <w:top w:val="nil"/>
                    <w:left w:val="nil"/>
                    <w:bottom w:val="nil"/>
                    <w:right w:val="nil"/>
                  </w:tcBorders>
                </w:tcPr>
                <w:p w:rsidRPr="002D5FF3" w:rsidR="00DF23AB" w:rsidP="00DF23AB" w:rsidRDefault="00DF23AB" w14:paraId="66624F98" w14:textId="77777777">
                  <w:pPr>
                    <w:rPr>
                      <w:b/>
                    </w:rPr>
                  </w:pPr>
                </w:p>
              </w:tc>
              <w:tc>
                <w:tcPr>
                  <w:tcW w:w="1709" w:type="dxa"/>
                  <w:tcBorders>
                    <w:top w:val="nil"/>
                    <w:left w:val="nil"/>
                    <w:bottom w:val="nil"/>
                    <w:right w:val="nil"/>
                  </w:tcBorders>
                </w:tcPr>
                <w:p w:rsidRPr="002D5FF3" w:rsidR="00DF23AB" w:rsidP="00DF23AB" w:rsidRDefault="00DF23AB" w14:paraId="649462BE" w14:textId="77777777">
                  <w:pPr>
                    <w:rPr>
                      <w:b/>
                    </w:rPr>
                  </w:pPr>
                </w:p>
              </w:tc>
              <w:tc>
                <w:tcPr>
                  <w:tcW w:w="1747" w:type="dxa"/>
                  <w:tcBorders>
                    <w:top w:val="nil"/>
                    <w:left w:val="nil"/>
                    <w:bottom w:val="nil"/>
                    <w:right w:val="nil"/>
                  </w:tcBorders>
                </w:tcPr>
                <w:p w:rsidRPr="002D5FF3" w:rsidR="00DF23AB" w:rsidP="00DF23AB" w:rsidRDefault="00DF23AB" w14:paraId="2B9CFBC6" w14:textId="77777777">
                  <w:pPr>
                    <w:rPr>
                      <w:b/>
                    </w:rPr>
                  </w:pPr>
                </w:p>
              </w:tc>
              <w:tc>
                <w:tcPr>
                  <w:tcW w:w="1672" w:type="dxa"/>
                  <w:tcBorders>
                    <w:top w:val="nil"/>
                    <w:left w:val="nil"/>
                    <w:bottom w:val="nil"/>
                    <w:right w:val="nil"/>
                  </w:tcBorders>
                </w:tcPr>
                <w:p w:rsidRPr="002D5FF3" w:rsidR="00DF23AB" w:rsidP="00DF23AB" w:rsidRDefault="00DF23AB" w14:paraId="4073B239" w14:textId="77777777">
                  <w:pPr>
                    <w:rPr>
                      <w:b/>
                    </w:rPr>
                  </w:pPr>
                </w:p>
              </w:tc>
              <w:tc>
                <w:tcPr>
                  <w:tcW w:w="1666" w:type="dxa"/>
                  <w:tcBorders>
                    <w:top w:val="nil"/>
                    <w:left w:val="nil"/>
                    <w:bottom w:val="nil"/>
                    <w:right w:val="nil"/>
                  </w:tcBorders>
                </w:tcPr>
                <w:p w:rsidRPr="002D5FF3" w:rsidR="00DF23AB" w:rsidP="00DF23AB" w:rsidRDefault="00DF23AB" w14:paraId="3188FFA3" w14:textId="77777777">
                  <w:pPr>
                    <w:rPr>
                      <w:b/>
                    </w:rPr>
                  </w:pPr>
                </w:p>
              </w:tc>
            </w:tr>
          </w:tbl>
          <w:p w:rsidRPr="002D5FF3" w:rsidR="00024B9F" w:rsidP="00791741" w:rsidRDefault="00024B9F" w14:paraId="5C510337" w14:textId="77777777"/>
        </w:tc>
        <w:tc>
          <w:tcPr>
            <w:tcW w:w="1021" w:type="dxa"/>
            <w:gridSpan w:val="2"/>
            <w:tcBorders>
              <w:top w:val="nil"/>
              <w:left w:val="nil"/>
              <w:bottom w:val="nil"/>
              <w:right w:val="nil"/>
            </w:tcBorders>
          </w:tcPr>
          <w:p w:rsidRPr="002D5FF3" w:rsidR="00024B9F" w:rsidP="00791741" w:rsidRDefault="00024B9F" w14:paraId="2AF536EA" w14:textId="77777777">
            <w:pPr>
              <w:rPr>
                <w:b/>
              </w:rPr>
            </w:pPr>
          </w:p>
        </w:tc>
        <w:tc>
          <w:tcPr>
            <w:tcW w:w="425" w:type="dxa"/>
            <w:tcBorders>
              <w:top w:val="nil"/>
              <w:left w:val="nil"/>
              <w:bottom w:val="nil"/>
              <w:right w:val="nil"/>
            </w:tcBorders>
          </w:tcPr>
          <w:p w:rsidRPr="002D5FF3" w:rsidR="00024B9F" w:rsidP="00791741" w:rsidRDefault="00024B9F" w14:paraId="1C4871FF" w14:textId="77777777">
            <w:pPr>
              <w:rPr>
                <w:b/>
              </w:rPr>
            </w:pPr>
          </w:p>
        </w:tc>
        <w:tc>
          <w:tcPr>
            <w:tcW w:w="375" w:type="dxa"/>
            <w:tcBorders>
              <w:top w:val="nil"/>
              <w:left w:val="nil"/>
              <w:bottom w:val="nil"/>
              <w:right w:val="nil"/>
            </w:tcBorders>
          </w:tcPr>
          <w:p w:rsidRPr="002D5FF3" w:rsidR="00024B9F" w:rsidP="00791741" w:rsidRDefault="00024B9F" w14:paraId="224A05F3" w14:textId="77777777">
            <w:pPr>
              <w:rPr>
                <w:b/>
              </w:rPr>
            </w:pPr>
          </w:p>
        </w:tc>
        <w:tc>
          <w:tcPr>
            <w:tcW w:w="336" w:type="dxa"/>
            <w:tcBorders>
              <w:top w:val="nil"/>
              <w:left w:val="nil"/>
              <w:bottom w:val="nil"/>
              <w:right w:val="nil"/>
            </w:tcBorders>
          </w:tcPr>
          <w:p w:rsidRPr="002D5FF3" w:rsidR="00024B9F" w:rsidP="00791741" w:rsidRDefault="00024B9F" w14:paraId="0CD30B9B" w14:textId="77777777">
            <w:pPr>
              <w:rPr>
                <w:b/>
              </w:rPr>
            </w:pPr>
          </w:p>
        </w:tc>
        <w:tc>
          <w:tcPr>
            <w:tcW w:w="222" w:type="dxa"/>
            <w:tcBorders>
              <w:top w:val="nil"/>
              <w:left w:val="nil"/>
              <w:bottom w:val="nil"/>
              <w:right w:val="nil"/>
            </w:tcBorders>
          </w:tcPr>
          <w:p w:rsidRPr="002D5FF3" w:rsidR="00024B9F" w:rsidP="00791741" w:rsidRDefault="00024B9F" w14:paraId="1770E1FF" w14:textId="77777777">
            <w:pPr>
              <w:rPr>
                <w:b/>
              </w:rPr>
            </w:pPr>
          </w:p>
        </w:tc>
      </w:tr>
    </w:tbl>
    <w:p w:rsidRPr="002D5FF3" w:rsidR="00024B9F" w:rsidP="00024B9F" w:rsidRDefault="001C0DCC" w14:paraId="0388925A" w14:textId="14B51692">
      <w:r w:rsidRPr="002D5FF3">
        <w:t>Respondent burden cost</w:t>
      </w:r>
      <w:r w:rsidRPr="002D5FF3" w:rsidR="000E7CF5">
        <w:t>s</w:t>
      </w:r>
      <w:r w:rsidRPr="002D5FF3">
        <w:t xml:space="preserve"> for monthly data collection for the periods covered by this clearance package are as follows:</w:t>
      </w:r>
    </w:p>
    <w:p w:rsidR="00024B9F" w:rsidP="00024B9F" w:rsidRDefault="00024B9F" w14:paraId="17EB4BE8" w14:textId="77777777">
      <w:pPr>
        <w:rPr>
          <w:b/>
          <w:color w:val="000000"/>
        </w:rPr>
      </w:pPr>
    </w:p>
    <w:tbl>
      <w:tblPr>
        <w:tblW w:w="0" w:type="auto"/>
        <w:tblCellMar>
          <w:left w:w="0" w:type="dxa"/>
          <w:right w:w="0" w:type="dxa"/>
        </w:tblCellMar>
        <w:tblLook w:val="04A0" w:firstRow="1" w:lastRow="0" w:firstColumn="1" w:lastColumn="0" w:noHBand="0" w:noVBand="1"/>
      </w:tblPr>
      <w:tblGrid>
        <w:gridCol w:w="1555"/>
        <w:gridCol w:w="2202"/>
        <w:gridCol w:w="2856"/>
        <w:gridCol w:w="2727"/>
      </w:tblGrid>
      <w:tr w:rsidR="009C5265" w:rsidTr="009C5265" w14:paraId="60A6AAEC" w14:textId="77777777">
        <w:tc>
          <w:tcPr>
            <w:tcW w:w="9894" w:type="dxa"/>
            <w:gridSpan w:val="4"/>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009C5265" w:rsidRDefault="009C5265" w14:paraId="2A8237E2" w14:textId="77777777">
            <w:pPr>
              <w:jc w:val="center"/>
              <w:rPr>
                <w:b/>
                <w:bCs/>
                <w:sz w:val="22"/>
                <w:szCs w:val="22"/>
              </w:rPr>
            </w:pPr>
            <w:r>
              <w:rPr>
                <w:b/>
                <w:bCs/>
              </w:rPr>
              <w:t>Annualized Cost of Burden</w:t>
            </w:r>
          </w:p>
        </w:tc>
      </w:tr>
      <w:tr w:rsidR="009C5265" w:rsidTr="009C5265" w14:paraId="2DB576E9" w14:textId="77777777">
        <w:tc>
          <w:tcPr>
            <w:tcW w:w="1614" w:type="dxa"/>
            <w:tcBorders>
              <w:top w:val="nil"/>
              <w:left w:val="single" w:color="auto" w:sz="8" w:space="0"/>
              <w:bottom w:val="single" w:color="auto" w:sz="8" w:space="0"/>
              <w:right w:val="single" w:color="auto" w:sz="8" w:space="0"/>
            </w:tcBorders>
            <w:shd w:val="clear" w:color="auto" w:fill="DEEAF6"/>
            <w:tcMar>
              <w:top w:w="0" w:type="dxa"/>
              <w:left w:w="108" w:type="dxa"/>
              <w:bottom w:w="0" w:type="dxa"/>
              <w:right w:w="108" w:type="dxa"/>
            </w:tcMar>
          </w:tcPr>
          <w:p w:rsidR="009C5265" w:rsidRDefault="009C5265" w14:paraId="74F8070F" w14:textId="77777777">
            <w:pPr>
              <w:rPr>
                <w:rFonts w:ascii="Calibri" w:hAnsi="Calibri" w:cs="Calibri"/>
              </w:rPr>
            </w:pPr>
          </w:p>
        </w:tc>
        <w:tc>
          <w:tcPr>
            <w:tcW w:w="2340" w:type="dxa"/>
            <w:tcBorders>
              <w:top w:val="nil"/>
              <w:left w:val="nil"/>
              <w:bottom w:val="single" w:color="auto" w:sz="8" w:space="0"/>
              <w:right w:val="single" w:color="auto" w:sz="8" w:space="0"/>
            </w:tcBorders>
            <w:shd w:val="clear" w:color="auto" w:fill="DEEAF6"/>
            <w:tcMar>
              <w:top w:w="0" w:type="dxa"/>
              <w:left w:w="108" w:type="dxa"/>
              <w:bottom w:w="0" w:type="dxa"/>
              <w:right w:w="108" w:type="dxa"/>
            </w:tcMar>
            <w:hideMark/>
          </w:tcPr>
          <w:p w:rsidR="009C5265" w:rsidRDefault="009C5265" w14:paraId="6A33B6CB" w14:textId="77777777">
            <w:pPr>
              <w:jc w:val="center"/>
              <w:rPr>
                <w:b/>
                <w:bCs/>
              </w:rPr>
            </w:pPr>
            <w:r>
              <w:rPr>
                <w:b/>
                <w:bCs/>
                <w:color w:val="000000"/>
              </w:rPr>
              <w:t>Total Hours of Burden</w:t>
            </w:r>
          </w:p>
        </w:tc>
        <w:tc>
          <w:tcPr>
            <w:tcW w:w="3060" w:type="dxa"/>
            <w:tcBorders>
              <w:top w:val="nil"/>
              <w:left w:val="nil"/>
              <w:bottom w:val="single" w:color="auto" w:sz="8" w:space="0"/>
              <w:right w:val="single" w:color="auto" w:sz="8" w:space="0"/>
            </w:tcBorders>
            <w:shd w:val="clear" w:color="auto" w:fill="DEEAF6"/>
            <w:tcMar>
              <w:top w:w="0" w:type="dxa"/>
              <w:left w:w="108" w:type="dxa"/>
              <w:bottom w:w="0" w:type="dxa"/>
              <w:right w:w="108" w:type="dxa"/>
            </w:tcMar>
            <w:hideMark/>
          </w:tcPr>
          <w:p w:rsidR="009C5265" w:rsidRDefault="009C5265" w14:paraId="5CF87CC2" w14:textId="77777777">
            <w:pPr>
              <w:jc w:val="center"/>
              <w:rPr>
                <w:b/>
                <w:bCs/>
              </w:rPr>
            </w:pPr>
            <w:r>
              <w:rPr>
                <w:b/>
                <w:bCs/>
                <w:color w:val="000000"/>
              </w:rPr>
              <w:t>Average Hourly Pay*</w:t>
            </w:r>
          </w:p>
        </w:tc>
        <w:tc>
          <w:tcPr>
            <w:tcW w:w="2880" w:type="dxa"/>
            <w:tcBorders>
              <w:top w:val="nil"/>
              <w:left w:val="nil"/>
              <w:bottom w:val="single" w:color="auto" w:sz="8" w:space="0"/>
              <w:right w:val="single" w:color="auto" w:sz="8" w:space="0"/>
            </w:tcBorders>
            <w:shd w:val="clear" w:color="auto" w:fill="DEEAF6"/>
            <w:tcMar>
              <w:top w:w="0" w:type="dxa"/>
              <w:left w:w="108" w:type="dxa"/>
              <w:bottom w:w="0" w:type="dxa"/>
              <w:right w:w="108" w:type="dxa"/>
            </w:tcMar>
            <w:hideMark/>
          </w:tcPr>
          <w:p w:rsidR="009C5265" w:rsidRDefault="009C5265" w14:paraId="43D717B6" w14:textId="77777777">
            <w:pPr>
              <w:jc w:val="center"/>
              <w:rPr>
                <w:b/>
                <w:bCs/>
              </w:rPr>
            </w:pPr>
            <w:r>
              <w:rPr>
                <w:b/>
                <w:bCs/>
                <w:color w:val="000000"/>
              </w:rPr>
              <w:t>Annualized Cost of Burden</w:t>
            </w:r>
          </w:p>
        </w:tc>
      </w:tr>
      <w:tr w:rsidR="009C5265" w:rsidTr="009C5265" w14:paraId="76A4589D" w14:textId="77777777">
        <w:tc>
          <w:tcPr>
            <w:tcW w:w="16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C5265" w:rsidRDefault="009C5265" w14:paraId="259FA1A9" w14:textId="77777777">
            <w:pPr>
              <w:rPr>
                <w:b/>
                <w:bCs/>
              </w:rPr>
            </w:pPr>
            <w:r>
              <w:rPr>
                <w:b/>
                <w:bCs/>
              </w:rPr>
              <w:t>Exports</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DB74B7" w:rsidRDefault="009C5265" w14:paraId="7809A223" w14:textId="77777777">
            <w:pPr>
              <w:jc w:val="right"/>
            </w:pPr>
            <w:r>
              <w:t>6738</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DB74B7" w:rsidRDefault="009C5265" w14:paraId="249E1F70" w14:textId="77777777">
            <w:pPr>
              <w:jc w:val="right"/>
            </w:pPr>
            <w:r>
              <w:t>$61.59</w:t>
            </w:r>
          </w:p>
        </w:tc>
        <w:tc>
          <w:tcPr>
            <w:tcW w:w="288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DB74B7" w:rsidRDefault="009C5265" w14:paraId="6128D5F1" w14:textId="2868975C">
            <w:pPr>
              <w:jc w:val="right"/>
            </w:pPr>
            <w:r>
              <w:t>$</w:t>
            </w:r>
            <w:r w:rsidR="00D56A72">
              <w:t>414,993</w:t>
            </w:r>
          </w:p>
        </w:tc>
      </w:tr>
      <w:tr w:rsidR="009C5265" w:rsidTr="009C5265" w14:paraId="38E25281" w14:textId="77777777">
        <w:tc>
          <w:tcPr>
            <w:tcW w:w="16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C5265" w:rsidRDefault="009C5265" w14:paraId="19E8659D" w14:textId="77777777">
            <w:pPr>
              <w:rPr>
                <w:b/>
                <w:bCs/>
              </w:rPr>
            </w:pPr>
            <w:r>
              <w:rPr>
                <w:b/>
                <w:bCs/>
              </w:rPr>
              <w:t>Imports</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038F0524" w14:textId="77777777">
            <w:pPr>
              <w:jc w:val="right"/>
            </w:pPr>
            <w:r>
              <w:t>11094</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20C4E609" w14:textId="77777777">
            <w:pPr>
              <w:jc w:val="right"/>
            </w:pPr>
            <w:r>
              <w:t>$61.59</w:t>
            </w:r>
          </w:p>
        </w:tc>
        <w:tc>
          <w:tcPr>
            <w:tcW w:w="288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3CB9A456" w14:textId="4F836DAA">
            <w:pPr>
              <w:jc w:val="right"/>
            </w:pPr>
            <w:r>
              <w:t>$</w:t>
            </w:r>
            <w:r w:rsidR="00ED101F">
              <w:t>683,279</w:t>
            </w:r>
          </w:p>
        </w:tc>
      </w:tr>
      <w:tr w:rsidR="009C5265" w:rsidTr="009C5265" w14:paraId="0B4968AC" w14:textId="77777777">
        <w:trPr>
          <w:trHeight w:val="323"/>
        </w:trPr>
        <w:tc>
          <w:tcPr>
            <w:tcW w:w="16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C5265" w:rsidRDefault="009C5265" w14:paraId="5D8401D8" w14:textId="77777777">
            <w:pPr>
              <w:rPr>
                <w:b/>
                <w:bCs/>
              </w:rPr>
            </w:pPr>
            <w:r>
              <w:rPr>
                <w:b/>
                <w:bCs/>
              </w:rPr>
              <w:t>Total</w:t>
            </w:r>
          </w:p>
        </w:tc>
        <w:tc>
          <w:tcPr>
            <w:tcW w:w="234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2C479349" w14:textId="77777777">
            <w:pPr>
              <w:jc w:val="right"/>
            </w:pPr>
            <w:r>
              <w:t>17832</w:t>
            </w:r>
          </w:p>
        </w:tc>
        <w:tc>
          <w:tcPr>
            <w:tcW w:w="306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50EA2CDD" w14:textId="77777777">
            <w:pPr>
              <w:jc w:val="right"/>
            </w:pPr>
            <w:r>
              <w:t>$61.59</w:t>
            </w:r>
          </w:p>
        </w:tc>
        <w:tc>
          <w:tcPr>
            <w:tcW w:w="2880" w:type="dxa"/>
            <w:tcBorders>
              <w:top w:val="nil"/>
              <w:left w:val="nil"/>
              <w:bottom w:val="single" w:color="auto" w:sz="8" w:space="0"/>
              <w:right w:val="single" w:color="auto" w:sz="8" w:space="0"/>
            </w:tcBorders>
            <w:tcMar>
              <w:top w:w="0" w:type="dxa"/>
              <w:left w:w="108" w:type="dxa"/>
              <w:bottom w:w="0" w:type="dxa"/>
              <w:right w:w="108" w:type="dxa"/>
            </w:tcMar>
            <w:hideMark/>
          </w:tcPr>
          <w:p w:rsidR="009C5265" w:rsidP="00ED2132" w:rsidRDefault="009C5265" w14:paraId="42C7EFDA" w14:textId="0012EEA9">
            <w:pPr>
              <w:jc w:val="right"/>
            </w:pPr>
            <w:r>
              <w:t>$</w:t>
            </w:r>
            <w:r w:rsidR="001963C5">
              <w:t>1,098,272</w:t>
            </w:r>
          </w:p>
        </w:tc>
      </w:tr>
      <w:tr w:rsidR="009C5265" w:rsidTr="009C5265" w14:paraId="553024AB" w14:textId="77777777">
        <w:tc>
          <w:tcPr>
            <w:tcW w:w="989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C5265" w:rsidP="009C5265" w:rsidRDefault="009C5265" w14:paraId="1A41463C" w14:textId="76BB90F6">
            <w:r>
              <w:t xml:space="preserve">* </w:t>
            </w:r>
            <w:proofErr w:type="gramStart"/>
            <w:r>
              <w:t>calculated</w:t>
            </w:r>
            <w:proofErr w:type="gramEnd"/>
            <w:r>
              <w:t xml:space="preserve"> from the average hourly pay rates for fiscal years 2022, 2023, and 2024.</w:t>
            </w:r>
          </w:p>
        </w:tc>
      </w:tr>
    </w:tbl>
    <w:p w:rsidRPr="002D5FF3" w:rsidR="00024B9F" w:rsidP="00024B9F" w:rsidRDefault="00024B9F" w14:paraId="38AA3D33" w14:textId="77777777">
      <w:pPr>
        <w:tabs>
          <w:tab w:val="left" w:pos="360"/>
          <w:tab w:val="left" w:pos="480"/>
          <w:tab w:val="left" w:pos="960"/>
          <w:tab w:val="left" w:pos="1320"/>
          <w:tab w:val="left" w:pos="1800"/>
          <w:tab w:val="left" w:pos="2760"/>
        </w:tabs>
        <w:spacing w:line="240" w:lineRule="exact"/>
      </w:pPr>
    </w:p>
    <w:p w:rsidRPr="00E60FB0" w:rsidR="00722542" w:rsidP="00722542" w:rsidRDefault="00722542" w14:paraId="43038326" w14:textId="77777777">
      <w:pPr>
        <w:ind w:left="720"/>
        <w:jc w:val="center"/>
        <w:rPr>
          <w:i/>
        </w:rPr>
      </w:pPr>
      <w:r w:rsidRPr="00E60FB0">
        <w:rPr>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1"/>
        <w:gridCol w:w="1415"/>
        <w:gridCol w:w="1329"/>
        <w:gridCol w:w="1182"/>
        <w:gridCol w:w="1048"/>
        <w:gridCol w:w="960"/>
        <w:gridCol w:w="901"/>
        <w:gridCol w:w="1264"/>
      </w:tblGrid>
      <w:tr w:rsidRPr="00E60FB0" w:rsidR="00722542" w:rsidTr="009F6536" w14:paraId="1F7795DA"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78CB3047" w14:textId="77777777">
            <w:pPr>
              <w:spacing w:line="276" w:lineRule="auto"/>
              <w:jc w:val="center"/>
              <w:rPr>
                <w:b/>
                <w:sz w:val="22"/>
                <w:szCs w:val="22"/>
              </w:rPr>
            </w:pPr>
            <w:r w:rsidRPr="00E60FB0">
              <w:rPr>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26080E14"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722542" w:rsidP="009F6536" w:rsidRDefault="00722542" w14:paraId="1E10D987" w14:textId="77777777">
            <w:pPr>
              <w:spacing w:line="276" w:lineRule="auto"/>
              <w:jc w:val="center"/>
              <w:rPr>
                <w:b/>
                <w:sz w:val="22"/>
                <w:szCs w:val="22"/>
              </w:rPr>
            </w:pPr>
            <w:r w:rsidRPr="00E60FB0">
              <w:rPr>
                <w:b/>
                <w:sz w:val="22"/>
                <w:szCs w:val="22"/>
              </w:rPr>
              <w:t xml:space="preserve">No. of Responses </w:t>
            </w:r>
          </w:p>
          <w:p w:rsidRPr="00E60FB0" w:rsidR="00722542" w:rsidP="009F6536" w:rsidRDefault="00722542" w14:paraId="0775D5BB"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4E951790" w14:textId="77777777">
            <w:pPr>
              <w:spacing w:line="276" w:lineRule="auto"/>
              <w:jc w:val="center"/>
              <w:rPr>
                <w:b/>
                <w:sz w:val="22"/>
                <w:szCs w:val="22"/>
              </w:rPr>
            </w:pPr>
            <w:r w:rsidRPr="00E60FB0">
              <w:rPr>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48B5C4BB"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00491679" w14:textId="77777777">
            <w:pPr>
              <w:spacing w:line="276" w:lineRule="auto"/>
              <w:jc w:val="center"/>
              <w:rPr>
                <w:b/>
                <w:sz w:val="22"/>
                <w:szCs w:val="22"/>
              </w:rPr>
            </w:pPr>
            <w:r w:rsidRPr="00E60FB0">
              <w:rPr>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0EEFDFF3" w14:textId="77777777">
            <w:pPr>
              <w:spacing w:line="276" w:lineRule="auto"/>
              <w:jc w:val="center"/>
              <w:rPr>
                <w:b/>
                <w:sz w:val="22"/>
                <w:szCs w:val="22"/>
              </w:rPr>
            </w:pPr>
            <w:r w:rsidRPr="00E60FB0">
              <w:rPr>
                <w:b/>
                <w:sz w:val="22"/>
                <w:szCs w:val="22"/>
              </w:rPr>
              <w:t>Hourly</w:t>
            </w:r>
          </w:p>
          <w:p w:rsidRPr="00E60FB0" w:rsidR="00722542" w:rsidP="009F6536" w:rsidRDefault="00722542" w14:paraId="236F2567" w14:textId="77777777">
            <w:pPr>
              <w:spacing w:line="276" w:lineRule="auto"/>
              <w:jc w:val="center"/>
              <w:rPr>
                <w:b/>
                <w:sz w:val="22"/>
                <w:szCs w:val="22"/>
              </w:rPr>
            </w:pPr>
            <w:r w:rsidRPr="00E60FB0">
              <w:rPr>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722542" w:rsidP="009F6536" w:rsidRDefault="00722542" w14:paraId="79FAA422" w14:textId="77777777">
            <w:pPr>
              <w:spacing w:line="276" w:lineRule="auto"/>
              <w:jc w:val="center"/>
              <w:rPr>
                <w:b/>
                <w:sz w:val="22"/>
                <w:szCs w:val="22"/>
              </w:rPr>
            </w:pPr>
            <w:r w:rsidRPr="00E60FB0">
              <w:rPr>
                <w:b/>
                <w:sz w:val="22"/>
                <w:szCs w:val="22"/>
              </w:rPr>
              <w:t>Total Burden Cost</w:t>
            </w:r>
          </w:p>
        </w:tc>
      </w:tr>
      <w:tr w:rsidRPr="00E60FB0" w:rsidR="00722542" w:rsidTr="009F6536" w14:paraId="3C40A45B"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Pr="002D5FF3" w:rsidR="00722542" w:rsidP="009F6536" w:rsidRDefault="000913AA" w14:paraId="7E2315DF" w14:textId="77777777">
            <w:pPr>
              <w:spacing w:line="276" w:lineRule="auto"/>
              <w:jc w:val="center"/>
              <w:rPr>
                <w:sz w:val="22"/>
                <w:szCs w:val="22"/>
                <w:u w:val="single"/>
              </w:rPr>
            </w:pPr>
            <w:r w:rsidRPr="002D5FF3">
              <w:rPr>
                <w:sz w:val="22"/>
                <w:szCs w:val="22"/>
                <w:u w:val="single"/>
              </w:rPr>
              <w:t>Initiation</w:t>
            </w:r>
          </w:p>
          <w:p w:rsidR="000913AA" w:rsidP="009F6536" w:rsidRDefault="000913AA" w14:paraId="02D7A702" w14:textId="77777777">
            <w:pPr>
              <w:spacing w:line="276" w:lineRule="auto"/>
              <w:jc w:val="center"/>
              <w:rPr>
                <w:sz w:val="22"/>
                <w:szCs w:val="22"/>
              </w:rPr>
            </w:pPr>
            <w:r>
              <w:rPr>
                <w:sz w:val="22"/>
                <w:szCs w:val="22"/>
              </w:rPr>
              <w:t>Exports</w:t>
            </w:r>
          </w:p>
          <w:p w:rsidRPr="00E60FB0" w:rsidR="000913AA" w:rsidP="009F6536" w:rsidRDefault="000913AA" w14:paraId="63CA897E" w14:textId="1BE6AED2">
            <w:pPr>
              <w:spacing w:line="276" w:lineRule="auto"/>
              <w:jc w:val="center"/>
              <w:rPr>
                <w:sz w:val="22"/>
                <w:szCs w:val="22"/>
              </w:rPr>
            </w:pPr>
            <w:r>
              <w:rPr>
                <w:sz w:val="22"/>
                <w:szCs w:val="22"/>
              </w:rPr>
              <w:t>Imports</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722542" w:rsidP="007711F6" w:rsidRDefault="00722542" w14:paraId="6C099CEF" w14:textId="77777777">
            <w:pPr>
              <w:spacing w:line="276" w:lineRule="auto"/>
              <w:jc w:val="right"/>
              <w:rPr>
                <w:sz w:val="22"/>
                <w:szCs w:val="22"/>
              </w:rPr>
            </w:pPr>
          </w:p>
          <w:p w:rsidR="00722542" w:rsidP="007711F6" w:rsidRDefault="000913AA" w14:paraId="59C9DF11" w14:textId="77777777">
            <w:pPr>
              <w:spacing w:line="276" w:lineRule="auto"/>
              <w:jc w:val="right"/>
              <w:rPr>
                <w:sz w:val="22"/>
                <w:szCs w:val="22"/>
              </w:rPr>
            </w:pPr>
            <w:r>
              <w:rPr>
                <w:sz w:val="22"/>
                <w:szCs w:val="22"/>
              </w:rPr>
              <w:t>900</w:t>
            </w:r>
          </w:p>
          <w:p w:rsidRPr="00E60FB0" w:rsidR="000913AA" w:rsidP="007711F6" w:rsidRDefault="000913AA" w14:paraId="47D667D2" w14:textId="4C33D3AA">
            <w:pPr>
              <w:spacing w:line="276" w:lineRule="auto"/>
              <w:jc w:val="right"/>
              <w:rPr>
                <w:sz w:val="22"/>
                <w:szCs w:val="22"/>
              </w:rPr>
            </w:pPr>
            <w:r>
              <w:rPr>
                <w:sz w:val="22"/>
                <w:szCs w:val="22"/>
              </w:rPr>
              <w:t>1300</w:t>
            </w:r>
          </w:p>
        </w:tc>
        <w:tc>
          <w:tcPr>
            <w:tcW w:w="1219" w:type="dxa"/>
            <w:tcBorders>
              <w:top w:val="single" w:color="auto" w:sz="4" w:space="0"/>
              <w:left w:val="single" w:color="auto" w:sz="4" w:space="0"/>
              <w:bottom w:val="single" w:color="auto" w:sz="4" w:space="0"/>
              <w:right w:val="single" w:color="auto" w:sz="4" w:space="0"/>
            </w:tcBorders>
            <w:vAlign w:val="center"/>
          </w:tcPr>
          <w:p w:rsidR="00722542" w:rsidP="007711F6" w:rsidRDefault="00722542" w14:paraId="0759CBD1" w14:textId="5F042246">
            <w:pPr>
              <w:spacing w:line="276" w:lineRule="auto"/>
              <w:jc w:val="right"/>
              <w:rPr>
                <w:sz w:val="22"/>
                <w:szCs w:val="22"/>
              </w:rPr>
            </w:pPr>
          </w:p>
          <w:p w:rsidR="000913AA" w:rsidP="007711F6" w:rsidRDefault="000913AA" w14:paraId="3CA3B6BD" w14:textId="77777777">
            <w:pPr>
              <w:spacing w:line="276" w:lineRule="auto"/>
              <w:jc w:val="right"/>
              <w:rPr>
                <w:sz w:val="22"/>
                <w:szCs w:val="22"/>
              </w:rPr>
            </w:pPr>
          </w:p>
          <w:p w:rsidR="000913AA" w:rsidP="007711F6" w:rsidRDefault="000913AA" w14:paraId="1AC971F4" w14:textId="7B4C0130">
            <w:pPr>
              <w:spacing w:line="276" w:lineRule="auto"/>
              <w:jc w:val="right"/>
              <w:rPr>
                <w:sz w:val="22"/>
                <w:szCs w:val="22"/>
              </w:rPr>
            </w:pPr>
            <w:r>
              <w:rPr>
                <w:sz w:val="22"/>
                <w:szCs w:val="22"/>
              </w:rPr>
              <w:t>1</w:t>
            </w:r>
          </w:p>
          <w:p w:rsidRPr="00E60FB0" w:rsidR="000913AA" w:rsidP="007711F6" w:rsidRDefault="000913AA" w14:paraId="2DD685E0" w14:textId="19DAAA89">
            <w:pPr>
              <w:spacing w:line="276" w:lineRule="auto"/>
              <w:jc w:val="right"/>
              <w:rPr>
                <w:sz w:val="22"/>
                <w:szCs w:val="22"/>
              </w:rPr>
            </w:pPr>
            <w:r>
              <w:rPr>
                <w:sz w:val="22"/>
                <w:szCs w:val="22"/>
              </w:rPr>
              <w:t>1</w:t>
            </w:r>
          </w:p>
          <w:p w:rsidRPr="00E60FB0" w:rsidR="00722542" w:rsidP="007711F6" w:rsidRDefault="00722542" w14:paraId="1AECD351" w14:textId="77777777">
            <w:pPr>
              <w:spacing w:line="276" w:lineRule="auto"/>
              <w:jc w:val="right"/>
              <w:rPr>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000913AA" w:rsidP="007711F6" w:rsidRDefault="000913AA" w14:paraId="1A264495" w14:textId="77777777">
            <w:pPr>
              <w:spacing w:line="276" w:lineRule="auto"/>
              <w:jc w:val="right"/>
              <w:rPr>
                <w:sz w:val="22"/>
                <w:szCs w:val="22"/>
              </w:rPr>
            </w:pPr>
          </w:p>
          <w:p w:rsidR="000913AA" w:rsidP="007711F6" w:rsidRDefault="000913AA" w14:paraId="2F8E4AD1" w14:textId="77777777">
            <w:pPr>
              <w:spacing w:line="276" w:lineRule="auto"/>
              <w:jc w:val="right"/>
              <w:rPr>
                <w:sz w:val="22"/>
                <w:szCs w:val="22"/>
              </w:rPr>
            </w:pPr>
          </w:p>
          <w:p w:rsidR="00722542" w:rsidP="007711F6" w:rsidRDefault="000913AA" w14:paraId="0A737B5C" w14:textId="4921C4F8">
            <w:pPr>
              <w:spacing w:line="276" w:lineRule="auto"/>
              <w:jc w:val="right"/>
              <w:rPr>
                <w:sz w:val="22"/>
                <w:szCs w:val="22"/>
              </w:rPr>
            </w:pPr>
            <w:r>
              <w:rPr>
                <w:sz w:val="22"/>
                <w:szCs w:val="22"/>
              </w:rPr>
              <w:t>900</w:t>
            </w:r>
          </w:p>
          <w:p w:rsidRPr="00E60FB0" w:rsidR="000913AA" w:rsidP="007711F6" w:rsidRDefault="000913AA" w14:paraId="037A33C5" w14:textId="61247D66">
            <w:pPr>
              <w:spacing w:line="276" w:lineRule="auto"/>
              <w:jc w:val="right"/>
              <w:rPr>
                <w:sz w:val="22"/>
                <w:szCs w:val="22"/>
              </w:rPr>
            </w:pPr>
            <w:r>
              <w:rPr>
                <w:sz w:val="22"/>
                <w:szCs w:val="22"/>
              </w:rPr>
              <w:t>1300</w:t>
            </w:r>
          </w:p>
          <w:p w:rsidRPr="00E60FB0" w:rsidR="00722542" w:rsidP="007711F6" w:rsidRDefault="00722542" w14:paraId="0B501CFE" w14:textId="77777777">
            <w:pPr>
              <w:spacing w:line="276" w:lineRule="auto"/>
              <w:jc w:val="right"/>
              <w:rPr>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00ED28FD" w:rsidP="007711F6" w:rsidRDefault="00ED28FD" w14:paraId="79D430F6" w14:textId="77777777">
            <w:pPr>
              <w:spacing w:line="276" w:lineRule="auto"/>
              <w:jc w:val="right"/>
              <w:rPr>
                <w:sz w:val="22"/>
                <w:szCs w:val="22"/>
              </w:rPr>
            </w:pPr>
          </w:p>
          <w:p w:rsidR="00722542" w:rsidP="007711F6" w:rsidRDefault="00ED28FD" w14:paraId="1B74E1F7" w14:textId="0726E2B7">
            <w:pPr>
              <w:spacing w:line="276" w:lineRule="auto"/>
              <w:jc w:val="right"/>
              <w:rPr>
                <w:sz w:val="22"/>
                <w:szCs w:val="22"/>
              </w:rPr>
            </w:pPr>
            <w:r>
              <w:rPr>
                <w:sz w:val="22"/>
                <w:szCs w:val="22"/>
              </w:rPr>
              <w:t>1</w:t>
            </w:r>
          </w:p>
          <w:p w:rsidRPr="00E60FB0" w:rsidR="00ED28FD" w:rsidP="007711F6" w:rsidRDefault="00ED28FD" w14:paraId="6E0D8237" w14:textId="518408E7">
            <w:pPr>
              <w:spacing w:line="276" w:lineRule="auto"/>
              <w:jc w:val="right"/>
              <w:rPr>
                <w:sz w:val="22"/>
                <w:szCs w:val="22"/>
              </w:rPr>
            </w:pPr>
            <w:r>
              <w:rPr>
                <w:sz w:val="22"/>
                <w:szCs w:val="22"/>
              </w:rPr>
              <w:t>1</w:t>
            </w:r>
          </w:p>
        </w:tc>
        <w:tc>
          <w:tcPr>
            <w:tcW w:w="971" w:type="dxa"/>
            <w:tcBorders>
              <w:top w:val="single" w:color="auto" w:sz="4" w:space="0"/>
              <w:left w:val="single" w:color="auto" w:sz="4" w:space="0"/>
              <w:bottom w:val="single" w:color="auto" w:sz="4" w:space="0"/>
              <w:right w:val="single" w:color="auto" w:sz="4" w:space="0"/>
            </w:tcBorders>
            <w:vAlign w:val="center"/>
          </w:tcPr>
          <w:p w:rsidR="00ED28FD" w:rsidP="007711F6" w:rsidRDefault="00ED28FD" w14:paraId="2453400B" w14:textId="77777777">
            <w:pPr>
              <w:spacing w:line="276" w:lineRule="auto"/>
              <w:jc w:val="right"/>
              <w:rPr>
                <w:sz w:val="22"/>
                <w:szCs w:val="22"/>
              </w:rPr>
            </w:pPr>
          </w:p>
          <w:p w:rsidR="00ED28FD" w:rsidP="007711F6" w:rsidRDefault="00ED28FD" w14:paraId="4C4B0714" w14:textId="77777777">
            <w:pPr>
              <w:spacing w:line="276" w:lineRule="auto"/>
              <w:jc w:val="right"/>
              <w:rPr>
                <w:sz w:val="22"/>
                <w:szCs w:val="22"/>
              </w:rPr>
            </w:pPr>
          </w:p>
          <w:p w:rsidR="00722542" w:rsidP="007711F6" w:rsidRDefault="00ED28FD" w14:paraId="17496EBF" w14:textId="28CC9A5F">
            <w:pPr>
              <w:spacing w:line="276" w:lineRule="auto"/>
              <w:jc w:val="right"/>
              <w:rPr>
                <w:sz w:val="22"/>
                <w:szCs w:val="22"/>
              </w:rPr>
            </w:pPr>
            <w:r>
              <w:rPr>
                <w:sz w:val="22"/>
                <w:szCs w:val="22"/>
              </w:rPr>
              <w:t>900</w:t>
            </w:r>
          </w:p>
          <w:p w:rsidRPr="00E60FB0" w:rsidR="00ED28FD" w:rsidP="007711F6" w:rsidRDefault="00ED28FD" w14:paraId="3194E375" w14:textId="6CB53095">
            <w:pPr>
              <w:spacing w:line="276" w:lineRule="auto"/>
              <w:jc w:val="right"/>
              <w:rPr>
                <w:sz w:val="22"/>
                <w:szCs w:val="22"/>
              </w:rPr>
            </w:pPr>
            <w:r>
              <w:rPr>
                <w:sz w:val="22"/>
                <w:szCs w:val="22"/>
              </w:rPr>
              <w:t>1300</w:t>
            </w:r>
          </w:p>
          <w:p w:rsidRPr="00E60FB0" w:rsidR="00722542" w:rsidP="007711F6" w:rsidRDefault="00722542" w14:paraId="772A451D" w14:textId="77777777">
            <w:pPr>
              <w:spacing w:line="276" w:lineRule="auto"/>
              <w:jc w:val="right"/>
              <w:rPr>
                <w:sz w:val="22"/>
                <w:szCs w:val="22"/>
              </w:rPr>
            </w:pP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722542" w:rsidP="007711F6" w:rsidRDefault="00722542" w14:paraId="2BAA5E6D" w14:textId="77777777">
            <w:pPr>
              <w:spacing w:line="276" w:lineRule="auto"/>
              <w:jc w:val="right"/>
              <w:rPr>
                <w:sz w:val="22"/>
                <w:szCs w:val="22"/>
              </w:rPr>
            </w:pPr>
          </w:p>
          <w:p w:rsidR="00722542" w:rsidP="007711F6" w:rsidRDefault="00ED28FD" w14:paraId="0DFA08C4" w14:textId="77777777">
            <w:pPr>
              <w:spacing w:line="276" w:lineRule="auto"/>
              <w:jc w:val="right"/>
              <w:rPr>
                <w:sz w:val="22"/>
                <w:szCs w:val="22"/>
              </w:rPr>
            </w:pPr>
            <w:r>
              <w:rPr>
                <w:sz w:val="22"/>
                <w:szCs w:val="22"/>
              </w:rPr>
              <w:t>$61.59</w:t>
            </w:r>
          </w:p>
          <w:p w:rsidRPr="00E60FB0" w:rsidR="00ED28FD" w:rsidP="007711F6" w:rsidRDefault="00ED28FD" w14:paraId="41F53CDC" w14:textId="5FF3E127">
            <w:pPr>
              <w:spacing w:line="276" w:lineRule="auto"/>
              <w:jc w:val="right"/>
              <w:rPr>
                <w:sz w:val="22"/>
                <w:szCs w:val="22"/>
              </w:rPr>
            </w:pPr>
            <w:r>
              <w:rPr>
                <w:sz w:val="22"/>
                <w:szCs w:val="22"/>
              </w:rPr>
              <w:t>$61.59</w:t>
            </w:r>
          </w:p>
        </w:tc>
        <w:tc>
          <w:tcPr>
            <w:tcW w:w="1329" w:type="dxa"/>
            <w:tcBorders>
              <w:top w:val="single" w:color="auto" w:sz="4" w:space="0"/>
              <w:left w:val="single" w:color="auto" w:sz="4" w:space="0"/>
              <w:bottom w:val="single" w:color="auto" w:sz="4" w:space="0"/>
              <w:right w:val="single" w:color="auto" w:sz="4" w:space="0"/>
            </w:tcBorders>
            <w:vAlign w:val="center"/>
          </w:tcPr>
          <w:p w:rsidR="00ED28FD" w:rsidP="007711F6" w:rsidRDefault="00ED28FD" w14:paraId="6C1ABE89" w14:textId="77777777">
            <w:pPr>
              <w:spacing w:line="276" w:lineRule="auto"/>
              <w:jc w:val="right"/>
              <w:rPr>
                <w:sz w:val="22"/>
                <w:szCs w:val="22"/>
              </w:rPr>
            </w:pPr>
          </w:p>
          <w:p w:rsidR="00ED28FD" w:rsidP="007711F6" w:rsidRDefault="00ED28FD" w14:paraId="4F9013B8" w14:textId="77777777">
            <w:pPr>
              <w:spacing w:line="276" w:lineRule="auto"/>
              <w:jc w:val="right"/>
              <w:rPr>
                <w:sz w:val="22"/>
                <w:szCs w:val="22"/>
              </w:rPr>
            </w:pPr>
          </w:p>
          <w:p w:rsidR="00722542" w:rsidP="007711F6" w:rsidRDefault="00ED28FD" w14:paraId="782CA5C6" w14:textId="590C7FCF">
            <w:pPr>
              <w:spacing w:line="276" w:lineRule="auto"/>
              <w:jc w:val="right"/>
              <w:rPr>
                <w:sz w:val="22"/>
                <w:szCs w:val="22"/>
              </w:rPr>
            </w:pPr>
            <w:r>
              <w:rPr>
                <w:sz w:val="22"/>
                <w:szCs w:val="22"/>
              </w:rPr>
              <w:t>$55,431</w:t>
            </w:r>
          </w:p>
          <w:p w:rsidRPr="00E60FB0" w:rsidR="00ED28FD" w:rsidP="007711F6" w:rsidRDefault="00ED28FD" w14:paraId="27DC16E2" w14:textId="310167A6">
            <w:pPr>
              <w:spacing w:line="276" w:lineRule="auto"/>
              <w:jc w:val="right"/>
              <w:rPr>
                <w:sz w:val="22"/>
                <w:szCs w:val="22"/>
              </w:rPr>
            </w:pPr>
            <w:r>
              <w:rPr>
                <w:sz w:val="22"/>
                <w:szCs w:val="22"/>
              </w:rPr>
              <w:t>$80,067</w:t>
            </w:r>
          </w:p>
          <w:p w:rsidRPr="00E60FB0" w:rsidR="00722542" w:rsidP="007711F6" w:rsidRDefault="00722542" w14:paraId="63E0A5AC" w14:textId="77777777">
            <w:pPr>
              <w:spacing w:line="276" w:lineRule="auto"/>
              <w:jc w:val="right"/>
              <w:rPr>
                <w:sz w:val="22"/>
                <w:szCs w:val="22"/>
              </w:rPr>
            </w:pPr>
          </w:p>
        </w:tc>
      </w:tr>
      <w:tr w:rsidRPr="00E60FB0" w:rsidR="000913AA" w:rsidTr="009F6536" w14:paraId="15819934" w14:textId="77777777">
        <w:tc>
          <w:tcPr>
            <w:tcW w:w="1439" w:type="dxa"/>
            <w:tcBorders>
              <w:top w:val="single" w:color="auto" w:sz="4" w:space="0"/>
              <w:left w:val="single" w:color="auto" w:sz="4" w:space="0"/>
              <w:bottom w:val="single" w:color="auto" w:sz="4" w:space="0"/>
              <w:right w:val="single" w:color="auto" w:sz="4" w:space="0"/>
            </w:tcBorders>
            <w:vAlign w:val="center"/>
          </w:tcPr>
          <w:p w:rsidRPr="002D5FF3" w:rsidR="000913AA" w:rsidP="000913AA" w:rsidRDefault="000913AA" w14:paraId="5061D9EA" w14:textId="77777777">
            <w:pPr>
              <w:spacing w:line="276" w:lineRule="auto"/>
              <w:jc w:val="center"/>
              <w:rPr>
                <w:sz w:val="22"/>
                <w:szCs w:val="22"/>
                <w:u w:val="single"/>
              </w:rPr>
            </w:pPr>
            <w:r w:rsidRPr="002D5FF3">
              <w:rPr>
                <w:sz w:val="22"/>
                <w:szCs w:val="22"/>
                <w:u w:val="single"/>
              </w:rPr>
              <w:t>Repricing</w:t>
            </w:r>
          </w:p>
          <w:p w:rsidR="000913AA" w:rsidP="000913AA" w:rsidRDefault="000913AA" w14:paraId="14F69C50" w14:textId="77777777">
            <w:pPr>
              <w:spacing w:line="276" w:lineRule="auto"/>
              <w:jc w:val="center"/>
              <w:rPr>
                <w:sz w:val="22"/>
                <w:szCs w:val="22"/>
              </w:rPr>
            </w:pPr>
            <w:r>
              <w:rPr>
                <w:sz w:val="22"/>
                <w:szCs w:val="22"/>
              </w:rPr>
              <w:t>Exports</w:t>
            </w:r>
          </w:p>
          <w:p w:rsidR="000913AA" w:rsidP="00622E68" w:rsidRDefault="000913AA" w14:paraId="3DEDBD12" w14:textId="1678F7D7">
            <w:pPr>
              <w:spacing w:line="276" w:lineRule="auto"/>
              <w:jc w:val="center"/>
              <w:rPr>
                <w:sz w:val="22"/>
                <w:szCs w:val="22"/>
              </w:rPr>
            </w:pPr>
            <w:r>
              <w:rPr>
                <w:sz w:val="22"/>
                <w:szCs w:val="22"/>
              </w:rPr>
              <w:t>Imports</w:t>
            </w:r>
          </w:p>
        </w:tc>
        <w:tc>
          <w:tcPr>
            <w:tcW w:w="1415" w:type="dxa"/>
            <w:tcBorders>
              <w:top w:val="single" w:color="auto" w:sz="4" w:space="0"/>
              <w:left w:val="single" w:color="auto" w:sz="4" w:space="0"/>
              <w:bottom w:val="single" w:color="auto" w:sz="4" w:space="0"/>
              <w:right w:val="single" w:color="auto" w:sz="4" w:space="0"/>
            </w:tcBorders>
            <w:vAlign w:val="center"/>
          </w:tcPr>
          <w:p w:rsidR="000913AA" w:rsidP="007711F6" w:rsidRDefault="00ED28FD" w14:paraId="70DE7FAC" w14:textId="77777777">
            <w:pPr>
              <w:spacing w:line="276" w:lineRule="auto"/>
              <w:jc w:val="right"/>
              <w:rPr>
                <w:sz w:val="22"/>
                <w:szCs w:val="22"/>
              </w:rPr>
            </w:pPr>
            <w:r>
              <w:rPr>
                <w:sz w:val="22"/>
                <w:szCs w:val="22"/>
              </w:rPr>
              <w:t>1500</w:t>
            </w:r>
          </w:p>
          <w:p w:rsidRPr="00E60FB0" w:rsidR="00ED28FD" w:rsidP="007711F6" w:rsidRDefault="00ED28FD" w14:paraId="647B2AF6" w14:textId="217C667C">
            <w:pPr>
              <w:spacing w:line="276" w:lineRule="auto"/>
              <w:jc w:val="right"/>
              <w:rPr>
                <w:sz w:val="22"/>
                <w:szCs w:val="22"/>
              </w:rPr>
            </w:pPr>
            <w:r>
              <w:rPr>
                <w:sz w:val="22"/>
                <w:szCs w:val="22"/>
              </w:rPr>
              <w:t>2350</w:t>
            </w:r>
          </w:p>
        </w:tc>
        <w:tc>
          <w:tcPr>
            <w:tcW w:w="1219" w:type="dxa"/>
            <w:tcBorders>
              <w:top w:val="single" w:color="auto" w:sz="4" w:space="0"/>
              <w:left w:val="single" w:color="auto" w:sz="4" w:space="0"/>
              <w:bottom w:val="single" w:color="auto" w:sz="4" w:space="0"/>
              <w:right w:val="single" w:color="auto" w:sz="4" w:space="0"/>
            </w:tcBorders>
            <w:vAlign w:val="center"/>
          </w:tcPr>
          <w:p w:rsidR="000913AA" w:rsidP="007711F6" w:rsidRDefault="00ED28FD" w14:paraId="0F73DC59" w14:textId="77777777">
            <w:pPr>
              <w:spacing w:line="276" w:lineRule="auto"/>
              <w:jc w:val="right"/>
              <w:rPr>
                <w:sz w:val="22"/>
                <w:szCs w:val="22"/>
              </w:rPr>
            </w:pPr>
            <w:r>
              <w:rPr>
                <w:sz w:val="22"/>
                <w:szCs w:val="22"/>
              </w:rPr>
              <w:t>9.1</w:t>
            </w:r>
          </w:p>
          <w:p w:rsidRPr="00E60FB0" w:rsidR="00ED28FD" w:rsidP="007711F6" w:rsidRDefault="00ED28FD" w14:paraId="642C0DE2" w14:textId="1CD99990">
            <w:pPr>
              <w:spacing w:line="276" w:lineRule="auto"/>
              <w:jc w:val="right"/>
              <w:rPr>
                <w:sz w:val="22"/>
                <w:szCs w:val="22"/>
              </w:rPr>
            </w:pPr>
            <w:r>
              <w:rPr>
                <w:sz w:val="22"/>
                <w:szCs w:val="22"/>
              </w:rPr>
              <w:t>8.9</w:t>
            </w:r>
          </w:p>
        </w:tc>
        <w:tc>
          <w:tcPr>
            <w:tcW w:w="1183" w:type="dxa"/>
            <w:tcBorders>
              <w:top w:val="single" w:color="auto" w:sz="4" w:space="0"/>
              <w:left w:val="single" w:color="auto" w:sz="4" w:space="0"/>
              <w:bottom w:val="single" w:color="auto" w:sz="4" w:space="0"/>
              <w:right w:val="single" w:color="auto" w:sz="4" w:space="0"/>
            </w:tcBorders>
            <w:vAlign w:val="center"/>
          </w:tcPr>
          <w:p w:rsidR="00ED28FD" w:rsidP="007711F6" w:rsidRDefault="00ED28FD" w14:paraId="748FCD35" w14:textId="77777777">
            <w:pPr>
              <w:spacing w:line="276" w:lineRule="auto"/>
              <w:jc w:val="right"/>
              <w:rPr>
                <w:sz w:val="22"/>
                <w:szCs w:val="22"/>
              </w:rPr>
            </w:pPr>
          </w:p>
          <w:p w:rsidR="000913AA" w:rsidP="007711F6" w:rsidRDefault="00ED28FD" w14:paraId="54E8E44A" w14:textId="01A7014F">
            <w:pPr>
              <w:spacing w:line="276" w:lineRule="auto"/>
              <w:jc w:val="right"/>
              <w:rPr>
                <w:sz w:val="22"/>
                <w:szCs w:val="22"/>
              </w:rPr>
            </w:pPr>
            <w:r>
              <w:rPr>
                <w:sz w:val="22"/>
                <w:szCs w:val="22"/>
              </w:rPr>
              <w:t>13650</w:t>
            </w:r>
          </w:p>
          <w:p w:rsidR="00ED28FD" w:rsidP="007711F6" w:rsidRDefault="00ED28FD" w14:paraId="3B6CB38E" w14:textId="7EE9D676">
            <w:pPr>
              <w:spacing w:line="276" w:lineRule="auto"/>
              <w:jc w:val="right"/>
              <w:rPr>
                <w:sz w:val="22"/>
                <w:szCs w:val="22"/>
              </w:rPr>
            </w:pPr>
            <w:r>
              <w:rPr>
                <w:sz w:val="22"/>
                <w:szCs w:val="22"/>
              </w:rPr>
              <w:t>20915</w:t>
            </w:r>
          </w:p>
          <w:p w:rsidRPr="00E60FB0" w:rsidR="00ED28FD" w:rsidP="007711F6" w:rsidRDefault="00ED28FD" w14:paraId="091D943C" w14:textId="496C2589">
            <w:pPr>
              <w:spacing w:line="276" w:lineRule="auto"/>
              <w:jc w:val="right"/>
              <w:rPr>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Pr="002D5FF3" w:rsidR="000913AA" w:rsidP="007711F6" w:rsidRDefault="00ED28FD" w14:paraId="4164267E" w14:textId="77777777">
            <w:pPr>
              <w:spacing w:line="276" w:lineRule="auto"/>
              <w:jc w:val="right"/>
              <w:rPr>
                <w:sz w:val="22"/>
                <w:szCs w:val="22"/>
              </w:rPr>
            </w:pPr>
            <w:r w:rsidRPr="002D5FF3">
              <w:rPr>
                <w:sz w:val="22"/>
                <w:szCs w:val="22"/>
              </w:rPr>
              <w:t>0.4277</w:t>
            </w:r>
          </w:p>
          <w:p w:rsidRPr="00E60FB0" w:rsidR="00ED28FD" w:rsidP="007711F6" w:rsidRDefault="00ED28FD" w14:paraId="4ECC824F" w14:textId="3A257AC7">
            <w:pPr>
              <w:spacing w:line="276" w:lineRule="auto"/>
              <w:jc w:val="right"/>
              <w:rPr>
                <w:sz w:val="22"/>
                <w:szCs w:val="22"/>
              </w:rPr>
            </w:pPr>
            <w:r w:rsidRPr="002D5FF3">
              <w:rPr>
                <w:sz w:val="22"/>
                <w:szCs w:val="22"/>
              </w:rPr>
              <w:t>0.4683</w:t>
            </w:r>
          </w:p>
        </w:tc>
        <w:tc>
          <w:tcPr>
            <w:tcW w:w="971" w:type="dxa"/>
            <w:tcBorders>
              <w:top w:val="single" w:color="auto" w:sz="4" w:space="0"/>
              <w:left w:val="single" w:color="auto" w:sz="4" w:space="0"/>
              <w:bottom w:val="single" w:color="auto" w:sz="4" w:space="0"/>
              <w:right w:val="single" w:color="auto" w:sz="4" w:space="0"/>
            </w:tcBorders>
            <w:vAlign w:val="center"/>
          </w:tcPr>
          <w:p w:rsidR="000913AA" w:rsidP="007711F6" w:rsidRDefault="00ED28FD" w14:paraId="556B510D" w14:textId="77777777">
            <w:pPr>
              <w:spacing w:line="276" w:lineRule="auto"/>
              <w:jc w:val="right"/>
            </w:pPr>
            <w:r w:rsidRPr="00BF2FF9">
              <w:t>5838</w:t>
            </w:r>
          </w:p>
          <w:p w:rsidRPr="00E60FB0" w:rsidR="00ED28FD" w:rsidP="007711F6" w:rsidRDefault="00ED28FD" w14:paraId="16AFF99A" w14:textId="36266A60">
            <w:pPr>
              <w:spacing w:line="276" w:lineRule="auto"/>
              <w:jc w:val="right"/>
              <w:rPr>
                <w:sz w:val="22"/>
                <w:szCs w:val="22"/>
              </w:rPr>
            </w:pPr>
            <w:r w:rsidRPr="00BF2FF9">
              <w:t>9794</w:t>
            </w:r>
          </w:p>
        </w:tc>
        <w:tc>
          <w:tcPr>
            <w:tcW w:w="915" w:type="dxa"/>
            <w:tcBorders>
              <w:top w:val="single" w:color="auto" w:sz="4" w:space="0"/>
              <w:left w:val="single" w:color="auto" w:sz="4" w:space="0"/>
              <w:bottom w:val="single" w:color="auto" w:sz="4" w:space="0"/>
              <w:right w:val="single" w:color="auto" w:sz="4" w:space="0"/>
            </w:tcBorders>
            <w:vAlign w:val="center"/>
          </w:tcPr>
          <w:p w:rsidR="00ED28FD" w:rsidP="007711F6" w:rsidRDefault="00ED28FD" w14:paraId="00B00B85" w14:textId="77777777">
            <w:pPr>
              <w:spacing w:line="276" w:lineRule="auto"/>
              <w:jc w:val="right"/>
              <w:rPr>
                <w:sz w:val="22"/>
                <w:szCs w:val="22"/>
              </w:rPr>
            </w:pPr>
            <w:r>
              <w:rPr>
                <w:sz w:val="22"/>
                <w:szCs w:val="22"/>
              </w:rPr>
              <w:t>$61.59</w:t>
            </w:r>
          </w:p>
          <w:p w:rsidRPr="00E60FB0" w:rsidR="000913AA" w:rsidP="007711F6" w:rsidRDefault="00ED28FD" w14:paraId="780747CF" w14:textId="7CB69241">
            <w:pPr>
              <w:spacing w:line="276" w:lineRule="auto"/>
              <w:jc w:val="right"/>
              <w:rPr>
                <w:sz w:val="22"/>
                <w:szCs w:val="22"/>
              </w:rPr>
            </w:pPr>
            <w:r>
              <w:rPr>
                <w:sz w:val="22"/>
                <w:szCs w:val="22"/>
              </w:rPr>
              <w:t>$61.59</w:t>
            </w:r>
          </w:p>
        </w:tc>
        <w:tc>
          <w:tcPr>
            <w:tcW w:w="1329" w:type="dxa"/>
            <w:tcBorders>
              <w:top w:val="single" w:color="auto" w:sz="4" w:space="0"/>
              <w:left w:val="single" w:color="auto" w:sz="4" w:space="0"/>
              <w:bottom w:val="single" w:color="auto" w:sz="4" w:space="0"/>
              <w:right w:val="single" w:color="auto" w:sz="4" w:space="0"/>
            </w:tcBorders>
            <w:vAlign w:val="center"/>
          </w:tcPr>
          <w:p w:rsidR="000913AA" w:rsidP="007711F6" w:rsidRDefault="00ED28FD" w14:paraId="37E1D3FF" w14:textId="77777777">
            <w:pPr>
              <w:spacing w:line="276" w:lineRule="auto"/>
              <w:jc w:val="right"/>
              <w:rPr>
                <w:sz w:val="22"/>
                <w:szCs w:val="22"/>
              </w:rPr>
            </w:pPr>
            <w:r>
              <w:rPr>
                <w:sz w:val="22"/>
                <w:szCs w:val="22"/>
              </w:rPr>
              <w:t>$359,562</w:t>
            </w:r>
          </w:p>
          <w:p w:rsidRPr="00E60FB0" w:rsidR="00B01744" w:rsidP="007711F6" w:rsidRDefault="00B01744" w14:paraId="4A5AB940" w14:textId="48DE08B2">
            <w:pPr>
              <w:spacing w:line="276" w:lineRule="auto"/>
              <w:jc w:val="right"/>
              <w:rPr>
                <w:sz w:val="22"/>
                <w:szCs w:val="22"/>
              </w:rPr>
            </w:pPr>
            <w:r>
              <w:rPr>
                <w:sz w:val="22"/>
                <w:szCs w:val="22"/>
              </w:rPr>
              <w:t>$603,212</w:t>
            </w:r>
          </w:p>
        </w:tc>
      </w:tr>
      <w:tr w:rsidRPr="00E60FB0" w:rsidR="000913AA" w:rsidTr="009F6536" w14:paraId="77A742E8" w14:textId="77777777">
        <w:tc>
          <w:tcPr>
            <w:tcW w:w="1439" w:type="dxa"/>
            <w:tcBorders>
              <w:top w:val="single" w:color="auto" w:sz="4" w:space="0"/>
              <w:left w:val="single" w:color="auto" w:sz="4" w:space="0"/>
              <w:bottom w:val="single" w:color="auto" w:sz="4" w:space="0"/>
              <w:right w:val="single" w:color="auto" w:sz="4" w:space="0"/>
            </w:tcBorders>
            <w:vAlign w:val="center"/>
          </w:tcPr>
          <w:p w:rsidR="000913AA" w:rsidP="009F6536" w:rsidRDefault="000913AA" w14:paraId="6499B435" w14:textId="6D5521F2">
            <w:pPr>
              <w:spacing w:line="276" w:lineRule="auto"/>
              <w:jc w:val="center"/>
              <w:rPr>
                <w:sz w:val="22"/>
                <w:szCs w:val="22"/>
              </w:rPr>
            </w:pPr>
            <w:r>
              <w:rPr>
                <w:sz w:val="22"/>
                <w:szCs w:val="22"/>
              </w:rPr>
              <w:t>Total</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77A35215" w14:textId="5838A9E5">
            <w:pPr>
              <w:spacing w:line="276" w:lineRule="auto"/>
              <w:jc w:val="right"/>
              <w:rPr>
                <w:sz w:val="22"/>
                <w:szCs w:val="22"/>
              </w:rPr>
            </w:pPr>
            <w:r>
              <w:rPr>
                <w:sz w:val="22"/>
                <w:szCs w:val="22"/>
              </w:rPr>
              <w:t>6,050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4F90EC75" w14:textId="2CB32043">
            <w:pPr>
              <w:spacing w:line="276" w:lineRule="auto"/>
              <w:jc w:val="right"/>
              <w:rPr>
                <w:sz w:val="22"/>
                <w:szCs w:val="22"/>
              </w:rPr>
            </w:pPr>
            <w:r w:rsidRPr="009C5265">
              <w:rPr>
                <w:sz w:val="22"/>
                <w:szCs w:val="22"/>
              </w:rPr>
              <w:t>6.0769</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05CC3606" w14:textId="6BD577DC">
            <w:pPr>
              <w:spacing w:line="276" w:lineRule="auto"/>
              <w:jc w:val="right"/>
              <w:rPr>
                <w:sz w:val="22"/>
                <w:szCs w:val="22"/>
              </w:rPr>
            </w:pPr>
            <w:r>
              <w:rPr>
                <w:sz w:val="22"/>
                <w:szCs w:val="22"/>
              </w:rPr>
              <w:t>36765</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06413EC7" w14:textId="05F7A44E">
            <w:pPr>
              <w:spacing w:line="276" w:lineRule="auto"/>
              <w:jc w:val="right"/>
              <w:rPr>
                <w:sz w:val="22"/>
                <w:szCs w:val="22"/>
              </w:rPr>
            </w:pPr>
            <w:r w:rsidRPr="009C5265">
              <w:rPr>
                <w:sz w:val="22"/>
                <w:szCs w:val="22"/>
              </w:rPr>
              <w:t>.4850</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10120D6C" w14:textId="79A5FEFF">
            <w:pPr>
              <w:spacing w:line="276" w:lineRule="auto"/>
              <w:jc w:val="right"/>
              <w:rPr>
                <w:sz w:val="22"/>
                <w:szCs w:val="22"/>
              </w:rPr>
            </w:pPr>
            <w:r>
              <w:rPr>
                <w:sz w:val="22"/>
                <w:szCs w:val="22"/>
              </w:rPr>
              <w:t>17832</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1F999365" w14:textId="03A447B9">
            <w:pPr>
              <w:spacing w:line="276" w:lineRule="auto"/>
              <w:jc w:val="right"/>
              <w:rPr>
                <w:sz w:val="22"/>
                <w:szCs w:val="22"/>
              </w:rPr>
            </w:pPr>
            <w:r>
              <w:rPr>
                <w:sz w:val="22"/>
                <w:szCs w:val="22"/>
              </w:rPr>
              <w:t>$61.59</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0913AA" w:rsidP="0010403A" w:rsidRDefault="00B01744" w14:paraId="61B85524" w14:textId="4A298221">
            <w:pPr>
              <w:spacing w:line="276" w:lineRule="auto"/>
              <w:jc w:val="right"/>
              <w:rPr>
                <w:sz w:val="22"/>
                <w:szCs w:val="22"/>
              </w:rPr>
            </w:pPr>
            <w:r>
              <w:rPr>
                <w:sz w:val="22"/>
                <w:szCs w:val="22"/>
              </w:rPr>
              <w:t>$1,098,272</w:t>
            </w:r>
          </w:p>
        </w:tc>
      </w:tr>
    </w:tbl>
    <w:p w:rsidR="00722542" w:rsidP="00024B9F" w:rsidRDefault="00722542" w14:paraId="2B587DD4" w14:textId="77777777"/>
    <w:p w:rsidR="00722542" w:rsidP="00024B9F" w:rsidRDefault="00722542" w14:paraId="3527E172" w14:textId="77777777"/>
    <w:p w:rsidRPr="002D5FF3" w:rsidR="00024B9F" w:rsidP="00024B9F" w:rsidRDefault="00024B9F" w14:paraId="75FA9C93" w14:textId="3AF741E6">
      <w:pPr>
        <w:rPr>
          <w:color w:val="000000"/>
        </w:rPr>
      </w:pPr>
      <w:r w:rsidRPr="002D5FF3">
        <w:t xml:space="preserve">In the fourth quarter of </w:t>
      </w:r>
      <w:r w:rsidRPr="002D5FF3" w:rsidR="003174D0">
        <w:t>2020</w:t>
      </w:r>
      <w:r w:rsidRPr="002D5FF3">
        <w:t>, the average hourly total compensation for management, professional, and related employees in private industry was $</w:t>
      </w:r>
      <w:r w:rsidRPr="002D5FF3" w:rsidR="003174D0">
        <w:t>61.72</w:t>
      </w:r>
      <w:r w:rsidRPr="002D5FF3">
        <w:t xml:space="preserve">. </w:t>
      </w:r>
      <w:r w:rsidRPr="002D5FF3" w:rsidR="00CA73A3">
        <w:t>The average hourly total compensation for sales and office employees was $</w:t>
      </w:r>
      <w:r w:rsidRPr="002D5FF3" w:rsidR="003174D0">
        <w:t>27.56</w:t>
      </w:r>
      <w:r w:rsidRPr="002D5FF3" w:rsidR="00CA73A3">
        <w:t xml:space="preserve">. Thus, a weighted average hourly total </w:t>
      </w:r>
      <w:r w:rsidRPr="002D5FF3" w:rsidR="00CA73A3">
        <w:lastRenderedPageBreak/>
        <w:t>compensation rate of $</w:t>
      </w:r>
      <w:r w:rsidRPr="002D5FF3" w:rsidR="003174D0">
        <w:t>58.99</w:t>
      </w:r>
      <w:r w:rsidRPr="002D5FF3" w:rsidR="00CA73A3">
        <w:t xml:space="preserve"> was derived</w:t>
      </w:r>
      <w:r w:rsidRPr="002D5FF3" w:rsidR="00E33E3E">
        <w:rPr>
          <w:rStyle w:val="FootnoteReference"/>
        </w:rPr>
        <w:footnoteReference w:id="11"/>
      </w:r>
      <w:r w:rsidRPr="002D5FF3" w:rsidR="00CA73A3">
        <w:t xml:space="preserve">. This weighted average was then updated for the first quarter of </w:t>
      </w:r>
      <w:r w:rsidRPr="002D5FF3" w:rsidR="003174D0">
        <w:t>2021</w:t>
      </w:r>
      <w:r w:rsidRPr="002D5FF3" w:rsidR="00AC2654">
        <w:t xml:space="preserve"> </w:t>
      </w:r>
      <w:r w:rsidRPr="002D5FF3" w:rsidR="00CA73A3">
        <w:t xml:space="preserve">using the </w:t>
      </w:r>
      <w:r w:rsidRPr="002D5FF3" w:rsidR="002A5A2A">
        <w:t xml:space="preserve">quarterly </w:t>
      </w:r>
      <w:r w:rsidRPr="002D5FF3" w:rsidR="00CA73A3">
        <w:t>percent change in the Employee Cost Index (ECI) of the BLS</w:t>
      </w:r>
      <w:r w:rsidRPr="002D5FF3" w:rsidR="00E00B32">
        <w:rPr>
          <w:rStyle w:val="FootnoteReference"/>
        </w:rPr>
        <w:t>12</w:t>
      </w:r>
      <w:r w:rsidRPr="002D5FF3" w:rsidR="00CA73A3">
        <w:t xml:space="preserve">. Estimates for </w:t>
      </w:r>
      <w:r w:rsidRPr="002D5FF3" w:rsidR="003174D0">
        <w:t>2022</w:t>
      </w:r>
      <w:r w:rsidRPr="002D5FF3" w:rsidR="00CE7720">
        <w:t xml:space="preserve">, </w:t>
      </w:r>
      <w:r w:rsidRPr="002D5FF3" w:rsidR="003657A4">
        <w:t>20</w:t>
      </w:r>
      <w:r w:rsidRPr="002D5FF3" w:rsidR="00F84450">
        <w:t>2</w:t>
      </w:r>
      <w:r w:rsidRPr="002D5FF3" w:rsidR="003174D0">
        <w:t>3</w:t>
      </w:r>
      <w:r w:rsidRPr="002D5FF3" w:rsidR="00CE7720">
        <w:t>,</w:t>
      </w:r>
      <w:r w:rsidRPr="002D5FF3" w:rsidR="00CA73A3">
        <w:t xml:space="preserve"> and </w:t>
      </w:r>
      <w:r w:rsidRPr="002D5FF3" w:rsidR="003657A4">
        <w:t>20</w:t>
      </w:r>
      <w:r w:rsidRPr="002D5FF3" w:rsidR="00F84450">
        <w:t>2</w:t>
      </w:r>
      <w:r w:rsidRPr="002D5FF3" w:rsidR="003174D0">
        <w:t>4</w:t>
      </w:r>
      <w:r w:rsidRPr="002D5FF3" w:rsidR="0047063E">
        <w:t xml:space="preserve"> </w:t>
      </w:r>
      <w:r w:rsidRPr="002D5FF3" w:rsidR="00CA73A3">
        <w:t xml:space="preserve">were derived by calculating the weighted average </w:t>
      </w:r>
      <w:r w:rsidRPr="002D5FF3" w:rsidR="00654F3D">
        <w:t xml:space="preserve">annual </w:t>
      </w:r>
      <w:r w:rsidRPr="002D5FF3" w:rsidR="00CA73A3">
        <w:t>percent change in ECI for both categories and applying it to subsequent years</w:t>
      </w:r>
      <w:r w:rsidRPr="002D5FF3" w:rsidR="001C0DCC">
        <w:rPr>
          <w:rStyle w:val="FootnoteReference"/>
        </w:rPr>
        <w:footnoteReference w:customMarkFollows="1" w:id="12"/>
        <w:t>13</w:t>
      </w:r>
      <w:r w:rsidRPr="002D5FF3" w:rsidR="00CA73A3">
        <w:t>.</w:t>
      </w:r>
      <w:r w:rsidRPr="002D5FF3" w:rsidR="00CA73A3">
        <w:rPr>
          <w:color w:val="000000"/>
        </w:rPr>
        <w:t>  These numbers would make the hourly total $</w:t>
      </w:r>
      <w:r w:rsidRPr="002D5FF3" w:rsidR="003174D0">
        <w:rPr>
          <w:color w:val="000000"/>
        </w:rPr>
        <w:t>60.28</w:t>
      </w:r>
      <w:r w:rsidRPr="002D5FF3" w:rsidR="00CA73A3">
        <w:rPr>
          <w:color w:val="000000"/>
        </w:rPr>
        <w:t xml:space="preserve"> for </w:t>
      </w:r>
      <w:r w:rsidRPr="002D5FF3" w:rsidR="003174D0">
        <w:rPr>
          <w:color w:val="000000"/>
        </w:rPr>
        <w:t>2022</w:t>
      </w:r>
      <w:r w:rsidRPr="002D5FF3" w:rsidR="00CA73A3">
        <w:rPr>
          <w:color w:val="000000"/>
        </w:rPr>
        <w:t>, $</w:t>
      </w:r>
      <w:r w:rsidRPr="002D5FF3" w:rsidR="003174D0">
        <w:rPr>
          <w:color w:val="000000"/>
        </w:rPr>
        <w:t>61.58</w:t>
      </w:r>
      <w:r w:rsidRPr="002D5FF3" w:rsidR="00CA73A3">
        <w:rPr>
          <w:color w:val="000000"/>
        </w:rPr>
        <w:t xml:space="preserve"> for </w:t>
      </w:r>
      <w:r w:rsidRPr="002D5FF3" w:rsidR="005836D0">
        <w:rPr>
          <w:color w:val="000000"/>
        </w:rPr>
        <w:t>202</w:t>
      </w:r>
      <w:r w:rsidRPr="002D5FF3" w:rsidR="003174D0">
        <w:rPr>
          <w:color w:val="000000"/>
        </w:rPr>
        <w:t>3</w:t>
      </w:r>
      <w:r w:rsidRPr="002D5FF3" w:rsidR="00CA73A3">
        <w:rPr>
          <w:color w:val="000000"/>
        </w:rPr>
        <w:t>, and $</w:t>
      </w:r>
      <w:r w:rsidRPr="002D5FF3" w:rsidR="003174D0">
        <w:rPr>
          <w:color w:val="000000"/>
        </w:rPr>
        <w:t>62.90</w:t>
      </w:r>
      <w:r w:rsidRPr="002D5FF3" w:rsidR="00CA73A3">
        <w:rPr>
          <w:color w:val="000000"/>
        </w:rPr>
        <w:t xml:space="preserve"> for </w:t>
      </w:r>
      <w:r w:rsidRPr="002D5FF3" w:rsidR="005836D0">
        <w:rPr>
          <w:color w:val="000000"/>
        </w:rPr>
        <w:t>202</w:t>
      </w:r>
      <w:r w:rsidRPr="002D5FF3" w:rsidR="003174D0">
        <w:rPr>
          <w:color w:val="000000"/>
        </w:rPr>
        <w:t>4</w:t>
      </w:r>
      <w:r w:rsidR="00B01744">
        <w:rPr>
          <w:color w:val="000000"/>
        </w:rPr>
        <w:t>, creating an average hourly rate of $61.59 for the three years.</w:t>
      </w:r>
    </w:p>
    <w:p w:rsidRPr="002D5FF3" w:rsidR="00024B9F" w:rsidP="00024B9F" w:rsidRDefault="00024B9F" w14:paraId="2A55A572" w14:textId="77777777">
      <w:pPr>
        <w:rPr>
          <w:b/>
          <w:color w:val="000000"/>
        </w:rPr>
      </w:pPr>
    </w:p>
    <w:p w:rsidRPr="002D5FF3" w:rsidR="00722542" w:rsidP="002D5FF3" w:rsidRDefault="00722542" w14:paraId="604AFE70" w14:textId="3AA7F450">
      <w:pPr>
        <w:pStyle w:val="ListParagraph"/>
        <w:numPr>
          <w:ilvl w:val="0"/>
          <w:numId w:val="45"/>
        </w:numPr>
        <w:rPr>
          <w:b/>
        </w:rPr>
      </w:pPr>
      <w:r w:rsidRPr="002D5FF3">
        <w:rPr>
          <w:b/>
        </w:rPr>
        <w:t>Provide an estimate of the total annual cost burden to respondents or recordkeepers resulting from the collection of information.  (Do not include the cost of any hour burden shown in Items 12 and 14).</w:t>
      </w:r>
    </w:p>
    <w:p w:rsidRPr="00D53DEB" w:rsidR="00722542" w:rsidP="00722542" w:rsidRDefault="00722542" w14:paraId="380FFBEF" w14:textId="77777777">
      <w:pPr>
        <w:rPr>
          <w:b/>
        </w:rPr>
      </w:pPr>
    </w:p>
    <w:p w:rsidRPr="00B65823" w:rsidR="00722542" w:rsidP="00722542" w:rsidRDefault="00722542" w14:paraId="5840D338" w14:textId="77777777">
      <w:pPr>
        <w:numPr>
          <w:ilvl w:val="0"/>
          <w:numId w:val="46"/>
        </w:numPr>
        <w:tabs>
          <w:tab w:val="clear" w:pos="1080"/>
        </w:tabs>
        <w:autoSpaceDE w:val="0"/>
        <w:autoSpaceDN w:val="0"/>
        <w:adjustRightInd w:val="0"/>
        <w:spacing w:after="120"/>
        <w:rPr>
          <w:b/>
        </w:rPr>
      </w:pPr>
      <w:r w:rsidRPr="00CA21AC">
        <w:rPr>
          <w:b/>
          <w:bCs/>
        </w:rPr>
        <w:t>The cost estimate should be split into two components</w:t>
      </w:r>
      <w:proofErr w:type="gramStart"/>
      <w:r w:rsidRPr="00CA21AC">
        <w:rPr>
          <w:b/>
          <w:bCs/>
        </w:rPr>
        <w:t>:  (</w:t>
      </w:r>
      <w:proofErr w:type="gramEnd"/>
      <w:r w:rsidRPr="00CA21AC">
        <w:rPr>
          <w:b/>
          <w:bCs/>
        </w:rPr>
        <w:t xml:space="preserve">a) a total capital and </w:t>
      </w:r>
      <w:proofErr w:type="spellStart"/>
      <w:r w:rsidRPr="0052513D">
        <w:rPr>
          <w:b/>
          <w:bCs/>
        </w:rPr>
        <w:t>start up</w:t>
      </w:r>
      <w:proofErr w:type="spellEnd"/>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B524AD">
        <w:rPr>
          <w:b/>
          <w:bCs/>
        </w:rPr>
        <w:t xml:space="preserve"> should </w:t>
      </w:r>
      <w:proofErr w:type="gramStart"/>
      <w:r w:rsidRPr="00B524AD">
        <w:rPr>
          <w:b/>
          <w:bCs/>
        </w:rPr>
        <w:t>take into account</w:t>
      </w:r>
      <w:proofErr w:type="gramEnd"/>
      <w:r w:rsidRPr="00B524AD">
        <w:rPr>
          <w:b/>
          <w:bCs/>
        </w:rPr>
        <w:t xml:space="preserve"> costs associated with generating,</w:t>
      </w:r>
      <w:r>
        <w:rPr>
          <w:b/>
          <w:bCs/>
        </w:rPr>
        <w:t xml:space="preserve"> </w:t>
      </w:r>
      <w:r w:rsidRPr="00073C01">
        <w:rPr>
          <w:b/>
          <w:bCs/>
        </w:rPr>
        <w:t xml:space="preserve">maintaining, and disclosing or providing the information.  Include descriptions of </w:t>
      </w:r>
      <w:r w:rsidRPr="006A7451">
        <w:rPr>
          <w:b/>
          <w:bCs/>
        </w:rPr>
        <w:t xml:space="preserve">methods used to estimate major cost factors including system and technology acquisition, expected useful life of capital equipment, the discount rate(s), and the </w:t>
      </w:r>
      <w:proofErr w:type="gramStart"/>
      <w:r w:rsidRPr="006A7451">
        <w:rPr>
          <w:b/>
          <w:bCs/>
        </w:rPr>
        <w:t>time period</w:t>
      </w:r>
      <w:proofErr w:type="gramEnd"/>
      <w:r w:rsidRPr="006A7451">
        <w:rPr>
          <w:b/>
          <w:bCs/>
        </w:rPr>
        <w:t xml:space="preserve"> over which costs will be incurred.  Capital and start-up costs include, among other items, preparations for collecting information such as purchasing computers and software; monitoring, sampling, </w:t>
      </w:r>
      <w:proofErr w:type="gramStart"/>
      <w:r w:rsidRPr="006A7451">
        <w:rPr>
          <w:b/>
          <w:bCs/>
        </w:rPr>
        <w:t>drilling</w:t>
      </w:r>
      <w:proofErr w:type="gramEnd"/>
      <w:r w:rsidRPr="006A7451">
        <w:rPr>
          <w:b/>
          <w:bCs/>
        </w:rPr>
        <w:t xml:space="preserve"> and testing equipment; and record storage facili</w:t>
      </w:r>
      <w:r w:rsidRPr="003A0CA0">
        <w:rPr>
          <w:b/>
          <w:bCs/>
        </w:rPr>
        <w:t>ties.</w:t>
      </w:r>
    </w:p>
    <w:p w:rsidRPr="00B65823" w:rsidR="00722542" w:rsidP="00722542" w:rsidRDefault="00722542" w14:paraId="49F3EB8D" w14:textId="77777777">
      <w:pPr>
        <w:numPr>
          <w:ilvl w:val="0"/>
          <w:numId w:val="46"/>
        </w:numPr>
        <w:tabs>
          <w:tab w:val="clear" w:pos="1080"/>
        </w:tabs>
        <w:autoSpaceDE w:val="0"/>
        <w:autoSpaceDN w:val="0"/>
        <w:adjustRightInd w:val="0"/>
        <w:spacing w:after="120"/>
      </w:pPr>
      <w:r w:rsidRPr="00CA21AC">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A21AC">
        <w:rPr>
          <w:b/>
          <w:bCs/>
        </w:rPr>
        <w:t>process</w:t>
      </w:r>
      <w:proofErr w:type="gramEnd"/>
      <w:r w:rsidRPr="00CA21AC">
        <w:rPr>
          <w:b/>
          <w:bCs/>
        </w:rPr>
        <w:t xml:space="preserve"> and use existing ec</w:t>
      </w:r>
      <w:r w:rsidRPr="0052513D">
        <w:rPr>
          <w:b/>
          <w:bCs/>
        </w:rPr>
        <w:t>onomic or regulatory impact analysis associated with the rulemaking containing the information collection, as appropriate.</w:t>
      </w:r>
    </w:p>
    <w:p w:rsidRPr="002D5FF3" w:rsidR="00024B9F" w:rsidP="00722542" w:rsidRDefault="00722542" w14:paraId="32B8CB93" w14:textId="58548025">
      <w:pPr>
        <w:rPr>
          <w:b/>
          <w:color w:val="000000"/>
        </w:rPr>
      </w:pPr>
      <w:r w:rsidRPr="00CA21A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b/>
          <w:bCs/>
        </w:rPr>
        <w:t>s.</w:t>
      </w:r>
    </w:p>
    <w:p w:rsidRPr="002D5FF3" w:rsidR="00024B9F" w:rsidP="00024B9F" w:rsidRDefault="00024B9F" w14:paraId="766692FA" w14:textId="77777777">
      <w:pPr>
        <w:rPr>
          <w:b/>
          <w:color w:val="000000"/>
        </w:rPr>
      </w:pPr>
    </w:p>
    <w:p w:rsidRPr="002D5FF3" w:rsidR="00024B9F" w:rsidP="00024B9F" w:rsidRDefault="00AC2654" w14:paraId="58217316" w14:textId="198338DA">
      <w:pPr>
        <w:rPr>
          <w:b/>
          <w:color w:val="000000"/>
        </w:rPr>
      </w:pPr>
      <w:r w:rsidRPr="002D5FF3">
        <w:t>N</w:t>
      </w:r>
      <w:r w:rsidRPr="002D5FF3" w:rsidR="008A1194">
        <w:t>early all respondents have access to the internet and/or use of email.  Those respondents wh</w:t>
      </w:r>
      <w:r w:rsidRPr="002D5FF3" w:rsidR="00FF53AB">
        <w:t>o</w:t>
      </w:r>
      <w:r w:rsidRPr="002D5FF3" w:rsidR="008A1194">
        <w:t xml:space="preserve"> don’t have access to provide data electronically can provide data via telephone.  Therefore, respondents </w:t>
      </w:r>
      <w:r w:rsidRPr="002D5FF3" w:rsidR="00024B9F">
        <w:t xml:space="preserve">need no </w:t>
      </w:r>
      <w:r w:rsidRPr="002D5FF3" w:rsidR="00F24FC0">
        <w:t xml:space="preserve">additional </w:t>
      </w:r>
      <w:r w:rsidRPr="002D5FF3" w:rsidR="00024B9F">
        <w:t xml:space="preserve">equipment or technology for collection of </w:t>
      </w:r>
      <w:r w:rsidRPr="002D5FF3" w:rsidR="008A1194">
        <w:t>IPP data</w:t>
      </w:r>
      <w:r w:rsidRPr="002D5FF3" w:rsidR="00F24FC0">
        <w:t xml:space="preserve"> other than the </w:t>
      </w:r>
      <w:r w:rsidRPr="002D5FF3" w:rsidR="00F24FC0">
        <w:lastRenderedPageBreak/>
        <w:t xml:space="preserve">equipment already owned </w:t>
      </w:r>
      <w:r w:rsidRPr="002D5FF3" w:rsidR="00F125D7">
        <w:t>to conduct business</w:t>
      </w:r>
      <w:r w:rsidRPr="002D5FF3" w:rsidR="00024B9F">
        <w:t xml:space="preserve">; the company’s methods for maintaining its records are incidental to the IPP survey.  Respondents’ total annual capital costs (both the total capital and start-up cost component and the total operation and maintenance and purchase of services component) </w:t>
      </w:r>
      <w:r w:rsidRPr="002D5FF3">
        <w:t xml:space="preserve">due </w:t>
      </w:r>
      <w:r w:rsidRPr="002D5FF3" w:rsidR="00024B9F">
        <w:t>to the IPP survey are $0.</w:t>
      </w:r>
    </w:p>
    <w:p w:rsidRPr="002D5FF3" w:rsidR="00024B9F" w:rsidP="00024B9F" w:rsidRDefault="00024B9F" w14:paraId="1648ECFC" w14:textId="77777777">
      <w:pPr>
        <w:rPr>
          <w:b/>
          <w:color w:val="000000"/>
        </w:rPr>
      </w:pPr>
    </w:p>
    <w:p w:rsidRPr="002D5FF3" w:rsidR="00387C2E" w:rsidP="00024B9F" w:rsidRDefault="00387C2E" w14:paraId="281581FE" w14:textId="77777777">
      <w:pPr>
        <w:rPr>
          <w:b/>
          <w:color w:val="000000"/>
        </w:rPr>
      </w:pPr>
    </w:p>
    <w:p w:rsidRPr="002D5FF3" w:rsidR="00024B9F" w:rsidP="002D5FF3" w:rsidRDefault="00722542" w14:paraId="06B838CC" w14:textId="6B7F8B97">
      <w:pPr>
        <w:pStyle w:val="ListParagraph"/>
        <w:numPr>
          <w:ilvl w:val="0"/>
          <w:numId w:val="45"/>
        </w:numPr>
        <w:rPr>
          <w:b/>
          <w:color w:val="000000"/>
        </w:rPr>
      </w:pPr>
      <w:r w:rsidRPr="002D5FF3">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2D5FF3">
        <w:rPr>
          <w:b/>
          <w:bCs/>
        </w:rPr>
        <w:t>without this collection of information.  Agencies also may aggregate cost estimates from Items 12, 13, and 14 into a single table.</w:t>
      </w:r>
    </w:p>
    <w:p w:rsidRPr="002D5FF3" w:rsidR="00024B9F" w:rsidP="00024B9F" w:rsidRDefault="00024B9F" w14:paraId="646794E4" w14:textId="77777777">
      <w:pPr>
        <w:rPr>
          <w:b/>
          <w:color w:val="000000"/>
        </w:rPr>
      </w:pPr>
    </w:p>
    <w:p w:rsidRPr="002D5FF3" w:rsidR="00926EA3" w:rsidP="00926EA3" w:rsidRDefault="00C93857" w14:paraId="382792CF" w14:textId="2A996D5D">
      <w:r w:rsidRPr="002D5FF3">
        <w:t>For FY 2021</w:t>
      </w:r>
      <w:r w:rsidRPr="002D5FF3" w:rsidR="00926EA3">
        <w:t>, the collection and publication for data for the IPP Survey (both imports and exports) will cost approximately $</w:t>
      </w:r>
      <w:r w:rsidR="00B9247C">
        <w:t>22</w:t>
      </w:r>
      <w:r w:rsidRPr="002D5FF3" w:rsidR="009D1BF4">
        <w:t xml:space="preserve"> </w:t>
      </w:r>
      <w:r w:rsidRPr="002D5FF3" w:rsidR="00926EA3">
        <w:t>mill</w:t>
      </w:r>
      <w:r w:rsidRPr="002D5FF3" w:rsidR="00FA1078">
        <w:t xml:space="preserve">ion. BLS spends approximately </w:t>
      </w:r>
      <w:r w:rsidR="00CE0268">
        <w:t>65</w:t>
      </w:r>
      <w:r w:rsidRPr="002D5FF3" w:rsidR="00926EA3">
        <w:t xml:space="preserve"> percent of this amount </w:t>
      </w:r>
      <w:r w:rsidRPr="002D5FF3" w:rsidR="004107C8">
        <w:t>on f</w:t>
      </w:r>
      <w:r w:rsidRPr="002D5FF3" w:rsidR="00926EA3">
        <w:t>ederal employee compensation and benefit costs.</w:t>
      </w:r>
    </w:p>
    <w:p w:rsidRPr="002D5FF3" w:rsidR="00024B9F" w:rsidP="00024B9F" w:rsidRDefault="00024B9F" w14:paraId="33890A55" w14:textId="77777777">
      <w:pPr>
        <w:rPr>
          <w:b/>
          <w:color w:val="000000"/>
        </w:rPr>
      </w:pPr>
    </w:p>
    <w:p w:rsidRPr="002D5FF3" w:rsidR="00024B9F" w:rsidP="002D5FF3" w:rsidRDefault="00722542" w14:paraId="2B5E2816" w14:textId="031A7A45">
      <w:pPr>
        <w:pStyle w:val="ListParagraph"/>
        <w:numPr>
          <w:ilvl w:val="0"/>
          <w:numId w:val="45"/>
        </w:numPr>
        <w:rPr>
          <w:b/>
          <w:color w:val="000000"/>
        </w:rPr>
      </w:pPr>
      <w:r w:rsidRPr="002D5FF3">
        <w:rPr>
          <w:b/>
          <w:bCs/>
        </w:rPr>
        <w:t>Explain the reasons for any program changes or adjustments.</w:t>
      </w:r>
    </w:p>
    <w:p w:rsidRPr="002D5FF3" w:rsidR="006C2317" w:rsidP="00024B9F" w:rsidRDefault="006C2317" w14:paraId="180CC05B" w14:textId="77777777">
      <w:pPr>
        <w:rPr>
          <w:b/>
          <w:color w:val="000000"/>
        </w:rPr>
      </w:pPr>
    </w:p>
    <w:p w:rsidRPr="004869E2" w:rsidR="007D08DF" w:rsidP="007D08DF" w:rsidRDefault="007D08DF" w14:paraId="53A386C2" w14:textId="686F480B">
      <w:r w:rsidRPr="002D5FF3">
        <w:t xml:space="preserve">The annual number of responses decreased for both exports and imports because of fewer respondents in Initiation and in Repricing. The lower number of responses in Initiation reflects a smaller sample size, the </w:t>
      </w:r>
      <w:r w:rsidR="002B7F85">
        <w:t xml:space="preserve">continued </w:t>
      </w:r>
      <w:r w:rsidRPr="002D5FF3">
        <w:t xml:space="preserve">result of </w:t>
      </w:r>
      <w:r w:rsidR="00E66570">
        <w:t>the</w:t>
      </w:r>
      <w:r w:rsidRPr="002D5FF3">
        <w:t xml:space="preserve"> reduction in </w:t>
      </w:r>
      <w:r w:rsidR="00F05294">
        <w:t xml:space="preserve">data collection </w:t>
      </w:r>
      <w:r w:rsidRPr="002D5FF3">
        <w:t>staff available for initiation of companies into the Import and Export Price Index survey as well as an increase in the estimated number of hours required for collection of an IPP schedule. The hours estimate for data collection rose because a successful initiation has become more difficult in recent years (</w:t>
      </w:r>
      <w:r w:rsidR="0008355E">
        <w:t>partly due</w:t>
      </w:r>
      <w:r w:rsidRPr="002D5FF3">
        <w:t xml:space="preserve"> to the voluntary nature of the IPP survey) and because more travel time must be factored into collection as fewer staff cover a broader geographic area. Because the number of respondents in Repricing is impacted by the past number of companies in Initiation, the number of Repricing responses also declined after the sample size was reduced</w:t>
      </w:r>
      <w:r w:rsidRPr="004869E2">
        <w:t xml:space="preserve">.  </w:t>
      </w:r>
    </w:p>
    <w:p w:rsidRPr="004869E2" w:rsidR="007D08DF" w:rsidP="007D08DF" w:rsidRDefault="007D08DF" w14:paraId="4375905A" w14:textId="77777777"/>
    <w:p w:rsidRPr="002D5FF3" w:rsidR="007D08DF" w:rsidP="007D08DF" w:rsidRDefault="007D08DF" w14:paraId="0CF28004" w14:textId="77777777">
      <w:r w:rsidRPr="002D5FF3">
        <w:t xml:space="preserve">The frequency of responses per year decreased for both imports and exports whereas the number of items repriced per respondent decreased for exports and increased for imports. Although IPP survey methods prioritize monthly price collection for all sampled items (intended for initiation into the survey), participation in the IPP survey is voluntary. </w:t>
      </w:r>
      <w:proofErr w:type="gramStart"/>
      <w:r w:rsidRPr="002D5FF3">
        <w:t>Respondents</w:t>
      </w:r>
      <w:proofErr w:type="gramEnd"/>
      <w:r w:rsidRPr="002D5FF3">
        <w:t xml:space="preserve"> therefore, decide how many items they will reprice and set their own repricing schedules. Repricing schedules are set according to how frequently and when price changes occur for the items and/or how often respondents are willing to provide price information. Index calculation methods are in place to address changes in periodicity of pricing. </w:t>
      </w:r>
    </w:p>
    <w:p w:rsidRPr="002D5FF3" w:rsidR="005051E4" w:rsidP="00CB3B8D" w:rsidRDefault="005051E4" w14:paraId="503C9CED" w14:textId="77777777"/>
    <w:p w:rsidRPr="002D5FF3" w:rsidR="00E4007E" w:rsidP="00CB3B8D" w:rsidRDefault="00116ED5" w14:paraId="2ABB6FF9" w14:textId="308CB55E">
      <w:r w:rsidRPr="002D5FF3">
        <w:t>Despite the slight decreases in the frequency of responses and the number of items repriced per export respondent, the</w:t>
      </w:r>
      <w:r w:rsidRPr="002D5FF3" w:rsidR="00A740F3">
        <w:t xml:space="preserve"> </w:t>
      </w:r>
      <w:r w:rsidRPr="002D5FF3">
        <w:t>a</w:t>
      </w:r>
      <w:r w:rsidRPr="002D5FF3" w:rsidR="00A740F3">
        <w:t xml:space="preserve">nnual </w:t>
      </w:r>
      <w:r w:rsidRPr="002D5FF3" w:rsidR="00E4007E">
        <w:t xml:space="preserve">time burden </w:t>
      </w:r>
      <w:r w:rsidRPr="002D5FF3">
        <w:t xml:space="preserve">dropped primarily </w:t>
      </w:r>
      <w:r w:rsidRPr="002D5FF3" w:rsidR="00E4007E">
        <w:t>because of the lower number of respondents in Initiation and Repricing.</w:t>
      </w:r>
    </w:p>
    <w:p w:rsidRPr="004869E2" w:rsidR="00CB3B8D" w:rsidP="00CB3B8D" w:rsidRDefault="00CB3B8D" w14:paraId="66C393BA" w14:textId="77777777"/>
    <w:p w:rsidRPr="002D5FF3" w:rsidR="00CB3B8D" w:rsidP="00CB3B8D" w:rsidRDefault="00D52251" w14:paraId="78073BFB" w14:textId="5C0ABC11">
      <w:pPr>
        <w:rPr>
          <w:b/>
          <w:bCs/>
        </w:rPr>
      </w:pPr>
      <w:r w:rsidRPr="002D5FF3">
        <w:t xml:space="preserve">Despite </w:t>
      </w:r>
      <w:r w:rsidRPr="002D5FF3" w:rsidR="00CB3B8D">
        <w:t>higher average hourly pay rates (calculated by BLS’ Employment Cost Index) for both management, professional, and related employees</w:t>
      </w:r>
      <w:r w:rsidRPr="002D5FF3">
        <w:t xml:space="preserve"> and for sales/office employees, annual cost burden decreased because of the lower number of respondents in Initiation and Repricing.</w:t>
      </w:r>
      <w:r w:rsidRPr="002D5FF3" w:rsidR="00CB3B8D">
        <w:t xml:space="preserve">   </w:t>
      </w:r>
    </w:p>
    <w:p w:rsidRPr="002D5FF3" w:rsidR="00CB3B8D" w:rsidP="00CB3B8D" w:rsidRDefault="00CB3B8D" w14:paraId="4894FE39" w14:textId="77777777"/>
    <w:p w:rsidRPr="002D5FF3" w:rsidR="00024B9F" w:rsidP="002D5FF3" w:rsidRDefault="00722542" w14:paraId="6497E0FF" w14:textId="2A2D8B62">
      <w:pPr>
        <w:pStyle w:val="ListParagraph"/>
        <w:numPr>
          <w:ilvl w:val="0"/>
          <w:numId w:val="45"/>
        </w:numPr>
        <w:rPr>
          <w:b/>
          <w:color w:val="000000"/>
        </w:rPr>
      </w:pPr>
      <w:r w:rsidRPr="002D5FF3">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Pr="002D5FF3" w:rsidR="00024B9F" w:rsidP="00024B9F" w:rsidRDefault="00024B9F" w14:paraId="319F921F" w14:textId="77777777">
      <w:pPr>
        <w:tabs>
          <w:tab w:val="left" w:pos="360"/>
          <w:tab w:val="left" w:pos="480"/>
          <w:tab w:val="left" w:pos="960"/>
          <w:tab w:val="left" w:pos="1170"/>
          <w:tab w:val="left" w:pos="1320"/>
          <w:tab w:val="left" w:pos="1800"/>
          <w:tab w:val="left" w:pos="2760"/>
        </w:tabs>
        <w:rPr>
          <w:b/>
          <w:color w:val="000000"/>
        </w:rPr>
      </w:pPr>
    </w:p>
    <w:p w:rsidRPr="002D5FF3" w:rsidR="00024B9F" w:rsidP="00024B9F" w:rsidRDefault="00024B9F" w14:paraId="51B56FED" w14:textId="258EBFB0">
      <w:pPr>
        <w:tabs>
          <w:tab w:val="left" w:pos="360"/>
          <w:tab w:val="left" w:pos="480"/>
          <w:tab w:val="left" w:pos="960"/>
          <w:tab w:val="left" w:pos="1170"/>
          <w:tab w:val="left" w:pos="1320"/>
          <w:tab w:val="left" w:pos="1800"/>
          <w:tab w:val="left" w:pos="2760"/>
        </w:tabs>
      </w:pPr>
      <w:r w:rsidRPr="002D5FF3">
        <w:t xml:space="preserve">The merchandise price indexes are published using three different classification systems:  the Harmonized System (HS), the Bureau of Economic Analysis End Use System (End Use), and the Foreign Trade North American Industry Classification System (NAICS).  </w:t>
      </w:r>
      <w:r w:rsidRPr="002D5FF3" w:rsidR="00BE0C59">
        <w:t xml:space="preserve">Since services are not covered in the published classification systems used for merchandise trade, </w:t>
      </w:r>
      <w:r w:rsidRPr="002D5FF3" w:rsidR="00D92378">
        <w:t>p</w:t>
      </w:r>
      <w:r w:rsidRPr="002D5FF3">
        <w:t>rice indexes for internationally traded services are published using two other definitions</w:t>
      </w:r>
      <w:r w:rsidRPr="002D5FF3" w:rsidR="00BE0C59">
        <w:t>:</w:t>
      </w:r>
      <w:r w:rsidRPr="002D5FF3">
        <w:t xml:space="preserve"> the Balance of Payments (BOP), which represents transactions between U</w:t>
      </w:r>
      <w:r w:rsidRPr="002D5FF3" w:rsidR="00D92378">
        <w:t>.S. and foreign residents; and i</w:t>
      </w:r>
      <w:r w:rsidRPr="002D5FF3">
        <w:t>nternational services indexes, which represent transactions “inbound to” and “outbound from” the U.S.</w:t>
      </w:r>
    </w:p>
    <w:p w:rsidRPr="002D5FF3" w:rsidR="00024B9F" w:rsidP="00024B9F" w:rsidRDefault="00024B9F" w14:paraId="3893A792" w14:textId="77777777">
      <w:pPr>
        <w:tabs>
          <w:tab w:val="left" w:pos="360"/>
          <w:tab w:val="left" w:pos="480"/>
          <w:tab w:val="left" w:pos="960"/>
          <w:tab w:val="left" w:pos="1320"/>
          <w:tab w:val="left" w:pos="1800"/>
          <w:tab w:val="left" w:pos="2760"/>
        </w:tabs>
      </w:pPr>
    </w:p>
    <w:p w:rsidRPr="002D5FF3" w:rsidR="00024B9F" w:rsidP="00024B9F" w:rsidRDefault="00024B9F" w14:paraId="13906907" w14:textId="4FC028A0">
      <w:pPr>
        <w:tabs>
          <w:tab w:val="left" w:pos="360"/>
          <w:tab w:val="left" w:pos="480"/>
          <w:tab w:val="left" w:pos="960"/>
          <w:tab w:val="left" w:pos="1320"/>
          <w:tab w:val="left" w:pos="1800"/>
          <w:tab w:val="left" w:pos="2760"/>
        </w:tabs>
      </w:pPr>
      <w:r w:rsidRPr="002D5FF3">
        <w:t xml:space="preserve">The HS </w:t>
      </w:r>
      <w:r w:rsidRPr="002D5FF3" w:rsidR="00654F3D">
        <w:t xml:space="preserve">classification </w:t>
      </w:r>
      <w:r w:rsidRPr="002D5FF3">
        <w:t xml:space="preserve">system is used for sampling, weighting, and the collection of data. Each published product group is composed of classification groups, constructed from homogeneous or related product categories in the Harmonized TSUSA or Schedule B classifications. Index aggregation weights are now revised on a yearly </w:t>
      </w:r>
      <w:proofErr w:type="gramStart"/>
      <w:r w:rsidRPr="002D5FF3">
        <w:t>basis</w:t>
      </w:r>
      <w:proofErr w:type="gramEnd"/>
      <w:r w:rsidRPr="002D5FF3">
        <w:t xml:space="preserve"> </w:t>
      </w:r>
      <w:r w:rsidR="005205E7">
        <w:t xml:space="preserve">and they </w:t>
      </w:r>
      <w:r w:rsidR="00663E55">
        <w:t>reflect</w:t>
      </w:r>
      <w:r w:rsidRPr="002D5FF3">
        <w:t xml:space="preserve"> the constantly changing patterns of international trade</w:t>
      </w:r>
      <w:r w:rsidRPr="002D5FF3" w:rsidR="00BE0C59">
        <w:t xml:space="preserve"> more accurately</w:t>
      </w:r>
      <w:r w:rsidRPr="002D5FF3">
        <w:t>.  For the IPP’s goods indexes, the aggregation weights at the stratum</w:t>
      </w:r>
      <w:r w:rsidRPr="002D5FF3" w:rsidR="00CB3D01">
        <w:rPr>
          <w:rStyle w:val="FootnoteReference"/>
        </w:rPr>
        <w:footnoteReference w:customMarkFollows="1" w:id="13"/>
        <w:t>14</w:t>
      </w:r>
      <w:r w:rsidRPr="002D5FF3" w:rsidR="00A339CE">
        <w:rPr>
          <w:rStyle w:val="FootnoteReference"/>
        </w:rPr>
        <w:t xml:space="preserve"> </w:t>
      </w:r>
      <w:r w:rsidRPr="002D5FF3">
        <w:t>and detailed classification group levels consist of the universe trade dollar value totals that are published by the Bureau of the Census.  Changes affecting the weights of products in the basket of goods bought and sold in foreign markets are now made every January, beginning in 2004, and reflect shifts in trade patterns</w:t>
      </w:r>
      <w:r w:rsidRPr="002D5FF3" w:rsidR="00122652">
        <w:t xml:space="preserve"> from two years earlier.  All s</w:t>
      </w:r>
      <w:r w:rsidRPr="002D5FF3">
        <w:t>ervices indexes are now also reweighted each January and reflect shifts in trade patterns from two years earlier.  The IPP began annual reweighting of Air Passenger Indexes in January 2007 and of Air Freight Indexes in January 2009.</w:t>
      </w:r>
    </w:p>
    <w:p w:rsidRPr="002D5FF3" w:rsidR="00024B9F" w:rsidP="00024B9F" w:rsidRDefault="00024B9F" w14:paraId="2619F4FB" w14:textId="6BF6B55B">
      <w:pPr>
        <w:tabs>
          <w:tab w:val="left" w:pos="360"/>
          <w:tab w:val="left" w:pos="480"/>
          <w:tab w:val="left" w:pos="960"/>
          <w:tab w:val="left" w:pos="1320"/>
          <w:tab w:val="left" w:pos="1800"/>
          <w:tab w:val="left" w:pos="2760"/>
        </w:tabs>
        <w:spacing w:before="120"/>
      </w:pPr>
      <w:r w:rsidRPr="002D5FF3">
        <w:t>Respondents providing data via the web receive a notification to reprice on the second business day of the reference month (Attachment</w:t>
      </w:r>
      <w:r w:rsidRPr="002D5FF3" w:rsidR="00DD0405">
        <w:t xml:space="preserve">s 7D-7E for </w:t>
      </w:r>
      <w:proofErr w:type="gramStart"/>
      <w:r w:rsidRPr="002D5FF3" w:rsidR="00DD0405">
        <w:t>newly-initiated</w:t>
      </w:r>
      <w:proofErr w:type="gramEnd"/>
      <w:r w:rsidRPr="002D5FF3" w:rsidR="00DD0405">
        <w:t xml:space="preserve"> web respondents and Attachment 7</w:t>
      </w:r>
      <w:r w:rsidRPr="002D5FF3" w:rsidR="00BA11D1">
        <w:t>G</w:t>
      </w:r>
      <w:r w:rsidRPr="002D5FF3" w:rsidR="00DD0405">
        <w:t xml:space="preserve"> for existing web respondents</w:t>
      </w:r>
      <w:r w:rsidRPr="002D5FF3">
        <w:t xml:space="preserve">).  Data collection continues for </w:t>
      </w:r>
      <w:r w:rsidRPr="002D5FF3" w:rsidR="00237450">
        <w:t xml:space="preserve">approximately </w:t>
      </w:r>
      <w:r w:rsidRPr="002D5FF3">
        <w:t xml:space="preserve">five weeks; the indexes are released approximately one week later.  Schedules sent to the </w:t>
      </w:r>
      <w:r w:rsidRPr="002D5FF3" w:rsidR="00D41B94">
        <w:t>regions are collected on a flow basis and some</w:t>
      </w:r>
      <w:r w:rsidRPr="002D5FF3">
        <w:t xml:space="preserve"> may remain in </w:t>
      </w:r>
      <w:r w:rsidRPr="002D5FF3" w:rsidR="00D41B94">
        <w:t>collection</w:t>
      </w:r>
      <w:r w:rsidRPr="002D5FF3">
        <w:t xml:space="preserve"> for </w:t>
      </w:r>
      <w:r w:rsidRPr="002D5FF3" w:rsidR="00D41B94">
        <w:t>around two years</w:t>
      </w:r>
      <w:r w:rsidRPr="002D5FF3">
        <w:t>.</w:t>
      </w:r>
    </w:p>
    <w:p w:rsidRPr="002D5FF3" w:rsidR="00FD1158" w:rsidP="00024B9F" w:rsidRDefault="00024B9F" w14:paraId="47AAE76F" w14:textId="027D6286">
      <w:pPr>
        <w:tabs>
          <w:tab w:val="left" w:pos="360"/>
          <w:tab w:val="left" w:pos="480"/>
          <w:tab w:val="left" w:pos="960"/>
          <w:tab w:val="left" w:pos="1320"/>
          <w:tab w:val="left" w:pos="1800"/>
          <w:tab w:val="left" w:pos="2760"/>
        </w:tabs>
        <w:spacing w:before="120"/>
      </w:pPr>
      <w:r w:rsidRPr="002D5FF3">
        <w:t>The IPP data are published in a monthly news release that includes a description of some of the highlights of import and export price movements over the past month.  The release also includes tables that detail aggregate price indexes for each of the published classification systems.  (An IPP news release is included as Attachment 1</w:t>
      </w:r>
      <w:r w:rsidRPr="002D5FF3" w:rsidR="00DC2E8E">
        <w:t>7</w:t>
      </w:r>
      <w:r w:rsidRPr="002D5FF3">
        <w:t xml:space="preserve">.)  The release dates are announced in </w:t>
      </w:r>
      <w:r w:rsidRPr="002D5FF3" w:rsidR="008B7C9D">
        <w:t xml:space="preserve">the fall </w:t>
      </w:r>
      <w:r w:rsidRPr="002D5FF3">
        <w:t xml:space="preserve">of the previous year and are available online at </w:t>
      </w:r>
      <w:hyperlink w:history="1" r:id="rId20">
        <w:r w:rsidRPr="002D5FF3">
          <w:rPr>
            <w:rStyle w:val="Hyperlink"/>
          </w:rPr>
          <w:t>http://www.bls.gov/schedule/news_release/ximpim.htm</w:t>
        </w:r>
      </w:hyperlink>
      <w:r w:rsidRPr="002D5FF3">
        <w:t xml:space="preserve">.   In addition to the news release, the IPP publishes more detailed tables that contain indexes and percent changes over the past four months for each of the program’s published indexes.  The IPP also offers full historical tables </w:t>
      </w:r>
      <w:r w:rsidRPr="002D5FF3" w:rsidR="00654F3D">
        <w:t>(</w:t>
      </w:r>
      <w:hyperlink w:history="1" w:anchor="long_tables" r:id="rId21">
        <w:r w:rsidRPr="002D5FF3" w:rsidR="00654F3D">
          <w:rPr>
            <w:rStyle w:val="Hyperlink"/>
          </w:rPr>
          <w:t>http://www.bls.gov/web/ximpim.supp.toc.htm#long_tables</w:t>
        </w:r>
      </w:hyperlink>
      <w:r w:rsidRPr="002D5FF3" w:rsidR="00654F3D">
        <w:t xml:space="preserve">) </w:t>
      </w:r>
      <w:r w:rsidRPr="002D5FF3">
        <w:t xml:space="preserve">that show the index values for each </w:t>
      </w:r>
      <w:r w:rsidRPr="002D5FF3">
        <w:lastRenderedPageBreak/>
        <w:t>published stratum dating back to when the series was first published.  IPP outputs are available to the public by e-mail (using the BLS News Service) or on the internet</w:t>
      </w:r>
      <w:r w:rsidRPr="002D5FF3" w:rsidR="001355F6">
        <w:t xml:space="preserve"> </w:t>
      </w:r>
      <w:r w:rsidRPr="002D5FF3" w:rsidR="00D52B33">
        <w:t>(</w:t>
      </w:r>
      <w:hyperlink w:history="1" r:id="rId22">
        <w:r w:rsidRPr="002D5FF3" w:rsidR="001355F6">
          <w:rPr>
            <w:rStyle w:val="Hyperlink"/>
          </w:rPr>
          <w:t>http://www.bls.gov/mxp/</w:t>
        </w:r>
      </w:hyperlink>
      <w:r w:rsidRPr="002D5FF3" w:rsidR="001355F6">
        <w:t>).</w:t>
      </w:r>
      <w:r w:rsidRPr="002D5FF3">
        <w:t xml:space="preserve"> </w:t>
      </w:r>
      <w:r w:rsidRPr="002D5FF3" w:rsidR="001355F6">
        <w:t xml:space="preserve"> </w:t>
      </w:r>
      <w:r w:rsidRPr="002D5FF3">
        <w:t xml:space="preserve">Detailed analyses using international prices are also published periodically in the </w:t>
      </w:r>
      <w:r w:rsidRPr="002D5FF3">
        <w:rPr>
          <w:u w:val="single"/>
        </w:rPr>
        <w:t>Monthly Labor Review</w:t>
      </w:r>
      <w:r w:rsidRPr="002D5FF3" w:rsidR="004D0C26">
        <w:t xml:space="preserve"> and as </w:t>
      </w:r>
      <w:r w:rsidRPr="002D5FF3" w:rsidR="004D0C26">
        <w:rPr>
          <w:i/>
        </w:rPr>
        <w:t>Beyond the Numbers</w:t>
      </w:r>
      <w:r w:rsidRPr="002D5FF3" w:rsidR="004D0C26">
        <w:t xml:space="preserve"> articles</w:t>
      </w:r>
      <w:r w:rsidRPr="002D5FF3" w:rsidR="00E852A3">
        <w:t>.  (Attachment</w:t>
      </w:r>
      <w:r w:rsidRPr="002D5FF3" w:rsidR="008C6565">
        <w:t>s</w:t>
      </w:r>
      <w:r w:rsidRPr="002D5FF3" w:rsidR="00D50BF1">
        <w:t xml:space="preserve"> 1</w:t>
      </w:r>
      <w:r w:rsidRPr="002D5FF3" w:rsidR="004C2A55">
        <w:t>8 and 19</w:t>
      </w:r>
      <w:r w:rsidRPr="002D5FF3" w:rsidR="008C6565">
        <w:t xml:space="preserve"> are</w:t>
      </w:r>
      <w:r w:rsidRPr="002D5FF3" w:rsidR="00E852A3">
        <w:t xml:space="preserve"> article</w:t>
      </w:r>
      <w:r w:rsidRPr="002D5FF3" w:rsidR="008C6565">
        <w:t>s</w:t>
      </w:r>
      <w:r w:rsidRPr="002D5FF3">
        <w:t xml:space="preserve"> which reference</w:t>
      </w:r>
      <w:r w:rsidRPr="002D5FF3" w:rsidR="00E852A3">
        <w:t xml:space="preserve"> IPP data and which ha</w:t>
      </w:r>
      <w:r w:rsidRPr="002D5FF3" w:rsidR="008C6565">
        <w:t>ve</w:t>
      </w:r>
      <w:r w:rsidRPr="002D5FF3">
        <w:t xml:space="preserve"> been published in the </w:t>
      </w:r>
      <w:r w:rsidRPr="002D5FF3">
        <w:rPr>
          <w:u w:val="single"/>
        </w:rPr>
        <w:t>Monthly Labor Review</w:t>
      </w:r>
      <w:r w:rsidRPr="002D5FF3" w:rsidR="00B65261">
        <w:t>, accessible at</w:t>
      </w:r>
      <w:r w:rsidRPr="002D5FF3" w:rsidR="00F56DD9">
        <w:rPr>
          <w:u w:val="single"/>
        </w:rPr>
        <w:t xml:space="preserve"> </w:t>
      </w:r>
      <w:hyperlink w:history="1" r:id="rId23">
        <w:r w:rsidRPr="002D5FF3" w:rsidR="00F56DD9">
          <w:rPr>
            <w:rStyle w:val="Hyperlink"/>
          </w:rPr>
          <w:t>http://www.bls.gov/opub/mlr/</w:t>
        </w:r>
      </w:hyperlink>
      <w:r w:rsidRPr="002D5FF3" w:rsidR="00C525AB">
        <w:t>.</w:t>
      </w:r>
      <w:r w:rsidRPr="002D5FF3" w:rsidR="00E852A3">
        <w:t xml:space="preserve">  Attachment</w:t>
      </w:r>
      <w:r w:rsidRPr="002D5FF3" w:rsidR="008C6565">
        <w:t>s</w:t>
      </w:r>
      <w:r w:rsidRPr="002D5FF3" w:rsidR="00F56DD9">
        <w:t xml:space="preserve"> </w:t>
      </w:r>
      <w:r w:rsidRPr="002D5FF3" w:rsidR="00D50BF1">
        <w:t>2</w:t>
      </w:r>
      <w:r w:rsidRPr="002D5FF3" w:rsidR="004C2A55">
        <w:t>0-22</w:t>
      </w:r>
      <w:r w:rsidRPr="002D5FF3" w:rsidR="00F56DD9">
        <w:t xml:space="preserve"> </w:t>
      </w:r>
      <w:r w:rsidRPr="002D5FF3" w:rsidR="008C6565">
        <w:t xml:space="preserve">are </w:t>
      </w:r>
      <w:r w:rsidRPr="002D5FF3" w:rsidR="00F56DD9">
        <w:rPr>
          <w:i/>
        </w:rPr>
        <w:t xml:space="preserve">Beyond the Numbers </w:t>
      </w:r>
      <w:r w:rsidRPr="002D5FF3" w:rsidR="00E852A3">
        <w:t>article</w:t>
      </w:r>
      <w:r w:rsidRPr="002D5FF3" w:rsidR="008C6565">
        <w:t>s</w:t>
      </w:r>
      <w:r w:rsidRPr="002D5FF3" w:rsidR="00F56DD9">
        <w:t xml:space="preserve"> which reference</w:t>
      </w:r>
      <w:r w:rsidRPr="002D5FF3" w:rsidR="00E852A3">
        <w:t xml:space="preserve"> IPP data and which </w:t>
      </w:r>
      <w:r w:rsidRPr="002D5FF3" w:rsidR="008C6565">
        <w:t>are</w:t>
      </w:r>
      <w:r w:rsidRPr="002D5FF3" w:rsidR="00F56DD9">
        <w:t xml:space="preserve"> available on the BLS website</w:t>
      </w:r>
      <w:r w:rsidRPr="002D5FF3" w:rsidR="00B65261">
        <w:t xml:space="preserve"> at</w:t>
      </w:r>
      <w:r w:rsidRPr="002D5FF3" w:rsidR="00F56DD9">
        <w:t xml:space="preserve"> </w:t>
      </w:r>
      <w:hyperlink w:history="1" r:id="rId24">
        <w:r w:rsidRPr="002D5FF3" w:rsidR="00F56DD9">
          <w:rPr>
            <w:rStyle w:val="Hyperlink"/>
          </w:rPr>
          <w:t>http://www.bls.gov/opub/btn/</w:t>
        </w:r>
      </w:hyperlink>
      <w:r w:rsidRPr="002D5FF3" w:rsidR="00F56DD9">
        <w:t>.</w:t>
      </w:r>
      <w:r w:rsidRPr="002D5FF3" w:rsidR="004C2A55">
        <w:t xml:space="preserve"> Attachments 23</w:t>
      </w:r>
      <w:r w:rsidRPr="002D5FF3" w:rsidR="00D50BF1">
        <w:t xml:space="preserve"> and 2</w:t>
      </w:r>
      <w:r w:rsidRPr="002D5FF3" w:rsidR="004C2A55">
        <w:t>4</w:t>
      </w:r>
      <w:r w:rsidRPr="002D5FF3" w:rsidR="00D50BF1">
        <w:t xml:space="preserve"> are BLS working papers pertaining to IPP data.</w:t>
      </w:r>
      <w:r w:rsidRPr="002D5FF3">
        <w:t>)</w:t>
      </w:r>
    </w:p>
    <w:p w:rsidRPr="002D5FF3" w:rsidR="00FD1158" w:rsidP="00024B9F" w:rsidRDefault="00FD1158" w14:paraId="1F394FF3" w14:textId="77777777">
      <w:pPr>
        <w:tabs>
          <w:tab w:val="left" w:pos="360"/>
          <w:tab w:val="left" w:pos="480"/>
          <w:tab w:val="left" w:pos="960"/>
          <w:tab w:val="left" w:pos="1320"/>
          <w:tab w:val="left" w:pos="1800"/>
          <w:tab w:val="left" w:pos="2760"/>
        </w:tabs>
        <w:spacing w:before="120"/>
      </w:pPr>
    </w:p>
    <w:p w:rsidRPr="002D5FF3" w:rsidR="00024B9F" w:rsidP="002D5FF3" w:rsidRDefault="00722542" w14:paraId="0D3857E4" w14:textId="79DBEAFE">
      <w:pPr>
        <w:pStyle w:val="ListParagraph"/>
        <w:numPr>
          <w:ilvl w:val="0"/>
          <w:numId w:val="45"/>
        </w:numPr>
        <w:tabs>
          <w:tab w:val="left" w:pos="360"/>
          <w:tab w:val="left" w:pos="480"/>
          <w:tab w:val="left" w:pos="960"/>
          <w:tab w:val="left" w:pos="1320"/>
          <w:tab w:val="left" w:pos="1800"/>
          <w:tab w:val="left" w:pos="2760"/>
        </w:tabs>
        <w:spacing w:before="120"/>
        <w:rPr>
          <w:b/>
        </w:rPr>
      </w:pPr>
      <w:r w:rsidRPr="002D5FF3">
        <w:rPr>
          <w:b/>
          <w:bCs/>
        </w:rPr>
        <w:t>If seeking approval to not display the expiration date for OMB approval of the information collection, explain the reasons that display would be inappropriate.</w:t>
      </w:r>
    </w:p>
    <w:p w:rsidRPr="002D5FF3" w:rsidR="00FD1158" w:rsidP="00024B9F" w:rsidRDefault="00FD1158" w14:paraId="417ADCFF" w14:textId="77777777"/>
    <w:p w:rsidRPr="002D5FF3" w:rsidR="009750E3" w:rsidP="00024B9F" w:rsidRDefault="0083795C" w14:paraId="330F362A" w14:textId="77777777">
      <w:r w:rsidRPr="002D5FF3">
        <w:t xml:space="preserve">The International Price Program requests authorization to not </w:t>
      </w:r>
      <w:r w:rsidRPr="002D5FF3" w:rsidR="00A54AFE">
        <w:t xml:space="preserve">display the expiration date </w:t>
      </w:r>
      <w:r w:rsidRPr="002D5FF3">
        <w:t xml:space="preserve">for OMB approval </w:t>
      </w:r>
      <w:r w:rsidRPr="002D5FF3" w:rsidR="00A54AFE">
        <w:t xml:space="preserve">on the </w:t>
      </w:r>
      <w:r w:rsidRPr="002D5FF3" w:rsidR="009750E3">
        <w:t>following materials:</w:t>
      </w:r>
    </w:p>
    <w:p w:rsidRPr="002D5FF3" w:rsidR="009750E3" w:rsidP="00024B9F" w:rsidRDefault="009750E3" w14:paraId="61390B72" w14:textId="77777777"/>
    <w:p w:rsidRPr="002D5FF3" w:rsidR="009750E3" w:rsidP="009750E3" w:rsidRDefault="00A54AFE" w14:paraId="1940DBF9" w14:textId="59DA7E2B">
      <w:pPr>
        <w:pStyle w:val="ListParagraph"/>
        <w:numPr>
          <w:ilvl w:val="0"/>
          <w:numId w:val="43"/>
        </w:numPr>
      </w:pPr>
      <w:r w:rsidRPr="002D5FF3">
        <w:t>disaggregation worksheet</w:t>
      </w:r>
      <w:r w:rsidRPr="002D5FF3" w:rsidR="009750E3">
        <w:t>/</w:t>
      </w:r>
      <w:r w:rsidRPr="002D5FF3">
        <w:t>form 3008</w:t>
      </w:r>
      <w:r w:rsidRPr="002D5FF3" w:rsidR="009750E3">
        <w:t xml:space="preserve"> (</w:t>
      </w:r>
      <w:r w:rsidRPr="002D5FF3" w:rsidR="004C2A55">
        <w:t>Attachment 12</w:t>
      </w:r>
      <w:r w:rsidRPr="002D5FF3">
        <w:t>)</w:t>
      </w:r>
      <w:r w:rsidRPr="002D5FF3" w:rsidR="009750E3">
        <w:t xml:space="preserve"> </w:t>
      </w:r>
      <w:r w:rsidRPr="002D5FF3" w:rsidR="00F926B5">
        <w:t xml:space="preserve">– </w:t>
      </w:r>
      <w:r w:rsidRPr="002D5FF3" w:rsidR="009A0608">
        <w:t>Without receiving a waiver of the expiration date requirement, the IPP will be required to discard otherwis</w:t>
      </w:r>
      <w:r w:rsidRPr="002D5FF3" w:rsidR="00ED0493">
        <w:t>e use</w:t>
      </w:r>
      <w:r w:rsidRPr="002D5FF3" w:rsidR="009A0608">
        <w:t>able forms at the end of the three-year window and incur additional printing costs.</w:t>
      </w:r>
    </w:p>
    <w:p w:rsidRPr="002D5FF3" w:rsidR="009750E3" w:rsidP="009750E3" w:rsidRDefault="009750E3" w14:paraId="4FBA2C0F" w14:textId="77777777">
      <w:pPr>
        <w:pStyle w:val="ListParagraph"/>
      </w:pPr>
    </w:p>
    <w:p w:rsidRPr="002D5FF3" w:rsidR="009750E3" w:rsidP="009750E3" w:rsidRDefault="004C2A55" w14:paraId="3D8DA587" w14:textId="154EA20F">
      <w:pPr>
        <w:pStyle w:val="ListParagraph"/>
        <w:numPr>
          <w:ilvl w:val="0"/>
          <w:numId w:val="43"/>
        </w:numPr>
      </w:pPr>
      <w:r w:rsidRPr="002D5FF3">
        <w:t>B form/form 230 (Attachment 13</w:t>
      </w:r>
      <w:r w:rsidRPr="002D5FF3" w:rsidR="009750E3">
        <w:t xml:space="preserve">) – The system used to produce this form is being phased out and the expiration date is not easily updated in IPP’s initiation system since there is no source file.  Removal of the expiration date will eliminate further updates to an aging system that IPP plans to replace </w:t>
      </w:r>
      <w:proofErr w:type="gramStart"/>
      <w:r w:rsidRPr="002D5FF3" w:rsidR="009750E3">
        <w:t>in the near future</w:t>
      </w:r>
      <w:proofErr w:type="gramEnd"/>
      <w:r w:rsidRPr="002D5FF3" w:rsidR="009750E3">
        <w:t>.</w:t>
      </w:r>
    </w:p>
    <w:p w:rsidRPr="002D5FF3" w:rsidR="00F93BF8" w:rsidP="00F93BF8" w:rsidRDefault="00F93BF8" w14:paraId="01E148A0" w14:textId="77777777">
      <w:pPr>
        <w:pStyle w:val="ListParagraph"/>
      </w:pPr>
    </w:p>
    <w:p w:rsidRPr="002D5FF3" w:rsidR="00F93BF8" w:rsidP="009750E3" w:rsidRDefault="00F93BF8" w14:paraId="5F48AB52" w14:textId="3B61336D">
      <w:pPr>
        <w:pStyle w:val="ListParagraph"/>
        <w:numPr>
          <w:ilvl w:val="0"/>
          <w:numId w:val="43"/>
        </w:numPr>
      </w:pPr>
      <w:r w:rsidRPr="002D5FF3">
        <w:t xml:space="preserve">Survey Unit Information (SUI) </w:t>
      </w:r>
      <w:r w:rsidRPr="002D5FF3" w:rsidR="004876CE">
        <w:t>Li</w:t>
      </w:r>
      <w:r w:rsidRPr="002D5FF3">
        <w:t>sting</w:t>
      </w:r>
      <w:r w:rsidRPr="002D5FF3" w:rsidR="004C2A55">
        <w:t>/form 228</w:t>
      </w:r>
      <w:r w:rsidRPr="002D5FF3">
        <w:t xml:space="preserve"> </w:t>
      </w:r>
      <w:r w:rsidRPr="002D5FF3" w:rsidR="00BF3F3D">
        <w:t>(Attachment 1</w:t>
      </w:r>
      <w:r w:rsidRPr="002D5FF3" w:rsidR="004C2A55">
        <w:t>4</w:t>
      </w:r>
      <w:r w:rsidRPr="002D5FF3" w:rsidR="00BF3F3D">
        <w:t xml:space="preserve">) </w:t>
      </w:r>
      <w:r w:rsidRPr="002D5FF3" w:rsidR="00FD1158">
        <w:t>–</w:t>
      </w:r>
      <w:r w:rsidRPr="002D5FF3" w:rsidR="009A0608">
        <w:t xml:space="preserve"> </w:t>
      </w:r>
      <w:r w:rsidR="00633C7B">
        <w:t>Th</w:t>
      </w:r>
      <w:r w:rsidR="00D80FEB">
        <w:t xml:space="preserve">is material is generated in the IPS system for which coding and testing sources are limited. </w:t>
      </w:r>
    </w:p>
    <w:p w:rsidRPr="002D5FF3" w:rsidR="009750E3" w:rsidP="009750E3" w:rsidRDefault="009750E3" w14:paraId="0FD26873" w14:textId="77777777">
      <w:pPr>
        <w:pStyle w:val="ListParagraph"/>
      </w:pPr>
    </w:p>
    <w:p w:rsidRPr="002D5FF3" w:rsidR="00024B9F" w:rsidP="009750E3" w:rsidRDefault="00CC68A3" w14:paraId="530051B4" w14:textId="5B4535F3">
      <w:pPr>
        <w:pStyle w:val="ListParagraph"/>
        <w:numPr>
          <w:ilvl w:val="0"/>
          <w:numId w:val="43"/>
        </w:numPr>
      </w:pPr>
      <w:r w:rsidRPr="002D5FF3">
        <w:t>c</w:t>
      </w:r>
      <w:r w:rsidRPr="002D5FF3" w:rsidR="00F93BF8">
        <w:t>hecklists</w:t>
      </w:r>
      <w:r w:rsidRPr="002D5FF3" w:rsidR="004C2A55">
        <w:t>/form 231</w:t>
      </w:r>
      <w:r w:rsidRPr="002D5FF3" w:rsidR="00F93BF8">
        <w:t xml:space="preserve"> (Attachments 1</w:t>
      </w:r>
      <w:r w:rsidRPr="002D5FF3" w:rsidR="004C2A55">
        <w:t>5</w:t>
      </w:r>
      <w:r w:rsidRPr="002D5FF3" w:rsidR="00F93BF8">
        <w:t xml:space="preserve"> and 1</w:t>
      </w:r>
      <w:r w:rsidRPr="002D5FF3" w:rsidR="004C2A55">
        <w:t>6</w:t>
      </w:r>
      <w:r w:rsidRPr="002D5FF3" w:rsidR="009750E3">
        <w:t xml:space="preserve">) </w:t>
      </w:r>
      <w:r w:rsidRPr="002D5FF3" w:rsidR="00F93BF8">
        <w:t>-</w:t>
      </w:r>
      <w:r w:rsidRPr="002D5FF3" w:rsidR="0083795C">
        <w:t xml:space="preserve"> </w:t>
      </w:r>
      <w:r w:rsidRPr="002D5FF3" w:rsidR="00F926B5">
        <w:t>With a few exceptions, the program creates a checklist for every Harmonized and Schedule B product area and the checklists are sample-specific.  An IPP sample may be in collection for up to three years, and there are multiple samples being collected at any point in time.  It would not be feasible to create revised checklists for all the outstanding samples when the expiration date expires</w:t>
      </w:r>
      <w:r w:rsidRPr="002D5FF3" w:rsidR="0083795C">
        <w:t>.</w:t>
      </w:r>
    </w:p>
    <w:p w:rsidRPr="002D5FF3" w:rsidR="00024B9F" w:rsidP="00024B9F" w:rsidRDefault="00024B9F" w14:paraId="4E4B56A2" w14:textId="77777777">
      <w:pPr>
        <w:tabs>
          <w:tab w:val="left" w:pos="480"/>
          <w:tab w:val="left" w:pos="960"/>
          <w:tab w:val="left" w:pos="1320"/>
          <w:tab w:val="left" w:pos="1800"/>
          <w:tab w:val="left" w:pos="2760"/>
        </w:tabs>
        <w:spacing w:before="120"/>
        <w:ind w:left="1440"/>
        <w:rPr>
          <w:b/>
          <w:color w:val="000000"/>
        </w:rPr>
      </w:pPr>
    </w:p>
    <w:p w:rsidRPr="00DE2FF3" w:rsidR="00024B9F" w:rsidP="002D5FF3" w:rsidRDefault="00150781" w14:paraId="3B476270" w14:textId="340BE214">
      <w:pPr>
        <w:pStyle w:val="ListParagraph"/>
        <w:numPr>
          <w:ilvl w:val="0"/>
          <w:numId w:val="45"/>
        </w:numPr>
        <w:rPr>
          <w:b/>
          <w:color w:val="000000"/>
        </w:rPr>
      </w:pPr>
      <w:r w:rsidRPr="002D5FF3">
        <w:rPr>
          <w:b/>
        </w:rPr>
        <w:t>Explain each exception to the certification statement.</w:t>
      </w:r>
      <w:r w:rsidRPr="00DE2FF3" w:rsidR="00024B9F">
        <w:rPr>
          <w:b/>
          <w:color w:val="000000"/>
        </w:rPr>
        <w:t xml:space="preserve"> </w:t>
      </w:r>
    </w:p>
    <w:p w:rsidRPr="004869E2" w:rsidR="00115CD4" w:rsidP="009D7175" w:rsidRDefault="00654F3D" w14:paraId="0AE83B03" w14:textId="39953A9D">
      <w:pPr>
        <w:spacing w:before="120"/>
      </w:pPr>
      <w:r w:rsidRPr="00DE2FF3">
        <w:t>Since the IPP</w:t>
      </w:r>
      <w:r w:rsidRPr="00DE2FF3" w:rsidR="00024B9F">
        <w:t xml:space="preserve"> is a voluntary survey and it imposes no recordkeeping requirement for respondents, the IPP does not indicate a retention period for recordkeeping requirements.</w:t>
      </w:r>
    </w:p>
    <w:sectPr w:rsidRPr="004869E2" w:rsidR="00115CD4" w:rsidSect="001D53A7">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0EDF" w14:textId="77777777" w:rsidR="0001348C" w:rsidRDefault="0001348C" w:rsidP="00024B9F">
      <w:r>
        <w:separator/>
      </w:r>
    </w:p>
  </w:endnote>
  <w:endnote w:type="continuationSeparator" w:id="0">
    <w:p w14:paraId="4158F5BD" w14:textId="77777777" w:rsidR="0001348C" w:rsidRDefault="0001348C" w:rsidP="0002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C74D" w14:textId="77777777" w:rsidR="009F6536" w:rsidRDefault="009F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12644"/>
      <w:docPartObj>
        <w:docPartGallery w:val="Page Numbers (Bottom of Page)"/>
        <w:docPartUnique/>
      </w:docPartObj>
    </w:sdtPr>
    <w:sdtEndPr>
      <w:rPr>
        <w:sz w:val="20"/>
        <w:szCs w:val="20"/>
      </w:rPr>
    </w:sdtEndPr>
    <w:sdtContent>
      <w:p w14:paraId="464448A7" w14:textId="77777777" w:rsidR="009F6536" w:rsidRDefault="009F6536">
        <w:pPr>
          <w:pStyle w:val="Footer"/>
          <w:jc w:val="center"/>
        </w:pPr>
        <w:r w:rsidRPr="001D53A7">
          <w:rPr>
            <w:sz w:val="20"/>
            <w:szCs w:val="20"/>
          </w:rPr>
          <w:fldChar w:fldCharType="begin"/>
        </w:r>
        <w:r w:rsidRPr="001D53A7">
          <w:rPr>
            <w:sz w:val="20"/>
            <w:szCs w:val="20"/>
          </w:rPr>
          <w:instrText xml:space="preserve"> PAGE   \* MERGEFORMAT </w:instrText>
        </w:r>
        <w:r w:rsidRPr="001D53A7">
          <w:rPr>
            <w:sz w:val="20"/>
            <w:szCs w:val="20"/>
          </w:rPr>
          <w:fldChar w:fldCharType="separate"/>
        </w:r>
        <w:r w:rsidR="009C5265">
          <w:rPr>
            <w:noProof/>
            <w:sz w:val="20"/>
            <w:szCs w:val="20"/>
          </w:rPr>
          <w:t>6</w:t>
        </w:r>
        <w:r w:rsidRPr="001D53A7">
          <w:rPr>
            <w:sz w:val="20"/>
            <w:szCs w:val="20"/>
          </w:rPr>
          <w:fldChar w:fldCharType="end"/>
        </w:r>
      </w:p>
    </w:sdtContent>
  </w:sdt>
  <w:p w14:paraId="44A41180" w14:textId="77777777" w:rsidR="009F6536" w:rsidRDefault="009F6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5064" w14:textId="77777777" w:rsidR="009F6536" w:rsidRDefault="009F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D70B" w14:textId="77777777" w:rsidR="0001348C" w:rsidRDefault="0001348C" w:rsidP="00024B9F">
      <w:r>
        <w:separator/>
      </w:r>
    </w:p>
  </w:footnote>
  <w:footnote w:type="continuationSeparator" w:id="0">
    <w:p w14:paraId="24CD4018" w14:textId="77777777" w:rsidR="0001348C" w:rsidRDefault="0001348C" w:rsidP="00024B9F">
      <w:r>
        <w:continuationSeparator/>
      </w:r>
    </w:p>
  </w:footnote>
  <w:footnote w:id="1">
    <w:p w14:paraId="1E91882A" w14:textId="39E3A4B6" w:rsidR="009F6536" w:rsidRPr="00D83B25" w:rsidRDefault="009F6536"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Excludes “</w:t>
      </w:r>
      <w:r>
        <w:rPr>
          <w:rFonts w:ascii="Calibri" w:hAnsi="Calibri"/>
          <w:sz w:val="16"/>
          <w:szCs w:val="16"/>
        </w:rPr>
        <w:t xml:space="preserve">Government goods and services </w:t>
      </w:r>
      <w:proofErr w:type="spellStart"/>
      <w:proofErr w:type="gramStart"/>
      <w:r>
        <w:rPr>
          <w:rFonts w:ascii="Calibri" w:hAnsi="Calibri"/>
          <w:sz w:val="16"/>
          <w:szCs w:val="16"/>
        </w:rPr>
        <w:t>n.i.e</w:t>
      </w:r>
      <w:proofErr w:type="spellEnd"/>
      <w:r>
        <w:rPr>
          <w:rFonts w:ascii="Calibri" w:hAnsi="Calibri"/>
          <w:sz w:val="16"/>
          <w:szCs w:val="16"/>
        </w:rPr>
        <w:t>.”</w:t>
      </w:r>
      <w:r w:rsidRPr="00963FDF">
        <w:rPr>
          <w:rFonts w:ascii="Calibri" w:hAnsi="Calibri"/>
          <w:sz w:val="16"/>
          <w:szCs w:val="16"/>
        </w:rPr>
        <w:t>(</w:t>
      </w:r>
      <w:proofErr w:type="gramEnd"/>
      <w:r w:rsidRPr="00963FDF">
        <w:rPr>
          <w:rFonts w:ascii="Calibri" w:hAnsi="Calibri"/>
          <w:sz w:val="16"/>
          <w:szCs w:val="16"/>
        </w:rPr>
        <w:t>Attachment 2)</w:t>
      </w:r>
    </w:p>
  </w:footnote>
  <w:footnote w:id="2">
    <w:p w14:paraId="50218707" w14:textId="77777777" w:rsidR="009F6536" w:rsidRPr="00963FDF" w:rsidRDefault="009F6536">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The Harmonized Tariff Schedule and Schedule B are organized into sections and chapters.  A chapter is a collection of similar</w:t>
      </w:r>
    </w:p>
    <w:p w14:paraId="3145F43B" w14:textId="77777777" w:rsidR="009F6536" w:rsidRPr="00963FDF" w:rsidRDefault="009F6536">
      <w:pPr>
        <w:pStyle w:val="FootnoteText"/>
        <w:rPr>
          <w:rFonts w:ascii="Calibri" w:hAnsi="Calibri"/>
          <w:sz w:val="16"/>
          <w:szCs w:val="16"/>
        </w:rPr>
      </w:pPr>
      <w:r w:rsidRPr="00963FDF">
        <w:rPr>
          <w:rFonts w:ascii="Calibri" w:hAnsi="Calibri"/>
          <w:sz w:val="16"/>
          <w:szCs w:val="16"/>
        </w:rPr>
        <w:t xml:space="preserve">  products, aggregated at the two-digit level.  For example, chapter 26 is reserved for ‘Ores, slag and ash,’ and chapters 25-27</w:t>
      </w:r>
    </w:p>
    <w:p w14:paraId="63B7495B" w14:textId="77777777" w:rsidR="009F6536" w:rsidRPr="002A4329" w:rsidRDefault="009F6536">
      <w:pPr>
        <w:pStyle w:val="FootnoteText"/>
        <w:rPr>
          <w:rFonts w:ascii="Calibri" w:hAnsi="Calibri"/>
          <w:sz w:val="18"/>
          <w:szCs w:val="18"/>
        </w:rPr>
      </w:pPr>
      <w:r w:rsidRPr="00963FDF">
        <w:rPr>
          <w:rFonts w:ascii="Calibri" w:hAnsi="Calibri"/>
          <w:sz w:val="16"/>
          <w:szCs w:val="16"/>
        </w:rPr>
        <w:t xml:space="preserve">  make up section V (“Mineral Products”).</w:t>
      </w:r>
    </w:p>
  </w:footnote>
  <w:footnote w:id="3">
    <w:p w14:paraId="098624AB" w14:textId="77777777" w:rsidR="009F6536" w:rsidRPr="007B684F" w:rsidRDefault="009F6536" w:rsidP="00024B9F">
      <w:pPr>
        <w:pStyle w:val="FootnoteText"/>
        <w:rPr>
          <w:rFonts w:ascii="Calibri" w:hAnsi="Calibri"/>
          <w:sz w:val="16"/>
          <w:szCs w:val="16"/>
        </w:rPr>
      </w:pPr>
      <w:r w:rsidRPr="007B684F">
        <w:rPr>
          <w:rStyle w:val="FootnoteReference"/>
          <w:rFonts w:ascii="Calibri" w:hAnsi="Calibri"/>
          <w:sz w:val="18"/>
          <w:szCs w:val="18"/>
        </w:rPr>
        <w:footnoteRef/>
      </w:r>
      <w:r w:rsidRPr="007B684F">
        <w:rPr>
          <w:rFonts w:ascii="Calibri" w:hAnsi="Calibri"/>
          <w:sz w:val="18"/>
          <w:szCs w:val="18"/>
        </w:rPr>
        <w:t xml:space="preserve"> </w:t>
      </w:r>
      <w:r w:rsidRPr="007B684F">
        <w:rPr>
          <w:rFonts w:ascii="Calibri" w:hAnsi="Calibri"/>
          <w:sz w:val="16"/>
          <w:szCs w:val="16"/>
        </w:rPr>
        <w:t>These numbers are estimates subject to change due to differing relative values of U.S. imports and exports and to</w:t>
      </w:r>
      <w:r>
        <w:rPr>
          <w:rFonts w:ascii="Calibri" w:hAnsi="Calibri"/>
          <w:sz w:val="16"/>
          <w:szCs w:val="16"/>
        </w:rPr>
        <w:t xml:space="preserve"> </w:t>
      </w:r>
      <w:r w:rsidRPr="007B684F">
        <w:rPr>
          <w:rFonts w:ascii="Calibri" w:hAnsi="Calibri"/>
          <w:sz w:val="16"/>
          <w:szCs w:val="16"/>
        </w:rPr>
        <w:t>variations in response rates.</w:t>
      </w:r>
    </w:p>
  </w:footnote>
  <w:footnote w:id="4">
    <w:p w14:paraId="7A396A37" w14:textId="2E2B673B" w:rsidR="009F6536" w:rsidRDefault="009F6536" w:rsidP="00024B9F">
      <w:pPr>
        <w:pStyle w:val="FootnoteText"/>
        <w:rPr>
          <w:rFonts w:ascii="Calibri" w:hAnsi="Calibri"/>
          <w:sz w:val="16"/>
          <w:szCs w:val="16"/>
        </w:rPr>
      </w:pPr>
      <w:proofErr w:type="gramStart"/>
      <w:r>
        <w:rPr>
          <w:rFonts w:ascii="Calibri" w:hAnsi="Calibri"/>
          <w:sz w:val="18"/>
          <w:szCs w:val="18"/>
          <w:vertAlign w:val="superscript"/>
        </w:rPr>
        <w:t>4</w:t>
      </w:r>
      <w:r w:rsidRPr="007B684F">
        <w:rPr>
          <w:rFonts w:ascii="Calibri" w:hAnsi="Calibri"/>
          <w:sz w:val="16"/>
          <w:szCs w:val="16"/>
          <w:vertAlign w:val="superscript"/>
        </w:rPr>
        <w:t xml:space="preserve"> </w:t>
      </w:r>
      <w:r>
        <w:rPr>
          <w:rFonts w:ascii="Calibri" w:hAnsi="Calibri"/>
          <w:sz w:val="16"/>
          <w:szCs w:val="16"/>
          <w:vertAlign w:val="superscript"/>
        </w:rPr>
        <w:t xml:space="preserve"> </w:t>
      </w:r>
      <w:r w:rsidRPr="007B684F">
        <w:rPr>
          <w:rFonts w:ascii="Calibri" w:hAnsi="Calibri"/>
          <w:sz w:val="16"/>
          <w:szCs w:val="16"/>
        </w:rPr>
        <w:t>Initiation</w:t>
      </w:r>
      <w:proofErr w:type="gramEnd"/>
      <w:r w:rsidRPr="007B684F">
        <w:rPr>
          <w:rFonts w:ascii="Calibri" w:hAnsi="Calibri"/>
          <w:sz w:val="16"/>
          <w:szCs w:val="16"/>
        </w:rPr>
        <w:t xml:space="preserve"> refers to the initial collection of data to be used in repricing.  Totals include the Field Economist’s visit to</w:t>
      </w:r>
      <w:r>
        <w:rPr>
          <w:rFonts w:ascii="Calibri" w:hAnsi="Calibri"/>
          <w:sz w:val="16"/>
          <w:szCs w:val="16"/>
        </w:rPr>
        <w:t xml:space="preserve"> </w:t>
      </w:r>
      <w:r w:rsidRPr="007B684F">
        <w:rPr>
          <w:rFonts w:ascii="Calibri" w:hAnsi="Calibri"/>
          <w:sz w:val="16"/>
          <w:szCs w:val="16"/>
        </w:rPr>
        <w:t>the company as well as the</w:t>
      </w:r>
    </w:p>
    <w:p w14:paraId="07ACC5BB" w14:textId="771C3A8C" w:rsidR="009F6536" w:rsidRPr="007B684F" w:rsidRDefault="009F6536"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 xml:space="preserve">time spent to select items for repricing using the disaggregation sheet (form </w:t>
      </w:r>
      <w:proofErr w:type="gramStart"/>
      <w:r w:rsidRPr="007B684F">
        <w:rPr>
          <w:rFonts w:ascii="Calibri" w:hAnsi="Calibri"/>
          <w:sz w:val="16"/>
          <w:szCs w:val="16"/>
        </w:rPr>
        <w:t>3008,  Attachment</w:t>
      </w:r>
      <w:proofErr w:type="gramEnd"/>
      <w:r w:rsidRPr="007B684F">
        <w:rPr>
          <w:rFonts w:ascii="Calibri" w:hAnsi="Calibri"/>
          <w:sz w:val="16"/>
          <w:szCs w:val="16"/>
        </w:rPr>
        <w:t xml:space="preserve"> 1</w:t>
      </w:r>
      <w:r>
        <w:rPr>
          <w:rFonts w:ascii="Calibri" w:hAnsi="Calibri"/>
          <w:sz w:val="16"/>
          <w:szCs w:val="16"/>
        </w:rPr>
        <w:t>2</w:t>
      </w:r>
      <w:r w:rsidRPr="007B684F">
        <w:rPr>
          <w:rFonts w:ascii="Calibri" w:hAnsi="Calibri"/>
          <w:sz w:val="16"/>
          <w:szCs w:val="16"/>
        </w:rPr>
        <w:t>) .</w:t>
      </w:r>
    </w:p>
  </w:footnote>
  <w:footnote w:id="5">
    <w:p w14:paraId="61D25FBF" w14:textId="689BFEAC" w:rsidR="009F6536" w:rsidRDefault="009F6536" w:rsidP="00024B9F">
      <w:pPr>
        <w:autoSpaceDE w:val="0"/>
        <w:autoSpaceDN w:val="0"/>
        <w:adjustRightInd w:val="0"/>
        <w:rPr>
          <w:rFonts w:ascii="Calibri" w:hAnsi="Calibri"/>
          <w:sz w:val="16"/>
          <w:szCs w:val="16"/>
        </w:rPr>
      </w:pPr>
      <w:r w:rsidRPr="001C3604">
        <w:rPr>
          <w:rFonts w:ascii="Calibri" w:hAnsi="Calibri"/>
          <w:sz w:val="18"/>
          <w:szCs w:val="18"/>
          <w:vertAlign w:val="superscript"/>
        </w:rPr>
        <w:t>5</w:t>
      </w:r>
      <w:r w:rsidRPr="001C3604">
        <w:rPr>
          <w:rFonts w:ascii="Calibri" w:hAnsi="Calibri"/>
          <w:sz w:val="18"/>
          <w:szCs w:val="18"/>
        </w:rPr>
        <w:t xml:space="preserve"> </w:t>
      </w:r>
      <w:r w:rsidRPr="007B684F">
        <w:rPr>
          <w:rFonts w:ascii="Calibri" w:hAnsi="Calibri"/>
          <w:sz w:val="16"/>
          <w:szCs w:val="16"/>
        </w:rPr>
        <w:t xml:space="preserve">Repricing refers to the update of price information previously provided by the respondent.  </w:t>
      </w:r>
      <w:r>
        <w:rPr>
          <w:rFonts w:ascii="Calibri" w:hAnsi="Calibri"/>
          <w:sz w:val="16"/>
          <w:szCs w:val="16"/>
        </w:rPr>
        <w:t>The</w:t>
      </w:r>
      <w:r w:rsidRPr="007B684F">
        <w:rPr>
          <w:rFonts w:ascii="Calibri" w:hAnsi="Calibri"/>
          <w:sz w:val="16"/>
          <w:szCs w:val="16"/>
        </w:rPr>
        <w:t xml:space="preserve"> web application (Attachment</w:t>
      </w:r>
      <w:r>
        <w:rPr>
          <w:rFonts w:ascii="Calibri" w:hAnsi="Calibri"/>
          <w:sz w:val="16"/>
          <w:szCs w:val="16"/>
        </w:rPr>
        <w:t>s</w:t>
      </w:r>
      <w:r w:rsidRPr="007B684F">
        <w:rPr>
          <w:rFonts w:ascii="Calibri" w:hAnsi="Calibri"/>
          <w:sz w:val="16"/>
          <w:szCs w:val="16"/>
        </w:rPr>
        <w:t xml:space="preserve"> </w:t>
      </w:r>
      <w:r>
        <w:rPr>
          <w:rFonts w:ascii="Calibri" w:hAnsi="Calibri"/>
          <w:sz w:val="16"/>
          <w:szCs w:val="16"/>
        </w:rPr>
        <w:t>7I and 7J) is</w:t>
      </w:r>
      <w:r w:rsidRPr="007B684F">
        <w:rPr>
          <w:rFonts w:ascii="Calibri" w:hAnsi="Calibri"/>
          <w:sz w:val="16"/>
          <w:szCs w:val="16"/>
        </w:rPr>
        <w:t xml:space="preserve"> the</w:t>
      </w:r>
    </w:p>
    <w:p w14:paraId="14C8A08F" w14:textId="0F6F7027" w:rsidR="009F6536" w:rsidRPr="007B684F" w:rsidRDefault="009F6536" w:rsidP="00024B9F">
      <w:pPr>
        <w:autoSpaceDE w:val="0"/>
        <w:autoSpaceDN w:val="0"/>
        <w:adjustRightInd w:val="0"/>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primary means of repricing but all collection types</w:t>
      </w:r>
      <w:r>
        <w:rPr>
          <w:rFonts w:ascii="Calibri" w:hAnsi="Calibri"/>
          <w:sz w:val="16"/>
          <w:szCs w:val="16"/>
        </w:rPr>
        <w:t xml:space="preserve"> </w:t>
      </w:r>
      <w:r w:rsidRPr="007B684F">
        <w:rPr>
          <w:rFonts w:ascii="Calibri" w:hAnsi="Calibri"/>
          <w:sz w:val="16"/>
          <w:szCs w:val="16"/>
        </w:rPr>
        <w:t>are included in these</w:t>
      </w:r>
      <w:r>
        <w:rPr>
          <w:rFonts w:ascii="Calibri" w:hAnsi="Calibri"/>
          <w:sz w:val="16"/>
          <w:szCs w:val="16"/>
        </w:rPr>
        <w:t xml:space="preserve"> </w:t>
      </w:r>
      <w:r w:rsidRPr="007B684F">
        <w:rPr>
          <w:rFonts w:ascii="Calibri" w:hAnsi="Calibri"/>
          <w:sz w:val="16"/>
          <w:szCs w:val="16"/>
        </w:rPr>
        <w:t xml:space="preserve">totals.  </w:t>
      </w:r>
    </w:p>
  </w:footnote>
  <w:footnote w:id="6">
    <w:p w14:paraId="6FC44D69" w14:textId="77777777" w:rsidR="009F6536" w:rsidRDefault="009F6536" w:rsidP="00024B9F">
      <w:pPr>
        <w:pStyle w:val="FootnoteText"/>
        <w:rPr>
          <w:rFonts w:ascii="Calibri" w:hAnsi="Calibri"/>
          <w:sz w:val="16"/>
          <w:szCs w:val="16"/>
        </w:rPr>
      </w:pPr>
      <w:r>
        <w:rPr>
          <w:rFonts w:ascii="Calibri" w:hAnsi="Calibri"/>
          <w:sz w:val="18"/>
          <w:szCs w:val="18"/>
          <w:vertAlign w:val="superscript"/>
        </w:rPr>
        <w:t xml:space="preserve">6 </w:t>
      </w:r>
      <w:r w:rsidRPr="007B684F">
        <w:rPr>
          <w:rFonts w:ascii="Calibri" w:hAnsi="Calibri"/>
          <w:sz w:val="16"/>
          <w:szCs w:val="16"/>
        </w:rPr>
        <w:t xml:space="preserve">During initiation, the respondent determines how many months </w:t>
      </w:r>
      <w:r>
        <w:rPr>
          <w:rFonts w:ascii="Calibri" w:hAnsi="Calibri"/>
          <w:sz w:val="16"/>
          <w:szCs w:val="16"/>
        </w:rPr>
        <w:t>data will need to be supplied</w:t>
      </w:r>
      <w:r w:rsidRPr="007B684F">
        <w:rPr>
          <w:rFonts w:ascii="Calibri" w:hAnsi="Calibri"/>
          <w:sz w:val="16"/>
          <w:szCs w:val="16"/>
        </w:rPr>
        <w:t xml:space="preserve"> </w:t>
      </w:r>
      <w:proofErr w:type="gramStart"/>
      <w:r w:rsidRPr="007B684F">
        <w:rPr>
          <w:rFonts w:ascii="Calibri" w:hAnsi="Calibri"/>
          <w:sz w:val="16"/>
          <w:szCs w:val="16"/>
        </w:rPr>
        <w:t>in a given</w:t>
      </w:r>
      <w:r>
        <w:rPr>
          <w:rFonts w:ascii="Calibri" w:hAnsi="Calibri"/>
          <w:sz w:val="16"/>
          <w:szCs w:val="16"/>
        </w:rPr>
        <w:t xml:space="preserve"> year</w:t>
      </w:r>
      <w:proofErr w:type="gramEnd"/>
      <w:r>
        <w:rPr>
          <w:rFonts w:ascii="Calibri" w:hAnsi="Calibri"/>
          <w:sz w:val="16"/>
          <w:szCs w:val="16"/>
        </w:rPr>
        <w:t xml:space="preserve"> </w:t>
      </w:r>
      <w:r w:rsidRPr="007B684F">
        <w:rPr>
          <w:rFonts w:ascii="Calibri" w:hAnsi="Calibri"/>
          <w:sz w:val="16"/>
          <w:szCs w:val="16"/>
        </w:rPr>
        <w:t>based upon how</w:t>
      </w:r>
      <w:r>
        <w:rPr>
          <w:rFonts w:ascii="Calibri" w:hAnsi="Calibri"/>
          <w:sz w:val="16"/>
          <w:szCs w:val="16"/>
        </w:rPr>
        <w:t xml:space="preserve"> </w:t>
      </w:r>
      <w:r w:rsidRPr="007B684F">
        <w:rPr>
          <w:rFonts w:ascii="Calibri" w:hAnsi="Calibri"/>
          <w:sz w:val="16"/>
          <w:szCs w:val="16"/>
        </w:rPr>
        <w:t xml:space="preserve">often </w:t>
      </w:r>
      <w:r>
        <w:rPr>
          <w:rFonts w:ascii="Calibri" w:hAnsi="Calibri"/>
          <w:sz w:val="16"/>
          <w:szCs w:val="16"/>
        </w:rPr>
        <w:t>prices</w:t>
      </w:r>
    </w:p>
    <w:p w14:paraId="58DAAF94" w14:textId="7E39C4FE" w:rsidR="009F6536" w:rsidRPr="007B684F" w:rsidRDefault="009F6536" w:rsidP="00024B9F">
      <w:pPr>
        <w:pStyle w:val="FootnoteText"/>
        <w:rPr>
          <w:rFonts w:ascii="Calibri" w:hAnsi="Calibri"/>
          <w:sz w:val="16"/>
          <w:szCs w:val="16"/>
        </w:rPr>
      </w:pPr>
      <w:r>
        <w:rPr>
          <w:rFonts w:ascii="Calibri" w:hAnsi="Calibri"/>
          <w:sz w:val="16"/>
          <w:szCs w:val="16"/>
        </w:rPr>
        <w:t xml:space="preserve">   change</w:t>
      </w:r>
      <w:r w:rsidRPr="007B684F">
        <w:rPr>
          <w:rFonts w:ascii="Calibri" w:hAnsi="Calibri"/>
          <w:sz w:val="16"/>
          <w:szCs w:val="16"/>
        </w:rPr>
        <w:t xml:space="preserve">.  </w:t>
      </w:r>
      <w:r>
        <w:rPr>
          <w:rFonts w:ascii="Calibri" w:hAnsi="Calibri"/>
          <w:sz w:val="16"/>
          <w:szCs w:val="16"/>
        </w:rPr>
        <w:t xml:space="preserve">On average, export and import companies are </w:t>
      </w:r>
      <w:r w:rsidRPr="007B684F">
        <w:rPr>
          <w:rFonts w:ascii="Calibri" w:hAnsi="Calibri"/>
          <w:sz w:val="16"/>
          <w:szCs w:val="16"/>
        </w:rPr>
        <w:t>requested to supply inf</w:t>
      </w:r>
      <w:r>
        <w:rPr>
          <w:rFonts w:ascii="Calibri" w:hAnsi="Calibri"/>
          <w:sz w:val="16"/>
          <w:szCs w:val="16"/>
        </w:rPr>
        <w:t xml:space="preserve">ormation 9.1 months/year and 8.9 months/year, respectively.  </w:t>
      </w:r>
    </w:p>
  </w:footnote>
  <w:footnote w:id="7">
    <w:p w14:paraId="588E931C" w14:textId="77777777" w:rsidR="009F6536" w:rsidRDefault="009F6536" w:rsidP="00024B9F">
      <w:pPr>
        <w:pStyle w:val="FootnoteText"/>
        <w:rPr>
          <w:rFonts w:ascii="Calibri" w:hAnsi="Calibri"/>
          <w:sz w:val="16"/>
          <w:szCs w:val="16"/>
        </w:rPr>
      </w:pPr>
      <w:r w:rsidRPr="001C3604">
        <w:rPr>
          <w:rFonts w:ascii="Calibri" w:hAnsi="Calibri"/>
          <w:sz w:val="18"/>
          <w:szCs w:val="18"/>
          <w:vertAlign w:val="superscript"/>
        </w:rPr>
        <w:t>7</w:t>
      </w:r>
      <w:r w:rsidRPr="007B684F">
        <w:rPr>
          <w:rFonts w:ascii="Calibri" w:hAnsi="Calibri"/>
          <w:sz w:val="16"/>
          <w:szCs w:val="16"/>
        </w:rPr>
        <w:t xml:space="preserve"> </w:t>
      </w:r>
      <w:r>
        <w:rPr>
          <w:rFonts w:ascii="Calibri" w:hAnsi="Calibri"/>
          <w:sz w:val="16"/>
          <w:szCs w:val="16"/>
        </w:rPr>
        <w:t>The average burden to reprice is currently estimated at</w:t>
      </w:r>
      <w:r w:rsidRPr="007B684F">
        <w:rPr>
          <w:rFonts w:ascii="Calibri" w:hAnsi="Calibri"/>
          <w:sz w:val="16"/>
          <w:szCs w:val="16"/>
        </w:rPr>
        <w:t xml:space="preserve"> </w:t>
      </w:r>
      <w:r>
        <w:rPr>
          <w:rFonts w:ascii="Calibri" w:hAnsi="Calibri"/>
          <w:sz w:val="16"/>
          <w:szCs w:val="16"/>
        </w:rPr>
        <w:t>5</w:t>
      </w:r>
      <w:r w:rsidRPr="007B684F">
        <w:rPr>
          <w:rFonts w:ascii="Calibri" w:hAnsi="Calibri"/>
          <w:sz w:val="16"/>
          <w:szCs w:val="16"/>
        </w:rPr>
        <w:t xml:space="preserve"> minutes per item</w:t>
      </w:r>
      <w:r>
        <w:rPr>
          <w:rFonts w:ascii="Calibri" w:hAnsi="Calibri"/>
          <w:sz w:val="16"/>
          <w:szCs w:val="16"/>
        </w:rPr>
        <w:t>, based upon internal testing</w:t>
      </w:r>
      <w:r w:rsidRPr="007B684F">
        <w:rPr>
          <w:rFonts w:ascii="Calibri" w:hAnsi="Calibri"/>
          <w:sz w:val="16"/>
          <w:szCs w:val="16"/>
        </w:rPr>
        <w:t xml:space="preserve">. </w:t>
      </w:r>
      <w:r>
        <w:rPr>
          <w:rFonts w:ascii="Calibri" w:hAnsi="Calibri"/>
          <w:sz w:val="16"/>
          <w:szCs w:val="16"/>
        </w:rPr>
        <w:t xml:space="preserve"> On average, an</w:t>
      </w:r>
      <w:r w:rsidRPr="007B684F">
        <w:rPr>
          <w:rFonts w:ascii="Calibri" w:hAnsi="Calibri"/>
          <w:sz w:val="16"/>
          <w:szCs w:val="16"/>
        </w:rPr>
        <w:t xml:space="preserve"> export respondent</w:t>
      </w:r>
    </w:p>
    <w:p w14:paraId="70AE8AE9" w14:textId="17083A21" w:rsidR="009F6536" w:rsidRPr="007B684F" w:rsidRDefault="009F6536" w:rsidP="00024B9F">
      <w:pPr>
        <w:pStyle w:val="FootnoteText"/>
        <w:rPr>
          <w:rFonts w:ascii="Calibri" w:hAnsi="Calibri"/>
          <w:sz w:val="16"/>
          <w:szCs w:val="16"/>
        </w:rPr>
      </w:pPr>
      <w:r w:rsidRPr="007B684F">
        <w:rPr>
          <w:rFonts w:ascii="Calibri" w:hAnsi="Calibri"/>
          <w:sz w:val="16"/>
          <w:szCs w:val="16"/>
        </w:rPr>
        <w:t xml:space="preserve"> </w:t>
      </w:r>
      <w:r>
        <w:rPr>
          <w:rFonts w:ascii="Calibri" w:hAnsi="Calibri"/>
          <w:sz w:val="16"/>
          <w:szCs w:val="16"/>
        </w:rPr>
        <w:t xml:space="preserve">  </w:t>
      </w:r>
      <w:r w:rsidRPr="007B684F">
        <w:rPr>
          <w:rFonts w:ascii="Calibri" w:hAnsi="Calibri"/>
          <w:sz w:val="16"/>
          <w:szCs w:val="16"/>
        </w:rPr>
        <w:t xml:space="preserve">submits price data on </w:t>
      </w:r>
      <w:r>
        <w:rPr>
          <w:rFonts w:ascii="Calibri" w:hAnsi="Calibri"/>
          <w:sz w:val="16"/>
          <w:szCs w:val="16"/>
        </w:rPr>
        <w:t>5.132</w:t>
      </w:r>
      <w:r w:rsidRPr="007B684F">
        <w:rPr>
          <w:rFonts w:ascii="Calibri" w:hAnsi="Calibri"/>
          <w:sz w:val="16"/>
          <w:szCs w:val="16"/>
        </w:rPr>
        <w:t xml:space="preserve"> </w:t>
      </w:r>
      <w:r>
        <w:rPr>
          <w:rFonts w:ascii="Calibri" w:hAnsi="Calibri"/>
          <w:sz w:val="16"/>
          <w:szCs w:val="16"/>
        </w:rPr>
        <w:t>items. Thus, the average response time is 5 minutes x 5.132 items = 25.660</w:t>
      </w:r>
      <w:r w:rsidRPr="007B684F">
        <w:rPr>
          <w:rFonts w:ascii="Calibri" w:hAnsi="Calibri"/>
          <w:sz w:val="16"/>
          <w:szCs w:val="16"/>
        </w:rPr>
        <w:t xml:space="preserve"> minutes</w:t>
      </w:r>
      <w:r>
        <w:rPr>
          <w:rFonts w:ascii="Calibri" w:hAnsi="Calibri"/>
          <w:sz w:val="16"/>
          <w:szCs w:val="16"/>
        </w:rPr>
        <w:t xml:space="preserve"> </w:t>
      </w:r>
      <w:r w:rsidRPr="007B684F">
        <w:rPr>
          <w:rFonts w:ascii="Calibri" w:hAnsi="Calibri"/>
          <w:sz w:val="16"/>
          <w:szCs w:val="16"/>
        </w:rPr>
        <w:t xml:space="preserve">= </w:t>
      </w:r>
      <w:r>
        <w:rPr>
          <w:rFonts w:ascii="Calibri" w:hAnsi="Calibri"/>
          <w:sz w:val="16"/>
          <w:szCs w:val="16"/>
        </w:rPr>
        <w:t xml:space="preserve">0.4277 </w:t>
      </w:r>
      <w:r w:rsidRPr="007B684F">
        <w:rPr>
          <w:rFonts w:ascii="Calibri" w:hAnsi="Calibri"/>
          <w:sz w:val="16"/>
          <w:szCs w:val="16"/>
        </w:rPr>
        <w:t>hours.</w:t>
      </w:r>
    </w:p>
  </w:footnote>
  <w:footnote w:id="8">
    <w:p w14:paraId="73140281" w14:textId="77777777" w:rsidR="009F6536" w:rsidRDefault="009F6536" w:rsidP="00024B9F">
      <w:pPr>
        <w:pStyle w:val="FootnoteText"/>
      </w:pPr>
      <w:r w:rsidRPr="001C3604">
        <w:rPr>
          <w:rFonts w:ascii="Calibri" w:hAnsi="Calibri"/>
          <w:sz w:val="18"/>
          <w:szCs w:val="18"/>
          <w:vertAlign w:val="superscript"/>
        </w:rPr>
        <w:t xml:space="preserve">8 </w:t>
      </w:r>
      <w:r w:rsidRPr="007B684F">
        <w:rPr>
          <w:rFonts w:ascii="Calibri" w:hAnsi="Calibri"/>
          <w:sz w:val="16"/>
          <w:szCs w:val="16"/>
        </w:rPr>
        <w:t>Rounded to the nearest hour.</w:t>
      </w:r>
    </w:p>
  </w:footnote>
  <w:footnote w:id="9">
    <w:p w14:paraId="1DE9CEAE" w14:textId="77777777" w:rsidR="009F6536" w:rsidRDefault="009F6536" w:rsidP="00024B9F">
      <w:pPr>
        <w:pStyle w:val="FootnoteText"/>
        <w:rPr>
          <w:rFonts w:ascii="Calibri" w:hAnsi="Calibri"/>
          <w:sz w:val="16"/>
          <w:szCs w:val="16"/>
        </w:rPr>
      </w:pPr>
    </w:p>
    <w:p w14:paraId="61B1046D" w14:textId="77777777" w:rsidR="009F6536" w:rsidRDefault="009F6536" w:rsidP="00024B9F">
      <w:pPr>
        <w:pStyle w:val="FootnoteText"/>
        <w:rPr>
          <w:rFonts w:ascii="Calibri" w:hAnsi="Calibri"/>
          <w:sz w:val="16"/>
          <w:szCs w:val="16"/>
        </w:rPr>
      </w:pPr>
      <w:r w:rsidRPr="00963FDF">
        <w:rPr>
          <w:rStyle w:val="FootnoteReference"/>
          <w:rFonts w:ascii="Calibri" w:hAnsi="Calibri"/>
          <w:sz w:val="16"/>
          <w:szCs w:val="16"/>
        </w:rPr>
        <w:footnoteRef/>
      </w:r>
      <w:r w:rsidRPr="00963FDF">
        <w:rPr>
          <w:rFonts w:ascii="Calibri" w:hAnsi="Calibri"/>
          <w:sz w:val="16"/>
          <w:szCs w:val="16"/>
        </w:rPr>
        <w:t xml:space="preserve">   </w:t>
      </w:r>
      <w:r>
        <w:rPr>
          <w:rFonts w:ascii="Calibri" w:hAnsi="Calibri"/>
          <w:sz w:val="16"/>
          <w:szCs w:val="16"/>
        </w:rPr>
        <w:t>T</w:t>
      </w:r>
      <w:r w:rsidRPr="00963FDF">
        <w:rPr>
          <w:rFonts w:ascii="Calibri" w:hAnsi="Calibri"/>
          <w:sz w:val="16"/>
          <w:szCs w:val="16"/>
        </w:rPr>
        <w:t>he average burden to reprice is</w:t>
      </w:r>
      <w:r>
        <w:rPr>
          <w:rFonts w:ascii="Calibri" w:hAnsi="Calibri"/>
          <w:sz w:val="16"/>
          <w:szCs w:val="16"/>
        </w:rPr>
        <w:t xml:space="preserve"> </w:t>
      </w:r>
      <w:r w:rsidRPr="00963FDF">
        <w:rPr>
          <w:rFonts w:ascii="Calibri" w:hAnsi="Calibri"/>
          <w:sz w:val="16"/>
          <w:szCs w:val="16"/>
        </w:rPr>
        <w:t xml:space="preserve">currently estimated at 5 minutes per item, based upon internal testing. On average, an import respondent </w:t>
      </w:r>
    </w:p>
    <w:p w14:paraId="5F03A349" w14:textId="269E05FB" w:rsidR="009F6536" w:rsidRPr="00963FDF" w:rsidRDefault="009F6536" w:rsidP="00024B9F">
      <w:pPr>
        <w:pStyle w:val="FootnoteText"/>
        <w:rPr>
          <w:rFonts w:ascii="Calibri" w:hAnsi="Calibri"/>
          <w:sz w:val="16"/>
          <w:szCs w:val="16"/>
        </w:rPr>
      </w:pPr>
      <w:r>
        <w:rPr>
          <w:rFonts w:ascii="Calibri" w:hAnsi="Calibri"/>
          <w:sz w:val="16"/>
          <w:szCs w:val="16"/>
        </w:rPr>
        <w:t xml:space="preserve">    s</w:t>
      </w:r>
      <w:r w:rsidRPr="00963FDF">
        <w:rPr>
          <w:rFonts w:ascii="Calibri" w:hAnsi="Calibri"/>
          <w:sz w:val="16"/>
          <w:szCs w:val="16"/>
        </w:rPr>
        <w:t>ubmits price data</w:t>
      </w:r>
      <w:r>
        <w:rPr>
          <w:rFonts w:ascii="Calibri" w:hAnsi="Calibri"/>
          <w:sz w:val="16"/>
          <w:szCs w:val="16"/>
        </w:rPr>
        <w:t xml:space="preserve"> </w:t>
      </w:r>
      <w:r w:rsidRPr="00963FDF">
        <w:rPr>
          <w:rFonts w:ascii="Calibri" w:hAnsi="Calibri"/>
          <w:sz w:val="16"/>
          <w:szCs w:val="16"/>
        </w:rPr>
        <w:t xml:space="preserve">on </w:t>
      </w:r>
      <w:r>
        <w:rPr>
          <w:rFonts w:ascii="Calibri" w:hAnsi="Calibri"/>
          <w:sz w:val="16"/>
          <w:szCs w:val="16"/>
        </w:rPr>
        <w:t>5.620</w:t>
      </w:r>
      <w:r w:rsidRPr="00963FDF">
        <w:rPr>
          <w:rFonts w:ascii="Calibri" w:hAnsi="Calibri"/>
          <w:sz w:val="16"/>
          <w:szCs w:val="16"/>
        </w:rPr>
        <w:t xml:space="preserve"> items. Thus, the average response time is 5 minutes x </w:t>
      </w:r>
      <w:r>
        <w:rPr>
          <w:rFonts w:ascii="Calibri" w:hAnsi="Calibri"/>
          <w:sz w:val="16"/>
          <w:szCs w:val="16"/>
        </w:rPr>
        <w:t>5.620</w:t>
      </w:r>
      <w:r w:rsidRPr="00963FDF">
        <w:rPr>
          <w:rFonts w:ascii="Calibri" w:hAnsi="Calibri"/>
          <w:sz w:val="16"/>
          <w:szCs w:val="16"/>
        </w:rPr>
        <w:t xml:space="preserve"> items = </w:t>
      </w:r>
      <w:r>
        <w:rPr>
          <w:rFonts w:ascii="Calibri" w:hAnsi="Calibri"/>
          <w:sz w:val="16"/>
          <w:szCs w:val="16"/>
        </w:rPr>
        <w:t>28.100</w:t>
      </w:r>
      <w:r w:rsidRPr="00963FDF">
        <w:rPr>
          <w:rFonts w:ascii="Calibri" w:hAnsi="Calibri"/>
          <w:sz w:val="16"/>
          <w:szCs w:val="16"/>
        </w:rPr>
        <w:t xml:space="preserve"> minutes</w:t>
      </w:r>
      <w:r>
        <w:rPr>
          <w:rFonts w:ascii="Calibri" w:hAnsi="Calibri"/>
          <w:sz w:val="16"/>
          <w:szCs w:val="16"/>
        </w:rPr>
        <w:t xml:space="preserve"> </w:t>
      </w:r>
      <w:r w:rsidRPr="00963FDF">
        <w:rPr>
          <w:rFonts w:ascii="Calibri" w:hAnsi="Calibri"/>
          <w:sz w:val="16"/>
          <w:szCs w:val="16"/>
        </w:rPr>
        <w:t xml:space="preserve">= </w:t>
      </w:r>
      <w:r>
        <w:rPr>
          <w:rFonts w:ascii="Calibri" w:hAnsi="Calibri"/>
          <w:sz w:val="16"/>
          <w:szCs w:val="16"/>
        </w:rPr>
        <w:t>0.4683</w:t>
      </w:r>
      <w:r w:rsidRPr="00963FDF">
        <w:rPr>
          <w:rFonts w:ascii="Calibri" w:hAnsi="Calibri"/>
          <w:sz w:val="16"/>
          <w:szCs w:val="16"/>
        </w:rPr>
        <w:t xml:space="preserve"> hours. </w:t>
      </w:r>
    </w:p>
  </w:footnote>
  <w:footnote w:id="10">
    <w:p w14:paraId="299C119F" w14:textId="77777777" w:rsidR="009F6536" w:rsidRPr="004E3424" w:rsidRDefault="009F6536" w:rsidP="00024B9F">
      <w:pPr>
        <w:pStyle w:val="FootnoteText"/>
        <w:rPr>
          <w:rFonts w:ascii="Calibri" w:hAnsi="Calibri"/>
          <w:sz w:val="18"/>
          <w:szCs w:val="18"/>
        </w:rPr>
      </w:pPr>
      <w:r w:rsidRPr="00963FDF">
        <w:rPr>
          <w:rStyle w:val="FootnoteReference"/>
          <w:rFonts w:ascii="Calibri" w:hAnsi="Calibri"/>
          <w:sz w:val="16"/>
          <w:szCs w:val="16"/>
        </w:rPr>
        <w:footnoteRef/>
      </w:r>
      <w:r w:rsidRPr="00963FDF">
        <w:rPr>
          <w:rFonts w:ascii="Calibri" w:hAnsi="Calibri"/>
          <w:sz w:val="16"/>
          <w:szCs w:val="16"/>
        </w:rPr>
        <w:t xml:space="preserve"> Rounded to the nearest hour.</w:t>
      </w:r>
    </w:p>
  </w:footnote>
  <w:footnote w:id="11">
    <w:p w14:paraId="635CBC07" w14:textId="58AB1E97" w:rsidR="009F6536" w:rsidRPr="003174D0" w:rsidRDefault="009F6536" w:rsidP="00E33E3E">
      <w:pPr>
        <w:pStyle w:val="FootnoteText"/>
        <w:rPr>
          <w:rFonts w:ascii="Calibri" w:hAnsi="Calibri"/>
          <w:sz w:val="16"/>
          <w:szCs w:val="16"/>
        </w:rPr>
      </w:pPr>
      <w:r w:rsidRPr="003174D0">
        <w:rPr>
          <w:rStyle w:val="FootnoteReference"/>
          <w:rFonts w:ascii="Calibri" w:hAnsi="Calibri"/>
          <w:sz w:val="16"/>
          <w:szCs w:val="16"/>
        </w:rPr>
        <w:footnoteRef/>
      </w:r>
      <w:r w:rsidRPr="003174D0">
        <w:rPr>
          <w:rFonts w:ascii="Calibri" w:hAnsi="Calibri"/>
          <w:sz w:val="16"/>
          <w:szCs w:val="16"/>
          <w:vertAlign w:val="superscript"/>
        </w:rPr>
        <w:t xml:space="preserve">   </w:t>
      </w:r>
      <w:r w:rsidRPr="003174D0">
        <w:rPr>
          <w:rFonts w:ascii="Calibri" w:hAnsi="Calibri"/>
          <w:sz w:val="16"/>
          <w:szCs w:val="16"/>
        </w:rPr>
        <w:t>Approximately 92 percent of IPP respondents can be categorized as a management, professional or related employee in private industry</w:t>
      </w:r>
    </w:p>
    <w:p w14:paraId="77A64C61" w14:textId="1056E1F6" w:rsidR="009F6536" w:rsidRPr="003174D0" w:rsidRDefault="009F6536">
      <w:pPr>
        <w:pStyle w:val="FootnoteText"/>
        <w:rPr>
          <w:rFonts w:ascii="Calibri" w:hAnsi="Calibri"/>
          <w:sz w:val="16"/>
          <w:szCs w:val="16"/>
        </w:rPr>
      </w:pPr>
      <w:r w:rsidRPr="003174D0">
        <w:rPr>
          <w:rFonts w:ascii="Calibri" w:hAnsi="Calibri"/>
          <w:sz w:val="16"/>
          <w:szCs w:val="16"/>
        </w:rPr>
        <w:t xml:space="preserve">     while about 8 percent can be categorized as a sales or office employee.</w:t>
      </w:r>
    </w:p>
  </w:footnote>
  <w:footnote w:id="12">
    <w:p w14:paraId="41CD1E66" w14:textId="2EDC6967" w:rsidR="009F6536" w:rsidRPr="003174D0" w:rsidRDefault="009F6536" w:rsidP="00024B9F">
      <w:pPr>
        <w:pStyle w:val="FootnoteText"/>
        <w:rPr>
          <w:rFonts w:ascii="Calibri" w:hAnsi="Calibri"/>
          <w:sz w:val="16"/>
          <w:szCs w:val="16"/>
        </w:rPr>
      </w:pPr>
      <w:r w:rsidRPr="003174D0">
        <w:rPr>
          <w:rStyle w:val="FootnoteReference"/>
          <w:rFonts w:ascii="Calibri" w:hAnsi="Calibri"/>
          <w:sz w:val="16"/>
          <w:szCs w:val="16"/>
        </w:rPr>
        <w:t>12</w:t>
      </w:r>
      <w:r w:rsidRPr="003174D0">
        <w:rPr>
          <w:rFonts w:ascii="Calibri" w:hAnsi="Calibri"/>
          <w:sz w:val="16"/>
          <w:szCs w:val="16"/>
        </w:rPr>
        <w:t xml:space="preserve">  The three-month ECI for management, professional, and related employees in private industry was 0.9 and for sales and office employees in</w:t>
      </w:r>
    </w:p>
    <w:p w14:paraId="7513FDF4" w14:textId="07E3843E" w:rsidR="009F6536" w:rsidRPr="003174D0" w:rsidRDefault="009F6536" w:rsidP="00024B9F">
      <w:pPr>
        <w:pStyle w:val="FootnoteText"/>
        <w:rPr>
          <w:rFonts w:ascii="Calibri" w:hAnsi="Calibri"/>
          <w:sz w:val="16"/>
          <w:szCs w:val="16"/>
        </w:rPr>
      </w:pPr>
      <w:r w:rsidRPr="003174D0">
        <w:rPr>
          <w:rFonts w:ascii="Calibri" w:hAnsi="Calibri"/>
          <w:sz w:val="16"/>
          <w:szCs w:val="16"/>
        </w:rPr>
        <w:t xml:space="preserve">     private industry was 2.0 percent. See footnote 11 for additional info related to the following calculation</w:t>
      </w:r>
      <w:proofErr w:type="gramStart"/>
      <w:r w:rsidRPr="003174D0">
        <w:rPr>
          <w:rFonts w:ascii="Calibri" w:hAnsi="Calibri"/>
          <w:sz w:val="16"/>
          <w:szCs w:val="16"/>
        </w:rPr>
        <w:t>:  (</w:t>
      </w:r>
      <w:proofErr w:type="gramEnd"/>
      <w:r w:rsidRPr="003174D0">
        <w:rPr>
          <w:rFonts w:ascii="Calibri" w:hAnsi="Calibri"/>
          <w:sz w:val="16"/>
          <w:szCs w:val="16"/>
        </w:rPr>
        <w:t>0.9 x .92) + (2.0 x .08) = 0.99</w:t>
      </w:r>
    </w:p>
    <w:p w14:paraId="1B025DBF" w14:textId="77777777" w:rsidR="009F6536" w:rsidRPr="003174D0" w:rsidRDefault="009F6536" w:rsidP="00024B9F">
      <w:pPr>
        <w:pStyle w:val="FootnoteText"/>
        <w:rPr>
          <w:rFonts w:ascii="Calibri" w:hAnsi="Calibri"/>
          <w:sz w:val="16"/>
          <w:szCs w:val="16"/>
        </w:rPr>
      </w:pPr>
      <w:r w:rsidRPr="003174D0">
        <w:rPr>
          <w:rFonts w:ascii="Calibri" w:hAnsi="Calibri"/>
          <w:sz w:val="16"/>
          <w:szCs w:val="16"/>
        </w:rPr>
        <w:t xml:space="preserve">     percent change in ECI of the BLS. </w:t>
      </w:r>
    </w:p>
    <w:p w14:paraId="44D335A3" w14:textId="4526CC81" w:rsidR="009F6536" w:rsidRDefault="009F6536" w:rsidP="00024B9F">
      <w:pPr>
        <w:pStyle w:val="FootnoteText"/>
        <w:rPr>
          <w:rFonts w:ascii="Calibri" w:hAnsi="Calibri"/>
          <w:sz w:val="16"/>
          <w:szCs w:val="16"/>
        </w:rPr>
      </w:pPr>
      <w:proofErr w:type="gramStart"/>
      <w:r w:rsidRPr="001C0DCC">
        <w:rPr>
          <w:rFonts w:ascii="Calibri" w:hAnsi="Calibri"/>
          <w:sz w:val="16"/>
          <w:szCs w:val="16"/>
          <w:vertAlign w:val="superscript"/>
        </w:rPr>
        <w:t xml:space="preserve">13 </w:t>
      </w:r>
      <w:r w:rsidRPr="001C0DCC">
        <w:rPr>
          <w:rFonts w:ascii="Calibri" w:hAnsi="Calibri"/>
          <w:sz w:val="16"/>
          <w:szCs w:val="16"/>
        </w:rPr>
        <w:t xml:space="preserve"> </w:t>
      </w:r>
      <w:r>
        <w:rPr>
          <w:rFonts w:ascii="Calibri" w:hAnsi="Calibri"/>
          <w:sz w:val="16"/>
          <w:szCs w:val="16"/>
        </w:rPr>
        <w:t>The</w:t>
      </w:r>
      <w:proofErr w:type="gramEnd"/>
      <w:r>
        <w:rPr>
          <w:rFonts w:ascii="Calibri" w:hAnsi="Calibri"/>
          <w:sz w:val="16"/>
          <w:szCs w:val="16"/>
        </w:rPr>
        <w:t xml:space="preserve"> 12-</w:t>
      </w:r>
      <w:r w:rsidRPr="001C0DCC">
        <w:rPr>
          <w:rFonts w:ascii="Calibri" w:hAnsi="Calibri"/>
          <w:sz w:val="16"/>
          <w:szCs w:val="16"/>
        </w:rPr>
        <w:t>month ECI for management, professional, and related employees in private industry in the last quarter of</w:t>
      </w:r>
      <w:r>
        <w:rPr>
          <w:rFonts w:ascii="Calibri" w:hAnsi="Calibri"/>
          <w:sz w:val="16"/>
          <w:szCs w:val="16"/>
        </w:rPr>
        <w:t xml:space="preserve"> 2021</w:t>
      </w:r>
      <w:r w:rsidRPr="001C0DCC">
        <w:rPr>
          <w:rFonts w:ascii="Calibri" w:hAnsi="Calibri"/>
          <w:sz w:val="16"/>
          <w:szCs w:val="16"/>
        </w:rPr>
        <w:t xml:space="preserve"> was 2.</w:t>
      </w:r>
      <w:r>
        <w:rPr>
          <w:rFonts w:ascii="Calibri" w:hAnsi="Calibri"/>
          <w:sz w:val="16"/>
          <w:szCs w:val="16"/>
        </w:rPr>
        <w:t>0</w:t>
      </w:r>
      <w:r w:rsidRPr="001C0DCC">
        <w:rPr>
          <w:rFonts w:ascii="Calibri" w:hAnsi="Calibri"/>
          <w:sz w:val="16"/>
          <w:szCs w:val="16"/>
        </w:rPr>
        <w:t xml:space="preserve"> percent; the</w:t>
      </w:r>
    </w:p>
    <w:p w14:paraId="75BD9277" w14:textId="6356AF30" w:rsidR="009F6536" w:rsidRDefault="009F6536"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12-</w:t>
      </w:r>
      <w:r w:rsidRPr="001C0DCC">
        <w:rPr>
          <w:rFonts w:ascii="Calibri" w:hAnsi="Calibri"/>
          <w:sz w:val="16"/>
          <w:szCs w:val="16"/>
        </w:rPr>
        <w:t xml:space="preserve">month ECI for sales and office employees in private industry was </w:t>
      </w:r>
      <w:r>
        <w:rPr>
          <w:rFonts w:ascii="Calibri" w:hAnsi="Calibri"/>
          <w:sz w:val="16"/>
          <w:szCs w:val="16"/>
        </w:rPr>
        <w:t>3.9</w:t>
      </w:r>
      <w:r w:rsidRPr="001C0DCC">
        <w:rPr>
          <w:rFonts w:ascii="Calibri" w:hAnsi="Calibri"/>
          <w:sz w:val="16"/>
          <w:szCs w:val="16"/>
        </w:rPr>
        <w:t xml:space="preserve"> percent.  See footnote 11 for additional</w:t>
      </w:r>
      <w:r>
        <w:rPr>
          <w:rFonts w:ascii="Calibri" w:hAnsi="Calibri"/>
          <w:sz w:val="16"/>
          <w:szCs w:val="16"/>
        </w:rPr>
        <w:t xml:space="preserve"> </w:t>
      </w:r>
      <w:r w:rsidRPr="001C0DCC">
        <w:rPr>
          <w:rFonts w:ascii="Calibri" w:hAnsi="Calibri"/>
          <w:sz w:val="16"/>
          <w:szCs w:val="16"/>
        </w:rPr>
        <w:t>info related to the following</w:t>
      </w:r>
    </w:p>
    <w:p w14:paraId="04A8E0C9" w14:textId="12EC684A" w:rsidR="009F6536" w:rsidRPr="001C3604" w:rsidRDefault="009F6536" w:rsidP="00024B9F">
      <w:pPr>
        <w:pStyle w:val="FootnoteText"/>
        <w:rPr>
          <w:rFonts w:ascii="Calibri" w:hAnsi="Calibri"/>
          <w:sz w:val="16"/>
          <w:szCs w:val="16"/>
        </w:rPr>
      </w:pPr>
      <w:r w:rsidRPr="001C0DCC">
        <w:rPr>
          <w:rFonts w:ascii="Calibri" w:hAnsi="Calibri"/>
          <w:sz w:val="16"/>
          <w:szCs w:val="16"/>
        </w:rPr>
        <w:t xml:space="preserve"> </w:t>
      </w:r>
      <w:r>
        <w:rPr>
          <w:rFonts w:ascii="Calibri" w:hAnsi="Calibri"/>
          <w:sz w:val="16"/>
          <w:szCs w:val="16"/>
        </w:rPr>
        <w:t xml:space="preserve">    </w:t>
      </w:r>
      <w:r w:rsidRPr="001C0DCC">
        <w:rPr>
          <w:rFonts w:ascii="Calibri" w:hAnsi="Calibri"/>
          <w:sz w:val="16"/>
          <w:szCs w:val="16"/>
        </w:rPr>
        <w:t>calculation: (2.</w:t>
      </w:r>
      <w:r>
        <w:rPr>
          <w:rFonts w:ascii="Calibri" w:hAnsi="Calibri"/>
          <w:sz w:val="16"/>
          <w:szCs w:val="16"/>
        </w:rPr>
        <w:t>0</w:t>
      </w:r>
      <w:r w:rsidRPr="001C0DCC">
        <w:rPr>
          <w:rFonts w:ascii="Calibri" w:hAnsi="Calibri"/>
          <w:sz w:val="16"/>
          <w:szCs w:val="16"/>
        </w:rPr>
        <w:t xml:space="preserve"> x 0.</w:t>
      </w:r>
      <w:r>
        <w:rPr>
          <w:rFonts w:ascii="Calibri" w:hAnsi="Calibri"/>
          <w:sz w:val="16"/>
          <w:szCs w:val="16"/>
        </w:rPr>
        <w:t>92</w:t>
      </w:r>
      <w:r w:rsidRPr="001C0DCC">
        <w:rPr>
          <w:rFonts w:ascii="Calibri" w:hAnsi="Calibri"/>
          <w:sz w:val="16"/>
          <w:szCs w:val="16"/>
        </w:rPr>
        <w:t>) + (</w:t>
      </w:r>
      <w:r>
        <w:rPr>
          <w:rFonts w:ascii="Calibri" w:hAnsi="Calibri"/>
          <w:sz w:val="16"/>
          <w:szCs w:val="16"/>
        </w:rPr>
        <w:t>3.9</w:t>
      </w:r>
      <w:r w:rsidRPr="001C0DCC">
        <w:rPr>
          <w:rFonts w:ascii="Calibri" w:hAnsi="Calibri"/>
          <w:sz w:val="16"/>
          <w:szCs w:val="16"/>
        </w:rPr>
        <w:t xml:space="preserve"> x 0.</w:t>
      </w:r>
      <w:r>
        <w:rPr>
          <w:rFonts w:ascii="Calibri" w:hAnsi="Calibri"/>
          <w:sz w:val="16"/>
          <w:szCs w:val="16"/>
        </w:rPr>
        <w:t>08</w:t>
      </w:r>
      <w:r w:rsidRPr="001C0DCC">
        <w:rPr>
          <w:rFonts w:ascii="Calibri" w:hAnsi="Calibri"/>
          <w:sz w:val="16"/>
          <w:szCs w:val="16"/>
        </w:rPr>
        <w:t>) = 2.</w:t>
      </w:r>
      <w:r>
        <w:rPr>
          <w:rFonts w:ascii="Calibri" w:hAnsi="Calibri"/>
          <w:sz w:val="16"/>
          <w:szCs w:val="16"/>
        </w:rPr>
        <w:t>15</w:t>
      </w:r>
      <w:r w:rsidRPr="001C0DCC">
        <w:rPr>
          <w:rFonts w:ascii="Calibri" w:hAnsi="Calibri"/>
          <w:sz w:val="16"/>
          <w:szCs w:val="16"/>
        </w:rPr>
        <w:t xml:space="preserve"> (weighted avg percent change in ECI per year, for both categories).</w:t>
      </w:r>
    </w:p>
  </w:footnote>
  <w:footnote w:id="13">
    <w:p w14:paraId="5DC434BE" w14:textId="77777777" w:rsidR="009F6536" w:rsidRDefault="009F6536" w:rsidP="00D33C14">
      <w:pPr>
        <w:pStyle w:val="FootnoteText"/>
        <w:rPr>
          <w:rFonts w:ascii="Calibri" w:hAnsi="Calibri"/>
          <w:sz w:val="16"/>
          <w:szCs w:val="16"/>
        </w:rPr>
      </w:pPr>
      <w:r w:rsidRPr="00CB3D01">
        <w:rPr>
          <w:rStyle w:val="FootnoteReference"/>
          <w:rFonts w:ascii="Calibri" w:hAnsi="Calibri"/>
          <w:sz w:val="16"/>
          <w:szCs w:val="16"/>
        </w:rPr>
        <w:t>14</w:t>
      </w:r>
      <w:r w:rsidRPr="00CB3D01">
        <w:rPr>
          <w:rFonts w:ascii="Calibri" w:hAnsi="Calibri"/>
          <w:sz w:val="16"/>
          <w:szCs w:val="16"/>
        </w:rPr>
        <w:t xml:space="preserve"> IPP uses the term “stratum” (pl. “strata”) to refer to a grouping of one or more classification groups which</w:t>
      </w:r>
      <w:r>
        <w:rPr>
          <w:rFonts w:ascii="Calibri" w:hAnsi="Calibri"/>
          <w:sz w:val="16"/>
          <w:szCs w:val="16"/>
        </w:rPr>
        <w:t xml:space="preserve"> </w:t>
      </w:r>
      <w:r w:rsidRPr="00CB3D01">
        <w:rPr>
          <w:rFonts w:ascii="Calibri" w:hAnsi="Calibri"/>
          <w:sz w:val="16"/>
          <w:szCs w:val="16"/>
        </w:rPr>
        <w:t>are homogenous with respect to</w:t>
      </w:r>
    </w:p>
    <w:p w14:paraId="4B283FEE" w14:textId="77777777" w:rsidR="009F6536" w:rsidRPr="00CB3D01" w:rsidRDefault="009F6536" w:rsidP="00D33C14">
      <w:pPr>
        <w:pStyle w:val="FootnoteText"/>
        <w:rPr>
          <w:rFonts w:ascii="Calibri" w:hAnsi="Calibri"/>
          <w:sz w:val="16"/>
          <w:szCs w:val="16"/>
        </w:rPr>
      </w:pPr>
      <w:r>
        <w:rPr>
          <w:rFonts w:ascii="Calibri" w:hAnsi="Calibri"/>
          <w:sz w:val="16"/>
          <w:szCs w:val="16"/>
        </w:rPr>
        <w:t xml:space="preserve">   </w:t>
      </w:r>
      <w:r w:rsidRPr="00CB3D01">
        <w:rPr>
          <w:rFonts w:ascii="Calibri" w:hAnsi="Calibri"/>
          <w:sz w:val="16"/>
          <w:szCs w:val="16"/>
        </w:rPr>
        <w:t xml:space="preserve">some characteristic and may experience similar price trends.  </w:t>
      </w:r>
    </w:p>
    <w:p w14:paraId="62295E4F" w14:textId="77777777" w:rsidR="009F6536" w:rsidRDefault="009F65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C077" w14:textId="77777777" w:rsidR="009F6536" w:rsidRDefault="009F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6559" w14:textId="77777777" w:rsidR="009F6536" w:rsidRDefault="009F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D6D0" w14:textId="77777777" w:rsidR="009F6536" w:rsidRDefault="009F6536" w:rsidP="00D33A63">
    <w:pPr>
      <w:pStyle w:val="Header"/>
    </w:pPr>
    <w:r>
      <w:t>U. S. Import and Export Price Indexes</w:t>
    </w:r>
  </w:p>
  <w:p w14:paraId="614BE9D1" w14:textId="6B2A2009" w:rsidR="009F6536" w:rsidRDefault="009F6536" w:rsidP="00D33A63">
    <w:pPr>
      <w:pStyle w:val="Header"/>
    </w:pPr>
    <w:r>
      <w:t>OMB Control Number 1220-0025</w:t>
    </w:r>
  </w:p>
  <w:p w14:paraId="0EAED5B2" w14:textId="6C10A9A4" w:rsidR="009F6536" w:rsidRDefault="009F6536">
    <w:pPr>
      <w:pStyle w:val="Header"/>
    </w:pPr>
    <w:r>
      <w:t>OMB Expiration Date: May 31, 2022</w:t>
    </w:r>
  </w:p>
  <w:p w14:paraId="700D990B" w14:textId="77777777" w:rsidR="009F6536" w:rsidRDefault="009F6536">
    <w:pPr>
      <w:pStyle w:val="Header"/>
    </w:pPr>
  </w:p>
  <w:p w14:paraId="13FC8F6E" w14:textId="77777777" w:rsidR="009F6536" w:rsidRDefault="009F6536">
    <w:pPr>
      <w:pStyle w:val="Header"/>
    </w:pPr>
  </w:p>
  <w:p w14:paraId="5B1720A3" w14:textId="77777777" w:rsidR="009F6536" w:rsidRDefault="009F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693"/>
    <w:multiLevelType w:val="hybridMultilevel"/>
    <w:tmpl w:val="AA2E5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B2D65"/>
    <w:multiLevelType w:val="singleLevel"/>
    <w:tmpl w:val="8460D8AE"/>
    <w:lvl w:ilvl="0">
      <w:start w:val="15"/>
      <w:numFmt w:val="decimal"/>
      <w:lvlText w:val="%1."/>
      <w:lvlJc w:val="left"/>
      <w:pPr>
        <w:tabs>
          <w:tab w:val="num" w:pos="1167"/>
        </w:tabs>
        <w:ind w:left="1167" w:hanging="735"/>
      </w:pPr>
      <w:rPr>
        <w:rFonts w:hint="default"/>
      </w:rPr>
    </w:lvl>
  </w:abstractNum>
  <w:abstractNum w:abstractNumId="2" w15:restartNumberingAfterBreak="0">
    <w:nsid w:val="04B13246"/>
    <w:multiLevelType w:val="hybridMultilevel"/>
    <w:tmpl w:val="C674D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A5D54"/>
    <w:multiLevelType w:val="hybridMultilevel"/>
    <w:tmpl w:val="3AEAA7D2"/>
    <w:lvl w:ilvl="0" w:tplc="01D6E246">
      <w:start w:val="16"/>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C4EC2"/>
    <w:multiLevelType w:val="hybridMultilevel"/>
    <w:tmpl w:val="75105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200FF9"/>
    <w:multiLevelType w:val="hybridMultilevel"/>
    <w:tmpl w:val="F40C0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F7646"/>
    <w:multiLevelType w:val="singleLevel"/>
    <w:tmpl w:val="73F293CA"/>
    <w:lvl w:ilvl="0">
      <w:start w:val="14"/>
      <w:numFmt w:val="decimal"/>
      <w:lvlText w:val="%1."/>
      <w:lvlJc w:val="left"/>
      <w:pPr>
        <w:tabs>
          <w:tab w:val="num" w:pos="1167"/>
        </w:tabs>
        <w:ind w:left="1167" w:hanging="735"/>
      </w:pPr>
      <w:rPr>
        <w:rFonts w:hint="default"/>
      </w:rPr>
    </w:lvl>
  </w:abstractNum>
  <w:abstractNum w:abstractNumId="7" w15:restartNumberingAfterBreak="0">
    <w:nsid w:val="11C91069"/>
    <w:multiLevelType w:val="singleLevel"/>
    <w:tmpl w:val="5CA0E5CE"/>
    <w:lvl w:ilvl="0">
      <w:start w:val="4"/>
      <w:numFmt w:val="decimal"/>
      <w:lvlText w:val="%1."/>
      <w:lvlJc w:val="left"/>
      <w:pPr>
        <w:tabs>
          <w:tab w:val="num" w:pos="1305"/>
        </w:tabs>
        <w:ind w:left="1305" w:hanging="585"/>
      </w:pPr>
      <w:rPr>
        <w:rFonts w:hint="default"/>
      </w:rPr>
    </w:lvl>
  </w:abstractNum>
  <w:abstractNum w:abstractNumId="8" w15:restartNumberingAfterBreak="0">
    <w:nsid w:val="136008A1"/>
    <w:multiLevelType w:val="singleLevel"/>
    <w:tmpl w:val="6704814C"/>
    <w:lvl w:ilvl="0">
      <w:start w:val="2"/>
      <w:numFmt w:val="decimal"/>
      <w:lvlText w:val="%1."/>
      <w:lvlJc w:val="left"/>
      <w:pPr>
        <w:tabs>
          <w:tab w:val="num" w:pos="1161"/>
        </w:tabs>
        <w:ind w:left="1161" w:hanging="585"/>
      </w:pPr>
      <w:rPr>
        <w:rFonts w:hint="default"/>
      </w:rPr>
    </w:lvl>
  </w:abstractNum>
  <w:abstractNum w:abstractNumId="9" w15:restartNumberingAfterBreak="0">
    <w:nsid w:val="1B6C4760"/>
    <w:multiLevelType w:val="hybridMultilevel"/>
    <w:tmpl w:val="CB3AE3CC"/>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0" w15:restartNumberingAfterBreak="0">
    <w:nsid w:val="1CAD5BFE"/>
    <w:multiLevelType w:val="singleLevel"/>
    <w:tmpl w:val="BB3C9894"/>
    <w:lvl w:ilvl="0">
      <w:start w:val="8"/>
      <w:numFmt w:val="decimal"/>
      <w:lvlText w:val="%1."/>
      <w:lvlJc w:val="left"/>
      <w:pPr>
        <w:tabs>
          <w:tab w:val="num" w:pos="1320"/>
        </w:tabs>
        <w:ind w:left="1320" w:hanging="600"/>
      </w:pPr>
      <w:rPr>
        <w:rFonts w:hint="default"/>
      </w:rPr>
    </w:lvl>
  </w:abstractNum>
  <w:abstractNum w:abstractNumId="11" w15:restartNumberingAfterBreak="0">
    <w:nsid w:val="1CB75F29"/>
    <w:multiLevelType w:val="hybridMultilevel"/>
    <w:tmpl w:val="E6A277E0"/>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2" w15:restartNumberingAfterBreak="0">
    <w:nsid w:val="1DBD1E46"/>
    <w:multiLevelType w:val="hybridMultilevel"/>
    <w:tmpl w:val="659A282A"/>
    <w:lvl w:ilvl="0" w:tplc="282EAFF8">
      <w:start w:val="15"/>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F8F6945"/>
    <w:multiLevelType w:val="singleLevel"/>
    <w:tmpl w:val="A87C44AC"/>
    <w:lvl w:ilvl="0">
      <w:start w:val="15"/>
      <w:numFmt w:val="decimal"/>
      <w:lvlText w:val="%1."/>
      <w:lvlJc w:val="left"/>
      <w:pPr>
        <w:tabs>
          <w:tab w:val="num" w:pos="852"/>
        </w:tabs>
        <w:ind w:left="852" w:hanging="420"/>
      </w:pPr>
      <w:rPr>
        <w:rFonts w:hint="default"/>
      </w:rPr>
    </w:lvl>
  </w:abstractNum>
  <w:abstractNum w:abstractNumId="14" w15:restartNumberingAfterBreak="0">
    <w:nsid w:val="23786BD0"/>
    <w:multiLevelType w:val="singleLevel"/>
    <w:tmpl w:val="95C2B268"/>
    <w:lvl w:ilvl="0">
      <w:start w:val="8"/>
      <w:numFmt w:val="decimal"/>
      <w:lvlText w:val="%1."/>
      <w:lvlJc w:val="left"/>
      <w:pPr>
        <w:tabs>
          <w:tab w:val="num" w:pos="936"/>
        </w:tabs>
        <w:ind w:left="936" w:hanging="360"/>
      </w:pPr>
      <w:rPr>
        <w:rFonts w:hint="default"/>
      </w:rPr>
    </w:lvl>
  </w:abstractNum>
  <w:abstractNum w:abstractNumId="15" w15:restartNumberingAfterBreak="0">
    <w:nsid w:val="243E1010"/>
    <w:multiLevelType w:val="hybridMultilevel"/>
    <w:tmpl w:val="C4C8CDB6"/>
    <w:lvl w:ilvl="0" w:tplc="AD9A8E7E">
      <w:start w:val="1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16" w15:restartNumberingAfterBreak="0">
    <w:nsid w:val="27C600D8"/>
    <w:multiLevelType w:val="hybridMultilevel"/>
    <w:tmpl w:val="482061EE"/>
    <w:lvl w:ilvl="0" w:tplc="35D211EE">
      <w:start w:val="1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984566"/>
    <w:multiLevelType w:val="hybridMultilevel"/>
    <w:tmpl w:val="CD885A2E"/>
    <w:lvl w:ilvl="0" w:tplc="26C262F6">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420BBD"/>
    <w:multiLevelType w:val="hybridMultilevel"/>
    <w:tmpl w:val="8C4A74D2"/>
    <w:lvl w:ilvl="0" w:tplc="FBEE6CE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640D7E"/>
    <w:multiLevelType w:val="hybridMultilevel"/>
    <w:tmpl w:val="9214B59E"/>
    <w:lvl w:ilvl="0" w:tplc="948C3550">
      <w:start w:val="1"/>
      <w:numFmt w:val="decimal"/>
      <w:lvlText w:val="%1."/>
      <w:lvlJc w:val="left"/>
      <w:pPr>
        <w:tabs>
          <w:tab w:val="num" w:pos="936"/>
        </w:tabs>
        <w:ind w:left="936" w:hanging="360"/>
      </w:pPr>
      <w:rPr>
        <w:rFonts w:hint="default"/>
        <w:color w:val="auto"/>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 w15:restartNumberingAfterBreak="0">
    <w:nsid w:val="3B823B02"/>
    <w:multiLevelType w:val="hybridMultilevel"/>
    <w:tmpl w:val="F61C394A"/>
    <w:lvl w:ilvl="0" w:tplc="AD9A8E7E">
      <w:start w:val="15"/>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1" w15:restartNumberingAfterBreak="0">
    <w:nsid w:val="3C5D6B85"/>
    <w:multiLevelType w:val="hybridMultilevel"/>
    <w:tmpl w:val="36C48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D7337B"/>
    <w:multiLevelType w:val="singleLevel"/>
    <w:tmpl w:val="838E5BDA"/>
    <w:lvl w:ilvl="0">
      <w:start w:val="17"/>
      <w:numFmt w:val="decimal"/>
      <w:lvlText w:val="%1."/>
      <w:lvlJc w:val="left"/>
      <w:pPr>
        <w:tabs>
          <w:tab w:val="num" w:pos="1167"/>
        </w:tabs>
        <w:ind w:left="1167" w:hanging="735"/>
      </w:pPr>
      <w:rPr>
        <w:rFonts w:hint="default"/>
      </w:rPr>
    </w:lvl>
  </w:abstractNum>
  <w:abstractNum w:abstractNumId="23" w15:restartNumberingAfterBreak="0">
    <w:nsid w:val="3FBF319C"/>
    <w:multiLevelType w:val="singleLevel"/>
    <w:tmpl w:val="C186E3C8"/>
    <w:lvl w:ilvl="0">
      <w:start w:val="10"/>
      <w:numFmt w:val="decimal"/>
      <w:lvlText w:val="%1."/>
      <w:legacy w:legacy="1" w:legacySpace="0" w:legacyIndent="1167"/>
      <w:lvlJc w:val="left"/>
      <w:pPr>
        <w:ind w:left="1599" w:hanging="1167"/>
      </w:pPr>
    </w:lvl>
  </w:abstractNum>
  <w:abstractNum w:abstractNumId="24" w15:restartNumberingAfterBreak="0">
    <w:nsid w:val="4051129C"/>
    <w:multiLevelType w:val="hybridMultilevel"/>
    <w:tmpl w:val="54FCC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645D46"/>
    <w:multiLevelType w:val="hybridMultilevel"/>
    <w:tmpl w:val="3FC48D7E"/>
    <w:lvl w:ilvl="0" w:tplc="43B618A2">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B4697F"/>
    <w:multiLevelType w:val="singleLevel"/>
    <w:tmpl w:val="0AD862AE"/>
    <w:lvl w:ilvl="0">
      <w:start w:val="13"/>
      <w:numFmt w:val="decimal"/>
      <w:lvlText w:val="%1."/>
      <w:lvlJc w:val="left"/>
      <w:pPr>
        <w:tabs>
          <w:tab w:val="num" w:pos="1167"/>
        </w:tabs>
        <w:ind w:left="1167" w:hanging="735"/>
      </w:pPr>
      <w:rPr>
        <w:rFonts w:hint="default"/>
      </w:rPr>
    </w:lvl>
  </w:abstractNum>
  <w:abstractNum w:abstractNumId="27" w15:restartNumberingAfterBreak="0">
    <w:nsid w:val="469B6257"/>
    <w:multiLevelType w:val="hybridMultilevel"/>
    <w:tmpl w:val="802ED48C"/>
    <w:lvl w:ilvl="0" w:tplc="74A0B4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95F109B"/>
    <w:multiLevelType w:val="hybridMultilevel"/>
    <w:tmpl w:val="23027ABE"/>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FA6DB9"/>
    <w:multiLevelType w:val="singleLevel"/>
    <w:tmpl w:val="45F4240A"/>
    <w:lvl w:ilvl="0">
      <w:start w:val="10"/>
      <w:numFmt w:val="decimal"/>
      <w:lvlText w:val="%1."/>
      <w:lvlJc w:val="left"/>
      <w:pPr>
        <w:tabs>
          <w:tab w:val="num" w:pos="996"/>
        </w:tabs>
        <w:ind w:left="996" w:hanging="420"/>
      </w:pPr>
      <w:rPr>
        <w:rFonts w:hint="default"/>
      </w:rPr>
    </w:lvl>
  </w:abstractNum>
  <w:abstractNum w:abstractNumId="30" w15:restartNumberingAfterBreak="0">
    <w:nsid w:val="4C2851AB"/>
    <w:multiLevelType w:val="hybridMultilevel"/>
    <w:tmpl w:val="83A82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147BA"/>
    <w:multiLevelType w:val="hybridMultilevel"/>
    <w:tmpl w:val="94202904"/>
    <w:lvl w:ilvl="0" w:tplc="251286D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0B7E05"/>
    <w:multiLevelType w:val="singleLevel"/>
    <w:tmpl w:val="AF06EA5E"/>
    <w:lvl w:ilvl="0">
      <w:start w:val="8"/>
      <w:numFmt w:val="decimal"/>
      <w:lvlText w:val="%1."/>
      <w:lvlJc w:val="left"/>
      <w:pPr>
        <w:tabs>
          <w:tab w:val="num" w:pos="1161"/>
        </w:tabs>
        <w:ind w:left="1161" w:hanging="585"/>
      </w:pPr>
      <w:rPr>
        <w:rFonts w:hint="default"/>
      </w:rPr>
    </w:lvl>
  </w:abstractNum>
  <w:abstractNum w:abstractNumId="33" w15:restartNumberingAfterBreak="0">
    <w:nsid w:val="50C673DE"/>
    <w:multiLevelType w:val="singleLevel"/>
    <w:tmpl w:val="0A7C7D20"/>
    <w:lvl w:ilvl="0">
      <w:start w:val="15"/>
      <w:numFmt w:val="none"/>
      <w:lvlText w:val="17."/>
      <w:lvlJc w:val="left"/>
      <w:pPr>
        <w:tabs>
          <w:tab w:val="num" w:pos="720"/>
        </w:tabs>
        <w:ind w:left="360" w:hanging="360"/>
      </w:pPr>
    </w:lvl>
  </w:abstractNum>
  <w:abstractNum w:abstractNumId="34" w15:restartNumberingAfterBreak="0">
    <w:nsid w:val="522B7E0D"/>
    <w:multiLevelType w:val="hybridMultilevel"/>
    <w:tmpl w:val="532C35DC"/>
    <w:lvl w:ilvl="0" w:tplc="05F4CC2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A3082E"/>
    <w:multiLevelType w:val="hybridMultilevel"/>
    <w:tmpl w:val="1CECE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E17EF"/>
    <w:multiLevelType w:val="hybridMultilevel"/>
    <w:tmpl w:val="B164EE9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295B03"/>
    <w:multiLevelType w:val="hybridMultilevel"/>
    <w:tmpl w:val="071876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9904D5"/>
    <w:multiLevelType w:val="hybridMultilevel"/>
    <w:tmpl w:val="0838A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45BCA"/>
    <w:multiLevelType w:val="hybridMultilevel"/>
    <w:tmpl w:val="336C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42741"/>
    <w:multiLevelType w:val="singleLevel"/>
    <w:tmpl w:val="22E87EC2"/>
    <w:lvl w:ilvl="0">
      <w:start w:val="17"/>
      <w:numFmt w:val="decimal"/>
      <w:lvlText w:val="%1."/>
      <w:lvlJc w:val="left"/>
      <w:pPr>
        <w:tabs>
          <w:tab w:val="num" w:pos="1167"/>
        </w:tabs>
        <w:ind w:left="1167" w:hanging="735"/>
      </w:pPr>
      <w:rPr>
        <w:rFonts w:hint="default"/>
      </w:rPr>
    </w:lvl>
  </w:abstractNum>
  <w:abstractNum w:abstractNumId="42" w15:restartNumberingAfterBreak="0">
    <w:nsid w:val="6FD50FC0"/>
    <w:multiLevelType w:val="hybridMultilevel"/>
    <w:tmpl w:val="C7DE2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660BB"/>
    <w:multiLevelType w:val="singleLevel"/>
    <w:tmpl w:val="603A07EC"/>
    <w:lvl w:ilvl="0">
      <w:start w:val="15"/>
      <w:numFmt w:val="decimal"/>
      <w:lvlText w:val="%1."/>
      <w:lvlJc w:val="left"/>
      <w:pPr>
        <w:tabs>
          <w:tab w:val="num" w:pos="852"/>
        </w:tabs>
        <w:ind w:left="852" w:hanging="420"/>
      </w:pPr>
      <w:rPr>
        <w:rFonts w:hint="default"/>
      </w:rPr>
    </w:lvl>
  </w:abstractNum>
  <w:abstractNum w:abstractNumId="44" w15:restartNumberingAfterBreak="0">
    <w:nsid w:val="7D1F5CA0"/>
    <w:multiLevelType w:val="hybridMultilevel"/>
    <w:tmpl w:val="5A12F7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B243D"/>
    <w:multiLevelType w:val="hybridMultilevel"/>
    <w:tmpl w:val="0136E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5"/>
  </w:num>
  <w:num w:numId="3">
    <w:abstractNumId w:val="5"/>
  </w:num>
  <w:num w:numId="4">
    <w:abstractNumId w:val="8"/>
  </w:num>
  <w:num w:numId="5">
    <w:abstractNumId w:val="10"/>
  </w:num>
  <w:num w:numId="6">
    <w:abstractNumId w:val="34"/>
  </w:num>
  <w:num w:numId="7">
    <w:abstractNumId w:val="25"/>
  </w:num>
  <w:num w:numId="8">
    <w:abstractNumId w:val="28"/>
  </w:num>
  <w:num w:numId="9">
    <w:abstractNumId w:val="3"/>
  </w:num>
  <w:num w:numId="10">
    <w:abstractNumId w:val="41"/>
  </w:num>
  <w:num w:numId="11">
    <w:abstractNumId w:val="16"/>
  </w:num>
  <w:num w:numId="12">
    <w:abstractNumId w:val="17"/>
  </w:num>
  <w:num w:numId="13">
    <w:abstractNumId w:val="23"/>
  </w:num>
  <w:num w:numId="14">
    <w:abstractNumId w:val="32"/>
  </w:num>
  <w:num w:numId="15">
    <w:abstractNumId w:val="29"/>
  </w:num>
  <w:num w:numId="16">
    <w:abstractNumId w:val="1"/>
  </w:num>
  <w:num w:numId="17">
    <w:abstractNumId w:val="13"/>
  </w:num>
  <w:num w:numId="18">
    <w:abstractNumId w:val="43"/>
  </w:num>
  <w:num w:numId="19">
    <w:abstractNumId w:val="14"/>
  </w:num>
  <w:num w:numId="20">
    <w:abstractNumId w:val="22"/>
  </w:num>
  <w:num w:numId="21">
    <w:abstractNumId w:val="7"/>
  </w:num>
  <w:num w:numId="22">
    <w:abstractNumId w:val="33"/>
  </w:num>
  <w:num w:numId="23">
    <w:abstractNumId w:val="6"/>
  </w:num>
  <w:num w:numId="24">
    <w:abstractNumId w:val="26"/>
  </w:num>
  <w:num w:numId="25">
    <w:abstractNumId w:val="9"/>
  </w:num>
  <w:num w:numId="26">
    <w:abstractNumId w:val="20"/>
  </w:num>
  <w:num w:numId="27">
    <w:abstractNumId w:val="11"/>
  </w:num>
  <w:num w:numId="28">
    <w:abstractNumId w:val="15"/>
  </w:num>
  <w:num w:numId="29">
    <w:abstractNumId w:val="12"/>
  </w:num>
  <w:num w:numId="30">
    <w:abstractNumId w:val="19"/>
  </w:num>
  <w:num w:numId="31">
    <w:abstractNumId w:val="27"/>
  </w:num>
  <w:num w:numId="32">
    <w:abstractNumId w:val="38"/>
  </w:num>
  <w:num w:numId="33">
    <w:abstractNumId w:val="36"/>
  </w:num>
  <w:num w:numId="34">
    <w:abstractNumId w:val="40"/>
  </w:num>
  <w:num w:numId="35">
    <w:abstractNumId w:val="30"/>
  </w:num>
  <w:num w:numId="36">
    <w:abstractNumId w:val="2"/>
  </w:num>
  <w:num w:numId="37">
    <w:abstractNumId w:val="45"/>
  </w:num>
  <w:num w:numId="38">
    <w:abstractNumId w:val="39"/>
  </w:num>
  <w:num w:numId="39">
    <w:abstractNumId w:val="4"/>
  </w:num>
  <w:num w:numId="40">
    <w:abstractNumId w:val="2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42"/>
  </w:num>
  <w:num w:numId="44">
    <w:abstractNumId w:val="31"/>
  </w:num>
  <w:num w:numId="45">
    <w:abstractNumId w:val="1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9F"/>
    <w:rsid w:val="000039F3"/>
    <w:rsid w:val="000069DC"/>
    <w:rsid w:val="000101DF"/>
    <w:rsid w:val="000121AB"/>
    <w:rsid w:val="0001348C"/>
    <w:rsid w:val="00014E8E"/>
    <w:rsid w:val="00017578"/>
    <w:rsid w:val="00021273"/>
    <w:rsid w:val="00022DC9"/>
    <w:rsid w:val="000235B8"/>
    <w:rsid w:val="00024B9F"/>
    <w:rsid w:val="00026216"/>
    <w:rsid w:val="00030EC7"/>
    <w:rsid w:val="0003298E"/>
    <w:rsid w:val="000341DB"/>
    <w:rsid w:val="00034C41"/>
    <w:rsid w:val="000363F8"/>
    <w:rsid w:val="00042A6A"/>
    <w:rsid w:val="00047E7C"/>
    <w:rsid w:val="00054AA6"/>
    <w:rsid w:val="00054ED3"/>
    <w:rsid w:val="00055DFD"/>
    <w:rsid w:val="000647EC"/>
    <w:rsid w:val="00067B44"/>
    <w:rsid w:val="00070DB3"/>
    <w:rsid w:val="00071402"/>
    <w:rsid w:val="0007391D"/>
    <w:rsid w:val="000770CB"/>
    <w:rsid w:val="000776AD"/>
    <w:rsid w:val="0008355E"/>
    <w:rsid w:val="00090788"/>
    <w:rsid w:val="000913AA"/>
    <w:rsid w:val="00091954"/>
    <w:rsid w:val="00097D6E"/>
    <w:rsid w:val="000A12AA"/>
    <w:rsid w:val="000A3F4E"/>
    <w:rsid w:val="000B35A6"/>
    <w:rsid w:val="000B7175"/>
    <w:rsid w:val="000C2356"/>
    <w:rsid w:val="000C2652"/>
    <w:rsid w:val="000C464F"/>
    <w:rsid w:val="000C48AA"/>
    <w:rsid w:val="000C55FA"/>
    <w:rsid w:val="000C58F0"/>
    <w:rsid w:val="000C7CF6"/>
    <w:rsid w:val="000D016B"/>
    <w:rsid w:val="000D1E20"/>
    <w:rsid w:val="000D33C0"/>
    <w:rsid w:val="000D3C4D"/>
    <w:rsid w:val="000E1519"/>
    <w:rsid w:val="000E1935"/>
    <w:rsid w:val="000E64EA"/>
    <w:rsid w:val="000E7CF5"/>
    <w:rsid w:val="000F058D"/>
    <w:rsid w:val="000F0AE4"/>
    <w:rsid w:val="000F1183"/>
    <w:rsid w:val="000F498F"/>
    <w:rsid w:val="00103D50"/>
    <w:rsid w:val="0010403A"/>
    <w:rsid w:val="00105D71"/>
    <w:rsid w:val="00105EEA"/>
    <w:rsid w:val="00106BD4"/>
    <w:rsid w:val="00107E44"/>
    <w:rsid w:val="00112F97"/>
    <w:rsid w:val="00115B5E"/>
    <w:rsid w:val="00115CD4"/>
    <w:rsid w:val="00116ED5"/>
    <w:rsid w:val="00122652"/>
    <w:rsid w:val="001236E6"/>
    <w:rsid w:val="0013328E"/>
    <w:rsid w:val="00133FC0"/>
    <w:rsid w:val="001355F6"/>
    <w:rsid w:val="00140B58"/>
    <w:rsid w:val="00146391"/>
    <w:rsid w:val="00146A83"/>
    <w:rsid w:val="00146E00"/>
    <w:rsid w:val="001472BF"/>
    <w:rsid w:val="00150094"/>
    <w:rsid w:val="00150781"/>
    <w:rsid w:val="00151C07"/>
    <w:rsid w:val="00154F52"/>
    <w:rsid w:val="00156AA3"/>
    <w:rsid w:val="00156F8C"/>
    <w:rsid w:val="00160498"/>
    <w:rsid w:val="001717E6"/>
    <w:rsid w:val="001744A6"/>
    <w:rsid w:val="00181B3C"/>
    <w:rsid w:val="00182BD3"/>
    <w:rsid w:val="00186320"/>
    <w:rsid w:val="00186569"/>
    <w:rsid w:val="001901B7"/>
    <w:rsid w:val="00192537"/>
    <w:rsid w:val="00192E2E"/>
    <w:rsid w:val="00194494"/>
    <w:rsid w:val="001951F0"/>
    <w:rsid w:val="001963C5"/>
    <w:rsid w:val="0019784D"/>
    <w:rsid w:val="001A4CE8"/>
    <w:rsid w:val="001A6B91"/>
    <w:rsid w:val="001B0602"/>
    <w:rsid w:val="001B08A2"/>
    <w:rsid w:val="001B5D92"/>
    <w:rsid w:val="001B612E"/>
    <w:rsid w:val="001C0DCC"/>
    <w:rsid w:val="001C3604"/>
    <w:rsid w:val="001C6469"/>
    <w:rsid w:val="001D51E1"/>
    <w:rsid w:val="001D53A7"/>
    <w:rsid w:val="001D7B0B"/>
    <w:rsid w:val="001E5031"/>
    <w:rsid w:val="001E5D63"/>
    <w:rsid w:val="001F2310"/>
    <w:rsid w:val="001F2D5C"/>
    <w:rsid w:val="001F799B"/>
    <w:rsid w:val="002014F0"/>
    <w:rsid w:val="0020612D"/>
    <w:rsid w:val="0021074F"/>
    <w:rsid w:val="00211793"/>
    <w:rsid w:val="002125F8"/>
    <w:rsid w:val="002127B1"/>
    <w:rsid w:val="0021289D"/>
    <w:rsid w:val="002149AF"/>
    <w:rsid w:val="00214AE2"/>
    <w:rsid w:val="002264CF"/>
    <w:rsid w:val="00231719"/>
    <w:rsid w:val="002346FA"/>
    <w:rsid w:val="00234ABF"/>
    <w:rsid w:val="00235F18"/>
    <w:rsid w:val="00235F2B"/>
    <w:rsid w:val="00237450"/>
    <w:rsid w:val="00245C94"/>
    <w:rsid w:val="00256276"/>
    <w:rsid w:val="00256819"/>
    <w:rsid w:val="00262883"/>
    <w:rsid w:val="00263754"/>
    <w:rsid w:val="00263AB5"/>
    <w:rsid w:val="002678F4"/>
    <w:rsid w:val="002762B2"/>
    <w:rsid w:val="00276F99"/>
    <w:rsid w:val="00280F3F"/>
    <w:rsid w:val="00281CBD"/>
    <w:rsid w:val="00284A12"/>
    <w:rsid w:val="00284C4A"/>
    <w:rsid w:val="00286B8C"/>
    <w:rsid w:val="00290C8A"/>
    <w:rsid w:val="002935B4"/>
    <w:rsid w:val="0029408D"/>
    <w:rsid w:val="002957C3"/>
    <w:rsid w:val="002A1D25"/>
    <w:rsid w:val="002A4329"/>
    <w:rsid w:val="002A5A2A"/>
    <w:rsid w:val="002A7E18"/>
    <w:rsid w:val="002A7FF5"/>
    <w:rsid w:val="002B0A63"/>
    <w:rsid w:val="002B3BD2"/>
    <w:rsid w:val="002B5A71"/>
    <w:rsid w:val="002B60A3"/>
    <w:rsid w:val="002B7F85"/>
    <w:rsid w:val="002C4414"/>
    <w:rsid w:val="002C6375"/>
    <w:rsid w:val="002D28A0"/>
    <w:rsid w:val="002D28DA"/>
    <w:rsid w:val="002D5208"/>
    <w:rsid w:val="002D5FF3"/>
    <w:rsid w:val="002D790E"/>
    <w:rsid w:val="002E0E1F"/>
    <w:rsid w:val="002F5D26"/>
    <w:rsid w:val="002F63D9"/>
    <w:rsid w:val="003048AB"/>
    <w:rsid w:val="003051A9"/>
    <w:rsid w:val="00305C63"/>
    <w:rsid w:val="00306014"/>
    <w:rsid w:val="0031284C"/>
    <w:rsid w:val="003174D0"/>
    <w:rsid w:val="00317EC8"/>
    <w:rsid w:val="00324B4D"/>
    <w:rsid w:val="00334300"/>
    <w:rsid w:val="00336125"/>
    <w:rsid w:val="00342D0D"/>
    <w:rsid w:val="003459BA"/>
    <w:rsid w:val="00347B47"/>
    <w:rsid w:val="00351AAE"/>
    <w:rsid w:val="00353EFB"/>
    <w:rsid w:val="00364279"/>
    <w:rsid w:val="00364676"/>
    <w:rsid w:val="003657A4"/>
    <w:rsid w:val="00365AAE"/>
    <w:rsid w:val="00366FFF"/>
    <w:rsid w:val="00367384"/>
    <w:rsid w:val="00372A46"/>
    <w:rsid w:val="00374F15"/>
    <w:rsid w:val="003777A4"/>
    <w:rsid w:val="00381624"/>
    <w:rsid w:val="00381F30"/>
    <w:rsid w:val="00384000"/>
    <w:rsid w:val="00387C2E"/>
    <w:rsid w:val="00395F3D"/>
    <w:rsid w:val="00397CBF"/>
    <w:rsid w:val="003A0321"/>
    <w:rsid w:val="003A3A75"/>
    <w:rsid w:val="003A7F24"/>
    <w:rsid w:val="003B126E"/>
    <w:rsid w:val="003B2DE9"/>
    <w:rsid w:val="003B36F4"/>
    <w:rsid w:val="003B6FB8"/>
    <w:rsid w:val="003C02B3"/>
    <w:rsid w:val="003C3B2C"/>
    <w:rsid w:val="003C4A9C"/>
    <w:rsid w:val="003C5AD6"/>
    <w:rsid w:val="003C7B64"/>
    <w:rsid w:val="003D0DD4"/>
    <w:rsid w:val="003D1C59"/>
    <w:rsid w:val="003D3766"/>
    <w:rsid w:val="003D3BE2"/>
    <w:rsid w:val="003D3DE0"/>
    <w:rsid w:val="003D6122"/>
    <w:rsid w:val="003D7017"/>
    <w:rsid w:val="003E1501"/>
    <w:rsid w:val="003E3A73"/>
    <w:rsid w:val="003E3B57"/>
    <w:rsid w:val="003E54AE"/>
    <w:rsid w:val="003E7643"/>
    <w:rsid w:val="003F53FE"/>
    <w:rsid w:val="003F66E0"/>
    <w:rsid w:val="003F6987"/>
    <w:rsid w:val="003F798E"/>
    <w:rsid w:val="00402222"/>
    <w:rsid w:val="0040307A"/>
    <w:rsid w:val="004046D8"/>
    <w:rsid w:val="00406860"/>
    <w:rsid w:val="004107C8"/>
    <w:rsid w:val="00412EB1"/>
    <w:rsid w:val="00422043"/>
    <w:rsid w:val="00424E98"/>
    <w:rsid w:val="00441581"/>
    <w:rsid w:val="004421C5"/>
    <w:rsid w:val="00445614"/>
    <w:rsid w:val="00445F31"/>
    <w:rsid w:val="004460C2"/>
    <w:rsid w:val="0045092A"/>
    <w:rsid w:val="0045255D"/>
    <w:rsid w:val="00453D1C"/>
    <w:rsid w:val="004553D2"/>
    <w:rsid w:val="004554DD"/>
    <w:rsid w:val="00457F69"/>
    <w:rsid w:val="00460632"/>
    <w:rsid w:val="0046345A"/>
    <w:rsid w:val="00464DBD"/>
    <w:rsid w:val="0047063E"/>
    <w:rsid w:val="0047147D"/>
    <w:rsid w:val="00473B90"/>
    <w:rsid w:val="004815E8"/>
    <w:rsid w:val="00483847"/>
    <w:rsid w:val="00484C16"/>
    <w:rsid w:val="00485589"/>
    <w:rsid w:val="004869E2"/>
    <w:rsid w:val="004876CE"/>
    <w:rsid w:val="00496BE9"/>
    <w:rsid w:val="004A2C47"/>
    <w:rsid w:val="004A2F78"/>
    <w:rsid w:val="004A40A9"/>
    <w:rsid w:val="004A41E5"/>
    <w:rsid w:val="004A6B38"/>
    <w:rsid w:val="004B006D"/>
    <w:rsid w:val="004C14DE"/>
    <w:rsid w:val="004C1AC5"/>
    <w:rsid w:val="004C2303"/>
    <w:rsid w:val="004C2A55"/>
    <w:rsid w:val="004C6519"/>
    <w:rsid w:val="004C6B51"/>
    <w:rsid w:val="004D05F6"/>
    <w:rsid w:val="004D0C26"/>
    <w:rsid w:val="004D2F15"/>
    <w:rsid w:val="004D4F37"/>
    <w:rsid w:val="004D6EC5"/>
    <w:rsid w:val="004E1C36"/>
    <w:rsid w:val="004E20CF"/>
    <w:rsid w:val="004F444E"/>
    <w:rsid w:val="004F7863"/>
    <w:rsid w:val="005009C6"/>
    <w:rsid w:val="00503111"/>
    <w:rsid w:val="005051E4"/>
    <w:rsid w:val="0050792B"/>
    <w:rsid w:val="00511C15"/>
    <w:rsid w:val="005164B7"/>
    <w:rsid w:val="00516912"/>
    <w:rsid w:val="00517225"/>
    <w:rsid w:val="005179DD"/>
    <w:rsid w:val="005205E7"/>
    <w:rsid w:val="00523944"/>
    <w:rsid w:val="005348F6"/>
    <w:rsid w:val="0054369B"/>
    <w:rsid w:val="005475E1"/>
    <w:rsid w:val="00547D2C"/>
    <w:rsid w:val="00550BC7"/>
    <w:rsid w:val="00554731"/>
    <w:rsid w:val="00554CF1"/>
    <w:rsid w:val="00560E51"/>
    <w:rsid w:val="005612EF"/>
    <w:rsid w:val="005628AF"/>
    <w:rsid w:val="005629B5"/>
    <w:rsid w:val="0057030F"/>
    <w:rsid w:val="00576082"/>
    <w:rsid w:val="00577014"/>
    <w:rsid w:val="005836D0"/>
    <w:rsid w:val="00583804"/>
    <w:rsid w:val="005870E3"/>
    <w:rsid w:val="005933A8"/>
    <w:rsid w:val="00596643"/>
    <w:rsid w:val="005A039F"/>
    <w:rsid w:val="005A4031"/>
    <w:rsid w:val="005A4839"/>
    <w:rsid w:val="005B0D03"/>
    <w:rsid w:val="005B2C1F"/>
    <w:rsid w:val="005B4436"/>
    <w:rsid w:val="005C33C7"/>
    <w:rsid w:val="005C3A81"/>
    <w:rsid w:val="005C469D"/>
    <w:rsid w:val="005C53C3"/>
    <w:rsid w:val="005D7BD9"/>
    <w:rsid w:val="005E04F9"/>
    <w:rsid w:val="005E4222"/>
    <w:rsid w:val="005E6182"/>
    <w:rsid w:val="005F174B"/>
    <w:rsid w:val="005F1992"/>
    <w:rsid w:val="005F1AC0"/>
    <w:rsid w:val="00601912"/>
    <w:rsid w:val="006062E7"/>
    <w:rsid w:val="00606521"/>
    <w:rsid w:val="00606F3F"/>
    <w:rsid w:val="00611552"/>
    <w:rsid w:val="00612DF4"/>
    <w:rsid w:val="0061365F"/>
    <w:rsid w:val="0061532E"/>
    <w:rsid w:val="00622E68"/>
    <w:rsid w:val="00624042"/>
    <w:rsid w:val="006240A3"/>
    <w:rsid w:val="00624255"/>
    <w:rsid w:val="00624961"/>
    <w:rsid w:val="006263BB"/>
    <w:rsid w:val="00633226"/>
    <w:rsid w:val="00633C7B"/>
    <w:rsid w:val="00634DC7"/>
    <w:rsid w:val="0063504E"/>
    <w:rsid w:val="00635774"/>
    <w:rsid w:val="00641B4A"/>
    <w:rsid w:val="00645AED"/>
    <w:rsid w:val="006461C7"/>
    <w:rsid w:val="00646784"/>
    <w:rsid w:val="0064741B"/>
    <w:rsid w:val="00647FC0"/>
    <w:rsid w:val="00652F8F"/>
    <w:rsid w:val="0065373D"/>
    <w:rsid w:val="00654F3D"/>
    <w:rsid w:val="00656647"/>
    <w:rsid w:val="00656A1F"/>
    <w:rsid w:val="00657FB9"/>
    <w:rsid w:val="006637B0"/>
    <w:rsid w:val="00663D33"/>
    <w:rsid w:val="00663E55"/>
    <w:rsid w:val="0067455E"/>
    <w:rsid w:val="00676B60"/>
    <w:rsid w:val="00680EAD"/>
    <w:rsid w:val="006812D9"/>
    <w:rsid w:val="006820AA"/>
    <w:rsid w:val="00682325"/>
    <w:rsid w:val="00684EE0"/>
    <w:rsid w:val="0069592F"/>
    <w:rsid w:val="006A07E4"/>
    <w:rsid w:val="006A0E81"/>
    <w:rsid w:val="006A2EB8"/>
    <w:rsid w:val="006B30A6"/>
    <w:rsid w:val="006B352C"/>
    <w:rsid w:val="006B462C"/>
    <w:rsid w:val="006B60E4"/>
    <w:rsid w:val="006C12FD"/>
    <w:rsid w:val="006C1CFC"/>
    <w:rsid w:val="006C2317"/>
    <w:rsid w:val="006C4284"/>
    <w:rsid w:val="006C56D4"/>
    <w:rsid w:val="006C63E7"/>
    <w:rsid w:val="006D190A"/>
    <w:rsid w:val="006D1944"/>
    <w:rsid w:val="006D7907"/>
    <w:rsid w:val="006E05E8"/>
    <w:rsid w:val="006E08EB"/>
    <w:rsid w:val="006E0D8F"/>
    <w:rsid w:val="006E16F5"/>
    <w:rsid w:val="006E1F8D"/>
    <w:rsid w:val="006F1110"/>
    <w:rsid w:val="00701BDD"/>
    <w:rsid w:val="00705003"/>
    <w:rsid w:val="00713784"/>
    <w:rsid w:val="00716843"/>
    <w:rsid w:val="00722144"/>
    <w:rsid w:val="00722542"/>
    <w:rsid w:val="00724C3A"/>
    <w:rsid w:val="00724F3E"/>
    <w:rsid w:val="0072504F"/>
    <w:rsid w:val="007364C2"/>
    <w:rsid w:val="007370C5"/>
    <w:rsid w:val="007421F8"/>
    <w:rsid w:val="007465AE"/>
    <w:rsid w:val="0075226D"/>
    <w:rsid w:val="007556D0"/>
    <w:rsid w:val="007663F6"/>
    <w:rsid w:val="007711F6"/>
    <w:rsid w:val="00772485"/>
    <w:rsid w:val="00772F13"/>
    <w:rsid w:val="007750C0"/>
    <w:rsid w:val="00776B8A"/>
    <w:rsid w:val="007839BD"/>
    <w:rsid w:val="00791741"/>
    <w:rsid w:val="007921D9"/>
    <w:rsid w:val="00797A35"/>
    <w:rsid w:val="007A2988"/>
    <w:rsid w:val="007A6FA3"/>
    <w:rsid w:val="007B1666"/>
    <w:rsid w:val="007B3197"/>
    <w:rsid w:val="007B31DC"/>
    <w:rsid w:val="007B7891"/>
    <w:rsid w:val="007C5BBD"/>
    <w:rsid w:val="007C5E85"/>
    <w:rsid w:val="007C7FC2"/>
    <w:rsid w:val="007D08DF"/>
    <w:rsid w:val="007D5FAA"/>
    <w:rsid w:val="007E0BF8"/>
    <w:rsid w:val="007E2A4A"/>
    <w:rsid w:val="007E4B76"/>
    <w:rsid w:val="007E5BCC"/>
    <w:rsid w:val="007F047C"/>
    <w:rsid w:val="00811C66"/>
    <w:rsid w:val="0081220A"/>
    <w:rsid w:val="00814878"/>
    <w:rsid w:val="00814B46"/>
    <w:rsid w:val="008163A4"/>
    <w:rsid w:val="00823DCF"/>
    <w:rsid w:val="00825034"/>
    <w:rsid w:val="00833A62"/>
    <w:rsid w:val="00833D45"/>
    <w:rsid w:val="00834715"/>
    <w:rsid w:val="0083479C"/>
    <w:rsid w:val="0083795C"/>
    <w:rsid w:val="00837A4A"/>
    <w:rsid w:val="008553B8"/>
    <w:rsid w:val="00870925"/>
    <w:rsid w:val="00876D7A"/>
    <w:rsid w:val="008772B2"/>
    <w:rsid w:val="00882E6D"/>
    <w:rsid w:val="00886397"/>
    <w:rsid w:val="008865FB"/>
    <w:rsid w:val="00887377"/>
    <w:rsid w:val="008917AF"/>
    <w:rsid w:val="008A1194"/>
    <w:rsid w:val="008A1EC3"/>
    <w:rsid w:val="008B76A1"/>
    <w:rsid w:val="008B7C9D"/>
    <w:rsid w:val="008C1E33"/>
    <w:rsid w:val="008C61B6"/>
    <w:rsid w:val="008C6565"/>
    <w:rsid w:val="008D0A4C"/>
    <w:rsid w:val="008D63AD"/>
    <w:rsid w:val="008E103C"/>
    <w:rsid w:val="008E3D7A"/>
    <w:rsid w:val="008E4E45"/>
    <w:rsid w:val="008E66B9"/>
    <w:rsid w:val="008F197C"/>
    <w:rsid w:val="008F4093"/>
    <w:rsid w:val="008F5D07"/>
    <w:rsid w:val="008F7EC7"/>
    <w:rsid w:val="00903F02"/>
    <w:rsid w:val="00904953"/>
    <w:rsid w:val="00906C35"/>
    <w:rsid w:val="009071C2"/>
    <w:rsid w:val="00911172"/>
    <w:rsid w:val="009114DE"/>
    <w:rsid w:val="009125EC"/>
    <w:rsid w:val="00913278"/>
    <w:rsid w:val="00924C1A"/>
    <w:rsid w:val="00925963"/>
    <w:rsid w:val="00925F1B"/>
    <w:rsid w:val="00926EA3"/>
    <w:rsid w:val="009272A2"/>
    <w:rsid w:val="00927599"/>
    <w:rsid w:val="00931329"/>
    <w:rsid w:val="00935E4B"/>
    <w:rsid w:val="0094119E"/>
    <w:rsid w:val="009413AC"/>
    <w:rsid w:val="0094433E"/>
    <w:rsid w:val="00944B73"/>
    <w:rsid w:val="00950E20"/>
    <w:rsid w:val="00951ECA"/>
    <w:rsid w:val="009569F5"/>
    <w:rsid w:val="009578B1"/>
    <w:rsid w:val="00957C61"/>
    <w:rsid w:val="009609A6"/>
    <w:rsid w:val="00961ED6"/>
    <w:rsid w:val="00963FDF"/>
    <w:rsid w:val="00965C44"/>
    <w:rsid w:val="00966E26"/>
    <w:rsid w:val="00971635"/>
    <w:rsid w:val="00971D54"/>
    <w:rsid w:val="00971F4E"/>
    <w:rsid w:val="00972CD5"/>
    <w:rsid w:val="00973E1F"/>
    <w:rsid w:val="00974FA5"/>
    <w:rsid w:val="009750E3"/>
    <w:rsid w:val="009850DC"/>
    <w:rsid w:val="00987EBD"/>
    <w:rsid w:val="009915E1"/>
    <w:rsid w:val="00991C6B"/>
    <w:rsid w:val="00993482"/>
    <w:rsid w:val="00993D59"/>
    <w:rsid w:val="00997180"/>
    <w:rsid w:val="009A0608"/>
    <w:rsid w:val="009A1901"/>
    <w:rsid w:val="009A2729"/>
    <w:rsid w:val="009A3B7F"/>
    <w:rsid w:val="009A71CA"/>
    <w:rsid w:val="009B47B7"/>
    <w:rsid w:val="009B5268"/>
    <w:rsid w:val="009B5FFC"/>
    <w:rsid w:val="009C1517"/>
    <w:rsid w:val="009C3611"/>
    <w:rsid w:val="009C5265"/>
    <w:rsid w:val="009D0619"/>
    <w:rsid w:val="009D0C87"/>
    <w:rsid w:val="009D1803"/>
    <w:rsid w:val="009D1BF4"/>
    <w:rsid w:val="009D4051"/>
    <w:rsid w:val="009D598C"/>
    <w:rsid w:val="009D7175"/>
    <w:rsid w:val="009D7C1E"/>
    <w:rsid w:val="009E0C58"/>
    <w:rsid w:val="009E2414"/>
    <w:rsid w:val="009E31AB"/>
    <w:rsid w:val="009F15D3"/>
    <w:rsid w:val="009F1683"/>
    <w:rsid w:val="009F6536"/>
    <w:rsid w:val="00A04AB4"/>
    <w:rsid w:val="00A04D8D"/>
    <w:rsid w:val="00A0607A"/>
    <w:rsid w:val="00A0620D"/>
    <w:rsid w:val="00A0752B"/>
    <w:rsid w:val="00A11FBD"/>
    <w:rsid w:val="00A152A1"/>
    <w:rsid w:val="00A1534A"/>
    <w:rsid w:val="00A1710D"/>
    <w:rsid w:val="00A1740B"/>
    <w:rsid w:val="00A25CEF"/>
    <w:rsid w:val="00A25DD1"/>
    <w:rsid w:val="00A26EF9"/>
    <w:rsid w:val="00A31434"/>
    <w:rsid w:val="00A339CE"/>
    <w:rsid w:val="00A34D83"/>
    <w:rsid w:val="00A54AFE"/>
    <w:rsid w:val="00A5663D"/>
    <w:rsid w:val="00A56954"/>
    <w:rsid w:val="00A621DF"/>
    <w:rsid w:val="00A64FC2"/>
    <w:rsid w:val="00A66106"/>
    <w:rsid w:val="00A71F26"/>
    <w:rsid w:val="00A72B13"/>
    <w:rsid w:val="00A740F3"/>
    <w:rsid w:val="00A760A4"/>
    <w:rsid w:val="00A77208"/>
    <w:rsid w:val="00A7798F"/>
    <w:rsid w:val="00A8287D"/>
    <w:rsid w:val="00A87046"/>
    <w:rsid w:val="00A96982"/>
    <w:rsid w:val="00AA0C9D"/>
    <w:rsid w:val="00AA2CE5"/>
    <w:rsid w:val="00AA4059"/>
    <w:rsid w:val="00AB04B6"/>
    <w:rsid w:val="00AB3380"/>
    <w:rsid w:val="00AC2654"/>
    <w:rsid w:val="00AC2D59"/>
    <w:rsid w:val="00AC2EB7"/>
    <w:rsid w:val="00AC4063"/>
    <w:rsid w:val="00AC455E"/>
    <w:rsid w:val="00AD0718"/>
    <w:rsid w:val="00AD5339"/>
    <w:rsid w:val="00AD58F2"/>
    <w:rsid w:val="00AD66DB"/>
    <w:rsid w:val="00AE3F42"/>
    <w:rsid w:val="00AE495B"/>
    <w:rsid w:val="00AE79E9"/>
    <w:rsid w:val="00AF63EA"/>
    <w:rsid w:val="00B01744"/>
    <w:rsid w:val="00B01E51"/>
    <w:rsid w:val="00B02DC9"/>
    <w:rsid w:val="00B0363F"/>
    <w:rsid w:val="00B12295"/>
    <w:rsid w:val="00B1411F"/>
    <w:rsid w:val="00B14BF7"/>
    <w:rsid w:val="00B22FB7"/>
    <w:rsid w:val="00B23737"/>
    <w:rsid w:val="00B26BBC"/>
    <w:rsid w:val="00B26C87"/>
    <w:rsid w:val="00B30B02"/>
    <w:rsid w:val="00B30C63"/>
    <w:rsid w:val="00B32529"/>
    <w:rsid w:val="00B3677F"/>
    <w:rsid w:val="00B403A4"/>
    <w:rsid w:val="00B403C7"/>
    <w:rsid w:val="00B41B3A"/>
    <w:rsid w:val="00B42442"/>
    <w:rsid w:val="00B42D18"/>
    <w:rsid w:val="00B445E6"/>
    <w:rsid w:val="00B44B80"/>
    <w:rsid w:val="00B44EB9"/>
    <w:rsid w:val="00B55568"/>
    <w:rsid w:val="00B574D0"/>
    <w:rsid w:val="00B65261"/>
    <w:rsid w:val="00B65333"/>
    <w:rsid w:val="00B7341A"/>
    <w:rsid w:val="00B8035D"/>
    <w:rsid w:val="00B80625"/>
    <w:rsid w:val="00B834A8"/>
    <w:rsid w:val="00B85031"/>
    <w:rsid w:val="00B85E41"/>
    <w:rsid w:val="00B862F7"/>
    <w:rsid w:val="00B8656A"/>
    <w:rsid w:val="00B9247C"/>
    <w:rsid w:val="00B943D9"/>
    <w:rsid w:val="00B95097"/>
    <w:rsid w:val="00B95356"/>
    <w:rsid w:val="00B961C8"/>
    <w:rsid w:val="00BA11D1"/>
    <w:rsid w:val="00BA5BBF"/>
    <w:rsid w:val="00BB1D9F"/>
    <w:rsid w:val="00BD3EFC"/>
    <w:rsid w:val="00BD4479"/>
    <w:rsid w:val="00BD77B9"/>
    <w:rsid w:val="00BE0C59"/>
    <w:rsid w:val="00BF1605"/>
    <w:rsid w:val="00BF3744"/>
    <w:rsid w:val="00BF3F3D"/>
    <w:rsid w:val="00C01AFF"/>
    <w:rsid w:val="00C0699C"/>
    <w:rsid w:val="00C113C9"/>
    <w:rsid w:val="00C11937"/>
    <w:rsid w:val="00C11A6F"/>
    <w:rsid w:val="00C12EF9"/>
    <w:rsid w:val="00C17C2B"/>
    <w:rsid w:val="00C2334F"/>
    <w:rsid w:val="00C24066"/>
    <w:rsid w:val="00C272D0"/>
    <w:rsid w:val="00C30FB2"/>
    <w:rsid w:val="00C37BC8"/>
    <w:rsid w:val="00C525AB"/>
    <w:rsid w:val="00C5489C"/>
    <w:rsid w:val="00C7139D"/>
    <w:rsid w:val="00C7208E"/>
    <w:rsid w:val="00C7311A"/>
    <w:rsid w:val="00C739EB"/>
    <w:rsid w:val="00C73F99"/>
    <w:rsid w:val="00C76301"/>
    <w:rsid w:val="00C8003C"/>
    <w:rsid w:val="00C842A0"/>
    <w:rsid w:val="00C8513F"/>
    <w:rsid w:val="00C934CC"/>
    <w:rsid w:val="00C93857"/>
    <w:rsid w:val="00C96BB4"/>
    <w:rsid w:val="00C973E5"/>
    <w:rsid w:val="00C9769F"/>
    <w:rsid w:val="00C97DBD"/>
    <w:rsid w:val="00CA34A1"/>
    <w:rsid w:val="00CA5911"/>
    <w:rsid w:val="00CA7040"/>
    <w:rsid w:val="00CA73A3"/>
    <w:rsid w:val="00CA7AE7"/>
    <w:rsid w:val="00CB17F1"/>
    <w:rsid w:val="00CB3B8D"/>
    <w:rsid w:val="00CB3D01"/>
    <w:rsid w:val="00CB68EC"/>
    <w:rsid w:val="00CB7A86"/>
    <w:rsid w:val="00CC229C"/>
    <w:rsid w:val="00CC68A3"/>
    <w:rsid w:val="00CD2381"/>
    <w:rsid w:val="00CD4AE3"/>
    <w:rsid w:val="00CE0268"/>
    <w:rsid w:val="00CE29FF"/>
    <w:rsid w:val="00CE505F"/>
    <w:rsid w:val="00CE709F"/>
    <w:rsid w:val="00CE7720"/>
    <w:rsid w:val="00CF0C2F"/>
    <w:rsid w:val="00CF22D0"/>
    <w:rsid w:val="00CF593B"/>
    <w:rsid w:val="00CF6DBE"/>
    <w:rsid w:val="00D00293"/>
    <w:rsid w:val="00D00D60"/>
    <w:rsid w:val="00D15956"/>
    <w:rsid w:val="00D1642B"/>
    <w:rsid w:val="00D25502"/>
    <w:rsid w:val="00D255C2"/>
    <w:rsid w:val="00D33A63"/>
    <w:rsid w:val="00D33C14"/>
    <w:rsid w:val="00D40807"/>
    <w:rsid w:val="00D41374"/>
    <w:rsid w:val="00D41B94"/>
    <w:rsid w:val="00D42DB6"/>
    <w:rsid w:val="00D50575"/>
    <w:rsid w:val="00D50BF1"/>
    <w:rsid w:val="00D517A9"/>
    <w:rsid w:val="00D52251"/>
    <w:rsid w:val="00D52B33"/>
    <w:rsid w:val="00D53F97"/>
    <w:rsid w:val="00D54EC4"/>
    <w:rsid w:val="00D56A72"/>
    <w:rsid w:val="00D56E2F"/>
    <w:rsid w:val="00D57D75"/>
    <w:rsid w:val="00D57F20"/>
    <w:rsid w:val="00D60314"/>
    <w:rsid w:val="00D60892"/>
    <w:rsid w:val="00D62BA1"/>
    <w:rsid w:val="00D66ED7"/>
    <w:rsid w:val="00D751F2"/>
    <w:rsid w:val="00D7783B"/>
    <w:rsid w:val="00D80FEB"/>
    <w:rsid w:val="00D82B5B"/>
    <w:rsid w:val="00D86947"/>
    <w:rsid w:val="00D8737A"/>
    <w:rsid w:val="00D875C5"/>
    <w:rsid w:val="00D914F2"/>
    <w:rsid w:val="00D92378"/>
    <w:rsid w:val="00D92387"/>
    <w:rsid w:val="00D923C7"/>
    <w:rsid w:val="00D928EF"/>
    <w:rsid w:val="00D979B8"/>
    <w:rsid w:val="00DA0346"/>
    <w:rsid w:val="00DA1257"/>
    <w:rsid w:val="00DA3CBE"/>
    <w:rsid w:val="00DA7903"/>
    <w:rsid w:val="00DB11E3"/>
    <w:rsid w:val="00DB74B7"/>
    <w:rsid w:val="00DB7966"/>
    <w:rsid w:val="00DB7F8D"/>
    <w:rsid w:val="00DC2E8E"/>
    <w:rsid w:val="00DC2EF8"/>
    <w:rsid w:val="00DC3EF2"/>
    <w:rsid w:val="00DC5C68"/>
    <w:rsid w:val="00DD0405"/>
    <w:rsid w:val="00DD278B"/>
    <w:rsid w:val="00DD7F0D"/>
    <w:rsid w:val="00DD7F42"/>
    <w:rsid w:val="00DE0732"/>
    <w:rsid w:val="00DE2FF3"/>
    <w:rsid w:val="00DE352F"/>
    <w:rsid w:val="00DE3743"/>
    <w:rsid w:val="00DE39F0"/>
    <w:rsid w:val="00DE3C3F"/>
    <w:rsid w:val="00DE5853"/>
    <w:rsid w:val="00DF23AB"/>
    <w:rsid w:val="00DF395A"/>
    <w:rsid w:val="00E00B32"/>
    <w:rsid w:val="00E05230"/>
    <w:rsid w:val="00E05F96"/>
    <w:rsid w:val="00E1112F"/>
    <w:rsid w:val="00E11602"/>
    <w:rsid w:val="00E167B9"/>
    <w:rsid w:val="00E17662"/>
    <w:rsid w:val="00E20E74"/>
    <w:rsid w:val="00E220C9"/>
    <w:rsid w:val="00E248CA"/>
    <w:rsid w:val="00E26D14"/>
    <w:rsid w:val="00E31DB4"/>
    <w:rsid w:val="00E327C1"/>
    <w:rsid w:val="00E333D8"/>
    <w:rsid w:val="00E33E3E"/>
    <w:rsid w:val="00E4007E"/>
    <w:rsid w:val="00E40921"/>
    <w:rsid w:val="00E41AA5"/>
    <w:rsid w:val="00E41CD9"/>
    <w:rsid w:val="00E43DD1"/>
    <w:rsid w:val="00E51C46"/>
    <w:rsid w:val="00E53C52"/>
    <w:rsid w:val="00E562D6"/>
    <w:rsid w:val="00E6379C"/>
    <w:rsid w:val="00E66570"/>
    <w:rsid w:val="00E700F3"/>
    <w:rsid w:val="00E703E0"/>
    <w:rsid w:val="00E70534"/>
    <w:rsid w:val="00E72972"/>
    <w:rsid w:val="00E7342A"/>
    <w:rsid w:val="00E84489"/>
    <w:rsid w:val="00E84E03"/>
    <w:rsid w:val="00E852A3"/>
    <w:rsid w:val="00E94C3E"/>
    <w:rsid w:val="00E95808"/>
    <w:rsid w:val="00E96989"/>
    <w:rsid w:val="00EA0AAD"/>
    <w:rsid w:val="00EA68FC"/>
    <w:rsid w:val="00EB1FFE"/>
    <w:rsid w:val="00EB50F8"/>
    <w:rsid w:val="00EB65A7"/>
    <w:rsid w:val="00EC1A9E"/>
    <w:rsid w:val="00EC340B"/>
    <w:rsid w:val="00EC3849"/>
    <w:rsid w:val="00EC6E11"/>
    <w:rsid w:val="00EC7406"/>
    <w:rsid w:val="00ED0168"/>
    <w:rsid w:val="00ED0493"/>
    <w:rsid w:val="00ED101F"/>
    <w:rsid w:val="00ED2132"/>
    <w:rsid w:val="00ED28FD"/>
    <w:rsid w:val="00ED5365"/>
    <w:rsid w:val="00EE0A7D"/>
    <w:rsid w:val="00EE547B"/>
    <w:rsid w:val="00EE5527"/>
    <w:rsid w:val="00EF3C71"/>
    <w:rsid w:val="00F0006D"/>
    <w:rsid w:val="00F02374"/>
    <w:rsid w:val="00F05294"/>
    <w:rsid w:val="00F0606F"/>
    <w:rsid w:val="00F125D7"/>
    <w:rsid w:val="00F150F4"/>
    <w:rsid w:val="00F15438"/>
    <w:rsid w:val="00F200BA"/>
    <w:rsid w:val="00F24FC0"/>
    <w:rsid w:val="00F251B9"/>
    <w:rsid w:val="00F370C4"/>
    <w:rsid w:val="00F412C4"/>
    <w:rsid w:val="00F41CDD"/>
    <w:rsid w:val="00F427F6"/>
    <w:rsid w:val="00F434A2"/>
    <w:rsid w:val="00F462D0"/>
    <w:rsid w:val="00F46BEA"/>
    <w:rsid w:val="00F476E3"/>
    <w:rsid w:val="00F503EE"/>
    <w:rsid w:val="00F537CC"/>
    <w:rsid w:val="00F56DD9"/>
    <w:rsid w:val="00F64472"/>
    <w:rsid w:val="00F6695E"/>
    <w:rsid w:val="00F66ACB"/>
    <w:rsid w:val="00F6781E"/>
    <w:rsid w:val="00F70C97"/>
    <w:rsid w:val="00F7373E"/>
    <w:rsid w:val="00F77C1D"/>
    <w:rsid w:val="00F8071E"/>
    <w:rsid w:val="00F81CAD"/>
    <w:rsid w:val="00F82915"/>
    <w:rsid w:val="00F84450"/>
    <w:rsid w:val="00F926B5"/>
    <w:rsid w:val="00F93BF8"/>
    <w:rsid w:val="00F970ED"/>
    <w:rsid w:val="00FA1078"/>
    <w:rsid w:val="00FA1D6F"/>
    <w:rsid w:val="00FA29D8"/>
    <w:rsid w:val="00FA45C6"/>
    <w:rsid w:val="00FB051A"/>
    <w:rsid w:val="00FB1D17"/>
    <w:rsid w:val="00FB3E94"/>
    <w:rsid w:val="00FC5C9D"/>
    <w:rsid w:val="00FC7161"/>
    <w:rsid w:val="00FD1158"/>
    <w:rsid w:val="00FE076E"/>
    <w:rsid w:val="00FE1AE9"/>
    <w:rsid w:val="00FE6806"/>
    <w:rsid w:val="00FF18E1"/>
    <w:rsid w:val="00FF2FF1"/>
    <w:rsid w:val="00FF30CC"/>
    <w:rsid w:val="00F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34DFB7"/>
  <w15:docId w15:val="{C3A63396-9C83-4121-A31A-6182CA8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9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22542"/>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24B9F"/>
    <w:rPr>
      <w:sz w:val="20"/>
      <w:szCs w:val="20"/>
    </w:rPr>
  </w:style>
  <w:style w:type="character" w:customStyle="1" w:styleId="FootnoteTextChar">
    <w:name w:val="Footnote Text Char"/>
    <w:basedOn w:val="DefaultParagraphFont"/>
    <w:link w:val="FootnoteText"/>
    <w:uiPriority w:val="99"/>
    <w:semiHidden/>
    <w:rsid w:val="00024B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24B9F"/>
    <w:rPr>
      <w:vertAlign w:val="superscript"/>
    </w:rPr>
  </w:style>
  <w:style w:type="character" w:styleId="Hyperlink">
    <w:name w:val="Hyperlink"/>
    <w:basedOn w:val="DefaultParagraphFont"/>
    <w:rsid w:val="00024B9F"/>
    <w:rPr>
      <w:color w:val="0000FF"/>
      <w:u w:val="single"/>
    </w:rPr>
  </w:style>
  <w:style w:type="character" w:styleId="CommentReference">
    <w:name w:val="annotation reference"/>
    <w:basedOn w:val="DefaultParagraphFont"/>
    <w:semiHidden/>
    <w:unhideWhenUsed/>
    <w:rsid w:val="00EA0AAD"/>
    <w:rPr>
      <w:sz w:val="16"/>
      <w:szCs w:val="16"/>
    </w:rPr>
  </w:style>
  <w:style w:type="paragraph" w:styleId="CommentText">
    <w:name w:val="annotation text"/>
    <w:basedOn w:val="Normal"/>
    <w:link w:val="CommentTextChar"/>
    <w:semiHidden/>
    <w:unhideWhenUsed/>
    <w:rsid w:val="00EA0AAD"/>
    <w:rPr>
      <w:sz w:val="20"/>
      <w:szCs w:val="20"/>
    </w:rPr>
  </w:style>
  <w:style w:type="character" w:customStyle="1" w:styleId="CommentTextChar">
    <w:name w:val="Comment Text Char"/>
    <w:basedOn w:val="DefaultParagraphFont"/>
    <w:link w:val="CommentText"/>
    <w:semiHidden/>
    <w:rsid w:val="00EA0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0AAD"/>
    <w:rPr>
      <w:b/>
      <w:bCs/>
    </w:rPr>
  </w:style>
  <w:style w:type="character" w:customStyle="1" w:styleId="CommentSubjectChar">
    <w:name w:val="Comment Subject Char"/>
    <w:basedOn w:val="CommentTextChar"/>
    <w:link w:val="CommentSubject"/>
    <w:uiPriority w:val="99"/>
    <w:semiHidden/>
    <w:rsid w:val="00EA0AAD"/>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EA0AAD"/>
    <w:rPr>
      <w:rFonts w:ascii="Tahoma" w:hAnsi="Tahoma" w:cs="Tahoma"/>
      <w:sz w:val="16"/>
      <w:szCs w:val="16"/>
    </w:rPr>
  </w:style>
  <w:style w:type="character" w:customStyle="1" w:styleId="BalloonTextChar">
    <w:name w:val="Balloon Text Char"/>
    <w:basedOn w:val="DefaultParagraphFont"/>
    <w:link w:val="BalloonText"/>
    <w:rsid w:val="00EA0AAD"/>
    <w:rPr>
      <w:rFonts w:ascii="Tahoma" w:eastAsia="Times New Roman" w:hAnsi="Tahoma" w:cs="Tahoma"/>
      <w:sz w:val="16"/>
      <w:szCs w:val="16"/>
    </w:rPr>
  </w:style>
  <w:style w:type="paragraph" w:styleId="Header">
    <w:name w:val="header"/>
    <w:basedOn w:val="Normal"/>
    <w:link w:val="HeaderChar"/>
    <w:unhideWhenUsed/>
    <w:rsid w:val="001D53A7"/>
    <w:pPr>
      <w:tabs>
        <w:tab w:val="center" w:pos="4680"/>
        <w:tab w:val="right" w:pos="9360"/>
      </w:tabs>
    </w:pPr>
  </w:style>
  <w:style w:type="character" w:customStyle="1" w:styleId="HeaderChar">
    <w:name w:val="Header Char"/>
    <w:basedOn w:val="DefaultParagraphFont"/>
    <w:link w:val="Header"/>
    <w:uiPriority w:val="99"/>
    <w:rsid w:val="001D53A7"/>
    <w:rPr>
      <w:rFonts w:ascii="Times New Roman" w:eastAsia="Times New Roman" w:hAnsi="Times New Roman" w:cs="Times New Roman"/>
      <w:sz w:val="24"/>
      <w:szCs w:val="24"/>
    </w:rPr>
  </w:style>
  <w:style w:type="paragraph" w:styleId="Footer">
    <w:name w:val="footer"/>
    <w:basedOn w:val="Normal"/>
    <w:link w:val="FooterChar"/>
    <w:unhideWhenUsed/>
    <w:rsid w:val="001D53A7"/>
    <w:pPr>
      <w:tabs>
        <w:tab w:val="center" w:pos="4680"/>
        <w:tab w:val="right" w:pos="9360"/>
      </w:tabs>
    </w:pPr>
  </w:style>
  <w:style w:type="character" w:customStyle="1" w:styleId="FooterChar">
    <w:name w:val="Footer Char"/>
    <w:basedOn w:val="DefaultParagraphFont"/>
    <w:link w:val="Footer"/>
    <w:uiPriority w:val="99"/>
    <w:rsid w:val="001D53A7"/>
    <w:rPr>
      <w:rFonts w:ascii="Times New Roman" w:eastAsia="Times New Roman" w:hAnsi="Times New Roman" w:cs="Times New Roman"/>
      <w:sz w:val="24"/>
      <w:szCs w:val="24"/>
    </w:rPr>
  </w:style>
  <w:style w:type="paragraph" w:styleId="ListParagraph">
    <w:name w:val="List Paragraph"/>
    <w:basedOn w:val="Normal"/>
    <w:uiPriority w:val="34"/>
    <w:qFormat/>
    <w:rsid w:val="00042A6A"/>
    <w:pPr>
      <w:ind w:left="720"/>
      <w:contextualSpacing/>
    </w:pPr>
  </w:style>
  <w:style w:type="character" w:styleId="FollowedHyperlink">
    <w:name w:val="FollowedHyperlink"/>
    <w:basedOn w:val="DefaultParagraphFont"/>
    <w:unhideWhenUsed/>
    <w:rsid w:val="001355F6"/>
    <w:rPr>
      <w:color w:val="800080" w:themeColor="followedHyperlink"/>
      <w:u w:val="single"/>
    </w:rPr>
  </w:style>
  <w:style w:type="paragraph" w:styleId="BodyTextIndent">
    <w:name w:val="Body Text Indent"/>
    <w:basedOn w:val="Normal"/>
    <w:link w:val="BodyTextIndentChar"/>
    <w:rsid w:val="00DE0732"/>
    <w:pPr>
      <w:spacing w:after="120"/>
      <w:ind w:left="360"/>
    </w:pPr>
    <w:rPr>
      <w:sz w:val="20"/>
      <w:szCs w:val="20"/>
    </w:rPr>
  </w:style>
  <w:style w:type="character" w:customStyle="1" w:styleId="BodyTextIndentChar">
    <w:name w:val="Body Text Indent Char"/>
    <w:basedOn w:val="DefaultParagraphFont"/>
    <w:link w:val="BodyTextIndent"/>
    <w:rsid w:val="00DE0732"/>
    <w:rPr>
      <w:rFonts w:ascii="Times New Roman" w:eastAsia="Times New Roman" w:hAnsi="Times New Roman" w:cs="Times New Roman"/>
      <w:sz w:val="20"/>
      <w:szCs w:val="20"/>
    </w:rPr>
  </w:style>
  <w:style w:type="table" w:styleId="TableGrid">
    <w:name w:val="Table Grid"/>
    <w:basedOn w:val="TableNormal"/>
    <w:rsid w:val="00DE07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E0732"/>
    <w:pPr>
      <w:tabs>
        <w:tab w:val="left" w:pos="360"/>
        <w:tab w:val="left" w:pos="480"/>
        <w:tab w:val="left" w:pos="960"/>
        <w:tab w:val="left" w:pos="1320"/>
        <w:tab w:val="left" w:pos="1800"/>
        <w:tab w:val="left" w:pos="2760"/>
      </w:tabs>
      <w:spacing w:line="240" w:lineRule="exact"/>
      <w:ind w:left="1167"/>
    </w:pPr>
    <w:rPr>
      <w:rFonts w:ascii="Courier" w:hAnsi="Courier"/>
      <w:szCs w:val="20"/>
    </w:rPr>
  </w:style>
  <w:style w:type="character" w:customStyle="1" w:styleId="BodyText2Char">
    <w:name w:val="Body Text 2 Char"/>
    <w:basedOn w:val="DefaultParagraphFont"/>
    <w:link w:val="BodyText2"/>
    <w:rsid w:val="00DE0732"/>
    <w:rPr>
      <w:rFonts w:ascii="Courier" w:eastAsia="Times New Roman" w:hAnsi="Courier" w:cs="Times New Roman"/>
      <w:sz w:val="24"/>
      <w:szCs w:val="20"/>
    </w:rPr>
  </w:style>
  <w:style w:type="character" w:styleId="PageNumber">
    <w:name w:val="page number"/>
    <w:basedOn w:val="DefaultParagraphFont"/>
    <w:rsid w:val="00DE0732"/>
  </w:style>
  <w:style w:type="character" w:styleId="Strong">
    <w:name w:val="Strong"/>
    <w:qFormat/>
    <w:rsid w:val="00DE0732"/>
    <w:rPr>
      <w:b/>
      <w:bCs/>
    </w:rPr>
  </w:style>
  <w:style w:type="paragraph" w:customStyle="1" w:styleId="Default">
    <w:name w:val="Default"/>
    <w:rsid w:val="003E1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722542"/>
    <w:rPr>
      <w:rFonts w:ascii="Arial" w:eastAsia="Times New Roman" w:hAnsi="Arial" w:cs="Arial"/>
      <w:b/>
      <w:bCs/>
      <w:i/>
      <w:iCs/>
      <w:sz w:val="28"/>
      <w:szCs w:val="28"/>
    </w:rPr>
  </w:style>
  <w:style w:type="character" w:customStyle="1" w:styleId="UnresolvedMention1">
    <w:name w:val="Unresolved Mention1"/>
    <w:basedOn w:val="DefaultParagraphFont"/>
    <w:uiPriority w:val="99"/>
    <w:semiHidden/>
    <w:unhideWhenUsed/>
    <w:rsid w:val="00A56954"/>
    <w:rPr>
      <w:color w:val="605E5C"/>
      <w:shd w:val="clear" w:color="auto" w:fill="E1DFDD"/>
    </w:rPr>
  </w:style>
  <w:style w:type="paragraph" w:styleId="Revision">
    <w:name w:val="Revision"/>
    <w:hidden/>
    <w:uiPriority w:val="99"/>
    <w:semiHidden/>
    <w:rsid w:val="00464D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10713">
      <w:bodyDiv w:val="1"/>
      <w:marLeft w:val="0"/>
      <w:marRight w:val="0"/>
      <w:marTop w:val="0"/>
      <w:marBottom w:val="0"/>
      <w:divBdr>
        <w:top w:val="none" w:sz="0" w:space="0" w:color="auto"/>
        <w:left w:val="none" w:sz="0" w:space="0" w:color="auto"/>
        <w:bottom w:val="none" w:sz="0" w:space="0" w:color="auto"/>
        <w:right w:val="none" w:sz="0" w:space="0" w:color="auto"/>
      </w:divBdr>
    </w:div>
    <w:div w:id="533150481">
      <w:bodyDiv w:val="1"/>
      <w:marLeft w:val="0"/>
      <w:marRight w:val="0"/>
      <w:marTop w:val="0"/>
      <w:marBottom w:val="0"/>
      <w:divBdr>
        <w:top w:val="none" w:sz="0" w:space="0" w:color="auto"/>
        <w:left w:val="none" w:sz="0" w:space="0" w:color="auto"/>
        <w:bottom w:val="none" w:sz="0" w:space="0" w:color="auto"/>
        <w:right w:val="none" w:sz="0" w:space="0" w:color="auto"/>
      </w:divBdr>
    </w:div>
    <w:div w:id="933394567">
      <w:bodyDiv w:val="1"/>
      <w:marLeft w:val="0"/>
      <w:marRight w:val="0"/>
      <w:marTop w:val="0"/>
      <w:marBottom w:val="0"/>
      <w:divBdr>
        <w:top w:val="none" w:sz="0" w:space="0" w:color="auto"/>
        <w:left w:val="none" w:sz="0" w:space="0" w:color="auto"/>
        <w:bottom w:val="none" w:sz="0" w:space="0" w:color="auto"/>
        <w:right w:val="none" w:sz="0" w:space="0" w:color="auto"/>
      </w:divBdr>
    </w:div>
    <w:div w:id="1017736925">
      <w:bodyDiv w:val="1"/>
      <w:marLeft w:val="0"/>
      <w:marRight w:val="0"/>
      <w:marTop w:val="0"/>
      <w:marBottom w:val="0"/>
      <w:divBdr>
        <w:top w:val="none" w:sz="0" w:space="0" w:color="auto"/>
        <w:left w:val="none" w:sz="0" w:space="0" w:color="auto"/>
        <w:bottom w:val="none" w:sz="0" w:space="0" w:color="auto"/>
        <w:right w:val="none" w:sz="0" w:space="0" w:color="auto"/>
      </w:divBdr>
    </w:div>
    <w:div w:id="1117287542">
      <w:bodyDiv w:val="1"/>
      <w:marLeft w:val="0"/>
      <w:marRight w:val="0"/>
      <w:marTop w:val="0"/>
      <w:marBottom w:val="0"/>
      <w:divBdr>
        <w:top w:val="none" w:sz="0" w:space="0" w:color="auto"/>
        <w:left w:val="none" w:sz="0" w:space="0" w:color="auto"/>
        <w:bottom w:val="none" w:sz="0" w:space="0" w:color="auto"/>
        <w:right w:val="none" w:sz="0" w:space="0" w:color="auto"/>
      </w:divBdr>
    </w:div>
    <w:div w:id="1143936179">
      <w:bodyDiv w:val="1"/>
      <w:marLeft w:val="0"/>
      <w:marRight w:val="0"/>
      <w:marTop w:val="0"/>
      <w:marBottom w:val="0"/>
      <w:divBdr>
        <w:top w:val="none" w:sz="0" w:space="0" w:color="auto"/>
        <w:left w:val="none" w:sz="0" w:space="0" w:color="auto"/>
        <w:bottom w:val="none" w:sz="0" w:space="0" w:color="auto"/>
        <w:right w:val="none" w:sz="0" w:space="0" w:color="auto"/>
      </w:divBdr>
    </w:div>
    <w:div w:id="1297951290">
      <w:bodyDiv w:val="1"/>
      <w:marLeft w:val="0"/>
      <w:marRight w:val="0"/>
      <w:marTop w:val="0"/>
      <w:marBottom w:val="0"/>
      <w:divBdr>
        <w:top w:val="none" w:sz="0" w:space="0" w:color="auto"/>
        <w:left w:val="none" w:sz="0" w:space="0" w:color="auto"/>
        <w:bottom w:val="none" w:sz="0" w:space="0" w:color="auto"/>
        <w:right w:val="none" w:sz="0" w:space="0" w:color="auto"/>
      </w:divBdr>
    </w:div>
    <w:div w:id="1347707887">
      <w:bodyDiv w:val="1"/>
      <w:marLeft w:val="0"/>
      <w:marRight w:val="0"/>
      <w:marTop w:val="0"/>
      <w:marBottom w:val="0"/>
      <w:divBdr>
        <w:top w:val="none" w:sz="0" w:space="0" w:color="auto"/>
        <w:left w:val="none" w:sz="0" w:space="0" w:color="auto"/>
        <w:bottom w:val="none" w:sz="0" w:space="0" w:color="auto"/>
        <w:right w:val="none" w:sz="0" w:space="0" w:color="auto"/>
      </w:divBdr>
    </w:div>
    <w:div w:id="1435900014">
      <w:bodyDiv w:val="1"/>
      <w:marLeft w:val="0"/>
      <w:marRight w:val="0"/>
      <w:marTop w:val="0"/>
      <w:marBottom w:val="0"/>
      <w:divBdr>
        <w:top w:val="none" w:sz="0" w:space="0" w:color="auto"/>
        <w:left w:val="none" w:sz="0" w:space="0" w:color="auto"/>
        <w:bottom w:val="none" w:sz="0" w:space="0" w:color="auto"/>
        <w:right w:val="none" w:sz="0" w:space="0" w:color="auto"/>
      </w:divBdr>
    </w:div>
    <w:div w:id="1586914526">
      <w:bodyDiv w:val="1"/>
      <w:marLeft w:val="0"/>
      <w:marRight w:val="0"/>
      <w:marTop w:val="0"/>
      <w:marBottom w:val="0"/>
      <w:divBdr>
        <w:top w:val="none" w:sz="0" w:space="0" w:color="auto"/>
        <w:left w:val="none" w:sz="0" w:space="0" w:color="auto"/>
        <w:bottom w:val="none" w:sz="0" w:space="0" w:color="auto"/>
        <w:right w:val="none" w:sz="0" w:space="0" w:color="auto"/>
      </w:divBdr>
    </w:div>
    <w:div w:id="1737126882">
      <w:bodyDiv w:val="1"/>
      <w:marLeft w:val="0"/>
      <w:marRight w:val="0"/>
      <w:marTop w:val="0"/>
      <w:marBottom w:val="0"/>
      <w:divBdr>
        <w:top w:val="none" w:sz="0" w:space="0" w:color="auto"/>
        <w:left w:val="none" w:sz="0" w:space="0" w:color="auto"/>
        <w:bottom w:val="none" w:sz="0" w:space="0" w:color="auto"/>
        <w:right w:val="none" w:sz="0" w:space="0" w:color="auto"/>
      </w:divBdr>
    </w:div>
    <w:div w:id="1743943896">
      <w:bodyDiv w:val="1"/>
      <w:marLeft w:val="0"/>
      <w:marRight w:val="0"/>
      <w:marTop w:val="0"/>
      <w:marBottom w:val="0"/>
      <w:divBdr>
        <w:top w:val="none" w:sz="0" w:space="0" w:color="auto"/>
        <w:left w:val="none" w:sz="0" w:space="0" w:color="auto"/>
        <w:bottom w:val="none" w:sz="0" w:space="0" w:color="auto"/>
        <w:right w:val="none" w:sz="0" w:space="0" w:color="auto"/>
      </w:divBdr>
    </w:div>
    <w:div w:id="1830752280">
      <w:bodyDiv w:val="1"/>
      <w:marLeft w:val="0"/>
      <w:marRight w:val="0"/>
      <w:marTop w:val="0"/>
      <w:marBottom w:val="0"/>
      <w:divBdr>
        <w:top w:val="none" w:sz="0" w:space="0" w:color="auto"/>
        <w:left w:val="none" w:sz="0" w:space="0" w:color="auto"/>
        <w:bottom w:val="none" w:sz="0" w:space="0" w:color="auto"/>
        <w:right w:val="none" w:sz="0" w:space="0" w:color="auto"/>
      </w:divBdr>
    </w:div>
    <w:div w:id="20264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books-and-chapters/price-competitiveness-world-trade" TargetMode="External"/><Relationship Id="rId13" Type="http://schemas.openxmlformats.org/officeDocument/2006/relationships/hyperlink" Target="https://www.bls.gov/ppi/input-indexes/bls-satellite-input-to-industry-indexes.xlsx" TargetMode="External"/><Relationship Id="rId18" Type="http://schemas.openxmlformats.org/officeDocument/2006/relationships/hyperlink" Target="https://hts.usitc.gov/curre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ls.gov/web/ximpim.supp.toc.htm" TargetMode="External"/><Relationship Id="rId7" Type="http://schemas.openxmlformats.org/officeDocument/2006/relationships/endnotes" Target="endnotes.xml"/><Relationship Id="rId12" Type="http://schemas.openxmlformats.org/officeDocument/2006/relationships/hyperlink" Target="https://www.bls.gov/mxp/publications/additional-publications/import-export-price-indexes-producer-price-indexes-comparability-table.htm" TargetMode="External"/><Relationship Id="rId17" Type="http://schemas.openxmlformats.org/officeDocument/2006/relationships/hyperlink" Target="https://apps.bea.gov/sc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ea.gov/data/intl-trade-investment/international-trade-goods-and-services" TargetMode="External"/><Relationship Id="rId20" Type="http://schemas.openxmlformats.org/officeDocument/2006/relationships/hyperlink" Target="http://www.bls.gov/schedule/news_release/ximpim.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mxp/publications/additional-publications/import-export-price-indexes-producer-price-indexes-comparability-table.htm" TargetMode="External"/><Relationship Id="rId24" Type="http://schemas.openxmlformats.org/officeDocument/2006/relationships/hyperlink" Target="http://www.bls.gov/opub/bt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s.gov/mxp/data/variance-statistics.htm" TargetMode="External"/><Relationship Id="rId23" Type="http://schemas.openxmlformats.org/officeDocument/2006/relationships/hyperlink" Target="http://www.bls.gov/opub/mlr/" TargetMode="External"/><Relationship Id="rId28" Type="http://schemas.openxmlformats.org/officeDocument/2006/relationships/footer" Target="footer2.xml"/><Relationship Id="rId10" Type="http://schemas.openxmlformats.org/officeDocument/2006/relationships/hyperlink" Target="https://www.bls.gov/mxp/publications/factsheets/terms-of-trade.htm" TargetMode="External"/><Relationship Id="rId19" Type="http://schemas.openxmlformats.org/officeDocument/2006/relationships/hyperlink" Target="https://www.census.gov/foreign-trade/schedules/b/2021/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bea.gov/iTable/iTable.cfm?reqid=19&amp;step=3&amp;isuri=1&amp;1921=survey&amp;1903=46" TargetMode="External"/><Relationship Id="rId14" Type="http://schemas.openxmlformats.org/officeDocument/2006/relationships/hyperlink" Target="https://www.bls.gov/web/ximpim/largest.htm" TargetMode="External"/><Relationship Id="rId22" Type="http://schemas.openxmlformats.org/officeDocument/2006/relationships/hyperlink" Target="http://www.bls.gov/mx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0DEE-10E7-4C54-8F1C-365E890B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Courtney - BLS</dc:creator>
  <cp:keywords/>
  <dc:description/>
  <cp:lastModifiedBy>Lam, Courtney - BLS</cp:lastModifiedBy>
  <cp:revision>2</cp:revision>
  <cp:lastPrinted>2018-06-07T18:30:00Z</cp:lastPrinted>
  <dcterms:created xsi:type="dcterms:W3CDTF">2022-01-07T16:41:00Z</dcterms:created>
  <dcterms:modified xsi:type="dcterms:W3CDTF">2022-01-07T16:41:00Z</dcterms:modified>
</cp:coreProperties>
</file>