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AD3" w:rsidP="001A1AD3" w:rsidRDefault="001A1AD3" w14:paraId="7D67A890" w14:textId="62C30DE0">
      <w:pPr>
        <w:pStyle w:val="H2Chapter"/>
      </w:pPr>
      <w:bookmarkStart w:name="_Toc496104729" w:id="0"/>
      <w:r w:rsidRPr="00E54502">
        <w:t>Part A: Justification</w:t>
      </w:r>
      <w:bookmarkEnd w:id="0"/>
    </w:p>
    <w:p w:rsidR="3299A810" w:rsidP="3BFB55FE" w:rsidRDefault="3299A810" w14:paraId="23099F8B" w14:textId="154956B7">
      <w:pPr>
        <w:spacing w:line="240" w:lineRule="auto"/>
      </w:pPr>
      <w:r>
        <w:t xml:space="preserve">The Chief Evaluation Office </w:t>
      </w:r>
      <w:r w:rsidR="00F74278">
        <w:t xml:space="preserve">(CEO) </w:t>
      </w:r>
      <w:r>
        <w:t>of the U.S. Department of Labor (DOL) has commissioned an evaluation of the Transition Assistance Program Employment Navigator and Partnership Pilot (TAP ENPP</w:t>
      </w:r>
      <w:r w:rsidR="13C04FEC">
        <w:t>, or ENPP</w:t>
      </w:r>
      <w:r>
        <w:t>).</w:t>
      </w:r>
      <w:r w:rsidR="495BEF40">
        <w:t xml:space="preserve"> By establishing the ENPP, DOL </w:t>
      </w:r>
      <w:r w:rsidR="0753C675">
        <w:t xml:space="preserve">aims to provide individualized career counseling and guidance to transitioning service members (TSMs) and military spouses. </w:t>
      </w:r>
      <w:r w:rsidR="5EEC95BB">
        <w:t xml:space="preserve">Under the ENPP model, Employment Navigators will provide individualized career services including self-assessment, interest and aptitude testing, career exploration, and detailed labor market information (referred to as the </w:t>
      </w:r>
      <w:r w:rsidR="6F9CC78A">
        <w:t>Assist</w:t>
      </w:r>
      <w:r w:rsidR="5EEC95BB">
        <w:t>-Explore-Plan [AEP] model) as well as warm handovers</w:t>
      </w:r>
      <w:r w:rsidR="1D081539">
        <w:t xml:space="preserve"> and connections to governmental and nongovernmental partners for additional services.</w:t>
      </w:r>
      <w:r>
        <w:t xml:space="preserve"> </w:t>
      </w:r>
      <w:r w:rsidR="2715C42A">
        <w:t xml:space="preserve">ICF has been contracted by CEO to conduct a formative evaluation of this 12-month pilot program. This evaluation </w:t>
      </w:r>
      <w:r w:rsidR="0C21EB57">
        <w:t xml:space="preserve">examines how the ENPP was implemented, </w:t>
      </w:r>
      <w:r w:rsidR="782A89F3">
        <w:t xml:space="preserve">describes </w:t>
      </w:r>
      <w:r w:rsidR="0C21EB57">
        <w:t>to what extent it was implemented as planned, and explores variation in implementation across each of the 13 pilot sites.</w:t>
      </w:r>
      <w:r w:rsidR="61C153FF">
        <w:t xml:space="preserve"> </w:t>
      </w:r>
      <w:r w:rsidR="03F5D198">
        <w:t xml:space="preserve">This </w:t>
      </w:r>
      <w:r w:rsidR="4D0DEDB0">
        <w:t>document</w:t>
      </w:r>
      <w:r w:rsidR="03F5D198">
        <w:t xml:space="preserve"> </w:t>
      </w:r>
      <w:r w:rsidR="4D0DEDB0">
        <w:t xml:space="preserve">provides insight into the </w:t>
      </w:r>
      <w:r w:rsidR="495E4E8A">
        <w:t>proposed data collection</w:t>
      </w:r>
      <w:r w:rsidR="0FFD6230">
        <w:t xml:space="preserve"> process,</w:t>
      </w:r>
      <w:r w:rsidR="495E4E8A">
        <w:t xml:space="preserve"> </w:t>
      </w:r>
      <w:r w:rsidR="0FFD6230">
        <w:t>which will be</w:t>
      </w:r>
      <w:r w:rsidR="495E4E8A">
        <w:t xml:space="preserve"> </w:t>
      </w:r>
      <w:r w:rsidR="0FFD6230">
        <w:t>used to inform the formative evaluation</w:t>
      </w:r>
      <w:r w:rsidR="378AB028">
        <w:t>:</w:t>
      </w:r>
    </w:p>
    <w:p w:rsidR="60989D5B" w:rsidP="66E33C40" w:rsidRDefault="60989D5B" w14:paraId="68FE9B4E" w14:textId="3EB09134">
      <w:pPr>
        <w:pStyle w:val="ListParagraph"/>
        <w:numPr>
          <w:ilvl w:val="0"/>
          <w:numId w:val="1"/>
        </w:numPr>
        <w:spacing w:line="240" w:lineRule="auto"/>
        <w:rPr>
          <w:szCs w:val="24"/>
        </w:rPr>
      </w:pPr>
      <w:r>
        <w:t>TAP manager focus groups</w:t>
      </w:r>
    </w:p>
    <w:p w:rsidR="60989D5B" w:rsidP="66E33C40" w:rsidRDefault="60989D5B" w14:paraId="2F492607" w14:textId="7D2A859B">
      <w:pPr>
        <w:pStyle w:val="ListParagraph"/>
        <w:numPr>
          <w:ilvl w:val="0"/>
          <w:numId w:val="1"/>
        </w:numPr>
        <w:spacing w:line="240" w:lineRule="auto"/>
        <w:rPr>
          <w:szCs w:val="24"/>
        </w:rPr>
      </w:pPr>
      <w:r>
        <w:t>Program partner focus groups</w:t>
      </w:r>
    </w:p>
    <w:p w:rsidR="60989D5B" w:rsidP="66E33C40" w:rsidRDefault="60989D5B" w14:paraId="6560B5C0" w14:textId="241A038F">
      <w:pPr>
        <w:pStyle w:val="ListParagraph"/>
        <w:numPr>
          <w:ilvl w:val="0"/>
          <w:numId w:val="1"/>
        </w:numPr>
        <w:spacing w:line="240" w:lineRule="auto"/>
        <w:rPr>
          <w:szCs w:val="24"/>
        </w:rPr>
      </w:pPr>
      <w:r>
        <w:t>Military spouse participant focus groups</w:t>
      </w:r>
    </w:p>
    <w:p w:rsidR="60989D5B" w:rsidP="66E33C40" w:rsidRDefault="60989D5B" w14:paraId="7B750A49" w14:textId="75AD6B49">
      <w:pPr>
        <w:pStyle w:val="ListParagraph"/>
        <w:numPr>
          <w:ilvl w:val="0"/>
          <w:numId w:val="1"/>
        </w:numPr>
        <w:spacing w:line="240" w:lineRule="auto"/>
        <w:rPr>
          <w:szCs w:val="24"/>
        </w:rPr>
      </w:pPr>
      <w:r>
        <w:t>TSM (post-Navigator) participant focus groups</w:t>
      </w:r>
    </w:p>
    <w:p w:rsidR="60989D5B" w:rsidP="66E33C40" w:rsidRDefault="60989D5B" w14:paraId="3B2EEB17" w14:textId="7EA39775">
      <w:pPr>
        <w:pStyle w:val="ListParagraph"/>
        <w:numPr>
          <w:ilvl w:val="0"/>
          <w:numId w:val="1"/>
        </w:numPr>
        <w:spacing w:line="240" w:lineRule="auto"/>
        <w:rPr>
          <w:szCs w:val="24"/>
        </w:rPr>
      </w:pPr>
      <w:r>
        <w:t>TSM (post-Partner) participant focus groups</w:t>
      </w:r>
    </w:p>
    <w:p w:rsidR="60989D5B" w:rsidP="66E33C40" w:rsidRDefault="60989D5B" w14:paraId="19729A85" w14:textId="210C28E4">
      <w:pPr>
        <w:pStyle w:val="ListParagraph"/>
        <w:numPr>
          <w:ilvl w:val="0"/>
          <w:numId w:val="1"/>
        </w:numPr>
        <w:spacing w:line="240" w:lineRule="auto"/>
        <w:rPr>
          <w:szCs w:val="24"/>
        </w:rPr>
      </w:pPr>
      <w:r>
        <w:t>Program Employment Navigator focus groups</w:t>
      </w:r>
      <w:r w:rsidR="0FFD6230">
        <w:t xml:space="preserve"> </w:t>
      </w:r>
    </w:p>
    <w:p w:rsidRPr="00C84DB0" w:rsidR="00EC2325" w:rsidP="00C84DB0" w:rsidRDefault="00EC2325" w14:paraId="55D39F55" w14:textId="77777777">
      <w:pPr>
        <w:spacing w:line="240" w:lineRule="auto"/>
        <w:contextualSpacing/>
      </w:pPr>
    </w:p>
    <w:p w:rsidR="00707247" w:rsidP="005C45D4" w:rsidRDefault="00871FB8" w14:paraId="750A9D72" w14:textId="42D4444D">
      <w:pPr>
        <w:pStyle w:val="H3Alpha"/>
        <w:ind w:left="0" w:firstLine="0"/>
      </w:pPr>
      <w:bookmarkStart w:name="_Toc496104730" w:id="1"/>
      <w:bookmarkStart w:name="_Hlk73015120" w:id="2"/>
      <w:r w:rsidRPr="00871FB8">
        <w:t>1.</w:t>
      </w:r>
      <w:r>
        <w:t xml:space="preserve"> </w:t>
      </w:r>
      <w:r w:rsidRPr="00C51490" w:rsidR="002D7F1C">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Pr="009A4603" w:rsidR="001C03C8" w:rsidP="009A4603" w:rsidRDefault="001860AA" w14:paraId="556DC245" w14:textId="5641153A">
      <w:pPr>
        <w:pStyle w:val="NormalSS"/>
        <w:rPr>
          <w:rFonts w:cs="Arial"/>
        </w:rPr>
      </w:pPr>
      <w:r>
        <w:t xml:space="preserve">Service members who separate from the military often encounter many challenges </w:t>
      </w:r>
      <w:r w:rsidR="0041370B">
        <w:t xml:space="preserve">when </w:t>
      </w:r>
      <w:r w:rsidR="00141661">
        <w:t>re-entering civilian life</w:t>
      </w:r>
      <w:r w:rsidR="00C2090B">
        <w:t xml:space="preserve">, and in particular, </w:t>
      </w:r>
      <w:r w:rsidR="002C018A">
        <w:t>civilian employment</w:t>
      </w:r>
      <w:r w:rsidR="007B45B1">
        <w:t>. Veterans re</w:t>
      </w:r>
      <w:r w:rsidR="00C2090B">
        <w:t>flect</w:t>
      </w:r>
      <w:r w:rsidR="007B45B1">
        <w:t xml:space="preserve"> that </w:t>
      </w:r>
      <w:r w:rsidR="006D17D7">
        <w:rPr>
          <w:rFonts w:cs="Arial"/>
        </w:rPr>
        <w:t>TAP overgeneralizes the transition experience and provides a standard set of resources regardless of individual need and career goals.</w:t>
      </w:r>
      <w:r w:rsidR="00304C73">
        <w:rPr>
          <w:rStyle w:val="FootnoteReference"/>
          <w:rFonts w:cs="Arial"/>
        </w:rPr>
        <w:footnoteReference w:id="2"/>
      </w:r>
      <w:r w:rsidR="00AE3CD5">
        <w:rPr>
          <w:rFonts w:cs="Arial"/>
        </w:rPr>
        <w:t xml:space="preserve"> </w:t>
      </w:r>
      <w:r w:rsidR="007D78B9">
        <w:rPr>
          <w:rFonts w:cs="Arial"/>
        </w:rPr>
        <w:t>T</w:t>
      </w:r>
      <w:r w:rsidR="00E97327">
        <w:rPr>
          <w:rFonts w:cs="Arial"/>
        </w:rPr>
        <w:t xml:space="preserve">he need to provide individualized </w:t>
      </w:r>
      <w:r w:rsidR="0068370E">
        <w:rPr>
          <w:rFonts w:cs="Arial"/>
        </w:rPr>
        <w:t xml:space="preserve">counseling for TSMs and spouses </w:t>
      </w:r>
      <w:r w:rsidR="007847A2">
        <w:rPr>
          <w:rFonts w:cs="Arial"/>
        </w:rPr>
        <w:t>as they begin to transition into civilian lives has been well-documented by veterans and stakeholders. In response to this need, the Fiscal Year</w:t>
      </w:r>
      <w:r w:rsidR="007847A2">
        <w:t xml:space="preserve"> 2019</w:t>
      </w:r>
      <w:r w:rsidR="00D214CD">
        <w:t xml:space="preserve"> National Defense Authorization Act (NDAA) </w:t>
      </w:r>
      <w:r w:rsidR="00230C72">
        <w:t>mandated</w:t>
      </w:r>
      <w:r w:rsidR="00FE623A">
        <w:t xml:space="preserve"> that the </w:t>
      </w:r>
      <w:r w:rsidR="00BB63BD">
        <w:t xml:space="preserve">TAP </w:t>
      </w:r>
      <w:r w:rsidR="00FE623A">
        <w:t>offer individualized</w:t>
      </w:r>
      <w:r w:rsidR="007A3967">
        <w:t xml:space="preserve"> initial</w:t>
      </w:r>
      <w:r w:rsidR="00FE623A">
        <w:t xml:space="preserve"> counseling as part of the transition process for service members. </w:t>
      </w:r>
      <w:r w:rsidR="00274C9E">
        <w:t>In response to the NDAA, DOL</w:t>
      </w:r>
      <w:r w:rsidR="006933A4">
        <w:t xml:space="preserve"> </w:t>
      </w:r>
      <w:r w:rsidR="00FE623A">
        <w:t xml:space="preserve">Veterans’ Employment and Training Service (VETS) developed the </w:t>
      </w:r>
      <w:r w:rsidR="00BB63BD">
        <w:t>ENPP</w:t>
      </w:r>
      <w:r w:rsidR="00155009">
        <w:t>,</w:t>
      </w:r>
      <w:r w:rsidR="002441C1">
        <w:t xml:space="preserve"> which is intended to assist TSMs and spouses in selecting “good fit” career pathways and to connect them to “good fit” partners to improve their civilian employment outcomes.</w:t>
      </w:r>
      <w:r w:rsidR="008B46DD">
        <w:rPr>
          <w:rStyle w:val="FootnoteReference"/>
        </w:rPr>
        <w:footnoteReference w:id="3"/>
      </w:r>
      <w:r w:rsidR="002441C1">
        <w:t xml:space="preserve"> </w:t>
      </w:r>
    </w:p>
    <w:p w:rsidR="001C03C8" w:rsidP="00A25E1B" w:rsidRDefault="5953FFBA" w14:paraId="3CE4F066" w14:textId="0E51177D">
      <w:pPr>
        <w:pStyle w:val="NormalSS"/>
      </w:pPr>
      <w:r>
        <w:t xml:space="preserve">DOL </w:t>
      </w:r>
      <w:r w:rsidR="75F49C12">
        <w:t>intends for</w:t>
      </w:r>
      <w:r>
        <w:t xml:space="preserve"> the ENPP</w:t>
      </w:r>
      <w:r w:rsidR="75F49C12">
        <w:t xml:space="preserve"> to</w:t>
      </w:r>
      <w:r>
        <w:t xml:space="preserve"> result in better employment outcomes for TSMs and spouses, including higher wages, job retention and advancement, and in finding careers that are more </w:t>
      </w:r>
      <w:r>
        <w:lastRenderedPageBreak/>
        <w:t xml:space="preserve">suitable for their unique skillsets and aspirations. </w:t>
      </w:r>
      <w:r w:rsidR="7234680B">
        <w:t>The ENPP pilot will be implemented for one year</w:t>
      </w:r>
      <w:r w:rsidR="00046A9B">
        <w:t xml:space="preserve"> (April 1, 2021, through March 31, 2022)</w:t>
      </w:r>
      <w:r w:rsidR="00D26BE9">
        <w:t xml:space="preserve">. </w:t>
      </w:r>
      <w:r w:rsidR="75CEA6F6">
        <w:t>D</w:t>
      </w:r>
      <w:r w:rsidR="5878135D">
        <w:t xml:space="preserve">uring this year, </w:t>
      </w:r>
      <w:r w:rsidR="06255D1D">
        <w:t>the evaluation will examine h</w:t>
      </w:r>
      <w:r w:rsidR="1DE68E09">
        <w:t xml:space="preserve">ow </w:t>
      </w:r>
      <w:r w:rsidR="36D215B2">
        <w:t xml:space="preserve">the program connects with TSMs and spouses, </w:t>
      </w:r>
      <w:r w:rsidR="75CEA6F6">
        <w:t xml:space="preserve">the experiences that individuals have as they progress through the pilot, and the connections they are provided to governmental and nongovernmental partners </w:t>
      </w:r>
      <w:r w:rsidR="0D9C7974">
        <w:t>to provide additional supportive services</w:t>
      </w:r>
      <w:r w:rsidR="75CEA6F6">
        <w:t>.</w:t>
      </w:r>
      <w:r w:rsidR="1CF55439">
        <w:t xml:space="preserve"> </w:t>
      </w:r>
      <w:r w:rsidR="00046A9B">
        <w:t>Data collection will begin upon receipt of PRA clearance</w:t>
      </w:r>
      <w:r w:rsidR="001D12BF">
        <w:t>.</w:t>
      </w:r>
    </w:p>
    <w:p w:rsidRPr="00A25E1B" w:rsidR="00A25E1B" w:rsidP="00A25E1B" w:rsidRDefault="002D7F1C" w14:paraId="24C5F6BD" w14:textId="647B609E">
      <w:pPr>
        <w:pStyle w:val="NormalSS"/>
        <w:ind w:firstLine="0"/>
        <w:rPr>
          <w:bCs/>
        </w:rPr>
      </w:pPr>
      <w:r w:rsidRPr="00A25E1B">
        <w:rPr>
          <w:b/>
        </w:rPr>
        <w:t>Citation of sections of laws that justify this information collection:</w:t>
      </w:r>
      <w:r w:rsidRPr="00A25E1B">
        <w:t xml:space="preserve"> </w:t>
      </w:r>
      <w:r w:rsidR="00A25E1B">
        <w:t xml:space="preserve">Through TAP, </w:t>
      </w:r>
      <w:r w:rsidRPr="00A25E1B" w:rsidR="00A25E1B">
        <w:rPr>
          <w:bCs/>
        </w:rPr>
        <w:t>DOL is tasked to “establish and maintain a program to furnish counseling, assistance in identifying employment and training opportunities, help in obtaining such employment and training, and other related information and services to members of the armed forces under the jurisdiction of the Secretary concerned who are being separated from active duty and the spouses of such members” under 10 U.S.C. § 1144.</w:t>
      </w:r>
    </w:p>
    <w:p w:rsidR="00A25E1B" w:rsidP="00A25E1B" w:rsidRDefault="00A25E1B" w14:paraId="4883F5A8" w14:textId="0A1A01AB">
      <w:pPr>
        <w:pStyle w:val="NormalSS"/>
      </w:pPr>
      <w:r>
        <w:t>Further, 29 U</w:t>
      </w:r>
      <w:r w:rsidR="27F9B179">
        <w:t>.</w:t>
      </w:r>
      <w:r>
        <w:t>S</w:t>
      </w:r>
      <w:r w:rsidR="74B8B060">
        <w:t>.</w:t>
      </w:r>
      <w:r>
        <w:t>C</w:t>
      </w:r>
      <w:r w:rsidR="02F2CA0A">
        <w:t>.</w:t>
      </w:r>
      <w:r>
        <w:t xml:space="preserve"> 3224a (1), authorizes the Secretary of Labor to conduct ongoing evaluation of programs and activities to improve the management and effectiveness of these programs.</w:t>
      </w:r>
    </w:p>
    <w:p w:rsidR="008E1F00" w:rsidP="005C45D4" w:rsidRDefault="008E1F00" w14:paraId="38F491EA" w14:textId="34D72CBA">
      <w:pPr>
        <w:pStyle w:val="H3Alpha"/>
        <w:ind w:left="0" w:firstLine="0"/>
      </w:pPr>
      <w:bookmarkStart w:name="_Toc496104734" w:id="3"/>
      <w:bookmarkEnd w:id="2"/>
      <w:r>
        <w:t xml:space="preserve">2. </w:t>
      </w:r>
      <w:r w:rsidRPr="00C51490" w:rsidR="002D7F1C">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3"/>
    </w:p>
    <w:p w:rsidRPr="0071779F" w:rsidR="00B24C5A" w:rsidP="0071779F" w:rsidRDefault="008E1F00" w14:paraId="06AD18FB" w14:textId="1C84B26F">
      <w:pPr>
        <w:pStyle w:val="NormalSS"/>
        <w:rPr>
          <w:color w:val="000000" w:themeColor="text1"/>
        </w:rPr>
      </w:pPr>
      <w:r w:rsidRPr="00907A21">
        <w:rPr>
          <w:color w:val="000000" w:themeColor="text1"/>
        </w:rPr>
        <w:t xml:space="preserve">The data collected through the activities summarized in this request will be used by DOL to </w:t>
      </w:r>
      <w:r w:rsidRPr="0002201F">
        <w:rPr>
          <w:color w:val="000000" w:themeColor="text1"/>
        </w:rPr>
        <w:t xml:space="preserve">comprehensively describe implementation of the </w:t>
      </w:r>
      <w:r w:rsidRPr="0002201F" w:rsidR="0024311B">
        <w:rPr>
          <w:color w:val="000000" w:themeColor="text1"/>
        </w:rPr>
        <w:t>ENPP</w:t>
      </w:r>
      <w:r w:rsidRPr="0002201F">
        <w:rPr>
          <w:color w:val="000000" w:themeColor="text1"/>
        </w:rPr>
        <w:t xml:space="preserve">, </w:t>
      </w:r>
      <w:r w:rsidRPr="00422CE8" w:rsidR="00646F36">
        <w:rPr>
          <w:color w:val="000000" w:themeColor="text1"/>
        </w:rPr>
        <w:t xml:space="preserve">identify </w:t>
      </w:r>
      <w:r w:rsidR="000F6468">
        <w:rPr>
          <w:color w:val="000000" w:themeColor="text1"/>
        </w:rPr>
        <w:t xml:space="preserve">perceptions of </w:t>
      </w:r>
      <w:r w:rsidR="00401CC0">
        <w:rPr>
          <w:color w:val="000000" w:themeColor="text1"/>
        </w:rPr>
        <w:t xml:space="preserve">implementation </w:t>
      </w:r>
      <w:r w:rsidRPr="00422CE8" w:rsidR="00646F36">
        <w:rPr>
          <w:color w:val="000000" w:themeColor="text1"/>
        </w:rPr>
        <w:t>promising practices and challenges that arise, understand how cooperation and coordination among relevant stakeholder groups can be reinforced to improve program outcomes, and document how trainings, direct services, and warm handovers/connections can be enhanced prior to program expansion to additional military bases</w:t>
      </w:r>
      <w:r w:rsidRPr="000B1A04" w:rsidR="00646F36">
        <w:rPr>
          <w:color w:val="000000" w:themeColor="text1"/>
        </w:rPr>
        <w:t xml:space="preserve">. </w:t>
      </w:r>
    </w:p>
    <w:p w:rsidR="00B24C5A" w:rsidP="00B24C5A" w:rsidRDefault="002A75EB" w14:paraId="43652B52" w14:textId="4B2CD2FA">
      <w:pPr>
        <w:pStyle w:val="H4Number"/>
      </w:pPr>
      <w:r>
        <w:t>1</w:t>
      </w:r>
      <w:r w:rsidR="00B24C5A">
        <w:t>.</w:t>
      </w:r>
      <w:r w:rsidR="00B24C5A">
        <w:tab/>
        <w:t>Overview of the evaluation</w:t>
      </w:r>
    </w:p>
    <w:p w:rsidRPr="00E34F87" w:rsidR="001A3745" w:rsidP="00976EC6" w:rsidRDefault="001B4BF5" w14:paraId="756677D9" w14:textId="20985A60">
      <w:pPr>
        <w:pStyle w:val="NormalSS"/>
        <w:rPr>
          <w:color w:val="000000" w:themeColor="text1"/>
        </w:rPr>
      </w:pPr>
      <w:r w:rsidRPr="00422CE8">
        <w:rPr>
          <w:color w:val="000000" w:themeColor="text1"/>
        </w:rPr>
        <w:t>The evaluation of t</w:t>
      </w:r>
      <w:r w:rsidRPr="00422CE8" w:rsidR="001A3745">
        <w:rPr>
          <w:color w:val="000000" w:themeColor="text1"/>
        </w:rPr>
        <w:t xml:space="preserve">he ENPP is comprised of formative and early implementation </w:t>
      </w:r>
      <w:r w:rsidRPr="00422CE8" w:rsidR="0058119B">
        <w:rPr>
          <w:color w:val="000000" w:themeColor="text1"/>
        </w:rPr>
        <w:t xml:space="preserve">components </w:t>
      </w:r>
      <w:r w:rsidRPr="00422CE8" w:rsidR="001A3745">
        <w:rPr>
          <w:color w:val="000000" w:themeColor="text1"/>
        </w:rPr>
        <w:t>to assess the fidelity of implemen</w:t>
      </w:r>
      <w:r w:rsidRPr="00DF492C" w:rsidR="001A3745">
        <w:t>tation across approximately 13 sites</w:t>
      </w:r>
      <w:r w:rsidR="00286D44">
        <w:t xml:space="preserve"> (military bases inside and outside the continental United States)</w:t>
      </w:r>
      <w:r w:rsidRPr="00DF492C" w:rsidR="00AA40B1">
        <w:t xml:space="preserve">. </w:t>
      </w:r>
      <w:r w:rsidRPr="00DF492C" w:rsidR="008F1A48">
        <w:t xml:space="preserve">The </w:t>
      </w:r>
      <w:r w:rsidRPr="00DF492C" w:rsidR="00773240">
        <w:t xml:space="preserve">study </w:t>
      </w:r>
      <w:r w:rsidRPr="00DF492C" w:rsidR="00072D5B">
        <w:t>will take place over two years (</w:t>
      </w:r>
      <w:r w:rsidRPr="00DF492C" w:rsidR="00041FFF">
        <w:t>20</w:t>
      </w:r>
      <w:r w:rsidRPr="00DF492C" w:rsidR="000415CF">
        <w:t>2</w:t>
      </w:r>
      <w:r w:rsidRPr="00DF492C" w:rsidR="00DF492C">
        <w:t>1</w:t>
      </w:r>
      <w:r w:rsidRPr="00DF492C" w:rsidR="000415CF">
        <w:t xml:space="preserve"> to 202</w:t>
      </w:r>
      <w:r w:rsidRPr="00DF492C" w:rsidR="00DF492C">
        <w:t>2</w:t>
      </w:r>
      <w:r w:rsidRPr="00DF492C" w:rsidR="005144D5">
        <w:t xml:space="preserve">) </w:t>
      </w:r>
      <w:r w:rsidRPr="00E34F87" w:rsidR="005144D5">
        <w:rPr>
          <w:color w:val="000000" w:themeColor="text1"/>
        </w:rPr>
        <w:t xml:space="preserve">and will address the following research questions: </w:t>
      </w:r>
    </w:p>
    <w:p w:rsidRPr="00D85D58" w:rsidR="00AE28C7" w:rsidP="009B4149" w:rsidRDefault="0071215A" w14:paraId="116F5269" w14:textId="375AD30A">
      <w:pPr>
        <w:pStyle w:val="NumberedBullet"/>
        <w:numPr>
          <w:ilvl w:val="0"/>
          <w:numId w:val="8"/>
        </w:numPr>
        <w:rPr>
          <w:color w:val="000000" w:themeColor="text1"/>
        </w:rPr>
      </w:pPr>
      <w:r>
        <w:rPr>
          <w:color w:val="000000" w:themeColor="text1"/>
        </w:rPr>
        <w:t>H</w:t>
      </w:r>
      <w:r w:rsidRPr="00D85D58" w:rsidR="00F8303E">
        <w:rPr>
          <w:color w:val="000000" w:themeColor="text1"/>
        </w:rPr>
        <w:t>as the pilot been implemented as designed, and to what extent have the planning and mid-way outcomes been achieved?</w:t>
      </w:r>
      <w:r w:rsidRPr="00D85D58" w:rsidR="002628F7">
        <w:rPr>
          <w:color w:val="000000" w:themeColor="text1"/>
        </w:rPr>
        <w:t xml:space="preserve"> </w:t>
      </w:r>
    </w:p>
    <w:p w:rsidRPr="00D85D58" w:rsidR="00E81127" w:rsidP="009B4149" w:rsidRDefault="000F6468" w14:paraId="590C2D76" w14:textId="57095F85">
      <w:pPr>
        <w:pStyle w:val="NumberedBullet"/>
        <w:numPr>
          <w:ilvl w:val="0"/>
          <w:numId w:val="8"/>
        </w:numPr>
        <w:rPr>
          <w:color w:val="000000" w:themeColor="text1"/>
        </w:rPr>
      </w:pPr>
      <w:r>
        <w:rPr>
          <w:color w:val="000000" w:themeColor="text1"/>
        </w:rPr>
        <w:t>What adjustments and/or modifications did sites have to make during implementation of the ENPP</w:t>
      </w:r>
      <w:r w:rsidRPr="00D85D58" w:rsidR="00E81127">
        <w:rPr>
          <w:color w:val="000000" w:themeColor="text1"/>
        </w:rPr>
        <w:t xml:space="preserve">? </w:t>
      </w:r>
    </w:p>
    <w:p w:rsidRPr="00B95D94" w:rsidR="00912D82" w:rsidP="0025756D" w:rsidRDefault="007E7EB7" w14:paraId="456BA4F7" w14:textId="17FFF549">
      <w:pPr>
        <w:pStyle w:val="NormalSS"/>
        <w:rPr>
          <w:color w:val="000000" w:themeColor="text1"/>
        </w:rPr>
      </w:pPr>
      <w:r w:rsidRPr="00B95D94">
        <w:rPr>
          <w:color w:val="000000" w:themeColor="text1"/>
        </w:rPr>
        <w:t xml:space="preserve">Research question 1 </w:t>
      </w:r>
      <w:r w:rsidRPr="00B95D94" w:rsidR="00DD54EC">
        <w:rPr>
          <w:color w:val="000000" w:themeColor="text1"/>
        </w:rPr>
        <w:t>will focus on the degree to which</w:t>
      </w:r>
      <w:r w:rsidRPr="00B95D94">
        <w:rPr>
          <w:color w:val="000000" w:themeColor="text1"/>
        </w:rPr>
        <w:t xml:space="preserve"> </w:t>
      </w:r>
      <w:r w:rsidR="00BB63BD">
        <w:rPr>
          <w:color w:val="000000" w:themeColor="text1"/>
        </w:rPr>
        <w:t>Employment Navigators</w:t>
      </w:r>
      <w:r w:rsidRPr="00B95D94">
        <w:rPr>
          <w:color w:val="000000" w:themeColor="text1"/>
        </w:rPr>
        <w:t xml:space="preserve"> </w:t>
      </w:r>
      <w:r w:rsidRPr="00B95D94" w:rsidR="00544423">
        <w:rPr>
          <w:color w:val="000000" w:themeColor="text1"/>
        </w:rPr>
        <w:t xml:space="preserve">were prepared for their role, </w:t>
      </w:r>
      <w:r w:rsidRPr="00B95D94" w:rsidR="005945AC">
        <w:rPr>
          <w:color w:val="000000" w:themeColor="text1"/>
        </w:rPr>
        <w:t xml:space="preserve">partnerships were developed to meet </w:t>
      </w:r>
      <w:r w:rsidRPr="00B95D94">
        <w:rPr>
          <w:color w:val="000000" w:themeColor="text1"/>
        </w:rPr>
        <w:t>TSMs’ and spouses’ needs</w:t>
      </w:r>
      <w:r w:rsidRPr="00B95D94" w:rsidR="005945AC">
        <w:rPr>
          <w:color w:val="000000" w:themeColor="text1"/>
        </w:rPr>
        <w:t xml:space="preserve">, </w:t>
      </w:r>
      <w:r w:rsidR="00286D44">
        <w:rPr>
          <w:color w:val="000000" w:themeColor="text1"/>
        </w:rPr>
        <w:t xml:space="preserve">military </w:t>
      </w:r>
      <w:r w:rsidRPr="00B95D94" w:rsidR="00327468">
        <w:rPr>
          <w:color w:val="000000" w:themeColor="text1"/>
        </w:rPr>
        <w:t xml:space="preserve">base stakeholders </w:t>
      </w:r>
      <w:r w:rsidRPr="00B95D94" w:rsidR="001C628A">
        <w:rPr>
          <w:color w:val="000000" w:themeColor="text1"/>
        </w:rPr>
        <w:t>were engaged through communications</w:t>
      </w:r>
      <w:r w:rsidRPr="00B95D94" w:rsidR="00EA3C68">
        <w:rPr>
          <w:color w:val="000000" w:themeColor="text1"/>
        </w:rPr>
        <w:t xml:space="preserve"> and outreach,</w:t>
      </w:r>
      <w:r w:rsidRPr="00B95D94">
        <w:rPr>
          <w:color w:val="000000" w:themeColor="text1"/>
        </w:rPr>
        <w:t xml:space="preserve"> </w:t>
      </w:r>
      <w:r w:rsidRPr="00B95D94" w:rsidR="002A6EFE">
        <w:rPr>
          <w:color w:val="000000" w:themeColor="text1"/>
        </w:rPr>
        <w:t xml:space="preserve">warm handovers/connections </w:t>
      </w:r>
      <w:r w:rsidRPr="00B95D94" w:rsidR="0025756D">
        <w:rPr>
          <w:color w:val="000000" w:themeColor="text1"/>
        </w:rPr>
        <w:t xml:space="preserve">were </w:t>
      </w:r>
      <w:r w:rsidRPr="00B95D94" w:rsidR="002A6EFE">
        <w:rPr>
          <w:color w:val="000000" w:themeColor="text1"/>
        </w:rPr>
        <w:t>made to partner</w:t>
      </w:r>
      <w:r w:rsidRPr="00B95D94" w:rsidR="0025756D">
        <w:rPr>
          <w:color w:val="000000" w:themeColor="text1"/>
        </w:rPr>
        <w:t>s</w:t>
      </w:r>
      <w:r w:rsidRPr="00B95D94" w:rsidR="009E67D7">
        <w:rPr>
          <w:color w:val="000000" w:themeColor="text1"/>
        </w:rPr>
        <w:t xml:space="preserve">, </w:t>
      </w:r>
      <w:r w:rsidRPr="00B95D94" w:rsidR="002A6EFE">
        <w:rPr>
          <w:color w:val="000000" w:themeColor="text1"/>
        </w:rPr>
        <w:t>data systems captured activities and outcomes</w:t>
      </w:r>
      <w:r w:rsidRPr="00B95D94" w:rsidR="0025756D">
        <w:rPr>
          <w:color w:val="000000" w:themeColor="text1"/>
        </w:rPr>
        <w:t>, and</w:t>
      </w:r>
      <w:r w:rsidRPr="00B95D94" w:rsidR="002A6EFE">
        <w:rPr>
          <w:color w:val="000000" w:themeColor="text1"/>
        </w:rPr>
        <w:t xml:space="preserve"> </w:t>
      </w:r>
      <w:r w:rsidR="00286D44">
        <w:rPr>
          <w:color w:val="000000" w:themeColor="text1"/>
        </w:rPr>
        <w:t xml:space="preserve">Employment Navigator </w:t>
      </w:r>
      <w:r w:rsidRPr="00B95D94" w:rsidR="003327FB">
        <w:rPr>
          <w:color w:val="000000" w:themeColor="text1"/>
        </w:rPr>
        <w:t>services</w:t>
      </w:r>
      <w:r w:rsidRPr="00B95D94">
        <w:rPr>
          <w:color w:val="000000" w:themeColor="text1"/>
        </w:rPr>
        <w:t xml:space="preserve"> helped </w:t>
      </w:r>
      <w:proofErr w:type="gramStart"/>
      <w:r w:rsidRPr="00B95D94">
        <w:rPr>
          <w:color w:val="000000" w:themeColor="text1"/>
        </w:rPr>
        <w:t>TSMs</w:t>
      </w:r>
      <w:proofErr w:type="gramEnd"/>
      <w:r w:rsidRPr="00B95D94">
        <w:rPr>
          <w:color w:val="000000" w:themeColor="text1"/>
        </w:rPr>
        <w:t xml:space="preserve"> and spouses set a course for obtaining employment</w:t>
      </w:r>
      <w:r w:rsidRPr="00B95D94" w:rsidR="00901A56">
        <w:rPr>
          <w:color w:val="000000" w:themeColor="text1"/>
        </w:rPr>
        <w:t xml:space="preserve">. </w:t>
      </w:r>
      <w:r w:rsidRPr="00B95D94" w:rsidR="0025756D">
        <w:rPr>
          <w:color w:val="000000" w:themeColor="text1"/>
        </w:rPr>
        <w:t xml:space="preserve">Research question 2 will focus on </w:t>
      </w:r>
      <w:r w:rsidRPr="00B95D94" w:rsidR="00B93DE3">
        <w:rPr>
          <w:color w:val="000000" w:themeColor="text1"/>
        </w:rPr>
        <w:t>h</w:t>
      </w:r>
      <w:r w:rsidRPr="00B95D94" w:rsidR="0025756D">
        <w:rPr>
          <w:color w:val="000000" w:themeColor="text1"/>
        </w:rPr>
        <w:t xml:space="preserve">ow, if at all, </w:t>
      </w:r>
      <w:r w:rsidRPr="00B95D94" w:rsidR="00CD0629">
        <w:rPr>
          <w:color w:val="000000" w:themeColor="text1"/>
        </w:rPr>
        <w:t xml:space="preserve">the above components of </w:t>
      </w:r>
      <w:r w:rsidRPr="00B95D94" w:rsidR="00B40DFC">
        <w:rPr>
          <w:color w:val="000000" w:themeColor="text1"/>
        </w:rPr>
        <w:t xml:space="preserve">the </w:t>
      </w:r>
      <w:r w:rsidRPr="00B95D94" w:rsidR="0025756D">
        <w:rPr>
          <w:color w:val="000000" w:themeColor="text1"/>
        </w:rPr>
        <w:t>ENPP</w:t>
      </w:r>
      <w:r w:rsidRPr="00B95D94" w:rsidR="008A4015">
        <w:rPr>
          <w:color w:val="000000" w:themeColor="text1"/>
        </w:rPr>
        <w:t xml:space="preserve"> </w:t>
      </w:r>
      <w:r w:rsidRPr="00B95D94" w:rsidR="005947FC">
        <w:rPr>
          <w:color w:val="000000" w:themeColor="text1"/>
        </w:rPr>
        <w:t xml:space="preserve">implementation </w:t>
      </w:r>
      <w:r w:rsidRPr="00B95D94" w:rsidR="00B278F0">
        <w:rPr>
          <w:color w:val="000000" w:themeColor="text1"/>
        </w:rPr>
        <w:t xml:space="preserve">and early outcomes </w:t>
      </w:r>
      <w:r w:rsidRPr="00B95D94" w:rsidR="005947FC">
        <w:rPr>
          <w:color w:val="000000" w:themeColor="text1"/>
        </w:rPr>
        <w:t xml:space="preserve">varied across sites. </w:t>
      </w:r>
    </w:p>
    <w:p w:rsidRPr="00744B6F" w:rsidR="00B24C5A" w:rsidP="00744B6F" w:rsidRDefault="0CEF5634" w14:paraId="186E2D43" w14:textId="02ADF544">
      <w:pPr>
        <w:pStyle w:val="NormalSS"/>
        <w:rPr>
          <w:rFonts w:cs="Arial"/>
        </w:rPr>
      </w:pPr>
      <w:r w:rsidRPr="48C32498">
        <w:rPr>
          <w:color w:val="000000" w:themeColor="text1"/>
        </w:rPr>
        <w:lastRenderedPageBreak/>
        <w:t>Th</w:t>
      </w:r>
      <w:r w:rsidRPr="48C32498" w:rsidR="11B0C02A">
        <w:rPr>
          <w:color w:val="000000" w:themeColor="text1"/>
        </w:rPr>
        <w:t xml:space="preserve">e evaluation </w:t>
      </w:r>
      <w:r w:rsidRPr="48C32498" w:rsidR="41E3FFBC">
        <w:rPr>
          <w:color w:val="000000" w:themeColor="text1"/>
        </w:rPr>
        <w:t xml:space="preserve">includes </w:t>
      </w:r>
      <w:r w:rsidRPr="48C32498" w:rsidR="41E3FFBC">
        <w:rPr>
          <w:rFonts w:cs="Arial"/>
          <w:color w:val="000000" w:themeColor="text1"/>
        </w:rPr>
        <w:t xml:space="preserve">document </w:t>
      </w:r>
      <w:r w:rsidRPr="48C32498" w:rsidR="41E3FFBC">
        <w:rPr>
          <w:rFonts w:cs="Arial"/>
        </w:rPr>
        <w:t>review</w:t>
      </w:r>
      <w:r w:rsidRPr="48C32498" w:rsidR="17A09AE3">
        <w:rPr>
          <w:rFonts w:cs="Arial"/>
        </w:rPr>
        <w:t xml:space="preserve"> </w:t>
      </w:r>
      <w:r w:rsidRPr="48C32498" w:rsidR="17A09AE3">
        <w:t>(</w:t>
      </w:r>
      <w:r w:rsidRPr="48C32498" w:rsidR="3E2FF0A2">
        <w:t xml:space="preserve">such as </w:t>
      </w:r>
      <w:r w:rsidRPr="48C32498" w:rsidR="5FCE15FB">
        <w:rPr>
          <w:rFonts w:cs="Arial"/>
        </w:rPr>
        <w:t xml:space="preserve">job descriptions, </w:t>
      </w:r>
      <w:r w:rsidRPr="48C32498" w:rsidR="2B85723F">
        <w:rPr>
          <w:color w:val="000000" w:themeColor="text1"/>
        </w:rPr>
        <w:t xml:space="preserve">Employment Navigator </w:t>
      </w:r>
      <w:r w:rsidRPr="48C32498" w:rsidR="5FCE15FB">
        <w:rPr>
          <w:rFonts w:cs="Arial"/>
        </w:rPr>
        <w:t>training materials, MOUs and agreements, promotional materials)</w:t>
      </w:r>
      <w:r w:rsidRPr="48C32498" w:rsidR="41E3FFBC">
        <w:rPr>
          <w:rFonts w:cs="Arial"/>
        </w:rPr>
        <w:t xml:space="preserve">, </w:t>
      </w:r>
      <w:r w:rsidR="5551A83E">
        <w:t xml:space="preserve">interviews with </w:t>
      </w:r>
      <w:r w:rsidR="51769FA7">
        <w:t xml:space="preserve">up to nine </w:t>
      </w:r>
      <w:r w:rsidR="5551A83E">
        <w:t>central federal and program staff</w:t>
      </w:r>
      <w:r w:rsidRPr="48C32498" w:rsidR="663059FF">
        <w:rPr>
          <w:rFonts w:cs="Arial"/>
        </w:rPr>
        <w:t xml:space="preserve">, </w:t>
      </w:r>
      <w:r w:rsidRPr="48C32498" w:rsidR="41E3FFBC">
        <w:rPr>
          <w:rFonts w:cs="Arial"/>
        </w:rPr>
        <w:t xml:space="preserve">analysis of extant </w:t>
      </w:r>
      <w:r w:rsidRPr="48C32498" w:rsidR="19252717">
        <w:rPr>
          <w:rFonts w:cs="Arial"/>
        </w:rPr>
        <w:t>administrative data</w:t>
      </w:r>
      <w:r w:rsidRPr="48C32498" w:rsidR="0F688C7D">
        <w:rPr>
          <w:rFonts w:cs="Arial"/>
        </w:rPr>
        <w:t xml:space="preserve">, </w:t>
      </w:r>
      <w:r w:rsidRPr="48C32498" w:rsidR="76FA086B">
        <w:rPr>
          <w:rFonts w:cs="Arial"/>
        </w:rPr>
        <w:t xml:space="preserve">and </w:t>
      </w:r>
      <w:r w:rsidRPr="48C32498" w:rsidR="1A18DE82">
        <w:rPr>
          <w:rFonts w:cs="Arial"/>
        </w:rPr>
        <w:t>focus groups</w:t>
      </w:r>
      <w:r w:rsidRPr="48C32498" w:rsidR="60DFDB6B">
        <w:rPr>
          <w:rFonts w:cs="Arial"/>
        </w:rPr>
        <w:t xml:space="preserve"> </w:t>
      </w:r>
      <w:r w:rsidRPr="48C32498" w:rsidR="57DD360B">
        <w:rPr>
          <w:rFonts w:cs="Arial"/>
        </w:rPr>
        <w:t xml:space="preserve">with </w:t>
      </w:r>
      <w:r w:rsidRPr="48C32498" w:rsidR="307C8F8F">
        <w:rPr>
          <w:rFonts w:cs="Arial"/>
          <w:color w:val="000000" w:themeColor="text1"/>
        </w:rPr>
        <w:t xml:space="preserve">approximately 13 sites implementing </w:t>
      </w:r>
      <w:r w:rsidRPr="48C32498" w:rsidR="7C98168F">
        <w:rPr>
          <w:rFonts w:cs="Arial"/>
          <w:color w:val="000000" w:themeColor="text1"/>
        </w:rPr>
        <w:t xml:space="preserve">the </w:t>
      </w:r>
      <w:r w:rsidRPr="48C32498" w:rsidR="307C8F8F">
        <w:rPr>
          <w:rFonts w:cs="Arial"/>
          <w:color w:val="000000" w:themeColor="text1"/>
        </w:rPr>
        <w:t>ENPP</w:t>
      </w:r>
      <w:r w:rsidRPr="48C32498" w:rsidR="41E3FFBC">
        <w:rPr>
          <w:rFonts w:cs="Arial"/>
          <w:color w:val="000000" w:themeColor="text1"/>
        </w:rPr>
        <w:t>.</w:t>
      </w:r>
      <w:r w:rsidRPr="48C32498" w:rsidR="76FA086B">
        <w:rPr>
          <w:rFonts w:cs="Arial"/>
          <w:color w:val="000000" w:themeColor="text1"/>
        </w:rPr>
        <w:t xml:space="preserve"> </w:t>
      </w:r>
      <w:r w:rsidRPr="48C32498" w:rsidR="5BF8A002">
        <w:rPr>
          <w:color w:val="000000" w:themeColor="text1"/>
        </w:rPr>
        <w:t>This PRA clearance request includes the protocols that will be used for focus groups</w:t>
      </w:r>
      <w:r w:rsidRPr="48C32498" w:rsidR="089378F2">
        <w:rPr>
          <w:color w:val="000000" w:themeColor="text1"/>
        </w:rPr>
        <w:t xml:space="preserve"> with TAP managers, program partners, military spouse participants, TSM participants, and program Employment Navigators.</w:t>
      </w:r>
    </w:p>
    <w:p w:rsidRPr="0055210B" w:rsidR="00B24C5A" w:rsidP="00B24C5A" w:rsidRDefault="00462140" w14:paraId="55CB13E4" w14:textId="64A7F64B">
      <w:pPr>
        <w:pStyle w:val="NormalSS"/>
        <w:rPr>
          <w:color w:val="000000" w:themeColor="text1"/>
        </w:rPr>
      </w:pPr>
      <w:r w:rsidRPr="0055210B">
        <w:rPr>
          <w:color w:val="000000" w:themeColor="text1"/>
        </w:rPr>
        <w:t>The 1</w:t>
      </w:r>
      <w:r w:rsidRPr="0055210B" w:rsidR="0002283E">
        <w:rPr>
          <w:color w:val="000000" w:themeColor="text1"/>
        </w:rPr>
        <w:t>3</w:t>
      </w:r>
      <w:r w:rsidRPr="0055210B">
        <w:rPr>
          <w:color w:val="000000" w:themeColor="text1"/>
        </w:rPr>
        <w:t xml:space="preserve"> sites </w:t>
      </w:r>
      <w:r w:rsidR="007D379D">
        <w:rPr>
          <w:color w:val="000000" w:themeColor="text1"/>
        </w:rPr>
        <w:t xml:space="preserve">DOL </w:t>
      </w:r>
      <w:r w:rsidRPr="0055210B">
        <w:rPr>
          <w:color w:val="000000" w:themeColor="text1"/>
        </w:rPr>
        <w:t xml:space="preserve">selected for </w:t>
      </w:r>
      <w:r w:rsidRPr="0055210B" w:rsidR="0002283E">
        <w:rPr>
          <w:color w:val="000000" w:themeColor="text1"/>
        </w:rPr>
        <w:t xml:space="preserve">the ENPP </w:t>
      </w:r>
      <w:r w:rsidRPr="0055210B">
        <w:rPr>
          <w:color w:val="000000" w:themeColor="text1"/>
        </w:rPr>
        <w:t>meet key criteria of interest to DOL. These criteria include</w:t>
      </w:r>
      <w:r w:rsidRPr="0055210B" w:rsidR="00396F0A">
        <w:rPr>
          <w:color w:val="000000" w:themeColor="text1"/>
        </w:rPr>
        <w:t xml:space="preserve"> </w:t>
      </w:r>
      <w:r w:rsidRPr="0055210B" w:rsidR="00B24C5A">
        <w:rPr>
          <w:color w:val="000000" w:themeColor="text1"/>
        </w:rPr>
        <w:t xml:space="preserve">the </w:t>
      </w:r>
      <w:r w:rsidRPr="0055210B" w:rsidR="00425013">
        <w:rPr>
          <w:color w:val="000000" w:themeColor="text1"/>
        </w:rPr>
        <w:t>military service branch (</w:t>
      </w:r>
      <w:r w:rsidRPr="0055210B" w:rsidR="00630FBE">
        <w:rPr>
          <w:color w:val="000000" w:themeColor="text1"/>
        </w:rPr>
        <w:t xml:space="preserve">Army, Navy, Air Force, Marine, or Joint), </w:t>
      </w:r>
      <w:r w:rsidRPr="0055210B" w:rsidR="0004239A">
        <w:rPr>
          <w:color w:val="000000" w:themeColor="text1"/>
        </w:rPr>
        <w:t xml:space="preserve">the </w:t>
      </w:r>
      <w:r w:rsidRPr="0055210B" w:rsidR="00DB40AF">
        <w:rPr>
          <w:color w:val="000000" w:themeColor="text1"/>
        </w:rPr>
        <w:t xml:space="preserve">total number of </w:t>
      </w:r>
      <w:r w:rsidRPr="0055210B" w:rsidR="0004239A">
        <w:rPr>
          <w:color w:val="000000" w:themeColor="text1"/>
        </w:rPr>
        <w:t xml:space="preserve">separating service members </w:t>
      </w:r>
      <w:r w:rsidRPr="0055210B" w:rsidR="00DB40AF">
        <w:rPr>
          <w:color w:val="000000" w:themeColor="text1"/>
        </w:rPr>
        <w:t xml:space="preserve">annually, </w:t>
      </w:r>
      <w:r w:rsidRPr="0055210B" w:rsidR="0004239A">
        <w:rPr>
          <w:color w:val="000000" w:themeColor="text1"/>
        </w:rPr>
        <w:t xml:space="preserve">and the number and/or proportion of </w:t>
      </w:r>
      <w:r w:rsidRPr="0055210B" w:rsidR="004654CD">
        <w:rPr>
          <w:color w:val="000000" w:themeColor="text1"/>
        </w:rPr>
        <w:t xml:space="preserve">“high risk” TSMs (defined as </w:t>
      </w:r>
      <w:r w:rsidRPr="0055210B" w:rsidR="0004239A">
        <w:rPr>
          <w:color w:val="000000" w:themeColor="text1"/>
        </w:rPr>
        <w:t>lack</w:t>
      </w:r>
      <w:r w:rsidRPr="0055210B" w:rsidR="004654CD">
        <w:rPr>
          <w:color w:val="000000" w:themeColor="text1"/>
        </w:rPr>
        <w:t>ing</w:t>
      </w:r>
      <w:r w:rsidRPr="0055210B" w:rsidR="0004239A">
        <w:rPr>
          <w:color w:val="000000" w:themeColor="text1"/>
        </w:rPr>
        <w:t xml:space="preserve"> a post-separation</w:t>
      </w:r>
      <w:r w:rsidRPr="0055210B" w:rsidR="006A54EE">
        <w:rPr>
          <w:color w:val="000000" w:themeColor="text1"/>
        </w:rPr>
        <w:t xml:space="preserve"> plan</w:t>
      </w:r>
      <w:r w:rsidRPr="0055210B" w:rsidR="0004239A">
        <w:rPr>
          <w:color w:val="000000" w:themeColor="text1"/>
        </w:rPr>
        <w:t>, hav</w:t>
      </w:r>
      <w:r w:rsidRPr="0055210B" w:rsidR="006A54EE">
        <w:rPr>
          <w:color w:val="000000" w:themeColor="text1"/>
        </w:rPr>
        <w:t>ing</w:t>
      </w:r>
      <w:r w:rsidRPr="0055210B" w:rsidR="0004239A">
        <w:rPr>
          <w:color w:val="000000" w:themeColor="text1"/>
        </w:rPr>
        <w:t xml:space="preserve"> experienced emotional trauma, </w:t>
      </w:r>
      <w:r w:rsidRPr="0055210B" w:rsidR="006272D1">
        <w:rPr>
          <w:color w:val="000000" w:themeColor="text1"/>
        </w:rPr>
        <w:t xml:space="preserve">being </w:t>
      </w:r>
      <w:r w:rsidRPr="0055210B" w:rsidR="0004239A">
        <w:rPr>
          <w:color w:val="000000" w:themeColor="text1"/>
        </w:rPr>
        <w:t xml:space="preserve">financially </w:t>
      </w:r>
      <w:r w:rsidRPr="0055210B" w:rsidR="006272D1">
        <w:rPr>
          <w:color w:val="000000" w:themeColor="text1"/>
        </w:rPr>
        <w:t>un</w:t>
      </w:r>
      <w:r w:rsidRPr="0055210B" w:rsidR="0004239A">
        <w:rPr>
          <w:color w:val="000000" w:themeColor="text1"/>
        </w:rPr>
        <w:t xml:space="preserve">stable, </w:t>
      </w:r>
      <w:r w:rsidRPr="0055210B" w:rsidR="006272D1">
        <w:rPr>
          <w:color w:val="000000" w:themeColor="text1"/>
        </w:rPr>
        <w:t xml:space="preserve">lacking </w:t>
      </w:r>
      <w:r w:rsidRPr="0055210B" w:rsidR="0004239A">
        <w:rPr>
          <w:color w:val="000000" w:themeColor="text1"/>
        </w:rPr>
        <w:t>a strong support network, hav</w:t>
      </w:r>
      <w:r w:rsidRPr="0055210B" w:rsidR="006272D1">
        <w:rPr>
          <w:color w:val="000000" w:themeColor="text1"/>
        </w:rPr>
        <w:t>ing</w:t>
      </w:r>
      <w:r w:rsidRPr="0055210B" w:rsidR="0004239A">
        <w:rPr>
          <w:color w:val="000000" w:themeColor="text1"/>
        </w:rPr>
        <w:t xml:space="preserve"> a dishonorable discharge, or separating on short notice due to an injury or</w:t>
      </w:r>
      <w:r w:rsidRPr="0055210B" w:rsidR="0055210B">
        <w:rPr>
          <w:color w:val="000000" w:themeColor="text1"/>
        </w:rPr>
        <w:t xml:space="preserve"> disability</w:t>
      </w:r>
      <w:r w:rsidRPr="0055210B" w:rsidR="004654CD">
        <w:rPr>
          <w:color w:val="000000" w:themeColor="text1"/>
        </w:rPr>
        <w:t>).</w:t>
      </w:r>
      <w:r w:rsidRPr="0055210B" w:rsidR="00C70841">
        <w:rPr>
          <w:color w:val="000000" w:themeColor="text1"/>
        </w:rPr>
        <w:t xml:space="preserve"> </w:t>
      </w:r>
      <w:r w:rsidRPr="0055210B" w:rsidR="009233DF">
        <w:rPr>
          <w:color w:val="000000" w:themeColor="text1"/>
        </w:rPr>
        <w:t xml:space="preserve"> </w:t>
      </w:r>
    </w:p>
    <w:p w:rsidR="00B24C5A" w:rsidP="00B24C5A" w:rsidRDefault="002A75EB" w14:paraId="469ABDED" w14:textId="4B7597E0">
      <w:pPr>
        <w:pStyle w:val="H4Number"/>
      </w:pPr>
      <w:r>
        <w:t>2</w:t>
      </w:r>
      <w:r w:rsidR="00B24C5A">
        <w:t>.</w:t>
      </w:r>
      <w:r w:rsidR="00B24C5A">
        <w:tab/>
        <w:t>Overview of the data collection</w:t>
      </w:r>
    </w:p>
    <w:p w:rsidRPr="003C0E6C" w:rsidR="00B24C5A" w:rsidP="003C080A" w:rsidRDefault="00B24C5A" w14:paraId="3974F6C1" w14:textId="3AB241C5">
      <w:pPr>
        <w:pStyle w:val="NormalSS"/>
        <w:rPr>
          <w:color w:val="000000" w:themeColor="text1"/>
        </w:rPr>
      </w:pPr>
      <w:r w:rsidRPr="00922672">
        <w:rPr>
          <w:color w:val="000000" w:themeColor="text1"/>
        </w:rPr>
        <w:t xml:space="preserve">Understanding the implementation and </w:t>
      </w:r>
      <w:r w:rsidRPr="00922672" w:rsidR="00663788">
        <w:rPr>
          <w:color w:val="000000" w:themeColor="text1"/>
        </w:rPr>
        <w:t xml:space="preserve">early outcomes </w:t>
      </w:r>
      <w:r w:rsidRPr="00922672" w:rsidR="00F92450">
        <w:rPr>
          <w:color w:val="000000" w:themeColor="text1"/>
        </w:rPr>
        <w:t>of the ENPP requires</w:t>
      </w:r>
      <w:r w:rsidRPr="00922672">
        <w:rPr>
          <w:color w:val="000000" w:themeColor="text1"/>
        </w:rPr>
        <w:t xml:space="preserve"> data collection from multiple sources. The data collection</w:t>
      </w:r>
      <w:r w:rsidRPr="00922672" w:rsidR="006527B6">
        <w:rPr>
          <w:color w:val="000000" w:themeColor="text1"/>
        </w:rPr>
        <w:t xml:space="preserve"> instruments included in</w:t>
      </w:r>
      <w:r w:rsidRPr="00922672">
        <w:rPr>
          <w:color w:val="000000" w:themeColor="text1"/>
        </w:rPr>
        <w:t xml:space="preserve"> th</w:t>
      </w:r>
      <w:r w:rsidRPr="00922672" w:rsidR="00FB43C7">
        <w:rPr>
          <w:color w:val="000000" w:themeColor="text1"/>
        </w:rPr>
        <w:t>is clearance request include</w:t>
      </w:r>
      <w:r w:rsidRPr="00922672" w:rsidR="00397B93">
        <w:rPr>
          <w:color w:val="000000" w:themeColor="text1"/>
        </w:rPr>
        <w:t xml:space="preserve"> the protocols </w:t>
      </w:r>
      <w:r w:rsidRPr="00922672" w:rsidR="00393278">
        <w:rPr>
          <w:color w:val="000000" w:themeColor="text1"/>
        </w:rPr>
        <w:t xml:space="preserve">that will be used to </w:t>
      </w:r>
      <w:r w:rsidRPr="00922672" w:rsidR="0021030D">
        <w:rPr>
          <w:color w:val="000000" w:themeColor="text1"/>
        </w:rPr>
        <w:t xml:space="preserve">conduct virtual </w:t>
      </w:r>
      <w:r w:rsidRPr="00922672" w:rsidR="00393278">
        <w:rPr>
          <w:color w:val="000000" w:themeColor="text1"/>
        </w:rPr>
        <w:t>focus groups</w:t>
      </w:r>
      <w:r w:rsidRPr="00922672" w:rsidR="0021030D">
        <w:rPr>
          <w:color w:val="000000" w:themeColor="text1"/>
        </w:rPr>
        <w:t xml:space="preserve"> at approximately 13 sites implementing the pilot program.</w:t>
      </w:r>
      <w:r w:rsidRPr="00922672" w:rsidR="00EB4677">
        <w:rPr>
          <w:color w:val="000000" w:themeColor="text1"/>
        </w:rPr>
        <w:t xml:space="preserve"> Focus </w:t>
      </w:r>
      <w:r w:rsidRPr="00922672" w:rsidR="00AC59B1">
        <w:rPr>
          <w:color w:val="000000" w:themeColor="text1"/>
        </w:rPr>
        <w:t xml:space="preserve">groups </w:t>
      </w:r>
      <w:r w:rsidRPr="00922672" w:rsidR="002E0D48">
        <w:rPr>
          <w:color w:val="000000" w:themeColor="text1"/>
        </w:rPr>
        <w:t xml:space="preserve">will be </w:t>
      </w:r>
      <w:r w:rsidRPr="00922672" w:rsidR="001101A5">
        <w:rPr>
          <w:color w:val="000000" w:themeColor="text1"/>
        </w:rPr>
        <w:t>conducted</w:t>
      </w:r>
      <w:r w:rsidRPr="00922672" w:rsidR="00BD086A">
        <w:rPr>
          <w:color w:val="000000" w:themeColor="text1"/>
        </w:rPr>
        <w:t xml:space="preserve"> using semi-structured protocol</w:t>
      </w:r>
      <w:r w:rsidRPr="00922672" w:rsidR="002E0D48">
        <w:rPr>
          <w:color w:val="000000" w:themeColor="text1"/>
        </w:rPr>
        <w:t>s</w:t>
      </w:r>
      <w:r w:rsidRPr="00922672" w:rsidR="00BD086A">
        <w:rPr>
          <w:color w:val="000000" w:themeColor="text1"/>
        </w:rPr>
        <w:t xml:space="preserve"> with open-ended question prompts.</w:t>
      </w:r>
      <w:r w:rsidRPr="00922672" w:rsidR="00647968">
        <w:rPr>
          <w:color w:val="000000" w:themeColor="text1"/>
        </w:rPr>
        <w:t xml:space="preserve"> </w:t>
      </w:r>
      <w:r w:rsidRPr="00922672" w:rsidR="005145F6">
        <w:rPr>
          <w:color w:val="000000" w:themeColor="text1"/>
        </w:rPr>
        <w:t xml:space="preserve">This package seeks clearance for </w:t>
      </w:r>
      <w:r w:rsidRPr="00922672" w:rsidR="00EB4677">
        <w:rPr>
          <w:color w:val="000000" w:themeColor="text1"/>
        </w:rPr>
        <w:t>focus group</w:t>
      </w:r>
      <w:r w:rsidRPr="00922672" w:rsidR="00AF3F7F">
        <w:rPr>
          <w:color w:val="000000" w:themeColor="text1"/>
        </w:rPr>
        <w:t xml:space="preserve"> </w:t>
      </w:r>
      <w:r w:rsidRPr="00922672" w:rsidR="00A60ABF">
        <w:rPr>
          <w:color w:val="000000" w:themeColor="text1"/>
        </w:rPr>
        <w:t xml:space="preserve">protocols for </w:t>
      </w:r>
      <w:r w:rsidRPr="00922672" w:rsidR="00EB4677">
        <w:rPr>
          <w:color w:val="000000" w:themeColor="text1"/>
        </w:rPr>
        <w:t xml:space="preserve">four </w:t>
      </w:r>
      <w:r w:rsidRPr="00922672" w:rsidR="00AF3F7F">
        <w:rPr>
          <w:color w:val="000000" w:themeColor="text1"/>
        </w:rPr>
        <w:t>types of respondents:</w:t>
      </w:r>
      <w:r w:rsidRPr="00922672" w:rsidR="005145F6">
        <w:rPr>
          <w:color w:val="000000" w:themeColor="text1"/>
        </w:rPr>
        <w:t xml:space="preserve"> program </w:t>
      </w:r>
      <w:r w:rsidRPr="00922672" w:rsidR="00EB4677">
        <w:rPr>
          <w:color w:val="000000" w:themeColor="text1"/>
        </w:rPr>
        <w:t xml:space="preserve">staff, program partners </w:t>
      </w:r>
      <w:r w:rsidRPr="00922672" w:rsidR="00EF69A5">
        <w:rPr>
          <w:color w:val="000000" w:themeColor="text1"/>
        </w:rPr>
        <w:t>provid</w:t>
      </w:r>
      <w:r w:rsidR="00286D44">
        <w:rPr>
          <w:color w:val="000000" w:themeColor="text1"/>
        </w:rPr>
        <w:t>ing</w:t>
      </w:r>
      <w:r w:rsidRPr="00922672" w:rsidR="00EF69A5">
        <w:rPr>
          <w:color w:val="000000" w:themeColor="text1"/>
        </w:rPr>
        <w:t xml:space="preserve"> services to participants, </w:t>
      </w:r>
      <w:r w:rsidRPr="003C0E6C" w:rsidR="00A63CF1">
        <w:rPr>
          <w:color w:val="000000" w:themeColor="text1"/>
        </w:rPr>
        <w:t>TSM</w:t>
      </w:r>
      <w:r w:rsidRPr="003C0E6C" w:rsidR="00922672">
        <w:rPr>
          <w:color w:val="000000" w:themeColor="text1"/>
        </w:rPr>
        <w:t xml:space="preserve"> program participants</w:t>
      </w:r>
      <w:r w:rsidRPr="003C0E6C" w:rsidR="00A63CF1">
        <w:rPr>
          <w:color w:val="000000" w:themeColor="text1"/>
        </w:rPr>
        <w:t xml:space="preserve">, and </w:t>
      </w:r>
      <w:r w:rsidR="00286D44">
        <w:rPr>
          <w:color w:val="000000" w:themeColor="text1"/>
        </w:rPr>
        <w:t xml:space="preserve">TSM </w:t>
      </w:r>
      <w:r w:rsidRPr="003C0E6C" w:rsidR="00A63CF1">
        <w:rPr>
          <w:color w:val="000000" w:themeColor="text1"/>
        </w:rPr>
        <w:t xml:space="preserve">spouses </w:t>
      </w:r>
      <w:r w:rsidRPr="00286D44" w:rsidR="00922672">
        <w:rPr>
          <w:color w:val="000000" w:themeColor="text1"/>
        </w:rPr>
        <w:t xml:space="preserve">who </w:t>
      </w:r>
      <w:r w:rsidRPr="003C0E6C" w:rsidR="00922672">
        <w:rPr>
          <w:color w:val="000000" w:themeColor="text1"/>
        </w:rPr>
        <w:t>receive</w:t>
      </w:r>
      <w:r w:rsidR="00286D44">
        <w:rPr>
          <w:color w:val="000000" w:themeColor="text1"/>
        </w:rPr>
        <w:t>d</w:t>
      </w:r>
      <w:r w:rsidRPr="003C0E6C" w:rsidR="00922672">
        <w:rPr>
          <w:color w:val="000000" w:themeColor="text1"/>
        </w:rPr>
        <w:t xml:space="preserve"> services</w:t>
      </w:r>
      <w:r w:rsidRPr="003C0E6C" w:rsidR="00A63CF1">
        <w:rPr>
          <w:color w:val="000000" w:themeColor="text1"/>
        </w:rPr>
        <w:t>.</w:t>
      </w:r>
      <w:r w:rsidR="00F832E7">
        <w:rPr>
          <w:color w:val="000000" w:themeColor="text1"/>
        </w:rPr>
        <w:t xml:space="preserve"> </w:t>
      </w:r>
    </w:p>
    <w:p w:rsidRPr="003C0E6C" w:rsidR="00752D35" w:rsidP="003C080A" w:rsidRDefault="00752D35" w14:paraId="2CBAD181" w14:textId="2775382D">
      <w:pPr>
        <w:pStyle w:val="NormalSS"/>
        <w:rPr>
          <w:color w:val="000000" w:themeColor="text1"/>
        </w:rPr>
      </w:pPr>
      <w:r w:rsidRPr="003C0E6C">
        <w:rPr>
          <w:color w:val="000000" w:themeColor="text1"/>
        </w:rPr>
        <w:t>Consent to participate in the research study will be obtained from all focus group participants before the discussion begins. Consent forms will describe the purpose of the study; outline the information that will be collected; explain the risks, benefits, and voluntary nature of participation; and collect participants’ consent to participate in the focus groups.</w:t>
      </w:r>
    </w:p>
    <w:p w:rsidRPr="00654515" w:rsidR="00B24C5A" w:rsidP="009B4149" w:rsidRDefault="009533F2" w14:paraId="572B12CB" w14:textId="5CACB1F0">
      <w:pPr>
        <w:pStyle w:val="NumberedBullet"/>
        <w:numPr>
          <w:ilvl w:val="0"/>
          <w:numId w:val="9"/>
        </w:numPr>
        <w:ind w:left="432" w:hanging="432"/>
        <w:rPr>
          <w:color w:val="000000" w:themeColor="text1"/>
        </w:rPr>
      </w:pPr>
      <w:r w:rsidRPr="00654515">
        <w:rPr>
          <w:b/>
          <w:color w:val="000000" w:themeColor="text1"/>
        </w:rPr>
        <w:t>TAP manager focus group</w:t>
      </w:r>
      <w:r w:rsidRPr="00654515" w:rsidR="00CC6A29">
        <w:rPr>
          <w:b/>
          <w:color w:val="000000" w:themeColor="text1"/>
        </w:rPr>
        <w:t xml:space="preserve"> </w:t>
      </w:r>
      <w:r w:rsidRPr="00654515" w:rsidR="00FB672E">
        <w:rPr>
          <w:b/>
          <w:color w:val="000000" w:themeColor="text1"/>
        </w:rPr>
        <w:t xml:space="preserve">protocol. </w:t>
      </w:r>
      <w:r w:rsidRPr="00654515" w:rsidR="00AC1D7D">
        <w:rPr>
          <w:color w:val="000000" w:themeColor="text1"/>
        </w:rPr>
        <w:t xml:space="preserve">This protocol will be used to conduct </w:t>
      </w:r>
      <w:r w:rsidRPr="00654515" w:rsidR="002C4168">
        <w:rPr>
          <w:color w:val="000000" w:themeColor="text1"/>
        </w:rPr>
        <w:t xml:space="preserve">virtual focus groups </w:t>
      </w:r>
      <w:r w:rsidRPr="00654515" w:rsidR="001101A5">
        <w:rPr>
          <w:color w:val="000000" w:themeColor="text1"/>
        </w:rPr>
        <w:t>with</w:t>
      </w:r>
      <w:r w:rsidRPr="00654515" w:rsidR="00C27EB8">
        <w:rPr>
          <w:color w:val="000000" w:themeColor="text1"/>
        </w:rPr>
        <w:t xml:space="preserve"> </w:t>
      </w:r>
      <w:r w:rsidRPr="00654515" w:rsidR="002C4168">
        <w:rPr>
          <w:color w:val="000000" w:themeColor="text1"/>
        </w:rPr>
        <w:t xml:space="preserve">TAP </w:t>
      </w:r>
      <w:r w:rsidRPr="00654515" w:rsidR="00C27EB8">
        <w:rPr>
          <w:color w:val="000000" w:themeColor="text1"/>
        </w:rPr>
        <w:t>managers</w:t>
      </w:r>
      <w:r w:rsidRPr="00654515" w:rsidR="00017E28">
        <w:rPr>
          <w:color w:val="000000" w:themeColor="text1"/>
        </w:rPr>
        <w:t xml:space="preserve">. </w:t>
      </w:r>
      <w:r w:rsidRPr="00654515" w:rsidR="005535C7">
        <w:rPr>
          <w:color w:val="000000" w:themeColor="text1"/>
        </w:rPr>
        <w:t>Th</w:t>
      </w:r>
      <w:r w:rsidRPr="00654515" w:rsidR="00CB1511">
        <w:rPr>
          <w:color w:val="000000" w:themeColor="text1"/>
        </w:rPr>
        <w:t xml:space="preserve">is protocol </w:t>
      </w:r>
      <w:r w:rsidRPr="00654515" w:rsidR="00F64AE8">
        <w:rPr>
          <w:color w:val="000000" w:themeColor="text1"/>
        </w:rPr>
        <w:t xml:space="preserve">will cover </w:t>
      </w:r>
      <w:r w:rsidRPr="00654515" w:rsidR="007766E2">
        <w:rPr>
          <w:color w:val="000000" w:themeColor="text1"/>
        </w:rPr>
        <w:t xml:space="preserve">communication and collaboration with </w:t>
      </w:r>
      <w:r w:rsidRPr="00654515" w:rsidR="0072737E">
        <w:rPr>
          <w:color w:val="000000" w:themeColor="text1"/>
        </w:rPr>
        <w:t xml:space="preserve">DOL and their vendor (Serco), </w:t>
      </w:r>
      <w:r w:rsidRPr="00654515" w:rsidR="0093186C">
        <w:rPr>
          <w:color w:val="000000" w:themeColor="text1"/>
        </w:rPr>
        <w:t xml:space="preserve">participant </w:t>
      </w:r>
      <w:r w:rsidRPr="00654515" w:rsidR="0072737E">
        <w:rPr>
          <w:color w:val="000000" w:themeColor="text1"/>
        </w:rPr>
        <w:t>recruitment</w:t>
      </w:r>
      <w:r w:rsidRPr="00654515" w:rsidR="00412675">
        <w:rPr>
          <w:color w:val="000000" w:themeColor="text1"/>
        </w:rPr>
        <w:t xml:space="preserve"> </w:t>
      </w:r>
      <w:r w:rsidRPr="00654515" w:rsidR="0093186C">
        <w:rPr>
          <w:color w:val="000000" w:themeColor="text1"/>
        </w:rPr>
        <w:t xml:space="preserve">for ENPP </w:t>
      </w:r>
      <w:r w:rsidRPr="00654515" w:rsidR="00412675">
        <w:rPr>
          <w:color w:val="000000" w:themeColor="text1"/>
        </w:rPr>
        <w:t xml:space="preserve">at their base, </w:t>
      </w:r>
      <w:r w:rsidRPr="00654515" w:rsidR="0093186C">
        <w:rPr>
          <w:color w:val="000000" w:themeColor="text1"/>
        </w:rPr>
        <w:t>and the</w:t>
      </w:r>
      <w:r w:rsidRPr="00654515" w:rsidR="00654515">
        <w:rPr>
          <w:color w:val="000000" w:themeColor="text1"/>
        </w:rPr>
        <w:t>ir assessment of the</w:t>
      </w:r>
      <w:r w:rsidRPr="00654515" w:rsidR="0093186C">
        <w:rPr>
          <w:color w:val="000000" w:themeColor="text1"/>
        </w:rPr>
        <w:t xml:space="preserve"> </w:t>
      </w:r>
      <w:r w:rsidRPr="00654515" w:rsidR="00654515">
        <w:rPr>
          <w:color w:val="000000" w:themeColor="text1"/>
        </w:rPr>
        <w:t>AEP model</w:t>
      </w:r>
      <w:r w:rsidRPr="00654515" w:rsidR="001A35A9">
        <w:rPr>
          <w:color w:val="000000" w:themeColor="text1"/>
        </w:rPr>
        <w:t xml:space="preserve">. </w:t>
      </w:r>
      <w:r w:rsidRPr="00654515" w:rsidR="001273A8">
        <w:rPr>
          <w:color w:val="000000" w:themeColor="text1"/>
        </w:rPr>
        <w:t>The</w:t>
      </w:r>
      <w:r w:rsidRPr="00654515" w:rsidR="003B5912">
        <w:rPr>
          <w:color w:val="000000" w:themeColor="text1"/>
        </w:rPr>
        <w:t xml:space="preserve"> </w:t>
      </w:r>
      <w:r w:rsidRPr="00654515" w:rsidR="00654515">
        <w:rPr>
          <w:color w:val="000000" w:themeColor="text1"/>
        </w:rPr>
        <w:t xml:space="preserve">virtual focus groups </w:t>
      </w:r>
      <w:r w:rsidRPr="00654515" w:rsidR="00EC2325">
        <w:rPr>
          <w:color w:val="000000" w:themeColor="text1"/>
        </w:rPr>
        <w:t>are</w:t>
      </w:r>
      <w:r w:rsidRPr="00654515" w:rsidR="00B24C5A">
        <w:rPr>
          <w:color w:val="000000" w:themeColor="text1"/>
        </w:rPr>
        <w:t xml:space="preserve"> expected to take </w:t>
      </w:r>
      <w:r w:rsidRPr="00654515" w:rsidR="00654515">
        <w:rPr>
          <w:color w:val="000000" w:themeColor="text1"/>
        </w:rPr>
        <w:t>9</w:t>
      </w:r>
      <w:r w:rsidRPr="00654515" w:rsidR="00AC0600">
        <w:rPr>
          <w:color w:val="000000" w:themeColor="text1"/>
        </w:rPr>
        <w:t>0 minute</w:t>
      </w:r>
      <w:r w:rsidRPr="00654515" w:rsidR="00654515">
        <w:rPr>
          <w:color w:val="000000" w:themeColor="text1"/>
        </w:rPr>
        <w:t>s</w:t>
      </w:r>
      <w:r w:rsidR="00672B04">
        <w:rPr>
          <w:color w:val="000000" w:themeColor="text1"/>
        </w:rPr>
        <w:t xml:space="preserve"> to complete</w:t>
      </w:r>
      <w:r w:rsidRPr="00654515" w:rsidR="00FA4FA9">
        <w:rPr>
          <w:color w:val="000000" w:themeColor="text1"/>
        </w:rPr>
        <w:t>.</w:t>
      </w:r>
    </w:p>
    <w:p w:rsidRPr="00F51A46" w:rsidR="00B24C5A" w:rsidP="009B4149" w:rsidRDefault="006837E0" w14:paraId="2A7CD6EE" w14:textId="15CF89B0">
      <w:pPr>
        <w:pStyle w:val="NumberedBullet"/>
        <w:numPr>
          <w:ilvl w:val="0"/>
          <w:numId w:val="9"/>
        </w:numPr>
        <w:ind w:left="432" w:hanging="432"/>
        <w:rPr>
          <w:color w:val="000000" w:themeColor="text1"/>
        </w:rPr>
      </w:pPr>
      <w:r w:rsidRPr="00A2263A">
        <w:rPr>
          <w:b/>
          <w:bCs/>
          <w:color w:val="000000" w:themeColor="text1"/>
        </w:rPr>
        <w:t xml:space="preserve">Program partner focus group </w:t>
      </w:r>
      <w:r w:rsidRPr="00A2263A" w:rsidR="00AC1D7D">
        <w:rPr>
          <w:b/>
          <w:color w:val="000000" w:themeColor="text1"/>
        </w:rPr>
        <w:t>protocol</w:t>
      </w:r>
      <w:r w:rsidRPr="00A2263A" w:rsidR="00B24C5A">
        <w:rPr>
          <w:b/>
          <w:color w:val="000000" w:themeColor="text1"/>
        </w:rPr>
        <w:t>.</w:t>
      </w:r>
      <w:r w:rsidRPr="00A2263A" w:rsidR="002E7BD6">
        <w:rPr>
          <w:b/>
          <w:color w:val="000000" w:themeColor="text1"/>
        </w:rPr>
        <w:t xml:space="preserve"> </w:t>
      </w:r>
      <w:r w:rsidRPr="00A2263A" w:rsidR="00AC1D7D">
        <w:rPr>
          <w:color w:val="000000" w:themeColor="text1"/>
        </w:rPr>
        <w:t>This protocol will be used in</w:t>
      </w:r>
      <w:r w:rsidRPr="00A2263A" w:rsidR="00AC1D7D">
        <w:rPr>
          <w:b/>
          <w:color w:val="000000" w:themeColor="text1"/>
        </w:rPr>
        <w:t xml:space="preserve"> </w:t>
      </w:r>
      <w:r w:rsidRPr="00A2263A" w:rsidR="007A1D9A">
        <w:rPr>
          <w:bCs/>
          <w:color w:val="000000" w:themeColor="text1"/>
        </w:rPr>
        <w:t xml:space="preserve">focus groups </w:t>
      </w:r>
      <w:r w:rsidRPr="00A2263A" w:rsidR="002E7BD6">
        <w:rPr>
          <w:color w:val="000000" w:themeColor="text1"/>
        </w:rPr>
        <w:t>to collect info</w:t>
      </w:r>
      <w:r w:rsidRPr="00A2263A" w:rsidR="008E7A30">
        <w:rPr>
          <w:color w:val="000000" w:themeColor="text1"/>
        </w:rPr>
        <w:t xml:space="preserve">rmation </w:t>
      </w:r>
      <w:r w:rsidRPr="00A2263A" w:rsidR="009672E6">
        <w:rPr>
          <w:color w:val="000000" w:themeColor="text1"/>
        </w:rPr>
        <w:t xml:space="preserve">about the </w:t>
      </w:r>
      <w:r w:rsidR="00286D44">
        <w:rPr>
          <w:color w:val="000000" w:themeColor="text1"/>
        </w:rPr>
        <w:t xml:space="preserve">partner </w:t>
      </w:r>
      <w:r w:rsidRPr="00A2263A" w:rsidR="004B6269">
        <w:rPr>
          <w:color w:val="000000" w:themeColor="text1"/>
        </w:rPr>
        <w:t>onboarding</w:t>
      </w:r>
      <w:r w:rsidRPr="00A2263A" w:rsidR="009672E6">
        <w:rPr>
          <w:color w:val="000000" w:themeColor="text1"/>
        </w:rPr>
        <w:t xml:space="preserve"> process</w:t>
      </w:r>
      <w:r w:rsidRPr="00A2263A" w:rsidR="008A4BD4">
        <w:rPr>
          <w:color w:val="000000" w:themeColor="text1"/>
        </w:rPr>
        <w:t xml:space="preserve">, </w:t>
      </w:r>
      <w:r w:rsidRPr="00A2263A" w:rsidR="00C031BA">
        <w:rPr>
          <w:color w:val="000000" w:themeColor="text1"/>
        </w:rPr>
        <w:t xml:space="preserve">how the process of warm handovers is working, </w:t>
      </w:r>
      <w:r w:rsidRPr="00A2263A" w:rsidR="009672E6">
        <w:rPr>
          <w:color w:val="000000" w:themeColor="text1"/>
        </w:rPr>
        <w:t xml:space="preserve">their </w:t>
      </w:r>
      <w:r w:rsidRPr="00A2263A" w:rsidR="00672B04">
        <w:rPr>
          <w:color w:val="000000" w:themeColor="text1"/>
        </w:rPr>
        <w:t>experienc</w:t>
      </w:r>
      <w:r w:rsidRPr="00A2263A" w:rsidR="009672E6">
        <w:rPr>
          <w:color w:val="000000" w:themeColor="text1"/>
        </w:rPr>
        <w:t>e</w:t>
      </w:r>
      <w:r w:rsidRPr="00A2263A" w:rsidR="00C031BA">
        <w:rPr>
          <w:color w:val="000000" w:themeColor="text1"/>
        </w:rPr>
        <w:t>s</w:t>
      </w:r>
      <w:r w:rsidRPr="00A2263A" w:rsidR="00672B04">
        <w:rPr>
          <w:color w:val="000000" w:themeColor="text1"/>
        </w:rPr>
        <w:t xml:space="preserve"> working with ENPP staff</w:t>
      </w:r>
      <w:r w:rsidRPr="00A2263A" w:rsidR="0044743E">
        <w:rPr>
          <w:color w:val="000000" w:themeColor="text1"/>
        </w:rPr>
        <w:t xml:space="preserve">, </w:t>
      </w:r>
      <w:r w:rsidRPr="00A2263A" w:rsidR="009C6C51">
        <w:rPr>
          <w:color w:val="000000" w:themeColor="text1"/>
        </w:rPr>
        <w:t>how closely the</w:t>
      </w:r>
      <w:r w:rsidR="00FB1A01">
        <w:rPr>
          <w:color w:val="000000" w:themeColor="text1"/>
        </w:rPr>
        <w:t>y</w:t>
      </w:r>
      <w:r w:rsidRPr="00A2263A" w:rsidR="009C6C51">
        <w:rPr>
          <w:color w:val="000000" w:themeColor="text1"/>
        </w:rPr>
        <w:t xml:space="preserve"> feel </w:t>
      </w:r>
      <w:proofErr w:type="gramStart"/>
      <w:r w:rsidRPr="00A2263A" w:rsidR="009C6C51">
        <w:rPr>
          <w:color w:val="000000" w:themeColor="text1"/>
        </w:rPr>
        <w:t>TSMs</w:t>
      </w:r>
      <w:proofErr w:type="gramEnd"/>
      <w:r w:rsidRPr="00A2263A" w:rsidR="009C6C51">
        <w:rPr>
          <w:color w:val="000000" w:themeColor="text1"/>
        </w:rPr>
        <w:t xml:space="preserve"> and spouses </w:t>
      </w:r>
      <w:r w:rsidR="00212A8C">
        <w:rPr>
          <w:color w:val="000000" w:themeColor="text1"/>
        </w:rPr>
        <w:t xml:space="preserve">are being </w:t>
      </w:r>
      <w:r w:rsidRPr="00A2263A" w:rsidR="009C6C51">
        <w:rPr>
          <w:color w:val="000000" w:themeColor="text1"/>
        </w:rPr>
        <w:t xml:space="preserve">matched </w:t>
      </w:r>
      <w:r w:rsidR="00212A8C">
        <w:rPr>
          <w:color w:val="000000" w:themeColor="text1"/>
        </w:rPr>
        <w:t xml:space="preserve">to their </w:t>
      </w:r>
      <w:r w:rsidR="00286D44">
        <w:rPr>
          <w:color w:val="000000" w:themeColor="text1"/>
        </w:rPr>
        <w:t xml:space="preserve">agencies </w:t>
      </w:r>
      <w:r w:rsidRPr="00A2263A" w:rsidR="00A2263A">
        <w:rPr>
          <w:color w:val="000000" w:themeColor="text1"/>
        </w:rPr>
        <w:t xml:space="preserve">based on the services </w:t>
      </w:r>
      <w:r w:rsidR="00212A8C">
        <w:rPr>
          <w:color w:val="000000" w:themeColor="text1"/>
        </w:rPr>
        <w:t xml:space="preserve">they </w:t>
      </w:r>
      <w:r w:rsidRPr="00A2263A" w:rsidR="00A2263A">
        <w:rPr>
          <w:color w:val="000000" w:themeColor="text1"/>
        </w:rPr>
        <w:t xml:space="preserve">provide, and how well the data systems used for tracking have been working. </w:t>
      </w:r>
      <w:r w:rsidRPr="00A2263A" w:rsidR="001273A8">
        <w:rPr>
          <w:color w:val="000000" w:themeColor="text1"/>
        </w:rPr>
        <w:t>Th</w:t>
      </w:r>
      <w:r w:rsidRPr="00A2263A" w:rsidR="00D95E86">
        <w:rPr>
          <w:color w:val="000000" w:themeColor="text1"/>
        </w:rPr>
        <w:t xml:space="preserve">e </w:t>
      </w:r>
      <w:r w:rsidR="00140288">
        <w:rPr>
          <w:color w:val="000000" w:themeColor="text1"/>
        </w:rPr>
        <w:t xml:space="preserve">virtual </w:t>
      </w:r>
      <w:r w:rsidRPr="00A2263A" w:rsidR="00D95E86">
        <w:rPr>
          <w:color w:val="000000" w:themeColor="text1"/>
        </w:rPr>
        <w:t xml:space="preserve">focus groups are </w:t>
      </w:r>
      <w:r w:rsidRPr="00A2263A" w:rsidR="00B24C5A">
        <w:rPr>
          <w:color w:val="000000" w:themeColor="text1"/>
        </w:rPr>
        <w:t xml:space="preserve">expected </w:t>
      </w:r>
      <w:r w:rsidRPr="00F51A46" w:rsidR="00B24C5A">
        <w:rPr>
          <w:color w:val="000000" w:themeColor="text1"/>
        </w:rPr>
        <w:t xml:space="preserve">to take approximately </w:t>
      </w:r>
      <w:r w:rsidRPr="00F51A46" w:rsidR="00D95E86">
        <w:rPr>
          <w:color w:val="000000" w:themeColor="text1"/>
        </w:rPr>
        <w:t>9</w:t>
      </w:r>
      <w:r w:rsidRPr="00F51A46" w:rsidR="008F10BA">
        <w:rPr>
          <w:color w:val="000000" w:themeColor="text1"/>
        </w:rPr>
        <w:t xml:space="preserve">0 </w:t>
      </w:r>
      <w:r w:rsidRPr="00F51A46" w:rsidR="00B24C5A">
        <w:rPr>
          <w:color w:val="000000" w:themeColor="text1"/>
        </w:rPr>
        <w:t>minutes to complete</w:t>
      </w:r>
      <w:r w:rsidRPr="00F51A46" w:rsidR="003B5912">
        <w:rPr>
          <w:color w:val="000000" w:themeColor="text1"/>
        </w:rPr>
        <w:t>.</w:t>
      </w:r>
      <w:r w:rsidRPr="00F51A46" w:rsidR="00B24C5A">
        <w:rPr>
          <w:color w:val="000000" w:themeColor="text1"/>
        </w:rPr>
        <w:t xml:space="preserve"> </w:t>
      </w:r>
      <w:r w:rsidRPr="00F51A46" w:rsidR="008F10BA">
        <w:rPr>
          <w:color w:val="000000" w:themeColor="text1"/>
        </w:rPr>
        <w:t xml:space="preserve"> </w:t>
      </w:r>
    </w:p>
    <w:p w:rsidRPr="00E360B7" w:rsidR="00FB43C7" w:rsidP="009B4149" w:rsidRDefault="00E86C5D" w14:paraId="7DA9CC1A" w14:textId="0CB48799">
      <w:pPr>
        <w:pStyle w:val="NumberedBullet"/>
        <w:numPr>
          <w:ilvl w:val="0"/>
          <w:numId w:val="9"/>
        </w:numPr>
        <w:ind w:left="432" w:hanging="432"/>
        <w:rPr>
          <w:color w:val="C00000"/>
        </w:rPr>
      </w:pPr>
      <w:r w:rsidRPr="00F51A46">
        <w:rPr>
          <w:b/>
          <w:color w:val="000000" w:themeColor="text1"/>
        </w:rPr>
        <w:t xml:space="preserve">Military spouse participant focus group </w:t>
      </w:r>
      <w:r w:rsidRPr="00F51A46" w:rsidR="00AC1D7D">
        <w:rPr>
          <w:b/>
          <w:color w:val="000000" w:themeColor="text1"/>
        </w:rPr>
        <w:t>protocol</w:t>
      </w:r>
      <w:r w:rsidRPr="00F51A46" w:rsidR="00FB43C7">
        <w:rPr>
          <w:b/>
          <w:color w:val="000000" w:themeColor="text1"/>
        </w:rPr>
        <w:t>.</w:t>
      </w:r>
      <w:r w:rsidRPr="00F51A46" w:rsidR="00AC1D7D">
        <w:rPr>
          <w:b/>
          <w:color w:val="000000" w:themeColor="text1"/>
        </w:rPr>
        <w:t xml:space="preserve"> </w:t>
      </w:r>
      <w:r w:rsidRPr="00F51A46" w:rsidR="00AC1D7D">
        <w:rPr>
          <w:color w:val="000000" w:themeColor="text1"/>
        </w:rPr>
        <w:t>This protocol will be used to conduct</w:t>
      </w:r>
      <w:r w:rsidRPr="00F51A46" w:rsidR="00AC1D7D">
        <w:rPr>
          <w:b/>
          <w:color w:val="000000" w:themeColor="text1"/>
        </w:rPr>
        <w:t xml:space="preserve"> </w:t>
      </w:r>
      <w:r w:rsidRPr="00F51A46" w:rsidR="008F10BA">
        <w:rPr>
          <w:color w:val="000000" w:themeColor="text1"/>
        </w:rPr>
        <w:t xml:space="preserve">focus groups </w:t>
      </w:r>
      <w:r w:rsidRPr="00F51A46" w:rsidR="001273A8">
        <w:rPr>
          <w:color w:val="000000" w:themeColor="text1"/>
        </w:rPr>
        <w:t xml:space="preserve">with </w:t>
      </w:r>
      <w:r w:rsidR="00286D44">
        <w:rPr>
          <w:color w:val="000000" w:themeColor="text1"/>
        </w:rPr>
        <w:t xml:space="preserve">TSM </w:t>
      </w:r>
      <w:r w:rsidRPr="00F51A46" w:rsidR="00625BA7">
        <w:rPr>
          <w:color w:val="000000" w:themeColor="text1"/>
        </w:rPr>
        <w:t xml:space="preserve">spouses who have met with an </w:t>
      </w:r>
      <w:r w:rsidR="00286D44">
        <w:rPr>
          <w:color w:val="000000" w:themeColor="text1"/>
        </w:rPr>
        <w:t>Employment Navigator</w:t>
      </w:r>
      <w:r w:rsidRPr="00F51A46" w:rsidR="001273A8">
        <w:rPr>
          <w:color w:val="000000" w:themeColor="text1"/>
        </w:rPr>
        <w:t xml:space="preserve">. </w:t>
      </w:r>
      <w:r w:rsidRPr="00F51A46" w:rsidR="00CB1511">
        <w:rPr>
          <w:color w:val="000000" w:themeColor="text1"/>
        </w:rPr>
        <w:t>Th</w:t>
      </w:r>
      <w:r w:rsidRPr="00F51A46" w:rsidR="00EC745C">
        <w:rPr>
          <w:color w:val="000000" w:themeColor="text1"/>
        </w:rPr>
        <w:t>e</w:t>
      </w:r>
      <w:r w:rsidRPr="00F51A46" w:rsidR="00CB1511">
        <w:rPr>
          <w:color w:val="000000" w:themeColor="text1"/>
        </w:rPr>
        <w:t xml:space="preserve"> protocol</w:t>
      </w:r>
      <w:r w:rsidRPr="00F51A46" w:rsidR="00FC6E7D">
        <w:rPr>
          <w:color w:val="000000" w:themeColor="text1"/>
        </w:rPr>
        <w:t xml:space="preserve"> will gather</w:t>
      </w:r>
      <w:r w:rsidRPr="00F51A46" w:rsidR="001273A8">
        <w:rPr>
          <w:color w:val="000000" w:themeColor="text1"/>
        </w:rPr>
        <w:t xml:space="preserve"> data on </w:t>
      </w:r>
      <w:r w:rsidRPr="00F51A46" w:rsidR="00140288">
        <w:rPr>
          <w:color w:val="000000" w:themeColor="text1"/>
        </w:rPr>
        <w:t xml:space="preserve">how they became aware of the program, </w:t>
      </w:r>
      <w:r w:rsidRPr="00F51A46" w:rsidR="00E12854">
        <w:rPr>
          <w:color w:val="000000" w:themeColor="text1"/>
        </w:rPr>
        <w:t xml:space="preserve">how they would describe the program, </w:t>
      </w:r>
      <w:r w:rsidRPr="00F51A46" w:rsidR="0051712B">
        <w:rPr>
          <w:color w:val="000000" w:themeColor="text1"/>
        </w:rPr>
        <w:t xml:space="preserve">their assessment of the AEP model, </w:t>
      </w:r>
      <w:r w:rsidRPr="00F51A46" w:rsidR="007402A6">
        <w:rPr>
          <w:color w:val="000000" w:themeColor="text1"/>
        </w:rPr>
        <w:t xml:space="preserve">how </w:t>
      </w:r>
      <w:r w:rsidRPr="00A2263A" w:rsidR="007402A6">
        <w:rPr>
          <w:color w:val="000000" w:themeColor="text1"/>
        </w:rPr>
        <w:t>the warm handover</w:t>
      </w:r>
      <w:r w:rsidR="00C4551F">
        <w:rPr>
          <w:color w:val="000000" w:themeColor="text1"/>
        </w:rPr>
        <w:t xml:space="preserve"> worked, and </w:t>
      </w:r>
      <w:r w:rsidR="00223884">
        <w:rPr>
          <w:color w:val="000000" w:themeColor="text1"/>
        </w:rPr>
        <w:t xml:space="preserve">their </w:t>
      </w:r>
      <w:r w:rsidR="007D1126">
        <w:rPr>
          <w:color w:val="000000" w:themeColor="text1"/>
        </w:rPr>
        <w:t xml:space="preserve">assessment of the match between </w:t>
      </w:r>
      <w:r w:rsidRPr="00A2263A" w:rsidR="00C4551F">
        <w:rPr>
          <w:color w:val="000000" w:themeColor="text1"/>
        </w:rPr>
        <w:t xml:space="preserve">the services </w:t>
      </w:r>
      <w:r w:rsidR="007D1126">
        <w:rPr>
          <w:color w:val="000000" w:themeColor="text1"/>
        </w:rPr>
        <w:t xml:space="preserve">provided by the </w:t>
      </w:r>
      <w:r w:rsidR="00F06B7F">
        <w:rPr>
          <w:color w:val="000000" w:themeColor="text1"/>
        </w:rPr>
        <w:t>agenc</w:t>
      </w:r>
      <w:r w:rsidR="00436612">
        <w:rPr>
          <w:color w:val="000000" w:themeColor="text1"/>
        </w:rPr>
        <w:t>y</w:t>
      </w:r>
      <w:r w:rsidR="007D1126">
        <w:rPr>
          <w:color w:val="000000" w:themeColor="text1"/>
        </w:rPr>
        <w:t>(</w:t>
      </w:r>
      <w:proofErr w:type="spellStart"/>
      <w:r w:rsidR="007D1126">
        <w:rPr>
          <w:color w:val="000000" w:themeColor="text1"/>
        </w:rPr>
        <w:t>ies</w:t>
      </w:r>
      <w:proofErr w:type="spellEnd"/>
      <w:r w:rsidR="007D1126">
        <w:rPr>
          <w:color w:val="000000" w:themeColor="text1"/>
        </w:rPr>
        <w:t>)</w:t>
      </w:r>
      <w:r w:rsidR="00F06B7F">
        <w:rPr>
          <w:color w:val="000000" w:themeColor="text1"/>
        </w:rPr>
        <w:t xml:space="preserve"> </w:t>
      </w:r>
      <w:r w:rsidR="00436612">
        <w:rPr>
          <w:color w:val="000000" w:themeColor="text1"/>
        </w:rPr>
        <w:t xml:space="preserve">and their </w:t>
      </w:r>
      <w:r w:rsidR="008D042E">
        <w:rPr>
          <w:color w:val="000000" w:themeColor="text1"/>
        </w:rPr>
        <w:lastRenderedPageBreak/>
        <w:t>employment needs</w:t>
      </w:r>
      <w:r w:rsidRPr="00E360B7" w:rsidR="001273A8">
        <w:rPr>
          <w:color w:val="C00000"/>
        </w:rPr>
        <w:t xml:space="preserve">. </w:t>
      </w:r>
      <w:r w:rsidRPr="00A2263A" w:rsidR="0086391E">
        <w:rPr>
          <w:color w:val="000000" w:themeColor="text1"/>
        </w:rPr>
        <w:t xml:space="preserve">The </w:t>
      </w:r>
      <w:r w:rsidR="006C3B01">
        <w:rPr>
          <w:color w:val="000000" w:themeColor="text1"/>
        </w:rPr>
        <w:t xml:space="preserve">virtual </w:t>
      </w:r>
      <w:r w:rsidRPr="00A2263A" w:rsidR="0086391E">
        <w:rPr>
          <w:color w:val="000000" w:themeColor="text1"/>
        </w:rPr>
        <w:t>focus groups are expected to take approximately 90 minutes to complete</w:t>
      </w:r>
    </w:p>
    <w:p w:rsidRPr="00C2314B" w:rsidR="00A569DC" w:rsidP="009B4149" w:rsidRDefault="00F644ED" w14:paraId="173F32B8" w14:textId="33D44402">
      <w:pPr>
        <w:pStyle w:val="NumberedBullet"/>
        <w:numPr>
          <w:ilvl w:val="0"/>
          <w:numId w:val="9"/>
        </w:numPr>
        <w:ind w:left="432" w:hanging="432"/>
        <w:rPr>
          <w:b/>
          <w:color w:val="000000" w:themeColor="text1"/>
        </w:rPr>
      </w:pPr>
      <w:r w:rsidRPr="00C2314B">
        <w:rPr>
          <w:b/>
          <w:color w:val="000000" w:themeColor="text1"/>
        </w:rPr>
        <w:t>TSM (post-Navigator) participant f</w:t>
      </w:r>
      <w:r w:rsidRPr="00C2314B" w:rsidR="00A569DC">
        <w:rPr>
          <w:b/>
          <w:color w:val="000000" w:themeColor="text1"/>
        </w:rPr>
        <w:t>ocus group</w:t>
      </w:r>
      <w:r w:rsidRPr="00C2314B">
        <w:rPr>
          <w:b/>
          <w:color w:val="000000" w:themeColor="text1"/>
        </w:rPr>
        <w:t xml:space="preserve"> protocol</w:t>
      </w:r>
      <w:r w:rsidRPr="00C2314B" w:rsidR="00A569DC">
        <w:rPr>
          <w:b/>
          <w:color w:val="000000" w:themeColor="text1"/>
        </w:rPr>
        <w:t xml:space="preserve">. </w:t>
      </w:r>
      <w:r w:rsidRPr="00C2314B" w:rsidR="004A6816">
        <w:rPr>
          <w:color w:val="000000" w:themeColor="text1"/>
        </w:rPr>
        <w:t>This protocol will be used to conduct</w:t>
      </w:r>
      <w:r w:rsidRPr="00C2314B" w:rsidR="004A6816">
        <w:rPr>
          <w:b/>
          <w:color w:val="000000" w:themeColor="text1"/>
        </w:rPr>
        <w:t xml:space="preserve"> </w:t>
      </w:r>
      <w:r w:rsidRPr="00C2314B" w:rsidR="004A6816">
        <w:rPr>
          <w:color w:val="000000" w:themeColor="text1"/>
        </w:rPr>
        <w:t xml:space="preserve">focus groups with TSMs who have met with an </w:t>
      </w:r>
      <w:r w:rsidR="00286D44">
        <w:rPr>
          <w:color w:val="000000" w:themeColor="text1"/>
        </w:rPr>
        <w:t>Employment Navigator</w:t>
      </w:r>
      <w:r w:rsidRPr="00C2314B" w:rsidR="004A6816">
        <w:rPr>
          <w:color w:val="000000" w:themeColor="text1"/>
        </w:rPr>
        <w:t>. The protocol will gather data on how they became aware of the program, how they would describe the program, their assessment of the AEP model, how the warm handover worked, and their assessment of the match between the services provided by the agency(</w:t>
      </w:r>
      <w:proofErr w:type="spellStart"/>
      <w:r w:rsidRPr="00C2314B" w:rsidR="004A6816">
        <w:rPr>
          <w:color w:val="000000" w:themeColor="text1"/>
        </w:rPr>
        <w:t>ies</w:t>
      </w:r>
      <w:proofErr w:type="spellEnd"/>
      <w:r w:rsidRPr="00C2314B" w:rsidR="004A6816">
        <w:rPr>
          <w:color w:val="000000" w:themeColor="text1"/>
        </w:rPr>
        <w:t xml:space="preserve">) and their employment needs. The </w:t>
      </w:r>
      <w:r w:rsidR="006C3B01">
        <w:rPr>
          <w:color w:val="000000" w:themeColor="text1"/>
        </w:rPr>
        <w:t xml:space="preserve">virtual </w:t>
      </w:r>
      <w:r w:rsidRPr="00C2314B" w:rsidR="004A6816">
        <w:rPr>
          <w:color w:val="000000" w:themeColor="text1"/>
        </w:rPr>
        <w:t>focus groups are expected to take approximately 90 minutes to complete</w:t>
      </w:r>
      <w:r w:rsidRPr="00C2314B" w:rsidR="00857D21">
        <w:rPr>
          <w:color w:val="000000" w:themeColor="text1"/>
        </w:rPr>
        <w:t>.</w:t>
      </w:r>
    </w:p>
    <w:p w:rsidR="006C3B01" w:rsidP="009B4149" w:rsidRDefault="004C2ABF" w14:paraId="0EAF9F2C" w14:textId="2C088926">
      <w:pPr>
        <w:pStyle w:val="NumberedBullet"/>
        <w:numPr>
          <w:ilvl w:val="0"/>
          <w:numId w:val="9"/>
        </w:numPr>
        <w:ind w:left="432" w:hanging="432"/>
        <w:rPr>
          <w:color w:val="C00000"/>
        </w:rPr>
      </w:pPr>
      <w:r w:rsidRPr="00F670F7">
        <w:rPr>
          <w:b/>
          <w:color w:val="000000" w:themeColor="text1"/>
        </w:rPr>
        <w:t xml:space="preserve">TSM (post-Partner) participant </w:t>
      </w:r>
      <w:r>
        <w:rPr>
          <w:b/>
          <w:color w:val="000000" w:themeColor="text1"/>
        </w:rPr>
        <w:t xml:space="preserve">focus </w:t>
      </w:r>
      <w:r w:rsidRPr="00D35CA0">
        <w:rPr>
          <w:b/>
          <w:color w:val="000000" w:themeColor="text1"/>
        </w:rPr>
        <w:t xml:space="preserve">group </w:t>
      </w:r>
      <w:r w:rsidRPr="00D35CA0" w:rsidR="00EC2325">
        <w:rPr>
          <w:b/>
          <w:color w:val="000000" w:themeColor="text1"/>
        </w:rPr>
        <w:t xml:space="preserve">protocol. </w:t>
      </w:r>
      <w:r w:rsidRPr="00C2314B" w:rsidR="0046180B">
        <w:rPr>
          <w:color w:val="000000" w:themeColor="text1"/>
        </w:rPr>
        <w:t>This protocol will be used to conduct</w:t>
      </w:r>
      <w:r w:rsidRPr="00C2314B" w:rsidR="0046180B">
        <w:rPr>
          <w:b/>
          <w:color w:val="000000" w:themeColor="text1"/>
        </w:rPr>
        <w:t xml:space="preserve"> </w:t>
      </w:r>
      <w:r w:rsidRPr="00C2314B" w:rsidR="0046180B">
        <w:rPr>
          <w:color w:val="000000" w:themeColor="text1"/>
        </w:rPr>
        <w:t>focus groups with TSMs who have met with a</w:t>
      </w:r>
      <w:r w:rsidR="0046180B">
        <w:rPr>
          <w:color w:val="000000" w:themeColor="text1"/>
        </w:rPr>
        <w:t xml:space="preserve"> partner </w:t>
      </w:r>
      <w:r w:rsidR="007B3362">
        <w:rPr>
          <w:color w:val="000000" w:themeColor="text1"/>
        </w:rPr>
        <w:t xml:space="preserve">referred </w:t>
      </w:r>
      <w:r w:rsidR="00E54E5B">
        <w:rPr>
          <w:color w:val="000000" w:themeColor="text1"/>
        </w:rPr>
        <w:t xml:space="preserve">by </w:t>
      </w:r>
      <w:r w:rsidR="007B3362">
        <w:rPr>
          <w:color w:val="000000" w:themeColor="text1"/>
        </w:rPr>
        <w:t xml:space="preserve">the </w:t>
      </w:r>
      <w:r w:rsidR="00286D44">
        <w:rPr>
          <w:color w:val="000000" w:themeColor="text1"/>
        </w:rPr>
        <w:t>Employment Navigator</w:t>
      </w:r>
      <w:r w:rsidRPr="00C2314B" w:rsidR="0046180B">
        <w:rPr>
          <w:color w:val="000000" w:themeColor="text1"/>
        </w:rPr>
        <w:t>. The protocol will gather data on how they became aware of the program, how they would describe the program, their assessment of the AEP model, how the warm handover worked, their assessment of the match between the services provided by the agency(</w:t>
      </w:r>
      <w:proofErr w:type="spellStart"/>
      <w:r w:rsidRPr="00C2314B" w:rsidR="0046180B">
        <w:rPr>
          <w:color w:val="000000" w:themeColor="text1"/>
        </w:rPr>
        <w:t>ies</w:t>
      </w:r>
      <w:proofErr w:type="spellEnd"/>
      <w:r w:rsidRPr="00C2314B" w:rsidR="0046180B">
        <w:rPr>
          <w:color w:val="000000" w:themeColor="text1"/>
        </w:rPr>
        <w:t>) and their employment needs</w:t>
      </w:r>
      <w:r w:rsidR="00D73D33">
        <w:rPr>
          <w:color w:val="000000" w:themeColor="text1"/>
        </w:rPr>
        <w:t>, and whether they would recommend the program to other TSMs</w:t>
      </w:r>
      <w:r w:rsidRPr="00C2314B" w:rsidR="0046180B">
        <w:rPr>
          <w:color w:val="000000" w:themeColor="text1"/>
        </w:rPr>
        <w:t xml:space="preserve">. The </w:t>
      </w:r>
      <w:r w:rsidR="006C3B01">
        <w:rPr>
          <w:color w:val="000000" w:themeColor="text1"/>
        </w:rPr>
        <w:t xml:space="preserve">virtual </w:t>
      </w:r>
      <w:r w:rsidRPr="00C2314B" w:rsidR="0046180B">
        <w:rPr>
          <w:color w:val="000000" w:themeColor="text1"/>
        </w:rPr>
        <w:t>focus groups are expected to take approximately 90 minutes to complete.</w:t>
      </w:r>
      <w:r w:rsidRPr="00E360B7" w:rsidR="00EC2325">
        <w:rPr>
          <w:color w:val="C00000"/>
        </w:rPr>
        <w:t xml:space="preserve">  </w:t>
      </w:r>
    </w:p>
    <w:p w:rsidRPr="006C3B01" w:rsidR="007C4694" w:rsidP="009B4149" w:rsidRDefault="009A17D8" w14:paraId="367A06E5" w14:textId="0FD8229C">
      <w:pPr>
        <w:pStyle w:val="NumberedBullet"/>
        <w:numPr>
          <w:ilvl w:val="0"/>
          <w:numId w:val="9"/>
        </w:numPr>
        <w:ind w:left="432" w:hanging="432"/>
        <w:rPr>
          <w:color w:val="C00000"/>
        </w:rPr>
      </w:pPr>
      <w:r w:rsidRPr="006C3B01">
        <w:rPr>
          <w:b/>
          <w:color w:val="000000" w:themeColor="text1"/>
        </w:rPr>
        <w:t xml:space="preserve">Program Employment Navigator focus group protocol. </w:t>
      </w:r>
      <w:r w:rsidRPr="006C3B01" w:rsidR="007C4694">
        <w:rPr>
          <w:color w:val="000000" w:themeColor="text1"/>
        </w:rPr>
        <w:t>This protocol will be used to conduct</w:t>
      </w:r>
      <w:r w:rsidRPr="006C3B01" w:rsidR="007C4694">
        <w:rPr>
          <w:b/>
          <w:color w:val="000000" w:themeColor="text1"/>
        </w:rPr>
        <w:t xml:space="preserve"> </w:t>
      </w:r>
      <w:r w:rsidRPr="006C3B01" w:rsidR="007C4694">
        <w:rPr>
          <w:color w:val="000000" w:themeColor="text1"/>
        </w:rPr>
        <w:t xml:space="preserve">focus groups with </w:t>
      </w:r>
      <w:r w:rsidR="00BB63BD">
        <w:rPr>
          <w:color w:val="000000" w:themeColor="text1"/>
        </w:rPr>
        <w:t>Employment Navigators</w:t>
      </w:r>
      <w:r w:rsidRPr="006C3B01" w:rsidR="007C4694">
        <w:rPr>
          <w:color w:val="000000" w:themeColor="text1"/>
        </w:rPr>
        <w:t xml:space="preserve">. The protocol will gather data on </w:t>
      </w:r>
      <w:r w:rsidR="00996B16">
        <w:rPr>
          <w:color w:val="000000" w:themeColor="text1"/>
        </w:rPr>
        <w:t xml:space="preserve">how </w:t>
      </w:r>
      <w:r w:rsidR="00BB63BD">
        <w:rPr>
          <w:color w:val="000000" w:themeColor="text1"/>
        </w:rPr>
        <w:t>Employment Navigators</w:t>
      </w:r>
      <w:r w:rsidR="00996B16">
        <w:rPr>
          <w:color w:val="000000" w:themeColor="text1"/>
        </w:rPr>
        <w:t xml:space="preserve"> describe the mission and goals of the ENPP</w:t>
      </w:r>
      <w:r w:rsidR="002244E1">
        <w:rPr>
          <w:color w:val="000000" w:themeColor="text1"/>
        </w:rPr>
        <w:t xml:space="preserve">, their assessment of the training they received (i.e., their preparation for their </w:t>
      </w:r>
      <w:r w:rsidR="00286D44">
        <w:rPr>
          <w:color w:val="000000" w:themeColor="text1"/>
        </w:rPr>
        <w:t>Employment Navigator</w:t>
      </w:r>
      <w:r w:rsidR="002244E1">
        <w:rPr>
          <w:color w:val="000000" w:themeColor="text1"/>
        </w:rPr>
        <w:t xml:space="preserve"> role, </w:t>
      </w:r>
      <w:r w:rsidR="005E6737">
        <w:rPr>
          <w:color w:val="000000" w:themeColor="text1"/>
        </w:rPr>
        <w:t xml:space="preserve">how relevant it was to their military branch, </w:t>
      </w:r>
      <w:r w:rsidR="0018146E">
        <w:rPr>
          <w:color w:val="000000" w:themeColor="text1"/>
        </w:rPr>
        <w:t xml:space="preserve">the guidance and support they received from Serco, VETS, and base staff), </w:t>
      </w:r>
      <w:r w:rsidR="0098088A">
        <w:rPr>
          <w:color w:val="000000" w:themeColor="text1"/>
        </w:rPr>
        <w:t xml:space="preserve">the needs of the TSMs and spouses they’ve worked with, how well </w:t>
      </w:r>
      <w:r w:rsidR="0011562B">
        <w:rPr>
          <w:color w:val="000000" w:themeColor="text1"/>
        </w:rPr>
        <w:t xml:space="preserve">the intake process capture those needs, </w:t>
      </w:r>
      <w:r w:rsidR="0012479E">
        <w:rPr>
          <w:color w:val="000000" w:themeColor="text1"/>
        </w:rPr>
        <w:t xml:space="preserve">their understanding of how recruitment </w:t>
      </w:r>
      <w:r w:rsidR="00E91A71">
        <w:rPr>
          <w:color w:val="000000" w:themeColor="text1"/>
        </w:rPr>
        <w:t xml:space="preserve">at the </w:t>
      </w:r>
      <w:r w:rsidR="0012479E">
        <w:rPr>
          <w:color w:val="000000" w:themeColor="text1"/>
        </w:rPr>
        <w:t xml:space="preserve">base </w:t>
      </w:r>
      <w:r w:rsidR="00E91A71">
        <w:rPr>
          <w:color w:val="000000" w:themeColor="text1"/>
        </w:rPr>
        <w:t xml:space="preserve">has been conducted, </w:t>
      </w:r>
      <w:r w:rsidRPr="006C3B01" w:rsidR="007C4694">
        <w:rPr>
          <w:color w:val="000000" w:themeColor="text1"/>
        </w:rPr>
        <w:t xml:space="preserve">their assessment of the AEP model, how the warm handover worked, </w:t>
      </w:r>
      <w:r w:rsidR="00770E03">
        <w:rPr>
          <w:color w:val="000000" w:themeColor="text1"/>
        </w:rPr>
        <w:t xml:space="preserve">and </w:t>
      </w:r>
      <w:r w:rsidRPr="00A2263A" w:rsidR="00770E03">
        <w:rPr>
          <w:color w:val="000000" w:themeColor="text1"/>
        </w:rPr>
        <w:t>how well the data systems used for tracking have been working</w:t>
      </w:r>
      <w:r w:rsidR="00770E03">
        <w:rPr>
          <w:color w:val="000000" w:themeColor="text1"/>
        </w:rPr>
        <w:t>.</w:t>
      </w:r>
      <w:r w:rsidRPr="006C3B01" w:rsidR="007C4694">
        <w:rPr>
          <w:color w:val="000000" w:themeColor="text1"/>
        </w:rPr>
        <w:t xml:space="preserve"> The focus groups will be conducted virtually and are expected to take approximately 90 minutes to complete.</w:t>
      </w:r>
      <w:r w:rsidRPr="006C3B01" w:rsidR="007C4694">
        <w:rPr>
          <w:color w:val="C00000"/>
        </w:rPr>
        <w:t xml:space="preserve">  </w:t>
      </w:r>
    </w:p>
    <w:p w:rsidRPr="003E4F7F" w:rsidR="008E1F00" w:rsidP="008E1F00" w:rsidRDefault="008E1F00" w14:paraId="198E9E5E" w14:textId="0011091F">
      <w:pPr>
        <w:pStyle w:val="NormalSS"/>
        <w:rPr>
          <w:color w:val="000000" w:themeColor="text1"/>
        </w:rPr>
      </w:pPr>
      <w:r w:rsidRPr="003E4F7F">
        <w:rPr>
          <w:color w:val="000000" w:themeColor="text1"/>
        </w:rPr>
        <w:t xml:space="preserve">Proposed uses for each data collection activity are described in Table A.1. </w:t>
      </w:r>
    </w:p>
    <w:p w:rsidR="000D0779" w:rsidP="008E1F00" w:rsidRDefault="008E1F00" w14:paraId="0F5E4641" w14:textId="77777777">
      <w:pPr>
        <w:pStyle w:val="MarkforTableTitle"/>
      </w:pPr>
      <w:r>
        <w:t>Table A.1. How data will be used, by data collection activity</w:t>
      </w:r>
    </w:p>
    <w:tbl>
      <w:tblPr>
        <w:tblStyle w:val="MPRBaseTable"/>
        <w:tblW w:w="5000" w:type="pct"/>
        <w:tblLook w:val="04A0" w:firstRow="1" w:lastRow="0" w:firstColumn="1" w:lastColumn="0" w:noHBand="0" w:noVBand="1"/>
      </w:tblPr>
      <w:tblGrid>
        <w:gridCol w:w="2520"/>
        <w:gridCol w:w="6840"/>
      </w:tblGrid>
      <w:tr w:rsidRPr="005B281E" w:rsidR="008E1F00" w:rsidTr="008D1564" w14:paraId="5D1FC6F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6" w:type="pct"/>
          </w:tcPr>
          <w:p w:rsidRPr="008E1F00" w:rsidR="008E1F00" w:rsidP="008E1F00" w:rsidRDefault="008E1F00" w14:paraId="2EB9F7BE" w14:textId="77777777">
            <w:pPr>
              <w:pStyle w:val="TableHeaderLeft"/>
              <w:rPr>
                <w:b/>
              </w:rPr>
            </w:pPr>
            <w:r w:rsidRPr="008E1F00">
              <w:rPr>
                <w:b/>
              </w:rPr>
              <w:t>Data collection activity</w:t>
            </w:r>
          </w:p>
        </w:tc>
        <w:tc>
          <w:tcPr>
            <w:tcW w:w="3654" w:type="pct"/>
          </w:tcPr>
          <w:p w:rsidRPr="008E1F00" w:rsidR="008E1F00" w:rsidP="008E1F00" w:rsidRDefault="008E1F00" w14:paraId="2F61FC7B"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8E1F00">
              <w:rPr>
                <w:b/>
              </w:rPr>
              <w:t>How the data will be used</w:t>
            </w:r>
          </w:p>
        </w:tc>
      </w:tr>
      <w:tr w:rsidRPr="00E360B7" w:rsidR="00E360B7" w:rsidTr="008D1564" w14:paraId="23525D8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6" w:type="pct"/>
          </w:tcPr>
          <w:p w:rsidRPr="00747886" w:rsidR="008E1F00" w:rsidP="003F44C3" w:rsidRDefault="003F44C3" w14:paraId="2720A1C3" w14:textId="1BF0082D">
            <w:pPr>
              <w:pStyle w:val="TableText"/>
              <w:spacing w:before="60" w:after="60"/>
              <w:ind w:left="360" w:hanging="360"/>
              <w:contextualSpacing w:val="0"/>
              <w:rPr>
                <w:color w:val="000000" w:themeColor="text1"/>
              </w:rPr>
            </w:pPr>
            <w:r w:rsidRPr="00747886">
              <w:rPr>
                <w:color w:val="000000" w:themeColor="text1"/>
              </w:rPr>
              <w:t>1.</w:t>
            </w:r>
            <w:r w:rsidRPr="00747886">
              <w:rPr>
                <w:color w:val="000000" w:themeColor="text1"/>
              </w:rPr>
              <w:tab/>
            </w:r>
            <w:r w:rsidRPr="00747886" w:rsidR="0016208F">
              <w:rPr>
                <w:color w:val="000000" w:themeColor="text1"/>
              </w:rPr>
              <w:t>TAP manager focus groups</w:t>
            </w:r>
          </w:p>
        </w:tc>
        <w:tc>
          <w:tcPr>
            <w:tcW w:w="3654" w:type="pct"/>
          </w:tcPr>
          <w:p w:rsidRPr="00E360B7" w:rsidR="008E1F00" w:rsidP="00BA512D" w:rsidRDefault="007A6226" w14:paraId="29EA79E0" w14:textId="727F6D89">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color w:val="C00000"/>
              </w:rPr>
            </w:pPr>
            <w:r w:rsidRPr="000F41C3">
              <w:rPr>
                <w:color w:val="000000" w:themeColor="text1"/>
              </w:rPr>
              <w:t>We</w:t>
            </w:r>
            <w:r w:rsidRPr="000F41C3" w:rsidR="008E1F00">
              <w:rPr>
                <w:color w:val="000000" w:themeColor="text1"/>
              </w:rPr>
              <w:t xml:space="preserve"> will conduct</w:t>
            </w:r>
            <w:r w:rsidRPr="000F41C3" w:rsidR="005D53E7">
              <w:rPr>
                <w:color w:val="000000" w:themeColor="text1"/>
              </w:rPr>
              <w:t xml:space="preserve"> virtual focus groups with TAP managers </w:t>
            </w:r>
            <w:r w:rsidRPr="000F41C3" w:rsidR="002F3061">
              <w:rPr>
                <w:color w:val="000000" w:themeColor="text1"/>
              </w:rPr>
              <w:t xml:space="preserve">to </w:t>
            </w:r>
            <w:r w:rsidR="00031FCC">
              <w:rPr>
                <w:color w:val="000000" w:themeColor="text1"/>
              </w:rPr>
              <w:t xml:space="preserve">describe the communication and collaboration between TAP and the ENPP, </w:t>
            </w:r>
            <w:r w:rsidR="008A25B4">
              <w:rPr>
                <w:color w:val="000000" w:themeColor="text1"/>
              </w:rPr>
              <w:t xml:space="preserve">their base’s recruitment </w:t>
            </w:r>
            <w:r w:rsidR="00D01A5F">
              <w:rPr>
                <w:color w:val="000000" w:themeColor="text1"/>
              </w:rPr>
              <w:t xml:space="preserve">strategies, </w:t>
            </w:r>
            <w:r w:rsidR="00530D72">
              <w:rPr>
                <w:color w:val="000000" w:themeColor="text1"/>
              </w:rPr>
              <w:t>and their assessment of the AEP model.</w:t>
            </w:r>
          </w:p>
        </w:tc>
      </w:tr>
      <w:tr w:rsidRPr="00E360B7" w:rsidR="00E360B7" w:rsidTr="008D1564" w14:paraId="4C8DCD6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6" w:type="pct"/>
          </w:tcPr>
          <w:p w:rsidRPr="00747886" w:rsidR="008E1F00" w:rsidP="00986786" w:rsidRDefault="003F44C3" w14:paraId="29DA744F" w14:textId="2F9DF65F">
            <w:pPr>
              <w:pStyle w:val="TableText"/>
              <w:spacing w:before="60" w:after="60"/>
              <w:ind w:left="360" w:hanging="360"/>
              <w:contextualSpacing w:val="0"/>
              <w:rPr>
                <w:color w:val="000000" w:themeColor="text1"/>
              </w:rPr>
            </w:pPr>
            <w:r w:rsidRPr="00747886">
              <w:rPr>
                <w:color w:val="000000" w:themeColor="text1"/>
              </w:rPr>
              <w:t>2.</w:t>
            </w:r>
            <w:r w:rsidRPr="00747886">
              <w:rPr>
                <w:color w:val="000000" w:themeColor="text1"/>
              </w:rPr>
              <w:tab/>
            </w:r>
            <w:r w:rsidRPr="00747886" w:rsidR="0016208F">
              <w:rPr>
                <w:color w:val="000000" w:themeColor="text1"/>
              </w:rPr>
              <w:t>Program partner focus groups</w:t>
            </w:r>
          </w:p>
        </w:tc>
        <w:tc>
          <w:tcPr>
            <w:tcW w:w="3654" w:type="pct"/>
          </w:tcPr>
          <w:p w:rsidRPr="00E360B7" w:rsidR="008E1F00" w:rsidP="00BA512D" w:rsidRDefault="000F41C3" w14:paraId="3CACCEFE" w14:textId="2063D084">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color w:val="C00000"/>
              </w:rPr>
            </w:pPr>
            <w:r w:rsidRPr="00D07C77">
              <w:rPr>
                <w:color w:val="000000" w:themeColor="text1"/>
              </w:rPr>
              <w:t>We will conduct virtual focus groups with ENPP partners to</w:t>
            </w:r>
            <w:r w:rsidRPr="00D07C77" w:rsidR="002F3061">
              <w:rPr>
                <w:color w:val="000000" w:themeColor="text1"/>
              </w:rPr>
              <w:t xml:space="preserve"> describe </w:t>
            </w:r>
            <w:r w:rsidRPr="00D07C77" w:rsidR="007771DD">
              <w:rPr>
                <w:color w:val="000000" w:themeColor="text1"/>
              </w:rPr>
              <w:t>the onboard</w:t>
            </w:r>
            <w:r w:rsidRPr="00D07C77" w:rsidR="00066AC4">
              <w:rPr>
                <w:color w:val="000000" w:themeColor="text1"/>
              </w:rPr>
              <w:t>ing</w:t>
            </w:r>
            <w:r w:rsidRPr="00D07C77" w:rsidR="009925DF">
              <w:rPr>
                <w:color w:val="000000" w:themeColor="text1"/>
              </w:rPr>
              <w:t xml:space="preserve"> and warm handover</w:t>
            </w:r>
            <w:r w:rsidRPr="00D07C77" w:rsidR="00066AC4">
              <w:rPr>
                <w:color w:val="000000" w:themeColor="text1"/>
              </w:rPr>
              <w:t xml:space="preserve"> process</w:t>
            </w:r>
            <w:r w:rsidRPr="00D07C77" w:rsidR="009925DF">
              <w:rPr>
                <w:color w:val="000000" w:themeColor="text1"/>
              </w:rPr>
              <w:t>es</w:t>
            </w:r>
            <w:r w:rsidRPr="00D07C77" w:rsidR="00066AC4">
              <w:rPr>
                <w:color w:val="000000" w:themeColor="text1"/>
              </w:rPr>
              <w:t xml:space="preserve">, </w:t>
            </w:r>
            <w:r w:rsidRPr="00D07C77" w:rsidR="002F3061">
              <w:rPr>
                <w:color w:val="000000" w:themeColor="text1"/>
              </w:rPr>
              <w:t xml:space="preserve">their </w:t>
            </w:r>
            <w:r w:rsidRPr="00D07C77" w:rsidR="00086585">
              <w:rPr>
                <w:color w:val="000000" w:themeColor="text1"/>
              </w:rPr>
              <w:t xml:space="preserve">experiences working with ENPP staff, </w:t>
            </w:r>
            <w:r w:rsidRPr="00D07C77" w:rsidR="00DB559B">
              <w:rPr>
                <w:color w:val="000000" w:themeColor="text1"/>
              </w:rPr>
              <w:t xml:space="preserve">the appropriateness of the match between </w:t>
            </w:r>
            <w:r w:rsidRPr="00D07C77" w:rsidR="00883834">
              <w:rPr>
                <w:color w:val="000000" w:themeColor="text1"/>
              </w:rPr>
              <w:t xml:space="preserve">participants’ </w:t>
            </w:r>
            <w:r w:rsidRPr="00D07C77" w:rsidR="00DB559B">
              <w:rPr>
                <w:color w:val="000000" w:themeColor="text1"/>
              </w:rPr>
              <w:t xml:space="preserve">employment needs and their </w:t>
            </w:r>
            <w:r w:rsidRPr="00D07C77" w:rsidR="00883834">
              <w:rPr>
                <w:color w:val="000000" w:themeColor="text1"/>
              </w:rPr>
              <w:t xml:space="preserve">agency’s </w:t>
            </w:r>
            <w:r w:rsidRPr="00D07C77" w:rsidR="00DB559B">
              <w:rPr>
                <w:color w:val="000000" w:themeColor="text1"/>
              </w:rPr>
              <w:t xml:space="preserve">services, </w:t>
            </w:r>
            <w:r w:rsidRPr="00D07C77" w:rsidR="00024354">
              <w:rPr>
                <w:color w:val="000000" w:themeColor="text1"/>
              </w:rPr>
              <w:t xml:space="preserve">and </w:t>
            </w:r>
            <w:r w:rsidRPr="00D07C77" w:rsidR="00D07C77">
              <w:rPr>
                <w:color w:val="000000" w:themeColor="text1"/>
              </w:rPr>
              <w:t>the data systems they’re using to track activities and early outcomes</w:t>
            </w:r>
            <w:r w:rsidRPr="00D07C77" w:rsidR="002F3061">
              <w:rPr>
                <w:color w:val="000000" w:themeColor="text1"/>
              </w:rPr>
              <w:t>.</w:t>
            </w:r>
          </w:p>
        </w:tc>
      </w:tr>
      <w:tr w:rsidRPr="00E360B7" w:rsidR="00E360B7" w:rsidTr="008D1564" w14:paraId="3A17574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6" w:type="pct"/>
          </w:tcPr>
          <w:p w:rsidRPr="00747886" w:rsidR="00986786" w:rsidRDefault="00986786" w14:paraId="37E44EEA" w14:textId="4B9172E6">
            <w:pPr>
              <w:pStyle w:val="TableText"/>
              <w:spacing w:before="60" w:after="60"/>
              <w:ind w:left="360" w:hanging="360"/>
              <w:rPr>
                <w:color w:val="000000" w:themeColor="text1"/>
              </w:rPr>
            </w:pPr>
            <w:r w:rsidRPr="00747886">
              <w:rPr>
                <w:color w:val="000000" w:themeColor="text1"/>
              </w:rPr>
              <w:t>3.</w:t>
            </w:r>
            <w:r w:rsidRPr="00747886">
              <w:rPr>
                <w:color w:val="000000" w:themeColor="text1"/>
              </w:rPr>
              <w:tab/>
            </w:r>
            <w:r w:rsidRPr="00747886" w:rsidR="0016208F">
              <w:rPr>
                <w:color w:val="000000" w:themeColor="text1"/>
              </w:rPr>
              <w:t xml:space="preserve">Military spouse participant </w:t>
            </w:r>
            <w:r w:rsidRPr="00747886" w:rsidR="00707ED3">
              <w:rPr>
                <w:color w:val="000000" w:themeColor="text1"/>
              </w:rPr>
              <w:t>focus groups</w:t>
            </w:r>
          </w:p>
        </w:tc>
        <w:tc>
          <w:tcPr>
            <w:tcW w:w="3654" w:type="pct"/>
          </w:tcPr>
          <w:p w:rsidRPr="00E360B7" w:rsidR="00986786" w:rsidRDefault="000F41C3" w14:paraId="4CB44066" w14:textId="55327546">
            <w:pPr>
              <w:pStyle w:val="TableText"/>
              <w:spacing w:before="60" w:after="60"/>
              <w:cnfStyle w:val="000000100000" w:firstRow="0" w:lastRow="0" w:firstColumn="0" w:lastColumn="0" w:oddVBand="0" w:evenVBand="0" w:oddHBand="1" w:evenHBand="0" w:firstRowFirstColumn="0" w:firstRowLastColumn="0" w:lastRowFirstColumn="0" w:lastRowLastColumn="0"/>
              <w:rPr>
                <w:color w:val="C00000"/>
              </w:rPr>
            </w:pPr>
            <w:r w:rsidRPr="000F41C3">
              <w:rPr>
                <w:color w:val="000000" w:themeColor="text1"/>
              </w:rPr>
              <w:t xml:space="preserve">We will conduct virtual focus groups with </w:t>
            </w:r>
            <w:r w:rsidR="009A5DD7">
              <w:rPr>
                <w:color w:val="000000" w:themeColor="text1"/>
              </w:rPr>
              <w:t xml:space="preserve">military spouse ENPP participants </w:t>
            </w:r>
            <w:r w:rsidRPr="000F41C3">
              <w:rPr>
                <w:color w:val="000000" w:themeColor="text1"/>
              </w:rPr>
              <w:t>to</w:t>
            </w:r>
            <w:r w:rsidR="00277B51">
              <w:rPr>
                <w:color w:val="000000" w:themeColor="text1"/>
              </w:rPr>
              <w:t xml:space="preserve"> understand </w:t>
            </w:r>
            <w:r w:rsidRPr="00F51A46" w:rsidR="002469D9">
              <w:rPr>
                <w:color w:val="000000" w:themeColor="text1"/>
              </w:rPr>
              <w:t xml:space="preserve">how they became aware of </w:t>
            </w:r>
            <w:r w:rsidR="00664F31">
              <w:rPr>
                <w:color w:val="000000" w:themeColor="text1"/>
              </w:rPr>
              <w:t xml:space="preserve">and would describe </w:t>
            </w:r>
            <w:r w:rsidRPr="00F51A46" w:rsidR="002469D9">
              <w:rPr>
                <w:color w:val="000000" w:themeColor="text1"/>
              </w:rPr>
              <w:t>the</w:t>
            </w:r>
            <w:r w:rsidR="00BB3A4C">
              <w:rPr>
                <w:color w:val="000000" w:themeColor="text1"/>
              </w:rPr>
              <w:t xml:space="preserve"> </w:t>
            </w:r>
            <w:r w:rsidR="00664F31">
              <w:rPr>
                <w:color w:val="000000" w:themeColor="text1"/>
              </w:rPr>
              <w:t>program</w:t>
            </w:r>
            <w:r w:rsidR="00AF65A4">
              <w:rPr>
                <w:color w:val="000000" w:themeColor="text1"/>
              </w:rPr>
              <w:t xml:space="preserve">, </w:t>
            </w:r>
            <w:r w:rsidR="00354560">
              <w:rPr>
                <w:color w:val="000000" w:themeColor="text1"/>
              </w:rPr>
              <w:t>how the warm handover process worked</w:t>
            </w:r>
            <w:r w:rsidR="000D443B">
              <w:rPr>
                <w:color w:val="000000" w:themeColor="text1"/>
              </w:rPr>
              <w:t xml:space="preserve">, </w:t>
            </w:r>
            <w:r w:rsidRPr="00F51A46" w:rsidR="002469D9">
              <w:rPr>
                <w:color w:val="000000" w:themeColor="text1"/>
              </w:rPr>
              <w:t>their assessment of the AEP model</w:t>
            </w:r>
            <w:r w:rsidR="000D443B">
              <w:rPr>
                <w:color w:val="000000" w:themeColor="text1"/>
              </w:rPr>
              <w:t xml:space="preserve">, and </w:t>
            </w:r>
            <w:r w:rsidR="002469D9">
              <w:rPr>
                <w:color w:val="000000" w:themeColor="text1"/>
              </w:rPr>
              <w:t xml:space="preserve">their assessment of the match between </w:t>
            </w:r>
            <w:r w:rsidRPr="00A2263A" w:rsidR="002469D9">
              <w:rPr>
                <w:color w:val="000000" w:themeColor="text1"/>
              </w:rPr>
              <w:t xml:space="preserve">the services </w:t>
            </w:r>
            <w:r w:rsidR="002469D9">
              <w:rPr>
                <w:color w:val="000000" w:themeColor="text1"/>
              </w:rPr>
              <w:t>provided by the agency(</w:t>
            </w:r>
            <w:proofErr w:type="spellStart"/>
            <w:r w:rsidR="002469D9">
              <w:rPr>
                <w:color w:val="000000" w:themeColor="text1"/>
              </w:rPr>
              <w:t>ies</w:t>
            </w:r>
            <w:proofErr w:type="spellEnd"/>
            <w:r w:rsidR="002469D9">
              <w:rPr>
                <w:color w:val="000000" w:themeColor="text1"/>
              </w:rPr>
              <w:t>) and their employment needs</w:t>
            </w:r>
            <w:r w:rsidR="000D443B">
              <w:rPr>
                <w:color w:val="000000" w:themeColor="text1"/>
              </w:rPr>
              <w:t>.</w:t>
            </w:r>
          </w:p>
        </w:tc>
      </w:tr>
      <w:tr w:rsidRPr="00E360B7" w:rsidR="00E360B7" w:rsidTr="008D1564" w14:paraId="3687E36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6" w:type="pct"/>
          </w:tcPr>
          <w:p w:rsidRPr="00747886" w:rsidR="00857D21" w:rsidP="00857D21" w:rsidRDefault="00857D21" w14:paraId="16066B17" w14:textId="703C8536">
            <w:pPr>
              <w:pStyle w:val="TableText"/>
              <w:spacing w:before="60" w:after="60"/>
              <w:ind w:left="360" w:hanging="360"/>
              <w:rPr>
                <w:color w:val="000000" w:themeColor="text1"/>
              </w:rPr>
            </w:pPr>
            <w:r w:rsidRPr="00747886">
              <w:rPr>
                <w:color w:val="000000" w:themeColor="text1"/>
              </w:rPr>
              <w:lastRenderedPageBreak/>
              <w:t>4.</w:t>
            </w:r>
            <w:r w:rsidRPr="00747886">
              <w:rPr>
                <w:color w:val="000000" w:themeColor="text1"/>
              </w:rPr>
              <w:tab/>
            </w:r>
            <w:r w:rsidRPr="00747886" w:rsidR="0016208F">
              <w:rPr>
                <w:color w:val="000000" w:themeColor="text1"/>
              </w:rPr>
              <w:t xml:space="preserve">TSM (post-Navigator) participant </w:t>
            </w:r>
            <w:r w:rsidRPr="00747886">
              <w:rPr>
                <w:color w:val="000000" w:themeColor="text1"/>
              </w:rPr>
              <w:t>focus group</w:t>
            </w:r>
            <w:r w:rsidRPr="00747886" w:rsidR="008435A2">
              <w:rPr>
                <w:color w:val="000000" w:themeColor="text1"/>
              </w:rPr>
              <w:t>s</w:t>
            </w:r>
            <w:r w:rsidRPr="00747886">
              <w:rPr>
                <w:color w:val="000000" w:themeColor="text1"/>
              </w:rPr>
              <w:t xml:space="preserve"> </w:t>
            </w:r>
          </w:p>
        </w:tc>
        <w:tc>
          <w:tcPr>
            <w:tcW w:w="3654" w:type="pct"/>
          </w:tcPr>
          <w:p w:rsidRPr="00E360B7" w:rsidR="00857D21" w:rsidRDefault="009A5DD7" w14:paraId="0F471F49" w14:textId="33F22275">
            <w:pPr>
              <w:pStyle w:val="TableText"/>
              <w:spacing w:before="60" w:after="60"/>
              <w:cnfStyle w:val="000000010000" w:firstRow="0" w:lastRow="0" w:firstColumn="0" w:lastColumn="0" w:oddVBand="0" w:evenVBand="0" w:oddHBand="0" w:evenHBand="1" w:firstRowFirstColumn="0" w:firstRowLastColumn="0" w:lastRowFirstColumn="0" w:lastRowLastColumn="0"/>
              <w:rPr>
                <w:color w:val="C00000"/>
              </w:rPr>
            </w:pPr>
            <w:r w:rsidRPr="000F41C3">
              <w:rPr>
                <w:color w:val="000000" w:themeColor="text1"/>
              </w:rPr>
              <w:t xml:space="preserve">We will conduct virtual focus groups with </w:t>
            </w:r>
            <w:r>
              <w:rPr>
                <w:color w:val="000000" w:themeColor="text1"/>
              </w:rPr>
              <w:t xml:space="preserve">TSMs after they’ve met with an </w:t>
            </w:r>
            <w:r w:rsidR="00286D44">
              <w:rPr>
                <w:color w:val="000000" w:themeColor="text1"/>
              </w:rPr>
              <w:t>Employment Navigator</w:t>
            </w:r>
            <w:r>
              <w:rPr>
                <w:color w:val="000000" w:themeColor="text1"/>
              </w:rPr>
              <w:t xml:space="preserve"> </w:t>
            </w:r>
            <w:r w:rsidRPr="000F41C3">
              <w:rPr>
                <w:color w:val="000000" w:themeColor="text1"/>
              </w:rPr>
              <w:t xml:space="preserve">to </w:t>
            </w:r>
            <w:r w:rsidR="00CD4D36">
              <w:rPr>
                <w:color w:val="000000" w:themeColor="text1"/>
              </w:rPr>
              <w:t xml:space="preserve">understand </w:t>
            </w:r>
            <w:r w:rsidRPr="00F51A46" w:rsidR="00CD4D36">
              <w:rPr>
                <w:color w:val="000000" w:themeColor="text1"/>
              </w:rPr>
              <w:t xml:space="preserve">how they became aware of </w:t>
            </w:r>
            <w:r w:rsidR="00CD4D36">
              <w:rPr>
                <w:color w:val="000000" w:themeColor="text1"/>
              </w:rPr>
              <w:t xml:space="preserve">and would describe </w:t>
            </w:r>
            <w:r w:rsidRPr="00F51A46" w:rsidR="00CD4D36">
              <w:rPr>
                <w:color w:val="000000" w:themeColor="text1"/>
              </w:rPr>
              <w:t>the</w:t>
            </w:r>
            <w:r w:rsidR="00CD4D36">
              <w:rPr>
                <w:color w:val="000000" w:themeColor="text1"/>
              </w:rPr>
              <w:t xml:space="preserve"> program, how the warm handover process worked, </w:t>
            </w:r>
            <w:r w:rsidRPr="00F51A46" w:rsidR="00CD4D36">
              <w:rPr>
                <w:color w:val="000000" w:themeColor="text1"/>
              </w:rPr>
              <w:t>their assessment of the AEP model</w:t>
            </w:r>
            <w:r w:rsidR="00CD4D36">
              <w:rPr>
                <w:color w:val="000000" w:themeColor="text1"/>
              </w:rPr>
              <w:t xml:space="preserve">, and their assessment of the match between </w:t>
            </w:r>
            <w:r w:rsidRPr="00A2263A" w:rsidR="00CD4D36">
              <w:rPr>
                <w:color w:val="000000" w:themeColor="text1"/>
              </w:rPr>
              <w:t xml:space="preserve">the services </w:t>
            </w:r>
            <w:r w:rsidR="00CD4D36">
              <w:rPr>
                <w:color w:val="000000" w:themeColor="text1"/>
              </w:rPr>
              <w:t>provided by the agency(</w:t>
            </w:r>
            <w:proofErr w:type="spellStart"/>
            <w:r w:rsidR="00CD4D36">
              <w:rPr>
                <w:color w:val="000000" w:themeColor="text1"/>
              </w:rPr>
              <w:t>ies</w:t>
            </w:r>
            <w:proofErr w:type="spellEnd"/>
            <w:r w:rsidR="00CD4D36">
              <w:rPr>
                <w:color w:val="000000" w:themeColor="text1"/>
              </w:rPr>
              <w:t>) and their employment needs.</w:t>
            </w:r>
          </w:p>
        </w:tc>
      </w:tr>
      <w:tr w:rsidRPr="00E360B7" w:rsidR="00E360B7" w:rsidTr="008D1564" w14:paraId="07E8D2A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6" w:type="pct"/>
          </w:tcPr>
          <w:p w:rsidRPr="00747886" w:rsidR="00EC2325" w:rsidP="00EC2325" w:rsidRDefault="00EC2325" w14:paraId="1A8A4A03" w14:textId="43FD874E">
            <w:pPr>
              <w:pStyle w:val="TableText"/>
              <w:spacing w:before="60" w:after="60"/>
              <w:ind w:left="360" w:hanging="360"/>
              <w:rPr>
                <w:color w:val="000000" w:themeColor="text1"/>
              </w:rPr>
            </w:pPr>
            <w:r w:rsidRPr="00747886">
              <w:rPr>
                <w:color w:val="000000" w:themeColor="text1"/>
              </w:rPr>
              <w:t>5.</w:t>
            </w:r>
            <w:r w:rsidRPr="00747886">
              <w:rPr>
                <w:color w:val="000000" w:themeColor="text1"/>
              </w:rPr>
              <w:tab/>
            </w:r>
            <w:r w:rsidRPr="00747886" w:rsidR="001679D0">
              <w:rPr>
                <w:color w:val="000000" w:themeColor="text1"/>
              </w:rPr>
              <w:t>TSM (post-Partner) participant focus group</w:t>
            </w:r>
            <w:r w:rsidRPr="00747886" w:rsidR="008435A2">
              <w:rPr>
                <w:color w:val="000000" w:themeColor="text1"/>
              </w:rPr>
              <w:t>s</w:t>
            </w:r>
          </w:p>
        </w:tc>
        <w:tc>
          <w:tcPr>
            <w:tcW w:w="3654" w:type="pct"/>
          </w:tcPr>
          <w:p w:rsidRPr="00E360B7" w:rsidR="00EC2325" w:rsidRDefault="009A5DD7" w14:paraId="4646098A" w14:textId="731D54BC">
            <w:pPr>
              <w:pStyle w:val="TableText"/>
              <w:spacing w:before="60" w:after="60"/>
              <w:cnfStyle w:val="000000100000" w:firstRow="0" w:lastRow="0" w:firstColumn="0" w:lastColumn="0" w:oddVBand="0" w:evenVBand="0" w:oddHBand="1" w:evenHBand="0" w:firstRowFirstColumn="0" w:firstRowLastColumn="0" w:lastRowFirstColumn="0" w:lastRowLastColumn="0"/>
              <w:rPr>
                <w:color w:val="C00000"/>
              </w:rPr>
            </w:pPr>
            <w:r w:rsidRPr="000F41C3">
              <w:rPr>
                <w:color w:val="000000" w:themeColor="text1"/>
              </w:rPr>
              <w:t xml:space="preserve">We will conduct virtual focus groups with </w:t>
            </w:r>
            <w:r>
              <w:rPr>
                <w:color w:val="000000" w:themeColor="text1"/>
              </w:rPr>
              <w:t xml:space="preserve">TSMs after they’ve met with an ENPP partner agency </w:t>
            </w:r>
            <w:r w:rsidRPr="000F41C3">
              <w:rPr>
                <w:color w:val="000000" w:themeColor="text1"/>
              </w:rPr>
              <w:t>to</w:t>
            </w:r>
            <w:r w:rsidR="00A05C4A">
              <w:rPr>
                <w:color w:val="000000" w:themeColor="text1"/>
              </w:rPr>
              <w:t xml:space="preserve"> understand </w:t>
            </w:r>
            <w:r w:rsidRPr="00F51A46" w:rsidR="00A05C4A">
              <w:rPr>
                <w:color w:val="000000" w:themeColor="text1"/>
              </w:rPr>
              <w:t xml:space="preserve">how they became aware of </w:t>
            </w:r>
            <w:r w:rsidR="00A05C4A">
              <w:rPr>
                <w:color w:val="000000" w:themeColor="text1"/>
              </w:rPr>
              <w:t xml:space="preserve">and would describe </w:t>
            </w:r>
            <w:r w:rsidRPr="00F51A46" w:rsidR="00A05C4A">
              <w:rPr>
                <w:color w:val="000000" w:themeColor="text1"/>
              </w:rPr>
              <w:t>the</w:t>
            </w:r>
            <w:r w:rsidR="00A05C4A">
              <w:rPr>
                <w:color w:val="000000" w:themeColor="text1"/>
              </w:rPr>
              <w:t xml:space="preserve"> program, how the warm handover process worked, </w:t>
            </w:r>
            <w:r w:rsidRPr="00F51A46" w:rsidR="00A05C4A">
              <w:rPr>
                <w:color w:val="000000" w:themeColor="text1"/>
              </w:rPr>
              <w:t>their assessment of the AEP model</w:t>
            </w:r>
            <w:r w:rsidR="00A05C4A">
              <w:rPr>
                <w:color w:val="000000" w:themeColor="text1"/>
              </w:rPr>
              <w:t xml:space="preserve">, their assessment of the match between </w:t>
            </w:r>
            <w:r w:rsidRPr="00A2263A" w:rsidR="00A05C4A">
              <w:rPr>
                <w:color w:val="000000" w:themeColor="text1"/>
              </w:rPr>
              <w:t xml:space="preserve">the services </w:t>
            </w:r>
            <w:r w:rsidR="00A05C4A">
              <w:rPr>
                <w:color w:val="000000" w:themeColor="text1"/>
              </w:rPr>
              <w:t>provided by the agency(</w:t>
            </w:r>
            <w:proofErr w:type="spellStart"/>
            <w:r w:rsidR="00A05C4A">
              <w:rPr>
                <w:color w:val="000000" w:themeColor="text1"/>
              </w:rPr>
              <w:t>ies</w:t>
            </w:r>
            <w:proofErr w:type="spellEnd"/>
            <w:r w:rsidR="00A05C4A">
              <w:rPr>
                <w:color w:val="000000" w:themeColor="text1"/>
              </w:rPr>
              <w:t>) and their employment needs, and whether they would recommend the program</w:t>
            </w:r>
            <w:r w:rsidR="00A66321">
              <w:rPr>
                <w:color w:val="000000" w:themeColor="text1"/>
              </w:rPr>
              <w:t xml:space="preserve"> to other TSMs</w:t>
            </w:r>
            <w:r w:rsidR="00A05C4A">
              <w:rPr>
                <w:color w:val="000000" w:themeColor="text1"/>
              </w:rPr>
              <w:t>.</w:t>
            </w:r>
          </w:p>
        </w:tc>
      </w:tr>
      <w:tr w:rsidRPr="00E360B7" w:rsidR="006D7DE3" w:rsidTr="008D1564" w14:paraId="4BCDA43D"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6" w:type="pct"/>
          </w:tcPr>
          <w:p w:rsidRPr="00747886" w:rsidR="006D7DE3" w:rsidP="00EC2325" w:rsidRDefault="008435A2" w14:paraId="36E1192E" w14:textId="28546719">
            <w:pPr>
              <w:pStyle w:val="TableText"/>
              <w:spacing w:before="60" w:after="60"/>
              <w:ind w:left="360" w:hanging="360"/>
              <w:rPr>
                <w:color w:val="000000" w:themeColor="text1"/>
              </w:rPr>
            </w:pPr>
            <w:r w:rsidRPr="00747886">
              <w:rPr>
                <w:color w:val="000000" w:themeColor="text1"/>
              </w:rPr>
              <w:t>6.</w:t>
            </w:r>
            <w:r w:rsidRPr="00747886">
              <w:rPr>
                <w:color w:val="000000" w:themeColor="text1"/>
              </w:rPr>
              <w:tab/>
            </w:r>
            <w:r w:rsidRPr="00747886" w:rsidR="00747886">
              <w:rPr>
                <w:color w:val="000000" w:themeColor="text1"/>
              </w:rPr>
              <w:t xml:space="preserve">Program Employment Navigator </w:t>
            </w:r>
            <w:r w:rsidRPr="00747886">
              <w:rPr>
                <w:color w:val="000000" w:themeColor="text1"/>
              </w:rPr>
              <w:t>focus groups</w:t>
            </w:r>
          </w:p>
        </w:tc>
        <w:tc>
          <w:tcPr>
            <w:tcW w:w="3654" w:type="pct"/>
          </w:tcPr>
          <w:p w:rsidRPr="00E360B7" w:rsidR="006D7DE3" w:rsidRDefault="009A5DD7" w14:paraId="748FCD8E" w14:textId="329D5FBB">
            <w:pPr>
              <w:pStyle w:val="TableText"/>
              <w:spacing w:before="60" w:after="60"/>
              <w:cnfStyle w:val="000000010000" w:firstRow="0" w:lastRow="0" w:firstColumn="0" w:lastColumn="0" w:oddVBand="0" w:evenVBand="0" w:oddHBand="0" w:evenHBand="1" w:firstRowFirstColumn="0" w:firstRowLastColumn="0" w:lastRowFirstColumn="0" w:lastRowLastColumn="0"/>
              <w:rPr>
                <w:color w:val="C00000"/>
              </w:rPr>
            </w:pPr>
            <w:r w:rsidRPr="000F41C3">
              <w:rPr>
                <w:color w:val="000000" w:themeColor="text1"/>
              </w:rPr>
              <w:t xml:space="preserve">We will conduct virtual focus groups with </w:t>
            </w:r>
            <w:r w:rsidR="00BB63BD">
              <w:rPr>
                <w:color w:val="000000" w:themeColor="text1"/>
              </w:rPr>
              <w:t>Employment Navigators</w:t>
            </w:r>
            <w:r>
              <w:rPr>
                <w:color w:val="000000" w:themeColor="text1"/>
              </w:rPr>
              <w:t xml:space="preserve"> </w:t>
            </w:r>
            <w:r w:rsidRPr="000F41C3">
              <w:rPr>
                <w:color w:val="000000" w:themeColor="text1"/>
              </w:rPr>
              <w:t>to</w:t>
            </w:r>
            <w:r w:rsidR="00CC44D6">
              <w:rPr>
                <w:color w:val="000000" w:themeColor="text1"/>
              </w:rPr>
              <w:t xml:space="preserve"> </w:t>
            </w:r>
            <w:r w:rsidR="008E6EB8">
              <w:rPr>
                <w:color w:val="000000" w:themeColor="text1"/>
              </w:rPr>
              <w:t xml:space="preserve">learn </w:t>
            </w:r>
            <w:r w:rsidR="00CC44D6">
              <w:rPr>
                <w:color w:val="000000" w:themeColor="text1"/>
              </w:rPr>
              <w:t xml:space="preserve">how </w:t>
            </w:r>
            <w:r w:rsidR="00BB63BD">
              <w:rPr>
                <w:color w:val="000000" w:themeColor="text1"/>
              </w:rPr>
              <w:t>Employment Navigators</w:t>
            </w:r>
            <w:r w:rsidR="00CC44D6">
              <w:rPr>
                <w:color w:val="000000" w:themeColor="text1"/>
              </w:rPr>
              <w:t xml:space="preserve"> describe the mission</w:t>
            </w:r>
            <w:r w:rsidR="008E6EB8">
              <w:rPr>
                <w:color w:val="000000" w:themeColor="text1"/>
              </w:rPr>
              <w:t>/</w:t>
            </w:r>
            <w:r w:rsidR="00CC44D6">
              <w:rPr>
                <w:color w:val="000000" w:themeColor="text1"/>
              </w:rPr>
              <w:t>goals of the ENPP, their assessment of the training</w:t>
            </w:r>
            <w:r w:rsidR="008E6EB8">
              <w:rPr>
                <w:color w:val="000000" w:themeColor="text1"/>
              </w:rPr>
              <w:t>s</w:t>
            </w:r>
            <w:r w:rsidR="00CC44D6">
              <w:rPr>
                <w:color w:val="000000" w:themeColor="text1"/>
              </w:rPr>
              <w:t xml:space="preserve"> they received</w:t>
            </w:r>
            <w:r w:rsidR="008E6EB8">
              <w:rPr>
                <w:color w:val="000000" w:themeColor="text1"/>
              </w:rPr>
              <w:t>,</w:t>
            </w:r>
            <w:r w:rsidR="00CC44D6">
              <w:rPr>
                <w:color w:val="000000" w:themeColor="text1"/>
              </w:rPr>
              <w:t xml:space="preserve"> </w:t>
            </w:r>
            <w:r w:rsidR="00A458CB">
              <w:rPr>
                <w:color w:val="000000" w:themeColor="text1"/>
              </w:rPr>
              <w:t xml:space="preserve">what </w:t>
            </w:r>
            <w:r w:rsidR="00CC44D6">
              <w:rPr>
                <w:color w:val="000000" w:themeColor="text1"/>
              </w:rPr>
              <w:t xml:space="preserve">needs </w:t>
            </w:r>
            <w:proofErr w:type="gramStart"/>
            <w:r w:rsidR="00CC44D6">
              <w:rPr>
                <w:color w:val="000000" w:themeColor="text1"/>
              </w:rPr>
              <w:t>TSMs</w:t>
            </w:r>
            <w:proofErr w:type="gramEnd"/>
            <w:r w:rsidR="00CC44D6">
              <w:rPr>
                <w:color w:val="000000" w:themeColor="text1"/>
              </w:rPr>
              <w:t xml:space="preserve"> and spouses</w:t>
            </w:r>
            <w:r w:rsidR="00A458CB">
              <w:rPr>
                <w:color w:val="000000" w:themeColor="text1"/>
              </w:rPr>
              <w:t xml:space="preserve"> have</w:t>
            </w:r>
            <w:r w:rsidR="00CC44D6">
              <w:rPr>
                <w:color w:val="000000" w:themeColor="text1"/>
              </w:rPr>
              <w:t>, how well the intake process capture</w:t>
            </w:r>
            <w:r w:rsidR="002E1AAC">
              <w:rPr>
                <w:color w:val="000000" w:themeColor="text1"/>
              </w:rPr>
              <w:t>s</w:t>
            </w:r>
            <w:r w:rsidR="00CC44D6">
              <w:rPr>
                <w:color w:val="000000" w:themeColor="text1"/>
              </w:rPr>
              <w:t xml:space="preserve"> those needs, </w:t>
            </w:r>
            <w:r w:rsidR="002E1AAC">
              <w:rPr>
                <w:color w:val="000000" w:themeColor="text1"/>
              </w:rPr>
              <w:t>recruitment practices</w:t>
            </w:r>
            <w:r w:rsidR="00F6124E">
              <w:rPr>
                <w:color w:val="000000" w:themeColor="text1"/>
              </w:rPr>
              <w:t xml:space="preserve"> at their base</w:t>
            </w:r>
            <w:r w:rsidR="002E1AAC">
              <w:rPr>
                <w:color w:val="000000" w:themeColor="text1"/>
              </w:rPr>
              <w:t xml:space="preserve">, </w:t>
            </w:r>
            <w:r w:rsidRPr="006C3B01" w:rsidR="00CC44D6">
              <w:rPr>
                <w:color w:val="000000" w:themeColor="text1"/>
              </w:rPr>
              <w:t>their assessment of the AEP model</w:t>
            </w:r>
            <w:r w:rsidR="00883095">
              <w:rPr>
                <w:color w:val="000000" w:themeColor="text1"/>
              </w:rPr>
              <w:t xml:space="preserve"> and the </w:t>
            </w:r>
            <w:r w:rsidRPr="006C3B01" w:rsidR="00CC44D6">
              <w:rPr>
                <w:color w:val="000000" w:themeColor="text1"/>
              </w:rPr>
              <w:t>warm handover</w:t>
            </w:r>
            <w:r w:rsidR="00883095">
              <w:rPr>
                <w:color w:val="000000" w:themeColor="text1"/>
              </w:rPr>
              <w:t xml:space="preserve"> process</w:t>
            </w:r>
            <w:r w:rsidRPr="006C3B01" w:rsidR="00CC44D6">
              <w:rPr>
                <w:color w:val="000000" w:themeColor="text1"/>
              </w:rPr>
              <w:t xml:space="preserve">, </w:t>
            </w:r>
            <w:r w:rsidR="00CC44D6">
              <w:rPr>
                <w:color w:val="000000" w:themeColor="text1"/>
              </w:rPr>
              <w:t xml:space="preserve">and </w:t>
            </w:r>
            <w:r w:rsidRPr="00A2263A" w:rsidR="00CC44D6">
              <w:rPr>
                <w:color w:val="000000" w:themeColor="text1"/>
              </w:rPr>
              <w:t xml:space="preserve">the data systems </w:t>
            </w:r>
            <w:r w:rsidR="00DD62CD">
              <w:rPr>
                <w:color w:val="000000" w:themeColor="text1"/>
              </w:rPr>
              <w:t>they’re using to track activities and early outcomes</w:t>
            </w:r>
            <w:r w:rsidR="00CC44D6">
              <w:rPr>
                <w:color w:val="000000" w:themeColor="text1"/>
              </w:rPr>
              <w:t>.</w:t>
            </w:r>
          </w:p>
        </w:tc>
      </w:tr>
    </w:tbl>
    <w:p w:rsidR="00C046EB" w:rsidP="00C046EB" w:rsidRDefault="00C046EB" w14:paraId="1E04CEE3" w14:textId="0EC1EDA3">
      <w:pPr>
        <w:pStyle w:val="NormalSS"/>
      </w:pPr>
      <w:bookmarkStart w:name="_Toc496104735" w:id="4"/>
    </w:p>
    <w:p w:rsidR="003F44C3" w:rsidP="005C45D4" w:rsidRDefault="003F44C3" w14:paraId="414D334B" w14:textId="5CBD7B3B">
      <w:pPr>
        <w:pStyle w:val="H3Alpha"/>
        <w:ind w:left="0" w:firstLine="0"/>
      </w:pPr>
      <w:r>
        <w:t xml:space="preserve">3. </w:t>
      </w:r>
      <w:r w:rsidRPr="00946B48" w:rsidR="002D7F1C">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871FB8">
        <w:rPr>
          <w:rFonts w:ascii="Times New Roman" w:hAnsi="Times New Roman"/>
          <w:i/>
        </w:rPr>
        <w:t xml:space="preserve">ting this means of collection. </w:t>
      </w:r>
      <w:r w:rsidRPr="00946B48" w:rsidR="002D7F1C">
        <w:rPr>
          <w:rFonts w:ascii="Times New Roman" w:hAnsi="Times New Roman"/>
          <w:i/>
        </w:rPr>
        <w:t>Also describe any consideration of using information technology to reduce burden.</w:t>
      </w:r>
      <w:bookmarkEnd w:id="4"/>
    </w:p>
    <w:p w:rsidRPr="00BF2885" w:rsidR="002863D7" w:rsidP="002863D7" w:rsidRDefault="0A73D441" w14:paraId="6832CE46" w14:textId="2C13EDC4">
      <w:pPr>
        <w:pStyle w:val="NormalSS"/>
        <w:rPr>
          <w:color w:val="000000" w:themeColor="text1"/>
        </w:rPr>
      </w:pPr>
      <w:bookmarkStart w:name="_Toc496104736" w:id="5"/>
      <w:r w:rsidRPr="3BFB55FE">
        <w:rPr>
          <w:color w:val="000000" w:themeColor="text1"/>
        </w:rPr>
        <w:t xml:space="preserve">Several </w:t>
      </w:r>
      <w:r w:rsidRPr="3BFB55FE" w:rsidR="51A411FE">
        <w:rPr>
          <w:color w:val="000000" w:themeColor="text1"/>
        </w:rPr>
        <w:t xml:space="preserve">technological </w:t>
      </w:r>
      <w:r w:rsidRPr="3BFB55FE" w:rsidR="50F7DDED">
        <w:rPr>
          <w:color w:val="000000" w:themeColor="text1"/>
        </w:rPr>
        <w:t xml:space="preserve">techniques will be used </w:t>
      </w:r>
      <w:r w:rsidRPr="3BFB55FE" w:rsidR="217B4D3D">
        <w:rPr>
          <w:color w:val="000000" w:themeColor="text1"/>
        </w:rPr>
        <w:t xml:space="preserve">to facilitate </w:t>
      </w:r>
      <w:r w:rsidRPr="3BFB55FE" w:rsidR="50F7DDED">
        <w:rPr>
          <w:color w:val="000000" w:themeColor="text1"/>
        </w:rPr>
        <w:t xml:space="preserve">data collection </w:t>
      </w:r>
      <w:r w:rsidRPr="3BFB55FE" w:rsidR="217B4D3D">
        <w:rPr>
          <w:color w:val="000000" w:themeColor="text1"/>
        </w:rPr>
        <w:t>and</w:t>
      </w:r>
      <w:r w:rsidRPr="3BFB55FE" w:rsidR="1FB65562">
        <w:rPr>
          <w:color w:val="000000" w:themeColor="text1"/>
        </w:rPr>
        <w:t xml:space="preserve"> </w:t>
      </w:r>
      <w:r w:rsidRPr="3BFB55FE" w:rsidR="195282BD">
        <w:rPr>
          <w:color w:val="000000" w:themeColor="text1"/>
        </w:rPr>
        <w:t>reduc</w:t>
      </w:r>
      <w:r w:rsidRPr="3BFB55FE" w:rsidR="217B4D3D">
        <w:rPr>
          <w:color w:val="000000" w:themeColor="text1"/>
        </w:rPr>
        <w:t>e</w:t>
      </w:r>
      <w:r w:rsidRPr="3BFB55FE" w:rsidR="195282BD">
        <w:rPr>
          <w:color w:val="000000" w:themeColor="text1"/>
        </w:rPr>
        <w:t xml:space="preserve"> respondent burden. </w:t>
      </w:r>
      <w:r w:rsidRPr="3BFB55FE" w:rsidR="0D920B9B">
        <w:rPr>
          <w:color w:val="000000" w:themeColor="text1"/>
        </w:rPr>
        <w:t xml:space="preserve"> </w:t>
      </w:r>
      <w:r w:rsidRPr="3BFB55FE" w:rsidR="3B661ECA">
        <w:rPr>
          <w:color w:val="000000" w:themeColor="text1"/>
        </w:rPr>
        <w:t>T</w:t>
      </w:r>
      <w:r w:rsidRPr="3BFB55FE" w:rsidR="0D920B9B">
        <w:rPr>
          <w:color w:val="000000" w:themeColor="text1"/>
        </w:rPr>
        <w:t xml:space="preserve">he </w:t>
      </w:r>
      <w:r w:rsidRPr="3BFB55FE" w:rsidR="5261FA32">
        <w:rPr>
          <w:color w:val="000000" w:themeColor="text1"/>
        </w:rPr>
        <w:t>evaluation</w:t>
      </w:r>
      <w:r w:rsidRPr="3BFB55FE" w:rsidR="0D920B9B">
        <w:rPr>
          <w:color w:val="000000" w:themeColor="text1"/>
        </w:rPr>
        <w:t xml:space="preserve"> team’s use of a video conferencing platform such as Microsoft Teams, </w:t>
      </w:r>
      <w:r w:rsidRPr="3BFB55FE" w:rsidR="685C15A3">
        <w:rPr>
          <w:color w:val="000000" w:themeColor="text1"/>
        </w:rPr>
        <w:t xml:space="preserve">eliminates the need for travel time </w:t>
      </w:r>
      <w:r w:rsidRPr="3BFB55FE" w:rsidR="1226A64F">
        <w:rPr>
          <w:color w:val="000000" w:themeColor="text1"/>
        </w:rPr>
        <w:t xml:space="preserve">for participants. </w:t>
      </w:r>
      <w:r w:rsidRPr="3BFB55FE" w:rsidR="11CCC9F6">
        <w:rPr>
          <w:color w:val="000000" w:themeColor="text1"/>
        </w:rPr>
        <w:t>F</w:t>
      </w:r>
      <w:r w:rsidRPr="3BFB55FE" w:rsidR="1F510300">
        <w:rPr>
          <w:color w:val="000000" w:themeColor="text1"/>
        </w:rPr>
        <w:t>ocus group</w:t>
      </w:r>
      <w:r w:rsidRPr="3BFB55FE" w:rsidR="41EB3FE6">
        <w:rPr>
          <w:color w:val="000000" w:themeColor="text1"/>
        </w:rPr>
        <w:t>s</w:t>
      </w:r>
      <w:r w:rsidRPr="3BFB55FE" w:rsidR="1F510300">
        <w:rPr>
          <w:color w:val="000000" w:themeColor="text1"/>
        </w:rPr>
        <w:t xml:space="preserve"> will be </w:t>
      </w:r>
      <w:r w:rsidRPr="3BFB55FE" w:rsidR="571C6F52">
        <w:rPr>
          <w:color w:val="000000" w:themeColor="text1"/>
        </w:rPr>
        <w:t>video</w:t>
      </w:r>
      <w:r w:rsidRPr="3BFB55FE" w:rsidR="1F510300">
        <w:rPr>
          <w:color w:val="000000" w:themeColor="text1"/>
        </w:rPr>
        <w:t>-recorded</w:t>
      </w:r>
      <w:r w:rsidRPr="3BFB55FE" w:rsidR="027D4560">
        <w:rPr>
          <w:color w:val="000000" w:themeColor="text1"/>
        </w:rPr>
        <w:t xml:space="preserve"> </w:t>
      </w:r>
      <w:r w:rsidRPr="3BFB55FE" w:rsidR="700097B3">
        <w:rPr>
          <w:color w:val="000000" w:themeColor="text1"/>
        </w:rPr>
        <w:t>a</w:t>
      </w:r>
      <w:r w:rsidRPr="3BFB55FE" w:rsidR="1F510300">
        <w:rPr>
          <w:color w:val="000000" w:themeColor="text1"/>
        </w:rPr>
        <w:t xml:space="preserve">nd </w:t>
      </w:r>
      <w:r w:rsidRPr="3BFB55FE" w:rsidR="700097B3">
        <w:rPr>
          <w:color w:val="000000" w:themeColor="text1"/>
        </w:rPr>
        <w:t xml:space="preserve">then </w:t>
      </w:r>
      <w:r w:rsidRPr="3BFB55FE" w:rsidR="1F510300">
        <w:rPr>
          <w:color w:val="000000" w:themeColor="text1"/>
        </w:rPr>
        <w:t>transcribed for analysis</w:t>
      </w:r>
      <w:r w:rsidRPr="3BFB55FE" w:rsidR="0E2F25A9">
        <w:rPr>
          <w:color w:val="000000" w:themeColor="text1"/>
        </w:rPr>
        <w:t xml:space="preserve">. This will allow </w:t>
      </w:r>
      <w:r w:rsidRPr="3BFB55FE" w:rsidR="71F66B25">
        <w:rPr>
          <w:color w:val="000000" w:themeColor="text1"/>
        </w:rPr>
        <w:t>evaluat</w:t>
      </w:r>
      <w:r w:rsidRPr="3BFB55FE" w:rsidR="10905E2A">
        <w:rPr>
          <w:color w:val="000000" w:themeColor="text1"/>
        </w:rPr>
        <w:t xml:space="preserve">ion team </w:t>
      </w:r>
      <w:r w:rsidRPr="3BFB55FE" w:rsidR="0E2F25A9">
        <w:rPr>
          <w:color w:val="000000" w:themeColor="text1"/>
        </w:rPr>
        <w:t xml:space="preserve">to </w:t>
      </w:r>
      <w:r w:rsidRPr="3BFB55FE" w:rsidR="10905E2A">
        <w:rPr>
          <w:color w:val="000000" w:themeColor="text1"/>
        </w:rPr>
        <w:t xml:space="preserve">capture </w:t>
      </w:r>
      <w:r w:rsidRPr="3BFB55FE" w:rsidR="743C32C0">
        <w:rPr>
          <w:color w:val="000000" w:themeColor="text1"/>
        </w:rPr>
        <w:t xml:space="preserve">participant responses accurately and efficiently, without </w:t>
      </w:r>
      <w:r w:rsidRPr="3BFB55FE" w:rsidR="48196D08">
        <w:rPr>
          <w:color w:val="000000" w:themeColor="text1"/>
        </w:rPr>
        <w:t>needing to slow down the discussion for notetaking purposes.</w:t>
      </w:r>
    </w:p>
    <w:p w:rsidR="003F44C3" w:rsidP="005C45D4" w:rsidRDefault="003F44C3" w14:paraId="2524D3E5" w14:textId="78EF0741">
      <w:pPr>
        <w:pStyle w:val="H3Alpha"/>
        <w:ind w:left="0" w:firstLine="0"/>
      </w:pPr>
      <w:r>
        <w:t xml:space="preserve">4. </w:t>
      </w:r>
      <w:r w:rsidRPr="00946B48" w:rsidR="002D7F1C">
        <w:rPr>
          <w:rFonts w:ascii="Times New Roman" w:hAnsi="Times New Roman"/>
          <w:i/>
        </w:rPr>
        <w:t>Describe efforts to identify duplication. Show specifically why any similar information already available cannot be used or modified for use for the purposes described in Item 2 above.</w:t>
      </w:r>
      <w:bookmarkEnd w:id="5"/>
    </w:p>
    <w:p w:rsidR="003F44C3" w:rsidP="003F44C3" w:rsidRDefault="003F44C3" w14:paraId="10E1B749" w14:textId="76F65E79">
      <w:pPr>
        <w:pStyle w:val="NormalSS"/>
      </w:pPr>
      <w:r>
        <w:t>The evaluation</w:t>
      </w:r>
      <w:r w:rsidR="00785B52">
        <w:t xml:space="preserve"> of </w:t>
      </w:r>
      <w:r w:rsidR="00BA4D34">
        <w:t>the ENPP</w:t>
      </w:r>
      <w:r>
        <w:t xml:space="preserve"> will not require collection of information that is available through alternate sources. </w:t>
      </w:r>
      <w:r w:rsidR="00F35670">
        <w:t>T</w:t>
      </w:r>
      <w:r w:rsidR="00BC5EAE">
        <w:t xml:space="preserve">he </w:t>
      </w:r>
      <w:r w:rsidR="00AF7247">
        <w:t>evaluation</w:t>
      </w:r>
      <w:r w:rsidR="00BC5EAE">
        <w:t xml:space="preserve"> </w:t>
      </w:r>
      <w:r>
        <w:t xml:space="preserve">will use available information from </w:t>
      </w:r>
      <w:r w:rsidR="005D35F1">
        <w:t xml:space="preserve">DOL, including pilot progress </w:t>
      </w:r>
      <w:r w:rsidR="00B22B5C">
        <w:t>updates</w:t>
      </w:r>
      <w:r w:rsidR="00367819">
        <w:t xml:space="preserve"> and </w:t>
      </w:r>
      <w:r>
        <w:t>administrative data sets</w:t>
      </w:r>
      <w:r w:rsidR="00367819">
        <w:t xml:space="preserve">, </w:t>
      </w:r>
      <w:r>
        <w:t xml:space="preserve">to ensure that </w:t>
      </w:r>
      <w:r w:rsidR="00BC5EAE">
        <w:t xml:space="preserve">data collected </w:t>
      </w:r>
      <w:r>
        <w:t xml:space="preserve">through </w:t>
      </w:r>
      <w:r w:rsidR="00AB34B8">
        <w:t xml:space="preserve">focus groups </w:t>
      </w:r>
      <w:r w:rsidR="00031F73">
        <w:t xml:space="preserve">are </w:t>
      </w:r>
      <w:r w:rsidR="00AB34B8">
        <w:t>not available elsewhere</w:t>
      </w:r>
      <w:r w:rsidR="00B03384">
        <w:t>.</w:t>
      </w:r>
      <w:r w:rsidR="00D37BFB">
        <w:t xml:space="preserve"> </w:t>
      </w:r>
      <w:r w:rsidRPr="00D37BFB" w:rsidR="00D37BFB">
        <w:t xml:space="preserve">In designing the focus group </w:t>
      </w:r>
      <w:r w:rsidR="00D37BFB">
        <w:t>guides</w:t>
      </w:r>
      <w:r w:rsidRPr="00D37BFB" w:rsidR="00D37BFB">
        <w:t>, each question was carefully considered to avoid duplication of data available from other sources.</w:t>
      </w:r>
    </w:p>
    <w:p w:rsidR="003F44C3" w:rsidP="005C45D4" w:rsidRDefault="003F44C3" w14:paraId="3E411CBF" w14:textId="422FD6F5">
      <w:pPr>
        <w:pStyle w:val="H3Alpha"/>
        <w:ind w:left="0" w:firstLine="0"/>
      </w:pPr>
      <w:bookmarkStart w:name="_Toc496104737" w:id="6"/>
      <w:r>
        <w:t xml:space="preserve">5. </w:t>
      </w:r>
      <w:r w:rsidRPr="00946B48" w:rsidR="002D7F1C">
        <w:rPr>
          <w:rFonts w:ascii="Times New Roman" w:hAnsi="Times New Roman"/>
          <w:i/>
        </w:rPr>
        <w:t>If the collection of information impacts small businesses or other small entities, describe any methods used to minimize burden.</w:t>
      </w:r>
      <w:bookmarkEnd w:id="6"/>
    </w:p>
    <w:p w:rsidR="003F44C3" w:rsidP="003F44C3" w:rsidRDefault="006D44CD" w14:paraId="62F8B230" w14:textId="740BD0E6">
      <w:pPr>
        <w:pStyle w:val="NormalSS"/>
      </w:pPr>
      <w:r>
        <w:t xml:space="preserve">The evaluation design does not include any data collection with small business owners or </w:t>
      </w:r>
      <w:r w:rsidR="008E7D3F">
        <w:t xml:space="preserve">otherwise impact small businesses or entities. </w:t>
      </w:r>
    </w:p>
    <w:p w:rsidR="003F44C3" w:rsidP="005C45D4" w:rsidRDefault="003F44C3" w14:paraId="79D8BD5E" w14:textId="347B3988">
      <w:pPr>
        <w:pStyle w:val="H3Alpha"/>
        <w:ind w:left="0" w:firstLine="0"/>
      </w:pPr>
      <w:bookmarkStart w:name="_Toc496104738" w:id="7"/>
      <w:r>
        <w:t xml:space="preserve">6. </w:t>
      </w:r>
      <w:r w:rsidRPr="00946B48" w:rsidR="002D7F1C">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7"/>
    </w:p>
    <w:p w:rsidR="005D2756" w:rsidP="00A2291C" w:rsidRDefault="1A38A413" w14:paraId="311A637E" w14:textId="304AA917">
      <w:pPr>
        <w:pStyle w:val="NormalSS"/>
      </w:pPr>
      <w:r>
        <w:t xml:space="preserve">There is an urgent need from the agency to learn about the pilot implementation of the ENPP. As key decisions are being made about expanding the ENPP beyond the 13 </w:t>
      </w:r>
      <w:r w:rsidR="680030A1">
        <w:t>pilot sites</w:t>
      </w:r>
      <w:r>
        <w:t xml:space="preserve">, the implementation data are important for future modification of the program. </w:t>
      </w:r>
      <w:r w:rsidR="1B8D4DA3">
        <w:t xml:space="preserve">Without </w:t>
      </w:r>
      <w:r w:rsidR="4120A871">
        <w:t xml:space="preserve">the </w:t>
      </w:r>
      <w:r w:rsidR="4120A871">
        <w:lastRenderedPageBreak/>
        <w:t>information from this evaluation</w:t>
      </w:r>
      <w:r w:rsidR="1B8D4DA3">
        <w:t xml:space="preserve">, DOL’s understanding of pilot implementation will be </w:t>
      </w:r>
      <w:r w:rsidR="65A70223">
        <w:t>less thorough and more open to bias (i.e., not the result of systematic data collection</w:t>
      </w:r>
      <w:r w:rsidR="0CBCB193">
        <w:t>).</w:t>
      </w:r>
      <w:r w:rsidR="07D55DC0">
        <w:t xml:space="preserve"> Not </w:t>
      </w:r>
      <w:r w:rsidR="30AC49AF">
        <w:t xml:space="preserve">knowing </w:t>
      </w:r>
      <w:r w:rsidR="07D55DC0">
        <w:t xml:space="preserve">if the pilot </w:t>
      </w:r>
      <w:r w:rsidR="27994C9C">
        <w:t xml:space="preserve">has been </w:t>
      </w:r>
      <w:r w:rsidR="07D55DC0">
        <w:t>implemented according to pl</w:t>
      </w:r>
      <w:r w:rsidR="58BD46ED">
        <w:t xml:space="preserve">an means that DOL’s assessment of the pilot outcomes </w:t>
      </w:r>
      <w:r w:rsidR="27994C9C">
        <w:t xml:space="preserve">will </w:t>
      </w:r>
      <w:r w:rsidR="58BD46ED">
        <w:t>be based on a</w:t>
      </w:r>
      <w:r w:rsidR="27994C9C">
        <w:t>n incomplete</w:t>
      </w:r>
      <w:r w:rsidR="58BD46ED">
        <w:t xml:space="preserve"> </w:t>
      </w:r>
      <w:r w:rsidR="30AC49AF">
        <w:t xml:space="preserve">understanding of the intervention. </w:t>
      </w:r>
      <w:r w:rsidR="36E1F0FB">
        <w:t>Further, n</w:t>
      </w:r>
      <w:r w:rsidR="30AC49AF">
        <w:t xml:space="preserve">ot understanding the nuance of program delivery across the 13 pilot sites </w:t>
      </w:r>
      <w:r w:rsidR="3D08D4F8">
        <w:t xml:space="preserve">affects </w:t>
      </w:r>
      <w:r w:rsidR="5B2A5EEE">
        <w:t>DOL</w:t>
      </w:r>
      <w:r w:rsidR="5E26B194">
        <w:t xml:space="preserve">’s ability to </w:t>
      </w:r>
      <w:r w:rsidR="5FCF1FAE">
        <w:t xml:space="preserve">implement </w:t>
      </w:r>
      <w:r w:rsidR="5E26B194">
        <w:t xml:space="preserve">evidence-based policy </w:t>
      </w:r>
      <w:r w:rsidR="1484725D">
        <w:t>for</w:t>
      </w:r>
      <w:r w:rsidR="5B2A5EEE">
        <w:t xml:space="preserve"> </w:t>
      </w:r>
      <w:r w:rsidR="38A23E1D">
        <w:t xml:space="preserve">any potential </w:t>
      </w:r>
      <w:r w:rsidR="388D2FB5">
        <w:t xml:space="preserve">future </w:t>
      </w:r>
      <w:r w:rsidR="5B2A5EEE">
        <w:t xml:space="preserve">replication and expansion policy for the Employment </w:t>
      </w:r>
      <w:r w:rsidR="7BD07B26">
        <w:t>Navigator</w:t>
      </w:r>
      <w:r w:rsidR="5B2A5EEE">
        <w:t xml:space="preserve"> program that </w:t>
      </w:r>
      <w:proofErr w:type="gramStart"/>
      <w:r w:rsidR="5B2A5EEE">
        <w:t>takes into account</w:t>
      </w:r>
      <w:proofErr w:type="gramEnd"/>
      <w:r w:rsidR="5B2A5EEE">
        <w:t xml:space="preserve"> the </w:t>
      </w:r>
      <w:r w:rsidR="2EE882E5">
        <w:t>environments, needs, and opportunities across different types of military installations.</w:t>
      </w:r>
    </w:p>
    <w:p w:rsidR="003F44C3" w:rsidP="005C45D4" w:rsidRDefault="003F44C3" w14:paraId="26C4D3A1" w14:textId="07D192E0">
      <w:pPr>
        <w:pStyle w:val="H3Alpha"/>
        <w:ind w:left="0" w:firstLine="0"/>
        <w:rPr>
          <w:rFonts w:ascii="Times New Roman" w:hAnsi="Times New Roman"/>
          <w:i/>
        </w:rPr>
      </w:pPr>
      <w:bookmarkStart w:name="_Toc496104739" w:id="8"/>
      <w:r>
        <w:t xml:space="preserve">7. </w:t>
      </w:r>
      <w:r w:rsidRPr="00946B48" w:rsidR="002D7F1C">
        <w:rPr>
          <w:rFonts w:ascii="Times New Roman" w:hAnsi="Times New Roman"/>
          <w:i/>
        </w:rPr>
        <w:t>Explain any special circumstances that would cause an information collection to be conducted in a manner:</w:t>
      </w:r>
      <w:bookmarkEnd w:id="8"/>
    </w:p>
    <w:p w:rsidRPr="00B31391" w:rsidR="003D046E" w:rsidP="003D046E" w:rsidRDefault="003D046E" w14:paraId="3CF0521C" w14:textId="77777777">
      <w:pPr>
        <w:pStyle w:val="NormalSS"/>
        <w:rPr>
          <w:i/>
        </w:rPr>
      </w:pPr>
      <w:r w:rsidRPr="00B31391">
        <w:rPr>
          <w:i/>
        </w:rPr>
        <w:t xml:space="preserve">* Requiring respondents to report information to the agency more often than </w:t>
      </w:r>
      <w:proofErr w:type="gramStart"/>
      <w:r w:rsidRPr="00B31391">
        <w:rPr>
          <w:i/>
        </w:rPr>
        <w:t>quarterly;</w:t>
      </w:r>
      <w:proofErr w:type="gramEnd"/>
      <w:r w:rsidRPr="00B31391">
        <w:rPr>
          <w:i/>
        </w:rPr>
        <w:t xml:space="preserve"> </w:t>
      </w:r>
    </w:p>
    <w:p w:rsidRPr="00B31391" w:rsidR="003D046E" w:rsidP="003D046E" w:rsidRDefault="003D046E" w14:paraId="6A8AE1EC" w14:textId="77777777">
      <w:pPr>
        <w:pStyle w:val="NormalSS"/>
        <w:rPr>
          <w:i/>
        </w:rPr>
      </w:pPr>
      <w:r w:rsidRPr="00B31391">
        <w:rPr>
          <w:i/>
        </w:rPr>
        <w:t xml:space="preserve">* Requiring respondents to prepare a written response to a collection of information in fewer than 30 days after receipt of </w:t>
      </w:r>
      <w:proofErr w:type="gramStart"/>
      <w:r w:rsidRPr="00B31391">
        <w:rPr>
          <w:i/>
        </w:rPr>
        <w:t>it;</w:t>
      </w:r>
      <w:proofErr w:type="gramEnd"/>
      <w:r w:rsidRPr="00B31391">
        <w:rPr>
          <w:i/>
        </w:rPr>
        <w:t xml:space="preserve"> </w:t>
      </w:r>
    </w:p>
    <w:p w:rsidRPr="00B31391" w:rsidR="003D046E" w:rsidP="003D046E" w:rsidRDefault="003D046E" w14:paraId="6D0A0E32" w14:textId="77777777">
      <w:pPr>
        <w:pStyle w:val="NormalSS"/>
        <w:rPr>
          <w:i/>
        </w:rPr>
      </w:pPr>
      <w:r w:rsidRPr="00B31391">
        <w:rPr>
          <w:i/>
        </w:rPr>
        <w:t xml:space="preserve">* Requiring respondents to submit more than an original and two copies of any </w:t>
      </w:r>
      <w:proofErr w:type="gramStart"/>
      <w:r w:rsidRPr="00B31391">
        <w:rPr>
          <w:i/>
        </w:rPr>
        <w:t>document;</w:t>
      </w:r>
      <w:proofErr w:type="gramEnd"/>
      <w:r w:rsidRPr="00B31391">
        <w:rPr>
          <w:i/>
        </w:rPr>
        <w:t xml:space="preserve"> </w:t>
      </w:r>
    </w:p>
    <w:p w:rsidRPr="00B31391" w:rsidR="003D046E" w:rsidP="003D046E" w:rsidRDefault="003D046E" w14:paraId="35CF90D8" w14:textId="77777777">
      <w:pPr>
        <w:pStyle w:val="NormalSS"/>
        <w:rPr>
          <w:i/>
        </w:rPr>
      </w:pPr>
      <w:r w:rsidRPr="00B31391">
        <w:rPr>
          <w:i/>
        </w:rPr>
        <w:t xml:space="preserve">* Requiring respondents to retain records, other than health, medical, government contract, grant-in-aid, or tax records, for more than three </w:t>
      </w:r>
      <w:proofErr w:type="gramStart"/>
      <w:r w:rsidRPr="00B31391">
        <w:rPr>
          <w:i/>
        </w:rPr>
        <w:t>years;</w:t>
      </w:r>
      <w:proofErr w:type="gramEnd"/>
      <w:r w:rsidRPr="00B31391">
        <w:rPr>
          <w:i/>
        </w:rPr>
        <w:t xml:space="preserve"> </w:t>
      </w:r>
    </w:p>
    <w:p w:rsidRPr="00B31391" w:rsidR="003D046E" w:rsidP="003D046E" w:rsidRDefault="003D046E" w14:paraId="76F491E5" w14:textId="77777777">
      <w:pPr>
        <w:pStyle w:val="NormalSS"/>
        <w:rPr>
          <w:i/>
        </w:rPr>
      </w:pPr>
      <w:r w:rsidRPr="00B31391">
        <w:rPr>
          <w:i/>
        </w:rPr>
        <w:t xml:space="preserve">* In connection with a statistical survey, that is not designed to produce valid and reliable results that can be generalized to the universe of </w:t>
      </w:r>
      <w:proofErr w:type="gramStart"/>
      <w:r w:rsidRPr="00B31391">
        <w:rPr>
          <w:i/>
        </w:rPr>
        <w:t>study;</w:t>
      </w:r>
      <w:proofErr w:type="gramEnd"/>
      <w:r w:rsidRPr="00B31391">
        <w:rPr>
          <w:i/>
        </w:rPr>
        <w:t xml:space="preserve"> </w:t>
      </w:r>
    </w:p>
    <w:p w:rsidRPr="00B31391" w:rsidR="003D046E" w:rsidP="003D046E" w:rsidRDefault="003D046E" w14:paraId="1F8DFFD2" w14:textId="77777777">
      <w:pPr>
        <w:pStyle w:val="NormalSS"/>
        <w:rPr>
          <w:i/>
        </w:rPr>
      </w:pPr>
      <w:r w:rsidRPr="00B31391">
        <w:rPr>
          <w:i/>
        </w:rPr>
        <w:t xml:space="preserve">* Requiring the use of a statistical data classification that has not been reviewed and approved by </w:t>
      </w:r>
      <w:proofErr w:type="gramStart"/>
      <w:r w:rsidRPr="00B31391">
        <w:rPr>
          <w:i/>
        </w:rPr>
        <w:t>OMB;</w:t>
      </w:r>
      <w:proofErr w:type="gramEnd"/>
      <w:r w:rsidRPr="00B31391">
        <w:rPr>
          <w:i/>
        </w:rPr>
        <w:t xml:space="preserve"> </w:t>
      </w:r>
    </w:p>
    <w:p w:rsidRPr="00B31391" w:rsidR="003D046E" w:rsidP="003D046E" w:rsidRDefault="003D046E" w14:paraId="259BD80F" w14:textId="77777777">
      <w:pPr>
        <w:pStyle w:val="NormalSS"/>
        <w:rPr>
          <w:i/>
        </w:rPr>
      </w:pPr>
      <w:r w:rsidRPr="00B31391">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31391" w:rsidR="003D046E" w:rsidP="00B31391" w:rsidRDefault="003D046E" w14:paraId="65687164" w14:textId="66BC76D6">
      <w:pPr>
        <w:pStyle w:val="NormalSS"/>
        <w:rPr>
          <w:i/>
        </w:rPr>
      </w:pPr>
      <w:r w:rsidRPr="00B31391">
        <w:rPr>
          <w:i/>
        </w:rPr>
        <w:t>* Requiring respondents to submit proprietary trade secrets, or other confidential information unless the agency can demonstrate that it has instituted procedures to protect the information's confidentiality to the extent permitted by law.</w:t>
      </w:r>
    </w:p>
    <w:p w:rsidR="003F44C3" w:rsidP="003F44C3" w:rsidRDefault="003F44C3" w14:paraId="67F78E4B" w14:textId="77777777">
      <w:pPr>
        <w:pStyle w:val="NormalSS"/>
      </w:pPr>
      <w:r>
        <w:t>No special circumstances apply to this data collection.</w:t>
      </w:r>
    </w:p>
    <w:p w:rsidRPr="005C45D4" w:rsidR="005455E1" w:rsidP="005C45D4" w:rsidRDefault="003F44C3" w14:paraId="2673F2A5" w14:textId="638AE54E">
      <w:pPr>
        <w:pStyle w:val="H3Alpha"/>
        <w:ind w:left="0" w:firstLine="0"/>
        <w:rPr>
          <w:i/>
        </w:rPr>
      </w:pPr>
      <w:bookmarkStart w:name="_Toc496104740" w:id="9"/>
      <w:r>
        <w:t>8.</w:t>
      </w:r>
      <w:r w:rsidR="00871FB8">
        <w:t xml:space="preserve"> </w:t>
      </w:r>
      <w:bookmarkStart w:name="_Toc496104741" w:id="10"/>
      <w:bookmarkEnd w:id="9"/>
      <w:r w:rsidRPr="005C45D4" w:rsidR="005455E1">
        <w:rPr>
          <w:rFonts w:ascii="Times New Roman" w:hAnsi="Times New Roman"/>
          <w:i/>
        </w:rPr>
        <w:t xml:space="preserve">If applicable, provide a copy and identify the date and page number of </w:t>
      </w:r>
      <w:proofErr w:type="gramStart"/>
      <w:r w:rsidRPr="005C45D4" w:rsidR="005455E1">
        <w:rPr>
          <w:rFonts w:ascii="Times New Roman" w:hAnsi="Times New Roman"/>
          <w:i/>
        </w:rPr>
        <w:t>publication</w:t>
      </w:r>
      <w:proofErr w:type="gramEnd"/>
      <w:r w:rsidRPr="005C45D4" w:rsidR="005455E1">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bookmarkEnd w:id="10"/>
    <w:p w:rsidRPr="00844611" w:rsidR="003F44C3" w:rsidP="003F44C3" w:rsidRDefault="2F7D0786" w14:paraId="76916EBC" w14:textId="52D6B14F">
      <w:pPr>
        <w:pStyle w:val="NormalSS"/>
      </w:pPr>
      <w:r>
        <w:t xml:space="preserve">A 60-day notice to solicit public comments was published in the </w:t>
      </w:r>
      <w:r w:rsidRPr="66E33C40">
        <w:rPr>
          <w:i/>
          <w:iCs/>
        </w:rPr>
        <w:t>Federal Register</w:t>
      </w:r>
      <w:r>
        <w:t xml:space="preserve">, </w:t>
      </w:r>
      <w:r w:rsidR="636713D6">
        <w:t>86</w:t>
      </w:r>
      <w:r w:rsidR="0BBBA625">
        <w:t xml:space="preserve"> </w:t>
      </w:r>
      <w:r w:rsidR="5468E9D3">
        <w:t xml:space="preserve">FR </w:t>
      </w:r>
      <w:r w:rsidR="636713D6">
        <w:t>27114</w:t>
      </w:r>
      <w:r w:rsidR="43B07C47">
        <w:t xml:space="preserve"> </w:t>
      </w:r>
      <w:r>
        <w:t>on</w:t>
      </w:r>
      <w:r w:rsidR="4AC63259">
        <w:t xml:space="preserve"> </w:t>
      </w:r>
      <w:r w:rsidR="77CCDCDF">
        <w:t>May 19, 2021</w:t>
      </w:r>
      <w:r w:rsidR="2C1882A9">
        <w:t>.</w:t>
      </w:r>
      <w:r w:rsidR="77CCDCDF">
        <w:t xml:space="preserve"> </w:t>
      </w:r>
      <w:r w:rsidR="00401CC0">
        <w:t>N</w:t>
      </w:r>
      <w:r w:rsidR="77CCDCDF">
        <w:t>o comments have been received.</w:t>
      </w:r>
      <w:r w:rsidR="2C1882A9">
        <w:t xml:space="preserve"> </w:t>
      </w:r>
    </w:p>
    <w:p w:rsidRPr="006F020A" w:rsidR="005455E1" w:rsidP="005C45D4" w:rsidRDefault="005455E1" w14:paraId="19C05BAB" w14:textId="56290FA7">
      <w:pPr>
        <w:spacing w:line="240" w:lineRule="auto"/>
        <w:rPr>
          <w:i/>
        </w:rPr>
      </w:pPr>
      <w:bookmarkStart w:name="_Toc496104742" w:id="11"/>
      <w:r w:rsidRPr="006F020A">
        <w:rPr>
          <w:i/>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F020A" w:rsidR="005455E1" w:rsidP="005C45D4" w:rsidRDefault="005455E1" w14:paraId="03897482" w14:textId="77777777">
      <w:pPr>
        <w:spacing w:line="240" w:lineRule="auto"/>
        <w:rPr>
          <w:i/>
        </w:rPr>
      </w:pPr>
    </w:p>
    <w:p w:rsidRPr="006F020A" w:rsidR="005455E1" w:rsidP="3BFB55FE" w:rsidRDefault="49F6C522" w14:paraId="4B475A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iCs/>
        </w:rPr>
      </w:pPr>
      <w:r w:rsidRPr="3BFB55FE">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11"/>
    <w:p w:rsidR="3BFB55FE" w:rsidP="3BFB55FE" w:rsidRDefault="3BFB55FE" w14:paraId="523BB4AF" w14:textId="25F0B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iCs/>
        </w:rPr>
      </w:pPr>
    </w:p>
    <w:p w:rsidRPr="00B17994" w:rsidR="00BA1B74" w:rsidP="003F44C3" w:rsidRDefault="20A234B0" w14:paraId="5ADF13B5" w14:textId="3378954C">
      <w:pPr>
        <w:pStyle w:val="NormalSS"/>
      </w:pPr>
      <w:r>
        <w:t>The evaluation team has consulted with a technical working group</w:t>
      </w:r>
      <w:r w:rsidR="297CF600">
        <w:t xml:space="preserve">, </w:t>
      </w:r>
      <w:r w:rsidR="0663999A">
        <w:t xml:space="preserve">listed </w:t>
      </w:r>
      <w:r w:rsidR="297CF600">
        <w:t>in table A.2,</w:t>
      </w:r>
      <w:r>
        <w:t xml:space="preserve"> </w:t>
      </w:r>
      <w:r w:rsidR="521BD11F">
        <w:t xml:space="preserve">that provides subject matter and methodological </w:t>
      </w:r>
      <w:r w:rsidR="1A26E7D6">
        <w:t>input on the evaluation design</w:t>
      </w:r>
      <w:r w:rsidR="5CE7F1F2">
        <w:t xml:space="preserve">, execution, </w:t>
      </w:r>
      <w:r w:rsidR="392B1812">
        <w:t xml:space="preserve">analysis, and reporting, </w:t>
      </w:r>
      <w:r w:rsidR="0D6DAF91">
        <w:t>to ensure the creation of high-quality research</w:t>
      </w:r>
      <w:r w:rsidR="1A26E7D6">
        <w:t xml:space="preserve"> </w:t>
      </w:r>
      <w:r w:rsidR="307549F0">
        <w:t xml:space="preserve">that is applicable, useful, and meaningful to stakeholders. The technical working group provided input on </w:t>
      </w:r>
      <w:r w:rsidR="2FB37F68">
        <w:t xml:space="preserve">evaluation </w:t>
      </w:r>
      <w:r w:rsidR="307549F0">
        <w:t xml:space="preserve">design topics such as </w:t>
      </w:r>
      <w:r w:rsidR="6CE5CFA1">
        <w:t xml:space="preserve">selection criteria for pilot bases, </w:t>
      </w:r>
      <w:r w:rsidR="46547509">
        <w:t xml:space="preserve">creating </w:t>
      </w:r>
      <w:r w:rsidR="79253B5F">
        <w:t>balanc</w:t>
      </w:r>
      <w:r w:rsidR="1C5ECD65">
        <w:t xml:space="preserve">ed </w:t>
      </w:r>
      <w:r w:rsidR="46547509">
        <w:t xml:space="preserve">focus groups, </w:t>
      </w:r>
      <w:r w:rsidR="23F8809F">
        <w:t xml:space="preserve">and </w:t>
      </w:r>
      <w:r w:rsidR="0DBEFAE1">
        <w:t>efficient</w:t>
      </w:r>
      <w:r w:rsidR="4DCF8B80">
        <w:t xml:space="preserve"> coding</w:t>
      </w:r>
      <w:r w:rsidR="0DBEFAE1">
        <w:t xml:space="preserve"> of data for analysis</w:t>
      </w:r>
      <w:r w:rsidR="23F8809F">
        <w:t>.</w:t>
      </w:r>
      <w:r w:rsidR="1C5ECD65">
        <w:t xml:space="preserve"> </w:t>
      </w:r>
    </w:p>
    <w:p w:rsidRPr="00EA0518" w:rsidR="00EA0518" w:rsidP="006A2735" w:rsidRDefault="00EA0518" w14:paraId="67369FA8" w14:textId="36784646">
      <w:pPr>
        <w:pStyle w:val="MarkforTableTitle"/>
      </w:pPr>
      <w:r w:rsidRPr="00EA0518">
        <w:t>Table A.</w:t>
      </w:r>
      <w:r>
        <w:t>2</w:t>
      </w:r>
      <w:r w:rsidRPr="00EA0518">
        <w:t xml:space="preserve">. </w:t>
      </w:r>
      <w:r>
        <w:t xml:space="preserve">Individuals providing consultation on </w:t>
      </w:r>
      <w:r w:rsidR="007058D7">
        <w:t>ENPP</w:t>
      </w:r>
      <w:r>
        <w:t xml:space="preserve"> evaluation design</w:t>
      </w:r>
    </w:p>
    <w:tbl>
      <w:tblPr>
        <w:tblStyle w:val="MPRBaseTable"/>
        <w:tblW w:w="4952" w:type="pct"/>
        <w:tblBorders>
          <w:top w:val="single" w:color="auto" w:sz="4" w:space="0"/>
        </w:tblBorders>
        <w:tblLook w:val="04A0" w:firstRow="1" w:lastRow="0" w:firstColumn="1" w:lastColumn="0" w:noHBand="0" w:noVBand="1"/>
      </w:tblPr>
      <w:tblGrid>
        <w:gridCol w:w="9270"/>
      </w:tblGrid>
      <w:tr w:rsidRPr="00EA0518" w:rsidR="00544423" w:rsidTr="004551EC" w14:paraId="2E99710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FFFFFF" w:themeFill="background1"/>
          </w:tcPr>
          <w:p w:rsidR="00EA0518" w:rsidP="006A2735" w:rsidRDefault="00EA0518" w14:paraId="521DE116" w14:textId="72852005">
            <w:pPr>
              <w:spacing w:before="0" w:line="240" w:lineRule="auto"/>
              <w:ind w:firstLine="0"/>
              <w:contextualSpacing/>
              <w:textboxTightWrap w:val="none"/>
              <w:rPr>
                <w:rFonts w:ascii="Times New Roman" w:hAnsi="Times New Roman"/>
                <w:b w:val="0"/>
                <w:color w:val="auto"/>
                <w:position w:val="0"/>
                <w:sz w:val="24"/>
              </w:rPr>
            </w:pPr>
            <w:r w:rsidRPr="006A2735">
              <w:rPr>
                <w:rFonts w:ascii="Times New Roman" w:hAnsi="Times New Roman"/>
                <w:b w:val="0"/>
                <w:color w:val="auto"/>
                <w:position w:val="0"/>
                <w:sz w:val="24"/>
              </w:rPr>
              <w:t xml:space="preserve">Peter </w:t>
            </w:r>
            <w:proofErr w:type="spellStart"/>
            <w:r w:rsidRPr="006A2735">
              <w:rPr>
                <w:rFonts w:ascii="Times New Roman" w:hAnsi="Times New Roman"/>
                <w:b w:val="0"/>
                <w:color w:val="auto"/>
                <w:position w:val="0"/>
                <w:sz w:val="24"/>
              </w:rPr>
              <w:t>Mueser</w:t>
            </w:r>
            <w:proofErr w:type="spellEnd"/>
            <w:r>
              <w:rPr>
                <w:rFonts w:ascii="Times New Roman" w:hAnsi="Times New Roman"/>
                <w:b w:val="0"/>
                <w:color w:val="auto"/>
                <w:position w:val="0"/>
                <w:sz w:val="24"/>
              </w:rPr>
              <w:t>, PhD</w:t>
            </w:r>
          </w:p>
          <w:p w:rsidR="00EA0518" w:rsidP="006A2735" w:rsidRDefault="00BF61B7" w14:paraId="667CEE4F" w14:textId="6B465EBF">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 xml:space="preserve">Professor, </w:t>
            </w:r>
            <w:r w:rsidR="00EA0518">
              <w:rPr>
                <w:rFonts w:ascii="Times New Roman" w:hAnsi="Times New Roman"/>
                <w:b w:val="0"/>
                <w:color w:val="auto"/>
                <w:position w:val="0"/>
                <w:sz w:val="24"/>
              </w:rPr>
              <w:t xml:space="preserve">Department of Economics and Truman School of Public </w:t>
            </w:r>
            <w:r w:rsidR="00283CBE">
              <w:rPr>
                <w:rFonts w:ascii="Times New Roman" w:hAnsi="Times New Roman"/>
                <w:b w:val="0"/>
                <w:color w:val="auto"/>
                <w:position w:val="0"/>
                <w:sz w:val="24"/>
              </w:rPr>
              <w:t>Affairs</w:t>
            </w:r>
          </w:p>
          <w:p w:rsidR="00EA0518" w:rsidP="006A2735" w:rsidRDefault="00EA0518" w14:paraId="67ECF827" w14:textId="77777777">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University of Missouri</w:t>
            </w:r>
          </w:p>
          <w:p w:rsidR="00EA0518" w:rsidP="006A2735" w:rsidRDefault="00EA0518" w14:paraId="1E5649DC" w14:textId="214085DE">
            <w:pPr>
              <w:spacing w:before="0" w:line="240" w:lineRule="auto"/>
              <w:ind w:firstLine="0"/>
              <w:contextualSpacing/>
              <w:textboxTightWrap w:val="none"/>
              <w:rPr>
                <w:rFonts w:ascii="Times New Roman" w:hAnsi="Times New Roman"/>
                <w:sz w:val="24"/>
              </w:rPr>
            </w:pPr>
            <w:r>
              <w:rPr>
                <w:rFonts w:ascii="Times New Roman" w:hAnsi="Times New Roman"/>
                <w:b w:val="0"/>
                <w:color w:val="auto"/>
                <w:position w:val="0"/>
                <w:sz w:val="24"/>
              </w:rPr>
              <w:t>Columbia</w:t>
            </w:r>
            <w:r w:rsidR="00BF61B7">
              <w:rPr>
                <w:rFonts w:ascii="Times New Roman" w:hAnsi="Times New Roman"/>
                <w:b w:val="0"/>
                <w:color w:val="auto"/>
                <w:position w:val="0"/>
                <w:sz w:val="24"/>
              </w:rPr>
              <w:t>,</w:t>
            </w:r>
            <w:r>
              <w:rPr>
                <w:rFonts w:ascii="Times New Roman" w:hAnsi="Times New Roman"/>
                <w:b w:val="0"/>
                <w:color w:val="auto"/>
                <w:position w:val="0"/>
                <w:sz w:val="24"/>
              </w:rPr>
              <w:t xml:space="preserve"> MO 65211</w:t>
            </w:r>
          </w:p>
          <w:p w:rsidR="006D7191" w:rsidP="006A2735" w:rsidRDefault="006D7191" w14:paraId="435C5975" w14:textId="48E0C61B">
            <w:pPr>
              <w:spacing w:before="0" w:line="240" w:lineRule="auto"/>
              <w:ind w:firstLine="0"/>
              <w:contextualSpacing/>
              <w:textboxTightWrap w:val="none"/>
              <w:rPr>
                <w:rFonts w:ascii="Times New Roman" w:hAnsi="Times New Roman"/>
                <w:sz w:val="24"/>
              </w:rPr>
            </w:pPr>
          </w:p>
          <w:p w:rsidR="00EE55D9" w:rsidP="006A2735" w:rsidRDefault="006D7191" w14:paraId="48A0BD63" w14:textId="47B1E8D3">
            <w:pPr>
              <w:spacing w:before="0" w:line="240" w:lineRule="auto"/>
              <w:ind w:firstLine="0"/>
              <w:contextualSpacing/>
              <w:textboxTightWrap w:val="none"/>
              <w:rPr>
                <w:rFonts w:ascii="Times New Roman" w:hAnsi="Times New Roman"/>
                <w:sz w:val="24"/>
              </w:rPr>
            </w:pPr>
            <w:r w:rsidRPr="006D7191">
              <w:rPr>
                <w:rFonts w:ascii="Times New Roman" w:hAnsi="Times New Roman"/>
                <w:b w:val="0"/>
                <w:color w:val="auto"/>
                <w:position w:val="0"/>
                <w:sz w:val="24"/>
              </w:rPr>
              <w:t xml:space="preserve">Meredith </w:t>
            </w:r>
            <w:proofErr w:type="spellStart"/>
            <w:r w:rsidRPr="006D7191">
              <w:rPr>
                <w:rFonts w:ascii="Times New Roman" w:hAnsi="Times New Roman"/>
                <w:b w:val="0"/>
                <w:color w:val="auto"/>
                <w:position w:val="0"/>
                <w:sz w:val="24"/>
              </w:rPr>
              <w:t>Kleykamp</w:t>
            </w:r>
            <w:proofErr w:type="spellEnd"/>
            <w:r w:rsidR="00EE55D9">
              <w:rPr>
                <w:rFonts w:ascii="Times New Roman" w:hAnsi="Times New Roman"/>
                <w:b w:val="0"/>
                <w:color w:val="auto"/>
                <w:position w:val="0"/>
                <w:sz w:val="24"/>
              </w:rPr>
              <w:t>, PhD</w:t>
            </w:r>
          </w:p>
          <w:p w:rsidR="00FA5134" w:rsidP="006A2735" w:rsidRDefault="006D7191" w14:paraId="4496C216" w14:textId="7EA1C84C">
            <w:pPr>
              <w:spacing w:before="0" w:line="240" w:lineRule="auto"/>
              <w:ind w:firstLine="0"/>
              <w:contextualSpacing/>
              <w:textboxTightWrap w:val="none"/>
              <w:rPr>
                <w:rFonts w:ascii="Times New Roman" w:hAnsi="Times New Roman"/>
                <w:sz w:val="24"/>
              </w:rPr>
            </w:pPr>
            <w:r w:rsidRPr="006D7191">
              <w:rPr>
                <w:rFonts w:ascii="Times New Roman" w:hAnsi="Times New Roman"/>
                <w:b w:val="0"/>
                <w:color w:val="auto"/>
                <w:position w:val="0"/>
                <w:sz w:val="24"/>
              </w:rPr>
              <w:t>Associate Professor and Associate Chair</w:t>
            </w:r>
            <w:r w:rsidR="008F1BD9">
              <w:rPr>
                <w:rFonts w:ascii="Times New Roman" w:hAnsi="Times New Roman"/>
                <w:b w:val="0"/>
                <w:color w:val="auto"/>
                <w:position w:val="0"/>
                <w:sz w:val="24"/>
              </w:rPr>
              <w:t xml:space="preserve">, Department </w:t>
            </w:r>
            <w:r w:rsidRPr="006D7191">
              <w:rPr>
                <w:rFonts w:ascii="Times New Roman" w:hAnsi="Times New Roman"/>
                <w:b w:val="0"/>
                <w:color w:val="auto"/>
                <w:position w:val="0"/>
                <w:sz w:val="24"/>
              </w:rPr>
              <w:t>of Sociology</w:t>
            </w:r>
          </w:p>
          <w:p w:rsidR="006D7191" w:rsidP="006A2735" w:rsidRDefault="006D7191" w14:paraId="721CC329" w14:textId="4B33B3EE">
            <w:pPr>
              <w:spacing w:before="0" w:line="240" w:lineRule="auto"/>
              <w:ind w:firstLine="0"/>
              <w:contextualSpacing/>
              <w:textboxTightWrap w:val="none"/>
              <w:rPr>
                <w:rFonts w:ascii="Times New Roman" w:hAnsi="Times New Roman"/>
                <w:sz w:val="24"/>
              </w:rPr>
            </w:pPr>
            <w:r w:rsidRPr="006D7191">
              <w:rPr>
                <w:rFonts w:ascii="Times New Roman" w:hAnsi="Times New Roman"/>
                <w:b w:val="0"/>
                <w:color w:val="auto"/>
                <w:position w:val="0"/>
                <w:sz w:val="24"/>
              </w:rPr>
              <w:t>Director</w:t>
            </w:r>
            <w:r w:rsidR="00FA5134">
              <w:rPr>
                <w:rFonts w:ascii="Times New Roman" w:hAnsi="Times New Roman"/>
                <w:b w:val="0"/>
                <w:color w:val="auto"/>
                <w:position w:val="0"/>
                <w:sz w:val="24"/>
              </w:rPr>
              <w:t xml:space="preserve">, </w:t>
            </w:r>
            <w:r w:rsidRPr="006D7191">
              <w:rPr>
                <w:rFonts w:ascii="Times New Roman" w:hAnsi="Times New Roman"/>
                <w:b w:val="0"/>
                <w:color w:val="auto"/>
                <w:position w:val="0"/>
                <w:sz w:val="24"/>
              </w:rPr>
              <w:t>Center for Research on Military Organization</w:t>
            </w:r>
          </w:p>
          <w:p w:rsidR="00D17340" w:rsidP="006A2735" w:rsidRDefault="00D17340" w14:paraId="68A22065" w14:textId="76C02F86">
            <w:pPr>
              <w:spacing w:before="0" w:line="240" w:lineRule="auto"/>
              <w:ind w:firstLine="0"/>
              <w:contextualSpacing/>
              <w:textboxTightWrap w:val="none"/>
              <w:rPr>
                <w:rFonts w:ascii="Times New Roman" w:hAnsi="Times New Roman"/>
                <w:sz w:val="24"/>
              </w:rPr>
            </w:pPr>
            <w:r w:rsidRPr="006D7191">
              <w:rPr>
                <w:rFonts w:ascii="Times New Roman" w:hAnsi="Times New Roman"/>
                <w:b w:val="0"/>
                <w:color w:val="auto"/>
                <w:position w:val="0"/>
                <w:sz w:val="24"/>
              </w:rPr>
              <w:t>University of Maryland</w:t>
            </w:r>
            <w:r>
              <w:rPr>
                <w:rFonts w:ascii="Times New Roman" w:hAnsi="Times New Roman"/>
                <w:b w:val="0"/>
                <w:color w:val="auto"/>
                <w:position w:val="0"/>
                <w:sz w:val="24"/>
              </w:rPr>
              <w:t xml:space="preserve"> </w:t>
            </w:r>
          </w:p>
          <w:p w:rsidR="00BF61B7" w:rsidP="00EE55D9" w:rsidRDefault="00EE55D9" w14:paraId="34964959" w14:textId="7A6837A0">
            <w:pPr>
              <w:spacing w:line="240" w:lineRule="auto"/>
              <w:ind w:firstLine="0"/>
              <w:contextualSpacing/>
              <w:rPr>
                <w:rFonts w:ascii="Times New Roman" w:hAnsi="Times New Roman"/>
                <w:sz w:val="24"/>
              </w:rPr>
            </w:pPr>
            <w:r w:rsidRPr="00EE55D9">
              <w:rPr>
                <w:rFonts w:ascii="Times New Roman" w:hAnsi="Times New Roman"/>
                <w:b w:val="0"/>
                <w:color w:val="auto"/>
                <w:position w:val="0"/>
                <w:sz w:val="24"/>
              </w:rPr>
              <w:t>College Park, MD 20742</w:t>
            </w:r>
          </w:p>
          <w:p w:rsidRPr="006A2735" w:rsidR="00EE55D9" w:rsidP="00EE55D9" w:rsidRDefault="00EE55D9" w14:paraId="2063C56C" w14:textId="094198F9">
            <w:pPr>
              <w:spacing w:line="240" w:lineRule="auto"/>
              <w:ind w:firstLine="0"/>
              <w:contextualSpacing/>
              <w:rPr>
                <w:rFonts w:ascii="Times New Roman" w:hAnsi="Times New Roman"/>
                <w:b w:val="0"/>
                <w:color w:val="auto"/>
                <w:position w:val="0"/>
                <w:sz w:val="24"/>
              </w:rPr>
            </w:pPr>
          </w:p>
        </w:tc>
      </w:tr>
    </w:tbl>
    <w:p w:rsidR="005455E1" w:rsidP="005C45D4" w:rsidRDefault="00EE33B1" w14:paraId="02D9CC35" w14:textId="2F2E3B41">
      <w:pPr>
        <w:spacing w:line="240" w:lineRule="auto"/>
        <w:ind w:firstLine="0"/>
        <w:rPr>
          <w:i/>
        </w:rPr>
      </w:pPr>
      <w:bookmarkStart w:name="_Toc496104743" w:id="12"/>
      <w:r w:rsidRPr="005C45D4">
        <w:rPr>
          <w:rFonts w:ascii="Arial Black" w:hAnsi="Arial Black"/>
          <w:sz w:val="22"/>
        </w:rPr>
        <w:t>9.</w:t>
      </w:r>
      <w:r>
        <w:t xml:space="preserve"> </w:t>
      </w:r>
      <w:r w:rsidRPr="00946B48" w:rsidR="005455E1">
        <w:rPr>
          <w:i/>
        </w:rPr>
        <w:t>Explain any decision to provide any payment or gift to respondents, other than remuneration of contractors or grantees.</w:t>
      </w:r>
    </w:p>
    <w:p w:rsidRPr="00946B48" w:rsidR="00871FB8" w:rsidP="005C45D4" w:rsidRDefault="00871FB8" w14:paraId="6777259A" w14:textId="77777777">
      <w:pPr>
        <w:spacing w:line="240" w:lineRule="auto"/>
        <w:ind w:firstLine="0"/>
        <w:rPr>
          <w:i/>
        </w:rPr>
      </w:pPr>
    </w:p>
    <w:bookmarkEnd w:id="12"/>
    <w:p w:rsidR="00EE33B1" w:rsidP="00EE33B1" w:rsidRDefault="00EE33B1" w14:paraId="49C8C157" w14:textId="0D852277">
      <w:pPr>
        <w:pStyle w:val="NormalSS"/>
      </w:pPr>
      <w:r>
        <w:t xml:space="preserve">There are no payments or gifts to program </w:t>
      </w:r>
      <w:r w:rsidR="006628C3">
        <w:t>or</w:t>
      </w:r>
      <w:r>
        <w:t xml:space="preserve"> partner staff</w:t>
      </w:r>
      <w:r w:rsidR="00F2675A">
        <w:t>, as activities</w:t>
      </w:r>
      <w:r>
        <w:t xml:space="preserve"> are expected to be carried out in the course of their employment, and no additional compensation will be provided outside of their normal pay. </w:t>
      </w:r>
      <w:r w:rsidR="00961FAE">
        <w:t>TSM and spouse r</w:t>
      </w:r>
      <w:r w:rsidR="00F2675A">
        <w:t xml:space="preserve">espondents </w:t>
      </w:r>
      <w:r w:rsidR="0014755A">
        <w:t xml:space="preserve">may </w:t>
      </w:r>
      <w:r w:rsidR="00436268">
        <w:t>be offered</w:t>
      </w:r>
      <w:r w:rsidR="00F2675A">
        <w:t xml:space="preserve"> a $25 gift card</w:t>
      </w:r>
      <w:r w:rsidR="00122556">
        <w:t xml:space="preserve"> </w:t>
      </w:r>
      <w:r w:rsidR="00930C4D">
        <w:t xml:space="preserve">for </w:t>
      </w:r>
      <w:r w:rsidR="00122556">
        <w:t>participating in focus groups</w:t>
      </w:r>
      <w:r w:rsidR="00F2675A">
        <w:t>.</w:t>
      </w:r>
    </w:p>
    <w:p w:rsidR="00EE33B1" w:rsidP="005C45D4" w:rsidRDefault="00EE33B1" w14:paraId="35AE1427" w14:textId="32162372">
      <w:pPr>
        <w:pStyle w:val="H3Alpha"/>
        <w:ind w:left="0" w:firstLine="0"/>
      </w:pPr>
      <w:bookmarkStart w:name="_Toc496104744" w:id="13"/>
      <w:r>
        <w:t xml:space="preserve">10. </w:t>
      </w:r>
      <w:r w:rsidRPr="00946B48" w:rsidR="005455E1">
        <w:rPr>
          <w:rFonts w:ascii="Times New Roman" w:hAnsi="Times New Roman"/>
          <w:i/>
        </w:rPr>
        <w:t xml:space="preserve">Describe any assurance of </w:t>
      </w:r>
      <w:r w:rsidR="005455E1">
        <w:rPr>
          <w:rFonts w:ascii="Times New Roman" w:hAnsi="Times New Roman"/>
          <w:i/>
        </w:rPr>
        <w:t>privacy</w:t>
      </w:r>
      <w:r w:rsidRPr="00946B48" w:rsidR="005455E1">
        <w:rPr>
          <w:rFonts w:ascii="Times New Roman" w:hAnsi="Times New Roman"/>
          <w:i/>
        </w:rPr>
        <w:t xml:space="preserve"> provided to respondents and the basis for the assurance in statute, regulation, or agency policy.</w:t>
      </w:r>
      <w:bookmarkEnd w:id="13"/>
    </w:p>
    <w:p w:rsidR="00F35F49" w:rsidP="001622BE" w:rsidRDefault="6069AED7" w14:paraId="460CCB19" w14:textId="3915CD11">
      <w:pPr>
        <w:pStyle w:val="NormalSS"/>
      </w:pPr>
      <w:r>
        <w:t xml:space="preserve">The </w:t>
      </w:r>
      <w:r w:rsidR="5261FA32">
        <w:t>evaluation</w:t>
      </w:r>
      <w:r>
        <w:t xml:space="preserve"> team </w:t>
      </w:r>
      <w:r w:rsidR="2D2969D6">
        <w:t>will comply with DOL’s privacy policies and procedures and adhere to the standards for protection of personally identifiable information.</w:t>
      </w:r>
      <w:r w:rsidR="6ED7CC06">
        <w:t xml:space="preserve"> All members of the </w:t>
      </w:r>
      <w:r w:rsidR="5261FA32">
        <w:t xml:space="preserve">evaluation </w:t>
      </w:r>
      <w:r w:rsidR="6ED7CC06">
        <w:t xml:space="preserve">team have signed DOL Non-disclosure Agreements certifying that they will protect the privacy of data collected and processed under this contract, and all have completed human subjects research training.  </w:t>
      </w:r>
    </w:p>
    <w:p w:rsidR="00372C4E" w:rsidP="00F35F49" w:rsidRDefault="007377EE" w14:paraId="0560263F" w14:textId="2E74F0D2">
      <w:pPr>
        <w:pStyle w:val="NormalSS"/>
      </w:pPr>
      <w:r>
        <w:lastRenderedPageBreak/>
        <w:t xml:space="preserve">The </w:t>
      </w:r>
      <w:r w:rsidR="003D1E15">
        <w:t xml:space="preserve">evaluation </w:t>
      </w:r>
      <w:r w:rsidR="000A0420">
        <w:t>team</w:t>
      </w:r>
      <w:r>
        <w:t xml:space="preserve"> </w:t>
      </w:r>
      <w:r w:rsidR="00372C4E">
        <w:t xml:space="preserve">will apprise all focus group participants of </w:t>
      </w:r>
      <w:r w:rsidR="000A0C75">
        <w:t xml:space="preserve">the degree to which </w:t>
      </w:r>
      <w:r>
        <w:t xml:space="preserve">they </w:t>
      </w:r>
      <w:r w:rsidR="000A0C75">
        <w:t xml:space="preserve">will </w:t>
      </w:r>
      <w:r w:rsidR="008D7F36">
        <w:t>shield their personal information</w:t>
      </w:r>
      <w:r w:rsidR="005E4437">
        <w:t xml:space="preserve"> in notes and </w:t>
      </w:r>
      <w:r w:rsidR="006843FA">
        <w:t xml:space="preserve">in </w:t>
      </w:r>
      <w:r w:rsidR="005E4437">
        <w:t>reports to DOL:</w:t>
      </w:r>
    </w:p>
    <w:p w:rsidR="00372C4E" w:rsidP="009B4149" w:rsidRDefault="0044023C" w14:paraId="62891224" w14:textId="5C1EC424">
      <w:pPr>
        <w:pStyle w:val="NormalSS"/>
        <w:numPr>
          <w:ilvl w:val="0"/>
          <w:numId w:val="12"/>
        </w:numPr>
      </w:pPr>
      <w:r>
        <w:t>N</w:t>
      </w:r>
      <w:r w:rsidR="00372C4E">
        <w:t xml:space="preserve">ot report </w:t>
      </w:r>
      <w:r w:rsidR="006E22FD">
        <w:t xml:space="preserve">specific names </w:t>
      </w:r>
      <w:r w:rsidR="00372C4E">
        <w:t>in reports</w:t>
      </w:r>
      <w:r w:rsidR="009C6FB0">
        <w:t xml:space="preserve">. </w:t>
      </w:r>
      <w:r w:rsidR="006E22FD">
        <w:t>M</w:t>
      </w:r>
      <w:r w:rsidR="00372C4E">
        <w:t xml:space="preserve">ay include quotes or summaries of </w:t>
      </w:r>
      <w:r w:rsidR="009C6FB0">
        <w:t>situations</w:t>
      </w:r>
      <w:r w:rsidR="00372C4E">
        <w:t xml:space="preserve">, but nothing will be associated with </w:t>
      </w:r>
      <w:r w:rsidR="00032FC1">
        <w:t xml:space="preserve">an individual by </w:t>
      </w:r>
      <w:r w:rsidR="00372C4E">
        <w:t xml:space="preserve">name. </w:t>
      </w:r>
    </w:p>
    <w:p w:rsidR="00372C4E" w:rsidP="009B4149" w:rsidRDefault="00511CAD" w14:paraId="3EE48B62" w14:textId="6A0A99BB">
      <w:pPr>
        <w:pStyle w:val="NormalSS"/>
        <w:numPr>
          <w:ilvl w:val="0"/>
          <w:numId w:val="12"/>
        </w:numPr>
      </w:pPr>
      <w:r>
        <w:t xml:space="preserve">Since </w:t>
      </w:r>
      <w:r w:rsidR="00332DFA">
        <w:t xml:space="preserve">some </w:t>
      </w:r>
      <w:r>
        <w:t>respondent</w:t>
      </w:r>
      <w:r w:rsidR="00332DFA">
        <w:t xml:space="preserve"> groups </w:t>
      </w:r>
      <w:r w:rsidR="004233C8">
        <w:t xml:space="preserve">are </w:t>
      </w:r>
      <w:r w:rsidR="0008530D">
        <w:t>derived</w:t>
      </w:r>
      <w:r w:rsidR="004233C8">
        <w:t xml:space="preserve"> from limited population</w:t>
      </w:r>
      <w:r w:rsidR="002C0240">
        <w:t>s</w:t>
      </w:r>
      <w:r w:rsidR="004233C8">
        <w:t xml:space="preserve"> (</w:t>
      </w:r>
      <w:r w:rsidR="002C0240">
        <w:t>i.e</w:t>
      </w:r>
      <w:r w:rsidR="004233C8">
        <w:t xml:space="preserve">., </w:t>
      </w:r>
      <w:r w:rsidR="00974103">
        <w:t xml:space="preserve">a given base may only have three Employment </w:t>
      </w:r>
      <w:r w:rsidR="00CC33CA">
        <w:t>N</w:t>
      </w:r>
      <w:r w:rsidR="00974103">
        <w:t>aviga</w:t>
      </w:r>
      <w:r w:rsidR="0008530D">
        <w:t>tors)</w:t>
      </w:r>
      <w:r w:rsidR="00C03434">
        <w:t>, some reidentification may be possible</w:t>
      </w:r>
      <w:r w:rsidR="0080294C">
        <w:t xml:space="preserve"> by those </w:t>
      </w:r>
      <w:r w:rsidR="00AB6336">
        <w:t xml:space="preserve">with </w:t>
      </w:r>
      <w:r w:rsidR="00372C4E">
        <w:t xml:space="preserve">familiarity with </w:t>
      </w:r>
      <w:r w:rsidR="00AB6336">
        <w:t xml:space="preserve">a respondents’ </w:t>
      </w:r>
      <w:r w:rsidR="00372C4E">
        <w:t>opinions and/or specific work-related events.</w:t>
      </w:r>
    </w:p>
    <w:p w:rsidR="00372C4E" w:rsidP="009B4149" w:rsidRDefault="3C9CE34C" w14:paraId="4A1B01AD" w14:textId="19BCE997">
      <w:pPr>
        <w:pStyle w:val="NormalSS"/>
        <w:numPr>
          <w:ilvl w:val="0"/>
          <w:numId w:val="12"/>
        </w:numPr>
      </w:pPr>
      <w:r>
        <w:t xml:space="preserve">The </w:t>
      </w:r>
      <w:r w:rsidR="5261FA32">
        <w:t xml:space="preserve">evaluation </w:t>
      </w:r>
      <w:r>
        <w:t xml:space="preserve">team </w:t>
      </w:r>
      <w:r w:rsidR="6BBD2CBF">
        <w:t xml:space="preserve">will </w:t>
      </w:r>
      <w:r w:rsidR="534A4B70">
        <w:t xml:space="preserve">video </w:t>
      </w:r>
      <w:r w:rsidR="6BBD2CBF">
        <w:t xml:space="preserve">record and take written notes during the focus groups. </w:t>
      </w:r>
      <w:r w:rsidR="1B06F700">
        <w:t xml:space="preserve">Notes and video recordings </w:t>
      </w:r>
      <w:r w:rsidR="534A4B70">
        <w:t xml:space="preserve">will </w:t>
      </w:r>
      <w:r w:rsidR="1B06F700">
        <w:t xml:space="preserve">be </w:t>
      </w:r>
      <w:r w:rsidR="534A4B70">
        <w:t>ke</w:t>
      </w:r>
      <w:r w:rsidR="1B06F700">
        <w:t>pt</w:t>
      </w:r>
      <w:r w:rsidR="534A4B70">
        <w:t xml:space="preserve"> in private files and only authorized staff at ICF will be allowed to </w:t>
      </w:r>
      <w:r w:rsidR="176C6FDA">
        <w:t>use them</w:t>
      </w:r>
      <w:r w:rsidR="534A4B70">
        <w:t xml:space="preserve">.  </w:t>
      </w:r>
    </w:p>
    <w:p w:rsidR="00971832" w:rsidP="00EA6703" w:rsidRDefault="001622BE" w14:paraId="007CAD1F" w14:textId="035358D8">
      <w:pPr>
        <w:pStyle w:val="NormalSS"/>
      </w:pPr>
      <w:r w:rsidRPr="001622BE">
        <w:t xml:space="preserve">The evaluation design, including instrumentation and consent forms, have been reviewed and approved by ICF’s </w:t>
      </w:r>
      <w:r w:rsidR="005C75C3">
        <w:t xml:space="preserve">Institutional </w:t>
      </w:r>
      <w:r w:rsidR="00A36A7A">
        <w:t>R</w:t>
      </w:r>
      <w:r w:rsidR="005C75C3">
        <w:t xml:space="preserve">eview Board, which is </w:t>
      </w:r>
      <w:r w:rsidRPr="00BD5D3D" w:rsidR="005C75C3">
        <w:t>registered with the U.S. Department of Health and Human Services’ Office for Human Research Protections</w:t>
      </w:r>
      <w:r w:rsidRPr="00BA46E4" w:rsidR="005C75C3">
        <w:t xml:space="preserve"> (IRB </w:t>
      </w:r>
      <w:r w:rsidR="005C75C3">
        <w:t>No.</w:t>
      </w:r>
      <w:r w:rsidRPr="00BA46E4" w:rsidR="005C75C3">
        <w:t xml:space="preserve"> IRB00001920, expires</w:t>
      </w:r>
      <w:r w:rsidR="003B6B5A">
        <w:t xml:space="preserve"> 8/09/2024</w:t>
      </w:r>
      <w:r w:rsidRPr="00BA46E4" w:rsidR="005C75C3">
        <w:t xml:space="preserve">; </w:t>
      </w:r>
      <w:proofErr w:type="spellStart"/>
      <w:r w:rsidRPr="00BA46E4" w:rsidR="005C75C3">
        <w:t>Federalwide</w:t>
      </w:r>
      <w:proofErr w:type="spellEnd"/>
      <w:r w:rsidRPr="00BA46E4" w:rsidR="005C75C3">
        <w:t xml:space="preserve"> Assurance </w:t>
      </w:r>
      <w:r w:rsidR="005C75C3">
        <w:t>No.</w:t>
      </w:r>
      <w:r w:rsidRPr="00BA46E4" w:rsidR="005C75C3">
        <w:t xml:space="preserve"> FWA00002349, expires 7/12/2023).</w:t>
      </w:r>
    </w:p>
    <w:p w:rsidR="00871FB8" w:rsidP="005C45D4" w:rsidRDefault="00EE33B1" w14:paraId="40C9EDFE" w14:textId="165A8F67">
      <w:pPr>
        <w:pStyle w:val="H3Alpha"/>
        <w:ind w:left="0" w:firstLine="0"/>
        <w:rPr>
          <w:rFonts w:ascii="Times New Roman" w:hAnsi="Times New Roman"/>
          <w:i/>
        </w:rPr>
      </w:pPr>
      <w:bookmarkStart w:name="_Toc496104745" w:id="14"/>
      <w:r>
        <w:t xml:space="preserve">11. </w:t>
      </w:r>
      <w:r w:rsidRPr="00946B48" w:rsidR="005455E1">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4"/>
    <w:p w:rsidRPr="005C45D4" w:rsidR="00EE33B1" w:rsidP="001B12DC" w:rsidRDefault="57664E65" w14:paraId="5CB7F448" w14:textId="50AB494A">
      <w:pPr>
        <w:pStyle w:val="NormalSS"/>
      </w:pPr>
      <w:r>
        <w:t>N</w:t>
      </w:r>
      <w:r w:rsidR="3C453729">
        <w:t xml:space="preserve">one of the </w:t>
      </w:r>
      <w:r w:rsidR="08F2227B">
        <w:t>focus group</w:t>
      </w:r>
      <w:r w:rsidR="3C453729">
        <w:t xml:space="preserve"> guides </w:t>
      </w:r>
      <w:r w:rsidR="65BEE316">
        <w:t>contain questions that are sensitive in nature</w:t>
      </w:r>
      <w:r w:rsidR="2A351D08">
        <w:t xml:space="preserve">. The questions focus on implementation of the pilot and respondents’ perceptions of the pilot effectiveness. </w:t>
      </w:r>
    </w:p>
    <w:p w:rsidRPr="0021159E" w:rsidR="005455E1" w:rsidP="005C45D4" w:rsidRDefault="00EE33B1" w14:paraId="34C69A89" w14:textId="6D040ADF">
      <w:pPr>
        <w:ind w:firstLine="0"/>
        <w:rPr>
          <w:i/>
        </w:rPr>
      </w:pPr>
      <w:bookmarkStart w:name="_Toc496104746" w:id="15"/>
      <w:r w:rsidRPr="005C45D4">
        <w:rPr>
          <w:rFonts w:ascii="Arial Black" w:hAnsi="Arial Black"/>
        </w:rPr>
        <w:t xml:space="preserve">12. </w:t>
      </w:r>
      <w:r w:rsidRPr="004851FD" w:rsidR="005455E1">
        <w:rPr>
          <w:i/>
        </w:rPr>
        <w:t>Provide estimates of the hour burden of the collection of information.</w:t>
      </w:r>
    </w:p>
    <w:p w:rsidRPr="00B31391" w:rsidR="00072E64" w:rsidP="00B31391" w:rsidRDefault="00072E64" w14:paraId="04B956D8"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072E64" w:rsidP="00B31391" w:rsidRDefault="00072E64" w14:paraId="554550EB" w14:textId="77777777">
      <w:pPr>
        <w:spacing w:line="240" w:lineRule="auto"/>
        <w:ind w:firstLine="0"/>
        <w:rPr>
          <w:i/>
        </w:rPr>
      </w:pPr>
      <w:r w:rsidRPr="00B31391">
        <w:rPr>
          <w:i/>
        </w:rPr>
        <w:t xml:space="preserve">* If this request for approval covers more than one form, provide separate hour burden estimates for each </w:t>
      </w:r>
      <w:proofErr w:type="gramStart"/>
      <w:r w:rsidRPr="00B31391">
        <w:rPr>
          <w:i/>
        </w:rPr>
        <w:t>form</w:t>
      </w:r>
      <w:proofErr w:type="gramEnd"/>
      <w:r w:rsidRPr="00B31391">
        <w:rPr>
          <w:i/>
        </w:rPr>
        <w:t xml:space="preserve"> and aggregate the hour burdens. </w:t>
      </w:r>
    </w:p>
    <w:p w:rsidRPr="00B31391" w:rsidR="00072E64" w:rsidP="00B31391" w:rsidRDefault="00072E64" w14:paraId="4F21F5D6" w14:textId="711459A9">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072E64" w:rsidR="00072E64" w:rsidP="00B31391" w:rsidRDefault="00072E64" w14:paraId="34C09DBC" w14:textId="77777777">
      <w:pPr>
        <w:spacing w:line="240" w:lineRule="auto"/>
        <w:ind w:firstLine="0"/>
      </w:pPr>
    </w:p>
    <w:bookmarkEnd w:id="15"/>
    <w:p w:rsidRPr="0085075A" w:rsidR="00894262" w:rsidDel="0014043C" w:rsidP="00C314A5" w:rsidRDefault="00EE33B1" w14:paraId="29ACDA06" w14:textId="5BD161A7">
      <w:pPr>
        <w:pStyle w:val="NormalSS"/>
        <w:rPr>
          <w:color w:val="000000" w:themeColor="text1"/>
        </w:rPr>
      </w:pPr>
      <w:r w:rsidRPr="0085075A">
        <w:rPr>
          <w:color w:val="000000" w:themeColor="text1"/>
        </w:rPr>
        <w:t xml:space="preserve">Table A.3 provides annual burden estimates for each of the data collection activities for which this package requests clearance. Activities covered by this request will take place </w:t>
      </w:r>
      <w:r w:rsidRPr="0085075A" w:rsidR="00031F73">
        <w:rPr>
          <w:color w:val="000000" w:themeColor="text1"/>
        </w:rPr>
        <w:t>over</w:t>
      </w:r>
      <w:r w:rsidRPr="0085075A">
        <w:rPr>
          <w:color w:val="000000" w:themeColor="text1"/>
        </w:rPr>
        <w:t xml:space="preserve"> a </w:t>
      </w:r>
      <w:r w:rsidRPr="0085075A" w:rsidR="00F604BC">
        <w:rPr>
          <w:color w:val="000000" w:themeColor="text1"/>
        </w:rPr>
        <w:lastRenderedPageBreak/>
        <w:t>two</w:t>
      </w:r>
      <w:r w:rsidRPr="0085075A">
        <w:rPr>
          <w:color w:val="000000" w:themeColor="text1"/>
        </w:rPr>
        <w:t xml:space="preserve">-year period. To calculate the estimated cost burden for respondents, average hourly wages </w:t>
      </w:r>
      <w:r w:rsidR="00450314">
        <w:rPr>
          <w:color w:val="000000" w:themeColor="text1"/>
        </w:rPr>
        <w:t xml:space="preserve">were </w:t>
      </w:r>
      <w:r w:rsidR="009F5F13">
        <w:rPr>
          <w:color w:val="000000" w:themeColor="text1"/>
        </w:rPr>
        <w:t xml:space="preserve">obtained from </w:t>
      </w:r>
      <w:r w:rsidR="00E947C8">
        <w:rPr>
          <w:color w:val="000000" w:themeColor="text1"/>
        </w:rPr>
        <w:t>two</w:t>
      </w:r>
      <w:r w:rsidR="009F5F13">
        <w:rPr>
          <w:color w:val="000000" w:themeColor="text1"/>
        </w:rPr>
        <w:t xml:space="preserve"> sources: </w:t>
      </w:r>
      <w:r w:rsidRPr="0085075A">
        <w:rPr>
          <w:color w:val="000000" w:themeColor="text1"/>
        </w:rPr>
        <w:t xml:space="preserve">the U.S. Bureau of Labor Statistics, National, State, Metropolitan, and Nonmetropolitan Area Occupational Employment and Wage Estimates for May </w:t>
      </w:r>
      <w:r w:rsidRPr="0085075A" w:rsidR="00F604BC">
        <w:rPr>
          <w:color w:val="000000" w:themeColor="text1"/>
        </w:rPr>
        <w:t>2020</w:t>
      </w:r>
      <w:r w:rsidR="00850390">
        <w:rPr>
          <w:color w:val="000000" w:themeColor="text1"/>
        </w:rPr>
        <w:t xml:space="preserve"> and</w:t>
      </w:r>
      <w:r w:rsidR="009F5F13">
        <w:rPr>
          <w:color w:val="000000" w:themeColor="text1"/>
        </w:rPr>
        <w:t xml:space="preserve"> </w:t>
      </w:r>
      <w:r w:rsidRPr="009F5F13" w:rsidR="009F5F13">
        <w:rPr>
          <w:color w:val="000000" w:themeColor="text1"/>
        </w:rPr>
        <w:t xml:space="preserve">the Office of Personnel Management </w:t>
      </w:r>
      <w:r w:rsidR="0025209C">
        <w:rPr>
          <w:color w:val="000000" w:themeColor="text1"/>
        </w:rPr>
        <w:t xml:space="preserve">General Schedule Wage and Salary </w:t>
      </w:r>
      <w:r w:rsidR="00F86005">
        <w:rPr>
          <w:color w:val="000000" w:themeColor="text1"/>
        </w:rPr>
        <w:t>Information</w:t>
      </w:r>
      <w:r w:rsidRPr="00226E67" w:rsidR="009F5F13">
        <w:rPr>
          <w:color w:val="000000" w:themeColor="text1"/>
        </w:rPr>
        <w:t xml:space="preserve">. </w:t>
      </w:r>
      <w:r w:rsidRPr="00226E67" w:rsidR="009F4DCD">
        <w:rPr>
          <w:color w:val="000000" w:themeColor="text1"/>
        </w:rPr>
        <w:t>Hourly rates</w:t>
      </w:r>
      <w:r w:rsidRPr="00226E67" w:rsidR="005E3769">
        <w:rPr>
          <w:color w:val="000000" w:themeColor="text1"/>
        </w:rPr>
        <w:t xml:space="preserve"> </w:t>
      </w:r>
      <w:r w:rsidRPr="00226E67">
        <w:rPr>
          <w:color w:val="000000" w:themeColor="text1"/>
        </w:rPr>
        <w:t>were</w:t>
      </w:r>
      <w:r w:rsidRPr="0085075A">
        <w:rPr>
          <w:color w:val="000000" w:themeColor="text1"/>
        </w:rPr>
        <w:t xml:space="preserve"> multiplied by the number of hours per respondent type. The following summarizes the annual burden estimates for each of the </w:t>
      </w:r>
      <w:r w:rsidRPr="0085075A" w:rsidR="0085075A">
        <w:rPr>
          <w:color w:val="000000" w:themeColor="text1"/>
        </w:rPr>
        <w:t>six</w:t>
      </w:r>
      <w:r w:rsidRPr="0085075A" w:rsidR="009233DF">
        <w:rPr>
          <w:color w:val="000000" w:themeColor="text1"/>
        </w:rPr>
        <w:t xml:space="preserve"> </w:t>
      </w:r>
      <w:r w:rsidRPr="0085075A">
        <w:rPr>
          <w:color w:val="000000" w:themeColor="text1"/>
        </w:rPr>
        <w:t>data collection activities:</w:t>
      </w:r>
    </w:p>
    <w:p w:rsidRPr="00754E9B" w:rsidR="00617029" w:rsidP="009B4149" w:rsidRDefault="00F670F7" w14:paraId="3F93605B" w14:textId="6E8FF883">
      <w:pPr>
        <w:pStyle w:val="NumberedBullet"/>
        <w:numPr>
          <w:ilvl w:val="0"/>
          <w:numId w:val="13"/>
        </w:numPr>
        <w:rPr>
          <w:color w:val="000000" w:themeColor="text1"/>
        </w:rPr>
      </w:pPr>
      <w:r w:rsidRPr="00754E9B">
        <w:rPr>
          <w:b/>
          <w:color w:val="000000" w:themeColor="text1"/>
        </w:rPr>
        <w:t>TAP manager focus groups</w:t>
      </w:r>
      <w:r w:rsidRPr="00754E9B" w:rsidR="00366B64">
        <w:rPr>
          <w:b/>
          <w:color w:val="000000" w:themeColor="text1"/>
        </w:rPr>
        <w:t xml:space="preserve">. </w:t>
      </w:r>
      <w:r w:rsidRPr="00754E9B" w:rsidR="00D341CD">
        <w:rPr>
          <w:bCs/>
          <w:color w:val="000000" w:themeColor="text1"/>
        </w:rPr>
        <w:t>T</w:t>
      </w:r>
      <w:r w:rsidRPr="00754E9B" w:rsidR="00016DAD">
        <w:rPr>
          <w:bCs/>
          <w:color w:val="000000" w:themeColor="text1"/>
        </w:rPr>
        <w:t xml:space="preserve">AP manager focus groups will </w:t>
      </w:r>
      <w:r w:rsidRPr="00754E9B" w:rsidR="001016E7">
        <w:rPr>
          <w:color w:val="000000" w:themeColor="text1"/>
        </w:rPr>
        <w:t xml:space="preserve">be conducted </w:t>
      </w:r>
      <w:r w:rsidRPr="00754E9B" w:rsidR="00222903">
        <w:rPr>
          <w:color w:val="000000" w:themeColor="text1"/>
        </w:rPr>
        <w:t xml:space="preserve">at </w:t>
      </w:r>
      <w:r w:rsidR="00DB23D6">
        <w:rPr>
          <w:color w:val="000000" w:themeColor="text1"/>
        </w:rPr>
        <w:t>all</w:t>
      </w:r>
      <w:r w:rsidRPr="00754E9B" w:rsidR="00222903">
        <w:rPr>
          <w:color w:val="000000" w:themeColor="text1"/>
        </w:rPr>
        <w:t xml:space="preserve"> </w:t>
      </w:r>
      <w:r w:rsidRPr="00754E9B" w:rsidR="00366B64">
        <w:rPr>
          <w:color w:val="000000" w:themeColor="text1"/>
        </w:rPr>
        <w:t xml:space="preserve">sites </w:t>
      </w:r>
      <w:r w:rsidRPr="00754E9B" w:rsidR="00222903">
        <w:rPr>
          <w:color w:val="000000" w:themeColor="text1"/>
        </w:rPr>
        <w:t>virtually</w:t>
      </w:r>
      <w:r w:rsidRPr="00754E9B" w:rsidR="001B789F">
        <w:rPr>
          <w:color w:val="000000" w:themeColor="text1"/>
        </w:rPr>
        <w:t xml:space="preserve">. </w:t>
      </w:r>
      <w:r w:rsidRPr="00754E9B" w:rsidR="000F5B10">
        <w:rPr>
          <w:color w:val="000000" w:themeColor="text1"/>
        </w:rPr>
        <w:t xml:space="preserve">On average, </w:t>
      </w:r>
      <w:r w:rsidRPr="00754E9B" w:rsidR="00222903">
        <w:rPr>
          <w:color w:val="000000" w:themeColor="text1"/>
        </w:rPr>
        <w:t xml:space="preserve">focus groups with TAP </w:t>
      </w:r>
      <w:r w:rsidRPr="00754E9B" w:rsidR="001A35A9">
        <w:rPr>
          <w:color w:val="000000" w:themeColor="text1"/>
        </w:rPr>
        <w:t xml:space="preserve">managers </w:t>
      </w:r>
      <w:r w:rsidRPr="00754E9B" w:rsidR="00366B64">
        <w:rPr>
          <w:color w:val="000000" w:themeColor="text1"/>
        </w:rPr>
        <w:t xml:space="preserve">will take </w:t>
      </w:r>
      <w:r w:rsidRPr="00754E9B" w:rsidR="00F94C94">
        <w:rPr>
          <w:color w:val="000000" w:themeColor="text1"/>
        </w:rPr>
        <w:t>90</w:t>
      </w:r>
      <w:r w:rsidRPr="00754E9B" w:rsidR="00366B64">
        <w:rPr>
          <w:color w:val="000000" w:themeColor="text1"/>
        </w:rPr>
        <w:t xml:space="preserve"> minutes to complete.</w:t>
      </w:r>
      <w:r w:rsidRPr="00754E9B" w:rsidR="00FD68EE">
        <w:rPr>
          <w:color w:val="000000" w:themeColor="text1"/>
        </w:rPr>
        <w:t xml:space="preserve"> </w:t>
      </w:r>
      <w:r w:rsidRPr="00754E9B" w:rsidR="00617029">
        <w:rPr>
          <w:color w:val="000000" w:themeColor="text1"/>
        </w:rPr>
        <w:t xml:space="preserve">The total burden for </w:t>
      </w:r>
      <w:r w:rsidRPr="00754E9B" w:rsidR="00F9037F">
        <w:rPr>
          <w:color w:val="000000" w:themeColor="text1"/>
        </w:rPr>
        <w:t xml:space="preserve">TAP </w:t>
      </w:r>
      <w:r w:rsidRPr="00754E9B" w:rsidR="003C7934">
        <w:rPr>
          <w:color w:val="000000" w:themeColor="text1"/>
        </w:rPr>
        <w:t xml:space="preserve">manager </w:t>
      </w:r>
      <w:proofErr w:type="gramStart"/>
      <w:r w:rsidRPr="00754E9B" w:rsidR="00F9037F">
        <w:rPr>
          <w:color w:val="000000" w:themeColor="text1"/>
        </w:rPr>
        <w:t>focus</w:t>
      </w:r>
      <w:proofErr w:type="gramEnd"/>
      <w:r w:rsidRPr="00754E9B" w:rsidR="00F9037F">
        <w:rPr>
          <w:color w:val="000000" w:themeColor="text1"/>
        </w:rPr>
        <w:t xml:space="preserve"> groups is </w:t>
      </w:r>
      <w:r w:rsidRPr="00754E9B" w:rsidR="008F133D">
        <w:rPr>
          <w:color w:val="000000" w:themeColor="text1"/>
        </w:rPr>
        <w:t>4</w:t>
      </w:r>
      <w:r w:rsidRPr="00754E9B" w:rsidR="0063245E">
        <w:rPr>
          <w:color w:val="000000" w:themeColor="text1"/>
        </w:rPr>
        <w:t>5</w:t>
      </w:r>
      <w:r w:rsidRPr="00754E9B" w:rsidR="004E48E1">
        <w:rPr>
          <w:color w:val="000000" w:themeColor="text1"/>
        </w:rPr>
        <w:t xml:space="preserve"> </w:t>
      </w:r>
      <w:r w:rsidRPr="00754E9B" w:rsidR="00617029">
        <w:rPr>
          <w:color w:val="000000" w:themeColor="text1"/>
        </w:rPr>
        <w:t>hours (</w:t>
      </w:r>
      <w:r w:rsidRPr="00754E9B" w:rsidR="001C177E">
        <w:rPr>
          <w:color w:val="000000" w:themeColor="text1"/>
        </w:rPr>
        <w:t>30</w:t>
      </w:r>
      <w:r w:rsidRPr="00754E9B" w:rsidR="00A750C4">
        <w:rPr>
          <w:color w:val="000000" w:themeColor="text1"/>
        </w:rPr>
        <w:t xml:space="preserve"> managers </w:t>
      </w:r>
      <w:r w:rsidRPr="00754E9B" w:rsidR="004E48E1">
        <w:rPr>
          <w:color w:val="000000" w:themeColor="text1"/>
        </w:rPr>
        <w:t xml:space="preserve">x </w:t>
      </w:r>
      <w:r w:rsidRPr="3983EBA5" w:rsidR="4CD99DB7">
        <w:rPr>
          <w:color w:val="000000" w:themeColor="text1"/>
        </w:rPr>
        <w:t>1.5 hours</w:t>
      </w:r>
      <w:r w:rsidRPr="00754E9B" w:rsidR="00617029">
        <w:rPr>
          <w:color w:val="000000" w:themeColor="text1"/>
        </w:rPr>
        <w:t>)</w:t>
      </w:r>
      <w:r w:rsidR="005D495F">
        <w:rPr>
          <w:color w:val="000000" w:themeColor="text1"/>
        </w:rPr>
        <w:t xml:space="preserve"> over two years</w:t>
      </w:r>
      <w:r w:rsidRPr="00754E9B" w:rsidR="00617029">
        <w:rPr>
          <w:color w:val="000000" w:themeColor="text1"/>
        </w:rPr>
        <w:t xml:space="preserve">; the annualized burden is </w:t>
      </w:r>
      <w:r w:rsidRPr="00754E9B" w:rsidR="00152137">
        <w:rPr>
          <w:color w:val="000000" w:themeColor="text1"/>
        </w:rPr>
        <w:t>2</w:t>
      </w:r>
      <w:r w:rsidR="00F43F94">
        <w:rPr>
          <w:color w:val="000000" w:themeColor="text1"/>
        </w:rPr>
        <w:t xml:space="preserve">2.5 </w:t>
      </w:r>
      <w:r w:rsidRPr="00754E9B" w:rsidR="00617029">
        <w:rPr>
          <w:color w:val="000000" w:themeColor="text1"/>
        </w:rPr>
        <w:t>hours.</w:t>
      </w:r>
    </w:p>
    <w:p w:rsidRPr="00754E9B" w:rsidR="00EE33B1" w:rsidP="009B4149" w:rsidRDefault="00F670F7" w14:paraId="52276498" w14:textId="4556B3A8">
      <w:pPr>
        <w:pStyle w:val="NumberedBullet"/>
        <w:numPr>
          <w:ilvl w:val="0"/>
          <w:numId w:val="13"/>
        </w:numPr>
        <w:rPr>
          <w:color w:val="000000" w:themeColor="text1"/>
          <w:szCs w:val="24"/>
        </w:rPr>
      </w:pPr>
      <w:r w:rsidRPr="00754E9B">
        <w:rPr>
          <w:b/>
          <w:bCs/>
          <w:color w:val="000000" w:themeColor="text1"/>
        </w:rPr>
        <w:t>Program partner focus groups</w:t>
      </w:r>
      <w:r w:rsidRPr="00754E9B" w:rsidR="001016E7">
        <w:rPr>
          <w:b/>
          <w:bCs/>
          <w:color w:val="000000" w:themeColor="text1"/>
        </w:rPr>
        <w:t>.</w:t>
      </w:r>
      <w:r w:rsidRPr="00754E9B" w:rsidR="00390ECC">
        <w:rPr>
          <w:b/>
          <w:bCs/>
          <w:color w:val="000000" w:themeColor="text1"/>
        </w:rPr>
        <w:t xml:space="preserve"> </w:t>
      </w:r>
      <w:r w:rsidRPr="00754E9B" w:rsidR="00CE4593">
        <w:rPr>
          <w:color w:val="000000" w:themeColor="text1"/>
        </w:rPr>
        <w:t xml:space="preserve">Program partner focus groups </w:t>
      </w:r>
      <w:r w:rsidRPr="00754E9B" w:rsidR="00CE4593">
        <w:rPr>
          <w:bCs/>
          <w:color w:val="000000" w:themeColor="text1"/>
        </w:rPr>
        <w:t xml:space="preserve">will </w:t>
      </w:r>
      <w:r w:rsidRPr="00754E9B" w:rsidR="00CE4593">
        <w:rPr>
          <w:color w:val="000000" w:themeColor="text1"/>
        </w:rPr>
        <w:t xml:space="preserve">be conducted </w:t>
      </w:r>
      <w:r w:rsidR="002E1CE5">
        <w:rPr>
          <w:color w:val="000000" w:themeColor="text1"/>
        </w:rPr>
        <w:t xml:space="preserve">virtually </w:t>
      </w:r>
      <w:r w:rsidRPr="00754E9B" w:rsidR="00D73AE5">
        <w:rPr>
          <w:color w:val="000000" w:themeColor="text1"/>
        </w:rPr>
        <w:t xml:space="preserve">with </w:t>
      </w:r>
      <w:r w:rsidRPr="00754E9B" w:rsidR="00CE4593">
        <w:rPr>
          <w:color w:val="000000" w:themeColor="text1"/>
        </w:rPr>
        <w:t xml:space="preserve">approximately </w:t>
      </w:r>
      <w:r w:rsidRPr="00754E9B" w:rsidR="00D73AE5">
        <w:rPr>
          <w:color w:val="000000" w:themeColor="text1"/>
        </w:rPr>
        <w:t>48 program partners</w:t>
      </w:r>
      <w:r w:rsidRPr="00754E9B" w:rsidR="00CE4593">
        <w:rPr>
          <w:color w:val="000000" w:themeColor="text1"/>
        </w:rPr>
        <w:t xml:space="preserve">. On average, focus groups with </w:t>
      </w:r>
      <w:r w:rsidRPr="00754E9B" w:rsidR="00D73AE5">
        <w:rPr>
          <w:color w:val="000000" w:themeColor="text1"/>
        </w:rPr>
        <w:t>program partners</w:t>
      </w:r>
      <w:r w:rsidRPr="00754E9B" w:rsidR="00CE4593">
        <w:rPr>
          <w:color w:val="000000" w:themeColor="text1"/>
        </w:rPr>
        <w:t xml:space="preserve"> will take 90 minutes to complete. The total burden for </w:t>
      </w:r>
      <w:r w:rsidRPr="00754E9B" w:rsidR="00D73AE5">
        <w:rPr>
          <w:color w:val="000000" w:themeColor="text1"/>
        </w:rPr>
        <w:t xml:space="preserve">program partner </w:t>
      </w:r>
      <w:r w:rsidRPr="00754E9B" w:rsidR="00CE4593">
        <w:rPr>
          <w:color w:val="000000" w:themeColor="text1"/>
        </w:rPr>
        <w:t xml:space="preserve">focus groups is </w:t>
      </w:r>
      <w:r w:rsidRPr="00754E9B" w:rsidR="002F383B">
        <w:rPr>
          <w:color w:val="000000" w:themeColor="text1"/>
        </w:rPr>
        <w:t>72</w:t>
      </w:r>
      <w:r w:rsidRPr="00754E9B" w:rsidR="00CE4593">
        <w:rPr>
          <w:color w:val="000000" w:themeColor="text1"/>
        </w:rPr>
        <w:t xml:space="preserve"> hours (</w:t>
      </w:r>
      <w:r w:rsidRPr="00754E9B" w:rsidR="002F383B">
        <w:rPr>
          <w:color w:val="000000" w:themeColor="text1"/>
        </w:rPr>
        <w:t>48</w:t>
      </w:r>
      <w:r w:rsidRPr="00754E9B" w:rsidR="00CE4593">
        <w:rPr>
          <w:color w:val="000000" w:themeColor="text1"/>
        </w:rPr>
        <w:t xml:space="preserve"> </w:t>
      </w:r>
      <w:r w:rsidRPr="00754E9B" w:rsidR="002F383B">
        <w:rPr>
          <w:color w:val="000000" w:themeColor="text1"/>
        </w:rPr>
        <w:t xml:space="preserve">program partners </w:t>
      </w:r>
      <w:r w:rsidRPr="00754E9B" w:rsidR="00CE4593">
        <w:rPr>
          <w:color w:val="000000" w:themeColor="text1"/>
        </w:rPr>
        <w:t xml:space="preserve">x </w:t>
      </w:r>
      <w:r w:rsidRPr="3983EBA5" w:rsidR="3D1E32CC">
        <w:rPr>
          <w:color w:val="000000" w:themeColor="text1"/>
        </w:rPr>
        <w:t>1.5 hours</w:t>
      </w:r>
      <w:r w:rsidRPr="00754E9B" w:rsidR="00CE4593">
        <w:rPr>
          <w:color w:val="000000" w:themeColor="text1"/>
        </w:rPr>
        <w:t>)</w:t>
      </w:r>
      <w:r w:rsidRPr="005D495F" w:rsidR="005D495F">
        <w:rPr>
          <w:color w:val="000000" w:themeColor="text1"/>
        </w:rPr>
        <w:t xml:space="preserve"> </w:t>
      </w:r>
      <w:r w:rsidR="005D495F">
        <w:rPr>
          <w:color w:val="000000" w:themeColor="text1"/>
        </w:rPr>
        <w:t>over two years</w:t>
      </w:r>
      <w:r w:rsidRPr="00754E9B" w:rsidR="00CE4593">
        <w:rPr>
          <w:color w:val="000000" w:themeColor="text1"/>
        </w:rPr>
        <w:t xml:space="preserve">; the annualized burden is </w:t>
      </w:r>
      <w:r w:rsidRPr="00754E9B" w:rsidR="002F383B">
        <w:rPr>
          <w:color w:val="000000" w:themeColor="text1"/>
        </w:rPr>
        <w:t>36</w:t>
      </w:r>
      <w:r w:rsidR="002B318F">
        <w:rPr>
          <w:color w:val="000000" w:themeColor="text1"/>
        </w:rPr>
        <w:t>.0</w:t>
      </w:r>
      <w:r w:rsidRPr="00754E9B" w:rsidR="00CE4593">
        <w:rPr>
          <w:color w:val="000000" w:themeColor="text1"/>
        </w:rPr>
        <w:t xml:space="preserve"> hours.</w:t>
      </w:r>
      <w:r w:rsidRPr="00754E9B" w:rsidR="00F26379">
        <w:rPr>
          <w:color w:val="000000" w:themeColor="text1"/>
        </w:rPr>
        <w:t xml:space="preserve"> </w:t>
      </w:r>
    </w:p>
    <w:p w:rsidRPr="00754E9B" w:rsidR="00542944" w:rsidP="009B4149" w:rsidRDefault="00F670F7" w14:paraId="666CDC43" w14:textId="6D159074">
      <w:pPr>
        <w:pStyle w:val="NumberedBullet"/>
        <w:numPr>
          <w:ilvl w:val="0"/>
          <w:numId w:val="13"/>
        </w:numPr>
        <w:rPr>
          <w:color w:val="000000" w:themeColor="text1"/>
          <w:szCs w:val="24"/>
        </w:rPr>
      </w:pPr>
      <w:r w:rsidRPr="00754E9B">
        <w:rPr>
          <w:b/>
          <w:color w:val="000000" w:themeColor="text1"/>
        </w:rPr>
        <w:t>Military spouse participant focus groups</w:t>
      </w:r>
      <w:r w:rsidRPr="00754E9B" w:rsidR="00F16715">
        <w:rPr>
          <w:b/>
          <w:color w:val="000000" w:themeColor="text1"/>
        </w:rPr>
        <w:t xml:space="preserve">. </w:t>
      </w:r>
      <w:r w:rsidRPr="00754E9B" w:rsidR="00DF32B1">
        <w:rPr>
          <w:bCs/>
          <w:color w:val="000000" w:themeColor="text1"/>
        </w:rPr>
        <w:t xml:space="preserve">Military spouse participant focus groups will </w:t>
      </w:r>
      <w:r w:rsidRPr="00754E9B" w:rsidR="00DF32B1">
        <w:rPr>
          <w:color w:val="000000" w:themeColor="text1"/>
        </w:rPr>
        <w:t xml:space="preserve">be conducted at </w:t>
      </w:r>
      <w:r w:rsidR="00EA24BB">
        <w:rPr>
          <w:color w:val="000000" w:themeColor="text1"/>
        </w:rPr>
        <w:t>all</w:t>
      </w:r>
      <w:r w:rsidRPr="00754E9B" w:rsidR="00DF32B1">
        <w:rPr>
          <w:color w:val="000000" w:themeColor="text1"/>
        </w:rPr>
        <w:t xml:space="preserve"> sites virtually. On average, focus groups with </w:t>
      </w:r>
      <w:r w:rsidRPr="00754E9B" w:rsidR="00DF32B1">
        <w:rPr>
          <w:bCs/>
          <w:color w:val="000000" w:themeColor="text1"/>
        </w:rPr>
        <w:t>military spouse participants</w:t>
      </w:r>
      <w:r w:rsidRPr="00754E9B" w:rsidR="00DF32B1">
        <w:rPr>
          <w:color w:val="000000" w:themeColor="text1"/>
        </w:rPr>
        <w:t xml:space="preserve"> will take 90 minutes to complete. The total burden for </w:t>
      </w:r>
      <w:r w:rsidRPr="00754E9B" w:rsidR="00B03964">
        <w:rPr>
          <w:color w:val="000000" w:themeColor="text1"/>
        </w:rPr>
        <w:t>m</w:t>
      </w:r>
      <w:r w:rsidRPr="00754E9B" w:rsidR="00B03964">
        <w:rPr>
          <w:bCs/>
          <w:color w:val="000000" w:themeColor="text1"/>
        </w:rPr>
        <w:t>ilitary spouse participant</w:t>
      </w:r>
      <w:r w:rsidRPr="00754E9B" w:rsidR="00B03964">
        <w:rPr>
          <w:color w:val="000000" w:themeColor="text1"/>
        </w:rPr>
        <w:t xml:space="preserve"> focus </w:t>
      </w:r>
      <w:r w:rsidRPr="00754E9B" w:rsidR="00DF32B1">
        <w:rPr>
          <w:color w:val="000000" w:themeColor="text1"/>
        </w:rPr>
        <w:t xml:space="preserve">groups is </w:t>
      </w:r>
      <w:r w:rsidRPr="00754E9B" w:rsidR="003D35E9">
        <w:rPr>
          <w:color w:val="000000" w:themeColor="text1"/>
        </w:rPr>
        <w:t>6</w:t>
      </w:r>
      <w:r w:rsidR="002B318F">
        <w:rPr>
          <w:color w:val="000000" w:themeColor="text1"/>
        </w:rPr>
        <w:t>3</w:t>
      </w:r>
      <w:r w:rsidRPr="00754E9B" w:rsidR="00DF32B1">
        <w:rPr>
          <w:color w:val="000000" w:themeColor="text1"/>
        </w:rPr>
        <w:t xml:space="preserve"> hours (</w:t>
      </w:r>
      <w:r w:rsidRPr="00754E9B" w:rsidR="003D35E9">
        <w:rPr>
          <w:color w:val="000000" w:themeColor="text1"/>
        </w:rPr>
        <w:t>42</w:t>
      </w:r>
      <w:r w:rsidRPr="00754E9B" w:rsidR="00DF32B1">
        <w:rPr>
          <w:color w:val="000000" w:themeColor="text1"/>
        </w:rPr>
        <w:t xml:space="preserve"> </w:t>
      </w:r>
      <w:r w:rsidRPr="00754E9B" w:rsidR="00D017D7">
        <w:rPr>
          <w:color w:val="000000" w:themeColor="text1"/>
        </w:rPr>
        <w:t>spouses</w:t>
      </w:r>
      <w:r w:rsidRPr="00754E9B" w:rsidR="00DF32B1">
        <w:rPr>
          <w:color w:val="000000" w:themeColor="text1"/>
        </w:rPr>
        <w:t xml:space="preserve"> x </w:t>
      </w:r>
      <w:r w:rsidRPr="3983EBA5" w:rsidR="1A19413B">
        <w:rPr>
          <w:color w:val="000000" w:themeColor="text1"/>
        </w:rPr>
        <w:t>1.5 hours</w:t>
      </w:r>
      <w:r w:rsidRPr="00754E9B" w:rsidR="00DF32B1">
        <w:rPr>
          <w:color w:val="000000" w:themeColor="text1"/>
        </w:rPr>
        <w:t>)</w:t>
      </w:r>
      <w:r w:rsidR="005D495F">
        <w:rPr>
          <w:color w:val="000000" w:themeColor="text1"/>
        </w:rPr>
        <w:t xml:space="preserve"> over two years</w:t>
      </w:r>
      <w:r w:rsidRPr="00754E9B" w:rsidR="00DF32B1">
        <w:rPr>
          <w:color w:val="000000" w:themeColor="text1"/>
        </w:rPr>
        <w:t xml:space="preserve">; the annualized burden is </w:t>
      </w:r>
      <w:r w:rsidRPr="00754E9B" w:rsidR="00D017D7">
        <w:rPr>
          <w:color w:val="000000" w:themeColor="text1"/>
        </w:rPr>
        <w:t>3</w:t>
      </w:r>
      <w:r w:rsidR="002B318F">
        <w:rPr>
          <w:color w:val="000000" w:themeColor="text1"/>
        </w:rPr>
        <w:t>1.5</w:t>
      </w:r>
      <w:r w:rsidRPr="00754E9B" w:rsidR="00DF32B1">
        <w:rPr>
          <w:color w:val="000000" w:themeColor="text1"/>
        </w:rPr>
        <w:t xml:space="preserve"> hours.</w:t>
      </w:r>
    </w:p>
    <w:p w:rsidRPr="00754E9B" w:rsidR="00E175AA" w:rsidP="009B4149" w:rsidRDefault="00F670F7" w14:paraId="2952E03E" w14:textId="35DB030B">
      <w:pPr>
        <w:pStyle w:val="NumberedBullet"/>
        <w:numPr>
          <w:ilvl w:val="0"/>
          <w:numId w:val="13"/>
        </w:numPr>
        <w:rPr>
          <w:color w:val="000000" w:themeColor="text1"/>
          <w:szCs w:val="24"/>
        </w:rPr>
      </w:pPr>
      <w:r w:rsidRPr="00754E9B">
        <w:rPr>
          <w:b/>
          <w:color w:val="000000" w:themeColor="text1"/>
        </w:rPr>
        <w:t>TSM (post-Navigator) participant focus groups</w:t>
      </w:r>
      <w:r w:rsidRPr="00754E9B" w:rsidR="00AE4A04">
        <w:rPr>
          <w:b/>
          <w:color w:val="000000" w:themeColor="text1"/>
        </w:rPr>
        <w:t xml:space="preserve">. </w:t>
      </w:r>
      <w:r w:rsidRPr="00754E9B" w:rsidR="00DB479F">
        <w:rPr>
          <w:bCs/>
          <w:color w:val="000000" w:themeColor="text1"/>
        </w:rPr>
        <w:t xml:space="preserve">TSM </w:t>
      </w:r>
      <w:r w:rsidRPr="00754E9B" w:rsidR="00327461">
        <w:rPr>
          <w:bCs/>
          <w:color w:val="000000" w:themeColor="text1"/>
        </w:rPr>
        <w:t xml:space="preserve">(post-Navigator) </w:t>
      </w:r>
      <w:r w:rsidRPr="00754E9B" w:rsidR="00DB479F">
        <w:rPr>
          <w:bCs/>
          <w:color w:val="000000" w:themeColor="text1"/>
        </w:rPr>
        <w:t xml:space="preserve">participant focus groups will </w:t>
      </w:r>
      <w:r w:rsidRPr="00754E9B" w:rsidR="00DB479F">
        <w:rPr>
          <w:color w:val="000000" w:themeColor="text1"/>
        </w:rPr>
        <w:t xml:space="preserve">be conducted virtually </w:t>
      </w:r>
      <w:r w:rsidR="002A2459">
        <w:rPr>
          <w:color w:val="000000" w:themeColor="text1"/>
        </w:rPr>
        <w:t xml:space="preserve">with </w:t>
      </w:r>
      <w:r w:rsidRPr="00754E9B" w:rsidR="00A7087E">
        <w:rPr>
          <w:bCs/>
          <w:color w:val="000000" w:themeColor="text1"/>
        </w:rPr>
        <w:t>TSMs</w:t>
      </w:r>
      <w:r w:rsidRPr="00754E9B" w:rsidR="00DB479F">
        <w:rPr>
          <w:bCs/>
          <w:color w:val="000000" w:themeColor="text1"/>
        </w:rPr>
        <w:t xml:space="preserve"> </w:t>
      </w:r>
      <w:r w:rsidR="002A2459">
        <w:rPr>
          <w:color w:val="000000" w:themeColor="text1"/>
        </w:rPr>
        <w:t xml:space="preserve">served </w:t>
      </w:r>
      <w:r w:rsidRPr="00754E9B" w:rsidR="00DB479F">
        <w:rPr>
          <w:color w:val="000000" w:themeColor="text1"/>
        </w:rPr>
        <w:t xml:space="preserve">at </w:t>
      </w:r>
      <w:r w:rsidR="003453F6">
        <w:rPr>
          <w:color w:val="000000" w:themeColor="text1"/>
        </w:rPr>
        <w:t>all sites</w:t>
      </w:r>
      <w:r w:rsidRPr="00754E9B" w:rsidR="00DB479F">
        <w:rPr>
          <w:color w:val="000000" w:themeColor="text1"/>
        </w:rPr>
        <w:t xml:space="preserve">. On average, focus groups with </w:t>
      </w:r>
      <w:r w:rsidRPr="00754E9B" w:rsidR="00570B66">
        <w:rPr>
          <w:color w:val="000000" w:themeColor="text1"/>
        </w:rPr>
        <w:t xml:space="preserve">TSM </w:t>
      </w:r>
      <w:r w:rsidRPr="00754E9B" w:rsidR="00DB479F">
        <w:rPr>
          <w:bCs/>
          <w:color w:val="000000" w:themeColor="text1"/>
        </w:rPr>
        <w:t>participants</w:t>
      </w:r>
      <w:r w:rsidRPr="00754E9B" w:rsidR="00DB479F">
        <w:rPr>
          <w:color w:val="000000" w:themeColor="text1"/>
        </w:rPr>
        <w:t xml:space="preserve"> will take 90 minutes to complete. The total burden for </w:t>
      </w:r>
      <w:r w:rsidRPr="00754E9B" w:rsidR="00570B66">
        <w:rPr>
          <w:color w:val="000000" w:themeColor="text1"/>
        </w:rPr>
        <w:t xml:space="preserve">TSM </w:t>
      </w:r>
      <w:r w:rsidRPr="00754E9B" w:rsidR="00DB479F">
        <w:rPr>
          <w:bCs/>
          <w:color w:val="000000" w:themeColor="text1"/>
        </w:rPr>
        <w:t>participant</w:t>
      </w:r>
      <w:r w:rsidRPr="00754E9B" w:rsidR="00DB479F">
        <w:rPr>
          <w:color w:val="000000" w:themeColor="text1"/>
        </w:rPr>
        <w:t xml:space="preserve"> focus groups is </w:t>
      </w:r>
      <w:r w:rsidRPr="00754E9B" w:rsidR="00F46C42">
        <w:rPr>
          <w:color w:val="000000" w:themeColor="text1"/>
        </w:rPr>
        <w:t>8</w:t>
      </w:r>
      <w:r w:rsidR="002B318F">
        <w:rPr>
          <w:color w:val="000000" w:themeColor="text1"/>
        </w:rPr>
        <w:t>7</w:t>
      </w:r>
      <w:r w:rsidRPr="00754E9B" w:rsidR="00DB479F">
        <w:rPr>
          <w:color w:val="000000" w:themeColor="text1"/>
        </w:rPr>
        <w:t xml:space="preserve"> hours (</w:t>
      </w:r>
      <w:r w:rsidRPr="00754E9B" w:rsidR="000C49EF">
        <w:rPr>
          <w:color w:val="000000" w:themeColor="text1"/>
        </w:rPr>
        <w:t>58</w:t>
      </w:r>
      <w:r w:rsidRPr="00754E9B" w:rsidR="00F67D97">
        <w:rPr>
          <w:color w:val="000000" w:themeColor="text1"/>
        </w:rPr>
        <w:t xml:space="preserve"> TSMs</w:t>
      </w:r>
      <w:r w:rsidRPr="00754E9B" w:rsidR="00DB479F">
        <w:rPr>
          <w:color w:val="000000" w:themeColor="text1"/>
        </w:rPr>
        <w:t xml:space="preserve"> x </w:t>
      </w:r>
      <w:r w:rsidRPr="3983EBA5" w:rsidR="682A8327">
        <w:rPr>
          <w:color w:val="000000" w:themeColor="text1"/>
        </w:rPr>
        <w:t>1.5 hours</w:t>
      </w:r>
      <w:r w:rsidRPr="00754E9B" w:rsidR="00DB479F">
        <w:rPr>
          <w:color w:val="000000" w:themeColor="text1"/>
        </w:rPr>
        <w:t>)</w:t>
      </w:r>
      <w:r w:rsidR="005D495F">
        <w:rPr>
          <w:color w:val="000000" w:themeColor="text1"/>
        </w:rPr>
        <w:t xml:space="preserve"> over two years</w:t>
      </w:r>
      <w:r w:rsidRPr="00754E9B" w:rsidR="00DB479F">
        <w:rPr>
          <w:color w:val="000000" w:themeColor="text1"/>
        </w:rPr>
        <w:t xml:space="preserve">; the annualized burden is </w:t>
      </w:r>
      <w:r w:rsidRPr="00754E9B" w:rsidR="006E4170">
        <w:rPr>
          <w:color w:val="000000" w:themeColor="text1"/>
        </w:rPr>
        <w:t>4</w:t>
      </w:r>
      <w:r w:rsidR="002B318F">
        <w:rPr>
          <w:color w:val="000000" w:themeColor="text1"/>
        </w:rPr>
        <w:t>3.5</w:t>
      </w:r>
      <w:r w:rsidRPr="00754E9B" w:rsidR="00DB479F">
        <w:rPr>
          <w:color w:val="000000" w:themeColor="text1"/>
        </w:rPr>
        <w:t xml:space="preserve"> hours.</w:t>
      </w:r>
    </w:p>
    <w:p w:rsidRPr="00754E9B" w:rsidR="00DB5325" w:rsidP="009B4149" w:rsidRDefault="00F670F7" w14:paraId="7236371D" w14:textId="26931007">
      <w:pPr>
        <w:pStyle w:val="NumberedBullet"/>
        <w:numPr>
          <w:ilvl w:val="0"/>
          <w:numId w:val="13"/>
        </w:numPr>
        <w:rPr>
          <w:color w:val="000000" w:themeColor="text1"/>
          <w:szCs w:val="24"/>
        </w:rPr>
      </w:pPr>
      <w:r w:rsidRPr="00754E9B">
        <w:rPr>
          <w:b/>
          <w:color w:val="000000" w:themeColor="text1"/>
        </w:rPr>
        <w:t>TSM (post-Partner) participant focus groups</w:t>
      </w:r>
      <w:r w:rsidRPr="00754E9B" w:rsidR="00E175AA">
        <w:rPr>
          <w:b/>
          <w:color w:val="000000" w:themeColor="text1"/>
        </w:rPr>
        <w:t xml:space="preserve">. </w:t>
      </w:r>
      <w:r w:rsidRPr="00754E9B" w:rsidR="004A000A">
        <w:rPr>
          <w:bCs/>
          <w:color w:val="000000" w:themeColor="text1"/>
        </w:rPr>
        <w:t>TSM (post-</w:t>
      </w:r>
      <w:r w:rsidRPr="00754E9B" w:rsidR="000C417F">
        <w:rPr>
          <w:bCs/>
          <w:color w:val="000000" w:themeColor="text1"/>
        </w:rPr>
        <w:t>partner</w:t>
      </w:r>
      <w:r w:rsidRPr="00754E9B" w:rsidR="004A000A">
        <w:rPr>
          <w:bCs/>
          <w:color w:val="000000" w:themeColor="text1"/>
        </w:rPr>
        <w:t xml:space="preserve">) participant focus groups will </w:t>
      </w:r>
      <w:r w:rsidRPr="00754E9B" w:rsidR="004A000A">
        <w:rPr>
          <w:color w:val="000000" w:themeColor="text1"/>
        </w:rPr>
        <w:t xml:space="preserve">be conducted virtually </w:t>
      </w:r>
      <w:r w:rsidR="002E48AC">
        <w:rPr>
          <w:color w:val="000000" w:themeColor="text1"/>
        </w:rPr>
        <w:t xml:space="preserve">with </w:t>
      </w:r>
      <w:r w:rsidRPr="00754E9B" w:rsidR="004A000A">
        <w:rPr>
          <w:bCs/>
          <w:color w:val="000000" w:themeColor="text1"/>
        </w:rPr>
        <w:t xml:space="preserve">TSMs </w:t>
      </w:r>
      <w:r w:rsidR="00A76F58">
        <w:rPr>
          <w:color w:val="000000" w:themeColor="text1"/>
        </w:rPr>
        <w:t>served at all sites</w:t>
      </w:r>
      <w:r w:rsidRPr="00754E9B" w:rsidR="004A000A">
        <w:rPr>
          <w:color w:val="000000" w:themeColor="text1"/>
        </w:rPr>
        <w:t xml:space="preserve">. On average, focus groups with TSM </w:t>
      </w:r>
      <w:r w:rsidRPr="00754E9B" w:rsidR="004A000A">
        <w:rPr>
          <w:bCs/>
          <w:color w:val="000000" w:themeColor="text1"/>
        </w:rPr>
        <w:t>participants</w:t>
      </w:r>
      <w:r w:rsidRPr="00754E9B" w:rsidR="004A000A">
        <w:rPr>
          <w:color w:val="000000" w:themeColor="text1"/>
        </w:rPr>
        <w:t xml:space="preserve"> will take 90 minutes to complete. The total burden for TSM </w:t>
      </w:r>
      <w:r w:rsidRPr="00754E9B" w:rsidR="004A000A">
        <w:rPr>
          <w:bCs/>
          <w:color w:val="000000" w:themeColor="text1"/>
        </w:rPr>
        <w:t>participant</w:t>
      </w:r>
      <w:r w:rsidRPr="00754E9B" w:rsidR="004A000A">
        <w:rPr>
          <w:color w:val="000000" w:themeColor="text1"/>
        </w:rPr>
        <w:t xml:space="preserve"> focus groups is </w:t>
      </w:r>
      <w:r w:rsidRPr="00754E9B" w:rsidR="00836C18">
        <w:rPr>
          <w:color w:val="000000" w:themeColor="text1"/>
        </w:rPr>
        <w:t>6</w:t>
      </w:r>
      <w:r w:rsidR="002B318F">
        <w:rPr>
          <w:color w:val="000000" w:themeColor="text1"/>
        </w:rPr>
        <w:t>3</w:t>
      </w:r>
      <w:r w:rsidRPr="00754E9B" w:rsidR="004A000A">
        <w:rPr>
          <w:color w:val="000000" w:themeColor="text1"/>
        </w:rPr>
        <w:t xml:space="preserve"> hours (</w:t>
      </w:r>
      <w:r w:rsidRPr="00754E9B" w:rsidR="003F67BE">
        <w:rPr>
          <w:color w:val="000000" w:themeColor="text1"/>
        </w:rPr>
        <w:t>42</w:t>
      </w:r>
      <w:r w:rsidRPr="00754E9B" w:rsidR="004A000A">
        <w:rPr>
          <w:color w:val="000000" w:themeColor="text1"/>
        </w:rPr>
        <w:t xml:space="preserve"> TSMs x </w:t>
      </w:r>
      <w:r w:rsidRPr="3983EBA5" w:rsidR="43386909">
        <w:rPr>
          <w:color w:val="000000" w:themeColor="text1"/>
        </w:rPr>
        <w:t>1.5 hours</w:t>
      </w:r>
      <w:r w:rsidRPr="00754E9B" w:rsidR="004A000A">
        <w:rPr>
          <w:color w:val="000000" w:themeColor="text1"/>
        </w:rPr>
        <w:t>)</w:t>
      </w:r>
      <w:r w:rsidR="005D495F">
        <w:rPr>
          <w:color w:val="000000" w:themeColor="text1"/>
        </w:rPr>
        <w:t xml:space="preserve"> over two years</w:t>
      </w:r>
      <w:r w:rsidRPr="00754E9B" w:rsidR="004A000A">
        <w:rPr>
          <w:color w:val="000000" w:themeColor="text1"/>
        </w:rPr>
        <w:t xml:space="preserve">; the annualized burden is </w:t>
      </w:r>
      <w:r w:rsidR="004A2AB3">
        <w:rPr>
          <w:color w:val="000000" w:themeColor="text1"/>
        </w:rPr>
        <w:t xml:space="preserve">31.5 </w:t>
      </w:r>
      <w:r w:rsidRPr="00754E9B" w:rsidR="004A000A">
        <w:rPr>
          <w:color w:val="000000" w:themeColor="text1"/>
        </w:rPr>
        <w:t>hours.</w:t>
      </w:r>
    </w:p>
    <w:p w:rsidRPr="00754E9B" w:rsidR="00DB5325" w:rsidP="009B4149" w:rsidRDefault="00DB5325" w14:paraId="3C3C02D7" w14:textId="289737A3">
      <w:pPr>
        <w:pStyle w:val="NumberedBullet"/>
        <w:numPr>
          <w:ilvl w:val="0"/>
          <w:numId w:val="13"/>
        </w:numPr>
        <w:rPr>
          <w:color w:val="000000" w:themeColor="text1"/>
          <w:szCs w:val="24"/>
        </w:rPr>
      </w:pPr>
      <w:r w:rsidRPr="00754E9B">
        <w:rPr>
          <w:b/>
          <w:color w:val="000000" w:themeColor="text1"/>
        </w:rPr>
        <w:t xml:space="preserve">Program Employment Navigator focus groups. </w:t>
      </w:r>
      <w:r w:rsidRPr="00754E9B" w:rsidR="00083E78">
        <w:rPr>
          <w:bCs/>
          <w:color w:val="000000" w:themeColor="text1"/>
        </w:rPr>
        <w:t xml:space="preserve">Employment Navigator focus groups will </w:t>
      </w:r>
      <w:r w:rsidRPr="00754E9B" w:rsidR="00083E78">
        <w:rPr>
          <w:color w:val="000000" w:themeColor="text1"/>
        </w:rPr>
        <w:t xml:space="preserve">be conducted virtually </w:t>
      </w:r>
      <w:r w:rsidR="001B24B0">
        <w:rPr>
          <w:color w:val="000000" w:themeColor="text1"/>
        </w:rPr>
        <w:t xml:space="preserve">with ENs at all </w:t>
      </w:r>
      <w:r w:rsidRPr="00754E9B" w:rsidR="00083E78">
        <w:rPr>
          <w:color w:val="000000" w:themeColor="text1"/>
        </w:rPr>
        <w:t xml:space="preserve">sites. On average, focus groups with </w:t>
      </w:r>
      <w:r w:rsidR="001B24B0">
        <w:rPr>
          <w:color w:val="000000" w:themeColor="text1"/>
        </w:rPr>
        <w:t>ENs</w:t>
      </w:r>
      <w:r w:rsidRPr="00754E9B" w:rsidR="00C3254F">
        <w:rPr>
          <w:bCs/>
          <w:color w:val="000000" w:themeColor="text1"/>
        </w:rPr>
        <w:t xml:space="preserve"> </w:t>
      </w:r>
      <w:r w:rsidRPr="00754E9B" w:rsidR="00083E78">
        <w:rPr>
          <w:color w:val="000000" w:themeColor="text1"/>
        </w:rPr>
        <w:t xml:space="preserve">will take 90 minutes to complete. The total burden for </w:t>
      </w:r>
      <w:r w:rsidR="003E376E">
        <w:rPr>
          <w:color w:val="000000" w:themeColor="text1"/>
        </w:rPr>
        <w:t>EN</w:t>
      </w:r>
      <w:r w:rsidRPr="00754E9B" w:rsidR="00D10DAB">
        <w:rPr>
          <w:bCs/>
          <w:color w:val="000000" w:themeColor="text1"/>
        </w:rPr>
        <w:t xml:space="preserve"> </w:t>
      </w:r>
      <w:r w:rsidRPr="00754E9B" w:rsidR="00083E78">
        <w:rPr>
          <w:color w:val="000000" w:themeColor="text1"/>
        </w:rPr>
        <w:t xml:space="preserve">focus groups is </w:t>
      </w:r>
      <w:r w:rsidRPr="00754E9B" w:rsidR="00D10DAB">
        <w:rPr>
          <w:color w:val="000000" w:themeColor="text1"/>
        </w:rPr>
        <w:t>5</w:t>
      </w:r>
      <w:r w:rsidR="004A2AB3">
        <w:rPr>
          <w:color w:val="000000" w:themeColor="text1"/>
        </w:rPr>
        <w:t>1</w:t>
      </w:r>
      <w:r w:rsidRPr="00754E9B" w:rsidR="00083E78">
        <w:rPr>
          <w:color w:val="000000" w:themeColor="text1"/>
        </w:rPr>
        <w:t xml:space="preserve"> hours (</w:t>
      </w:r>
      <w:r w:rsidRPr="00754E9B" w:rsidR="00D10DAB">
        <w:rPr>
          <w:color w:val="000000" w:themeColor="text1"/>
        </w:rPr>
        <w:t>34</w:t>
      </w:r>
      <w:r w:rsidRPr="00754E9B" w:rsidR="00083E78">
        <w:rPr>
          <w:color w:val="000000" w:themeColor="text1"/>
        </w:rPr>
        <w:t xml:space="preserve"> TSMs x </w:t>
      </w:r>
      <w:r w:rsidRPr="3983EBA5" w:rsidR="3DAFA77F">
        <w:rPr>
          <w:color w:val="000000" w:themeColor="text1"/>
        </w:rPr>
        <w:t>1.5 hours</w:t>
      </w:r>
      <w:r w:rsidRPr="00754E9B" w:rsidR="00083E78">
        <w:rPr>
          <w:color w:val="000000" w:themeColor="text1"/>
        </w:rPr>
        <w:t>)</w:t>
      </w:r>
      <w:r w:rsidR="005D495F">
        <w:rPr>
          <w:color w:val="000000" w:themeColor="text1"/>
        </w:rPr>
        <w:t xml:space="preserve"> over two years</w:t>
      </w:r>
      <w:r w:rsidRPr="00754E9B" w:rsidR="00083E78">
        <w:rPr>
          <w:color w:val="000000" w:themeColor="text1"/>
        </w:rPr>
        <w:t xml:space="preserve">; the annualized burden is </w:t>
      </w:r>
      <w:r w:rsidRPr="00754E9B" w:rsidR="0082395F">
        <w:rPr>
          <w:color w:val="000000" w:themeColor="text1"/>
        </w:rPr>
        <w:t>2</w:t>
      </w:r>
      <w:r w:rsidR="004A2AB3">
        <w:rPr>
          <w:color w:val="000000" w:themeColor="text1"/>
        </w:rPr>
        <w:t>5.5</w:t>
      </w:r>
      <w:r w:rsidRPr="00754E9B" w:rsidR="00083E78">
        <w:rPr>
          <w:color w:val="000000" w:themeColor="text1"/>
        </w:rPr>
        <w:t xml:space="preserve"> hours.</w:t>
      </w:r>
    </w:p>
    <w:p w:rsidRPr="00754E9B" w:rsidR="00DB5325" w:rsidP="00754E9B" w:rsidRDefault="00DB5325" w14:paraId="6286ACF4" w14:textId="24ED461A">
      <w:pPr>
        <w:pStyle w:val="NumberedBullet"/>
        <w:numPr>
          <w:ilvl w:val="0"/>
          <w:numId w:val="0"/>
        </w:numPr>
        <w:ind w:left="360"/>
        <w:rPr>
          <w:color w:val="C00000"/>
        </w:rPr>
        <w:sectPr w:rsidRPr="00754E9B" w:rsidR="00DB5325" w:rsidSect="00FA1BE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C451D0" w:rsidP="00C451D0" w:rsidRDefault="00C451D0" w14:paraId="5497F4BF" w14:textId="77824559">
      <w:pPr>
        <w:pStyle w:val="MarkforTableTitle"/>
      </w:pPr>
      <w:r>
        <w:lastRenderedPageBreak/>
        <w:t xml:space="preserve">Table A.3. Estimated Annualized Respondent Hour and Cost Burden </w:t>
      </w:r>
    </w:p>
    <w:tbl>
      <w:tblPr>
        <w:tblStyle w:val="SMPRTableBlack"/>
        <w:tblW w:w="5670" w:type="pct"/>
        <w:tblInd w:w="-450" w:type="dxa"/>
        <w:tblLayout w:type="fixed"/>
        <w:tblLook w:val="0000" w:firstRow="0" w:lastRow="0" w:firstColumn="0" w:lastColumn="0" w:noHBand="0" w:noVBand="0"/>
      </w:tblPr>
      <w:tblGrid>
        <w:gridCol w:w="2993"/>
        <w:gridCol w:w="1869"/>
        <w:gridCol w:w="1746"/>
        <w:gridCol w:w="1746"/>
        <w:gridCol w:w="1620"/>
        <w:gridCol w:w="1496"/>
        <w:gridCol w:w="1493"/>
        <w:gridCol w:w="1734"/>
      </w:tblGrid>
      <w:tr w:rsidRPr="00C62A6D" w:rsidR="005D37DE" w:rsidTr="3983EBA5" w14:paraId="3F8B9337" w14:textId="77777777">
        <w:tc>
          <w:tcPr>
            <w:tcW w:w="1018" w:type="pct"/>
            <w:tcBorders>
              <w:top w:val="single" w:color="auto" w:sz="12" w:space="0"/>
              <w:bottom w:val="single" w:color="auto" w:sz="4" w:space="0"/>
            </w:tcBorders>
            <w:shd w:val="clear" w:color="auto" w:fill="6C6F70"/>
          </w:tcPr>
          <w:p w:rsidRPr="00C62A6D" w:rsidR="00C451D0" w:rsidP="00165C46" w:rsidRDefault="00C451D0" w14:paraId="6495271D" w14:textId="77777777">
            <w:pPr>
              <w:pStyle w:val="TableHeaderLeft"/>
              <w:jc w:val="center"/>
            </w:pPr>
            <w:r w:rsidRPr="00C62A6D">
              <w:t>Data Collection Activity</w:t>
            </w:r>
          </w:p>
        </w:tc>
        <w:tc>
          <w:tcPr>
            <w:tcW w:w="636" w:type="pct"/>
            <w:tcBorders>
              <w:top w:val="single" w:color="auto" w:sz="12" w:space="0"/>
              <w:bottom w:val="single" w:color="auto" w:sz="4" w:space="0"/>
            </w:tcBorders>
            <w:shd w:val="clear" w:color="auto" w:fill="6C6F70"/>
          </w:tcPr>
          <w:p w:rsidRPr="00C62A6D" w:rsidR="00C451D0" w:rsidP="00165C46" w:rsidRDefault="00C451D0" w14:paraId="490A7AAC" w14:textId="11429B4F">
            <w:pPr>
              <w:pStyle w:val="TableHeaderCenter"/>
            </w:pPr>
            <w:r>
              <w:t>N</w:t>
            </w:r>
            <w:r w:rsidRPr="00C62A6D">
              <w:t>umber of respondents</w:t>
            </w:r>
            <w:r w:rsidR="005D495F">
              <w:t xml:space="preserve"> </w:t>
            </w:r>
            <w:r w:rsidR="00FD28CB">
              <w:t>per year</w:t>
            </w:r>
          </w:p>
        </w:tc>
        <w:tc>
          <w:tcPr>
            <w:tcW w:w="594" w:type="pct"/>
            <w:tcBorders>
              <w:top w:val="single" w:color="auto" w:sz="12" w:space="0"/>
              <w:bottom w:val="single" w:color="auto" w:sz="4" w:space="0"/>
            </w:tcBorders>
            <w:shd w:val="clear" w:color="auto" w:fill="6C6F70"/>
          </w:tcPr>
          <w:p w:rsidRPr="00C62A6D" w:rsidR="00C451D0" w:rsidP="00165C46" w:rsidRDefault="00C451D0" w14:paraId="3210EAFB" w14:textId="77777777">
            <w:pPr>
              <w:pStyle w:val="TableHeaderCenter"/>
            </w:pPr>
            <w:r w:rsidRPr="00C62A6D">
              <w:t>Number of responses per respondent</w:t>
            </w:r>
          </w:p>
        </w:tc>
        <w:tc>
          <w:tcPr>
            <w:tcW w:w="594" w:type="pct"/>
            <w:tcBorders>
              <w:top w:val="single" w:color="auto" w:sz="12" w:space="0"/>
              <w:bottom w:val="single" w:color="auto" w:sz="4" w:space="0"/>
            </w:tcBorders>
            <w:shd w:val="clear" w:color="auto" w:fill="6C6F70"/>
          </w:tcPr>
          <w:p w:rsidRPr="00C62A6D" w:rsidR="00C451D0" w:rsidP="00165C46" w:rsidRDefault="00C451D0" w14:paraId="4E13787F" w14:textId="77777777">
            <w:pPr>
              <w:pStyle w:val="TableHeaderCenter"/>
            </w:pPr>
            <w:r w:rsidRPr="00C62A6D">
              <w:t xml:space="preserve">Total </w:t>
            </w:r>
            <w:r>
              <w:t>n</w:t>
            </w:r>
            <w:r w:rsidRPr="00C62A6D">
              <w:t xml:space="preserve">umber of </w:t>
            </w:r>
            <w:r>
              <w:t>r</w:t>
            </w:r>
            <w:r w:rsidRPr="00C62A6D">
              <w:t>esponses</w:t>
            </w:r>
          </w:p>
        </w:tc>
        <w:tc>
          <w:tcPr>
            <w:tcW w:w="551" w:type="pct"/>
            <w:tcBorders>
              <w:top w:val="single" w:color="auto" w:sz="12" w:space="0"/>
              <w:bottom w:val="single" w:color="auto" w:sz="4" w:space="0"/>
            </w:tcBorders>
            <w:shd w:val="clear" w:color="auto" w:fill="6C6F70"/>
          </w:tcPr>
          <w:p w:rsidRPr="00C62A6D" w:rsidR="00C451D0" w:rsidP="00165C46" w:rsidRDefault="00C451D0" w14:paraId="5C028DC1" w14:textId="77777777">
            <w:pPr>
              <w:pStyle w:val="TableHeaderCenter"/>
            </w:pPr>
            <w:r w:rsidRPr="00C62A6D">
              <w:t xml:space="preserve">Average burden per response (in </w:t>
            </w:r>
            <w:r>
              <w:t>h</w:t>
            </w:r>
            <w:r w:rsidRPr="00C62A6D">
              <w:t>ours)</w:t>
            </w:r>
          </w:p>
        </w:tc>
        <w:tc>
          <w:tcPr>
            <w:tcW w:w="509" w:type="pct"/>
            <w:tcBorders>
              <w:top w:val="single" w:color="auto" w:sz="12" w:space="0"/>
              <w:bottom w:val="single" w:color="auto" w:sz="4" w:space="0"/>
            </w:tcBorders>
            <w:shd w:val="clear" w:color="auto" w:fill="6C6F70"/>
          </w:tcPr>
          <w:p w:rsidRPr="00C62A6D" w:rsidR="00C451D0" w:rsidP="00165C46" w:rsidRDefault="00C451D0" w14:paraId="69051B59" w14:textId="77777777">
            <w:pPr>
              <w:pStyle w:val="TableHeaderCenter"/>
            </w:pPr>
            <w:r w:rsidRPr="00C62A6D">
              <w:t>Annual</w:t>
            </w:r>
            <w:r w:rsidRPr="00C62A6D">
              <w:br/>
              <w:t>estimated burden hours</w:t>
            </w:r>
          </w:p>
        </w:tc>
        <w:tc>
          <w:tcPr>
            <w:tcW w:w="508" w:type="pct"/>
            <w:tcBorders>
              <w:top w:val="single" w:color="auto" w:sz="12" w:space="0"/>
              <w:bottom w:val="single" w:color="auto" w:sz="4" w:space="0"/>
            </w:tcBorders>
            <w:shd w:val="clear" w:color="auto" w:fill="6C6F70"/>
          </w:tcPr>
          <w:p w:rsidRPr="00C62A6D" w:rsidR="00C451D0" w:rsidP="00165C46" w:rsidRDefault="00C451D0" w14:paraId="03F7174D" w14:textId="77777777">
            <w:pPr>
              <w:pStyle w:val="TableHeaderCenter"/>
            </w:pPr>
            <w:r w:rsidRPr="00C62A6D">
              <w:t xml:space="preserve">Average hourly </w:t>
            </w:r>
            <w:r w:rsidRPr="00C62A6D">
              <w:rPr>
                <w:vertAlign w:val="superscript"/>
              </w:rPr>
              <w:t>a</w:t>
            </w:r>
          </w:p>
        </w:tc>
        <w:tc>
          <w:tcPr>
            <w:tcW w:w="590" w:type="pct"/>
            <w:tcBorders>
              <w:top w:val="single" w:color="auto" w:sz="12" w:space="0"/>
              <w:bottom w:val="single" w:color="auto" w:sz="4" w:space="0"/>
            </w:tcBorders>
            <w:shd w:val="clear" w:color="auto" w:fill="6C6F70"/>
          </w:tcPr>
          <w:p w:rsidRPr="00C62A6D" w:rsidR="00C451D0" w:rsidP="00165C46" w:rsidRDefault="00C451D0" w14:paraId="3945A304" w14:textId="77777777">
            <w:pPr>
              <w:pStyle w:val="TableHeaderCenter"/>
            </w:pPr>
            <w:r w:rsidRPr="00C62A6D">
              <w:t>Annual monetized burden hours</w:t>
            </w:r>
          </w:p>
        </w:tc>
      </w:tr>
      <w:tr w:rsidRPr="00C62A6D" w:rsidR="00BA1248" w:rsidTr="3983EBA5" w14:paraId="28BA81C2" w14:textId="77777777">
        <w:tc>
          <w:tcPr>
            <w:tcW w:w="1018" w:type="pct"/>
            <w:tcBorders>
              <w:top w:val="single" w:color="auto" w:sz="4" w:space="0"/>
              <w:bottom w:val="nil"/>
            </w:tcBorders>
            <w:vAlign w:val="top"/>
          </w:tcPr>
          <w:p w:rsidRPr="008F4A71" w:rsidR="00C451D0" w:rsidP="00165C46" w:rsidRDefault="00686751" w14:paraId="689B78C0" w14:textId="7A9576DA">
            <w:pPr>
              <w:pStyle w:val="TableText"/>
              <w:spacing w:before="60" w:after="60"/>
              <w:rPr>
                <w:color w:val="000000" w:themeColor="text1"/>
              </w:rPr>
            </w:pPr>
            <w:r w:rsidRPr="008F4A71">
              <w:rPr>
                <w:color w:val="000000" w:themeColor="text1"/>
              </w:rPr>
              <w:t>TAP manager focus groups</w:t>
            </w:r>
          </w:p>
        </w:tc>
        <w:tc>
          <w:tcPr>
            <w:tcW w:w="636" w:type="pct"/>
            <w:tcBorders>
              <w:top w:val="single" w:color="auto" w:sz="4" w:space="0"/>
              <w:bottom w:val="nil"/>
            </w:tcBorders>
            <w:vAlign w:val="top"/>
          </w:tcPr>
          <w:p w:rsidRPr="008F4A71" w:rsidR="00C451D0" w:rsidP="00165C46" w:rsidRDefault="005A1346" w14:paraId="2F743A70" w14:textId="071AA9DF">
            <w:pPr>
              <w:pStyle w:val="TableText"/>
              <w:spacing w:before="60" w:after="60"/>
              <w:ind w:right="144"/>
              <w:jc w:val="center"/>
              <w:rPr>
                <w:color w:val="000000" w:themeColor="text1"/>
              </w:rPr>
            </w:pPr>
            <w:r w:rsidRPr="008F4A71">
              <w:rPr>
                <w:color w:val="000000" w:themeColor="text1"/>
              </w:rPr>
              <w:t>15</w:t>
            </w:r>
          </w:p>
        </w:tc>
        <w:tc>
          <w:tcPr>
            <w:tcW w:w="594" w:type="pct"/>
            <w:tcBorders>
              <w:top w:val="single" w:color="auto" w:sz="4" w:space="0"/>
              <w:bottom w:val="nil"/>
            </w:tcBorders>
            <w:vAlign w:val="top"/>
          </w:tcPr>
          <w:p w:rsidRPr="008F4A71" w:rsidR="00C451D0" w:rsidP="00165C46" w:rsidRDefault="00C451D0" w14:paraId="18F2A89E" w14:textId="77777777">
            <w:pPr>
              <w:pStyle w:val="TableText"/>
              <w:spacing w:before="60" w:after="60"/>
              <w:ind w:right="144"/>
              <w:jc w:val="center"/>
              <w:rPr>
                <w:color w:val="000000" w:themeColor="text1"/>
              </w:rPr>
            </w:pPr>
            <w:r w:rsidRPr="008F4A71">
              <w:rPr>
                <w:color w:val="000000" w:themeColor="text1"/>
              </w:rPr>
              <w:t>1</w:t>
            </w:r>
          </w:p>
        </w:tc>
        <w:tc>
          <w:tcPr>
            <w:tcW w:w="594" w:type="pct"/>
            <w:tcBorders>
              <w:top w:val="single" w:color="auto" w:sz="4" w:space="0"/>
              <w:bottom w:val="nil"/>
            </w:tcBorders>
            <w:vAlign w:val="top"/>
          </w:tcPr>
          <w:p w:rsidRPr="008F4A71" w:rsidR="00C451D0" w:rsidP="00165C46" w:rsidRDefault="005A1346" w14:paraId="303B6547" w14:textId="369A35FB">
            <w:pPr>
              <w:pStyle w:val="TableText"/>
              <w:spacing w:before="60" w:after="60"/>
              <w:ind w:right="144"/>
              <w:jc w:val="center"/>
              <w:rPr>
                <w:color w:val="000000" w:themeColor="text1"/>
              </w:rPr>
            </w:pPr>
            <w:r w:rsidRPr="008F4A71">
              <w:rPr>
                <w:color w:val="000000" w:themeColor="text1"/>
              </w:rPr>
              <w:t>15</w:t>
            </w:r>
          </w:p>
        </w:tc>
        <w:tc>
          <w:tcPr>
            <w:tcW w:w="551" w:type="pct"/>
            <w:tcBorders>
              <w:top w:val="single" w:color="auto" w:sz="4" w:space="0"/>
              <w:bottom w:val="nil"/>
            </w:tcBorders>
            <w:vAlign w:val="top"/>
          </w:tcPr>
          <w:p w:rsidRPr="008F4A71" w:rsidR="00C451D0" w:rsidP="00165C46" w:rsidRDefault="301A0F55" w14:paraId="71A93140" w14:textId="5DCC6826">
            <w:pPr>
              <w:pStyle w:val="TableText"/>
              <w:spacing w:before="60" w:after="60"/>
              <w:ind w:right="144"/>
              <w:jc w:val="center"/>
              <w:rPr>
                <w:color w:val="000000" w:themeColor="text1"/>
              </w:rPr>
            </w:pPr>
            <w:r w:rsidRPr="3983EBA5">
              <w:rPr>
                <w:color w:val="000000" w:themeColor="text1"/>
              </w:rPr>
              <w:t>1.5</w:t>
            </w:r>
          </w:p>
        </w:tc>
        <w:tc>
          <w:tcPr>
            <w:tcW w:w="509" w:type="pct"/>
            <w:tcBorders>
              <w:top w:val="single" w:color="auto" w:sz="4" w:space="0"/>
              <w:bottom w:val="nil"/>
            </w:tcBorders>
            <w:vAlign w:val="top"/>
          </w:tcPr>
          <w:p w:rsidRPr="008F4A71" w:rsidR="00C451D0" w:rsidP="00263D63" w:rsidRDefault="00741C10" w14:paraId="02D36A00" w14:textId="5F178D27">
            <w:pPr>
              <w:pStyle w:val="TableText"/>
              <w:spacing w:before="60" w:after="60"/>
              <w:ind w:right="144"/>
              <w:jc w:val="center"/>
              <w:rPr>
                <w:color w:val="000000" w:themeColor="text1"/>
              </w:rPr>
            </w:pPr>
            <w:r>
              <w:rPr>
                <w:color w:val="000000" w:themeColor="text1"/>
              </w:rPr>
              <w:t>23</w:t>
            </w:r>
          </w:p>
        </w:tc>
        <w:tc>
          <w:tcPr>
            <w:tcW w:w="508" w:type="pct"/>
            <w:tcBorders>
              <w:top w:val="single" w:color="auto" w:sz="4" w:space="0"/>
              <w:bottom w:val="nil"/>
            </w:tcBorders>
            <w:vAlign w:val="top"/>
          </w:tcPr>
          <w:p w:rsidRPr="007C7931" w:rsidR="00C451D0" w:rsidDel="00584494" w:rsidP="00165C46" w:rsidRDefault="00C451D0" w14:paraId="03963E52" w14:textId="0DB8C33D">
            <w:pPr>
              <w:pStyle w:val="TableText"/>
              <w:spacing w:before="60" w:after="60"/>
              <w:ind w:right="144"/>
              <w:jc w:val="center"/>
              <w:rPr>
                <w:color w:val="000000" w:themeColor="text1"/>
              </w:rPr>
            </w:pPr>
            <w:r w:rsidRPr="007C7931">
              <w:rPr>
                <w:color w:val="000000" w:themeColor="text1"/>
              </w:rPr>
              <w:t>$</w:t>
            </w:r>
            <w:r w:rsidR="00677D62">
              <w:rPr>
                <w:color w:val="000000" w:themeColor="text1"/>
              </w:rPr>
              <w:t>32.02</w:t>
            </w:r>
          </w:p>
        </w:tc>
        <w:tc>
          <w:tcPr>
            <w:tcW w:w="590" w:type="pct"/>
            <w:tcBorders>
              <w:top w:val="single" w:color="auto" w:sz="4" w:space="0"/>
              <w:bottom w:val="nil"/>
            </w:tcBorders>
            <w:vAlign w:val="top"/>
          </w:tcPr>
          <w:p w:rsidRPr="007C7931" w:rsidR="00C451D0" w:rsidP="00165C46" w:rsidRDefault="00C451D0" w14:paraId="35E18BBC" w14:textId="000A1298">
            <w:pPr>
              <w:pStyle w:val="TableText"/>
              <w:spacing w:before="60" w:after="60"/>
              <w:ind w:right="144"/>
              <w:jc w:val="center"/>
              <w:rPr>
                <w:color w:val="000000" w:themeColor="text1"/>
              </w:rPr>
            </w:pPr>
            <w:r w:rsidRPr="007C7931">
              <w:rPr>
                <w:color w:val="000000" w:themeColor="text1"/>
              </w:rPr>
              <w:t>$</w:t>
            </w:r>
            <w:r w:rsidRPr="44FEEF24" w:rsidR="00E34386">
              <w:rPr>
                <w:color w:val="000000" w:themeColor="text1"/>
              </w:rPr>
              <w:t>7</w:t>
            </w:r>
            <w:r w:rsidRPr="44FEEF24" w:rsidR="272B4756">
              <w:rPr>
                <w:color w:val="000000" w:themeColor="text1"/>
              </w:rPr>
              <w:t>2</w:t>
            </w:r>
            <w:r w:rsidRPr="44FEEF24" w:rsidR="76B89B23">
              <w:rPr>
                <w:color w:val="000000" w:themeColor="text1"/>
              </w:rPr>
              <w:t>0</w:t>
            </w:r>
            <w:r w:rsidR="00690187">
              <w:rPr>
                <w:color w:val="000000" w:themeColor="text1"/>
              </w:rPr>
              <w:t>.45</w:t>
            </w:r>
          </w:p>
        </w:tc>
      </w:tr>
      <w:tr w:rsidRPr="00C62A6D" w:rsidR="00BA1248" w:rsidTr="3983EBA5" w14:paraId="060A2DD8" w14:textId="77777777">
        <w:tc>
          <w:tcPr>
            <w:tcW w:w="1018" w:type="pct"/>
            <w:tcBorders>
              <w:top w:val="single" w:color="auto" w:sz="4" w:space="0"/>
              <w:bottom w:val="nil"/>
            </w:tcBorders>
            <w:vAlign w:val="top"/>
          </w:tcPr>
          <w:p w:rsidRPr="008F4A71" w:rsidR="00C451D0" w:rsidP="00165C46" w:rsidRDefault="009B7CB6" w14:paraId="1610AB33" w14:textId="6F08F565">
            <w:pPr>
              <w:pStyle w:val="TableText"/>
              <w:spacing w:before="60" w:after="60"/>
              <w:rPr>
                <w:color w:val="000000" w:themeColor="text1"/>
              </w:rPr>
            </w:pPr>
            <w:r w:rsidRPr="008F4A71">
              <w:rPr>
                <w:color w:val="000000" w:themeColor="text1"/>
              </w:rPr>
              <w:t>Program partner focus group</w:t>
            </w:r>
            <w:r w:rsidR="009B2BF7">
              <w:rPr>
                <w:color w:val="000000" w:themeColor="text1"/>
              </w:rPr>
              <w:t>s</w:t>
            </w:r>
          </w:p>
        </w:tc>
        <w:tc>
          <w:tcPr>
            <w:tcW w:w="636" w:type="pct"/>
            <w:tcBorders>
              <w:top w:val="single" w:color="auto" w:sz="4" w:space="0"/>
              <w:bottom w:val="nil"/>
            </w:tcBorders>
            <w:vAlign w:val="top"/>
          </w:tcPr>
          <w:p w:rsidRPr="008F4A71" w:rsidR="00C451D0" w:rsidP="00165C46" w:rsidRDefault="008F4A71" w14:paraId="18846E17" w14:textId="1C9B85E6">
            <w:pPr>
              <w:pStyle w:val="TableText"/>
              <w:spacing w:before="60" w:after="60"/>
              <w:ind w:right="144"/>
              <w:jc w:val="center"/>
              <w:rPr>
                <w:rFonts w:cs="Arial"/>
                <w:color w:val="000000" w:themeColor="text1"/>
                <w:szCs w:val="18"/>
              </w:rPr>
            </w:pPr>
            <w:r w:rsidRPr="008F4A71">
              <w:rPr>
                <w:rFonts w:cs="Arial"/>
                <w:color w:val="000000" w:themeColor="text1"/>
                <w:szCs w:val="18"/>
              </w:rPr>
              <w:t>24</w:t>
            </w:r>
          </w:p>
        </w:tc>
        <w:tc>
          <w:tcPr>
            <w:tcW w:w="594" w:type="pct"/>
            <w:tcBorders>
              <w:top w:val="single" w:color="auto" w:sz="4" w:space="0"/>
              <w:bottom w:val="nil"/>
            </w:tcBorders>
            <w:vAlign w:val="top"/>
          </w:tcPr>
          <w:p w:rsidRPr="008F4A71" w:rsidR="00C451D0" w:rsidP="00165C46" w:rsidRDefault="008F4A71" w14:paraId="2B80226D" w14:textId="0276BBB0">
            <w:pPr>
              <w:pStyle w:val="TableText"/>
              <w:spacing w:before="60" w:after="60"/>
              <w:ind w:right="144"/>
              <w:jc w:val="center"/>
              <w:rPr>
                <w:rFonts w:cs="Arial"/>
                <w:color w:val="000000" w:themeColor="text1"/>
                <w:szCs w:val="18"/>
              </w:rPr>
            </w:pPr>
            <w:r w:rsidRPr="008F4A71">
              <w:rPr>
                <w:rFonts w:cs="Arial"/>
                <w:color w:val="000000" w:themeColor="text1"/>
                <w:szCs w:val="18"/>
              </w:rPr>
              <w:t>1</w:t>
            </w:r>
          </w:p>
        </w:tc>
        <w:tc>
          <w:tcPr>
            <w:tcW w:w="594" w:type="pct"/>
            <w:tcBorders>
              <w:top w:val="single" w:color="auto" w:sz="4" w:space="0"/>
              <w:bottom w:val="nil"/>
            </w:tcBorders>
            <w:vAlign w:val="top"/>
          </w:tcPr>
          <w:p w:rsidRPr="008F4A71" w:rsidR="00C451D0" w:rsidP="00165C46" w:rsidRDefault="008F4A71" w14:paraId="6DB580AB" w14:textId="1FC4F627">
            <w:pPr>
              <w:pStyle w:val="TableText"/>
              <w:spacing w:before="60" w:after="60"/>
              <w:ind w:right="144"/>
              <w:jc w:val="center"/>
              <w:rPr>
                <w:rFonts w:cs="Arial"/>
                <w:color w:val="000000" w:themeColor="text1"/>
                <w:szCs w:val="18"/>
              </w:rPr>
            </w:pPr>
            <w:r w:rsidRPr="008F4A71">
              <w:rPr>
                <w:rFonts w:cs="Arial"/>
                <w:color w:val="000000" w:themeColor="text1"/>
                <w:szCs w:val="18"/>
              </w:rPr>
              <w:t>24</w:t>
            </w:r>
          </w:p>
        </w:tc>
        <w:tc>
          <w:tcPr>
            <w:tcW w:w="551" w:type="pct"/>
            <w:tcBorders>
              <w:top w:val="single" w:color="auto" w:sz="4" w:space="0"/>
              <w:bottom w:val="nil"/>
            </w:tcBorders>
            <w:vAlign w:val="top"/>
          </w:tcPr>
          <w:p w:rsidRPr="008F4A71" w:rsidR="00C451D0" w:rsidP="00165C46" w:rsidRDefault="70934B5C" w14:paraId="67160E7D" w14:textId="136993A4">
            <w:pPr>
              <w:pStyle w:val="TableText"/>
              <w:spacing w:before="60" w:after="60"/>
              <w:ind w:right="144"/>
              <w:jc w:val="center"/>
              <w:rPr>
                <w:color w:val="000000" w:themeColor="text1"/>
              </w:rPr>
            </w:pPr>
            <w:r w:rsidRPr="3983EBA5">
              <w:rPr>
                <w:color w:val="000000" w:themeColor="text1"/>
              </w:rPr>
              <w:t>1.5</w:t>
            </w:r>
          </w:p>
        </w:tc>
        <w:tc>
          <w:tcPr>
            <w:tcW w:w="509" w:type="pct"/>
            <w:tcBorders>
              <w:top w:val="single" w:color="auto" w:sz="4" w:space="0"/>
              <w:bottom w:val="nil"/>
            </w:tcBorders>
            <w:vAlign w:val="top"/>
          </w:tcPr>
          <w:p w:rsidRPr="008F4A71" w:rsidR="00C451D0" w:rsidP="00263D63" w:rsidRDefault="008F4A71" w14:paraId="5436C0AE" w14:textId="304F99A0">
            <w:pPr>
              <w:pStyle w:val="TableText"/>
              <w:spacing w:before="60" w:after="60"/>
              <w:ind w:right="144"/>
              <w:jc w:val="center"/>
              <w:rPr>
                <w:rFonts w:cs="Arial"/>
                <w:color w:val="000000" w:themeColor="text1"/>
              </w:rPr>
            </w:pPr>
            <w:r w:rsidRPr="44FEEF24">
              <w:rPr>
                <w:rFonts w:cs="Arial"/>
                <w:color w:val="000000" w:themeColor="text1"/>
              </w:rPr>
              <w:t>36</w:t>
            </w:r>
            <w:r w:rsidRPr="44FEEF24" w:rsidR="3DC90DF0">
              <w:rPr>
                <w:rFonts w:cs="Arial"/>
                <w:color w:val="000000" w:themeColor="text1"/>
              </w:rPr>
              <w:t>.0</w:t>
            </w:r>
          </w:p>
        </w:tc>
        <w:tc>
          <w:tcPr>
            <w:tcW w:w="508" w:type="pct"/>
            <w:tcBorders>
              <w:top w:val="single" w:color="auto" w:sz="4" w:space="0"/>
              <w:bottom w:val="nil"/>
            </w:tcBorders>
            <w:vAlign w:val="top"/>
          </w:tcPr>
          <w:p w:rsidRPr="006565F1" w:rsidR="00C451D0" w:rsidP="00165C46" w:rsidRDefault="00C451D0" w14:paraId="538AA2EF" w14:textId="336ED059">
            <w:pPr>
              <w:pStyle w:val="TableText"/>
              <w:spacing w:before="60" w:after="60"/>
              <w:ind w:right="144"/>
              <w:jc w:val="center"/>
              <w:rPr>
                <w:rFonts w:cs="Arial"/>
                <w:color w:val="000000" w:themeColor="text1"/>
                <w:szCs w:val="18"/>
              </w:rPr>
            </w:pPr>
            <w:r w:rsidRPr="006565F1">
              <w:rPr>
                <w:rFonts w:cs="Arial"/>
                <w:color w:val="000000" w:themeColor="text1"/>
                <w:szCs w:val="18"/>
              </w:rPr>
              <w:t>$</w:t>
            </w:r>
            <w:r w:rsidRPr="006565F1" w:rsidR="006565F1">
              <w:rPr>
                <w:rFonts w:cs="Arial"/>
                <w:color w:val="000000" w:themeColor="text1"/>
                <w:szCs w:val="18"/>
              </w:rPr>
              <w:t>22.85</w:t>
            </w:r>
          </w:p>
        </w:tc>
        <w:tc>
          <w:tcPr>
            <w:tcW w:w="590" w:type="pct"/>
            <w:tcBorders>
              <w:top w:val="single" w:color="auto" w:sz="4" w:space="0"/>
              <w:bottom w:val="nil"/>
            </w:tcBorders>
            <w:vAlign w:val="top"/>
          </w:tcPr>
          <w:p w:rsidRPr="006565F1" w:rsidR="00C451D0" w:rsidP="00165C46" w:rsidRDefault="00C451D0" w14:paraId="08998EDB" w14:textId="406B203C">
            <w:pPr>
              <w:pStyle w:val="TableText"/>
              <w:spacing w:before="60" w:after="60"/>
              <w:ind w:right="144"/>
              <w:jc w:val="center"/>
              <w:rPr>
                <w:rFonts w:cs="Arial"/>
                <w:color w:val="000000" w:themeColor="text1"/>
              </w:rPr>
            </w:pPr>
            <w:r w:rsidRPr="44FEEF24">
              <w:rPr>
                <w:rFonts w:cs="Arial"/>
                <w:color w:val="000000" w:themeColor="text1"/>
              </w:rPr>
              <w:t>$</w:t>
            </w:r>
            <w:r w:rsidRPr="44FEEF24" w:rsidR="006565F1">
              <w:rPr>
                <w:rFonts w:cs="Arial"/>
                <w:color w:val="000000" w:themeColor="text1"/>
              </w:rPr>
              <w:t>82</w:t>
            </w:r>
            <w:r w:rsidR="00690187">
              <w:rPr>
                <w:rFonts w:cs="Arial"/>
                <w:color w:val="000000" w:themeColor="text1"/>
              </w:rPr>
              <w:t>2.60</w:t>
            </w:r>
          </w:p>
        </w:tc>
      </w:tr>
      <w:tr w:rsidRPr="00C62A6D" w:rsidR="00BA1248" w:rsidTr="3983EBA5" w14:paraId="30E012EE" w14:textId="77777777">
        <w:tc>
          <w:tcPr>
            <w:tcW w:w="1018" w:type="pct"/>
            <w:tcBorders>
              <w:top w:val="single" w:color="auto" w:sz="4" w:space="0"/>
              <w:bottom w:val="nil"/>
            </w:tcBorders>
            <w:vAlign w:val="top"/>
          </w:tcPr>
          <w:p w:rsidRPr="009B2BF7" w:rsidR="00C451D0" w:rsidP="00165C46" w:rsidRDefault="008F4A71" w14:paraId="4F8D797B" w14:textId="38F3F3CA">
            <w:pPr>
              <w:pStyle w:val="TableText"/>
              <w:spacing w:before="60" w:after="60"/>
              <w:rPr>
                <w:color w:val="000000" w:themeColor="text1"/>
              </w:rPr>
            </w:pPr>
            <w:r w:rsidRPr="009B2BF7">
              <w:rPr>
                <w:color w:val="000000" w:themeColor="text1"/>
              </w:rPr>
              <w:t>Military spouse p</w:t>
            </w:r>
            <w:r w:rsidRPr="009B2BF7" w:rsidR="00C451D0">
              <w:rPr>
                <w:color w:val="000000" w:themeColor="text1"/>
              </w:rPr>
              <w:t>articipant focus</w:t>
            </w:r>
            <w:r w:rsidRPr="009B2BF7" w:rsidR="009B2BF7">
              <w:rPr>
                <w:color w:val="000000" w:themeColor="text1"/>
              </w:rPr>
              <w:t xml:space="preserve"> </w:t>
            </w:r>
            <w:r w:rsidRPr="009B2BF7" w:rsidR="00C451D0">
              <w:rPr>
                <w:color w:val="000000" w:themeColor="text1"/>
              </w:rPr>
              <w:t>groups</w:t>
            </w:r>
          </w:p>
        </w:tc>
        <w:tc>
          <w:tcPr>
            <w:tcW w:w="636" w:type="pct"/>
            <w:tcBorders>
              <w:top w:val="single" w:color="auto" w:sz="4" w:space="0"/>
              <w:bottom w:val="nil"/>
            </w:tcBorders>
            <w:vAlign w:val="top"/>
          </w:tcPr>
          <w:p w:rsidRPr="009B2BF7" w:rsidR="00C451D0" w:rsidP="00165C46" w:rsidRDefault="009B2BF7" w14:paraId="017A3E80" w14:textId="52EE4753">
            <w:pPr>
              <w:pStyle w:val="TableText"/>
              <w:spacing w:before="60" w:after="60"/>
              <w:ind w:right="144"/>
              <w:jc w:val="center"/>
              <w:rPr>
                <w:color w:val="000000" w:themeColor="text1"/>
              </w:rPr>
            </w:pPr>
            <w:r w:rsidRPr="009B2BF7">
              <w:rPr>
                <w:rFonts w:cs="Arial"/>
                <w:color w:val="000000" w:themeColor="text1"/>
                <w:szCs w:val="18"/>
              </w:rPr>
              <w:t>21</w:t>
            </w:r>
          </w:p>
        </w:tc>
        <w:tc>
          <w:tcPr>
            <w:tcW w:w="594" w:type="pct"/>
            <w:tcBorders>
              <w:top w:val="single" w:color="auto" w:sz="4" w:space="0"/>
              <w:bottom w:val="nil"/>
            </w:tcBorders>
            <w:vAlign w:val="top"/>
          </w:tcPr>
          <w:p w:rsidRPr="009B2BF7" w:rsidR="00C451D0" w:rsidP="00165C46" w:rsidRDefault="009B2BF7" w14:paraId="49BC6DAC" w14:textId="36CFCDE4">
            <w:pPr>
              <w:pStyle w:val="TableText"/>
              <w:spacing w:before="60" w:after="60"/>
              <w:ind w:right="144"/>
              <w:jc w:val="center"/>
              <w:rPr>
                <w:color w:val="000000" w:themeColor="text1"/>
              </w:rPr>
            </w:pPr>
            <w:r w:rsidRPr="009B2BF7">
              <w:rPr>
                <w:rFonts w:cs="Arial"/>
                <w:color w:val="000000" w:themeColor="text1"/>
                <w:szCs w:val="18"/>
              </w:rPr>
              <w:t>1</w:t>
            </w:r>
          </w:p>
        </w:tc>
        <w:tc>
          <w:tcPr>
            <w:tcW w:w="594" w:type="pct"/>
            <w:tcBorders>
              <w:top w:val="single" w:color="auto" w:sz="4" w:space="0"/>
              <w:bottom w:val="nil"/>
            </w:tcBorders>
            <w:vAlign w:val="top"/>
          </w:tcPr>
          <w:p w:rsidRPr="009B2BF7" w:rsidR="00C451D0" w:rsidP="00165C46" w:rsidRDefault="009B2BF7" w14:paraId="5CC829AA" w14:textId="51171EB3">
            <w:pPr>
              <w:pStyle w:val="TableText"/>
              <w:spacing w:before="60" w:after="60"/>
              <w:ind w:right="144"/>
              <w:jc w:val="center"/>
              <w:rPr>
                <w:color w:val="000000" w:themeColor="text1"/>
              </w:rPr>
            </w:pPr>
            <w:r w:rsidRPr="009B2BF7">
              <w:rPr>
                <w:rFonts w:cs="Arial"/>
                <w:color w:val="000000" w:themeColor="text1"/>
                <w:szCs w:val="18"/>
              </w:rPr>
              <w:t>21</w:t>
            </w:r>
          </w:p>
        </w:tc>
        <w:tc>
          <w:tcPr>
            <w:tcW w:w="551" w:type="pct"/>
            <w:tcBorders>
              <w:top w:val="single" w:color="auto" w:sz="4" w:space="0"/>
              <w:bottom w:val="nil"/>
            </w:tcBorders>
            <w:vAlign w:val="top"/>
          </w:tcPr>
          <w:p w:rsidRPr="009B2BF7" w:rsidR="00C451D0" w:rsidP="00165C46" w:rsidRDefault="5F0FD3B1" w14:paraId="05F33D52" w14:textId="639CFBD3">
            <w:pPr>
              <w:pStyle w:val="TableText"/>
              <w:spacing w:before="60" w:after="60"/>
              <w:ind w:right="144"/>
              <w:jc w:val="center"/>
              <w:rPr>
                <w:color w:val="000000" w:themeColor="text1"/>
              </w:rPr>
            </w:pPr>
            <w:r w:rsidRPr="3983EBA5">
              <w:rPr>
                <w:color w:val="000000" w:themeColor="text1"/>
              </w:rPr>
              <w:t>1.5</w:t>
            </w:r>
          </w:p>
        </w:tc>
        <w:tc>
          <w:tcPr>
            <w:tcW w:w="509" w:type="pct"/>
            <w:tcBorders>
              <w:top w:val="single" w:color="auto" w:sz="4" w:space="0"/>
              <w:bottom w:val="nil"/>
            </w:tcBorders>
            <w:vAlign w:val="top"/>
          </w:tcPr>
          <w:p w:rsidRPr="009B2BF7" w:rsidR="00C451D0" w:rsidP="00263D63" w:rsidRDefault="00741C10" w14:paraId="5F842F1B" w14:textId="03E2CA4A">
            <w:pPr>
              <w:pStyle w:val="TableText"/>
              <w:spacing w:before="60" w:after="60"/>
              <w:ind w:right="144"/>
              <w:jc w:val="center"/>
              <w:rPr>
                <w:color w:val="000000" w:themeColor="text1"/>
              </w:rPr>
            </w:pPr>
            <w:r>
              <w:rPr>
                <w:rFonts w:cs="Arial"/>
                <w:color w:val="000000" w:themeColor="text1"/>
              </w:rPr>
              <w:t>32</w:t>
            </w:r>
          </w:p>
        </w:tc>
        <w:tc>
          <w:tcPr>
            <w:tcW w:w="508" w:type="pct"/>
            <w:tcBorders>
              <w:top w:val="single" w:color="auto" w:sz="4" w:space="0"/>
              <w:bottom w:val="nil"/>
            </w:tcBorders>
            <w:vAlign w:val="top"/>
          </w:tcPr>
          <w:p w:rsidRPr="00742C09" w:rsidR="00C451D0" w:rsidP="00165C46" w:rsidRDefault="00C451D0" w14:paraId="6D10011D" w14:textId="224ABB1B">
            <w:pPr>
              <w:pStyle w:val="TableText"/>
              <w:spacing w:before="60" w:after="60"/>
              <w:ind w:right="144"/>
              <w:jc w:val="center"/>
              <w:rPr>
                <w:color w:val="000000" w:themeColor="text1"/>
              </w:rPr>
            </w:pPr>
            <w:r w:rsidRPr="00742C09">
              <w:rPr>
                <w:rFonts w:cs="Arial"/>
                <w:color w:val="000000" w:themeColor="text1"/>
                <w:szCs w:val="18"/>
              </w:rPr>
              <w:t>$</w:t>
            </w:r>
            <w:r w:rsidRPr="00742C09" w:rsidR="00093B66">
              <w:rPr>
                <w:rFonts w:cs="Arial"/>
                <w:color w:val="000000" w:themeColor="text1"/>
                <w:szCs w:val="18"/>
              </w:rPr>
              <w:t>20.17</w:t>
            </w:r>
          </w:p>
        </w:tc>
        <w:tc>
          <w:tcPr>
            <w:tcW w:w="590" w:type="pct"/>
            <w:tcBorders>
              <w:top w:val="single" w:color="auto" w:sz="4" w:space="0"/>
              <w:bottom w:val="nil"/>
            </w:tcBorders>
            <w:vAlign w:val="top"/>
          </w:tcPr>
          <w:p w:rsidRPr="00742C09" w:rsidR="00C451D0" w:rsidP="00165C46" w:rsidRDefault="00C451D0" w14:paraId="1A079B5E" w14:textId="1419BB70">
            <w:pPr>
              <w:pStyle w:val="TableText"/>
              <w:spacing w:before="60" w:after="60"/>
              <w:ind w:right="144"/>
              <w:jc w:val="center"/>
              <w:rPr>
                <w:rFonts w:cs="Arial"/>
                <w:color w:val="000000" w:themeColor="text1"/>
              </w:rPr>
            </w:pPr>
            <w:r w:rsidRPr="44FEEF24">
              <w:rPr>
                <w:rFonts w:cs="Arial"/>
                <w:color w:val="000000" w:themeColor="text1"/>
              </w:rPr>
              <w:t>$</w:t>
            </w:r>
            <w:r w:rsidRPr="44FEEF24" w:rsidR="0E326328">
              <w:rPr>
                <w:rFonts w:cs="Arial"/>
                <w:color w:val="000000" w:themeColor="text1"/>
              </w:rPr>
              <w:t>635</w:t>
            </w:r>
            <w:r w:rsidR="00690187">
              <w:rPr>
                <w:rFonts w:cs="Arial"/>
                <w:color w:val="000000" w:themeColor="text1"/>
              </w:rPr>
              <w:t>.36</w:t>
            </w:r>
          </w:p>
        </w:tc>
      </w:tr>
      <w:tr w:rsidRPr="00C62A6D" w:rsidR="00BA1248" w:rsidTr="3983EBA5" w14:paraId="1BC8A6AC" w14:textId="77777777">
        <w:tc>
          <w:tcPr>
            <w:tcW w:w="1018" w:type="pct"/>
            <w:tcBorders>
              <w:top w:val="single" w:color="auto" w:sz="4" w:space="0"/>
              <w:bottom w:val="nil"/>
            </w:tcBorders>
            <w:vAlign w:val="top"/>
          </w:tcPr>
          <w:p w:rsidRPr="00E273FD" w:rsidR="00C451D0" w:rsidP="00165C46" w:rsidRDefault="00E273FD" w14:paraId="1F430DA1" w14:textId="52F7E67C">
            <w:pPr>
              <w:pStyle w:val="TableText"/>
              <w:spacing w:before="60" w:after="60"/>
              <w:rPr>
                <w:color w:val="000000" w:themeColor="text1"/>
              </w:rPr>
            </w:pPr>
            <w:r w:rsidRPr="00E273FD">
              <w:rPr>
                <w:color w:val="000000" w:themeColor="text1"/>
              </w:rPr>
              <w:t xml:space="preserve">TSM (post-Navigator) participant </w:t>
            </w:r>
            <w:r w:rsidRPr="00E273FD" w:rsidR="00C451D0">
              <w:rPr>
                <w:color w:val="000000" w:themeColor="text1"/>
              </w:rPr>
              <w:t>focus group</w:t>
            </w:r>
            <w:r w:rsidRPr="00E273FD">
              <w:rPr>
                <w:color w:val="000000" w:themeColor="text1"/>
              </w:rPr>
              <w:t>s</w:t>
            </w:r>
          </w:p>
        </w:tc>
        <w:tc>
          <w:tcPr>
            <w:tcW w:w="636" w:type="pct"/>
            <w:tcBorders>
              <w:top w:val="single" w:color="auto" w:sz="4" w:space="0"/>
              <w:bottom w:val="nil"/>
            </w:tcBorders>
            <w:vAlign w:val="top"/>
          </w:tcPr>
          <w:p w:rsidRPr="00E273FD" w:rsidR="00C451D0" w:rsidP="00165C46" w:rsidRDefault="00E273FD" w14:paraId="6A6E92CE" w14:textId="45A6078E">
            <w:pPr>
              <w:pStyle w:val="TableText"/>
              <w:spacing w:before="60" w:after="60"/>
              <w:ind w:right="144"/>
              <w:jc w:val="center"/>
              <w:rPr>
                <w:rFonts w:cs="Arial"/>
                <w:color w:val="000000" w:themeColor="text1"/>
                <w:szCs w:val="18"/>
              </w:rPr>
            </w:pPr>
            <w:r w:rsidRPr="00E273FD">
              <w:rPr>
                <w:rFonts w:cs="Arial"/>
                <w:color w:val="000000" w:themeColor="text1"/>
                <w:szCs w:val="18"/>
              </w:rPr>
              <w:t>29</w:t>
            </w:r>
          </w:p>
        </w:tc>
        <w:tc>
          <w:tcPr>
            <w:tcW w:w="594" w:type="pct"/>
            <w:tcBorders>
              <w:top w:val="single" w:color="auto" w:sz="4" w:space="0"/>
              <w:bottom w:val="nil"/>
            </w:tcBorders>
            <w:vAlign w:val="top"/>
          </w:tcPr>
          <w:p w:rsidRPr="00E273FD" w:rsidR="00C451D0" w:rsidP="00165C46" w:rsidRDefault="00E273FD" w14:paraId="2F02E751" w14:textId="0054C147">
            <w:pPr>
              <w:pStyle w:val="TableText"/>
              <w:spacing w:before="60" w:after="60"/>
              <w:ind w:right="144"/>
              <w:jc w:val="center"/>
              <w:rPr>
                <w:rFonts w:cs="Arial"/>
                <w:color w:val="000000" w:themeColor="text1"/>
                <w:szCs w:val="18"/>
              </w:rPr>
            </w:pPr>
            <w:r w:rsidRPr="00E273FD">
              <w:rPr>
                <w:rFonts w:cs="Arial"/>
                <w:color w:val="000000" w:themeColor="text1"/>
                <w:szCs w:val="18"/>
              </w:rPr>
              <w:t>1</w:t>
            </w:r>
          </w:p>
        </w:tc>
        <w:tc>
          <w:tcPr>
            <w:tcW w:w="594" w:type="pct"/>
            <w:tcBorders>
              <w:top w:val="single" w:color="auto" w:sz="4" w:space="0"/>
              <w:bottom w:val="nil"/>
            </w:tcBorders>
            <w:vAlign w:val="top"/>
          </w:tcPr>
          <w:p w:rsidRPr="00E273FD" w:rsidR="00C451D0" w:rsidP="00165C46" w:rsidRDefault="00E273FD" w14:paraId="1D70D948" w14:textId="46D9CF77">
            <w:pPr>
              <w:pStyle w:val="TableText"/>
              <w:spacing w:before="60" w:after="60"/>
              <w:ind w:right="144"/>
              <w:jc w:val="center"/>
              <w:rPr>
                <w:rFonts w:cs="Arial"/>
                <w:color w:val="000000" w:themeColor="text1"/>
                <w:szCs w:val="18"/>
              </w:rPr>
            </w:pPr>
            <w:r w:rsidRPr="00E273FD">
              <w:rPr>
                <w:rFonts w:cs="Arial"/>
                <w:color w:val="000000" w:themeColor="text1"/>
                <w:szCs w:val="18"/>
              </w:rPr>
              <w:t>29</w:t>
            </w:r>
          </w:p>
        </w:tc>
        <w:tc>
          <w:tcPr>
            <w:tcW w:w="551" w:type="pct"/>
            <w:tcBorders>
              <w:top w:val="single" w:color="auto" w:sz="4" w:space="0"/>
              <w:bottom w:val="nil"/>
            </w:tcBorders>
            <w:vAlign w:val="top"/>
          </w:tcPr>
          <w:p w:rsidRPr="00E273FD" w:rsidR="00C451D0" w:rsidP="00165C46" w:rsidRDefault="41215548" w14:paraId="0D4C643E" w14:textId="63D51B80">
            <w:pPr>
              <w:pStyle w:val="TableText"/>
              <w:spacing w:before="60" w:after="60"/>
              <w:ind w:right="144"/>
              <w:jc w:val="center"/>
              <w:rPr>
                <w:color w:val="000000" w:themeColor="text1"/>
                <w:szCs w:val="18"/>
              </w:rPr>
            </w:pPr>
            <w:r w:rsidRPr="3983EBA5">
              <w:rPr>
                <w:color w:val="000000" w:themeColor="text1"/>
              </w:rPr>
              <w:t>1.5</w:t>
            </w:r>
          </w:p>
        </w:tc>
        <w:tc>
          <w:tcPr>
            <w:tcW w:w="509" w:type="pct"/>
            <w:tcBorders>
              <w:top w:val="single" w:color="auto" w:sz="4" w:space="0"/>
              <w:bottom w:val="nil"/>
            </w:tcBorders>
            <w:vAlign w:val="top"/>
          </w:tcPr>
          <w:p w:rsidRPr="00E273FD" w:rsidR="00C451D0" w:rsidP="00263D63" w:rsidRDefault="00741C10" w14:paraId="46AE6422" w14:textId="68809C2D">
            <w:pPr>
              <w:pStyle w:val="TableText"/>
              <w:spacing w:before="60" w:after="60"/>
              <w:ind w:right="144"/>
              <w:jc w:val="center"/>
              <w:rPr>
                <w:rFonts w:cs="Arial"/>
                <w:color w:val="000000" w:themeColor="text1"/>
              </w:rPr>
            </w:pPr>
            <w:r>
              <w:rPr>
                <w:rFonts w:cs="Arial"/>
                <w:color w:val="000000" w:themeColor="text1"/>
              </w:rPr>
              <w:t>44</w:t>
            </w:r>
          </w:p>
        </w:tc>
        <w:tc>
          <w:tcPr>
            <w:tcW w:w="508" w:type="pct"/>
            <w:tcBorders>
              <w:top w:val="single" w:color="auto" w:sz="4" w:space="0"/>
              <w:bottom w:val="nil"/>
            </w:tcBorders>
            <w:vAlign w:val="top"/>
          </w:tcPr>
          <w:p w:rsidRPr="00742C09" w:rsidR="00C451D0" w:rsidP="00165C46" w:rsidRDefault="00C451D0" w14:paraId="2B443C60" w14:textId="65A01912">
            <w:pPr>
              <w:pStyle w:val="TableText"/>
              <w:spacing w:before="60" w:after="60"/>
              <w:ind w:right="144"/>
              <w:jc w:val="center"/>
              <w:rPr>
                <w:rFonts w:cs="Arial"/>
                <w:color w:val="000000" w:themeColor="text1"/>
                <w:szCs w:val="18"/>
              </w:rPr>
            </w:pPr>
            <w:r w:rsidRPr="00742C09">
              <w:rPr>
                <w:rFonts w:cs="Arial"/>
                <w:color w:val="000000" w:themeColor="text1"/>
                <w:szCs w:val="18"/>
              </w:rPr>
              <w:t>$</w:t>
            </w:r>
            <w:r w:rsidR="0085157F">
              <w:rPr>
                <w:rFonts w:cs="Arial"/>
                <w:color w:val="000000" w:themeColor="text1"/>
                <w:szCs w:val="18"/>
              </w:rPr>
              <w:t>17.00</w:t>
            </w:r>
          </w:p>
        </w:tc>
        <w:tc>
          <w:tcPr>
            <w:tcW w:w="590" w:type="pct"/>
            <w:tcBorders>
              <w:top w:val="single" w:color="auto" w:sz="4" w:space="0"/>
              <w:bottom w:val="nil"/>
            </w:tcBorders>
            <w:vAlign w:val="top"/>
          </w:tcPr>
          <w:p w:rsidRPr="003D005B" w:rsidR="00C451D0" w:rsidP="00165C46" w:rsidRDefault="00C451D0" w14:paraId="73CD0869" w14:textId="68C07370">
            <w:pPr>
              <w:pStyle w:val="TableText"/>
              <w:spacing w:before="60" w:after="60"/>
              <w:ind w:right="144"/>
              <w:jc w:val="center"/>
              <w:rPr>
                <w:rFonts w:cs="Arial"/>
                <w:color w:val="000000" w:themeColor="text1"/>
              </w:rPr>
            </w:pPr>
            <w:r w:rsidRPr="44FEEF24">
              <w:rPr>
                <w:rFonts w:cs="Arial"/>
                <w:color w:val="000000" w:themeColor="text1"/>
              </w:rPr>
              <w:t>$</w:t>
            </w:r>
            <w:r w:rsidRPr="44FEEF24" w:rsidR="06EC8299">
              <w:rPr>
                <w:rFonts w:cs="Arial"/>
                <w:color w:val="000000" w:themeColor="text1"/>
              </w:rPr>
              <w:t>7</w:t>
            </w:r>
            <w:r w:rsidR="00690187">
              <w:rPr>
                <w:rFonts w:cs="Arial"/>
                <w:color w:val="000000" w:themeColor="text1"/>
              </w:rPr>
              <w:t>39.50</w:t>
            </w:r>
          </w:p>
        </w:tc>
      </w:tr>
      <w:tr w:rsidRPr="00C62A6D" w:rsidR="00BA1248" w:rsidTr="3983EBA5" w14:paraId="51BE5E16" w14:textId="77777777">
        <w:tc>
          <w:tcPr>
            <w:tcW w:w="1018" w:type="pct"/>
            <w:tcBorders>
              <w:top w:val="single" w:color="auto" w:sz="4" w:space="0"/>
              <w:bottom w:val="nil"/>
            </w:tcBorders>
            <w:vAlign w:val="top"/>
          </w:tcPr>
          <w:p w:rsidRPr="00EB61AF" w:rsidR="00C451D0" w:rsidP="00165C46" w:rsidRDefault="00E273FD" w14:paraId="7BAED824" w14:textId="31B887D9">
            <w:pPr>
              <w:pStyle w:val="TableText"/>
              <w:spacing w:before="60" w:after="60"/>
              <w:rPr>
                <w:color w:val="000000" w:themeColor="text1"/>
              </w:rPr>
            </w:pPr>
            <w:r w:rsidRPr="00EB61AF">
              <w:rPr>
                <w:color w:val="000000" w:themeColor="text1"/>
              </w:rPr>
              <w:t>TSM (post-Partner) participant focus groups</w:t>
            </w:r>
          </w:p>
        </w:tc>
        <w:tc>
          <w:tcPr>
            <w:tcW w:w="636" w:type="pct"/>
            <w:tcBorders>
              <w:top w:val="single" w:color="auto" w:sz="4" w:space="0"/>
              <w:bottom w:val="nil"/>
            </w:tcBorders>
            <w:vAlign w:val="top"/>
          </w:tcPr>
          <w:p w:rsidRPr="00EB61AF" w:rsidR="00C451D0" w:rsidP="00165C46" w:rsidRDefault="00EB61AF" w14:paraId="7DA6DE1A" w14:textId="73B990C5">
            <w:pPr>
              <w:pStyle w:val="TableText"/>
              <w:spacing w:before="60" w:after="60"/>
              <w:ind w:right="144"/>
              <w:jc w:val="center"/>
              <w:rPr>
                <w:color w:val="000000" w:themeColor="text1"/>
              </w:rPr>
            </w:pPr>
            <w:r w:rsidRPr="00EB61AF">
              <w:rPr>
                <w:color w:val="000000" w:themeColor="text1"/>
              </w:rPr>
              <w:t>21</w:t>
            </w:r>
          </w:p>
        </w:tc>
        <w:tc>
          <w:tcPr>
            <w:tcW w:w="594" w:type="pct"/>
            <w:tcBorders>
              <w:top w:val="single" w:color="auto" w:sz="4" w:space="0"/>
              <w:bottom w:val="nil"/>
            </w:tcBorders>
            <w:vAlign w:val="top"/>
          </w:tcPr>
          <w:p w:rsidRPr="00EB61AF" w:rsidR="00C451D0" w:rsidP="00165C46" w:rsidRDefault="00EB61AF" w14:paraId="05A3838F" w14:textId="12C79610">
            <w:pPr>
              <w:pStyle w:val="TableText"/>
              <w:spacing w:before="60" w:after="60"/>
              <w:ind w:right="144"/>
              <w:jc w:val="center"/>
              <w:rPr>
                <w:color w:val="000000" w:themeColor="text1"/>
              </w:rPr>
            </w:pPr>
            <w:r w:rsidRPr="00EB61AF">
              <w:rPr>
                <w:color w:val="000000" w:themeColor="text1"/>
              </w:rPr>
              <w:t>1</w:t>
            </w:r>
          </w:p>
        </w:tc>
        <w:tc>
          <w:tcPr>
            <w:tcW w:w="594" w:type="pct"/>
            <w:tcBorders>
              <w:top w:val="single" w:color="auto" w:sz="4" w:space="0"/>
              <w:bottom w:val="nil"/>
            </w:tcBorders>
            <w:vAlign w:val="top"/>
          </w:tcPr>
          <w:p w:rsidRPr="00EB61AF" w:rsidR="00C451D0" w:rsidP="00165C46" w:rsidRDefault="00EB61AF" w14:paraId="6CFABF04" w14:textId="5452E8DD">
            <w:pPr>
              <w:pStyle w:val="TableText"/>
              <w:spacing w:before="60" w:after="60"/>
              <w:ind w:right="144"/>
              <w:jc w:val="center"/>
              <w:rPr>
                <w:color w:val="000000" w:themeColor="text1"/>
              </w:rPr>
            </w:pPr>
            <w:r w:rsidRPr="00EB61AF">
              <w:rPr>
                <w:color w:val="000000" w:themeColor="text1"/>
              </w:rPr>
              <w:t>21</w:t>
            </w:r>
          </w:p>
        </w:tc>
        <w:tc>
          <w:tcPr>
            <w:tcW w:w="551" w:type="pct"/>
            <w:tcBorders>
              <w:top w:val="single" w:color="auto" w:sz="4" w:space="0"/>
              <w:bottom w:val="nil"/>
            </w:tcBorders>
            <w:vAlign w:val="top"/>
          </w:tcPr>
          <w:p w:rsidRPr="00EB61AF" w:rsidR="00C451D0" w:rsidP="00165C46" w:rsidRDefault="1BAA52AA" w14:paraId="6A7EF3E3" w14:textId="1C2EDC3A">
            <w:pPr>
              <w:pStyle w:val="TableText"/>
              <w:spacing w:before="60" w:after="60"/>
              <w:ind w:right="144"/>
              <w:jc w:val="center"/>
              <w:rPr>
                <w:color w:val="000000" w:themeColor="text1"/>
                <w:szCs w:val="18"/>
              </w:rPr>
            </w:pPr>
            <w:r w:rsidRPr="3983EBA5">
              <w:rPr>
                <w:color w:val="000000" w:themeColor="text1"/>
              </w:rPr>
              <w:t>1.5</w:t>
            </w:r>
          </w:p>
        </w:tc>
        <w:tc>
          <w:tcPr>
            <w:tcW w:w="509" w:type="pct"/>
            <w:tcBorders>
              <w:top w:val="single" w:color="auto" w:sz="4" w:space="0"/>
              <w:bottom w:val="nil"/>
            </w:tcBorders>
            <w:vAlign w:val="top"/>
          </w:tcPr>
          <w:p w:rsidRPr="00EB61AF" w:rsidR="00C451D0" w:rsidP="00263D63" w:rsidRDefault="00741C10" w14:paraId="235F39FC" w14:textId="63DF2CD8">
            <w:pPr>
              <w:pStyle w:val="TableText"/>
              <w:spacing w:before="60" w:after="60"/>
              <w:ind w:right="144"/>
              <w:jc w:val="center"/>
              <w:rPr>
                <w:color w:val="000000" w:themeColor="text1"/>
              </w:rPr>
            </w:pPr>
            <w:r>
              <w:rPr>
                <w:color w:val="000000" w:themeColor="text1"/>
              </w:rPr>
              <w:t>32</w:t>
            </w:r>
          </w:p>
        </w:tc>
        <w:tc>
          <w:tcPr>
            <w:tcW w:w="508" w:type="pct"/>
            <w:tcBorders>
              <w:top w:val="single" w:color="auto" w:sz="4" w:space="0"/>
              <w:bottom w:val="nil"/>
            </w:tcBorders>
            <w:vAlign w:val="top"/>
          </w:tcPr>
          <w:p w:rsidRPr="003D005B" w:rsidR="00C451D0" w:rsidP="00165C46" w:rsidRDefault="00C451D0" w14:paraId="17404F51" w14:textId="3FF239BC">
            <w:pPr>
              <w:pStyle w:val="TableText"/>
              <w:spacing w:before="60" w:after="60"/>
              <w:ind w:right="144"/>
              <w:jc w:val="center"/>
              <w:rPr>
                <w:color w:val="C00000"/>
              </w:rPr>
            </w:pPr>
            <w:r w:rsidRPr="00742C09">
              <w:rPr>
                <w:color w:val="000000" w:themeColor="text1"/>
              </w:rPr>
              <w:t>$</w:t>
            </w:r>
            <w:r w:rsidR="0085157F">
              <w:rPr>
                <w:color w:val="000000" w:themeColor="text1"/>
              </w:rPr>
              <w:t>17.00</w:t>
            </w:r>
          </w:p>
        </w:tc>
        <w:tc>
          <w:tcPr>
            <w:tcW w:w="590" w:type="pct"/>
            <w:tcBorders>
              <w:top w:val="single" w:color="auto" w:sz="4" w:space="0"/>
              <w:bottom w:val="nil"/>
            </w:tcBorders>
            <w:vAlign w:val="top"/>
          </w:tcPr>
          <w:p w:rsidRPr="006A683F" w:rsidR="00C451D0" w:rsidP="00165C46" w:rsidRDefault="00C451D0" w14:paraId="192F96F1" w14:textId="3A198121">
            <w:pPr>
              <w:pStyle w:val="TableText"/>
              <w:spacing w:before="60" w:after="60"/>
              <w:ind w:right="144"/>
              <w:jc w:val="center"/>
              <w:rPr>
                <w:color w:val="000000" w:themeColor="text1"/>
              </w:rPr>
            </w:pPr>
            <w:r w:rsidRPr="006A683F">
              <w:rPr>
                <w:color w:val="000000" w:themeColor="text1"/>
              </w:rPr>
              <w:t>$</w:t>
            </w:r>
            <w:r w:rsidRPr="44FEEF24" w:rsidR="0A8C19B8">
              <w:rPr>
                <w:color w:val="000000" w:themeColor="text1"/>
              </w:rPr>
              <w:t>53</w:t>
            </w:r>
            <w:r w:rsidR="00690187">
              <w:rPr>
                <w:color w:val="000000" w:themeColor="text1"/>
              </w:rPr>
              <w:t>5.50</w:t>
            </w:r>
          </w:p>
        </w:tc>
      </w:tr>
      <w:tr w:rsidRPr="00C62A6D" w:rsidR="00BA1248" w:rsidTr="3983EBA5" w14:paraId="7CFB0CC9" w14:textId="77777777">
        <w:tc>
          <w:tcPr>
            <w:tcW w:w="1018" w:type="pct"/>
            <w:tcBorders>
              <w:top w:val="single" w:color="auto" w:sz="4" w:space="0"/>
              <w:bottom w:val="nil"/>
            </w:tcBorders>
            <w:vAlign w:val="top"/>
          </w:tcPr>
          <w:p w:rsidRPr="00EB61AF" w:rsidR="00EB61AF" w:rsidP="00165C46" w:rsidRDefault="00EB61AF" w14:paraId="7E1A7C03" w14:textId="449F9265">
            <w:pPr>
              <w:pStyle w:val="TableText"/>
              <w:spacing w:before="60" w:after="60"/>
              <w:rPr>
                <w:color w:val="000000" w:themeColor="text1"/>
              </w:rPr>
            </w:pPr>
            <w:r>
              <w:rPr>
                <w:color w:val="000000" w:themeColor="text1"/>
              </w:rPr>
              <w:t>Program Employment Navigator focus groups</w:t>
            </w:r>
          </w:p>
        </w:tc>
        <w:tc>
          <w:tcPr>
            <w:tcW w:w="636" w:type="pct"/>
            <w:tcBorders>
              <w:top w:val="single" w:color="auto" w:sz="4" w:space="0"/>
              <w:bottom w:val="nil"/>
            </w:tcBorders>
            <w:vAlign w:val="top"/>
          </w:tcPr>
          <w:p w:rsidRPr="00EB61AF" w:rsidR="00EB61AF" w:rsidP="00165C46" w:rsidRDefault="00EB61AF" w14:paraId="591470D4" w14:textId="3C79420A">
            <w:pPr>
              <w:pStyle w:val="TableText"/>
              <w:spacing w:before="60" w:after="60"/>
              <w:ind w:right="144"/>
              <w:jc w:val="center"/>
              <w:rPr>
                <w:color w:val="000000" w:themeColor="text1"/>
              </w:rPr>
            </w:pPr>
            <w:r>
              <w:rPr>
                <w:color w:val="000000" w:themeColor="text1"/>
              </w:rPr>
              <w:t>17</w:t>
            </w:r>
          </w:p>
        </w:tc>
        <w:tc>
          <w:tcPr>
            <w:tcW w:w="594" w:type="pct"/>
            <w:tcBorders>
              <w:top w:val="single" w:color="auto" w:sz="4" w:space="0"/>
              <w:bottom w:val="nil"/>
            </w:tcBorders>
            <w:vAlign w:val="top"/>
          </w:tcPr>
          <w:p w:rsidRPr="00EB61AF" w:rsidR="00EB61AF" w:rsidP="00165C46" w:rsidRDefault="00EB61AF" w14:paraId="00396B08" w14:textId="12E75B6B">
            <w:pPr>
              <w:pStyle w:val="TableText"/>
              <w:spacing w:before="60" w:after="60"/>
              <w:ind w:right="144"/>
              <w:jc w:val="center"/>
              <w:rPr>
                <w:color w:val="000000" w:themeColor="text1"/>
              </w:rPr>
            </w:pPr>
            <w:r>
              <w:rPr>
                <w:color w:val="000000" w:themeColor="text1"/>
              </w:rPr>
              <w:t>1</w:t>
            </w:r>
          </w:p>
        </w:tc>
        <w:tc>
          <w:tcPr>
            <w:tcW w:w="594" w:type="pct"/>
            <w:tcBorders>
              <w:top w:val="single" w:color="auto" w:sz="4" w:space="0"/>
              <w:bottom w:val="nil"/>
            </w:tcBorders>
            <w:vAlign w:val="top"/>
          </w:tcPr>
          <w:p w:rsidRPr="00EB61AF" w:rsidR="00EB61AF" w:rsidP="00165C46" w:rsidRDefault="00EB61AF" w14:paraId="35CBC89B" w14:textId="4384444A">
            <w:pPr>
              <w:pStyle w:val="TableText"/>
              <w:spacing w:before="60" w:after="60"/>
              <w:ind w:right="144"/>
              <w:jc w:val="center"/>
              <w:rPr>
                <w:color w:val="000000" w:themeColor="text1"/>
              </w:rPr>
            </w:pPr>
            <w:r>
              <w:rPr>
                <w:color w:val="000000" w:themeColor="text1"/>
              </w:rPr>
              <w:t>17</w:t>
            </w:r>
          </w:p>
        </w:tc>
        <w:tc>
          <w:tcPr>
            <w:tcW w:w="551" w:type="pct"/>
            <w:tcBorders>
              <w:top w:val="single" w:color="auto" w:sz="4" w:space="0"/>
              <w:bottom w:val="nil"/>
            </w:tcBorders>
            <w:vAlign w:val="top"/>
          </w:tcPr>
          <w:p w:rsidRPr="00EB61AF" w:rsidR="00EB61AF" w:rsidP="00165C46" w:rsidRDefault="46ED9FC9" w14:paraId="65DBACB6" w14:textId="6ECC63B8">
            <w:pPr>
              <w:pStyle w:val="TableText"/>
              <w:spacing w:before="60" w:after="60"/>
              <w:ind w:right="144"/>
              <w:jc w:val="center"/>
              <w:rPr>
                <w:color w:val="000000" w:themeColor="text1"/>
                <w:szCs w:val="18"/>
              </w:rPr>
            </w:pPr>
            <w:r w:rsidRPr="3983EBA5">
              <w:rPr>
                <w:color w:val="000000" w:themeColor="text1"/>
              </w:rPr>
              <w:t>1.5</w:t>
            </w:r>
          </w:p>
        </w:tc>
        <w:tc>
          <w:tcPr>
            <w:tcW w:w="509" w:type="pct"/>
            <w:tcBorders>
              <w:top w:val="single" w:color="auto" w:sz="4" w:space="0"/>
              <w:bottom w:val="nil"/>
            </w:tcBorders>
            <w:vAlign w:val="top"/>
          </w:tcPr>
          <w:p w:rsidRPr="00EB61AF" w:rsidR="00EB61AF" w:rsidP="00263D63" w:rsidRDefault="00741C10" w14:paraId="377DB881" w14:textId="7723F430">
            <w:pPr>
              <w:pStyle w:val="TableText"/>
              <w:spacing w:before="60" w:after="60"/>
              <w:ind w:right="144"/>
              <w:jc w:val="center"/>
              <w:rPr>
                <w:color w:val="000000" w:themeColor="text1"/>
              </w:rPr>
            </w:pPr>
            <w:r>
              <w:rPr>
                <w:color w:val="000000" w:themeColor="text1"/>
              </w:rPr>
              <w:t>26</w:t>
            </w:r>
          </w:p>
        </w:tc>
        <w:tc>
          <w:tcPr>
            <w:tcW w:w="508" w:type="pct"/>
            <w:tcBorders>
              <w:top w:val="single" w:color="auto" w:sz="4" w:space="0"/>
              <w:bottom w:val="nil"/>
            </w:tcBorders>
            <w:vAlign w:val="top"/>
          </w:tcPr>
          <w:p w:rsidRPr="00A21D8D" w:rsidR="00EB61AF" w:rsidP="00165C46" w:rsidRDefault="008B3FC7" w14:paraId="6D1C0666" w14:textId="130DFD88">
            <w:pPr>
              <w:pStyle w:val="TableText"/>
              <w:spacing w:before="60" w:after="60"/>
              <w:ind w:right="144"/>
              <w:jc w:val="center"/>
              <w:rPr>
                <w:color w:val="000000" w:themeColor="text1"/>
              </w:rPr>
            </w:pPr>
            <w:r w:rsidRPr="00A21D8D">
              <w:rPr>
                <w:color w:val="000000" w:themeColor="text1"/>
              </w:rPr>
              <w:t>$</w:t>
            </w:r>
            <w:r w:rsidRPr="00A21D8D" w:rsidR="00A21D8D">
              <w:rPr>
                <w:color w:val="000000" w:themeColor="text1"/>
              </w:rPr>
              <w:t>22.85</w:t>
            </w:r>
          </w:p>
        </w:tc>
        <w:tc>
          <w:tcPr>
            <w:tcW w:w="590" w:type="pct"/>
            <w:tcBorders>
              <w:top w:val="single" w:color="auto" w:sz="4" w:space="0"/>
              <w:bottom w:val="nil"/>
            </w:tcBorders>
            <w:vAlign w:val="top"/>
          </w:tcPr>
          <w:p w:rsidRPr="00A21D8D" w:rsidR="00EB61AF" w:rsidP="00165C46" w:rsidRDefault="00A21D8D" w14:paraId="672E7994" w14:textId="7F7BA8F9">
            <w:pPr>
              <w:pStyle w:val="TableText"/>
              <w:spacing w:before="60" w:after="60"/>
              <w:ind w:right="144"/>
              <w:jc w:val="center"/>
              <w:rPr>
                <w:color w:val="000000" w:themeColor="text1"/>
              </w:rPr>
            </w:pPr>
            <w:r>
              <w:rPr>
                <w:color w:val="000000" w:themeColor="text1"/>
              </w:rPr>
              <w:t>$</w:t>
            </w:r>
            <w:r w:rsidRPr="44FEEF24" w:rsidR="225375EF">
              <w:rPr>
                <w:color w:val="000000" w:themeColor="text1"/>
              </w:rPr>
              <w:t>58</w:t>
            </w:r>
            <w:r w:rsidR="00690187">
              <w:rPr>
                <w:color w:val="000000" w:themeColor="text1"/>
              </w:rPr>
              <w:t>2.66</w:t>
            </w:r>
          </w:p>
        </w:tc>
      </w:tr>
      <w:tr w:rsidRPr="0094551C" w:rsidR="008A39A0" w:rsidTr="3983EBA5" w14:paraId="78179EA6" w14:textId="77777777">
        <w:tc>
          <w:tcPr>
            <w:tcW w:w="1018" w:type="pct"/>
            <w:tcBorders>
              <w:top w:val="single" w:color="auto" w:sz="4" w:space="0"/>
              <w:bottom w:val="single" w:color="auto" w:sz="4" w:space="0"/>
            </w:tcBorders>
            <w:vAlign w:val="center"/>
          </w:tcPr>
          <w:p w:rsidRPr="00EB61AF" w:rsidR="00C451D0" w:rsidP="00165C46" w:rsidRDefault="00C451D0" w14:paraId="0F2C5739" w14:textId="77777777">
            <w:pPr>
              <w:pStyle w:val="TableText"/>
              <w:tabs>
                <w:tab w:val="decimal" w:pos="489"/>
              </w:tabs>
              <w:spacing w:before="60" w:after="60"/>
              <w:rPr>
                <w:b/>
                <w:color w:val="000000" w:themeColor="text1"/>
              </w:rPr>
            </w:pPr>
            <w:r w:rsidRPr="00EB61AF">
              <w:rPr>
                <w:b/>
                <w:color w:val="000000" w:themeColor="text1"/>
              </w:rPr>
              <w:t>Unduplicated Total</w:t>
            </w:r>
          </w:p>
        </w:tc>
        <w:tc>
          <w:tcPr>
            <w:tcW w:w="636" w:type="pct"/>
            <w:tcBorders>
              <w:top w:val="single" w:color="auto" w:sz="4" w:space="0"/>
              <w:bottom w:val="single" w:color="auto" w:sz="4" w:space="0"/>
            </w:tcBorders>
            <w:vAlign w:val="top"/>
          </w:tcPr>
          <w:p w:rsidRPr="00EB61AF" w:rsidR="00C451D0" w:rsidP="00165C46" w:rsidRDefault="00EB61AF" w14:paraId="331AE865" w14:textId="7BDE1CFC">
            <w:pPr>
              <w:pStyle w:val="TableText"/>
              <w:spacing w:before="60" w:after="60"/>
              <w:ind w:right="144"/>
              <w:jc w:val="center"/>
              <w:rPr>
                <w:b/>
                <w:color w:val="000000" w:themeColor="text1"/>
              </w:rPr>
            </w:pPr>
            <w:r>
              <w:rPr>
                <w:b/>
                <w:color w:val="000000" w:themeColor="text1"/>
              </w:rPr>
              <w:t>127</w:t>
            </w:r>
          </w:p>
        </w:tc>
        <w:tc>
          <w:tcPr>
            <w:tcW w:w="594" w:type="pct"/>
            <w:tcBorders>
              <w:top w:val="single" w:color="auto" w:sz="4" w:space="0"/>
              <w:bottom w:val="single" w:color="auto" w:sz="4" w:space="0"/>
            </w:tcBorders>
            <w:vAlign w:val="top"/>
          </w:tcPr>
          <w:p w:rsidRPr="00EB61AF" w:rsidR="00C451D0" w:rsidP="00165C46" w:rsidRDefault="00C451D0" w14:paraId="2A52377F" w14:textId="77777777">
            <w:pPr>
              <w:pStyle w:val="TableText"/>
              <w:spacing w:before="60" w:after="60"/>
              <w:ind w:right="144"/>
              <w:jc w:val="center"/>
              <w:rPr>
                <w:rFonts w:cs="Arial"/>
                <w:color w:val="000000" w:themeColor="text1"/>
                <w:szCs w:val="18"/>
              </w:rPr>
            </w:pPr>
            <w:r w:rsidRPr="00EB61AF">
              <w:rPr>
                <w:rFonts w:cs="Arial"/>
                <w:color w:val="000000" w:themeColor="text1"/>
                <w:szCs w:val="18"/>
              </w:rPr>
              <w:t>--</w:t>
            </w:r>
          </w:p>
        </w:tc>
        <w:tc>
          <w:tcPr>
            <w:tcW w:w="594" w:type="pct"/>
            <w:tcBorders>
              <w:top w:val="single" w:color="auto" w:sz="4" w:space="0"/>
              <w:bottom w:val="single" w:color="auto" w:sz="4" w:space="0"/>
            </w:tcBorders>
            <w:vAlign w:val="top"/>
          </w:tcPr>
          <w:p w:rsidRPr="00EB61AF" w:rsidR="00C451D0" w:rsidP="00165C46" w:rsidRDefault="00EB61AF" w14:paraId="2F27BD95" w14:textId="02DF8B1E">
            <w:pPr>
              <w:pStyle w:val="TableText"/>
              <w:spacing w:before="60" w:after="60"/>
              <w:ind w:right="144"/>
              <w:jc w:val="center"/>
              <w:rPr>
                <w:rFonts w:cs="Arial"/>
                <w:b/>
                <w:color w:val="000000" w:themeColor="text1"/>
                <w:szCs w:val="18"/>
              </w:rPr>
            </w:pPr>
            <w:r>
              <w:rPr>
                <w:rFonts w:cs="Arial"/>
                <w:b/>
                <w:color w:val="000000" w:themeColor="text1"/>
                <w:szCs w:val="18"/>
              </w:rPr>
              <w:t>127</w:t>
            </w:r>
          </w:p>
        </w:tc>
        <w:tc>
          <w:tcPr>
            <w:tcW w:w="551" w:type="pct"/>
            <w:tcBorders>
              <w:top w:val="single" w:color="auto" w:sz="4" w:space="0"/>
              <w:bottom w:val="single" w:color="auto" w:sz="4" w:space="0"/>
            </w:tcBorders>
            <w:vAlign w:val="top"/>
          </w:tcPr>
          <w:p w:rsidRPr="00EB61AF" w:rsidR="00C451D0" w:rsidP="00165C46" w:rsidRDefault="00C451D0" w14:paraId="22A0CAAF" w14:textId="77777777">
            <w:pPr>
              <w:pStyle w:val="TableText"/>
              <w:spacing w:before="60" w:after="60"/>
              <w:ind w:right="144"/>
              <w:jc w:val="center"/>
              <w:rPr>
                <w:rFonts w:cs="Arial"/>
                <w:b/>
                <w:color w:val="000000" w:themeColor="text1"/>
                <w:szCs w:val="18"/>
              </w:rPr>
            </w:pPr>
          </w:p>
        </w:tc>
        <w:tc>
          <w:tcPr>
            <w:tcW w:w="509" w:type="pct"/>
            <w:tcBorders>
              <w:top w:val="single" w:color="auto" w:sz="4" w:space="0"/>
              <w:bottom w:val="single" w:color="auto" w:sz="4" w:space="0"/>
            </w:tcBorders>
            <w:vAlign w:val="top"/>
          </w:tcPr>
          <w:p w:rsidRPr="00EB61AF" w:rsidR="00C451D0" w:rsidP="00263D63" w:rsidRDefault="00741C10" w14:paraId="0D8C4EFA" w14:textId="0EFB1620">
            <w:pPr>
              <w:pStyle w:val="TableText"/>
              <w:spacing w:before="60" w:after="60"/>
              <w:ind w:right="144"/>
              <w:jc w:val="center"/>
              <w:rPr>
                <w:rFonts w:cs="Arial"/>
                <w:b/>
                <w:color w:val="000000" w:themeColor="text1"/>
              </w:rPr>
            </w:pPr>
            <w:r>
              <w:rPr>
                <w:rFonts w:cs="Arial"/>
                <w:b/>
                <w:bCs/>
                <w:color w:val="000000" w:themeColor="text1"/>
              </w:rPr>
              <w:t>193</w:t>
            </w:r>
          </w:p>
        </w:tc>
        <w:tc>
          <w:tcPr>
            <w:tcW w:w="508" w:type="pct"/>
            <w:tcBorders>
              <w:top w:val="single" w:color="auto" w:sz="4" w:space="0"/>
              <w:bottom w:val="single" w:color="auto" w:sz="4" w:space="0"/>
            </w:tcBorders>
            <w:vAlign w:val="top"/>
          </w:tcPr>
          <w:p w:rsidRPr="00EB61AF" w:rsidR="00C451D0" w:rsidP="00165C46" w:rsidRDefault="00C451D0" w14:paraId="5ABE9786" w14:textId="77777777">
            <w:pPr>
              <w:pStyle w:val="TableText"/>
              <w:spacing w:before="60" w:after="60"/>
              <w:ind w:right="144"/>
              <w:jc w:val="center"/>
              <w:rPr>
                <w:rFonts w:cs="Arial"/>
                <w:b/>
                <w:color w:val="000000" w:themeColor="text1"/>
                <w:szCs w:val="18"/>
              </w:rPr>
            </w:pPr>
          </w:p>
        </w:tc>
        <w:tc>
          <w:tcPr>
            <w:tcW w:w="590" w:type="pct"/>
            <w:tcBorders>
              <w:top w:val="single" w:color="auto" w:sz="4" w:space="0"/>
              <w:bottom w:val="single" w:color="auto" w:sz="4" w:space="0"/>
            </w:tcBorders>
            <w:vAlign w:val="top"/>
          </w:tcPr>
          <w:p w:rsidRPr="00075604" w:rsidR="00C451D0" w:rsidP="00165C46" w:rsidRDefault="00C451D0" w14:paraId="5CC7CD30" w14:textId="3049731C">
            <w:pPr>
              <w:pStyle w:val="TableText"/>
              <w:spacing w:before="60" w:after="60"/>
              <w:ind w:right="144"/>
              <w:jc w:val="center"/>
              <w:rPr>
                <w:rFonts w:cs="Arial"/>
                <w:b/>
                <w:color w:val="000000" w:themeColor="text1"/>
              </w:rPr>
            </w:pPr>
            <w:r w:rsidRPr="44FEEF24">
              <w:rPr>
                <w:rFonts w:cs="Arial"/>
                <w:b/>
                <w:color w:val="000000" w:themeColor="text1"/>
              </w:rPr>
              <w:t>$</w:t>
            </w:r>
            <w:r w:rsidRPr="44FEEF24" w:rsidR="0057030C">
              <w:rPr>
                <w:rFonts w:cs="Arial"/>
                <w:b/>
                <w:color w:val="000000" w:themeColor="text1"/>
              </w:rPr>
              <w:t>4,</w:t>
            </w:r>
            <w:r w:rsidRPr="007E58E8" w:rsidR="4DEE6634">
              <w:rPr>
                <w:rFonts w:cs="Arial"/>
                <w:b/>
                <w:bCs/>
              </w:rPr>
              <w:t>03</w:t>
            </w:r>
            <w:r w:rsidRPr="007E58E8" w:rsidR="00690187">
              <w:rPr>
                <w:rFonts w:cs="Arial"/>
                <w:b/>
              </w:rPr>
              <w:t>6.07</w:t>
            </w:r>
          </w:p>
        </w:tc>
      </w:tr>
    </w:tbl>
    <w:p w:rsidR="00C451D0" w:rsidP="00542944" w:rsidRDefault="00C451D0" w14:paraId="6B4741AC" w14:textId="749420E3">
      <w:pPr>
        <w:pStyle w:val="TableFootnoteCaption"/>
        <w:sectPr w:rsidR="00C451D0" w:rsidSect="00383149">
          <w:headerReference w:type="first" r:id="rId15"/>
          <w:pgSz w:w="15840" w:h="12240" w:orient="landscape"/>
          <w:pgMar w:top="1440" w:right="1440" w:bottom="1440" w:left="1440" w:header="720" w:footer="720" w:gutter="0"/>
          <w:cols w:space="720"/>
          <w:titlePg/>
          <w:docGrid w:linePitch="360"/>
        </w:sectPr>
      </w:pPr>
      <w:proofErr w:type="spellStart"/>
      <w:r>
        <w:rPr>
          <w:color w:val="000000"/>
          <w:vertAlign w:val="superscript"/>
        </w:rPr>
        <w:t>a</w:t>
      </w:r>
      <w:proofErr w:type="spellEnd"/>
      <w:r w:rsidRPr="00866174">
        <w:rPr>
          <w:color w:val="000000"/>
          <w:vertAlign w:val="superscript"/>
        </w:rPr>
        <w:t xml:space="preserve"> </w:t>
      </w:r>
      <w:r w:rsidRPr="00F61119">
        <w:rPr>
          <w:color w:val="000000" w:themeColor="text1"/>
        </w:rPr>
        <w:t xml:space="preserve">The </w:t>
      </w:r>
      <w:r w:rsidRPr="00F61119" w:rsidR="006E2842">
        <w:rPr>
          <w:color w:val="000000" w:themeColor="text1"/>
        </w:rPr>
        <w:t>hourly wage of $</w:t>
      </w:r>
      <w:r w:rsidRPr="00F61119" w:rsidR="00677D62">
        <w:rPr>
          <w:color w:val="000000" w:themeColor="text1"/>
        </w:rPr>
        <w:t>32.02</w:t>
      </w:r>
      <w:r w:rsidRPr="00F61119" w:rsidR="006E2842">
        <w:rPr>
          <w:color w:val="000000" w:themeColor="text1"/>
        </w:rPr>
        <w:t xml:space="preserve"> is based on the January 2021</w:t>
      </w:r>
      <w:r w:rsidRPr="00F61119" w:rsidR="00D16F9A">
        <w:rPr>
          <w:color w:val="000000" w:themeColor="text1"/>
        </w:rPr>
        <w:t xml:space="preserve"> </w:t>
      </w:r>
      <w:r w:rsidRPr="00F61119" w:rsidR="00E91B95">
        <w:rPr>
          <w:color w:val="000000" w:themeColor="text1"/>
        </w:rPr>
        <w:t xml:space="preserve">Office of Personnel Management </w:t>
      </w:r>
      <w:r w:rsidRPr="00F61119" w:rsidR="00677D62">
        <w:rPr>
          <w:color w:val="000000" w:themeColor="text1"/>
        </w:rPr>
        <w:t xml:space="preserve">Grade 12, Step 1 </w:t>
      </w:r>
      <w:r w:rsidRPr="00F61119" w:rsidR="00E34386">
        <w:rPr>
          <w:color w:val="000000" w:themeColor="text1"/>
        </w:rPr>
        <w:t>r</w:t>
      </w:r>
      <w:r w:rsidRPr="00F61119" w:rsidR="00C11A68">
        <w:rPr>
          <w:color w:val="000000" w:themeColor="text1"/>
        </w:rPr>
        <w:t xml:space="preserve">ate </w:t>
      </w:r>
      <w:r w:rsidRPr="00F61119" w:rsidR="006E2842">
        <w:rPr>
          <w:color w:val="000000" w:themeColor="text1"/>
        </w:rPr>
        <w:t>(</w:t>
      </w:r>
      <w:r w:rsidR="006E2842">
        <w:rPr>
          <w:color w:val="000000" w:themeColor="text1"/>
        </w:rPr>
        <w:t xml:space="preserve">see </w:t>
      </w:r>
      <w:hyperlink w:history="1" r:id="rId16">
        <w:r w:rsidRPr="001D5083" w:rsidR="00477D28">
          <w:rPr>
            <w:rStyle w:val="Hyperlink"/>
          </w:rPr>
          <w:t>https://www.opm.gov/policy-data-oversight/pay-leave/salaries-wages/salary-tables/21Tables/html/GS_h.aspx</w:t>
        </w:r>
      </w:hyperlink>
      <w:r w:rsidR="006E2842">
        <w:rPr>
          <w:color w:val="000000" w:themeColor="text1"/>
        </w:rPr>
        <w:t>)</w:t>
      </w:r>
      <w:r w:rsidR="005B11A0">
        <w:rPr>
          <w:color w:val="000000" w:themeColor="text1"/>
        </w:rPr>
        <w:t xml:space="preserve">; the </w:t>
      </w:r>
      <w:r w:rsidRPr="003B0173">
        <w:rPr>
          <w:color w:val="000000" w:themeColor="text1"/>
        </w:rPr>
        <w:t>hourly wage of $</w:t>
      </w:r>
      <w:r w:rsidRPr="003B0173" w:rsidR="006C7238">
        <w:rPr>
          <w:color w:val="000000" w:themeColor="text1"/>
        </w:rPr>
        <w:t>22.85</w:t>
      </w:r>
      <w:r w:rsidRPr="003B0173">
        <w:rPr>
          <w:color w:val="000000" w:themeColor="text1"/>
        </w:rPr>
        <w:t xml:space="preserve"> is the May 20</w:t>
      </w:r>
      <w:r w:rsidRPr="003B0173" w:rsidR="008172BE">
        <w:rPr>
          <w:color w:val="000000" w:themeColor="text1"/>
        </w:rPr>
        <w:t>20</w:t>
      </w:r>
      <w:r w:rsidRPr="003B0173">
        <w:rPr>
          <w:color w:val="000000" w:themeColor="text1"/>
        </w:rPr>
        <w:t xml:space="preserve"> median wage across </w:t>
      </w:r>
      <w:r w:rsidRPr="003B0173" w:rsidR="008172BE">
        <w:rPr>
          <w:color w:val="000000" w:themeColor="text1"/>
        </w:rPr>
        <w:t xml:space="preserve">all </w:t>
      </w:r>
      <w:r w:rsidRPr="003B0173" w:rsidR="006C7238">
        <w:rPr>
          <w:color w:val="000000" w:themeColor="text1"/>
        </w:rPr>
        <w:t>Community and Social Service</w:t>
      </w:r>
      <w:r w:rsidRPr="003B0173" w:rsidR="006565F1">
        <w:rPr>
          <w:color w:val="000000" w:themeColor="text1"/>
        </w:rPr>
        <w:t xml:space="preserve"> </w:t>
      </w:r>
      <w:r w:rsidRPr="003B0173" w:rsidR="00E077D8">
        <w:rPr>
          <w:color w:val="000000" w:themeColor="text1"/>
        </w:rPr>
        <w:t>occupations in the United states</w:t>
      </w:r>
      <w:r w:rsidR="00E512E7">
        <w:rPr>
          <w:color w:val="000000" w:themeColor="text1"/>
        </w:rPr>
        <w:t xml:space="preserve"> (see </w:t>
      </w:r>
      <w:hyperlink w:history="1" r:id="rId17">
        <w:r w:rsidRPr="006B51E0" w:rsidR="00E512E7">
          <w:rPr>
            <w:rStyle w:val="Hyperlink"/>
          </w:rPr>
          <w:t>https://www.bls.gov/oes/current/oes_nat.htm</w:t>
        </w:r>
      </w:hyperlink>
      <w:r w:rsidR="00E512E7">
        <w:rPr>
          <w:rStyle w:val="Hyperlink"/>
        </w:rPr>
        <w:t>)</w:t>
      </w:r>
      <w:r w:rsidRPr="00823B8C" w:rsidR="00D97647">
        <w:rPr>
          <w:color w:val="000000" w:themeColor="text1"/>
        </w:rPr>
        <w:t xml:space="preserve">; </w:t>
      </w:r>
      <w:r w:rsidRPr="003B0173" w:rsidR="00C63C9A">
        <w:rPr>
          <w:color w:val="000000" w:themeColor="text1"/>
        </w:rPr>
        <w:t>the hourly wage of $</w:t>
      </w:r>
      <w:r w:rsidR="00C63C9A">
        <w:rPr>
          <w:color w:val="000000" w:themeColor="text1"/>
        </w:rPr>
        <w:t>20.17</w:t>
      </w:r>
      <w:r w:rsidRPr="003B0173" w:rsidR="00C63C9A">
        <w:rPr>
          <w:color w:val="000000" w:themeColor="text1"/>
        </w:rPr>
        <w:t xml:space="preserve"> is the May 2020 median wage across all occupations in the United </w:t>
      </w:r>
      <w:r w:rsidRPr="00742C09" w:rsidR="00C63C9A">
        <w:rPr>
          <w:color w:val="000000" w:themeColor="text1"/>
        </w:rPr>
        <w:t>States</w:t>
      </w:r>
      <w:r w:rsidR="00887A85">
        <w:rPr>
          <w:color w:val="000000" w:themeColor="text1"/>
        </w:rPr>
        <w:t xml:space="preserve"> </w:t>
      </w:r>
      <w:r w:rsidRPr="00742C09" w:rsidR="00887A85">
        <w:rPr>
          <w:color w:val="000000" w:themeColor="text1"/>
        </w:rPr>
        <w:t xml:space="preserve">(see </w:t>
      </w:r>
      <w:hyperlink w:history="1" r:id="rId18">
        <w:r w:rsidRPr="006B51E0" w:rsidR="00887A85">
          <w:rPr>
            <w:rStyle w:val="Hyperlink"/>
          </w:rPr>
          <w:t>https://www.bls.gov/oes/current/oes_nat.htm</w:t>
        </w:r>
      </w:hyperlink>
      <w:r w:rsidRPr="00742C09" w:rsidR="00887A85">
        <w:rPr>
          <w:color w:val="000000" w:themeColor="text1"/>
        </w:rPr>
        <w:t>)</w:t>
      </w:r>
      <w:r w:rsidR="00C63C9A">
        <w:rPr>
          <w:color w:val="000000" w:themeColor="text1"/>
        </w:rPr>
        <w:t>;</w:t>
      </w:r>
      <w:r w:rsidRPr="00823B8C" w:rsidR="00C63C9A">
        <w:rPr>
          <w:color w:val="000000" w:themeColor="text1"/>
        </w:rPr>
        <w:t xml:space="preserve"> </w:t>
      </w:r>
      <w:r w:rsidRPr="00477D31" w:rsidR="00E36BAF">
        <w:rPr>
          <w:color w:val="000000" w:themeColor="text1"/>
        </w:rPr>
        <w:t xml:space="preserve">the hourly wage of </w:t>
      </w:r>
      <w:r w:rsidRPr="00477D31" w:rsidR="00636FB8">
        <w:rPr>
          <w:color w:val="000000" w:themeColor="text1"/>
        </w:rPr>
        <w:t>$</w:t>
      </w:r>
      <w:r w:rsidRPr="00477D31" w:rsidR="00C70A71">
        <w:rPr>
          <w:color w:val="000000" w:themeColor="text1"/>
        </w:rPr>
        <w:t>17.00</w:t>
      </w:r>
      <w:r w:rsidRPr="00477D31" w:rsidR="00636FB8">
        <w:rPr>
          <w:color w:val="000000" w:themeColor="text1"/>
        </w:rPr>
        <w:t xml:space="preserve"> is</w:t>
      </w:r>
      <w:r w:rsidRPr="00477D31" w:rsidR="00541E77">
        <w:rPr>
          <w:color w:val="000000" w:themeColor="text1"/>
        </w:rPr>
        <w:t xml:space="preserve"> based on </w:t>
      </w:r>
      <w:r w:rsidRPr="00477D31" w:rsidR="00961056">
        <w:rPr>
          <w:color w:val="000000" w:themeColor="text1"/>
        </w:rPr>
        <w:t xml:space="preserve">the </w:t>
      </w:r>
      <w:r w:rsidRPr="00477D31" w:rsidR="00BE2424">
        <w:rPr>
          <w:color w:val="000000" w:themeColor="text1"/>
        </w:rPr>
        <w:t xml:space="preserve">January </w:t>
      </w:r>
      <w:r w:rsidRPr="00F61119" w:rsidR="00BE2424">
        <w:rPr>
          <w:color w:val="000000" w:themeColor="text1"/>
        </w:rPr>
        <w:t xml:space="preserve">2021 Office of Personnel Management Grade </w:t>
      </w:r>
      <w:r w:rsidR="00961056">
        <w:rPr>
          <w:color w:val="000000" w:themeColor="text1"/>
        </w:rPr>
        <w:t>4</w:t>
      </w:r>
      <w:r w:rsidRPr="00F61119" w:rsidR="00BE2424">
        <w:rPr>
          <w:color w:val="000000" w:themeColor="text1"/>
        </w:rPr>
        <w:t>, Step 1</w:t>
      </w:r>
      <w:r w:rsidRPr="00F61119" w:rsidR="00961056">
        <w:rPr>
          <w:color w:val="000000" w:themeColor="text1"/>
        </w:rPr>
        <w:t xml:space="preserve"> </w:t>
      </w:r>
      <w:r w:rsidRPr="00F61119" w:rsidR="00541E77">
        <w:rPr>
          <w:color w:val="000000" w:themeColor="text1"/>
        </w:rPr>
        <w:t>rate</w:t>
      </w:r>
      <w:r w:rsidRPr="00F61119" w:rsidR="00961056">
        <w:rPr>
          <w:color w:val="000000" w:themeColor="text1"/>
        </w:rPr>
        <w:t xml:space="preserve"> </w:t>
      </w:r>
      <w:r w:rsidR="00961056">
        <w:rPr>
          <w:color w:val="000000" w:themeColor="text1"/>
        </w:rPr>
        <w:t xml:space="preserve">for </w:t>
      </w:r>
      <w:r w:rsidR="00BE2424">
        <w:rPr>
          <w:color w:val="000000" w:themeColor="text1"/>
        </w:rPr>
        <w:t>the DC-metro area (</w:t>
      </w:r>
      <w:r w:rsidR="00BC21C6">
        <w:rPr>
          <w:color w:val="000000" w:themeColor="text1"/>
        </w:rPr>
        <w:t xml:space="preserve">this was the </w:t>
      </w:r>
      <w:r w:rsidR="00215B3C">
        <w:rPr>
          <w:color w:val="000000" w:themeColor="text1"/>
        </w:rPr>
        <w:t>highest</w:t>
      </w:r>
      <w:r w:rsidR="003A7EBA">
        <w:rPr>
          <w:color w:val="000000" w:themeColor="text1"/>
        </w:rPr>
        <w:t xml:space="preserve"> </w:t>
      </w:r>
      <w:r w:rsidR="00215B3C">
        <w:rPr>
          <w:color w:val="000000" w:themeColor="text1"/>
        </w:rPr>
        <w:t>hourly rate</w:t>
      </w:r>
      <w:r w:rsidR="00D272F2">
        <w:rPr>
          <w:color w:val="000000" w:themeColor="text1"/>
        </w:rPr>
        <w:t xml:space="preserve"> </w:t>
      </w:r>
      <w:r w:rsidR="00C450FC">
        <w:rPr>
          <w:color w:val="000000" w:themeColor="text1"/>
        </w:rPr>
        <w:t xml:space="preserve">across the </w:t>
      </w:r>
      <w:r w:rsidR="00F63A81">
        <w:rPr>
          <w:color w:val="000000" w:themeColor="text1"/>
        </w:rPr>
        <w:t>continental sites</w:t>
      </w:r>
      <w:r w:rsidR="003A16F7">
        <w:rPr>
          <w:color w:val="000000" w:themeColor="text1"/>
        </w:rPr>
        <w:t xml:space="preserve">, </w:t>
      </w:r>
      <w:r w:rsidR="002C57BC">
        <w:rPr>
          <w:color w:val="000000" w:themeColor="text1"/>
        </w:rPr>
        <w:t>see</w:t>
      </w:r>
      <w:r w:rsidR="00174717">
        <w:rPr>
          <w:color w:val="000000" w:themeColor="text1"/>
        </w:rPr>
        <w:t xml:space="preserve"> </w:t>
      </w:r>
      <w:hyperlink w:history="1" r:id="rId19">
        <w:r w:rsidRPr="001D5083" w:rsidR="00787C63">
          <w:rPr>
            <w:rStyle w:val="Hyperlink"/>
          </w:rPr>
          <w:t>https://www.opm.gov/policy-data-oversight/pay-leave/salaries-wages/salary-tables/21Tables/html/DCB_h.aspx</w:t>
        </w:r>
      </w:hyperlink>
      <w:r w:rsidR="00787C63">
        <w:rPr>
          <w:color w:val="000000" w:themeColor="text1"/>
        </w:rPr>
        <w:t xml:space="preserve">). </w:t>
      </w:r>
      <w:r w:rsidR="00823B8C">
        <w:rPr>
          <w:color w:val="C00000"/>
        </w:rPr>
        <w:t xml:space="preserve"> </w:t>
      </w:r>
    </w:p>
    <w:p w:rsidRPr="001C47A2" w:rsidR="00F63B73" w:rsidP="00383149" w:rsidRDefault="00F63B73" w14:paraId="1CC858D6" w14:textId="4BDFFF05">
      <w:pPr>
        <w:pStyle w:val="TableFootnoteCaption"/>
      </w:pPr>
    </w:p>
    <w:p w:rsidRPr="0021159E" w:rsidR="00871FB8" w:rsidP="005C45D4" w:rsidRDefault="006D108A" w14:paraId="3E5C78DF" w14:textId="11AF2C7B">
      <w:pPr>
        <w:pStyle w:val="H3Alpha"/>
        <w:ind w:left="0" w:firstLine="0"/>
        <w:rPr>
          <w:rFonts w:ascii="Times New Roman" w:hAnsi="Times New Roman"/>
          <w:i/>
        </w:rPr>
      </w:pPr>
      <w:r w:rsidRPr="002042DF">
        <w:t xml:space="preserve">13. </w:t>
      </w:r>
      <w:r w:rsidRPr="00946B48" w:rsidR="005455E1">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Pr="00B31391" w:rsidR="00072E64" w:rsidP="00072E64" w:rsidRDefault="00072E64" w14:paraId="5ABCA6D7"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31391">
        <w:rPr>
          <w:rFonts w:ascii="Times New Roman" w:hAnsi="Times New Roman"/>
          <w:i/>
          <w:sz w:val="24"/>
        </w:rPr>
        <w:t>take into account</w:t>
      </w:r>
      <w:proofErr w:type="gramEnd"/>
      <w:r w:rsidRPr="00B31391">
        <w:rPr>
          <w:rFonts w:ascii="Times New Roman" w:hAnsi="Times New Roman"/>
          <w:i/>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31391">
        <w:rPr>
          <w:rFonts w:ascii="Times New Roman" w:hAnsi="Times New Roman"/>
          <w:i/>
          <w:sz w:val="24"/>
        </w:rPr>
        <w:t>time period</w:t>
      </w:r>
      <w:proofErr w:type="gramEnd"/>
      <w:r w:rsidRPr="00B31391">
        <w:rPr>
          <w:rFonts w:ascii="Times New Roman" w:hAnsi="Times New Roman"/>
          <w:i/>
          <w:sz w:val="24"/>
        </w:rPr>
        <w:t xml:space="preserve"> over which costs will be incurred.  Capital and start-up costs include, among other items, preparations for collecting information such as purchasing computers and software; monitoring, sampling, </w:t>
      </w:r>
      <w:proofErr w:type="gramStart"/>
      <w:r w:rsidRPr="00B31391">
        <w:rPr>
          <w:rFonts w:ascii="Times New Roman" w:hAnsi="Times New Roman"/>
          <w:i/>
          <w:sz w:val="24"/>
        </w:rPr>
        <w:t>drilling</w:t>
      </w:r>
      <w:proofErr w:type="gramEnd"/>
      <w:r w:rsidRPr="00B31391">
        <w:rPr>
          <w:rFonts w:ascii="Times New Roman" w:hAnsi="Times New Roman"/>
          <w:i/>
          <w:sz w:val="24"/>
        </w:rPr>
        <w:t xml:space="preserve"> and testing equipment; and record storage facilities. </w:t>
      </w:r>
    </w:p>
    <w:p w:rsidRPr="00B31391" w:rsidR="00072E64" w:rsidP="00072E64" w:rsidRDefault="00072E64" w14:paraId="12595B3A" w14:textId="77777777">
      <w:pPr>
        <w:pStyle w:val="H3Alpha"/>
        <w:ind w:firstLine="0"/>
        <w:rPr>
          <w:rFonts w:ascii="Times New Roman" w:hAnsi="Times New Roman"/>
          <w:i/>
          <w:sz w:val="24"/>
        </w:rPr>
      </w:pPr>
      <w:r w:rsidRPr="00B31391">
        <w:rPr>
          <w:rFonts w:ascii="Times New Roman" w:hAnsi="Times New Roman"/>
          <w:i/>
          <w:sz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B31391">
        <w:rPr>
          <w:rFonts w:ascii="Times New Roman" w:hAnsi="Times New Roman"/>
          <w:i/>
          <w:sz w:val="24"/>
        </w:rPr>
        <w:t>process</w:t>
      </w:r>
      <w:proofErr w:type="gramEnd"/>
      <w:r w:rsidRPr="00B31391">
        <w:rPr>
          <w:rFonts w:ascii="Times New Roman" w:hAnsi="Times New Roman"/>
          <w:i/>
          <w:sz w:val="24"/>
        </w:rPr>
        <w:t xml:space="preserve"> and use existing economic or regulatory impact analysis associated with the rulemaking containing the information collection, as appropriate.</w:t>
      </w:r>
    </w:p>
    <w:p w:rsidRPr="00072E64" w:rsidR="00072E64" w:rsidP="00072E64" w:rsidRDefault="00072E64" w14:paraId="084A2582" w14:textId="090D80BD">
      <w:pPr>
        <w:pStyle w:val="NormalSS"/>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84F97" w:rsidR="006D108A" w:rsidP="005C45D4" w:rsidRDefault="006D108A" w14:paraId="161DF33A" w14:textId="6246419F">
      <w:pPr>
        <w:pStyle w:val="H3Alpha"/>
        <w:ind w:left="0" w:firstLine="450"/>
        <w:rPr>
          <w:rFonts w:ascii="Times New Roman" w:hAnsi="Times New Roman"/>
          <w:color w:val="000000" w:themeColor="text1"/>
          <w:sz w:val="24"/>
          <w:szCs w:val="24"/>
        </w:rPr>
      </w:pPr>
      <w:r w:rsidRPr="00C84F97">
        <w:rPr>
          <w:rFonts w:ascii="Times New Roman" w:hAnsi="Times New Roman"/>
          <w:color w:val="000000" w:themeColor="text1"/>
          <w:sz w:val="24"/>
          <w:szCs w:val="24"/>
        </w:rPr>
        <w:t>There are no direct costs to respondents</w:t>
      </w:r>
      <w:r w:rsidRPr="00C84F97" w:rsidR="00037B93">
        <w:rPr>
          <w:rFonts w:ascii="Times New Roman" w:hAnsi="Times New Roman"/>
          <w:color w:val="000000" w:themeColor="text1"/>
          <w:sz w:val="24"/>
          <w:szCs w:val="24"/>
        </w:rPr>
        <w:t xml:space="preserve"> other than their time. </w:t>
      </w:r>
    </w:p>
    <w:p w:rsidRPr="00B75DB5" w:rsidR="00D7273E" w:rsidP="005C45D4" w:rsidRDefault="00D7273E" w14:paraId="3A6CE7C1" w14:textId="352126D1">
      <w:pPr>
        <w:pStyle w:val="H3Alpha"/>
        <w:ind w:left="0" w:firstLine="0"/>
      </w:pPr>
      <w:r w:rsidRPr="00B75DB5">
        <w:t xml:space="preserve">14. </w:t>
      </w:r>
      <w:r w:rsidRPr="00946B48" w:rsidR="005455E1">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86798" w:rsidR="00D7273E" w:rsidP="00B75DB5" w:rsidRDefault="369740E2" w14:paraId="7F03AA81" w14:textId="66F81E83">
      <w:pPr>
        <w:pStyle w:val="NormalSS"/>
      </w:pPr>
      <w:r>
        <w:t xml:space="preserve">The total </w:t>
      </w:r>
      <w:r w:rsidR="390A2D22">
        <w:t xml:space="preserve">cost to the Federal government over </w:t>
      </w:r>
      <w:r w:rsidR="53671394">
        <w:t xml:space="preserve">two </w:t>
      </w:r>
      <w:r w:rsidR="390A2D22">
        <w:t>years is $</w:t>
      </w:r>
      <w:r w:rsidR="37200D1D">
        <w:t>216,724</w:t>
      </w:r>
      <w:r w:rsidR="390A2D22">
        <w:t xml:space="preserve">, and </w:t>
      </w:r>
      <w:r>
        <w:t xml:space="preserve">annualized cost to the </w:t>
      </w:r>
      <w:r w:rsidR="00690187">
        <w:t>F</w:t>
      </w:r>
      <w:r>
        <w:t xml:space="preserve">ederal </w:t>
      </w:r>
      <w:r w:rsidR="00690187">
        <w:t>G</w:t>
      </w:r>
      <w:r>
        <w:t>overnment is $</w:t>
      </w:r>
      <w:r w:rsidR="0ECF6B1B">
        <w:t>108,362</w:t>
      </w:r>
      <w:r>
        <w:t xml:space="preserve">. Costs result from the following categories: </w:t>
      </w:r>
    </w:p>
    <w:p w:rsidRPr="000D19C1" w:rsidR="005445D5" w:rsidP="00B75DB5" w:rsidRDefault="00D7273E" w14:paraId="0FB5C84D" w14:textId="34604542">
      <w:pPr>
        <w:pStyle w:val="NormalSS"/>
        <w:rPr>
          <w:szCs w:val="24"/>
        </w:rPr>
      </w:pPr>
      <w:r w:rsidRPr="000D19C1">
        <w:rPr>
          <w:szCs w:val="24"/>
        </w:rPr>
        <w:t xml:space="preserve">The estimated cost to the </w:t>
      </w:r>
      <w:r w:rsidR="00690187">
        <w:rPr>
          <w:szCs w:val="24"/>
        </w:rPr>
        <w:t>F</w:t>
      </w:r>
      <w:r w:rsidRPr="000D19C1">
        <w:rPr>
          <w:szCs w:val="24"/>
        </w:rPr>
        <w:t xml:space="preserve">ederal </w:t>
      </w:r>
      <w:r w:rsidR="00690187">
        <w:rPr>
          <w:szCs w:val="24"/>
        </w:rPr>
        <w:t>G</w:t>
      </w:r>
      <w:r w:rsidRPr="000D19C1">
        <w:rPr>
          <w:szCs w:val="24"/>
        </w:rPr>
        <w:t xml:space="preserve">overnment for the contractor to carry out the </w:t>
      </w:r>
      <w:r w:rsidRPr="000D19C1" w:rsidR="00693B27">
        <w:rPr>
          <w:szCs w:val="24"/>
        </w:rPr>
        <w:t>focus groups</w:t>
      </w:r>
      <w:r w:rsidRPr="000D19C1" w:rsidR="00A4720B">
        <w:rPr>
          <w:szCs w:val="24"/>
        </w:rPr>
        <w:t xml:space="preserve"> is $</w:t>
      </w:r>
      <w:r w:rsidRPr="000D19C1" w:rsidR="004C454C">
        <w:rPr>
          <w:szCs w:val="24"/>
        </w:rPr>
        <w:t>175,392.</w:t>
      </w:r>
      <w:r w:rsidRPr="000D19C1" w:rsidR="0021159E">
        <w:rPr>
          <w:rStyle w:val="FootnoteReference"/>
          <w:szCs w:val="24"/>
        </w:rPr>
        <w:footnoteReference w:id="4"/>
      </w:r>
      <w:r w:rsidRPr="000D19C1">
        <w:rPr>
          <w:szCs w:val="24"/>
        </w:rPr>
        <w:t xml:space="preserve"> Annualized, this comes to $</w:t>
      </w:r>
      <w:r w:rsidRPr="000D19C1" w:rsidR="000D19C1">
        <w:rPr>
          <w:szCs w:val="24"/>
        </w:rPr>
        <w:t>87,696</w:t>
      </w:r>
      <w:r w:rsidRPr="000D19C1">
        <w:rPr>
          <w:szCs w:val="24"/>
        </w:rPr>
        <w:t>:</w:t>
      </w:r>
      <w:r w:rsidRPr="000D19C1" w:rsidDel="00F16AEA" w:rsidR="00F16AEA">
        <w:rPr>
          <w:szCs w:val="24"/>
        </w:rPr>
        <w:t xml:space="preserve"> </w:t>
      </w:r>
    </w:p>
    <w:p w:rsidRPr="000D19C1" w:rsidR="00D7273E" w:rsidP="00741BEF" w:rsidRDefault="00234A99" w14:paraId="07C30DDC" w14:textId="342326CD">
      <w:pPr>
        <w:pStyle w:val="NormalSS"/>
        <w:ind w:firstLine="0"/>
        <w:rPr>
          <w:szCs w:val="24"/>
        </w:rPr>
      </w:pPr>
      <w:r w:rsidRPr="000D19C1">
        <w:rPr>
          <w:szCs w:val="24"/>
        </w:rPr>
        <w:t xml:space="preserve"> </w:t>
      </w:r>
      <m:oMath>
        <m:f>
          <m:fPr>
            <m:ctrlPr>
              <w:rPr>
                <w:rFonts w:ascii="Cambria Math" w:hAnsi="Cambria Math"/>
                <w:i/>
                <w:szCs w:val="24"/>
              </w:rPr>
            </m:ctrlPr>
          </m:fPr>
          <m:num>
            <m:r>
              <w:rPr>
                <w:rFonts w:ascii="Cambria Math" w:hAnsi="Cambria Math"/>
                <w:szCs w:val="24"/>
              </w:rPr>
              <m:t>$175,392</m:t>
            </m:r>
          </m:num>
          <m:den>
            <m:r>
              <w:rPr>
                <w:rFonts w:ascii="Cambria Math" w:hAnsi="Cambria Math"/>
                <w:szCs w:val="24"/>
              </w:rPr>
              <m:t>2</m:t>
            </m:r>
          </m:den>
        </m:f>
      </m:oMath>
      <w:r w:rsidRPr="000D19C1" w:rsidR="00F16AEA">
        <w:rPr>
          <w:szCs w:val="24"/>
        </w:rPr>
        <w:t xml:space="preserve"> =</w:t>
      </w:r>
      <w:r w:rsidRPr="000D19C1" w:rsidR="007C07F0">
        <w:rPr>
          <w:szCs w:val="24"/>
        </w:rPr>
        <w:t xml:space="preserve"> </w:t>
      </w:r>
      <w:r w:rsidRPr="000D19C1" w:rsidR="00F16AEA">
        <w:rPr>
          <w:szCs w:val="24"/>
        </w:rPr>
        <w:t>$</w:t>
      </w:r>
      <w:r w:rsidRPr="000D19C1" w:rsidR="00DB62C4">
        <w:rPr>
          <w:szCs w:val="24"/>
        </w:rPr>
        <w:t>87,696</w:t>
      </w:r>
    </w:p>
    <w:p w:rsidRPr="005C45D4" w:rsidR="00C42903" w:rsidP="00C42903" w:rsidRDefault="00C42903" w14:paraId="12ACD2E2" w14:textId="6C4DCCA4">
      <w:pPr>
        <w:pStyle w:val="NormalSS"/>
        <w:rPr>
          <w:szCs w:val="24"/>
        </w:rPr>
      </w:pPr>
      <w:r w:rsidRPr="005C45D4">
        <w:rPr>
          <w:szCs w:val="24"/>
        </w:rPr>
        <w:t>The annual cost borne by DOL for federal technical staff to oversee the contract is estimated to be $</w:t>
      </w:r>
      <w:r w:rsidR="00C35D28">
        <w:rPr>
          <w:szCs w:val="24"/>
        </w:rPr>
        <w:t>20,6</w:t>
      </w:r>
      <w:r w:rsidRPr="005C45D4" w:rsidR="00593408">
        <w:rPr>
          <w:szCs w:val="24"/>
        </w:rPr>
        <w:t>6</w:t>
      </w:r>
      <w:r w:rsidR="00690187">
        <w:rPr>
          <w:szCs w:val="24"/>
        </w:rPr>
        <w:t>5.65</w:t>
      </w:r>
      <w:r w:rsidRPr="005C45D4">
        <w:rPr>
          <w:szCs w:val="24"/>
        </w:rPr>
        <w:t xml:space="preserve">. We expect the annual level of effort to perform these duties will require 200 </w:t>
      </w:r>
      <w:r w:rsidRPr="005C45D4">
        <w:rPr>
          <w:szCs w:val="24"/>
        </w:rPr>
        <w:lastRenderedPageBreak/>
        <w:t>hours for one federal GS 14 step 4 employee based in Washington, D.C., earning $</w:t>
      </w:r>
      <w:r w:rsidRPr="005C45D4" w:rsidR="00593408">
        <w:rPr>
          <w:szCs w:val="24"/>
        </w:rPr>
        <w:t>6</w:t>
      </w:r>
      <w:r w:rsidR="0040231B">
        <w:rPr>
          <w:szCs w:val="24"/>
        </w:rPr>
        <w:t>4.58</w:t>
      </w:r>
      <w:r w:rsidRPr="005C45D4" w:rsidR="00593408">
        <w:rPr>
          <w:szCs w:val="24"/>
        </w:rPr>
        <w:t xml:space="preserve"> </w:t>
      </w:r>
      <w:r w:rsidRPr="005C45D4">
        <w:rPr>
          <w:szCs w:val="24"/>
        </w:rPr>
        <w:t xml:space="preserve">per hour. (See Office of Personnel Management </w:t>
      </w:r>
      <w:r w:rsidR="00A11C59">
        <w:rPr>
          <w:szCs w:val="24"/>
        </w:rPr>
        <w:t>2021</w:t>
      </w:r>
      <w:r w:rsidRPr="005C45D4">
        <w:rPr>
          <w:szCs w:val="24"/>
        </w:rPr>
        <w:t xml:space="preserve"> Hourly Salary Table at </w:t>
      </w:r>
      <w:hyperlink w:history="1" r:id="rId20">
        <w:r w:rsidRPr="001300C3" w:rsidR="00A11C59">
          <w:rPr>
            <w:rStyle w:val="Hyperlink"/>
            <w:szCs w:val="24"/>
          </w:rPr>
          <w:t>https://www.opm.gov/policy-data-oversight/pay-leave/salaries-wages/salary-tables/pdf/2021/DCB.pdf</w:t>
        </w:r>
      </w:hyperlink>
      <w:r w:rsidRPr="005C45D4">
        <w:rPr>
          <w:szCs w:val="24"/>
        </w:rPr>
        <w:t>.</w:t>
      </w:r>
      <w:r w:rsidR="00B852D5">
        <w:rPr>
          <w:szCs w:val="24"/>
        </w:rPr>
        <w:t>)</w:t>
      </w:r>
      <w:r w:rsidRPr="005C45D4">
        <w:rPr>
          <w:szCs w:val="24"/>
        </w:rPr>
        <w:t xml:space="preserve"> To account for fringe benefits and other overhead costs, the agency has applied multiplication factor of 1.6:</w:t>
      </w:r>
    </w:p>
    <w:p w:rsidRPr="00C35D28" w:rsidR="00D7273E" w:rsidP="00486DFC" w:rsidRDefault="00C42903" w14:paraId="0D01982C" w14:textId="7FB09D58">
      <w:pPr>
        <w:pStyle w:val="NormalSS"/>
        <w:rPr>
          <w:szCs w:val="24"/>
        </w:rPr>
      </w:pPr>
      <w:r w:rsidRPr="00C35D28">
        <w:rPr>
          <w:szCs w:val="24"/>
        </w:rPr>
        <w:t>200 hours × $6</w:t>
      </w:r>
      <w:r w:rsidRPr="00C35D28" w:rsidR="002F54E7">
        <w:rPr>
          <w:szCs w:val="24"/>
        </w:rPr>
        <w:t>4.58</w:t>
      </w:r>
      <w:r w:rsidRPr="00C35D28">
        <w:rPr>
          <w:szCs w:val="24"/>
        </w:rPr>
        <w:t xml:space="preserve"> × 1.6 = $</w:t>
      </w:r>
      <w:r w:rsidRPr="00C35D28" w:rsidR="00C35D28">
        <w:rPr>
          <w:szCs w:val="24"/>
        </w:rPr>
        <w:t>20,66</w:t>
      </w:r>
      <w:r w:rsidR="00690187">
        <w:rPr>
          <w:szCs w:val="24"/>
        </w:rPr>
        <w:t>5.60</w:t>
      </w:r>
      <w:r w:rsidRPr="00C35D28">
        <w:rPr>
          <w:szCs w:val="24"/>
        </w:rPr>
        <w:t>.</w:t>
      </w:r>
    </w:p>
    <w:p w:rsidRPr="00C86798" w:rsidR="00D7273E" w:rsidP="00486DFC" w:rsidRDefault="00D7273E" w14:paraId="11377CF2" w14:textId="1FE657C0">
      <w:pPr>
        <w:pStyle w:val="NormalSS"/>
        <w:rPr>
          <w:b/>
        </w:rPr>
      </w:pPr>
      <w:r w:rsidRPr="00C86798">
        <w:rPr>
          <w:b/>
        </w:rPr>
        <w:t>Thus</w:t>
      </w:r>
      <w:r w:rsidR="00690187">
        <w:rPr>
          <w:b/>
        </w:rPr>
        <w:t>,</w:t>
      </w:r>
      <w:r w:rsidRPr="00C86798">
        <w:rPr>
          <w:b/>
        </w:rPr>
        <w:t xml:space="preserve"> the total annualized federal cost is $</w:t>
      </w:r>
      <w:r w:rsidRPr="00C86798" w:rsidR="00E63FA5">
        <w:rPr>
          <w:b/>
        </w:rPr>
        <w:t>87,696</w:t>
      </w:r>
      <w:r w:rsidRPr="00C86798">
        <w:rPr>
          <w:b/>
        </w:rPr>
        <w:t xml:space="preserve">+ </w:t>
      </w:r>
      <w:r w:rsidRPr="00A83DFE">
        <w:rPr>
          <w:b/>
        </w:rPr>
        <w:t>$</w:t>
      </w:r>
      <w:r w:rsidRPr="00A83DFE" w:rsidR="00A83DFE">
        <w:rPr>
          <w:b/>
        </w:rPr>
        <w:t>20,6</w:t>
      </w:r>
      <w:r w:rsidRPr="00A83DFE" w:rsidR="00593408">
        <w:rPr>
          <w:b/>
        </w:rPr>
        <w:t>6</w:t>
      </w:r>
      <w:r w:rsidR="00690187">
        <w:rPr>
          <w:b/>
        </w:rPr>
        <w:t>5.60</w:t>
      </w:r>
      <w:r w:rsidRPr="00C86798">
        <w:rPr>
          <w:b/>
        </w:rPr>
        <w:t>= $</w:t>
      </w:r>
      <w:r w:rsidRPr="00C86798" w:rsidR="007D6DC4">
        <w:rPr>
          <w:b/>
        </w:rPr>
        <w:t>1</w:t>
      </w:r>
      <w:r w:rsidRPr="00C86798" w:rsidR="00C86798">
        <w:rPr>
          <w:b/>
        </w:rPr>
        <w:t>08,36</w:t>
      </w:r>
      <w:r w:rsidR="00690187">
        <w:rPr>
          <w:b/>
        </w:rPr>
        <w:t>1.60</w:t>
      </w:r>
      <w:r w:rsidRPr="00C86798">
        <w:rPr>
          <w:b/>
        </w:rPr>
        <w:t>.</w:t>
      </w:r>
    </w:p>
    <w:p w:rsidR="00871FB8" w:rsidP="005C45D4" w:rsidRDefault="00D7273E" w14:paraId="6423D4CB" w14:textId="12C684B7">
      <w:pPr>
        <w:pStyle w:val="H3Alpha"/>
        <w:ind w:left="0" w:firstLine="0"/>
        <w:rPr>
          <w:rFonts w:ascii="Times New Roman" w:hAnsi="Times New Roman"/>
          <w:i/>
        </w:rPr>
      </w:pPr>
      <w:r w:rsidRPr="00486DFC">
        <w:t xml:space="preserve">15. </w:t>
      </w:r>
      <w:r w:rsidRPr="00946B48" w:rsidR="005455E1">
        <w:rPr>
          <w:rFonts w:ascii="Times New Roman" w:hAnsi="Times New Roman"/>
          <w:i/>
        </w:rPr>
        <w:t>Explain the reasons for any program changes or adjustments reported on the burden worksheet.</w:t>
      </w:r>
    </w:p>
    <w:p w:rsidRPr="005C45D4" w:rsidR="00D7273E" w:rsidP="005C45D4" w:rsidRDefault="00D7273E" w14:paraId="01219357" w14:textId="6FCB7614">
      <w:pPr>
        <w:pStyle w:val="H3Alpha"/>
        <w:ind w:left="0" w:firstLine="360"/>
        <w:rPr>
          <w:rFonts w:ascii="Times New Roman" w:hAnsi="Times New Roman"/>
          <w:color w:val="C00000"/>
          <w:sz w:val="24"/>
          <w:szCs w:val="24"/>
        </w:rPr>
      </w:pPr>
      <w:r w:rsidRPr="50334582">
        <w:rPr>
          <w:rFonts w:ascii="Times New Roman" w:hAnsi="Times New Roman"/>
          <w:sz w:val="24"/>
          <w:szCs w:val="24"/>
        </w:rPr>
        <w:t>This is a new information collection.</w:t>
      </w:r>
      <w:r w:rsidRPr="50334582" w:rsidR="00823AB7">
        <w:rPr>
          <w:rFonts w:ascii="Times New Roman" w:hAnsi="Times New Roman"/>
          <w:sz w:val="24"/>
          <w:szCs w:val="24"/>
        </w:rPr>
        <w:t xml:space="preserve"> </w:t>
      </w:r>
      <w:r w:rsidRPr="50334582" w:rsidR="00823AB7">
        <w:rPr>
          <w:rFonts w:ascii="Times New Roman" w:hAnsi="Times New Roman"/>
          <w:color w:val="000000" w:themeColor="text1"/>
          <w:sz w:val="24"/>
          <w:szCs w:val="24"/>
        </w:rPr>
        <w:t xml:space="preserve">The data collected through the activities summarized in this request will be used by DOL to </w:t>
      </w:r>
      <w:r w:rsidRPr="50334582" w:rsidR="13CD65C9">
        <w:rPr>
          <w:rFonts w:ascii="Times New Roman" w:hAnsi="Times New Roman"/>
          <w:color w:val="000000" w:themeColor="text1"/>
          <w:sz w:val="24"/>
          <w:szCs w:val="24"/>
        </w:rPr>
        <w:t>comprehensively describe implementation of the ENPP, identify</w:t>
      </w:r>
      <w:r w:rsidR="007C1ACC">
        <w:rPr>
          <w:rFonts w:ascii="Times New Roman" w:hAnsi="Times New Roman"/>
          <w:color w:val="000000" w:themeColor="text1"/>
          <w:sz w:val="24"/>
          <w:szCs w:val="24"/>
        </w:rPr>
        <w:t xml:space="preserve"> </w:t>
      </w:r>
      <w:r w:rsidRPr="007E58E8" w:rsidR="007C1ACC">
        <w:rPr>
          <w:rFonts w:ascii="Times New Roman" w:hAnsi="Times New Roman"/>
          <w:sz w:val="24"/>
          <w:szCs w:val="24"/>
        </w:rPr>
        <w:t>perceptions of implementation</w:t>
      </w:r>
      <w:r w:rsidRPr="007E58E8" w:rsidR="13CD65C9">
        <w:rPr>
          <w:rFonts w:ascii="Times New Roman" w:hAnsi="Times New Roman"/>
          <w:sz w:val="24"/>
          <w:szCs w:val="24"/>
        </w:rPr>
        <w:t xml:space="preserve"> </w:t>
      </w:r>
      <w:r w:rsidRPr="50334582" w:rsidR="13CD65C9">
        <w:rPr>
          <w:rFonts w:ascii="Times New Roman" w:hAnsi="Times New Roman"/>
          <w:color w:val="000000" w:themeColor="text1"/>
          <w:sz w:val="24"/>
          <w:szCs w:val="24"/>
        </w:rPr>
        <w:t xml:space="preserve">promising practices and challenges that arise, understand how cooperation and coordination among relevant stakeholder groups can be reinforced to improve program outcomes, and document how trainings, direct services, and warm handovers/connections can be enhanced prior to program expansion to additional military bases. </w:t>
      </w:r>
    </w:p>
    <w:p w:rsidR="00037B93" w:rsidP="005C45D4" w:rsidRDefault="00037B93" w14:paraId="1A27FB1B" w14:textId="66BFA608">
      <w:pPr>
        <w:pStyle w:val="H3Alpha"/>
        <w:ind w:left="0" w:firstLine="0"/>
      </w:pPr>
      <w:r>
        <w:t xml:space="preserve">16. </w:t>
      </w:r>
      <w:r w:rsidRPr="005C45D4" w:rsidR="005455E1">
        <w:rPr>
          <w:rFonts w:ascii="Times New Roman" w:hAnsi="Times New Roman"/>
          <w:i/>
        </w:rPr>
        <w:t>For collections of information whose results will be published, outline plans for ta</w:t>
      </w:r>
      <w:r w:rsidRPr="00946B48" w:rsidR="005455E1">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7B93" w:rsidP="00037B93" w:rsidRDefault="00037B93" w14:paraId="0AD8F688" w14:textId="77777777">
      <w:pPr>
        <w:pStyle w:val="H4Number"/>
      </w:pPr>
      <w:r>
        <w:t>1.</w:t>
      </w:r>
      <w:r>
        <w:tab/>
        <w:t>Analysis plan</w:t>
      </w:r>
    </w:p>
    <w:p w:rsidR="00E56080" w:rsidP="00E77B06" w:rsidRDefault="00D61C7B" w14:paraId="68F2EA05" w14:textId="4E58E518">
      <w:pPr>
        <w:pStyle w:val="NormalSS"/>
      </w:pPr>
      <w:r w:rsidRPr="005A0930">
        <w:t xml:space="preserve">ICF’s proposed approach involves triangulation of data sources within each of the pilot sites as well as across the 13 pilot sites to ensure accurate and determine the consistency of findings. By comparing findings from the focus groups, </w:t>
      </w:r>
      <w:r w:rsidRPr="005A0930" w:rsidR="007F1AB7">
        <w:t>interviews</w:t>
      </w:r>
      <w:r w:rsidR="007F1AB7">
        <w:t xml:space="preserve"> with </w:t>
      </w:r>
      <w:r w:rsidR="00215E91">
        <w:t xml:space="preserve">central </w:t>
      </w:r>
      <w:r w:rsidR="000E1625">
        <w:t xml:space="preserve">federal and </w:t>
      </w:r>
      <w:r w:rsidR="007F1AB7">
        <w:t>program staff</w:t>
      </w:r>
      <w:r w:rsidR="0059454B">
        <w:t xml:space="preserve"> (fewer than nine)</w:t>
      </w:r>
      <w:r w:rsidRPr="005A0930">
        <w:t xml:space="preserve">, program documents, and existing data, ICF will create a robust and dynamic depiction of ENPP implementation and how it varied across the 13 pilot sites. </w:t>
      </w:r>
      <w:r w:rsidR="00223955">
        <w:t>Analyses will begin with a review of program documents and extant administrative data</w:t>
      </w:r>
      <w:r w:rsidR="003E32D4">
        <w:t xml:space="preserve"> and </w:t>
      </w:r>
      <w:r w:rsidR="00542241">
        <w:t xml:space="preserve">the </w:t>
      </w:r>
      <w:r w:rsidR="003E32D4">
        <w:t>key informant interviews</w:t>
      </w:r>
      <w:r w:rsidR="00223955">
        <w:t xml:space="preserve">. </w:t>
      </w:r>
      <w:r w:rsidR="003E32D4">
        <w:t>F</w:t>
      </w:r>
      <w:r w:rsidR="00223955">
        <w:t xml:space="preserve">ocus groups with program </w:t>
      </w:r>
      <w:r w:rsidR="00875AE4">
        <w:t xml:space="preserve">and partner </w:t>
      </w:r>
      <w:r w:rsidR="00223955">
        <w:t xml:space="preserve">staff and TSMs/spouses will provide information about the process. </w:t>
      </w:r>
      <w:r w:rsidR="00302978">
        <w:t>All focus group data will be indexed and coded for descriptive and thematic analyses.</w:t>
      </w:r>
      <w:r w:rsidR="005A4777">
        <w:rPr>
          <w:rStyle w:val="FootnoteReference"/>
        </w:rPr>
        <w:footnoteReference w:id="5"/>
      </w:r>
      <w:r w:rsidR="00302978">
        <w:t xml:space="preserve"> </w:t>
      </w:r>
      <w:r w:rsidR="00E77B06">
        <w:t>A</w:t>
      </w:r>
      <w:r w:rsidR="00E56080">
        <w:t xml:space="preserve">fter all transcripts are coded, the evaluation team will identify the themes that emerge </w:t>
      </w:r>
      <w:r w:rsidR="00E77B06">
        <w:t xml:space="preserve">and </w:t>
      </w:r>
      <w:r w:rsidR="00E56080">
        <w:t xml:space="preserve">conduct cross-site comparisons of content and textual analysis findings. </w:t>
      </w:r>
    </w:p>
    <w:p w:rsidR="00037B93" w:rsidP="66E33C40" w:rsidRDefault="2232AE21" w14:paraId="6FD1F618" w14:textId="74E81612">
      <w:pPr>
        <w:pStyle w:val="H4Number"/>
        <w:ind w:left="864" w:firstLine="0"/>
      </w:pPr>
      <w:r>
        <w:t>2.</w:t>
      </w:r>
      <w:r w:rsidR="00037B93">
        <w:tab/>
      </w:r>
      <w:r>
        <w:t>Publications</w:t>
      </w:r>
    </w:p>
    <w:p w:rsidRPr="00C72D32" w:rsidR="00037B93" w:rsidP="00037B93" w:rsidRDefault="2232AE21" w14:paraId="64DAE29D" w14:textId="40042001">
      <w:pPr>
        <w:pStyle w:val="NormalSS"/>
      </w:pPr>
      <w:r>
        <w:t xml:space="preserve">In </w:t>
      </w:r>
      <w:r w:rsidR="702F50AD">
        <w:t>mid-</w:t>
      </w:r>
      <w:r>
        <w:t xml:space="preserve">2022, </w:t>
      </w:r>
      <w:r w:rsidR="5BB8FF3F">
        <w:t xml:space="preserve">the evaluation team </w:t>
      </w:r>
      <w:r>
        <w:t xml:space="preserve">will produce a report </w:t>
      </w:r>
      <w:r w:rsidR="5BB8FF3F">
        <w:t xml:space="preserve">with results from </w:t>
      </w:r>
      <w:r>
        <w:t xml:space="preserve">the </w:t>
      </w:r>
      <w:r w:rsidR="5BB8FF3F">
        <w:t xml:space="preserve">formative </w:t>
      </w:r>
      <w:r>
        <w:t>evaluation</w:t>
      </w:r>
      <w:r w:rsidR="5BB8FF3F">
        <w:t xml:space="preserve"> </w:t>
      </w:r>
      <w:r w:rsidR="17B17163">
        <w:t xml:space="preserve">to support </w:t>
      </w:r>
      <w:r w:rsidR="6010A86A">
        <w:t xml:space="preserve">DOL’s </w:t>
      </w:r>
      <w:r w:rsidR="561C612B">
        <w:t xml:space="preserve">decision-making </w:t>
      </w:r>
      <w:r w:rsidR="5BB8FF3F">
        <w:t>about</w:t>
      </w:r>
      <w:r w:rsidR="402A05EB">
        <w:t xml:space="preserve"> potential</w:t>
      </w:r>
      <w:r w:rsidR="5BB8FF3F">
        <w:t xml:space="preserve"> future delivery and expansion of the ENPP.</w:t>
      </w:r>
      <w:r>
        <w:t xml:space="preserve"> </w:t>
      </w:r>
    </w:p>
    <w:p w:rsidRPr="005C45D4" w:rsidR="00871FB8" w:rsidP="005C45D4" w:rsidRDefault="00037B93" w14:paraId="6F5F7303" w14:textId="6151799D">
      <w:pPr>
        <w:pStyle w:val="H3Alpha"/>
        <w:ind w:left="0" w:firstLine="0"/>
        <w:rPr>
          <w:rFonts w:ascii="Times New Roman" w:hAnsi="Times New Roman"/>
          <w:i/>
          <w:sz w:val="24"/>
          <w:szCs w:val="24"/>
        </w:rPr>
      </w:pPr>
      <w:r w:rsidRPr="005C45D4">
        <w:rPr>
          <w:sz w:val="24"/>
          <w:szCs w:val="24"/>
        </w:rPr>
        <w:lastRenderedPageBreak/>
        <w:t xml:space="preserve">17. </w:t>
      </w:r>
      <w:r w:rsidRPr="005C45D4" w:rsidR="005455E1">
        <w:rPr>
          <w:rFonts w:ascii="Times New Roman" w:hAnsi="Times New Roman"/>
          <w:i/>
          <w:sz w:val="24"/>
          <w:szCs w:val="24"/>
        </w:rPr>
        <w:t>If seeking approval to not display the expiration date for OMB approval of the information collection, explain the reasons that display would be inappropriate.</w:t>
      </w:r>
    </w:p>
    <w:p w:rsidRPr="005C45D4" w:rsidR="00037B93" w:rsidP="005C45D4" w:rsidRDefault="00037B93" w14:paraId="47968FCD" w14:textId="77777777">
      <w:pPr>
        <w:pStyle w:val="H3Alpha"/>
        <w:ind w:left="0" w:firstLine="450"/>
        <w:rPr>
          <w:rFonts w:ascii="Times New Roman" w:hAnsi="Times New Roman"/>
          <w:sz w:val="24"/>
          <w:szCs w:val="24"/>
        </w:rPr>
      </w:pPr>
      <w:r w:rsidRPr="005C45D4">
        <w:rPr>
          <w:rFonts w:ascii="Times New Roman" w:hAnsi="Times New Roman"/>
          <w:sz w:val="24"/>
          <w:szCs w:val="24"/>
        </w:rPr>
        <w:t>The OMB approval number and expiration date will be displayed or cited on all forms completed as part of the data collection.</w:t>
      </w:r>
    </w:p>
    <w:p w:rsidR="005455E1" w:rsidP="005C45D4" w:rsidRDefault="00037B93" w14:paraId="4DBF3D66" w14:textId="56D15EA2">
      <w:pPr>
        <w:spacing w:line="240" w:lineRule="auto"/>
        <w:ind w:firstLine="0"/>
        <w:jc w:val="both"/>
        <w:rPr>
          <w:i/>
          <w:szCs w:val="24"/>
        </w:rPr>
      </w:pPr>
      <w:r w:rsidRPr="005C45D4">
        <w:rPr>
          <w:rFonts w:ascii="Arial Black" w:hAnsi="Arial Black"/>
          <w:szCs w:val="24"/>
        </w:rPr>
        <w:t>18.</w:t>
      </w:r>
      <w:r w:rsidRPr="005C45D4">
        <w:rPr>
          <w:szCs w:val="24"/>
        </w:rPr>
        <w:t xml:space="preserve"> </w:t>
      </w:r>
      <w:r w:rsidRPr="005C45D4" w:rsidR="005455E1">
        <w:rPr>
          <w:i/>
          <w:szCs w:val="24"/>
        </w:rPr>
        <w:t xml:space="preserve">Explain each exception to the topics of the certification statement identified in “Certification for Paperwork Reduction Act Submissions.” </w:t>
      </w:r>
    </w:p>
    <w:p w:rsidRPr="005C45D4" w:rsidR="00690187" w:rsidP="005C45D4" w:rsidRDefault="00690187" w14:paraId="39284066" w14:textId="77777777">
      <w:pPr>
        <w:spacing w:line="240" w:lineRule="auto"/>
        <w:ind w:firstLine="0"/>
        <w:jc w:val="both"/>
        <w:rPr>
          <w:i/>
          <w:szCs w:val="24"/>
        </w:rPr>
      </w:pPr>
    </w:p>
    <w:p w:rsidRPr="005C45D4" w:rsidR="00A43D07" w:rsidP="005C45D4" w:rsidRDefault="00037B93" w14:paraId="48C39E50" w14:textId="33B6D368">
      <w:pPr>
        <w:pStyle w:val="H3Alpha"/>
        <w:ind w:firstLine="18"/>
        <w:rPr>
          <w:rFonts w:ascii="Times New Roman" w:hAnsi="Times New Roman"/>
          <w:sz w:val="24"/>
          <w:szCs w:val="24"/>
        </w:rPr>
      </w:pPr>
      <w:r w:rsidRPr="005C45D4">
        <w:rPr>
          <w:rFonts w:ascii="Times New Roman" w:hAnsi="Times New Roman"/>
          <w:sz w:val="24"/>
          <w:szCs w:val="24"/>
        </w:rPr>
        <w:t>No exceptions are necessary for this information collection.</w:t>
      </w:r>
      <w:r w:rsidRPr="005C45D4" w:rsidDel="00515CCA">
        <w:rPr>
          <w:rFonts w:ascii="Times New Roman" w:hAnsi="Times New Roman"/>
          <w:sz w:val="24"/>
          <w:szCs w:val="24"/>
        </w:rPr>
        <w:t xml:space="preserve"> </w:t>
      </w:r>
      <w:r w:rsidRPr="005C45D4" w:rsidDel="00515CCA" w:rsidR="00515CCA">
        <w:rPr>
          <w:rFonts w:ascii="Times New Roman" w:hAnsi="Times New Roman"/>
          <w:sz w:val="24"/>
          <w:szCs w:val="24"/>
        </w:rPr>
        <w:t xml:space="preserve"> </w:t>
      </w:r>
    </w:p>
    <w:sectPr w:rsidRPr="005C45D4" w:rsidR="00A43D07" w:rsidSect="00FA1B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76BD" w14:textId="77777777" w:rsidR="00901D43" w:rsidRDefault="00901D43" w:rsidP="002E3E35">
      <w:pPr>
        <w:spacing w:line="240" w:lineRule="auto"/>
      </w:pPr>
      <w:r>
        <w:separator/>
      </w:r>
    </w:p>
  </w:endnote>
  <w:endnote w:type="continuationSeparator" w:id="0">
    <w:p w14:paraId="55497BB9" w14:textId="77777777" w:rsidR="00901D43" w:rsidRDefault="00901D43" w:rsidP="002E3E35">
      <w:pPr>
        <w:spacing w:line="240" w:lineRule="auto"/>
      </w:pPr>
      <w:r>
        <w:continuationSeparator/>
      </w:r>
    </w:p>
  </w:endnote>
  <w:endnote w:type="continuationNotice" w:id="1">
    <w:p w14:paraId="78EB05DE" w14:textId="77777777" w:rsidR="00901D43" w:rsidRDefault="00901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487065"/>
      <w:docPartObj>
        <w:docPartGallery w:val="Page Numbers (Bottom of Page)"/>
        <w:docPartUnique/>
      </w:docPartObj>
    </w:sdtPr>
    <w:sdtEndPr>
      <w:rPr>
        <w:noProof/>
      </w:rPr>
    </w:sdtEndPr>
    <w:sdtContent>
      <w:p w14:paraId="196FF1D4" w14:textId="28798B8D" w:rsidR="004C0111" w:rsidRDefault="004C0111" w:rsidP="0073236D">
        <w:pPr>
          <w:pStyle w:val="Footer"/>
          <w:jc w:val="center"/>
        </w:pPr>
        <w:r>
          <w:fldChar w:fldCharType="begin"/>
        </w:r>
        <w:r>
          <w:instrText xml:space="preserve"> PAGE   \* MERGEFORMAT </w:instrText>
        </w:r>
        <w:r>
          <w:fldChar w:fldCharType="separate"/>
        </w:r>
        <w:r w:rsidR="007E58E8">
          <w:rPr>
            <w:noProof/>
          </w:rPr>
          <w:t>13</w:t>
        </w:r>
        <w:r>
          <w:rPr>
            <w:noProof/>
          </w:rPr>
          <w:fldChar w:fldCharType="end"/>
        </w:r>
      </w:p>
    </w:sdtContent>
  </w:sdt>
  <w:p w14:paraId="26B3F8FB" w14:textId="77777777" w:rsidR="00D7273E" w:rsidRPr="00A43D07" w:rsidRDefault="00D7273E" w:rsidP="00A43D07">
    <w:pPr>
      <w:spacing w:line="240" w:lineRule="auto"/>
      <w:rPr>
        <w:rStyle w:val="PageNumbe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679148"/>
      <w:docPartObj>
        <w:docPartGallery w:val="Page Numbers (Bottom of Page)"/>
        <w:docPartUnique/>
      </w:docPartObj>
    </w:sdtPr>
    <w:sdtEndPr>
      <w:rPr>
        <w:noProof/>
      </w:rPr>
    </w:sdtEndPr>
    <w:sdtContent>
      <w:p w14:paraId="73CBD357" w14:textId="19F1A65D" w:rsidR="00F64B49" w:rsidRDefault="00F64B49">
        <w:pPr>
          <w:pStyle w:val="Footer"/>
          <w:jc w:val="center"/>
        </w:pPr>
        <w:r>
          <w:fldChar w:fldCharType="begin"/>
        </w:r>
        <w:r>
          <w:instrText xml:space="preserve"> PAGE   \* MERGEFORMAT </w:instrText>
        </w:r>
        <w:r>
          <w:fldChar w:fldCharType="separate"/>
        </w:r>
        <w:r w:rsidR="007E58E8">
          <w:rPr>
            <w:noProof/>
          </w:rPr>
          <w:t>11</w:t>
        </w:r>
        <w:r>
          <w:rPr>
            <w:noProof/>
          </w:rPr>
          <w:fldChar w:fldCharType="end"/>
        </w:r>
      </w:p>
    </w:sdtContent>
  </w:sdt>
  <w:p w14:paraId="7E361E04" w14:textId="77777777" w:rsidR="00F64B49" w:rsidRDefault="00F6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94BE" w14:textId="77777777" w:rsidR="00901D43" w:rsidRDefault="00901D43" w:rsidP="00203E3B">
      <w:pPr>
        <w:spacing w:line="240" w:lineRule="auto"/>
        <w:ind w:firstLine="0"/>
      </w:pPr>
      <w:r>
        <w:separator/>
      </w:r>
    </w:p>
  </w:footnote>
  <w:footnote w:type="continuationSeparator" w:id="0">
    <w:p w14:paraId="405990BB" w14:textId="77777777" w:rsidR="00901D43" w:rsidRDefault="00901D43" w:rsidP="00203E3B">
      <w:pPr>
        <w:spacing w:line="240" w:lineRule="auto"/>
        <w:ind w:firstLine="0"/>
      </w:pPr>
      <w:r>
        <w:separator/>
      </w:r>
    </w:p>
    <w:p w14:paraId="471224AF" w14:textId="77777777" w:rsidR="00901D43" w:rsidRPr="00157CA2" w:rsidRDefault="00901D43" w:rsidP="00203E3B">
      <w:pPr>
        <w:spacing w:after="120" w:line="240" w:lineRule="auto"/>
        <w:ind w:firstLine="0"/>
        <w:rPr>
          <w:sz w:val="20"/>
        </w:rPr>
      </w:pPr>
      <w:r w:rsidRPr="00157CA2">
        <w:rPr>
          <w:i/>
          <w:sz w:val="20"/>
        </w:rPr>
        <w:t>(continued)</w:t>
      </w:r>
    </w:p>
  </w:footnote>
  <w:footnote w:type="continuationNotice" w:id="1">
    <w:p w14:paraId="52660584" w14:textId="77777777" w:rsidR="00901D43" w:rsidRDefault="00901D43">
      <w:pPr>
        <w:spacing w:line="240" w:lineRule="auto"/>
      </w:pPr>
    </w:p>
  </w:footnote>
  <w:footnote w:id="2">
    <w:p w14:paraId="48004FF8" w14:textId="68F3A208" w:rsidR="00304C73" w:rsidRDefault="00304C73" w:rsidP="0082031D">
      <w:pPr>
        <w:pStyle w:val="FootnoteText"/>
        <w:spacing w:after="0"/>
      </w:pPr>
      <w:r>
        <w:rPr>
          <w:rStyle w:val="FootnoteReference"/>
        </w:rPr>
        <w:footnoteRef/>
      </w:r>
      <w:r>
        <w:t xml:space="preserve"> </w:t>
      </w:r>
      <w:r w:rsidRPr="00304C73">
        <w:t xml:space="preserve">Appel-Newby, E., Deppa, J., Stern, L. (2019). Preparing to </w:t>
      </w:r>
      <w:r w:rsidR="00E0692E">
        <w:t>s</w:t>
      </w:r>
      <w:r w:rsidRPr="00304C73">
        <w:t xml:space="preserve">eparate: The </w:t>
      </w:r>
      <w:r w:rsidR="00E0692E">
        <w:t>e</w:t>
      </w:r>
      <w:r w:rsidRPr="00304C73">
        <w:t xml:space="preserve">xperiences of </w:t>
      </w:r>
      <w:r w:rsidR="00E0692E">
        <w:t>t</w:t>
      </w:r>
      <w:r w:rsidRPr="00304C73">
        <w:t xml:space="preserve">ransitioning </w:t>
      </w:r>
      <w:r w:rsidR="00E0692E">
        <w:t>s</w:t>
      </w:r>
      <w:r w:rsidRPr="00304C73">
        <w:t xml:space="preserve">ervice </w:t>
      </w:r>
      <w:r w:rsidR="00E0692E">
        <w:t>m</w:t>
      </w:r>
      <w:r w:rsidRPr="00304C73">
        <w:t>embers: An exploratory review of the research. Fairfax, VA: ICF.</w:t>
      </w:r>
    </w:p>
  </w:footnote>
  <w:footnote w:id="3">
    <w:p w14:paraId="19D845B0" w14:textId="7AC49D82" w:rsidR="008B46DD" w:rsidRDefault="008B46DD" w:rsidP="0082031D">
      <w:pPr>
        <w:pStyle w:val="FootnoteText"/>
        <w:spacing w:after="0"/>
      </w:pPr>
      <w:r>
        <w:rPr>
          <w:rStyle w:val="FootnoteReference"/>
        </w:rPr>
        <w:footnoteRef/>
      </w:r>
      <w:r>
        <w:t xml:space="preserve"> </w:t>
      </w:r>
      <w:r w:rsidR="00B024A3">
        <w:t>S</w:t>
      </w:r>
      <w:r w:rsidR="00E172B4">
        <w:t>erco Group</w:t>
      </w:r>
      <w:r w:rsidR="00E63A33">
        <w:t xml:space="preserve"> Plc</w:t>
      </w:r>
      <w:r w:rsidR="00BB0AD5">
        <w:t>.</w:t>
      </w:r>
      <w:r w:rsidR="00B024A3">
        <w:t xml:space="preserve"> (</w:t>
      </w:r>
      <w:r w:rsidR="00BB0AD5">
        <w:t xml:space="preserve">2020, November 23). </w:t>
      </w:r>
      <w:r w:rsidR="00BB0AD5" w:rsidRPr="00855ED4">
        <w:rPr>
          <w:i/>
          <w:iCs/>
        </w:rPr>
        <w:t xml:space="preserve">Employment </w:t>
      </w:r>
      <w:r w:rsidR="00E0692E" w:rsidRPr="00855ED4">
        <w:rPr>
          <w:i/>
          <w:iCs/>
        </w:rPr>
        <w:t>n</w:t>
      </w:r>
      <w:r w:rsidR="00BB0AD5" w:rsidRPr="00855ED4">
        <w:rPr>
          <w:i/>
          <w:iCs/>
        </w:rPr>
        <w:t xml:space="preserve">avigator </w:t>
      </w:r>
      <w:r w:rsidR="00E0692E" w:rsidRPr="00855ED4">
        <w:rPr>
          <w:i/>
          <w:iCs/>
        </w:rPr>
        <w:t>&amp; partnership pilot (ENPP) update to VETS field staff</w:t>
      </w:r>
      <w:r w:rsidR="00855ED4">
        <w:t xml:space="preserve"> [PowerPoint slides]. </w:t>
      </w:r>
    </w:p>
  </w:footnote>
  <w:footnote w:id="4">
    <w:p w14:paraId="5D51C74F" w14:textId="6D08CAF8" w:rsidR="0021159E" w:rsidRDefault="0021159E">
      <w:pPr>
        <w:pStyle w:val="FootnoteText"/>
      </w:pPr>
      <w:r w:rsidRPr="00D5346E">
        <w:rPr>
          <w:rStyle w:val="FootnoteReference"/>
        </w:rPr>
        <w:footnoteRef/>
      </w:r>
      <w:r w:rsidRPr="00D5346E">
        <w:t xml:space="preserve"> The total contractor cost includes the cost for $25 gift cards paid to </w:t>
      </w:r>
      <w:r w:rsidR="00D5346E" w:rsidRPr="00D5346E">
        <w:t xml:space="preserve">TSM and spouse </w:t>
      </w:r>
      <w:r w:rsidRPr="00D5346E">
        <w:t>focus group participants.</w:t>
      </w:r>
    </w:p>
  </w:footnote>
  <w:footnote w:id="5">
    <w:p w14:paraId="3DC17B07" w14:textId="1C987E59" w:rsidR="005A4777" w:rsidRDefault="005A4777">
      <w:pPr>
        <w:pStyle w:val="FootnoteText"/>
      </w:pPr>
      <w:r>
        <w:rPr>
          <w:rStyle w:val="FootnoteReference"/>
        </w:rPr>
        <w:footnoteRef/>
      </w:r>
      <w:r>
        <w:t xml:space="preserve"> </w:t>
      </w:r>
      <w:r w:rsidRPr="005A4777">
        <w:t xml:space="preserve">Schensul, J. J., &amp; LeCompte, M. D. (2016). </w:t>
      </w:r>
      <w:r w:rsidRPr="005A4777">
        <w:rPr>
          <w:i/>
          <w:iCs/>
        </w:rPr>
        <w:t>Ethnography in action: A mixed methods approach</w:t>
      </w:r>
      <w:r w:rsidRPr="005A4777">
        <w:t xml:space="preserve"> (Vol. 7). Rowman &amp; Littlefield.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26D7" w14:textId="5430CE8B" w:rsidR="00D7273E" w:rsidRPr="00807813" w:rsidRDefault="00D7273E" w:rsidP="00807813">
    <w:pPr>
      <w:pStyle w:val="Header"/>
      <w:spacing w:after="240"/>
      <w:rPr>
        <w:rFonts w:ascii="Times New Roman" w:hAnsi="Times New Roman"/>
        <w:sz w:val="18"/>
        <w:szCs w:val="18"/>
      </w:rPr>
    </w:pPr>
    <w:r w:rsidRPr="006D108A">
      <w:tab/>
    </w:r>
  </w:p>
  <w:p w14:paraId="38FD6E38" w14:textId="6D7A29C4" w:rsidR="00D7273E" w:rsidRPr="00A43D07" w:rsidRDefault="00D7273E" w:rsidP="006D108A">
    <w:pPr>
      <w:spacing w:line="240" w:lineRule="auto"/>
      <w:ind w:left="-2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053F" w14:textId="16B8BC68" w:rsidR="00701324" w:rsidRDefault="00701324" w:rsidP="00701324">
    <w:pPr>
      <w:pStyle w:val="Header"/>
    </w:pPr>
    <w:r w:rsidRPr="006D108A">
      <w:t xml:space="preserve">PART A: JUSTIFICATION for Evaluation of </w:t>
    </w:r>
    <w:r w:rsidR="00760328" w:rsidRPr="00760328">
      <w:t xml:space="preserve">Transition Assistance Program Employment Navigator and Partnership Pilot </w:t>
    </w:r>
  </w:p>
  <w:p w14:paraId="28810AF2" w14:textId="38CC8833" w:rsidR="00701324" w:rsidRPr="00B237BF" w:rsidRDefault="00701324" w:rsidP="00701324">
    <w:pPr>
      <w:pStyle w:val="Header"/>
      <w:rPr>
        <w:rFonts w:ascii="Times New Roman" w:hAnsi="Times New Roman"/>
        <w:sz w:val="18"/>
        <w:szCs w:val="18"/>
      </w:rPr>
    </w:pPr>
    <w:r>
      <w:rPr>
        <w:rFonts w:ascii="Times New Roman" w:hAnsi="Times New Roman"/>
        <w:sz w:val="18"/>
        <w:szCs w:val="18"/>
      </w:rPr>
      <w:t xml:space="preserve">OMB No. </w:t>
    </w:r>
    <w:r w:rsidR="00F87187">
      <w:rPr>
        <w:rFonts w:ascii="Times New Roman" w:hAnsi="Times New Roman"/>
        <w:sz w:val="18"/>
        <w:szCs w:val="18"/>
      </w:rPr>
      <w:t>1290-0NEW</w:t>
    </w:r>
  </w:p>
  <w:p w14:paraId="51E7153C" w14:textId="1991DCB4" w:rsidR="003C18AA" w:rsidRDefault="00F87187" w:rsidP="00EB35F9">
    <w:pPr>
      <w:ind w:firstLine="0"/>
    </w:pPr>
    <w:r>
      <w:t>February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15D6" w14:textId="70FEAC25" w:rsidR="005356C3" w:rsidRPr="005356C3" w:rsidRDefault="005356C3" w:rsidP="0053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52B4BAC"/>
    <w:multiLevelType w:val="hybridMultilevel"/>
    <w:tmpl w:val="A3009E42"/>
    <w:lvl w:ilvl="0" w:tplc="963E4C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564236"/>
    <w:multiLevelType w:val="multilevel"/>
    <w:tmpl w:val="042A2A9E"/>
    <w:lvl w:ilvl="0">
      <w:start w:val="1"/>
      <w:numFmt w:val="decimal"/>
      <w:lvlText w:val="%1)"/>
      <w:lvlJc w:val="left"/>
      <w:pPr>
        <w:ind w:left="360" w:hanging="360"/>
      </w:pPr>
      <w:rPr>
        <w:rFonts w:hint="default"/>
        <w:b w:val="0"/>
        <w:bCs/>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212DCA"/>
    <w:multiLevelType w:val="hybridMultilevel"/>
    <w:tmpl w:val="4EAED410"/>
    <w:lvl w:ilvl="0" w:tplc="309075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0654"/>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F4A31"/>
    <w:multiLevelType w:val="hybridMultilevel"/>
    <w:tmpl w:val="122EC3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FD11AEA"/>
    <w:multiLevelType w:val="hybridMultilevel"/>
    <w:tmpl w:val="5A2A99CE"/>
    <w:lvl w:ilvl="0" w:tplc="012C6F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3FB65D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numFmt w:val="none"/>
      <w:lvlText w:val=""/>
      <w:lvlJc w:val="left"/>
      <w:pPr>
        <w:tabs>
          <w:tab w:val="num" w:pos="360"/>
        </w:tabs>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1D5AEB"/>
    <w:multiLevelType w:val="hybridMultilevel"/>
    <w:tmpl w:val="81F0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C1A3D"/>
    <w:multiLevelType w:val="hybridMultilevel"/>
    <w:tmpl w:val="FFFFFFFF"/>
    <w:lvl w:ilvl="0" w:tplc="727A271E">
      <w:start w:val="1"/>
      <w:numFmt w:val="decimal"/>
      <w:lvlText w:val="%1."/>
      <w:lvlJc w:val="left"/>
      <w:pPr>
        <w:ind w:left="720" w:hanging="360"/>
      </w:pPr>
    </w:lvl>
    <w:lvl w:ilvl="1" w:tplc="FF3ADA90">
      <w:start w:val="1"/>
      <w:numFmt w:val="lowerLetter"/>
      <w:lvlText w:val="%2."/>
      <w:lvlJc w:val="left"/>
      <w:pPr>
        <w:ind w:left="1440" w:hanging="360"/>
      </w:pPr>
    </w:lvl>
    <w:lvl w:ilvl="2" w:tplc="3FA041FA">
      <w:start w:val="1"/>
      <w:numFmt w:val="lowerRoman"/>
      <w:lvlText w:val="%3."/>
      <w:lvlJc w:val="right"/>
      <w:pPr>
        <w:ind w:left="2160" w:hanging="180"/>
      </w:pPr>
    </w:lvl>
    <w:lvl w:ilvl="3" w:tplc="62C21822">
      <w:start w:val="1"/>
      <w:numFmt w:val="decimal"/>
      <w:lvlText w:val="%4."/>
      <w:lvlJc w:val="left"/>
      <w:pPr>
        <w:ind w:left="2880" w:hanging="360"/>
      </w:pPr>
    </w:lvl>
    <w:lvl w:ilvl="4" w:tplc="5A608696">
      <w:start w:val="1"/>
      <w:numFmt w:val="lowerLetter"/>
      <w:lvlText w:val="%5."/>
      <w:lvlJc w:val="left"/>
      <w:pPr>
        <w:ind w:left="3600" w:hanging="360"/>
      </w:pPr>
    </w:lvl>
    <w:lvl w:ilvl="5" w:tplc="ABB49DCE">
      <w:start w:val="1"/>
      <w:numFmt w:val="lowerRoman"/>
      <w:lvlText w:val="%6."/>
      <w:lvlJc w:val="right"/>
      <w:pPr>
        <w:ind w:left="4320" w:hanging="180"/>
      </w:pPr>
    </w:lvl>
    <w:lvl w:ilvl="6" w:tplc="87CAE0CA">
      <w:start w:val="1"/>
      <w:numFmt w:val="decimal"/>
      <w:lvlText w:val="%7."/>
      <w:lvlJc w:val="left"/>
      <w:pPr>
        <w:ind w:left="5040" w:hanging="360"/>
      </w:pPr>
    </w:lvl>
    <w:lvl w:ilvl="7" w:tplc="240C25DA">
      <w:start w:val="1"/>
      <w:numFmt w:val="lowerLetter"/>
      <w:lvlText w:val="%8."/>
      <w:lvlJc w:val="left"/>
      <w:pPr>
        <w:ind w:left="5760" w:hanging="360"/>
      </w:pPr>
    </w:lvl>
    <w:lvl w:ilvl="8" w:tplc="9352554E">
      <w:start w:val="1"/>
      <w:numFmt w:val="lowerRoman"/>
      <w:lvlText w:val="%9."/>
      <w:lvlJc w:val="right"/>
      <w:pPr>
        <w:ind w:left="6480" w:hanging="180"/>
      </w:pPr>
    </w:lvl>
  </w:abstractNum>
  <w:abstractNum w:abstractNumId="19" w15:restartNumberingAfterBreak="0">
    <w:nsid w:val="4181247A"/>
    <w:multiLevelType w:val="hybridMultilevel"/>
    <w:tmpl w:val="258A92B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9FA3E6F"/>
    <w:multiLevelType w:val="hybridMultilevel"/>
    <w:tmpl w:val="E698F10E"/>
    <w:lvl w:ilvl="0" w:tplc="3760EC40">
      <w:start w:val="1"/>
      <w:numFmt w:val="decimal"/>
      <w:lvlText w:val="%1."/>
      <w:lvlJc w:val="left"/>
      <w:pPr>
        <w:ind w:left="720" w:hanging="360"/>
      </w:pPr>
    </w:lvl>
    <w:lvl w:ilvl="1" w:tplc="14348F44">
      <w:start w:val="1"/>
      <w:numFmt w:val="lowerLetter"/>
      <w:lvlText w:val="%2."/>
      <w:lvlJc w:val="left"/>
      <w:pPr>
        <w:ind w:left="1440" w:hanging="360"/>
      </w:pPr>
    </w:lvl>
    <w:lvl w:ilvl="2" w:tplc="A2E6CF14">
      <w:start w:val="1"/>
      <w:numFmt w:val="lowerRoman"/>
      <w:lvlText w:val="%3."/>
      <w:lvlJc w:val="right"/>
      <w:pPr>
        <w:ind w:left="2160" w:hanging="180"/>
      </w:pPr>
    </w:lvl>
    <w:lvl w:ilvl="3" w:tplc="C5E0B54E">
      <w:start w:val="1"/>
      <w:numFmt w:val="decimal"/>
      <w:lvlText w:val="%4."/>
      <w:lvlJc w:val="left"/>
      <w:pPr>
        <w:ind w:left="2880" w:hanging="360"/>
      </w:pPr>
    </w:lvl>
    <w:lvl w:ilvl="4" w:tplc="17928A3A">
      <w:start w:val="1"/>
      <w:numFmt w:val="lowerLetter"/>
      <w:lvlText w:val="%5."/>
      <w:lvlJc w:val="left"/>
      <w:pPr>
        <w:ind w:left="3600" w:hanging="360"/>
      </w:pPr>
    </w:lvl>
    <w:lvl w:ilvl="5" w:tplc="54C0C65A">
      <w:start w:val="1"/>
      <w:numFmt w:val="lowerRoman"/>
      <w:lvlText w:val="%6."/>
      <w:lvlJc w:val="right"/>
      <w:pPr>
        <w:ind w:left="4320" w:hanging="180"/>
      </w:pPr>
    </w:lvl>
    <w:lvl w:ilvl="6" w:tplc="1D5229DE">
      <w:start w:val="1"/>
      <w:numFmt w:val="decimal"/>
      <w:lvlText w:val="%7."/>
      <w:lvlJc w:val="left"/>
      <w:pPr>
        <w:ind w:left="5040" w:hanging="360"/>
      </w:pPr>
    </w:lvl>
    <w:lvl w:ilvl="7" w:tplc="A176D1D8">
      <w:start w:val="1"/>
      <w:numFmt w:val="lowerLetter"/>
      <w:lvlText w:val="%8."/>
      <w:lvlJc w:val="left"/>
      <w:pPr>
        <w:ind w:left="5760" w:hanging="360"/>
      </w:pPr>
    </w:lvl>
    <w:lvl w:ilvl="8" w:tplc="D7D6A95E">
      <w:start w:val="1"/>
      <w:numFmt w:val="lowerRoman"/>
      <w:lvlText w:val="%9."/>
      <w:lvlJc w:val="right"/>
      <w:pPr>
        <w:ind w:left="6480" w:hanging="180"/>
      </w:pPr>
    </w:lvl>
  </w:abstractNum>
  <w:abstractNum w:abstractNumId="25" w15:restartNumberingAfterBreak="0">
    <w:nsid w:val="4C9F33BF"/>
    <w:multiLevelType w:val="hybridMultilevel"/>
    <w:tmpl w:val="72E2C114"/>
    <w:lvl w:ilvl="0" w:tplc="7DB86496">
      <w:start w:val="1"/>
      <w:numFmt w:val="bullet"/>
      <w:pStyle w:val="BalloonText"/>
      <w:lvlText w:val=""/>
      <w:lvlJc w:val="left"/>
      <w:pPr>
        <w:ind w:left="720" w:hanging="360"/>
      </w:pPr>
      <w:rPr>
        <w:rFonts w:ascii="Wingdings" w:hAnsi="Wingdings" w:hint="default"/>
        <w:color w:val="auto"/>
      </w:rPr>
    </w:lvl>
    <w:lvl w:ilvl="1" w:tplc="522275CE">
      <w:start w:val="1"/>
      <w:numFmt w:val="bullet"/>
      <w:pStyle w:val="AcknowledgmentnoTOC"/>
      <w:lvlText w:val="–"/>
      <w:lvlJc w:val="left"/>
      <w:pPr>
        <w:ind w:left="1440" w:hanging="360"/>
      </w:pPr>
      <w:rPr>
        <w:rFonts w:ascii="Arial" w:hAnsi="Arial" w:hint="default"/>
      </w:rPr>
    </w:lvl>
    <w:lvl w:ilvl="2" w:tplc="D9C610B2">
      <w:start w:val="1"/>
      <w:numFmt w:val="bullet"/>
      <w:lvlText w:val="o"/>
      <w:lvlJc w:val="left"/>
      <w:pPr>
        <w:ind w:left="2160" w:hanging="360"/>
      </w:pPr>
      <w:rPr>
        <w:rFonts w:ascii="Courier New" w:hAnsi="Courier New" w:cs="Courier New" w:hint="default"/>
      </w:rPr>
    </w:lvl>
    <w:lvl w:ilvl="3" w:tplc="D1B6D60C">
      <w:start w:val="1"/>
      <w:numFmt w:val="bullet"/>
      <w:lvlText w:val=""/>
      <w:lvlJc w:val="left"/>
      <w:pPr>
        <w:ind w:left="2880" w:hanging="360"/>
      </w:pPr>
      <w:rPr>
        <w:rFonts w:ascii="Symbol" w:hAnsi="Symbol" w:hint="default"/>
      </w:rPr>
    </w:lvl>
    <w:lvl w:ilvl="4" w:tplc="4680EE0C">
      <w:start w:val="1"/>
      <w:numFmt w:val="bullet"/>
      <w:lvlText w:val="o"/>
      <w:lvlJc w:val="left"/>
      <w:pPr>
        <w:ind w:left="3600" w:hanging="360"/>
      </w:pPr>
      <w:rPr>
        <w:rFonts w:ascii="Courier New" w:hAnsi="Courier New" w:hint="default"/>
      </w:rPr>
    </w:lvl>
    <w:lvl w:ilvl="5" w:tplc="CC648C0C">
      <w:start w:val="1"/>
      <w:numFmt w:val="bullet"/>
      <w:lvlText w:val=""/>
      <w:lvlJc w:val="left"/>
      <w:pPr>
        <w:ind w:left="4320" w:hanging="360"/>
      </w:pPr>
      <w:rPr>
        <w:rFonts w:ascii="Wingdings" w:hAnsi="Wingdings" w:hint="default"/>
      </w:rPr>
    </w:lvl>
    <w:lvl w:ilvl="6" w:tplc="29FE7738">
      <w:start w:val="1"/>
      <w:numFmt w:val="bullet"/>
      <w:lvlText w:val=""/>
      <w:lvlJc w:val="left"/>
      <w:pPr>
        <w:ind w:left="5040" w:hanging="360"/>
      </w:pPr>
      <w:rPr>
        <w:rFonts w:ascii="Symbol" w:hAnsi="Symbol" w:hint="default"/>
      </w:rPr>
    </w:lvl>
    <w:lvl w:ilvl="7" w:tplc="042A1028">
      <w:start w:val="1"/>
      <w:numFmt w:val="bullet"/>
      <w:lvlText w:val="o"/>
      <w:lvlJc w:val="left"/>
      <w:pPr>
        <w:ind w:left="5760" w:hanging="360"/>
      </w:pPr>
      <w:rPr>
        <w:rFonts w:ascii="Courier New" w:hAnsi="Courier New" w:hint="default"/>
      </w:rPr>
    </w:lvl>
    <w:lvl w:ilvl="8" w:tplc="4C3603B4">
      <w:start w:val="1"/>
      <w:numFmt w:val="bullet"/>
      <w:lvlText w:val=""/>
      <w:lvlJc w:val="left"/>
      <w:pPr>
        <w:ind w:left="6480" w:hanging="360"/>
      </w:pPr>
      <w:rPr>
        <w:rFonts w:ascii="Wingdings" w:hAnsi="Wingdings" w:hint="default"/>
      </w:rPr>
    </w:lvl>
  </w:abstractNum>
  <w:abstractNum w:abstractNumId="26" w15:restartNumberingAfterBreak="0">
    <w:nsid w:val="4D754310"/>
    <w:multiLevelType w:val="hybridMultilevel"/>
    <w:tmpl w:val="BAFE5864"/>
    <w:lvl w:ilvl="0" w:tplc="E23829A4">
      <w:start w:val="1"/>
      <w:numFmt w:val="bullet"/>
      <w:pStyle w:val="BulletLastSS"/>
      <w:lvlText w:val=""/>
      <w:lvlJc w:val="left"/>
      <w:pPr>
        <w:ind w:left="720" w:hanging="360"/>
      </w:pPr>
      <w:rPr>
        <w:rFonts w:ascii="Symbol" w:hAnsi="Symbol" w:hint="default"/>
      </w:rPr>
    </w:lvl>
    <w:lvl w:ilvl="1" w:tplc="E124D382" w:tentative="1">
      <w:start w:val="1"/>
      <w:numFmt w:val="bullet"/>
      <w:lvlText w:val="o"/>
      <w:lvlJc w:val="left"/>
      <w:pPr>
        <w:ind w:left="1440" w:hanging="360"/>
      </w:pPr>
      <w:rPr>
        <w:rFonts w:ascii="Courier New" w:hAnsi="Courier New" w:cs="Courier New" w:hint="default"/>
      </w:rPr>
    </w:lvl>
    <w:lvl w:ilvl="2" w:tplc="CF4878E8" w:tentative="1">
      <w:start w:val="1"/>
      <w:numFmt w:val="bullet"/>
      <w:lvlText w:val=""/>
      <w:lvlJc w:val="left"/>
      <w:pPr>
        <w:ind w:left="2160" w:hanging="360"/>
      </w:pPr>
      <w:rPr>
        <w:rFonts w:ascii="Wingdings" w:hAnsi="Wingdings" w:hint="default"/>
      </w:rPr>
    </w:lvl>
    <w:lvl w:ilvl="3" w:tplc="B952F0E0" w:tentative="1">
      <w:start w:val="1"/>
      <w:numFmt w:val="bullet"/>
      <w:lvlText w:val=""/>
      <w:lvlJc w:val="left"/>
      <w:pPr>
        <w:ind w:left="2880" w:hanging="360"/>
      </w:pPr>
      <w:rPr>
        <w:rFonts w:ascii="Symbol" w:hAnsi="Symbol" w:hint="default"/>
      </w:rPr>
    </w:lvl>
    <w:lvl w:ilvl="4" w:tplc="4C2E0E4C" w:tentative="1">
      <w:start w:val="1"/>
      <w:numFmt w:val="bullet"/>
      <w:lvlText w:val="o"/>
      <w:lvlJc w:val="left"/>
      <w:pPr>
        <w:ind w:left="3600" w:hanging="360"/>
      </w:pPr>
      <w:rPr>
        <w:rFonts w:ascii="Courier New" w:hAnsi="Courier New" w:cs="Courier New" w:hint="default"/>
      </w:rPr>
    </w:lvl>
    <w:lvl w:ilvl="5" w:tplc="BB84323A" w:tentative="1">
      <w:start w:val="1"/>
      <w:numFmt w:val="bullet"/>
      <w:lvlText w:val=""/>
      <w:lvlJc w:val="left"/>
      <w:pPr>
        <w:ind w:left="4320" w:hanging="360"/>
      </w:pPr>
      <w:rPr>
        <w:rFonts w:ascii="Wingdings" w:hAnsi="Wingdings" w:hint="default"/>
      </w:rPr>
    </w:lvl>
    <w:lvl w:ilvl="6" w:tplc="5A4465FA" w:tentative="1">
      <w:start w:val="1"/>
      <w:numFmt w:val="bullet"/>
      <w:lvlText w:val=""/>
      <w:lvlJc w:val="left"/>
      <w:pPr>
        <w:ind w:left="5040" w:hanging="360"/>
      </w:pPr>
      <w:rPr>
        <w:rFonts w:ascii="Symbol" w:hAnsi="Symbol" w:hint="default"/>
      </w:rPr>
    </w:lvl>
    <w:lvl w:ilvl="7" w:tplc="B18252C6" w:tentative="1">
      <w:start w:val="1"/>
      <w:numFmt w:val="bullet"/>
      <w:lvlText w:val="o"/>
      <w:lvlJc w:val="left"/>
      <w:pPr>
        <w:ind w:left="5760" w:hanging="360"/>
      </w:pPr>
      <w:rPr>
        <w:rFonts w:ascii="Courier New" w:hAnsi="Courier New" w:cs="Courier New" w:hint="default"/>
      </w:rPr>
    </w:lvl>
    <w:lvl w:ilvl="8" w:tplc="DEFC20C6" w:tentative="1">
      <w:start w:val="1"/>
      <w:numFmt w:val="bullet"/>
      <w:lvlText w:val=""/>
      <w:lvlJc w:val="left"/>
      <w:pPr>
        <w:ind w:left="6480" w:hanging="360"/>
      </w:pPr>
      <w:rPr>
        <w:rFonts w:ascii="Wingdings" w:hAnsi="Wingdings" w:hint="default"/>
      </w:rPr>
    </w:lvl>
  </w:abstractNum>
  <w:abstractNum w:abstractNumId="27" w15:restartNumberingAfterBreak="0">
    <w:nsid w:val="4FAD7599"/>
    <w:multiLevelType w:val="hybridMultilevel"/>
    <w:tmpl w:val="E8269B2E"/>
    <w:lvl w:ilvl="0" w:tplc="25A0CA92">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D61B0"/>
    <w:multiLevelType w:val="hybridMultilevel"/>
    <w:tmpl w:val="ED28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3A9255B"/>
    <w:multiLevelType w:val="hybridMultilevel"/>
    <w:tmpl w:val="EFA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D55EC2"/>
    <w:multiLevelType w:val="hybridMultilevel"/>
    <w:tmpl w:val="398AEDA4"/>
    <w:lvl w:ilvl="0" w:tplc="963E4C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C5E1E55"/>
    <w:multiLevelType w:val="hybridMultilevel"/>
    <w:tmpl w:val="A69EA142"/>
    <w:lvl w:ilvl="0" w:tplc="963E4C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15:restartNumberingAfterBreak="0">
    <w:nsid w:val="7020478C"/>
    <w:multiLevelType w:val="hybridMultilevel"/>
    <w:tmpl w:val="63B470E8"/>
    <w:lvl w:ilvl="0" w:tplc="0409000F">
      <w:start w:val="1"/>
      <w:numFmt w:val="bullet"/>
      <w:pStyle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EDBCCCD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B6882E8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7"/>
  </w:num>
  <w:num w:numId="3">
    <w:abstractNumId w:val="26"/>
  </w:num>
  <w:num w:numId="4">
    <w:abstractNumId w:val="39"/>
  </w:num>
  <w:num w:numId="5">
    <w:abstractNumId w:val="10"/>
  </w:num>
  <w:num w:numId="6">
    <w:abstractNumId w:val="38"/>
  </w:num>
  <w:num w:numId="7">
    <w:abstractNumId w:val="12"/>
  </w:num>
  <w:num w:numId="8">
    <w:abstractNumId w:val="7"/>
  </w:num>
  <w:num w:numId="9">
    <w:abstractNumId w:val="7"/>
    <w:lvlOverride w:ilvl="0">
      <w:startOverride w:val="1"/>
    </w:lvlOverride>
  </w:num>
  <w:num w:numId="10">
    <w:abstractNumId w:val="25"/>
  </w:num>
  <w:num w:numId="11">
    <w:abstractNumId w:val="23"/>
  </w:num>
  <w:num w:numId="12">
    <w:abstractNumId w:val="27"/>
  </w:num>
  <w:num w:numId="13">
    <w:abstractNumId w:val="18"/>
  </w:num>
  <w:num w:numId="14">
    <w:abstractNumId w:val="16"/>
  </w:num>
  <w:num w:numId="15">
    <w:abstractNumId w:val="7"/>
    <w:lvlOverride w:ilvl="0">
      <w:startOverride w:val="1"/>
    </w:lvlOverride>
  </w:num>
  <w:num w:numId="16">
    <w:abstractNumId w:val="40"/>
  </w:num>
  <w:num w:numId="17">
    <w:abstractNumId w:val="0"/>
  </w:num>
  <w:num w:numId="18">
    <w:abstractNumId w:val="13"/>
  </w:num>
  <w:num w:numId="19">
    <w:abstractNumId w:val="29"/>
  </w:num>
  <w:num w:numId="20">
    <w:abstractNumId w:val="4"/>
  </w:num>
  <w:num w:numId="21">
    <w:abstractNumId w:val="30"/>
  </w:num>
  <w:num w:numId="22">
    <w:abstractNumId w:val="2"/>
  </w:num>
  <w:num w:numId="23">
    <w:abstractNumId w:val="21"/>
  </w:num>
  <w:num w:numId="24">
    <w:abstractNumId w:val="36"/>
  </w:num>
  <w:num w:numId="25">
    <w:abstractNumId w:val="5"/>
  </w:num>
  <w:num w:numId="26">
    <w:abstractNumId w:val="1"/>
  </w:num>
  <w:num w:numId="27">
    <w:abstractNumId w:val="11"/>
  </w:num>
  <w:num w:numId="28">
    <w:abstractNumId w:val="22"/>
  </w:num>
  <w:num w:numId="29">
    <w:abstractNumId w:val="34"/>
  </w:num>
  <w:num w:numId="30">
    <w:abstractNumId w:val="31"/>
  </w:num>
  <w:num w:numId="31">
    <w:abstractNumId w:val="3"/>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0"/>
  </w:num>
  <w:num w:numId="37">
    <w:abstractNumId w:val="8"/>
  </w:num>
  <w:num w:numId="38">
    <w:abstractNumId w:val="15"/>
  </w:num>
  <w:num w:numId="39">
    <w:abstractNumId w:val="19"/>
  </w:num>
  <w:num w:numId="40">
    <w:abstractNumId w:val="32"/>
  </w:num>
  <w:num w:numId="41">
    <w:abstractNumId w:val="33"/>
  </w:num>
  <w:num w:numId="42">
    <w:abstractNumId w:val="6"/>
  </w:num>
  <w:num w:numId="43">
    <w:abstractNumId w:val="35"/>
  </w:num>
  <w:num w:numId="44">
    <w:abstractNumId w:val="17"/>
  </w:num>
  <w:num w:numId="45">
    <w:abstractNumId w:val="14"/>
  </w:num>
  <w:num w:numId="46">
    <w:abstractNumId w:val="28"/>
  </w:num>
  <w:num w:numId="47">
    <w:abstractNumId w:val="23"/>
    <w:lvlOverride w:ilvl="0">
      <w:startOverride w:val="5"/>
    </w:lvlOverride>
  </w:num>
  <w:num w:numId="48">
    <w:abstractNumId w:val="9"/>
  </w:num>
  <w:num w:numId="49">
    <w:abstractNumId w:val="41"/>
  </w:num>
  <w:num w:numId="50">
    <w:abstractNumId w:val="2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79"/>
    <w:rsid w:val="00000161"/>
    <w:rsid w:val="0000061B"/>
    <w:rsid w:val="000030B1"/>
    <w:rsid w:val="00004A5D"/>
    <w:rsid w:val="00004B46"/>
    <w:rsid w:val="000103F1"/>
    <w:rsid w:val="00010459"/>
    <w:rsid w:val="00010BA5"/>
    <w:rsid w:val="00010CEE"/>
    <w:rsid w:val="00010DEC"/>
    <w:rsid w:val="000117B6"/>
    <w:rsid w:val="000131A0"/>
    <w:rsid w:val="00013720"/>
    <w:rsid w:val="00014AFD"/>
    <w:rsid w:val="00014BB0"/>
    <w:rsid w:val="0001572E"/>
    <w:rsid w:val="0001587F"/>
    <w:rsid w:val="00016742"/>
    <w:rsid w:val="000168D9"/>
    <w:rsid w:val="00016966"/>
    <w:rsid w:val="00016D34"/>
    <w:rsid w:val="00016DAD"/>
    <w:rsid w:val="00017E28"/>
    <w:rsid w:val="0002103D"/>
    <w:rsid w:val="000212FC"/>
    <w:rsid w:val="00021836"/>
    <w:rsid w:val="0002201F"/>
    <w:rsid w:val="0002263D"/>
    <w:rsid w:val="0002283E"/>
    <w:rsid w:val="00022A0A"/>
    <w:rsid w:val="0002315C"/>
    <w:rsid w:val="0002322B"/>
    <w:rsid w:val="00024354"/>
    <w:rsid w:val="000247FF"/>
    <w:rsid w:val="00024FB9"/>
    <w:rsid w:val="00025C4A"/>
    <w:rsid w:val="0002754E"/>
    <w:rsid w:val="00031584"/>
    <w:rsid w:val="0003163D"/>
    <w:rsid w:val="00031F73"/>
    <w:rsid w:val="00031FCC"/>
    <w:rsid w:val="00031FD8"/>
    <w:rsid w:val="0003265D"/>
    <w:rsid w:val="000327D5"/>
    <w:rsid w:val="00032E4E"/>
    <w:rsid w:val="00032FC1"/>
    <w:rsid w:val="0003447E"/>
    <w:rsid w:val="00034667"/>
    <w:rsid w:val="0003627A"/>
    <w:rsid w:val="000365E2"/>
    <w:rsid w:val="0003680E"/>
    <w:rsid w:val="00036C68"/>
    <w:rsid w:val="00036E7F"/>
    <w:rsid w:val="00037B93"/>
    <w:rsid w:val="00040B2C"/>
    <w:rsid w:val="000415CF"/>
    <w:rsid w:val="00041FCA"/>
    <w:rsid w:val="00041FFF"/>
    <w:rsid w:val="0004239A"/>
    <w:rsid w:val="000423BE"/>
    <w:rsid w:val="00042419"/>
    <w:rsid w:val="00042FA8"/>
    <w:rsid w:val="00043329"/>
    <w:rsid w:val="00043B27"/>
    <w:rsid w:val="00043F34"/>
    <w:rsid w:val="00044069"/>
    <w:rsid w:val="000448CD"/>
    <w:rsid w:val="00046A9B"/>
    <w:rsid w:val="00047BDD"/>
    <w:rsid w:val="0005020C"/>
    <w:rsid w:val="00053C2D"/>
    <w:rsid w:val="00055865"/>
    <w:rsid w:val="00056BC1"/>
    <w:rsid w:val="000575D5"/>
    <w:rsid w:val="000578BB"/>
    <w:rsid w:val="00060579"/>
    <w:rsid w:val="000608A9"/>
    <w:rsid w:val="00060A3C"/>
    <w:rsid w:val="00061F6F"/>
    <w:rsid w:val="0006245A"/>
    <w:rsid w:val="000633AA"/>
    <w:rsid w:val="000644FB"/>
    <w:rsid w:val="00066AC4"/>
    <w:rsid w:val="0007041A"/>
    <w:rsid w:val="00070BCB"/>
    <w:rsid w:val="00070C4A"/>
    <w:rsid w:val="00072D5B"/>
    <w:rsid w:val="00072E64"/>
    <w:rsid w:val="00074D32"/>
    <w:rsid w:val="00075604"/>
    <w:rsid w:val="000777DB"/>
    <w:rsid w:val="0008082F"/>
    <w:rsid w:val="00080EB1"/>
    <w:rsid w:val="000811B3"/>
    <w:rsid w:val="0008151B"/>
    <w:rsid w:val="000833D2"/>
    <w:rsid w:val="00083E78"/>
    <w:rsid w:val="00084A79"/>
    <w:rsid w:val="0008530D"/>
    <w:rsid w:val="000855BD"/>
    <w:rsid w:val="00086066"/>
    <w:rsid w:val="00086585"/>
    <w:rsid w:val="000878E1"/>
    <w:rsid w:val="00090061"/>
    <w:rsid w:val="00090250"/>
    <w:rsid w:val="00090E25"/>
    <w:rsid w:val="0009143A"/>
    <w:rsid w:val="00092536"/>
    <w:rsid w:val="00092E9F"/>
    <w:rsid w:val="00093B66"/>
    <w:rsid w:val="00094602"/>
    <w:rsid w:val="00094630"/>
    <w:rsid w:val="000952D8"/>
    <w:rsid w:val="00095543"/>
    <w:rsid w:val="00095854"/>
    <w:rsid w:val="000972E1"/>
    <w:rsid w:val="000974D2"/>
    <w:rsid w:val="000A0383"/>
    <w:rsid w:val="000A041E"/>
    <w:rsid w:val="000A0420"/>
    <w:rsid w:val="000A0C75"/>
    <w:rsid w:val="000A0F6F"/>
    <w:rsid w:val="000A2181"/>
    <w:rsid w:val="000A2330"/>
    <w:rsid w:val="000A37B6"/>
    <w:rsid w:val="000A484D"/>
    <w:rsid w:val="000A58AB"/>
    <w:rsid w:val="000A5A8D"/>
    <w:rsid w:val="000A6591"/>
    <w:rsid w:val="000A7496"/>
    <w:rsid w:val="000A7604"/>
    <w:rsid w:val="000A76D9"/>
    <w:rsid w:val="000A7FB4"/>
    <w:rsid w:val="000B0243"/>
    <w:rsid w:val="000B18D0"/>
    <w:rsid w:val="000B19A5"/>
    <w:rsid w:val="000B1A04"/>
    <w:rsid w:val="000B3B74"/>
    <w:rsid w:val="000B4C7E"/>
    <w:rsid w:val="000B521D"/>
    <w:rsid w:val="000B555A"/>
    <w:rsid w:val="000B66D3"/>
    <w:rsid w:val="000B6880"/>
    <w:rsid w:val="000B764C"/>
    <w:rsid w:val="000C0EB7"/>
    <w:rsid w:val="000C1776"/>
    <w:rsid w:val="000C2386"/>
    <w:rsid w:val="000C2E3B"/>
    <w:rsid w:val="000C30FA"/>
    <w:rsid w:val="000C35E6"/>
    <w:rsid w:val="000C413E"/>
    <w:rsid w:val="000C417F"/>
    <w:rsid w:val="000C49EF"/>
    <w:rsid w:val="000C679B"/>
    <w:rsid w:val="000C706E"/>
    <w:rsid w:val="000C7B1F"/>
    <w:rsid w:val="000C7D4D"/>
    <w:rsid w:val="000D0779"/>
    <w:rsid w:val="000D0EAE"/>
    <w:rsid w:val="000D19C1"/>
    <w:rsid w:val="000D330F"/>
    <w:rsid w:val="000D40B7"/>
    <w:rsid w:val="000D443B"/>
    <w:rsid w:val="000D5104"/>
    <w:rsid w:val="000D584D"/>
    <w:rsid w:val="000D5B34"/>
    <w:rsid w:val="000D6D88"/>
    <w:rsid w:val="000D751A"/>
    <w:rsid w:val="000D7E83"/>
    <w:rsid w:val="000E0694"/>
    <w:rsid w:val="000E1625"/>
    <w:rsid w:val="000E177A"/>
    <w:rsid w:val="000E1C2B"/>
    <w:rsid w:val="000E2169"/>
    <w:rsid w:val="000E4C3F"/>
    <w:rsid w:val="000E507D"/>
    <w:rsid w:val="000E5529"/>
    <w:rsid w:val="000F1DDC"/>
    <w:rsid w:val="000F22E6"/>
    <w:rsid w:val="000F2B47"/>
    <w:rsid w:val="000F3948"/>
    <w:rsid w:val="000F3BCD"/>
    <w:rsid w:val="000F41C3"/>
    <w:rsid w:val="000F46A7"/>
    <w:rsid w:val="000F5B10"/>
    <w:rsid w:val="000F6468"/>
    <w:rsid w:val="000F6505"/>
    <w:rsid w:val="000F677B"/>
    <w:rsid w:val="000F68DE"/>
    <w:rsid w:val="000F69C7"/>
    <w:rsid w:val="000F7127"/>
    <w:rsid w:val="000F7D38"/>
    <w:rsid w:val="001004A7"/>
    <w:rsid w:val="001016E7"/>
    <w:rsid w:val="00102ED9"/>
    <w:rsid w:val="001030E0"/>
    <w:rsid w:val="001047C3"/>
    <w:rsid w:val="00104CB0"/>
    <w:rsid w:val="00104F68"/>
    <w:rsid w:val="00105863"/>
    <w:rsid w:val="00105C12"/>
    <w:rsid w:val="001101A5"/>
    <w:rsid w:val="001107A6"/>
    <w:rsid w:val="00111084"/>
    <w:rsid w:val="001112D9"/>
    <w:rsid w:val="001119F8"/>
    <w:rsid w:val="00111BF9"/>
    <w:rsid w:val="0011273B"/>
    <w:rsid w:val="00112A5E"/>
    <w:rsid w:val="00113CC8"/>
    <w:rsid w:val="00114056"/>
    <w:rsid w:val="0011562B"/>
    <w:rsid w:val="00117208"/>
    <w:rsid w:val="00122556"/>
    <w:rsid w:val="00122C2C"/>
    <w:rsid w:val="00123C77"/>
    <w:rsid w:val="0012479E"/>
    <w:rsid w:val="0012506B"/>
    <w:rsid w:val="00127327"/>
    <w:rsid w:val="001273A8"/>
    <w:rsid w:val="00130C03"/>
    <w:rsid w:val="001311F7"/>
    <w:rsid w:val="0013184F"/>
    <w:rsid w:val="00131D22"/>
    <w:rsid w:val="00131F00"/>
    <w:rsid w:val="0013346F"/>
    <w:rsid w:val="00133761"/>
    <w:rsid w:val="0013431A"/>
    <w:rsid w:val="001345AE"/>
    <w:rsid w:val="00134B01"/>
    <w:rsid w:val="001356A0"/>
    <w:rsid w:val="00135EB7"/>
    <w:rsid w:val="0013709C"/>
    <w:rsid w:val="00140288"/>
    <w:rsid w:val="0014043C"/>
    <w:rsid w:val="00141661"/>
    <w:rsid w:val="001434D0"/>
    <w:rsid w:val="00143559"/>
    <w:rsid w:val="0014568A"/>
    <w:rsid w:val="00145790"/>
    <w:rsid w:val="00146CE3"/>
    <w:rsid w:val="00146E1F"/>
    <w:rsid w:val="00147515"/>
    <w:rsid w:val="0014755A"/>
    <w:rsid w:val="00147A74"/>
    <w:rsid w:val="00150E00"/>
    <w:rsid w:val="00151D5D"/>
    <w:rsid w:val="00152137"/>
    <w:rsid w:val="00152286"/>
    <w:rsid w:val="00152AF7"/>
    <w:rsid w:val="0015340B"/>
    <w:rsid w:val="0015418D"/>
    <w:rsid w:val="00154DF1"/>
    <w:rsid w:val="00155009"/>
    <w:rsid w:val="00155BC0"/>
    <w:rsid w:val="00155D06"/>
    <w:rsid w:val="00156616"/>
    <w:rsid w:val="00157CA2"/>
    <w:rsid w:val="00160516"/>
    <w:rsid w:val="00161BE9"/>
    <w:rsid w:val="0016208F"/>
    <w:rsid w:val="001622BE"/>
    <w:rsid w:val="001624CC"/>
    <w:rsid w:val="001642BA"/>
    <w:rsid w:val="001649D5"/>
    <w:rsid w:val="00164B98"/>
    <w:rsid w:val="00164BC2"/>
    <w:rsid w:val="00165800"/>
    <w:rsid w:val="00165C46"/>
    <w:rsid w:val="00166C29"/>
    <w:rsid w:val="00167994"/>
    <w:rsid w:val="001679D0"/>
    <w:rsid w:val="001714CB"/>
    <w:rsid w:val="00172573"/>
    <w:rsid w:val="00173377"/>
    <w:rsid w:val="0017368B"/>
    <w:rsid w:val="001739F1"/>
    <w:rsid w:val="00173AAA"/>
    <w:rsid w:val="00174717"/>
    <w:rsid w:val="0017620B"/>
    <w:rsid w:val="00176FE1"/>
    <w:rsid w:val="0018146E"/>
    <w:rsid w:val="001814A5"/>
    <w:rsid w:val="00181AC8"/>
    <w:rsid w:val="001840D4"/>
    <w:rsid w:val="001841EF"/>
    <w:rsid w:val="00184421"/>
    <w:rsid w:val="001852C3"/>
    <w:rsid w:val="00185CEF"/>
    <w:rsid w:val="001860AA"/>
    <w:rsid w:val="001921A4"/>
    <w:rsid w:val="00193115"/>
    <w:rsid w:val="001939E8"/>
    <w:rsid w:val="00194650"/>
    <w:rsid w:val="0019469C"/>
    <w:rsid w:val="00194A0E"/>
    <w:rsid w:val="001969F1"/>
    <w:rsid w:val="00196E5A"/>
    <w:rsid w:val="00197503"/>
    <w:rsid w:val="001A01C9"/>
    <w:rsid w:val="001A0361"/>
    <w:rsid w:val="001A1AD3"/>
    <w:rsid w:val="001A2347"/>
    <w:rsid w:val="001A35A9"/>
    <w:rsid w:val="001A3745"/>
    <w:rsid w:val="001A3781"/>
    <w:rsid w:val="001A4794"/>
    <w:rsid w:val="001A6429"/>
    <w:rsid w:val="001A6E69"/>
    <w:rsid w:val="001A7611"/>
    <w:rsid w:val="001B107D"/>
    <w:rsid w:val="001B12DC"/>
    <w:rsid w:val="001B18F2"/>
    <w:rsid w:val="001B24B0"/>
    <w:rsid w:val="001B4842"/>
    <w:rsid w:val="001B4BF5"/>
    <w:rsid w:val="001B501C"/>
    <w:rsid w:val="001B7718"/>
    <w:rsid w:val="001B789F"/>
    <w:rsid w:val="001B7934"/>
    <w:rsid w:val="001B7C27"/>
    <w:rsid w:val="001C03C8"/>
    <w:rsid w:val="001C0F00"/>
    <w:rsid w:val="001C177E"/>
    <w:rsid w:val="001C1A78"/>
    <w:rsid w:val="001C373C"/>
    <w:rsid w:val="001C47A2"/>
    <w:rsid w:val="001C5EB8"/>
    <w:rsid w:val="001C6199"/>
    <w:rsid w:val="001C628A"/>
    <w:rsid w:val="001C6FEF"/>
    <w:rsid w:val="001C7F89"/>
    <w:rsid w:val="001C7FBE"/>
    <w:rsid w:val="001D08BF"/>
    <w:rsid w:val="001D11E2"/>
    <w:rsid w:val="001D12BF"/>
    <w:rsid w:val="001D18F7"/>
    <w:rsid w:val="001D3544"/>
    <w:rsid w:val="001D39AA"/>
    <w:rsid w:val="001D39EC"/>
    <w:rsid w:val="001D3A84"/>
    <w:rsid w:val="001D418D"/>
    <w:rsid w:val="001D4F3E"/>
    <w:rsid w:val="001D661F"/>
    <w:rsid w:val="001D7B65"/>
    <w:rsid w:val="001E0C58"/>
    <w:rsid w:val="001E15DB"/>
    <w:rsid w:val="001E2831"/>
    <w:rsid w:val="001E3841"/>
    <w:rsid w:val="001E3B2C"/>
    <w:rsid w:val="001E54E0"/>
    <w:rsid w:val="001E5B71"/>
    <w:rsid w:val="001E62A4"/>
    <w:rsid w:val="001E68C3"/>
    <w:rsid w:val="001E6A60"/>
    <w:rsid w:val="001E6E5A"/>
    <w:rsid w:val="001E7840"/>
    <w:rsid w:val="001F008B"/>
    <w:rsid w:val="001F14C4"/>
    <w:rsid w:val="001F32A8"/>
    <w:rsid w:val="001F46E6"/>
    <w:rsid w:val="001F6ABF"/>
    <w:rsid w:val="001F7901"/>
    <w:rsid w:val="001F7AC9"/>
    <w:rsid w:val="00201E7E"/>
    <w:rsid w:val="00203E3B"/>
    <w:rsid w:val="002040EC"/>
    <w:rsid w:val="002042DF"/>
    <w:rsid w:val="00204AB9"/>
    <w:rsid w:val="00204B23"/>
    <w:rsid w:val="002050B7"/>
    <w:rsid w:val="00207B46"/>
    <w:rsid w:val="0021030D"/>
    <w:rsid w:val="0021159E"/>
    <w:rsid w:val="00211666"/>
    <w:rsid w:val="002116AB"/>
    <w:rsid w:val="0021238C"/>
    <w:rsid w:val="00212A8C"/>
    <w:rsid w:val="00212F1A"/>
    <w:rsid w:val="00214E0B"/>
    <w:rsid w:val="00215B3B"/>
    <w:rsid w:val="00215B3C"/>
    <w:rsid w:val="00215C5A"/>
    <w:rsid w:val="00215E4D"/>
    <w:rsid w:val="00215E91"/>
    <w:rsid w:val="002166BC"/>
    <w:rsid w:val="002166E5"/>
    <w:rsid w:val="00217FA0"/>
    <w:rsid w:val="002206A4"/>
    <w:rsid w:val="00221002"/>
    <w:rsid w:val="00222903"/>
    <w:rsid w:val="0022371B"/>
    <w:rsid w:val="002237B8"/>
    <w:rsid w:val="00223884"/>
    <w:rsid w:val="00223955"/>
    <w:rsid w:val="002244E1"/>
    <w:rsid w:val="0022487C"/>
    <w:rsid w:val="00224E9C"/>
    <w:rsid w:val="00225954"/>
    <w:rsid w:val="00225DA0"/>
    <w:rsid w:val="002262ED"/>
    <w:rsid w:val="00226E05"/>
    <w:rsid w:val="00226E67"/>
    <w:rsid w:val="0022714B"/>
    <w:rsid w:val="002272CB"/>
    <w:rsid w:val="002304B2"/>
    <w:rsid w:val="00230A9A"/>
    <w:rsid w:val="00230C72"/>
    <w:rsid w:val="00231489"/>
    <w:rsid w:val="00231607"/>
    <w:rsid w:val="002339F6"/>
    <w:rsid w:val="002340AB"/>
    <w:rsid w:val="00234A99"/>
    <w:rsid w:val="00234D13"/>
    <w:rsid w:val="0023638D"/>
    <w:rsid w:val="0024270C"/>
    <w:rsid w:val="0024311B"/>
    <w:rsid w:val="002432D3"/>
    <w:rsid w:val="002441C1"/>
    <w:rsid w:val="00244D9E"/>
    <w:rsid w:val="0024609D"/>
    <w:rsid w:val="00246121"/>
    <w:rsid w:val="002469D9"/>
    <w:rsid w:val="00246F6F"/>
    <w:rsid w:val="002477FC"/>
    <w:rsid w:val="00247945"/>
    <w:rsid w:val="00250149"/>
    <w:rsid w:val="00250198"/>
    <w:rsid w:val="0025209C"/>
    <w:rsid w:val="002527EB"/>
    <w:rsid w:val="0025397A"/>
    <w:rsid w:val="00254C89"/>
    <w:rsid w:val="00254E2D"/>
    <w:rsid w:val="002558A0"/>
    <w:rsid w:val="00256D04"/>
    <w:rsid w:val="00256DF2"/>
    <w:rsid w:val="002571DA"/>
    <w:rsid w:val="0025756D"/>
    <w:rsid w:val="0026025C"/>
    <w:rsid w:val="00261B57"/>
    <w:rsid w:val="002628F7"/>
    <w:rsid w:val="00262A23"/>
    <w:rsid w:val="0026344E"/>
    <w:rsid w:val="00263D63"/>
    <w:rsid w:val="00266230"/>
    <w:rsid w:val="0026710F"/>
    <w:rsid w:val="0026713B"/>
    <w:rsid w:val="00271C83"/>
    <w:rsid w:val="0027245E"/>
    <w:rsid w:val="00272B66"/>
    <w:rsid w:val="002733A4"/>
    <w:rsid w:val="002736DD"/>
    <w:rsid w:val="00273CB4"/>
    <w:rsid w:val="00273FD4"/>
    <w:rsid w:val="002743A4"/>
    <w:rsid w:val="00274C9E"/>
    <w:rsid w:val="00275009"/>
    <w:rsid w:val="002767A1"/>
    <w:rsid w:val="002768F8"/>
    <w:rsid w:val="00277B51"/>
    <w:rsid w:val="00281091"/>
    <w:rsid w:val="002817A6"/>
    <w:rsid w:val="00283304"/>
    <w:rsid w:val="0028360E"/>
    <w:rsid w:val="00283CBE"/>
    <w:rsid w:val="00283CED"/>
    <w:rsid w:val="002863D7"/>
    <w:rsid w:val="002869EF"/>
    <w:rsid w:val="00286D44"/>
    <w:rsid w:val="00286FCA"/>
    <w:rsid w:val="0029011D"/>
    <w:rsid w:val="0029042C"/>
    <w:rsid w:val="002905CF"/>
    <w:rsid w:val="00291C4B"/>
    <w:rsid w:val="00292A7F"/>
    <w:rsid w:val="00293AC3"/>
    <w:rsid w:val="00294A61"/>
    <w:rsid w:val="00294B21"/>
    <w:rsid w:val="0029689D"/>
    <w:rsid w:val="00296B1E"/>
    <w:rsid w:val="00297266"/>
    <w:rsid w:val="00297305"/>
    <w:rsid w:val="00297415"/>
    <w:rsid w:val="002A00E4"/>
    <w:rsid w:val="002A0220"/>
    <w:rsid w:val="002A08DA"/>
    <w:rsid w:val="002A1D82"/>
    <w:rsid w:val="002A2451"/>
    <w:rsid w:val="002A2459"/>
    <w:rsid w:val="002A2808"/>
    <w:rsid w:val="002A28D9"/>
    <w:rsid w:val="002A2EFA"/>
    <w:rsid w:val="002A3D5D"/>
    <w:rsid w:val="002A4F27"/>
    <w:rsid w:val="002A64F9"/>
    <w:rsid w:val="002A6552"/>
    <w:rsid w:val="002A6B96"/>
    <w:rsid w:val="002A6EFE"/>
    <w:rsid w:val="002A75EB"/>
    <w:rsid w:val="002B0084"/>
    <w:rsid w:val="002B0C44"/>
    <w:rsid w:val="002B0E82"/>
    <w:rsid w:val="002B198D"/>
    <w:rsid w:val="002B25CD"/>
    <w:rsid w:val="002B318F"/>
    <w:rsid w:val="002B4248"/>
    <w:rsid w:val="002B4B47"/>
    <w:rsid w:val="002B5B33"/>
    <w:rsid w:val="002B6E30"/>
    <w:rsid w:val="002B71CD"/>
    <w:rsid w:val="002B72E0"/>
    <w:rsid w:val="002B76AB"/>
    <w:rsid w:val="002B7C37"/>
    <w:rsid w:val="002B7E57"/>
    <w:rsid w:val="002C018A"/>
    <w:rsid w:val="002C0240"/>
    <w:rsid w:val="002C1507"/>
    <w:rsid w:val="002C3CA5"/>
    <w:rsid w:val="002C3D9C"/>
    <w:rsid w:val="002C40A9"/>
    <w:rsid w:val="002C40F9"/>
    <w:rsid w:val="002C4168"/>
    <w:rsid w:val="002C57BC"/>
    <w:rsid w:val="002C598D"/>
    <w:rsid w:val="002C71CA"/>
    <w:rsid w:val="002D1BDB"/>
    <w:rsid w:val="002D20E9"/>
    <w:rsid w:val="002D262A"/>
    <w:rsid w:val="002D6763"/>
    <w:rsid w:val="002D6C11"/>
    <w:rsid w:val="002D6FBC"/>
    <w:rsid w:val="002D7000"/>
    <w:rsid w:val="002D75A3"/>
    <w:rsid w:val="002D7816"/>
    <w:rsid w:val="002D7ACF"/>
    <w:rsid w:val="002D7B94"/>
    <w:rsid w:val="002D7F1C"/>
    <w:rsid w:val="002E06F1"/>
    <w:rsid w:val="002E0D48"/>
    <w:rsid w:val="002E1282"/>
    <w:rsid w:val="002E14AB"/>
    <w:rsid w:val="002E16D2"/>
    <w:rsid w:val="002E1A05"/>
    <w:rsid w:val="002E1AAC"/>
    <w:rsid w:val="002E1CE5"/>
    <w:rsid w:val="002E226E"/>
    <w:rsid w:val="002E2372"/>
    <w:rsid w:val="002E3E35"/>
    <w:rsid w:val="002E48AC"/>
    <w:rsid w:val="002E6CC4"/>
    <w:rsid w:val="002E7BD6"/>
    <w:rsid w:val="002F02CE"/>
    <w:rsid w:val="002F0C6C"/>
    <w:rsid w:val="002F0CD9"/>
    <w:rsid w:val="002F0DD1"/>
    <w:rsid w:val="002F1594"/>
    <w:rsid w:val="002F19CE"/>
    <w:rsid w:val="002F297B"/>
    <w:rsid w:val="002F3061"/>
    <w:rsid w:val="002F31D9"/>
    <w:rsid w:val="002F383B"/>
    <w:rsid w:val="002F4D0C"/>
    <w:rsid w:val="002F54E7"/>
    <w:rsid w:val="002F6E35"/>
    <w:rsid w:val="002F7083"/>
    <w:rsid w:val="00300B72"/>
    <w:rsid w:val="0030184B"/>
    <w:rsid w:val="00301F4D"/>
    <w:rsid w:val="0030242C"/>
    <w:rsid w:val="00302890"/>
    <w:rsid w:val="00302978"/>
    <w:rsid w:val="0030458B"/>
    <w:rsid w:val="00304C73"/>
    <w:rsid w:val="00304DD1"/>
    <w:rsid w:val="00304DFE"/>
    <w:rsid w:val="00306008"/>
    <w:rsid w:val="00306D94"/>
    <w:rsid w:val="00306F1E"/>
    <w:rsid w:val="00306F22"/>
    <w:rsid w:val="003070D1"/>
    <w:rsid w:val="00310CBE"/>
    <w:rsid w:val="003110E1"/>
    <w:rsid w:val="0031160D"/>
    <w:rsid w:val="003138C5"/>
    <w:rsid w:val="003149B7"/>
    <w:rsid w:val="00314DC2"/>
    <w:rsid w:val="00315598"/>
    <w:rsid w:val="00315DEC"/>
    <w:rsid w:val="0031739C"/>
    <w:rsid w:val="0031740A"/>
    <w:rsid w:val="00317DAC"/>
    <w:rsid w:val="00317DEA"/>
    <w:rsid w:val="00317FDB"/>
    <w:rsid w:val="003206AB"/>
    <w:rsid w:val="00322420"/>
    <w:rsid w:val="0032303B"/>
    <w:rsid w:val="00324D3C"/>
    <w:rsid w:val="003250D8"/>
    <w:rsid w:val="00325A19"/>
    <w:rsid w:val="00325C4F"/>
    <w:rsid w:val="00325FF2"/>
    <w:rsid w:val="003267B2"/>
    <w:rsid w:val="00326958"/>
    <w:rsid w:val="00327461"/>
    <w:rsid w:val="00327468"/>
    <w:rsid w:val="0033012A"/>
    <w:rsid w:val="003308C3"/>
    <w:rsid w:val="0033163C"/>
    <w:rsid w:val="00331ADC"/>
    <w:rsid w:val="003327FB"/>
    <w:rsid w:val="00332DFA"/>
    <w:rsid w:val="003337F9"/>
    <w:rsid w:val="00336980"/>
    <w:rsid w:val="00336EA2"/>
    <w:rsid w:val="0034044F"/>
    <w:rsid w:val="00341682"/>
    <w:rsid w:val="003426BF"/>
    <w:rsid w:val="00342CC1"/>
    <w:rsid w:val="003439EB"/>
    <w:rsid w:val="00343E7D"/>
    <w:rsid w:val="003445EB"/>
    <w:rsid w:val="0034499A"/>
    <w:rsid w:val="00344B4D"/>
    <w:rsid w:val="00344F9F"/>
    <w:rsid w:val="003453F6"/>
    <w:rsid w:val="00345556"/>
    <w:rsid w:val="00346E5F"/>
    <w:rsid w:val="00347C77"/>
    <w:rsid w:val="00347F59"/>
    <w:rsid w:val="003500EE"/>
    <w:rsid w:val="00350CDF"/>
    <w:rsid w:val="00350D75"/>
    <w:rsid w:val="00350DC4"/>
    <w:rsid w:val="003512A6"/>
    <w:rsid w:val="00351635"/>
    <w:rsid w:val="00351C9C"/>
    <w:rsid w:val="003537E2"/>
    <w:rsid w:val="00353889"/>
    <w:rsid w:val="00354560"/>
    <w:rsid w:val="0035526C"/>
    <w:rsid w:val="00356063"/>
    <w:rsid w:val="00357209"/>
    <w:rsid w:val="00357B5C"/>
    <w:rsid w:val="0036189F"/>
    <w:rsid w:val="00362376"/>
    <w:rsid w:val="00363410"/>
    <w:rsid w:val="00363A19"/>
    <w:rsid w:val="00364037"/>
    <w:rsid w:val="003656C4"/>
    <w:rsid w:val="00366B64"/>
    <w:rsid w:val="00366F93"/>
    <w:rsid w:val="00367819"/>
    <w:rsid w:val="00370490"/>
    <w:rsid w:val="00370BC5"/>
    <w:rsid w:val="00370D5B"/>
    <w:rsid w:val="00371EFB"/>
    <w:rsid w:val="00372C4E"/>
    <w:rsid w:val="003743AD"/>
    <w:rsid w:val="00374608"/>
    <w:rsid w:val="003747FF"/>
    <w:rsid w:val="00376FCA"/>
    <w:rsid w:val="00377D6D"/>
    <w:rsid w:val="003812C1"/>
    <w:rsid w:val="003821A5"/>
    <w:rsid w:val="00383149"/>
    <w:rsid w:val="00383996"/>
    <w:rsid w:val="003846D5"/>
    <w:rsid w:val="00384A00"/>
    <w:rsid w:val="00384E5E"/>
    <w:rsid w:val="00387113"/>
    <w:rsid w:val="003875BA"/>
    <w:rsid w:val="00387C3D"/>
    <w:rsid w:val="00390ECC"/>
    <w:rsid w:val="003921CA"/>
    <w:rsid w:val="00392614"/>
    <w:rsid w:val="00392F7A"/>
    <w:rsid w:val="00393278"/>
    <w:rsid w:val="00393893"/>
    <w:rsid w:val="0039427E"/>
    <w:rsid w:val="0039436B"/>
    <w:rsid w:val="00394544"/>
    <w:rsid w:val="00394DAA"/>
    <w:rsid w:val="00395705"/>
    <w:rsid w:val="003969F2"/>
    <w:rsid w:val="00396F0A"/>
    <w:rsid w:val="00396FD7"/>
    <w:rsid w:val="00397B93"/>
    <w:rsid w:val="003A021B"/>
    <w:rsid w:val="003A0680"/>
    <w:rsid w:val="003A086C"/>
    <w:rsid w:val="003A0C7A"/>
    <w:rsid w:val="003A16DA"/>
    <w:rsid w:val="003A16F7"/>
    <w:rsid w:val="003A276A"/>
    <w:rsid w:val="003A32EE"/>
    <w:rsid w:val="003A3ADA"/>
    <w:rsid w:val="003A4545"/>
    <w:rsid w:val="003A487C"/>
    <w:rsid w:val="003A501E"/>
    <w:rsid w:val="003A5858"/>
    <w:rsid w:val="003A5CB4"/>
    <w:rsid w:val="003A5DF0"/>
    <w:rsid w:val="003A63C1"/>
    <w:rsid w:val="003A7EBA"/>
    <w:rsid w:val="003B0173"/>
    <w:rsid w:val="003B147F"/>
    <w:rsid w:val="003B28AD"/>
    <w:rsid w:val="003B2C18"/>
    <w:rsid w:val="003B2E7A"/>
    <w:rsid w:val="003B2FAC"/>
    <w:rsid w:val="003B3E57"/>
    <w:rsid w:val="003B5912"/>
    <w:rsid w:val="003B6B5A"/>
    <w:rsid w:val="003C0051"/>
    <w:rsid w:val="003C080A"/>
    <w:rsid w:val="003C0E6C"/>
    <w:rsid w:val="003C11BC"/>
    <w:rsid w:val="003C1670"/>
    <w:rsid w:val="003C18AA"/>
    <w:rsid w:val="003C2772"/>
    <w:rsid w:val="003C3464"/>
    <w:rsid w:val="003C38EC"/>
    <w:rsid w:val="003C3D79"/>
    <w:rsid w:val="003C44BB"/>
    <w:rsid w:val="003C7934"/>
    <w:rsid w:val="003C7A09"/>
    <w:rsid w:val="003D005B"/>
    <w:rsid w:val="003D046E"/>
    <w:rsid w:val="003D1E15"/>
    <w:rsid w:val="003D35E9"/>
    <w:rsid w:val="003D38C4"/>
    <w:rsid w:val="003D5005"/>
    <w:rsid w:val="003E0254"/>
    <w:rsid w:val="003E09D1"/>
    <w:rsid w:val="003E1520"/>
    <w:rsid w:val="003E21DB"/>
    <w:rsid w:val="003E2260"/>
    <w:rsid w:val="003E32D4"/>
    <w:rsid w:val="003E3505"/>
    <w:rsid w:val="003E376E"/>
    <w:rsid w:val="003E418E"/>
    <w:rsid w:val="003E4B05"/>
    <w:rsid w:val="003E4F7F"/>
    <w:rsid w:val="003E56B2"/>
    <w:rsid w:val="003E5FC4"/>
    <w:rsid w:val="003E68AA"/>
    <w:rsid w:val="003E7979"/>
    <w:rsid w:val="003F08E0"/>
    <w:rsid w:val="003F11AB"/>
    <w:rsid w:val="003F1278"/>
    <w:rsid w:val="003F170F"/>
    <w:rsid w:val="003F20E4"/>
    <w:rsid w:val="003F2F73"/>
    <w:rsid w:val="003F3915"/>
    <w:rsid w:val="003F44C3"/>
    <w:rsid w:val="003F463D"/>
    <w:rsid w:val="003F4ADD"/>
    <w:rsid w:val="003F5441"/>
    <w:rsid w:val="003F597A"/>
    <w:rsid w:val="003F67BE"/>
    <w:rsid w:val="003F6CC1"/>
    <w:rsid w:val="003F6E80"/>
    <w:rsid w:val="003F6F65"/>
    <w:rsid w:val="003F7027"/>
    <w:rsid w:val="003F71D0"/>
    <w:rsid w:val="003F790E"/>
    <w:rsid w:val="003F7D6D"/>
    <w:rsid w:val="00401CBF"/>
    <w:rsid w:val="00401CC0"/>
    <w:rsid w:val="00402071"/>
    <w:rsid w:val="0040231B"/>
    <w:rsid w:val="0040321C"/>
    <w:rsid w:val="004041B6"/>
    <w:rsid w:val="004042F1"/>
    <w:rsid w:val="00404C29"/>
    <w:rsid w:val="00406760"/>
    <w:rsid w:val="00407A60"/>
    <w:rsid w:val="004100B7"/>
    <w:rsid w:val="004100F9"/>
    <w:rsid w:val="004101E2"/>
    <w:rsid w:val="004110F6"/>
    <w:rsid w:val="004111BF"/>
    <w:rsid w:val="00412675"/>
    <w:rsid w:val="00412ACA"/>
    <w:rsid w:val="0041370B"/>
    <w:rsid w:val="00413779"/>
    <w:rsid w:val="00413B3C"/>
    <w:rsid w:val="00413D2F"/>
    <w:rsid w:val="00415920"/>
    <w:rsid w:val="00415F18"/>
    <w:rsid w:val="004161B8"/>
    <w:rsid w:val="00421D40"/>
    <w:rsid w:val="004227D3"/>
    <w:rsid w:val="00422CE8"/>
    <w:rsid w:val="004233C8"/>
    <w:rsid w:val="00423C95"/>
    <w:rsid w:val="00424709"/>
    <w:rsid w:val="00424A50"/>
    <w:rsid w:val="00424B80"/>
    <w:rsid w:val="00425013"/>
    <w:rsid w:val="00425964"/>
    <w:rsid w:val="00425BBF"/>
    <w:rsid w:val="004269A3"/>
    <w:rsid w:val="00427972"/>
    <w:rsid w:val="00430A83"/>
    <w:rsid w:val="00430E2B"/>
    <w:rsid w:val="00430F17"/>
    <w:rsid w:val="00431084"/>
    <w:rsid w:val="004312B0"/>
    <w:rsid w:val="004312FD"/>
    <w:rsid w:val="00432A25"/>
    <w:rsid w:val="0043354B"/>
    <w:rsid w:val="00433A4B"/>
    <w:rsid w:val="00434452"/>
    <w:rsid w:val="00435539"/>
    <w:rsid w:val="0043600D"/>
    <w:rsid w:val="00436268"/>
    <w:rsid w:val="00436612"/>
    <w:rsid w:val="00436B58"/>
    <w:rsid w:val="00436BEA"/>
    <w:rsid w:val="00437868"/>
    <w:rsid w:val="00437B04"/>
    <w:rsid w:val="0044023C"/>
    <w:rsid w:val="004406E3"/>
    <w:rsid w:val="00440DAB"/>
    <w:rsid w:val="00441535"/>
    <w:rsid w:val="00441B55"/>
    <w:rsid w:val="004426C8"/>
    <w:rsid w:val="00442E64"/>
    <w:rsid w:val="0044335E"/>
    <w:rsid w:val="00444756"/>
    <w:rsid w:val="00444D94"/>
    <w:rsid w:val="00446C1B"/>
    <w:rsid w:val="004472BD"/>
    <w:rsid w:val="0044743E"/>
    <w:rsid w:val="004475A1"/>
    <w:rsid w:val="00450314"/>
    <w:rsid w:val="00450A57"/>
    <w:rsid w:val="00451D75"/>
    <w:rsid w:val="004533DB"/>
    <w:rsid w:val="004551EC"/>
    <w:rsid w:val="0045560A"/>
    <w:rsid w:val="00455D47"/>
    <w:rsid w:val="0046180B"/>
    <w:rsid w:val="004620FF"/>
    <w:rsid w:val="00462140"/>
    <w:rsid w:val="00462212"/>
    <w:rsid w:val="00463F47"/>
    <w:rsid w:val="00464482"/>
    <w:rsid w:val="00464628"/>
    <w:rsid w:val="00464B7F"/>
    <w:rsid w:val="004654CD"/>
    <w:rsid w:val="004655C1"/>
    <w:rsid w:val="00465789"/>
    <w:rsid w:val="004661EA"/>
    <w:rsid w:val="004662C5"/>
    <w:rsid w:val="00470E62"/>
    <w:rsid w:val="00471E32"/>
    <w:rsid w:val="00477A46"/>
    <w:rsid w:val="00477D28"/>
    <w:rsid w:val="00477D31"/>
    <w:rsid w:val="00480779"/>
    <w:rsid w:val="00481F32"/>
    <w:rsid w:val="00482EEC"/>
    <w:rsid w:val="00482FB4"/>
    <w:rsid w:val="00484139"/>
    <w:rsid w:val="004867C2"/>
    <w:rsid w:val="00486817"/>
    <w:rsid w:val="00486BB1"/>
    <w:rsid w:val="00486DFC"/>
    <w:rsid w:val="00487220"/>
    <w:rsid w:val="00490685"/>
    <w:rsid w:val="00490C64"/>
    <w:rsid w:val="0049195D"/>
    <w:rsid w:val="00491AB9"/>
    <w:rsid w:val="00491DAC"/>
    <w:rsid w:val="004934BE"/>
    <w:rsid w:val="00493978"/>
    <w:rsid w:val="00493F18"/>
    <w:rsid w:val="00494AF0"/>
    <w:rsid w:val="004953A6"/>
    <w:rsid w:val="00495814"/>
    <w:rsid w:val="00495DE3"/>
    <w:rsid w:val="004A000A"/>
    <w:rsid w:val="004A05A7"/>
    <w:rsid w:val="004A07F2"/>
    <w:rsid w:val="004A1A36"/>
    <w:rsid w:val="004A1D60"/>
    <w:rsid w:val="004A24BF"/>
    <w:rsid w:val="004A2AB3"/>
    <w:rsid w:val="004A40B4"/>
    <w:rsid w:val="004A4280"/>
    <w:rsid w:val="004A472A"/>
    <w:rsid w:val="004A4935"/>
    <w:rsid w:val="004A6303"/>
    <w:rsid w:val="004A65FF"/>
    <w:rsid w:val="004A6816"/>
    <w:rsid w:val="004A78D3"/>
    <w:rsid w:val="004B09F3"/>
    <w:rsid w:val="004B0B2C"/>
    <w:rsid w:val="004B186E"/>
    <w:rsid w:val="004B40C9"/>
    <w:rsid w:val="004B47D3"/>
    <w:rsid w:val="004B5E44"/>
    <w:rsid w:val="004B6269"/>
    <w:rsid w:val="004B676F"/>
    <w:rsid w:val="004B6AA6"/>
    <w:rsid w:val="004C0111"/>
    <w:rsid w:val="004C092A"/>
    <w:rsid w:val="004C0A30"/>
    <w:rsid w:val="004C1D2F"/>
    <w:rsid w:val="004C231F"/>
    <w:rsid w:val="004C2ABF"/>
    <w:rsid w:val="004C2CE0"/>
    <w:rsid w:val="004C31B8"/>
    <w:rsid w:val="004C43F9"/>
    <w:rsid w:val="004C454C"/>
    <w:rsid w:val="004C498B"/>
    <w:rsid w:val="004C602D"/>
    <w:rsid w:val="004C652A"/>
    <w:rsid w:val="004C67B1"/>
    <w:rsid w:val="004C6DC3"/>
    <w:rsid w:val="004C7289"/>
    <w:rsid w:val="004D084D"/>
    <w:rsid w:val="004D09C8"/>
    <w:rsid w:val="004D0DC3"/>
    <w:rsid w:val="004D1EAA"/>
    <w:rsid w:val="004D23EF"/>
    <w:rsid w:val="004D2C35"/>
    <w:rsid w:val="004D4985"/>
    <w:rsid w:val="004D536C"/>
    <w:rsid w:val="004D5770"/>
    <w:rsid w:val="004D5E57"/>
    <w:rsid w:val="004D5EBE"/>
    <w:rsid w:val="004D6481"/>
    <w:rsid w:val="004D6B97"/>
    <w:rsid w:val="004D7BE0"/>
    <w:rsid w:val="004E049B"/>
    <w:rsid w:val="004E065C"/>
    <w:rsid w:val="004E1EAC"/>
    <w:rsid w:val="004E3511"/>
    <w:rsid w:val="004E48E1"/>
    <w:rsid w:val="004E571B"/>
    <w:rsid w:val="004E69F7"/>
    <w:rsid w:val="004E7409"/>
    <w:rsid w:val="004E74D1"/>
    <w:rsid w:val="004F0FBB"/>
    <w:rsid w:val="004F2BAC"/>
    <w:rsid w:val="004F3018"/>
    <w:rsid w:val="004F36C4"/>
    <w:rsid w:val="004F36E2"/>
    <w:rsid w:val="004F48C0"/>
    <w:rsid w:val="00500104"/>
    <w:rsid w:val="0050038C"/>
    <w:rsid w:val="0050159C"/>
    <w:rsid w:val="00501DBD"/>
    <w:rsid w:val="00503730"/>
    <w:rsid w:val="00505804"/>
    <w:rsid w:val="00506F79"/>
    <w:rsid w:val="00510DAD"/>
    <w:rsid w:val="00511CAD"/>
    <w:rsid w:val="00511D22"/>
    <w:rsid w:val="00512AB1"/>
    <w:rsid w:val="00512CF5"/>
    <w:rsid w:val="005144D5"/>
    <w:rsid w:val="005145F6"/>
    <w:rsid w:val="00514A7B"/>
    <w:rsid w:val="00515844"/>
    <w:rsid w:val="00515CCA"/>
    <w:rsid w:val="0051712B"/>
    <w:rsid w:val="00524C21"/>
    <w:rsid w:val="005257EC"/>
    <w:rsid w:val="00526576"/>
    <w:rsid w:val="00526D08"/>
    <w:rsid w:val="00530D72"/>
    <w:rsid w:val="005320FB"/>
    <w:rsid w:val="005349A8"/>
    <w:rsid w:val="00534F32"/>
    <w:rsid w:val="00535221"/>
    <w:rsid w:val="0053540D"/>
    <w:rsid w:val="005356C3"/>
    <w:rsid w:val="00537C44"/>
    <w:rsid w:val="00537E01"/>
    <w:rsid w:val="005400FC"/>
    <w:rsid w:val="00540352"/>
    <w:rsid w:val="005403E8"/>
    <w:rsid w:val="00541E77"/>
    <w:rsid w:val="00542241"/>
    <w:rsid w:val="00542944"/>
    <w:rsid w:val="00543352"/>
    <w:rsid w:val="00544423"/>
    <w:rsid w:val="005445D5"/>
    <w:rsid w:val="00544B5B"/>
    <w:rsid w:val="005455E1"/>
    <w:rsid w:val="00551145"/>
    <w:rsid w:val="0055154B"/>
    <w:rsid w:val="00551628"/>
    <w:rsid w:val="00551D48"/>
    <w:rsid w:val="0055210B"/>
    <w:rsid w:val="005526F8"/>
    <w:rsid w:val="00552753"/>
    <w:rsid w:val="005535C7"/>
    <w:rsid w:val="005547CA"/>
    <w:rsid w:val="00555F68"/>
    <w:rsid w:val="005560F8"/>
    <w:rsid w:val="0055751B"/>
    <w:rsid w:val="005576F8"/>
    <w:rsid w:val="00560D9D"/>
    <w:rsid w:val="00561604"/>
    <w:rsid w:val="0056359E"/>
    <w:rsid w:val="00563A74"/>
    <w:rsid w:val="00564491"/>
    <w:rsid w:val="00565224"/>
    <w:rsid w:val="00566566"/>
    <w:rsid w:val="00567C72"/>
    <w:rsid w:val="00570002"/>
    <w:rsid w:val="0057030C"/>
    <w:rsid w:val="00570B66"/>
    <w:rsid w:val="00571A7E"/>
    <w:rsid w:val="005720EB"/>
    <w:rsid w:val="00574F9C"/>
    <w:rsid w:val="0057537D"/>
    <w:rsid w:val="00580A6C"/>
    <w:rsid w:val="0058119B"/>
    <w:rsid w:val="00582131"/>
    <w:rsid w:val="00582D04"/>
    <w:rsid w:val="005830B5"/>
    <w:rsid w:val="005837E2"/>
    <w:rsid w:val="00583CD1"/>
    <w:rsid w:val="00584173"/>
    <w:rsid w:val="00585F60"/>
    <w:rsid w:val="005860D2"/>
    <w:rsid w:val="005861EC"/>
    <w:rsid w:val="005879D6"/>
    <w:rsid w:val="00587CAE"/>
    <w:rsid w:val="005903AC"/>
    <w:rsid w:val="00590885"/>
    <w:rsid w:val="00592A4A"/>
    <w:rsid w:val="00593408"/>
    <w:rsid w:val="0059454B"/>
    <w:rsid w:val="005945AC"/>
    <w:rsid w:val="005947FC"/>
    <w:rsid w:val="00595E08"/>
    <w:rsid w:val="00596384"/>
    <w:rsid w:val="005974CD"/>
    <w:rsid w:val="005975FE"/>
    <w:rsid w:val="005A0930"/>
    <w:rsid w:val="005A0972"/>
    <w:rsid w:val="005A1346"/>
    <w:rsid w:val="005A151B"/>
    <w:rsid w:val="005A1A12"/>
    <w:rsid w:val="005A1F62"/>
    <w:rsid w:val="005A2FE5"/>
    <w:rsid w:val="005A33EF"/>
    <w:rsid w:val="005A3680"/>
    <w:rsid w:val="005A4777"/>
    <w:rsid w:val="005A5A44"/>
    <w:rsid w:val="005A7481"/>
    <w:rsid w:val="005A7644"/>
    <w:rsid w:val="005A7F69"/>
    <w:rsid w:val="005B05D5"/>
    <w:rsid w:val="005B11A0"/>
    <w:rsid w:val="005B2A4D"/>
    <w:rsid w:val="005B3829"/>
    <w:rsid w:val="005B3BFB"/>
    <w:rsid w:val="005B5624"/>
    <w:rsid w:val="005C2A16"/>
    <w:rsid w:val="005C2E96"/>
    <w:rsid w:val="005C3024"/>
    <w:rsid w:val="005C3911"/>
    <w:rsid w:val="005C3A85"/>
    <w:rsid w:val="005C40D5"/>
    <w:rsid w:val="005C40E0"/>
    <w:rsid w:val="005C45D4"/>
    <w:rsid w:val="005C67DA"/>
    <w:rsid w:val="005C68CA"/>
    <w:rsid w:val="005C75C3"/>
    <w:rsid w:val="005D05D1"/>
    <w:rsid w:val="005D0714"/>
    <w:rsid w:val="005D0902"/>
    <w:rsid w:val="005D1ACE"/>
    <w:rsid w:val="005D1DEB"/>
    <w:rsid w:val="005D2756"/>
    <w:rsid w:val="005D2774"/>
    <w:rsid w:val="005D35F1"/>
    <w:rsid w:val="005D37DE"/>
    <w:rsid w:val="005D495F"/>
    <w:rsid w:val="005D4FBA"/>
    <w:rsid w:val="005D51C5"/>
    <w:rsid w:val="005D53E7"/>
    <w:rsid w:val="005D5D21"/>
    <w:rsid w:val="005D6069"/>
    <w:rsid w:val="005E1E7F"/>
    <w:rsid w:val="005E210F"/>
    <w:rsid w:val="005E2B24"/>
    <w:rsid w:val="005E324A"/>
    <w:rsid w:val="005E3769"/>
    <w:rsid w:val="005E4437"/>
    <w:rsid w:val="005E454D"/>
    <w:rsid w:val="005E5802"/>
    <w:rsid w:val="005E6135"/>
    <w:rsid w:val="005E6737"/>
    <w:rsid w:val="005E699F"/>
    <w:rsid w:val="005F05F0"/>
    <w:rsid w:val="005F0D0F"/>
    <w:rsid w:val="005F28ED"/>
    <w:rsid w:val="005F2CFA"/>
    <w:rsid w:val="005F4C88"/>
    <w:rsid w:val="005F5D0B"/>
    <w:rsid w:val="005F5DC1"/>
    <w:rsid w:val="005F660B"/>
    <w:rsid w:val="005F6D68"/>
    <w:rsid w:val="005F6F8C"/>
    <w:rsid w:val="005F7ADD"/>
    <w:rsid w:val="005F7FEA"/>
    <w:rsid w:val="0060019E"/>
    <w:rsid w:val="00602559"/>
    <w:rsid w:val="00603CD1"/>
    <w:rsid w:val="00603D6C"/>
    <w:rsid w:val="00604012"/>
    <w:rsid w:val="00605BB6"/>
    <w:rsid w:val="00605ECA"/>
    <w:rsid w:val="00606182"/>
    <w:rsid w:val="006064A8"/>
    <w:rsid w:val="00606DD0"/>
    <w:rsid w:val="006075CC"/>
    <w:rsid w:val="00611936"/>
    <w:rsid w:val="00612DF4"/>
    <w:rsid w:val="006143B4"/>
    <w:rsid w:val="00615050"/>
    <w:rsid w:val="00616D4D"/>
    <w:rsid w:val="00616DE6"/>
    <w:rsid w:val="00617029"/>
    <w:rsid w:val="006202F3"/>
    <w:rsid w:val="006217DE"/>
    <w:rsid w:val="00621B04"/>
    <w:rsid w:val="00621B98"/>
    <w:rsid w:val="00622372"/>
    <w:rsid w:val="006229D4"/>
    <w:rsid w:val="00623E13"/>
    <w:rsid w:val="0062545D"/>
    <w:rsid w:val="00625BA7"/>
    <w:rsid w:val="00625C13"/>
    <w:rsid w:val="00626475"/>
    <w:rsid w:val="006272D1"/>
    <w:rsid w:val="006273BC"/>
    <w:rsid w:val="00627BF3"/>
    <w:rsid w:val="00630293"/>
    <w:rsid w:val="00630CE2"/>
    <w:rsid w:val="00630FBE"/>
    <w:rsid w:val="0063245E"/>
    <w:rsid w:val="0063384C"/>
    <w:rsid w:val="0063389A"/>
    <w:rsid w:val="00633E77"/>
    <w:rsid w:val="006340F4"/>
    <w:rsid w:val="0063644E"/>
    <w:rsid w:val="00636D6D"/>
    <w:rsid w:val="00636EFA"/>
    <w:rsid w:val="00636FB8"/>
    <w:rsid w:val="006371A1"/>
    <w:rsid w:val="00637F75"/>
    <w:rsid w:val="00640052"/>
    <w:rsid w:val="006404FF"/>
    <w:rsid w:val="006405C8"/>
    <w:rsid w:val="0064089C"/>
    <w:rsid w:val="00642B74"/>
    <w:rsid w:val="00643B2F"/>
    <w:rsid w:val="00643C00"/>
    <w:rsid w:val="00646F36"/>
    <w:rsid w:val="00647871"/>
    <w:rsid w:val="00647968"/>
    <w:rsid w:val="00650885"/>
    <w:rsid w:val="006515F6"/>
    <w:rsid w:val="006527B6"/>
    <w:rsid w:val="00654515"/>
    <w:rsid w:val="006565F1"/>
    <w:rsid w:val="006568C9"/>
    <w:rsid w:val="0066062F"/>
    <w:rsid w:val="00661179"/>
    <w:rsid w:val="00662361"/>
    <w:rsid w:val="0066273C"/>
    <w:rsid w:val="006628C3"/>
    <w:rsid w:val="00662A8F"/>
    <w:rsid w:val="00663788"/>
    <w:rsid w:val="00664F31"/>
    <w:rsid w:val="00664F7B"/>
    <w:rsid w:val="006659C4"/>
    <w:rsid w:val="00671099"/>
    <w:rsid w:val="00672B04"/>
    <w:rsid w:val="00673242"/>
    <w:rsid w:val="0067358F"/>
    <w:rsid w:val="0067395C"/>
    <w:rsid w:val="00673F04"/>
    <w:rsid w:val="00676A56"/>
    <w:rsid w:val="00676D77"/>
    <w:rsid w:val="00676F47"/>
    <w:rsid w:val="00677235"/>
    <w:rsid w:val="00677D62"/>
    <w:rsid w:val="006802C2"/>
    <w:rsid w:val="00681C67"/>
    <w:rsid w:val="0068215C"/>
    <w:rsid w:val="0068230E"/>
    <w:rsid w:val="0068370E"/>
    <w:rsid w:val="006837E0"/>
    <w:rsid w:val="006843FA"/>
    <w:rsid w:val="00685C87"/>
    <w:rsid w:val="00686662"/>
    <w:rsid w:val="00686751"/>
    <w:rsid w:val="006875A4"/>
    <w:rsid w:val="00690187"/>
    <w:rsid w:val="006926D4"/>
    <w:rsid w:val="006933A4"/>
    <w:rsid w:val="00693990"/>
    <w:rsid w:val="00693B27"/>
    <w:rsid w:val="006947F0"/>
    <w:rsid w:val="0069799C"/>
    <w:rsid w:val="00697E5B"/>
    <w:rsid w:val="006A05FC"/>
    <w:rsid w:val="006A248C"/>
    <w:rsid w:val="006A2735"/>
    <w:rsid w:val="006A457D"/>
    <w:rsid w:val="006A465C"/>
    <w:rsid w:val="006A4FFC"/>
    <w:rsid w:val="006A54EE"/>
    <w:rsid w:val="006A683F"/>
    <w:rsid w:val="006A6AF3"/>
    <w:rsid w:val="006A6D7D"/>
    <w:rsid w:val="006A73F8"/>
    <w:rsid w:val="006A76A9"/>
    <w:rsid w:val="006A7CE5"/>
    <w:rsid w:val="006B080E"/>
    <w:rsid w:val="006B1180"/>
    <w:rsid w:val="006B1807"/>
    <w:rsid w:val="006B2425"/>
    <w:rsid w:val="006B2483"/>
    <w:rsid w:val="006B264B"/>
    <w:rsid w:val="006B449A"/>
    <w:rsid w:val="006B456F"/>
    <w:rsid w:val="006B4E3F"/>
    <w:rsid w:val="006B5C2B"/>
    <w:rsid w:val="006B6D4A"/>
    <w:rsid w:val="006C2620"/>
    <w:rsid w:val="006C280E"/>
    <w:rsid w:val="006C2D13"/>
    <w:rsid w:val="006C3304"/>
    <w:rsid w:val="006C3548"/>
    <w:rsid w:val="006C3843"/>
    <w:rsid w:val="006C3B01"/>
    <w:rsid w:val="006C7238"/>
    <w:rsid w:val="006C7956"/>
    <w:rsid w:val="006D03BB"/>
    <w:rsid w:val="006D0B31"/>
    <w:rsid w:val="006D108A"/>
    <w:rsid w:val="006D176B"/>
    <w:rsid w:val="006D17D7"/>
    <w:rsid w:val="006D20AB"/>
    <w:rsid w:val="006D21FF"/>
    <w:rsid w:val="006D3662"/>
    <w:rsid w:val="006D3A65"/>
    <w:rsid w:val="006D3C5D"/>
    <w:rsid w:val="006D44CD"/>
    <w:rsid w:val="006D680C"/>
    <w:rsid w:val="006D7191"/>
    <w:rsid w:val="006D7836"/>
    <w:rsid w:val="006D7DE3"/>
    <w:rsid w:val="006E1604"/>
    <w:rsid w:val="006E16A7"/>
    <w:rsid w:val="006E22FD"/>
    <w:rsid w:val="006E2842"/>
    <w:rsid w:val="006E353A"/>
    <w:rsid w:val="006E3BD4"/>
    <w:rsid w:val="006E4164"/>
    <w:rsid w:val="006E4170"/>
    <w:rsid w:val="006E598A"/>
    <w:rsid w:val="006E59B5"/>
    <w:rsid w:val="006E5B0A"/>
    <w:rsid w:val="006E700C"/>
    <w:rsid w:val="006E7612"/>
    <w:rsid w:val="006E7BA2"/>
    <w:rsid w:val="006E7DDD"/>
    <w:rsid w:val="006E7F57"/>
    <w:rsid w:val="006F020A"/>
    <w:rsid w:val="006F2023"/>
    <w:rsid w:val="006F208F"/>
    <w:rsid w:val="006F265F"/>
    <w:rsid w:val="006F3FEB"/>
    <w:rsid w:val="006F4AC9"/>
    <w:rsid w:val="006F4AFC"/>
    <w:rsid w:val="006F69E2"/>
    <w:rsid w:val="006F730C"/>
    <w:rsid w:val="006F73F3"/>
    <w:rsid w:val="00700DDD"/>
    <w:rsid w:val="00700F2A"/>
    <w:rsid w:val="00701324"/>
    <w:rsid w:val="00702EB1"/>
    <w:rsid w:val="00702F11"/>
    <w:rsid w:val="00702F3A"/>
    <w:rsid w:val="007031B1"/>
    <w:rsid w:val="007043FD"/>
    <w:rsid w:val="007058D7"/>
    <w:rsid w:val="00706624"/>
    <w:rsid w:val="00707247"/>
    <w:rsid w:val="00707736"/>
    <w:rsid w:val="00707ED3"/>
    <w:rsid w:val="00707F2C"/>
    <w:rsid w:val="00711B96"/>
    <w:rsid w:val="0071215A"/>
    <w:rsid w:val="0071541D"/>
    <w:rsid w:val="00715A07"/>
    <w:rsid w:val="00716CB7"/>
    <w:rsid w:val="00716DB7"/>
    <w:rsid w:val="00717269"/>
    <w:rsid w:val="007176C7"/>
    <w:rsid w:val="0071779F"/>
    <w:rsid w:val="00717F2E"/>
    <w:rsid w:val="00720DB2"/>
    <w:rsid w:val="00720F64"/>
    <w:rsid w:val="007222A0"/>
    <w:rsid w:val="00723978"/>
    <w:rsid w:val="00723CA0"/>
    <w:rsid w:val="007253A7"/>
    <w:rsid w:val="0072737E"/>
    <w:rsid w:val="00730034"/>
    <w:rsid w:val="007303AF"/>
    <w:rsid w:val="00731589"/>
    <w:rsid w:val="00731F7C"/>
    <w:rsid w:val="0073236D"/>
    <w:rsid w:val="007338F8"/>
    <w:rsid w:val="00735339"/>
    <w:rsid w:val="00736A41"/>
    <w:rsid w:val="00736C3B"/>
    <w:rsid w:val="007371B1"/>
    <w:rsid w:val="0073756B"/>
    <w:rsid w:val="007377EE"/>
    <w:rsid w:val="00737D0F"/>
    <w:rsid w:val="007402A6"/>
    <w:rsid w:val="00740A5E"/>
    <w:rsid w:val="00741BEF"/>
    <w:rsid w:val="00741C10"/>
    <w:rsid w:val="00741E06"/>
    <w:rsid w:val="00742577"/>
    <w:rsid w:val="00742C09"/>
    <w:rsid w:val="007437E6"/>
    <w:rsid w:val="00744B6F"/>
    <w:rsid w:val="00745BB0"/>
    <w:rsid w:val="00747886"/>
    <w:rsid w:val="00747CEB"/>
    <w:rsid w:val="007503B3"/>
    <w:rsid w:val="007513B8"/>
    <w:rsid w:val="00752D35"/>
    <w:rsid w:val="0075488B"/>
    <w:rsid w:val="00754924"/>
    <w:rsid w:val="0075492E"/>
    <w:rsid w:val="00754E9B"/>
    <w:rsid w:val="00756044"/>
    <w:rsid w:val="00756C0F"/>
    <w:rsid w:val="00756E06"/>
    <w:rsid w:val="00760328"/>
    <w:rsid w:val="00760468"/>
    <w:rsid w:val="007614D4"/>
    <w:rsid w:val="007615DA"/>
    <w:rsid w:val="00761AE1"/>
    <w:rsid w:val="00761C9D"/>
    <w:rsid w:val="00761DA6"/>
    <w:rsid w:val="00762199"/>
    <w:rsid w:val="00762A03"/>
    <w:rsid w:val="00764A14"/>
    <w:rsid w:val="00764A19"/>
    <w:rsid w:val="007664BE"/>
    <w:rsid w:val="007700B1"/>
    <w:rsid w:val="00770B61"/>
    <w:rsid w:val="00770E03"/>
    <w:rsid w:val="0077163C"/>
    <w:rsid w:val="00773240"/>
    <w:rsid w:val="007758BC"/>
    <w:rsid w:val="007766E2"/>
    <w:rsid w:val="007771DD"/>
    <w:rsid w:val="00780B38"/>
    <w:rsid w:val="00781BFC"/>
    <w:rsid w:val="00781CDE"/>
    <w:rsid w:val="00781F52"/>
    <w:rsid w:val="007825D9"/>
    <w:rsid w:val="0078317B"/>
    <w:rsid w:val="007847A2"/>
    <w:rsid w:val="0078500B"/>
    <w:rsid w:val="007858F6"/>
    <w:rsid w:val="00785B52"/>
    <w:rsid w:val="00786893"/>
    <w:rsid w:val="00787C63"/>
    <w:rsid w:val="00787CE7"/>
    <w:rsid w:val="00791B33"/>
    <w:rsid w:val="00791EA1"/>
    <w:rsid w:val="00793BB0"/>
    <w:rsid w:val="0079523C"/>
    <w:rsid w:val="007956BD"/>
    <w:rsid w:val="007958BA"/>
    <w:rsid w:val="007963EB"/>
    <w:rsid w:val="00796761"/>
    <w:rsid w:val="007968F0"/>
    <w:rsid w:val="007A0D5F"/>
    <w:rsid w:val="007A1493"/>
    <w:rsid w:val="007A1D9A"/>
    <w:rsid w:val="007A2138"/>
    <w:rsid w:val="007A24A3"/>
    <w:rsid w:val="007A2D95"/>
    <w:rsid w:val="007A2E39"/>
    <w:rsid w:val="007A2E57"/>
    <w:rsid w:val="007A3435"/>
    <w:rsid w:val="007A3967"/>
    <w:rsid w:val="007A3C53"/>
    <w:rsid w:val="007A4632"/>
    <w:rsid w:val="007A4FD7"/>
    <w:rsid w:val="007A5037"/>
    <w:rsid w:val="007A5182"/>
    <w:rsid w:val="007A51FD"/>
    <w:rsid w:val="007A5809"/>
    <w:rsid w:val="007A58DC"/>
    <w:rsid w:val="007A6226"/>
    <w:rsid w:val="007A72C6"/>
    <w:rsid w:val="007A7383"/>
    <w:rsid w:val="007B0DB1"/>
    <w:rsid w:val="007B1192"/>
    <w:rsid w:val="007B1305"/>
    <w:rsid w:val="007B170C"/>
    <w:rsid w:val="007B1E87"/>
    <w:rsid w:val="007B2F5E"/>
    <w:rsid w:val="007B3362"/>
    <w:rsid w:val="007B45A3"/>
    <w:rsid w:val="007B45B1"/>
    <w:rsid w:val="007B4912"/>
    <w:rsid w:val="007B4D11"/>
    <w:rsid w:val="007B4F09"/>
    <w:rsid w:val="007B51BC"/>
    <w:rsid w:val="007B5AC8"/>
    <w:rsid w:val="007B658E"/>
    <w:rsid w:val="007B7216"/>
    <w:rsid w:val="007C01ED"/>
    <w:rsid w:val="007C07F0"/>
    <w:rsid w:val="007C1172"/>
    <w:rsid w:val="007C1ACC"/>
    <w:rsid w:val="007C4694"/>
    <w:rsid w:val="007C6221"/>
    <w:rsid w:val="007C6567"/>
    <w:rsid w:val="007C6AA3"/>
    <w:rsid w:val="007C6B92"/>
    <w:rsid w:val="007C7719"/>
    <w:rsid w:val="007C7931"/>
    <w:rsid w:val="007D011C"/>
    <w:rsid w:val="007D03DC"/>
    <w:rsid w:val="007D0846"/>
    <w:rsid w:val="007D0F06"/>
    <w:rsid w:val="007D1126"/>
    <w:rsid w:val="007D128E"/>
    <w:rsid w:val="007D1322"/>
    <w:rsid w:val="007D1646"/>
    <w:rsid w:val="007D1B56"/>
    <w:rsid w:val="007D1FE3"/>
    <w:rsid w:val="007D2AD5"/>
    <w:rsid w:val="007D2D84"/>
    <w:rsid w:val="007D379D"/>
    <w:rsid w:val="007D3896"/>
    <w:rsid w:val="007D3BC7"/>
    <w:rsid w:val="007D4908"/>
    <w:rsid w:val="007D6AE7"/>
    <w:rsid w:val="007D6CFB"/>
    <w:rsid w:val="007D6DC4"/>
    <w:rsid w:val="007D733E"/>
    <w:rsid w:val="007D78B9"/>
    <w:rsid w:val="007E07CD"/>
    <w:rsid w:val="007E083C"/>
    <w:rsid w:val="007E155B"/>
    <w:rsid w:val="007E1607"/>
    <w:rsid w:val="007E2318"/>
    <w:rsid w:val="007E345F"/>
    <w:rsid w:val="007E394E"/>
    <w:rsid w:val="007E4475"/>
    <w:rsid w:val="007E4DAC"/>
    <w:rsid w:val="007E574B"/>
    <w:rsid w:val="007E5750"/>
    <w:rsid w:val="007E58E8"/>
    <w:rsid w:val="007E6923"/>
    <w:rsid w:val="007E6CCC"/>
    <w:rsid w:val="007E7AE3"/>
    <w:rsid w:val="007E7EB7"/>
    <w:rsid w:val="007F063E"/>
    <w:rsid w:val="007F199D"/>
    <w:rsid w:val="007F1AB7"/>
    <w:rsid w:val="007F29EF"/>
    <w:rsid w:val="007F2C6F"/>
    <w:rsid w:val="007F2F7A"/>
    <w:rsid w:val="007F620E"/>
    <w:rsid w:val="007F6E57"/>
    <w:rsid w:val="007F70DB"/>
    <w:rsid w:val="0080183F"/>
    <w:rsid w:val="008022D4"/>
    <w:rsid w:val="0080236C"/>
    <w:rsid w:val="0080264C"/>
    <w:rsid w:val="0080294C"/>
    <w:rsid w:val="0080297C"/>
    <w:rsid w:val="008059AC"/>
    <w:rsid w:val="00806510"/>
    <w:rsid w:val="008065F4"/>
    <w:rsid w:val="008073C6"/>
    <w:rsid w:val="00807813"/>
    <w:rsid w:val="00807D9B"/>
    <w:rsid w:val="00811638"/>
    <w:rsid w:val="00812745"/>
    <w:rsid w:val="00814AE7"/>
    <w:rsid w:val="00814EA4"/>
    <w:rsid w:val="00815382"/>
    <w:rsid w:val="008172BE"/>
    <w:rsid w:val="0082031D"/>
    <w:rsid w:val="00821341"/>
    <w:rsid w:val="0082256E"/>
    <w:rsid w:val="00823253"/>
    <w:rsid w:val="0082395F"/>
    <w:rsid w:val="00823AB7"/>
    <w:rsid w:val="00823B8C"/>
    <w:rsid w:val="008247FC"/>
    <w:rsid w:val="008264E6"/>
    <w:rsid w:val="00826FCA"/>
    <w:rsid w:val="00830296"/>
    <w:rsid w:val="0083134C"/>
    <w:rsid w:val="008321D0"/>
    <w:rsid w:val="00832643"/>
    <w:rsid w:val="00833B51"/>
    <w:rsid w:val="00835792"/>
    <w:rsid w:val="00836C18"/>
    <w:rsid w:val="008401E8"/>
    <w:rsid w:val="008403EE"/>
    <w:rsid w:val="008405D8"/>
    <w:rsid w:val="00840E92"/>
    <w:rsid w:val="00841251"/>
    <w:rsid w:val="00841793"/>
    <w:rsid w:val="008429BC"/>
    <w:rsid w:val="008435A2"/>
    <w:rsid w:val="00843F33"/>
    <w:rsid w:val="00844611"/>
    <w:rsid w:val="008453D2"/>
    <w:rsid w:val="0084618B"/>
    <w:rsid w:val="0084691F"/>
    <w:rsid w:val="008469B5"/>
    <w:rsid w:val="00846B77"/>
    <w:rsid w:val="0084706D"/>
    <w:rsid w:val="0084714D"/>
    <w:rsid w:val="0085000D"/>
    <w:rsid w:val="0085028F"/>
    <w:rsid w:val="00850390"/>
    <w:rsid w:val="0085075A"/>
    <w:rsid w:val="00850CB8"/>
    <w:rsid w:val="00850F24"/>
    <w:rsid w:val="008512EF"/>
    <w:rsid w:val="0085157F"/>
    <w:rsid w:val="00852D7A"/>
    <w:rsid w:val="008540D9"/>
    <w:rsid w:val="00854CC7"/>
    <w:rsid w:val="00854FD1"/>
    <w:rsid w:val="00855090"/>
    <w:rsid w:val="00855ED4"/>
    <w:rsid w:val="00856B82"/>
    <w:rsid w:val="008574B0"/>
    <w:rsid w:val="00857D21"/>
    <w:rsid w:val="0086391E"/>
    <w:rsid w:val="00863B21"/>
    <w:rsid w:val="00865AD4"/>
    <w:rsid w:val="00865E7D"/>
    <w:rsid w:val="00866576"/>
    <w:rsid w:val="0086683D"/>
    <w:rsid w:val="00866DBB"/>
    <w:rsid w:val="00870508"/>
    <w:rsid w:val="0087127B"/>
    <w:rsid w:val="00871FB8"/>
    <w:rsid w:val="00872A9C"/>
    <w:rsid w:val="00872B5D"/>
    <w:rsid w:val="00872F20"/>
    <w:rsid w:val="0087325E"/>
    <w:rsid w:val="0087383F"/>
    <w:rsid w:val="008749E9"/>
    <w:rsid w:val="00875AE4"/>
    <w:rsid w:val="00877B02"/>
    <w:rsid w:val="008813AB"/>
    <w:rsid w:val="0088158E"/>
    <w:rsid w:val="0088174A"/>
    <w:rsid w:val="00881F7F"/>
    <w:rsid w:val="0088260D"/>
    <w:rsid w:val="008828A9"/>
    <w:rsid w:val="00882E5C"/>
    <w:rsid w:val="00883095"/>
    <w:rsid w:val="008834EC"/>
    <w:rsid w:val="00883834"/>
    <w:rsid w:val="008849DF"/>
    <w:rsid w:val="00884EED"/>
    <w:rsid w:val="0088698E"/>
    <w:rsid w:val="00887714"/>
    <w:rsid w:val="008878E1"/>
    <w:rsid w:val="00887A85"/>
    <w:rsid w:val="00890D91"/>
    <w:rsid w:val="0089240B"/>
    <w:rsid w:val="00894262"/>
    <w:rsid w:val="008954FD"/>
    <w:rsid w:val="0089589A"/>
    <w:rsid w:val="0089611E"/>
    <w:rsid w:val="00896C83"/>
    <w:rsid w:val="00897391"/>
    <w:rsid w:val="008A0617"/>
    <w:rsid w:val="008A1353"/>
    <w:rsid w:val="008A180A"/>
    <w:rsid w:val="008A1953"/>
    <w:rsid w:val="008A25B4"/>
    <w:rsid w:val="008A39A0"/>
    <w:rsid w:val="008A4015"/>
    <w:rsid w:val="008A4BD4"/>
    <w:rsid w:val="008A705A"/>
    <w:rsid w:val="008B07B5"/>
    <w:rsid w:val="008B09D6"/>
    <w:rsid w:val="008B0AAE"/>
    <w:rsid w:val="008B1373"/>
    <w:rsid w:val="008B19D7"/>
    <w:rsid w:val="008B282D"/>
    <w:rsid w:val="008B2BAC"/>
    <w:rsid w:val="008B3FC7"/>
    <w:rsid w:val="008B4482"/>
    <w:rsid w:val="008B46DD"/>
    <w:rsid w:val="008B4E20"/>
    <w:rsid w:val="008B4E7B"/>
    <w:rsid w:val="008B53E7"/>
    <w:rsid w:val="008B5ADA"/>
    <w:rsid w:val="008C0044"/>
    <w:rsid w:val="008C16FA"/>
    <w:rsid w:val="008C2567"/>
    <w:rsid w:val="008C283D"/>
    <w:rsid w:val="008C39E1"/>
    <w:rsid w:val="008C3D25"/>
    <w:rsid w:val="008C42DA"/>
    <w:rsid w:val="008C566A"/>
    <w:rsid w:val="008C56FD"/>
    <w:rsid w:val="008C5A87"/>
    <w:rsid w:val="008C5D23"/>
    <w:rsid w:val="008C6E88"/>
    <w:rsid w:val="008C6F3C"/>
    <w:rsid w:val="008C792F"/>
    <w:rsid w:val="008D042E"/>
    <w:rsid w:val="008D06E6"/>
    <w:rsid w:val="008D1564"/>
    <w:rsid w:val="008D19C5"/>
    <w:rsid w:val="008D20EB"/>
    <w:rsid w:val="008D29E5"/>
    <w:rsid w:val="008D3E93"/>
    <w:rsid w:val="008D4334"/>
    <w:rsid w:val="008D4C67"/>
    <w:rsid w:val="008D4C6B"/>
    <w:rsid w:val="008D55B8"/>
    <w:rsid w:val="008D5971"/>
    <w:rsid w:val="008D663B"/>
    <w:rsid w:val="008D680C"/>
    <w:rsid w:val="008D6AB9"/>
    <w:rsid w:val="008D7868"/>
    <w:rsid w:val="008D7AB6"/>
    <w:rsid w:val="008D7F36"/>
    <w:rsid w:val="008E0151"/>
    <w:rsid w:val="008E098C"/>
    <w:rsid w:val="008E1814"/>
    <w:rsid w:val="008E1E53"/>
    <w:rsid w:val="008E1F00"/>
    <w:rsid w:val="008E2336"/>
    <w:rsid w:val="008E41C3"/>
    <w:rsid w:val="008E4201"/>
    <w:rsid w:val="008E435A"/>
    <w:rsid w:val="008E46AC"/>
    <w:rsid w:val="008E474C"/>
    <w:rsid w:val="008E6EB8"/>
    <w:rsid w:val="008E725C"/>
    <w:rsid w:val="008E7A30"/>
    <w:rsid w:val="008E7D3F"/>
    <w:rsid w:val="008F10BA"/>
    <w:rsid w:val="008F1145"/>
    <w:rsid w:val="008F133D"/>
    <w:rsid w:val="008F1A48"/>
    <w:rsid w:val="008F1BD9"/>
    <w:rsid w:val="008F20DD"/>
    <w:rsid w:val="008F2704"/>
    <w:rsid w:val="008F2984"/>
    <w:rsid w:val="008F4A71"/>
    <w:rsid w:val="008F4DDD"/>
    <w:rsid w:val="008F672B"/>
    <w:rsid w:val="008F7424"/>
    <w:rsid w:val="008F7DA8"/>
    <w:rsid w:val="00900ECE"/>
    <w:rsid w:val="00901A56"/>
    <w:rsid w:val="00901CA4"/>
    <w:rsid w:val="00901D43"/>
    <w:rsid w:val="00901F05"/>
    <w:rsid w:val="00903253"/>
    <w:rsid w:val="0090516D"/>
    <w:rsid w:val="00905287"/>
    <w:rsid w:val="00905876"/>
    <w:rsid w:val="009059B9"/>
    <w:rsid w:val="009065AF"/>
    <w:rsid w:val="00907A21"/>
    <w:rsid w:val="00907F92"/>
    <w:rsid w:val="00910B00"/>
    <w:rsid w:val="00911D6C"/>
    <w:rsid w:val="00912878"/>
    <w:rsid w:val="00912D82"/>
    <w:rsid w:val="0091313F"/>
    <w:rsid w:val="009136A0"/>
    <w:rsid w:val="00913856"/>
    <w:rsid w:val="00913C40"/>
    <w:rsid w:val="00914075"/>
    <w:rsid w:val="00914549"/>
    <w:rsid w:val="009147A0"/>
    <w:rsid w:val="009157C5"/>
    <w:rsid w:val="00915874"/>
    <w:rsid w:val="00916365"/>
    <w:rsid w:val="0091711A"/>
    <w:rsid w:val="00917F77"/>
    <w:rsid w:val="00920F26"/>
    <w:rsid w:val="00921E07"/>
    <w:rsid w:val="00922672"/>
    <w:rsid w:val="0092292E"/>
    <w:rsid w:val="009233DF"/>
    <w:rsid w:val="00924896"/>
    <w:rsid w:val="00924CD3"/>
    <w:rsid w:val="00924D52"/>
    <w:rsid w:val="009250ED"/>
    <w:rsid w:val="009259C2"/>
    <w:rsid w:val="00926765"/>
    <w:rsid w:val="00930C4D"/>
    <w:rsid w:val="00931483"/>
    <w:rsid w:val="009315B2"/>
    <w:rsid w:val="0093186C"/>
    <w:rsid w:val="00931AB6"/>
    <w:rsid w:val="0093204A"/>
    <w:rsid w:val="00932372"/>
    <w:rsid w:val="00932CA6"/>
    <w:rsid w:val="00932E4E"/>
    <w:rsid w:val="00933ACA"/>
    <w:rsid w:val="00934C9B"/>
    <w:rsid w:val="00935598"/>
    <w:rsid w:val="0093623F"/>
    <w:rsid w:val="00936381"/>
    <w:rsid w:val="00937C89"/>
    <w:rsid w:val="00937DFE"/>
    <w:rsid w:val="00940412"/>
    <w:rsid w:val="00940BA2"/>
    <w:rsid w:val="00941839"/>
    <w:rsid w:val="00942F07"/>
    <w:rsid w:val="00943ED5"/>
    <w:rsid w:val="00944C5E"/>
    <w:rsid w:val="0094551C"/>
    <w:rsid w:val="00947E5C"/>
    <w:rsid w:val="00952695"/>
    <w:rsid w:val="009533F2"/>
    <w:rsid w:val="00953462"/>
    <w:rsid w:val="0095464E"/>
    <w:rsid w:val="009555B9"/>
    <w:rsid w:val="0095642D"/>
    <w:rsid w:val="00956821"/>
    <w:rsid w:val="00956FF9"/>
    <w:rsid w:val="00961056"/>
    <w:rsid w:val="00961FAE"/>
    <w:rsid w:val="00962492"/>
    <w:rsid w:val="009625E7"/>
    <w:rsid w:val="009641E4"/>
    <w:rsid w:val="00964824"/>
    <w:rsid w:val="00964B48"/>
    <w:rsid w:val="0096578D"/>
    <w:rsid w:val="00965AFB"/>
    <w:rsid w:val="009660D2"/>
    <w:rsid w:val="009663DF"/>
    <w:rsid w:val="00966CA7"/>
    <w:rsid w:val="009672E6"/>
    <w:rsid w:val="00970A65"/>
    <w:rsid w:val="009711B9"/>
    <w:rsid w:val="00971832"/>
    <w:rsid w:val="00971A64"/>
    <w:rsid w:val="00971A81"/>
    <w:rsid w:val="009728F8"/>
    <w:rsid w:val="00972C11"/>
    <w:rsid w:val="00974103"/>
    <w:rsid w:val="009744BD"/>
    <w:rsid w:val="0097464C"/>
    <w:rsid w:val="009766F4"/>
    <w:rsid w:val="00976BF5"/>
    <w:rsid w:val="00976EC6"/>
    <w:rsid w:val="00977325"/>
    <w:rsid w:val="009804AB"/>
    <w:rsid w:val="0098088A"/>
    <w:rsid w:val="00981FE2"/>
    <w:rsid w:val="00982052"/>
    <w:rsid w:val="0098219E"/>
    <w:rsid w:val="00982410"/>
    <w:rsid w:val="00986786"/>
    <w:rsid w:val="0098686B"/>
    <w:rsid w:val="00987FB5"/>
    <w:rsid w:val="00990BA0"/>
    <w:rsid w:val="0099173E"/>
    <w:rsid w:val="009925DF"/>
    <w:rsid w:val="00994354"/>
    <w:rsid w:val="00994A4D"/>
    <w:rsid w:val="00995851"/>
    <w:rsid w:val="00995D54"/>
    <w:rsid w:val="00995DDA"/>
    <w:rsid w:val="00996897"/>
    <w:rsid w:val="00996B16"/>
    <w:rsid w:val="009977C1"/>
    <w:rsid w:val="00998288"/>
    <w:rsid w:val="009A0D64"/>
    <w:rsid w:val="009A17D8"/>
    <w:rsid w:val="009A4603"/>
    <w:rsid w:val="009A50B1"/>
    <w:rsid w:val="009A5344"/>
    <w:rsid w:val="009A5B76"/>
    <w:rsid w:val="009A5DD7"/>
    <w:rsid w:val="009A695A"/>
    <w:rsid w:val="009A6BCE"/>
    <w:rsid w:val="009A71EF"/>
    <w:rsid w:val="009B11C3"/>
    <w:rsid w:val="009B23BB"/>
    <w:rsid w:val="009B23EE"/>
    <w:rsid w:val="009B2BF7"/>
    <w:rsid w:val="009B3765"/>
    <w:rsid w:val="009B4149"/>
    <w:rsid w:val="009B47D3"/>
    <w:rsid w:val="009B5E43"/>
    <w:rsid w:val="009B6190"/>
    <w:rsid w:val="009B69E2"/>
    <w:rsid w:val="009B6CDF"/>
    <w:rsid w:val="009B6D8C"/>
    <w:rsid w:val="009B76DA"/>
    <w:rsid w:val="009B7CB6"/>
    <w:rsid w:val="009C13E5"/>
    <w:rsid w:val="009C17F5"/>
    <w:rsid w:val="009C272E"/>
    <w:rsid w:val="009C4062"/>
    <w:rsid w:val="009C40AE"/>
    <w:rsid w:val="009C4F84"/>
    <w:rsid w:val="009C5A71"/>
    <w:rsid w:val="009C6C51"/>
    <w:rsid w:val="009C6FB0"/>
    <w:rsid w:val="009C73AF"/>
    <w:rsid w:val="009C73FF"/>
    <w:rsid w:val="009D02A2"/>
    <w:rsid w:val="009D0E19"/>
    <w:rsid w:val="009D0EC1"/>
    <w:rsid w:val="009D15B1"/>
    <w:rsid w:val="009D3283"/>
    <w:rsid w:val="009D3F06"/>
    <w:rsid w:val="009D3FB9"/>
    <w:rsid w:val="009D47C5"/>
    <w:rsid w:val="009D523A"/>
    <w:rsid w:val="009D58E7"/>
    <w:rsid w:val="009D6CA7"/>
    <w:rsid w:val="009D6E59"/>
    <w:rsid w:val="009D7336"/>
    <w:rsid w:val="009D77B8"/>
    <w:rsid w:val="009E045A"/>
    <w:rsid w:val="009E2852"/>
    <w:rsid w:val="009E318D"/>
    <w:rsid w:val="009E4D84"/>
    <w:rsid w:val="009E5586"/>
    <w:rsid w:val="009E67D7"/>
    <w:rsid w:val="009E69BF"/>
    <w:rsid w:val="009E6C29"/>
    <w:rsid w:val="009E715C"/>
    <w:rsid w:val="009E756D"/>
    <w:rsid w:val="009E7C89"/>
    <w:rsid w:val="009F0798"/>
    <w:rsid w:val="009F11EC"/>
    <w:rsid w:val="009F33C2"/>
    <w:rsid w:val="009F37A2"/>
    <w:rsid w:val="009F45A2"/>
    <w:rsid w:val="009F4DCD"/>
    <w:rsid w:val="009F4EFE"/>
    <w:rsid w:val="009F5AC0"/>
    <w:rsid w:val="009F5F13"/>
    <w:rsid w:val="009F6DCD"/>
    <w:rsid w:val="009F779E"/>
    <w:rsid w:val="00A00321"/>
    <w:rsid w:val="00A01047"/>
    <w:rsid w:val="00A047F2"/>
    <w:rsid w:val="00A04CE0"/>
    <w:rsid w:val="00A05C4A"/>
    <w:rsid w:val="00A064A6"/>
    <w:rsid w:val="00A07295"/>
    <w:rsid w:val="00A11C59"/>
    <w:rsid w:val="00A15770"/>
    <w:rsid w:val="00A16D4C"/>
    <w:rsid w:val="00A219A4"/>
    <w:rsid w:val="00A21D8D"/>
    <w:rsid w:val="00A2263A"/>
    <w:rsid w:val="00A2291C"/>
    <w:rsid w:val="00A2294B"/>
    <w:rsid w:val="00A23043"/>
    <w:rsid w:val="00A252AB"/>
    <w:rsid w:val="00A2562B"/>
    <w:rsid w:val="00A25844"/>
    <w:rsid w:val="00A25E1B"/>
    <w:rsid w:val="00A2689A"/>
    <w:rsid w:val="00A26E0C"/>
    <w:rsid w:val="00A270F8"/>
    <w:rsid w:val="00A300B8"/>
    <w:rsid w:val="00A30C7E"/>
    <w:rsid w:val="00A311C2"/>
    <w:rsid w:val="00A343A5"/>
    <w:rsid w:val="00A356CB"/>
    <w:rsid w:val="00A357B2"/>
    <w:rsid w:val="00A36079"/>
    <w:rsid w:val="00A36720"/>
    <w:rsid w:val="00A36A7A"/>
    <w:rsid w:val="00A36E17"/>
    <w:rsid w:val="00A3715B"/>
    <w:rsid w:val="00A40FBE"/>
    <w:rsid w:val="00A41665"/>
    <w:rsid w:val="00A43D07"/>
    <w:rsid w:val="00A44191"/>
    <w:rsid w:val="00A44442"/>
    <w:rsid w:val="00A458CB"/>
    <w:rsid w:val="00A46577"/>
    <w:rsid w:val="00A469D3"/>
    <w:rsid w:val="00A46B9F"/>
    <w:rsid w:val="00A4720B"/>
    <w:rsid w:val="00A544CB"/>
    <w:rsid w:val="00A54AC3"/>
    <w:rsid w:val="00A569DC"/>
    <w:rsid w:val="00A60379"/>
    <w:rsid w:val="00A606CF"/>
    <w:rsid w:val="00A60807"/>
    <w:rsid w:val="00A60ABF"/>
    <w:rsid w:val="00A61EB1"/>
    <w:rsid w:val="00A62717"/>
    <w:rsid w:val="00A63CF1"/>
    <w:rsid w:val="00A64683"/>
    <w:rsid w:val="00A6479D"/>
    <w:rsid w:val="00A64B90"/>
    <w:rsid w:val="00A657F8"/>
    <w:rsid w:val="00A66321"/>
    <w:rsid w:val="00A66515"/>
    <w:rsid w:val="00A66A4E"/>
    <w:rsid w:val="00A7074C"/>
    <w:rsid w:val="00A7087E"/>
    <w:rsid w:val="00A70EF5"/>
    <w:rsid w:val="00A710B6"/>
    <w:rsid w:val="00A74AFC"/>
    <w:rsid w:val="00A750C4"/>
    <w:rsid w:val="00A76C3D"/>
    <w:rsid w:val="00A76F58"/>
    <w:rsid w:val="00A81E86"/>
    <w:rsid w:val="00A83DFE"/>
    <w:rsid w:val="00A83EF6"/>
    <w:rsid w:val="00A841FE"/>
    <w:rsid w:val="00A84596"/>
    <w:rsid w:val="00A84971"/>
    <w:rsid w:val="00A8684E"/>
    <w:rsid w:val="00A87A24"/>
    <w:rsid w:val="00A87FF1"/>
    <w:rsid w:val="00A900BC"/>
    <w:rsid w:val="00A91E6D"/>
    <w:rsid w:val="00A92089"/>
    <w:rsid w:val="00A92BE2"/>
    <w:rsid w:val="00A960CD"/>
    <w:rsid w:val="00A96CD2"/>
    <w:rsid w:val="00A96E93"/>
    <w:rsid w:val="00AA014B"/>
    <w:rsid w:val="00AA0342"/>
    <w:rsid w:val="00AA0FF3"/>
    <w:rsid w:val="00AA1231"/>
    <w:rsid w:val="00AA174B"/>
    <w:rsid w:val="00AA40B1"/>
    <w:rsid w:val="00AA49D7"/>
    <w:rsid w:val="00AA4A33"/>
    <w:rsid w:val="00AA542D"/>
    <w:rsid w:val="00AA5E65"/>
    <w:rsid w:val="00AA795E"/>
    <w:rsid w:val="00AB11A2"/>
    <w:rsid w:val="00AB34B8"/>
    <w:rsid w:val="00AB487F"/>
    <w:rsid w:val="00AB496C"/>
    <w:rsid w:val="00AB5B56"/>
    <w:rsid w:val="00AB6161"/>
    <w:rsid w:val="00AB6336"/>
    <w:rsid w:val="00AB6706"/>
    <w:rsid w:val="00AB7A7E"/>
    <w:rsid w:val="00AB7AB9"/>
    <w:rsid w:val="00AB7DAD"/>
    <w:rsid w:val="00AC0600"/>
    <w:rsid w:val="00AC0CA5"/>
    <w:rsid w:val="00AC1D7D"/>
    <w:rsid w:val="00AC4A73"/>
    <w:rsid w:val="00AC59B1"/>
    <w:rsid w:val="00AC603E"/>
    <w:rsid w:val="00AD01BA"/>
    <w:rsid w:val="00AD042D"/>
    <w:rsid w:val="00AD0EC4"/>
    <w:rsid w:val="00AD11FC"/>
    <w:rsid w:val="00AD1820"/>
    <w:rsid w:val="00AD2206"/>
    <w:rsid w:val="00AD23FE"/>
    <w:rsid w:val="00AD24F3"/>
    <w:rsid w:val="00AD2CBE"/>
    <w:rsid w:val="00AD2E6C"/>
    <w:rsid w:val="00AD3676"/>
    <w:rsid w:val="00AD5974"/>
    <w:rsid w:val="00AD5CF5"/>
    <w:rsid w:val="00AD61D0"/>
    <w:rsid w:val="00AD623A"/>
    <w:rsid w:val="00AD7341"/>
    <w:rsid w:val="00AE0419"/>
    <w:rsid w:val="00AE0F25"/>
    <w:rsid w:val="00AE2270"/>
    <w:rsid w:val="00AE28C7"/>
    <w:rsid w:val="00AE2952"/>
    <w:rsid w:val="00AE3CD5"/>
    <w:rsid w:val="00AE3DBB"/>
    <w:rsid w:val="00AE4A04"/>
    <w:rsid w:val="00AE5A02"/>
    <w:rsid w:val="00AE61FF"/>
    <w:rsid w:val="00AE7D99"/>
    <w:rsid w:val="00AF0545"/>
    <w:rsid w:val="00AF1BD9"/>
    <w:rsid w:val="00AF3ABB"/>
    <w:rsid w:val="00AF3F7F"/>
    <w:rsid w:val="00AF5905"/>
    <w:rsid w:val="00AF5E44"/>
    <w:rsid w:val="00AF5F20"/>
    <w:rsid w:val="00AF5F69"/>
    <w:rsid w:val="00AF6077"/>
    <w:rsid w:val="00AF65A4"/>
    <w:rsid w:val="00AF7247"/>
    <w:rsid w:val="00B000BE"/>
    <w:rsid w:val="00B01117"/>
    <w:rsid w:val="00B01CB5"/>
    <w:rsid w:val="00B023D9"/>
    <w:rsid w:val="00B024A3"/>
    <w:rsid w:val="00B02C9E"/>
    <w:rsid w:val="00B03384"/>
    <w:rsid w:val="00B03964"/>
    <w:rsid w:val="00B04DDB"/>
    <w:rsid w:val="00B04E42"/>
    <w:rsid w:val="00B064AF"/>
    <w:rsid w:val="00B06D91"/>
    <w:rsid w:val="00B07ECE"/>
    <w:rsid w:val="00B11994"/>
    <w:rsid w:val="00B11C13"/>
    <w:rsid w:val="00B11F80"/>
    <w:rsid w:val="00B12BC7"/>
    <w:rsid w:val="00B154CA"/>
    <w:rsid w:val="00B15E9D"/>
    <w:rsid w:val="00B16D5E"/>
    <w:rsid w:val="00B1711C"/>
    <w:rsid w:val="00B176FD"/>
    <w:rsid w:val="00B1779B"/>
    <w:rsid w:val="00B17994"/>
    <w:rsid w:val="00B213BC"/>
    <w:rsid w:val="00B21E40"/>
    <w:rsid w:val="00B22B5C"/>
    <w:rsid w:val="00B236A1"/>
    <w:rsid w:val="00B240B6"/>
    <w:rsid w:val="00B24C5A"/>
    <w:rsid w:val="00B25E63"/>
    <w:rsid w:val="00B261C0"/>
    <w:rsid w:val="00B278F0"/>
    <w:rsid w:val="00B27C6A"/>
    <w:rsid w:val="00B30099"/>
    <w:rsid w:val="00B30F06"/>
    <w:rsid w:val="00B31391"/>
    <w:rsid w:val="00B324C5"/>
    <w:rsid w:val="00B330C8"/>
    <w:rsid w:val="00B331F4"/>
    <w:rsid w:val="00B33BD4"/>
    <w:rsid w:val="00B344BD"/>
    <w:rsid w:val="00B346FB"/>
    <w:rsid w:val="00B35786"/>
    <w:rsid w:val="00B37146"/>
    <w:rsid w:val="00B37460"/>
    <w:rsid w:val="00B40A6C"/>
    <w:rsid w:val="00B40B48"/>
    <w:rsid w:val="00B40DFC"/>
    <w:rsid w:val="00B4178F"/>
    <w:rsid w:val="00B42423"/>
    <w:rsid w:val="00B42939"/>
    <w:rsid w:val="00B430AA"/>
    <w:rsid w:val="00B43A64"/>
    <w:rsid w:val="00B45465"/>
    <w:rsid w:val="00B45B86"/>
    <w:rsid w:val="00B50665"/>
    <w:rsid w:val="00B50867"/>
    <w:rsid w:val="00B518EB"/>
    <w:rsid w:val="00B537F3"/>
    <w:rsid w:val="00B54677"/>
    <w:rsid w:val="00B55FFF"/>
    <w:rsid w:val="00B57DCF"/>
    <w:rsid w:val="00B60292"/>
    <w:rsid w:val="00B6037C"/>
    <w:rsid w:val="00B60EB7"/>
    <w:rsid w:val="00B6351A"/>
    <w:rsid w:val="00B67A6B"/>
    <w:rsid w:val="00B70263"/>
    <w:rsid w:val="00B70D38"/>
    <w:rsid w:val="00B72C2C"/>
    <w:rsid w:val="00B73D4C"/>
    <w:rsid w:val="00B75DB5"/>
    <w:rsid w:val="00B769E6"/>
    <w:rsid w:val="00B7710C"/>
    <w:rsid w:val="00B80400"/>
    <w:rsid w:val="00B82239"/>
    <w:rsid w:val="00B83B64"/>
    <w:rsid w:val="00B84319"/>
    <w:rsid w:val="00B852D5"/>
    <w:rsid w:val="00B855A2"/>
    <w:rsid w:val="00B857F7"/>
    <w:rsid w:val="00B85E34"/>
    <w:rsid w:val="00B86797"/>
    <w:rsid w:val="00B86E7E"/>
    <w:rsid w:val="00B87E32"/>
    <w:rsid w:val="00B90693"/>
    <w:rsid w:val="00B9069A"/>
    <w:rsid w:val="00B90E1D"/>
    <w:rsid w:val="00B9184B"/>
    <w:rsid w:val="00B91A6A"/>
    <w:rsid w:val="00B93DE3"/>
    <w:rsid w:val="00B94055"/>
    <w:rsid w:val="00B941A2"/>
    <w:rsid w:val="00B9456E"/>
    <w:rsid w:val="00B949A7"/>
    <w:rsid w:val="00B94AD1"/>
    <w:rsid w:val="00B95D94"/>
    <w:rsid w:val="00B96762"/>
    <w:rsid w:val="00B973C9"/>
    <w:rsid w:val="00B976B6"/>
    <w:rsid w:val="00B977F3"/>
    <w:rsid w:val="00BA0343"/>
    <w:rsid w:val="00BA0D1A"/>
    <w:rsid w:val="00BA0DDD"/>
    <w:rsid w:val="00BA10E9"/>
    <w:rsid w:val="00BA1248"/>
    <w:rsid w:val="00BA1B74"/>
    <w:rsid w:val="00BA1FB9"/>
    <w:rsid w:val="00BA2125"/>
    <w:rsid w:val="00BA3478"/>
    <w:rsid w:val="00BA36B1"/>
    <w:rsid w:val="00BA48EF"/>
    <w:rsid w:val="00BA4D34"/>
    <w:rsid w:val="00BA512D"/>
    <w:rsid w:val="00BA51D4"/>
    <w:rsid w:val="00BA5B15"/>
    <w:rsid w:val="00BA7780"/>
    <w:rsid w:val="00BA79D9"/>
    <w:rsid w:val="00BB000E"/>
    <w:rsid w:val="00BB076D"/>
    <w:rsid w:val="00BB0AD5"/>
    <w:rsid w:val="00BB0E49"/>
    <w:rsid w:val="00BB29D2"/>
    <w:rsid w:val="00BB2FA1"/>
    <w:rsid w:val="00BB3A4C"/>
    <w:rsid w:val="00BB4F8E"/>
    <w:rsid w:val="00BB5573"/>
    <w:rsid w:val="00BB5649"/>
    <w:rsid w:val="00BB5EDA"/>
    <w:rsid w:val="00BB63BD"/>
    <w:rsid w:val="00BB74AC"/>
    <w:rsid w:val="00BB755E"/>
    <w:rsid w:val="00BC0163"/>
    <w:rsid w:val="00BC21C6"/>
    <w:rsid w:val="00BC2562"/>
    <w:rsid w:val="00BC3468"/>
    <w:rsid w:val="00BC560E"/>
    <w:rsid w:val="00BC5981"/>
    <w:rsid w:val="00BC5EAE"/>
    <w:rsid w:val="00BD058E"/>
    <w:rsid w:val="00BD086A"/>
    <w:rsid w:val="00BD0B9F"/>
    <w:rsid w:val="00BD20BC"/>
    <w:rsid w:val="00BD33C2"/>
    <w:rsid w:val="00BD411C"/>
    <w:rsid w:val="00BD7581"/>
    <w:rsid w:val="00BE15BD"/>
    <w:rsid w:val="00BE18A5"/>
    <w:rsid w:val="00BE2424"/>
    <w:rsid w:val="00BE266D"/>
    <w:rsid w:val="00BE284E"/>
    <w:rsid w:val="00BE326B"/>
    <w:rsid w:val="00BE33C8"/>
    <w:rsid w:val="00BE3C51"/>
    <w:rsid w:val="00BE4804"/>
    <w:rsid w:val="00BE6309"/>
    <w:rsid w:val="00BE6894"/>
    <w:rsid w:val="00BF0B83"/>
    <w:rsid w:val="00BF1CE7"/>
    <w:rsid w:val="00BF21F1"/>
    <w:rsid w:val="00BF284A"/>
    <w:rsid w:val="00BF2885"/>
    <w:rsid w:val="00BF39D4"/>
    <w:rsid w:val="00BF3F82"/>
    <w:rsid w:val="00BF5B09"/>
    <w:rsid w:val="00BF61B7"/>
    <w:rsid w:val="00BF7326"/>
    <w:rsid w:val="00C00E16"/>
    <w:rsid w:val="00C01B00"/>
    <w:rsid w:val="00C02295"/>
    <w:rsid w:val="00C031BA"/>
    <w:rsid w:val="00C03434"/>
    <w:rsid w:val="00C03960"/>
    <w:rsid w:val="00C03BFC"/>
    <w:rsid w:val="00C046EB"/>
    <w:rsid w:val="00C06296"/>
    <w:rsid w:val="00C066F3"/>
    <w:rsid w:val="00C1188F"/>
    <w:rsid w:val="00C11A68"/>
    <w:rsid w:val="00C138B9"/>
    <w:rsid w:val="00C13B6A"/>
    <w:rsid w:val="00C14871"/>
    <w:rsid w:val="00C174B0"/>
    <w:rsid w:val="00C20291"/>
    <w:rsid w:val="00C2090B"/>
    <w:rsid w:val="00C2151E"/>
    <w:rsid w:val="00C21E8F"/>
    <w:rsid w:val="00C2296A"/>
    <w:rsid w:val="00C22C89"/>
    <w:rsid w:val="00C2314B"/>
    <w:rsid w:val="00C23DAE"/>
    <w:rsid w:val="00C247F2"/>
    <w:rsid w:val="00C248C3"/>
    <w:rsid w:val="00C258FB"/>
    <w:rsid w:val="00C25B99"/>
    <w:rsid w:val="00C26393"/>
    <w:rsid w:val="00C2798C"/>
    <w:rsid w:val="00C27EB8"/>
    <w:rsid w:val="00C307BC"/>
    <w:rsid w:val="00C314A5"/>
    <w:rsid w:val="00C322F3"/>
    <w:rsid w:val="00C3254F"/>
    <w:rsid w:val="00C33076"/>
    <w:rsid w:val="00C35C81"/>
    <w:rsid w:val="00C35D28"/>
    <w:rsid w:val="00C36EEB"/>
    <w:rsid w:val="00C413D6"/>
    <w:rsid w:val="00C4142C"/>
    <w:rsid w:val="00C421C2"/>
    <w:rsid w:val="00C42903"/>
    <w:rsid w:val="00C437F8"/>
    <w:rsid w:val="00C44683"/>
    <w:rsid w:val="00C44D41"/>
    <w:rsid w:val="00C450FC"/>
    <w:rsid w:val="00C451D0"/>
    <w:rsid w:val="00C4551F"/>
    <w:rsid w:val="00C45A45"/>
    <w:rsid w:val="00C45B2C"/>
    <w:rsid w:val="00C45D90"/>
    <w:rsid w:val="00C45F40"/>
    <w:rsid w:val="00C46DC5"/>
    <w:rsid w:val="00C47A9D"/>
    <w:rsid w:val="00C47B8B"/>
    <w:rsid w:val="00C4B9A2"/>
    <w:rsid w:val="00C50508"/>
    <w:rsid w:val="00C50D4A"/>
    <w:rsid w:val="00C51094"/>
    <w:rsid w:val="00C52248"/>
    <w:rsid w:val="00C5279A"/>
    <w:rsid w:val="00C536C6"/>
    <w:rsid w:val="00C55D6A"/>
    <w:rsid w:val="00C5662D"/>
    <w:rsid w:val="00C575DD"/>
    <w:rsid w:val="00C57940"/>
    <w:rsid w:val="00C6037F"/>
    <w:rsid w:val="00C622A4"/>
    <w:rsid w:val="00C62485"/>
    <w:rsid w:val="00C62874"/>
    <w:rsid w:val="00C62A6D"/>
    <w:rsid w:val="00C63C9A"/>
    <w:rsid w:val="00C6450B"/>
    <w:rsid w:val="00C64E0F"/>
    <w:rsid w:val="00C65E03"/>
    <w:rsid w:val="00C66574"/>
    <w:rsid w:val="00C673DB"/>
    <w:rsid w:val="00C70086"/>
    <w:rsid w:val="00C70841"/>
    <w:rsid w:val="00C70A71"/>
    <w:rsid w:val="00C70A88"/>
    <w:rsid w:val="00C7140B"/>
    <w:rsid w:val="00C714FE"/>
    <w:rsid w:val="00C72D32"/>
    <w:rsid w:val="00C7488A"/>
    <w:rsid w:val="00C749D7"/>
    <w:rsid w:val="00C75889"/>
    <w:rsid w:val="00C77B51"/>
    <w:rsid w:val="00C80948"/>
    <w:rsid w:val="00C815F5"/>
    <w:rsid w:val="00C819E2"/>
    <w:rsid w:val="00C81C15"/>
    <w:rsid w:val="00C81CE4"/>
    <w:rsid w:val="00C82F47"/>
    <w:rsid w:val="00C83353"/>
    <w:rsid w:val="00C84C55"/>
    <w:rsid w:val="00C84DB0"/>
    <w:rsid w:val="00C84F97"/>
    <w:rsid w:val="00C85196"/>
    <w:rsid w:val="00C86798"/>
    <w:rsid w:val="00C876E1"/>
    <w:rsid w:val="00C90FA2"/>
    <w:rsid w:val="00C9112B"/>
    <w:rsid w:val="00C91F43"/>
    <w:rsid w:val="00C9366F"/>
    <w:rsid w:val="00C94B60"/>
    <w:rsid w:val="00C95148"/>
    <w:rsid w:val="00C95593"/>
    <w:rsid w:val="00C96571"/>
    <w:rsid w:val="00C96838"/>
    <w:rsid w:val="00C96C10"/>
    <w:rsid w:val="00C971DE"/>
    <w:rsid w:val="00C976D0"/>
    <w:rsid w:val="00CA1FFC"/>
    <w:rsid w:val="00CA30A7"/>
    <w:rsid w:val="00CA313A"/>
    <w:rsid w:val="00CA313C"/>
    <w:rsid w:val="00CA40EF"/>
    <w:rsid w:val="00CA4AD3"/>
    <w:rsid w:val="00CA50DD"/>
    <w:rsid w:val="00CA5B43"/>
    <w:rsid w:val="00CA6471"/>
    <w:rsid w:val="00CA73BC"/>
    <w:rsid w:val="00CA7F45"/>
    <w:rsid w:val="00CB0699"/>
    <w:rsid w:val="00CB1288"/>
    <w:rsid w:val="00CB1457"/>
    <w:rsid w:val="00CB1511"/>
    <w:rsid w:val="00CB17AC"/>
    <w:rsid w:val="00CB1CB6"/>
    <w:rsid w:val="00CB207F"/>
    <w:rsid w:val="00CB21F5"/>
    <w:rsid w:val="00CB3552"/>
    <w:rsid w:val="00CB357F"/>
    <w:rsid w:val="00CB3CB1"/>
    <w:rsid w:val="00CB3D74"/>
    <w:rsid w:val="00CB3F7D"/>
    <w:rsid w:val="00CB4AFD"/>
    <w:rsid w:val="00CB5665"/>
    <w:rsid w:val="00CB5955"/>
    <w:rsid w:val="00CB643D"/>
    <w:rsid w:val="00CB77C1"/>
    <w:rsid w:val="00CC100D"/>
    <w:rsid w:val="00CC1B89"/>
    <w:rsid w:val="00CC1E97"/>
    <w:rsid w:val="00CC201E"/>
    <w:rsid w:val="00CC23C3"/>
    <w:rsid w:val="00CC2B56"/>
    <w:rsid w:val="00CC33CA"/>
    <w:rsid w:val="00CC44D6"/>
    <w:rsid w:val="00CC6431"/>
    <w:rsid w:val="00CC6A29"/>
    <w:rsid w:val="00CD0629"/>
    <w:rsid w:val="00CD0D49"/>
    <w:rsid w:val="00CD1038"/>
    <w:rsid w:val="00CD148B"/>
    <w:rsid w:val="00CD3018"/>
    <w:rsid w:val="00CD30C4"/>
    <w:rsid w:val="00CD3139"/>
    <w:rsid w:val="00CD31DF"/>
    <w:rsid w:val="00CD3542"/>
    <w:rsid w:val="00CD36C2"/>
    <w:rsid w:val="00CD3849"/>
    <w:rsid w:val="00CD388C"/>
    <w:rsid w:val="00CD4D36"/>
    <w:rsid w:val="00CD50CC"/>
    <w:rsid w:val="00CD5AF5"/>
    <w:rsid w:val="00CE2B09"/>
    <w:rsid w:val="00CE347E"/>
    <w:rsid w:val="00CE4593"/>
    <w:rsid w:val="00CE55BF"/>
    <w:rsid w:val="00CE614C"/>
    <w:rsid w:val="00CE69C0"/>
    <w:rsid w:val="00CE75A1"/>
    <w:rsid w:val="00CF095A"/>
    <w:rsid w:val="00CF0C37"/>
    <w:rsid w:val="00CF0EC4"/>
    <w:rsid w:val="00CF2258"/>
    <w:rsid w:val="00CF2AA3"/>
    <w:rsid w:val="00CF2F46"/>
    <w:rsid w:val="00CF409D"/>
    <w:rsid w:val="00CF429F"/>
    <w:rsid w:val="00CF4BAB"/>
    <w:rsid w:val="00CF51A7"/>
    <w:rsid w:val="00CF55EF"/>
    <w:rsid w:val="00CF689E"/>
    <w:rsid w:val="00CF6E72"/>
    <w:rsid w:val="00CF75EC"/>
    <w:rsid w:val="00CF773F"/>
    <w:rsid w:val="00CF7C68"/>
    <w:rsid w:val="00D00FE7"/>
    <w:rsid w:val="00D01709"/>
    <w:rsid w:val="00D017D7"/>
    <w:rsid w:val="00D01854"/>
    <w:rsid w:val="00D01A5F"/>
    <w:rsid w:val="00D01C45"/>
    <w:rsid w:val="00D02468"/>
    <w:rsid w:val="00D03F22"/>
    <w:rsid w:val="00D0421B"/>
    <w:rsid w:val="00D04860"/>
    <w:rsid w:val="00D04B5A"/>
    <w:rsid w:val="00D05BD4"/>
    <w:rsid w:val="00D05F2B"/>
    <w:rsid w:val="00D07C77"/>
    <w:rsid w:val="00D10DAB"/>
    <w:rsid w:val="00D12F4A"/>
    <w:rsid w:val="00D13A18"/>
    <w:rsid w:val="00D154AE"/>
    <w:rsid w:val="00D15738"/>
    <w:rsid w:val="00D15E8A"/>
    <w:rsid w:val="00D16F9A"/>
    <w:rsid w:val="00D170E4"/>
    <w:rsid w:val="00D17340"/>
    <w:rsid w:val="00D17B35"/>
    <w:rsid w:val="00D17BAD"/>
    <w:rsid w:val="00D2012C"/>
    <w:rsid w:val="00D20516"/>
    <w:rsid w:val="00D206F1"/>
    <w:rsid w:val="00D214CD"/>
    <w:rsid w:val="00D22C21"/>
    <w:rsid w:val="00D23710"/>
    <w:rsid w:val="00D26BE9"/>
    <w:rsid w:val="00D271FE"/>
    <w:rsid w:val="00D272F2"/>
    <w:rsid w:val="00D27BAA"/>
    <w:rsid w:val="00D3011C"/>
    <w:rsid w:val="00D30B3D"/>
    <w:rsid w:val="00D30C0D"/>
    <w:rsid w:val="00D318F5"/>
    <w:rsid w:val="00D3206B"/>
    <w:rsid w:val="00D320CD"/>
    <w:rsid w:val="00D320D4"/>
    <w:rsid w:val="00D322E6"/>
    <w:rsid w:val="00D32578"/>
    <w:rsid w:val="00D32D01"/>
    <w:rsid w:val="00D32FD4"/>
    <w:rsid w:val="00D33753"/>
    <w:rsid w:val="00D3411D"/>
    <w:rsid w:val="00D341CD"/>
    <w:rsid w:val="00D345F6"/>
    <w:rsid w:val="00D3518A"/>
    <w:rsid w:val="00D35AEB"/>
    <w:rsid w:val="00D35CA0"/>
    <w:rsid w:val="00D35FA2"/>
    <w:rsid w:val="00D36A2A"/>
    <w:rsid w:val="00D379DB"/>
    <w:rsid w:val="00D37BF1"/>
    <w:rsid w:val="00D37BFB"/>
    <w:rsid w:val="00D407C4"/>
    <w:rsid w:val="00D41123"/>
    <w:rsid w:val="00D426AD"/>
    <w:rsid w:val="00D44594"/>
    <w:rsid w:val="00D44A26"/>
    <w:rsid w:val="00D456C6"/>
    <w:rsid w:val="00D46CC5"/>
    <w:rsid w:val="00D50DC3"/>
    <w:rsid w:val="00D52838"/>
    <w:rsid w:val="00D5346E"/>
    <w:rsid w:val="00D541E7"/>
    <w:rsid w:val="00D55EFB"/>
    <w:rsid w:val="00D56725"/>
    <w:rsid w:val="00D60BC3"/>
    <w:rsid w:val="00D61C7B"/>
    <w:rsid w:val="00D66133"/>
    <w:rsid w:val="00D6767D"/>
    <w:rsid w:val="00D67945"/>
    <w:rsid w:val="00D711DC"/>
    <w:rsid w:val="00D7133D"/>
    <w:rsid w:val="00D71B98"/>
    <w:rsid w:val="00D7273E"/>
    <w:rsid w:val="00D73587"/>
    <w:rsid w:val="00D73AE5"/>
    <w:rsid w:val="00D73D33"/>
    <w:rsid w:val="00D8424D"/>
    <w:rsid w:val="00D84347"/>
    <w:rsid w:val="00D849EE"/>
    <w:rsid w:val="00D8529D"/>
    <w:rsid w:val="00D854D7"/>
    <w:rsid w:val="00D85D58"/>
    <w:rsid w:val="00D864BC"/>
    <w:rsid w:val="00D8659F"/>
    <w:rsid w:val="00D86D20"/>
    <w:rsid w:val="00D87B93"/>
    <w:rsid w:val="00D90DB0"/>
    <w:rsid w:val="00D90E65"/>
    <w:rsid w:val="00D93D98"/>
    <w:rsid w:val="00D94260"/>
    <w:rsid w:val="00D9439C"/>
    <w:rsid w:val="00D943E8"/>
    <w:rsid w:val="00D95CE2"/>
    <w:rsid w:val="00D95E86"/>
    <w:rsid w:val="00D97647"/>
    <w:rsid w:val="00D97EEF"/>
    <w:rsid w:val="00DA37FA"/>
    <w:rsid w:val="00DA3C91"/>
    <w:rsid w:val="00DA4601"/>
    <w:rsid w:val="00DA4918"/>
    <w:rsid w:val="00DA4E74"/>
    <w:rsid w:val="00DA6CF8"/>
    <w:rsid w:val="00DA6D54"/>
    <w:rsid w:val="00DB0447"/>
    <w:rsid w:val="00DB079A"/>
    <w:rsid w:val="00DB0CFD"/>
    <w:rsid w:val="00DB1196"/>
    <w:rsid w:val="00DB2324"/>
    <w:rsid w:val="00DB23D6"/>
    <w:rsid w:val="00DB40AF"/>
    <w:rsid w:val="00DB479F"/>
    <w:rsid w:val="00DB5325"/>
    <w:rsid w:val="00DB5406"/>
    <w:rsid w:val="00DB559B"/>
    <w:rsid w:val="00DB62C4"/>
    <w:rsid w:val="00DB7515"/>
    <w:rsid w:val="00DB76BD"/>
    <w:rsid w:val="00DC021F"/>
    <w:rsid w:val="00DC02C5"/>
    <w:rsid w:val="00DC0518"/>
    <w:rsid w:val="00DC0CF9"/>
    <w:rsid w:val="00DC0DEB"/>
    <w:rsid w:val="00DC1996"/>
    <w:rsid w:val="00DC1F96"/>
    <w:rsid w:val="00DC2044"/>
    <w:rsid w:val="00DC363C"/>
    <w:rsid w:val="00DC3979"/>
    <w:rsid w:val="00DC5669"/>
    <w:rsid w:val="00DC57DB"/>
    <w:rsid w:val="00DC5C6B"/>
    <w:rsid w:val="00DC6529"/>
    <w:rsid w:val="00DD1533"/>
    <w:rsid w:val="00DD16F7"/>
    <w:rsid w:val="00DD2ADB"/>
    <w:rsid w:val="00DD2DFA"/>
    <w:rsid w:val="00DD316E"/>
    <w:rsid w:val="00DD41AB"/>
    <w:rsid w:val="00DD54EC"/>
    <w:rsid w:val="00DD62CD"/>
    <w:rsid w:val="00DD7A5B"/>
    <w:rsid w:val="00DE061D"/>
    <w:rsid w:val="00DE1160"/>
    <w:rsid w:val="00DE1190"/>
    <w:rsid w:val="00DE222B"/>
    <w:rsid w:val="00DE3137"/>
    <w:rsid w:val="00DE38D3"/>
    <w:rsid w:val="00DE3C94"/>
    <w:rsid w:val="00DE3EF8"/>
    <w:rsid w:val="00DE4BDB"/>
    <w:rsid w:val="00DE4FC5"/>
    <w:rsid w:val="00DE51D7"/>
    <w:rsid w:val="00DE567D"/>
    <w:rsid w:val="00DE5B9C"/>
    <w:rsid w:val="00DE5CB7"/>
    <w:rsid w:val="00DE5FFB"/>
    <w:rsid w:val="00DF0AC5"/>
    <w:rsid w:val="00DF1078"/>
    <w:rsid w:val="00DF17BD"/>
    <w:rsid w:val="00DF221B"/>
    <w:rsid w:val="00DF2B25"/>
    <w:rsid w:val="00DF3079"/>
    <w:rsid w:val="00DF3111"/>
    <w:rsid w:val="00DF32B1"/>
    <w:rsid w:val="00DF3A91"/>
    <w:rsid w:val="00DF427E"/>
    <w:rsid w:val="00DF4330"/>
    <w:rsid w:val="00DF492C"/>
    <w:rsid w:val="00DF4C2E"/>
    <w:rsid w:val="00DF4F75"/>
    <w:rsid w:val="00DF683E"/>
    <w:rsid w:val="00DF7006"/>
    <w:rsid w:val="00DF7791"/>
    <w:rsid w:val="00E00508"/>
    <w:rsid w:val="00E00692"/>
    <w:rsid w:val="00E00FB5"/>
    <w:rsid w:val="00E019A0"/>
    <w:rsid w:val="00E01F32"/>
    <w:rsid w:val="00E03890"/>
    <w:rsid w:val="00E03DB4"/>
    <w:rsid w:val="00E0692E"/>
    <w:rsid w:val="00E077D8"/>
    <w:rsid w:val="00E12854"/>
    <w:rsid w:val="00E1340C"/>
    <w:rsid w:val="00E13A86"/>
    <w:rsid w:val="00E141D5"/>
    <w:rsid w:val="00E15AD4"/>
    <w:rsid w:val="00E15B35"/>
    <w:rsid w:val="00E16443"/>
    <w:rsid w:val="00E172B4"/>
    <w:rsid w:val="00E175AA"/>
    <w:rsid w:val="00E202FA"/>
    <w:rsid w:val="00E218CA"/>
    <w:rsid w:val="00E21BF9"/>
    <w:rsid w:val="00E23370"/>
    <w:rsid w:val="00E2458E"/>
    <w:rsid w:val="00E24C1E"/>
    <w:rsid w:val="00E24E2A"/>
    <w:rsid w:val="00E2508D"/>
    <w:rsid w:val="00E253D5"/>
    <w:rsid w:val="00E25645"/>
    <w:rsid w:val="00E2586D"/>
    <w:rsid w:val="00E273FD"/>
    <w:rsid w:val="00E31AD8"/>
    <w:rsid w:val="00E3272B"/>
    <w:rsid w:val="00E33E9F"/>
    <w:rsid w:val="00E34386"/>
    <w:rsid w:val="00E34A8F"/>
    <w:rsid w:val="00E34DDC"/>
    <w:rsid w:val="00E34F87"/>
    <w:rsid w:val="00E35B5F"/>
    <w:rsid w:val="00E360B7"/>
    <w:rsid w:val="00E36BAF"/>
    <w:rsid w:val="00E40291"/>
    <w:rsid w:val="00E4054A"/>
    <w:rsid w:val="00E40793"/>
    <w:rsid w:val="00E4096D"/>
    <w:rsid w:val="00E41FF2"/>
    <w:rsid w:val="00E42570"/>
    <w:rsid w:val="00E437ED"/>
    <w:rsid w:val="00E43F31"/>
    <w:rsid w:val="00E4482D"/>
    <w:rsid w:val="00E463A9"/>
    <w:rsid w:val="00E47B17"/>
    <w:rsid w:val="00E50C9B"/>
    <w:rsid w:val="00E512E7"/>
    <w:rsid w:val="00E51464"/>
    <w:rsid w:val="00E525C7"/>
    <w:rsid w:val="00E539FE"/>
    <w:rsid w:val="00E54502"/>
    <w:rsid w:val="00E54E5B"/>
    <w:rsid w:val="00E55240"/>
    <w:rsid w:val="00E56080"/>
    <w:rsid w:val="00E56206"/>
    <w:rsid w:val="00E57389"/>
    <w:rsid w:val="00E57A14"/>
    <w:rsid w:val="00E6044B"/>
    <w:rsid w:val="00E60F29"/>
    <w:rsid w:val="00E627AB"/>
    <w:rsid w:val="00E62B4C"/>
    <w:rsid w:val="00E6337E"/>
    <w:rsid w:val="00E63A33"/>
    <w:rsid w:val="00E63FA5"/>
    <w:rsid w:val="00E64671"/>
    <w:rsid w:val="00E64A33"/>
    <w:rsid w:val="00E6553F"/>
    <w:rsid w:val="00E655FB"/>
    <w:rsid w:val="00E661C9"/>
    <w:rsid w:val="00E670E7"/>
    <w:rsid w:val="00E67AF8"/>
    <w:rsid w:val="00E67AF9"/>
    <w:rsid w:val="00E67CA9"/>
    <w:rsid w:val="00E703A0"/>
    <w:rsid w:val="00E7186C"/>
    <w:rsid w:val="00E71E38"/>
    <w:rsid w:val="00E71EDC"/>
    <w:rsid w:val="00E73104"/>
    <w:rsid w:val="00E742E4"/>
    <w:rsid w:val="00E74F8A"/>
    <w:rsid w:val="00E752A3"/>
    <w:rsid w:val="00E768C0"/>
    <w:rsid w:val="00E76A56"/>
    <w:rsid w:val="00E77099"/>
    <w:rsid w:val="00E7787B"/>
    <w:rsid w:val="00E77B06"/>
    <w:rsid w:val="00E77EEF"/>
    <w:rsid w:val="00E81127"/>
    <w:rsid w:val="00E81DAA"/>
    <w:rsid w:val="00E836F5"/>
    <w:rsid w:val="00E839A7"/>
    <w:rsid w:val="00E8412C"/>
    <w:rsid w:val="00E8462E"/>
    <w:rsid w:val="00E84A71"/>
    <w:rsid w:val="00E8510E"/>
    <w:rsid w:val="00E85839"/>
    <w:rsid w:val="00E85F06"/>
    <w:rsid w:val="00E86C5D"/>
    <w:rsid w:val="00E86E56"/>
    <w:rsid w:val="00E870E1"/>
    <w:rsid w:val="00E87196"/>
    <w:rsid w:val="00E8757B"/>
    <w:rsid w:val="00E877DB"/>
    <w:rsid w:val="00E91A71"/>
    <w:rsid w:val="00E91B55"/>
    <w:rsid w:val="00E91B95"/>
    <w:rsid w:val="00E923D1"/>
    <w:rsid w:val="00E93692"/>
    <w:rsid w:val="00E947C8"/>
    <w:rsid w:val="00E96248"/>
    <w:rsid w:val="00E96B7C"/>
    <w:rsid w:val="00E96DB1"/>
    <w:rsid w:val="00E97327"/>
    <w:rsid w:val="00E97688"/>
    <w:rsid w:val="00EA0518"/>
    <w:rsid w:val="00EA178B"/>
    <w:rsid w:val="00EA1F34"/>
    <w:rsid w:val="00EA24BB"/>
    <w:rsid w:val="00EA2F43"/>
    <w:rsid w:val="00EA3157"/>
    <w:rsid w:val="00EA35EB"/>
    <w:rsid w:val="00EA3C68"/>
    <w:rsid w:val="00EA57F4"/>
    <w:rsid w:val="00EA6703"/>
    <w:rsid w:val="00EA7592"/>
    <w:rsid w:val="00EB05A1"/>
    <w:rsid w:val="00EB05BB"/>
    <w:rsid w:val="00EB06A7"/>
    <w:rsid w:val="00EB159F"/>
    <w:rsid w:val="00EB175C"/>
    <w:rsid w:val="00EB3219"/>
    <w:rsid w:val="00EB32C5"/>
    <w:rsid w:val="00EB35F9"/>
    <w:rsid w:val="00EB4677"/>
    <w:rsid w:val="00EB5038"/>
    <w:rsid w:val="00EB61AF"/>
    <w:rsid w:val="00EB6C0E"/>
    <w:rsid w:val="00EB7A57"/>
    <w:rsid w:val="00EB7B14"/>
    <w:rsid w:val="00EB7C14"/>
    <w:rsid w:val="00EC186D"/>
    <w:rsid w:val="00EC1999"/>
    <w:rsid w:val="00EC1B76"/>
    <w:rsid w:val="00EC1C6D"/>
    <w:rsid w:val="00EC1F80"/>
    <w:rsid w:val="00EC2325"/>
    <w:rsid w:val="00EC35E3"/>
    <w:rsid w:val="00EC4A25"/>
    <w:rsid w:val="00EC4E5B"/>
    <w:rsid w:val="00EC5CDE"/>
    <w:rsid w:val="00EC634A"/>
    <w:rsid w:val="00EC63BA"/>
    <w:rsid w:val="00EC6AB7"/>
    <w:rsid w:val="00EC745C"/>
    <w:rsid w:val="00EC7BBA"/>
    <w:rsid w:val="00ED0F9C"/>
    <w:rsid w:val="00ED1717"/>
    <w:rsid w:val="00ED2759"/>
    <w:rsid w:val="00ED29A6"/>
    <w:rsid w:val="00ED3D50"/>
    <w:rsid w:val="00ED5185"/>
    <w:rsid w:val="00ED5AEE"/>
    <w:rsid w:val="00ED6041"/>
    <w:rsid w:val="00ED77B1"/>
    <w:rsid w:val="00EE11F8"/>
    <w:rsid w:val="00EE33B1"/>
    <w:rsid w:val="00EE3C1D"/>
    <w:rsid w:val="00EE55D9"/>
    <w:rsid w:val="00EE617A"/>
    <w:rsid w:val="00EE7A1D"/>
    <w:rsid w:val="00EF003C"/>
    <w:rsid w:val="00EF0244"/>
    <w:rsid w:val="00EF0DFC"/>
    <w:rsid w:val="00EF1146"/>
    <w:rsid w:val="00EF14AC"/>
    <w:rsid w:val="00EF1B7C"/>
    <w:rsid w:val="00EF2082"/>
    <w:rsid w:val="00EF3159"/>
    <w:rsid w:val="00EF3FC8"/>
    <w:rsid w:val="00EF47A9"/>
    <w:rsid w:val="00EF52E5"/>
    <w:rsid w:val="00EF5DFF"/>
    <w:rsid w:val="00EF65AD"/>
    <w:rsid w:val="00EF69A5"/>
    <w:rsid w:val="00EF6A4C"/>
    <w:rsid w:val="00EF6B9D"/>
    <w:rsid w:val="00EF711F"/>
    <w:rsid w:val="00EF786D"/>
    <w:rsid w:val="00EF7A02"/>
    <w:rsid w:val="00F01355"/>
    <w:rsid w:val="00F01C78"/>
    <w:rsid w:val="00F02812"/>
    <w:rsid w:val="00F03584"/>
    <w:rsid w:val="00F04524"/>
    <w:rsid w:val="00F0490D"/>
    <w:rsid w:val="00F061D1"/>
    <w:rsid w:val="00F06579"/>
    <w:rsid w:val="00F06B7F"/>
    <w:rsid w:val="00F07599"/>
    <w:rsid w:val="00F1029B"/>
    <w:rsid w:val="00F12333"/>
    <w:rsid w:val="00F13B85"/>
    <w:rsid w:val="00F14FDC"/>
    <w:rsid w:val="00F152B4"/>
    <w:rsid w:val="00F16715"/>
    <w:rsid w:val="00F16AEA"/>
    <w:rsid w:val="00F1739C"/>
    <w:rsid w:val="00F173AF"/>
    <w:rsid w:val="00F175A3"/>
    <w:rsid w:val="00F17FBE"/>
    <w:rsid w:val="00F20CD6"/>
    <w:rsid w:val="00F20F8C"/>
    <w:rsid w:val="00F220AC"/>
    <w:rsid w:val="00F22472"/>
    <w:rsid w:val="00F225DC"/>
    <w:rsid w:val="00F22AC1"/>
    <w:rsid w:val="00F2315C"/>
    <w:rsid w:val="00F26379"/>
    <w:rsid w:val="00F2675A"/>
    <w:rsid w:val="00F27E96"/>
    <w:rsid w:val="00F318E2"/>
    <w:rsid w:val="00F318F6"/>
    <w:rsid w:val="00F31F09"/>
    <w:rsid w:val="00F326A0"/>
    <w:rsid w:val="00F34A02"/>
    <w:rsid w:val="00F35309"/>
    <w:rsid w:val="00F35633"/>
    <w:rsid w:val="00F35644"/>
    <w:rsid w:val="00F35670"/>
    <w:rsid w:val="00F35F49"/>
    <w:rsid w:val="00F3608B"/>
    <w:rsid w:val="00F36A1F"/>
    <w:rsid w:val="00F36E45"/>
    <w:rsid w:val="00F36F8F"/>
    <w:rsid w:val="00F37A4E"/>
    <w:rsid w:val="00F4051B"/>
    <w:rsid w:val="00F40A7A"/>
    <w:rsid w:val="00F417A6"/>
    <w:rsid w:val="00F42D3E"/>
    <w:rsid w:val="00F43593"/>
    <w:rsid w:val="00F43F94"/>
    <w:rsid w:val="00F44272"/>
    <w:rsid w:val="00F4490D"/>
    <w:rsid w:val="00F45B96"/>
    <w:rsid w:val="00F46C42"/>
    <w:rsid w:val="00F474BA"/>
    <w:rsid w:val="00F47B20"/>
    <w:rsid w:val="00F47E15"/>
    <w:rsid w:val="00F506EA"/>
    <w:rsid w:val="00F50938"/>
    <w:rsid w:val="00F5109B"/>
    <w:rsid w:val="00F51A46"/>
    <w:rsid w:val="00F51C55"/>
    <w:rsid w:val="00F52101"/>
    <w:rsid w:val="00F54EEA"/>
    <w:rsid w:val="00F553C3"/>
    <w:rsid w:val="00F567E2"/>
    <w:rsid w:val="00F6030C"/>
    <w:rsid w:val="00F604BC"/>
    <w:rsid w:val="00F6063A"/>
    <w:rsid w:val="00F60738"/>
    <w:rsid w:val="00F60B3E"/>
    <w:rsid w:val="00F61119"/>
    <w:rsid w:val="00F61242"/>
    <w:rsid w:val="00F6124E"/>
    <w:rsid w:val="00F6141D"/>
    <w:rsid w:val="00F62404"/>
    <w:rsid w:val="00F6274E"/>
    <w:rsid w:val="00F63A81"/>
    <w:rsid w:val="00F63B73"/>
    <w:rsid w:val="00F644ED"/>
    <w:rsid w:val="00F64AE8"/>
    <w:rsid w:val="00F64B49"/>
    <w:rsid w:val="00F6600B"/>
    <w:rsid w:val="00F663F2"/>
    <w:rsid w:val="00F66C1B"/>
    <w:rsid w:val="00F670F7"/>
    <w:rsid w:val="00F67D97"/>
    <w:rsid w:val="00F70118"/>
    <w:rsid w:val="00F707EE"/>
    <w:rsid w:val="00F71C61"/>
    <w:rsid w:val="00F734A2"/>
    <w:rsid w:val="00F74278"/>
    <w:rsid w:val="00F746C3"/>
    <w:rsid w:val="00F756FE"/>
    <w:rsid w:val="00F7609A"/>
    <w:rsid w:val="00F770B2"/>
    <w:rsid w:val="00F77A86"/>
    <w:rsid w:val="00F80A85"/>
    <w:rsid w:val="00F81C42"/>
    <w:rsid w:val="00F8303E"/>
    <w:rsid w:val="00F832E7"/>
    <w:rsid w:val="00F843A2"/>
    <w:rsid w:val="00F85145"/>
    <w:rsid w:val="00F85583"/>
    <w:rsid w:val="00F86005"/>
    <w:rsid w:val="00F86F24"/>
    <w:rsid w:val="00F87187"/>
    <w:rsid w:val="00F87400"/>
    <w:rsid w:val="00F87508"/>
    <w:rsid w:val="00F87637"/>
    <w:rsid w:val="00F878AA"/>
    <w:rsid w:val="00F87B84"/>
    <w:rsid w:val="00F9037F"/>
    <w:rsid w:val="00F9059A"/>
    <w:rsid w:val="00F906FB"/>
    <w:rsid w:val="00F90DB1"/>
    <w:rsid w:val="00F91533"/>
    <w:rsid w:val="00F92064"/>
    <w:rsid w:val="00F9218C"/>
    <w:rsid w:val="00F92450"/>
    <w:rsid w:val="00F93433"/>
    <w:rsid w:val="00F93A13"/>
    <w:rsid w:val="00F93F17"/>
    <w:rsid w:val="00F94C94"/>
    <w:rsid w:val="00F957AF"/>
    <w:rsid w:val="00FA03B3"/>
    <w:rsid w:val="00FA15B5"/>
    <w:rsid w:val="00FA18D4"/>
    <w:rsid w:val="00FA1BE3"/>
    <w:rsid w:val="00FA25C3"/>
    <w:rsid w:val="00FA291F"/>
    <w:rsid w:val="00FA334E"/>
    <w:rsid w:val="00FA386C"/>
    <w:rsid w:val="00FA4FA9"/>
    <w:rsid w:val="00FA5134"/>
    <w:rsid w:val="00FA668C"/>
    <w:rsid w:val="00FA73CD"/>
    <w:rsid w:val="00FA7514"/>
    <w:rsid w:val="00FA7F2C"/>
    <w:rsid w:val="00FB0170"/>
    <w:rsid w:val="00FB0194"/>
    <w:rsid w:val="00FB0524"/>
    <w:rsid w:val="00FB0C5C"/>
    <w:rsid w:val="00FB1A01"/>
    <w:rsid w:val="00FB1E52"/>
    <w:rsid w:val="00FB2B88"/>
    <w:rsid w:val="00FB3801"/>
    <w:rsid w:val="00FB43C7"/>
    <w:rsid w:val="00FB57E0"/>
    <w:rsid w:val="00FB6631"/>
    <w:rsid w:val="00FB672E"/>
    <w:rsid w:val="00FB7460"/>
    <w:rsid w:val="00FB7C83"/>
    <w:rsid w:val="00FB7FA5"/>
    <w:rsid w:val="00FC011E"/>
    <w:rsid w:val="00FC02E5"/>
    <w:rsid w:val="00FC1D2B"/>
    <w:rsid w:val="00FC29C6"/>
    <w:rsid w:val="00FC318E"/>
    <w:rsid w:val="00FC3F81"/>
    <w:rsid w:val="00FC50A5"/>
    <w:rsid w:val="00FC6324"/>
    <w:rsid w:val="00FC66A8"/>
    <w:rsid w:val="00FC6C14"/>
    <w:rsid w:val="00FC6E7D"/>
    <w:rsid w:val="00FC745A"/>
    <w:rsid w:val="00FC79E4"/>
    <w:rsid w:val="00FC7F31"/>
    <w:rsid w:val="00FD0385"/>
    <w:rsid w:val="00FD1592"/>
    <w:rsid w:val="00FD28CB"/>
    <w:rsid w:val="00FD314F"/>
    <w:rsid w:val="00FD327B"/>
    <w:rsid w:val="00FD3741"/>
    <w:rsid w:val="00FD4032"/>
    <w:rsid w:val="00FD6823"/>
    <w:rsid w:val="00FD68EE"/>
    <w:rsid w:val="00FD70FD"/>
    <w:rsid w:val="00FE0703"/>
    <w:rsid w:val="00FE08B9"/>
    <w:rsid w:val="00FE1900"/>
    <w:rsid w:val="00FE323B"/>
    <w:rsid w:val="00FE3270"/>
    <w:rsid w:val="00FE5257"/>
    <w:rsid w:val="00FE623A"/>
    <w:rsid w:val="00FE6332"/>
    <w:rsid w:val="00FE7DA9"/>
    <w:rsid w:val="00FF22D4"/>
    <w:rsid w:val="00FF2730"/>
    <w:rsid w:val="00FF374D"/>
    <w:rsid w:val="00FF3FDB"/>
    <w:rsid w:val="00FF425F"/>
    <w:rsid w:val="00FF4446"/>
    <w:rsid w:val="00FF45A2"/>
    <w:rsid w:val="00FF45B1"/>
    <w:rsid w:val="00FF5BBB"/>
    <w:rsid w:val="00FF5C7F"/>
    <w:rsid w:val="00FF69AE"/>
    <w:rsid w:val="00FF6D71"/>
    <w:rsid w:val="00FF6E3F"/>
    <w:rsid w:val="027D4560"/>
    <w:rsid w:val="02ACA42F"/>
    <w:rsid w:val="02F2CA0A"/>
    <w:rsid w:val="030543AB"/>
    <w:rsid w:val="03F5D198"/>
    <w:rsid w:val="040B9265"/>
    <w:rsid w:val="0415220E"/>
    <w:rsid w:val="04F02DB7"/>
    <w:rsid w:val="04F4156C"/>
    <w:rsid w:val="058ABF23"/>
    <w:rsid w:val="06255D1D"/>
    <w:rsid w:val="0663999A"/>
    <w:rsid w:val="066A8C75"/>
    <w:rsid w:val="06EC8299"/>
    <w:rsid w:val="072C697D"/>
    <w:rsid w:val="0753C675"/>
    <w:rsid w:val="07986259"/>
    <w:rsid w:val="07D55DC0"/>
    <w:rsid w:val="08021AD3"/>
    <w:rsid w:val="089378F2"/>
    <w:rsid w:val="08F2227B"/>
    <w:rsid w:val="0A73D441"/>
    <w:rsid w:val="0A8C19B8"/>
    <w:rsid w:val="0ABA0B5F"/>
    <w:rsid w:val="0AD9C71B"/>
    <w:rsid w:val="0BBBA625"/>
    <w:rsid w:val="0C21EB57"/>
    <w:rsid w:val="0CBCB193"/>
    <w:rsid w:val="0CEF5634"/>
    <w:rsid w:val="0D6DAF91"/>
    <w:rsid w:val="0D920B9B"/>
    <w:rsid w:val="0D9C7974"/>
    <w:rsid w:val="0DBEFAE1"/>
    <w:rsid w:val="0E2F25A9"/>
    <w:rsid w:val="0E326328"/>
    <w:rsid w:val="0EA523A6"/>
    <w:rsid w:val="0ECF6B1B"/>
    <w:rsid w:val="0F31CBE5"/>
    <w:rsid w:val="0F688C7D"/>
    <w:rsid w:val="0FFD6230"/>
    <w:rsid w:val="10905E2A"/>
    <w:rsid w:val="11B0C02A"/>
    <w:rsid w:val="11CCC9F6"/>
    <w:rsid w:val="11E6F394"/>
    <w:rsid w:val="1226A64F"/>
    <w:rsid w:val="134D1A7E"/>
    <w:rsid w:val="13C04FEC"/>
    <w:rsid w:val="13CD65C9"/>
    <w:rsid w:val="14053D08"/>
    <w:rsid w:val="1484725D"/>
    <w:rsid w:val="1650A2D0"/>
    <w:rsid w:val="166C5F5A"/>
    <w:rsid w:val="169D711B"/>
    <w:rsid w:val="176C6FDA"/>
    <w:rsid w:val="17A09AE3"/>
    <w:rsid w:val="17B17163"/>
    <w:rsid w:val="18084823"/>
    <w:rsid w:val="18DD06A7"/>
    <w:rsid w:val="19252717"/>
    <w:rsid w:val="195282BD"/>
    <w:rsid w:val="1A18DE82"/>
    <w:rsid w:val="1A19413B"/>
    <w:rsid w:val="1A26E7D6"/>
    <w:rsid w:val="1A38A413"/>
    <w:rsid w:val="1A7E8CDD"/>
    <w:rsid w:val="1B06F700"/>
    <w:rsid w:val="1B8D4DA3"/>
    <w:rsid w:val="1BAA52AA"/>
    <w:rsid w:val="1C5ECD65"/>
    <w:rsid w:val="1CF55439"/>
    <w:rsid w:val="1D081539"/>
    <w:rsid w:val="1DE68E09"/>
    <w:rsid w:val="1E1B588D"/>
    <w:rsid w:val="1E1C7D87"/>
    <w:rsid w:val="1E68A27A"/>
    <w:rsid w:val="1F510300"/>
    <w:rsid w:val="1FA50898"/>
    <w:rsid w:val="1FB65562"/>
    <w:rsid w:val="200597B5"/>
    <w:rsid w:val="205C8C7F"/>
    <w:rsid w:val="20A234B0"/>
    <w:rsid w:val="210D2AB6"/>
    <w:rsid w:val="217B4D3D"/>
    <w:rsid w:val="2232AE21"/>
    <w:rsid w:val="225375EF"/>
    <w:rsid w:val="23591C16"/>
    <w:rsid w:val="23F8809F"/>
    <w:rsid w:val="24F4C5AE"/>
    <w:rsid w:val="255CBDB9"/>
    <w:rsid w:val="261EF6BB"/>
    <w:rsid w:val="2715C42A"/>
    <w:rsid w:val="272B4756"/>
    <w:rsid w:val="27994C9C"/>
    <w:rsid w:val="27F9B179"/>
    <w:rsid w:val="284B1D03"/>
    <w:rsid w:val="297CF600"/>
    <w:rsid w:val="2A351D08"/>
    <w:rsid w:val="2AF3FC47"/>
    <w:rsid w:val="2B85723F"/>
    <w:rsid w:val="2C1882A9"/>
    <w:rsid w:val="2D2969D6"/>
    <w:rsid w:val="2DD8D263"/>
    <w:rsid w:val="2EE882E5"/>
    <w:rsid w:val="2F7D0786"/>
    <w:rsid w:val="2F808B85"/>
    <w:rsid w:val="2FB37F68"/>
    <w:rsid w:val="2FCB1193"/>
    <w:rsid w:val="301A0F55"/>
    <w:rsid w:val="307549F0"/>
    <w:rsid w:val="307C8F8F"/>
    <w:rsid w:val="3088D7FF"/>
    <w:rsid w:val="30AC49AF"/>
    <w:rsid w:val="320D51BA"/>
    <w:rsid w:val="3299A810"/>
    <w:rsid w:val="34357871"/>
    <w:rsid w:val="3525F640"/>
    <w:rsid w:val="35A27442"/>
    <w:rsid w:val="369740E2"/>
    <w:rsid w:val="36D215B2"/>
    <w:rsid w:val="36E1F0FB"/>
    <w:rsid w:val="37200D1D"/>
    <w:rsid w:val="378AB028"/>
    <w:rsid w:val="37AB2918"/>
    <w:rsid w:val="388D2FB5"/>
    <w:rsid w:val="38A23E1D"/>
    <w:rsid w:val="390A2D22"/>
    <w:rsid w:val="392B1812"/>
    <w:rsid w:val="3983EBA5"/>
    <w:rsid w:val="3A4E7C9C"/>
    <w:rsid w:val="3B661ECA"/>
    <w:rsid w:val="3BFB55FE"/>
    <w:rsid w:val="3C453729"/>
    <w:rsid w:val="3C9CE34C"/>
    <w:rsid w:val="3D08D4F8"/>
    <w:rsid w:val="3D1E32CC"/>
    <w:rsid w:val="3D744A00"/>
    <w:rsid w:val="3DAFA77F"/>
    <w:rsid w:val="3DC90DF0"/>
    <w:rsid w:val="3E2FF0A2"/>
    <w:rsid w:val="3EC85DB0"/>
    <w:rsid w:val="402A05EB"/>
    <w:rsid w:val="40416C09"/>
    <w:rsid w:val="4120A871"/>
    <w:rsid w:val="41215548"/>
    <w:rsid w:val="41975D1D"/>
    <w:rsid w:val="41E3FFBC"/>
    <w:rsid w:val="41EB3FE6"/>
    <w:rsid w:val="43386909"/>
    <w:rsid w:val="43B07C47"/>
    <w:rsid w:val="44ACCADC"/>
    <w:rsid w:val="44FEEF24"/>
    <w:rsid w:val="4604F390"/>
    <w:rsid w:val="46184B8E"/>
    <w:rsid w:val="46547509"/>
    <w:rsid w:val="46ABA38A"/>
    <w:rsid w:val="46ED9FC9"/>
    <w:rsid w:val="47AE7787"/>
    <w:rsid w:val="48196D08"/>
    <w:rsid w:val="48C32498"/>
    <w:rsid w:val="495BEF40"/>
    <w:rsid w:val="495E4E8A"/>
    <w:rsid w:val="49F6C522"/>
    <w:rsid w:val="4AC63259"/>
    <w:rsid w:val="4B1E0D7D"/>
    <w:rsid w:val="4B8049A9"/>
    <w:rsid w:val="4B8CB5DA"/>
    <w:rsid w:val="4BF68AEF"/>
    <w:rsid w:val="4CD99DB7"/>
    <w:rsid w:val="4D0DEDB0"/>
    <w:rsid w:val="4DCF8B80"/>
    <w:rsid w:val="4DD58094"/>
    <w:rsid w:val="4DEE6634"/>
    <w:rsid w:val="4F2E2BB1"/>
    <w:rsid w:val="4F7BCECA"/>
    <w:rsid w:val="501B4C15"/>
    <w:rsid w:val="50334582"/>
    <w:rsid w:val="5054EDA0"/>
    <w:rsid w:val="50F7DDED"/>
    <w:rsid w:val="5122A5D0"/>
    <w:rsid w:val="51769FA7"/>
    <w:rsid w:val="51A411FE"/>
    <w:rsid w:val="51A84ABE"/>
    <w:rsid w:val="521BD11F"/>
    <w:rsid w:val="5261FA32"/>
    <w:rsid w:val="534A4B70"/>
    <w:rsid w:val="53671394"/>
    <w:rsid w:val="540EE743"/>
    <w:rsid w:val="5417CBE3"/>
    <w:rsid w:val="5468E9D3"/>
    <w:rsid w:val="54BE51E2"/>
    <w:rsid w:val="5551A83E"/>
    <w:rsid w:val="5558206F"/>
    <w:rsid w:val="561C612B"/>
    <w:rsid w:val="569EA6C4"/>
    <w:rsid w:val="571C6F52"/>
    <w:rsid w:val="57664E65"/>
    <w:rsid w:val="57DD360B"/>
    <w:rsid w:val="5878135D"/>
    <w:rsid w:val="58BD46ED"/>
    <w:rsid w:val="58ED236B"/>
    <w:rsid w:val="5953FFBA"/>
    <w:rsid w:val="59D6BE0F"/>
    <w:rsid w:val="5B2A5EEE"/>
    <w:rsid w:val="5B5D7BBE"/>
    <w:rsid w:val="5BB8FF3F"/>
    <w:rsid w:val="5BD20DDC"/>
    <w:rsid w:val="5BF8A002"/>
    <w:rsid w:val="5CE7F1F2"/>
    <w:rsid w:val="5DDB6036"/>
    <w:rsid w:val="5DE521E1"/>
    <w:rsid w:val="5E26B194"/>
    <w:rsid w:val="5EEC95BB"/>
    <w:rsid w:val="5F0FD3B1"/>
    <w:rsid w:val="5FCE15FB"/>
    <w:rsid w:val="5FCF1FAE"/>
    <w:rsid w:val="6010A86A"/>
    <w:rsid w:val="6069AED7"/>
    <w:rsid w:val="60989D5B"/>
    <w:rsid w:val="60DFDB6B"/>
    <w:rsid w:val="61657969"/>
    <w:rsid w:val="61C153FF"/>
    <w:rsid w:val="62A68FDF"/>
    <w:rsid w:val="6363E23E"/>
    <w:rsid w:val="636713D6"/>
    <w:rsid w:val="640E0EBA"/>
    <w:rsid w:val="64A5861B"/>
    <w:rsid w:val="64EE38F6"/>
    <w:rsid w:val="65A70223"/>
    <w:rsid w:val="65A9DF1B"/>
    <w:rsid w:val="65BEE316"/>
    <w:rsid w:val="663059FF"/>
    <w:rsid w:val="66E33C40"/>
    <w:rsid w:val="67FEE0E3"/>
    <w:rsid w:val="680030A1"/>
    <w:rsid w:val="682A8327"/>
    <w:rsid w:val="685C15A3"/>
    <w:rsid w:val="690BCC0D"/>
    <w:rsid w:val="6A9BD057"/>
    <w:rsid w:val="6BBD2CBF"/>
    <w:rsid w:val="6CE5CFA1"/>
    <w:rsid w:val="6ED7CC06"/>
    <w:rsid w:val="6F9CC78A"/>
    <w:rsid w:val="6FC0B126"/>
    <w:rsid w:val="6FD73CB4"/>
    <w:rsid w:val="6FDD621F"/>
    <w:rsid w:val="700097B3"/>
    <w:rsid w:val="702F50AD"/>
    <w:rsid w:val="7057774A"/>
    <w:rsid w:val="70934B5C"/>
    <w:rsid w:val="71142890"/>
    <w:rsid w:val="713EA03B"/>
    <w:rsid w:val="7151BC72"/>
    <w:rsid w:val="71F66B25"/>
    <w:rsid w:val="7234680B"/>
    <w:rsid w:val="736D621C"/>
    <w:rsid w:val="7410ED6C"/>
    <w:rsid w:val="743C32C0"/>
    <w:rsid w:val="749A2B3E"/>
    <w:rsid w:val="74B8B060"/>
    <w:rsid w:val="75A31568"/>
    <w:rsid w:val="75CEA6F6"/>
    <w:rsid w:val="75D7F370"/>
    <w:rsid w:val="75F49C12"/>
    <w:rsid w:val="76B89B23"/>
    <w:rsid w:val="76FA086B"/>
    <w:rsid w:val="77A9E5B0"/>
    <w:rsid w:val="77CCDCDF"/>
    <w:rsid w:val="77D1CC00"/>
    <w:rsid w:val="782A89F3"/>
    <w:rsid w:val="78F30A27"/>
    <w:rsid w:val="79253B5F"/>
    <w:rsid w:val="7BA2BC77"/>
    <w:rsid w:val="7BD07B26"/>
    <w:rsid w:val="7C98168F"/>
    <w:rsid w:val="7DBE8B11"/>
    <w:rsid w:val="7F1BB4EF"/>
    <w:rsid w:val="7F2428BE"/>
    <w:rsid w:val="7F518BB0"/>
    <w:rsid w:val="7F8181F8"/>
    <w:rsid w:val="7FF20C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F94C"/>
  <w15:docId w15:val="{70A84BA1-133F-4E1A-8A89-51FCDB17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tabs>
        <w:tab w:val="left" w:pos="432"/>
      </w:tabs>
      <w:spacing w:after="120" w:line="240" w:lineRule="auto"/>
      <w:ind w:left="432" w:hanging="432"/>
      <w:outlineLvl w:val="4"/>
    </w:pPr>
    <w:rPr>
      <w:b/>
    </w:rPr>
  </w:style>
  <w:style w:type="paragraph" w:styleId="Heading6">
    <w:name w:val="heading 6"/>
    <w:basedOn w:val="Normal"/>
    <w:next w:val="Normal"/>
    <w:link w:val="Heading6Char"/>
    <w:semiHidden/>
    <w:qFormat/>
    <w:rsid w:val="002B76AB"/>
    <w:pPr>
      <w:keepNext/>
      <w:spacing w:after="120" w:line="240" w:lineRule="auto"/>
      <w:ind w:left="1152" w:hanging="432"/>
      <w:outlineLvl w:val="5"/>
    </w:pPr>
  </w:style>
  <w:style w:type="paragraph" w:styleId="Heading7">
    <w:name w:val="heading 7"/>
    <w:basedOn w:val="Normal"/>
    <w:next w:val="Normal"/>
    <w:link w:val="Heading7Char"/>
    <w:semiHidden/>
    <w:qFormat/>
    <w:rsid w:val="002B76AB"/>
    <w:pPr>
      <w:keepNext/>
      <w:spacing w:after="120" w:line="240" w:lineRule="auto"/>
      <w:ind w:left="1296" w:hanging="288"/>
      <w:outlineLvl w:val="6"/>
    </w:pPr>
  </w:style>
  <w:style w:type="paragraph" w:styleId="Heading8">
    <w:name w:val="heading 8"/>
    <w:basedOn w:val="Normal"/>
    <w:next w:val="Normal"/>
    <w:link w:val="Heading8Char"/>
    <w:semiHidden/>
    <w:qFormat/>
    <w:rsid w:val="002B76AB"/>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semiHidden/>
    <w:locked/>
    <w:rsid w:val="002B76AB"/>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numPr>
        <w:numId w:val="10"/>
      </w:num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numPr>
        <w:ilvl w:val="1"/>
        <w:numId w:val="10"/>
      </w:numPr>
      <w:pBdr>
        <w:bottom w:val="single" w:sz="2" w:space="1" w:color="auto"/>
      </w:pBdr>
      <w:spacing w:before="240" w:after="240" w:line="240" w:lineRule="auto"/>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3"/>
      </w:numPr>
      <w:spacing w:after="240"/>
      <w:ind w:left="432" w:hanging="432"/>
    </w:pPr>
  </w:style>
  <w:style w:type="paragraph" w:customStyle="1" w:styleId="BulletLastDS">
    <w:name w:val="Bullet (Last DS)"/>
    <w:basedOn w:val="Bullet"/>
    <w:next w:val="Normal"/>
    <w:qFormat/>
    <w:rsid w:val="00455D47"/>
    <w:pPr>
      <w:numPr>
        <w:numId w:val="4"/>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5"/>
      </w:numPr>
      <w:tabs>
        <w:tab w:val="left" w:pos="288"/>
      </w:tabs>
      <w:spacing w:after="120" w:line="240" w:lineRule="auto"/>
    </w:pPr>
  </w:style>
  <w:style w:type="paragraph" w:customStyle="1" w:styleId="DashLASTSS">
    <w:name w:val="Dash (LAST SS)"/>
    <w:basedOn w:val="Dash"/>
    <w:next w:val="NormalSS"/>
    <w:qFormat/>
    <w:rsid w:val="002B76AB"/>
    <w:pPr>
      <w:numPr>
        <w:numId w:val="6"/>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11"/>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707247"/>
    <w:rPr>
      <w:sz w:val="16"/>
      <w:szCs w:val="16"/>
    </w:rPr>
  </w:style>
  <w:style w:type="paragraph" w:styleId="CommentText">
    <w:name w:val="annotation text"/>
    <w:basedOn w:val="Normal"/>
    <w:link w:val="CommentTextChar"/>
    <w:uiPriority w:val="99"/>
    <w:unhideWhenUsed/>
    <w:rsid w:val="00707247"/>
    <w:pPr>
      <w:spacing w:line="240" w:lineRule="auto"/>
    </w:pPr>
    <w:rPr>
      <w:sz w:val="20"/>
    </w:rPr>
  </w:style>
  <w:style w:type="character" w:customStyle="1" w:styleId="CommentTextChar">
    <w:name w:val="Comment Text Char"/>
    <w:basedOn w:val="DefaultParagraphFont"/>
    <w:link w:val="CommentText"/>
    <w:uiPriority w:val="99"/>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 w:type="character" w:styleId="FollowedHyperlink">
    <w:name w:val="FollowedHyperlink"/>
    <w:basedOn w:val="DefaultParagraphFont"/>
    <w:semiHidden/>
    <w:unhideWhenUsed/>
    <w:rsid w:val="009D0EC1"/>
    <w:rPr>
      <w:color w:val="800080" w:themeColor="followedHyperlink"/>
      <w:u w:val="single"/>
    </w:rPr>
  </w:style>
  <w:style w:type="character" w:customStyle="1" w:styleId="Mention1">
    <w:name w:val="Mention1"/>
    <w:basedOn w:val="DefaultParagraphFont"/>
    <w:uiPriority w:val="99"/>
    <w:unhideWhenUsed/>
    <w:rsid w:val="007A4632"/>
    <w:rPr>
      <w:color w:val="2B579A"/>
      <w:shd w:val="clear" w:color="auto" w:fill="E1DFDD"/>
    </w:rPr>
  </w:style>
  <w:style w:type="character" w:customStyle="1" w:styleId="UnresolvedMention1">
    <w:name w:val="Unresolved Mention1"/>
    <w:basedOn w:val="DefaultParagraphFont"/>
    <w:uiPriority w:val="99"/>
    <w:unhideWhenUsed/>
    <w:rsid w:val="00F4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347">
      <w:bodyDiv w:val="1"/>
      <w:marLeft w:val="0"/>
      <w:marRight w:val="0"/>
      <w:marTop w:val="0"/>
      <w:marBottom w:val="0"/>
      <w:divBdr>
        <w:top w:val="none" w:sz="0" w:space="0" w:color="auto"/>
        <w:left w:val="none" w:sz="0" w:space="0" w:color="auto"/>
        <w:bottom w:val="none" w:sz="0" w:space="0" w:color="auto"/>
        <w:right w:val="none" w:sz="0" w:space="0" w:color="auto"/>
      </w:divBdr>
    </w:div>
    <w:div w:id="545988106">
      <w:bodyDiv w:val="1"/>
      <w:marLeft w:val="0"/>
      <w:marRight w:val="0"/>
      <w:marTop w:val="0"/>
      <w:marBottom w:val="0"/>
      <w:divBdr>
        <w:top w:val="none" w:sz="0" w:space="0" w:color="auto"/>
        <w:left w:val="none" w:sz="0" w:space="0" w:color="auto"/>
        <w:bottom w:val="none" w:sz="0" w:space="0" w:color="auto"/>
        <w:right w:val="none" w:sz="0" w:space="0" w:color="auto"/>
      </w:divBdr>
    </w:div>
    <w:div w:id="632176724">
      <w:bodyDiv w:val="1"/>
      <w:marLeft w:val="0"/>
      <w:marRight w:val="0"/>
      <w:marTop w:val="0"/>
      <w:marBottom w:val="0"/>
      <w:divBdr>
        <w:top w:val="none" w:sz="0" w:space="0" w:color="auto"/>
        <w:left w:val="none" w:sz="0" w:space="0" w:color="auto"/>
        <w:bottom w:val="none" w:sz="0" w:space="0" w:color="auto"/>
        <w:right w:val="none" w:sz="0" w:space="0" w:color="auto"/>
      </w:divBdr>
    </w:div>
    <w:div w:id="17660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21Tables/html/GS_h.aspx" TargetMode="External"/><Relationship Id="rId20" Type="http://schemas.openxmlformats.org/officeDocument/2006/relationships/hyperlink" Target="https://www.opm.gov/policy-data-oversight/pay-leave/salaries-wages/salary-tables/pdf/2021/DC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pm.gov/policy-data-oversight/pay-leave/salaries-wages/salary-tables/21Tables/html/DCB_h.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28FBAEE6EA142A66539E611E7B455" ma:contentTypeVersion="12" ma:contentTypeDescription="Create a new document." ma:contentTypeScope="" ma:versionID="f81298c0373e50480ad8affabd37bf24">
  <xsd:schema xmlns:xsd="http://www.w3.org/2001/XMLSchema" xmlns:xs="http://www.w3.org/2001/XMLSchema" xmlns:p="http://schemas.microsoft.com/office/2006/metadata/properties" xmlns:ns2="6e792754-e33c-4ee8-92cd-fe491956ca98" xmlns:ns3="93825b28-e0af-4573-ae36-0e43a7eb3879" targetNamespace="http://schemas.microsoft.com/office/2006/metadata/properties" ma:root="true" ma:fieldsID="5fbd6f2b33727b84109ae2564b5a5eb4" ns2:_="" ns3:_="">
    <xsd:import namespace="6e792754-e33c-4ee8-92cd-fe491956ca98"/>
    <xsd:import namespace="93825b28-e0af-4573-ae36-0e43a7eb38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2754-e33c-4ee8-92cd-fe491956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5b28-e0af-4573-ae36-0e43a7eb38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8AA2A-2F9A-4BD7-993B-CC65B2FFB328}">
  <ds:schemaRefs>
    <ds:schemaRef ds:uri="http://schemas.microsoft.com/sharepoint/v3/contenttype/forms"/>
  </ds:schemaRefs>
</ds:datastoreItem>
</file>

<file path=customXml/itemProps2.xml><?xml version="1.0" encoding="utf-8"?>
<ds:datastoreItem xmlns:ds="http://schemas.openxmlformats.org/officeDocument/2006/customXml" ds:itemID="{4431EA0C-6C3F-4B33-A35A-AD6B7FF0B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2754-e33c-4ee8-92cd-fe491956ca98"/>
    <ds:schemaRef ds:uri="93825b28-e0af-4573-ae36-0e43a7eb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7C80E-30DF-4BEE-8FA1-D1D8C2A65E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FE2D13-D887-45B7-83FC-C611A0B9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13</Pages>
  <Words>5283</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Bellotti</dc:creator>
  <cp:keywords/>
  <dc:description/>
  <cp:lastModifiedBy>Yi, Chayun - ASP</cp:lastModifiedBy>
  <cp:revision>2</cp:revision>
  <cp:lastPrinted>2018-11-26T22:24:00Z</cp:lastPrinted>
  <dcterms:created xsi:type="dcterms:W3CDTF">2022-02-08T16:48:00Z</dcterms:created>
  <dcterms:modified xsi:type="dcterms:W3CDTF">2022-02-08T16:48:00Z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0x010100D9728FBAEE6EA142A66539E611E7B455</vt:lpwstr>
  </property>
</Properties>
</file>