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028F" w:rsidP="00327677" w:rsidRDefault="00327677" w14:paraId="1F012890" w14:textId="56581272">
      <w:pPr>
        <w:pStyle w:val="H2Chapter"/>
      </w:pPr>
      <w:bookmarkStart w:name="_Toc496108150" w:id="0"/>
      <w:r>
        <w:rPr>
          <w:caps w:val="0"/>
        </w:rPr>
        <w:t>PART B: DATA COLLECTION ACTIVITIES</w:t>
      </w:r>
      <w:bookmarkEnd w:id="0"/>
    </w:p>
    <w:p w:rsidR="004726A2" w:rsidP="00000123" w:rsidRDefault="004726A2" w14:paraId="23A90D85" w14:textId="4D0D1852">
      <w:pPr>
        <w:spacing w:line="240" w:lineRule="auto"/>
        <w:contextualSpacing/>
      </w:pPr>
      <w:bookmarkStart w:name="_Toc496108151" w:id="1"/>
      <w:r>
        <w:t>The Chief Evaluation Office of the U.S. Department of Labor (DOL) has commissioned an evaluation of the Transition Assistance Program Employment Navigator and Partnership Pilot (TAP ENPP, or ENPP). By establishing the ENPP, DOL aims to provide individualized career counseling and guidance to transitioning service members (TSMs) and military spouses. Under the ENPP model, Employment Navigators will provide individualized career services including self-assessment, interest and aptitude testing, career exploration, and detailed labor market information (referred to as the Assist-Explore-Plan [AEP] model) as well as warm handovers and connections to governmental and nongovernmental partners for additional services. ICF has been contracted by CEO to conduct a formative evaluation of this 12-month pilot program</w:t>
      </w:r>
      <w:r w:rsidR="00CE38C9">
        <w:t xml:space="preserve"> </w:t>
      </w:r>
      <w:r w:rsidRPr="00CE38C9" w:rsidR="00CE38C9">
        <w:t>(April 1,</w:t>
      </w:r>
      <w:r w:rsidR="00DA490E">
        <w:t xml:space="preserve"> </w:t>
      </w:r>
      <w:r w:rsidRPr="00CE38C9" w:rsidR="00CE38C9">
        <w:t>2021 to March 31, 2022)</w:t>
      </w:r>
      <w:r>
        <w:t xml:space="preserve">. </w:t>
      </w:r>
      <w:r w:rsidR="002C44AF">
        <w:t xml:space="preserve">This evaluation examines how the ENPP was implemented, describes to what extent it was implemented as planned, and explores variation in </w:t>
      </w:r>
      <w:r w:rsidRPr="00CE38C9" w:rsidR="00CE38C9">
        <w:t>implementation</w:t>
      </w:r>
      <w:r w:rsidR="00CE38C9">
        <w:t xml:space="preserve"> </w:t>
      </w:r>
      <w:r w:rsidR="002C44AF">
        <w:t>across each of the 13 pilot sites. This document provides insight into the proposed data collection process, which will be used to inform the formative evaluation.</w:t>
      </w:r>
    </w:p>
    <w:p w:rsidRPr="00C84DB0" w:rsidR="00000123" w:rsidP="001E7832" w:rsidRDefault="00000123" w14:paraId="12ADEB04" w14:textId="7968C5C0">
      <w:pPr>
        <w:pStyle w:val="NumberedBullet"/>
        <w:numPr>
          <w:ilvl w:val="0"/>
          <w:numId w:val="0"/>
        </w:numPr>
        <w:ind w:left="432" w:hanging="432"/>
      </w:pPr>
    </w:p>
    <w:p w:rsidRPr="00E17575" w:rsidR="00743BD6" w:rsidP="00743BD6" w:rsidRDefault="004954AE" w14:paraId="56814DD3" w14:textId="2DB375E6">
      <w:pPr>
        <w:pStyle w:val="H3Alpha"/>
      </w:pPr>
      <w:r w:rsidRPr="00E17575">
        <w:t xml:space="preserve">B.1. </w:t>
      </w:r>
      <w:r w:rsidRPr="00E17575" w:rsidR="00743BD6">
        <w:t>Respondent universe and sampling</w:t>
      </w:r>
      <w:bookmarkEnd w:id="1"/>
    </w:p>
    <w:p w:rsidRPr="008C4F2B" w:rsidR="00743BD6" w:rsidP="00743BD6" w:rsidRDefault="00743BD6" w14:paraId="39937E4E" w14:textId="46E76F10">
      <w:pPr>
        <w:pStyle w:val="NormalSS"/>
        <w:rPr>
          <w:color w:val="00B0F0"/>
        </w:rPr>
      </w:pPr>
      <w:r>
        <w:t xml:space="preserve">The universe of sites for this evaluation </w:t>
      </w:r>
      <w:r w:rsidR="00B0193F">
        <w:t xml:space="preserve">is </w:t>
      </w:r>
      <w:r w:rsidR="007922BA">
        <w:t>the</w:t>
      </w:r>
      <w:r>
        <w:t xml:space="preserve"> </w:t>
      </w:r>
      <w:r w:rsidR="00B0193F">
        <w:t>1</w:t>
      </w:r>
      <w:r>
        <w:t xml:space="preserve">3 </w:t>
      </w:r>
      <w:r w:rsidR="00B0193F">
        <w:t xml:space="preserve">United States military installations where </w:t>
      </w:r>
      <w:r w:rsidR="00B259A2">
        <w:t xml:space="preserve">DOL is piloting Employment Navigator services. </w:t>
      </w:r>
      <w:r w:rsidR="00420690">
        <w:t xml:space="preserve">The </w:t>
      </w:r>
      <w:r w:rsidR="00870CFB">
        <w:t xml:space="preserve">formative </w:t>
      </w:r>
      <w:r w:rsidR="00420690">
        <w:t xml:space="preserve">evaluation </w:t>
      </w:r>
      <w:r w:rsidR="0090797F">
        <w:t>includes</w:t>
      </w:r>
      <w:r w:rsidR="00687823">
        <w:t xml:space="preserve"> interviews </w:t>
      </w:r>
      <w:r w:rsidR="004C5B06">
        <w:t xml:space="preserve">and focus groups </w:t>
      </w:r>
      <w:r w:rsidR="00687823">
        <w:t xml:space="preserve">with </w:t>
      </w:r>
      <w:r w:rsidR="0022464A">
        <w:t xml:space="preserve">pilot stakeholders </w:t>
      </w:r>
      <w:r w:rsidR="00CB69A2">
        <w:t xml:space="preserve">associated with </w:t>
      </w:r>
      <w:r w:rsidR="0022464A">
        <w:t xml:space="preserve">specific sites: </w:t>
      </w:r>
      <w:r w:rsidR="00CB69A2">
        <w:t xml:space="preserve">Program </w:t>
      </w:r>
      <w:r w:rsidR="00E85E02">
        <w:t>Employment Navigator</w:t>
      </w:r>
      <w:r w:rsidR="00CB69A2">
        <w:t xml:space="preserve"> staff</w:t>
      </w:r>
      <w:r w:rsidR="004C5B06">
        <w:t xml:space="preserve">, </w:t>
      </w:r>
      <w:r w:rsidR="007517EF">
        <w:t>TAP managers</w:t>
      </w:r>
      <w:r w:rsidR="004C5B06">
        <w:t xml:space="preserve">, </w:t>
      </w:r>
      <w:r w:rsidR="00687823">
        <w:t>and participants</w:t>
      </w:r>
      <w:r w:rsidR="00CB69A2">
        <w:t xml:space="preserve"> (TSMs and spouses)</w:t>
      </w:r>
      <w:r w:rsidR="00687823">
        <w:t>.</w:t>
      </w:r>
      <w:r w:rsidR="00240421">
        <w:t xml:space="preserve"> It also includes focus groups with program partners who are not tied to any individual site</w:t>
      </w:r>
      <w:r w:rsidR="005317D4">
        <w:t xml:space="preserve"> but rather </w:t>
      </w:r>
      <w:r w:rsidR="00240421">
        <w:t xml:space="preserve">serve veterans and </w:t>
      </w:r>
      <w:r w:rsidRPr="00293878" w:rsidR="00240421">
        <w:t xml:space="preserve">spouses coming from any military installation. </w:t>
      </w:r>
      <w:r w:rsidRPr="00293878" w:rsidR="005317D4">
        <w:t xml:space="preserve">These program partners include both governmental partners (specifically, American Job Centers </w:t>
      </w:r>
      <w:r w:rsidRPr="00293878" w:rsidR="48DA2861">
        <w:t>[</w:t>
      </w:r>
      <w:r w:rsidRPr="00293878" w:rsidR="00C21A4A">
        <w:t xml:space="preserve">AJCs </w:t>
      </w:r>
      <w:r w:rsidRPr="00293878" w:rsidR="005317D4">
        <w:t>located across the United States)</w:t>
      </w:r>
      <w:r w:rsidRPr="00293878" w:rsidR="00B60323">
        <w:t xml:space="preserve"> and nongovernmental partners (national </w:t>
      </w:r>
      <w:r w:rsidRPr="00293878" w:rsidR="00281F3D">
        <w:t>veterans’ services organizations).</w:t>
      </w:r>
      <w:r w:rsidRPr="00293878" w:rsidR="009D4425">
        <w:t xml:space="preserve">  </w:t>
      </w:r>
      <w:r w:rsidRPr="00293878" w:rsidR="008C4F2B">
        <w:t>The interviews and focus groups for this formative study are not designed to produce statistically generalizable findings and participation is at the respondent’s discretion. Response rates will not be calculated or reported.</w:t>
      </w:r>
    </w:p>
    <w:p w:rsidR="005C5607" w:rsidRDefault="005C5607" w14:paraId="19FD42DC" w14:textId="77777777">
      <w:pPr>
        <w:spacing w:after="240" w:line="240" w:lineRule="auto"/>
        <w:ind w:firstLine="0"/>
        <w:rPr>
          <w:rFonts w:ascii="Arial Black" w:hAnsi="Arial Black"/>
          <w:sz w:val="22"/>
        </w:rPr>
      </w:pPr>
      <w:r>
        <w:br w:type="page"/>
      </w:r>
    </w:p>
    <w:p w:rsidRPr="00832F06" w:rsidR="00C25250" w:rsidP="00C25250" w:rsidRDefault="00C25250" w14:paraId="5557772C" w14:textId="04DB0805">
      <w:pPr>
        <w:pStyle w:val="MarkforTableTitle"/>
        <w:rPr>
          <w:b/>
        </w:rPr>
      </w:pPr>
      <w:r w:rsidRPr="00832F06">
        <w:lastRenderedPageBreak/>
        <w:t>Table B.1. Sampling and response rate assumptions, by respondent type</w:t>
      </w:r>
      <w:r w:rsidRPr="00832F06" w:rsidR="00DA0E1B">
        <w:t xml:space="preserve">, for </w:t>
      </w:r>
      <w:r w:rsidRPr="002F6297" w:rsidR="00DA0E1B">
        <w:rPr>
          <w:i/>
          <w:iCs/>
        </w:rPr>
        <w:t>site-based respondents</w:t>
      </w:r>
      <w:r w:rsidRPr="00832F06" w:rsidR="00065728">
        <w:t xml:space="preserve"> (over 2 years of study)</w:t>
      </w:r>
    </w:p>
    <w:tbl>
      <w:tblPr>
        <w:tblStyle w:val="LightList"/>
        <w:tblW w:w="4712"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260"/>
        <w:gridCol w:w="1260"/>
        <w:gridCol w:w="1260"/>
        <w:gridCol w:w="1260"/>
        <w:gridCol w:w="1260"/>
        <w:gridCol w:w="1260"/>
        <w:gridCol w:w="1261"/>
      </w:tblGrid>
      <w:tr w:rsidRPr="00832F06" w:rsidR="006A04F3" w:rsidTr="006A04F3" w14:paraId="2B1DE7C4" w14:textId="77777777">
        <w:trPr>
          <w:cnfStyle w:val="100000000000" w:firstRow="1" w:lastRow="0" w:firstColumn="0" w:lastColumn="0" w:oddVBand="0" w:evenVBand="0" w:oddHBand="0" w:evenHBand="0" w:firstRowFirstColumn="0" w:firstRowLastColumn="0" w:lastRowFirstColumn="0" w:lastRowLastColumn="0"/>
          <w:tblHeader/>
        </w:trPr>
        <w:tc>
          <w:tcPr>
            <w:tcW w:w="714"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34612B9B" w14:textId="77777777">
            <w:pPr>
              <w:pStyle w:val="TableHeaderCenter"/>
              <w:rPr>
                <w:b/>
              </w:rPr>
            </w:pPr>
            <w:r w:rsidRPr="00832F06">
              <w:rPr>
                <w:b/>
              </w:rPr>
              <w:t>Type of respondent</w:t>
            </w:r>
          </w:p>
        </w:tc>
        <w:tc>
          <w:tcPr>
            <w:tcW w:w="714"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0ED2ABE2" w14:textId="77777777">
            <w:pPr>
              <w:pStyle w:val="TableHeaderCenter"/>
              <w:rPr>
                <w:b/>
              </w:rPr>
            </w:pPr>
            <w:r w:rsidRPr="00832F06">
              <w:rPr>
                <w:b/>
              </w:rPr>
              <w:t>Sampling method</w:t>
            </w:r>
          </w:p>
        </w:tc>
        <w:tc>
          <w:tcPr>
            <w:tcW w:w="714"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4318B705" w14:textId="77777777">
            <w:pPr>
              <w:pStyle w:val="TableHeaderCenter"/>
              <w:rPr>
                <w:b/>
              </w:rPr>
            </w:pPr>
            <w:r w:rsidRPr="00832F06">
              <w:rPr>
                <w:b/>
              </w:rPr>
              <w:t>Number of sites</w:t>
            </w:r>
          </w:p>
        </w:tc>
        <w:tc>
          <w:tcPr>
            <w:tcW w:w="714"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26322451" w14:textId="77777777">
            <w:pPr>
              <w:pStyle w:val="TableHeaderCenter"/>
              <w:rPr>
                <w:b/>
              </w:rPr>
            </w:pPr>
            <w:r w:rsidRPr="00832F06">
              <w:rPr>
                <w:b/>
              </w:rPr>
              <w:t>Estimated universe across all sites</w:t>
            </w:r>
          </w:p>
        </w:tc>
        <w:tc>
          <w:tcPr>
            <w:tcW w:w="714"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6CA807AC" w14:textId="020B93AF">
            <w:pPr>
              <w:pStyle w:val="TableHeaderCenter"/>
              <w:rPr>
                <w:b/>
              </w:rPr>
            </w:pPr>
            <w:r w:rsidRPr="00832F06">
              <w:rPr>
                <w:b/>
              </w:rPr>
              <w:t>Expected sample (per site)</w:t>
            </w:r>
            <w:r w:rsidRPr="00832F06">
              <w:rPr>
                <w:rStyle w:val="FootnoteReference"/>
                <w:b/>
                <w:color w:val="FFFFFF" w:themeColor="background1"/>
              </w:rPr>
              <w:footnoteReference w:id="2"/>
            </w:r>
          </w:p>
        </w:tc>
        <w:tc>
          <w:tcPr>
            <w:tcW w:w="714"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053B3FEF" w14:textId="77777777">
            <w:pPr>
              <w:pStyle w:val="TableHeaderCenter"/>
              <w:rPr>
                <w:b/>
              </w:rPr>
            </w:pPr>
            <w:r w:rsidRPr="00832F06">
              <w:rPr>
                <w:b/>
              </w:rPr>
              <w:t>Estimated response rate (percent)</w:t>
            </w:r>
          </w:p>
        </w:tc>
        <w:tc>
          <w:tcPr>
            <w:tcW w:w="715" w:type="pct"/>
            <w:tcBorders>
              <w:top w:val="single" w:color="FFFFFF" w:themeColor="background1" w:sz="8" w:space="0"/>
              <w:bottom w:val="single" w:color="000000" w:themeColor="text1" w:sz="8" w:space="0"/>
            </w:tcBorders>
            <w:shd w:val="clear" w:color="auto" w:fill="6C6F70"/>
          </w:tcPr>
          <w:p w:rsidRPr="00832F06" w:rsidR="006A04F3" w:rsidP="00595747" w:rsidRDefault="006A04F3" w14:paraId="07DC57B8" w14:textId="77777777">
            <w:pPr>
              <w:pStyle w:val="TableHeaderCenter"/>
              <w:rPr>
                <w:b/>
              </w:rPr>
            </w:pPr>
            <w:r w:rsidRPr="00832F06">
              <w:rPr>
                <w:b/>
              </w:rPr>
              <w:t>Estimated responses (across sites)</w:t>
            </w:r>
          </w:p>
        </w:tc>
      </w:tr>
      <w:tr w:rsidRPr="00832F06" w:rsidR="006A04F3" w:rsidTr="006A04F3" w14:paraId="1B29C516" w14:textId="77777777">
        <w:tc>
          <w:tcPr>
            <w:tcW w:w="714" w:type="pct"/>
            <w:vAlign w:val="center"/>
          </w:tcPr>
          <w:p w:rsidRPr="00832F06" w:rsidR="006A04F3" w:rsidP="00595747" w:rsidRDefault="006A04F3" w14:paraId="017992DC" w14:textId="50E5DFE7">
            <w:pPr>
              <w:pStyle w:val="TableText"/>
              <w:spacing w:before="60" w:after="60"/>
              <w:jc w:val="center"/>
              <w:rPr>
                <w:rFonts w:eastAsiaTheme="minorEastAsia"/>
                <w:szCs w:val="18"/>
              </w:rPr>
            </w:pPr>
            <w:r w:rsidRPr="00832F06">
              <w:rPr>
                <w:rFonts w:eastAsiaTheme="minorEastAsia"/>
                <w:szCs w:val="18"/>
              </w:rPr>
              <w:t>Pilot site TAP managers</w:t>
            </w:r>
          </w:p>
        </w:tc>
        <w:tc>
          <w:tcPr>
            <w:tcW w:w="714" w:type="pct"/>
            <w:vAlign w:val="center"/>
          </w:tcPr>
          <w:p w:rsidRPr="00832F06" w:rsidR="006A04F3" w:rsidP="00595747" w:rsidRDefault="006A04F3" w14:paraId="3003A3A4" w14:textId="77777777">
            <w:pPr>
              <w:pStyle w:val="TableText"/>
              <w:spacing w:before="60" w:after="60"/>
              <w:jc w:val="center"/>
              <w:rPr>
                <w:rFonts w:eastAsiaTheme="minorEastAsia"/>
                <w:szCs w:val="18"/>
              </w:rPr>
            </w:pPr>
            <w:r w:rsidRPr="00832F06">
              <w:rPr>
                <w:rFonts w:eastAsiaTheme="minorEastAsia"/>
                <w:szCs w:val="18"/>
              </w:rPr>
              <w:t>Purposeful</w:t>
            </w:r>
          </w:p>
        </w:tc>
        <w:tc>
          <w:tcPr>
            <w:tcW w:w="714" w:type="pct"/>
            <w:vAlign w:val="center"/>
          </w:tcPr>
          <w:p w:rsidRPr="00832F06" w:rsidR="006A04F3" w:rsidP="00595747" w:rsidRDefault="006A04F3" w14:paraId="16A99A61" w14:textId="3503A5F7">
            <w:pPr>
              <w:pStyle w:val="TableText"/>
              <w:spacing w:before="60" w:after="60"/>
              <w:jc w:val="center"/>
            </w:pPr>
            <w:r w:rsidRPr="00832F06">
              <w:rPr>
                <w:rFonts w:eastAsiaTheme="minorEastAsia"/>
                <w:szCs w:val="18"/>
              </w:rPr>
              <w:t>13</w:t>
            </w:r>
          </w:p>
        </w:tc>
        <w:tc>
          <w:tcPr>
            <w:tcW w:w="714" w:type="pct"/>
            <w:vAlign w:val="center"/>
          </w:tcPr>
          <w:p w:rsidRPr="00832F06" w:rsidR="006A04F3" w:rsidP="00595747" w:rsidRDefault="006A04F3" w14:paraId="03944B61" w14:textId="7349BC99">
            <w:pPr>
              <w:pStyle w:val="TableText"/>
              <w:spacing w:before="60" w:after="60"/>
              <w:jc w:val="center"/>
            </w:pPr>
            <w:r w:rsidRPr="00832F06">
              <w:t>13</w:t>
            </w:r>
          </w:p>
        </w:tc>
        <w:tc>
          <w:tcPr>
            <w:tcW w:w="714" w:type="pct"/>
            <w:vAlign w:val="center"/>
          </w:tcPr>
          <w:p w:rsidRPr="00832F06" w:rsidR="006A04F3" w:rsidP="00595747" w:rsidRDefault="006A04F3" w14:paraId="6B1C72AF" w14:textId="794F31DF">
            <w:pPr>
              <w:pStyle w:val="TableText"/>
              <w:spacing w:before="60" w:after="60"/>
              <w:jc w:val="center"/>
            </w:pPr>
            <w:r w:rsidRPr="00832F06">
              <w:t>1-2</w:t>
            </w:r>
          </w:p>
        </w:tc>
        <w:tc>
          <w:tcPr>
            <w:tcW w:w="714" w:type="pct"/>
            <w:vAlign w:val="center"/>
          </w:tcPr>
          <w:p w:rsidRPr="00293878" w:rsidR="006A04F3" w:rsidP="00595747" w:rsidRDefault="00B64E5C" w14:paraId="3D688CBD" w14:textId="1A164D6E">
            <w:pPr>
              <w:pStyle w:val="TableText"/>
              <w:spacing w:before="60" w:after="60"/>
              <w:jc w:val="center"/>
              <w:rPr>
                <w:iCs/>
              </w:rPr>
            </w:pPr>
            <w:r w:rsidRPr="00293878">
              <w:rPr>
                <w:iCs/>
              </w:rPr>
              <w:t>80</w:t>
            </w:r>
          </w:p>
        </w:tc>
        <w:tc>
          <w:tcPr>
            <w:tcW w:w="715" w:type="pct"/>
            <w:vAlign w:val="center"/>
          </w:tcPr>
          <w:p w:rsidRPr="00293878" w:rsidR="006A04F3" w:rsidP="00595747" w:rsidRDefault="006A04F3" w14:paraId="6CCD4DAD" w14:textId="25FC0763">
            <w:pPr>
              <w:pStyle w:val="TableText"/>
              <w:spacing w:before="60" w:after="60"/>
              <w:jc w:val="center"/>
              <w:rPr>
                <w:iCs/>
              </w:rPr>
            </w:pPr>
            <w:r w:rsidRPr="00293878">
              <w:rPr>
                <w:iCs/>
              </w:rPr>
              <w:t>30</w:t>
            </w:r>
          </w:p>
        </w:tc>
      </w:tr>
      <w:tr w:rsidRPr="00832F06" w:rsidR="006A04F3" w:rsidTr="006A04F3" w14:paraId="6CC2B332" w14:textId="77777777">
        <w:tc>
          <w:tcPr>
            <w:tcW w:w="714" w:type="pct"/>
            <w:vAlign w:val="center"/>
          </w:tcPr>
          <w:p w:rsidRPr="00832F06" w:rsidR="006A04F3" w:rsidP="009E45BE" w:rsidRDefault="006A04F3" w14:paraId="4B2D22AB" w14:textId="10C3A084">
            <w:pPr>
              <w:pStyle w:val="TableText"/>
              <w:spacing w:before="60" w:after="60"/>
              <w:jc w:val="center"/>
              <w:rPr>
                <w:rFonts w:eastAsiaTheme="minorEastAsia"/>
                <w:szCs w:val="18"/>
              </w:rPr>
            </w:pPr>
            <w:r w:rsidRPr="00832F06">
              <w:rPr>
                <w:rFonts w:eastAsiaTheme="minorEastAsia"/>
                <w:szCs w:val="18"/>
              </w:rPr>
              <w:t>Military spouses</w:t>
            </w:r>
          </w:p>
        </w:tc>
        <w:tc>
          <w:tcPr>
            <w:tcW w:w="714" w:type="pct"/>
            <w:vAlign w:val="center"/>
          </w:tcPr>
          <w:p w:rsidRPr="00832F06" w:rsidR="006A04F3" w:rsidP="009E45BE" w:rsidRDefault="006A04F3" w14:paraId="1D97C7AD" w14:textId="5B6410D1">
            <w:pPr>
              <w:pStyle w:val="TableText"/>
              <w:spacing w:before="60" w:after="60"/>
              <w:jc w:val="center"/>
              <w:rPr>
                <w:rFonts w:eastAsiaTheme="minorEastAsia"/>
                <w:szCs w:val="18"/>
              </w:rPr>
            </w:pPr>
            <w:r w:rsidRPr="00832F06">
              <w:rPr>
                <w:rFonts w:eastAsiaTheme="minorEastAsia"/>
                <w:szCs w:val="18"/>
              </w:rPr>
              <w:t>Purposeful</w:t>
            </w:r>
          </w:p>
        </w:tc>
        <w:tc>
          <w:tcPr>
            <w:tcW w:w="714" w:type="pct"/>
            <w:vAlign w:val="center"/>
          </w:tcPr>
          <w:p w:rsidRPr="00832F06" w:rsidR="006A04F3" w:rsidP="009E45BE" w:rsidRDefault="006A04F3" w14:paraId="62D3EB3F" w14:textId="28E5FFAA">
            <w:pPr>
              <w:pStyle w:val="TableText"/>
              <w:spacing w:before="60" w:after="60"/>
              <w:jc w:val="center"/>
              <w:rPr>
                <w:rFonts w:eastAsiaTheme="minorEastAsia"/>
                <w:szCs w:val="18"/>
              </w:rPr>
            </w:pPr>
            <w:r w:rsidRPr="00832F06">
              <w:rPr>
                <w:rFonts w:eastAsiaTheme="minorEastAsia"/>
                <w:szCs w:val="18"/>
              </w:rPr>
              <w:t>13</w:t>
            </w:r>
          </w:p>
        </w:tc>
        <w:tc>
          <w:tcPr>
            <w:tcW w:w="714" w:type="pct"/>
            <w:vAlign w:val="center"/>
          </w:tcPr>
          <w:p w:rsidRPr="00832F06" w:rsidR="006A04F3" w:rsidP="009E45BE" w:rsidRDefault="00303471" w14:paraId="76F4C0F3" w14:textId="781EA79B">
            <w:pPr>
              <w:pStyle w:val="TableText"/>
              <w:spacing w:before="60" w:after="60"/>
              <w:jc w:val="center"/>
            </w:pPr>
            <w:r>
              <w:t>315</w:t>
            </w:r>
            <w:r w:rsidR="00C27B3D">
              <w:rPr>
                <w:rStyle w:val="FootnoteReference"/>
              </w:rPr>
              <w:footnoteReference w:id="3"/>
            </w:r>
          </w:p>
        </w:tc>
        <w:tc>
          <w:tcPr>
            <w:tcW w:w="714" w:type="pct"/>
            <w:vAlign w:val="center"/>
          </w:tcPr>
          <w:p w:rsidRPr="00832F06" w:rsidR="006A04F3" w:rsidP="009E45BE" w:rsidRDefault="006A04F3" w14:paraId="269B2E27" w14:textId="2D994873">
            <w:pPr>
              <w:pStyle w:val="TableText"/>
              <w:spacing w:before="60" w:after="60"/>
              <w:jc w:val="center"/>
            </w:pPr>
            <w:r w:rsidRPr="00832F06">
              <w:t>2-4</w:t>
            </w:r>
          </w:p>
        </w:tc>
        <w:tc>
          <w:tcPr>
            <w:tcW w:w="714" w:type="pct"/>
            <w:vAlign w:val="center"/>
          </w:tcPr>
          <w:p w:rsidRPr="00293878" w:rsidR="006A04F3" w:rsidP="009E45BE" w:rsidRDefault="00265640" w14:paraId="2A465C05" w14:textId="5E0A346C">
            <w:pPr>
              <w:pStyle w:val="TableText"/>
              <w:spacing w:before="60" w:after="60"/>
              <w:jc w:val="center"/>
              <w:rPr>
                <w:iCs/>
              </w:rPr>
            </w:pPr>
            <w:r w:rsidRPr="00293878">
              <w:rPr>
                <w:iCs/>
              </w:rPr>
              <w:t>50</w:t>
            </w:r>
          </w:p>
        </w:tc>
        <w:tc>
          <w:tcPr>
            <w:tcW w:w="715" w:type="pct"/>
            <w:vAlign w:val="center"/>
          </w:tcPr>
          <w:p w:rsidRPr="00293878" w:rsidR="006A04F3" w:rsidP="009E45BE" w:rsidRDefault="006A04F3" w14:paraId="396181F0" w14:textId="1BA1F7ED">
            <w:pPr>
              <w:pStyle w:val="TableText"/>
              <w:spacing w:before="60" w:after="60"/>
              <w:jc w:val="center"/>
              <w:rPr>
                <w:iCs/>
              </w:rPr>
            </w:pPr>
            <w:r w:rsidRPr="00293878">
              <w:rPr>
                <w:iCs/>
              </w:rPr>
              <w:t>42</w:t>
            </w:r>
          </w:p>
        </w:tc>
      </w:tr>
      <w:tr w:rsidRPr="00832F06" w:rsidR="006A04F3" w:rsidTr="006A04F3" w14:paraId="3D591A32" w14:textId="77777777">
        <w:tc>
          <w:tcPr>
            <w:tcW w:w="714" w:type="pct"/>
            <w:vAlign w:val="center"/>
          </w:tcPr>
          <w:p w:rsidRPr="00832F06" w:rsidR="006A04F3" w:rsidP="009E45BE" w:rsidRDefault="006A04F3" w14:paraId="55DBBB9F" w14:textId="375FD7A9">
            <w:pPr>
              <w:pStyle w:val="TableText"/>
              <w:spacing w:before="60" w:after="60"/>
              <w:jc w:val="center"/>
              <w:rPr>
                <w:rFonts w:eastAsiaTheme="minorEastAsia"/>
                <w:szCs w:val="18"/>
              </w:rPr>
            </w:pPr>
            <w:r w:rsidRPr="00832F06">
              <w:rPr>
                <w:rFonts w:eastAsiaTheme="minorEastAsia"/>
                <w:szCs w:val="18"/>
              </w:rPr>
              <w:t>TSM (post-Navigator) participants</w:t>
            </w:r>
          </w:p>
        </w:tc>
        <w:tc>
          <w:tcPr>
            <w:tcW w:w="714" w:type="pct"/>
            <w:vAlign w:val="center"/>
          </w:tcPr>
          <w:p w:rsidRPr="00832F06" w:rsidR="006A04F3" w:rsidP="009E45BE" w:rsidRDefault="006A04F3" w14:paraId="69B9A152" w14:textId="1A8DD927">
            <w:pPr>
              <w:pStyle w:val="TableText"/>
              <w:spacing w:before="60" w:after="60"/>
              <w:jc w:val="center"/>
              <w:rPr>
                <w:rFonts w:eastAsiaTheme="minorEastAsia"/>
                <w:szCs w:val="18"/>
              </w:rPr>
            </w:pPr>
            <w:r w:rsidRPr="00832F06">
              <w:rPr>
                <w:rFonts w:eastAsiaTheme="minorEastAsia"/>
                <w:szCs w:val="18"/>
              </w:rPr>
              <w:t>Purposeful</w:t>
            </w:r>
          </w:p>
        </w:tc>
        <w:tc>
          <w:tcPr>
            <w:tcW w:w="714" w:type="pct"/>
            <w:vAlign w:val="center"/>
          </w:tcPr>
          <w:p w:rsidRPr="00832F06" w:rsidR="006A04F3" w:rsidP="009E45BE" w:rsidRDefault="006A04F3" w14:paraId="116EA979" w14:textId="4ED07014">
            <w:pPr>
              <w:pStyle w:val="TableText"/>
              <w:spacing w:before="60" w:after="60"/>
              <w:jc w:val="center"/>
              <w:rPr>
                <w:rFonts w:eastAsiaTheme="minorEastAsia"/>
                <w:szCs w:val="18"/>
              </w:rPr>
            </w:pPr>
            <w:r w:rsidRPr="00832F06">
              <w:rPr>
                <w:rFonts w:eastAsiaTheme="minorEastAsia"/>
                <w:szCs w:val="18"/>
              </w:rPr>
              <w:t>13</w:t>
            </w:r>
          </w:p>
        </w:tc>
        <w:tc>
          <w:tcPr>
            <w:tcW w:w="714" w:type="pct"/>
            <w:vAlign w:val="center"/>
          </w:tcPr>
          <w:p w:rsidRPr="00832F06" w:rsidR="006A04F3" w:rsidP="009E45BE" w:rsidRDefault="000B5444" w14:paraId="5D6842E6" w14:textId="6F4642A5">
            <w:pPr>
              <w:pStyle w:val="TableText"/>
              <w:spacing w:before="60" w:after="60"/>
              <w:jc w:val="center"/>
            </w:pPr>
            <w:r>
              <w:t>2,</w:t>
            </w:r>
            <w:r w:rsidR="00266522">
              <w:t>17</w:t>
            </w:r>
            <w:r>
              <w:t>0</w:t>
            </w:r>
            <w:r w:rsidR="00B74D3D">
              <w:rPr>
                <w:rStyle w:val="FootnoteReference"/>
              </w:rPr>
              <w:footnoteReference w:id="4"/>
            </w:r>
          </w:p>
        </w:tc>
        <w:tc>
          <w:tcPr>
            <w:tcW w:w="714" w:type="pct"/>
            <w:vAlign w:val="center"/>
          </w:tcPr>
          <w:p w:rsidRPr="00832F06" w:rsidR="006A04F3" w:rsidP="009E45BE" w:rsidRDefault="008C22ED" w14:paraId="03DB5763" w14:textId="7B0AFE08">
            <w:pPr>
              <w:pStyle w:val="TableText"/>
              <w:spacing w:before="60" w:after="60"/>
              <w:jc w:val="center"/>
            </w:pPr>
            <w:r>
              <w:t>2-5</w:t>
            </w:r>
          </w:p>
        </w:tc>
        <w:tc>
          <w:tcPr>
            <w:tcW w:w="714" w:type="pct"/>
            <w:vAlign w:val="center"/>
          </w:tcPr>
          <w:p w:rsidRPr="00293878" w:rsidR="006A04F3" w:rsidP="009E45BE" w:rsidRDefault="00265640" w14:paraId="10B41EAD" w14:textId="559EB5C1">
            <w:pPr>
              <w:pStyle w:val="TableText"/>
              <w:spacing w:before="60" w:after="60"/>
              <w:jc w:val="center"/>
              <w:rPr>
                <w:iCs/>
              </w:rPr>
            </w:pPr>
            <w:r w:rsidRPr="00293878">
              <w:rPr>
                <w:iCs/>
              </w:rPr>
              <w:t>50</w:t>
            </w:r>
          </w:p>
        </w:tc>
        <w:tc>
          <w:tcPr>
            <w:tcW w:w="715" w:type="pct"/>
            <w:vAlign w:val="center"/>
          </w:tcPr>
          <w:p w:rsidRPr="00293878" w:rsidR="006A04F3" w:rsidP="009E45BE" w:rsidRDefault="001A469F" w14:paraId="2C4DBD04" w14:textId="03959DB6">
            <w:pPr>
              <w:pStyle w:val="TableText"/>
              <w:spacing w:before="60" w:after="60"/>
              <w:jc w:val="center"/>
              <w:rPr>
                <w:iCs/>
              </w:rPr>
            </w:pPr>
            <w:r w:rsidRPr="00293878">
              <w:rPr>
                <w:iCs/>
              </w:rPr>
              <w:t>58</w:t>
            </w:r>
          </w:p>
        </w:tc>
      </w:tr>
      <w:tr w:rsidRPr="00832F06" w:rsidR="006A04F3" w:rsidTr="006A04F3" w14:paraId="67A80709" w14:textId="77777777">
        <w:tc>
          <w:tcPr>
            <w:tcW w:w="714" w:type="pct"/>
            <w:vAlign w:val="center"/>
          </w:tcPr>
          <w:p w:rsidRPr="00832F06" w:rsidR="006A04F3" w:rsidP="009E45BE" w:rsidRDefault="006A04F3" w14:paraId="3053BD49" w14:textId="452BC198">
            <w:pPr>
              <w:pStyle w:val="TableText"/>
              <w:spacing w:before="60" w:after="60"/>
              <w:jc w:val="center"/>
              <w:rPr>
                <w:rFonts w:eastAsiaTheme="minorEastAsia"/>
                <w:szCs w:val="18"/>
              </w:rPr>
            </w:pPr>
            <w:r w:rsidRPr="00832F06">
              <w:rPr>
                <w:rFonts w:eastAsiaTheme="minorEastAsia"/>
                <w:szCs w:val="18"/>
              </w:rPr>
              <w:t>TSM (post-partner) participants</w:t>
            </w:r>
          </w:p>
        </w:tc>
        <w:tc>
          <w:tcPr>
            <w:tcW w:w="714" w:type="pct"/>
            <w:vAlign w:val="center"/>
          </w:tcPr>
          <w:p w:rsidRPr="00832F06" w:rsidR="006A04F3" w:rsidP="009E45BE" w:rsidRDefault="006A04F3" w14:paraId="179168B9" w14:textId="2D6890F9">
            <w:pPr>
              <w:pStyle w:val="TableText"/>
              <w:spacing w:before="60" w:after="60"/>
              <w:jc w:val="center"/>
              <w:rPr>
                <w:rFonts w:eastAsiaTheme="minorEastAsia"/>
                <w:szCs w:val="18"/>
              </w:rPr>
            </w:pPr>
            <w:r w:rsidRPr="00832F06">
              <w:rPr>
                <w:rFonts w:eastAsiaTheme="minorEastAsia"/>
                <w:szCs w:val="18"/>
              </w:rPr>
              <w:t>Purposeful</w:t>
            </w:r>
          </w:p>
        </w:tc>
        <w:tc>
          <w:tcPr>
            <w:tcW w:w="714" w:type="pct"/>
            <w:vAlign w:val="center"/>
          </w:tcPr>
          <w:p w:rsidRPr="00832F06" w:rsidR="006A04F3" w:rsidP="009E45BE" w:rsidRDefault="006A04F3" w14:paraId="406B3475" w14:textId="1F8E74E7">
            <w:pPr>
              <w:pStyle w:val="TableText"/>
              <w:spacing w:before="60" w:after="60"/>
              <w:jc w:val="center"/>
              <w:rPr>
                <w:rFonts w:eastAsiaTheme="minorEastAsia"/>
                <w:szCs w:val="18"/>
              </w:rPr>
            </w:pPr>
            <w:r w:rsidRPr="00832F06">
              <w:rPr>
                <w:rFonts w:eastAsiaTheme="minorEastAsia"/>
                <w:szCs w:val="18"/>
              </w:rPr>
              <w:t>13</w:t>
            </w:r>
          </w:p>
        </w:tc>
        <w:tc>
          <w:tcPr>
            <w:tcW w:w="714" w:type="pct"/>
            <w:vAlign w:val="center"/>
          </w:tcPr>
          <w:p w:rsidRPr="00832F06" w:rsidR="006A04F3" w:rsidP="009E45BE" w:rsidRDefault="000B5444" w14:paraId="6BC84FA2" w14:textId="3409A3C6">
            <w:pPr>
              <w:pStyle w:val="TableText"/>
              <w:spacing w:before="60" w:after="60"/>
              <w:jc w:val="center"/>
            </w:pPr>
            <w:r>
              <w:t>2,</w:t>
            </w:r>
            <w:r w:rsidR="00266522">
              <w:t>17</w:t>
            </w:r>
            <w:r>
              <w:t>0</w:t>
            </w:r>
            <w:r w:rsidRPr="002D0EEB" w:rsidR="00266522">
              <w:rPr>
                <w:rFonts w:ascii="Times New Roman" w:hAnsi="Times New Roman"/>
                <w:sz w:val="24"/>
                <w:szCs w:val="24"/>
                <w:vertAlign w:val="superscript"/>
              </w:rPr>
              <w:t>3</w:t>
            </w:r>
          </w:p>
        </w:tc>
        <w:tc>
          <w:tcPr>
            <w:tcW w:w="714" w:type="pct"/>
            <w:vAlign w:val="center"/>
          </w:tcPr>
          <w:p w:rsidRPr="00832F06" w:rsidR="006A04F3" w:rsidP="009E45BE" w:rsidRDefault="008C22ED" w14:paraId="7EA3DF9A" w14:textId="6E1F78B1">
            <w:pPr>
              <w:pStyle w:val="TableText"/>
              <w:spacing w:before="60" w:after="60"/>
              <w:jc w:val="center"/>
            </w:pPr>
            <w:r>
              <w:t>2-4</w:t>
            </w:r>
          </w:p>
        </w:tc>
        <w:tc>
          <w:tcPr>
            <w:tcW w:w="714" w:type="pct"/>
            <w:vAlign w:val="center"/>
          </w:tcPr>
          <w:p w:rsidRPr="00293878" w:rsidR="006A04F3" w:rsidP="009E45BE" w:rsidRDefault="00265640" w14:paraId="6FC60A8F" w14:textId="6A315A02">
            <w:pPr>
              <w:pStyle w:val="TableText"/>
              <w:spacing w:before="60" w:after="60"/>
              <w:jc w:val="center"/>
              <w:rPr>
                <w:iCs/>
              </w:rPr>
            </w:pPr>
            <w:r w:rsidRPr="00293878">
              <w:rPr>
                <w:iCs/>
              </w:rPr>
              <w:t>50</w:t>
            </w:r>
          </w:p>
        </w:tc>
        <w:tc>
          <w:tcPr>
            <w:tcW w:w="715" w:type="pct"/>
            <w:vAlign w:val="center"/>
          </w:tcPr>
          <w:p w:rsidRPr="00293878" w:rsidR="006A04F3" w:rsidP="009E45BE" w:rsidRDefault="001A469F" w14:paraId="7C9B2A05" w14:textId="4F3FC70D">
            <w:pPr>
              <w:pStyle w:val="TableText"/>
              <w:spacing w:before="60" w:after="60"/>
              <w:jc w:val="center"/>
              <w:rPr>
                <w:iCs/>
              </w:rPr>
            </w:pPr>
            <w:r w:rsidRPr="00293878">
              <w:rPr>
                <w:iCs/>
              </w:rPr>
              <w:t>42</w:t>
            </w:r>
          </w:p>
        </w:tc>
      </w:tr>
      <w:tr w:rsidRPr="00832F06" w:rsidR="006A04F3" w:rsidTr="006A04F3" w14:paraId="1651C5E7" w14:textId="77777777">
        <w:tc>
          <w:tcPr>
            <w:tcW w:w="714" w:type="pct"/>
            <w:tcBorders>
              <w:bottom w:val="single" w:color="auto" w:sz="4" w:space="0"/>
            </w:tcBorders>
            <w:vAlign w:val="center"/>
          </w:tcPr>
          <w:p w:rsidRPr="00832F06" w:rsidR="006A04F3" w:rsidP="009E45BE" w:rsidRDefault="006A04F3" w14:paraId="645C3FE5" w14:textId="59EFA284">
            <w:pPr>
              <w:pStyle w:val="TableText"/>
              <w:spacing w:before="60" w:after="60"/>
              <w:jc w:val="center"/>
              <w:rPr>
                <w:rFonts w:eastAsiaTheme="minorEastAsia"/>
                <w:szCs w:val="18"/>
              </w:rPr>
            </w:pPr>
            <w:r w:rsidRPr="00832F06">
              <w:rPr>
                <w:rFonts w:eastAsiaTheme="minorEastAsia"/>
                <w:szCs w:val="18"/>
              </w:rPr>
              <w:t>Employment Navigators</w:t>
            </w:r>
          </w:p>
        </w:tc>
        <w:tc>
          <w:tcPr>
            <w:tcW w:w="714" w:type="pct"/>
            <w:tcBorders>
              <w:bottom w:val="single" w:color="auto" w:sz="4" w:space="0"/>
            </w:tcBorders>
            <w:vAlign w:val="center"/>
          </w:tcPr>
          <w:p w:rsidRPr="00832F06" w:rsidR="006A04F3" w:rsidP="009E45BE" w:rsidRDefault="006A04F3" w14:paraId="420C13E0" w14:textId="37279098">
            <w:pPr>
              <w:pStyle w:val="TableText"/>
              <w:spacing w:before="60" w:after="60"/>
              <w:jc w:val="center"/>
              <w:rPr>
                <w:rFonts w:eastAsiaTheme="minorEastAsia"/>
                <w:szCs w:val="18"/>
              </w:rPr>
            </w:pPr>
            <w:r w:rsidRPr="00832F06">
              <w:rPr>
                <w:rFonts w:eastAsiaTheme="minorEastAsia"/>
                <w:szCs w:val="18"/>
              </w:rPr>
              <w:t>Purposeful</w:t>
            </w:r>
          </w:p>
        </w:tc>
        <w:tc>
          <w:tcPr>
            <w:tcW w:w="714" w:type="pct"/>
            <w:tcBorders>
              <w:bottom w:val="single" w:color="auto" w:sz="4" w:space="0"/>
            </w:tcBorders>
            <w:vAlign w:val="center"/>
          </w:tcPr>
          <w:p w:rsidRPr="00832F06" w:rsidR="006A04F3" w:rsidP="009E45BE" w:rsidRDefault="006A04F3" w14:paraId="6463507D" w14:textId="03E2E66C">
            <w:pPr>
              <w:pStyle w:val="TableText"/>
              <w:spacing w:before="60" w:after="60"/>
              <w:jc w:val="center"/>
              <w:rPr>
                <w:rFonts w:eastAsiaTheme="minorEastAsia"/>
                <w:szCs w:val="18"/>
              </w:rPr>
            </w:pPr>
            <w:r w:rsidRPr="00832F06">
              <w:rPr>
                <w:rFonts w:eastAsiaTheme="minorEastAsia"/>
                <w:szCs w:val="18"/>
              </w:rPr>
              <w:t>13</w:t>
            </w:r>
          </w:p>
        </w:tc>
        <w:tc>
          <w:tcPr>
            <w:tcW w:w="714" w:type="pct"/>
            <w:tcBorders>
              <w:bottom w:val="single" w:color="auto" w:sz="4" w:space="0"/>
            </w:tcBorders>
            <w:vAlign w:val="center"/>
          </w:tcPr>
          <w:p w:rsidRPr="00832F06" w:rsidR="006A04F3" w:rsidP="009E45BE" w:rsidRDefault="006A04F3" w14:paraId="5113BCA0" w14:textId="2B2BFA5A">
            <w:pPr>
              <w:pStyle w:val="TableText"/>
              <w:spacing w:before="60" w:after="60"/>
              <w:jc w:val="center"/>
            </w:pPr>
            <w:r w:rsidRPr="00832F06">
              <w:t>54</w:t>
            </w:r>
          </w:p>
        </w:tc>
        <w:tc>
          <w:tcPr>
            <w:tcW w:w="714" w:type="pct"/>
            <w:tcBorders>
              <w:bottom w:val="single" w:color="auto" w:sz="4" w:space="0"/>
            </w:tcBorders>
            <w:vAlign w:val="center"/>
          </w:tcPr>
          <w:p w:rsidRPr="00832F06" w:rsidR="006A04F3" w:rsidP="009E45BE" w:rsidRDefault="006A04F3" w14:paraId="7D383192" w14:textId="2DED6AAD">
            <w:pPr>
              <w:pStyle w:val="TableText"/>
              <w:spacing w:before="60" w:after="60"/>
              <w:jc w:val="center"/>
            </w:pPr>
            <w:r w:rsidRPr="00832F06">
              <w:t>2-3</w:t>
            </w:r>
          </w:p>
        </w:tc>
        <w:tc>
          <w:tcPr>
            <w:tcW w:w="714" w:type="pct"/>
            <w:tcBorders>
              <w:bottom w:val="single" w:color="auto" w:sz="4" w:space="0"/>
            </w:tcBorders>
            <w:vAlign w:val="center"/>
          </w:tcPr>
          <w:p w:rsidRPr="00293878" w:rsidR="006A04F3" w:rsidP="009E45BE" w:rsidRDefault="00202908" w14:paraId="6FD29A02" w14:textId="56422AE8">
            <w:pPr>
              <w:pStyle w:val="TableText"/>
              <w:spacing w:before="60" w:after="60"/>
              <w:jc w:val="center"/>
              <w:rPr>
                <w:iCs/>
              </w:rPr>
            </w:pPr>
            <w:r w:rsidRPr="00293878">
              <w:rPr>
                <w:iCs/>
              </w:rPr>
              <w:t>90</w:t>
            </w:r>
          </w:p>
        </w:tc>
        <w:tc>
          <w:tcPr>
            <w:tcW w:w="715" w:type="pct"/>
            <w:tcBorders>
              <w:bottom w:val="single" w:color="auto" w:sz="4" w:space="0"/>
            </w:tcBorders>
            <w:vAlign w:val="center"/>
          </w:tcPr>
          <w:p w:rsidRPr="00293878" w:rsidR="006A04F3" w:rsidP="009E45BE" w:rsidRDefault="00AA6C64" w14:paraId="14E45306" w14:textId="5035F917">
            <w:pPr>
              <w:pStyle w:val="TableText"/>
              <w:spacing w:before="60" w:after="60"/>
              <w:jc w:val="center"/>
              <w:rPr>
                <w:iCs/>
              </w:rPr>
            </w:pPr>
            <w:r w:rsidRPr="00293878">
              <w:rPr>
                <w:iCs/>
              </w:rPr>
              <w:t>34</w:t>
            </w:r>
          </w:p>
        </w:tc>
      </w:tr>
    </w:tbl>
    <w:p w:rsidR="005C5607" w:rsidP="007A3CA5" w:rsidRDefault="005C5607" w14:paraId="1FD84128" w14:textId="77777777">
      <w:pPr>
        <w:pStyle w:val="MarkforTableTitle"/>
      </w:pPr>
    </w:p>
    <w:p w:rsidRPr="00E17575" w:rsidR="007A3CA5" w:rsidP="007A3CA5" w:rsidRDefault="007A3CA5" w14:paraId="7F38D980" w14:textId="249F8C7C">
      <w:pPr>
        <w:pStyle w:val="MarkforTableTitle"/>
        <w:rPr>
          <w:b/>
        </w:rPr>
      </w:pPr>
      <w:r w:rsidRPr="00E17575">
        <w:t>Table B.</w:t>
      </w:r>
      <w:r w:rsidR="005C5607">
        <w:t>2</w:t>
      </w:r>
      <w:r w:rsidRPr="00E17575">
        <w:t>. Sampling and response rate assumptions, by respondent type</w:t>
      </w:r>
      <w:r w:rsidR="00DA0E1B">
        <w:t xml:space="preserve">, for </w:t>
      </w:r>
      <w:r w:rsidRPr="002F6297" w:rsidR="00DA0E1B">
        <w:rPr>
          <w:i/>
          <w:iCs/>
        </w:rPr>
        <w:t>non-site</w:t>
      </w:r>
      <w:r w:rsidRPr="002F6297" w:rsidR="00851756">
        <w:rPr>
          <w:i/>
          <w:iCs/>
        </w:rPr>
        <w:t>-</w:t>
      </w:r>
      <w:r w:rsidRPr="002F6297" w:rsidR="00DA0E1B">
        <w:rPr>
          <w:i/>
          <w:iCs/>
        </w:rPr>
        <w:t xml:space="preserve">based </w:t>
      </w:r>
      <w:r w:rsidRPr="002F6297" w:rsidR="00056CC5">
        <w:rPr>
          <w:i/>
          <w:iCs/>
        </w:rPr>
        <w:t>(national)</w:t>
      </w:r>
      <w:r w:rsidR="00056CC5">
        <w:t xml:space="preserve"> </w:t>
      </w:r>
      <w:r w:rsidR="00DA0E1B">
        <w:t>respondents</w:t>
      </w:r>
      <w:r w:rsidR="00065728">
        <w:t xml:space="preserve"> (over 2 years of study)</w:t>
      </w:r>
    </w:p>
    <w:tbl>
      <w:tblPr>
        <w:tblStyle w:val="LightList"/>
        <w:tblW w:w="8821" w:type="dxa"/>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410"/>
        <w:gridCol w:w="1149"/>
        <w:gridCol w:w="1252"/>
        <w:gridCol w:w="1253"/>
        <w:gridCol w:w="1253"/>
        <w:gridCol w:w="1253"/>
        <w:gridCol w:w="1251"/>
      </w:tblGrid>
      <w:tr w:rsidRPr="001E7832" w:rsidR="002F1209" w:rsidTr="58B4D9CA" w14:paraId="00EE7DF2" w14:textId="77777777">
        <w:trPr>
          <w:cnfStyle w:val="100000000000" w:firstRow="1" w:lastRow="0" w:firstColumn="0" w:lastColumn="0" w:oddVBand="0" w:evenVBand="0" w:oddHBand="0" w:evenHBand="0" w:firstRowFirstColumn="0" w:firstRowLastColumn="0" w:lastRowFirstColumn="0" w:lastRowLastColumn="0"/>
          <w:tblHeader/>
        </w:trPr>
        <w:tc>
          <w:tcPr>
            <w:tcW w:w="1410"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42FCF65D" w14:textId="77777777">
            <w:pPr>
              <w:pStyle w:val="TableHeaderCenter"/>
              <w:rPr>
                <w:b/>
              </w:rPr>
            </w:pPr>
            <w:r w:rsidRPr="00832F06">
              <w:rPr>
                <w:b/>
              </w:rPr>
              <w:t>Type of respondent</w:t>
            </w:r>
          </w:p>
        </w:tc>
        <w:tc>
          <w:tcPr>
            <w:tcW w:w="1149"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7D843927" w14:textId="77777777">
            <w:pPr>
              <w:pStyle w:val="TableHeaderCenter"/>
              <w:rPr>
                <w:b/>
              </w:rPr>
            </w:pPr>
            <w:r w:rsidRPr="00832F06">
              <w:rPr>
                <w:b/>
              </w:rPr>
              <w:t>Sampling method</w:t>
            </w:r>
          </w:p>
        </w:tc>
        <w:tc>
          <w:tcPr>
            <w:tcW w:w="1252"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54919889" w14:textId="77777777">
            <w:pPr>
              <w:pStyle w:val="TableHeaderCenter"/>
              <w:rPr>
                <w:b/>
              </w:rPr>
            </w:pPr>
            <w:r w:rsidRPr="00832F06">
              <w:rPr>
                <w:b/>
              </w:rPr>
              <w:t>Number of sites</w:t>
            </w:r>
          </w:p>
        </w:tc>
        <w:tc>
          <w:tcPr>
            <w:tcW w:w="1253"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709593E9" w14:textId="07AAB469">
            <w:pPr>
              <w:pStyle w:val="TableHeaderCenter"/>
              <w:rPr>
                <w:b/>
              </w:rPr>
            </w:pPr>
            <w:r w:rsidRPr="00832F06">
              <w:rPr>
                <w:b/>
              </w:rPr>
              <w:t>Estimated universe</w:t>
            </w:r>
          </w:p>
        </w:tc>
        <w:tc>
          <w:tcPr>
            <w:tcW w:w="1253"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3558512C" w14:textId="595DF93E">
            <w:pPr>
              <w:pStyle w:val="TableHeaderCenter"/>
              <w:rPr>
                <w:b/>
              </w:rPr>
            </w:pPr>
            <w:r w:rsidRPr="00832F06">
              <w:rPr>
                <w:b/>
              </w:rPr>
              <w:t>Expected sample</w:t>
            </w:r>
          </w:p>
        </w:tc>
        <w:tc>
          <w:tcPr>
            <w:tcW w:w="1253"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182EE4D2" w14:textId="77777777">
            <w:pPr>
              <w:pStyle w:val="TableHeaderCenter"/>
              <w:rPr>
                <w:b/>
              </w:rPr>
            </w:pPr>
            <w:r w:rsidRPr="00832F06">
              <w:rPr>
                <w:b/>
              </w:rPr>
              <w:t>Estimated response rate (percent)</w:t>
            </w:r>
          </w:p>
        </w:tc>
        <w:tc>
          <w:tcPr>
            <w:tcW w:w="1251" w:type="dxa"/>
            <w:tcBorders>
              <w:top w:val="single" w:color="FFFFFF" w:themeColor="background1" w:sz="8" w:space="0"/>
              <w:bottom w:val="single" w:color="000000" w:themeColor="text1" w:sz="8" w:space="0"/>
            </w:tcBorders>
            <w:shd w:val="clear" w:color="auto" w:fill="6C6F70"/>
          </w:tcPr>
          <w:p w:rsidRPr="00832F06" w:rsidR="002F1209" w:rsidP="00730506" w:rsidRDefault="002F1209" w14:paraId="41915ECC" w14:textId="1C457DCB">
            <w:pPr>
              <w:pStyle w:val="TableHeaderCenter"/>
              <w:rPr>
                <w:b/>
              </w:rPr>
            </w:pPr>
            <w:r w:rsidRPr="00832F06">
              <w:rPr>
                <w:b/>
              </w:rPr>
              <w:t>Estimated responses</w:t>
            </w:r>
            <w:r w:rsidRPr="00832F06">
              <w:rPr>
                <w:rStyle w:val="FootnoteReference"/>
                <w:b/>
                <w:color w:val="FFFFFF" w:themeColor="background1"/>
              </w:rPr>
              <w:footnoteReference w:id="5"/>
            </w:r>
            <w:r w:rsidRPr="00832F06">
              <w:rPr>
                <w:b/>
              </w:rPr>
              <w:t xml:space="preserve"> </w:t>
            </w:r>
          </w:p>
        </w:tc>
      </w:tr>
      <w:tr w:rsidRPr="001E7832" w:rsidR="002F1209" w:rsidTr="58B4D9CA" w14:paraId="01900244" w14:textId="77777777">
        <w:tc>
          <w:tcPr>
            <w:tcW w:w="1410" w:type="dxa"/>
            <w:vAlign w:val="center"/>
          </w:tcPr>
          <w:p w:rsidRPr="004E62F9" w:rsidR="002F1209" w:rsidP="00730506" w:rsidRDefault="002F1209" w14:paraId="59266F60" w14:textId="77777777">
            <w:pPr>
              <w:pStyle w:val="TableText"/>
              <w:spacing w:before="60" w:after="60"/>
              <w:jc w:val="center"/>
              <w:rPr>
                <w:rFonts w:eastAsiaTheme="minorEastAsia"/>
                <w:szCs w:val="18"/>
              </w:rPr>
            </w:pPr>
            <w:r w:rsidRPr="004E62F9">
              <w:rPr>
                <w:rFonts w:eastAsiaTheme="minorEastAsia"/>
                <w:szCs w:val="18"/>
              </w:rPr>
              <w:t>Program partners</w:t>
            </w:r>
            <w:r>
              <w:rPr>
                <w:rFonts w:eastAsiaTheme="minorEastAsia"/>
                <w:szCs w:val="18"/>
              </w:rPr>
              <w:t xml:space="preserve"> – non-governmental</w:t>
            </w:r>
          </w:p>
        </w:tc>
        <w:tc>
          <w:tcPr>
            <w:tcW w:w="1149" w:type="dxa"/>
            <w:vAlign w:val="center"/>
          </w:tcPr>
          <w:p w:rsidRPr="004E62F9" w:rsidR="002F1209" w:rsidP="00730506" w:rsidRDefault="002F1209" w14:paraId="328B8EE4" w14:textId="77777777">
            <w:pPr>
              <w:pStyle w:val="TableText"/>
              <w:spacing w:before="60" w:after="60"/>
              <w:jc w:val="center"/>
              <w:rPr>
                <w:rFonts w:eastAsiaTheme="minorEastAsia"/>
                <w:szCs w:val="18"/>
              </w:rPr>
            </w:pPr>
            <w:r w:rsidRPr="004E62F9">
              <w:rPr>
                <w:rFonts w:eastAsiaTheme="minorEastAsia"/>
                <w:szCs w:val="18"/>
              </w:rPr>
              <w:t>Purposeful</w:t>
            </w:r>
          </w:p>
        </w:tc>
        <w:tc>
          <w:tcPr>
            <w:tcW w:w="1252" w:type="dxa"/>
            <w:vAlign w:val="center"/>
          </w:tcPr>
          <w:p w:rsidRPr="00571E45" w:rsidR="002F1209" w:rsidP="00730506" w:rsidRDefault="002F1209" w14:paraId="2EF59294" w14:textId="77777777">
            <w:pPr>
              <w:pStyle w:val="TableText"/>
              <w:spacing w:before="60" w:after="60"/>
              <w:jc w:val="center"/>
            </w:pPr>
            <w:r w:rsidRPr="00571E45">
              <w:rPr>
                <w:rFonts w:eastAsiaTheme="minorEastAsia"/>
                <w:szCs w:val="18"/>
              </w:rPr>
              <w:t>n/a</w:t>
            </w:r>
          </w:p>
        </w:tc>
        <w:tc>
          <w:tcPr>
            <w:tcW w:w="1253" w:type="dxa"/>
            <w:vAlign w:val="center"/>
          </w:tcPr>
          <w:p w:rsidRPr="00571E45" w:rsidR="002F1209" w:rsidP="00730506" w:rsidRDefault="002F1209" w14:paraId="1E04F1C3" w14:textId="77777777">
            <w:pPr>
              <w:pStyle w:val="TableText"/>
              <w:spacing w:before="60" w:after="60"/>
              <w:jc w:val="center"/>
            </w:pPr>
            <w:r w:rsidRPr="00571E45">
              <w:t>20</w:t>
            </w:r>
            <w:r>
              <w:rPr>
                <w:rStyle w:val="FootnoteReference"/>
              </w:rPr>
              <w:footnoteReference w:id="6"/>
            </w:r>
          </w:p>
        </w:tc>
        <w:tc>
          <w:tcPr>
            <w:tcW w:w="1253" w:type="dxa"/>
            <w:vAlign w:val="center"/>
          </w:tcPr>
          <w:p w:rsidRPr="00571E45" w:rsidR="002F1209" w:rsidP="00730506" w:rsidRDefault="00293878" w14:paraId="3EBB8FF2" w14:textId="1068642D">
            <w:pPr>
              <w:pStyle w:val="TableText"/>
              <w:spacing w:before="60" w:after="60"/>
              <w:jc w:val="center"/>
            </w:pPr>
            <w:r w:rsidRPr="00293878">
              <w:rPr>
                <w:color w:val="FF0000"/>
              </w:rPr>
              <w:t>35</w:t>
            </w:r>
          </w:p>
        </w:tc>
        <w:tc>
          <w:tcPr>
            <w:tcW w:w="1253" w:type="dxa"/>
            <w:vAlign w:val="center"/>
          </w:tcPr>
          <w:p w:rsidRPr="00293878" w:rsidR="002F1209" w:rsidP="00730506" w:rsidRDefault="000B59FD" w14:paraId="3C8E030B" w14:textId="3109259C">
            <w:pPr>
              <w:pStyle w:val="TableText"/>
              <w:spacing w:before="60" w:after="60"/>
              <w:jc w:val="center"/>
              <w:rPr>
                <w:iCs/>
              </w:rPr>
            </w:pPr>
            <w:r w:rsidRPr="00293878">
              <w:rPr>
                <w:iCs/>
              </w:rPr>
              <w:t>7</w:t>
            </w:r>
            <w:r w:rsidRPr="00293878" w:rsidR="00B64E5C">
              <w:rPr>
                <w:iCs/>
              </w:rPr>
              <w:t>0</w:t>
            </w:r>
          </w:p>
        </w:tc>
        <w:tc>
          <w:tcPr>
            <w:tcW w:w="1251" w:type="dxa"/>
            <w:vAlign w:val="center"/>
          </w:tcPr>
          <w:p w:rsidRPr="00293878" w:rsidR="002F1209" w:rsidP="00730506" w:rsidRDefault="002F1209" w14:paraId="34677F6B" w14:textId="77777777">
            <w:pPr>
              <w:pStyle w:val="TableText"/>
              <w:spacing w:before="60" w:after="60"/>
              <w:jc w:val="center"/>
              <w:rPr>
                <w:iCs/>
              </w:rPr>
            </w:pPr>
            <w:r w:rsidRPr="00293878">
              <w:rPr>
                <w:iCs/>
              </w:rPr>
              <w:t>24</w:t>
            </w:r>
          </w:p>
        </w:tc>
      </w:tr>
      <w:tr w:rsidRPr="001E7832" w:rsidR="002F1209" w:rsidTr="58B4D9CA" w14:paraId="396686EE" w14:textId="77777777">
        <w:tc>
          <w:tcPr>
            <w:tcW w:w="1410" w:type="dxa"/>
            <w:tcBorders>
              <w:bottom w:val="single" w:color="auto" w:sz="4" w:space="0"/>
            </w:tcBorders>
            <w:vAlign w:val="center"/>
          </w:tcPr>
          <w:p w:rsidRPr="004E62F9" w:rsidR="002F1209" w:rsidP="00730506" w:rsidRDefault="002F1209" w14:paraId="0CB3AEBE" w14:textId="77777777">
            <w:pPr>
              <w:pStyle w:val="TableText"/>
              <w:spacing w:before="60" w:after="60"/>
              <w:jc w:val="center"/>
              <w:rPr>
                <w:rFonts w:eastAsiaTheme="minorEastAsia"/>
                <w:szCs w:val="18"/>
              </w:rPr>
            </w:pPr>
            <w:r>
              <w:rPr>
                <w:rFonts w:eastAsiaTheme="minorEastAsia"/>
                <w:szCs w:val="18"/>
              </w:rPr>
              <w:t xml:space="preserve">Program partners – governmental </w:t>
            </w:r>
          </w:p>
        </w:tc>
        <w:tc>
          <w:tcPr>
            <w:tcW w:w="1149" w:type="dxa"/>
            <w:tcBorders>
              <w:bottom w:val="single" w:color="auto" w:sz="4" w:space="0"/>
            </w:tcBorders>
            <w:vAlign w:val="center"/>
          </w:tcPr>
          <w:p w:rsidRPr="004E62F9" w:rsidR="002F1209" w:rsidP="00730506" w:rsidRDefault="002F1209" w14:paraId="64435FCD" w14:textId="77777777">
            <w:pPr>
              <w:pStyle w:val="TableText"/>
              <w:spacing w:before="60" w:after="60"/>
              <w:jc w:val="center"/>
              <w:rPr>
                <w:rFonts w:eastAsiaTheme="minorEastAsia"/>
                <w:szCs w:val="18"/>
              </w:rPr>
            </w:pPr>
            <w:r w:rsidRPr="004E62F9">
              <w:rPr>
                <w:rFonts w:eastAsiaTheme="minorEastAsia"/>
                <w:szCs w:val="18"/>
              </w:rPr>
              <w:t>Purposeful</w:t>
            </w:r>
          </w:p>
        </w:tc>
        <w:tc>
          <w:tcPr>
            <w:tcW w:w="1252" w:type="dxa"/>
            <w:tcBorders>
              <w:bottom w:val="single" w:color="auto" w:sz="4" w:space="0"/>
            </w:tcBorders>
            <w:vAlign w:val="center"/>
          </w:tcPr>
          <w:p w:rsidR="002F1209" w:rsidP="00730506" w:rsidRDefault="002F1209" w14:paraId="07BF2A55" w14:textId="77777777">
            <w:pPr>
              <w:pStyle w:val="TableText"/>
              <w:spacing w:before="60" w:after="60"/>
              <w:jc w:val="center"/>
              <w:rPr>
                <w:rFonts w:eastAsiaTheme="minorEastAsia"/>
                <w:szCs w:val="18"/>
              </w:rPr>
            </w:pPr>
            <w:r>
              <w:rPr>
                <w:rFonts w:eastAsiaTheme="minorEastAsia"/>
                <w:szCs w:val="18"/>
              </w:rPr>
              <w:t>n/a</w:t>
            </w:r>
          </w:p>
        </w:tc>
        <w:tc>
          <w:tcPr>
            <w:tcW w:w="1253" w:type="dxa"/>
            <w:tcBorders>
              <w:bottom w:val="single" w:color="auto" w:sz="4" w:space="0"/>
            </w:tcBorders>
            <w:vAlign w:val="center"/>
          </w:tcPr>
          <w:p w:rsidRPr="001E7832" w:rsidR="002F1209" w:rsidP="00730506" w:rsidRDefault="002F1209" w14:paraId="4BC7BB6C" w14:textId="77777777">
            <w:pPr>
              <w:pStyle w:val="TableText"/>
              <w:spacing w:before="60" w:after="60"/>
              <w:jc w:val="center"/>
              <w:rPr>
                <w:color w:val="FF0000"/>
              </w:rPr>
            </w:pPr>
            <w:r w:rsidRPr="001F366E">
              <w:t>2,400</w:t>
            </w:r>
            <w:r w:rsidRPr="001F366E">
              <w:rPr>
                <w:rStyle w:val="FootnoteReference"/>
              </w:rPr>
              <w:footnoteReference w:id="7"/>
            </w:r>
          </w:p>
        </w:tc>
        <w:tc>
          <w:tcPr>
            <w:tcW w:w="1253" w:type="dxa"/>
            <w:tcBorders>
              <w:bottom w:val="single" w:color="auto" w:sz="4" w:space="0"/>
            </w:tcBorders>
            <w:vAlign w:val="center"/>
          </w:tcPr>
          <w:p w:rsidRPr="001F366E" w:rsidR="002F1209" w:rsidP="00730506" w:rsidRDefault="00293878" w14:paraId="486DEF15" w14:textId="6409A3C7">
            <w:pPr>
              <w:pStyle w:val="TableText"/>
              <w:spacing w:before="60" w:after="60"/>
              <w:jc w:val="center"/>
            </w:pPr>
            <w:r w:rsidRPr="00293878">
              <w:rPr>
                <w:color w:val="FF0000"/>
              </w:rPr>
              <w:t>35</w:t>
            </w:r>
          </w:p>
        </w:tc>
        <w:tc>
          <w:tcPr>
            <w:tcW w:w="1253" w:type="dxa"/>
            <w:tcBorders>
              <w:bottom w:val="single" w:color="auto" w:sz="4" w:space="0"/>
            </w:tcBorders>
            <w:vAlign w:val="center"/>
          </w:tcPr>
          <w:p w:rsidRPr="00293878" w:rsidR="002F1209" w:rsidP="00730506" w:rsidRDefault="000B59FD" w14:paraId="3C79D218" w14:textId="46D5D527">
            <w:pPr>
              <w:pStyle w:val="TableText"/>
              <w:spacing w:before="60" w:after="60"/>
              <w:jc w:val="center"/>
              <w:rPr>
                <w:iCs/>
              </w:rPr>
            </w:pPr>
            <w:r w:rsidRPr="00293878">
              <w:rPr>
                <w:iCs/>
              </w:rPr>
              <w:t>7</w:t>
            </w:r>
            <w:r w:rsidRPr="00293878" w:rsidR="00B64E5C">
              <w:rPr>
                <w:iCs/>
              </w:rPr>
              <w:t>0</w:t>
            </w:r>
          </w:p>
        </w:tc>
        <w:tc>
          <w:tcPr>
            <w:tcW w:w="1251" w:type="dxa"/>
            <w:tcBorders>
              <w:bottom w:val="single" w:color="auto" w:sz="4" w:space="0"/>
            </w:tcBorders>
            <w:vAlign w:val="center"/>
          </w:tcPr>
          <w:p w:rsidRPr="00293878" w:rsidR="002F1209" w:rsidP="00730506" w:rsidRDefault="002F1209" w14:paraId="7A0553A3" w14:textId="77777777">
            <w:pPr>
              <w:pStyle w:val="TableText"/>
              <w:spacing w:before="60" w:after="60"/>
              <w:jc w:val="center"/>
              <w:rPr>
                <w:iCs/>
              </w:rPr>
            </w:pPr>
            <w:r w:rsidRPr="00293878">
              <w:rPr>
                <w:iCs/>
              </w:rPr>
              <w:t>24</w:t>
            </w:r>
          </w:p>
        </w:tc>
      </w:tr>
    </w:tbl>
    <w:p w:rsidRPr="001E7832" w:rsidR="007A3CA5" w:rsidP="00C25250" w:rsidRDefault="007A3CA5" w14:paraId="4285175A" w14:textId="77777777">
      <w:pPr>
        <w:pStyle w:val="TableFootnoteCaption"/>
        <w:spacing w:after="240"/>
        <w:rPr>
          <w:rFonts w:eastAsiaTheme="minorEastAsia"/>
          <w:color w:val="FF0000"/>
          <w:szCs w:val="24"/>
        </w:rPr>
      </w:pPr>
    </w:p>
    <w:p w:rsidRPr="008A06FE" w:rsidR="00743BD6" w:rsidP="00743BD6" w:rsidRDefault="00743BD6" w14:paraId="316D6A1C" w14:textId="77777777">
      <w:pPr>
        <w:pStyle w:val="H4Number"/>
      </w:pPr>
      <w:bookmarkStart w:name="_Toc496108152" w:id="2"/>
      <w:r w:rsidRPr="008A06FE">
        <w:lastRenderedPageBreak/>
        <w:t>1.</w:t>
      </w:r>
      <w:r w:rsidRPr="008A06FE">
        <w:tab/>
        <w:t>Site selection</w:t>
      </w:r>
      <w:bookmarkEnd w:id="2"/>
    </w:p>
    <w:p w:rsidRPr="008A06FE" w:rsidR="00305E32" w:rsidP="008F0900" w:rsidRDefault="003B3BE9" w14:paraId="00234F63" w14:textId="6A7F7F50">
      <w:pPr>
        <w:pStyle w:val="NormalSS"/>
      </w:pPr>
      <w:r w:rsidRPr="008A06FE">
        <w:t>A</w:t>
      </w:r>
      <w:r w:rsidRPr="008A06FE" w:rsidR="00D26F9C">
        <w:t xml:space="preserve">ll 13 pilot sites will be included in data collection for this </w:t>
      </w:r>
      <w:r w:rsidRPr="008A06FE" w:rsidR="00D34FC5">
        <w:t xml:space="preserve">study, </w:t>
      </w:r>
      <w:r w:rsidRPr="008A06FE" w:rsidR="00305E32">
        <w:t xml:space="preserve">and all 13 will be involved in a similar level of data collection activities: </w:t>
      </w:r>
      <w:r w:rsidRPr="008A06FE" w:rsidR="00303500">
        <w:t xml:space="preserve">TAP manager focus groups, participant focus groups, and </w:t>
      </w:r>
      <w:r w:rsidRPr="008A06FE" w:rsidR="0056169B">
        <w:t>Employment Navigator focus groups</w:t>
      </w:r>
      <w:r w:rsidRPr="008A06FE" w:rsidR="00AA0BD7">
        <w:t xml:space="preserve"> (all virtual)</w:t>
      </w:r>
      <w:r w:rsidRPr="008A06FE" w:rsidR="0056169B">
        <w:t xml:space="preserve">. </w:t>
      </w:r>
    </w:p>
    <w:p w:rsidRPr="00A26C24" w:rsidR="00EC1151" w:rsidP="00EC1151" w:rsidRDefault="00EC1151" w14:paraId="35720746" w14:textId="58EABEE4">
      <w:pPr>
        <w:pStyle w:val="H4Number"/>
      </w:pPr>
      <w:r w:rsidRPr="00A26C24">
        <w:t>2.</w:t>
      </w:r>
      <w:r w:rsidRPr="00A26C24">
        <w:tab/>
      </w:r>
      <w:r w:rsidR="00AF7D76">
        <w:t>F</w:t>
      </w:r>
      <w:r w:rsidRPr="00A26C24" w:rsidR="004D5B56">
        <w:t xml:space="preserve">ocus group participant </w:t>
      </w:r>
      <w:r w:rsidRPr="00A26C24">
        <w:t>selection</w:t>
      </w:r>
    </w:p>
    <w:p w:rsidRPr="00293878" w:rsidR="00C26C52" w:rsidP="00C26C52" w:rsidRDefault="00F21148" w14:paraId="582B58A4" w14:textId="004C9074">
      <w:pPr>
        <w:pStyle w:val="NormalSS"/>
      </w:pPr>
      <w:r w:rsidRPr="00293878">
        <w:t xml:space="preserve">The number of participants in each focus group will vary by respondent type, and we will aim for four to eight participants per group. </w:t>
      </w:r>
      <w:r w:rsidRPr="00293878" w:rsidR="00F34E06">
        <w:t>Virtual</w:t>
      </w:r>
      <w:r w:rsidRPr="00293878" w:rsidR="001B64AB">
        <w:t xml:space="preserve"> focus groups have higher rates of “no-shows” than in-person focus groups</w:t>
      </w:r>
      <w:r w:rsidRPr="00293878" w:rsidR="001B64AB">
        <w:rPr>
          <w:bCs/>
        </w:rPr>
        <w:t>.</w:t>
      </w:r>
      <w:r w:rsidRPr="00293878" w:rsidR="001B64AB">
        <w:rPr>
          <w:rStyle w:val="FootnoteReference"/>
          <w:bCs/>
        </w:rPr>
        <w:footnoteReference w:id="8"/>
      </w:r>
      <w:r w:rsidRPr="00293878" w:rsidR="001B64AB">
        <w:t xml:space="preserve"> We will overrecruit by 20 to 50 percent of the total number of participants to ensure an adequate focus group sample, as recommended in the research literature.</w:t>
      </w:r>
      <w:r w:rsidRPr="00293878" w:rsidR="001B64AB">
        <w:rPr>
          <w:rStyle w:val="FootnoteReference"/>
        </w:rPr>
        <w:footnoteReference w:id="9"/>
      </w:r>
      <w:r w:rsidRPr="00293878" w:rsidR="001B64AB">
        <w:t xml:space="preserve">  </w:t>
      </w:r>
      <w:r w:rsidRPr="00293878">
        <w:t xml:space="preserve">In the instances where there are more individuals of the respondent type than we can include in a focus group, we will use purposive selection to create groups that </w:t>
      </w:r>
      <w:r w:rsidRPr="00293878" w:rsidR="00FE18B5">
        <w:t xml:space="preserve">have </w:t>
      </w:r>
      <w:r w:rsidRPr="00293878">
        <w:t xml:space="preserve">a variety of viewpoints and set quotas for participant types to match the general characteristics of the population. </w:t>
      </w:r>
      <w:r w:rsidRPr="00293878" w:rsidR="00C26C52">
        <w:t xml:space="preserve">No statistical methods will be used in selecting interviewees and focus group participants. </w:t>
      </w:r>
    </w:p>
    <w:p w:rsidRPr="00293878" w:rsidR="00F21148" w:rsidP="00F21148" w:rsidRDefault="00C26C52" w14:paraId="5D2DD21D" w14:textId="4B421133">
      <w:pPr>
        <w:pStyle w:val="NormalSS"/>
      </w:pPr>
      <w:r w:rsidRPr="00293878">
        <w:rPr>
          <w:b/>
        </w:rPr>
        <w:t xml:space="preserve">Program Employment Navigators. </w:t>
      </w:r>
      <w:r w:rsidRPr="00293878" w:rsidR="00F21148">
        <w:t xml:space="preserve">For the </w:t>
      </w:r>
      <w:r w:rsidRPr="00293878" w:rsidR="00804A4E">
        <w:t>Employment Navigator</w:t>
      </w:r>
      <w:r w:rsidRPr="00293878" w:rsidR="00F21148">
        <w:t xml:space="preserve"> focus groups, we will invite one </w:t>
      </w:r>
      <w:r w:rsidRPr="00293878" w:rsidR="00804A4E">
        <w:t>Navigator</w:t>
      </w:r>
      <w:r w:rsidRPr="00293878" w:rsidR="00F21148">
        <w:t xml:space="preserve"> per site (the one with the longest tenure) to participate in a focus group, with seven to eight participants per group. Groups will mix </w:t>
      </w:r>
      <w:r w:rsidRPr="00293878" w:rsidR="00804A4E">
        <w:t>Employment Navigator</w:t>
      </w:r>
      <w:r w:rsidRPr="00293878" w:rsidR="00F21148">
        <w:t>s representing sites of different sizes, different branches, and locations (e.g., CONUS versus OCONUS) to tease out different perspectives. We will follow a similar process for selection of TAP managers if there is more than one TAP Manager at the site.</w:t>
      </w:r>
      <w:r w:rsidRPr="00293878" w:rsidR="003D39D9">
        <w:t xml:space="preserve"> We anticipate a 90 percent response rate for the employment navigator participants since they are </w:t>
      </w:r>
      <w:r w:rsidRPr="00293878" w:rsidR="008C4E18">
        <w:t xml:space="preserve">professionals </w:t>
      </w:r>
      <w:r w:rsidRPr="00293878" w:rsidR="003D39D9">
        <w:t>employed to work with the TSMs</w:t>
      </w:r>
      <w:r w:rsidRPr="00293878" w:rsidR="000D5E17">
        <w:t xml:space="preserve">, comparable to literature </w:t>
      </w:r>
      <w:r w:rsidRPr="00293878" w:rsidR="0081698A">
        <w:t>of research with professionals</w:t>
      </w:r>
      <w:r w:rsidRPr="00293878" w:rsidR="003D39D9">
        <w:t>.</w:t>
      </w:r>
      <w:r w:rsidRPr="00293878" w:rsidR="003D39D9">
        <w:rPr>
          <w:rStyle w:val="FootnoteReference"/>
        </w:rPr>
        <w:footnoteReference w:id="10"/>
      </w:r>
    </w:p>
    <w:p w:rsidRPr="00E81F70" w:rsidR="00E81F70" w:rsidP="00E81F70" w:rsidRDefault="00E67614" w14:paraId="23019020" w14:textId="52E247EB">
      <w:pPr>
        <w:pStyle w:val="NormalSS"/>
        <w:rPr>
          <w:b/>
          <w:color w:val="000000" w:themeColor="text1"/>
        </w:rPr>
      </w:pPr>
      <w:r w:rsidRPr="00654515">
        <w:rPr>
          <w:b/>
          <w:color w:val="000000" w:themeColor="text1"/>
        </w:rPr>
        <w:t xml:space="preserve">TAP </w:t>
      </w:r>
      <w:r w:rsidR="00AE0A7F">
        <w:rPr>
          <w:b/>
          <w:color w:val="000000" w:themeColor="text1"/>
        </w:rPr>
        <w:t>M</w:t>
      </w:r>
      <w:r w:rsidRPr="00654515">
        <w:rPr>
          <w:b/>
          <w:color w:val="000000" w:themeColor="text1"/>
        </w:rPr>
        <w:t xml:space="preserve">anager. </w:t>
      </w:r>
      <w:r w:rsidRPr="009675B4" w:rsidR="00AE0A7F">
        <w:rPr>
          <w:bCs/>
          <w:color w:val="000000" w:themeColor="text1"/>
        </w:rPr>
        <w:t xml:space="preserve">We anticipate that there will be only one TAP Manager at </w:t>
      </w:r>
      <w:r w:rsidRPr="009675B4" w:rsidR="00587172">
        <w:rPr>
          <w:bCs/>
          <w:color w:val="000000" w:themeColor="text1"/>
        </w:rPr>
        <w:t xml:space="preserve">each pilot </w:t>
      </w:r>
      <w:r w:rsidRPr="009675B4" w:rsidR="00AE0A7F">
        <w:rPr>
          <w:bCs/>
          <w:color w:val="000000" w:themeColor="text1"/>
        </w:rPr>
        <w:t>site.</w:t>
      </w:r>
      <w:r w:rsidRPr="00E81F70" w:rsidR="00AE0A7F">
        <w:rPr>
          <w:b/>
          <w:color w:val="000000" w:themeColor="text1"/>
        </w:rPr>
        <w:t xml:space="preserve"> </w:t>
      </w:r>
    </w:p>
    <w:p w:rsidRPr="005D5024" w:rsidR="001C0358" w:rsidP="00E81F70" w:rsidRDefault="00E67614" w14:paraId="4BA07107" w14:textId="3F9352C7">
      <w:pPr>
        <w:pStyle w:val="NormalSS"/>
        <w:rPr>
          <w:b/>
        </w:rPr>
      </w:pPr>
      <w:r w:rsidRPr="006C141A">
        <w:rPr>
          <w:b/>
          <w:color w:val="000000" w:themeColor="text1"/>
        </w:rPr>
        <w:t>Program partner</w:t>
      </w:r>
      <w:r w:rsidRPr="006C141A" w:rsidR="009675B4">
        <w:rPr>
          <w:b/>
          <w:color w:val="000000" w:themeColor="text1"/>
        </w:rPr>
        <w:t>s</w:t>
      </w:r>
      <w:r w:rsidRPr="006C141A">
        <w:rPr>
          <w:b/>
          <w:color w:val="000000" w:themeColor="text1"/>
        </w:rPr>
        <w:t>.</w:t>
      </w:r>
      <w:r w:rsidR="009675B4">
        <w:rPr>
          <w:b/>
          <w:color w:val="000000" w:themeColor="text1"/>
        </w:rPr>
        <w:t xml:space="preserve"> </w:t>
      </w:r>
      <w:r w:rsidRPr="006C141A" w:rsidR="009675B4">
        <w:rPr>
          <w:bCs/>
          <w:color w:val="000000" w:themeColor="text1"/>
        </w:rPr>
        <w:t xml:space="preserve">We will </w:t>
      </w:r>
      <w:r w:rsidR="006C141A">
        <w:rPr>
          <w:bCs/>
          <w:color w:val="000000" w:themeColor="text1"/>
        </w:rPr>
        <w:t xml:space="preserve">invite the </w:t>
      </w:r>
      <w:r w:rsidRPr="006C141A" w:rsidR="001C0358">
        <w:rPr>
          <w:bCs/>
          <w:color w:val="000000" w:themeColor="text1"/>
        </w:rPr>
        <w:t>partner organizations with the highest volume of ENPP connections sent</w:t>
      </w:r>
      <w:r w:rsidRPr="006C141A" w:rsidR="006C141A">
        <w:rPr>
          <w:bCs/>
          <w:color w:val="000000" w:themeColor="text1"/>
        </w:rPr>
        <w:t xml:space="preserve">. The </w:t>
      </w:r>
      <w:r w:rsidRPr="006C141A" w:rsidR="001C0358">
        <w:rPr>
          <w:bCs/>
          <w:color w:val="000000" w:themeColor="text1"/>
        </w:rPr>
        <w:t xml:space="preserve">staff member </w:t>
      </w:r>
      <w:r w:rsidRPr="006C141A" w:rsidR="006C141A">
        <w:rPr>
          <w:bCs/>
          <w:color w:val="000000" w:themeColor="text1"/>
        </w:rPr>
        <w:t xml:space="preserve">respondent </w:t>
      </w:r>
      <w:r w:rsidRPr="006C141A" w:rsidR="001C0358">
        <w:rPr>
          <w:bCs/>
          <w:color w:val="000000" w:themeColor="text1"/>
        </w:rPr>
        <w:t>should be someone who is involved with the project either at management or service delivery level</w:t>
      </w:r>
      <w:r w:rsidRPr="006C141A" w:rsidR="006C141A">
        <w:rPr>
          <w:bCs/>
          <w:color w:val="000000" w:themeColor="text1"/>
        </w:rPr>
        <w:t>.</w:t>
      </w:r>
      <w:r w:rsidR="00995851">
        <w:rPr>
          <w:bCs/>
          <w:color w:val="000000" w:themeColor="text1"/>
        </w:rPr>
        <w:t xml:space="preserve"> Focusing on these partners </w:t>
      </w:r>
      <w:r w:rsidR="00DB74CC">
        <w:rPr>
          <w:bCs/>
          <w:color w:val="000000" w:themeColor="text1"/>
        </w:rPr>
        <w:t xml:space="preserve">allows us to capture the perspectives of </w:t>
      </w:r>
      <w:r w:rsidRPr="00293878" w:rsidR="00DB74CC">
        <w:rPr>
          <w:bCs/>
        </w:rPr>
        <w:t>partners who have served a higher volume of participants and thus seen a wider variety of cases.</w:t>
      </w:r>
      <w:r w:rsidRPr="00293878" w:rsidR="00F57C11">
        <w:rPr>
          <w:bCs/>
        </w:rPr>
        <w:t xml:space="preserve"> We anticipate </w:t>
      </w:r>
      <w:r w:rsidRPr="00293878" w:rsidR="000B59FD">
        <w:rPr>
          <w:bCs/>
        </w:rPr>
        <w:t>a</w:t>
      </w:r>
      <w:r w:rsidRPr="00293878" w:rsidR="00F57C11">
        <w:rPr>
          <w:bCs/>
        </w:rPr>
        <w:t xml:space="preserve"> </w:t>
      </w:r>
      <w:r w:rsidRPr="00293878" w:rsidR="000B59FD">
        <w:rPr>
          <w:bCs/>
        </w:rPr>
        <w:t>7</w:t>
      </w:r>
      <w:r w:rsidRPr="00293878" w:rsidR="00F57C11">
        <w:rPr>
          <w:bCs/>
        </w:rPr>
        <w:t>0 percent response rate from program partners due to the existing relationships with DOL or VETS</w:t>
      </w:r>
      <w:r w:rsidRPr="00293878" w:rsidR="00CB0BB3">
        <w:rPr>
          <w:bCs/>
        </w:rPr>
        <w:t xml:space="preserve">. Prior research has shown that stakeholders </w:t>
      </w:r>
      <w:r w:rsidRPr="005D5024" w:rsidR="00CB0BB3">
        <w:rPr>
          <w:bCs/>
        </w:rPr>
        <w:lastRenderedPageBreak/>
        <w:t>can be helpful for recruitment.</w:t>
      </w:r>
      <w:r w:rsidRPr="005D5024" w:rsidR="00CB0BB3">
        <w:rPr>
          <w:rStyle w:val="FootnoteReference"/>
          <w:bCs/>
        </w:rPr>
        <w:footnoteReference w:id="11"/>
      </w:r>
      <w:r w:rsidRPr="005D5024" w:rsidR="00CB0BB3">
        <w:rPr>
          <w:bCs/>
        </w:rPr>
        <w:t xml:space="preserve"> H</w:t>
      </w:r>
      <w:r w:rsidRPr="005D5024" w:rsidR="00F57C11">
        <w:rPr>
          <w:bCs/>
        </w:rPr>
        <w:t xml:space="preserve">owever, we acknowledge that the response rates in the literature with service providers can </w:t>
      </w:r>
      <w:r w:rsidRPr="005D5024" w:rsidR="000B59FD">
        <w:rPr>
          <w:bCs/>
        </w:rPr>
        <w:t>also be low</w:t>
      </w:r>
      <w:r w:rsidRPr="005D5024" w:rsidR="00F57C11">
        <w:rPr>
          <w:bCs/>
        </w:rPr>
        <w:t>.</w:t>
      </w:r>
      <w:r w:rsidRPr="005D5024" w:rsidR="00CB0BB3">
        <w:rPr>
          <w:rStyle w:val="FootnoteReference"/>
          <w:bCs/>
        </w:rPr>
        <w:footnoteReference w:id="12"/>
      </w:r>
      <w:r w:rsidRPr="005D5024" w:rsidR="00F57C11">
        <w:rPr>
          <w:bCs/>
        </w:rPr>
        <w:t xml:space="preserve">  </w:t>
      </w:r>
    </w:p>
    <w:p w:rsidRPr="005D5024" w:rsidR="00BE602B" w:rsidP="58B4D9CA" w:rsidRDefault="00BE602B" w14:paraId="06066FED" w14:textId="2C9D943F">
      <w:pPr>
        <w:pStyle w:val="NormalSS"/>
        <w:rPr>
          <w:b/>
          <w:bCs/>
        </w:rPr>
      </w:pPr>
      <w:r w:rsidRPr="58B4D9CA">
        <w:rPr>
          <w:b/>
          <w:bCs/>
          <w:color w:val="000000" w:themeColor="text1"/>
        </w:rPr>
        <w:t xml:space="preserve">Military spouse participants. </w:t>
      </w:r>
      <w:r w:rsidRPr="58B4D9CA">
        <w:rPr>
          <w:color w:val="000000" w:themeColor="text1"/>
        </w:rPr>
        <w:t xml:space="preserve">We will use randomized (blind) selection among all eligible individuals at each site (military spouses who have had at least one meeting with an </w:t>
      </w:r>
      <w:r w:rsidRPr="58B4D9CA" w:rsidR="00804A4E">
        <w:rPr>
          <w:color w:val="000000" w:themeColor="text1"/>
        </w:rPr>
        <w:t>Employment Navigator</w:t>
      </w:r>
      <w:r w:rsidRPr="58B4D9CA">
        <w:rPr>
          <w:color w:val="000000" w:themeColor="text1"/>
        </w:rPr>
        <w:t>).</w:t>
      </w:r>
      <w:r w:rsidRPr="58B4D9CA">
        <w:rPr>
          <w:b/>
          <w:bCs/>
          <w:color w:val="000000" w:themeColor="text1"/>
        </w:rPr>
        <w:t xml:space="preserve"> </w:t>
      </w:r>
      <w:r w:rsidRPr="58B4D9CA">
        <w:rPr>
          <w:color w:val="000000" w:themeColor="text1"/>
        </w:rPr>
        <w:t>We will request that DOL sends ICF non-re-identifiable ID numbers for each eligible individual</w:t>
      </w:r>
      <w:r w:rsidRPr="58B4D9CA" w:rsidR="00967007">
        <w:rPr>
          <w:color w:val="000000" w:themeColor="text1"/>
        </w:rPr>
        <w:t xml:space="preserve">. </w:t>
      </w:r>
      <w:r w:rsidRPr="58B4D9CA">
        <w:rPr>
          <w:color w:val="000000" w:themeColor="text1"/>
        </w:rPr>
        <w:t xml:space="preserve">ICF will select </w:t>
      </w:r>
      <w:r w:rsidRPr="58B4D9CA" w:rsidR="1091DFB2">
        <w:rPr>
          <w:color w:val="000000" w:themeColor="text1"/>
        </w:rPr>
        <w:t>two</w:t>
      </w:r>
      <w:r w:rsidRPr="58B4D9CA">
        <w:rPr>
          <w:color w:val="000000" w:themeColor="text1"/>
        </w:rPr>
        <w:t xml:space="preserve"> to invite (and </w:t>
      </w:r>
      <w:r w:rsidRPr="58B4D9CA" w:rsidR="23DA4357">
        <w:rPr>
          <w:color w:val="000000" w:themeColor="text1"/>
        </w:rPr>
        <w:t>two</w:t>
      </w:r>
      <w:r w:rsidRPr="58B4D9CA">
        <w:rPr>
          <w:color w:val="000000" w:themeColor="text1"/>
        </w:rPr>
        <w:t xml:space="preserve"> alternates) per site</w:t>
      </w:r>
      <w:r w:rsidRPr="58B4D9CA" w:rsidR="00967007">
        <w:rPr>
          <w:color w:val="000000" w:themeColor="text1"/>
        </w:rPr>
        <w:t>, using a random numbers table</w:t>
      </w:r>
      <w:r w:rsidRPr="58B4D9CA">
        <w:rPr>
          <w:color w:val="000000" w:themeColor="text1"/>
        </w:rPr>
        <w:t xml:space="preserve">. </w:t>
      </w:r>
      <w:r w:rsidRPr="58B4D9CA" w:rsidR="005E1826">
        <w:rPr>
          <w:color w:val="000000" w:themeColor="text1"/>
        </w:rPr>
        <w:t>In the instances where there are more eligible individuals than we can include in a focus group, we will use purposive selection to create groups that</w:t>
      </w:r>
      <w:r w:rsidRPr="00BA6554" w:rsidR="005E1826">
        <w:t xml:space="preserve"> </w:t>
      </w:r>
      <w:r w:rsidRPr="00BA6554" w:rsidR="00FE18B5">
        <w:t>have</w:t>
      </w:r>
      <w:r w:rsidRPr="00BA6554" w:rsidR="00902EEE">
        <w:t xml:space="preserve"> </w:t>
      </w:r>
      <w:r w:rsidRPr="58B4D9CA" w:rsidR="005E1826">
        <w:rPr>
          <w:color w:val="000000" w:themeColor="text1"/>
        </w:rPr>
        <w:t xml:space="preserve">a variety of viewpoints and set quotas for participant types to match the general characteristics of the population (e.g., gender, military paygrade, length of </w:t>
      </w:r>
      <w:r w:rsidRPr="00902EEE" w:rsidR="005E1826">
        <w:rPr>
          <w:color w:val="000000" w:themeColor="text1"/>
        </w:rPr>
        <w:t xml:space="preserve">military </w:t>
      </w:r>
      <w:r w:rsidRPr="005D5024" w:rsidR="005E1826">
        <w:t>service).</w:t>
      </w:r>
      <w:r w:rsidRPr="005D5024" w:rsidR="00597C8E">
        <w:t xml:space="preserve"> </w:t>
      </w:r>
      <w:r w:rsidRPr="005D5024" w:rsidR="005710DA">
        <w:t>We</w:t>
      </w:r>
      <w:r w:rsidRPr="005D5024" w:rsidR="000729E2">
        <w:t xml:space="preserve"> anticipate a 50 percent response rate for the military spouse participants; a conservative estimate that is consistent with the research literature.</w:t>
      </w:r>
      <w:r w:rsidRPr="005D5024" w:rsidR="005A3790">
        <w:rPr>
          <w:rStyle w:val="FootnoteReference"/>
        </w:rPr>
        <w:footnoteReference w:id="13"/>
      </w:r>
    </w:p>
    <w:p w:rsidRPr="005D5024" w:rsidR="00E07AD8" w:rsidP="58B4D9CA" w:rsidRDefault="00E67614" w14:paraId="3D47C0B0" w14:textId="508B34B8">
      <w:pPr>
        <w:pStyle w:val="NormalSS"/>
        <w:rPr>
          <w:b/>
          <w:bCs/>
        </w:rPr>
      </w:pPr>
      <w:r w:rsidRPr="005D5024">
        <w:rPr>
          <w:b/>
          <w:bCs/>
        </w:rPr>
        <w:t>TSM (post-Navigator) participant</w:t>
      </w:r>
      <w:r w:rsidRPr="005D5024" w:rsidR="00F414A2">
        <w:rPr>
          <w:b/>
          <w:bCs/>
        </w:rPr>
        <w:t>s</w:t>
      </w:r>
      <w:r w:rsidRPr="005D5024">
        <w:rPr>
          <w:b/>
          <w:bCs/>
        </w:rPr>
        <w:t xml:space="preserve">. </w:t>
      </w:r>
      <w:r w:rsidRPr="005D5024" w:rsidR="00F414A2">
        <w:t xml:space="preserve">We will use randomized (blind) selection among all eligible individuals at each site (enlisted TSMs who have had at least one meeting with an </w:t>
      </w:r>
      <w:r w:rsidRPr="005D5024" w:rsidR="00804A4E">
        <w:t>Employment Navigator</w:t>
      </w:r>
      <w:r w:rsidRPr="005D5024" w:rsidR="00F414A2">
        <w:t>).</w:t>
      </w:r>
      <w:r w:rsidRPr="005D5024" w:rsidR="00F414A2">
        <w:rPr>
          <w:b/>
          <w:bCs/>
        </w:rPr>
        <w:t xml:space="preserve"> </w:t>
      </w:r>
      <w:r w:rsidRPr="005D5024" w:rsidR="00B47026">
        <w:t>We will request that DOL sends ICF non-re-identifiable ID numbers for each eligible individual</w:t>
      </w:r>
      <w:r w:rsidRPr="005D5024" w:rsidR="00967007">
        <w:t xml:space="preserve">. ICF will select </w:t>
      </w:r>
      <w:r w:rsidRPr="005D5024" w:rsidR="35EDD37F">
        <w:t>two</w:t>
      </w:r>
      <w:r w:rsidRPr="005D5024" w:rsidR="00967007">
        <w:t xml:space="preserve"> to invite (and </w:t>
      </w:r>
      <w:r w:rsidRPr="005D5024" w:rsidR="2F0C3D67">
        <w:t>two</w:t>
      </w:r>
      <w:r w:rsidRPr="005D5024" w:rsidR="00967007">
        <w:t xml:space="preserve"> alternates) per site, using a random numbers table.</w:t>
      </w:r>
      <w:r w:rsidRPr="005D5024" w:rsidR="00B47026">
        <w:t xml:space="preserve"> </w:t>
      </w:r>
      <w:r w:rsidRPr="005D5024" w:rsidR="005E1826">
        <w:t xml:space="preserve">In the instances where there are more eligible individuals than we can include in a focus group, we will use purposive selection to create groups that </w:t>
      </w:r>
      <w:r w:rsidRPr="005D5024" w:rsidR="00FE18B5">
        <w:t xml:space="preserve">have </w:t>
      </w:r>
      <w:r w:rsidRPr="005D5024" w:rsidR="005E1826">
        <w:t>a variety of viewpoints and set quotas for participant types to match the general characteristics of the population (e.g., gender, military paygrade, length of military service).</w:t>
      </w:r>
      <w:r w:rsidRPr="005D5024" w:rsidR="005E1826">
        <w:rPr>
          <w:b/>
          <w:bCs/>
        </w:rPr>
        <w:t xml:space="preserve"> </w:t>
      </w:r>
      <w:r w:rsidRPr="005D5024" w:rsidR="008C4E18">
        <w:t xml:space="preserve">We anticipate a 50 percent response rate for the TSM participants; a conservative estimate </w:t>
      </w:r>
      <w:r w:rsidRPr="005D5024" w:rsidR="00F34E06">
        <w:t>since</w:t>
      </w:r>
      <w:r w:rsidRPr="005D5024" w:rsidR="008C4E18">
        <w:t xml:space="preserve"> the research literature</w:t>
      </w:r>
      <w:r w:rsidRPr="005D5024" w:rsidR="00F34E06">
        <w:t xml:space="preserve"> indicates difficulty with recruitment</w:t>
      </w:r>
      <w:r w:rsidRPr="005D5024" w:rsidR="001C1704">
        <w:t xml:space="preserve"> if not directed by the commanding officer</w:t>
      </w:r>
      <w:r w:rsidRPr="005D5024" w:rsidR="008C4E18">
        <w:t>.</w:t>
      </w:r>
      <w:r w:rsidRPr="005D5024" w:rsidR="001C1704">
        <w:rPr>
          <w:rStyle w:val="FootnoteReference"/>
        </w:rPr>
        <w:footnoteReference w:id="14"/>
      </w:r>
      <w:r w:rsidRPr="005D5024" w:rsidR="001C1704">
        <w:rPr>
          <w:vertAlign w:val="superscript"/>
        </w:rPr>
        <w:t>,</w:t>
      </w:r>
      <w:r w:rsidRPr="005D5024" w:rsidR="00F34E06">
        <w:rPr>
          <w:rStyle w:val="FootnoteReference"/>
        </w:rPr>
        <w:footnoteReference w:id="15"/>
      </w:r>
    </w:p>
    <w:p w:rsidRPr="005D5024" w:rsidR="00C731FA" w:rsidP="00FC0430" w:rsidRDefault="00C731FA" w14:paraId="65083072" w14:textId="4B6CEA72">
      <w:pPr>
        <w:pStyle w:val="NormalSS"/>
        <w:rPr>
          <w:b/>
        </w:rPr>
      </w:pPr>
      <w:r w:rsidRPr="005D5024">
        <w:rPr>
          <w:b/>
        </w:rPr>
        <w:t>TSM (po</w:t>
      </w:r>
      <w:r w:rsidRPr="005D5024" w:rsidR="00BE602B">
        <w:rPr>
          <w:b/>
        </w:rPr>
        <w:t>st</w:t>
      </w:r>
      <w:r w:rsidRPr="005D5024">
        <w:rPr>
          <w:b/>
        </w:rPr>
        <w:t>-</w:t>
      </w:r>
      <w:r w:rsidRPr="005D5024" w:rsidR="00BE602B">
        <w:rPr>
          <w:b/>
        </w:rPr>
        <w:t>Partner</w:t>
      </w:r>
      <w:r w:rsidRPr="005D5024">
        <w:rPr>
          <w:b/>
        </w:rPr>
        <w:t xml:space="preserve">) participants. </w:t>
      </w:r>
      <w:r w:rsidRPr="005D5024">
        <w:rPr>
          <w:bCs/>
        </w:rPr>
        <w:t>We will use randomized (blind) selection among all eligible individuals at each site (enlisted TSMs who have had at least one meeting with an EN</w:t>
      </w:r>
      <w:r w:rsidRPr="005D5024" w:rsidR="00BE602B">
        <w:rPr>
          <w:bCs/>
        </w:rPr>
        <w:t>PP partner organization</w:t>
      </w:r>
      <w:r w:rsidRPr="005D5024">
        <w:rPr>
          <w:bCs/>
        </w:rPr>
        <w:t>).</w:t>
      </w:r>
      <w:r w:rsidRPr="005D5024">
        <w:rPr>
          <w:b/>
        </w:rPr>
        <w:t xml:space="preserve"> </w:t>
      </w:r>
      <w:r w:rsidRPr="005D5024">
        <w:rPr>
          <w:bCs/>
        </w:rPr>
        <w:t>We will request that DOL sends ICF non-re-identifiable ID numbers for each eligible individual</w:t>
      </w:r>
      <w:r w:rsidRPr="005D5024" w:rsidR="00967007">
        <w:rPr>
          <w:bCs/>
        </w:rPr>
        <w:t>. ICF will select 2 to invite (and 2 alternates) per site, using a random numbers table.</w:t>
      </w:r>
      <w:r w:rsidRPr="005D5024">
        <w:rPr>
          <w:bCs/>
        </w:rPr>
        <w:t xml:space="preserve"> </w:t>
      </w:r>
      <w:r w:rsidRPr="005D5024" w:rsidR="005E1826">
        <w:rPr>
          <w:bCs/>
        </w:rPr>
        <w:t xml:space="preserve">In the instances where there are more eligible individuals than we can include in a focus group, we will use purposive selection to create groups </w:t>
      </w:r>
      <w:r w:rsidRPr="005D5024" w:rsidR="008C4E18">
        <w:rPr>
          <w:bCs/>
        </w:rPr>
        <w:t>that have</w:t>
      </w:r>
      <w:r w:rsidRPr="005D5024" w:rsidR="005E3683">
        <w:rPr>
          <w:bCs/>
        </w:rPr>
        <w:t xml:space="preserve"> </w:t>
      </w:r>
      <w:r w:rsidRPr="005D5024" w:rsidR="005E1826">
        <w:rPr>
          <w:bCs/>
        </w:rPr>
        <w:t xml:space="preserve">a variety of viewpoints </w:t>
      </w:r>
      <w:r w:rsidRPr="005D5024" w:rsidR="005E1826">
        <w:rPr>
          <w:bCs/>
        </w:rPr>
        <w:lastRenderedPageBreak/>
        <w:t>and set quotas for participant types to match the general characteristics of the population (e.g., gender, military paygrade, length of military service).</w:t>
      </w:r>
      <w:r w:rsidRPr="005D5024" w:rsidR="005E1826">
        <w:rPr>
          <w:b/>
        </w:rPr>
        <w:t xml:space="preserve"> </w:t>
      </w:r>
      <w:r w:rsidRPr="005D5024" w:rsidR="008C4E18">
        <w:t xml:space="preserve">We anticipate a 50 percent response rate for the TSM participants; </w:t>
      </w:r>
      <w:r w:rsidRPr="005D5024" w:rsidR="00F34E06">
        <w:t>a conservative estimate since the research literature indicates difficulty with recruitment</w:t>
      </w:r>
      <w:r w:rsidRPr="005D5024" w:rsidR="00CB23AD">
        <w:t xml:space="preserve"> if not directed by the commanding officer</w:t>
      </w:r>
      <w:r w:rsidRPr="005D5024" w:rsidR="008E2BC3">
        <w:t>.</w:t>
      </w:r>
      <w:r w:rsidRPr="005D5024" w:rsidR="008E2BC3">
        <w:rPr>
          <w:rStyle w:val="FootnoteReference"/>
        </w:rPr>
        <w:footnoteReference w:id="16"/>
      </w:r>
      <w:r w:rsidRPr="005D5024" w:rsidR="00CB23AD">
        <w:rPr>
          <w:vertAlign w:val="superscript"/>
        </w:rPr>
        <w:t>,</w:t>
      </w:r>
      <w:r w:rsidRPr="005D5024" w:rsidR="008E2BC3">
        <w:rPr>
          <w:rStyle w:val="FootnoteReference"/>
        </w:rPr>
        <w:footnoteReference w:id="17"/>
      </w:r>
      <w:r w:rsidRPr="005D5024" w:rsidR="00AF7D76">
        <w:rPr>
          <w:bCs/>
        </w:rPr>
        <w:t xml:space="preserve"> </w:t>
      </w:r>
    </w:p>
    <w:p w:rsidRPr="009120A8" w:rsidR="00743BD6" w:rsidP="00743BD6" w:rsidRDefault="00743BD6" w14:paraId="5CF8CD6C" w14:textId="17D95E59">
      <w:pPr>
        <w:pStyle w:val="H3Alpha"/>
      </w:pPr>
      <w:bookmarkStart w:name="_Toc496108154" w:id="3"/>
      <w:r w:rsidRPr="009120A8">
        <w:t>B</w:t>
      </w:r>
      <w:r w:rsidRPr="009120A8" w:rsidR="004954AE">
        <w:t>.2</w:t>
      </w:r>
      <w:r w:rsidRPr="009120A8">
        <w:t>.</w:t>
      </w:r>
      <w:r w:rsidRPr="009120A8" w:rsidR="004954AE">
        <w:t xml:space="preserve"> </w:t>
      </w:r>
      <w:r w:rsidRPr="009120A8">
        <w:t>Procedures for the collection of information</w:t>
      </w:r>
      <w:bookmarkEnd w:id="3"/>
    </w:p>
    <w:p w:rsidRPr="009120A8" w:rsidR="009033FA" w:rsidP="00B006EE" w:rsidRDefault="009033FA" w14:paraId="44651A3E" w14:textId="62DC36C3">
      <w:pPr>
        <w:pStyle w:val="H4Number"/>
      </w:pPr>
      <w:r w:rsidRPr="009120A8">
        <w:t>1.</w:t>
      </w:r>
      <w:r w:rsidRPr="009120A8">
        <w:tab/>
        <w:t>Data collection procedures</w:t>
      </w:r>
    </w:p>
    <w:p w:rsidR="00E604BA" w:rsidP="00806AEB" w:rsidRDefault="007A2D7F" w14:paraId="3506EA84" w14:textId="78B82173">
      <w:pPr>
        <w:pStyle w:val="NormalSS"/>
      </w:pPr>
      <w:r w:rsidRPr="007A2D7F">
        <w:t>To supplement the information found in the program documents and ENPP performance data, ICF will collect information from key program stakeholders through focus groups</w:t>
      </w:r>
      <w:r w:rsidR="00AF2DA6">
        <w:t xml:space="preserve"> between </w:t>
      </w:r>
      <w:r w:rsidR="00A04DE9">
        <w:t xml:space="preserve">October 2021 (following PRA clearance of study) </w:t>
      </w:r>
      <w:r w:rsidR="00AF2DA6">
        <w:t>and March 2022</w:t>
      </w:r>
      <w:r w:rsidRPr="007A2D7F">
        <w:t xml:space="preserve">. </w:t>
      </w:r>
      <w:r w:rsidR="00E604BA">
        <w:t xml:space="preserve">At this point, the second half of the ENPP pilot, operations should be stabilized and any variation among sites should be apparent. </w:t>
      </w:r>
    </w:p>
    <w:p w:rsidR="007A2D7F" w:rsidP="00806AEB" w:rsidRDefault="004B3ABF" w14:paraId="5DBDDDCE" w14:textId="49CA0F89">
      <w:pPr>
        <w:pStyle w:val="NormalSS"/>
      </w:pPr>
      <w:r>
        <w:t xml:space="preserve">We will use </w:t>
      </w:r>
      <w:r w:rsidR="007A21A6">
        <w:t xml:space="preserve">structured focus group protocols, allowing data collection staff to </w:t>
      </w:r>
      <w:r w:rsidR="001D22B4">
        <w:t>home in on</w:t>
      </w:r>
      <w:r w:rsidR="007A21A6">
        <w:t xml:space="preserve"> domains of interest while also following the course of the conversation. </w:t>
      </w:r>
      <w:r w:rsidR="00F304E3">
        <w:t>Prior to data collection, we</w:t>
      </w:r>
      <w:r>
        <w:t xml:space="preserve"> </w:t>
      </w:r>
      <w:r w:rsidRPr="007A2D7F" w:rsidR="007A2D7F">
        <w:t xml:space="preserve">will ensure valid and reliable instrumentation through </w:t>
      </w:r>
      <w:r w:rsidR="00F304E3">
        <w:t xml:space="preserve">limited </w:t>
      </w:r>
      <w:r w:rsidRPr="007A2D7F" w:rsidR="007A2D7F">
        <w:t>cognitive interviewing for our focus group protocols to establish face validity</w:t>
      </w:r>
      <w:r w:rsidR="00CD2604">
        <w:t>.</w:t>
      </w:r>
    </w:p>
    <w:p w:rsidRPr="002C79BC" w:rsidR="009120A8" w:rsidP="00806AEB" w:rsidRDefault="009120A8" w14:paraId="0E8A5758" w14:textId="4DD312E2">
      <w:pPr>
        <w:pStyle w:val="NormalSS"/>
      </w:pPr>
      <w:r w:rsidRPr="002C79BC">
        <w:t>Due to the COVID-19 pandemic, onsite data collection will likely not be feasible during the study period. As a result, ICF has structured all data collection activities for virtual administration. ICF staff have extensive experience working in an online environment and use Microsoft Teams, the platform we will use for virtual data collection, daily for internal and external meetings. Furthermore, project staff are expert facilitators who are skilled in applying a culturally competent approach (including military culture) to the facilitation of dialogue, which ensures that participants are engaged and trust that the information they provide will be safeguarded, even in a virtual environment.</w:t>
      </w:r>
    </w:p>
    <w:p w:rsidRPr="00916885" w:rsidR="007A0C47" w:rsidP="007A0C47" w:rsidRDefault="00B708A6" w14:paraId="131C950E" w14:textId="267E2948">
      <w:pPr>
        <w:pStyle w:val="H4Number"/>
      </w:pPr>
      <w:bookmarkStart w:name="_Toc496108158" w:id="4"/>
      <w:r w:rsidRPr="00916885">
        <w:t>2</w:t>
      </w:r>
      <w:r w:rsidRPr="00916885" w:rsidR="007A0C47">
        <w:t>.</w:t>
      </w:r>
      <w:r w:rsidRPr="00916885" w:rsidR="007A0C47">
        <w:tab/>
      </w:r>
      <w:bookmarkEnd w:id="4"/>
      <w:r w:rsidRPr="00916885" w:rsidR="00DD59D2">
        <w:rPr>
          <w:bCs/>
        </w:rPr>
        <w:t xml:space="preserve">Statistical </w:t>
      </w:r>
      <w:r w:rsidRPr="00916885" w:rsidR="00DD59D2">
        <w:t>methodology, estimation, and degree of accuracy</w:t>
      </w:r>
    </w:p>
    <w:p w:rsidRPr="009D4425" w:rsidR="005E1826" w:rsidP="009D4425" w:rsidRDefault="00B218BB" w14:paraId="415A9225" w14:textId="2AF2E1E2">
      <w:pPr>
        <w:pStyle w:val="NormalSS"/>
        <w:rPr>
          <w:color w:val="FF0000"/>
        </w:rPr>
      </w:pPr>
      <w:r w:rsidRPr="00916885">
        <w:t xml:space="preserve">Due to the qualitative </w:t>
      </w:r>
      <w:r w:rsidRPr="00916885" w:rsidR="003A29A1">
        <w:t>and narrative nature of the data collected through the focus groups</w:t>
      </w:r>
      <w:r w:rsidRPr="00916885" w:rsidR="00F04C0F">
        <w:t xml:space="preserve">, </w:t>
      </w:r>
      <w:r w:rsidRPr="00916885" w:rsidR="00DD59D2">
        <w:t xml:space="preserve">no statistical methodology or estimation will be needed in the analysis of </w:t>
      </w:r>
      <w:r w:rsidRPr="00916885" w:rsidR="00266570">
        <w:t>focus group data.</w:t>
      </w:r>
      <w:r w:rsidR="009D4425">
        <w:t xml:space="preserve">  </w:t>
      </w:r>
      <w:r w:rsidR="00AF7D76">
        <w:t xml:space="preserve">As </w:t>
      </w:r>
      <w:r w:rsidR="00496073">
        <w:t>mentioned</w:t>
      </w:r>
      <w:r w:rsidR="00AF7D76">
        <w:t xml:space="preserve"> above, for f</w:t>
      </w:r>
      <w:r w:rsidRPr="00A26C24" w:rsidR="00AF7D76">
        <w:t>ocus group participant selection</w:t>
      </w:r>
      <w:r w:rsidR="005E1826">
        <w:t xml:space="preserve">, we will use </w:t>
      </w:r>
      <w:r w:rsidRPr="00967007" w:rsidR="005E1826">
        <w:rPr>
          <w:bCs/>
          <w:color w:val="000000" w:themeColor="text1"/>
        </w:rPr>
        <w:t>a random numbers table</w:t>
      </w:r>
      <w:r w:rsidR="00496073">
        <w:rPr>
          <w:bCs/>
          <w:color w:val="000000" w:themeColor="text1"/>
        </w:rPr>
        <w:t xml:space="preserve"> to identify invitees among the eligible universe at each site. </w:t>
      </w:r>
      <w:r w:rsidR="000F6227">
        <w:rPr>
          <w:bCs/>
          <w:color w:val="000000" w:themeColor="text1"/>
        </w:rPr>
        <w:t>I</w:t>
      </w:r>
      <w:r w:rsidRPr="00B752C6" w:rsidR="005E1826">
        <w:rPr>
          <w:bCs/>
          <w:color w:val="000000" w:themeColor="text1"/>
        </w:rPr>
        <w:t xml:space="preserve">n the instances where there are more </w:t>
      </w:r>
      <w:r w:rsidR="005E1826">
        <w:rPr>
          <w:bCs/>
          <w:color w:val="000000" w:themeColor="text1"/>
        </w:rPr>
        <w:t xml:space="preserve">eligible </w:t>
      </w:r>
      <w:r w:rsidRPr="00B752C6" w:rsidR="005E1826">
        <w:rPr>
          <w:bCs/>
          <w:color w:val="000000" w:themeColor="text1"/>
        </w:rPr>
        <w:t xml:space="preserve">individuals than we can include in a focus group, we will use purposive selection to create groups that </w:t>
      </w:r>
      <w:r w:rsidR="001C0B34">
        <w:rPr>
          <w:bCs/>
          <w:color w:val="000000" w:themeColor="text1"/>
        </w:rPr>
        <w:t xml:space="preserve">have </w:t>
      </w:r>
      <w:r w:rsidRPr="00B752C6" w:rsidR="005E1826">
        <w:rPr>
          <w:bCs/>
          <w:color w:val="000000" w:themeColor="text1"/>
        </w:rPr>
        <w:t xml:space="preserve">a variety of viewpoints and set quotas for participant types to match the general characteristics of </w:t>
      </w:r>
      <w:r w:rsidR="00FF742D">
        <w:rPr>
          <w:bCs/>
          <w:color w:val="000000" w:themeColor="text1"/>
        </w:rPr>
        <w:t xml:space="preserve">ENPP participants as a whole </w:t>
      </w:r>
      <w:r w:rsidR="005E1826">
        <w:rPr>
          <w:bCs/>
          <w:color w:val="000000" w:themeColor="text1"/>
        </w:rPr>
        <w:t>(e.g., gender, military paygrade, length of military service).</w:t>
      </w:r>
      <w:r w:rsidR="009D4425">
        <w:rPr>
          <w:bCs/>
          <w:color w:val="000000" w:themeColor="text1"/>
        </w:rPr>
        <w:t xml:space="preserve">  </w:t>
      </w:r>
    </w:p>
    <w:p w:rsidRPr="00A56037" w:rsidR="005D1A7D" w:rsidP="005D1A7D" w:rsidRDefault="005D1A7D" w14:paraId="549E31BB" w14:textId="55597B67">
      <w:pPr>
        <w:pStyle w:val="NormalSS"/>
      </w:pPr>
      <w:r w:rsidRPr="00A56037">
        <w:lastRenderedPageBreak/>
        <w:t xml:space="preserve">Prior to each focus group, we will review demographic, military service, and ENPP participation information about the individual participants provided by DOL. In the event of missing data, we may request additional information from participants via email, taking less than five minutes of time to respond. </w:t>
      </w:r>
      <w:r w:rsidR="00C0241F">
        <w:t xml:space="preserve">If the information is not received from the participant, the data will be identified as missing in demographic and background characteristics tables in the final report. We will not impute </w:t>
      </w:r>
      <w:r w:rsidRPr="005D5024" w:rsidR="00C0241F">
        <w:t xml:space="preserve">information or delete cases with missing data. </w:t>
      </w:r>
      <w:r w:rsidRPr="005D5024">
        <w:t xml:space="preserve">We will present aggregated information about the respondents (by respondent group) in the final report. Because this formative study is examining pilot implementation and </w:t>
      </w:r>
      <w:r w:rsidRPr="005D5024" w:rsidR="008C4F2B">
        <w:t xml:space="preserve">does not require a </w:t>
      </w:r>
      <w:r w:rsidRPr="005D5024">
        <w:t xml:space="preserve">representative sample of ENPP participants, </w:t>
      </w:r>
      <w:r w:rsidRPr="005D5024" w:rsidR="008C4F2B">
        <w:t>the interviews and focus groups will not be presented as statistically generalizable and response rates will not be calculated or reported.</w:t>
      </w:r>
    </w:p>
    <w:p w:rsidRPr="00916885" w:rsidR="00DB1400" w:rsidP="00F04C0F" w:rsidRDefault="00DB1400" w14:paraId="74750514" w14:textId="4C2E06DE">
      <w:pPr>
        <w:pStyle w:val="NormalSS"/>
      </w:pPr>
      <w:r w:rsidRPr="00916885">
        <w:t>Driven by the research questions and themes from the data summarization meetings, ICF will construct a framework and codebook for the qualitative data analysis. This inductive framework will allow ICF to ensure that data accurately depicts the underlying themes of the study indicated in the program’s logic model</w:t>
      </w:r>
      <w:r w:rsidRPr="00916885" w:rsidR="00916885">
        <w:t>,</w:t>
      </w:r>
      <w:r w:rsidRPr="00916885" w:rsidR="00916885">
        <w:rPr>
          <w:rStyle w:val="FootnoteReference"/>
        </w:rPr>
        <w:footnoteReference w:id="18"/>
      </w:r>
      <w:r w:rsidRPr="00916885" w:rsidR="00916885">
        <w:t xml:space="preserve"> </w:t>
      </w:r>
      <w:r w:rsidRPr="00916885">
        <w:t>as well as to code and capture unexpected implementation successes and challenges. As themes become definable throughout the data collection process, ICF will conduct interpretive analyses that test the proposed research questions and look closely at the relationships among the elements of the ENPP.</w:t>
      </w:r>
      <w:r w:rsidRPr="00916885" w:rsidR="00916885">
        <w:rPr>
          <w:rStyle w:val="FootnoteReference"/>
        </w:rPr>
        <w:footnoteReference w:id="19"/>
      </w:r>
    </w:p>
    <w:p w:rsidRPr="00A56037" w:rsidR="00FB6206" w:rsidP="00FB6206" w:rsidRDefault="00FB6206" w14:paraId="4CBECC41" w14:textId="5708810C">
      <w:pPr>
        <w:pStyle w:val="H4Number"/>
      </w:pPr>
      <w:r w:rsidRPr="00A56037">
        <w:t>2. Unusual problems requiring specialized sampling procedures</w:t>
      </w:r>
    </w:p>
    <w:p w:rsidR="0056573A" w:rsidP="0056573A" w:rsidRDefault="004C11B7" w14:paraId="4546B13B" w14:textId="015C111A">
      <w:pPr>
        <w:pStyle w:val="NormalSS"/>
      </w:pPr>
      <w:r w:rsidRPr="00375616">
        <w:t>No</w:t>
      </w:r>
      <w:r w:rsidR="009A6523">
        <w:t xml:space="preserve"> unusual problems are anticipated.</w:t>
      </w:r>
    </w:p>
    <w:p w:rsidRPr="001C0B34" w:rsidR="001C0B34" w:rsidP="001C0B34" w:rsidRDefault="001C0B34" w14:paraId="5D4F073D" w14:textId="77777777">
      <w:pPr>
        <w:pStyle w:val="H4Number"/>
      </w:pPr>
      <w:r w:rsidRPr="001C0B34">
        <w:t>3. Use of periodic (less frequent than annual) data collection cycles</w:t>
      </w:r>
    </w:p>
    <w:p w:rsidRPr="001C0B34" w:rsidR="001C0B34" w:rsidP="0056573A" w:rsidRDefault="001C0B34" w14:paraId="4408C852" w14:textId="0C39CBCD">
      <w:pPr>
        <w:pStyle w:val="NormalSS"/>
      </w:pPr>
      <w:r w:rsidRPr="001C0B34">
        <w:t>Interviews and focus groups will be conducted with the respondent groups once during the time period of the pilot program.</w:t>
      </w:r>
    </w:p>
    <w:p w:rsidRPr="00375616" w:rsidR="007A0C47" w:rsidP="00657363" w:rsidRDefault="00657363" w14:paraId="4CC6B185" w14:textId="4A831698">
      <w:pPr>
        <w:pStyle w:val="H3Alpha"/>
      </w:pPr>
      <w:bookmarkStart w:name="_Toc496108160" w:id="5"/>
      <w:r w:rsidRPr="00375616">
        <w:t>B.3.</w:t>
      </w:r>
      <w:r w:rsidRPr="00375616" w:rsidR="004954AE">
        <w:t xml:space="preserve"> </w:t>
      </w:r>
      <w:r w:rsidRPr="00375616" w:rsidR="007A0C47">
        <w:t>Methods to maximize response rates and data reliability</w:t>
      </w:r>
      <w:bookmarkEnd w:id="5"/>
    </w:p>
    <w:p w:rsidRPr="00375616" w:rsidR="006D0670" w:rsidP="006D0670" w:rsidRDefault="00352586" w14:paraId="540C0742" w14:textId="26DAC80E">
      <w:pPr>
        <w:pStyle w:val="NormalSS"/>
      </w:pPr>
      <w:r w:rsidRPr="00375616">
        <w:t xml:space="preserve">We will use the following strategies to </w:t>
      </w:r>
      <w:r w:rsidRPr="00375616" w:rsidR="005945EC">
        <w:t>maximize response rates:</w:t>
      </w:r>
    </w:p>
    <w:p w:rsidRPr="00375616" w:rsidR="003B5097" w:rsidP="005945EC" w:rsidRDefault="003B5097" w14:paraId="3615C894" w14:textId="09E2F359">
      <w:pPr>
        <w:pStyle w:val="NormalSS"/>
        <w:numPr>
          <w:ilvl w:val="0"/>
          <w:numId w:val="40"/>
        </w:numPr>
      </w:pPr>
      <w:r w:rsidRPr="00375616">
        <w:t xml:space="preserve">We will </w:t>
      </w:r>
      <w:r w:rsidRPr="00375616" w:rsidR="00AA07D0">
        <w:t xml:space="preserve">provide template language to </w:t>
      </w:r>
      <w:r w:rsidRPr="00375616">
        <w:t xml:space="preserve">ENPP staff to introduce ICF </w:t>
      </w:r>
      <w:r w:rsidRPr="00375616" w:rsidR="00271672">
        <w:t xml:space="preserve">and the study </w:t>
      </w:r>
      <w:r w:rsidRPr="00375616">
        <w:t>to the potential respondents</w:t>
      </w:r>
      <w:r w:rsidRPr="00375616" w:rsidR="00AA07D0">
        <w:t>, as trusted messengers. (The</w:t>
      </w:r>
      <w:r w:rsidRPr="00375616" w:rsidR="00271672">
        <w:t xml:space="preserve"> language will make it clear that participation is voluntary and they will no</w:t>
      </w:r>
      <w:r w:rsidR="008D433E">
        <w:t>t</w:t>
      </w:r>
      <w:r w:rsidRPr="00375616" w:rsidR="00271672">
        <w:t xml:space="preserve"> lose any benefits or services if they decline to participate).</w:t>
      </w:r>
    </w:p>
    <w:p w:rsidRPr="00375616" w:rsidR="00375616" w:rsidP="00375616" w:rsidRDefault="005945EC" w14:paraId="3401D107" w14:textId="303143D3">
      <w:pPr>
        <w:pStyle w:val="NormalSS"/>
        <w:numPr>
          <w:ilvl w:val="0"/>
          <w:numId w:val="40"/>
        </w:numPr>
      </w:pPr>
      <w:r w:rsidRPr="00375616">
        <w:t xml:space="preserve">When introducing the focus group opportunity to participants, we will provide the goals of the study, use of the study (for internal DOL use only, not for publishing), </w:t>
      </w:r>
      <w:r w:rsidRPr="00375616" w:rsidR="00B30E5C">
        <w:t>precautions for respondent privacy</w:t>
      </w:r>
      <w:r w:rsidRPr="00375616" w:rsidR="003B4ACD">
        <w:t>, and consent form.</w:t>
      </w:r>
      <w:r w:rsidR="00375616">
        <w:t xml:space="preserve"> We will </w:t>
      </w:r>
      <w:r w:rsidRPr="00375616" w:rsidR="00375616">
        <w:t xml:space="preserve">provide a phone number and email address for questions that </w:t>
      </w:r>
      <w:r w:rsidR="00375616">
        <w:t xml:space="preserve">respondents </w:t>
      </w:r>
      <w:r w:rsidRPr="00375616" w:rsidR="00375616">
        <w:t>might have.</w:t>
      </w:r>
    </w:p>
    <w:p w:rsidRPr="00375616" w:rsidR="006B5943" w:rsidP="005945EC" w:rsidRDefault="006B5943" w14:paraId="142C481F" w14:textId="2234A35D">
      <w:pPr>
        <w:pStyle w:val="NormalSS"/>
        <w:numPr>
          <w:ilvl w:val="0"/>
          <w:numId w:val="40"/>
        </w:numPr>
      </w:pPr>
      <w:r w:rsidRPr="00375616">
        <w:t xml:space="preserve">For TSMs and spouses, we will </w:t>
      </w:r>
      <w:r w:rsidRPr="00375616" w:rsidR="00E07044">
        <w:t xml:space="preserve">offer </w:t>
      </w:r>
      <w:r w:rsidRPr="00375616">
        <w:t>a $25 gift card as compensation for their time and effort.</w:t>
      </w:r>
      <w:r w:rsidR="00B62DF3">
        <w:t xml:space="preserve"> T</w:t>
      </w:r>
      <w:r w:rsidRPr="00B62DF3" w:rsidR="00B62DF3">
        <w:t xml:space="preserve">his is a nominal amount that is not large enough to be </w:t>
      </w:r>
      <w:r w:rsidR="00B62DF3">
        <w:t xml:space="preserve">considered </w:t>
      </w:r>
      <w:r w:rsidRPr="00B62DF3" w:rsidR="00B62DF3">
        <w:t xml:space="preserve">coercive for </w:t>
      </w:r>
      <w:r w:rsidRPr="00B62DF3" w:rsidR="00B62DF3">
        <w:lastRenderedPageBreak/>
        <w:t>participants</w:t>
      </w:r>
      <w:r w:rsidR="0001631B">
        <w:t>. It will serve to offset the costs of participation (</w:t>
      </w:r>
      <w:r w:rsidR="00060254">
        <w:t xml:space="preserve">e.g., child care) and </w:t>
      </w:r>
      <w:r w:rsidRPr="00B62DF3" w:rsidR="00B62DF3">
        <w:t>acknowledge that participants’ time is valuable.</w:t>
      </w:r>
    </w:p>
    <w:p w:rsidRPr="00375616" w:rsidR="00E07044" w:rsidP="005945EC" w:rsidRDefault="00E07044" w14:paraId="267089BD" w14:textId="7D131276">
      <w:pPr>
        <w:pStyle w:val="NormalSS"/>
        <w:numPr>
          <w:ilvl w:val="0"/>
          <w:numId w:val="40"/>
        </w:numPr>
      </w:pPr>
      <w:r w:rsidRPr="00375616">
        <w:t xml:space="preserve">We will be flexible in scheduling the focus groups. We will use a group scheduling software, such as Doodle, to identify a time that works for everyone. We will offer time zone-appropriate options for scheduling, and evening options if </w:t>
      </w:r>
      <w:r w:rsidRPr="00375616" w:rsidR="00600563">
        <w:t xml:space="preserve">requested. </w:t>
      </w:r>
    </w:p>
    <w:p w:rsidRPr="00375616" w:rsidR="003B4ACD" w:rsidP="005945EC" w:rsidRDefault="003B4ACD" w14:paraId="7289303A" w14:textId="619C4B6B">
      <w:pPr>
        <w:pStyle w:val="NormalSS"/>
        <w:numPr>
          <w:ilvl w:val="0"/>
          <w:numId w:val="40"/>
        </w:numPr>
      </w:pPr>
      <w:r w:rsidRPr="00375616">
        <w:t xml:space="preserve">We will provide clear step-by-step instructions for joining the </w:t>
      </w:r>
      <w:r w:rsidRPr="00375616" w:rsidR="006B5943">
        <w:t>focus group</w:t>
      </w:r>
      <w:r w:rsidRPr="00375616" w:rsidR="00600563">
        <w:t xml:space="preserve"> platform</w:t>
      </w:r>
      <w:r w:rsidRPr="00375616" w:rsidR="006B5943">
        <w:t xml:space="preserve">, and a staff on hand to address technical challenges. </w:t>
      </w:r>
    </w:p>
    <w:p w:rsidRPr="005D5024" w:rsidR="001E0AA1" w:rsidP="006D0670" w:rsidRDefault="006D0670" w14:paraId="4D6D8F24" w14:textId="146A5BBF">
      <w:pPr>
        <w:pStyle w:val="NormalSS"/>
      </w:pPr>
      <w:r w:rsidRPr="005D5024">
        <w:t xml:space="preserve">With these </w:t>
      </w:r>
      <w:r w:rsidRPr="005D5024" w:rsidR="00EC43DD">
        <w:t>strategies in place</w:t>
      </w:r>
      <w:r w:rsidRPr="005D5024">
        <w:t xml:space="preserve">, </w:t>
      </w:r>
      <w:r w:rsidRPr="005D5024" w:rsidR="00EC43DD">
        <w:t xml:space="preserve">ICF </w:t>
      </w:r>
      <w:r w:rsidRPr="005D5024">
        <w:t xml:space="preserve">anticipates a </w:t>
      </w:r>
      <w:r w:rsidRPr="005D5024" w:rsidR="006B0015">
        <w:t>conservative estimate for TSM and military spouse focus group participants (50</w:t>
      </w:r>
      <w:r w:rsidRPr="005D5024">
        <w:t xml:space="preserve"> percent response rate</w:t>
      </w:r>
      <w:r w:rsidRPr="005D5024" w:rsidR="006B0015">
        <w:t>) due to the virtual nature of the focus group.</w:t>
      </w:r>
      <w:r w:rsidRPr="005D5024" w:rsidR="006B0015">
        <w:rPr>
          <w:rStyle w:val="FootnoteReference"/>
        </w:rPr>
        <w:footnoteReference w:id="20"/>
      </w:r>
      <w:r w:rsidRPr="005D5024" w:rsidR="006B0015">
        <w:t xml:space="preserve"> </w:t>
      </w:r>
      <w:r w:rsidRPr="005D5024" w:rsidR="00CD7247">
        <w:t>We anticipate a 90 percent response rate for the employment navigator participants since they are professionals employed to work with the TSMs, comparable to literature of research with professionals.</w:t>
      </w:r>
      <w:r w:rsidRPr="005D5024" w:rsidR="00CD7247">
        <w:rPr>
          <w:rStyle w:val="FootnoteReference"/>
        </w:rPr>
        <w:footnoteReference w:id="21"/>
      </w:r>
      <w:r w:rsidRPr="005D5024" w:rsidR="001E0AA1">
        <w:t xml:space="preserve"> </w:t>
      </w:r>
    </w:p>
    <w:p w:rsidRPr="00226C2E" w:rsidR="00C46B01" w:rsidP="00226C2E" w:rsidRDefault="00807AB2" w14:paraId="2B0EB528" w14:textId="79C59FA9">
      <w:pPr>
        <w:pStyle w:val="NormalSS"/>
      </w:pPr>
      <w:r w:rsidRPr="00375616">
        <w:t xml:space="preserve">We will use the following strategies to </w:t>
      </w:r>
      <w:r w:rsidR="001A78E5">
        <w:t>protect data validity</w:t>
      </w:r>
      <w:r w:rsidRPr="00375616">
        <w:t>:</w:t>
      </w:r>
    </w:p>
    <w:p w:rsidR="00027497" w:rsidP="001A78E5" w:rsidRDefault="001A78E5" w14:paraId="23114E1C" w14:textId="469A6D82">
      <w:pPr>
        <w:pStyle w:val="NormalSS"/>
        <w:numPr>
          <w:ilvl w:val="0"/>
          <w:numId w:val="41"/>
        </w:numPr>
      </w:pPr>
      <w:r>
        <w:t xml:space="preserve">Employ </w:t>
      </w:r>
      <w:r w:rsidR="00027497">
        <w:t>experienced focus group facilitators and note</w:t>
      </w:r>
      <w:r w:rsidR="00C57C0E">
        <w:t xml:space="preserve"> </w:t>
      </w:r>
      <w:r w:rsidR="00027497">
        <w:t xml:space="preserve">takers, who have completed a project-specific training on </w:t>
      </w:r>
      <w:r w:rsidR="008F7E4B">
        <w:t xml:space="preserve">virtual </w:t>
      </w:r>
      <w:r w:rsidR="00027497">
        <w:t xml:space="preserve">focus group </w:t>
      </w:r>
      <w:r w:rsidR="00D0681C">
        <w:t xml:space="preserve">facilitation, </w:t>
      </w:r>
      <w:r w:rsidR="008F7E4B">
        <w:t xml:space="preserve">data collection with military stakeholders, and the purpose and goals of this study. </w:t>
      </w:r>
      <w:r w:rsidR="00C8172F">
        <w:t xml:space="preserve">Training included a review of the </w:t>
      </w:r>
      <w:r w:rsidR="0098178A">
        <w:t>protocols, consent forms,</w:t>
      </w:r>
      <w:r w:rsidR="00C8172F">
        <w:t xml:space="preserve"> and note-taking tools.</w:t>
      </w:r>
    </w:p>
    <w:p w:rsidR="00324A34" w:rsidP="001A78E5" w:rsidRDefault="00A53CE2" w14:paraId="055C79E1" w14:textId="1968DA69">
      <w:pPr>
        <w:pStyle w:val="NormalSS"/>
        <w:numPr>
          <w:ilvl w:val="0"/>
          <w:numId w:val="41"/>
        </w:numPr>
      </w:pPr>
      <w:r>
        <w:t xml:space="preserve">Use structured focus group </w:t>
      </w:r>
      <w:r w:rsidR="0098178A">
        <w:t xml:space="preserve">protocols and </w:t>
      </w:r>
      <w:r w:rsidR="00D01C80">
        <w:t>standardized note-taking tools.</w:t>
      </w:r>
      <w:r w:rsidR="00324A34">
        <w:t xml:space="preserve"> </w:t>
      </w:r>
    </w:p>
    <w:p w:rsidR="002E1EBA" w:rsidP="001A78E5" w:rsidRDefault="002E1EBA" w14:paraId="1E2E7C5A" w14:textId="465E87BE">
      <w:pPr>
        <w:pStyle w:val="NormalSS"/>
        <w:numPr>
          <w:ilvl w:val="0"/>
          <w:numId w:val="41"/>
        </w:numPr>
      </w:pPr>
      <w:r>
        <w:t xml:space="preserve">Video record all focus groups as a back-up to </w:t>
      </w:r>
      <w:r w:rsidR="001B582B">
        <w:t>written notes and source to confirm speakers, quotes, and context of responses.</w:t>
      </w:r>
    </w:p>
    <w:p w:rsidRPr="00C46B01" w:rsidR="00226C2E" w:rsidP="00484CCE" w:rsidRDefault="00324A34" w14:paraId="1AB9FF65" w14:textId="43FA4095">
      <w:pPr>
        <w:pStyle w:val="NormalSS"/>
        <w:numPr>
          <w:ilvl w:val="0"/>
          <w:numId w:val="41"/>
        </w:numPr>
      </w:pPr>
      <w:r>
        <w:t xml:space="preserve">Focus group facilitators will review notes as they are completed </w:t>
      </w:r>
      <w:r w:rsidR="002E1EBA">
        <w:t xml:space="preserve">to review for accuracy and completeness. They will </w:t>
      </w:r>
      <w:r>
        <w:t>provide feedback to note</w:t>
      </w:r>
      <w:r w:rsidR="00C57C0E">
        <w:t xml:space="preserve"> </w:t>
      </w:r>
      <w:r>
        <w:t xml:space="preserve">takers as appropriate. </w:t>
      </w:r>
    </w:p>
    <w:p w:rsidRPr="00B65396" w:rsidR="007A0C47" w:rsidP="007A0C47" w:rsidRDefault="004954AE" w14:paraId="68D75700" w14:textId="2227C1B9">
      <w:pPr>
        <w:pStyle w:val="H3Alpha"/>
      </w:pPr>
      <w:bookmarkStart w:name="_Toc496108166" w:id="6"/>
      <w:r w:rsidRPr="00B65396">
        <w:t>B.4</w:t>
      </w:r>
      <w:r w:rsidRPr="00B65396" w:rsidR="007A0C47">
        <w:t>.</w:t>
      </w:r>
      <w:r w:rsidRPr="00B65396">
        <w:t xml:space="preserve"> </w:t>
      </w:r>
      <w:r w:rsidRPr="00B65396" w:rsidR="007A0C47">
        <w:t>Tests of procedures or methods</w:t>
      </w:r>
      <w:bookmarkEnd w:id="6"/>
    </w:p>
    <w:p w:rsidRPr="00B65396" w:rsidR="000E1912" w:rsidP="00DA1AF1" w:rsidRDefault="00414C8F" w14:paraId="2107285E" w14:textId="2395127D">
      <w:pPr>
        <w:pStyle w:val="NormalSS"/>
      </w:pPr>
      <w:r w:rsidRPr="00B65396">
        <w:t xml:space="preserve">All protocols </w:t>
      </w:r>
      <w:r w:rsidRPr="00B65396" w:rsidR="00781778">
        <w:t xml:space="preserve">for this study </w:t>
      </w:r>
      <w:r w:rsidRPr="00B65396" w:rsidR="00DA1AF1">
        <w:t xml:space="preserve">have been reviewed </w:t>
      </w:r>
      <w:r w:rsidRPr="00B65396">
        <w:t>by content and methodological experts to ensure clarity</w:t>
      </w:r>
      <w:r w:rsidRPr="00B65396" w:rsidR="000E1912">
        <w:t xml:space="preserve">, accuracy, </w:t>
      </w:r>
      <w:r w:rsidRPr="00B65396">
        <w:t>and optimal ordering of the questions.</w:t>
      </w:r>
      <w:r w:rsidRPr="00B65396" w:rsidR="004D6454">
        <w:t xml:space="preserve"> </w:t>
      </w:r>
      <w:r w:rsidRPr="00B65396" w:rsidR="00F3713E">
        <w:t xml:space="preserve">In addition, </w:t>
      </w:r>
      <w:r w:rsidRPr="00B65396" w:rsidR="000F3EEA">
        <w:t xml:space="preserve">ICF will use </w:t>
      </w:r>
      <w:r w:rsidR="00360184">
        <w:t>the</w:t>
      </w:r>
      <w:r w:rsidRPr="00B65396" w:rsidR="00F3713E">
        <w:t xml:space="preserve"> protocols </w:t>
      </w:r>
      <w:r w:rsidRPr="00B65396" w:rsidR="008F2CE5">
        <w:t xml:space="preserve">for small-scale data collection </w:t>
      </w:r>
      <w:r w:rsidR="009D24E0">
        <w:t>with no more than nine respondents</w:t>
      </w:r>
      <w:r w:rsidRPr="00B65396" w:rsidR="009D24E0">
        <w:t xml:space="preserve"> </w:t>
      </w:r>
      <w:r w:rsidRPr="00B65396" w:rsidR="008F2CE5">
        <w:t xml:space="preserve">early in the pilot, </w:t>
      </w:r>
      <w:r w:rsidRPr="00B65396" w:rsidR="00057CE3">
        <w:t xml:space="preserve">which will serve to </w:t>
      </w:r>
      <w:r w:rsidRPr="00B65396" w:rsidR="008F2CE5">
        <w:t>validate question</w:t>
      </w:r>
      <w:r w:rsidRPr="00B65396" w:rsidR="00E811DA">
        <w:t xml:space="preserve"> clarity</w:t>
      </w:r>
      <w:r w:rsidRPr="00B65396" w:rsidR="007C280B">
        <w:t xml:space="preserve">, </w:t>
      </w:r>
      <w:r w:rsidRPr="00B65396" w:rsidR="00E811DA">
        <w:t xml:space="preserve">protocol timing, </w:t>
      </w:r>
      <w:r w:rsidRPr="00B65396" w:rsidR="007C280B">
        <w:t xml:space="preserve">feasibility of the online </w:t>
      </w:r>
      <w:r w:rsidRPr="00B65396" w:rsidR="000F3EEA">
        <w:t xml:space="preserve">meeting </w:t>
      </w:r>
      <w:r w:rsidRPr="00B65396" w:rsidR="007C280B">
        <w:t xml:space="preserve">platform for data collection, and note-taking procedures. </w:t>
      </w:r>
    </w:p>
    <w:p w:rsidRPr="004D3CC0" w:rsidR="007A0C47" w:rsidP="00A633C7" w:rsidRDefault="004954AE" w14:paraId="0DB23E64" w14:textId="58A90DC5">
      <w:pPr>
        <w:pStyle w:val="H3Alpha"/>
      </w:pPr>
      <w:bookmarkStart w:name="_Toc496108167" w:id="7"/>
      <w:r w:rsidRPr="004D3CC0">
        <w:lastRenderedPageBreak/>
        <w:t>B.5</w:t>
      </w:r>
      <w:r w:rsidRPr="004D3CC0" w:rsidR="007A0C47">
        <w:t>.</w:t>
      </w:r>
      <w:r w:rsidRPr="004D3CC0">
        <w:t xml:space="preserve"> </w:t>
      </w:r>
      <w:r w:rsidRPr="004D3CC0" w:rsidR="007A0C47">
        <w:t>Individuals consulted on statistical methods</w:t>
      </w:r>
      <w:bookmarkEnd w:id="7"/>
    </w:p>
    <w:p w:rsidRPr="004D3CC0" w:rsidR="007A0C47" w:rsidP="007A0C47" w:rsidRDefault="007A0C47" w14:paraId="0A103DAD" w14:textId="5F266B9A">
      <w:pPr>
        <w:pStyle w:val="NormalSS"/>
      </w:pPr>
      <w:r w:rsidRPr="004D3CC0">
        <w:t xml:space="preserve">The following individuals </w:t>
      </w:r>
      <w:r w:rsidRPr="004D3CC0" w:rsidR="000F45AD">
        <w:t xml:space="preserve">have been </w:t>
      </w:r>
      <w:r w:rsidRPr="004D3CC0">
        <w:t xml:space="preserve">consulted on </w:t>
      </w:r>
      <w:r w:rsidR="00E15C4A">
        <w:t xml:space="preserve">the use of statistical methods </w:t>
      </w:r>
      <w:r w:rsidRPr="004D3CC0" w:rsidR="000F45AD">
        <w:t xml:space="preserve">for </w:t>
      </w:r>
      <w:r w:rsidRPr="004D3CC0">
        <w:t xml:space="preserve">the </w:t>
      </w:r>
      <w:r w:rsidRPr="004D3CC0" w:rsidR="004D3CC0">
        <w:t xml:space="preserve">study </w:t>
      </w:r>
      <w:r w:rsidRPr="004D3CC0">
        <w:t>design:</w:t>
      </w:r>
    </w:p>
    <w:p w:rsidR="000F45AD" w:rsidP="000F45AD" w:rsidRDefault="000F45AD" w14:paraId="339214D8" w14:textId="77777777">
      <w:pPr>
        <w:spacing w:line="240" w:lineRule="auto"/>
        <w:ind w:firstLine="0"/>
        <w:contextualSpacing/>
        <w:rPr>
          <w:b/>
        </w:rPr>
      </w:pPr>
      <w:r w:rsidRPr="006A2735">
        <w:t>Peter Mueser</w:t>
      </w:r>
      <w:r>
        <w:t>, PhD</w:t>
      </w:r>
    </w:p>
    <w:p w:rsidR="000F45AD" w:rsidP="000F45AD" w:rsidRDefault="000F45AD" w14:paraId="06366695" w14:textId="77777777">
      <w:pPr>
        <w:spacing w:line="240" w:lineRule="auto"/>
        <w:ind w:firstLine="0"/>
        <w:contextualSpacing/>
        <w:rPr>
          <w:b/>
        </w:rPr>
      </w:pPr>
      <w:r>
        <w:t>Professor, Department of Economics and Truman School of Public Affairs</w:t>
      </w:r>
    </w:p>
    <w:p w:rsidR="000F45AD" w:rsidP="000F45AD" w:rsidRDefault="000F45AD" w14:paraId="700A19DF" w14:textId="77777777">
      <w:pPr>
        <w:spacing w:line="240" w:lineRule="auto"/>
        <w:ind w:firstLine="0"/>
        <w:contextualSpacing/>
        <w:rPr>
          <w:b/>
        </w:rPr>
      </w:pPr>
      <w:r>
        <w:t>University of Missouri</w:t>
      </w:r>
    </w:p>
    <w:p w:rsidR="000F45AD" w:rsidP="000F45AD" w:rsidRDefault="000F45AD" w14:paraId="4E8F859C" w14:textId="77777777">
      <w:pPr>
        <w:spacing w:line="240" w:lineRule="auto"/>
        <w:ind w:firstLine="0"/>
        <w:contextualSpacing/>
      </w:pPr>
      <w:r>
        <w:t>Columbia, MO 65211</w:t>
      </w:r>
    </w:p>
    <w:p w:rsidR="000F45AD" w:rsidP="000F45AD" w:rsidRDefault="000F45AD" w14:paraId="7305866A" w14:textId="77777777">
      <w:pPr>
        <w:spacing w:line="240" w:lineRule="auto"/>
        <w:ind w:firstLine="0"/>
        <w:contextualSpacing/>
      </w:pPr>
    </w:p>
    <w:p w:rsidR="000F45AD" w:rsidP="000F45AD" w:rsidRDefault="000F45AD" w14:paraId="36027B0F" w14:textId="77777777">
      <w:pPr>
        <w:spacing w:line="240" w:lineRule="auto"/>
        <w:ind w:firstLine="0"/>
        <w:contextualSpacing/>
      </w:pPr>
      <w:r w:rsidRPr="006D7191">
        <w:t>Meredith Kleykamp</w:t>
      </w:r>
      <w:r>
        <w:t>, PhD</w:t>
      </w:r>
    </w:p>
    <w:p w:rsidR="000F45AD" w:rsidP="000F45AD" w:rsidRDefault="000F45AD" w14:paraId="1837AD51" w14:textId="77777777">
      <w:pPr>
        <w:spacing w:line="240" w:lineRule="auto"/>
        <w:ind w:firstLine="0"/>
        <w:contextualSpacing/>
      </w:pPr>
      <w:r w:rsidRPr="006D7191">
        <w:t>Associate Professor and Associate Chair</w:t>
      </w:r>
      <w:r>
        <w:t xml:space="preserve">, Department </w:t>
      </w:r>
      <w:r w:rsidRPr="006D7191">
        <w:t>of Sociology</w:t>
      </w:r>
    </w:p>
    <w:p w:rsidR="000F45AD" w:rsidP="000F45AD" w:rsidRDefault="000F45AD" w14:paraId="2B00BF1D" w14:textId="77777777">
      <w:pPr>
        <w:spacing w:line="240" w:lineRule="auto"/>
        <w:ind w:firstLine="0"/>
        <w:contextualSpacing/>
      </w:pPr>
      <w:r w:rsidRPr="006D7191">
        <w:t>Director</w:t>
      </w:r>
      <w:r>
        <w:t xml:space="preserve">, </w:t>
      </w:r>
      <w:r w:rsidRPr="006D7191">
        <w:t>Center for Research on Military Organization</w:t>
      </w:r>
    </w:p>
    <w:p w:rsidR="000F45AD" w:rsidP="000F45AD" w:rsidRDefault="000F45AD" w14:paraId="56B08856" w14:textId="77777777">
      <w:pPr>
        <w:spacing w:line="240" w:lineRule="auto"/>
        <w:ind w:firstLine="0"/>
        <w:contextualSpacing/>
      </w:pPr>
      <w:r w:rsidRPr="006D7191">
        <w:t>University of Maryland</w:t>
      </w:r>
      <w:r>
        <w:t xml:space="preserve"> </w:t>
      </w:r>
    </w:p>
    <w:p w:rsidR="000F45AD" w:rsidP="000F45AD" w:rsidRDefault="000F45AD" w14:paraId="4D6B2C0D" w14:textId="77777777">
      <w:pPr>
        <w:spacing w:line="240" w:lineRule="auto"/>
        <w:ind w:firstLine="0"/>
        <w:contextualSpacing/>
      </w:pPr>
      <w:r w:rsidRPr="00EE55D9">
        <w:t>College Park, MD 20742</w:t>
      </w:r>
    </w:p>
    <w:p w:rsidRPr="00AD43FF" w:rsidR="007A0C47" w:rsidP="0093768A" w:rsidRDefault="007A0C47" w14:paraId="145AABC1" w14:textId="71189450">
      <w:pPr>
        <w:pStyle w:val="NormalSS"/>
        <w:ind w:firstLine="0"/>
      </w:pPr>
    </w:p>
    <w:p w:rsidRPr="00AD43FF" w:rsidR="0093768A" w:rsidP="0093768A" w:rsidRDefault="0093768A" w14:paraId="2160BF95" w14:textId="6D229EA5">
      <w:pPr>
        <w:pStyle w:val="NormalSS"/>
      </w:pPr>
      <w:r w:rsidRPr="00AD43FF">
        <w:t xml:space="preserve">The following individuals consulted on </w:t>
      </w:r>
      <w:r w:rsidRPr="00AD43FF" w:rsidR="00E15C4A">
        <w:t xml:space="preserve">the use of statistical methods </w:t>
      </w:r>
      <w:r w:rsidRPr="00AD43FF" w:rsidR="00785D72">
        <w:t xml:space="preserve">for </w:t>
      </w:r>
      <w:r w:rsidRPr="00AD43FF">
        <w:t xml:space="preserve">the </w:t>
      </w:r>
      <w:r w:rsidRPr="00AD43FF" w:rsidR="00785D72">
        <w:t xml:space="preserve">study </w:t>
      </w:r>
      <w:r w:rsidRPr="00AD43FF">
        <w:t>design and will also be primarily responsible for actually collecting and analyzing the data for the agency:</w:t>
      </w:r>
    </w:p>
    <w:p w:rsidRPr="00AD43FF" w:rsidR="0093768A" w:rsidP="0093768A" w:rsidRDefault="00AE099B" w14:paraId="17A287AE" w14:textId="1419B669">
      <w:pPr>
        <w:pStyle w:val="NormalSS"/>
        <w:rPr>
          <w:b/>
        </w:rPr>
      </w:pPr>
      <w:r w:rsidRPr="00AD43FF">
        <w:rPr>
          <w:b/>
        </w:rPr>
        <w:t>ICF</w:t>
      </w:r>
    </w:p>
    <w:p w:rsidRPr="00AD43FF" w:rsidR="00785D72" w:rsidP="0093768A" w:rsidRDefault="00785D72" w14:paraId="13215071" w14:textId="2DD47379">
      <w:pPr>
        <w:pStyle w:val="NormalSS"/>
        <w:spacing w:after="0"/>
      </w:pPr>
      <w:r w:rsidRPr="00AD43FF">
        <w:t>Dr. Rose</w:t>
      </w:r>
      <w:r w:rsidR="00E51268">
        <w:t>marie</w:t>
      </w:r>
      <w:r w:rsidRPr="00AD43FF">
        <w:t xml:space="preserve"> O’Conner</w:t>
      </w:r>
      <w:r w:rsidRPr="00AD43FF" w:rsidR="00AD43FF">
        <w:tab/>
      </w:r>
      <w:r w:rsidRPr="00AD43FF" w:rsidR="00AD43FF">
        <w:tab/>
        <w:t>(703) 251-0361</w:t>
      </w:r>
    </w:p>
    <w:p w:rsidRPr="00AD43FF" w:rsidR="0093768A" w:rsidP="0093768A" w:rsidRDefault="0093768A" w14:paraId="513BDBCD" w14:textId="4D397E98">
      <w:pPr>
        <w:pStyle w:val="NormalSS"/>
        <w:spacing w:after="0"/>
      </w:pPr>
      <w:r w:rsidRPr="00AD43FF">
        <w:t xml:space="preserve">Ms. </w:t>
      </w:r>
      <w:r w:rsidRPr="00AD43FF" w:rsidR="00AE099B">
        <w:t>Emily Appel-Newby</w:t>
      </w:r>
      <w:r w:rsidRPr="00AD43FF">
        <w:tab/>
      </w:r>
      <w:r w:rsidRPr="00AD43FF">
        <w:tab/>
        <w:t>(</w:t>
      </w:r>
      <w:r w:rsidRPr="00AD43FF" w:rsidR="00785D72">
        <w:t>703)</w:t>
      </w:r>
      <w:r w:rsidRPr="00AD43FF" w:rsidR="00AD43FF">
        <w:t xml:space="preserve"> </w:t>
      </w:r>
      <w:r w:rsidRPr="00AD43FF" w:rsidR="00785D72">
        <w:t>225-2409</w:t>
      </w:r>
    </w:p>
    <w:p w:rsidRPr="00AD43FF" w:rsidR="00785D72" w:rsidP="0093768A" w:rsidRDefault="00785D72" w14:paraId="3F6DFA3B" w14:textId="1165A6B2">
      <w:pPr>
        <w:pStyle w:val="NormalSS"/>
        <w:spacing w:after="0"/>
      </w:pPr>
      <w:r w:rsidRPr="00AD43FF">
        <w:t>Dr. Shelley Osborn</w:t>
      </w:r>
      <w:r w:rsidRPr="00AD43FF" w:rsidR="00674BE2">
        <w:tab/>
      </w:r>
      <w:r w:rsidRPr="00AD43FF" w:rsidR="00674BE2">
        <w:tab/>
      </w:r>
      <w:r w:rsidRPr="00AD43FF" w:rsidR="00674BE2">
        <w:tab/>
        <w:t>(714) 357</w:t>
      </w:r>
      <w:r w:rsidRPr="00AD43FF" w:rsidR="00AD43FF">
        <w:t>-</w:t>
      </w:r>
      <w:r w:rsidRPr="00AD43FF" w:rsidR="00674BE2">
        <w:t>5667</w:t>
      </w:r>
    </w:p>
    <w:p w:rsidRPr="001E7832" w:rsidR="0093768A" w:rsidP="00AC0F01" w:rsidRDefault="0093768A" w14:paraId="56FEA517" w14:textId="6E9547D1">
      <w:pPr>
        <w:pStyle w:val="NormalSS"/>
        <w:rPr>
          <w:color w:val="FF0000"/>
        </w:rPr>
      </w:pPr>
    </w:p>
    <w:p w:rsidRPr="001E7832" w:rsidR="00900420" w:rsidP="00AE7AF8" w:rsidRDefault="00900420" w14:paraId="2D2B77D6" w14:textId="47F19424">
      <w:pPr>
        <w:rPr>
          <w:rFonts w:ascii="Arial" w:hAnsi="Arial" w:cs="Arial"/>
          <w:color w:val="FF0000"/>
          <w:sz w:val="22"/>
          <w:szCs w:val="22"/>
        </w:rPr>
      </w:pPr>
    </w:p>
    <w:sectPr w:rsidRPr="001E7832" w:rsidR="00900420" w:rsidSect="00383C6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8049" w14:textId="77777777" w:rsidR="00F51C7C" w:rsidRDefault="00F51C7C" w:rsidP="002E3E35">
      <w:pPr>
        <w:spacing w:line="240" w:lineRule="auto"/>
      </w:pPr>
      <w:r>
        <w:separator/>
      </w:r>
    </w:p>
  </w:endnote>
  <w:endnote w:type="continuationSeparator" w:id="0">
    <w:p w14:paraId="1D9A0A16" w14:textId="77777777" w:rsidR="00F51C7C" w:rsidRDefault="00F51C7C" w:rsidP="002E3E35">
      <w:pPr>
        <w:spacing w:line="240" w:lineRule="auto"/>
      </w:pPr>
      <w:r>
        <w:continuationSeparator/>
      </w:r>
    </w:p>
  </w:endnote>
  <w:endnote w:type="continuationNotice" w:id="1">
    <w:p w14:paraId="3E3E9D34" w14:textId="77777777" w:rsidR="00F51C7C" w:rsidRDefault="00F51C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928900"/>
      <w:docPartObj>
        <w:docPartGallery w:val="Page Numbers (Bottom of Page)"/>
        <w:docPartUnique/>
      </w:docPartObj>
    </w:sdtPr>
    <w:sdtEndPr>
      <w:rPr>
        <w:noProof/>
      </w:rPr>
    </w:sdtEndPr>
    <w:sdtContent>
      <w:p w14:paraId="7BC8A5AA" w14:textId="286E0758" w:rsidR="000D4FD0" w:rsidRDefault="000D4FD0" w:rsidP="00F706D6">
        <w:pPr>
          <w:pStyle w:val="Footer"/>
          <w:jc w:val="center"/>
        </w:pPr>
        <w:r>
          <w:fldChar w:fldCharType="begin"/>
        </w:r>
        <w:r>
          <w:instrText xml:space="preserve"> PAGE   \* MERGEFORMAT </w:instrText>
        </w:r>
        <w:r>
          <w:fldChar w:fldCharType="separate"/>
        </w:r>
        <w:r w:rsidR="0010360A">
          <w:rPr>
            <w:noProof/>
          </w:rPr>
          <w:t>8</w:t>
        </w:r>
        <w:r>
          <w:rPr>
            <w:noProof/>
          </w:rPr>
          <w:fldChar w:fldCharType="end"/>
        </w:r>
      </w:p>
    </w:sdtContent>
  </w:sdt>
  <w:p w14:paraId="57D2D0D9" w14:textId="77777777" w:rsidR="007E647B" w:rsidRPr="00900420" w:rsidRDefault="007E647B" w:rsidP="00900420">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28A2" w14:textId="77777777" w:rsidR="00F51C7C" w:rsidRDefault="00F51C7C" w:rsidP="00203E3B">
      <w:pPr>
        <w:spacing w:line="240" w:lineRule="auto"/>
        <w:ind w:firstLine="0"/>
      </w:pPr>
      <w:r>
        <w:separator/>
      </w:r>
    </w:p>
  </w:footnote>
  <w:footnote w:type="continuationSeparator" w:id="0">
    <w:p w14:paraId="5EB763FF" w14:textId="77777777" w:rsidR="00F51C7C" w:rsidRDefault="00F51C7C" w:rsidP="00203E3B">
      <w:pPr>
        <w:spacing w:line="240" w:lineRule="auto"/>
        <w:ind w:firstLine="0"/>
      </w:pPr>
      <w:r>
        <w:separator/>
      </w:r>
    </w:p>
    <w:p w14:paraId="3C841A5C" w14:textId="77777777" w:rsidR="00F51C7C" w:rsidRPr="00157CA2" w:rsidRDefault="00F51C7C" w:rsidP="00203E3B">
      <w:pPr>
        <w:spacing w:after="120" w:line="240" w:lineRule="auto"/>
        <w:ind w:firstLine="0"/>
        <w:rPr>
          <w:sz w:val="20"/>
        </w:rPr>
      </w:pPr>
      <w:r w:rsidRPr="00157CA2">
        <w:rPr>
          <w:i/>
          <w:sz w:val="20"/>
        </w:rPr>
        <w:t>(continued)</w:t>
      </w:r>
    </w:p>
  </w:footnote>
  <w:footnote w:type="continuationNotice" w:id="1">
    <w:p w14:paraId="5659BA1C" w14:textId="77777777" w:rsidR="00F51C7C" w:rsidRDefault="00F51C7C">
      <w:pPr>
        <w:spacing w:line="240" w:lineRule="auto"/>
      </w:pPr>
    </w:p>
  </w:footnote>
  <w:footnote w:id="2">
    <w:p w14:paraId="112D59AC" w14:textId="7B4C221C" w:rsidR="006A04F3" w:rsidRPr="0058698A" w:rsidRDefault="006A04F3" w:rsidP="00A1510C">
      <w:pPr>
        <w:pStyle w:val="FootnoteText"/>
        <w:spacing w:after="0"/>
        <w:rPr>
          <w:sz w:val="18"/>
          <w:szCs w:val="18"/>
        </w:rPr>
      </w:pPr>
      <w:r w:rsidRPr="0058698A">
        <w:rPr>
          <w:rStyle w:val="FootnoteReference"/>
          <w:sz w:val="18"/>
          <w:szCs w:val="18"/>
        </w:rPr>
        <w:footnoteRef/>
      </w:r>
      <w:r w:rsidRPr="0058698A">
        <w:rPr>
          <w:sz w:val="18"/>
          <w:szCs w:val="18"/>
        </w:rPr>
        <w:t xml:space="preserve"> The same TAP manager may be contacted twice over two years because it is anticipated to be the same person in the role both years; the other respondent groups will be recruited uniquely each year. We also anticipate a need and opportunity to do follow-up data collection for clarification with a small number of each respondent type. </w:t>
      </w:r>
    </w:p>
  </w:footnote>
  <w:footnote w:id="3">
    <w:p w14:paraId="51DFD8B0" w14:textId="3A1D2F76" w:rsidR="00C27B3D" w:rsidRPr="0058698A" w:rsidRDefault="00C27B3D" w:rsidP="00A1510C">
      <w:pPr>
        <w:pStyle w:val="FootnoteText"/>
        <w:spacing w:after="0"/>
        <w:rPr>
          <w:sz w:val="18"/>
          <w:szCs w:val="18"/>
        </w:rPr>
      </w:pPr>
      <w:r w:rsidRPr="0058698A">
        <w:rPr>
          <w:rStyle w:val="FootnoteReference"/>
          <w:sz w:val="18"/>
          <w:szCs w:val="18"/>
        </w:rPr>
        <w:footnoteRef/>
      </w:r>
      <w:r w:rsidRPr="0058698A">
        <w:rPr>
          <w:sz w:val="18"/>
          <w:szCs w:val="18"/>
        </w:rPr>
        <w:t xml:space="preserve"> DOL reported 14-15 new spouse cases in May and June 2021</w:t>
      </w:r>
      <w:r w:rsidR="004A3AE3" w:rsidRPr="0058698A">
        <w:rPr>
          <w:sz w:val="18"/>
          <w:szCs w:val="18"/>
        </w:rPr>
        <w:t>. To be conservative, these estimates assume that the rate of new enrollments doubles for the remaining 9 months of the pilot (</w:t>
      </w:r>
      <w:r w:rsidR="00F118E2" w:rsidRPr="0058698A">
        <w:rPr>
          <w:sz w:val="18"/>
          <w:szCs w:val="18"/>
        </w:rPr>
        <w:t xml:space="preserve">90 per </w:t>
      </w:r>
      <w:r w:rsidR="00492F4C" w:rsidRPr="0058698A">
        <w:rPr>
          <w:sz w:val="18"/>
          <w:szCs w:val="18"/>
        </w:rPr>
        <w:t>quarter</w:t>
      </w:r>
      <w:r w:rsidR="00F118E2" w:rsidRPr="0058698A">
        <w:rPr>
          <w:sz w:val="18"/>
          <w:szCs w:val="18"/>
        </w:rPr>
        <w:t>)</w:t>
      </w:r>
      <w:r w:rsidR="00492F4C" w:rsidRPr="0058698A">
        <w:rPr>
          <w:sz w:val="18"/>
          <w:szCs w:val="18"/>
        </w:rPr>
        <w:t xml:space="preserve"> </w:t>
      </w:r>
      <w:r w:rsidR="004A3AE3" w:rsidRPr="0058698A">
        <w:rPr>
          <w:sz w:val="18"/>
          <w:szCs w:val="18"/>
        </w:rPr>
        <w:t xml:space="preserve">reaching a total of </w:t>
      </w:r>
      <w:r w:rsidR="00303471" w:rsidRPr="0058698A">
        <w:rPr>
          <w:sz w:val="18"/>
          <w:szCs w:val="18"/>
        </w:rPr>
        <w:t>315</w:t>
      </w:r>
      <w:r w:rsidR="00492F4C" w:rsidRPr="0058698A">
        <w:rPr>
          <w:sz w:val="18"/>
          <w:szCs w:val="18"/>
        </w:rPr>
        <w:t>.</w:t>
      </w:r>
    </w:p>
  </w:footnote>
  <w:footnote w:id="4">
    <w:p w14:paraId="51BADEF1" w14:textId="2EC9E46A" w:rsidR="00B74D3D" w:rsidRPr="0058698A" w:rsidRDefault="00B74D3D" w:rsidP="00A1510C">
      <w:pPr>
        <w:pStyle w:val="FootnoteText"/>
        <w:spacing w:after="0"/>
        <w:rPr>
          <w:sz w:val="18"/>
          <w:szCs w:val="18"/>
        </w:rPr>
      </w:pPr>
      <w:r w:rsidRPr="0058698A">
        <w:rPr>
          <w:rStyle w:val="FootnoteReference"/>
          <w:sz w:val="18"/>
          <w:szCs w:val="18"/>
        </w:rPr>
        <w:footnoteRef/>
      </w:r>
      <w:r w:rsidRPr="0058698A">
        <w:rPr>
          <w:sz w:val="18"/>
          <w:szCs w:val="18"/>
        </w:rPr>
        <w:t xml:space="preserve"> DOL reported 620 total cases as of June 30, 2021 (3 months into the pilot)</w:t>
      </w:r>
      <w:r w:rsidR="007A6775" w:rsidRPr="0058698A">
        <w:rPr>
          <w:sz w:val="18"/>
          <w:szCs w:val="18"/>
        </w:rPr>
        <w:t>, half of which have had a verified connection/warm handover to a partner</w:t>
      </w:r>
      <w:r w:rsidRPr="0058698A">
        <w:rPr>
          <w:sz w:val="18"/>
          <w:szCs w:val="18"/>
        </w:rPr>
        <w:t xml:space="preserve">. </w:t>
      </w:r>
      <w:r w:rsidR="008360AC" w:rsidRPr="0058698A">
        <w:rPr>
          <w:sz w:val="18"/>
          <w:szCs w:val="18"/>
        </w:rPr>
        <w:t>To be conservative, t</w:t>
      </w:r>
      <w:r w:rsidRPr="0058698A">
        <w:rPr>
          <w:sz w:val="18"/>
          <w:szCs w:val="18"/>
        </w:rPr>
        <w:t xml:space="preserve">hese </w:t>
      </w:r>
      <w:r w:rsidR="008360AC" w:rsidRPr="0058698A">
        <w:rPr>
          <w:sz w:val="18"/>
          <w:szCs w:val="18"/>
        </w:rPr>
        <w:t xml:space="preserve">estimates assume that the rate of new enrollments doubles for the remaining </w:t>
      </w:r>
      <w:r w:rsidR="00062A49" w:rsidRPr="0058698A">
        <w:rPr>
          <w:sz w:val="18"/>
          <w:szCs w:val="18"/>
        </w:rPr>
        <w:t xml:space="preserve">9 months </w:t>
      </w:r>
      <w:r w:rsidR="008360AC" w:rsidRPr="0058698A">
        <w:rPr>
          <w:sz w:val="18"/>
          <w:szCs w:val="18"/>
        </w:rPr>
        <w:t xml:space="preserve">of the pilot </w:t>
      </w:r>
      <w:r w:rsidR="00062A49" w:rsidRPr="0058698A">
        <w:rPr>
          <w:sz w:val="18"/>
          <w:szCs w:val="18"/>
        </w:rPr>
        <w:t>(</w:t>
      </w:r>
      <w:r w:rsidR="00F118E2" w:rsidRPr="0058698A">
        <w:rPr>
          <w:sz w:val="18"/>
          <w:szCs w:val="18"/>
        </w:rPr>
        <w:t xml:space="preserve">1,240 per </w:t>
      </w:r>
      <w:r w:rsidR="00492F4C" w:rsidRPr="0058698A">
        <w:rPr>
          <w:sz w:val="18"/>
          <w:szCs w:val="18"/>
        </w:rPr>
        <w:t>quarter</w:t>
      </w:r>
      <w:r w:rsidR="00F118E2" w:rsidRPr="0058698A">
        <w:rPr>
          <w:sz w:val="18"/>
          <w:szCs w:val="18"/>
        </w:rPr>
        <w:t xml:space="preserve">), </w:t>
      </w:r>
      <w:r w:rsidR="00062A49" w:rsidRPr="0058698A">
        <w:rPr>
          <w:sz w:val="18"/>
          <w:szCs w:val="18"/>
        </w:rPr>
        <w:t>reaching a total of 4,</w:t>
      </w:r>
      <w:r w:rsidR="00266522" w:rsidRPr="0058698A">
        <w:rPr>
          <w:sz w:val="18"/>
          <w:szCs w:val="18"/>
        </w:rPr>
        <w:t>34</w:t>
      </w:r>
      <w:r w:rsidR="00062A49" w:rsidRPr="0058698A">
        <w:rPr>
          <w:sz w:val="18"/>
          <w:szCs w:val="18"/>
        </w:rPr>
        <w:t>0</w:t>
      </w:r>
      <w:r w:rsidR="007A6775" w:rsidRPr="0058698A">
        <w:rPr>
          <w:sz w:val="18"/>
          <w:szCs w:val="18"/>
        </w:rPr>
        <w:t>.</w:t>
      </w:r>
    </w:p>
  </w:footnote>
  <w:footnote w:id="5">
    <w:p w14:paraId="028E8C20" w14:textId="4125893A" w:rsidR="002F1209" w:rsidRPr="0058698A" w:rsidRDefault="002F1209" w:rsidP="00A1510C">
      <w:pPr>
        <w:pStyle w:val="FootnoteText"/>
        <w:spacing w:after="0"/>
        <w:rPr>
          <w:sz w:val="18"/>
          <w:szCs w:val="18"/>
        </w:rPr>
      </w:pPr>
      <w:r w:rsidRPr="0058698A">
        <w:rPr>
          <w:rStyle w:val="FootnoteReference"/>
          <w:sz w:val="18"/>
          <w:szCs w:val="18"/>
        </w:rPr>
        <w:footnoteRef/>
      </w:r>
      <w:r w:rsidRPr="0058698A">
        <w:rPr>
          <w:sz w:val="18"/>
          <w:szCs w:val="18"/>
        </w:rPr>
        <w:t xml:space="preserve"> </w:t>
      </w:r>
      <w:r w:rsidR="00200CBA" w:rsidRPr="0058698A">
        <w:rPr>
          <w:sz w:val="18"/>
          <w:szCs w:val="18"/>
        </w:rPr>
        <w:t>P</w:t>
      </w:r>
      <w:r w:rsidRPr="0058698A">
        <w:rPr>
          <w:sz w:val="18"/>
          <w:szCs w:val="18"/>
        </w:rPr>
        <w:t>rogram partner</w:t>
      </w:r>
      <w:r w:rsidR="00200CBA" w:rsidRPr="0058698A">
        <w:rPr>
          <w:sz w:val="18"/>
          <w:szCs w:val="18"/>
        </w:rPr>
        <w:t xml:space="preserve"> staff </w:t>
      </w:r>
      <w:r w:rsidRPr="0058698A">
        <w:rPr>
          <w:sz w:val="18"/>
          <w:szCs w:val="18"/>
        </w:rPr>
        <w:t>may be contacted twice over two years because it is anticipated to be the same person in the role both years.</w:t>
      </w:r>
    </w:p>
  </w:footnote>
  <w:footnote w:id="6">
    <w:p w14:paraId="7730F1A1" w14:textId="77777777" w:rsidR="002F1209" w:rsidRPr="0058698A" w:rsidRDefault="002F1209" w:rsidP="00A1510C">
      <w:pPr>
        <w:pStyle w:val="FootnoteText"/>
        <w:spacing w:after="0"/>
        <w:rPr>
          <w:sz w:val="18"/>
          <w:szCs w:val="18"/>
        </w:rPr>
      </w:pPr>
      <w:r w:rsidRPr="0058698A">
        <w:rPr>
          <w:rStyle w:val="FootnoteReference"/>
          <w:sz w:val="18"/>
          <w:szCs w:val="18"/>
        </w:rPr>
        <w:footnoteRef/>
      </w:r>
      <w:r w:rsidRPr="0058698A">
        <w:rPr>
          <w:sz w:val="18"/>
          <w:szCs w:val="18"/>
        </w:rPr>
        <w:t xml:space="preserve"> To date VETS has engaged nine nongovernmental partners and anticipates engaging more. We use 20 for estimation purposes. </w:t>
      </w:r>
    </w:p>
  </w:footnote>
  <w:footnote w:id="7">
    <w:p w14:paraId="2BB2B4A9" w14:textId="6059127B" w:rsidR="002F1209" w:rsidRPr="0058698A" w:rsidRDefault="002F1209" w:rsidP="00A1510C">
      <w:pPr>
        <w:pStyle w:val="FootnoteText"/>
        <w:spacing w:after="0"/>
        <w:rPr>
          <w:sz w:val="18"/>
          <w:szCs w:val="18"/>
        </w:rPr>
      </w:pPr>
      <w:r w:rsidRPr="0058698A">
        <w:rPr>
          <w:rStyle w:val="FootnoteReference"/>
          <w:sz w:val="18"/>
          <w:szCs w:val="18"/>
        </w:rPr>
        <w:footnoteRef/>
      </w:r>
      <w:r w:rsidRPr="0058698A">
        <w:rPr>
          <w:sz w:val="18"/>
          <w:szCs w:val="18"/>
        </w:rPr>
        <w:t xml:space="preserve"> According to DOL </w:t>
      </w:r>
      <w:hyperlink r:id="rId1" w:history="1">
        <w:r w:rsidRPr="0058698A">
          <w:rPr>
            <w:rStyle w:val="Hyperlink"/>
            <w:sz w:val="18"/>
            <w:szCs w:val="18"/>
          </w:rPr>
          <w:t>CareerOneStop</w:t>
        </w:r>
      </w:hyperlink>
      <w:r w:rsidRPr="0058698A">
        <w:rPr>
          <w:sz w:val="18"/>
          <w:szCs w:val="18"/>
        </w:rPr>
        <w:t xml:space="preserve">, there are approximately 2,400 AJCs. </w:t>
      </w:r>
      <w:r w:rsidR="006425F9">
        <w:rPr>
          <w:sz w:val="18"/>
          <w:szCs w:val="18"/>
        </w:rPr>
        <w:t>P</w:t>
      </w:r>
      <w:r w:rsidRPr="0058698A">
        <w:rPr>
          <w:sz w:val="18"/>
          <w:szCs w:val="18"/>
        </w:rPr>
        <w:t>otentially all AJCs could receive referrals.</w:t>
      </w:r>
    </w:p>
  </w:footnote>
  <w:footnote w:id="8">
    <w:p w14:paraId="147BBF94" w14:textId="77777777" w:rsidR="001B64AB" w:rsidRPr="00293878" w:rsidRDefault="001B64AB" w:rsidP="001B64AB">
      <w:pPr>
        <w:pStyle w:val="FootnoteText"/>
      </w:pPr>
      <w:r w:rsidRPr="00293878">
        <w:rPr>
          <w:rStyle w:val="FootnoteReference"/>
        </w:rPr>
        <w:footnoteRef/>
      </w:r>
      <w:r w:rsidRPr="00293878">
        <w:t xml:space="preserve"> Daniels, N., Gillen, P., Casson, K., &amp; Wilson, I. (2019). STEER: Factors to consider when designing online focus groups using audiovisual technology in health research. </w:t>
      </w:r>
      <w:r w:rsidRPr="00293878">
        <w:rPr>
          <w:i/>
          <w:iCs/>
        </w:rPr>
        <w:t>International Journal of Qualitative Methods</w:t>
      </w:r>
      <w:r w:rsidRPr="00293878">
        <w:t xml:space="preserve">, </w:t>
      </w:r>
      <w:r w:rsidRPr="00293878">
        <w:rPr>
          <w:i/>
          <w:iCs/>
        </w:rPr>
        <w:t>18</w:t>
      </w:r>
      <w:r w:rsidRPr="00293878">
        <w:t xml:space="preserve">, 1-11. https://doi.org/10.1177/1609406919885786 </w:t>
      </w:r>
    </w:p>
  </w:footnote>
  <w:footnote w:id="9">
    <w:p w14:paraId="1CCAB09F" w14:textId="77777777" w:rsidR="001B64AB" w:rsidRPr="00293878" w:rsidRDefault="001B64AB" w:rsidP="001B64AB">
      <w:pPr>
        <w:pStyle w:val="FootnoteText"/>
      </w:pPr>
      <w:r w:rsidRPr="00293878">
        <w:rPr>
          <w:rStyle w:val="FootnoteReference"/>
        </w:rPr>
        <w:footnoteRef/>
      </w:r>
      <w:r w:rsidRPr="00293878">
        <w:t xml:space="preserve"> Onwuegbuzie, A. J., Dickinson, W. B., Leech, N. L., &amp; Zoran, A. G. (2009). A qualitative framework for collecting and analyzing data in focus group research. </w:t>
      </w:r>
      <w:r w:rsidRPr="00293878">
        <w:rPr>
          <w:i/>
          <w:iCs/>
        </w:rPr>
        <w:t>International Journal of Qualitative Methods</w:t>
      </w:r>
      <w:r w:rsidRPr="00293878">
        <w:t xml:space="preserve">, </w:t>
      </w:r>
      <w:r w:rsidRPr="00293878">
        <w:rPr>
          <w:i/>
        </w:rPr>
        <w:t>8</w:t>
      </w:r>
      <w:r w:rsidRPr="00293878">
        <w:t>(3), 1-21.</w:t>
      </w:r>
    </w:p>
  </w:footnote>
  <w:footnote w:id="10">
    <w:p w14:paraId="718C7CFA" w14:textId="3D91D89B" w:rsidR="003D39D9" w:rsidRDefault="003D39D9">
      <w:pPr>
        <w:pStyle w:val="FootnoteText"/>
      </w:pPr>
      <w:r w:rsidRPr="00293878">
        <w:rPr>
          <w:rStyle w:val="FootnoteReference"/>
        </w:rPr>
        <w:footnoteRef/>
      </w:r>
      <w:r w:rsidRPr="00293878">
        <w:t xml:space="preserve"> Snape S. (2021). The Value of Conceptual Encounter methodology in exploring women’s experience of identity work in career choices and transitions. </w:t>
      </w:r>
      <w:r w:rsidRPr="00293878">
        <w:rPr>
          <w:i/>
          <w:iCs/>
        </w:rPr>
        <w:t>International Journal of Evidence Based Coaching and Mentoring</w:t>
      </w:r>
      <w:r w:rsidRPr="00293878">
        <w:t xml:space="preserve">. 15, 270-282. https://doi.org/10.24384/9z87-qr07 </w:t>
      </w:r>
    </w:p>
  </w:footnote>
  <w:footnote w:id="11">
    <w:p w14:paraId="6DF6CFC7" w14:textId="32D52A8D" w:rsidR="00CB0BB3" w:rsidRPr="005D5024" w:rsidRDefault="00CB0BB3">
      <w:pPr>
        <w:pStyle w:val="FootnoteText"/>
      </w:pPr>
      <w:r w:rsidRPr="005D5024">
        <w:rPr>
          <w:rStyle w:val="FootnoteReference"/>
        </w:rPr>
        <w:footnoteRef/>
      </w:r>
      <w:r w:rsidRPr="005D5024">
        <w:t xml:space="preserve"> </w:t>
      </w:r>
      <w:proofErr w:type="spellStart"/>
      <w:r w:rsidRPr="005D5024">
        <w:t>Bonisteel</w:t>
      </w:r>
      <w:proofErr w:type="spellEnd"/>
      <w:r w:rsidRPr="005D5024">
        <w:t xml:space="preserve">, I., Shulman, R., </w:t>
      </w:r>
      <w:proofErr w:type="spellStart"/>
      <w:r w:rsidRPr="005D5024">
        <w:t>Newhook</w:t>
      </w:r>
      <w:proofErr w:type="spellEnd"/>
      <w:r w:rsidRPr="005D5024">
        <w:t xml:space="preserve">, L. A., Guttmann, A., Smith, S., &amp; Chafe, R. (2021). Reconceptualizing recruitment in qualitative research. </w:t>
      </w:r>
      <w:r w:rsidRPr="005D5024">
        <w:rPr>
          <w:i/>
          <w:iCs/>
        </w:rPr>
        <w:t>International Journal of Qualitative Methods</w:t>
      </w:r>
      <w:r w:rsidRPr="005D5024">
        <w:t>, 1–12. https://doi.org/10.1177/16094069211042493</w:t>
      </w:r>
    </w:p>
  </w:footnote>
  <w:footnote w:id="12">
    <w:p w14:paraId="3C85F406" w14:textId="14A94A7E" w:rsidR="00CB0BB3" w:rsidRPr="005D5024" w:rsidRDefault="00CB0BB3">
      <w:pPr>
        <w:pStyle w:val="FootnoteText"/>
      </w:pPr>
      <w:r w:rsidRPr="005D5024">
        <w:rPr>
          <w:rStyle w:val="FootnoteReference"/>
        </w:rPr>
        <w:footnoteRef/>
      </w:r>
      <w:r w:rsidRPr="005D5024">
        <w:t xml:space="preserve"> Wolf, M. R., Eliseo-Arras, R. K., Brenner, M., &amp; </w:t>
      </w:r>
      <w:proofErr w:type="spellStart"/>
      <w:r w:rsidRPr="005D5024">
        <w:t>Nochajski</w:t>
      </w:r>
      <w:proofErr w:type="spellEnd"/>
      <w:r w:rsidRPr="005D5024">
        <w:t xml:space="preserve">, T. H. (2017). “This will help your children”: Service providers’ experiences with military families during cycles of deployment. </w:t>
      </w:r>
      <w:r w:rsidRPr="005D5024">
        <w:rPr>
          <w:i/>
          <w:iCs/>
        </w:rPr>
        <w:t>Journal of Family Social Work</w:t>
      </w:r>
      <w:r w:rsidRPr="005D5024">
        <w:t xml:space="preserve">, </w:t>
      </w:r>
      <w:r w:rsidRPr="005D5024">
        <w:rPr>
          <w:i/>
          <w:iCs/>
        </w:rPr>
        <w:t>20</w:t>
      </w:r>
      <w:r w:rsidRPr="005D5024">
        <w:t>(1), 26–40.</w:t>
      </w:r>
    </w:p>
  </w:footnote>
  <w:footnote w:id="13">
    <w:p w14:paraId="344CF33A" w14:textId="67F46BD9" w:rsidR="005A3790" w:rsidRPr="005D5024" w:rsidRDefault="005A3790">
      <w:pPr>
        <w:pStyle w:val="FootnoteText"/>
      </w:pPr>
      <w:r w:rsidRPr="005D5024">
        <w:rPr>
          <w:rStyle w:val="FootnoteReference"/>
        </w:rPr>
        <w:footnoteRef/>
      </w:r>
      <w:r w:rsidRPr="005D5024">
        <w:t xml:space="preserve"> </w:t>
      </w:r>
      <w:proofErr w:type="spellStart"/>
      <w:r w:rsidRPr="005D5024">
        <w:t>Mailey</w:t>
      </w:r>
      <w:proofErr w:type="spellEnd"/>
      <w:r w:rsidRPr="005D5024">
        <w:t xml:space="preserve">, E., Mershon, C., Joyce, J., &amp; Irwin, B. (2018). “Everything else comes first”: a mixed-methods analysis of barriers to health behaviors among military spouses. </w:t>
      </w:r>
      <w:r w:rsidRPr="005D5024">
        <w:rPr>
          <w:i/>
          <w:iCs/>
        </w:rPr>
        <w:t>BMC Public Health</w:t>
      </w:r>
      <w:r w:rsidRPr="005D5024">
        <w:t xml:space="preserve">, </w:t>
      </w:r>
      <w:r w:rsidRPr="005D5024">
        <w:rPr>
          <w:i/>
          <w:iCs/>
        </w:rPr>
        <w:t>18</w:t>
      </w:r>
      <w:r w:rsidRPr="005D5024">
        <w:t>(1), 1–11.</w:t>
      </w:r>
    </w:p>
  </w:footnote>
  <w:footnote w:id="14">
    <w:p w14:paraId="20245B85" w14:textId="24AE78FA" w:rsidR="001C1704" w:rsidRPr="005D5024" w:rsidRDefault="001C1704">
      <w:pPr>
        <w:pStyle w:val="FootnoteText"/>
      </w:pPr>
      <w:r w:rsidRPr="005D5024">
        <w:rPr>
          <w:rStyle w:val="FootnoteReference"/>
        </w:rPr>
        <w:footnoteRef/>
      </w:r>
      <w:r w:rsidRPr="005D5024">
        <w:t xml:space="preserve"> Kay, S. S., </w:t>
      </w:r>
      <w:proofErr w:type="spellStart"/>
      <w:r w:rsidRPr="005D5024">
        <w:t>Lagana</w:t>
      </w:r>
      <w:proofErr w:type="spellEnd"/>
      <w:r w:rsidRPr="005D5024">
        <w:t xml:space="preserve">-Riordan, C., </w:t>
      </w:r>
      <w:proofErr w:type="spellStart"/>
      <w:r w:rsidRPr="005D5024">
        <w:t>Pecko</w:t>
      </w:r>
      <w:proofErr w:type="spellEnd"/>
      <w:r w:rsidRPr="005D5024">
        <w:t xml:space="preserve">, J., Bender, A. A., &amp; Millikan, A. M. (2015). Conducting focus groups with military populations: Lessons learned from the field. </w:t>
      </w:r>
      <w:r w:rsidRPr="005D5024">
        <w:rPr>
          <w:i/>
          <w:iCs/>
        </w:rPr>
        <w:t>Journal of Ethnographic &amp; Qualitative Research</w:t>
      </w:r>
      <w:r w:rsidRPr="005D5024">
        <w:t xml:space="preserve">, </w:t>
      </w:r>
      <w:r w:rsidRPr="005D5024">
        <w:rPr>
          <w:i/>
          <w:iCs/>
        </w:rPr>
        <w:t>9</w:t>
      </w:r>
      <w:r w:rsidRPr="005D5024">
        <w:t>(3), 209–220.</w:t>
      </w:r>
    </w:p>
  </w:footnote>
  <w:footnote w:id="15">
    <w:p w14:paraId="2CBBEA06" w14:textId="4ECEE747" w:rsidR="00F34E06" w:rsidRDefault="00F34E06">
      <w:pPr>
        <w:pStyle w:val="FootnoteText"/>
      </w:pPr>
      <w:r w:rsidRPr="005D5024">
        <w:rPr>
          <w:rStyle w:val="FootnoteReference"/>
        </w:rPr>
        <w:footnoteRef/>
      </w:r>
      <w:r w:rsidRPr="005D5024">
        <w:t xml:space="preserve"> </w:t>
      </w:r>
      <w:proofErr w:type="spellStart"/>
      <w:r w:rsidRPr="005D5024">
        <w:t>Besse</w:t>
      </w:r>
      <w:proofErr w:type="spellEnd"/>
      <w:r w:rsidRPr="005D5024">
        <w:t xml:space="preserve">, K., Toomey, T. L., Hunt, S., Lenk, K. M., </w:t>
      </w:r>
      <w:proofErr w:type="spellStart"/>
      <w:r w:rsidRPr="005D5024">
        <w:t>Widome</w:t>
      </w:r>
      <w:proofErr w:type="spellEnd"/>
      <w:r w:rsidRPr="005D5024">
        <w:t xml:space="preserve">, R., &amp; Nelson, T. F. (2018). How soldiers perceive the drinking environment in communities near military installations. </w:t>
      </w:r>
      <w:r w:rsidRPr="005D5024">
        <w:rPr>
          <w:i/>
          <w:iCs/>
        </w:rPr>
        <w:t>Journal of Alcohol and Drug Education</w:t>
      </w:r>
      <w:r w:rsidRPr="005D5024">
        <w:t xml:space="preserve">, </w:t>
      </w:r>
      <w:r w:rsidRPr="005D5024">
        <w:rPr>
          <w:i/>
          <w:iCs/>
        </w:rPr>
        <w:t>62</w:t>
      </w:r>
      <w:r w:rsidRPr="005D5024">
        <w:t>(1), 71–90.</w:t>
      </w:r>
    </w:p>
  </w:footnote>
  <w:footnote w:id="16">
    <w:p w14:paraId="5EA86F95" w14:textId="4A72A596" w:rsidR="008E2BC3" w:rsidRPr="005D5024" w:rsidRDefault="008E2BC3">
      <w:pPr>
        <w:pStyle w:val="FootnoteText"/>
      </w:pPr>
      <w:r w:rsidRPr="005D5024">
        <w:rPr>
          <w:rStyle w:val="FootnoteReference"/>
        </w:rPr>
        <w:footnoteRef/>
      </w:r>
      <w:r w:rsidRPr="005D5024">
        <w:t xml:space="preserve"> Kay, S. S., </w:t>
      </w:r>
      <w:proofErr w:type="spellStart"/>
      <w:r w:rsidRPr="005D5024">
        <w:t>Lagana</w:t>
      </w:r>
      <w:proofErr w:type="spellEnd"/>
      <w:r w:rsidRPr="005D5024">
        <w:t xml:space="preserve">-Riordan, C., </w:t>
      </w:r>
      <w:proofErr w:type="spellStart"/>
      <w:r w:rsidRPr="005D5024">
        <w:t>Pecko</w:t>
      </w:r>
      <w:proofErr w:type="spellEnd"/>
      <w:r w:rsidRPr="005D5024">
        <w:t xml:space="preserve">, J., Bender, A. A., &amp; Millikan, A. M. (2015). Conducting focus groups with military populations: Lessons learned from the field. </w:t>
      </w:r>
      <w:r w:rsidRPr="005D5024">
        <w:rPr>
          <w:i/>
          <w:iCs/>
        </w:rPr>
        <w:t>Journal of Ethnographic &amp; Qualitative Research</w:t>
      </w:r>
      <w:r w:rsidRPr="005D5024">
        <w:t xml:space="preserve">, </w:t>
      </w:r>
      <w:r w:rsidRPr="005D5024">
        <w:rPr>
          <w:i/>
          <w:iCs/>
        </w:rPr>
        <w:t>9</w:t>
      </w:r>
      <w:r w:rsidRPr="005D5024">
        <w:t>(3), 209–220.</w:t>
      </w:r>
    </w:p>
  </w:footnote>
  <w:footnote w:id="17">
    <w:p w14:paraId="0FEB45D2" w14:textId="14A206AB" w:rsidR="008E2BC3" w:rsidRDefault="008E2BC3">
      <w:pPr>
        <w:pStyle w:val="FootnoteText"/>
      </w:pPr>
      <w:r w:rsidRPr="005D5024">
        <w:rPr>
          <w:rStyle w:val="FootnoteReference"/>
        </w:rPr>
        <w:footnoteRef/>
      </w:r>
      <w:r w:rsidRPr="005D5024">
        <w:t xml:space="preserve"> </w:t>
      </w:r>
      <w:proofErr w:type="spellStart"/>
      <w:r w:rsidRPr="005D5024">
        <w:t>Besse</w:t>
      </w:r>
      <w:proofErr w:type="spellEnd"/>
      <w:r w:rsidRPr="005D5024">
        <w:t xml:space="preserve">, K., Toomey, T. L., Hunt, S., Lenk, K. M., </w:t>
      </w:r>
      <w:proofErr w:type="spellStart"/>
      <w:r w:rsidRPr="005D5024">
        <w:t>Widome</w:t>
      </w:r>
      <w:proofErr w:type="spellEnd"/>
      <w:r w:rsidRPr="005D5024">
        <w:t xml:space="preserve">, R., &amp; Nelson, T. F. (2018). How soldiers perceive the drinking environment in communities near military installations. </w:t>
      </w:r>
      <w:r w:rsidRPr="005D5024">
        <w:rPr>
          <w:i/>
          <w:iCs/>
        </w:rPr>
        <w:t>Journal of Alcohol and Drug Education</w:t>
      </w:r>
      <w:r w:rsidRPr="005D5024">
        <w:t xml:space="preserve">, </w:t>
      </w:r>
      <w:r w:rsidRPr="005D5024">
        <w:rPr>
          <w:i/>
          <w:iCs/>
        </w:rPr>
        <w:t>62</w:t>
      </w:r>
      <w:r w:rsidRPr="005D5024">
        <w:t>(1), 71–90.</w:t>
      </w:r>
    </w:p>
  </w:footnote>
  <w:footnote w:id="18">
    <w:p w14:paraId="5B7A68A9" w14:textId="3C80A4E4" w:rsidR="00916885" w:rsidRPr="0058698A" w:rsidRDefault="00916885" w:rsidP="00A1510C">
      <w:pPr>
        <w:pStyle w:val="FootnoteText"/>
        <w:spacing w:after="0"/>
        <w:rPr>
          <w:sz w:val="18"/>
          <w:szCs w:val="18"/>
        </w:rPr>
      </w:pPr>
      <w:r w:rsidRPr="0058698A">
        <w:rPr>
          <w:rStyle w:val="FootnoteReference"/>
          <w:sz w:val="18"/>
          <w:szCs w:val="18"/>
        </w:rPr>
        <w:footnoteRef/>
      </w:r>
      <w:r w:rsidRPr="0058698A">
        <w:rPr>
          <w:sz w:val="18"/>
          <w:szCs w:val="18"/>
        </w:rPr>
        <w:t xml:space="preserve"> LeCompte, M., &amp; Schensul, J. (2010). Designing and conducting ethnographic research (2nd ed.). Lanham, MD: Alta Mira Press.</w:t>
      </w:r>
    </w:p>
  </w:footnote>
  <w:footnote w:id="19">
    <w:p w14:paraId="7B0B132B" w14:textId="2A7B80E3" w:rsidR="00916885" w:rsidRPr="0058698A" w:rsidRDefault="00916885" w:rsidP="00A1510C">
      <w:pPr>
        <w:pStyle w:val="FootnoteText"/>
        <w:spacing w:after="0"/>
        <w:rPr>
          <w:sz w:val="18"/>
          <w:szCs w:val="18"/>
        </w:rPr>
      </w:pPr>
      <w:r w:rsidRPr="0058698A">
        <w:rPr>
          <w:rStyle w:val="FootnoteReference"/>
          <w:sz w:val="18"/>
          <w:szCs w:val="18"/>
        </w:rPr>
        <w:footnoteRef/>
      </w:r>
      <w:r w:rsidRPr="0058698A">
        <w:rPr>
          <w:sz w:val="18"/>
          <w:szCs w:val="18"/>
        </w:rPr>
        <w:t xml:space="preserve"> LeCompte, M., &amp; Schensul, J. (2010). Designing and conducting ethnographic research (2nd ed.). Lanham, MD: Alta Mira Press.</w:t>
      </w:r>
    </w:p>
  </w:footnote>
  <w:footnote w:id="20">
    <w:p w14:paraId="759F56FA" w14:textId="68361A2D" w:rsidR="006B0015" w:rsidRPr="005D5024" w:rsidRDefault="006B0015">
      <w:pPr>
        <w:pStyle w:val="FootnoteText"/>
      </w:pPr>
      <w:r w:rsidRPr="005D5024">
        <w:rPr>
          <w:rStyle w:val="FootnoteReference"/>
        </w:rPr>
        <w:footnoteRef/>
      </w:r>
      <w:r w:rsidRPr="005D5024">
        <w:t xml:space="preserve"> Daniels, N., Gillen, P., Casson, K., &amp; Wilson, I. (2019). STEER: Factors to consider when designing online focus groups using audiovisual technology in health research. </w:t>
      </w:r>
      <w:r w:rsidRPr="005D5024">
        <w:rPr>
          <w:i/>
          <w:iCs/>
        </w:rPr>
        <w:t>International Journal of Qualitative Methods</w:t>
      </w:r>
      <w:r w:rsidRPr="005D5024">
        <w:t xml:space="preserve">, </w:t>
      </w:r>
      <w:r w:rsidRPr="005D5024">
        <w:rPr>
          <w:i/>
          <w:iCs/>
        </w:rPr>
        <w:t>18</w:t>
      </w:r>
      <w:r w:rsidRPr="005D5024">
        <w:t>, 1-11. https://doi.org/10.1177/1609406919885786</w:t>
      </w:r>
    </w:p>
  </w:footnote>
  <w:footnote w:id="21">
    <w:p w14:paraId="667CFE1A" w14:textId="77777777" w:rsidR="00CD7247" w:rsidRDefault="00CD7247" w:rsidP="00CD7247">
      <w:pPr>
        <w:pStyle w:val="FootnoteText"/>
      </w:pPr>
      <w:r w:rsidRPr="005D5024">
        <w:rPr>
          <w:rStyle w:val="FootnoteReference"/>
        </w:rPr>
        <w:footnoteRef/>
      </w:r>
      <w:r w:rsidRPr="005D5024">
        <w:t xml:space="preserve"> Snape S. (2021). The Value of Conceptual Encounter methodology in exploring women’s experience of identity work in career choices and transitions. </w:t>
      </w:r>
      <w:r w:rsidRPr="005D5024">
        <w:rPr>
          <w:i/>
          <w:iCs/>
        </w:rPr>
        <w:t>International Journal of Evidence Based Coaching and Mentoring</w:t>
      </w:r>
      <w:r w:rsidRPr="005D5024">
        <w:t xml:space="preserve">. 15, 270-282. https://doi.org/10.24384/9z87-qr07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CD0E" w14:textId="77777777" w:rsidR="000D4FD0" w:rsidRPr="008F0900" w:rsidRDefault="000D4FD0" w:rsidP="008F0900">
    <w:pPr>
      <w:spacing w:line="240" w:lineRule="auto"/>
      <w:ind w:firstLine="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8ADE" w14:textId="398ADDEA" w:rsidR="00371F42" w:rsidRDefault="00371F42" w:rsidP="00371F42">
    <w:pPr>
      <w:pStyle w:val="Header"/>
    </w:pPr>
    <w:r w:rsidRPr="006D108A">
      <w:t xml:space="preserve">PART </w:t>
    </w:r>
    <w:r>
      <w:t>B</w:t>
    </w:r>
    <w:r w:rsidRPr="006D108A">
      <w:t xml:space="preserve">: JUSTIFICATION for Evaluation of </w:t>
    </w:r>
    <w:r w:rsidRPr="00760328">
      <w:t xml:space="preserve">Transition Assistance Program Employment Navigator and Partnership Pilot </w:t>
    </w:r>
  </w:p>
  <w:p w14:paraId="54D65603" w14:textId="77777777" w:rsidR="00D57431" w:rsidRPr="00B237BF" w:rsidRDefault="00D57431" w:rsidP="00D57431">
    <w:pPr>
      <w:pStyle w:val="Header"/>
      <w:rPr>
        <w:rFonts w:ascii="Times New Roman" w:hAnsi="Times New Roman"/>
        <w:sz w:val="18"/>
        <w:szCs w:val="18"/>
      </w:rPr>
    </w:pPr>
    <w:r>
      <w:rPr>
        <w:rFonts w:ascii="Times New Roman" w:hAnsi="Times New Roman"/>
        <w:sz w:val="18"/>
        <w:szCs w:val="18"/>
      </w:rPr>
      <w:t xml:space="preserve">OMB No. </w:t>
    </w:r>
    <w:r w:rsidRPr="004213A7">
      <w:rPr>
        <w:rFonts w:ascii="Times New Roman" w:hAnsi="Times New Roman"/>
        <w:sz w:val="18"/>
        <w:szCs w:val="18"/>
        <w:highlight w:val="yellow"/>
      </w:rPr>
      <w:t>1290-0NEW</w:t>
    </w:r>
    <w:r w:rsidRPr="00B237BF">
      <w:rPr>
        <w:rFonts w:ascii="Times New Roman" w:hAnsi="Times New Roman"/>
        <w:sz w:val="18"/>
        <w:szCs w:val="18"/>
      </w:rPr>
      <w:t xml:space="preserve"> </w:t>
    </w:r>
  </w:p>
  <w:p w14:paraId="77560A39" w14:textId="0B6B2391" w:rsidR="00D57431" w:rsidRPr="00383C69" w:rsidRDefault="00C57C0E" w:rsidP="00383C69">
    <w:pPr>
      <w:pStyle w:val="Header"/>
      <w:spacing w:after="240"/>
      <w:rPr>
        <w:rFonts w:ascii="Times New Roman" w:hAnsi="Times New Roman"/>
        <w:sz w:val="18"/>
        <w:szCs w:val="18"/>
      </w:rPr>
    </w:pPr>
    <w:r>
      <w:rPr>
        <w:rFonts w:ascii="Times New Roman" w:hAnsi="Times New Roman"/>
        <w:sz w:val="18"/>
        <w:szCs w:val="18"/>
      </w:rPr>
      <w:t>August</w:t>
    </w:r>
    <w:r w:rsidR="004213A7">
      <w:rPr>
        <w:rFonts w:ascii="Times New Roman" w:hAnsi="Times New Roman"/>
        <w:sz w:val="18"/>
        <w:szCs w:val="1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8751A"/>
    <w:multiLevelType w:val="multilevel"/>
    <w:tmpl w:val="7592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39BB"/>
    <w:multiLevelType w:val="hybridMultilevel"/>
    <w:tmpl w:val="986039A8"/>
    <w:lvl w:ilvl="0" w:tplc="AE3E12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5564236"/>
    <w:multiLevelType w:val="multilevel"/>
    <w:tmpl w:val="042A2A9E"/>
    <w:lvl w:ilvl="0">
      <w:start w:val="1"/>
      <w:numFmt w:val="decimal"/>
      <w:lvlText w:val="%1)"/>
      <w:lvlJc w:val="left"/>
      <w:pPr>
        <w:ind w:left="360" w:hanging="360"/>
      </w:pPr>
      <w:rPr>
        <w:rFonts w:hint="default"/>
        <w:b w:val="0"/>
        <w:bCs/>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83ABB"/>
    <w:multiLevelType w:val="hybridMultilevel"/>
    <w:tmpl w:val="7476391E"/>
    <w:lvl w:ilvl="0" w:tplc="5704B1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0AE0E03"/>
    <w:multiLevelType w:val="hybridMultilevel"/>
    <w:tmpl w:val="650A8840"/>
    <w:lvl w:ilvl="0" w:tplc="32A661C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1DF7290"/>
    <w:multiLevelType w:val="multilevel"/>
    <w:tmpl w:val="A868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65525CB"/>
    <w:multiLevelType w:val="hybridMultilevel"/>
    <w:tmpl w:val="1526C9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A8D7455"/>
    <w:multiLevelType w:val="hybridMultilevel"/>
    <w:tmpl w:val="24B0DEB4"/>
    <w:lvl w:ilvl="0" w:tplc="EA9269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18"/>
  </w:num>
  <w:num w:numId="3">
    <w:abstractNumId w:val="31"/>
  </w:num>
  <w:num w:numId="4">
    <w:abstractNumId w:val="9"/>
  </w:num>
  <w:num w:numId="5">
    <w:abstractNumId w:val="30"/>
  </w:num>
  <w:num w:numId="6">
    <w:abstractNumId w:val="32"/>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2"/>
  </w:num>
  <w:num w:numId="19">
    <w:abstractNumId w:val="19"/>
  </w:num>
  <w:num w:numId="20">
    <w:abstractNumId w:val="6"/>
  </w:num>
  <w:num w:numId="21">
    <w:abstractNumId w:val="20"/>
  </w:num>
  <w:num w:numId="22">
    <w:abstractNumId w:val="3"/>
  </w:num>
  <w:num w:numId="23">
    <w:abstractNumId w:val="15"/>
  </w:num>
  <w:num w:numId="24">
    <w:abstractNumId w:val="28"/>
  </w:num>
  <w:num w:numId="25">
    <w:abstractNumId w:val="7"/>
  </w:num>
  <w:num w:numId="26">
    <w:abstractNumId w:val="2"/>
  </w:num>
  <w:num w:numId="27">
    <w:abstractNumId w:val="10"/>
  </w:num>
  <w:num w:numId="28">
    <w:abstractNumId w:val="16"/>
  </w:num>
  <w:num w:numId="29">
    <w:abstractNumId w:val="24"/>
  </w:num>
  <w:num w:numId="30">
    <w:abstractNumId w:val="21"/>
  </w:num>
  <w:num w:numId="31">
    <w:abstractNumId w:val="5"/>
  </w:num>
  <w:num w:numId="32">
    <w:abstractNumId w:val="17"/>
    <w:lvlOverride w:ilvl="0">
      <w:startOverride w:val="1"/>
    </w:lvlOverride>
  </w:num>
  <w:num w:numId="33">
    <w:abstractNumId w:val="11"/>
  </w:num>
  <w:num w:numId="34">
    <w:abstractNumId w:val="26"/>
  </w:num>
  <w:num w:numId="35">
    <w:abstractNumId w:val="17"/>
    <w:lvlOverride w:ilvl="0">
      <w:startOverride w:val="1"/>
    </w:lvlOverride>
  </w:num>
  <w:num w:numId="36">
    <w:abstractNumId w:val="14"/>
  </w:num>
  <w:num w:numId="37">
    <w:abstractNumId w:val="8"/>
    <w:lvlOverride w:ilvl="0">
      <w:startOverride w:val="1"/>
    </w:lvlOverride>
  </w:num>
  <w:num w:numId="38">
    <w:abstractNumId w:val="22"/>
  </w:num>
  <w:num w:numId="39">
    <w:abstractNumId w:val="1"/>
  </w:num>
  <w:num w:numId="40">
    <w:abstractNumId w:val="13"/>
  </w:num>
  <w:num w:numId="41">
    <w:abstractNumId w:val="27"/>
  </w:num>
  <w:num w:numId="42">
    <w:abstractNumId w:val="2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77"/>
    <w:rsid w:val="00000123"/>
    <w:rsid w:val="000030B1"/>
    <w:rsid w:val="000050A9"/>
    <w:rsid w:val="00010CEE"/>
    <w:rsid w:val="0001587F"/>
    <w:rsid w:val="0001631B"/>
    <w:rsid w:val="00016D34"/>
    <w:rsid w:val="0001709D"/>
    <w:rsid w:val="000212FC"/>
    <w:rsid w:val="000213A9"/>
    <w:rsid w:val="00021B72"/>
    <w:rsid w:val="00022A0A"/>
    <w:rsid w:val="000231B5"/>
    <w:rsid w:val="0002322B"/>
    <w:rsid w:val="00024F0E"/>
    <w:rsid w:val="00027497"/>
    <w:rsid w:val="0002754E"/>
    <w:rsid w:val="00027D8D"/>
    <w:rsid w:val="0003265D"/>
    <w:rsid w:val="00032E4E"/>
    <w:rsid w:val="00034265"/>
    <w:rsid w:val="00034667"/>
    <w:rsid w:val="00036E7F"/>
    <w:rsid w:val="00040B2C"/>
    <w:rsid w:val="000423BE"/>
    <w:rsid w:val="00042419"/>
    <w:rsid w:val="00042FA8"/>
    <w:rsid w:val="00043329"/>
    <w:rsid w:val="00043B27"/>
    <w:rsid w:val="00044069"/>
    <w:rsid w:val="00045541"/>
    <w:rsid w:val="00047BDD"/>
    <w:rsid w:val="00056BC1"/>
    <w:rsid w:val="00056CC5"/>
    <w:rsid w:val="000575D5"/>
    <w:rsid w:val="000578BB"/>
    <w:rsid w:val="00057CE3"/>
    <w:rsid w:val="00060254"/>
    <w:rsid w:val="00060579"/>
    <w:rsid w:val="000614BF"/>
    <w:rsid w:val="00062309"/>
    <w:rsid w:val="00062A49"/>
    <w:rsid w:val="000633AA"/>
    <w:rsid w:val="00065728"/>
    <w:rsid w:val="00067236"/>
    <w:rsid w:val="0007041A"/>
    <w:rsid w:val="000729E2"/>
    <w:rsid w:val="00073C68"/>
    <w:rsid w:val="00076618"/>
    <w:rsid w:val="000777DB"/>
    <w:rsid w:val="00083C88"/>
    <w:rsid w:val="000855BD"/>
    <w:rsid w:val="00086066"/>
    <w:rsid w:val="00090ADB"/>
    <w:rsid w:val="0009143A"/>
    <w:rsid w:val="00092731"/>
    <w:rsid w:val="00095543"/>
    <w:rsid w:val="000972E1"/>
    <w:rsid w:val="000A1F04"/>
    <w:rsid w:val="000A2181"/>
    <w:rsid w:val="000A2330"/>
    <w:rsid w:val="000A5A8D"/>
    <w:rsid w:val="000A6591"/>
    <w:rsid w:val="000A7604"/>
    <w:rsid w:val="000A7FB4"/>
    <w:rsid w:val="000B16F1"/>
    <w:rsid w:val="000B521D"/>
    <w:rsid w:val="000B5444"/>
    <w:rsid w:val="000B555A"/>
    <w:rsid w:val="000B59FD"/>
    <w:rsid w:val="000B764C"/>
    <w:rsid w:val="000B7D4D"/>
    <w:rsid w:val="000C0A3B"/>
    <w:rsid w:val="000C2E3B"/>
    <w:rsid w:val="000C413E"/>
    <w:rsid w:val="000C7D4D"/>
    <w:rsid w:val="000D4FD0"/>
    <w:rsid w:val="000D5B34"/>
    <w:rsid w:val="000D5E17"/>
    <w:rsid w:val="000D6D88"/>
    <w:rsid w:val="000D751A"/>
    <w:rsid w:val="000E0694"/>
    <w:rsid w:val="000E1912"/>
    <w:rsid w:val="000E1C2B"/>
    <w:rsid w:val="000E2169"/>
    <w:rsid w:val="000E4C3F"/>
    <w:rsid w:val="000F0979"/>
    <w:rsid w:val="000F3EEA"/>
    <w:rsid w:val="000F45AD"/>
    <w:rsid w:val="000F6227"/>
    <w:rsid w:val="000F677B"/>
    <w:rsid w:val="001004A7"/>
    <w:rsid w:val="0010360A"/>
    <w:rsid w:val="00105AD1"/>
    <w:rsid w:val="00106BEE"/>
    <w:rsid w:val="001119F8"/>
    <w:rsid w:val="00112A5E"/>
    <w:rsid w:val="00113CC8"/>
    <w:rsid w:val="0011764F"/>
    <w:rsid w:val="001228E2"/>
    <w:rsid w:val="00122C2C"/>
    <w:rsid w:val="00130C03"/>
    <w:rsid w:val="001311F7"/>
    <w:rsid w:val="0013184F"/>
    <w:rsid w:val="00131D22"/>
    <w:rsid w:val="00131F00"/>
    <w:rsid w:val="0013346F"/>
    <w:rsid w:val="001335A3"/>
    <w:rsid w:val="00135DB6"/>
    <w:rsid w:val="00135EB7"/>
    <w:rsid w:val="0013709C"/>
    <w:rsid w:val="001417B4"/>
    <w:rsid w:val="00146CE3"/>
    <w:rsid w:val="00147515"/>
    <w:rsid w:val="00147A74"/>
    <w:rsid w:val="0015005C"/>
    <w:rsid w:val="00154DF1"/>
    <w:rsid w:val="00155D06"/>
    <w:rsid w:val="00157104"/>
    <w:rsid w:val="0015769B"/>
    <w:rsid w:val="00157CA2"/>
    <w:rsid w:val="001603BE"/>
    <w:rsid w:val="001606B0"/>
    <w:rsid w:val="001649D5"/>
    <w:rsid w:val="00164BC2"/>
    <w:rsid w:val="00164ECB"/>
    <w:rsid w:val="0016676C"/>
    <w:rsid w:val="001739F1"/>
    <w:rsid w:val="0018152B"/>
    <w:rsid w:val="00181AC8"/>
    <w:rsid w:val="00184421"/>
    <w:rsid w:val="00185CEF"/>
    <w:rsid w:val="001921A4"/>
    <w:rsid w:val="00194A0E"/>
    <w:rsid w:val="001963FC"/>
    <w:rsid w:val="001969F1"/>
    <w:rsid w:val="00196E5A"/>
    <w:rsid w:val="00197503"/>
    <w:rsid w:val="001A3781"/>
    <w:rsid w:val="001A469F"/>
    <w:rsid w:val="001A78E5"/>
    <w:rsid w:val="001B107D"/>
    <w:rsid w:val="001B4842"/>
    <w:rsid w:val="001B582B"/>
    <w:rsid w:val="001B64AB"/>
    <w:rsid w:val="001C0358"/>
    <w:rsid w:val="001C0B34"/>
    <w:rsid w:val="001C1704"/>
    <w:rsid w:val="001C1B32"/>
    <w:rsid w:val="001C5EB8"/>
    <w:rsid w:val="001C7FBE"/>
    <w:rsid w:val="001D11DA"/>
    <w:rsid w:val="001D22B4"/>
    <w:rsid w:val="001D2D74"/>
    <w:rsid w:val="001D2F1C"/>
    <w:rsid w:val="001D3544"/>
    <w:rsid w:val="001D39AA"/>
    <w:rsid w:val="001D39EC"/>
    <w:rsid w:val="001D418D"/>
    <w:rsid w:val="001D661F"/>
    <w:rsid w:val="001D7410"/>
    <w:rsid w:val="001D7B65"/>
    <w:rsid w:val="001E0AA1"/>
    <w:rsid w:val="001E6A60"/>
    <w:rsid w:val="001E6E5A"/>
    <w:rsid w:val="001E7832"/>
    <w:rsid w:val="001E7F8A"/>
    <w:rsid w:val="001F366E"/>
    <w:rsid w:val="00200CBA"/>
    <w:rsid w:val="00201E7E"/>
    <w:rsid w:val="00202908"/>
    <w:rsid w:val="00203E3B"/>
    <w:rsid w:val="00204AB9"/>
    <w:rsid w:val="00204B23"/>
    <w:rsid w:val="002050B7"/>
    <w:rsid w:val="00214E0B"/>
    <w:rsid w:val="00215C5A"/>
    <w:rsid w:val="00215E4D"/>
    <w:rsid w:val="002166BC"/>
    <w:rsid w:val="00217FA0"/>
    <w:rsid w:val="002201D3"/>
    <w:rsid w:val="0022464A"/>
    <w:rsid w:val="00225954"/>
    <w:rsid w:val="00226C2E"/>
    <w:rsid w:val="0022714B"/>
    <w:rsid w:val="002271B8"/>
    <w:rsid w:val="002272CB"/>
    <w:rsid w:val="002273AC"/>
    <w:rsid w:val="00231607"/>
    <w:rsid w:val="00233A0F"/>
    <w:rsid w:val="0023618A"/>
    <w:rsid w:val="0023638D"/>
    <w:rsid w:val="00236F98"/>
    <w:rsid w:val="00240421"/>
    <w:rsid w:val="0024434A"/>
    <w:rsid w:val="0024596A"/>
    <w:rsid w:val="00247945"/>
    <w:rsid w:val="00250EFC"/>
    <w:rsid w:val="00252CCE"/>
    <w:rsid w:val="00253A2A"/>
    <w:rsid w:val="00254C89"/>
    <w:rsid w:val="00254E2D"/>
    <w:rsid w:val="00256D04"/>
    <w:rsid w:val="0026025C"/>
    <w:rsid w:val="00265640"/>
    <w:rsid w:val="00266522"/>
    <w:rsid w:val="00266570"/>
    <w:rsid w:val="0026713B"/>
    <w:rsid w:val="00271672"/>
    <w:rsid w:val="00271C83"/>
    <w:rsid w:val="0027245E"/>
    <w:rsid w:val="00272B66"/>
    <w:rsid w:val="002733A4"/>
    <w:rsid w:val="00273ECC"/>
    <w:rsid w:val="00276DAC"/>
    <w:rsid w:val="002817A6"/>
    <w:rsid w:val="00281CBE"/>
    <w:rsid w:val="00281F3D"/>
    <w:rsid w:val="00283304"/>
    <w:rsid w:val="0028360E"/>
    <w:rsid w:val="002851B2"/>
    <w:rsid w:val="002869EF"/>
    <w:rsid w:val="0028749D"/>
    <w:rsid w:val="0029011D"/>
    <w:rsid w:val="0029042C"/>
    <w:rsid w:val="0029125C"/>
    <w:rsid w:val="00292A7F"/>
    <w:rsid w:val="00293878"/>
    <w:rsid w:val="00294B21"/>
    <w:rsid w:val="002960B6"/>
    <w:rsid w:val="00297266"/>
    <w:rsid w:val="002A00E4"/>
    <w:rsid w:val="002A2808"/>
    <w:rsid w:val="002A2BDE"/>
    <w:rsid w:val="002A3D5D"/>
    <w:rsid w:val="002A4CC5"/>
    <w:rsid w:val="002A4F27"/>
    <w:rsid w:val="002A64F9"/>
    <w:rsid w:val="002A6552"/>
    <w:rsid w:val="002B0E82"/>
    <w:rsid w:val="002B25CD"/>
    <w:rsid w:val="002B4ECF"/>
    <w:rsid w:val="002B533F"/>
    <w:rsid w:val="002B71CD"/>
    <w:rsid w:val="002B72E0"/>
    <w:rsid w:val="002B76AB"/>
    <w:rsid w:val="002B7C37"/>
    <w:rsid w:val="002C1507"/>
    <w:rsid w:val="002C3CA5"/>
    <w:rsid w:val="002C40A9"/>
    <w:rsid w:val="002C44AF"/>
    <w:rsid w:val="002C4F02"/>
    <w:rsid w:val="002C598D"/>
    <w:rsid w:val="002C6D32"/>
    <w:rsid w:val="002C71CA"/>
    <w:rsid w:val="002C79BC"/>
    <w:rsid w:val="002D0EEB"/>
    <w:rsid w:val="002D262A"/>
    <w:rsid w:val="002D2E74"/>
    <w:rsid w:val="002D489D"/>
    <w:rsid w:val="002D654D"/>
    <w:rsid w:val="002D6763"/>
    <w:rsid w:val="002D7B94"/>
    <w:rsid w:val="002E06F1"/>
    <w:rsid w:val="002E1EBA"/>
    <w:rsid w:val="002E226E"/>
    <w:rsid w:val="002E3E35"/>
    <w:rsid w:val="002E6145"/>
    <w:rsid w:val="002F1209"/>
    <w:rsid w:val="002F27C5"/>
    <w:rsid w:val="002F297B"/>
    <w:rsid w:val="002F4758"/>
    <w:rsid w:val="002F6297"/>
    <w:rsid w:val="002F6E35"/>
    <w:rsid w:val="00300C8F"/>
    <w:rsid w:val="0030242C"/>
    <w:rsid w:val="00302890"/>
    <w:rsid w:val="00303471"/>
    <w:rsid w:val="00303500"/>
    <w:rsid w:val="00305E32"/>
    <w:rsid w:val="00306F1E"/>
    <w:rsid w:val="00310CBE"/>
    <w:rsid w:val="00312AE5"/>
    <w:rsid w:val="00314215"/>
    <w:rsid w:val="00315430"/>
    <w:rsid w:val="00315DEC"/>
    <w:rsid w:val="0031740A"/>
    <w:rsid w:val="00317FDB"/>
    <w:rsid w:val="00324A34"/>
    <w:rsid w:val="003250D8"/>
    <w:rsid w:val="003255F3"/>
    <w:rsid w:val="00325FF2"/>
    <w:rsid w:val="00326958"/>
    <w:rsid w:val="00327677"/>
    <w:rsid w:val="0033012A"/>
    <w:rsid w:val="003308C3"/>
    <w:rsid w:val="00331ADC"/>
    <w:rsid w:val="00341682"/>
    <w:rsid w:val="003426BF"/>
    <w:rsid w:val="00344441"/>
    <w:rsid w:val="00344D43"/>
    <w:rsid w:val="00345556"/>
    <w:rsid w:val="00346E5F"/>
    <w:rsid w:val="00347918"/>
    <w:rsid w:val="00352586"/>
    <w:rsid w:val="00353410"/>
    <w:rsid w:val="0035526C"/>
    <w:rsid w:val="00355E74"/>
    <w:rsid w:val="0035690F"/>
    <w:rsid w:val="00357B5C"/>
    <w:rsid w:val="00360184"/>
    <w:rsid w:val="00363410"/>
    <w:rsid w:val="00363A19"/>
    <w:rsid w:val="00363D64"/>
    <w:rsid w:val="003656C4"/>
    <w:rsid w:val="00366F93"/>
    <w:rsid w:val="00366FA8"/>
    <w:rsid w:val="00370490"/>
    <w:rsid w:val="00370BC5"/>
    <w:rsid w:val="00370D5B"/>
    <w:rsid w:val="00371F42"/>
    <w:rsid w:val="003743AD"/>
    <w:rsid w:val="0037464C"/>
    <w:rsid w:val="00375616"/>
    <w:rsid w:val="00377ED3"/>
    <w:rsid w:val="00383C69"/>
    <w:rsid w:val="00384A00"/>
    <w:rsid w:val="00384E5E"/>
    <w:rsid w:val="00387C3D"/>
    <w:rsid w:val="00390E59"/>
    <w:rsid w:val="00391CA9"/>
    <w:rsid w:val="003921CA"/>
    <w:rsid w:val="00392614"/>
    <w:rsid w:val="00394544"/>
    <w:rsid w:val="00394DAA"/>
    <w:rsid w:val="00395051"/>
    <w:rsid w:val="00396162"/>
    <w:rsid w:val="003969F2"/>
    <w:rsid w:val="00396FD7"/>
    <w:rsid w:val="00397C2B"/>
    <w:rsid w:val="003A0C7A"/>
    <w:rsid w:val="003A16DA"/>
    <w:rsid w:val="003A29A1"/>
    <w:rsid w:val="003A39F4"/>
    <w:rsid w:val="003A3ADA"/>
    <w:rsid w:val="003A3FC3"/>
    <w:rsid w:val="003A501E"/>
    <w:rsid w:val="003A63C1"/>
    <w:rsid w:val="003B3239"/>
    <w:rsid w:val="003B3BE9"/>
    <w:rsid w:val="003B4ACD"/>
    <w:rsid w:val="003B5097"/>
    <w:rsid w:val="003B5A49"/>
    <w:rsid w:val="003C18FA"/>
    <w:rsid w:val="003C3464"/>
    <w:rsid w:val="003C38EC"/>
    <w:rsid w:val="003C3D79"/>
    <w:rsid w:val="003D0FFA"/>
    <w:rsid w:val="003D22D9"/>
    <w:rsid w:val="003D27BD"/>
    <w:rsid w:val="003D3861"/>
    <w:rsid w:val="003D39D9"/>
    <w:rsid w:val="003D48D1"/>
    <w:rsid w:val="003D4932"/>
    <w:rsid w:val="003D5AED"/>
    <w:rsid w:val="003D7810"/>
    <w:rsid w:val="003E1520"/>
    <w:rsid w:val="003E21DB"/>
    <w:rsid w:val="003E3505"/>
    <w:rsid w:val="003E418E"/>
    <w:rsid w:val="003E6731"/>
    <w:rsid w:val="003E7979"/>
    <w:rsid w:val="003F4ADD"/>
    <w:rsid w:val="003F7027"/>
    <w:rsid w:val="003F7D6D"/>
    <w:rsid w:val="00400159"/>
    <w:rsid w:val="0040225C"/>
    <w:rsid w:val="00406760"/>
    <w:rsid w:val="004104EA"/>
    <w:rsid w:val="00411A73"/>
    <w:rsid w:val="00413779"/>
    <w:rsid w:val="00414C8F"/>
    <w:rsid w:val="00420690"/>
    <w:rsid w:val="004213A7"/>
    <w:rsid w:val="00421D64"/>
    <w:rsid w:val="00426793"/>
    <w:rsid w:val="00430A83"/>
    <w:rsid w:val="00431084"/>
    <w:rsid w:val="00434408"/>
    <w:rsid w:val="004347DC"/>
    <w:rsid w:val="00435539"/>
    <w:rsid w:val="00436B58"/>
    <w:rsid w:val="00436BEA"/>
    <w:rsid w:val="00437868"/>
    <w:rsid w:val="004406E3"/>
    <w:rsid w:val="004407E6"/>
    <w:rsid w:val="0044335E"/>
    <w:rsid w:val="00446C1B"/>
    <w:rsid w:val="00450204"/>
    <w:rsid w:val="004505B9"/>
    <w:rsid w:val="004533DB"/>
    <w:rsid w:val="00454C33"/>
    <w:rsid w:val="00455D47"/>
    <w:rsid w:val="00457046"/>
    <w:rsid w:val="00457B6E"/>
    <w:rsid w:val="004620FF"/>
    <w:rsid w:val="00462212"/>
    <w:rsid w:val="00464B7F"/>
    <w:rsid w:val="004655C1"/>
    <w:rsid w:val="00465789"/>
    <w:rsid w:val="004662C5"/>
    <w:rsid w:val="00470134"/>
    <w:rsid w:val="004726A2"/>
    <w:rsid w:val="0048070D"/>
    <w:rsid w:val="00480779"/>
    <w:rsid w:val="00484CCE"/>
    <w:rsid w:val="004867C2"/>
    <w:rsid w:val="00490089"/>
    <w:rsid w:val="00491164"/>
    <w:rsid w:val="0049195D"/>
    <w:rsid w:val="00491AB9"/>
    <w:rsid w:val="00492F4C"/>
    <w:rsid w:val="004934BE"/>
    <w:rsid w:val="004954AE"/>
    <w:rsid w:val="00495DE3"/>
    <w:rsid w:val="00496073"/>
    <w:rsid w:val="004A3AE3"/>
    <w:rsid w:val="004A3C82"/>
    <w:rsid w:val="004A4935"/>
    <w:rsid w:val="004A4B3A"/>
    <w:rsid w:val="004A523E"/>
    <w:rsid w:val="004B256D"/>
    <w:rsid w:val="004B2A16"/>
    <w:rsid w:val="004B3817"/>
    <w:rsid w:val="004B3ABF"/>
    <w:rsid w:val="004B47D3"/>
    <w:rsid w:val="004B6B5C"/>
    <w:rsid w:val="004C11B7"/>
    <w:rsid w:val="004C2137"/>
    <w:rsid w:val="004C498B"/>
    <w:rsid w:val="004C5B06"/>
    <w:rsid w:val="004C67B1"/>
    <w:rsid w:val="004D1EAA"/>
    <w:rsid w:val="004D2C35"/>
    <w:rsid w:val="004D3CC0"/>
    <w:rsid w:val="004D5A7A"/>
    <w:rsid w:val="004D5B56"/>
    <w:rsid w:val="004D6454"/>
    <w:rsid w:val="004D6B97"/>
    <w:rsid w:val="004D7323"/>
    <w:rsid w:val="004D73B1"/>
    <w:rsid w:val="004E049B"/>
    <w:rsid w:val="004E0F8F"/>
    <w:rsid w:val="004E62F9"/>
    <w:rsid w:val="004E69F7"/>
    <w:rsid w:val="004E7409"/>
    <w:rsid w:val="004E74D1"/>
    <w:rsid w:val="004E7E29"/>
    <w:rsid w:val="004F10F9"/>
    <w:rsid w:val="004F2BAC"/>
    <w:rsid w:val="004F35BF"/>
    <w:rsid w:val="004F36C4"/>
    <w:rsid w:val="004F4493"/>
    <w:rsid w:val="00500104"/>
    <w:rsid w:val="0050038C"/>
    <w:rsid w:val="0050076B"/>
    <w:rsid w:val="0050561D"/>
    <w:rsid w:val="00505804"/>
    <w:rsid w:val="00506F79"/>
    <w:rsid w:val="00511D22"/>
    <w:rsid w:val="00513D1F"/>
    <w:rsid w:val="005151F3"/>
    <w:rsid w:val="005257EC"/>
    <w:rsid w:val="00526344"/>
    <w:rsid w:val="00526576"/>
    <w:rsid w:val="00526D08"/>
    <w:rsid w:val="005278CD"/>
    <w:rsid w:val="005317D4"/>
    <w:rsid w:val="00535221"/>
    <w:rsid w:val="00535225"/>
    <w:rsid w:val="0053540D"/>
    <w:rsid w:val="00537E01"/>
    <w:rsid w:val="005400FC"/>
    <w:rsid w:val="00540352"/>
    <w:rsid w:val="005403E8"/>
    <w:rsid w:val="00547AFA"/>
    <w:rsid w:val="00551D48"/>
    <w:rsid w:val="00552F73"/>
    <w:rsid w:val="005547CA"/>
    <w:rsid w:val="00555F68"/>
    <w:rsid w:val="005576F8"/>
    <w:rsid w:val="00560D9D"/>
    <w:rsid w:val="00561604"/>
    <w:rsid w:val="0056169B"/>
    <w:rsid w:val="0056573A"/>
    <w:rsid w:val="005710DA"/>
    <w:rsid w:val="00571E45"/>
    <w:rsid w:val="005720EB"/>
    <w:rsid w:val="005807B6"/>
    <w:rsid w:val="00580A6C"/>
    <w:rsid w:val="005837E2"/>
    <w:rsid w:val="00583B93"/>
    <w:rsid w:val="00585F37"/>
    <w:rsid w:val="00585F60"/>
    <w:rsid w:val="005860D2"/>
    <w:rsid w:val="0058698A"/>
    <w:rsid w:val="00587172"/>
    <w:rsid w:val="0059038E"/>
    <w:rsid w:val="005903AC"/>
    <w:rsid w:val="005945EC"/>
    <w:rsid w:val="005948E8"/>
    <w:rsid w:val="00595502"/>
    <w:rsid w:val="005975FE"/>
    <w:rsid w:val="00597C8E"/>
    <w:rsid w:val="005A151B"/>
    <w:rsid w:val="005A3790"/>
    <w:rsid w:val="005A7F69"/>
    <w:rsid w:val="005B012B"/>
    <w:rsid w:val="005B1025"/>
    <w:rsid w:val="005B3BFB"/>
    <w:rsid w:val="005B6958"/>
    <w:rsid w:val="005C2E96"/>
    <w:rsid w:val="005C40D5"/>
    <w:rsid w:val="005C40E0"/>
    <w:rsid w:val="005C5607"/>
    <w:rsid w:val="005C6213"/>
    <w:rsid w:val="005D1A7D"/>
    <w:rsid w:val="005D1DEB"/>
    <w:rsid w:val="005D2582"/>
    <w:rsid w:val="005D5024"/>
    <w:rsid w:val="005D51C5"/>
    <w:rsid w:val="005D5D21"/>
    <w:rsid w:val="005E1826"/>
    <w:rsid w:val="005E2B24"/>
    <w:rsid w:val="005E3683"/>
    <w:rsid w:val="005E454D"/>
    <w:rsid w:val="005E5C39"/>
    <w:rsid w:val="005F28ED"/>
    <w:rsid w:val="005F5DC1"/>
    <w:rsid w:val="005F61AF"/>
    <w:rsid w:val="005F6F8C"/>
    <w:rsid w:val="005F7ADD"/>
    <w:rsid w:val="005F7E31"/>
    <w:rsid w:val="005F7FEA"/>
    <w:rsid w:val="00600563"/>
    <w:rsid w:val="006033E2"/>
    <w:rsid w:val="006075CC"/>
    <w:rsid w:val="006140A9"/>
    <w:rsid w:val="00615050"/>
    <w:rsid w:val="00615C64"/>
    <w:rsid w:val="00616DE6"/>
    <w:rsid w:val="00622372"/>
    <w:rsid w:val="00623E13"/>
    <w:rsid w:val="006253D8"/>
    <w:rsid w:val="0062545D"/>
    <w:rsid w:val="00633E77"/>
    <w:rsid w:val="0063644E"/>
    <w:rsid w:val="00636D6D"/>
    <w:rsid w:val="006371A1"/>
    <w:rsid w:val="006403E0"/>
    <w:rsid w:val="006404FF"/>
    <w:rsid w:val="006425F9"/>
    <w:rsid w:val="00647D89"/>
    <w:rsid w:val="00650F84"/>
    <w:rsid w:val="0065164D"/>
    <w:rsid w:val="00655CA1"/>
    <w:rsid w:val="00657363"/>
    <w:rsid w:val="00657ABC"/>
    <w:rsid w:val="0066062F"/>
    <w:rsid w:val="00660F68"/>
    <w:rsid w:val="0066273C"/>
    <w:rsid w:val="00670D0A"/>
    <w:rsid w:val="00671099"/>
    <w:rsid w:val="006724C1"/>
    <w:rsid w:val="0067358F"/>
    <w:rsid w:val="0067395C"/>
    <w:rsid w:val="00674BE2"/>
    <w:rsid w:val="00676A56"/>
    <w:rsid w:val="0068215C"/>
    <w:rsid w:val="0068230E"/>
    <w:rsid w:val="00684BAB"/>
    <w:rsid w:val="00685BDF"/>
    <w:rsid w:val="00687823"/>
    <w:rsid w:val="00687C50"/>
    <w:rsid w:val="00695DA0"/>
    <w:rsid w:val="0069799C"/>
    <w:rsid w:val="00697E5B"/>
    <w:rsid w:val="006A04F3"/>
    <w:rsid w:val="006A465C"/>
    <w:rsid w:val="006A4FFC"/>
    <w:rsid w:val="006A6D7D"/>
    <w:rsid w:val="006A73F8"/>
    <w:rsid w:val="006B0015"/>
    <w:rsid w:val="006B1180"/>
    <w:rsid w:val="006B23DE"/>
    <w:rsid w:val="006B2425"/>
    <w:rsid w:val="006B2483"/>
    <w:rsid w:val="006B4E3F"/>
    <w:rsid w:val="006B571B"/>
    <w:rsid w:val="006B5943"/>
    <w:rsid w:val="006B6D4A"/>
    <w:rsid w:val="006C141A"/>
    <w:rsid w:val="006C2620"/>
    <w:rsid w:val="006C3304"/>
    <w:rsid w:val="006C6457"/>
    <w:rsid w:val="006C7956"/>
    <w:rsid w:val="006D03BB"/>
    <w:rsid w:val="006D0670"/>
    <w:rsid w:val="006D1093"/>
    <w:rsid w:val="006D21FF"/>
    <w:rsid w:val="006D51F7"/>
    <w:rsid w:val="006D680C"/>
    <w:rsid w:val="006D7293"/>
    <w:rsid w:val="006E105B"/>
    <w:rsid w:val="006E3BD4"/>
    <w:rsid w:val="006E4164"/>
    <w:rsid w:val="006E5B0A"/>
    <w:rsid w:val="006E7AD6"/>
    <w:rsid w:val="006F265F"/>
    <w:rsid w:val="006F31AE"/>
    <w:rsid w:val="006F32EE"/>
    <w:rsid w:val="006F3FEB"/>
    <w:rsid w:val="006F49CF"/>
    <w:rsid w:val="006F4AFC"/>
    <w:rsid w:val="006F5BE9"/>
    <w:rsid w:val="006F730C"/>
    <w:rsid w:val="006F73F3"/>
    <w:rsid w:val="00700DDD"/>
    <w:rsid w:val="007023AC"/>
    <w:rsid w:val="00702EB1"/>
    <w:rsid w:val="00702F11"/>
    <w:rsid w:val="007031B1"/>
    <w:rsid w:val="007043FD"/>
    <w:rsid w:val="00707736"/>
    <w:rsid w:val="00711691"/>
    <w:rsid w:val="00711B96"/>
    <w:rsid w:val="00716DB7"/>
    <w:rsid w:val="00720560"/>
    <w:rsid w:val="007222A0"/>
    <w:rsid w:val="00722FFE"/>
    <w:rsid w:val="00733CC1"/>
    <w:rsid w:val="00735339"/>
    <w:rsid w:val="007355DF"/>
    <w:rsid w:val="007419ED"/>
    <w:rsid w:val="00743BD6"/>
    <w:rsid w:val="0074785C"/>
    <w:rsid w:val="007510BB"/>
    <w:rsid w:val="007517EF"/>
    <w:rsid w:val="0075488B"/>
    <w:rsid w:val="00756044"/>
    <w:rsid w:val="00756E06"/>
    <w:rsid w:val="00760A9C"/>
    <w:rsid w:val="00760F37"/>
    <w:rsid w:val="007614D4"/>
    <w:rsid w:val="00761C9D"/>
    <w:rsid w:val="00761DA6"/>
    <w:rsid w:val="00761FA2"/>
    <w:rsid w:val="007623F5"/>
    <w:rsid w:val="00764081"/>
    <w:rsid w:val="00764A19"/>
    <w:rsid w:val="007700B1"/>
    <w:rsid w:val="00780B38"/>
    <w:rsid w:val="00781778"/>
    <w:rsid w:val="00781F52"/>
    <w:rsid w:val="007825D9"/>
    <w:rsid w:val="00782A34"/>
    <w:rsid w:val="00785D72"/>
    <w:rsid w:val="00787CE7"/>
    <w:rsid w:val="00791B06"/>
    <w:rsid w:val="00791C1D"/>
    <w:rsid w:val="007922BA"/>
    <w:rsid w:val="0079453D"/>
    <w:rsid w:val="007963EB"/>
    <w:rsid w:val="007A0C47"/>
    <w:rsid w:val="007A1493"/>
    <w:rsid w:val="007A21A6"/>
    <w:rsid w:val="007A2D7F"/>
    <w:rsid w:val="007A2D95"/>
    <w:rsid w:val="007A2E39"/>
    <w:rsid w:val="007A2E71"/>
    <w:rsid w:val="007A3CA5"/>
    <w:rsid w:val="007A4FD7"/>
    <w:rsid w:val="007A6775"/>
    <w:rsid w:val="007A77E0"/>
    <w:rsid w:val="007B1153"/>
    <w:rsid w:val="007B1192"/>
    <w:rsid w:val="007B1305"/>
    <w:rsid w:val="007B1769"/>
    <w:rsid w:val="007B1E87"/>
    <w:rsid w:val="007B2753"/>
    <w:rsid w:val="007C280B"/>
    <w:rsid w:val="007C2A0C"/>
    <w:rsid w:val="007C6B92"/>
    <w:rsid w:val="007C7719"/>
    <w:rsid w:val="007D1359"/>
    <w:rsid w:val="007D2AD5"/>
    <w:rsid w:val="007D46D1"/>
    <w:rsid w:val="007D4958"/>
    <w:rsid w:val="007D6AE7"/>
    <w:rsid w:val="007D6CFB"/>
    <w:rsid w:val="007E1607"/>
    <w:rsid w:val="007E574B"/>
    <w:rsid w:val="007E5750"/>
    <w:rsid w:val="007E647B"/>
    <w:rsid w:val="007E6923"/>
    <w:rsid w:val="007F3DF3"/>
    <w:rsid w:val="007F68FA"/>
    <w:rsid w:val="0080080A"/>
    <w:rsid w:val="008023E9"/>
    <w:rsid w:val="0080264C"/>
    <w:rsid w:val="008027AF"/>
    <w:rsid w:val="00804A4E"/>
    <w:rsid w:val="00804CE5"/>
    <w:rsid w:val="008059AC"/>
    <w:rsid w:val="008065F4"/>
    <w:rsid w:val="00806AEB"/>
    <w:rsid w:val="00807AB2"/>
    <w:rsid w:val="00811638"/>
    <w:rsid w:val="008133E2"/>
    <w:rsid w:val="00814070"/>
    <w:rsid w:val="00814AE7"/>
    <w:rsid w:val="00815382"/>
    <w:rsid w:val="00816930"/>
    <w:rsid w:val="0081698A"/>
    <w:rsid w:val="00820282"/>
    <w:rsid w:val="008210AD"/>
    <w:rsid w:val="00821341"/>
    <w:rsid w:val="00827CD2"/>
    <w:rsid w:val="00830296"/>
    <w:rsid w:val="0083195B"/>
    <w:rsid w:val="008321D0"/>
    <w:rsid w:val="00832F06"/>
    <w:rsid w:val="008331BA"/>
    <w:rsid w:val="00833B51"/>
    <w:rsid w:val="0083463F"/>
    <w:rsid w:val="008360AC"/>
    <w:rsid w:val="00836A8E"/>
    <w:rsid w:val="008403EE"/>
    <w:rsid w:val="008405D8"/>
    <w:rsid w:val="00841251"/>
    <w:rsid w:val="00841793"/>
    <w:rsid w:val="008453D2"/>
    <w:rsid w:val="0085028F"/>
    <w:rsid w:val="00850F24"/>
    <w:rsid w:val="00851756"/>
    <w:rsid w:val="00852D7A"/>
    <w:rsid w:val="008540D9"/>
    <w:rsid w:val="00854CC7"/>
    <w:rsid w:val="00854FD1"/>
    <w:rsid w:val="00864395"/>
    <w:rsid w:val="008655CD"/>
    <w:rsid w:val="00865AD4"/>
    <w:rsid w:val="00865E7D"/>
    <w:rsid w:val="00870CFB"/>
    <w:rsid w:val="00872A9C"/>
    <w:rsid w:val="00877B02"/>
    <w:rsid w:val="008813AB"/>
    <w:rsid w:val="0088174A"/>
    <w:rsid w:val="00882E5C"/>
    <w:rsid w:val="008909E1"/>
    <w:rsid w:val="00890B76"/>
    <w:rsid w:val="00890F7D"/>
    <w:rsid w:val="00891A16"/>
    <w:rsid w:val="0089464A"/>
    <w:rsid w:val="0089611E"/>
    <w:rsid w:val="00897391"/>
    <w:rsid w:val="008A06FE"/>
    <w:rsid w:val="008A1353"/>
    <w:rsid w:val="008A180A"/>
    <w:rsid w:val="008A705A"/>
    <w:rsid w:val="008B07B5"/>
    <w:rsid w:val="008B09D6"/>
    <w:rsid w:val="008B2BAC"/>
    <w:rsid w:val="008B4482"/>
    <w:rsid w:val="008B4E7B"/>
    <w:rsid w:val="008B5ADA"/>
    <w:rsid w:val="008B7A50"/>
    <w:rsid w:val="008C0044"/>
    <w:rsid w:val="008C1176"/>
    <w:rsid w:val="008C16FA"/>
    <w:rsid w:val="008C22ED"/>
    <w:rsid w:val="008C39E1"/>
    <w:rsid w:val="008C42DA"/>
    <w:rsid w:val="008C4E18"/>
    <w:rsid w:val="008C4F2B"/>
    <w:rsid w:val="008C5D23"/>
    <w:rsid w:val="008C7919"/>
    <w:rsid w:val="008C792F"/>
    <w:rsid w:val="008D19C5"/>
    <w:rsid w:val="008D1E5F"/>
    <w:rsid w:val="008D433E"/>
    <w:rsid w:val="008D680C"/>
    <w:rsid w:val="008D6AB9"/>
    <w:rsid w:val="008E0151"/>
    <w:rsid w:val="008E08F6"/>
    <w:rsid w:val="008E2336"/>
    <w:rsid w:val="008E23DB"/>
    <w:rsid w:val="008E2BC3"/>
    <w:rsid w:val="008E6B1C"/>
    <w:rsid w:val="008E725C"/>
    <w:rsid w:val="008F0252"/>
    <w:rsid w:val="008F0900"/>
    <w:rsid w:val="008F2984"/>
    <w:rsid w:val="008F2B87"/>
    <w:rsid w:val="008F2CE5"/>
    <w:rsid w:val="008F51E9"/>
    <w:rsid w:val="008F5F7E"/>
    <w:rsid w:val="008F7DA8"/>
    <w:rsid w:val="008F7E4B"/>
    <w:rsid w:val="00900420"/>
    <w:rsid w:val="00900ECE"/>
    <w:rsid w:val="00901CA4"/>
    <w:rsid w:val="00902EEE"/>
    <w:rsid w:val="009033FA"/>
    <w:rsid w:val="00903614"/>
    <w:rsid w:val="009059B9"/>
    <w:rsid w:val="0090797F"/>
    <w:rsid w:val="00910B00"/>
    <w:rsid w:val="009120A8"/>
    <w:rsid w:val="0091313F"/>
    <w:rsid w:val="00914018"/>
    <w:rsid w:val="00914549"/>
    <w:rsid w:val="009147A0"/>
    <w:rsid w:val="009157C5"/>
    <w:rsid w:val="00915C9C"/>
    <w:rsid w:val="00916365"/>
    <w:rsid w:val="00916885"/>
    <w:rsid w:val="0091711A"/>
    <w:rsid w:val="00917F77"/>
    <w:rsid w:val="0092292E"/>
    <w:rsid w:val="009248F7"/>
    <w:rsid w:val="009250ED"/>
    <w:rsid w:val="009259C2"/>
    <w:rsid w:val="00931483"/>
    <w:rsid w:val="009315B2"/>
    <w:rsid w:val="0093204A"/>
    <w:rsid w:val="00932372"/>
    <w:rsid w:val="00932E4E"/>
    <w:rsid w:val="0093348F"/>
    <w:rsid w:val="00935598"/>
    <w:rsid w:val="0093768A"/>
    <w:rsid w:val="00940BA2"/>
    <w:rsid w:val="0094219E"/>
    <w:rsid w:val="00942333"/>
    <w:rsid w:val="00944C5E"/>
    <w:rsid w:val="00955365"/>
    <w:rsid w:val="009555B9"/>
    <w:rsid w:val="0095642D"/>
    <w:rsid w:val="00962492"/>
    <w:rsid w:val="009625E7"/>
    <w:rsid w:val="00964824"/>
    <w:rsid w:val="00964B48"/>
    <w:rsid w:val="00967007"/>
    <w:rsid w:val="009675B4"/>
    <w:rsid w:val="00970A65"/>
    <w:rsid w:val="00972C11"/>
    <w:rsid w:val="00973059"/>
    <w:rsid w:val="009766F4"/>
    <w:rsid w:val="00976BF5"/>
    <w:rsid w:val="0098178A"/>
    <w:rsid w:val="00981FE2"/>
    <w:rsid w:val="00982052"/>
    <w:rsid w:val="00982410"/>
    <w:rsid w:val="00982B1B"/>
    <w:rsid w:val="00986902"/>
    <w:rsid w:val="00986AE4"/>
    <w:rsid w:val="00987BA3"/>
    <w:rsid w:val="00995851"/>
    <w:rsid w:val="00995D54"/>
    <w:rsid w:val="0099752D"/>
    <w:rsid w:val="009A5344"/>
    <w:rsid w:val="009A5B76"/>
    <w:rsid w:val="009A6523"/>
    <w:rsid w:val="009A7610"/>
    <w:rsid w:val="009B11C3"/>
    <w:rsid w:val="009B283E"/>
    <w:rsid w:val="009B69E2"/>
    <w:rsid w:val="009B6CDF"/>
    <w:rsid w:val="009B6CF2"/>
    <w:rsid w:val="009B6D8C"/>
    <w:rsid w:val="009B76D7"/>
    <w:rsid w:val="009B76DA"/>
    <w:rsid w:val="009B7790"/>
    <w:rsid w:val="009C13E5"/>
    <w:rsid w:val="009C17F5"/>
    <w:rsid w:val="009C4062"/>
    <w:rsid w:val="009C40AE"/>
    <w:rsid w:val="009C7397"/>
    <w:rsid w:val="009C73FF"/>
    <w:rsid w:val="009D24E0"/>
    <w:rsid w:val="009D4425"/>
    <w:rsid w:val="009D523A"/>
    <w:rsid w:val="009D58E7"/>
    <w:rsid w:val="009E2852"/>
    <w:rsid w:val="009E45BE"/>
    <w:rsid w:val="009E69BF"/>
    <w:rsid w:val="009E6C29"/>
    <w:rsid w:val="009E715C"/>
    <w:rsid w:val="009E756D"/>
    <w:rsid w:val="009E7C89"/>
    <w:rsid w:val="009F11EC"/>
    <w:rsid w:val="009F33C2"/>
    <w:rsid w:val="009F45A2"/>
    <w:rsid w:val="009F4A5F"/>
    <w:rsid w:val="009F6AC4"/>
    <w:rsid w:val="00A01047"/>
    <w:rsid w:val="00A03597"/>
    <w:rsid w:val="00A04DE9"/>
    <w:rsid w:val="00A0588E"/>
    <w:rsid w:val="00A064A6"/>
    <w:rsid w:val="00A11BDE"/>
    <w:rsid w:val="00A1510C"/>
    <w:rsid w:val="00A219A4"/>
    <w:rsid w:val="00A21E27"/>
    <w:rsid w:val="00A23043"/>
    <w:rsid w:val="00A23DAC"/>
    <w:rsid w:val="00A2453E"/>
    <w:rsid w:val="00A25844"/>
    <w:rsid w:val="00A26C24"/>
    <w:rsid w:val="00A26E0C"/>
    <w:rsid w:val="00A270F8"/>
    <w:rsid w:val="00A30C7E"/>
    <w:rsid w:val="00A311C2"/>
    <w:rsid w:val="00A326E6"/>
    <w:rsid w:val="00A327E6"/>
    <w:rsid w:val="00A343A5"/>
    <w:rsid w:val="00A3715B"/>
    <w:rsid w:val="00A40FBE"/>
    <w:rsid w:val="00A44952"/>
    <w:rsid w:val="00A469D3"/>
    <w:rsid w:val="00A53CE2"/>
    <w:rsid w:val="00A54B61"/>
    <w:rsid w:val="00A56037"/>
    <w:rsid w:val="00A579E8"/>
    <w:rsid w:val="00A60379"/>
    <w:rsid w:val="00A606CF"/>
    <w:rsid w:val="00A60CD0"/>
    <w:rsid w:val="00A633C7"/>
    <w:rsid w:val="00A64EFB"/>
    <w:rsid w:val="00A65D28"/>
    <w:rsid w:val="00A66515"/>
    <w:rsid w:val="00A66A4E"/>
    <w:rsid w:val="00A70324"/>
    <w:rsid w:val="00A70EF5"/>
    <w:rsid w:val="00A74AFC"/>
    <w:rsid w:val="00A75C7B"/>
    <w:rsid w:val="00A760E0"/>
    <w:rsid w:val="00A80683"/>
    <w:rsid w:val="00A80B44"/>
    <w:rsid w:val="00A81E86"/>
    <w:rsid w:val="00A82E8E"/>
    <w:rsid w:val="00A831F1"/>
    <w:rsid w:val="00A83A7A"/>
    <w:rsid w:val="00A851ED"/>
    <w:rsid w:val="00A85E3A"/>
    <w:rsid w:val="00A8684E"/>
    <w:rsid w:val="00A900BC"/>
    <w:rsid w:val="00A92089"/>
    <w:rsid w:val="00A960CD"/>
    <w:rsid w:val="00A96CD2"/>
    <w:rsid w:val="00AA07D0"/>
    <w:rsid w:val="00AA0BD7"/>
    <w:rsid w:val="00AA1231"/>
    <w:rsid w:val="00AA174B"/>
    <w:rsid w:val="00AA1F28"/>
    <w:rsid w:val="00AA381E"/>
    <w:rsid w:val="00AA6C64"/>
    <w:rsid w:val="00AA795E"/>
    <w:rsid w:val="00AB09DA"/>
    <w:rsid w:val="00AB2986"/>
    <w:rsid w:val="00AB496C"/>
    <w:rsid w:val="00AB7AB9"/>
    <w:rsid w:val="00AB7DAD"/>
    <w:rsid w:val="00AC0F01"/>
    <w:rsid w:val="00AC2537"/>
    <w:rsid w:val="00AC603E"/>
    <w:rsid w:val="00AC7DE5"/>
    <w:rsid w:val="00AD0821"/>
    <w:rsid w:val="00AD2206"/>
    <w:rsid w:val="00AD24F3"/>
    <w:rsid w:val="00AD2E6C"/>
    <w:rsid w:val="00AD43FF"/>
    <w:rsid w:val="00AE099B"/>
    <w:rsid w:val="00AE0A7F"/>
    <w:rsid w:val="00AE3DBB"/>
    <w:rsid w:val="00AE5DBD"/>
    <w:rsid w:val="00AE7AF8"/>
    <w:rsid w:val="00AF0545"/>
    <w:rsid w:val="00AF2DA6"/>
    <w:rsid w:val="00AF7D76"/>
    <w:rsid w:val="00B000BE"/>
    <w:rsid w:val="00B006EE"/>
    <w:rsid w:val="00B01117"/>
    <w:rsid w:val="00B0193F"/>
    <w:rsid w:val="00B01CB5"/>
    <w:rsid w:val="00B023D9"/>
    <w:rsid w:val="00B02C0E"/>
    <w:rsid w:val="00B02C9E"/>
    <w:rsid w:val="00B04DDB"/>
    <w:rsid w:val="00B11994"/>
    <w:rsid w:val="00B11C13"/>
    <w:rsid w:val="00B11F80"/>
    <w:rsid w:val="00B14CF4"/>
    <w:rsid w:val="00B15F0D"/>
    <w:rsid w:val="00B176FD"/>
    <w:rsid w:val="00B218BB"/>
    <w:rsid w:val="00B259A2"/>
    <w:rsid w:val="00B27069"/>
    <w:rsid w:val="00B2793A"/>
    <w:rsid w:val="00B30E5C"/>
    <w:rsid w:val="00B30F06"/>
    <w:rsid w:val="00B32CE4"/>
    <w:rsid w:val="00B331F4"/>
    <w:rsid w:val="00B33BD4"/>
    <w:rsid w:val="00B37959"/>
    <w:rsid w:val="00B42423"/>
    <w:rsid w:val="00B45465"/>
    <w:rsid w:val="00B45B86"/>
    <w:rsid w:val="00B47026"/>
    <w:rsid w:val="00B47470"/>
    <w:rsid w:val="00B47580"/>
    <w:rsid w:val="00B518EB"/>
    <w:rsid w:val="00B51AF2"/>
    <w:rsid w:val="00B51F0D"/>
    <w:rsid w:val="00B57526"/>
    <w:rsid w:val="00B57DCF"/>
    <w:rsid w:val="00B60323"/>
    <w:rsid w:val="00B6037C"/>
    <w:rsid w:val="00B62DF3"/>
    <w:rsid w:val="00B64E5C"/>
    <w:rsid w:val="00B65396"/>
    <w:rsid w:val="00B708A6"/>
    <w:rsid w:val="00B72AF4"/>
    <w:rsid w:val="00B72C2C"/>
    <w:rsid w:val="00B73D4C"/>
    <w:rsid w:val="00B74D3D"/>
    <w:rsid w:val="00B752C6"/>
    <w:rsid w:val="00B80400"/>
    <w:rsid w:val="00B80611"/>
    <w:rsid w:val="00B83B64"/>
    <w:rsid w:val="00B86797"/>
    <w:rsid w:val="00B86E7E"/>
    <w:rsid w:val="00B87782"/>
    <w:rsid w:val="00B9069A"/>
    <w:rsid w:val="00B90E1D"/>
    <w:rsid w:val="00B949A7"/>
    <w:rsid w:val="00B973C9"/>
    <w:rsid w:val="00BA0343"/>
    <w:rsid w:val="00BA0CFF"/>
    <w:rsid w:val="00BA36B1"/>
    <w:rsid w:val="00BA6554"/>
    <w:rsid w:val="00BA79D9"/>
    <w:rsid w:val="00BB000E"/>
    <w:rsid w:val="00BB076D"/>
    <w:rsid w:val="00BB0A93"/>
    <w:rsid w:val="00BB4F8E"/>
    <w:rsid w:val="00BB5573"/>
    <w:rsid w:val="00BB5649"/>
    <w:rsid w:val="00BB5EFD"/>
    <w:rsid w:val="00BB74AC"/>
    <w:rsid w:val="00BC2562"/>
    <w:rsid w:val="00BC3468"/>
    <w:rsid w:val="00BC3978"/>
    <w:rsid w:val="00BD763C"/>
    <w:rsid w:val="00BE18A5"/>
    <w:rsid w:val="00BE266D"/>
    <w:rsid w:val="00BE33C8"/>
    <w:rsid w:val="00BE602B"/>
    <w:rsid w:val="00BE6894"/>
    <w:rsid w:val="00BE7A72"/>
    <w:rsid w:val="00BF1CE7"/>
    <w:rsid w:val="00BF39D4"/>
    <w:rsid w:val="00BF3F82"/>
    <w:rsid w:val="00BF5B09"/>
    <w:rsid w:val="00BF62B3"/>
    <w:rsid w:val="00BF7326"/>
    <w:rsid w:val="00C01B00"/>
    <w:rsid w:val="00C0241F"/>
    <w:rsid w:val="00C028B8"/>
    <w:rsid w:val="00C03960"/>
    <w:rsid w:val="00C138B9"/>
    <w:rsid w:val="00C14871"/>
    <w:rsid w:val="00C21A4A"/>
    <w:rsid w:val="00C22C89"/>
    <w:rsid w:val="00C247F2"/>
    <w:rsid w:val="00C25250"/>
    <w:rsid w:val="00C26C52"/>
    <w:rsid w:val="00C2798C"/>
    <w:rsid w:val="00C27B3D"/>
    <w:rsid w:val="00C4142C"/>
    <w:rsid w:val="00C44D41"/>
    <w:rsid w:val="00C45A45"/>
    <w:rsid w:val="00C45D90"/>
    <w:rsid w:val="00C46126"/>
    <w:rsid w:val="00C46B01"/>
    <w:rsid w:val="00C46DC5"/>
    <w:rsid w:val="00C47A9D"/>
    <w:rsid w:val="00C50508"/>
    <w:rsid w:val="00C50D5A"/>
    <w:rsid w:val="00C51094"/>
    <w:rsid w:val="00C51427"/>
    <w:rsid w:val="00C51908"/>
    <w:rsid w:val="00C536C6"/>
    <w:rsid w:val="00C5662D"/>
    <w:rsid w:val="00C56767"/>
    <w:rsid w:val="00C56D1A"/>
    <w:rsid w:val="00C57919"/>
    <w:rsid w:val="00C57C0E"/>
    <w:rsid w:val="00C622A4"/>
    <w:rsid w:val="00C62485"/>
    <w:rsid w:val="00C6450B"/>
    <w:rsid w:val="00C645DB"/>
    <w:rsid w:val="00C731FA"/>
    <w:rsid w:val="00C7488A"/>
    <w:rsid w:val="00C749D7"/>
    <w:rsid w:val="00C76710"/>
    <w:rsid w:val="00C8172F"/>
    <w:rsid w:val="00C81C15"/>
    <w:rsid w:val="00C81CE4"/>
    <w:rsid w:val="00C82D2F"/>
    <w:rsid w:val="00C83353"/>
    <w:rsid w:val="00C90146"/>
    <w:rsid w:val="00C90FA2"/>
    <w:rsid w:val="00C9119F"/>
    <w:rsid w:val="00C92503"/>
    <w:rsid w:val="00C94B60"/>
    <w:rsid w:val="00C95148"/>
    <w:rsid w:val="00C971DE"/>
    <w:rsid w:val="00CA03FD"/>
    <w:rsid w:val="00CA1FFC"/>
    <w:rsid w:val="00CA2096"/>
    <w:rsid w:val="00CA6471"/>
    <w:rsid w:val="00CA73BC"/>
    <w:rsid w:val="00CA7F45"/>
    <w:rsid w:val="00CB0BB3"/>
    <w:rsid w:val="00CB1CB6"/>
    <w:rsid w:val="00CB23AA"/>
    <w:rsid w:val="00CB23AD"/>
    <w:rsid w:val="00CB3552"/>
    <w:rsid w:val="00CB4AFD"/>
    <w:rsid w:val="00CB5665"/>
    <w:rsid w:val="00CB69A2"/>
    <w:rsid w:val="00CB77C1"/>
    <w:rsid w:val="00CC1B89"/>
    <w:rsid w:val="00CC2B56"/>
    <w:rsid w:val="00CD03E5"/>
    <w:rsid w:val="00CD0D49"/>
    <w:rsid w:val="00CD148B"/>
    <w:rsid w:val="00CD2604"/>
    <w:rsid w:val="00CD30C4"/>
    <w:rsid w:val="00CD3139"/>
    <w:rsid w:val="00CD4853"/>
    <w:rsid w:val="00CD4B9B"/>
    <w:rsid w:val="00CD6FFF"/>
    <w:rsid w:val="00CD7247"/>
    <w:rsid w:val="00CD7DF6"/>
    <w:rsid w:val="00CE347E"/>
    <w:rsid w:val="00CE38C9"/>
    <w:rsid w:val="00CE55BF"/>
    <w:rsid w:val="00CE5729"/>
    <w:rsid w:val="00CE614C"/>
    <w:rsid w:val="00CF099C"/>
    <w:rsid w:val="00CF3A6D"/>
    <w:rsid w:val="00CF429F"/>
    <w:rsid w:val="00CF6DD1"/>
    <w:rsid w:val="00CF6E72"/>
    <w:rsid w:val="00CF773F"/>
    <w:rsid w:val="00CF7C68"/>
    <w:rsid w:val="00D01C80"/>
    <w:rsid w:val="00D04B5A"/>
    <w:rsid w:val="00D0551E"/>
    <w:rsid w:val="00D05BD4"/>
    <w:rsid w:val="00D0681C"/>
    <w:rsid w:val="00D10D5F"/>
    <w:rsid w:val="00D13A18"/>
    <w:rsid w:val="00D154AE"/>
    <w:rsid w:val="00D15E8A"/>
    <w:rsid w:val="00D16D16"/>
    <w:rsid w:val="00D170E4"/>
    <w:rsid w:val="00D17BAD"/>
    <w:rsid w:val="00D206F1"/>
    <w:rsid w:val="00D21D48"/>
    <w:rsid w:val="00D2660A"/>
    <w:rsid w:val="00D26F9C"/>
    <w:rsid w:val="00D27B03"/>
    <w:rsid w:val="00D3011C"/>
    <w:rsid w:val="00D301B3"/>
    <w:rsid w:val="00D3206B"/>
    <w:rsid w:val="00D32D01"/>
    <w:rsid w:val="00D3411D"/>
    <w:rsid w:val="00D34FC5"/>
    <w:rsid w:val="00D36A2A"/>
    <w:rsid w:val="00D426AD"/>
    <w:rsid w:val="00D44594"/>
    <w:rsid w:val="00D44A26"/>
    <w:rsid w:val="00D46B8E"/>
    <w:rsid w:val="00D46CC5"/>
    <w:rsid w:val="00D50DC3"/>
    <w:rsid w:val="00D53C37"/>
    <w:rsid w:val="00D541E7"/>
    <w:rsid w:val="00D57431"/>
    <w:rsid w:val="00D71823"/>
    <w:rsid w:val="00D71B98"/>
    <w:rsid w:val="00D7504F"/>
    <w:rsid w:val="00D849EE"/>
    <w:rsid w:val="00D854D7"/>
    <w:rsid w:val="00D864BC"/>
    <w:rsid w:val="00D8659F"/>
    <w:rsid w:val="00D9342F"/>
    <w:rsid w:val="00D9439C"/>
    <w:rsid w:val="00DA0E1B"/>
    <w:rsid w:val="00DA1AF1"/>
    <w:rsid w:val="00DA3703"/>
    <w:rsid w:val="00DA37FA"/>
    <w:rsid w:val="00DA490E"/>
    <w:rsid w:val="00DA4E74"/>
    <w:rsid w:val="00DA737D"/>
    <w:rsid w:val="00DB0CFD"/>
    <w:rsid w:val="00DB1400"/>
    <w:rsid w:val="00DB2324"/>
    <w:rsid w:val="00DB5EFB"/>
    <w:rsid w:val="00DB74CC"/>
    <w:rsid w:val="00DC02C5"/>
    <w:rsid w:val="00DC0518"/>
    <w:rsid w:val="00DC1744"/>
    <w:rsid w:val="00DC1F96"/>
    <w:rsid w:val="00DC2044"/>
    <w:rsid w:val="00DC53E0"/>
    <w:rsid w:val="00DC57DB"/>
    <w:rsid w:val="00DC5EF3"/>
    <w:rsid w:val="00DD0C60"/>
    <w:rsid w:val="00DD26EC"/>
    <w:rsid w:val="00DD2ADB"/>
    <w:rsid w:val="00DD59D2"/>
    <w:rsid w:val="00DE061D"/>
    <w:rsid w:val="00DE222B"/>
    <w:rsid w:val="00DE4BDB"/>
    <w:rsid w:val="00DE4FC5"/>
    <w:rsid w:val="00DF3111"/>
    <w:rsid w:val="00DF368A"/>
    <w:rsid w:val="00DF4330"/>
    <w:rsid w:val="00DF4F75"/>
    <w:rsid w:val="00DF6733"/>
    <w:rsid w:val="00DF683E"/>
    <w:rsid w:val="00DF7006"/>
    <w:rsid w:val="00E03DB4"/>
    <w:rsid w:val="00E04767"/>
    <w:rsid w:val="00E04794"/>
    <w:rsid w:val="00E06ADD"/>
    <w:rsid w:val="00E07044"/>
    <w:rsid w:val="00E07AD8"/>
    <w:rsid w:val="00E141D5"/>
    <w:rsid w:val="00E15AD4"/>
    <w:rsid w:val="00E15C4A"/>
    <w:rsid w:val="00E16443"/>
    <w:rsid w:val="00E17575"/>
    <w:rsid w:val="00E202FA"/>
    <w:rsid w:val="00E218CA"/>
    <w:rsid w:val="00E23370"/>
    <w:rsid w:val="00E2458E"/>
    <w:rsid w:val="00E253D5"/>
    <w:rsid w:val="00E25645"/>
    <w:rsid w:val="00E26CCC"/>
    <w:rsid w:val="00E4054A"/>
    <w:rsid w:val="00E4096D"/>
    <w:rsid w:val="00E41FF2"/>
    <w:rsid w:val="00E42570"/>
    <w:rsid w:val="00E4482D"/>
    <w:rsid w:val="00E463A9"/>
    <w:rsid w:val="00E476DD"/>
    <w:rsid w:val="00E50C9B"/>
    <w:rsid w:val="00E51268"/>
    <w:rsid w:val="00E53D27"/>
    <w:rsid w:val="00E55240"/>
    <w:rsid w:val="00E56206"/>
    <w:rsid w:val="00E57389"/>
    <w:rsid w:val="00E57A14"/>
    <w:rsid w:val="00E604BA"/>
    <w:rsid w:val="00E6337E"/>
    <w:rsid w:val="00E64671"/>
    <w:rsid w:val="00E655FB"/>
    <w:rsid w:val="00E67614"/>
    <w:rsid w:val="00E67AF9"/>
    <w:rsid w:val="00E70E8D"/>
    <w:rsid w:val="00E71EDC"/>
    <w:rsid w:val="00E72309"/>
    <w:rsid w:val="00E7259B"/>
    <w:rsid w:val="00E742E4"/>
    <w:rsid w:val="00E77099"/>
    <w:rsid w:val="00E77EEF"/>
    <w:rsid w:val="00E805E2"/>
    <w:rsid w:val="00E811DA"/>
    <w:rsid w:val="00E81DAA"/>
    <w:rsid w:val="00E81F70"/>
    <w:rsid w:val="00E82ECD"/>
    <w:rsid w:val="00E85E02"/>
    <w:rsid w:val="00E85F06"/>
    <w:rsid w:val="00E877DB"/>
    <w:rsid w:val="00E97688"/>
    <w:rsid w:val="00EA2F43"/>
    <w:rsid w:val="00EA38C1"/>
    <w:rsid w:val="00EA438A"/>
    <w:rsid w:val="00EA4836"/>
    <w:rsid w:val="00EA6A19"/>
    <w:rsid w:val="00EA7592"/>
    <w:rsid w:val="00EB175C"/>
    <w:rsid w:val="00EB7A57"/>
    <w:rsid w:val="00EB7B14"/>
    <w:rsid w:val="00EC1151"/>
    <w:rsid w:val="00EC1999"/>
    <w:rsid w:val="00EC43DD"/>
    <w:rsid w:val="00EC4A25"/>
    <w:rsid w:val="00EC6873"/>
    <w:rsid w:val="00ED7616"/>
    <w:rsid w:val="00EE11F8"/>
    <w:rsid w:val="00EE3C1D"/>
    <w:rsid w:val="00EF14AC"/>
    <w:rsid w:val="00EF1DAB"/>
    <w:rsid w:val="00EF2082"/>
    <w:rsid w:val="00EF6B9D"/>
    <w:rsid w:val="00F00A77"/>
    <w:rsid w:val="00F01C8E"/>
    <w:rsid w:val="00F04524"/>
    <w:rsid w:val="00F0490D"/>
    <w:rsid w:val="00F04C0F"/>
    <w:rsid w:val="00F06CA6"/>
    <w:rsid w:val="00F07599"/>
    <w:rsid w:val="00F1029B"/>
    <w:rsid w:val="00F118E2"/>
    <w:rsid w:val="00F12333"/>
    <w:rsid w:val="00F12F41"/>
    <w:rsid w:val="00F14FDC"/>
    <w:rsid w:val="00F1775E"/>
    <w:rsid w:val="00F21148"/>
    <w:rsid w:val="00F220AC"/>
    <w:rsid w:val="00F2315C"/>
    <w:rsid w:val="00F26B5E"/>
    <w:rsid w:val="00F304E3"/>
    <w:rsid w:val="00F318F6"/>
    <w:rsid w:val="00F326A0"/>
    <w:rsid w:val="00F34E06"/>
    <w:rsid w:val="00F3713E"/>
    <w:rsid w:val="00F414A2"/>
    <w:rsid w:val="00F43593"/>
    <w:rsid w:val="00F44272"/>
    <w:rsid w:val="00F47BC9"/>
    <w:rsid w:val="00F51C7C"/>
    <w:rsid w:val="00F553C3"/>
    <w:rsid w:val="00F55B58"/>
    <w:rsid w:val="00F567E2"/>
    <w:rsid w:val="00F57C11"/>
    <w:rsid w:val="00F6063A"/>
    <w:rsid w:val="00F60738"/>
    <w:rsid w:val="00F61242"/>
    <w:rsid w:val="00F6274E"/>
    <w:rsid w:val="00F653DD"/>
    <w:rsid w:val="00F70118"/>
    <w:rsid w:val="00F706D6"/>
    <w:rsid w:val="00F756FE"/>
    <w:rsid w:val="00F770B2"/>
    <w:rsid w:val="00F77E21"/>
    <w:rsid w:val="00F80A85"/>
    <w:rsid w:val="00F81C42"/>
    <w:rsid w:val="00F85145"/>
    <w:rsid w:val="00F85583"/>
    <w:rsid w:val="00F878AA"/>
    <w:rsid w:val="00F92064"/>
    <w:rsid w:val="00F9218C"/>
    <w:rsid w:val="00F93A13"/>
    <w:rsid w:val="00F93AB0"/>
    <w:rsid w:val="00F957AF"/>
    <w:rsid w:val="00FA03B3"/>
    <w:rsid w:val="00FA4C1B"/>
    <w:rsid w:val="00FA66C3"/>
    <w:rsid w:val="00FA72FD"/>
    <w:rsid w:val="00FA73CD"/>
    <w:rsid w:val="00FB0194"/>
    <w:rsid w:val="00FB0524"/>
    <w:rsid w:val="00FB3DC2"/>
    <w:rsid w:val="00FB3F1C"/>
    <w:rsid w:val="00FB6206"/>
    <w:rsid w:val="00FC0430"/>
    <w:rsid w:val="00FC27FF"/>
    <w:rsid w:val="00FC3568"/>
    <w:rsid w:val="00FC50A5"/>
    <w:rsid w:val="00FC6324"/>
    <w:rsid w:val="00FC7E89"/>
    <w:rsid w:val="00FC7F31"/>
    <w:rsid w:val="00FD327B"/>
    <w:rsid w:val="00FD70FD"/>
    <w:rsid w:val="00FE18B5"/>
    <w:rsid w:val="00FE1900"/>
    <w:rsid w:val="00FE3270"/>
    <w:rsid w:val="00FE5257"/>
    <w:rsid w:val="00FE7DA9"/>
    <w:rsid w:val="00FF374D"/>
    <w:rsid w:val="00FF4131"/>
    <w:rsid w:val="00FF4446"/>
    <w:rsid w:val="00FF5493"/>
    <w:rsid w:val="00FF5DA8"/>
    <w:rsid w:val="00FF6E3F"/>
    <w:rsid w:val="00FF7372"/>
    <w:rsid w:val="00FF742D"/>
    <w:rsid w:val="05A8AE40"/>
    <w:rsid w:val="1091DFB2"/>
    <w:rsid w:val="23DA4357"/>
    <w:rsid w:val="2F0C3D67"/>
    <w:rsid w:val="35EDD37F"/>
    <w:rsid w:val="48DA2861"/>
    <w:rsid w:val="58B4D9CA"/>
    <w:rsid w:val="5F8B2A6B"/>
    <w:rsid w:val="670B52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BFBF5"/>
  <w15:docId w15:val="{9F78951C-9B16-4B4F-B6D6-E92617B0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rsid w:val="007A0C47"/>
    <w:rPr>
      <w:sz w:val="16"/>
      <w:szCs w:val="16"/>
    </w:rPr>
  </w:style>
  <w:style w:type="paragraph" w:styleId="CommentText">
    <w:name w:val="annotation text"/>
    <w:basedOn w:val="Normal"/>
    <w:link w:val="CommentTextChar"/>
    <w:uiPriority w:val="99"/>
    <w:rsid w:val="007A0C47"/>
    <w:pPr>
      <w:spacing w:line="240" w:lineRule="auto"/>
      <w:ind w:firstLine="0"/>
    </w:pPr>
    <w:rPr>
      <w:sz w:val="20"/>
    </w:rPr>
  </w:style>
  <w:style w:type="character" w:customStyle="1" w:styleId="CommentTextChar">
    <w:name w:val="Comment Text Char"/>
    <w:basedOn w:val="DefaultParagraphFont"/>
    <w:link w:val="CommentText"/>
    <w:uiPriority w:val="99"/>
    <w:rsid w:val="007A0C4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53D"/>
    <w:pPr>
      <w:ind w:firstLine="432"/>
    </w:pPr>
    <w:rPr>
      <w:b/>
      <w:bCs/>
    </w:rPr>
  </w:style>
  <w:style w:type="character" w:customStyle="1" w:styleId="CommentSubjectChar">
    <w:name w:val="Comment Subject Char"/>
    <w:basedOn w:val="CommentTextChar"/>
    <w:link w:val="CommentSubject"/>
    <w:uiPriority w:val="99"/>
    <w:semiHidden/>
    <w:rsid w:val="0079453D"/>
    <w:rPr>
      <w:rFonts w:eastAsia="Times New Roman" w:cs="Times New Roman"/>
      <w:b/>
      <w:bCs/>
      <w:sz w:val="20"/>
      <w:szCs w:val="20"/>
    </w:rPr>
  </w:style>
  <w:style w:type="paragraph" w:customStyle="1" w:styleId="disclosure">
    <w:name w:val="disclosure"/>
    <w:basedOn w:val="Footer"/>
    <w:qFormat/>
    <w:rsid w:val="00900420"/>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90042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0042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PlaceholderText">
    <w:name w:val="Placeholder Text"/>
    <w:basedOn w:val="DefaultParagraphFont"/>
    <w:uiPriority w:val="99"/>
    <w:semiHidden/>
    <w:rsid w:val="000050A9"/>
    <w:rPr>
      <w:color w:val="808080"/>
    </w:rPr>
  </w:style>
  <w:style w:type="paragraph" w:customStyle="1" w:styleId="ResPubs">
    <w:name w:val="Res_Pubs"/>
    <w:basedOn w:val="Normal"/>
    <w:qFormat/>
    <w:rsid w:val="00890F7D"/>
    <w:pPr>
      <w:keepLines/>
      <w:spacing w:before="80" w:line="250" w:lineRule="exact"/>
      <w:ind w:firstLine="0"/>
    </w:pPr>
    <w:rPr>
      <w:rFonts w:ascii="Garamond" w:eastAsiaTheme="minorHAnsi" w:hAnsi="Garamond" w:cs="Arial"/>
      <w:kern w:val="22"/>
      <w:sz w:val="22"/>
      <w:szCs w:val="22"/>
      <w14:ligatures w14:val="standard"/>
      <w14:numSpacing w14:val="proportional"/>
    </w:rPr>
  </w:style>
  <w:style w:type="character" w:customStyle="1" w:styleId="NormalSSChar">
    <w:name w:val="NormalSS Char"/>
    <w:basedOn w:val="DefaultParagraphFont"/>
    <w:link w:val="NormalSS"/>
    <w:rsid w:val="006D0670"/>
    <w:rPr>
      <w:rFonts w:eastAsia="Times New Roman" w:cs="Times New Roman"/>
      <w:szCs w:val="20"/>
    </w:rPr>
  </w:style>
  <w:style w:type="paragraph" w:styleId="Revision">
    <w:name w:val="Revision"/>
    <w:hidden/>
    <w:uiPriority w:val="99"/>
    <w:semiHidden/>
    <w:rsid w:val="004505B9"/>
    <w:pPr>
      <w:spacing w:after="0"/>
    </w:pPr>
    <w:rPr>
      <w:rFonts w:eastAsia="Times New Roman" w:cs="Times New Roman"/>
      <w:szCs w:val="20"/>
    </w:rPr>
  </w:style>
  <w:style w:type="character" w:styleId="Hyperlink">
    <w:name w:val="Hyperlink"/>
    <w:basedOn w:val="DefaultParagraphFont"/>
    <w:uiPriority w:val="99"/>
    <w:unhideWhenUsed/>
    <w:rsid w:val="00E26CCC"/>
    <w:rPr>
      <w:color w:val="0000FF" w:themeColor="hyperlink"/>
      <w:u w:val="single"/>
    </w:rPr>
  </w:style>
  <w:style w:type="character" w:customStyle="1" w:styleId="UnresolvedMention1">
    <w:name w:val="Unresolved Mention1"/>
    <w:basedOn w:val="DefaultParagraphFont"/>
    <w:uiPriority w:val="99"/>
    <w:semiHidden/>
    <w:unhideWhenUsed/>
    <w:rsid w:val="00E26CCC"/>
    <w:rPr>
      <w:color w:val="605E5C"/>
      <w:shd w:val="clear" w:color="auto" w:fill="E1DFDD"/>
    </w:rPr>
  </w:style>
  <w:style w:type="character" w:styleId="Strong">
    <w:name w:val="Strong"/>
    <w:basedOn w:val="DefaultParagraphFont"/>
    <w:uiPriority w:val="22"/>
    <w:qFormat/>
    <w:rsid w:val="00A60CD0"/>
    <w:rPr>
      <w:b/>
      <w:bCs/>
    </w:rPr>
  </w:style>
  <w:style w:type="character" w:customStyle="1" w:styleId="UnresolvedMention2">
    <w:name w:val="Unresolved Mention2"/>
    <w:basedOn w:val="DefaultParagraphFont"/>
    <w:uiPriority w:val="99"/>
    <w:semiHidden/>
    <w:unhideWhenUsed/>
    <w:rsid w:val="008F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158388">
      <w:bodyDiv w:val="1"/>
      <w:marLeft w:val="0"/>
      <w:marRight w:val="0"/>
      <w:marTop w:val="0"/>
      <w:marBottom w:val="0"/>
      <w:divBdr>
        <w:top w:val="none" w:sz="0" w:space="0" w:color="auto"/>
        <w:left w:val="none" w:sz="0" w:space="0" w:color="auto"/>
        <w:bottom w:val="none" w:sz="0" w:space="0" w:color="auto"/>
        <w:right w:val="none" w:sz="0" w:space="0" w:color="auto"/>
      </w:divBdr>
      <w:divsChild>
        <w:div w:id="2115201270">
          <w:marLeft w:val="0"/>
          <w:marRight w:val="0"/>
          <w:marTop w:val="0"/>
          <w:marBottom w:val="0"/>
          <w:divBdr>
            <w:top w:val="none" w:sz="0" w:space="0" w:color="auto"/>
            <w:left w:val="none" w:sz="0" w:space="0" w:color="auto"/>
            <w:bottom w:val="none" w:sz="0" w:space="0" w:color="auto"/>
            <w:right w:val="none" w:sz="0" w:space="0" w:color="auto"/>
          </w:divBdr>
        </w:div>
        <w:div w:id="1499080157">
          <w:marLeft w:val="0"/>
          <w:marRight w:val="0"/>
          <w:marTop w:val="0"/>
          <w:marBottom w:val="0"/>
          <w:divBdr>
            <w:top w:val="none" w:sz="0" w:space="0" w:color="auto"/>
            <w:left w:val="none" w:sz="0" w:space="0" w:color="auto"/>
            <w:bottom w:val="none" w:sz="0" w:space="0" w:color="auto"/>
            <w:right w:val="none" w:sz="0" w:space="0" w:color="auto"/>
          </w:divBdr>
        </w:div>
        <w:div w:id="398140693">
          <w:marLeft w:val="0"/>
          <w:marRight w:val="0"/>
          <w:marTop w:val="0"/>
          <w:marBottom w:val="0"/>
          <w:divBdr>
            <w:top w:val="none" w:sz="0" w:space="0" w:color="auto"/>
            <w:left w:val="none" w:sz="0" w:space="0" w:color="auto"/>
            <w:bottom w:val="none" w:sz="0" w:space="0" w:color="auto"/>
            <w:right w:val="none" w:sz="0" w:space="0" w:color="auto"/>
          </w:divBdr>
        </w:div>
      </w:divsChild>
    </w:div>
    <w:div w:id="882595709">
      <w:bodyDiv w:val="1"/>
      <w:marLeft w:val="0"/>
      <w:marRight w:val="0"/>
      <w:marTop w:val="0"/>
      <w:marBottom w:val="0"/>
      <w:divBdr>
        <w:top w:val="none" w:sz="0" w:space="0" w:color="auto"/>
        <w:left w:val="none" w:sz="0" w:space="0" w:color="auto"/>
        <w:bottom w:val="none" w:sz="0" w:space="0" w:color="auto"/>
        <w:right w:val="none" w:sz="0" w:space="0" w:color="auto"/>
      </w:divBdr>
      <w:divsChild>
        <w:div w:id="595138215">
          <w:marLeft w:val="0"/>
          <w:marRight w:val="0"/>
          <w:marTop w:val="0"/>
          <w:marBottom w:val="0"/>
          <w:divBdr>
            <w:top w:val="none" w:sz="0" w:space="0" w:color="auto"/>
            <w:left w:val="none" w:sz="0" w:space="0" w:color="auto"/>
            <w:bottom w:val="none" w:sz="0" w:space="0" w:color="auto"/>
            <w:right w:val="none" w:sz="0" w:space="0" w:color="auto"/>
          </w:divBdr>
        </w:div>
        <w:div w:id="577398396">
          <w:marLeft w:val="0"/>
          <w:marRight w:val="0"/>
          <w:marTop w:val="0"/>
          <w:marBottom w:val="0"/>
          <w:divBdr>
            <w:top w:val="none" w:sz="0" w:space="0" w:color="auto"/>
            <w:left w:val="none" w:sz="0" w:space="0" w:color="auto"/>
            <w:bottom w:val="none" w:sz="0" w:space="0" w:color="auto"/>
            <w:right w:val="none" w:sz="0" w:space="0" w:color="auto"/>
          </w:divBdr>
        </w:div>
        <w:div w:id="1286042769">
          <w:marLeft w:val="0"/>
          <w:marRight w:val="0"/>
          <w:marTop w:val="0"/>
          <w:marBottom w:val="0"/>
          <w:divBdr>
            <w:top w:val="none" w:sz="0" w:space="0" w:color="auto"/>
            <w:left w:val="none" w:sz="0" w:space="0" w:color="auto"/>
            <w:bottom w:val="none" w:sz="0" w:space="0" w:color="auto"/>
            <w:right w:val="none" w:sz="0" w:space="0" w:color="auto"/>
          </w:divBdr>
        </w:div>
        <w:div w:id="1347252985">
          <w:marLeft w:val="0"/>
          <w:marRight w:val="0"/>
          <w:marTop w:val="0"/>
          <w:marBottom w:val="0"/>
          <w:divBdr>
            <w:top w:val="none" w:sz="0" w:space="0" w:color="auto"/>
            <w:left w:val="none" w:sz="0" w:space="0" w:color="auto"/>
            <w:bottom w:val="none" w:sz="0" w:space="0" w:color="auto"/>
            <w:right w:val="none" w:sz="0" w:space="0" w:color="auto"/>
          </w:divBdr>
        </w:div>
        <w:div w:id="1911042159">
          <w:marLeft w:val="0"/>
          <w:marRight w:val="0"/>
          <w:marTop w:val="0"/>
          <w:marBottom w:val="0"/>
          <w:divBdr>
            <w:top w:val="none" w:sz="0" w:space="0" w:color="auto"/>
            <w:left w:val="none" w:sz="0" w:space="0" w:color="auto"/>
            <w:bottom w:val="none" w:sz="0" w:space="0" w:color="auto"/>
            <w:right w:val="none" w:sz="0" w:space="0" w:color="auto"/>
          </w:divBdr>
        </w:div>
      </w:divsChild>
    </w:div>
    <w:div w:id="1216887966">
      <w:bodyDiv w:val="1"/>
      <w:marLeft w:val="0"/>
      <w:marRight w:val="0"/>
      <w:marTop w:val="0"/>
      <w:marBottom w:val="0"/>
      <w:divBdr>
        <w:top w:val="none" w:sz="0" w:space="0" w:color="auto"/>
        <w:left w:val="none" w:sz="0" w:space="0" w:color="auto"/>
        <w:bottom w:val="none" w:sz="0" w:space="0" w:color="auto"/>
        <w:right w:val="none" w:sz="0" w:space="0" w:color="auto"/>
      </w:divBdr>
    </w:div>
    <w:div w:id="1435370114">
      <w:bodyDiv w:val="1"/>
      <w:marLeft w:val="0"/>
      <w:marRight w:val="0"/>
      <w:marTop w:val="0"/>
      <w:marBottom w:val="0"/>
      <w:divBdr>
        <w:top w:val="none" w:sz="0" w:space="0" w:color="auto"/>
        <w:left w:val="none" w:sz="0" w:space="0" w:color="auto"/>
        <w:bottom w:val="none" w:sz="0" w:space="0" w:color="auto"/>
        <w:right w:val="none" w:sz="0" w:space="0" w:color="auto"/>
      </w:divBdr>
    </w:div>
    <w:div w:id="1638952686">
      <w:bodyDiv w:val="1"/>
      <w:marLeft w:val="0"/>
      <w:marRight w:val="0"/>
      <w:marTop w:val="0"/>
      <w:marBottom w:val="0"/>
      <w:divBdr>
        <w:top w:val="none" w:sz="0" w:space="0" w:color="auto"/>
        <w:left w:val="none" w:sz="0" w:space="0" w:color="auto"/>
        <w:bottom w:val="none" w:sz="0" w:space="0" w:color="auto"/>
        <w:right w:val="none" w:sz="0" w:space="0" w:color="auto"/>
      </w:divBdr>
      <w:divsChild>
        <w:div w:id="1266382977">
          <w:marLeft w:val="0"/>
          <w:marRight w:val="0"/>
          <w:marTop w:val="0"/>
          <w:marBottom w:val="0"/>
          <w:divBdr>
            <w:top w:val="none" w:sz="0" w:space="0" w:color="auto"/>
            <w:left w:val="none" w:sz="0" w:space="0" w:color="auto"/>
            <w:bottom w:val="none" w:sz="0" w:space="0" w:color="auto"/>
            <w:right w:val="none" w:sz="0" w:space="0" w:color="auto"/>
          </w:divBdr>
        </w:div>
        <w:div w:id="636682856">
          <w:marLeft w:val="0"/>
          <w:marRight w:val="0"/>
          <w:marTop w:val="0"/>
          <w:marBottom w:val="0"/>
          <w:divBdr>
            <w:top w:val="none" w:sz="0" w:space="0" w:color="auto"/>
            <w:left w:val="none" w:sz="0" w:space="0" w:color="auto"/>
            <w:bottom w:val="none" w:sz="0" w:space="0" w:color="auto"/>
            <w:right w:val="none" w:sz="0" w:space="0" w:color="auto"/>
          </w:divBdr>
        </w:div>
        <w:div w:id="155848742">
          <w:marLeft w:val="0"/>
          <w:marRight w:val="0"/>
          <w:marTop w:val="0"/>
          <w:marBottom w:val="0"/>
          <w:divBdr>
            <w:top w:val="none" w:sz="0" w:space="0" w:color="auto"/>
            <w:left w:val="none" w:sz="0" w:space="0" w:color="auto"/>
            <w:bottom w:val="none" w:sz="0" w:space="0" w:color="auto"/>
            <w:right w:val="none" w:sz="0" w:space="0" w:color="auto"/>
          </w:divBdr>
        </w:div>
        <w:div w:id="7341062">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29633787">
          <w:marLeft w:val="0"/>
          <w:marRight w:val="0"/>
          <w:marTop w:val="0"/>
          <w:marBottom w:val="0"/>
          <w:divBdr>
            <w:top w:val="none" w:sz="0" w:space="0" w:color="auto"/>
            <w:left w:val="none" w:sz="0" w:space="0" w:color="auto"/>
            <w:bottom w:val="none" w:sz="0" w:space="0" w:color="auto"/>
            <w:right w:val="none" w:sz="0" w:space="0" w:color="auto"/>
          </w:divBdr>
        </w:div>
      </w:divsChild>
    </w:div>
    <w:div w:id="1880699640">
      <w:bodyDiv w:val="1"/>
      <w:marLeft w:val="0"/>
      <w:marRight w:val="0"/>
      <w:marTop w:val="0"/>
      <w:marBottom w:val="0"/>
      <w:divBdr>
        <w:top w:val="none" w:sz="0" w:space="0" w:color="auto"/>
        <w:left w:val="none" w:sz="0" w:space="0" w:color="auto"/>
        <w:bottom w:val="none" w:sz="0" w:space="0" w:color="auto"/>
        <w:right w:val="none" w:sz="0" w:space="0" w:color="auto"/>
      </w:divBdr>
      <w:divsChild>
        <w:div w:id="1157040377">
          <w:marLeft w:val="0"/>
          <w:marRight w:val="0"/>
          <w:marTop w:val="0"/>
          <w:marBottom w:val="0"/>
          <w:divBdr>
            <w:top w:val="none" w:sz="0" w:space="0" w:color="auto"/>
            <w:left w:val="none" w:sz="0" w:space="0" w:color="auto"/>
            <w:bottom w:val="none" w:sz="0" w:space="0" w:color="auto"/>
            <w:right w:val="none" w:sz="0" w:space="0" w:color="auto"/>
          </w:divBdr>
        </w:div>
        <w:div w:id="1337272651">
          <w:marLeft w:val="0"/>
          <w:marRight w:val="0"/>
          <w:marTop w:val="0"/>
          <w:marBottom w:val="0"/>
          <w:divBdr>
            <w:top w:val="none" w:sz="0" w:space="0" w:color="auto"/>
            <w:left w:val="none" w:sz="0" w:space="0" w:color="auto"/>
            <w:bottom w:val="none" w:sz="0" w:space="0" w:color="auto"/>
            <w:right w:val="none" w:sz="0" w:space="0" w:color="auto"/>
          </w:divBdr>
        </w:div>
        <w:div w:id="677581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reeronestop.org/LocalHelp/AmericanJobCenters/american-job-center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728FBAEE6EA142A66539E611E7B455" ma:contentTypeVersion="12" ma:contentTypeDescription="Create a new document." ma:contentTypeScope="" ma:versionID="f81298c0373e50480ad8affabd37bf24">
  <xsd:schema xmlns:xsd="http://www.w3.org/2001/XMLSchema" xmlns:xs="http://www.w3.org/2001/XMLSchema" xmlns:p="http://schemas.microsoft.com/office/2006/metadata/properties" xmlns:ns2="6e792754-e33c-4ee8-92cd-fe491956ca98" xmlns:ns3="93825b28-e0af-4573-ae36-0e43a7eb3879" targetNamespace="http://schemas.microsoft.com/office/2006/metadata/properties" ma:root="true" ma:fieldsID="5fbd6f2b33727b84109ae2564b5a5eb4" ns2:_="" ns3:_="">
    <xsd:import namespace="6e792754-e33c-4ee8-92cd-fe491956ca98"/>
    <xsd:import namespace="93825b28-e0af-4573-ae36-0e43a7eb38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2754-e33c-4ee8-92cd-fe491956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5b28-e0af-4573-ae36-0e43a7eb38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43FB9-3F46-4B32-AABE-DC08EBC7F918}">
  <ds:schemaRefs>
    <ds:schemaRef ds:uri="http://schemas.openxmlformats.org/officeDocument/2006/bibliography"/>
  </ds:schemaRefs>
</ds:datastoreItem>
</file>

<file path=customXml/itemProps2.xml><?xml version="1.0" encoding="utf-8"?>
<ds:datastoreItem xmlns:ds="http://schemas.openxmlformats.org/officeDocument/2006/customXml" ds:itemID="{D8A5DE53-EB81-4F87-AFA8-01BA0A21D64C}">
  <ds:schemaRefs>
    <ds:schemaRef ds:uri="http://schemas.microsoft.com/sharepoint/v3/contenttype/forms"/>
  </ds:schemaRefs>
</ds:datastoreItem>
</file>

<file path=customXml/itemProps3.xml><?xml version="1.0" encoding="utf-8"?>
<ds:datastoreItem xmlns:ds="http://schemas.openxmlformats.org/officeDocument/2006/customXml" ds:itemID="{C47DC109-95D0-4D6B-B9C9-3648548AF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47AE64-CB3B-4055-8CDC-2637F0646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2754-e33c-4ee8-92cd-fe491956ca98"/>
    <ds:schemaRef ds:uri="93825b28-e0af-4573-ae36-0e43a7eb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Template>
  <TotalTime>6</TotalTime>
  <Pages>8</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Dpatterson</dc:creator>
  <cp:lastModifiedBy>Rosemarie L. O'Conner</cp:lastModifiedBy>
  <cp:revision>4</cp:revision>
  <cp:lastPrinted>2021-10-25T16:51:00Z</cp:lastPrinted>
  <dcterms:created xsi:type="dcterms:W3CDTF">2021-10-26T17:12:00Z</dcterms:created>
  <dcterms:modified xsi:type="dcterms:W3CDTF">2021-11-03T13:05:00Z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0x010100D9728FBAEE6EA142A66539E611E7B455</vt:lpwstr>
  </property>
</Properties>
</file>