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12B62" w:rsidR="001945CA" w:rsidP="009F4D1C" w:rsidRDefault="00B50861" w14:paraId="795EA468" w14:textId="77777777">
      <w:pPr>
        <w:jc w:val="center"/>
        <w:rPr>
          <w:sz w:val="28"/>
          <w:szCs w:val="28"/>
        </w:rPr>
      </w:pPr>
      <w:r w:rsidRPr="00512B62">
        <w:rPr>
          <w:sz w:val="28"/>
          <w:szCs w:val="28"/>
        </w:rPr>
        <w:t>Department of the Treasury</w:t>
      </w:r>
    </w:p>
    <w:p w:rsidRPr="00512B62" w:rsidR="007E69B3" w:rsidP="009F4D1C" w:rsidRDefault="00B50861" w14:paraId="3ED61395" w14:textId="77777777">
      <w:pPr>
        <w:jc w:val="center"/>
        <w:rPr>
          <w:sz w:val="28"/>
          <w:szCs w:val="28"/>
        </w:rPr>
      </w:pPr>
      <w:r w:rsidRPr="00512B62">
        <w:rPr>
          <w:sz w:val="28"/>
          <w:szCs w:val="28"/>
        </w:rPr>
        <w:t>Departmental Offices</w:t>
      </w:r>
    </w:p>
    <w:p w:rsidR="003C068B" w:rsidP="00A73FE3" w:rsidRDefault="009965EC" w14:paraId="35BA00E3" w14:textId="718F1659">
      <w:pPr>
        <w:jc w:val="center"/>
        <w:rPr>
          <w:b/>
        </w:rPr>
      </w:pPr>
      <w:r>
        <w:rPr>
          <w:b/>
        </w:rPr>
        <w:t>State Small Business Credit Initiative</w:t>
      </w:r>
    </w:p>
    <w:p w:rsidRPr="00512B62" w:rsidR="0050635A" w:rsidP="00A73FE3" w:rsidRDefault="0050635A" w14:paraId="19594494" w14:textId="0BF7402E">
      <w:pPr>
        <w:jc w:val="center"/>
        <w:rPr>
          <w:b/>
        </w:rPr>
      </w:pPr>
      <w:r>
        <w:rPr>
          <w:b/>
        </w:rPr>
        <w:t>1505-</w:t>
      </w:r>
      <w:r w:rsidR="002B7AFF">
        <w:rPr>
          <w:b/>
        </w:rPr>
        <w:t>0227</w:t>
      </w:r>
    </w:p>
    <w:p w:rsidRPr="00512B62" w:rsidR="00512B62" w:rsidP="00512B62" w:rsidRDefault="00512B62" w14:paraId="71BB40E4" w14:textId="77777777">
      <w:pPr>
        <w:jc w:val="center"/>
        <w:rPr>
          <w:i/>
        </w:rPr>
      </w:pPr>
    </w:p>
    <w:p w:rsidRPr="00525F4A" w:rsidR="00512B62" w:rsidP="00A73FE3" w:rsidRDefault="00512B62" w14:paraId="37B56E1A" w14:textId="77777777">
      <w:pPr>
        <w:jc w:val="center"/>
        <w:rPr>
          <w:b/>
        </w:rPr>
      </w:pPr>
    </w:p>
    <w:p w:rsidRPr="00525F4A" w:rsidR="00A73FE3" w:rsidP="0099514D" w:rsidRDefault="0099514D" w14:paraId="464DBE47" w14:textId="77777777">
      <w:pPr>
        <w:numPr>
          <w:ilvl w:val="0"/>
          <w:numId w:val="18"/>
        </w:numPr>
        <w:rPr>
          <w:b/>
        </w:rPr>
      </w:pPr>
      <w:r w:rsidRPr="00525F4A">
        <w:rPr>
          <w:b/>
        </w:rPr>
        <w:t>Justification</w:t>
      </w:r>
    </w:p>
    <w:p w:rsidRPr="0025604D" w:rsidR="0099514D" w:rsidP="0099514D" w:rsidRDefault="0099514D" w14:paraId="2F8973AC" w14:textId="77777777">
      <w:pPr>
        <w:ind w:left="360"/>
      </w:pPr>
    </w:p>
    <w:p w:rsidR="00FE29CC" w:rsidP="00250F2D" w:rsidRDefault="00F41911" w14:paraId="47276B12" w14:textId="77777777">
      <w:pPr>
        <w:numPr>
          <w:ilvl w:val="0"/>
          <w:numId w:val="12"/>
        </w:numPr>
        <w:tabs>
          <w:tab w:val="clear" w:pos="720"/>
          <w:tab w:val="num" w:pos="0"/>
        </w:tabs>
        <w:ind w:left="0" w:firstLine="0"/>
        <w:rPr>
          <w:u w:val="single"/>
        </w:rPr>
      </w:pPr>
      <w:r w:rsidRPr="0025604D">
        <w:t xml:space="preserve"> </w:t>
      </w:r>
      <w:r w:rsidRPr="0025604D" w:rsidR="00B50861">
        <w:rPr>
          <w:u w:val="single"/>
        </w:rPr>
        <w:t>Circumstances necessitating the collection of information</w:t>
      </w:r>
      <w:r w:rsidR="00F64341">
        <w:rPr>
          <w:u w:val="single"/>
        </w:rPr>
        <w:t>.</w:t>
      </w:r>
    </w:p>
    <w:p w:rsidRPr="00237B2B" w:rsidR="0051692D" w:rsidP="0051692D" w:rsidRDefault="0051692D" w14:paraId="05CE41DE" w14:textId="77777777">
      <w:pPr>
        <w:spacing w:before="240" w:after="120"/>
      </w:pPr>
      <w:r w:rsidRPr="00237B2B">
        <w:t>O</w:t>
      </w:r>
      <w:r>
        <w:t>n March 11, 2021, the President signed the American Rescue Plan Act of 2021 (the “Act”), Pub. L. No. 117-2. Title III, Subtitle C, Section 3301 of the Act provides $10 billion for the Department of the Treasury (Treasury) to make payments to States (defined to include the District of Columbia), U.S. Territories (Puerto Rico, U.S. Virgin Islands, Guam, Northern Mariana Islands, and American Samoa), and Tribal governments (collectively the “Eligible Jurisdictions”) to help address the economic fallout of the pandemic and lay the foundation for a strong and equitable recovery by providing direct support to eligible jurisdictions for programs that increase access to credit for small businesses</w:t>
      </w:r>
      <w:r w:rsidRPr="00237B2B">
        <w:t>.</w:t>
      </w:r>
      <w:r w:rsidRPr="00237B2B">
        <w:rPr>
          <w:sz w:val="22"/>
          <w:szCs w:val="22"/>
        </w:rPr>
        <w:t xml:space="preserve">  </w:t>
      </w:r>
      <w:r w:rsidRPr="00237B2B">
        <w:t xml:space="preserve">  </w:t>
      </w:r>
      <w:r>
        <w:t xml:space="preserve">These eligible jurisdictions must </w:t>
      </w:r>
      <w:proofErr w:type="gramStart"/>
      <w:r>
        <w:t>submit an application</w:t>
      </w:r>
      <w:proofErr w:type="gramEnd"/>
      <w:r>
        <w:t xml:space="preserve"> to be considered for approval of SSBCI Capital programs. </w:t>
      </w:r>
    </w:p>
    <w:p w:rsidRPr="00161A47" w:rsidR="0051692D" w:rsidP="0051692D" w:rsidRDefault="0051692D" w14:paraId="67CB11AA" w14:textId="77777777">
      <w:pPr>
        <w:spacing w:before="240" w:after="120"/>
      </w:pPr>
      <w:r>
        <w:t>Sections 12 U.S.C § 5704(b)(2) and 12 U.S.C § 5705(b)(4)) require Eligible Jurisdictions to submit a complete SSBCI application for Capital funds within 9 months of enactment, which is December 11, 2021.   T</w:t>
      </w:r>
      <w:r w:rsidRPr="008F51CA">
        <w:t xml:space="preserve">reasury is seeking approval for </w:t>
      </w:r>
      <w:bookmarkStart w:name="_Hlk76738713" w:id="0"/>
      <w:r>
        <w:t xml:space="preserve">the </w:t>
      </w:r>
      <w:bookmarkEnd w:id="0"/>
      <w:r>
        <w:t xml:space="preserve">SSBCI Capital Application to streamline the process by which eligible jurisdictions can apply for SSBCI Capital funding. This information collection is vitally important for </w:t>
      </w:r>
      <w:r w:rsidRPr="008F51CA">
        <w:t xml:space="preserve">Treasury to </w:t>
      </w:r>
      <w:r>
        <w:t>review and approve eligible jurisdictions’ SSBCI Capital programs and distribute eligible jurisdiction funds</w:t>
      </w:r>
      <w:r w:rsidRPr="008F51CA">
        <w:rPr>
          <w:lang w:val="en"/>
        </w:rPr>
        <w:t>.</w:t>
      </w:r>
      <w:r>
        <w:rPr>
          <w:rFonts w:ascii="Arial" w:hAnsi="Arial" w:cs="Arial"/>
          <w:sz w:val="21"/>
          <w:szCs w:val="21"/>
          <w:lang w:val="en"/>
        </w:rPr>
        <w:t xml:space="preserve"> </w:t>
      </w:r>
    </w:p>
    <w:p w:rsidR="00F366E8" w:rsidP="00C16694" w:rsidRDefault="00F366E8" w14:paraId="0ABAA294" w14:textId="77777777">
      <w:pPr>
        <w:rPr>
          <w:u w:val="single"/>
        </w:rPr>
      </w:pPr>
    </w:p>
    <w:p w:rsidR="00A37F12" w:rsidP="00A37F12" w:rsidRDefault="00A37F12" w14:paraId="34FBC25C" w14:textId="77777777"/>
    <w:p w:rsidRPr="00A41CCE" w:rsidR="008869AF" w:rsidP="00A41CCE" w:rsidRDefault="0099514D" w14:paraId="7ECC1712" w14:textId="3F766C57">
      <w:pPr>
        <w:rPr>
          <w:szCs w:val="20"/>
          <w:u w:val="single"/>
        </w:rPr>
      </w:pPr>
      <w:r w:rsidRPr="00A37F12">
        <w:rPr>
          <w:szCs w:val="20"/>
          <w:u w:val="single"/>
        </w:rPr>
        <w:t xml:space="preserve">2.  Method of collection and use of </w:t>
      </w:r>
      <w:proofErr w:type="gramStart"/>
      <w:r w:rsidRPr="00A37F12">
        <w:rPr>
          <w:szCs w:val="20"/>
          <w:u w:val="single"/>
        </w:rPr>
        <w:t>data</w:t>
      </w:r>
      <w:r w:rsidR="00B944CC">
        <w:rPr>
          <w:u w:val="single"/>
        </w:rPr>
        <w:t>:</w:t>
      </w:r>
      <w:r w:rsidR="00F64341">
        <w:rPr>
          <w:u w:val="single"/>
        </w:rPr>
        <w:t>.</w:t>
      </w:r>
      <w:proofErr w:type="gramEnd"/>
    </w:p>
    <w:p w:rsidR="003979BA" w:rsidP="003979BA" w:rsidRDefault="003979BA" w14:paraId="769E0A5E" w14:textId="77777777">
      <w:pPr>
        <w:ind w:left="720"/>
        <w:rPr>
          <w:u w:val="single"/>
        </w:rPr>
      </w:pPr>
    </w:p>
    <w:p w:rsidR="00A720EF" w:rsidP="00A720EF" w:rsidRDefault="00A720EF" w14:paraId="7D299A70" w14:textId="3B85447B">
      <w:r w:rsidRPr="00390E44">
        <w:t>Treasury will use submitted information to determine if the applicants meet the eligibility requirements in order to receive the SSBCI funds</w:t>
      </w:r>
      <w:r>
        <w:t xml:space="preserve">.  </w:t>
      </w:r>
    </w:p>
    <w:p w:rsidR="003979BA" w:rsidP="004E4993" w:rsidRDefault="003979BA" w14:paraId="5DBB86DF" w14:textId="05264849"/>
    <w:p w:rsidR="00B81D08" w:rsidP="00B81D08" w:rsidRDefault="00B81D08" w14:paraId="79ECF5EB" w14:textId="285E716B">
      <w:pPr>
        <w:rPr>
          <w:b/>
          <w:bCs/>
          <w:u w:val="single"/>
        </w:rPr>
      </w:pPr>
      <w:r>
        <w:rPr>
          <w:b/>
          <w:bCs/>
          <w:u w:val="single"/>
        </w:rPr>
        <w:t>SS</w:t>
      </w:r>
      <w:r w:rsidR="00D96B41">
        <w:rPr>
          <w:b/>
          <w:bCs/>
          <w:u w:val="single"/>
        </w:rPr>
        <w:t>BC</w:t>
      </w:r>
      <w:r>
        <w:rPr>
          <w:b/>
          <w:bCs/>
          <w:u w:val="single"/>
        </w:rPr>
        <w:t xml:space="preserve">I Application: </w:t>
      </w:r>
    </w:p>
    <w:p w:rsidR="00330B9D" w:rsidP="00B81D08" w:rsidRDefault="00330B9D" w14:paraId="4A31D7CF" w14:textId="77777777">
      <w:pPr>
        <w:rPr>
          <w:b/>
          <w:bCs/>
          <w:u w:val="single"/>
        </w:rPr>
      </w:pPr>
    </w:p>
    <w:p w:rsidR="008F5B9C" w:rsidP="00B81D08" w:rsidRDefault="008F5B9C" w14:paraId="1F3C969E" w14:textId="5882C916">
      <w:r>
        <w:t xml:space="preserve">Treasury will collect information from applicants, </w:t>
      </w:r>
      <w:r w:rsidR="00FC7E35">
        <w:t xml:space="preserve">which may include </w:t>
      </w:r>
      <w:r>
        <w:t>eligible states, territories, the District of Columbia, and Tribal governments, through an online application portal. The application includes the collection of eligibility information and program details including:</w:t>
      </w:r>
    </w:p>
    <w:p w:rsidR="00FC7E35" w:rsidP="008F5B9C" w:rsidRDefault="00FC7E35" w14:paraId="5D1816F5" w14:textId="55E1CDE6">
      <w:pPr>
        <w:pStyle w:val="ListParagraph"/>
        <w:numPr>
          <w:ilvl w:val="0"/>
          <w:numId w:val="29"/>
        </w:numPr>
      </w:pPr>
      <w:r>
        <w:t xml:space="preserve">Points of contact for the eligible jurisdiction and those administering the </w:t>
      </w:r>
      <w:proofErr w:type="gramStart"/>
      <w:r>
        <w:t>program;</w:t>
      </w:r>
      <w:proofErr w:type="gramEnd"/>
    </w:p>
    <w:p w:rsidR="008F5B9C" w:rsidP="008F5B9C" w:rsidRDefault="008F5B9C" w14:paraId="0832C3A8" w14:textId="2C69420F">
      <w:pPr>
        <w:pStyle w:val="ListParagraph"/>
        <w:numPr>
          <w:ilvl w:val="0"/>
          <w:numId w:val="29"/>
        </w:numPr>
      </w:pPr>
      <w:r>
        <w:t xml:space="preserve">Designation support for the implementing entity as well as any delegation of authority </w:t>
      </w:r>
      <w:proofErr w:type="gramStart"/>
      <w:r>
        <w:t>documentation;</w:t>
      </w:r>
      <w:proofErr w:type="gramEnd"/>
    </w:p>
    <w:p w:rsidR="008F5B9C" w:rsidP="008F5B9C" w:rsidRDefault="008F5B9C" w14:paraId="75EAE195" w14:textId="39F548A9">
      <w:pPr>
        <w:pStyle w:val="ListParagraph"/>
        <w:numPr>
          <w:ilvl w:val="0"/>
          <w:numId w:val="29"/>
        </w:numPr>
      </w:pPr>
      <w:r>
        <w:t xml:space="preserve">Statement on legal actions that have been taken or will be taken in order to receive SSBCI </w:t>
      </w:r>
      <w:proofErr w:type="gramStart"/>
      <w:r>
        <w:t>funds;</w:t>
      </w:r>
      <w:proofErr w:type="gramEnd"/>
    </w:p>
    <w:p w:rsidR="008F5B9C" w:rsidP="008F5B9C" w:rsidRDefault="008F5B9C" w14:paraId="11F13D7C" w14:textId="7DF03AC8">
      <w:pPr>
        <w:pStyle w:val="ListParagraph"/>
        <w:numPr>
          <w:ilvl w:val="0"/>
          <w:numId w:val="29"/>
        </w:numPr>
      </w:pPr>
      <w:r>
        <w:t>Underserved narrative</w:t>
      </w:r>
      <w:r w:rsidR="00FC7E35">
        <w:t xml:space="preserve"> that</w:t>
      </w:r>
      <w:r w:rsidRPr="00FC7E35" w:rsidR="00FC7E35">
        <w:t xml:space="preserve"> detail</w:t>
      </w:r>
      <w:r w:rsidR="00FC7E35">
        <w:t>s</w:t>
      </w:r>
      <w:r w:rsidRPr="00FC7E35" w:rsidR="00FC7E35">
        <w:t xml:space="preserve"> how </w:t>
      </w:r>
      <w:r w:rsidR="00FC7E35">
        <w:t xml:space="preserve">an applicant </w:t>
      </w:r>
      <w:r w:rsidRPr="00FC7E35" w:rsidR="00FC7E35">
        <w:t>plan</w:t>
      </w:r>
      <w:r w:rsidR="00FC7E35">
        <w:t>s</w:t>
      </w:r>
      <w:r w:rsidRPr="00FC7E35" w:rsidR="00FC7E35">
        <w:t xml:space="preserve"> to use the federal contributions for </w:t>
      </w:r>
      <w:r w:rsidR="00C97664">
        <w:t>their</w:t>
      </w:r>
      <w:r w:rsidRPr="00FC7E35" w:rsidR="00FC7E35">
        <w:t xml:space="preserve"> approved programs to help provide access to capital for small </w:t>
      </w:r>
      <w:r w:rsidRPr="00FC7E35" w:rsidR="00FC7E35">
        <w:lastRenderedPageBreak/>
        <w:t>businesses in low- and moderate-income, minority, and other underserved communities, including women- and minority-owned small businesses.</w:t>
      </w:r>
    </w:p>
    <w:p w:rsidR="008F5B9C" w:rsidP="008F5B9C" w:rsidRDefault="008F5B9C" w14:paraId="6951E375" w14:textId="7574A551">
      <w:pPr>
        <w:pStyle w:val="ListParagraph"/>
        <w:numPr>
          <w:ilvl w:val="0"/>
          <w:numId w:val="29"/>
        </w:numPr>
      </w:pPr>
      <w:r>
        <w:t>Enrolled loan data table for Capital Access Programs (CAPs), including historic information for programs that</w:t>
      </w:r>
      <w:r w:rsidR="009018CF">
        <w:t xml:space="preserve"> have operated before </w:t>
      </w:r>
      <w:r>
        <w:t xml:space="preserve">and estimates for the life of the SSBCI </w:t>
      </w:r>
      <w:proofErr w:type="gramStart"/>
      <w:r>
        <w:t>program;</w:t>
      </w:r>
      <w:proofErr w:type="gramEnd"/>
    </w:p>
    <w:p w:rsidR="008F5B9C" w:rsidP="008F5B9C" w:rsidRDefault="008F5B9C" w14:paraId="15CA5696" w14:textId="5531E67C">
      <w:pPr>
        <w:pStyle w:val="ListParagraph"/>
        <w:numPr>
          <w:ilvl w:val="0"/>
          <w:numId w:val="29"/>
        </w:numPr>
      </w:pPr>
      <w:r>
        <w:t>Other Credit Support Program</w:t>
      </w:r>
      <w:r w:rsidR="009018CF">
        <w:t>s (OCSP)</w:t>
      </w:r>
      <w:r>
        <w:t xml:space="preserve"> Information including: </w:t>
      </w:r>
      <w:r w:rsidR="00F77AE4">
        <w:t>a summary of the background of the program, a summary of the program guidelines, a description of the anticipated benefit of the program, a description of how the program will “cause and result” in $1 of new private credit for every $1 of SSBCI funds, a</w:t>
      </w:r>
      <w:r w:rsidRPr="00940C12" w:rsidR="00F77AE4">
        <w:t xml:space="preserve"> description of how the </w:t>
      </w:r>
      <w:r w:rsidR="00F77AE4">
        <w:t>program</w:t>
      </w:r>
      <w:r w:rsidRPr="00940C12" w:rsidR="00F77AE4">
        <w:t xml:space="preserve"> will ensure a meaningful amount of lender/investor capital is at risk</w:t>
      </w:r>
      <w:r w:rsidR="00F77AE4">
        <w:t>, and a description of how the program will provide credit support that meet all of the requirements regarding borrow and investor size and principal amounts.</w:t>
      </w:r>
    </w:p>
    <w:p w:rsidR="008F5B9C" w:rsidP="008F5B9C" w:rsidRDefault="008F5B9C" w14:paraId="1C662B27" w14:textId="680B2292">
      <w:pPr>
        <w:pStyle w:val="ListParagraph"/>
        <w:numPr>
          <w:ilvl w:val="0"/>
          <w:numId w:val="29"/>
        </w:numPr>
      </w:pPr>
      <w:r>
        <w:t>O</w:t>
      </w:r>
      <w:r w:rsidR="00FC7E35">
        <w:t>CSP Additional Considerations including:</w:t>
      </w:r>
      <w:r w:rsidR="00940C12">
        <w:t xml:space="preserve"> </w:t>
      </w:r>
      <w:r w:rsidR="00F77AE4">
        <w:t xml:space="preserve">a description </w:t>
      </w:r>
      <w:r w:rsidRPr="00F77AE4" w:rsidR="00F77AE4">
        <w:t xml:space="preserve">the </w:t>
      </w:r>
      <w:r w:rsidR="00F77AE4">
        <w:t xml:space="preserve">program’s </w:t>
      </w:r>
      <w:r w:rsidRPr="00F77AE4" w:rsidR="00F77AE4">
        <w:t>management team, operational capacity, and internal accounting and administrative controls systems.</w:t>
      </w:r>
    </w:p>
    <w:p w:rsidR="00FC7E35" w:rsidP="008F5B9C" w:rsidRDefault="00FC7E35" w14:paraId="176A1F42" w14:textId="68030D58">
      <w:pPr>
        <w:pStyle w:val="ListParagraph"/>
        <w:numPr>
          <w:ilvl w:val="0"/>
          <w:numId w:val="29"/>
        </w:numPr>
      </w:pPr>
      <w:r>
        <w:t xml:space="preserve">OCSP Independent Financial Audit or Program Financial </w:t>
      </w:r>
      <w:proofErr w:type="gramStart"/>
      <w:r>
        <w:t>Statements;</w:t>
      </w:r>
      <w:proofErr w:type="gramEnd"/>
    </w:p>
    <w:p w:rsidR="00FC7E35" w:rsidP="00FC7E35" w:rsidRDefault="00FC7E35" w14:paraId="5509F1A3" w14:textId="4C987407">
      <w:pPr>
        <w:pStyle w:val="ListParagraph"/>
        <w:numPr>
          <w:ilvl w:val="0"/>
          <w:numId w:val="29"/>
        </w:numPr>
      </w:pPr>
      <w:r>
        <w:t xml:space="preserve">Leverage Ratio Data tables for all proposed programs, using a provided </w:t>
      </w:r>
      <w:proofErr w:type="gramStart"/>
      <w:r>
        <w:t>template;</w:t>
      </w:r>
      <w:proofErr w:type="gramEnd"/>
    </w:p>
    <w:p w:rsidR="00FC7E35" w:rsidP="00FC7E35" w:rsidRDefault="00FC7E35" w14:paraId="0FA80417" w14:textId="1984B99A">
      <w:pPr>
        <w:pStyle w:val="ListParagraph"/>
        <w:numPr>
          <w:ilvl w:val="0"/>
          <w:numId w:val="29"/>
        </w:numPr>
      </w:pPr>
      <w:r>
        <w:t>Compliance and Oversight narrative</w:t>
      </w:r>
      <w:r w:rsidR="00DD1BB4">
        <w:t xml:space="preserve"> </w:t>
      </w:r>
      <w:r w:rsidRPr="00DD1BB4" w:rsidR="00DD1BB4">
        <w:t>describing what reporting mechanisms, audits, or other internal controls and compliance activities (a) the applicant has in place or (b) need to be implemented to enable the applicant to conduct oversight and meet annual and quarterly reporting requirements for the proposed program(s).</w:t>
      </w:r>
    </w:p>
    <w:p w:rsidR="00FC7E35" w:rsidP="00FC7E35" w:rsidRDefault="00FC7E35" w14:paraId="0F5B21B8" w14:textId="6EFA0916">
      <w:pPr>
        <w:pStyle w:val="ListParagraph"/>
        <w:numPr>
          <w:ilvl w:val="0"/>
          <w:numId w:val="29"/>
        </w:numPr>
      </w:pPr>
      <w:r>
        <w:t xml:space="preserve">Assurances of Compliance with Civil Rights </w:t>
      </w:r>
      <w:proofErr w:type="gramStart"/>
      <w:r>
        <w:t>Requirements</w:t>
      </w:r>
      <w:r w:rsidR="009B5E2B">
        <w:t>;</w:t>
      </w:r>
      <w:proofErr w:type="gramEnd"/>
    </w:p>
    <w:p w:rsidR="009B5E2B" w:rsidP="00FC7E35" w:rsidRDefault="009B5E2B" w14:paraId="6301A9DE" w14:textId="04D11BEC">
      <w:pPr>
        <w:pStyle w:val="ListParagraph"/>
        <w:numPr>
          <w:ilvl w:val="0"/>
          <w:numId w:val="29"/>
        </w:numPr>
      </w:pPr>
      <w:r>
        <w:t>Financial institution information for receipt of funds.</w:t>
      </w:r>
    </w:p>
    <w:p w:rsidR="00FC7E35" w:rsidP="00FC7E35" w:rsidRDefault="00FC7E35" w14:paraId="2D109B29" w14:textId="4430388D"/>
    <w:p w:rsidR="00FC7E35" w:rsidP="00FC7E35" w:rsidRDefault="00FC7E35" w14:paraId="08F650AB" w14:textId="2846C3C4">
      <w:r>
        <w:t>The information collected in applications will be used by Treasury staff to evaluate applications and determine eligibility to receive SSBCI funds</w:t>
      </w:r>
      <w:r w:rsidR="009B5E2B">
        <w:t>, as well as distribute funds</w:t>
      </w:r>
      <w:r>
        <w:t xml:space="preserve">. Treasury staff may include a review committee that </w:t>
      </w:r>
      <w:r w:rsidR="009B5E2B">
        <w:t>has</w:t>
      </w:r>
      <w:r>
        <w:t xml:space="preserve"> experts outside of the Department who have signed </w:t>
      </w:r>
      <w:r w:rsidR="009B5E2B">
        <w:t xml:space="preserve">a nondisclosure agreement and a </w:t>
      </w:r>
      <w:proofErr w:type="gramStart"/>
      <w:r w:rsidR="009B5E2B">
        <w:t>conflict of interest</w:t>
      </w:r>
      <w:proofErr w:type="gramEnd"/>
      <w:r w:rsidR="009B5E2B">
        <w:t xml:space="preserve"> certification.</w:t>
      </w:r>
    </w:p>
    <w:p w:rsidRPr="00A25BF5" w:rsidR="00B81D08" w:rsidP="004E4993" w:rsidRDefault="00B81D08" w14:paraId="28AFC388" w14:textId="77777777"/>
    <w:p w:rsidR="00A25BF5" w:rsidP="00A25BF5" w:rsidRDefault="00A25BF5" w14:paraId="7E31FE03" w14:textId="77777777">
      <w:pPr>
        <w:keepNext/>
        <w:rPr>
          <w:u w:val="single"/>
        </w:rPr>
      </w:pPr>
    </w:p>
    <w:p w:rsidRPr="00A720EF" w:rsidR="001A5F6A" w:rsidP="00A720EF" w:rsidRDefault="00A25BF5" w14:paraId="1FFCD7F1" w14:textId="1B8847DC">
      <w:pPr>
        <w:keepNext/>
      </w:pPr>
      <w:r>
        <w:rPr>
          <w:u w:val="single"/>
        </w:rPr>
        <w:t xml:space="preserve">3. </w:t>
      </w:r>
      <w:r w:rsidRPr="0025604D" w:rsidR="00F72D0B">
        <w:rPr>
          <w:u w:val="single"/>
        </w:rPr>
        <w:t>Use of information technology</w:t>
      </w:r>
      <w:r w:rsidR="00A60E56">
        <w:rPr>
          <w:u w:val="single"/>
        </w:rPr>
        <w:t>.</w:t>
      </w:r>
      <w:r w:rsidRPr="0025604D" w:rsidR="003C1AB8">
        <w:t xml:space="preserve"> </w:t>
      </w:r>
      <w:r w:rsidR="00A720EF">
        <w:t xml:space="preserve"> </w:t>
      </w:r>
    </w:p>
    <w:p w:rsidR="001A5F6A" w:rsidP="001A5F6A" w:rsidRDefault="001A5F6A" w14:paraId="41F50CB2" w14:textId="77777777">
      <w:pPr>
        <w:keepNext/>
        <w:ind w:left="720"/>
      </w:pPr>
    </w:p>
    <w:p w:rsidRPr="008268EE" w:rsidR="00A720EF" w:rsidP="00A720EF" w:rsidRDefault="00A720EF" w14:paraId="3A3848C9" w14:textId="77777777">
      <w:r w:rsidRPr="008268EE">
        <w:t xml:space="preserve">Treasury will manage the submission process with the use of existing and widely available technology such as a web portal and e-mail. </w:t>
      </w:r>
    </w:p>
    <w:p w:rsidR="00B6081A" w:rsidP="00C716D9" w:rsidRDefault="00B6081A" w14:paraId="0A8FC8BD" w14:textId="77777777">
      <w:pPr>
        <w:keepNext/>
      </w:pPr>
    </w:p>
    <w:p w:rsidRPr="0025604D" w:rsidR="00D24A88" w:rsidP="00F72D0B" w:rsidRDefault="00D24A88" w14:paraId="4914BEFF" w14:textId="77777777"/>
    <w:p w:rsidRPr="0025604D" w:rsidR="00F72D0B" w:rsidP="00A25BF5" w:rsidRDefault="00A25BF5" w14:paraId="3BF0094A" w14:textId="77777777">
      <w:r w:rsidRPr="00A25BF5">
        <w:rPr>
          <w:u w:val="single"/>
        </w:rPr>
        <w:t xml:space="preserve">4. </w:t>
      </w:r>
      <w:r w:rsidRPr="00A25BF5" w:rsidR="00F72D0B">
        <w:rPr>
          <w:u w:val="single"/>
        </w:rPr>
        <w:t>Efforts</w:t>
      </w:r>
      <w:r w:rsidRPr="0025604D" w:rsidR="00F72D0B">
        <w:rPr>
          <w:u w:val="single"/>
        </w:rPr>
        <w:t xml:space="preserve"> to identify duplication</w:t>
      </w:r>
      <w:r w:rsidRPr="0025604D" w:rsidR="00F72D0B">
        <w:t xml:space="preserve">   </w:t>
      </w:r>
    </w:p>
    <w:p w:rsidR="00406DAA" w:rsidP="00CC4534" w:rsidRDefault="00406DAA" w14:paraId="02A12EC2" w14:textId="77777777"/>
    <w:p w:rsidR="00F72D0B" w:rsidP="00F72D0B" w:rsidRDefault="004509F2" w14:paraId="7C8B77E7" w14:textId="77777777">
      <w:r>
        <w:t>There is no overlap among the data collections included in this request.  Treasury has not requested any other data collections for the SSBCI program.</w:t>
      </w:r>
      <w:r w:rsidRPr="00A25BF5" w:rsidR="0054191E">
        <w:t xml:space="preserve">  </w:t>
      </w:r>
    </w:p>
    <w:p w:rsidR="00A25BF5" w:rsidP="00F72D0B" w:rsidRDefault="00A25BF5" w14:paraId="0D83D84D" w14:textId="77777777"/>
    <w:p w:rsidR="00B830B7" w:rsidP="00B830B7" w:rsidRDefault="00B830B7" w14:paraId="160DC470" w14:textId="77777777"/>
    <w:p w:rsidRPr="0025604D" w:rsidR="00F72D0B" w:rsidP="00B830B7" w:rsidRDefault="00F72D0B" w14:paraId="2935B496" w14:textId="77777777">
      <w:pPr>
        <w:rPr>
          <w:u w:val="single"/>
        </w:rPr>
      </w:pPr>
      <w:r w:rsidRPr="00B830B7">
        <w:rPr>
          <w:u w:val="single"/>
        </w:rPr>
        <w:t xml:space="preserve">5.  </w:t>
      </w:r>
      <w:r w:rsidRPr="0025604D">
        <w:rPr>
          <w:u w:val="single"/>
        </w:rPr>
        <w:t>Impact on small entities</w:t>
      </w:r>
    </w:p>
    <w:p w:rsidRPr="0025604D" w:rsidR="00F72D0B" w:rsidP="00F72D0B" w:rsidRDefault="00F72D0B" w14:paraId="0C5DA54E" w14:textId="77777777"/>
    <w:p w:rsidR="00F72D0B" w:rsidP="00F72D0B" w:rsidRDefault="00A5454D" w14:paraId="7F9B4765" w14:textId="46B7167B">
      <w:r w:rsidRPr="00A5454D">
        <w:t xml:space="preserve">This collection of information is not expected to have a significant impact on small </w:t>
      </w:r>
      <w:proofErr w:type="gramStart"/>
      <w:r w:rsidRPr="00A5454D">
        <w:t>entities</w:t>
      </w:r>
      <w:r w:rsidR="00262333">
        <w:t>,</w:t>
      </w:r>
      <w:proofErr w:type="gramEnd"/>
      <w:r w:rsidR="00262333">
        <w:t xml:space="preserve"> however, we believe some of the smaller Tribal governments will require technical assistance on completing the SSBCI Capital Application.  We are not aware of any flexibilities in this area due </w:t>
      </w:r>
      <w:r w:rsidR="00262333">
        <w:lastRenderedPageBreak/>
        <w:t>to the statutory requirement</w:t>
      </w:r>
      <w:r w:rsidR="00801BCC">
        <w:t>, because of this Treasury will do outreach and education with our Tribal partners</w:t>
      </w:r>
      <w:r w:rsidRPr="00A5454D">
        <w:t>.</w:t>
      </w:r>
      <w:r w:rsidR="00B830B7">
        <w:t xml:space="preserve"> </w:t>
      </w:r>
      <w:r w:rsidR="006B05B8">
        <w:t xml:space="preserve">Treasury is also offering Tribal governments the opportunity to apply for SSBCI funding </w:t>
      </w:r>
      <w:r w:rsidR="004E5CB9">
        <w:t>as a group</w:t>
      </w:r>
      <w:r w:rsidR="00594BB5">
        <w:t xml:space="preserve"> of Tribal governments</w:t>
      </w:r>
      <w:r w:rsidR="004E5CB9">
        <w:t xml:space="preserve">, thereby, </w:t>
      </w:r>
      <w:r w:rsidR="00594BB5">
        <w:t xml:space="preserve">potentially </w:t>
      </w:r>
      <w:r w:rsidR="004E5CB9">
        <w:t>resulting in a single application</w:t>
      </w:r>
      <w:r w:rsidR="00594BB5">
        <w:t xml:space="preserve"> for a few Tribal allocations.</w:t>
      </w:r>
    </w:p>
    <w:p w:rsidR="00DC3BF4" w:rsidP="00F72D0B" w:rsidRDefault="00DC3BF4" w14:paraId="030EF863" w14:textId="77777777"/>
    <w:p w:rsidRPr="0025604D" w:rsidR="00D24A88" w:rsidP="00F72D0B" w:rsidRDefault="00D24A88" w14:paraId="705BA9D4" w14:textId="77777777"/>
    <w:p w:rsidRPr="0025604D" w:rsidR="00F72D0B" w:rsidP="007A5035" w:rsidRDefault="00F72D0B" w14:paraId="078F2F3F" w14:textId="77777777">
      <w:pPr>
        <w:rPr>
          <w:u w:val="single"/>
        </w:rPr>
      </w:pPr>
      <w:r w:rsidRPr="007A5035">
        <w:rPr>
          <w:u w:val="single"/>
        </w:rPr>
        <w:t>6.  Consequences</w:t>
      </w:r>
      <w:r w:rsidRPr="0025604D">
        <w:rPr>
          <w:u w:val="single"/>
        </w:rPr>
        <w:t xml:space="preserve"> of less frequent collection and obstacles to burden reduction</w:t>
      </w:r>
    </w:p>
    <w:p w:rsidRPr="0025604D" w:rsidR="00F72D0B" w:rsidP="00F72D0B" w:rsidRDefault="00F72D0B" w14:paraId="1B14266E" w14:textId="77777777"/>
    <w:p w:rsidR="00A37F12" w:rsidP="00A37F12" w:rsidRDefault="00B830B7" w14:paraId="6F1319AF" w14:textId="2CAF9F20">
      <w:r>
        <w:t>SSBCI is statutorily required to have an application</w:t>
      </w:r>
      <w:r w:rsidR="00A60E56">
        <w:t xml:space="preserve">. </w:t>
      </w:r>
      <w:r w:rsidR="00A37F12">
        <w:t xml:space="preserve"> Treasury cannot meet its statutory requirement to fund programs without using an application form to discern eligibility of programs. While Treasury does not anticipate frequent collection of the application form in the future, Treasury must maintain this collection in order to adequately assess requests for modifications that involve the addition of new programs.  </w:t>
      </w:r>
    </w:p>
    <w:p w:rsidR="00A37F12" w:rsidP="00F72D0B" w:rsidRDefault="00A37F12" w14:paraId="4ACD329A" w14:textId="77777777"/>
    <w:p w:rsidRPr="0025604D" w:rsidR="00A37F12" w:rsidP="00F72D0B" w:rsidRDefault="00A37F12" w14:paraId="7813AD9F" w14:textId="77777777"/>
    <w:p w:rsidRPr="0025604D" w:rsidR="00F72D0B" w:rsidP="007A5035" w:rsidRDefault="00CB003A" w14:paraId="25F899C9" w14:textId="77777777">
      <w:pPr>
        <w:rPr>
          <w:u w:val="single"/>
        </w:rPr>
      </w:pPr>
      <w:r w:rsidRPr="007A5035">
        <w:rPr>
          <w:u w:val="single"/>
        </w:rPr>
        <w:t>7.  Circumstances</w:t>
      </w:r>
      <w:r w:rsidRPr="0025604D">
        <w:rPr>
          <w:u w:val="single"/>
        </w:rPr>
        <w:t xml:space="preserve"> requiring special information collection</w:t>
      </w:r>
    </w:p>
    <w:p w:rsidR="00FB7F1C" w:rsidP="00CB003A" w:rsidRDefault="00FB7F1C" w14:paraId="4D307296" w14:textId="77777777">
      <w:pPr>
        <w:rPr>
          <w:u w:val="single"/>
        </w:rPr>
      </w:pPr>
    </w:p>
    <w:p w:rsidRPr="007A5035" w:rsidR="00D24A88" w:rsidP="00D24A88" w:rsidRDefault="00A5454D" w14:paraId="56A8B1AB" w14:textId="77777777">
      <w:r w:rsidRPr="00A5454D">
        <w:t>There are no special circumstances causing the information collection to be conducted in a m</w:t>
      </w:r>
      <w:r>
        <w:t>anner described in 5 CFR 1320.6</w:t>
      </w:r>
      <w:r w:rsidRPr="007A5035" w:rsidR="00D24A88">
        <w:t>.</w:t>
      </w:r>
    </w:p>
    <w:p w:rsidR="00CB003A" w:rsidP="00CB003A" w:rsidRDefault="00CB003A" w14:paraId="20B4CA69" w14:textId="77777777"/>
    <w:p w:rsidRPr="0025604D" w:rsidR="00CB003A" w:rsidP="007A5035" w:rsidRDefault="00147A26" w14:paraId="52C5D717" w14:textId="77777777">
      <w:pPr>
        <w:rPr>
          <w:u w:val="single"/>
        </w:rPr>
      </w:pPr>
      <w:r w:rsidRPr="007A5035">
        <w:rPr>
          <w:u w:val="single"/>
        </w:rPr>
        <w:t xml:space="preserve">8.  </w:t>
      </w:r>
      <w:r w:rsidRPr="007A5035" w:rsidR="00CB003A">
        <w:rPr>
          <w:u w:val="single"/>
        </w:rPr>
        <w:t>Solicitation</w:t>
      </w:r>
      <w:r w:rsidRPr="0025604D" w:rsidR="00CB003A">
        <w:rPr>
          <w:u w:val="single"/>
        </w:rPr>
        <w:t xml:space="preserve"> of comments on information collection</w:t>
      </w:r>
    </w:p>
    <w:p w:rsidRPr="0025604D" w:rsidR="00CB003A" w:rsidP="00CB003A" w:rsidRDefault="00CB003A" w14:paraId="0AD968FF" w14:textId="77777777"/>
    <w:p w:rsidRPr="007A5035" w:rsidR="00206C0B" w:rsidP="00CB003A" w:rsidRDefault="00BB6EAE" w14:paraId="519DB7BB" w14:textId="4ED8DF8E">
      <w:r>
        <w:t xml:space="preserve">A </w:t>
      </w:r>
      <w:r w:rsidR="00EC3A9A">
        <w:t xml:space="preserve">request for information was published in the </w:t>
      </w:r>
      <w:r w:rsidRPr="00BB6EAE">
        <w:rPr>
          <w:i/>
        </w:rPr>
        <w:t>Federal Register</w:t>
      </w:r>
      <w:r>
        <w:t xml:space="preserve"> </w:t>
      </w:r>
      <w:r w:rsidR="00EC3A9A">
        <w:t>on Jun 4, 2021 (86 FR 27680)</w:t>
      </w:r>
      <w:r>
        <w:t xml:space="preserve"> soliciting public comment </w:t>
      </w:r>
      <w:r w:rsidR="00EC3A9A">
        <w:t xml:space="preserve">on </w:t>
      </w:r>
      <w:r w:rsidRPr="00EC3A9A" w:rsidR="00EC3A9A">
        <w:t>effective approaches for the delivery of capital and technical assistance through SSBCI</w:t>
      </w:r>
      <w:r>
        <w:t xml:space="preserve">, and Treasury </w:t>
      </w:r>
      <w:r w:rsidR="00E2533C">
        <w:t xml:space="preserve">utilized public comments in development of SSBCI policy.  </w:t>
      </w:r>
      <w:r w:rsidRPr="00E2533C" w:rsidR="00E2533C">
        <w:t>https://www.regulations.gov/document/TREAS-DO-2021-0009-0001</w:t>
      </w:r>
    </w:p>
    <w:p w:rsidR="007A5035" w:rsidP="00033FD8" w:rsidRDefault="007A5035" w14:paraId="2A9E6A82" w14:textId="77777777">
      <w:pPr>
        <w:rPr>
          <w:b/>
          <w:i/>
        </w:rPr>
      </w:pPr>
    </w:p>
    <w:p w:rsidRPr="007A5035" w:rsidR="00147A26" w:rsidP="007A5035" w:rsidRDefault="00147A26" w14:paraId="1A68D472" w14:textId="3EE96641">
      <w:pPr>
        <w:keepNext/>
        <w:rPr>
          <w:u w:val="single"/>
        </w:rPr>
      </w:pPr>
      <w:r w:rsidRPr="007A5035">
        <w:rPr>
          <w:u w:val="single"/>
        </w:rPr>
        <w:t>9.  Provision of payments to recordkeepers</w:t>
      </w:r>
    </w:p>
    <w:p w:rsidRPr="0025604D" w:rsidR="00147A26" w:rsidP="00FB7F1C" w:rsidRDefault="00147A26" w14:paraId="42AADD60" w14:textId="77777777">
      <w:pPr>
        <w:keepNext/>
      </w:pPr>
    </w:p>
    <w:p w:rsidRPr="007A5035" w:rsidR="00256911" w:rsidP="00CB003A" w:rsidRDefault="00A5454D" w14:paraId="2FFB7C0D" w14:textId="77777777">
      <w:r w:rsidRPr="00A5454D">
        <w:t>No payments or gifts are provided to respondents.</w:t>
      </w:r>
    </w:p>
    <w:p w:rsidR="00114EFC" w:rsidP="007A5035" w:rsidRDefault="00114EFC" w14:paraId="5DD2BFD5" w14:textId="77777777">
      <w:pPr>
        <w:keepNext/>
      </w:pPr>
    </w:p>
    <w:p w:rsidRPr="007A5035" w:rsidR="00147A26" w:rsidP="007A5035" w:rsidRDefault="00147A26" w14:paraId="791648A9" w14:textId="77777777">
      <w:pPr>
        <w:keepNext/>
        <w:rPr>
          <w:u w:val="single"/>
        </w:rPr>
      </w:pPr>
      <w:r w:rsidRPr="007A5035">
        <w:rPr>
          <w:u w:val="single"/>
        </w:rPr>
        <w:t>10.  Assurance of confidentiality</w:t>
      </w:r>
    </w:p>
    <w:p w:rsidRPr="0025604D" w:rsidR="00147A26" w:rsidP="00666B6D" w:rsidRDefault="00147A26" w14:paraId="66EE6604" w14:textId="77777777">
      <w:pPr>
        <w:keepNext/>
      </w:pPr>
    </w:p>
    <w:p w:rsidRPr="007A5035" w:rsidR="00147A26" w:rsidP="00CB003A" w:rsidRDefault="00147A26" w14:paraId="62CC9393" w14:textId="77777777">
      <w:r w:rsidRPr="007A5035">
        <w:t>The</w:t>
      </w:r>
      <w:r w:rsidR="007A5035">
        <w:t xml:space="preserve"> SSBCI is subject to all Federal regulations with respect to confidentiality of information. </w:t>
      </w:r>
    </w:p>
    <w:p w:rsidR="00860267" w:rsidP="00CB003A" w:rsidRDefault="00860267" w14:paraId="5D464C5C" w14:textId="77777777"/>
    <w:p w:rsidRPr="0025604D" w:rsidR="00147A26" w:rsidP="007A5035" w:rsidRDefault="00147A26" w14:paraId="6CEC5D14" w14:textId="77777777">
      <w:pPr>
        <w:rPr>
          <w:u w:val="single"/>
        </w:rPr>
      </w:pPr>
      <w:r w:rsidRPr="007A5035">
        <w:rPr>
          <w:u w:val="single"/>
        </w:rPr>
        <w:t>11.  Justification</w:t>
      </w:r>
      <w:r w:rsidRPr="0025604D">
        <w:rPr>
          <w:u w:val="single"/>
        </w:rPr>
        <w:t xml:space="preserve"> of sensitive questions</w:t>
      </w:r>
    </w:p>
    <w:p w:rsidRPr="0025604D" w:rsidR="00147A26" w:rsidP="00CB003A" w:rsidRDefault="00147A26" w14:paraId="42BBCB8A" w14:textId="77777777"/>
    <w:p w:rsidRPr="0025604D" w:rsidR="00147A26" w:rsidP="00CB003A" w:rsidRDefault="007A5035" w14:paraId="397C4FF7" w14:textId="77777777">
      <w:r>
        <w:t xml:space="preserve">No questions of a sensitive nature are asked in the </w:t>
      </w:r>
      <w:r w:rsidR="00A5454D">
        <w:t>collection’s instruments.  No personally identifiable information is collected.</w:t>
      </w:r>
      <w:r w:rsidRPr="0025604D" w:rsidR="00A5454D">
        <w:t xml:space="preserve"> </w:t>
      </w:r>
    </w:p>
    <w:p w:rsidR="00114EFC" w:rsidP="007A5035" w:rsidRDefault="00114EFC" w14:paraId="7114809B" w14:textId="77777777">
      <w:pPr>
        <w:rPr>
          <w:u w:val="single"/>
        </w:rPr>
      </w:pPr>
      <w:bookmarkStart w:name="OLE_LINK1" w:id="1"/>
    </w:p>
    <w:p w:rsidRPr="00A720EF" w:rsidR="009D2479" w:rsidP="00A720EF" w:rsidRDefault="00961823" w14:paraId="5E604322" w14:textId="5AEC5B44">
      <w:pPr>
        <w:rPr>
          <w:u w:val="single"/>
        </w:rPr>
      </w:pPr>
      <w:r w:rsidRPr="007A5035">
        <w:rPr>
          <w:u w:val="single"/>
        </w:rPr>
        <w:t>12.  Estimated burden of information collection</w:t>
      </w:r>
    </w:p>
    <w:bookmarkEnd w:id="1"/>
    <w:p w:rsidR="00961823" w:rsidP="00CB003A" w:rsidRDefault="00961823" w14:paraId="2DFC4C30" w14:textId="77777777"/>
    <w:p w:rsidRPr="007A5035" w:rsidR="00572B1A" w:rsidP="00572B1A" w:rsidRDefault="00D12AE5" w14:paraId="2D322212" w14:textId="1FA8DBF1">
      <w:pPr>
        <w:ind w:left="720"/>
      </w:pPr>
      <w:r w:rsidRPr="00D12AE5">
        <w:t xml:space="preserve">Treasury expects to receive applications from </w:t>
      </w:r>
      <w:r w:rsidR="00572B1A">
        <w:t>approximately 500 eligible jurisdictions who previously submitted a Notice of Intent</w:t>
      </w:r>
      <w:r w:rsidRPr="00D12AE5">
        <w:t xml:space="preserve">. </w:t>
      </w:r>
      <w:r w:rsidR="00572B1A">
        <w:t>SSBCI</w:t>
      </w:r>
      <w:r w:rsidRPr="007A5035" w:rsidR="00572B1A">
        <w:t xml:space="preserve"> estimate</w:t>
      </w:r>
      <w:r w:rsidR="00572B1A">
        <w:t>s</w:t>
      </w:r>
      <w:r w:rsidRPr="007A5035" w:rsidR="00572B1A">
        <w:t xml:space="preserve"> the burden </w:t>
      </w:r>
      <w:r w:rsidR="00572B1A">
        <w:t>of collection to be</w:t>
      </w:r>
      <w:r w:rsidRPr="007A5035" w:rsidR="00572B1A">
        <w:t xml:space="preserve"> approximately 5 hours per </w:t>
      </w:r>
      <w:r w:rsidR="0060698A">
        <w:t>application</w:t>
      </w:r>
      <w:r w:rsidR="00345A1C">
        <w:t xml:space="preserve"> response</w:t>
      </w:r>
      <w:r w:rsidR="00572B1A">
        <w:t>. SSBCI</w:t>
      </w:r>
      <w:r w:rsidRPr="007A5035" w:rsidR="00572B1A">
        <w:t xml:space="preserve"> estimate</w:t>
      </w:r>
      <w:r w:rsidR="00572B1A">
        <w:t>s</w:t>
      </w:r>
      <w:r w:rsidRPr="007A5035" w:rsidR="00572B1A">
        <w:t xml:space="preserve"> the total </w:t>
      </w:r>
      <w:r w:rsidR="00C022B5">
        <w:t>one-time</w:t>
      </w:r>
      <w:r w:rsidRPr="007A5035" w:rsidR="00C022B5">
        <w:t xml:space="preserve"> </w:t>
      </w:r>
      <w:r w:rsidRPr="007A5035" w:rsidR="00572B1A">
        <w:t xml:space="preserve">burden to be </w:t>
      </w:r>
      <w:r w:rsidR="0060698A">
        <w:t>2,5</w:t>
      </w:r>
      <w:r w:rsidR="00194A36">
        <w:t>00</w:t>
      </w:r>
      <w:r w:rsidRPr="007A5035" w:rsidR="00572B1A">
        <w:t xml:space="preserve"> hours (</w:t>
      </w:r>
      <w:r w:rsidR="0060698A">
        <w:t>500</w:t>
      </w:r>
      <w:r w:rsidRPr="007A5035" w:rsidR="0060698A">
        <w:t xml:space="preserve"> </w:t>
      </w:r>
      <w:r w:rsidR="0060698A">
        <w:t>responses</w:t>
      </w:r>
      <w:r w:rsidRPr="007A5035" w:rsidR="0060698A">
        <w:t xml:space="preserve"> </w:t>
      </w:r>
      <w:r w:rsidRPr="007A5035" w:rsidR="00572B1A">
        <w:t xml:space="preserve">* 5 hours/program). </w:t>
      </w:r>
    </w:p>
    <w:p w:rsidR="009D2479" w:rsidP="00CA7D88" w:rsidRDefault="009D2479" w14:paraId="7E82BCF8" w14:textId="77777777">
      <w:pPr>
        <w:rPr>
          <w:b/>
          <w:i/>
        </w:rPr>
      </w:pPr>
    </w:p>
    <w:tbl>
      <w:tblPr>
        <w:tblW w:w="9468" w:type="dxa"/>
        <w:tblInd w:w="-118" w:type="dxa"/>
        <w:tblLayout w:type="fixed"/>
        <w:tblLook w:val="04A0" w:firstRow="1" w:lastRow="0" w:firstColumn="1" w:lastColumn="0" w:noHBand="0" w:noVBand="1"/>
      </w:tblPr>
      <w:tblGrid>
        <w:gridCol w:w="1548"/>
        <w:gridCol w:w="1542"/>
        <w:gridCol w:w="1391"/>
        <w:gridCol w:w="1309"/>
        <w:gridCol w:w="1170"/>
        <w:gridCol w:w="990"/>
        <w:gridCol w:w="1518"/>
      </w:tblGrid>
      <w:tr w:rsidRPr="008268EE" w:rsidR="00194A36" w:rsidTr="00FD3A24" w14:paraId="610A9A52" w14:textId="77777777">
        <w:trPr>
          <w:trHeight w:val="1110"/>
        </w:trPr>
        <w:tc>
          <w:tcPr>
            <w:tcW w:w="1548"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8268EE" w:rsidR="00194A36" w:rsidP="00FD3A24" w:rsidRDefault="00194A36" w14:paraId="1765F0C5" w14:textId="77777777">
            <w:pPr>
              <w:rPr>
                <w:b/>
                <w:bCs/>
                <w:color w:val="000000"/>
              </w:rPr>
            </w:pPr>
            <w:bookmarkStart w:name="RANGE!A1:G18" w:id="2"/>
            <w:r w:rsidRPr="008268EE">
              <w:rPr>
                <w:b/>
                <w:bCs/>
                <w:color w:val="000000"/>
              </w:rPr>
              <w:t>Reporting</w:t>
            </w:r>
            <w:bookmarkEnd w:id="2"/>
          </w:p>
        </w:tc>
        <w:tc>
          <w:tcPr>
            <w:tcW w:w="1542" w:type="dxa"/>
            <w:tcBorders>
              <w:top w:val="single" w:color="auto" w:sz="8" w:space="0"/>
              <w:left w:val="nil"/>
              <w:bottom w:val="single" w:color="auto" w:sz="8" w:space="0"/>
              <w:right w:val="single" w:color="auto" w:sz="8" w:space="0"/>
            </w:tcBorders>
            <w:shd w:val="clear" w:color="000000" w:fill="FFFFFF"/>
            <w:vAlign w:val="center"/>
            <w:hideMark/>
          </w:tcPr>
          <w:p w:rsidRPr="008268EE" w:rsidR="00194A36" w:rsidP="00FD3A24" w:rsidRDefault="00194A36" w14:paraId="3CD27B2D" w14:textId="77777777">
            <w:pPr>
              <w:jc w:val="center"/>
              <w:rPr>
                <w:color w:val="000000"/>
              </w:rPr>
            </w:pPr>
            <w:r w:rsidRPr="008268EE">
              <w:rPr>
                <w:color w:val="000000"/>
              </w:rPr>
              <w:t># Respondents</w:t>
            </w: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8268EE" w:rsidR="00194A36" w:rsidP="00FD3A24" w:rsidRDefault="00194A36" w14:paraId="71CC3D5E" w14:textId="77777777">
            <w:pPr>
              <w:jc w:val="center"/>
              <w:rPr>
                <w:color w:val="000000"/>
              </w:rPr>
            </w:pPr>
            <w:r w:rsidRPr="008268EE">
              <w:rPr>
                <w:color w:val="000000"/>
              </w:rPr>
              <w:t># Responses Per Respondent</w:t>
            </w:r>
          </w:p>
          <w:p w:rsidRPr="008268EE" w:rsidR="00194A36" w:rsidP="00FD3A24" w:rsidRDefault="00194A36" w14:paraId="435B3F0D" w14:textId="77777777">
            <w:pPr>
              <w:jc w:val="center"/>
              <w:rPr>
                <w:color w:val="000000"/>
              </w:rPr>
            </w:pPr>
          </w:p>
        </w:tc>
        <w:tc>
          <w:tcPr>
            <w:tcW w:w="1309" w:type="dxa"/>
            <w:tcBorders>
              <w:top w:val="single" w:color="auto" w:sz="8" w:space="0"/>
              <w:left w:val="nil"/>
              <w:bottom w:val="single" w:color="auto" w:sz="8" w:space="0"/>
              <w:right w:val="single" w:color="auto" w:sz="8" w:space="0"/>
            </w:tcBorders>
            <w:shd w:val="clear" w:color="000000" w:fill="FFFFFF"/>
            <w:vAlign w:val="center"/>
            <w:hideMark/>
          </w:tcPr>
          <w:p w:rsidRPr="008268EE" w:rsidR="00194A36" w:rsidP="00FD3A24" w:rsidRDefault="00194A36" w14:paraId="1E8EB1F6" w14:textId="77777777">
            <w:pPr>
              <w:jc w:val="center"/>
              <w:rPr>
                <w:color w:val="000000"/>
              </w:rPr>
            </w:pPr>
            <w:r w:rsidRPr="008268EE">
              <w:rPr>
                <w:color w:val="000000"/>
              </w:rPr>
              <w:t>Total Responses</w:t>
            </w:r>
          </w:p>
        </w:tc>
        <w:tc>
          <w:tcPr>
            <w:tcW w:w="1170" w:type="dxa"/>
            <w:tcBorders>
              <w:top w:val="single" w:color="auto" w:sz="8" w:space="0"/>
              <w:left w:val="nil"/>
              <w:bottom w:val="single" w:color="auto" w:sz="8" w:space="0"/>
              <w:right w:val="single" w:color="auto" w:sz="8" w:space="0"/>
            </w:tcBorders>
            <w:shd w:val="clear" w:color="000000" w:fill="FFFFFF"/>
            <w:vAlign w:val="center"/>
            <w:hideMark/>
          </w:tcPr>
          <w:p w:rsidRPr="008268EE" w:rsidR="00194A36" w:rsidP="00FD3A24" w:rsidRDefault="00194A36" w14:paraId="634DF4D8" w14:textId="77777777">
            <w:pPr>
              <w:jc w:val="center"/>
              <w:rPr>
                <w:color w:val="000000"/>
              </w:rPr>
            </w:pPr>
            <w:r w:rsidRPr="008268EE">
              <w:rPr>
                <w:color w:val="000000"/>
              </w:rPr>
              <w:t>Hours per response</w:t>
            </w:r>
          </w:p>
        </w:tc>
        <w:tc>
          <w:tcPr>
            <w:tcW w:w="990" w:type="dxa"/>
            <w:tcBorders>
              <w:top w:val="single" w:color="auto" w:sz="8" w:space="0"/>
              <w:left w:val="nil"/>
              <w:bottom w:val="single" w:color="auto" w:sz="8" w:space="0"/>
              <w:right w:val="single" w:color="auto" w:sz="8" w:space="0"/>
            </w:tcBorders>
            <w:shd w:val="clear" w:color="000000" w:fill="FFFFFF"/>
            <w:vAlign w:val="center"/>
            <w:hideMark/>
          </w:tcPr>
          <w:p w:rsidRPr="008268EE" w:rsidR="00194A36" w:rsidP="00FD3A24" w:rsidRDefault="00194A36" w14:paraId="40B6F170" w14:textId="77777777">
            <w:pPr>
              <w:jc w:val="center"/>
              <w:rPr>
                <w:color w:val="000000"/>
              </w:rPr>
            </w:pPr>
            <w:r w:rsidRPr="008268EE">
              <w:rPr>
                <w:color w:val="000000"/>
              </w:rPr>
              <w:t>Total Burden in Hours</w:t>
            </w:r>
          </w:p>
        </w:tc>
        <w:tc>
          <w:tcPr>
            <w:tcW w:w="1518" w:type="dxa"/>
            <w:tcBorders>
              <w:top w:val="single" w:color="auto" w:sz="8" w:space="0"/>
              <w:left w:val="nil"/>
              <w:bottom w:val="single" w:color="auto" w:sz="8" w:space="0"/>
              <w:right w:val="single" w:color="auto" w:sz="8" w:space="0"/>
            </w:tcBorders>
            <w:shd w:val="clear" w:color="000000" w:fill="FFFFFF"/>
            <w:vAlign w:val="center"/>
            <w:hideMark/>
          </w:tcPr>
          <w:p w:rsidRPr="008268EE" w:rsidR="00194A36" w:rsidP="00FD3A24" w:rsidRDefault="00194A36" w14:paraId="45592FE7" w14:textId="77777777">
            <w:pPr>
              <w:jc w:val="center"/>
              <w:rPr>
                <w:color w:val="000000"/>
              </w:rPr>
            </w:pPr>
            <w:r w:rsidRPr="008268EE">
              <w:rPr>
                <w:color w:val="000000"/>
              </w:rPr>
              <w:t>Cost to Respondent</w:t>
            </w:r>
          </w:p>
          <w:p w:rsidRPr="008268EE" w:rsidR="00194A36" w:rsidP="00FD3A24" w:rsidRDefault="00194A36" w14:paraId="098F7F12" w14:textId="77777777">
            <w:pPr>
              <w:jc w:val="center"/>
              <w:rPr>
                <w:color w:val="000000"/>
              </w:rPr>
            </w:pPr>
            <w:r w:rsidRPr="008268EE">
              <w:rPr>
                <w:color w:val="000000"/>
              </w:rPr>
              <w:t>($47.50 per hour*)</w:t>
            </w:r>
          </w:p>
        </w:tc>
      </w:tr>
      <w:tr w:rsidRPr="008268EE" w:rsidR="00194A36" w:rsidTr="00FD3A24" w14:paraId="737DAB3C" w14:textId="77777777">
        <w:trPr>
          <w:trHeight w:val="5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194A36" w:rsidDel="00414913" w:rsidP="00FD3A24" w:rsidRDefault="00194A36" w14:paraId="6ECF3240" w14:textId="7CB0B00F">
            <w:r>
              <w:t>SSBCI Capital Application</w:t>
            </w:r>
          </w:p>
        </w:tc>
        <w:tc>
          <w:tcPr>
            <w:tcW w:w="1542" w:type="dxa"/>
            <w:tcBorders>
              <w:top w:val="nil"/>
              <w:left w:val="nil"/>
              <w:bottom w:val="single" w:color="auto" w:sz="8" w:space="0"/>
              <w:right w:val="single" w:color="auto" w:sz="8" w:space="0"/>
            </w:tcBorders>
            <w:shd w:val="clear" w:color="000000" w:fill="FFFFFF"/>
            <w:vAlign w:val="center"/>
          </w:tcPr>
          <w:p w:rsidRPr="008268EE" w:rsidR="00194A36" w:rsidP="00FD3A24" w:rsidRDefault="00194A36" w14:paraId="1DC7A1C3" w14:textId="09AD9709">
            <w:pPr>
              <w:jc w:val="center"/>
              <w:rPr>
                <w:color w:val="000000"/>
              </w:rPr>
            </w:pPr>
            <w:r>
              <w:rPr>
                <w:color w:val="000000"/>
              </w:rPr>
              <w:t>500</w:t>
            </w:r>
          </w:p>
        </w:tc>
        <w:tc>
          <w:tcPr>
            <w:tcW w:w="1391" w:type="dxa"/>
            <w:tcBorders>
              <w:top w:val="nil"/>
              <w:left w:val="nil"/>
              <w:bottom w:val="single" w:color="auto" w:sz="8" w:space="0"/>
              <w:right w:val="single" w:color="auto" w:sz="8" w:space="0"/>
            </w:tcBorders>
            <w:shd w:val="clear" w:color="000000" w:fill="FFFFFF"/>
            <w:noWrap/>
            <w:vAlign w:val="center"/>
          </w:tcPr>
          <w:p w:rsidRPr="008268EE" w:rsidR="00194A36" w:rsidP="00FD3A24" w:rsidRDefault="006B05B8" w14:paraId="0E956785" w14:textId="205B3428">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194A36" w:rsidP="00FD3A24" w:rsidRDefault="006B05B8" w14:paraId="14B11D34" w14:textId="2699FDB2">
            <w:pPr>
              <w:jc w:val="center"/>
              <w:rPr>
                <w:color w:val="000000"/>
              </w:rPr>
            </w:pPr>
            <w:r>
              <w:rPr>
                <w:color w:val="000000"/>
              </w:rPr>
              <w:t>500</w:t>
            </w:r>
          </w:p>
        </w:tc>
        <w:tc>
          <w:tcPr>
            <w:tcW w:w="1170" w:type="dxa"/>
            <w:tcBorders>
              <w:top w:val="nil"/>
              <w:left w:val="nil"/>
              <w:bottom w:val="single" w:color="auto" w:sz="8" w:space="0"/>
              <w:right w:val="single" w:color="auto" w:sz="8" w:space="0"/>
            </w:tcBorders>
            <w:shd w:val="clear" w:color="000000" w:fill="FFFFFF"/>
            <w:noWrap/>
            <w:vAlign w:val="center"/>
          </w:tcPr>
          <w:p w:rsidRPr="002B7AFF" w:rsidR="00194A36" w:rsidP="00FD3A24" w:rsidRDefault="006B05B8" w14:paraId="69BA1D18" w14:textId="72870833">
            <w:pPr>
              <w:jc w:val="center"/>
              <w:rPr>
                <w:color w:val="000000"/>
              </w:rPr>
            </w:pPr>
            <w:r w:rsidRPr="002B7AFF">
              <w:rPr>
                <w:rStyle w:val="CommentReference"/>
                <w:sz w:val="24"/>
                <w:szCs w:val="24"/>
              </w:rPr>
              <w:t>5 hours</w:t>
            </w:r>
          </w:p>
        </w:tc>
        <w:tc>
          <w:tcPr>
            <w:tcW w:w="990" w:type="dxa"/>
            <w:tcBorders>
              <w:top w:val="nil"/>
              <w:left w:val="nil"/>
              <w:bottom w:val="single" w:color="auto" w:sz="8" w:space="0"/>
              <w:right w:val="single" w:color="auto" w:sz="8" w:space="0"/>
            </w:tcBorders>
            <w:shd w:val="clear" w:color="000000" w:fill="FFFFFF"/>
            <w:noWrap/>
            <w:vAlign w:val="center"/>
          </w:tcPr>
          <w:p w:rsidRPr="008268EE" w:rsidR="00194A36" w:rsidP="00FD3A24" w:rsidRDefault="00194A36" w14:paraId="23FB0D51" w14:textId="0975B500">
            <w:pPr>
              <w:jc w:val="center"/>
              <w:rPr>
                <w:color w:val="000000"/>
              </w:rPr>
            </w:pPr>
            <w:r>
              <w:rPr>
                <w:color w:val="000000"/>
              </w:rPr>
              <w:t>2,500</w:t>
            </w:r>
          </w:p>
        </w:tc>
        <w:tc>
          <w:tcPr>
            <w:tcW w:w="1518" w:type="dxa"/>
            <w:tcBorders>
              <w:top w:val="nil"/>
              <w:left w:val="nil"/>
              <w:bottom w:val="single" w:color="auto" w:sz="8" w:space="0"/>
              <w:right w:val="single" w:color="auto" w:sz="8" w:space="0"/>
            </w:tcBorders>
            <w:shd w:val="clear" w:color="000000" w:fill="FFFFFF"/>
            <w:noWrap/>
            <w:vAlign w:val="center"/>
          </w:tcPr>
          <w:p w:rsidRPr="008268EE" w:rsidR="00194A36" w:rsidP="00FD3A24" w:rsidRDefault="00194A36" w14:paraId="713AAFF8" w14:textId="4689E969">
            <w:pPr>
              <w:jc w:val="center"/>
              <w:rPr>
                <w:color w:val="000000"/>
              </w:rPr>
            </w:pPr>
            <w:r w:rsidRPr="008268EE">
              <w:rPr>
                <w:color w:val="000000"/>
              </w:rPr>
              <w:t>$</w:t>
            </w:r>
            <w:r>
              <w:rPr>
                <w:color w:val="000000"/>
              </w:rPr>
              <w:t>118,750</w:t>
            </w:r>
          </w:p>
        </w:tc>
      </w:tr>
    </w:tbl>
    <w:p w:rsidR="002B7AFF" w:rsidP="002B7AFF" w:rsidRDefault="002B7AFF" w14:paraId="1825E2A3" w14:textId="77777777">
      <w:pPr>
        <w:textAlignment w:val="baseline"/>
        <w:rPr>
          <w:rFonts w:ascii="Segoe UI" w:hAnsi="Segoe UI" w:cs="Segoe UI"/>
          <w:color w:val="666666"/>
          <w:sz w:val="18"/>
          <w:szCs w:val="18"/>
          <w:shd w:val="clear" w:color="auto" w:fill="FFFFFF"/>
        </w:rPr>
      </w:pPr>
      <w:r w:rsidRPr="00232767">
        <w:rPr>
          <w:sz w:val="20"/>
          <w:szCs w:val="20"/>
        </w:rPr>
        <w:t>* Bureau of Labor Statistics (BLS), U.S. Department of Labor, Occupational Outlook Handbook, Accountants and Auditors, on the Internet at https://www.bls.gov/ooh/business-and-financial/accountants-and-auditors.htm (visited December 30, 2020). </w:t>
      </w:r>
      <w:r>
        <w:rPr>
          <w:sz w:val="20"/>
          <w:szCs w:val="20"/>
        </w:rPr>
        <w:t xml:space="preserve"> </w:t>
      </w:r>
      <w:r w:rsidRPr="00232767">
        <w:rPr>
          <w:sz w:val="20"/>
          <w:szCs w:val="20"/>
        </w:rPr>
        <w:t>In 2019, the median pay for accounts and auditors was $34.40/hour. </w:t>
      </w:r>
      <w:r>
        <w:rPr>
          <w:sz w:val="20"/>
          <w:szCs w:val="20"/>
        </w:rPr>
        <w:t xml:space="preserve"> </w:t>
      </w:r>
      <w:r w:rsidRPr="00232767">
        <w:rPr>
          <w:sz w:val="20"/>
          <w:szCs w:val="20"/>
        </w:rPr>
        <w:t xml:space="preserve">To account for the </w:t>
      </w:r>
      <w:proofErr w:type="gramStart"/>
      <w:r w:rsidRPr="00232767">
        <w:rPr>
          <w:sz w:val="20"/>
          <w:szCs w:val="20"/>
        </w:rPr>
        <w:t>fully-loaded</w:t>
      </w:r>
      <w:proofErr w:type="gramEnd"/>
      <w:r w:rsidRPr="00232767">
        <w:rPr>
          <w:sz w:val="20"/>
          <w:szCs w:val="20"/>
        </w:rPr>
        <w:t xml:space="preserve"> employer cost of employee compensation, the median pay is increased by 38%, resulting in a fully-loaded wage rate of $47.50. </w:t>
      </w:r>
      <w:r>
        <w:rPr>
          <w:sz w:val="20"/>
          <w:szCs w:val="20"/>
        </w:rPr>
        <w:t xml:space="preserve"> </w:t>
      </w:r>
      <w:r w:rsidRPr="00232767">
        <w:rPr>
          <w:sz w:val="20"/>
          <w:szCs w:val="20"/>
        </w:rPr>
        <w:t>According to BLS’s Employer Cost for Employee Compensation from September 2020</w:t>
      </w:r>
      <w:r>
        <w:rPr>
          <w:sz w:val="20"/>
          <w:szCs w:val="20"/>
        </w:rPr>
        <w:t xml:space="preserve"> at</w:t>
      </w:r>
      <w:r w:rsidRPr="00232767">
        <w:rPr>
          <w:sz w:val="20"/>
          <w:szCs w:val="20"/>
        </w:rPr>
        <w:t xml:space="preserve"> </w:t>
      </w:r>
      <w:r w:rsidRPr="00E06EEC">
        <w:rPr>
          <w:sz w:val="20"/>
          <w:szCs w:val="20"/>
        </w:rPr>
        <w:t>https://www.bls.gov/news.release/pdf/ecec.pdf</w:t>
      </w:r>
      <w:r>
        <w:rPr>
          <w:sz w:val="20"/>
          <w:szCs w:val="20"/>
        </w:rPr>
        <w:t xml:space="preserve"> </w:t>
      </w:r>
      <w:r w:rsidRPr="00232767">
        <w:rPr>
          <w:sz w:val="20"/>
          <w:szCs w:val="20"/>
        </w:rPr>
        <w:t>(released on December 17, 2020), employers provided 38% of total employee compensation in the form of non-wage compensation (i.e., benefits such as paid leave, health insurance, etc.) for state and local government workers.</w:t>
      </w:r>
    </w:p>
    <w:p w:rsidRPr="00DC3BF4" w:rsidR="004E034E" w:rsidP="00CB003A" w:rsidRDefault="004E034E" w14:paraId="56A5076C" w14:textId="77777777"/>
    <w:p w:rsidR="00474E08" w:rsidP="00474E08" w:rsidRDefault="00474E08" w14:paraId="141AA2B0" w14:textId="77777777">
      <w:pPr>
        <w:keepNext/>
      </w:pPr>
    </w:p>
    <w:p w:rsidR="00FB7F1C" w:rsidP="00474E08" w:rsidRDefault="00961823" w14:paraId="5CDFF55B" w14:textId="77777777">
      <w:pPr>
        <w:keepNext/>
      </w:pPr>
      <w:r w:rsidRPr="0025604D">
        <w:t xml:space="preserve">13.  </w:t>
      </w:r>
      <w:r w:rsidRPr="0025604D">
        <w:rPr>
          <w:u w:val="single"/>
        </w:rPr>
        <w:t>Estimated total annual cost burden to respondents</w:t>
      </w:r>
      <w:r w:rsidR="00FB7F1C">
        <w:rPr>
          <w:u w:val="single"/>
        </w:rPr>
        <w:t> </w:t>
      </w:r>
      <w:r w:rsidR="00FB7F1C">
        <w:t> </w:t>
      </w:r>
    </w:p>
    <w:p w:rsidRPr="0025604D" w:rsidR="00961823" w:rsidP="00FB7F1C" w:rsidRDefault="00961823" w14:paraId="16D47F79" w14:textId="77777777">
      <w:pPr>
        <w:keepNext/>
      </w:pPr>
    </w:p>
    <w:p w:rsidRPr="00F65EA8" w:rsidR="00F65EA8" w:rsidP="0017687B" w:rsidRDefault="00967930" w14:paraId="712B0F82" w14:textId="77777777">
      <w:pPr>
        <w:rPr>
          <w:b/>
          <w:i/>
        </w:rPr>
      </w:pPr>
      <w:r w:rsidRPr="00967930">
        <w:t xml:space="preserve">There </w:t>
      </w:r>
      <w:r w:rsidR="00C12FB9">
        <w:t>is</w:t>
      </w:r>
      <w:r w:rsidRPr="00967930" w:rsidR="00572B5D">
        <w:t xml:space="preserve"> no cost burden associated wit</w:t>
      </w:r>
      <w:r w:rsidR="00572B5D">
        <w:t>h</w:t>
      </w:r>
      <w:r w:rsidRPr="00967930">
        <w:t xml:space="preserve"> the collection of the data. No purchases of equipment or services are necessary to complete these collections</w:t>
      </w:r>
      <w:r w:rsidR="00F65EA8">
        <w:rPr>
          <w:b/>
          <w:i/>
        </w:rPr>
        <w:t>.</w:t>
      </w:r>
    </w:p>
    <w:p w:rsidR="00114EFC" w:rsidP="0017687B" w:rsidRDefault="00114EFC" w14:paraId="1BFEE42B" w14:textId="77777777"/>
    <w:p w:rsidRPr="0025604D" w:rsidR="00961823" w:rsidP="0017687B" w:rsidRDefault="00961823" w14:paraId="1C83F581" w14:textId="77777777">
      <w:r w:rsidRPr="0025604D">
        <w:t xml:space="preserve">14.  </w:t>
      </w:r>
      <w:r w:rsidR="00967930">
        <w:rPr>
          <w:u w:val="single"/>
        </w:rPr>
        <w:t xml:space="preserve">Estimated cost to the </w:t>
      </w:r>
      <w:r w:rsidR="007F1B6C">
        <w:rPr>
          <w:u w:val="single"/>
        </w:rPr>
        <w:t>F</w:t>
      </w:r>
      <w:r w:rsidRPr="0025604D" w:rsidR="007F1B6C">
        <w:rPr>
          <w:u w:val="single"/>
        </w:rPr>
        <w:t xml:space="preserve">ederal </w:t>
      </w:r>
      <w:r w:rsidRPr="0025604D">
        <w:rPr>
          <w:u w:val="single"/>
        </w:rPr>
        <w:t>government</w:t>
      </w:r>
      <w:r w:rsidRPr="0025604D">
        <w:t>.</w:t>
      </w:r>
    </w:p>
    <w:p w:rsidRPr="0025604D" w:rsidR="00961823" w:rsidP="008B3C48" w:rsidRDefault="008B3C48" w14:paraId="0D6E0BF7" w14:textId="59663CF9">
      <w:pPr>
        <w:tabs>
          <w:tab w:val="left" w:pos="3026"/>
        </w:tabs>
      </w:pPr>
      <w:r>
        <w:tab/>
      </w:r>
    </w:p>
    <w:p w:rsidR="00F65EA8" w:rsidP="00F65EA8" w:rsidRDefault="00967930" w14:paraId="51CDBBC0" w14:textId="28A8FC0F">
      <w:pPr>
        <w:rPr>
          <w:b/>
          <w:i/>
        </w:rPr>
      </w:pPr>
      <w:r>
        <w:t xml:space="preserve">The cost to the Federal Government is the </w:t>
      </w:r>
      <w:r w:rsidR="00572B5D">
        <w:t>Treasury</w:t>
      </w:r>
      <w:r>
        <w:t xml:space="preserve"> staff time and IT systems requirement</w:t>
      </w:r>
      <w:r w:rsidR="00BB1CDE">
        <w:t>s</w:t>
      </w:r>
      <w:r>
        <w:t xml:space="preserve"> to </w:t>
      </w:r>
      <w:r w:rsidR="00A5454D">
        <w:t xml:space="preserve">develop the application, follow </w:t>
      </w:r>
      <w:r>
        <w:t xml:space="preserve">up with </w:t>
      </w:r>
      <w:r w:rsidR="00A5454D">
        <w:t>participating s</w:t>
      </w:r>
      <w:r w:rsidR="00845E59">
        <w:t>tates</w:t>
      </w:r>
      <w:r>
        <w:t>, review the applications, determine disbursements, collect reporting data</w:t>
      </w:r>
      <w:r w:rsidR="00BB1CDE">
        <w:t>,</w:t>
      </w:r>
      <w:r>
        <w:t xml:space="preserve"> and report the results. </w:t>
      </w:r>
      <w:r w:rsidR="00CC2BCD">
        <w:rPr>
          <w:b/>
          <w:i/>
        </w:rPr>
        <w:t xml:space="preserve"> </w:t>
      </w:r>
    </w:p>
    <w:tbl>
      <w:tblPr>
        <w:tblW w:w="89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595"/>
        <w:gridCol w:w="1333"/>
      </w:tblGrid>
      <w:tr w:rsidR="00B81D08" w:rsidTr="00A37F1D" w14:paraId="65E39AA3" w14:textId="77777777">
        <w:trPr>
          <w:trHeight w:val="70"/>
        </w:trPr>
        <w:tc>
          <w:tcPr>
            <w:tcW w:w="7595" w:type="dxa"/>
            <w:tcBorders>
              <w:top w:val="single" w:color="auto" w:sz="4" w:space="0"/>
              <w:left w:val="single" w:color="auto" w:sz="4" w:space="0"/>
              <w:bottom w:val="single" w:color="auto" w:sz="4" w:space="0"/>
              <w:right w:val="single" w:color="auto" w:sz="4" w:space="0"/>
            </w:tcBorders>
            <w:shd w:val="clear" w:color="auto" w:fill="0070C0"/>
            <w:noWrap/>
            <w:vAlign w:val="center"/>
            <w:hideMark/>
          </w:tcPr>
          <w:p w:rsidR="00B81D08" w:rsidP="00A37F1D" w:rsidRDefault="00B81D08" w14:paraId="008C643E" w14:textId="77777777">
            <w:pPr>
              <w:spacing w:line="256" w:lineRule="auto"/>
              <w:rPr>
                <w:rFonts w:ascii="Arial" w:hAnsi="Arial" w:cs="Arial"/>
                <w:b/>
                <w:bCs/>
                <w:sz w:val="20"/>
                <w:szCs w:val="20"/>
              </w:rPr>
            </w:pPr>
            <w:r>
              <w:rPr>
                <w:rFonts w:ascii="Arial" w:hAnsi="Arial" w:cs="Arial"/>
                <w:b/>
                <w:bCs/>
                <w:sz w:val="20"/>
                <w:szCs w:val="20"/>
              </w:rPr>
              <w:t>Item</w:t>
            </w:r>
          </w:p>
        </w:tc>
        <w:tc>
          <w:tcPr>
            <w:tcW w:w="1333" w:type="dxa"/>
            <w:tcBorders>
              <w:top w:val="single" w:color="auto" w:sz="4" w:space="0"/>
              <w:left w:val="single" w:color="auto" w:sz="4" w:space="0"/>
              <w:bottom w:val="single" w:color="auto" w:sz="4" w:space="0"/>
              <w:right w:val="single" w:color="auto" w:sz="4" w:space="0"/>
            </w:tcBorders>
            <w:shd w:val="clear" w:color="auto" w:fill="0070C0"/>
            <w:noWrap/>
            <w:hideMark/>
          </w:tcPr>
          <w:p w:rsidR="00B81D08" w:rsidP="00A37F1D" w:rsidRDefault="00B81D08" w14:paraId="24EE529A" w14:textId="77777777">
            <w:pPr>
              <w:spacing w:line="256" w:lineRule="auto"/>
              <w:rPr>
                <w:rFonts w:ascii="Arial" w:hAnsi="Arial" w:cs="Arial"/>
                <w:b/>
                <w:bCs/>
                <w:sz w:val="20"/>
                <w:szCs w:val="20"/>
              </w:rPr>
            </w:pPr>
            <w:r>
              <w:rPr>
                <w:rFonts w:ascii="Arial" w:hAnsi="Arial" w:cs="Arial"/>
                <w:b/>
                <w:bCs/>
                <w:sz w:val="20"/>
                <w:szCs w:val="20"/>
              </w:rPr>
              <w:t>Cost ($)</w:t>
            </w:r>
          </w:p>
        </w:tc>
      </w:tr>
      <w:tr w:rsidR="00B81D08" w:rsidTr="00A37F1D" w14:paraId="3E23E9CD" w14:textId="77777777">
        <w:trPr>
          <w:trHeight w:val="495"/>
        </w:trPr>
        <w:tc>
          <w:tcPr>
            <w:tcW w:w="7595" w:type="dxa"/>
            <w:tcBorders>
              <w:top w:val="single" w:color="auto" w:sz="4" w:space="0"/>
              <w:left w:val="single" w:color="auto" w:sz="4" w:space="0"/>
              <w:bottom w:val="single" w:color="auto" w:sz="4" w:space="0"/>
              <w:right w:val="single" w:color="auto" w:sz="4" w:space="0"/>
            </w:tcBorders>
            <w:hideMark/>
          </w:tcPr>
          <w:p w:rsidR="00B81D08" w:rsidP="00A37F1D" w:rsidRDefault="00B81D08" w14:paraId="67B04980" w14:textId="33478281">
            <w:pPr>
              <w:spacing w:line="256" w:lineRule="auto"/>
              <w:rPr>
                <w:sz w:val="18"/>
                <w:szCs w:val="18"/>
              </w:rPr>
            </w:pPr>
            <w:r>
              <w:rPr>
                <w:sz w:val="18"/>
                <w:szCs w:val="18"/>
              </w:rPr>
              <w:t>Contract Cost: $</w:t>
            </w:r>
            <w:r w:rsidR="006B05B8">
              <w:rPr>
                <w:sz w:val="18"/>
                <w:szCs w:val="18"/>
              </w:rPr>
              <w:t>3,000,000</w:t>
            </w:r>
          </w:p>
        </w:tc>
        <w:tc>
          <w:tcPr>
            <w:tcW w:w="1333" w:type="dxa"/>
            <w:tcBorders>
              <w:top w:val="single" w:color="auto" w:sz="4" w:space="0"/>
              <w:left w:val="single" w:color="auto" w:sz="4" w:space="0"/>
              <w:bottom w:val="single" w:color="auto" w:sz="4" w:space="0"/>
              <w:right w:val="single" w:color="auto" w:sz="4" w:space="0"/>
            </w:tcBorders>
            <w:vAlign w:val="center"/>
            <w:hideMark/>
          </w:tcPr>
          <w:p w:rsidR="00B81D08" w:rsidP="00A37F1D" w:rsidRDefault="00B81D08" w14:paraId="71009368" w14:textId="7A9A6F22">
            <w:pPr>
              <w:spacing w:line="256" w:lineRule="auto"/>
              <w:jc w:val="center"/>
              <w:rPr>
                <w:rFonts w:asciiTheme="minorHAnsi" w:hAnsiTheme="minorHAnsi" w:cstheme="minorBidi"/>
                <w:sz w:val="20"/>
                <w:szCs w:val="20"/>
              </w:rPr>
            </w:pPr>
            <w:r>
              <w:rPr>
                <w:sz w:val="18"/>
                <w:szCs w:val="18"/>
              </w:rPr>
              <w:t>$3,000,000</w:t>
            </w:r>
          </w:p>
        </w:tc>
      </w:tr>
      <w:tr w:rsidR="00B81D08" w:rsidTr="00A37F1D" w14:paraId="7674452C" w14:textId="77777777">
        <w:trPr>
          <w:trHeight w:val="510"/>
        </w:trPr>
        <w:tc>
          <w:tcPr>
            <w:tcW w:w="7595" w:type="dxa"/>
            <w:tcBorders>
              <w:top w:val="single" w:color="auto" w:sz="4" w:space="0"/>
              <w:left w:val="single" w:color="auto" w:sz="4" w:space="0"/>
              <w:bottom w:val="single" w:color="auto" w:sz="4" w:space="0"/>
              <w:right w:val="single" w:color="auto" w:sz="4" w:space="0"/>
            </w:tcBorders>
            <w:hideMark/>
          </w:tcPr>
          <w:p w:rsidR="00B81D08" w:rsidP="00A37F1D" w:rsidRDefault="00B81D08" w14:paraId="02CD4268" w14:textId="77777777">
            <w:pPr>
              <w:spacing w:line="256" w:lineRule="auto"/>
              <w:rPr>
                <w:sz w:val="18"/>
                <w:szCs w:val="18"/>
              </w:rPr>
            </w:pPr>
            <w:r>
              <w:rPr>
                <w:sz w:val="18"/>
                <w:szCs w:val="18"/>
              </w:rPr>
              <w:t>*</w:t>
            </w:r>
            <w:r>
              <w:rPr>
                <w:rStyle w:val="FootnoteReference"/>
                <w:sz w:val="18"/>
                <w:szCs w:val="18"/>
              </w:rPr>
              <w:footnoteReference w:id="1"/>
            </w:r>
            <w:r>
              <w:rPr>
                <w:sz w:val="18"/>
                <w:szCs w:val="18"/>
              </w:rPr>
              <w:t xml:space="preserve">Staff Salaries </w:t>
            </w:r>
            <w:r>
              <w:rPr>
                <w:b/>
                <w:bCs/>
                <w:sz w:val="18"/>
                <w:szCs w:val="18"/>
              </w:rPr>
              <w:t xml:space="preserve">[ 20 GS-13 step 1 employees spending approximately 10% of time annually for this administrative and financial data collection] </w:t>
            </w:r>
            <w:r>
              <w:rPr>
                <w:sz w:val="18"/>
                <w:szCs w:val="18"/>
              </w:rPr>
              <w:t>20 x $103,690 = $2,073,800 x 1.4 = $2,903,320x .10 = $290,332.</w:t>
            </w:r>
          </w:p>
        </w:tc>
        <w:tc>
          <w:tcPr>
            <w:tcW w:w="1333" w:type="dxa"/>
            <w:tcBorders>
              <w:top w:val="single" w:color="auto" w:sz="4" w:space="0"/>
              <w:left w:val="single" w:color="auto" w:sz="4" w:space="0"/>
              <w:bottom w:val="single" w:color="auto" w:sz="4" w:space="0"/>
              <w:right w:val="single" w:color="auto" w:sz="4" w:space="0"/>
            </w:tcBorders>
            <w:noWrap/>
            <w:vAlign w:val="center"/>
          </w:tcPr>
          <w:p w:rsidR="00B81D08" w:rsidP="00A37F1D" w:rsidRDefault="00B81D08" w14:paraId="17793699" w14:textId="77777777">
            <w:pPr>
              <w:spacing w:line="256" w:lineRule="auto"/>
              <w:jc w:val="center"/>
              <w:rPr>
                <w:sz w:val="18"/>
                <w:szCs w:val="18"/>
              </w:rPr>
            </w:pPr>
          </w:p>
          <w:p w:rsidR="00B81D08" w:rsidP="00A37F1D" w:rsidRDefault="00B81D08" w14:paraId="20304282" w14:textId="77777777">
            <w:pPr>
              <w:spacing w:line="256" w:lineRule="auto"/>
              <w:jc w:val="center"/>
              <w:rPr>
                <w:sz w:val="18"/>
                <w:szCs w:val="18"/>
              </w:rPr>
            </w:pPr>
            <w:r>
              <w:rPr>
                <w:sz w:val="18"/>
                <w:szCs w:val="18"/>
              </w:rPr>
              <w:t>$290,332</w:t>
            </w:r>
          </w:p>
        </w:tc>
      </w:tr>
      <w:tr w:rsidR="00B81D08" w:rsidTr="00A37F1D" w14:paraId="24796FAE" w14:textId="77777777">
        <w:trPr>
          <w:trHeight w:val="270"/>
        </w:trPr>
        <w:tc>
          <w:tcPr>
            <w:tcW w:w="7595" w:type="dxa"/>
            <w:tcBorders>
              <w:top w:val="single" w:color="auto" w:sz="4" w:space="0"/>
              <w:left w:val="single" w:color="auto" w:sz="4" w:space="0"/>
              <w:bottom w:val="single" w:color="auto" w:sz="4" w:space="0"/>
              <w:right w:val="single" w:color="auto" w:sz="4" w:space="0"/>
            </w:tcBorders>
            <w:noWrap/>
            <w:hideMark/>
          </w:tcPr>
          <w:p w:rsidR="00B81D08" w:rsidP="00A37F1D" w:rsidRDefault="00B81D08" w14:paraId="3246D9A1" w14:textId="77777777">
            <w:pPr>
              <w:spacing w:line="256" w:lineRule="auto"/>
              <w:rPr>
                <w:b/>
                <w:bCs/>
                <w:sz w:val="18"/>
                <w:szCs w:val="18"/>
              </w:rPr>
            </w:pPr>
            <w:r>
              <w:rPr>
                <w:b/>
                <w:bCs/>
                <w:sz w:val="18"/>
                <w:szCs w:val="18"/>
              </w:rPr>
              <w:t>Total</w:t>
            </w:r>
          </w:p>
        </w:tc>
        <w:tc>
          <w:tcPr>
            <w:tcW w:w="1333" w:type="dxa"/>
            <w:tcBorders>
              <w:top w:val="single" w:color="auto" w:sz="4" w:space="0"/>
              <w:left w:val="single" w:color="auto" w:sz="4" w:space="0"/>
              <w:bottom w:val="single" w:color="auto" w:sz="4" w:space="0"/>
              <w:right w:val="single" w:color="auto" w:sz="4" w:space="0"/>
            </w:tcBorders>
            <w:noWrap/>
            <w:vAlign w:val="center"/>
            <w:hideMark/>
          </w:tcPr>
          <w:p w:rsidR="00B81D08" w:rsidP="00A37F1D" w:rsidRDefault="00B81D08" w14:paraId="6317D5FE" w14:textId="4D93CE34">
            <w:pPr>
              <w:spacing w:line="256" w:lineRule="auto"/>
              <w:jc w:val="center"/>
              <w:rPr>
                <w:b/>
                <w:bCs/>
                <w:sz w:val="18"/>
                <w:szCs w:val="18"/>
              </w:rPr>
            </w:pPr>
            <w:r>
              <w:rPr>
                <w:b/>
                <w:bCs/>
                <w:sz w:val="18"/>
                <w:szCs w:val="18"/>
              </w:rPr>
              <w:t>$3,290,332</w:t>
            </w:r>
          </w:p>
        </w:tc>
      </w:tr>
    </w:tbl>
    <w:p w:rsidRPr="002F2729" w:rsidR="00B81D08" w:rsidP="00F65EA8" w:rsidRDefault="00B81D08" w14:paraId="75DA92EE" w14:textId="77777777">
      <w:pPr>
        <w:rPr>
          <w:b/>
          <w:i/>
        </w:rPr>
      </w:pPr>
    </w:p>
    <w:p w:rsidR="00114EFC" w:rsidP="00D33846" w:rsidRDefault="00114EFC" w14:paraId="5CA8975B" w14:textId="77777777">
      <w:pPr>
        <w:keepNext/>
      </w:pPr>
    </w:p>
    <w:p w:rsidRPr="0025604D" w:rsidR="00961823" w:rsidP="00D33846" w:rsidRDefault="00961823" w14:paraId="4AC35965" w14:textId="77777777">
      <w:pPr>
        <w:keepNext/>
      </w:pPr>
      <w:r w:rsidRPr="0025604D">
        <w:t xml:space="preserve">15.  </w:t>
      </w:r>
      <w:r w:rsidRPr="0025604D">
        <w:rPr>
          <w:u w:val="single"/>
        </w:rPr>
        <w:t>Reasons for change in burden</w:t>
      </w:r>
    </w:p>
    <w:p w:rsidRPr="0025604D" w:rsidR="00961823" w:rsidP="00666B6D" w:rsidRDefault="00961823" w14:paraId="434961A4" w14:textId="77777777">
      <w:pPr>
        <w:keepNext/>
      </w:pPr>
    </w:p>
    <w:p w:rsidRPr="0025604D" w:rsidR="00C12FB9" w:rsidP="00CB003A" w:rsidRDefault="00D70CD1" w14:paraId="7133A445" w14:textId="6A630D7B">
      <w:r>
        <w:t>The burden for this collection of information is due to a new statute.</w:t>
      </w:r>
    </w:p>
    <w:p w:rsidR="00114EFC" w:rsidP="00D33846" w:rsidRDefault="00114EFC" w14:paraId="6531E725" w14:textId="77777777">
      <w:pPr>
        <w:keepNext/>
      </w:pPr>
    </w:p>
    <w:p w:rsidRPr="0025604D" w:rsidR="00961823" w:rsidP="00D33846" w:rsidRDefault="00961823" w14:paraId="467D6EDA" w14:textId="77777777">
      <w:pPr>
        <w:keepNext/>
      </w:pPr>
      <w:r w:rsidRPr="0025604D">
        <w:t xml:space="preserve">16.  </w:t>
      </w:r>
      <w:r w:rsidRPr="0025604D">
        <w:rPr>
          <w:u w:val="single"/>
        </w:rPr>
        <w:t>Plans for tabulation, statistical analysis</w:t>
      </w:r>
      <w:r w:rsidRPr="0025604D" w:rsidR="00A2596F">
        <w:rPr>
          <w:u w:val="single"/>
        </w:rPr>
        <w:t xml:space="preserve"> and publication</w:t>
      </w:r>
    </w:p>
    <w:p w:rsidRPr="0025604D" w:rsidR="00A2596F" w:rsidP="00CB003A" w:rsidRDefault="00A2596F" w14:paraId="55127710" w14:textId="77777777"/>
    <w:p w:rsidR="00A5454D" w:rsidP="00DA5F5B" w:rsidRDefault="00572B5D" w14:paraId="406E80CC" w14:textId="2644D176">
      <w:r>
        <w:t>Treasury</w:t>
      </w:r>
      <w:r w:rsidRPr="00967930" w:rsidR="00BA5A05">
        <w:t xml:space="preserve"> will conduct numerous types of analysis on th</w:t>
      </w:r>
      <w:r w:rsidR="00525F4A">
        <w:t>is</w:t>
      </w:r>
      <w:r w:rsidRPr="00967930" w:rsidR="00BA5A05">
        <w:t xml:space="preserve"> data.  </w:t>
      </w:r>
      <w:r w:rsidRPr="00967930" w:rsidR="0064314F">
        <w:t>These analyses will include assessments of the effectiveness of the program (</w:t>
      </w:r>
      <w:proofErr w:type="gramStart"/>
      <w:r w:rsidRPr="00967930" w:rsidR="0064314F">
        <w:t>e.g.</w:t>
      </w:r>
      <w:proofErr w:type="gramEnd"/>
      <w:r w:rsidRPr="00967930" w:rsidR="0064314F">
        <w:t xml:space="preserve"> reach, </w:t>
      </w:r>
      <w:r w:rsidRPr="00967930" w:rsidR="00860267">
        <w:t>amounts funded</w:t>
      </w:r>
      <w:r w:rsidRPr="00967930" w:rsidR="005D099C">
        <w:t>)</w:t>
      </w:r>
      <w:r w:rsidRPr="00967930" w:rsidR="0064314F">
        <w:t xml:space="preserve"> as well as compliance checks.  It is poss</w:t>
      </w:r>
      <w:r w:rsidRPr="00967930" w:rsidR="002F2729">
        <w:t>ible that a review/</w:t>
      </w:r>
      <w:r w:rsidRPr="00967930" w:rsidR="00616A24">
        <w:t>publication may</w:t>
      </w:r>
      <w:r w:rsidRPr="00967930" w:rsidR="00256911">
        <w:t xml:space="preserve"> </w:t>
      </w:r>
      <w:r w:rsidRPr="00967930" w:rsidR="002F2729">
        <w:t xml:space="preserve">result </w:t>
      </w:r>
      <w:r w:rsidRPr="00967930" w:rsidR="00616A24">
        <w:t>from these analyses.</w:t>
      </w:r>
      <w:r w:rsidRPr="00967930" w:rsidR="00BA0D32">
        <w:t xml:space="preserve">  In </w:t>
      </w:r>
      <w:r w:rsidRPr="00967930" w:rsidR="00BA0D32">
        <w:lastRenderedPageBreak/>
        <w:t>addition</w:t>
      </w:r>
      <w:r w:rsidRPr="00967930" w:rsidR="00BE4F64">
        <w:t>,</w:t>
      </w:r>
      <w:r w:rsidRPr="00967930" w:rsidR="00BA0D32">
        <w:t xml:space="preserve"> this </w:t>
      </w:r>
      <w:r w:rsidRPr="00967930" w:rsidR="00BE4F64">
        <w:t xml:space="preserve">analysis </w:t>
      </w:r>
      <w:r w:rsidR="00C96C50">
        <w:t>may</w:t>
      </w:r>
      <w:r w:rsidRPr="00967930" w:rsidR="00C96C50">
        <w:t xml:space="preserve"> </w:t>
      </w:r>
      <w:r w:rsidRPr="00967930" w:rsidR="00BA0D32">
        <w:t xml:space="preserve">be made available to </w:t>
      </w:r>
      <w:r w:rsidRPr="00967930" w:rsidR="001139DB">
        <w:t>the public f</w:t>
      </w:r>
      <w:r w:rsidRPr="00967930" w:rsidR="00BA0D32">
        <w:t xml:space="preserve">or </w:t>
      </w:r>
      <w:r w:rsidRPr="00967930" w:rsidR="00BE4F64">
        <w:t>transparency</w:t>
      </w:r>
      <w:r w:rsidR="00C96C50">
        <w:t xml:space="preserve"> on Treasury’s website</w:t>
      </w:r>
    </w:p>
    <w:p w:rsidR="00114EFC" w:rsidP="00D33846" w:rsidRDefault="00114EFC" w14:paraId="623EC97D" w14:textId="77777777"/>
    <w:p w:rsidRPr="0025604D" w:rsidR="00A2596F" w:rsidP="00D33846" w:rsidRDefault="00A2596F" w14:paraId="1DC49E4C" w14:textId="77777777">
      <w:r w:rsidRPr="0025604D">
        <w:t xml:space="preserve">17.  </w:t>
      </w:r>
      <w:r w:rsidRPr="0025604D">
        <w:rPr>
          <w:u w:val="single"/>
        </w:rPr>
        <w:t>Reasons why displaying the OMB expiration date is inappropriate</w:t>
      </w:r>
    </w:p>
    <w:p w:rsidRPr="0025604D" w:rsidR="00A2596F" w:rsidP="00CB003A" w:rsidRDefault="00A2596F" w14:paraId="1AF993F1" w14:textId="77777777"/>
    <w:p w:rsidRPr="0025604D" w:rsidR="00845E59" w:rsidP="00CB003A" w:rsidRDefault="00A5454D" w14:paraId="73AD3F38" w14:textId="77777777">
      <w:r>
        <w:t>D</w:t>
      </w:r>
      <w:r w:rsidRPr="00A5454D">
        <w:t xml:space="preserve">isplaying the OMB expiration date is inappropriate because it </w:t>
      </w:r>
      <w:r>
        <w:t xml:space="preserve">will likely create </w:t>
      </w:r>
      <w:r w:rsidRPr="00A5454D">
        <w:t xml:space="preserve">confusion by leading </w:t>
      </w:r>
      <w:r>
        <w:t>respondents</w:t>
      </w:r>
      <w:r w:rsidRPr="00A5454D">
        <w:t xml:space="preserve"> to believe that the </w:t>
      </w:r>
      <w:r>
        <w:t>agreements</w:t>
      </w:r>
      <w:r w:rsidRPr="00A5454D">
        <w:t xml:space="preserve"> sunset as of the expiration date.</w:t>
      </w:r>
      <w:r>
        <w:t xml:space="preserve">  Non-display of the expiration date is requested.</w:t>
      </w:r>
    </w:p>
    <w:p w:rsidR="00114EFC" w:rsidP="00D33846" w:rsidRDefault="00114EFC" w14:paraId="585F29CC" w14:textId="77777777"/>
    <w:p w:rsidRPr="0025604D" w:rsidR="00A2596F" w:rsidP="00D33846" w:rsidRDefault="00A2596F" w14:paraId="55D36B06" w14:textId="77777777">
      <w:r w:rsidRPr="0025604D">
        <w:t xml:space="preserve">18.  </w:t>
      </w:r>
      <w:r w:rsidRPr="0025604D">
        <w:rPr>
          <w:u w:val="single"/>
        </w:rPr>
        <w:t>Exceptions to certification requirement</w:t>
      </w:r>
    </w:p>
    <w:p w:rsidRPr="00967930" w:rsidR="00A2596F" w:rsidP="00CB003A" w:rsidRDefault="00A2596F" w14:paraId="2ABD9EF2" w14:textId="77777777"/>
    <w:p w:rsidRPr="00967930" w:rsidR="00156E23" w:rsidP="00A90BAB" w:rsidRDefault="00A5454D" w14:paraId="4787749E" w14:textId="77777777">
      <w:r>
        <w:t>There are no exceptions to the certification statement.</w:t>
      </w:r>
    </w:p>
    <w:p w:rsidRPr="0061592C" w:rsidR="00F04487" w:rsidP="00967930" w:rsidRDefault="00F04487" w14:paraId="3291AEE9" w14:textId="77777777"/>
    <w:p w:rsidRPr="006E36DC" w:rsidR="00690E30" w:rsidRDefault="00690E30" w14:paraId="19EFEE7F" w14:textId="77777777"/>
    <w:sectPr w:rsidRPr="006E36DC" w:rsidR="00690E30" w:rsidSect="00512B62">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BEC86" w14:textId="77777777" w:rsidR="00C370ED" w:rsidRDefault="00C370ED">
      <w:r>
        <w:separator/>
      </w:r>
    </w:p>
  </w:endnote>
  <w:endnote w:type="continuationSeparator" w:id="0">
    <w:p w14:paraId="4B3DBDFF" w14:textId="77777777" w:rsidR="00C370ED" w:rsidRDefault="00C3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auto"/>
    <w:notTrueType/>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97729" w14:textId="77777777" w:rsidR="00FF2AEE" w:rsidRDefault="00FF2AEE"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5D1AB7" w14:textId="77777777" w:rsidR="00FF2AEE" w:rsidRDefault="00FF2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B6EC0" w14:textId="77777777" w:rsidR="00FF2AEE" w:rsidRDefault="00FF2AEE"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A48855" w14:textId="77777777" w:rsidR="00FF2AEE" w:rsidRDefault="00FF2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0A9A5" w14:textId="77777777" w:rsidR="00C370ED" w:rsidRDefault="00C370ED">
      <w:r>
        <w:separator/>
      </w:r>
    </w:p>
  </w:footnote>
  <w:footnote w:type="continuationSeparator" w:id="0">
    <w:p w14:paraId="227B7DBF" w14:textId="77777777" w:rsidR="00C370ED" w:rsidRDefault="00C370ED">
      <w:r>
        <w:continuationSeparator/>
      </w:r>
    </w:p>
  </w:footnote>
  <w:footnote w:id="1">
    <w:p w14:paraId="61BE2A18" w14:textId="77777777" w:rsidR="00B81D08" w:rsidRDefault="00B81D08" w:rsidP="00B81D08">
      <w:pPr>
        <w:pStyle w:val="FootnoteText"/>
      </w:pPr>
      <w:r>
        <w:rPr>
          <w:rStyle w:val="FootnoteReference"/>
        </w:rPr>
        <w:footnoteRef/>
      </w:r>
      <w:r>
        <w:t xml:space="preserve"> </w:t>
      </w:r>
      <w:r w:rsidRPr="0092433D">
        <w:t>https://www.opm.gov/policy-data-oversight/pay-leave/salaries-wages/salary-tables/pdf/2021/DCB.pdf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7194D"/>
    <w:multiLevelType w:val="hybridMultilevel"/>
    <w:tmpl w:val="3828E786"/>
    <w:lvl w:ilvl="0" w:tplc="D944A5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3B565F"/>
    <w:multiLevelType w:val="hybridMultilevel"/>
    <w:tmpl w:val="5FAE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A5032"/>
    <w:multiLevelType w:val="hybridMultilevel"/>
    <w:tmpl w:val="2974CE0E"/>
    <w:lvl w:ilvl="0" w:tplc="EE0035B0">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72018A"/>
    <w:multiLevelType w:val="hybridMultilevel"/>
    <w:tmpl w:val="0A0E080A"/>
    <w:lvl w:ilvl="0" w:tplc="B07ADB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2A4027"/>
    <w:multiLevelType w:val="hybridMultilevel"/>
    <w:tmpl w:val="740EA972"/>
    <w:lvl w:ilvl="0" w:tplc="23445A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9E6D9B"/>
    <w:multiLevelType w:val="hybridMultilevel"/>
    <w:tmpl w:val="5AE4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C20E00"/>
    <w:multiLevelType w:val="hybridMultilevel"/>
    <w:tmpl w:val="A5D0CD2A"/>
    <w:lvl w:ilvl="0" w:tplc="06DEBB1C">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091F07"/>
    <w:multiLevelType w:val="hybridMultilevel"/>
    <w:tmpl w:val="09FA2A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105C93"/>
    <w:multiLevelType w:val="hybridMultilevel"/>
    <w:tmpl w:val="78388F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8E6AF1"/>
    <w:multiLevelType w:val="hybridMultilevel"/>
    <w:tmpl w:val="E854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4A7B1C"/>
    <w:multiLevelType w:val="hybridMultilevel"/>
    <w:tmpl w:val="954027A0"/>
    <w:lvl w:ilvl="0" w:tplc="A8241EC2">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5A4874"/>
    <w:multiLevelType w:val="hybridMultilevel"/>
    <w:tmpl w:val="16483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F5C7873"/>
    <w:multiLevelType w:val="hybridMultilevel"/>
    <w:tmpl w:val="3B301F86"/>
    <w:lvl w:ilvl="0" w:tplc="D944A50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26A0CEB"/>
    <w:multiLevelType w:val="hybridMultilevel"/>
    <w:tmpl w:val="95009E7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4" w15:restartNumberingAfterBreak="0">
    <w:nsid w:val="73ED2A58"/>
    <w:multiLevelType w:val="hybridMultilevel"/>
    <w:tmpl w:val="342AAE46"/>
    <w:lvl w:ilvl="0" w:tplc="F612CEDA">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8C29BE"/>
    <w:multiLevelType w:val="multilevel"/>
    <w:tmpl w:val="2256845C"/>
    <w:lvl w:ilvl="0">
      <w:start w:val="1"/>
      <w:numFmt w:val="upperRoman"/>
      <w:pStyle w:val="Heading1"/>
      <w:lvlText w:val="%1."/>
      <w:lvlJc w:val="left"/>
      <w:pPr>
        <w:ind w:left="0" w:firstLine="0"/>
      </w:pPr>
      <w:rPr>
        <w:rFonts w:ascii="Times New Roman" w:hAnsi="Times New Roman" w:cs="Times New Roman" w:hint="default"/>
        <w:sz w:val="24"/>
        <w:szCs w:val="24"/>
      </w:rPr>
    </w:lvl>
    <w:lvl w:ilvl="1">
      <w:start w:val="1"/>
      <w:numFmt w:val="upperLetter"/>
      <w:pStyle w:val="Heading2"/>
      <w:lvlText w:val="%2."/>
      <w:lvlJc w:val="left"/>
      <w:pPr>
        <w:ind w:left="720" w:firstLine="0"/>
      </w:pPr>
      <w:rPr>
        <w:b w:val="0"/>
        <w:i w:val="0"/>
        <w:sz w:val="24"/>
        <w:szCs w:val="24"/>
      </w:rPr>
    </w:lvl>
    <w:lvl w:ilvl="2">
      <w:start w:val="1"/>
      <w:numFmt w:val="decimal"/>
      <w:pStyle w:val="Heading3"/>
      <w:lvlText w:val="%3."/>
      <w:lvlJc w:val="left"/>
      <w:pPr>
        <w:ind w:left="1440" w:firstLine="0"/>
      </w:pPr>
      <w:rPr>
        <w:b w:val="0"/>
      </w:rPr>
    </w:lvl>
    <w:lvl w:ilvl="3">
      <w:start w:val="1"/>
      <w:numFmt w:val="lowerLetter"/>
      <w:pStyle w:val="Heading4"/>
      <w:lvlText w:val="%4."/>
      <w:lvlJc w:val="left"/>
      <w:pPr>
        <w:ind w:left="144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6"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440019"/>
    <w:multiLevelType w:val="hybridMultilevel"/>
    <w:tmpl w:val="C182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7"/>
  </w:num>
  <w:num w:numId="4">
    <w:abstractNumId w:val="9"/>
  </w:num>
  <w:num w:numId="5">
    <w:abstractNumId w:val="26"/>
  </w:num>
  <w:num w:numId="6">
    <w:abstractNumId w:val="7"/>
  </w:num>
  <w:num w:numId="7">
    <w:abstractNumId w:val="1"/>
  </w:num>
  <w:num w:numId="8">
    <w:abstractNumId w:val="18"/>
  </w:num>
  <w:num w:numId="9">
    <w:abstractNumId w:val="16"/>
  </w:num>
  <w:num w:numId="10">
    <w:abstractNumId w:val="20"/>
  </w:num>
  <w:num w:numId="11">
    <w:abstractNumId w:val="4"/>
  </w:num>
  <w:num w:numId="12">
    <w:abstractNumId w:val="11"/>
  </w:num>
  <w:num w:numId="13">
    <w:abstractNumId w:val="14"/>
  </w:num>
  <w:num w:numId="14">
    <w:abstractNumId w:val="12"/>
  </w:num>
  <w:num w:numId="15">
    <w:abstractNumId w:val="3"/>
  </w:num>
  <w:num w:numId="16">
    <w:abstractNumId w:val="22"/>
  </w:num>
  <w:num w:numId="17">
    <w:abstractNumId w:val="6"/>
  </w:num>
  <w:num w:numId="18">
    <w:abstractNumId w:val="19"/>
  </w:num>
  <w:num w:numId="19">
    <w:abstractNumId w:val="0"/>
  </w:num>
  <w:num w:numId="20">
    <w:abstractNumId w:val="24"/>
  </w:num>
  <w:num w:numId="21">
    <w:abstractNumId w:val="8"/>
  </w:num>
  <w:num w:numId="22">
    <w:abstractNumId w:val="17"/>
  </w:num>
  <w:num w:numId="23">
    <w:abstractNumId w:val="25"/>
  </w:num>
  <w:num w:numId="24">
    <w:abstractNumId w:val="13"/>
  </w:num>
  <w:num w:numId="25">
    <w:abstractNumId w:val="10"/>
  </w:num>
  <w:num w:numId="26">
    <w:abstractNumId w:val="28"/>
  </w:num>
  <w:num w:numId="27">
    <w:abstractNumId w:val="15"/>
  </w:num>
  <w:num w:numId="28">
    <w:abstractNumId w:val="2"/>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61"/>
    <w:rsid w:val="00010085"/>
    <w:rsid w:val="00010870"/>
    <w:rsid w:val="00012A2E"/>
    <w:rsid w:val="0001560A"/>
    <w:rsid w:val="00016AB7"/>
    <w:rsid w:val="00017F8B"/>
    <w:rsid w:val="00022F56"/>
    <w:rsid w:val="00033FD8"/>
    <w:rsid w:val="00037AE8"/>
    <w:rsid w:val="00054FB0"/>
    <w:rsid w:val="00055265"/>
    <w:rsid w:val="000570DB"/>
    <w:rsid w:val="00062B59"/>
    <w:rsid w:val="000649CD"/>
    <w:rsid w:val="000701F6"/>
    <w:rsid w:val="00073071"/>
    <w:rsid w:val="00073704"/>
    <w:rsid w:val="0009720D"/>
    <w:rsid w:val="000A1583"/>
    <w:rsid w:val="000B0264"/>
    <w:rsid w:val="000B603C"/>
    <w:rsid w:val="000C3C83"/>
    <w:rsid w:val="000C7031"/>
    <w:rsid w:val="000E1F44"/>
    <w:rsid w:val="000F2AE6"/>
    <w:rsid w:val="000F53C2"/>
    <w:rsid w:val="000F64C2"/>
    <w:rsid w:val="001022FC"/>
    <w:rsid w:val="00105553"/>
    <w:rsid w:val="001110E6"/>
    <w:rsid w:val="001139DB"/>
    <w:rsid w:val="00114EFC"/>
    <w:rsid w:val="00122583"/>
    <w:rsid w:val="00124018"/>
    <w:rsid w:val="00135029"/>
    <w:rsid w:val="00147A26"/>
    <w:rsid w:val="00156E23"/>
    <w:rsid w:val="00161711"/>
    <w:rsid w:val="001648D5"/>
    <w:rsid w:val="00170A86"/>
    <w:rsid w:val="0017687B"/>
    <w:rsid w:val="001819F2"/>
    <w:rsid w:val="00181F21"/>
    <w:rsid w:val="0018375D"/>
    <w:rsid w:val="00186409"/>
    <w:rsid w:val="001945CA"/>
    <w:rsid w:val="00194A36"/>
    <w:rsid w:val="001A5F6A"/>
    <w:rsid w:val="001A75DB"/>
    <w:rsid w:val="001B1CB2"/>
    <w:rsid w:val="001B2115"/>
    <w:rsid w:val="001B3DF8"/>
    <w:rsid w:val="001C4B94"/>
    <w:rsid w:val="001E4BCF"/>
    <w:rsid w:val="001F3236"/>
    <w:rsid w:val="001F632F"/>
    <w:rsid w:val="00201ADA"/>
    <w:rsid w:val="00206C0B"/>
    <w:rsid w:val="002169D4"/>
    <w:rsid w:val="0022726B"/>
    <w:rsid w:val="00237FAA"/>
    <w:rsid w:val="0024000F"/>
    <w:rsid w:val="00247CDC"/>
    <w:rsid w:val="00250F2D"/>
    <w:rsid w:val="002553FC"/>
    <w:rsid w:val="0025604D"/>
    <w:rsid w:val="00256911"/>
    <w:rsid w:val="00260CEB"/>
    <w:rsid w:val="00262333"/>
    <w:rsid w:val="00271992"/>
    <w:rsid w:val="00277E71"/>
    <w:rsid w:val="00293974"/>
    <w:rsid w:val="002969A9"/>
    <w:rsid w:val="00297980"/>
    <w:rsid w:val="002B7AFF"/>
    <w:rsid w:val="002C1BF1"/>
    <w:rsid w:val="002C2A5D"/>
    <w:rsid w:val="002D0EAC"/>
    <w:rsid w:val="002D3297"/>
    <w:rsid w:val="002D35E6"/>
    <w:rsid w:val="002D41E0"/>
    <w:rsid w:val="002E1E31"/>
    <w:rsid w:val="002E6804"/>
    <w:rsid w:val="002E7A1A"/>
    <w:rsid w:val="002F2729"/>
    <w:rsid w:val="00301870"/>
    <w:rsid w:val="003265D6"/>
    <w:rsid w:val="00330B9D"/>
    <w:rsid w:val="00333C76"/>
    <w:rsid w:val="00342E74"/>
    <w:rsid w:val="0034542A"/>
    <w:rsid w:val="00345821"/>
    <w:rsid w:val="00345A1C"/>
    <w:rsid w:val="0036409C"/>
    <w:rsid w:val="00365005"/>
    <w:rsid w:val="00370853"/>
    <w:rsid w:val="00377FC4"/>
    <w:rsid w:val="00380639"/>
    <w:rsid w:val="00390E44"/>
    <w:rsid w:val="00394A61"/>
    <w:rsid w:val="003979BA"/>
    <w:rsid w:val="003B2C53"/>
    <w:rsid w:val="003C068B"/>
    <w:rsid w:val="003C090B"/>
    <w:rsid w:val="003C1AB8"/>
    <w:rsid w:val="003C531A"/>
    <w:rsid w:val="003C54F4"/>
    <w:rsid w:val="003C6C02"/>
    <w:rsid w:val="003F25B3"/>
    <w:rsid w:val="003F3118"/>
    <w:rsid w:val="003F65B4"/>
    <w:rsid w:val="00406DAA"/>
    <w:rsid w:val="00423796"/>
    <w:rsid w:val="00430C37"/>
    <w:rsid w:val="00433424"/>
    <w:rsid w:val="00442EB3"/>
    <w:rsid w:val="0044350E"/>
    <w:rsid w:val="0044510E"/>
    <w:rsid w:val="004509F2"/>
    <w:rsid w:val="00460B20"/>
    <w:rsid w:val="00474E08"/>
    <w:rsid w:val="00475731"/>
    <w:rsid w:val="00483302"/>
    <w:rsid w:val="00497C6E"/>
    <w:rsid w:val="004B06B5"/>
    <w:rsid w:val="004B1400"/>
    <w:rsid w:val="004B32A0"/>
    <w:rsid w:val="004C0837"/>
    <w:rsid w:val="004C2242"/>
    <w:rsid w:val="004D60AD"/>
    <w:rsid w:val="004D793E"/>
    <w:rsid w:val="004E034E"/>
    <w:rsid w:val="004E4993"/>
    <w:rsid w:val="004E5CB9"/>
    <w:rsid w:val="004E6996"/>
    <w:rsid w:val="004F0241"/>
    <w:rsid w:val="004F5145"/>
    <w:rsid w:val="00502A23"/>
    <w:rsid w:val="0050635A"/>
    <w:rsid w:val="005106B3"/>
    <w:rsid w:val="00512B62"/>
    <w:rsid w:val="0051692D"/>
    <w:rsid w:val="00525F4A"/>
    <w:rsid w:val="0052662E"/>
    <w:rsid w:val="00534EA9"/>
    <w:rsid w:val="00535AD0"/>
    <w:rsid w:val="005366FC"/>
    <w:rsid w:val="00541014"/>
    <w:rsid w:val="0054191E"/>
    <w:rsid w:val="00552F8F"/>
    <w:rsid w:val="00572B1A"/>
    <w:rsid w:val="00572B5D"/>
    <w:rsid w:val="00572D2C"/>
    <w:rsid w:val="005730C7"/>
    <w:rsid w:val="00581F16"/>
    <w:rsid w:val="00594BB5"/>
    <w:rsid w:val="00597B52"/>
    <w:rsid w:val="00597B8E"/>
    <w:rsid w:val="005A5038"/>
    <w:rsid w:val="005A5C1B"/>
    <w:rsid w:val="005A5E3F"/>
    <w:rsid w:val="005B1BC2"/>
    <w:rsid w:val="005C0183"/>
    <w:rsid w:val="005C0828"/>
    <w:rsid w:val="005C26EA"/>
    <w:rsid w:val="005C533B"/>
    <w:rsid w:val="005D099C"/>
    <w:rsid w:val="005E7C00"/>
    <w:rsid w:val="005F092E"/>
    <w:rsid w:val="0060143C"/>
    <w:rsid w:val="0060168D"/>
    <w:rsid w:val="006049CB"/>
    <w:rsid w:val="006054F0"/>
    <w:rsid w:val="0060698A"/>
    <w:rsid w:val="00610580"/>
    <w:rsid w:val="00612025"/>
    <w:rsid w:val="00613350"/>
    <w:rsid w:val="006137E1"/>
    <w:rsid w:val="00616A24"/>
    <w:rsid w:val="00621422"/>
    <w:rsid w:val="006223FF"/>
    <w:rsid w:val="006248D6"/>
    <w:rsid w:val="0063065F"/>
    <w:rsid w:val="00633442"/>
    <w:rsid w:val="006358F6"/>
    <w:rsid w:val="0063595E"/>
    <w:rsid w:val="0064051D"/>
    <w:rsid w:val="0064314F"/>
    <w:rsid w:val="00644AC7"/>
    <w:rsid w:val="006536E9"/>
    <w:rsid w:val="006563F4"/>
    <w:rsid w:val="00666B6D"/>
    <w:rsid w:val="00672E30"/>
    <w:rsid w:val="00675BC0"/>
    <w:rsid w:val="00677B78"/>
    <w:rsid w:val="00681FB6"/>
    <w:rsid w:val="00690E30"/>
    <w:rsid w:val="00694525"/>
    <w:rsid w:val="006B05B8"/>
    <w:rsid w:val="006B22D1"/>
    <w:rsid w:val="006B3E5B"/>
    <w:rsid w:val="006C2630"/>
    <w:rsid w:val="006D5C62"/>
    <w:rsid w:val="006D7850"/>
    <w:rsid w:val="006E343D"/>
    <w:rsid w:val="006E36DC"/>
    <w:rsid w:val="006E38EA"/>
    <w:rsid w:val="006E562E"/>
    <w:rsid w:val="006F02DD"/>
    <w:rsid w:val="00707BDE"/>
    <w:rsid w:val="007109D0"/>
    <w:rsid w:val="007175E9"/>
    <w:rsid w:val="0072166B"/>
    <w:rsid w:val="00741F3C"/>
    <w:rsid w:val="0074294B"/>
    <w:rsid w:val="007614AA"/>
    <w:rsid w:val="00775C08"/>
    <w:rsid w:val="00780878"/>
    <w:rsid w:val="00782F39"/>
    <w:rsid w:val="00785E67"/>
    <w:rsid w:val="007942BD"/>
    <w:rsid w:val="00795CCA"/>
    <w:rsid w:val="007A0410"/>
    <w:rsid w:val="007A3427"/>
    <w:rsid w:val="007A5035"/>
    <w:rsid w:val="007A7818"/>
    <w:rsid w:val="007C3D2A"/>
    <w:rsid w:val="007D070F"/>
    <w:rsid w:val="007D4D87"/>
    <w:rsid w:val="007E69B3"/>
    <w:rsid w:val="007E71AF"/>
    <w:rsid w:val="007E7F19"/>
    <w:rsid w:val="007F0335"/>
    <w:rsid w:val="007F1B6C"/>
    <w:rsid w:val="007F1F06"/>
    <w:rsid w:val="00801BCC"/>
    <w:rsid w:val="00802612"/>
    <w:rsid w:val="00810E73"/>
    <w:rsid w:val="00820061"/>
    <w:rsid w:val="00824387"/>
    <w:rsid w:val="00835840"/>
    <w:rsid w:val="0084167B"/>
    <w:rsid w:val="00843308"/>
    <w:rsid w:val="00845E4B"/>
    <w:rsid w:val="00845E59"/>
    <w:rsid w:val="008511F6"/>
    <w:rsid w:val="00851473"/>
    <w:rsid w:val="00856DD0"/>
    <w:rsid w:val="00860267"/>
    <w:rsid w:val="00861BDE"/>
    <w:rsid w:val="008824BC"/>
    <w:rsid w:val="008869AF"/>
    <w:rsid w:val="00897916"/>
    <w:rsid w:val="008A2654"/>
    <w:rsid w:val="008A5AEA"/>
    <w:rsid w:val="008B3C48"/>
    <w:rsid w:val="008B7CB1"/>
    <w:rsid w:val="008D4146"/>
    <w:rsid w:val="008D6002"/>
    <w:rsid w:val="008E694F"/>
    <w:rsid w:val="008E7EB4"/>
    <w:rsid w:val="008F5B9C"/>
    <w:rsid w:val="009018CF"/>
    <w:rsid w:val="009149AC"/>
    <w:rsid w:val="009177CE"/>
    <w:rsid w:val="009206ED"/>
    <w:rsid w:val="0092190E"/>
    <w:rsid w:val="00921EA8"/>
    <w:rsid w:val="0093375A"/>
    <w:rsid w:val="00940C12"/>
    <w:rsid w:val="00950A9E"/>
    <w:rsid w:val="00953166"/>
    <w:rsid w:val="00961823"/>
    <w:rsid w:val="0096411C"/>
    <w:rsid w:val="0096426F"/>
    <w:rsid w:val="009642A0"/>
    <w:rsid w:val="00967930"/>
    <w:rsid w:val="00972C07"/>
    <w:rsid w:val="0097507B"/>
    <w:rsid w:val="00981880"/>
    <w:rsid w:val="00983B56"/>
    <w:rsid w:val="0098542A"/>
    <w:rsid w:val="00986077"/>
    <w:rsid w:val="00986C41"/>
    <w:rsid w:val="00990870"/>
    <w:rsid w:val="0099514D"/>
    <w:rsid w:val="009965EC"/>
    <w:rsid w:val="00997F5F"/>
    <w:rsid w:val="009A2351"/>
    <w:rsid w:val="009A7EB2"/>
    <w:rsid w:val="009B5E2B"/>
    <w:rsid w:val="009B6FA0"/>
    <w:rsid w:val="009C12CA"/>
    <w:rsid w:val="009D2479"/>
    <w:rsid w:val="009E3BA0"/>
    <w:rsid w:val="009E4F29"/>
    <w:rsid w:val="009E5FD8"/>
    <w:rsid w:val="009F45CC"/>
    <w:rsid w:val="009F4D1C"/>
    <w:rsid w:val="009F4DB4"/>
    <w:rsid w:val="00A00740"/>
    <w:rsid w:val="00A10A09"/>
    <w:rsid w:val="00A117FD"/>
    <w:rsid w:val="00A16CB5"/>
    <w:rsid w:val="00A20BB4"/>
    <w:rsid w:val="00A2216B"/>
    <w:rsid w:val="00A2404E"/>
    <w:rsid w:val="00A2596F"/>
    <w:rsid w:val="00A25B3F"/>
    <w:rsid w:val="00A25BF5"/>
    <w:rsid w:val="00A34ED2"/>
    <w:rsid w:val="00A37F12"/>
    <w:rsid w:val="00A41CCE"/>
    <w:rsid w:val="00A42F22"/>
    <w:rsid w:val="00A430CB"/>
    <w:rsid w:val="00A5267F"/>
    <w:rsid w:val="00A5454D"/>
    <w:rsid w:val="00A571E7"/>
    <w:rsid w:val="00A60E56"/>
    <w:rsid w:val="00A67505"/>
    <w:rsid w:val="00A719C7"/>
    <w:rsid w:val="00A720EF"/>
    <w:rsid w:val="00A722D5"/>
    <w:rsid w:val="00A72EE7"/>
    <w:rsid w:val="00A73FE3"/>
    <w:rsid w:val="00A76418"/>
    <w:rsid w:val="00A85881"/>
    <w:rsid w:val="00A90BAB"/>
    <w:rsid w:val="00A91D99"/>
    <w:rsid w:val="00A9268A"/>
    <w:rsid w:val="00A94AED"/>
    <w:rsid w:val="00AA4774"/>
    <w:rsid w:val="00AB5E99"/>
    <w:rsid w:val="00AB6957"/>
    <w:rsid w:val="00AB7A4F"/>
    <w:rsid w:val="00AB7D47"/>
    <w:rsid w:val="00AC187E"/>
    <w:rsid w:val="00AD70D0"/>
    <w:rsid w:val="00B002FE"/>
    <w:rsid w:val="00B129C3"/>
    <w:rsid w:val="00B2640C"/>
    <w:rsid w:val="00B31E37"/>
    <w:rsid w:val="00B50861"/>
    <w:rsid w:val="00B6081A"/>
    <w:rsid w:val="00B61494"/>
    <w:rsid w:val="00B716A8"/>
    <w:rsid w:val="00B778BC"/>
    <w:rsid w:val="00B81D08"/>
    <w:rsid w:val="00B830B7"/>
    <w:rsid w:val="00B86B9E"/>
    <w:rsid w:val="00B86C49"/>
    <w:rsid w:val="00B944CC"/>
    <w:rsid w:val="00B96B5B"/>
    <w:rsid w:val="00BA0D32"/>
    <w:rsid w:val="00BA59A6"/>
    <w:rsid w:val="00BA5A05"/>
    <w:rsid w:val="00BB1CDE"/>
    <w:rsid w:val="00BB6EAE"/>
    <w:rsid w:val="00BB7333"/>
    <w:rsid w:val="00BC7EAF"/>
    <w:rsid w:val="00BE0F3D"/>
    <w:rsid w:val="00BE4F64"/>
    <w:rsid w:val="00BE6E2E"/>
    <w:rsid w:val="00BF0199"/>
    <w:rsid w:val="00BF0310"/>
    <w:rsid w:val="00BF3938"/>
    <w:rsid w:val="00BF7366"/>
    <w:rsid w:val="00BF7503"/>
    <w:rsid w:val="00C022B5"/>
    <w:rsid w:val="00C0391A"/>
    <w:rsid w:val="00C12FB9"/>
    <w:rsid w:val="00C16694"/>
    <w:rsid w:val="00C20AF4"/>
    <w:rsid w:val="00C21EA2"/>
    <w:rsid w:val="00C34464"/>
    <w:rsid w:val="00C35ECF"/>
    <w:rsid w:val="00C36F16"/>
    <w:rsid w:val="00C370ED"/>
    <w:rsid w:val="00C40A37"/>
    <w:rsid w:val="00C53576"/>
    <w:rsid w:val="00C571B2"/>
    <w:rsid w:val="00C60DF5"/>
    <w:rsid w:val="00C63EC5"/>
    <w:rsid w:val="00C707AC"/>
    <w:rsid w:val="00C716D9"/>
    <w:rsid w:val="00C72B81"/>
    <w:rsid w:val="00C75252"/>
    <w:rsid w:val="00C753A6"/>
    <w:rsid w:val="00C8255B"/>
    <w:rsid w:val="00C954EA"/>
    <w:rsid w:val="00C96C50"/>
    <w:rsid w:val="00C971EA"/>
    <w:rsid w:val="00C97621"/>
    <w:rsid w:val="00C97664"/>
    <w:rsid w:val="00CA7D88"/>
    <w:rsid w:val="00CB003A"/>
    <w:rsid w:val="00CB7D0D"/>
    <w:rsid w:val="00CC043F"/>
    <w:rsid w:val="00CC0B33"/>
    <w:rsid w:val="00CC2BCD"/>
    <w:rsid w:val="00CC4534"/>
    <w:rsid w:val="00CD174A"/>
    <w:rsid w:val="00CD58CD"/>
    <w:rsid w:val="00CE2D06"/>
    <w:rsid w:val="00CF1864"/>
    <w:rsid w:val="00D01350"/>
    <w:rsid w:val="00D12AE5"/>
    <w:rsid w:val="00D24A88"/>
    <w:rsid w:val="00D25BC7"/>
    <w:rsid w:val="00D33846"/>
    <w:rsid w:val="00D531F4"/>
    <w:rsid w:val="00D70CD1"/>
    <w:rsid w:val="00D73A71"/>
    <w:rsid w:val="00D81AD6"/>
    <w:rsid w:val="00D8477F"/>
    <w:rsid w:val="00D96B41"/>
    <w:rsid w:val="00DA35D5"/>
    <w:rsid w:val="00DA5F5B"/>
    <w:rsid w:val="00DC35EA"/>
    <w:rsid w:val="00DC3BF4"/>
    <w:rsid w:val="00DD1BB4"/>
    <w:rsid w:val="00DD411D"/>
    <w:rsid w:val="00DD6760"/>
    <w:rsid w:val="00DE5BE2"/>
    <w:rsid w:val="00DE635D"/>
    <w:rsid w:val="00E044EB"/>
    <w:rsid w:val="00E14132"/>
    <w:rsid w:val="00E170FB"/>
    <w:rsid w:val="00E20513"/>
    <w:rsid w:val="00E2533C"/>
    <w:rsid w:val="00E27D1D"/>
    <w:rsid w:val="00E52C6C"/>
    <w:rsid w:val="00E71397"/>
    <w:rsid w:val="00E77A64"/>
    <w:rsid w:val="00E8070F"/>
    <w:rsid w:val="00E90538"/>
    <w:rsid w:val="00E911FF"/>
    <w:rsid w:val="00E9167D"/>
    <w:rsid w:val="00E93E6D"/>
    <w:rsid w:val="00EA1250"/>
    <w:rsid w:val="00EA7D37"/>
    <w:rsid w:val="00EB5499"/>
    <w:rsid w:val="00EB5E62"/>
    <w:rsid w:val="00EB6927"/>
    <w:rsid w:val="00EC3A9A"/>
    <w:rsid w:val="00EC5FAF"/>
    <w:rsid w:val="00EE0B0E"/>
    <w:rsid w:val="00EE3DED"/>
    <w:rsid w:val="00EF553C"/>
    <w:rsid w:val="00EF781C"/>
    <w:rsid w:val="00F04487"/>
    <w:rsid w:val="00F10921"/>
    <w:rsid w:val="00F12D20"/>
    <w:rsid w:val="00F23309"/>
    <w:rsid w:val="00F24F5A"/>
    <w:rsid w:val="00F252B6"/>
    <w:rsid w:val="00F27C5F"/>
    <w:rsid w:val="00F31337"/>
    <w:rsid w:val="00F366E8"/>
    <w:rsid w:val="00F41911"/>
    <w:rsid w:val="00F43DC0"/>
    <w:rsid w:val="00F51DC7"/>
    <w:rsid w:val="00F524C3"/>
    <w:rsid w:val="00F5307C"/>
    <w:rsid w:val="00F6095F"/>
    <w:rsid w:val="00F64341"/>
    <w:rsid w:val="00F65EA8"/>
    <w:rsid w:val="00F72D0B"/>
    <w:rsid w:val="00F7395C"/>
    <w:rsid w:val="00F77AE4"/>
    <w:rsid w:val="00F8497D"/>
    <w:rsid w:val="00F97D8F"/>
    <w:rsid w:val="00FA49D0"/>
    <w:rsid w:val="00FB4705"/>
    <w:rsid w:val="00FB7F1C"/>
    <w:rsid w:val="00FC174E"/>
    <w:rsid w:val="00FC2B60"/>
    <w:rsid w:val="00FC7E35"/>
    <w:rsid w:val="00FD0BF8"/>
    <w:rsid w:val="00FE0C59"/>
    <w:rsid w:val="00FE29CC"/>
    <w:rsid w:val="00FF2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8A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FB0"/>
    <w:rPr>
      <w:sz w:val="24"/>
      <w:szCs w:val="24"/>
    </w:rPr>
  </w:style>
  <w:style w:type="paragraph" w:styleId="Heading1">
    <w:name w:val="heading 1"/>
    <w:basedOn w:val="Normal"/>
    <w:next w:val="Normal"/>
    <w:link w:val="Heading1Char"/>
    <w:uiPriority w:val="9"/>
    <w:qFormat/>
    <w:rsid w:val="00D81AD6"/>
    <w:pPr>
      <w:keepNext/>
      <w:numPr>
        <w:numId w:val="2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D81AD6"/>
    <w:pPr>
      <w:keepNext/>
      <w:numPr>
        <w:ilvl w:val="1"/>
        <w:numId w:val="2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D81AD6"/>
    <w:pPr>
      <w:keepNext/>
      <w:numPr>
        <w:ilvl w:val="2"/>
        <w:numId w:val="23"/>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81AD6"/>
    <w:pPr>
      <w:keepNext/>
      <w:numPr>
        <w:ilvl w:val="3"/>
        <w:numId w:val="2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D81AD6"/>
    <w:pPr>
      <w:numPr>
        <w:ilvl w:val="4"/>
        <w:numId w:val="23"/>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D81AD6"/>
    <w:pPr>
      <w:numPr>
        <w:ilvl w:val="5"/>
        <w:numId w:val="23"/>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D81AD6"/>
    <w:pPr>
      <w:numPr>
        <w:ilvl w:val="6"/>
        <w:numId w:val="23"/>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D81AD6"/>
    <w:pPr>
      <w:numPr>
        <w:ilvl w:val="7"/>
        <w:numId w:val="23"/>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D81AD6"/>
    <w:pPr>
      <w:numPr>
        <w:ilvl w:val="8"/>
        <w:numId w:val="2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paragraph" w:styleId="ListParagraph">
    <w:name w:val="List Paragraph"/>
    <w:basedOn w:val="Normal"/>
    <w:uiPriority w:val="34"/>
    <w:qFormat/>
    <w:rsid w:val="00C72B81"/>
    <w:pPr>
      <w:ind w:left="720"/>
    </w:pPr>
    <w:rPr>
      <w:rFonts w:eastAsia="Calibri"/>
    </w:rPr>
  </w:style>
  <w:style w:type="character" w:styleId="CommentReference">
    <w:name w:val="annotation reference"/>
    <w:basedOn w:val="DefaultParagraphFont"/>
    <w:unhideWhenUsed/>
    <w:rsid w:val="000F64C2"/>
    <w:rPr>
      <w:sz w:val="16"/>
      <w:szCs w:val="16"/>
    </w:rPr>
  </w:style>
  <w:style w:type="paragraph" w:styleId="CommentText">
    <w:name w:val="annotation text"/>
    <w:basedOn w:val="Normal"/>
    <w:link w:val="CommentTextChar"/>
    <w:uiPriority w:val="99"/>
    <w:unhideWhenUsed/>
    <w:rsid w:val="000F64C2"/>
    <w:pPr>
      <w:widowControl w:val="0"/>
    </w:pPr>
    <w:rPr>
      <w:rFonts w:ascii="Courier" w:hAnsi="Courier"/>
      <w:snapToGrid w:val="0"/>
      <w:sz w:val="20"/>
      <w:szCs w:val="20"/>
    </w:rPr>
  </w:style>
  <w:style w:type="character" w:customStyle="1" w:styleId="CommentTextChar">
    <w:name w:val="Comment Text Char"/>
    <w:basedOn w:val="DefaultParagraphFont"/>
    <w:link w:val="CommentText"/>
    <w:uiPriority w:val="99"/>
    <w:rsid w:val="000F64C2"/>
    <w:rPr>
      <w:rFonts w:ascii="Courier" w:hAnsi="Courier"/>
      <w:snapToGrid w:val="0"/>
    </w:rPr>
  </w:style>
  <w:style w:type="paragraph" w:styleId="FootnoteText">
    <w:name w:val="footnote text"/>
    <w:basedOn w:val="Normal"/>
    <w:link w:val="FootnoteTextChar"/>
    <w:rsid w:val="009C12CA"/>
    <w:rPr>
      <w:sz w:val="20"/>
      <w:szCs w:val="20"/>
    </w:rPr>
  </w:style>
  <w:style w:type="character" w:customStyle="1" w:styleId="FootnoteTextChar">
    <w:name w:val="Footnote Text Char"/>
    <w:basedOn w:val="DefaultParagraphFont"/>
    <w:link w:val="FootnoteText"/>
    <w:rsid w:val="009C12CA"/>
  </w:style>
  <w:style w:type="character" w:styleId="FootnoteReference">
    <w:name w:val="footnote reference"/>
    <w:basedOn w:val="DefaultParagraphFont"/>
    <w:rsid w:val="009C12CA"/>
    <w:rPr>
      <w:vertAlign w:val="superscript"/>
    </w:rPr>
  </w:style>
  <w:style w:type="paragraph" w:styleId="EndnoteText">
    <w:name w:val="endnote text"/>
    <w:basedOn w:val="Normal"/>
    <w:link w:val="EndnoteTextChar"/>
    <w:rsid w:val="00B86B9E"/>
    <w:rPr>
      <w:sz w:val="20"/>
      <w:szCs w:val="20"/>
    </w:rPr>
  </w:style>
  <w:style w:type="character" w:customStyle="1" w:styleId="EndnoteTextChar">
    <w:name w:val="Endnote Text Char"/>
    <w:basedOn w:val="DefaultParagraphFont"/>
    <w:link w:val="EndnoteText"/>
    <w:rsid w:val="00B86B9E"/>
  </w:style>
  <w:style w:type="character" w:styleId="EndnoteReference">
    <w:name w:val="endnote reference"/>
    <w:basedOn w:val="DefaultParagraphFont"/>
    <w:rsid w:val="00B86B9E"/>
    <w:rPr>
      <w:vertAlign w:val="superscript"/>
    </w:rPr>
  </w:style>
  <w:style w:type="paragraph" w:styleId="CommentSubject">
    <w:name w:val="annotation subject"/>
    <w:basedOn w:val="CommentText"/>
    <w:next w:val="CommentText"/>
    <w:link w:val="CommentSubjectChar"/>
    <w:rsid w:val="008869AF"/>
    <w:pPr>
      <w:widowControl/>
    </w:pPr>
    <w:rPr>
      <w:rFonts w:ascii="Times New Roman" w:hAnsi="Times New Roman"/>
      <w:b/>
      <w:bCs/>
      <w:snapToGrid/>
    </w:rPr>
  </w:style>
  <w:style w:type="character" w:customStyle="1" w:styleId="CommentSubjectChar">
    <w:name w:val="Comment Subject Char"/>
    <w:basedOn w:val="CommentTextChar"/>
    <w:link w:val="CommentSubject"/>
    <w:rsid w:val="008869AF"/>
    <w:rPr>
      <w:rFonts w:ascii="Courier" w:hAnsi="Courier"/>
      <w:b/>
      <w:bCs/>
      <w:snapToGrid w:val="0"/>
    </w:rPr>
  </w:style>
  <w:style w:type="table" w:styleId="TableGrid">
    <w:name w:val="Table Grid"/>
    <w:basedOn w:val="TableNormal"/>
    <w:uiPriority w:val="59"/>
    <w:rsid w:val="00AA477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D81AD6"/>
    <w:rPr>
      <w:rFonts w:ascii="Cambria" w:hAnsi="Cambria"/>
      <w:b/>
      <w:bCs/>
      <w:kern w:val="32"/>
      <w:sz w:val="32"/>
      <w:szCs w:val="32"/>
    </w:rPr>
  </w:style>
  <w:style w:type="character" w:customStyle="1" w:styleId="Heading2Char">
    <w:name w:val="Heading 2 Char"/>
    <w:basedOn w:val="DefaultParagraphFont"/>
    <w:link w:val="Heading2"/>
    <w:uiPriority w:val="9"/>
    <w:rsid w:val="00D81AD6"/>
    <w:rPr>
      <w:rFonts w:ascii="Cambria" w:hAnsi="Cambria"/>
      <w:b/>
      <w:bCs/>
      <w:i/>
      <w:iCs/>
      <w:sz w:val="28"/>
      <w:szCs w:val="28"/>
    </w:rPr>
  </w:style>
  <w:style w:type="character" w:customStyle="1" w:styleId="Heading3Char">
    <w:name w:val="Heading 3 Char"/>
    <w:basedOn w:val="DefaultParagraphFont"/>
    <w:link w:val="Heading3"/>
    <w:uiPriority w:val="9"/>
    <w:rsid w:val="00D81AD6"/>
    <w:rPr>
      <w:rFonts w:ascii="Cambria" w:hAnsi="Cambria"/>
      <w:b/>
      <w:bCs/>
      <w:sz w:val="26"/>
      <w:szCs w:val="26"/>
    </w:rPr>
  </w:style>
  <w:style w:type="character" w:customStyle="1" w:styleId="Heading4Char">
    <w:name w:val="Heading 4 Char"/>
    <w:basedOn w:val="DefaultParagraphFont"/>
    <w:link w:val="Heading4"/>
    <w:uiPriority w:val="9"/>
    <w:rsid w:val="00D81AD6"/>
    <w:rPr>
      <w:rFonts w:ascii="Calibri" w:hAnsi="Calibri"/>
      <w:b/>
      <w:bCs/>
      <w:sz w:val="28"/>
      <w:szCs w:val="28"/>
    </w:rPr>
  </w:style>
  <w:style w:type="character" w:customStyle="1" w:styleId="Heading5Char">
    <w:name w:val="Heading 5 Char"/>
    <w:basedOn w:val="DefaultParagraphFont"/>
    <w:link w:val="Heading5"/>
    <w:uiPriority w:val="9"/>
    <w:rsid w:val="00D81AD6"/>
    <w:rPr>
      <w:rFonts w:ascii="Calibri" w:hAnsi="Calibri"/>
      <w:b/>
      <w:bCs/>
      <w:i/>
      <w:iCs/>
      <w:sz w:val="26"/>
      <w:szCs w:val="26"/>
    </w:rPr>
  </w:style>
  <w:style w:type="character" w:customStyle="1" w:styleId="Heading6Char">
    <w:name w:val="Heading 6 Char"/>
    <w:basedOn w:val="DefaultParagraphFont"/>
    <w:link w:val="Heading6"/>
    <w:uiPriority w:val="9"/>
    <w:semiHidden/>
    <w:rsid w:val="00D81AD6"/>
    <w:rPr>
      <w:rFonts w:ascii="Calibri" w:hAnsi="Calibri"/>
      <w:b/>
      <w:bCs/>
      <w:sz w:val="22"/>
      <w:szCs w:val="22"/>
    </w:rPr>
  </w:style>
  <w:style w:type="character" w:customStyle="1" w:styleId="Heading7Char">
    <w:name w:val="Heading 7 Char"/>
    <w:basedOn w:val="DefaultParagraphFont"/>
    <w:link w:val="Heading7"/>
    <w:uiPriority w:val="9"/>
    <w:semiHidden/>
    <w:rsid w:val="00D81AD6"/>
    <w:rPr>
      <w:rFonts w:ascii="Calibri" w:hAnsi="Calibri"/>
      <w:sz w:val="24"/>
      <w:szCs w:val="24"/>
    </w:rPr>
  </w:style>
  <w:style w:type="character" w:customStyle="1" w:styleId="Heading8Char">
    <w:name w:val="Heading 8 Char"/>
    <w:basedOn w:val="DefaultParagraphFont"/>
    <w:link w:val="Heading8"/>
    <w:uiPriority w:val="9"/>
    <w:semiHidden/>
    <w:rsid w:val="00D81AD6"/>
    <w:rPr>
      <w:rFonts w:ascii="Calibri" w:hAnsi="Calibri"/>
      <w:i/>
      <w:iCs/>
      <w:sz w:val="24"/>
      <w:szCs w:val="24"/>
    </w:rPr>
  </w:style>
  <w:style w:type="character" w:customStyle="1" w:styleId="Heading9Char">
    <w:name w:val="Heading 9 Char"/>
    <w:basedOn w:val="DefaultParagraphFont"/>
    <w:link w:val="Heading9"/>
    <w:uiPriority w:val="9"/>
    <w:semiHidden/>
    <w:rsid w:val="00D81AD6"/>
    <w:rPr>
      <w:rFonts w:ascii="Cambria" w:hAnsi="Cambria"/>
      <w:sz w:val="22"/>
      <w:szCs w:val="22"/>
    </w:rPr>
  </w:style>
  <w:style w:type="paragraph" w:customStyle="1" w:styleId="Default">
    <w:name w:val="Default"/>
    <w:rsid w:val="00016AB7"/>
    <w:pPr>
      <w:autoSpaceDE w:val="0"/>
      <w:autoSpaceDN w:val="0"/>
      <w:adjustRightInd w:val="0"/>
    </w:pPr>
    <w:rPr>
      <w:rFonts w:ascii="Calibri" w:hAnsi="Calibri" w:cs="Calibri"/>
      <w:color w:val="000000"/>
      <w:sz w:val="24"/>
      <w:szCs w:val="24"/>
    </w:rPr>
  </w:style>
  <w:style w:type="paragraph" w:styleId="Caption">
    <w:name w:val="caption"/>
    <w:basedOn w:val="Normal"/>
    <w:next w:val="Normal"/>
    <w:unhideWhenUsed/>
    <w:qFormat/>
    <w:rsid w:val="00502A23"/>
    <w:pPr>
      <w:spacing w:after="200"/>
    </w:pPr>
    <w:rPr>
      <w:b/>
      <w:bCs/>
      <w:color w:val="4F81BD" w:themeColor="accent1"/>
      <w:sz w:val="18"/>
      <w:szCs w:val="18"/>
    </w:rPr>
  </w:style>
  <w:style w:type="paragraph" w:styleId="Revision">
    <w:name w:val="Revision"/>
    <w:hidden/>
    <w:uiPriority w:val="99"/>
    <w:semiHidden/>
    <w:rsid w:val="00E911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644715">
      <w:bodyDiv w:val="1"/>
      <w:marLeft w:val="0"/>
      <w:marRight w:val="0"/>
      <w:marTop w:val="0"/>
      <w:marBottom w:val="0"/>
      <w:divBdr>
        <w:top w:val="none" w:sz="0" w:space="0" w:color="auto"/>
        <w:left w:val="none" w:sz="0" w:space="0" w:color="auto"/>
        <w:bottom w:val="none" w:sz="0" w:space="0" w:color="auto"/>
        <w:right w:val="none" w:sz="0" w:space="0" w:color="auto"/>
      </w:divBdr>
    </w:div>
    <w:div w:id="317223036">
      <w:bodyDiv w:val="1"/>
      <w:marLeft w:val="0"/>
      <w:marRight w:val="0"/>
      <w:marTop w:val="0"/>
      <w:marBottom w:val="0"/>
      <w:divBdr>
        <w:top w:val="none" w:sz="0" w:space="0" w:color="auto"/>
        <w:left w:val="none" w:sz="0" w:space="0" w:color="auto"/>
        <w:bottom w:val="none" w:sz="0" w:space="0" w:color="auto"/>
        <w:right w:val="none" w:sz="0" w:space="0" w:color="auto"/>
      </w:divBdr>
    </w:div>
    <w:div w:id="704448986">
      <w:bodyDiv w:val="1"/>
      <w:marLeft w:val="0"/>
      <w:marRight w:val="0"/>
      <w:marTop w:val="0"/>
      <w:marBottom w:val="0"/>
      <w:divBdr>
        <w:top w:val="none" w:sz="0" w:space="0" w:color="auto"/>
        <w:left w:val="none" w:sz="0" w:space="0" w:color="auto"/>
        <w:bottom w:val="none" w:sz="0" w:space="0" w:color="auto"/>
        <w:right w:val="none" w:sz="0" w:space="0" w:color="auto"/>
      </w:divBdr>
    </w:div>
    <w:div w:id="825438965">
      <w:bodyDiv w:val="1"/>
      <w:marLeft w:val="0"/>
      <w:marRight w:val="0"/>
      <w:marTop w:val="0"/>
      <w:marBottom w:val="0"/>
      <w:divBdr>
        <w:top w:val="none" w:sz="0" w:space="0" w:color="auto"/>
        <w:left w:val="none" w:sz="0" w:space="0" w:color="auto"/>
        <w:bottom w:val="none" w:sz="0" w:space="0" w:color="auto"/>
        <w:right w:val="none" w:sz="0" w:space="0" w:color="auto"/>
      </w:divBdr>
    </w:div>
    <w:div w:id="1640375021">
      <w:bodyDiv w:val="1"/>
      <w:marLeft w:val="0"/>
      <w:marRight w:val="0"/>
      <w:marTop w:val="0"/>
      <w:marBottom w:val="0"/>
      <w:divBdr>
        <w:top w:val="none" w:sz="0" w:space="0" w:color="auto"/>
        <w:left w:val="none" w:sz="0" w:space="0" w:color="auto"/>
        <w:bottom w:val="none" w:sz="0" w:space="0" w:color="auto"/>
        <w:right w:val="none" w:sz="0" w:space="0" w:color="auto"/>
      </w:divBdr>
    </w:div>
    <w:div w:id="1723094292">
      <w:bodyDiv w:val="1"/>
      <w:marLeft w:val="0"/>
      <w:marRight w:val="0"/>
      <w:marTop w:val="0"/>
      <w:marBottom w:val="0"/>
      <w:divBdr>
        <w:top w:val="none" w:sz="0" w:space="0" w:color="auto"/>
        <w:left w:val="none" w:sz="0" w:space="0" w:color="auto"/>
        <w:bottom w:val="none" w:sz="0" w:space="0" w:color="auto"/>
        <w:right w:val="none" w:sz="0" w:space="0" w:color="auto"/>
      </w:divBdr>
    </w:div>
    <w:div w:id="1937520804">
      <w:bodyDiv w:val="1"/>
      <w:marLeft w:val="0"/>
      <w:marRight w:val="0"/>
      <w:marTop w:val="0"/>
      <w:marBottom w:val="0"/>
      <w:divBdr>
        <w:top w:val="none" w:sz="0" w:space="0" w:color="auto"/>
        <w:left w:val="none" w:sz="0" w:space="0" w:color="auto"/>
        <w:bottom w:val="none" w:sz="0" w:space="0" w:color="auto"/>
        <w:right w:val="none" w:sz="0" w:space="0" w:color="auto"/>
      </w:divBdr>
    </w:div>
    <w:div w:id="2032224896">
      <w:bodyDiv w:val="1"/>
      <w:marLeft w:val="0"/>
      <w:marRight w:val="0"/>
      <w:marTop w:val="0"/>
      <w:marBottom w:val="0"/>
      <w:divBdr>
        <w:top w:val="none" w:sz="0" w:space="0" w:color="auto"/>
        <w:left w:val="none" w:sz="0" w:space="0" w:color="auto"/>
        <w:bottom w:val="none" w:sz="0" w:space="0" w:color="auto"/>
        <w:right w:val="none" w:sz="0" w:space="0" w:color="auto"/>
      </w:divBdr>
    </w:div>
    <w:div w:id="205300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7BA9C-E781-4729-8E90-5EFA1A1CEB97}">
  <ds:schemaRefs>
    <ds:schemaRef ds:uri="http://schemas.openxmlformats.org/officeDocument/2006/bibliography"/>
  </ds:schemaRefs>
</ds:datastoreItem>
</file>

<file path=customXml/itemProps2.xml><?xml version="1.0" encoding="utf-8"?>
<ds:datastoreItem xmlns:ds="http://schemas.openxmlformats.org/officeDocument/2006/customXml" ds:itemID="{8E571CDE-DB76-485E-BF67-FD1A3BD8B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1455</Words>
  <Characters>8688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2021-11-17T22:48:00Z</dcterms:created>
  <dcterms:modified xsi:type="dcterms:W3CDTF">2021-11-17T22:48:00Z</dcterms:modified>
</cp:coreProperties>
</file>