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085F" w:rsidR="0023085F" w:rsidP="003551CF" w:rsidRDefault="0023085F" w14:paraId="666F0800" w14:textId="56431F0A">
      <w:pPr>
        <w:tabs>
          <w:tab w:val="center" w:pos="4680"/>
        </w:tabs>
        <w:jc w:val="center"/>
        <w:rPr>
          <w:rFonts w:ascii="Times New Roman" w:hAnsi="Times New Roman"/>
          <w:b/>
          <w:bCs/>
        </w:rPr>
      </w:pPr>
      <w:r w:rsidRPr="0023085F">
        <w:rPr>
          <w:rFonts w:ascii="Times New Roman" w:hAnsi="Times New Roman"/>
          <w:b/>
          <w:bCs/>
        </w:rPr>
        <w:t>SUPPORTING STATEMENT</w:t>
      </w:r>
    </w:p>
    <w:p w:rsidR="0023085F" w:rsidP="003551CF" w:rsidRDefault="001B0514" w14:paraId="4C92CE34" w14:textId="680AA2B0">
      <w:pPr>
        <w:tabs>
          <w:tab w:val="center" w:pos="4680"/>
        </w:tabs>
        <w:jc w:val="center"/>
        <w:rPr>
          <w:rFonts w:ascii="Times New Roman" w:hAnsi="Times New Roman"/>
        </w:rPr>
      </w:pPr>
      <w:r w:rsidRPr="009F0CB5">
        <w:rPr>
          <w:rFonts w:ascii="Times New Roman" w:hAnsi="Times New Roman"/>
        </w:rPr>
        <w:t>Internal Revenue Service</w:t>
      </w:r>
    </w:p>
    <w:p w:rsidR="00165A79" w:rsidP="003551CF" w:rsidRDefault="00165A79" w14:paraId="225B7848" w14:textId="76E96E0C">
      <w:pPr>
        <w:tabs>
          <w:tab w:val="center" w:pos="4680"/>
        </w:tabs>
        <w:jc w:val="center"/>
        <w:rPr>
          <w:rFonts w:ascii="Times New Roman" w:hAnsi="Times New Roman"/>
        </w:rPr>
      </w:pPr>
      <w:r w:rsidRPr="00165A79">
        <w:rPr>
          <w:rFonts w:ascii="Times New Roman" w:hAnsi="Times New Roman"/>
        </w:rPr>
        <w:t>Interest Rates and Appropriate Foreign Loss Payment Patterns for Determining the Qualified Insurance Income of Certain Controlled Corporations under Section 954(</w:t>
      </w:r>
      <w:r w:rsidR="00EA5C91">
        <w:rPr>
          <w:rFonts w:ascii="Times New Roman" w:hAnsi="Times New Roman"/>
        </w:rPr>
        <w:t>i</w:t>
      </w:r>
      <w:r w:rsidRPr="00165A79">
        <w:rPr>
          <w:rFonts w:ascii="Times New Roman" w:hAnsi="Times New Roman"/>
        </w:rPr>
        <w:t>)</w:t>
      </w:r>
    </w:p>
    <w:p w:rsidRPr="009F0CB5" w:rsidR="000B6330" w:rsidP="003551CF" w:rsidRDefault="009F0CB5" w14:paraId="33F5B9A5" w14:textId="04B41FC7">
      <w:pPr>
        <w:tabs>
          <w:tab w:val="center" w:pos="4680"/>
        </w:tabs>
        <w:jc w:val="center"/>
        <w:rPr>
          <w:rFonts w:ascii="Times New Roman" w:hAnsi="Times New Roman"/>
        </w:rPr>
      </w:pPr>
      <w:r w:rsidRPr="009F0CB5">
        <w:rPr>
          <w:rFonts w:ascii="Times New Roman" w:hAnsi="Times New Roman"/>
        </w:rPr>
        <w:t xml:space="preserve">OMB# </w:t>
      </w:r>
      <w:r w:rsidRPr="0023085F">
        <w:rPr>
          <w:rFonts w:ascii="Times New Roman" w:hAnsi="Times New Roman"/>
          <w:b/>
          <w:bCs/>
        </w:rPr>
        <w:t>1545-</w:t>
      </w:r>
      <w:r w:rsidR="00165A79">
        <w:rPr>
          <w:rFonts w:ascii="Times New Roman" w:hAnsi="Times New Roman"/>
          <w:b/>
          <w:bCs/>
        </w:rPr>
        <w:t>1799</w:t>
      </w:r>
    </w:p>
    <w:p w:rsidRPr="009F0CB5" w:rsidR="000B6330" w:rsidRDefault="000B6330" w14:paraId="74DFAE41" w14:textId="77777777">
      <w:pPr>
        <w:rPr>
          <w:rFonts w:ascii="Times New Roman" w:hAnsi="Times New Roman"/>
        </w:rPr>
      </w:pPr>
    </w:p>
    <w:p w:rsidRPr="009F0CB5" w:rsidR="000B6330" w:rsidRDefault="000B6330" w14:paraId="442CE01C" w14:textId="77777777">
      <w:pPr>
        <w:tabs>
          <w:tab w:val="left" w:pos="-1440"/>
        </w:tabs>
        <w:ind w:left="720" w:hanging="720"/>
        <w:rPr>
          <w:rFonts w:ascii="Times New Roman" w:hAnsi="Times New Roman"/>
        </w:rPr>
      </w:pPr>
      <w:r w:rsidRPr="009F0CB5">
        <w:rPr>
          <w:rFonts w:ascii="Times New Roman" w:hAnsi="Times New Roman"/>
        </w:rPr>
        <w:t>1.</w:t>
      </w:r>
      <w:r w:rsidRPr="009F0CB5">
        <w:rPr>
          <w:rFonts w:ascii="Times New Roman" w:hAnsi="Times New Roman"/>
        </w:rPr>
        <w:tab/>
      </w:r>
      <w:r w:rsidRPr="009F0CB5">
        <w:rPr>
          <w:rFonts w:ascii="Times New Roman" w:hAnsi="Times New Roman"/>
          <w:u w:val="single"/>
        </w:rPr>
        <w:t>CIRCUMSTANCES NECESSITATING COLLECTION OF INFORMATION</w:t>
      </w:r>
    </w:p>
    <w:p w:rsidRPr="00DB600B" w:rsidR="00DB600B" w:rsidP="00DB600B" w:rsidRDefault="00DB600B" w14:paraId="676EA9F7" w14:textId="77777777">
      <w:pPr>
        <w:ind w:left="720"/>
        <w:rPr>
          <w:rFonts w:ascii="Times New Roman" w:hAnsi="Times New Roman"/>
        </w:rPr>
      </w:pPr>
    </w:p>
    <w:p w:rsidRPr="003551CF" w:rsidR="003551CF" w:rsidP="003551CF" w:rsidRDefault="003551CF" w14:paraId="6F4A29CA" w14:textId="131F643D">
      <w:pPr>
        <w:ind w:left="720"/>
        <w:rPr>
          <w:rFonts w:ascii="Times New Roman" w:hAnsi="Times New Roman"/>
        </w:rPr>
      </w:pPr>
      <w:r w:rsidRPr="003551CF">
        <w:rPr>
          <w:rFonts w:ascii="Times New Roman" w:hAnsi="Times New Roman"/>
        </w:rPr>
        <w:t>In general, a United States shareholder</w:t>
      </w:r>
      <w:r>
        <w:rPr>
          <w:rFonts w:ascii="Times New Roman" w:hAnsi="Times New Roman"/>
        </w:rPr>
        <w:t xml:space="preserve"> </w:t>
      </w:r>
      <w:r w:rsidRPr="003551CF">
        <w:rPr>
          <w:rFonts w:ascii="Times New Roman" w:hAnsi="Times New Roman"/>
        </w:rPr>
        <w:t>of a controlled foreign corporation (“CFC”)</w:t>
      </w:r>
    </w:p>
    <w:p w:rsidRPr="003551CF" w:rsidR="003551CF" w:rsidP="003551CF" w:rsidRDefault="003551CF" w14:paraId="1E7BCF89" w14:textId="2EF73AB5">
      <w:pPr>
        <w:ind w:left="720"/>
        <w:rPr>
          <w:rFonts w:ascii="Times New Roman" w:hAnsi="Times New Roman"/>
        </w:rPr>
      </w:pPr>
      <w:r w:rsidRPr="003551CF">
        <w:rPr>
          <w:rFonts w:ascii="Times New Roman" w:hAnsi="Times New Roman"/>
        </w:rPr>
        <w:t xml:space="preserve">must include in gross income its </w:t>
      </w:r>
      <w:r w:rsidRPr="003551CF">
        <w:rPr>
          <w:rFonts w:ascii="Times New Roman" w:hAnsi="Times New Roman"/>
          <w:i/>
          <w:iCs/>
        </w:rPr>
        <w:t>pro rata</w:t>
      </w:r>
      <w:r>
        <w:rPr>
          <w:rFonts w:ascii="Times New Roman" w:hAnsi="Times New Roman"/>
        </w:rPr>
        <w:t xml:space="preserve"> </w:t>
      </w:r>
      <w:r w:rsidRPr="003551CF">
        <w:rPr>
          <w:rFonts w:ascii="Times New Roman" w:hAnsi="Times New Roman"/>
        </w:rPr>
        <w:t>share of the CFC’s Subpart F income for</w:t>
      </w:r>
    </w:p>
    <w:p w:rsidRPr="003551CF" w:rsidR="003551CF" w:rsidP="003551CF" w:rsidRDefault="003551CF" w14:paraId="2E5A8865" w14:textId="1EE6166A">
      <w:pPr>
        <w:ind w:left="720"/>
        <w:rPr>
          <w:rFonts w:ascii="Times New Roman" w:hAnsi="Times New Roman"/>
        </w:rPr>
      </w:pPr>
      <w:r w:rsidRPr="003551CF">
        <w:rPr>
          <w:rFonts w:ascii="Times New Roman" w:hAnsi="Times New Roman"/>
        </w:rPr>
        <w:t>each year. I.R.C. Sec. 951(a). Subpart F income</w:t>
      </w:r>
      <w:r>
        <w:rPr>
          <w:rFonts w:ascii="Times New Roman" w:hAnsi="Times New Roman"/>
        </w:rPr>
        <w:t xml:space="preserve"> </w:t>
      </w:r>
      <w:r w:rsidRPr="003551CF">
        <w:rPr>
          <w:rFonts w:ascii="Times New Roman" w:hAnsi="Times New Roman"/>
        </w:rPr>
        <w:t>includes, among other types of income,</w:t>
      </w:r>
    </w:p>
    <w:p w:rsidR="00DB600B" w:rsidP="003551CF" w:rsidRDefault="003551CF" w14:paraId="61FEF2F6" w14:textId="62A249BD">
      <w:pPr>
        <w:ind w:left="720"/>
        <w:rPr>
          <w:rFonts w:ascii="Times New Roman" w:hAnsi="Times New Roman"/>
        </w:rPr>
      </w:pPr>
      <w:r w:rsidRPr="003551CF">
        <w:rPr>
          <w:rFonts w:ascii="Times New Roman" w:hAnsi="Times New Roman"/>
        </w:rPr>
        <w:t xml:space="preserve">foreign base company income. </w:t>
      </w:r>
      <w:r>
        <w:rPr>
          <w:rFonts w:ascii="Times New Roman" w:hAnsi="Times New Roman"/>
        </w:rPr>
        <w:t xml:space="preserve"> </w:t>
      </w:r>
      <w:r w:rsidRPr="003551CF">
        <w:rPr>
          <w:rFonts w:ascii="Times New Roman" w:hAnsi="Times New Roman"/>
        </w:rPr>
        <w:t>Section 954(a)(1) defines the term</w:t>
      </w:r>
      <w:r>
        <w:rPr>
          <w:rFonts w:ascii="Times New Roman" w:hAnsi="Times New Roman"/>
        </w:rPr>
        <w:t xml:space="preserve"> </w:t>
      </w:r>
      <w:r w:rsidRPr="003551CF">
        <w:rPr>
          <w:rFonts w:ascii="Times New Roman" w:hAnsi="Times New Roman"/>
        </w:rPr>
        <w:t>“foreign base company income” to include,</w:t>
      </w:r>
      <w:r>
        <w:rPr>
          <w:rFonts w:ascii="Times New Roman" w:hAnsi="Times New Roman"/>
        </w:rPr>
        <w:t xml:space="preserve"> </w:t>
      </w:r>
      <w:r w:rsidRPr="003551CF">
        <w:rPr>
          <w:rFonts w:ascii="Times New Roman" w:hAnsi="Times New Roman"/>
        </w:rPr>
        <w:t>among other types of income, foreign personal</w:t>
      </w:r>
      <w:r>
        <w:rPr>
          <w:rFonts w:ascii="Times New Roman" w:hAnsi="Times New Roman"/>
        </w:rPr>
        <w:t xml:space="preserve"> </w:t>
      </w:r>
      <w:r w:rsidRPr="003551CF">
        <w:rPr>
          <w:rFonts w:ascii="Times New Roman" w:hAnsi="Times New Roman"/>
        </w:rPr>
        <w:t>holding company income. Section</w:t>
      </w:r>
      <w:r>
        <w:rPr>
          <w:rFonts w:ascii="Times New Roman" w:hAnsi="Times New Roman"/>
        </w:rPr>
        <w:t xml:space="preserve"> </w:t>
      </w:r>
      <w:r w:rsidRPr="003551CF">
        <w:rPr>
          <w:rFonts w:ascii="Times New Roman" w:hAnsi="Times New Roman"/>
        </w:rPr>
        <w:t>954(c)(1) sets forth the types of income</w:t>
      </w:r>
      <w:r>
        <w:rPr>
          <w:rFonts w:ascii="Times New Roman" w:hAnsi="Times New Roman"/>
        </w:rPr>
        <w:t xml:space="preserve"> </w:t>
      </w:r>
      <w:r w:rsidRPr="003551CF">
        <w:rPr>
          <w:rFonts w:ascii="Times New Roman" w:hAnsi="Times New Roman"/>
        </w:rPr>
        <w:t>(e.g., interest and dividends) that are considered</w:t>
      </w:r>
      <w:r>
        <w:rPr>
          <w:rFonts w:ascii="Times New Roman" w:hAnsi="Times New Roman"/>
        </w:rPr>
        <w:t xml:space="preserve"> </w:t>
      </w:r>
      <w:r w:rsidRPr="003551CF">
        <w:rPr>
          <w:rFonts w:ascii="Times New Roman" w:hAnsi="Times New Roman"/>
        </w:rPr>
        <w:t>to be foreign personal holding company</w:t>
      </w:r>
      <w:r>
        <w:rPr>
          <w:rFonts w:ascii="Times New Roman" w:hAnsi="Times New Roman"/>
        </w:rPr>
        <w:t xml:space="preserve"> </w:t>
      </w:r>
      <w:r w:rsidRPr="003551CF">
        <w:rPr>
          <w:rFonts w:ascii="Times New Roman" w:hAnsi="Times New Roman"/>
        </w:rPr>
        <w:t>income.</w:t>
      </w:r>
    </w:p>
    <w:p w:rsidRPr="009F0CB5" w:rsidR="003551CF" w:rsidP="003551CF" w:rsidRDefault="003551CF" w14:paraId="5E78BBC9" w14:textId="77777777">
      <w:pPr>
        <w:ind w:left="720"/>
        <w:rPr>
          <w:rFonts w:ascii="Times New Roman" w:hAnsi="Times New Roman"/>
        </w:rPr>
      </w:pPr>
    </w:p>
    <w:p w:rsidR="000B6330" w:rsidP="003551CF" w:rsidRDefault="003551CF" w14:paraId="47415E09" w14:textId="771CCE37">
      <w:pPr>
        <w:ind w:left="720"/>
        <w:rPr>
          <w:rFonts w:ascii="Times New Roman" w:hAnsi="Times New Roman"/>
        </w:rPr>
      </w:pPr>
      <w:r>
        <w:rPr>
          <w:rFonts w:ascii="Times New Roman" w:hAnsi="Times New Roman"/>
        </w:rPr>
        <w:t xml:space="preserve">Notice 2002-69 (2002-43 I.R.B. 730) published October 28, 2002, </w:t>
      </w:r>
      <w:r w:rsidRPr="003551CF">
        <w:rPr>
          <w:rFonts w:ascii="Times New Roman" w:hAnsi="Times New Roman"/>
        </w:rPr>
        <w:t>provides interim guidance for</w:t>
      </w:r>
      <w:r>
        <w:rPr>
          <w:rFonts w:ascii="Times New Roman" w:hAnsi="Times New Roman"/>
        </w:rPr>
        <w:t xml:space="preserve"> </w:t>
      </w:r>
      <w:r w:rsidRPr="003551CF">
        <w:rPr>
          <w:rFonts w:ascii="Times New Roman" w:hAnsi="Times New Roman"/>
        </w:rPr>
        <w:t>determining the interest rates and appropriate</w:t>
      </w:r>
      <w:r>
        <w:rPr>
          <w:rFonts w:ascii="Times New Roman" w:hAnsi="Times New Roman"/>
        </w:rPr>
        <w:t xml:space="preserve"> </w:t>
      </w:r>
      <w:r w:rsidRPr="003551CF">
        <w:rPr>
          <w:rFonts w:ascii="Times New Roman" w:hAnsi="Times New Roman"/>
        </w:rPr>
        <w:t>foreign loss payment patterns to be</w:t>
      </w:r>
      <w:r>
        <w:rPr>
          <w:rFonts w:ascii="Times New Roman" w:hAnsi="Times New Roman"/>
        </w:rPr>
        <w:t xml:space="preserve"> </w:t>
      </w:r>
      <w:r w:rsidRPr="003551CF">
        <w:rPr>
          <w:rFonts w:ascii="Times New Roman" w:hAnsi="Times New Roman"/>
        </w:rPr>
        <w:t>used by controlled foreign corporations in</w:t>
      </w:r>
      <w:r>
        <w:rPr>
          <w:rFonts w:ascii="Times New Roman" w:hAnsi="Times New Roman"/>
        </w:rPr>
        <w:t xml:space="preserve"> </w:t>
      </w:r>
      <w:r w:rsidRPr="003551CF">
        <w:rPr>
          <w:rFonts w:ascii="Times New Roman" w:hAnsi="Times New Roman"/>
        </w:rPr>
        <w:t>calculating their qualified insurance income</w:t>
      </w:r>
      <w:r>
        <w:rPr>
          <w:rFonts w:ascii="Times New Roman" w:hAnsi="Times New Roman"/>
        </w:rPr>
        <w:t xml:space="preserve"> </w:t>
      </w:r>
      <w:r w:rsidRPr="003551CF">
        <w:rPr>
          <w:rFonts w:ascii="Times New Roman" w:hAnsi="Times New Roman"/>
        </w:rPr>
        <w:t>under section 954(i) of the Internal</w:t>
      </w:r>
      <w:r>
        <w:rPr>
          <w:rFonts w:ascii="Times New Roman" w:hAnsi="Times New Roman"/>
        </w:rPr>
        <w:t xml:space="preserve"> </w:t>
      </w:r>
      <w:r w:rsidRPr="003551CF">
        <w:rPr>
          <w:rFonts w:ascii="Times New Roman" w:hAnsi="Times New Roman"/>
        </w:rPr>
        <w:t>Revenue Code.</w:t>
      </w:r>
    </w:p>
    <w:p w:rsidRPr="009F0CB5" w:rsidR="003551CF" w:rsidP="003551CF" w:rsidRDefault="003551CF" w14:paraId="4249C46B" w14:textId="77777777">
      <w:pPr>
        <w:rPr>
          <w:rFonts w:ascii="Times New Roman" w:hAnsi="Times New Roman"/>
        </w:rPr>
      </w:pPr>
    </w:p>
    <w:p w:rsidRPr="009F0CB5" w:rsidR="000B6330" w:rsidRDefault="000B6330" w14:paraId="31C168B2" w14:textId="77777777">
      <w:pPr>
        <w:tabs>
          <w:tab w:val="left" w:pos="-1440"/>
        </w:tabs>
        <w:ind w:left="720" w:hanging="720"/>
        <w:rPr>
          <w:rFonts w:ascii="Times New Roman" w:hAnsi="Times New Roman"/>
        </w:rPr>
      </w:pPr>
      <w:r w:rsidRPr="009F0CB5">
        <w:rPr>
          <w:rFonts w:ascii="Times New Roman" w:hAnsi="Times New Roman"/>
        </w:rPr>
        <w:t>2.</w:t>
      </w:r>
      <w:r w:rsidRPr="009F0CB5">
        <w:rPr>
          <w:rFonts w:ascii="Times New Roman" w:hAnsi="Times New Roman"/>
        </w:rPr>
        <w:tab/>
      </w:r>
      <w:r w:rsidRPr="009F0CB5">
        <w:rPr>
          <w:rFonts w:ascii="Times New Roman" w:hAnsi="Times New Roman"/>
          <w:u w:val="single"/>
        </w:rPr>
        <w:t>USE OF DATA</w:t>
      </w:r>
      <w:r w:rsidRPr="009F0CB5">
        <w:rPr>
          <w:rFonts w:ascii="Times New Roman" w:hAnsi="Times New Roman"/>
        </w:rPr>
        <w:t xml:space="preserve">              </w:t>
      </w:r>
    </w:p>
    <w:p w:rsidRPr="009F0CB5" w:rsidR="000B6330" w:rsidRDefault="000B6330" w14:paraId="63DA3DF1" w14:textId="77777777">
      <w:pPr>
        <w:rPr>
          <w:rFonts w:ascii="Times New Roman" w:hAnsi="Times New Roman"/>
        </w:rPr>
      </w:pPr>
    </w:p>
    <w:p w:rsidRPr="00682D2B" w:rsidR="000B6330" w:rsidP="00263F22" w:rsidRDefault="00263F22" w14:paraId="4CA70352" w14:textId="6AE5CA33">
      <w:pPr>
        <w:ind w:left="720"/>
        <w:rPr>
          <w:rFonts w:ascii="Times New Roman" w:hAnsi="Times New Roman"/>
        </w:rPr>
      </w:pPr>
      <w:r w:rsidRPr="00263F22">
        <w:rPr>
          <w:rFonts w:ascii="Times New Roman" w:hAnsi="Times New Roman"/>
        </w:rPr>
        <w:t>This information is required</w:t>
      </w:r>
      <w:r>
        <w:rPr>
          <w:rFonts w:ascii="Times New Roman" w:hAnsi="Times New Roman"/>
        </w:rPr>
        <w:t xml:space="preserve"> </w:t>
      </w:r>
      <w:r w:rsidRPr="00263F22">
        <w:rPr>
          <w:rFonts w:ascii="Times New Roman" w:hAnsi="Times New Roman"/>
        </w:rPr>
        <w:t>by the IRS to determine whether a</w:t>
      </w:r>
      <w:r>
        <w:rPr>
          <w:rFonts w:ascii="Times New Roman" w:hAnsi="Times New Roman"/>
        </w:rPr>
        <w:t xml:space="preserve"> </w:t>
      </w:r>
      <w:r w:rsidR="00B42650">
        <w:rPr>
          <w:rFonts w:ascii="Times New Roman" w:hAnsi="Times New Roman"/>
        </w:rPr>
        <w:t>qualified insurance company or qualified insurance company branch (collectively referred to as a “</w:t>
      </w:r>
      <w:r w:rsidRPr="00263F22">
        <w:rPr>
          <w:rFonts w:ascii="Times New Roman" w:hAnsi="Times New Roman"/>
        </w:rPr>
        <w:t>QIC</w:t>
      </w:r>
      <w:r w:rsidR="00B42650">
        <w:rPr>
          <w:rFonts w:ascii="Times New Roman" w:hAnsi="Times New Roman"/>
        </w:rPr>
        <w:t>”)</w:t>
      </w:r>
      <w:r w:rsidRPr="00263F22">
        <w:rPr>
          <w:rFonts w:ascii="Times New Roman" w:hAnsi="Times New Roman"/>
        </w:rPr>
        <w:t xml:space="preserve"> is allowed to determine its income by</w:t>
      </w:r>
      <w:r>
        <w:rPr>
          <w:rFonts w:ascii="Times New Roman" w:hAnsi="Times New Roman"/>
        </w:rPr>
        <w:t xml:space="preserve"> </w:t>
      </w:r>
      <w:r w:rsidRPr="00263F22">
        <w:rPr>
          <w:rFonts w:ascii="Times New Roman" w:hAnsi="Times New Roman"/>
        </w:rPr>
        <w:t>using its own payment pattern data for a</w:t>
      </w:r>
      <w:r>
        <w:rPr>
          <w:rFonts w:ascii="Times New Roman" w:hAnsi="Times New Roman"/>
        </w:rPr>
        <w:t xml:space="preserve"> </w:t>
      </w:r>
      <w:r w:rsidRPr="00263F22">
        <w:rPr>
          <w:rFonts w:ascii="Times New Roman" w:hAnsi="Times New Roman"/>
        </w:rPr>
        <w:t xml:space="preserve">particular line of business. </w:t>
      </w:r>
      <w:bookmarkStart w:name="_Hlk80178648" w:id="0"/>
      <w:r w:rsidRPr="00263F22">
        <w:rPr>
          <w:rFonts w:ascii="Times New Roman" w:hAnsi="Times New Roman"/>
        </w:rPr>
        <w:t>The information</w:t>
      </w:r>
      <w:r>
        <w:rPr>
          <w:rFonts w:ascii="Times New Roman" w:hAnsi="Times New Roman"/>
        </w:rPr>
        <w:t xml:space="preserve"> </w:t>
      </w:r>
      <w:r w:rsidRPr="00263F22">
        <w:rPr>
          <w:rFonts w:ascii="Times New Roman" w:hAnsi="Times New Roman"/>
        </w:rPr>
        <w:t>will be used on examination to determine</w:t>
      </w:r>
      <w:r>
        <w:rPr>
          <w:rFonts w:ascii="Times New Roman" w:hAnsi="Times New Roman"/>
        </w:rPr>
        <w:t xml:space="preserve"> </w:t>
      </w:r>
      <w:r w:rsidRPr="00263F22">
        <w:rPr>
          <w:rFonts w:ascii="Times New Roman" w:hAnsi="Times New Roman"/>
        </w:rPr>
        <w:t>whether a QIC is calculating its</w:t>
      </w:r>
      <w:r>
        <w:rPr>
          <w:rFonts w:ascii="Times New Roman" w:hAnsi="Times New Roman"/>
        </w:rPr>
        <w:t xml:space="preserve"> </w:t>
      </w:r>
      <w:r w:rsidRPr="00263F22">
        <w:rPr>
          <w:rFonts w:ascii="Times New Roman" w:hAnsi="Times New Roman"/>
        </w:rPr>
        <w:t>foreign loss payment patterns correctly</w:t>
      </w:r>
      <w:r w:rsidRPr="00AD6D14" w:rsidR="00AD6D14">
        <w:rPr>
          <w:rFonts w:ascii="Times New Roman" w:hAnsi="Times New Roman"/>
        </w:rPr>
        <w:t>.</w:t>
      </w:r>
    </w:p>
    <w:bookmarkEnd w:id="0"/>
    <w:p w:rsidR="00063D00" w:rsidRDefault="00063D00" w14:paraId="49D8F828" w14:textId="77777777">
      <w:pPr>
        <w:ind w:left="720"/>
        <w:rPr>
          <w:rFonts w:ascii="Times New Roman" w:hAnsi="Times New Roman"/>
        </w:rPr>
      </w:pPr>
    </w:p>
    <w:p w:rsidRPr="009F0CB5" w:rsidR="00682D2B" w:rsidRDefault="00682D2B" w14:paraId="3E374F4F" w14:textId="1FC0FDE5">
      <w:pPr>
        <w:ind w:left="720"/>
        <w:rPr>
          <w:rFonts w:ascii="Times New Roman" w:hAnsi="Times New Roman"/>
        </w:rPr>
        <w:sectPr w:rsidRPr="009F0CB5" w:rsidR="00682D2B">
          <w:pgSz w:w="12240" w:h="15840"/>
          <w:pgMar w:top="1440" w:right="1440" w:bottom="1440" w:left="1440" w:header="1440" w:footer="1440" w:gutter="0"/>
          <w:cols w:space="720"/>
          <w:noEndnote/>
        </w:sectPr>
      </w:pPr>
    </w:p>
    <w:p w:rsidRPr="009F0CB5" w:rsidR="000B6330" w:rsidRDefault="000B6330" w14:paraId="6AEA6077" w14:textId="77777777">
      <w:pPr>
        <w:tabs>
          <w:tab w:val="left" w:pos="-1440"/>
        </w:tabs>
        <w:ind w:left="720" w:hanging="720"/>
        <w:rPr>
          <w:rFonts w:ascii="Times New Roman" w:hAnsi="Times New Roman"/>
        </w:rPr>
      </w:pPr>
      <w:r w:rsidRPr="009F0CB5">
        <w:rPr>
          <w:rFonts w:ascii="Times New Roman" w:hAnsi="Times New Roman"/>
        </w:rPr>
        <w:t>3.</w:t>
      </w:r>
      <w:r w:rsidRPr="009F0CB5">
        <w:rPr>
          <w:rFonts w:ascii="Times New Roman" w:hAnsi="Times New Roman"/>
        </w:rPr>
        <w:tab/>
      </w:r>
      <w:r w:rsidRPr="009F0CB5">
        <w:rPr>
          <w:rFonts w:ascii="Times New Roman" w:hAnsi="Times New Roman"/>
          <w:u w:val="single"/>
        </w:rPr>
        <w:t>USE OF IMPROVED INFORMATION TECHNOLOGY TO REDUCE BURDEN</w:t>
      </w:r>
    </w:p>
    <w:p w:rsidRPr="009F0CB5" w:rsidR="000B6330" w:rsidRDefault="000B6330" w14:paraId="3C839C1C" w14:textId="77777777">
      <w:pPr>
        <w:rPr>
          <w:rFonts w:ascii="Times New Roman" w:hAnsi="Times New Roman"/>
        </w:rPr>
      </w:pPr>
    </w:p>
    <w:p w:rsidRPr="009F0CB5" w:rsidR="000B6330" w:rsidRDefault="00962AEC" w14:paraId="2008A0C9" w14:textId="77777777">
      <w:pPr>
        <w:ind w:left="720"/>
        <w:rPr>
          <w:rFonts w:ascii="Times New Roman" w:hAnsi="Times New Roman"/>
        </w:rPr>
      </w:pPr>
      <w:bookmarkStart w:name="_Hlk504984057" w:id="1"/>
      <w:r w:rsidRPr="00962AEC">
        <w:rPr>
          <w:rFonts w:ascii="Times New Roman" w:hAnsi="Times New Roman"/>
        </w:rPr>
        <w:t>IRS Publications, Regulations, Notices and Letters are to be electronically enabled on an as practicable basis in accordance with the IRS Reform and Restructuring Act of 1998.</w:t>
      </w:r>
      <w:r>
        <w:rPr>
          <w:rFonts w:ascii="Times New Roman" w:hAnsi="Times New Roman"/>
        </w:rPr>
        <w:t xml:space="preserve">  </w:t>
      </w:r>
      <w:r w:rsidRPr="009F0CB5" w:rsidR="000B6330">
        <w:rPr>
          <w:rFonts w:ascii="Times New Roman" w:hAnsi="Times New Roman"/>
        </w:rPr>
        <w:t>There are no plans to provide electronic filing because electronic filing is not appropriate for the collection of information in this submission</w:t>
      </w:r>
      <w:r w:rsidRPr="009F0CB5" w:rsidR="00AD5EF7">
        <w:rPr>
          <w:rFonts w:ascii="Times New Roman" w:hAnsi="Times New Roman"/>
        </w:rPr>
        <w:t xml:space="preserve"> due to the requirement to attach the document of record</w:t>
      </w:r>
      <w:r w:rsidRPr="009F0CB5" w:rsidR="000B6330">
        <w:rPr>
          <w:rFonts w:ascii="Times New Roman" w:hAnsi="Times New Roman"/>
        </w:rPr>
        <w:t>.</w:t>
      </w:r>
    </w:p>
    <w:bookmarkEnd w:id="1"/>
    <w:p w:rsidRPr="009F0CB5" w:rsidR="000B6330" w:rsidRDefault="000B6330" w14:paraId="060D04DB" w14:textId="77777777">
      <w:pPr>
        <w:rPr>
          <w:rFonts w:ascii="Times New Roman" w:hAnsi="Times New Roman"/>
        </w:rPr>
      </w:pPr>
    </w:p>
    <w:p w:rsidRPr="009F0CB5" w:rsidR="000B6330" w:rsidRDefault="000B6330" w14:paraId="3C800420" w14:textId="77777777">
      <w:pPr>
        <w:tabs>
          <w:tab w:val="left" w:pos="-1440"/>
        </w:tabs>
        <w:ind w:left="720" w:hanging="720"/>
        <w:rPr>
          <w:rFonts w:ascii="Times New Roman" w:hAnsi="Times New Roman"/>
        </w:rPr>
      </w:pPr>
      <w:r w:rsidRPr="009F0CB5">
        <w:rPr>
          <w:rFonts w:ascii="Times New Roman" w:hAnsi="Times New Roman"/>
        </w:rPr>
        <w:t>4.</w:t>
      </w:r>
      <w:r w:rsidRPr="009F0CB5">
        <w:rPr>
          <w:rFonts w:ascii="Times New Roman" w:hAnsi="Times New Roman"/>
        </w:rPr>
        <w:tab/>
      </w:r>
      <w:r w:rsidRPr="009F0CB5">
        <w:rPr>
          <w:rFonts w:ascii="Times New Roman" w:hAnsi="Times New Roman"/>
          <w:u w:val="single"/>
        </w:rPr>
        <w:t>EFFORTS TO IDENTIFY DUPLICATION</w:t>
      </w:r>
    </w:p>
    <w:p w:rsidRPr="009F0CB5" w:rsidR="000B6330" w:rsidRDefault="000B6330" w14:paraId="162B0CCE" w14:textId="77777777">
      <w:pPr>
        <w:rPr>
          <w:rFonts w:ascii="Times New Roman" w:hAnsi="Times New Roman"/>
        </w:rPr>
      </w:pPr>
    </w:p>
    <w:p w:rsidRPr="009F0CB5" w:rsidR="001B0514" w:rsidRDefault="001B0514" w14:paraId="0C96F1C3"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Pr="009F0CB5" w:rsidR="00AD6D14" w:rsidP="00140C82" w:rsidRDefault="001B0514" w14:paraId="5E39F78E" w14:textId="5B189612">
      <w:pPr>
        <w:ind w:left="720"/>
        <w:rPr>
          <w:rFonts w:ascii="Times New Roman" w:hAnsi="Times New Roman"/>
        </w:rPr>
      </w:pPr>
      <w:r w:rsidRPr="009F0CB5">
        <w:rPr>
          <w:rFonts w:ascii="Times New Roman" w:hAnsi="Times New Roman"/>
        </w:rPr>
        <w:t xml:space="preserve"> </w:t>
      </w:r>
    </w:p>
    <w:p w:rsidRPr="009F0CB5" w:rsidR="000B6330" w:rsidRDefault="000B6330" w14:paraId="549DC0A8" w14:textId="77777777">
      <w:pPr>
        <w:tabs>
          <w:tab w:val="left" w:pos="-1440"/>
        </w:tabs>
        <w:ind w:left="720" w:hanging="720"/>
        <w:rPr>
          <w:rFonts w:ascii="Times New Roman" w:hAnsi="Times New Roman"/>
        </w:rPr>
      </w:pPr>
      <w:r w:rsidRPr="009F0CB5">
        <w:rPr>
          <w:rFonts w:ascii="Times New Roman" w:hAnsi="Times New Roman"/>
        </w:rPr>
        <w:t>5.</w:t>
      </w:r>
      <w:r w:rsidRPr="009F0CB5">
        <w:rPr>
          <w:rFonts w:ascii="Times New Roman" w:hAnsi="Times New Roman"/>
        </w:rPr>
        <w:tab/>
      </w:r>
      <w:r w:rsidRPr="009F0CB5">
        <w:rPr>
          <w:rFonts w:ascii="Times New Roman" w:hAnsi="Times New Roman"/>
          <w:u w:val="single"/>
        </w:rPr>
        <w:t>METHODS TO MINIMIZE BURDEN ON SMALL BUSINESSES OR OTHER</w:t>
      </w:r>
      <w:r w:rsidRPr="009F0CB5" w:rsidR="00AD5EF7">
        <w:rPr>
          <w:rFonts w:ascii="Times New Roman" w:hAnsi="Times New Roman"/>
          <w:u w:val="single"/>
        </w:rPr>
        <w:t xml:space="preserve"> </w:t>
      </w:r>
      <w:r w:rsidRPr="009F0CB5">
        <w:rPr>
          <w:rFonts w:ascii="Times New Roman" w:hAnsi="Times New Roman"/>
          <w:u w:val="single"/>
        </w:rPr>
        <w:t>SMALL ENTITIES</w:t>
      </w:r>
    </w:p>
    <w:p w:rsidRPr="009F0CB5" w:rsidR="000B6330" w:rsidRDefault="000B6330" w14:paraId="42F4CC7D" w14:textId="77777777">
      <w:pPr>
        <w:rPr>
          <w:rFonts w:ascii="Times New Roman" w:hAnsi="Times New Roman"/>
        </w:rPr>
      </w:pPr>
    </w:p>
    <w:p w:rsidRPr="009F0CB5" w:rsidR="000B6330" w:rsidP="00962AEC" w:rsidRDefault="00962AEC" w14:paraId="4455C0FC" w14:textId="77777777">
      <w:pPr>
        <w:ind w:left="720"/>
        <w:rPr>
          <w:rFonts w:ascii="Times New Roman" w:hAnsi="Times New Roman"/>
        </w:rPr>
      </w:pPr>
      <w:r w:rsidRPr="00962AEC">
        <w:rPr>
          <w:rFonts w:ascii="Times New Roman" w:hAnsi="Times New Roman"/>
        </w:rPr>
        <w:t xml:space="preserve">The collection of information requirement will not have a significant economic impact on </w:t>
      </w:r>
      <w:r w:rsidRPr="00962AEC">
        <w:rPr>
          <w:rFonts w:ascii="Times New Roman" w:hAnsi="Times New Roman"/>
        </w:rPr>
        <w:lastRenderedPageBreak/>
        <w:t>a substantial number of small entities</w:t>
      </w:r>
      <w:r w:rsidRPr="009F0CB5" w:rsidR="001B0514">
        <w:rPr>
          <w:rFonts w:ascii="Times New Roman" w:hAnsi="Times New Roman"/>
        </w:rPr>
        <w:t>.</w:t>
      </w:r>
      <w:r>
        <w:rPr>
          <w:rFonts w:ascii="Times New Roman" w:hAnsi="Times New Roman"/>
        </w:rPr>
        <w:t xml:space="preserve">  </w:t>
      </w:r>
      <w:r w:rsidRPr="009F0CB5" w:rsidR="001B0514">
        <w:rPr>
          <w:rFonts w:ascii="Times New Roman" w:hAnsi="Times New Roman"/>
        </w:rPr>
        <w:t xml:space="preserve"> </w:t>
      </w:r>
    </w:p>
    <w:p w:rsidRPr="009F0CB5" w:rsidR="000B6330" w:rsidRDefault="000B6330" w14:paraId="28D95AC4" w14:textId="77777777">
      <w:pPr>
        <w:rPr>
          <w:rFonts w:ascii="Times New Roman" w:hAnsi="Times New Roman"/>
        </w:rPr>
      </w:pPr>
    </w:p>
    <w:p w:rsidRPr="009F0CB5" w:rsidR="000B6330" w:rsidRDefault="000B6330" w14:paraId="357BD52A" w14:textId="77777777">
      <w:pPr>
        <w:tabs>
          <w:tab w:val="left" w:pos="-1440"/>
        </w:tabs>
        <w:ind w:left="720" w:hanging="720"/>
        <w:rPr>
          <w:rFonts w:ascii="Times New Roman" w:hAnsi="Times New Roman"/>
        </w:rPr>
      </w:pPr>
      <w:r w:rsidRPr="009F0CB5">
        <w:rPr>
          <w:rFonts w:ascii="Times New Roman" w:hAnsi="Times New Roman"/>
        </w:rPr>
        <w:t>6.</w:t>
      </w:r>
      <w:r w:rsidRPr="009F0CB5">
        <w:rPr>
          <w:rFonts w:ascii="Times New Roman" w:hAnsi="Times New Roman"/>
        </w:rPr>
        <w:tab/>
      </w:r>
      <w:r w:rsidRPr="009F0CB5">
        <w:rPr>
          <w:rFonts w:ascii="Times New Roman" w:hAnsi="Times New Roman"/>
          <w:u w:val="single"/>
        </w:rPr>
        <w:t>CONSEQUENCES OF LESS FREQUENT COLLECTION ON FEDERAL PROGRAMS OR POLICY ACTIVITIES</w:t>
      </w:r>
    </w:p>
    <w:p w:rsidRPr="009F0CB5" w:rsidR="000B6330" w:rsidRDefault="000B6330" w14:paraId="6AAD7C6E" w14:textId="77777777">
      <w:pPr>
        <w:rPr>
          <w:rFonts w:ascii="Times New Roman" w:hAnsi="Times New Roman"/>
        </w:rPr>
      </w:pPr>
    </w:p>
    <w:p w:rsidRPr="009F0CB5" w:rsidR="000B6330" w:rsidP="001B0514" w:rsidRDefault="00263F22" w14:paraId="1C8B6F70" w14:textId="4E2B8D2A">
      <w:pPr>
        <w:ind w:left="720"/>
        <w:rPr>
          <w:rFonts w:ascii="Times New Roman" w:hAnsi="Times New Roman"/>
        </w:rPr>
      </w:pPr>
      <w:r w:rsidRPr="00263F22">
        <w:rPr>
          <w:rFonts w:ascii="Times New Roman" w:hAnsi="Times New Roman"/>
        </w:rPr>
        <w:t>The information will be used on examination to determine whether a QIC is calculating its foreign loss payment patterns correctly</w:t>
      </w:r>
      <w:r w:rsidRPr="009F0CB5" w:rsidR="001B0514">
        <w:rPr>
          <w:rFonts w:ascii="Times New Roman" w:hAnsi="Times New Roman"/>
        </w:rPr>
        <w:t xml:space="preserve">. A less frequent collection </w:t>
      </w:r>
      <w:r w:rsidR="00AD6D14">
        <w:rPr>
          <w:rFonts w:ascii="Times New Roman" w:hAnsi="Times New Roman"/>
        </w:rPr>
        <w:t xml:space="preserve">could affect </w:t>
      </w:r>
      <w:r w:rsidRPr="00AD6D14" w:rsidR="00AD6D14">
        <w:rPr>
          <w:rFonts w:ascii="Times New Roman" w:hAnsi="Times New Roman"/>
        </w:rPr>
        <w:t xml:space="preserve">federal programs or policy activities </w:t>
      </w:r>
      <w:r w:rsidR="00AD6D14">
        <w:rPr>
          <w:rFonts w:ascii="Times New Roman" w:hAnsi="Times New Roman"/>
        </w:rPr>
        <w:t xml:space="preserve">and </w:t>
      </w:r>
      <w:r w:rsidRPr="00AD6D14" w:rsidR="00AD6D14">
        <w:rPr>
          <w:rFonts w:ascii="Times New Roman" w:hAnsi="Times New Roman"/>
        </w:rPr>
        <w:t>result in an increase of significant hardships</w:t>
      </w:r>
      <w:r w:rsidR="00AD6D14">
        <w:rPr>
          <w:rFonts w:ascii="Times New Roman" w:hAnsi="Times New Roman"/>
        </w:rPr>
        <w:t xml:space="preserve"> on taxpayers.  </w:t>
      </w:r>
      <w:r w:rsidRPr="00AD6D14" w:rsidR="00AD6D14">
        <w:rPr>
          <w:rFonts w:ascii="Times New Roman" w:hAnsi="Times New Roman"/>
        </w:rPr>
        <w:t xml:space="preserve"> </w:t>
      </w:r>
    </w:p>
    <w:p w:rsidRPr="009F0CB5" w:rsidR="000B6330" w:rsidRDefault="000B6330" w14:paraId="2C3EEF9C" w14:textId="77777777">
      <w:pPr>
        <w:rPr>
          <w:rFonts w:ascii="Times New Roman" w:hAnsi="Times New Roman"/>
        </w:rPr>
      </w:pPr>
    </w:p>
    <w:p w:rsidRPr="009F0CB5" w:rsidR="000B6330" w:rsidRDefault="000B6330" w14:paraId="057AF7EF" w14:textId="77777777">
      <w:pPr>
        <w:tabs>
          <w:tab w:val="left" w:pos="-1440"/>
        </w:tabs>
        <w:ind w:left="720" w:hanging="720"/>
        <w:rPr>
          <w:rFonts w:ascii="Times New Roman" w:hAnsi="Times New Roman"/>
        </w:rPr>
      </w:pPr>
      <w:r w:rsidRPr="009F0CB5">
        <w:rPr>
          <w:rFonts w:ascii="Times New Roman" w:hAnsi="Times New Roman"/>
        </w:rPr>
        <w:t>7.</w:t>
      </w:r>
      <w:r w:rsidRPr="009F0CB5">
        <w:rPr>
          <w:rFonts w:ascii="Times New Roman" w:hAnsi="Times New Roman"/>
        </w:rPr>
        <w:tab/>
      </w:r>
      <w:r w:rsidRPr="009F0CB5">
        <w:rPr>
          <w:rFonts w:ascii="Times New Roman" w:hAnsi="Times New Roman"/>
          <w:u w:val="single"/>
        </w:rPr>
        <w:t>SPECIAL CIRCUMSTANCES REQUIRING DATA COLLECTION TO BE</w:t>
      </w:r>
      <w:r w:rsidRPr="009F0CB5" w:rsidR="00AD5EF7">
        <w:rPr>
          <w:rFonts w:ascii="Times New Roman" w:hAnsi="Times New Roman"/>
          <w:u w:val="single"/>
        </w:rPr>
        <w:t xml:space="preserve"> </w:t>
      </w:r>
      <w:r w:rsidRPr="009F0CB5">
        <w:rPr>
          <w:rFonts w:ascii="Times New Roman" w:hAnsi="Times New Roman"/>
          <w:u w:val="single"/>
        </w:rPr>
        <w:t>INCONSISTENT WITH GUIDELINES IN 5 CFR 1320.5(d)(2)</w:t>
      </w:r>
    </w:p>
    <w:p w:rsidRPr="009F0CB5" w:rsidR="000B6330" w:rsidRDefault="000B6330" w14:paraId="59865182" w14:textId="77777777">
      <w:pPr>
        <w:rPr>
          <w:rFonts w:ascii="Times New Roman" w:hAnsi="Times New Roman"/>
        </w:rPr>
      </w:pPr>
    </w:p>
    <w:p w:rsidRPr="009F0CB5" w:rsidR="000B6330" w:rsidP="00140C82" w:rsidRDefault="001B0514" w14:paraId="10F1BF39" w14:textId="77777777">
      <w:pPr>
        <w:ind w:left="720"/>
        <w:jc w:val="both"/>
        <w:rPr>
          <w:rFonts w:ascii="Times New Roman" w:hAnsi="Times New Roman"/>
        </w:rPr>
      </w:pPr>
      <w:r w:rsidRPr="009F0CB5">
        <w:rPr>
          <w:rFonts w:ascii="Times New Roman" w:hAnsi="Times New Roman"/>
        </w:rPr>
        <w:t xml:space="preserve">There are no special circumstances requiring data collection to be inconsistent with guidelines in 5 CFR 1320.5(d)(2).  </w:t>
      </w:r>
    </w:p>
    <w:p w:rsidRPr="009F0CB5" w:rsidR="000B6330" w:rsidRDefault="000B6330" w14:paraId="25419CC4" w14:textId="77777777">
      <w:pPr>
        <w:rPr>
          <w:rFonts w:ascii="Times New Roman" w:hAnsi="Times New Roman"/>
        </w:rPr>
      </w:pPr>
    </w:p>
    <w:p w:rsidRPr="009F0CB5" w:rsidR="000B6330" w:rsidRDefault="000B6330" w14:paraId="6127C160" w14:textId="77777777">
      <w:pPr>
        <w:tabs>
          <w:tab w:val="left" w:pos="-1440"/>
        </w:tabs>
        <w:ind w:left="720" w:hanging="720"/>
        <w:rPr>
          <w:rFonts w:ascii="Times New Roman" w:hAnsi="Times New Roman"/>
        </w:rPr>
      </w:pPr>
      <w:r w:rsidRPr="009F0CB5">
        <w:rPr>
          <w:rFonts w:ascii="Times New Roman" w:hAnsi="Times New Roman"/>
        </w:rPr>
        <w:t>8.</w:t>
      </w:r>
      <w:r w:rsidRPr="009F0CB5">
        <w:rPr>
          <w:rFonts w:ascii="Times New Roman" w:hAnsi="Times New Roman"/>
        </w:rPr>
        <w:tab/>
      </w:r>
      <w:r w:rsidRPr="009F0CB5">
        <w:rPr>
          <w:rFonts w:ascii="Times New Roman" w:hAnsi="Times New Roman"/>
          <w:u w:val="single"/>
        </w:rPr>
        <w:t>CONSULTATION WITH INDIVIDUALS OUTSIDE OF THE AGENCY ON</w:t>
      </w:r>
      <w:r w:rsidRPr="009F0CB5" w:rsidR="00AD5EF7">
        <w:rPr>
          <w:rFonts w:ascii="Times New Roman" w:hAnsi="Times New Roman"/>
          <w:u w:val="single"/>
        </w:rPr>
        <w:t xml:space="preserve"> </w:t>
      </w:r>
      <w:r w:rsidRPr="009F0CB5">
        <w:rPr>
          <w:rFonts w:ascii="Times New Roman" w:hAnsi="Times New Roman"/>
          <w:u w:val="single"/>
        </w:rPr>
        <w:t>AVAILABILITY OF DATA, FREQUENCY OF COLLECTION, CLARITY OF INSTRUCTIONS AND FORMS, AND DATA ELEMENTS</w:t>
      </w:r>
    </w:p>
    <w:p w:rsidRPr="009F0CB5" w:rsidR="000B6330" w:rsidRDefault="000B6330" w14:paraId="4D32663A" w14:textId="77777777">
      <w:pPr>
        <w:rPr>
          <w:rFonts w:ascii="Times New Roman" w:hAnsi="Times New Roman"/>
        </w:rPr>
      </w:pPr>
    </w:p>
    <w:p w:rsidR="00140C82" w:rsidP="00BE45C2" w:rsidRDefault="00962AEC" w14:paraId="593ED4FC" w14:textId="711073BB">
      <w:pPr>
        <w:ind w:left="720"/>
        <w:rPr>
          <w:rFonts w:ascii="Times New Roman" w:hAnsi="Times New Roman"/>
        </w:rPr>
      </w:pPr>
      <w:r w:rsidRPr="00962AEC">
        <w:rPr>
          <w:rFonts w:ascii="Times New Roman" w:hAnsi="Times New Roman"/>
        </w:rPr>
        <w:t xml:space="preserve">In response to the Federal Register notice dated </w:t>
      </w:r>
      <w:r w:rsidR="007B32B2">
        <w:rPr>
          <w:rFonts w:ascii="Times New Roman" w:hAnsi="Times New Roman"/>
        </w:rPr>
        <w:t>September</w:t>
      </w:r>
      <w:r w:rsidR="00682D2B">
        <w:rPr>
          <w:rFonts w:ascii="Times New Roman" w:hAnsi="Times New Roman"/>
        </w:rPr>
        <w:t xml:space="preserve"> </w:t>
      </w:r>
      <w:r w:rsidR="007B32B2">
        <w:rPr>
          <w:rFonts w:ascii="Times New Roman" w:hAnsi="Times New Roman"/>
        </w:rPr>
        <w:t>14</w:t>
      </w:r>
      <w:r w:rsidR="00682D2B">
        <w:rPr>
          <w:rFonts w:ascii="Times New Roman" w:hAnsi="Times New Roman"/>
        </w:rPr>
        <w:t>,</w:t>
      </w:r>
      <w:r w:rsidR="007B32B2">
        <w:rPr>
          <w:rFonts w:ascii="Times New Roman" w:hAnsi="Times New Roman"/>
        </w:rPr>
        <w:t xml:space="preserve"> 2021</w:t>
      </w:r>
      <w:r w:rsidRPr="00962AEC">
        <w:rPr>
          <w:rFonts w:ascii="Times New Roman" w:hAnsi="Times New Roman"/>
        </w:rPr>
        <w:t xml:space="preserve"> (</w:t>
      </w:r>
      <w:r w:rsidR="00682D2B">
        <w:rPr>
          <w:rFonts w:ascii="Times New Roman" w:hAnsi="Times New Roman"/>
        </w:rPr>
        <w:t>86</w:t>
      </w:r>
      <w:r w:rsidRPr="00962AEC">
        <w:rPr>
          <w:rFonts w:ascii="Times New Roman" w:hAnsi="Times New Roman"/>
        </w:rPr>
        <w:t xml:space="preserve"> FR </w:t>
      </w:r>
      <w:r w:rsidR="007B32B2">
        <w:rPr>
          <w:rFonts w:ascii="Times New Roman" w:hAnsi="Times New Roman"/>
        </w:rPr>
        <w:t>51225</w:t>
      </w:r>
      <w:r w:rsidRPr="00962AEC">
        <w:rPr>
          <w:rFonts w:ascii="Times New Roman" w:hAnsi="Times New Roman"/>
        </w:rPr>
        <w:t xml:space="preserve">), we received </w:t>
      </w:r>
      <w:r w:rsidR="00BE45C2">
        <w:rPr>
          <w:rFonts w:ascii="Times New Roman" w:hAnsi="Times New Roman"/>
        </w:rPr>
        <w:t>one</w:t>
      </w:r>
      <w:r w:rsidRPr="00962AEC">
        <w:rPr>
          <w:rFonts w:ascii="Times New Roman" w:hAnsi="Times New Roman"/>
        </w:rPr>
        <w:t xml:space="preserve"> comment</w:t>
      </w:r>
      <w:r w:rsidR="00BE45C2">
        <w:rPr>
          <w:rFonts w:ascii="Times New Roman" w:hAnsi="Times New Roman"/>
        </w:rPr>
        <w:t xml:space="preserve"> letter.  </w:t>
      </w:r>
      <w:bookmarkStart w:name="_Hlk90405829" w:id="2"/>
      <w:r w:rsidR="00FA63CE">
        <w:rPr>
          <w:rFonts w:ascii="Times New Roman" w:hAnsi="Times New Roman"/>
        </w:rPr>
        <w:t>The comment letter was forwarded to the appropriate counsel office for consideration, review, and response.  It was determined t</w:t>
      </w:r>
      <w:r w:rsidR="00744426">
        <w:rPr>
          <w:rFonts w:ascii="Times New Roman" w:hAnsi="Times New Roman"/>
        </w:rPr>
        <w:t xml:space="preserve">hat letter generally describes proposals for </w:t>
      </w:r>
      <w:r w:rsidR="008C498A">
        <w:rPr>
          <w:rFonts w:ascii="Times New Roman" w:hAnsi="Times New Roman"/>
        </w:rPr>
        <w:t>modifying</w:t>
      </w:r>
      <w:r w:rsidR="00744426">
        <w:rPr>
          <w:rFonts w:ascii="Times New Roman" w:hAnsi="Times New Roman"/>
        </w:rPr>
        <w:t xml:space="preserve"> the determination of nonlife insurance reserves under section 954(i), but it does not provide comments responsive to the items listed in the notice requesting comments.</w:t>
      </w:r>
      <w:bookmarkEnd w:id="2"/>
      <w:r w:rsidR="002B749C">
        <w:rPr>
          <w:rFonts w:ascii="Times New Roman" w:hAnsi="Times New Roman"/>
        </w:rPr>
        <w:t xml:space="preserve">  </w:t>
      </w:r>
    </w:p>
    <w:p w:rsidRPr="009F0CB5" w:rsidR="00140C82" w:rsidRDefault="00140C82" w14:paraId="5A7DB085" w14:textId="77777777">
      <w:pPr>
        <w:rPr>
          <w:rFonts w:ascii="Times New Roman" w:hAnsi="Times New Roman"/>
        </w:rPr>
      </w:pPr>
    </w:p>
    <w:p w:rsidRPr="009F0CB5" w:rsidR="000B6330" w:rsidRDefault="000B6330" w14:paraId="22E9CA84" w14:textId="77777777">
      <w:pPr>
        <w:tabs>
          <w:tab w:val="left" w:pos="-1440"/>
        </w:tabs>
        <w:ind w:left="720" w:hanging="720"/>
        <w:rPr>
          <w:rFonts w:ascii="Times New Roman" w:hAnsi="Times New Roman"/>
        </w:rPr>
      </w:pPr>
      <w:r w:rsidRPr="009F0CB5">
        <w:rPr>
          <w:rFonts w:ascii="Times New Roman" w:hAnsi="Times New Roman"/>
        </w:rPr>
        <w:t>9.</w:t>
      </w:r>
      <w:r w:rsidRPr="009F0CB5">
        <w:rPr>
          <w:rFonts w:ascii="Times New Roman" w:hAnsi="Times New Roman"/>
        </w:rPr>
        <w:tab/>
      </w:r>
      <w:r w:rsidRPr="009F0CB5">
        <w:rPr>
          <w:rFonts w:ascii="Times New Roman" w:hAnsi="Times New Roman"/>
          <w:u w:val="single"/>
        </w:rPr>
        <w:t>EXPLANATION OF DECISION TO PROVIDE ANY PAYMENT OR GIFT TO</w:t>
      </w:r>
      <w:r w:rsidRPr="009F0CB5" w:rsidR="00AD5EF7">
        <w:rPr>
          <w:rFonts w:ascii="Times New Roman" w:hAnsi="Times New Roman"/>
          <w:u w:val="single"/>
        </w:rPr>
        <w:t xml:space="preserve"> </w:t>
      </w:r>
      <w:r w:rsidRPr="009F0CB5">
        <w:rPr>
          <w:rFonts w:ascii="Times New Roman" w:hAnsi="Times New Roman"/>
          <w:u w:val="single"/>
        </w:rPr>
        <w:t>RESPONDENTS</w:t>
      </w:r>
    </w:p>
    <w:p w:rsidRPr="009F0CB5" w:rsidR="000B6330" w:rsidRDefault="000B6330" w14:paraId="7E0AE884" w14:textId="77777777">
      <w:pPr>
        <w:rPr>
          <w:rFonts w:ascii="Times New Roman" w:hAnsi="Times New Roman"/>
        </w:rPr>
      </w:pPr>
    </w:p>
    <w:p w:rsidRPr="00E85913" w:rsidR="007D7AF0" w:rsidP="007D7AF0" w:rsidRDefault="007D7AF0" w14:paraId="12AC4EF1" w14:textId="77777777">
      <w:pPr>
        <w:ind w:firstLine="720"/>
        <w:rPr>
          <w:rFonts w:ascii="Times New Roman" w:hAnsi="Times New Roman"/>
        </w:rPr>
      </w:pPr>
      <w:r w:rsidRPr="00E85913">
        <w:rPr>
          <w:rFonts w:ascii="Times New Roman" w:hAnsi="Times New Roman"/>
        </w:rPr>
        <w:t>No payment or gift has been provided to any respondents.</w:t>
      </w:r>
    </w:p>
    <w:p w:rsidR="000B6330" w:rsidRDefault="000B6330" w14:paraId="6D9DD635" w14:textId="70DADA06">
      <w:pPr>
        <w:rPr>
          <w:rFonts w:ascii="Times New Roman" w:hAnsi="Times New Roman"/>
        </w:rPr>
      </w:pPr>
    </w:p>
    <w:p w:rsidRPr="009F0CB5" w:rsidR="000B6330" w:rsidRDefault="000B6330" w14:paraId="5B2F9C7F" w14:textId="77777777">
      <w:pPr>
        <w:rPr>
          <w:rFonts w:ascii="Times New Roman" w:hAnsi="Times New Roman"/>
        </w:rPr>
      </w:pPr>
      <w:r w:rsidRPr="009F0CB5">
        <w:rPr>
          <w:rFonts w:ascii="Times New Roman" w:hAnsi="Times New Roman"/>
        </w:rPr>
        <w:t>10.</w:t>
      </w:r>
      <w:r w:rsidRPr="009F0CB5">
        <w:rPr>
          <w:rFonts w:ascii="Times New Roman" w:hAnsi="Times New Roman"/>
        </w:rPr>
        <w:tab/>
      </w:r>
      <w:r w:rsidRPr="009F0CB5">
        <w:rPr>
          <w:rFonts w:ascii="Times New Roman" w:hAnsi="Times New Roman"/>
          <w:u w:val="single"/>
        </w:rPr>
        <w:t>ASSURANCE OF CONFIDENTIALITY OF RESPONSES</w:t>
      </w:r>
    </w:p>
    <w:p w:rsidRPr="009F0CB5" w:rsidR="000B6330" w:rsidRDefault="000B6330" w14:paraId="4C93AE0B" w14:textId="77777777">
      <w:pPr>
        <w:rPr>
          <w:rFonts w:ascii="Times New Roman" w:hAnsi="Times New Roman"/>
        </w:rPr>
      </w:pPr>
    </w:p>
    <w:p w:rsidRPr="009F0CB5" w:rsidR="000B6330" w:rsidRDefault="00FA63CE" w14:paraId="5888CA24" w14:textId="3EBAEC6A">
      <w:pPr>
        <w:ind w:left="720"/>
        <w:rPr>
          <w:rFonts w:ascii="Times New Roman" w:hAnsi="Times New Roman"/>
        </w:rPr>
      </w:pPr>
      <w:r w:rsidRPr="00FA63CE">
        <w:rPr>
          <w:rFonts w:ascii="Times New Roman" w:hAnsi="Times New Roman"/>
        </w:rPr>
        <w:t>Generally, submissions under this notice are considered tax returns and tax return information, which are confidential as required by 26 USC sec. 6103.  In general, certain matters relating to taxability and deductibility are disclosable under 26 U.S.C. sec.6110.  In addition, certain matters described in this notice are disclosable under 26 U.S.C. sec. 6104</w:t>
      </w:r>
      <w:r w:rsidRPr="009F0CB5" w:rsidR="000B6330">
        <w:rPr>
          <w:rFonts w:ascii="Times New Roman" w:hAnsi="Times New Roman"/>
        </w:rPr>
        <w:t>.</w:t>
      </w:r>
    </w:p>
    <w:p w:rsidRPr="009F0CB5" w:rsidR="000B6330" w:rsidRDefault="000B6330" w14:paraId="12BFA15F" w14:textId="77777777">
      <w:pPr>
        <w:rPr>
          <w:rFonts w:ascii="Times New Roman" w:hAnsi="Times New Roman"/>
        </w:rPr>
      </w:pPr>
    </w:p>
    <w:p w:rsidRPr="009F0CB5" w:rsidR="000B6330" w:rsidRDefault="000B6330" w14:paraId="5C9E6844" w14:textId="77777777">
      <w:pPr>
        <w:rPr>
          <w:rFonts w:ascii="Times New Roman" w:hAnsi="Times New Roman"/>
        </w:rPr>
        <w:sectPr w:rsidRPr="009F0CB5" w:rsidR="000B6330">
          <w:headerReference w:type="default" r:id="rId7"/>
          <w:type w:val="continuous"/>
          <w:pgSz w:w="12240" w:h="15840"/>
          <w:pgMar w:top="1440" w:right="1440" w:bottom="1440" w:left="1440" w:header="1440" w:footer="1440" w:gutter="0"/>
          <w:cols w:space="720"/>
          <w:noEndnote/>
        </w:sectPr>
      </w:pPr>
    </w:p>
    <w:p w:rsidRPr="009F0CB5" w:rsidR="000B6330" w:rsidRDefault="000B6330" w14:paraId="4412DFBB" w14:textId="77777777">
      <w:pPr>
        <w:tabs>
          <w:tab w:val="left" w:pos="-1440"/>
        </w:tabs>
        <w:ind w:left="720" w:hanging="720"/>
        <w:rPr>
          <w:rFonts w:ascii="Times New Roman" w:hAnsi="Times New Roman"/>
          <w:u w:val="single"/>
        </w:rPr>
      </w:pPr>
      <w:r w:rsidRPr="009F0CB5">
        <w:rPr>
          <w:rFonts w:ascii="Times New Roman" w:hAnsi="Times New Roman"/>
        </w:rPr>
        <w:t>11.</w:t>
      </w:r>
      <w:r w:rsidRPr="009F0CB5">
        <w:rPr>
          <w:rFonts w:ascii="Times New Roman" w:hAnsi="Times New Roman"/>
        </w:rPr>
        <w:tab/>
      </w:r>
      <w:r w:rsidRPr="009F0CB5">
        <w:rPr>
          <w:rFonts w:ascii="Times New Roman" w:hAnsi="Times New Roman"/>
          <w:u w:val="single"/>
        </w:rPr>
        <w:t>JUSTIFICATION OF SENSITIVE QUESTIONS</w:t>
      </w:r>
    </w:p>
    <w:p w:rsidRPr="009F0CB5" w:rsidR="000B6330" w:rsidRDefault="000B6330" w14:paraId="231DD969" w14:textId="77777777">
      <w:pPr>
        <w:rPr>
          <w:rFonts w:ascii="Times New Roman" w:hAnsi="Times New Roman"/>
          <w:u w:val="single"/>
        </w:rPr>
      </w:pPr>
    </w:p>
    <w:p w:rsidR="000B6330" w:rsidP="00263F22" w:rsidRDefault="00263F22" w14:paraId="30101401" w14:textId="30CFE39D">
      <w:pPr>
        <w:ind w:left="720"/>
        <w:rPr>
          <w:rFonts w:ascii="Times New Roman" w:hAnsi="Times New Roman"/>
        </w:rPr>
      </w:pPr>
      <w:r w:rsidRPr="00263F22">
        <w:rPr>
          <w:rFonts w:ascii="Times New Roman" w:hAnsi="Times New Roman"/>
        </w:rPr>
        <w:t>No personally identifiable information (PII) is collected.</w:t>
      </w:r>
    </w:p>
    <w:p w:rsidRPr="009F0CB5" w:rsidR="00263F22" w:rsidRDefault="00263F22" w14:paraId="325BC106" w14:textId="77777777">
      <w:pPr>
        <w:rPr>
          <w:rFonts w:ascii="Times New Roman" w:hAnsi="Times New Roman"/>
        </w:rPr>
      </w:pPr>
    </w:p>
    <w:p w:rsidRPr="009F0CB5" w:rsidR="000B6330" w:rsidRDefault="000B6330" w14:paraId="73DC301E" w14:textId="77777777">
      <w:pPr>
        <w:tabs>
          <w:tab w:val="left" w:pos="-1440"/>
        </w:tabs>
        <w:ind w:left="720" w:hanging="720"/>
        <w:rPr>
          <w:rFonts w:ascii="Times New Roman" w:hAnsi="Times New Roman"/>
          <w:u w:val="single"/>
        </w:rPr>
      </w:pPr>
      <w:r w:rsidRPr="009F0CB5">
        <w:rPr>
          <w:rFonts w:ascii="Times New Roman" w:hAnsi="Times New Roman"/>
        </w:rPr>
        <w:lastRenderedPageBreak/>
        <w:t>12.</w:t>
      </w:r>
      <w:r w:rsidRPr="009F0CB5">
        <w:rPr>
          <w:rFonts w:ascii="Times New Roman" w:hAnsi="Times New Roman"/>
        </w:rPr>
        <w:tab/>
      </w:r>
      <w:r w:rsidRPr="009F0CB5">
        <w:rPr>
          <w:rFonts w:ascii="Times New Roman" w:hAnsi="Times New Roman"/>
          <w:u w:val="single"/>
        </w:rPr>
        <w:t>ESTIMATED BURDEN OF INFORMATION COLLECTION</w:t>
      </w:r>
    </w:p>
    <w:p w:rsidRPr="009F0CB5" w:rsidR="000B6330" w:rsidRDefault="000B6330" w14:paraId="612EF338" w14:textId="77777777">
      <w:pPr>
        <w:rPr>
          <w:rFonts w:ascii="Times New Roman" w:hAnsi="Times New Roman"/>
          <w:u w:val="single"/>
        </w:rPr>
      </w:pPr>
    </w:p>
    <w:p w:rsidR="000B6330" w:rsidP="0092401A" w:rsidRDefault="00263F22" w14:paraId="6135A327" w14:textId="3C6BF497">
      <w:pPr>
        <w:ind w:left="720"/>
        <w:rPr>
          <w:rFonts w:ascii="Times New Roman" w:hAnsi="Times New Roman"/>
        </w:rPr>
      </w:pPr>
      <w:r w:rsidRPr="00263F22">
        <w:rPr>
          <w:rFonts w:ascii="Times New Roman" w:hAnsi="Times New Roman"/>
        </w:rPr>
        <w:t>Under section V (entitled Applicable Loss Payment Pattern) of Notice 2002-69, U.S. shareholders of a foreign insurance company may elect, provided certain conditions are satisfied, to calculate foreign insurance reserves of the companies using the company’s historical payment pattern data.  U.S. shareholders making this election will be large U.S. insurance companies conducting business in foreign countries through controlled foreign corporations.  We estimate that no more than 300 large insurance companies will need to make an annual submission with respect to their controlled foreign corporations.  The estimated annual burden will be about one hour per respondent for a total 300 hours</w:t>
      </w:r>
      <w:r w:rsidRPr="00E04F9A" w:rsidR="00E04F9A">
        <w:rPr>
          <w:rFonts w:ascii="Times New Roman" w:hAnsi="Times New Roman"/>
        </w:rPr>
        <w:t>.</w:t>
      </w:r>
      <w:r w:rsidR="00E04F9A">
        <w:rPr>
          <w:rFonts w:ascii="Times New Roman" w:hAnsi="Times New Roman"/>
        </w:rPr>
        <w:t xml:space="preserve">  </w:t>
      </w:r>
      <w:r w:rsidRPr="00E04F9A" w:rsidR="00E04F9A">
        <w:rPr>
          <w:rFonts w:ascii="Times New Roman" w:hAnsi="Times New Roman"/>
        </w:rPr>
        <w:t>The burden estimate</w:t>
      </w:r>
      <w:r w:rsidR="00E04F9A">
        <w:rPr>
          <w:rFonts w:ascii="Times New Roman" w:hAnsi="Times New Roman"/>
        </w:rPr>
        <w:t>s</w:t>
      </w:r>
      <w:r w:rsidRPr="00E04F9A" w:rsidR="00E04F9A">
        <w:rPr>
          <w:rFonts w:ascii="Times New Roman" w:hAnsi="Times New Roman"/>
        </w:rPr>
        <w:t xml:space="preserve"> </w:t>
      </w:r>
      <w:r w:rsidR="00E04F9A">
        <w:rPr>
          <w:rFonts w:ascii="Times New Roman" w:hAnsi="Times New Roman"/>
        </w:rPr>
        <w:t>are</w:t>
      </w:r>
      <w:r w:rsidRPr="00E04F9A" w:rsidR="00E04F9A">
        <w:rPr>
          <w:rFonts w:ascii="Times New Roman" w:hAnsi="Times New Roman"/>
        </w:rPr>
        <w:t xml:space="preserve"> as follows:</w:t>
      </w:r>
      <w:r w:rsidR="004C685B">
        <w:rPr>
          <w:rFonts w:ascii="Times New Roman" w:hAnsi="Times New Roman"/>
        </w:rPr>
        <w:t xml:space="preserve">  </w:t>
      </w:r>
    </w:p>
    <w:p w:rsidR="004C685B" w:rsidP="0092401A" w:rsidRDefault="004C685B" w14:paraId="4AA47568" w14:textId="16FC0581">
      <w:pPr>
        <w:ind w:left="720"/>
        <w:rPr>
          <w:rFonts w:ascii="Times New Roman" w:hAnsi="Times New Roman"/>
        </w:rPr>
      </w:pPr>
    </w:p>
    <w:p w:rsidR="00AD6D14" w:rsidP="0092401A" w:rsidRDefault="00AD6D14" w14:paraId="5D6BD285" w14:textId="0C781C0D">
      <w:pPr>
        <w:ind w:left="720"/>
        <w:rPr>
          <w:rFonts w:ascii="Times New Roman" w:hAnsi="Times New Roman"/>
        </w:rPr>
      </w:pPr>
    </w:p>
    <w:tbl>
      <w:tblPr>
        <w:tblW w:w="8763"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8"/>
        <w:gridCol w:w="1499"/>
        <w:gridCol w:w="1296"/>
        <w:gridCol w:w="1413"/>
        <w:gridCol w:w="1265"/>
        <w:gridCol w:w="1169"/>
        <w:gridCol w:w="943"/>
      </w:tblGrid>
      <w:tr w:rsidRPr="00C52EF9" w:rsidR="00AD6D14" w:rsidTr="00C3117D" w14:paraId="24B03B65" w14:textId="77777777">
        <w:tc>
          <w:tcPr>
            <w:tcW w:w="1178" w:type="dxa"/>
            <w:tcBorders>
              <w:top w:val="single" w:color="auto" w:sz="4" w:space="0"/>
              <w:left w:val="single" w:color="auto" w:sz="4" w:space="0"/>
              <w:bottom w:val="single" w:color="auto" w:sz="4" w:space="0"/>
              <w:right w:val="single" w:color="auto" w:sz="4" w:space="0"/>
            </w:tcBorders>
            <w:vAlign w:val="bottom"/>
            <w:hideMark/>
          </w:tcPr>
          <w:p w:rsidRPr="00C3117D" w:rsidR="00AD6D14" w:rsidP="00AD6D14" w:rsidRDefault="00AD6D14" w14:paraId="75A8EFD8" w14:textId="542976F9">
            <w:pPr>
              <w:keepNext/>
              <w:keepLines/>
              <w:numPr>
                <w:ilvl w:val="12"/>
                <w:numId w:val="0"/>
              </w:numPr>
              <w:jc w:val="center"/>
              <w:rPr>
                <w:rFonts w:ascii="Calibri" w:hAnsi="Calibri" w:cs="Courier New"/>
                <w:b/>
                <w:sz w:val="20"/>
                <w:szCs w:val="20"/>
              </w:rPr>
            </w:pPr>
            <w:r w:rsidRPr="00C3117D">
              <w:rPr>
                <w:rFonts w:ascii="Calibri" w:hAnsi="Calibri" w:cs="Courier New"/>
                <w:b/>
                <w:sz w:val="20"/>
                <w:szCs w:val="20"/>
              </w:rPr>
              <w:t>Authority</w:t>
            </w:r>
          </w:p>
        </w:tc>
        <w:tc>
          <w:tcPr>
            <w:tcW w:w="1499" w:type="dxa"/>
            <w:tcBorders>
              <w:top w:val="single" w:color="auto" w:sz="4" w:space="0"/>
              <w:left w:val="single" w:color="auto" w:sz="4" w:space="0"/>
              <w:bottom w:val="single" w:color="auto" w:sz="4" w:space="0"/>
              <w:right w:val="single" w:color="auto" w:sz="4" w:space="0"/>
            </w:tcBorders>
            <w:vAlign w:val="bottom"/>
            <w:hideMark/>
          </w:tcPr>
          <w:p w:rsidRPr="00C3117D" w:rsidR="00AD6D14" w:rsidP="00AD6D14" w:rsidRDefault="00AD6D14" w14:paraId="6D063138" w14:textId="77777777">
            <w:pPr>
              <w:keepNext/>
              <w:keepLines/>
              <w:numPr>
                <w:ilvl w:val="12"/>
                <w:numId w:val="0"/>
              </w:numPr>
              <w:jc w:val="center"/>
              <w:rPr>
                <w:rFonts w:ascii="Calibri" w:hAnsi="Calibri" w:cs="Courier New"/>
                <w:b/>
                <w:sz w:val="20"/>
                <w:szCs w:val="20"/>
              </w:rPr>
            </w:pPr>
            <w:r w:rsidRPr="00C3117D">
              <w:rPr>
                <w:rFonts w:ascii="Calibri" w:hAnsi="Calibri" w:cs="Courier New"/>
                <w:b/>
                <w:sz w:val="20"/>
                <w:szCs w:val="20"/>
              </w:rPr>
              <w:t>Description</w:t>
            </w:r>
          </w:p>
        </w:tc>
        <w:tc>
          <w:tcPr>
            <w:tcW w:w="1296" w:type="dxa"/>
            <w:tcBorders>
              <w:top w:val="single" w:color="auto" w:sz="4" w:space="0"/>
              <w:left w:val="single" w:color="auto" w:sz="4" w:space="0"/>
              <w:bottom w:val="single" w:color="auto" w:sz="4" w:space="0"/>
              <w:right w:val="single" w:color="auto" w:sz="4" w:space="0"/>
            </w:tcBorders>
            <w:vAlign w:val="bottom"/>
            <w:hideMark/>
          </w:tcPr>
          <w:p w:rsidRPr="00C3117D" w:rsidR="00AD6D14" w:rsidP="00AD6D14" w:rsidRDefault="00AD6D14" w14:paraId="219B2602" w14:textId="55C61303">
            <w:pPr>
              <w:keepNext/>
              <w:keepLines/>
              <w:numPr>
                <w:ilvl w:val="12"/>
                <w:numId w:val="0"/>
              </w:numPr>
              <w:jc w:val="center"/>
              <w:rPr>
                <w:rFonts w:ascii="Calibri" w:hAnsi="Calibri" w:cs="Courier New"/>
                <w:b/>
                <w:sz w:val="20"/>
                <w:szCs w:val="20"/>
              </w:rPr>
            </w:pPr>
            <w:r w:rsidRPr="00C3117D">
              <w:rPr>
                <w:rFonts w:ascii="Calibri" w:hAnsi="Calibri" w:cs="Courier New"/>
                <w:b/>
                <w:sz w:val="20"/>
                <w:szCs w:val="20"/>
              </w:rPr>
              <w:t xml:space="preserve"># </w:t>
            </w:r>
            <w:proofErr w:type="gramStart"/>
            <w:r w:rsidRPr="00C3117D">
              <w:rPr>
                <w:rFonts w:ascii="Calibri" w:hAnsi="Calibri" w:cs="Courier New"/>
                <w:b/>
                <w:sz w:val="20"/>
                <w:szCs w:val="20"/>
              </w:rPr>
              <w:t>of</w:t>
            </w:r>
            <w:proofErr w:type="gramEnd"/>
            <w:r w:rsidRPr="00C3117D">
              <w:rPr>
                <w:rFonts w:ascii="Calibri" w:hAnsi="Calibri" w:cs="Courier New"/>
                <w:b/>
                <w:sz w:val="20"/>
                <w:szCs w:val="20"/>
              </w:rPr>
              <w:t xml:space="preserve"> Respondents</w:t>
            </w:r>
          </w:p>
        </w:tc>
        <w:tc>
          <w:tcPr>
            <w:tcW w:w="1413" w:type="dxa"/>
            <w:tcBorders>
              <w:top w:val="single" w:color="auto" w:sz="4" w:space="0"/>
              <w:left w:val="single" w:color="auto" w:sz="4" w:space="0"/>
              <w:bottom w:val="single" w:color="auto" w:sz="4" w:space="0"/>
              <w:right w:val="single" w:color="auto" w:sz="4" w:space="0"/>
            </w:tcBorders>
            <w:vAlign w:val="bottom"/>
            <w:hideMark/>
          </w:tcPr>
          <w:p w:rsidRPr="00C3117D" w:rsidR="00AD6D14" w:rsidP="00AD6D14" w:rsidRDefault="00AD6D14" w14:paraId="580DED85" w14:textId="77777777">
            <w:pPr>
              <w:keepNext/>
              <w:keepLines/>
              <w:numPr>
                <w:ilvl w:val="12"/>
                <w:numId w:val="0"/>
              </w:numPr>
              <w:jc w:val="center"/>
              <w:rPr>
                <w:rFonts w:ascii="Calibri" w:hAnsi="Calibri" w:cs="Courier New"/>
                <w:b/>
                <w:sz w:val="20"/>
                <w:szCs w:val="20"/>
              </w:rPr>
            </w:pPr>
            <w:r w:rsidRPr="00C3117D">
              <w:rPr>
                <w:rFonts w:ascii="Calibri" w:hAnsi="Calibri" w:cs="Courier New"/>
                <w:b/>
                <w:sz w:val="20"/>
                <w:szCs w:val="20"/>
              </w:rPr>
              <w:t>#Responses per Respondent</w:t>
            </w:r>
          </w:p>
        </w:tc>
        <w:tc>
          <w:tcPr>
            <w:tcW w:w="1265" w:type="dxa"/>
            <w:tcBorders>
              <w:top w:val="single" w:color="auto" w:sz="4" w:space="0"/>
              <w:left w:val="single" w:color="auto" w:sz="4" w:space="0"/>
              <w:bottom w:val="single" w:color="auto" w:sz="4" w:space="0"/>
              <w:right w:val="single" w:color="auto" w:sz="4" w:space="0"/>
            </w:tcBorders>
            <w:vAlign w:val="bottom"/>
            <w:hideMark/>
          </w:tcPr>
          <w:p w:rsidRPr="00C3117D" w:rsidR="00AD6D14" w:rsidP="00AD6D14" w:rsidRDefault="00AD6D14" w14:paraId="295DFC82" w14:textId="77777777">
            <w:pPr>
              <w:keepNext/>
              <w:keepLines/>
              <w:numPr>
                <w:ilvl w:val="12"/>
                <w:numId w:val="0"/>
              </w:numPr>
              <w:jc w:val="center"/>
              <w:rPr>
                <w:rFonts w:ascii="Calibri" w:hAnsi="Calibri" w:cs="Courier New"/>
                <w:b/>
                <w:sz w:val="20"/>
                <w:szCs w:val="20"/>
              </w:rPr>
            </w:pPr>
            <w:r w:rsidRPr="00C3117D">
              <w:rPr>
                <w:rFonts w:ascii="Calibri" w:hAnsi="Calibri" w:cs="Courier New"/>
                <w:b/>
                <w:sz w:val="20"/>
                <w:szCs w:val="20"/>
              </w:rPr>
              <w:t>Annual Responses</w:t>
            </w:r>
          </w:p>
        </w:tc>
        <w:tc>
          <w:tcPr>
            <w:tcW w:w="1169" w:type="dxa"/>
            <w:tcBorders>
              <w:top w:val="single" w:color="auto" w:sz="4" w:space="0"/>
              <w:left w:val="single" w:color="auto" w:sz="4" w:space="0"/>
              <w:bottom w:val="single" w:color="auto" w:sz="4" w:space="0"/>
              <w:right w:val="single" w:color="auto" w:sz="4" w:space="0"/>
            </w:tcBorders>
            <w:vAlign w:val="bottom"/>
            <w:hideMark/>
          </w:tcPr>
          <w:p w:rsidRPr="00C3117D" w:rsidR="00AD6D14" w:rsidP="00AD6D14" w:rsidRDefault="00AD6D14" w14:paraId="15ACBE01" w14:textId="77777777">
            <w:pPr>
              <w:keepNext/>
              <w:keepLines/>
              <w:numPr>
                <w:ilvl w:val="12"/>
                <w:numId w:val="0"/>
              </w:numPr>
              <w:jc w:val="center"/>
              <w:rPr>
                <w:rFonts w:ascii="Calibri" w:hAnsi="Calibri" w:cs="Courier New"/>
                <w:b/>
                <w:sz w:val="20"/>
                <w:szCs w:val="20"/>
              </w:rPr>
            </w:pPr>
            <w:r w:rsidRPr="00C3117D">
              <w:rPr>
                <w:rFonts w:ascii="Calibri" w:hAnsi="Calibri" w:cs="Courier New"/>
                <w:b/>
                <w:sz w:val="20"/>
                <w:szCs w:val="20"/>
              </w:rPr>
              <w:t>Hours per Response</w:t>
            </w:r>
          </w:p>
        </w:tc>
        <w:tc>
          <w:tcPr>
            <w:tcW w:w="943" w:type="dxa"/>
            <w:tcBorders>
              <w:top w:val="single" w:color="auto" w:sz="4" w:space="0"/>
              <w:left w:val="single" w:color="auto" w:sz="4" w:space="0"/>
              <w:bottom w:val="single" w:color="auto" w:sz="4" w:space="0"/>
              <w:right w:val="single" w:color="auto" w:sz="4" w:space="0"/>
            </w:tcBorders>
            <w:vAlign w:val="bottom"/>
            <w:hideMark/>
          </w:tcPr>
          <w:p w:rsidRPr="00C3117D" w:rsidR="00AD6D14" w:rsidP="00AD6D14" w:rsidRDefault="00AD6D14" w14:paraId="1F01D760" w14:textId="77777777">
            <w:pPr>
              <w:keepNext/>
              <w:keepLines/>
              <w:numPr>
                <w:ilvl w:val="12"/>
                <w:numId w:val="0"/>
              </w:numPr>
              <w:jc w:val="center"/>
              <w:rPr>
                <w:rFonts w:ascii="Calibri" w:hAnsi="Calibri" w:cs="Courier New"/>
                <w:b/>
                <w:sz w:val="20"/>
                <w:szCs w:val="20"/>
              </w:rPr>
            </w:pPr>
            <w:r w:rsidRPr="00C3117D">
              <w:rPr>
                <w:rFonts w:ascii="Calibri" w:hAnsi="Calibri" w:cs="Courier New"/>
                <w:b/>
                <w:sz w:val="20"/>
                <w:szCs w:val="20"/>
              </w:rPr>
              <w:t>Total Burden</w:t>
            </w:r>
          </w:p>
        </w:tc>
      </w:tr>
      <w:tr w:rsidRPr="00C52EF9" w:rsidR="00AD6D14" w:rsidTr="00C3117D" w14:paraId="50108D93" w14:textId="77777777">
        <w:trPr>
          <w:trHeight w:val="755"/>
        </w:trPr>
        <w:tc>
          <w:tcPr>
            <w:tcW w:w="1178" w:type="dxa"/>
            <w:tcBorders>
              <w:top w:val="single" w:color="auto" w:sz="4" w:space="0"/>
              <w:left w:val="single" w:color="auto" w:sz="4" w:space="0"/>
              <w:bottom w:val="single" w:color="auto" w:sz="4" w:space="0"/>
              <w:right w:val="single" w:color="auto" w:sz="4" w:space="0"/>
            </w:tcBorders>
            <w:vAlign w:val="bottom"/>
            <w:hideMark/>
          </w:tcPr>
          <w:p w:rsidRPr="00C3117D" w:rsidR="00AD6D14" w:rsidP="00864E90" w:rsidRDefault="00AD6D14" w14:paraId="17E34A0A" w14:textId="77777777">
            <w:pPr>
              <w:rPr>
                <w:rFonts w:ascii="Calibri" w:hAnsi="Calibri" w:cs="Courier New"/>
                <w:sz w:val="20"/>
                <w:szCs w:val="20"/>
              </w:rPr>
            </w:pPr>
            <w:r w:rsidRPr="00C3117D">
              <w:rPr>
                <w:rFonts w:ascii="Calibri" w:hAnsi="Calibri" w:cs="Courier New"/>
                <w:sz w:val="20"/>
                <w:szCs w:val="20"/>
              </w:rPr>
              <w:t xml:space="preserve">    </w:t>
            </w:r>
          </w:p>
          <w:p w:rsidRPr="00C3117D" w:rsidR="00AD6D14" w:rsidP="00864E90" w:rsidRDefault="00AD6D14" w14:paraId="059C2BE4" w14:textId="77777777">
            <w:pPr>
              <w:rPr>
                <w:rFonts w:ascii="Calibri" w:hAnsi="Calibri" w:cs="Courier New"/>
                <w:sz w:val="20"/>
                <w:szCs w:val="20"/>
              </w:rPr>
            </w:pPr>
            <w:r w:rsidRPr="00C3117D">
              <w:rPr>
                <w:rFonts w:ascii="Calibri" w:hAnsi="Calibri" w:cs="Courier New"/>
                <w:b/>
                <w:sz w:val="20"/>
                <w:szCs w:val="20"/>
              </w:rPr>
              <w:t xml:space="preserve">    </w:t>
            </w:r>
          </w:p>
          <w:p w:rsidRPr="00C3117D" w:rsidR="00AD6D14" w:rsidP="00864E90" w:rsidRDefault="00AD6D14" w14:paraId="534C7D87" w14:textId="051EFFDE">
            <w:pPr>
              <w:rPr>
                <w:rFonts w:ascii="Calibri" w:hAnsi="Calibri" w:cs="Courier New"/>
                <w:sz w:val="20"/>
                <w:szCs w:val="20"/>
              </w:rPr>
            </w:pPr>
            <w:r w:rsidRPr="00C3117D">
              <w:rPr>
                <w:rFonts w:ascii="Calibri" w:hAnsi="Calibri" w:cs="Courier New"/>
                <w:sz w:val="20"/>
                <w:szCs w:val="20"/>
              </w:rPr>
              <w:t xml:space="preserve">    </w:t>
            </w:r>
            <w:r w:rsidRPr="00C3117D" w:rsidR="00263F22">
              <w:rPr>
                <w:rFonts w:ascii="Calibri" w:hAnsi="Calibri" w:cs="Courier New"/>
                <w:sz w:val="20"/>
                <w:szCs w:val="20"/>
              </w:rPr>
              <w:t>954(i)</w:t>
            </w:r>
          </w:p>
        </w:tc>
        <w:tc>
          <w:tcPr>
            <w:tcW w:w="1499" w:type="dxa"/>
            <w:tcBorders>
              <w:top w:val="single" w:color="auto" w:sz="4" w:space="0"/>
              <w:left w:val="single" w:color="auto" w:sz="4" w:space="0"/>
              <w:bottom w:val="single" w:color="auto" w:sz="4" w:space="0"/>
              <w:right w:val="single" w:color="auto" w:sz="4" w:space="0"/>
            </w:tcBorders>
            <w:vAlign w:val="bottom"/>
            <w:hideMark/>
          </w:tcPr>
          <w:p w:rsidRPr="00C3117D" w:rsidR="00263F22" w:rsidP="00E04F9A" w:rsidRDefault="00263F22" w14:paraId="416E2B18" w14:textId="77777777">
            <w:pPr>
              <w:keepNext/>
              <w:keepLines/>
              <w:numPr>
                <w:ilvl w:val="12"/>
                <w:numId w:val="0"/>
              </w:numPr>
              <w:rPr>
                <w:rFonts w:ascii="Calibri" w:hAnsi="Calibri" w:cs="Courier New"/>
                <w:sz w:val="20"/>
                <w:szCs w:val="20"/>
              </w:rPr>
            </w:pPr>
            <w:r w:rsidRPr="00C3117D">
              <w:rPr>
                <w:rFonts w:ascii="Calibri" w:hAnsi="Calibri" w:cs="Courier New"/>
                <w:sz w:val="20"/>
                <w:szCs w:val="20"/>
              </w:rPr>
              <w:t xml:space="preserve">Notice </w:t>
            </w:r>
          </w:p>
          <w:p w:rsidRPr="00C3117D" w:rsidR="00AD6D14" w:rsidP="00E04F9A" w:rsidRDefault="00263F22" w14:paraId="38788A9F" w14:textId="77CAFD8E">
            <w:pPr>
              <w:keepNext/>
              <w:keepLines/>
              <w:numPr>
                <w:ilvl w:val="12"/>
                <w:numId w:val="0"/>
              </w:numPr>
              <w:rPr>
                <w:rFonts w:ascii="Calibri" w:hAnsi="Calibri" w:cs="Courier New"/>
                <w:sz w:val="20"/>
                <w:szCs w:val="20"/>
              </w:rPr>
            </w:pPr>
            <w:r w:rsidRPr="00C3117D">
              <w:rPr>
                <w:rFonts w:ascii="Calibri" w:hAnsi="Calibri" w:cs="Courier New"/>
                <w:sz w:val="20"/>
                <w:szCs w:val="20"/>
              </w:rPr>
              <w:t>2002-69</w:t>
            </w:r>
          </w:p>
        </w:tc>
        <w:tc>
          <w:tcPr>
            <w:tcW w:w="1296" w:type="dxa"/>
            <w:tcBorders>
              <w:top w:val="single" w:color="auto" w:sz="4" w:space="0"/>
              <w:left w:val="single" w:color="auto" w:sz="4" w:space="0"/>
              <w:bottom w:val="single" w:color="auto" w:sz="4" w:space="0"/>
              <w:right w:val="single" w:color="auto" w:sz="4" w:space="0"/>
            </w:tcBorders>
            <w:vAlign w:val="bottom"/>
            <w:hideMark/>
          </w:tcPr>
          <w:p w:rsidRPr="00C3117D" w:rsidR="00AD6D14" w:rsidP="00E04F9A" w:rsidRDefault="00263F22" w14:paraId="036AC2CB" w14:textId="5AB7C9C5">
            <w:pPr>
              <w:keepNext/>
              <w:keepLines/>
              <w:numPr>
                <w:ilvl w:val="12"/>
                <w:numId w:val="0"/>
              </w:numPr>
              <w:jc w:val="center"/>
              <w:rPr>
                <w:rFonts w:ascii="Calibri" w:hAnsi="Calibri" w:cs="Courier New"/>
                <w:sz w:val="20"/>
                <w:szCs w:val="20"/>
              </w:rPr>
            </w:pPr>
            <w:r w:rsidRPr="00C3117D">
              <w:rPr>
                <w:rFonts w:ascii="Calibri" w:hAnsi="Calibri" w:cs="Courier New"/>
                <w:sz w:val="20"/>
                <w:szCs w:val="20"/>
              </w:rPr>
              <w:t>300</w:t>
            </w:r>
          </w:p>
        </w:tc>
        <w:tc>
          <w:tcPr>
            <w:tcW w:w="1413" w:type="dxa"/>
            <w:tcBorders>
              <w:top w:val="single" w:color="auto" w:sz="4" w:space="0"/>
              <w:left w:val="single" w:color="auto" w:sz="4" w:space="0"/>
              <w:bottom w:val="single" w:color="auto" w:sz="4" w:space="0"/>
              <w:right w:val="single" w:color="auto" w:sz="4" w:space="0"/>
            </w:tcBorders>
            <w:vAlign w:val="bottom"/>
            <w:hideMark/>
          </w:tcPr>
          <w:p w:rsidRPr="00C3117D" w:rsidR="00AD6D14" w:rsidP="00E04F9A" w:rsidRDefault="00AD6D14" w14:paraId="31BF8EBC" w14:textId="77777777">
            <w:pPr>
              <w:keepNext/>
              <w:keepLines/>
              <w:numPr>
                <w:ilvl w:val="12"/>
                <w:numId w:val="0"/>
              </w:numPr>
              <w:jc w:val="center"/>
              <w:rPr>
                <w:rFonts w:ascii="Calibri" w:hAnsi="Calibri" w:cs="Courier New"/>
                <w:sz w:val="20"/>
                <w:szCs w:val="20"/>
              </w:rPr>
            </w:pPr>
            <w:r w:rsidRPr="00C3117D">
              <w:rPr>
                <w:rFonts w:ascii="Calibri" w:hAnsi="Calibri" w:cs="Courier New"/>
                <w:sz w:val="20"/>
                <w:szCs w:val="20"/>
              </w:rPr>
              <w:t>1</w:t>
            </w:r>
          </w:p>
        </w:tc>
        <w:tc>
          <w:tcPr>
            <w:tcW w:w="1265" w:type="dxa"/>
            <w:tcBorders>
              <w:top w:val="single" w:color="auto" w:sz="4" w:space="0"/>
              <w:left w:val="single" w:color="auto" w:sz="4" w:space="0"/>
              <w:bottom w:val="single" w:color="auto" w:sz="4" w:space="0"/>
              <w:right w:val="single" w:color="auto" w:sz="4" w:space="0"/>
            </w:tcBorders>
            <w:vAlign w:val="bottom"/>
            <w:hideMark/>
          </w:tcPr>
          <w:p w:rsidRPr="00C3117D" w:rsidR="00AD6D14" w:rsidP="00E04F9A" w:rsidRDefault="00101564" w14:paraId="1CD3837D" w14:textId="00B93DBC">
            <w:pPr>
              <w:keepNext/>
              <w:keepLines/>
              <w:numPr>
                <w:ilvl w:val="12"/>
                <w:numId w:val="0"/>
              </w:numPr>
              <w:jc w:val="center"/>
              <w:rPr>
                <w:rFonts w:ascii="Calibri" w:hAnsi="Calibri" w:cs="Courier New"/>
                <w:sz w:val="20"/>
                <w:szCs w:val="20"/>
              </w:rPr>
            </w:pPr>
            <w:r w:rsidRPr="00C3117D">
              <w:rPr>
                <w:rFonts w:ascii="Calibri" w:hAnsi="Calibri" w:cs="Courier New"/>
                <w:sz w:val="20"/>
                <w:szCs w:val="20"/>
              </w:rPr>
              <w:t>300</w:t>
            </w:r>
          </w:p>
        </w:tc>
        <w:tc>
          <w:tcPr>
            <w:tcW w:w="1169" w:type="dxa"/>
            <w:tcBorders>
              <w:top w:val="single" w:color="auto" w:sz="4" w:space="0"/>
              <w:left w:val="single" w:color="auto" w:sz="4" w:space="0"/>
              <w:bottom w:val="single" w:color="auto" w:sz="4" w:space="0"/>
              <w:right w:val="single" w:color="auto" w:sz="4" w:space="0"/>
            </w:tcBorders>
            <w:vAlign w:val="bottom"/>
            <w:hideMark/>
          </w:tcPr>
          <w:p w:rsidRPr="00C3117D" w:rsidR="00AD6D14" w:rsidP="00E04F9A" w:rsidRDefault="00101564" w14:paraId="796806EF" w14:textId="5DA6477C">
            <w:pPr>
              <w:keepNext/>
              <w:keepLines/>
              <w:numPr>
                <w:ilvl w:val="12"/>
                <w:numId w:val="0"/>
              </w:numPr>
              <w:jc w:val="center"/>
              <w:rPr>
                <w:rFonts w:ascii="Calibri" w:hAnsi="Calibri" w:cs="Courier New"/>
                <w:sz w:val="20"/>
                <w:szCs w:val="20"/>
              </w:rPr>
            </w:pPr>
            <w:r w:rsidRPr="00C3117D">
              <w:rPr>
                <w:rFonts w:ascii="Calibri" w:hAnsi="Calibri" w:cs="Courier New"/>
                <w:sz w:val="20"/>
                <w:szCs w:val="20"/>
              </w:rPr>
              <w:t>1</w:t>
            </w:r>
          </w:p>
        </w:tc>
        <w:tc>
          <w:tcPr>
            <w:tcW w:w="943" w:type="dxa"/>
            <w:tcBorders>
              <w:top w:val="single" w:color="auto" w:sz="4" w:space="0"/>
              <w:left w:val="single" w:color="auto" w:sz="4" w:space="0"/>
              <w:bottom w:val="single" w:color="auto" w:sz="4" w:space="0"/>
              <w:right w:val="single" w:color="auto" w:sz="4" w:space="0"/>
            </w:tcBorders>
            <w:vAlign w:val="bottom"/>
            <w:hideMark/>
          </w:tcPr>
          <w:p w:rsidRPr="00C3117D" w:rsidR="00AD6D14" w:rsidP="00E04F9A" w:rsidRDefault="00101564" w14:paraId="26DEE554" w14:textId="09B6F1D9">
            <w:pPr>
              <w:keepNext/>
              <w:keepLines/>
              <w:numPr>
                <w:ilvl w:val="12"/>
                <w:numId w:val="0"/>
              </w:numPr>
              <w:jc w:val="center"/>
              <w:rPr>
                <w:rFonts w:ascii="Calibri" w:hAnsi="Calibri" w:cs="Courier New"/>
                <w:sz w:val="20"/>
                <w:szCs w:val="20"/>
              </w:rPr>
            </w:pPr>
            <w:r w:rsidRPr="00C3117D">
              <w:rPr>
                <w:rFonts w:ascii="Calibri" w:hAnsi="Calibri" w:cs="Courier New"/>
                <w:sz w:val="20"/>
                <w:szCs w:val="20"/>
              </w:rPr>
              <w:t>300</w:t>
            </w:r>
          </w:p>
        </w:tc>
      </w:tr>
      <w:tr w:rsidRPr="00C52EF9" w:rsidR="00AD6D14" w:rsidTr="00C3117D" w14:paraId="4E7B0C07" w14:textId="77777777">
        <w:trPr>
          <w:trHeight w:val="755"/>
        </w:trPr>
        <w:tc>
          <w:tcPr>
            <w:tcW w:w="1178" w:type="dxa"/>
            <w:tcBorders>
              <w:top w:val="single" w:color="auto" w:sz="4" w:space="0"/>
              <w:left w:val="single" w:color="auto" w:sz="4" w:space="0"/>
              <w:bottom w:val="single" w:color="auto" w:sz="4" w:space="0"/>
              <w:right w:val="single" w:color="auto" w:sz="4" w:space="0"/>
            </w:tcBorders>
            <w:vAlign w:val="bottom"/>
          </w:tcPr>
          <w:p w:rsidRPr="00C3117D" w:rsidR="00AD6D14" w:rsidP="00864E90" w:rsidRDefault="00AD6D14" w14:paraId="261413E0" w14:textId="77777777">
            <w:pPr>
              <w:rPr>
                <w:rFonts w:ascii="Calibri" w:hAnsi="Calibri" w:cs="Courier New"/>
                <w:b/>
                <w:bCs/>
                <w:sz w:val="20"/>
                <w:szCs w:val="20"/>
              </w:rPr>
            </w:pPr>
            <w:r w:rsidRPr="00C3117D">
              <w:rPr>
                <w:rFonts w:ascii="Calibri" w:hAnsi="Calibri" w:cs="Courier New"/>
                <w:b/>
                <w:bCs/>
                <w:sz w:val="20"/>
                <w:szCs w:val="20"/>
              </w:rPr>
              <w:t xml:space="preserve">     Total</w:t>
            </w:r>
          </w:p>
        </w:tc>
        <w:tc>
          <w:tcPr>
            <w:tcW w:w="1499" w:type="dxa"/>
            <w:tcBorders>
              <w:top w:val="single" w:color="auto" w:sz="4" w:space="0"/>
              <w:left w:val="single" w:color="auto" w:sz="4" w:space="0"/>
              <w:bottom w:val="single" w:color="auto" w:sz="4" w:space="0"/>
              <w:right w:val="single" w:color="auto" w:sz="4" w:space="0"/>
            </w:tcBorders>
            <w:vAlign w:val="bottom"/>
          </w:tcPr>
          <w:p w:rsidRPr="00C3117D" w:rsidR="00AD6D14" w:rsidP="00864E90" w:rsidRDefault="00AD6D14" w14:paraId="6B4B3930" w14:textId="77777777">
            <w:pPr>
              <w:keepNext/>
              <w:keepLines/>
              <w:numPr>
                <w:ilvl w:val="12"/>
                <w:numId w:val="0"/>
              </w:numPr>
              <w:jc w:val="center"/>
              <w:rPr>
                <w:rFonts w:ascii="Calibri" w:hAnsi="Calibri" w:cs="Courier New"/>
                <w:b/>
                <w:bCs/>
                <w:sz w:val="20"/>
                <w:szCs w:val="20"/>
              </w:rPr>
            </w:pPr>
          </w:p>
        </w:tc>
        <w:tc>
          <w:tcPr>
            <w:tcW w:w="1296" w:type="dxa"/>
            <w:tcBorders>
              <w:top w:val="single" w:color="auto" w:sz="4" w:space="0"/>
              <w:left w:val="single" w:color="auto" w:sz="4" w:space="0"/>
              <w:bottom w:val="single" w:color="auto" w:sz="4" w:space="0"/>
              <w:right w:val="single" w:color="auto" w:sz="4" w:space="0"/>
            </w:tcBorders>
            <w:vAlign w:val="bottom"/>
          </w:tcPr>
          <w:p w:rsidRPr="00C3117D" w:rsidR="00AD6D14" w:rsidP="00E04F9A" w:rsidRDefault="00101564" w14:paraId="3FDDC4D9" w14:textId="438B923C">
            <w:pPr>
              <w:keepNext/>
              <w:keepLines/>
              <w:numPr>
                <w:ilvl w:val="12"/>
                <w:numId w:val="0"/>
              </w:numPr>
              <w:jc w:val="center"/>
              <w:rPr>
                <w:rFonts w:ascii="Calibri" w:hAnsi="Calibri" w:cs="Courier New"/>
                <w:b/>
                <w:bCs/>
                <w:sz w:val="20"/>
                <w:szCs w:val="20"/>
              </w:rPr>
            </w:pPr>
            <w:r w:rsidRPr="00C3117D">
              <w:rPr>
                <w:rFonts w:ascii="Calibri" w:hAnsi="Calibri" w:cs="Courier New"/>
                <w:b/>
                <w:bCs/>
                <w:sz w:val="20"/>
                <w:szCs w:val="20"/>
              </w:rPr>
              <w:t>300</w:t>
            </w:r>
          </w:p>
        </w:tc>
        <w:tc>
          <w:tcPr>
            <w:tcW w:w="1413" w:type="dxa"/>
            <w:tcBorders>
              <w:top w:val="single" w:color="auto" w:sz="4" w:space="0"/>
              <w:left w:val="single" w:color="auto" w:sz="4" w:space="0"/>
              <w:bottom w:val="single" w:color="auto" w:sz="4" w:space="0"/>
              <w:right w:val="single" w:color="auto" w:sz="4" w:space="0"/>
            </w:tcBorders>
            <w:vAlign w:val="bottom"/>
          </w:tcPr>
          <w:p w:rsidRPr="00C3117D" w:rsidR="00AD6D14" w:rsidP="00E04F9A" w:rsidRDefault="00AD6D14" w14:paraId="39D58D94" w14:textId="77777777">
            <w:pPr>
              <w:keepNext/>
              <w:keepLines/>
              <w:numPr>
                <w:ilvl w:val="12"/>
                <w:numId w:val="0"/>
              </w:numPr>
              <w:jc w:val="center"/>
              <w:rPr>
                <w:rFonts w:ascii="Calibri" w:hAnsi="Calibri" w:cs="Courier New"/>
                <w:b/>
                <w:bCs/>
                <w:sz w:val="20"/>
                <w:szCs w:val="20"/>
              </w:rPr>
            </w:pPr>
          </w:p>
        </w:tc>
        <w:tc>
          <w:tcPr>
            <w:tcW w:w="1265" w:type="dxa"/>
            <w:tcBorders>
              <w:top w:val="single" w:color="auto" w:sz="4" w:space="0"/>
              <w:left w:val="single" w:color="auto" w:sz="4" w:space="0"/>
              <w:bottom w:val="single" w:color="auto" w:sz="4" w:space="0"/>
              <w:right w:val="single" w:color="auto" w:sz="4" w:space="0"/>
            </w:tcBorders>
            <w:vAlign w:val="bottom"/>
          </w:tcPr>
          <w:p w:rsidRPr="00C3117D" w:rsidR="00AD6D14" w:rsidP="00E04F9A" w:rsidRDefault="00101564" w14:paraId="50A52AF3" w14:textId="48D1FA33">
            <w:pPr>
              <w:keepNext/>
              <w:keepLines/>
              <w:numPr>
                <w:ilvl w:val="12"/>
                <w:numId w:val="0"/>
              </w:numPr>
              <w:jc w:val="center"/>
              <w:rPr>
                <w:rFonts w:ascii="Calibri" w:hAnsi="Calibri" w:cs="Courier New"/>
                <w:b/>
                <w:bCs/>
                <w:sz w:val="20"/>
                <w:szCs w:val="20"/>
              </w:rPr>
            </w:pPr>
            <w:r w:rsidRPr="00C3117D">
              <w:rPr>
                <w:rFonts w:ascii="Calibri" w:hAnsi="Calibri" w:cs="Courier New"/>
                <w:b/>
                <w:bCs/>
                <w:sz w:val="20"/>
                <w:szCs w:val="20"/>
              </w:rPr>
              <w:t>300</w:t>
            </w:r>
          </w:p>
        </w:tc>
        <w:tc>
          <w:tcPr>
            <w:tcW w:w="1169" w:type="dxa"/>
            <w:tcBorders>
              <w:top w:val="single" w:color="auto" w:sz="4" w:space="0"/>
              <w:left w:val="single" w:color="auto" w:sz="4" w:space="0"/>
              <w:bottom w:val="single" w:color="auto" w:sz="4" w:space="0"/>
              <w:right w:val="single" w:color="auto" w:sz="4" w:space="0"/>
            </w:tcBorders>
            <w:vAlign w:val="bottom"/>
          </w:tcPr>
          <w:p w:rsidRPr="00C3117D" w:rsidR="00AD6D14" w:rsidP="00E04F9A" w:rsidRDefault="00AD6D14" w14:paraId="6B6D915A" w14:textId="3A784B1F">
            <w:pPr>
              <w:keepNext/>
              <w:keepLines/>
              <w:numPr>
                <w:ilvl w:val="12"/>
                <w:numId w:val="0"/>
              </w:numPr>
              <w:jc w:val="center"/>
              <w:rPr>
                <w:rFonts w:ascii="Calibri" w:hAnsi="Calibri" w:cs="Courier New"/>
                <w:b/>
                <w:bCs/>
                <w:sz w:val="20"/>
                <w:szCs w:val="20"/>
              </w:rPr>
            </w:pPr>
          </w:p>
        </w:tc>
        <w:tc>
          <w:tcPr>
            <w:tcW w:w="943" w:type="dxa"/>
            <w:tcBorders>
              <w:top w:val="single" w:color="auto" w:sz="4" w:space="0"/>
              <w:left w:val="single" w:color="auto" w:sz="4" w:space="0"/>
              <w:bottom w:val="single" w:color="auto" w:sz="4" w:space="0"/>
              <w:right w:val="single" w:color="auto" w:sz="4" w:space="0"/>
            </w:tcBorders>
            <w:vAlign w:val="bottom"/>
          </w:tcPr>
          <w:p w:rsidRPr="00C3117D" w:rsidR="00AD6D14" w:rsidP="00E04F9A" w:rsidRDefault="00101564" w14:paraId="656E2B2B" w14:textId="7FA8D99B">
            <w:pPr>
              <w:keepNext/>
              <w:keepLines/>
              <w:numPr>
                <w:ilvl w:val="12"/>
                <w:numId w:val="0"/>
              </w:numPr>
              <w:jc w:val="center"/>
              <w:rPr>
                <w:rFonts w:ascii="Calibri" w:hAnsi="Calibri" w:cs="Courier New"/>
                <w:b/>
                <w:bCs/>
                <w:sz w:val="20"/>
                <w:szCs w:val="20"/>
              </w:rPr>
            </w:pPr>
            <w:r w:rsidRPr="00C3117D">
              <w:rPr>
                <w:rFonts w:ascii="Calibri" w:hAnsi="Calibri" w:cs="Courier New"/>
                <w:b/>
                <w:bCs/>
                <w:sz w:val="20"/>
                <w:szCs w:val="20"/>
              </w:rPr>
              <w:t>300</w:t>
            </w:r>
          </w:p>
        </w:tc>
      </w:tr>
    </w:tbl>
    <w:p w:rsidRPr="009F0CB5" w:rsidR="00D87B61" w:rsidRDefault="00D87B61" w14:paraId="61743C49" w14:textId="77777777">
      <w:pPr>
        <w:tabs>
          <w:tab w:val="left" w:pos="-1440"/>
        </w:tabs>
        <w:ind w:left="720" w:hanging="720"/>
        <w:rPr>
          <w:rFonts w:ascii="Times New Roman" w:hAnsi="Times New Roman"/>
        </w:rPr>
      </w:pPr>
    </w:p>
    <w:p w:rsidRPr="009F0CB5" w:rsidR="000B6330" w:rsidRDefault="000B6330" w14:paraId="603B38B2" w14:textId="7EBA0290">
      <w:pPr>
        <w:rPr>
          <w:rFonts w:ascii="Times New Roman" w:hAnsi="Times New Roman"/>
        </w:rPr>
      </w:pPr>
      <w:r w:rsidRPr="009F0CB5">
        <w:rPr>
          <w:rFonts w:ascii="Times New Roman" w:hAnsi="Times New Roman"/>
        </w:rPr>
        <w:t xml:space="preserve">     </w:t>
      </w:r>
    </w:p>
    <w:p w:rsidRPr="009F0CB5" w:rsidR="000B6330" w:rsidRDefault="000B6330" w14:paraId="5AFAEF23" w14:textId="77777777">
      <w:pPr>
        <w:tabs>
          <w:tab w:val="left" w:pos="-1440"/>
        </w:tabs>
        <w:ind w:left="720" w:hanging="720"/>
        <w:rPr>
          <w:rFonts w:ascii="Times New Roman" w:hAnsi="Times New Roman"/>
        </w:rPr>
      </w:pPr>
      <w:r w:rsidRPr="009F0CB5">
        <w:rPr>
          <w:rFonts w:ascii="Times New Roman" w:hAnsi="Times New Roman"/>
        </w:rPr>
        <w:t>13.</w:t>
      </w:r>
      <w:r w:rsidRPr="009F0CB5">
        <w:rPr>
          <w:rFonts w:ascii="Times New Roman" w:hAnsi="Times New Roman"/>
        </w:rPr>
        <w:tab/>
        <w:t xml:space="preserve"> </w:t>
      </w:r>
      <w:r w:rsidRPr="009F0CB5">
        <w:rPr>
          <w:rFonts w:ascii="Times New Roman" w:hAnsi="Times New Roman"/>
          <w:u w:val="single"/>
        </w:rPr>
        <w:t>ESTIMATED TOTAL ANNUAL COST BURDEN TO RESPONDENTS</w:t>
      </w:r>
    </w:p>
    <w:p w:rsidRPr="009F0CB5" w:rsidR="000B6330" w:rsidRDefault="000B6330" w14:paraId="67B4EFD3" w14:textId="77777777">
      <w:pPr>
        <w:rPr>
          <w:rFonts w:ascii="Times New Roman" w:hAnsi="Times New Roman"/>
        </w:rPr>
      </w:pPr>
    </w:p>
    <w:p w:rsidRPr="009F0CB5" w:rsidR="000B6330" w:rsidRDefault="000B6330" w14:paraId="236150E3" w14:textId="77777777">
      <w:pPr>
        <w:rPr>
          <w:rFonts w:ascii="Times New Roman" w:hAnsi="Times New Roman"/>
        </w:rPr>
        <w:sectPr w:rsidRPr="009F0CB5" w:rsidR="000B6330">
          <w:type w:val="continuous"/>
          <w:pgSz w:w="12240" w:h="15840"/>
          <w:pgMar w:top="1440" w:right="1440" w:bottom="1440" w:left="1440" w:header="1440" w:footer="1440" w:gutter="0"/>
          <w:cols w:space="720"/>
          <w:noEndnote/>
        </w:sectPr>
      </w:pPr>
    </w:p>
    <w:p w:rsidR="001B0514" w:rsidP="00EC02EA" w:rsidRDefault="001B0514" w14:paraId="6768E922" w14:textId="41279138">
      <w:pPr>
        <w:ind w:left="720"/>
        <w:rPr>
          <w:rFonts w:ascii="Times New Roman" w:hAnsi="Times New Roman"/>
        </w:rPr>
      </w:pPr>
      <w:bookmarkStart w:name="_Hlk497979402" w:id="3"/>
      <w:r w:rsidRPr="009F0CB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3"/>
    <w:p w:rsidRPr="009F0CB5" w:rsidR="000B6330" w:rsidP="00101564" w:rsidRDefault="001B0514" w14:paraId="185EB3AA" w14:textId="16F005AC">
      <w:pPr>
        <w:ind w:left="720"/>
        <w:rPr>
          <w:rFonts w:ascii="Times New Roman" w:hAnsi="Times New Roman"/>
        </w:rPr>
      </w:pPr>
      <w:r w:rsidRPr="009F0CB5">
        <w:rPr>
          <w:rFonts w:ascii="Times New Roman" w:hAnsi="Times New Roman"/>
        </w:rPr>
        <w:t xml:space="preserve"> </w:t>
      </w:r>
    </w:p>
    <w:p w:rsidRPr="009F0CB5" w:rsidR="000B6330" w:rsidRDefault="000B6330" w14:paraId="041F3523" w14:textId="77777777">
      <w:pPr>
        <w:tabs>
          <w:tab w:val="left" w:pos="-1440"/>
        </w:tabs>
        <w:ind w:left="720" w:hanging="720"/>
        <w:rPr>
          <w:rFonts w:ascii="Times New Roman" w:hAnsi="Times New Roman"/>
        </w:rPr>
      </w:pPr>
      <w:r w:rsidRPr="009F0CB5">
        <w:rPr>
          <w:rFonts w:ascii="Times New Roman" w:hAnsi="Times New Roman"/>
        </w:rPr>
        <w:t>14.</w:t>
      </w:r>
      <w:r w:rsidRPr="009F0CB5">
        <w:rPr>
          <w:rFonts w:ascii="Times New Roman" w:hAnsi="Times New Roman"/>
        </w:rPr>
        <w:tab/>
      </w:r>
      <w:r w:rsidRPr="009F0CB5">
        <w:rPr>
          <w:rFonts w:ascii="Times New Roman" w:hAnsi="Times New Roman"/>
          <w:u w:val="single"/>
        </w:rPr>
        <w:t>ESTIMATED ANNUALIZED COST TO THE FEDERAL GOVERNMENT</w:t>
      </w:r>
    </w:p>
    <w:p w:rsidRPr="009F0CB5" w:rsidR="000B6330" w:rsidRDefault="000B6330" w14:paraId="3C4631EB" w14:textId="77777777">
      <w:pPr>
        <w:rPr>
          <w:rFonts w:ascii="Times New Roman" w:hAnsi="Times New Roman"/>
        </w:rPr>
      </w:pPr>
    </w:p>
    <w:p w:rsidRPr="00E04870" w:rsidR="00E04870" w:rsidP="00E04870" w:rsidRDefault="00E04870" w14:paraId="68E31193" w14:textId="4AC5FA9E">
      <w:pPr>
        <w:ind w:left="720"/>
        <w:rPr>
          <w:rFonts w:ascii="Times New Roman" w:hAnsi="Times New Roman"/>
        </w:rPr>
      </w:pPr>
      <w:r w:rsidRPr="00E04870">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E04870" w:rsidR="00E04870" w:rsidP="00E04870" w:rsidRDefault="00E04870" w14:paraId="6A261655" w14:textId="77777777">
      <w:pPr>
        <w:ind w:left="720"/>
        <w:rPr>
          <w:rFonts w:ascii="Times New Roman" w:hAnsi="Times New Roman"/>
        </w:rPr>
      </w:pPr>
    </w:p>
    <w:p w:rsidRPr="00E04870" w:rsidR="00E04870" w:rsidP="00E04870" w:rsidRDefault="00E04870" w14:paraId="5233A43A" w14:textId="58366836">
      <w:pPr>
        <w:ind w:left="720"/>
        <w:rPr>
          <w:rFonts w:ascii="Times New Roman" w:hAnsi="Times New Roman"/>
        </w:rPr>
      </w:pPr>
      <w:r w:rsidRPr="00E04870">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w:t>
      </w:r>
      <w:r w:rsidRPr="00E04870">
        <w:rPr>
          <w:rFonts w:ascii="Times New Roman" w:hAnsi="Times New Roman"/>
        </w:rPr>
        <w:lastRenderedPageBreak/>
        <w:t>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E04870" w:rsidR="00E04870" w:rsidP="00E04870" w:rsidRDefault="00E04870" w14:paraId="22302DBF" w14:textId="77777777">
      <w:pPr>
        <w:ind w:left="720"/>
        <w:rPr>
          <w:rFonts w:ascii="Times New Roman" w:hAnsi="Times New Roman"/>
        </w:rPr>
      </w:pPr>
    </w:p>
    <w:p w:rsidRPr="00E04870" w:rsidR="00E04870" w:rsidP="00E04870" w:rsidRDefault="00E04870" w14:paraId="2D57C8B6" w14:textId="2D74EC0D">
      <w:pPr>
        <w:ind w:left="720"/>
        <w:rPr>
          <w:rFonts w:ascii="Times New Roman" w:hAnsi="Times New Roman"/>
        </w:rPr>
      </w:pPr>
      <w:r w:rsidRPr="00E04870">
        <w:rPr>
          <w:rFonts w:ascii="Times New Roman" w:hAnsi="Times New Roman"/>
        </w:rPr>
        <w:t>The government cost estimate for this collection is</w:t>
      </w:r>
      <w:r>
        <w:rPr>
          <w:rFonts w:ascii="Times New Roman" w:hAnsi="Times New Roman"/>
        </w:rPr>
        <w:t xml:space="preserve"> </w:t>
      </w:r>
      <w:r w:rsidR="00101564">
        <w:rPr>
          <w:rFonts w:ascii="Times New Roman" w:hAnsi="Times New Roman"/>
        </w:rPr>
        <w:t>nominal</w:t>
      </w:r>
      <w:r w:rsidRPr="00E04870">
        <w:rPr>
          <w:rFonts w:ascii="Times New Roman" w:hAnsi="Times New Roman"/>
        </w:rPr>
        <w:t>.</w:t>
      </w:r>
    </w:p>
    <w:p w:rsidR="00E04870" w:rsidP="00101564" w:rsidRDefault="00E04870" w14:paraId="74974ED1" w14:textId="11165AFF">
      <w:pPr>
        <w:rPr>
          <w:rFonts w:ascii="Times New Roman" w:hAnsi="Times New Roman"/>
        </w:rPr>
      </w:pPr>
    </w:p>
    <w:p w:rsidRPr="009F0CB5" w:rsidR="000B6330" w:rsidRDefault="000B6330" w14:paraId="20DC301D" w14:textId="77777777">
      <w:pPr>
        <w:tabs>
          <w:tab w:val="left" w:pos="-1440"/>
        </w:tabs>
        <w:ind w:left="720" w:hanging="72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Pr="009F0CB5" w:rsidR="000B6330" w:rsidRDefault="000B6330" w14:paraId="3A2E836E" w14:textId="77777777">
      <w:pPr>
        <w:rPr>
          <w:rFonts w:ascii="Times New Roman" w:hAnsi="Times New Roman"/>
        </w:rPr>
      </w:pPr>
    </w:p>
    <w:p w:rsidR="003260E2" w:rsidP="00962AEC" w:rsidRDefault="003260E2" w14:paraId="2574E3F6" w14:textId="0B82E238">
      <w:pPr>
        <w:ind w:left="720"/>
        <w:rPr>
          <w:rFonts w:ascii="Times New Roman" w:hAnsi="Times New Roman"/>
        </w:rPr>
      </w:pPr>
      <w:r w:rsidRPr="009F0CB5">
        <w:rPr>
          <w:rFonts w:ascii="Times New Roman" w:hAnsi="Times New Roman"/>
        </w:rPr>
        <w:t>There is no change in the paperwork burden previously approved by OMB</w:t>
      </w:r>
      <w:r w:rsidRPr="009F0CB5" w:rsidR="000B6330">
        <w:rPr>
          <w:rFonts w:ascii="Times New Roman" w:hAnsi="Times New Roman"/>
        </w:rPr>
        <w:t>.</w:t>
      </w:r>
      <w:r w:rsidRPr="009F0CB5" w:rsidR="00484576">
        <w:rPr>
          <w:rFonts w:ascii="Times New Roman" w:hAnsi="Times New Roman"/>
        </w:rPr>
        <w:t xml:space="preserve"> </w:t>
      </w:r>
      <w:r w:rsidRPr="009F0CB5">
        <w:rPr>
          <w:rFonts w:ascii="Times New Roman" w:hAnsi="Times New Roman"/>
        </w:rPr>
        <w:t>We are making this submission to renew the OMB approval.</w:t>
      </w:r>
    </w:p>
    <w:p w:rsidR="00101564" w:rsidP="00962AEC" w:rsidRDefault="00101564" w14:paraId="372D2F1F" w14:textId="5B759B9E">
      <w:pPr>
        <w:ind w:left="720"/>
        <w:rPr>
          <w:rFonts w:ascii="Times New Roman" w:hAnsi="Times New Roman"/>
        </w:rPr>
      </w:pPr>
    </w:p>
    <w:tbl>
      <w:tblPr>
        <w:tblW w:w="4871" w:type="pct"/>
        <w:tblInd w:w="71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39"/>
        <w:gridCol w:w="1080"/>
        <w:gridCol w:w="1322"/>
        <w:gridCol w:w="1471"/>
        <w:gridCol w:w="1440"/>
        <w:gridCol w:w="1209"/>
        <w:gridCol w:w="1142"/>
      </w:tblGrid>
      <w:tr w:rsidRPr="00C33A48" w:rsidR="00B42650" w:rsidTr="00C3117D" w14:paraId="13EE8BC0" w14:textId="77777777">
        <w:trPr>
          <w:trHeight w:val="1001"/>
        </w:trPr>
        <w:tc>
          <w:tcPr>
            <w:tcW w:w="791" w:type="pct"/>
            <w:tcBorders>
              <w:top w:val="outset" w:color="auto" w:sz="6" w:space="0"/>
              <w:left w:val="outset" w:color="auto" w:sz="6" w:space="0"/>
              <w:bottom w:val="outset" w:color="auto" w:sz="6" w:space="0"/>
              <w:right w:val="outset" w:color="auto" w:sz="6" w:space="0"/>
            </w:tcBorders>
            <w:vAlign w:val="center"/>
            <w:hideMark/>
          </w:tcPr>
          <w:p w:rsidRPr="00C33A48" w:rsidR="00101564" w:rsidP="008F19A4" w:rsidRDefault="00101564" w14:paraId="2A55FD67"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 </w:t>
            </w:r>
          </w:p>
        </w:tc>
        <w:tc>
          <w:tcPr>
            <w:tcW w:w="593" w:type="pct"/>
            <w:tcBorders>
              <w:top w:val="outset" w:color="auto" w:sz="6" w:space="0"/>
              <w:left w:val="outset" w:color="auto" w:sz="6" w:space="0"/>
              <w:bottom w:val="outset" w:color="auto" w:sz="6" w:space="0"/>
              <w:right w:val="outset" w:color="auto" w:sz="6" w:space="0"/>
            </w:tcBorders>
            <w:vAlign w:val="center"/>
            <w:hideMark/>
          </w:tcPr>
          <w:p w:rsidRPr="00C33A48" w:rsidR="00101564" w:rsidP="008F19A4" w:rsidRDefault="00101564" w14:paraId="3FE72FDC"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Requested</w:t>
            </w:r>
          </w:p>
        </w:tc>
        <w:tc>
          <w:tcPr>
            <w:tcW w:w="726" w:type="pct"/>
            <w:tcBorders>
              <w:top w:val="outset" w:color="auto" w:sz="6" w:space="0"/>
              <w:left w:val="outset" w:color="auto" w:sz="6" w:space="0"/>
              <w:bottom w:val="outset" w:color="auto" w:sz="6" w:space="0"/>
              <w:right w:val="outset" w:color="auto" w:sz="6" w:space="0"/>
            </w:tcBorders>
            <w:vAlign w:val="center"/>
            <w:hideMark/>
          </w:tcPr>
          <w:p w:rsidRPr="00C33A48" w:rsidR="00101564" w:rsidP="008F19A4" w:rsidRDefault="00101564" w14:paraId="2323E3CA"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Program Change Due to New Statute</w:t>
            </w:r>
          </w:p>
        </w:tc>
        <w:tc>
          <w:tcPr>
            <w:tcW w:w="808" w:type="pct"/>
            <w:tcBorders>
              <w:top w:val="outset" w:color="auto" w:sz="6" w:space="0"/>
              <w:left w:val="outset" w:color="auto" w:sz="6" w:space="0"/>
              <w:bottom w:val="outset" w:color="auto" w:sz="6" w:space="0"/>
              <w:right w:val="outset" w:color="auto" w:sz="6" w:space="0"/>
            </w:tcBorders>
            <w:vAlign w:val="center"/>
            <w:hideMark/>
          </w:tcPr>
          <w:p w:rsidRPr="00C33A48" w:rsidR="00101564" w:rsidP="008F19A4" w:rsidRDefault="00101564" w14:paraId="32E68032"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Program Change Due to Agency Discretion</w:t>
            </w:r>
          </w:p>
        </w:tc>
        <w:tc>
          <w:tcPr>
            <w:tcW w:w="791" w:type="pct"/>
            <w:tcBorders>
              <w:top w:val="outset" w:color="auto" w:sz="6" w:space="0"/>
              <w:left w:val="outset" w:color="auto" w:sz="6" w:space="0"/>
              <w:bottom w:val="outset" w:color="auto" w:sz="6" w:space="0"/>
              <w:right w:val="outset" w:color="auto" w:sz="6" w:space="0"/>
            </w:tcBorders>
            <w:vAlign w:val="center"/>
            <w:hideMark/>
          </w:tcPr>
          <w:p w:rsidRPr="00C33A48" w:rsidR="00101564" w:rsidP="008F19A4" w:rsidRDefault="00101564" w14:paraId="4FD0C066"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Change Due to Adjustment in Agency Estimate</w:t>
            </w:r>
          </w:p>
        </w:tc>
        <w:tc>
          <w:tcPr>
            <w:tcW w:w="664" w:type="pct"/>
            <w:tcBorders>
              <w:top w:val="outset" w:color="auto" w:sz="6" w:space="0"/>
              <w:left w:val="outset" w:color="auto" w:sz="6" w:space="0"/>
              <w:bottom w:val="outset" w:color="auto" w:sz="6" w:space="0"/>
              <w:right w:val="outset" w:color="auto" w:sz="6" w:space="0"/>
            </w:tcBorders>
            <w:vAlign w:val="center"/>
            <w:hideMark/>
          </w:tcPr>
          <w:p w:rsidRPr="00C33A48" w:rsidR="00101564" w:rsidP="008F19A4" w:rsidRDefault="00101564" w14:paraId="1671F8C7"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Change Due to Potential Violation of the PRA</w:t>
            </w:r>
          </w:p>
        </w:tc>
        <w:tc>
          <w:tcPr>
            <w:tcW w:w="628" w:type="pct"/>
            <w:tcBorders>
              <w:top w:val="outset" w:color="auto" w:sz="6" w:space="0"/>
              <w:left w:val="outset" w:color="auto" w:sz="6" w:space="0"/>
              <w:bottom w:val="outset" w:color="auto" w:sz="6" w:space="0"/>
              <w:right w:val="outset" w:color="auto" w:sz="6" w:space="0"/>
            </w:tcBorders>
            <w:vAlign w:val="center"/>
            <w:hideMark/>
          </w:tcPr>
          <w:p w:rsidRPr="00C33A48" w:rsidR="00101564" w:rsidP="008F19A4" w:rsidRDefault="00101564" w14:paraId="2D61971A"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Previously Approved</w:t>
            </w:r>
          </w:p>
        </w:tc>
      </w:tr>
      <w:tr w:rsidRPr="00C33A48" w:rsidR="00B42650" w:rsidTr="00C3117D" w14:paraId="4D423F8E" w14:textId="77777777">
        <w:trPr>
          <w:trHeight w:val="445"/>
        </w:trPr>
        <w:tc>
          <w:tcPr>
            <w:tcW w:w="791" w:type="pct"/>
            <w:tcBorders>
              <w:top w:val="outset" w:color="auto" w:sz="6" w:space="0"/>
              <w:left w:val="outset" w:color="auto" w:sz="6" w:space="0"/>
              <w:bottom w:val="outset" w:color="auto" w:sz="6" w:space="0"/>
              <w:right w:val="outset" w:color="auto" w:sz="6" w:space="0"/>
            </w:tcBorders>
            <w:hideMark/>
          </w:tcPr>
          <w:p w:rsidRPr="00C33A48" w:rsidR="00101564" w:rsidP="008F19A4" w:rsidRDefault="00101564" w14:paraId="41740D48"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Annual Number of Responses for this IC</w:t>
            </w:r>
          </w:p>
        </w:tc>
        <w:tc>
          <w:tcPr>
            <w:tcW w:w="593" w:type="pct"/>
            <w:tcBorders>
              <w:top w:val="outset" w:color="auto" w:sz="6" w:space="0"/>
              <w:left w:val="outset" w:color="auto" w:sz="6" w:space="0"/>
              <w:bottom w:val="outset" w:color="auto" w:sz="6" w:space="0"/>
              <w:right w:val="outset" w:color="auto" w:sz="6" w:space="0"/>
            </w:tcBorders>
          </w:tcPr>
          <w:p w:rsidRPr="00C33A48" w:rsidR="00101564" w:rsidP="008F19A4" w:rsidRDefault="00101564" w14:paraId="1C2E5667" w14:textId="77777777">
            <w:pPr>
              <w:widowControl/>
              <w:autoSpaceDE/>
              <w:autoSpaceDN/>
              <w:adjustRightInd/>
              <w:rPr>
                <w:rFonts w:cs="Arial" w:asciiTheme="minorHAnsi" w:hAnsiTheme="minorHAnsi"/>
                <w:color w:val="000000"/>
                <w:sz w:val="20"/>
                <w:szCs w:val="20"/>
              </w:rPr>
            </w:pPr>
            <w:r w:rsidRPr="00F85853">
              <w:rPr>
                <w:rFonts w:cs="Arial" w:asciiTheme="minorHAnsi" w:hAnsiTheme="minorHAnsi"/>
                <w:color w:val="000000"/>
                <w:sz w:val="20"/>
                <w:szCs w:val="20"/>
              </w:rPr>
              <w:t xml:space="preserve">  </w:t>
            </w:r>
            <w:r>
              <w:rPr>
                <w:rFonts w:cs="Arial" w:asciiTheme="minorHAnsi" w:hAnsiTheme="minorHAnsi"/>
                <w:color w:val="000000"/>
                <w:sz w:val="20"/>
                <w:szCs w:val="20"/>
              </w:rPr>
              <w:t>300</w:t>
            </w:r>
          </w:p>
        </w:tc>
        <w:tc>
          <w:tcPr>
            <w:tcW w:w="726" w:type="pct"/>
            <w:tcBorders>
              <w:top w:val="outset" w:color="auto" w:sz="6" w:space="0"/>
              <w:left w:val="outset" w:color="auto" w:sz="6" w:space="0"/>
              <w:bottom w:val="outset" w:color="auto" w:sz="6" w:space="0"/>
              <w:right w:val="outset" w:color="auto" w:sz="6" w:space="0"/>
            </w:tcBorders>
            <w:hideMark/>
          </w:tcPr>
          <w:p w:rsidRPr="00C33A48" w:rsidR="00101564" w:rsidP="008F19A4" w:rsidRDefault="00101564" w14:paraId="38B57FB1"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808" w:type="pct"/>
            <w:tcBorders>
              <w:top w:val="outset" w:color="auto" w:sz="6" w:space="0"/>
              <w:left w:val="outset" w:color="auto" w:sz="6" w:space="0"/>
              <w:bottom w:val="outset" w:color="auto" w:sz="6" w:space="0"/>
              <w:right w:val="outset" w:color="auto" w:sz="6" w:space="0"/>
            </w:tcBorders>
            <w:hideMark/>
          </w:tcPr>
          <w:p w:rsidRPr="00C33A48" w:rsidR="00101564" w:rsidP="008F19A4" w:rsidRDefault="00101564" w14:paraId="25F06DB6"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791" w:type="pct"/>
            <w:tcBorders>
              <w:top w:val="outset" w:color="auto" w:sz="6" w:space="0"/>
              <w:left w:val="outset" w:color="auto" w:sz="6" w:space="0"/>
              <w:bottom w:val="outset" w:color="auto" w:sz="6" w:space="0"/>
              <w:right w:val="outset" w:color="auto" w:sz="6" w:space="0"/>
            </w:tcBorders>
            <w:hideMark/>
          </w:tcPr>
          <w:p w:rsidRPr="003C1510" w:rsidR="00101564" w:rsidP="008F19A4" w:rsidRDefault="00101564" w14:paraId="13ADB2BD"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664" w:type="pct"/>
            <w:tcBorders>
              <w:top w:val="outset" w:color="auto" w:sz="6" w:space="0"/>
              <w:left w:val="outset" w:color="auto" w:sz="6" w:space="0"/>
              <w:bottom w:val="outset" w:color="auto" w:sz="6" w:space="0"/>
              <w:right w:val="outset" w:color="auto" w:sz="6" w:space="0"/>
            </w:tcBorders>
            <w:hideMark/>
          </w:tcPr>
          <w:p w:rsidRPr="003C1510" w:rsidR="00101564" w:rsidP="008F19A4" w:rsidRDefault="00101564" w14:paraId="09AECB6A" w14:textId="77777777">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0</w:t>
            </w:r>
          </w:p>
        </w:tc>
        <w:tc>
          <w:tcPr>
            <w:tcW w:w="628" w:type="pct"/>
            <w:tcBorders>
              <w:top w:val="outset" w:color="auto" w:sz="6" w:space="0"/>
              <w:left w:val="outset" w:color="auto" w:sz="6" w:space="0"/>
              <w:bottom w:val="outset" w:color="auto" w:sz="6" w:space="0"/>
              <w:right w:val="outset" w:color="auto" w:sz="6" w:space="0"/>
            </w:tcBorders>
          </w:tcPr>
          <w:p w:rsidRPr="003C1510" w:rsidR="00101564" w:rsidP="008F19A4" w:rsidRDefault="00101564" w14:paraId="11BE5151"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300</w:t>
            </w:r>
          </w:p>
        </w:tc>
      </w:tr>
      <w:tr w:rsidRPr="00C33A48" w:rsidR="00B42650" w:rsidTr="00C3117D" w14:paraId="2DDC8863" w14:textId="77777777">
        <w:trPr>
          <w:trHeight w:val="408"/>
        </w:trPr>
        <w:tc>
          <w:tcPr>
            <w:tcW w:w="791" w:type="pct"/>
            <w:tcBorders>
              <w:top w:val="outset" w:color="auto" w:sz="6" w:space="0"/>
              <w:left w:val="outset" w:color="auto" w:sz="6" w:space="0"/>
              <w:bottom w:val="outset" w:color="auto" w:sz="6" w:space="0"/>
              <w:right w:val="outset" w:color="auto" w:sz="6" w:space="0"/>
            </w:tcBorders>
          </w:tcPr>
          <w:p w:rsidRPr="00C33A48" w:rsidR="00101564" w:rsidP="008F19A4" w:rsidRDefault="00101564" w14:paraId="018D0E18" w14:textId="77777777">
            <w:pPr>
              <w:widowControl/>
              <w:autoSpaceDE/>
              <w:autoSpaceDN/>
              <w:adjustRightInd/>
              <w:rPr>
                <w:rFonts w:cs="Arial" w:asciiTheme="minorHAnsi" w:hAnsiTheme="minorHAnsi"/>
                <w:color w:val="000000"/>
                <w:sz w:val="20"/>
                <w:szCs w:val="20"/>
              </w:rPr>
            </w:pPr>
            <w:r w:rsidRPr="008C739B">
              <w:rPr>
                <w:rFonts w:cs="Arial" w:asciiTheme="minorHAnsi" w:hAnsiTheme="minorHAnsi"/>
                <w:color w:val="000000"/>
                <w:sz w:val="20"/>
                <w:szCs w:val="20"/>
              </w:rPr>
              <w:t>Annual Time Burden (</w:t>
            </w:r>
            <w:proofErr w:type="spellStart"/>
            <w:r w:rsidRPr="008C739B">
              <w:rPr>
                <w:rFonts w:cs="Arial" w:asciiTheme="minorHAnsi" w:hAnsiTheme="minorHAnsi"/>
                <w:color w:val="000000"/>
                <w:sz w:val="20"/>
                <w:szCs w:val="20"/>
              </w:rPr>
              <w:t>Hr</w:t>
            </w:r>
            <w:proofErr w:type="spellEnd"/>
            <w:r w:rsidRPr="008C739B">
              <w:rPr>
                <w:rFonts w:cs="Arial" w:asciiTheme="minorHAnsi" w:hAnsiTheme="minorHAnsi"/>
                <w:color w:val="000000"/>
                <w:sz w:val="20"/>
                <w:szCs w:val="20"/>
              </w:rPr>
              <w:t>)</w:t>
            </w:r>
          </w:p>
        </w:tc>
        <w:tc>
          <w:tcPr>
            <w:tcW w:w="593" w:type="pct"/>
            <w:tcBorders>
              <w:top w:val="outset" w:color="auto" w:sz="6" w:space="0"/>
              <w:left w:val="outset" w:color="auto" w:sz="6" w:space="0"/>
              <w:bottom w:val="outset" w:color="auto" w:sz="6" w:space="0"/>
              <w:right w:val="outset" w:color="auto" w:sz="6" w:space="0"/>
            </w:tcBorders>
          </w:tcPr>
          <w:p w:rsidRPr="00C33A48" w:rsidR="00101564" w:rsidP="008F19A4" w:rsidRDefault="00101564" w14:paraId="1B626A97" w14:textId="77777777">
            <w:pPr>
              <w:widowControl/>
              <w:autoSpaceDE/>
              <w:autoSpaceDN/>
              <w:adjustRightInd/>
              <w:rPr>
                <w:rFonts w:cs="Arial" w:asciiTheme="minorHAnsi" w:hAnsiTheme="minorHAnsi"/>
                <w:color w:val="000000"/>
                <w:sz w:val="20"/>
                <w:szCs w:val="20"/>
              </w:rPr>
            </w:pPr>
            <w:r>
              <w:rPr>
                <w:rFonts w:cs="Arial" w:asciiTheme="minorHAnsi" w:hAnsiTheme="minorHAnsi"/>
                <w:color w:val="000000"/>
                <w:sz w:val="20"/>
                <w:szCs w:val="20"/>
              </w:rPr>
              <w:t xml:space="preserve">   300</w:t>
            </w:r>
          </w:p>
        </w:tc>
        <w:tc>
          <w:tcPr>
            <w:tcW w:w="726" w:type="pct"/>
            <w:tcBorders>
              <w:top w:val="outset" w:color="auto" w:sz="6" w:space="0"/>
              <w:left w:val="outset" w:color="auto" w:sz="6" w:space="0"/>
              <w:bottom w:val="outset" w:color="auto" w:sz="6" w:space="0"/>
              <w:right w:val="outset" w:color="auto" w:sz="6" w:space="0"/>
            </w:tcBorders>
            <w:hideMark/>
          </w:tcPr>
          <w:p w:rsidRPr="00C33A48" w:rsidR="00101564" w:rsidP="008F19A4" w:rsidRDefault="00101564" w14:paraId="299FDB5B" w14:textId="77777777">
            <w:pPr>
              <w:widowControl/>
              <w:autoSpaceDE/>
              <w:autoSpaceDN/>
              <w:adjustRightInd/>
              <w:rPr>
                <w:rFonts w:cs="Arial" w:asciiTheme="minorHAnsi" w:hAnsiTheme="minorHAnsi"/>
                <w:color w:val="000000"/>
                <w:sz w:val="20"/>
                <w:szCs w:val="20"/>
              </w:rPr>
            </w:pPr>
            <w:r>
              <w:rPr>
                <w:rFonts w:cs="Arial" w:asciiTheme="minorHAnsi" w:hAnsiTheme="minorHAnsi"/>
                <w:color w:val="000000"/>
                <w:sz w:val="20"/>
                <w:szCs w:val="20"/>
              </w:rPr>
              <w:t>0</w:t>
            </w:r>
          </w:p>
        </w:tc>
        <w:tc>
          <w:tcPr>
            <w:tcW w:w="808" w:type="pct"/>
            <w:tcBorders>
              <w:top w:val="outset" w:color="auto" w:sz="6" w:space="0"/>
              <w:left w:val="outset" w:color="auto" w:sz="6" w:space="0"/>
              <w:bottom w:val="outset" w:color="auto" w:sz="6" w:space="0"/>
              <w:right w:val="outset" w:color="auto" w:sz="6" w:space="0"/>
            </w:tcBorders>
            <w:hideMark/>
          </w:tcPr>
          <w:p w:rsidRPr="00C33A48" w:rsidR="00101564" w:rsidP="008F19A4" w:rsidRDefault="00101564" w14:paraId="74AEEF62"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791" w:type="pct"/>
            <w:tcBorders>
              <w:top w:val="outset" w:color="auto" w:sz="6" w:space="0"/>
              <w:left w:val="outset" w:color="auto" w:sz="6" w:space="0"/>
              <w:bottom w:val="outset" w:color="auto" w:sz="6" w:space="0"/>
              <w:right w:val="outset" w:color="auto" w:sz="6" w:space="0"/>
            </w:tcBorders>
            <w:hideMark/>
          </w:tcPr>
          <w:p w:rsidRPr="003C1510" w:rsidR="00101564" w:rsidP="008F19A4" w:rsidRDefault="00101564" w14:paraId="7622896F"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664" w:type="pct"/>
            <w:tcBorders>
              <w:top w:val="outset" w:color="auto" w:sz="6" w:space="0"/>
              <w:left w:val="outset" w:color="auto" w:sz="6" w:space="0"/>
              <w:bottom w:val="outset" w:color="auto" w:sz="6" w:space="0"/>
              <w:right w:val="outset" w:color="auto" w:sz="6" w:space="0"/>
            </w:tcBorders>
            <w:hideMark/>
          </w:tcPr>
          <w:p w:rsidRPr="003C1510" w:rsidR="00101564" w:rsidP="008F19A4" w:rsidRDefault="00101564" w14:paraId="25FF4F1A" w14:textId="77777777">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0</w:t>
            </w:r>
          </w:p>
        </w:tc>
        <w:tc>
          <w:tcPr>
            <w:tcW w:w="628" w:type="pct"/>
            <w:tcBorders>
              <w:top w:val="outset" w:color="auto" w:sz="6" w:space="0"/>
              <w:left w:val="outset" w:color="auto" w:sz="6" w:space="0"/>
              <w:bottom w:val="outset" w:color="auto" w:sz="6" w:space="0"/>
              <w:right w:val="outset" w:color="auto" w:sz="6" w:space="0"/>
            </w:tcBorders>
          </w:tcPr>
          <w:p w:rsidRPr="003C1510" w:rsidR="00101564" w:rsidP="008F19A4" w:rsidRDefault="00101564" w14:paraId="4E8A61F3"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300</w:t>
            </w:r>
          </w:p>
        </w:tc>
      </w:tr>
    </w:tbl>
    <w:p w:rsidRPr="009F0CB5" w:rsidR="000B6330" w:rsidRDefault="000B6330" w14:paraId="105A1568" w14:textId="77777777">
      <w:pPr>
        <w:rPr>
          <w:rFonts w:ascii="Times New Roman" w:hAnsi="Times New Roman"/>
        </w:rPr>
      </w:pPr>
    </w:p>
    <w:p w:rsidRPr="009F0CB5" w:rsidR="000B6330" w:rsidRDefault="000B6330" w14:paraId="6AF403BB" w14:textId="77777777">
      <w:pPr>
        <w:tabs>
          <w:tab w:val="left" w:pos="-1440"/>
        </w:tabs>
        <w:ind w:left="720" w:hanging="720"/>
        <w:rPr>
          <w:rFonts w:ascii="Times New Roman" w:hAnsi="Times New Roman"/>
        </w:rPr>
      </w:pPr>
      <w:r w:rsidRPr="009F0CB5">
        <w:rPr>
          <w:rFonts w:ascii="Times New Roman" w:hAnsi="Times New Roman"/>
        </w:rPr>
        <w:t>16.</w:t>
      </w:r>
      <w:r w:rsidRPr="009F0CB5">
        <w:rPr>
          <w:rFonts w:ascii="Times New Roman" w:hAnsi="Times New Roman"/>
        </w:rPr>
        <w:tab/>
      </w:r>
      <w:r w:rsidRPr="009F0CB5">
        <w:rPr>
          <w:rFonts w:ascii="Times New Roman" w:hAnsi="Times New Roman"/>
          <w:u w:val="single"/>
        </w:rPr>
        <w:t>PLANS FOR TABULATION, STATISTICAL ANALYSIS AND PUBLICATION</w:t>
      </w:r>
    </w:p>
    <w:p w:rsidRPr="009F0CB5" w:rsidR="000B6330" w:rsidRDefault="000B6330" w14:paraId="2E400BAE" w14:textId="77777777">
      <w:pPr>
        <w:rPr>
          <w:rFonts w:ascii="Times New Roman" w:hAnsi="Times New Roman"/>
        </w:rPr>
      </w:pPr>
    </w:p>
    <w:p w:rsidRPr="009F0CB5" w:rsidR="00D87B61" w:rsidP="00D87B61" w:rsidRDefault="00D87B61" w14:paraId="6A0CD7AB" w14:textId="5A832727">
      <w:pPr>
        <w:ind w:left="720"/>
        <w:rPr>
          <w:rFonts w:ascii="Times New Roman" w:hAnsi="Times New Roman"/>
        </w:rPr>
      </w:pPr>
      <w:r w:rsidRPr="009F0CB5">
        <w:rPr>
          <w:rFonts w:ascii="Times New Roman" w:hAnsi="Times New Roman"/>
        </w:rPr>
        <w:t xml:space="preserve">There are no plans for tabulation, statistical </w:t>
      </w:r>
      <w:r w:rsidRPr="009F0CB5" w:rsidR="000F390F">
        <w:rPr>
          <w:rFonts w:ascii="Times New Roman" w:hAnsi="Times New Roman"/>
        </w:rPr>
        <w:t>analysis,</w:t>
      </w:r>
      <w:r w:rsidRPr="009F0CB5">
        <w:rPr>
          <w:rFonts w:ascii="Times New Roman" w:hAnsi="Times New Roman"/>
        </w:rPr>
        <w:t xml:space="preserve"> and publication. </w:t>
      </w:r>
    </w:p>
    <w:p w:rsidRPr="009F0CB5" w:rsidR="00587070" w:rsidP="004C685B" w:rsidRDefault="00587070" w14:paraId="593C9E70" w14:textId="77777777">
      <w:pPr>
        <w:ind w:left="720"/>
        <w:rPr>
          <w:rFonts w:ascii="Times New Roman" w:hAnsi="Times New Roman"/>
        </w:rPr>
      </w:pPr>
    </w:p>
    <w:p w:rsidRPr="009F0CB5" w:rsidR="000B6330" w:rsidRDefault="000B6330" w14:paraId="3F957B81" w14:textId="77777777">
      <w:pPr>
        <w:tabs>
          <w:tab w:val="left" w:pos="-1440"/>
        </w:tabs>
        <w:ind w:left="720" w:hanging="720"/>
        <w:rPr>
          <w:rFonts w:ascii="Times New Roman" w:hAnsi="Times New Roman"/>
        </w:rPr>
      </w:pPr>
      <w:r w:rsidRPr="009F0CB5">
        <w:rPr>
          <w:rFonts w:ascii="Times New Roman" w:hAnsi="Times New Roman"/>
        </w:rPr>
        <w:t>17.</w:t>
      </w:r>
      <w:r w:rsidRPr="009F0CB5">
        <w:rPr>
          <w:rFonts w:ascii="Times New Roman" w:hAnsi="Times New Roman"/>
        </w:rPr>
        <w:tab/>
      </w:r>
      <w:r w:rsidRPr="009F0CB5">
        <w:rPr>
          <w:rFonts w:ascii="Times New Roman" w:hAnsi="Times New Roman"/>
          <w:u w:val="single"/>
        </w:rPr>
        <w:t>REASONS WHY DISPLAYING THE OMB EXPIRATION DATE IS</w:t>
      </w:r>
      <w:r w:rsidR="00962AEC">
        <w:rPr>
          <w:rFonts w:ascii="Times New Roman" w:hAnsi="Times New Roman"/>
          <w:u w:val="single"/>
        </w:rPr>
        <w:t xml:space="preserve"> </w:t>
      </w:r>
      <w:r w:rsidRPr="009F0CB5">
        <w:rPr>
          <w:rFonts w:ascii="Times New Roman" w:hAnsi="Times New Roman"/>
          <w:u w:val="single"/>
        </w:rPr>
        <w:t>INAPPROPRIATE</w:t>
      </w:r>
    </w:p>
    <w:p w:rsidRPr="009F0CB5" w:rsidR="000B6330" w:rsidRDefault="000B6330" w14:paraId="64AFD263" w14:textId="77777777">
      <w:pPr>
        <w:rPr>
          <w:rFonts w:ascii="Times New Roman" w:hAnsi="Times New Roman"/>
        </w:rPr>
      </w:pPr>
    </w:p>
    <w:p w:rsidRPr="009F0CB5" w:rsidR="000B6330" w:rsidRDefault="00AD5EF7" w14:paraId="48270797" w14:textId="240C7B32">
      <w:pPr>
        <w:ind w:left="720"/>
        <w:rPr>
          <w:rFonts w:ascii="Times New Roman" w:hAnsi="Times New Roman"/>
        </w:rPr>
      </w:pPr>
      <w:r w:rsidRPr="009F0CB5">
        <w:rPr>
          <w:rFonts w:ascii="Times New Roman" w:hAnsi="Times New Roman"/>
        </w:rPr>
        <w:t xml:space="preserve">IRS </w:t>
      </w:r>
      <w:r w:rsidRPr="009F0CB5" w:rsidR="000B6330">
        <w:rPr>
          <w:rFonts w:ascii="Times New Roman" w:hAnsi="Times New Roman"/>
        </w:rPr>
        <w:t>believe</w:t>
      </w:r>
      <w:r w:rsidRPr="009F0CB5">
        <w:rPr>
          <w:rFonts w:ascii="Times New Roman" w:hAnsi="Times New Roman"/>
        </w:rPr>
        <w:t>s</w:t>
      </w:r>
      <w:r w:rsidRPr="009F0CB5" w:rsidR="000B6330">
        <w:rPr>
          <w:rFonts w:ascii="Times New Roman" w:hAnsi="Times New Roman"/>
        </w:rPr>
        <w:t xml:space="preserve"> that displaying the OMB expiration date is inappropriate because it could cause confusion by leading taxpayers to believe that the </w:t>
      </w:r>
      <w:r w:rsidR="00E3583B">
        <w:rPr>
          <w:rFonts w:ascii="Times New Roman" w:hAnsi="Times New Roman"/>
        </w:rPr>
        <w:t>notice</w:t>
      </w:r>
      <w:r w:rsidRPr="009F0CB5" w:rsidR="00E3583B">
        <w:rPr>
          <w:rFonts w:ascii="Times New Roman" w:hAnsi="Times New Roman"/>
        </w:rPr>
        <w:t xml:space="preserve"> </w:t>
      </w:r>
      <w:r w:rsidRPr="009F0CB5" w:rsidR="000B6330">
        <w:rPr>
          <w:rFonts w:ascii="Times New Roman" w:hAnsi="Times New Roman"/>
        </w:rPr>
        <w:t>sunset</w:t>
      </w:r>
      <w:r w:rsidR="00F05EE2">
        <w:rPr>
          <w:rFonts w:ascii="Times New Roman" w:hAnsi="Times New Roman"/>
        </w:rPr>
        <w:t>s</w:t>
      </w:r>
      <w:r w:rsidRPr="009F0CB5" w:rsidR="000B6330">
        <w:rPr>
          <w:rFonts w:ascii="Times New Roman" w:hAnsi="Times New Roman"/>
        </w:rPr>
        <w:t xml:space="preserve"> as of the expiration date.  Taxpayers are not likely to be aware that the Service intends to request renewal of the OMB approval and obtain a new expiration date before the old one expires.</w:t>
      </w:r>
    </w:p>
    <w:p w:rsidRPr="009F0CB5" w:rsidR="00101564" w:rsidRDefault="00101564" w14:paraId="3F75250C" w14:textId="77777777">
      <w:pPr>
        <w:rPr>
          <w:rFonts w:ascii="Times New Roman" w:hAnsi="Times New Roman"/>
        </w:rPr>
      </w:pPr>
    </w:p>
    <w:p w:rsidRPr="009F0CB5" w:rsidR="000B6330" w:rsidRDefault="000B6330" w14:paraId="6C29E17F" w14:textId="77777777">
      <w:pPr>
        <w:tabs>
          <w:tab w:val="left" w:pos="-1440"/>
        </w:tabs>
        <w:ind w:left="720" w:hanging="720"/>
        <w:rPr>
          <w:rFonts w:ascii="Times New Roman" w:hAnsi="Times New Roman"/>
        </w:rPr>
      </w:pPr>
      <w:r w:rsidRPr="009F0CB5">
        <w:rPr>
          <w:rFonts w:ascii="Times New Roman" w:hAnsi="Times New Roman"/>
        </w:rPr>
        <w:t>18.</w:t>
      </w:r>
      <w:r w:rsidRPr="009F0CB5">
        <w:rPr>
          <w:rFonts w:ascii="Times New Roman" w:hAnsi="Times New Roman"/>
        </w:rPr>
        <w:tab/>
      </w:r>
      <w:r w:rsidRPr="009F0CB5">
        <w:rPr>
          <w:rFonts w:ascii="Times New Roman" w:hAnsi="Times New Roman"/>
          <w:u w:val="single"/>
        </w:rPr>
        <w:t>EXCEPTIONS TO THE CERTIFICATION STATEMENT</w:t>
      </w:r>
    </w:p>
    <w:p w:rsidRPr="009F0CB5" w:rsidR="000B6330" w:rsidRDefault="000B6330" w14:paraId="1DBCB1EF" w14:textId="77777777">
      <w:pPr>
        <w:rPr>
          <w:rFonts w:ascii="Times New Roman" w:hAnsi="Times New Roman"/>
        </w:rPr>
      </w:pPr>
    </w:p>
    <w:p w:rsidRPr="009F0CB5" w:rsidR="000B6330" w:rsidRDefault="00D87B61" w14:paraId="6B02EDC5" w14:textId="77777777">
      <w:pPr>
        <w:ind w:left="720"/>
        <w:rPr>
          <w:rFonts w:ascii="Times New Roman" w:hAnsi="Times New Roman"/>
        </w:rPr>
      </w:pPr>
      <w:r w:rsidRPr="009F0CB5">
        <w:rPr>
          <w:rFonts w:ascii="Times New Roman" w:hAnsi="Times New Roman"/>
        </w:rPr>
        <w:t>There are no exceptions</w:t>
      </w:r>
      <w:r w:rsidRPr="009F0CB5" w:rsidR="000B6330">
        <w:rPr>
          <w:rFonts w:ascii="Times New Roman" w:hAnsi="Times New Roman"/>
        </w:rPr>
        <w:t>.</w:t>
      </w:r>
    </w:p>
    <w:p w:rsidRPr="009F0CB5" w:rsidR="000B6330" w:rsidRDefault="000B6330" w14:paraId="6A689780" w14:textId="77777777">
      <w:pPr>
        <w:rPr>
          <w:rFonts w:ascii="Times New Roman" w:hAnsi="Times New Roman"/>
        </w:rPr>
      </w:pPr>
    </w:p>
    <w:p w:rsidRPr="009F0CB5" w:rsidR="000B6330" w:rsidRDefault="000B6330" w14:paraId="4988E9EF" w14:textId="77777777">
      <w:pPr>
        <w:rPr>
          <w:rFonts w:ascii="Times New Roman" w:hAnsi="Times New Roman"/>
        </w:rPr>
      </w:pPr>
      <w:r w:rsidRPr="009F0CB5">
        <w:rPr>
          <w:rFonts w:ascii="Times New Roman" w:hAnsi="Times New Roman"/>
          <w:b/>
          <w:bCs/>
          <w:u w:val="single"/>
        </w:rPr>
        <w:t>Note:</w:t>
      </w:r>
      <w:r w:rsidRPr="009F0CB5">
        <w:rPr>
          <w:rFonts w:ascii="Times New Roman" w:hAnsi="Times New Roman"/>
          <w:b/>
          <w:bCs/>
        </w:rPr>
        <w:t xml:space="preserve"> </w:t>
      </w:r>
      <w:r w:rsidRPr="009F0CB5">
        <w:rPr>
          <w:rFonts w:ascii="Times New Roman" w:hAnsi="Times New Roman"/>
        </w:rPr>
        <w:t xml:space="preserve">  The following paragraph applies to all of the collections of information in this submission:</w:t>
      </w:r>
    </w:p>
    <w:p w:rsidRPr="009F0CB5" w:rsidR="000B6330" w:rsidRDefault="000B6330" w14:paraId="248346E6" w14:textId="77777777">
      <w:pPr>
        <w:rPr>
          <w:rFonts w:ascii="Times New Roman" w:hAnsi="Times New Roman"/>
        </w:rPr>
      </w:pPr>
    </w:p>
    <w:p w:rsidRPr="009F0CB5" w:rsidR="000B6330" w:rsidRDefault="000B6330" w14:paraId="5B43AD8F" w14:textId="77777777">
      <w:pPr>
        <w:ind w:firstLine="720"/>
        <w:rPr>
          <w:rFonts w:ascii="Times New Roman" w:hAnsi="Times New Roman"/>
        </w:rPr>
      </w:pPr>
      <w:r w:rsidRPr="009F0CB5">
        <w:rPr>
          <w:rFonts w:ascii="Times New Roman" w:hAnsi="Times New Roman"/>
        </w:rPr>
        <w:t xml:space="preserve">An agency may not conduct or sponsor, and a person is not required to respond to, a collection of information unless the collection of information displays a valid OMB control </w:t>
      </w:r>
      <w:r w:rsidRPr="009F0CB5">
        <w:rPr>
          <w:rFonts w:ascii="Times New Roman" w:hAnsi="Times New Roman"/>
        </w:rPr>
        <w:lastRenderedPageBreak/>
        <w:t>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852671" w:rsidR="000B6330" w:rsidRDefault="000B6330" w14:paraId="4E663624" w14:textId="77777777">
      <w:pPr>
        <w:rPr>
          <w:rFonts w:ascii="Calibri" w:hAnsi="Calibri" w:cs="Courier New"/>
          <w:sz w:val="22"/>
          <w:szCs w:val="22"/>
        </w:rPr>
      </w:pPr>
    </w:p>
    <w:p w:rsidRPr="00852671" w:rsidR="000B6330" w:rsidRDefault="000B6330" w14:paraId="4237F232" w14:textId="77777777">
      <w:pPr>
        <w:rPr>
          <w:rFonts w:ascii="Calibri" w:hAnsi="Calibri" w:cs="Shruti"/>
          <w:sz w:val="22"/>
          <w:szCs w:val="22"/>
        </w:rPr>
      </w:pPr>
    </w:p>
    <w:sectPr w:rsidRPr="00852671" w:rsidR="000B6330" w:rsidSect="000B633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6CF7" w14:textId="77777777" w:rsidR="00C67E71" w:rsidRDefault="00C67E71">
      <w:r>
        <w:separator/>
      </w:r>
    </w:p>
  </w:endnote>
  <w:endnote w:type="continuationSeparator" w:id="0">
    <w:p w14:paraId="301BEA06" w14:textId="77777777" w:rsidR="00C67E71" w:rsidRDefault="00C6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781D" w14:textId="77777777" w:rsidR="00C67E71" w:rsidRDefault="00C67E71">
      <w:r>
        <w:separator/>
      </w:r>
    </w:p>
  </w:footnote>
  <w:footnote w:type="continuationSeparator" w:id="0">
    <w:p w14:paraId="6B4569D5" w14:textId="77777777" w:rsidR="00C67E71" w:rsidRDefault="00C67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5297" w14:textId="77777777" w:rsidR="00B0485F" w:rsidRDefault="00B0485F">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14:paraId="7CCE62E3" w14:textId="77777777" w:rsidR="00B0485F" w:rsidRDefault="00B0485F"/>
  <w:p w14:paraId="14B49E5F" w14:textId="77777777" w:rsidR="00B0485F" w:rsidRDefault="00B0485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13C88"/>
    <w:rsid w:val="00035123"/>
    <w:rsid w:val="00063D00"/>
    <w:rsid w:val="000B6330"/>
    <w:rsid w:val="000C1D42"/>
    <w:rsid w:val="000F390F"/>
    <w:rsid w:val="00101564"/>
    <w:rsid w:val="00106619"/>
    <w:rsid w:val="00132E90"/>
    <w:rsid w:val="00140C82"/>
    <w:rsid w:val="00165A79"/>
    <w:rsid w:val="001761A2"/>
    <w:rsid w:val="001B0514"/>
    <w:rsid w:val="0023085F"/>
    <w:rsid w:val="00233386"/>
    <w:rsid w:val="00256C23"/>
    <w:rsid w:val="00263F22"/>
    <w:rsid w:val="00271437"/>
    <w:rsid w:val="0027270E"/>
    <w:rsid w:val="002B749C"/>
    <w:rsid w:val="002C19B2"/>
    <w:rsid w:val="002F21EB"/>
    <w:rsid w:val="003260E2"/>
    <w:rsid w:val="0032747C"/>
    <w:rsid w:val="003551CF"/>
    <w:rsid w:val="003A24D8"/>
    <w:rsid w:val="003C34BB"/>
    <w:rsid w:val="00400A6F"/>
    <w:rsid w:val="004029AF"/>
    <w:rsid w:val="00423C8F"/>
    <w:rsid w:val="00484576"/>
    <w:rsid w:val="00490784"/>
    <w:rsid w:val="004C685B"/>
    <w:rsid w:val="005178A8"/>
    <w:rsid w:val="00555E43"/>
    <w:rsid w:val="00566EE5"/>
    <w:rsid w:val="005814A2"/>
    <w:rsid w:val="00587070"/>
    <w:rsid w:val="005F136B"/>
    <w:rsid w:val="00682D2B"/>
    <w:rsid w:val="006B5CC7"/>
    <w:rsid w:val="006E40A0"/>
    <w:rsid w:val="007251AD"/>
    <w:rsid w:val="00735D2F"/>
    <w:rsid w:val="0074038F"/>
    <w:rsid w:val="00744426"/>
    <w:rsid w:val="007960A0"/>
    <w:rsid w:val="007B32B2"/>
    <w:rsid w:val="007C2F81"/>
    <w:rsid w:val="007D7AF0"/>
    <w:rsid w:val="008268FD"/>
    <w:rsid w:val="00852671"/>
    <w:rsid w:val="00874A30"/>
    <w:rsid w:val="008B7732"/>
    <w:rsid w:val="008C498A"/>
    <w:rsid w:val="0092401A"/>
    <w:rsid w:val="00962AEC"/>
    <w:rsid w:val="009A0830"/>
    <w:rsid w:val="009A25CB"/>
    <w:rsid w:val="009E3E50"/>
    <w:rsid w:val="009F0CB5"/>
    <w:rsid w:val="00A14273"/>
    <w:rsid w:val="00AA5388"/>
    <w:rsid w:val="00AB2F73"/>
    <w:rsid w:val="00AB68A3"/>
    <w:rsid w:val="00AD5EF7"/>
    <w:rsid w:val="00AD6D14"/>
    <w:rsid w:val="00AE0454"/>
    <w:rsid w:val="00B025C7"/>
    <w:rsid w:val="00B0485F"/>
    <w:rsid w:val="00B42650"/>
    <w:rsid w:val="00B608B3"/>
    <w:rsid w:val="00B971CD"/>
    <w:rsid w:val="00BE45C2"/>
    <w:rsid w:val="00C3117D"/>
    <w:rsid w:val="00C43C1F"/>
    <w:rsid w:val="00C67E71"/>
    <w:rsid w:val="00C96659"/>
    <w:rsid w:val="00CA66AB"/>
    <w:rsid w:val="00D064B3"/>
    <w:rsid w:val="00D350A4"/>
    <w:rsid w:val="00D87B61"/>
    <w:rsid w:val="00DB600B"/>
    <w:rsid w:val="00E04870"/>
    <w:rsid w:val="00E04F9A"/>
    <w:rsid w:val="00E05DB4"/>
    <w:rsid w:val="00E136DA"/>
    <w:rsid w:val="00E2289B"/>
    <w:rsid w:val="00E3583B"/>
    <w:rsid w:val="00E90509"/>
    <w:rsid w:val="00EA5C91"/>
    <w:rsid w:val="00EB4918"/>
    <w:rsid w:val="00EC02EA"/>
    <w:rsid w:val="00F05EE2"/>
    <w:rsid w:val="00F26F71"/>
    <w:rsid w:val="00F531E2"/>
    <w:rsid w:val="00FA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4F57D9"/>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Hyperlink">
    <w:name w:val="Hyperlink"/>
    <w:basedOn w:val="DefaultParagraphFont"/>
    <w:rsid w:val="00AD6D14"/>
    <w:rPr>
      <w:color w:val="0563C1" w:themeColor="hyperlink"/>
      <w:u w:val="single"/>
    </w:rPr>
  </w:style>
  <w:style w:type="character" w:styleId="UnresolvedMention">
    <w:name w:val="Unresolved Mention"/>
    <w:basedOn w:val="DefaultParagraphFont"/>
    <w:uiPriority w:val="99"/>
    <w:semiHidden/>
    <w:unhideWhenUsed/>
    <w:rsid w:val="00AD6D14"/>
    <w:rPr>
      <w:color w:val="605E5C"/>
      <w:shd w:val="clear" w:color="auto" w:fill="E1DFDD"/>
    </w:rPr>
  </w:style>
  <w:style w:type="character" w:styleId="CommentReference">
    <w:name w:val="annotation reference"/>
    <w:basedOn w:val="DefaultParagraphFont"/>
    <w:rsid w:val="00C96659"/>
    <w:rPr>
      <w:sz w:val="16"/>
      <w:szCs w:val="16"/>
    </w:rPr>
  </w:style>
  <w:style w:type="paragraph" w:styleId="CommentText">
    <w:name w:val="annotation text"/>
    <w:basedOn w:val="Normal"/>
    <w:link w:val="CommentTextChar"/>
    <w:rsid w:val="00C96659"/>
    <w:rPr>
      <w:sz w:val="20"/>
      <w:szCs w:val="20"/>
    </w:rPr>
  </w:style>
  <w:style w:type="character" w:customStyle="1" w:styleId="CommentTextChar">
    <w:name w:val="Comment Text Char"/>
    <w:basedOn w:val="DefaultParagraphFont"/>
    <w:link w:val="CommentText"/>
    <w:rsid w:val="00C96659"/>
    <w:rPr>
      <w:rFonts w:ascii="Courier" w:hAnsi="Courier"/>
    </w:rPr>
  </w:style>
  <w:style w:type="paragraph" w:styleId="CommentSubject">
    <w:name w:val="annotation subject"/>
    <w:basedOn w:val="CommentText"/>
    <w:next w:val="CommentText"/>
    <w:link w:val="CommentSubjectChar"/>
    <w:rsid w:val="00C96659"/>
    <w:rPr>
      <w:b/>
      <w:bCs/>
    </w:rPr>
  </w:style>
  <w:style w:type="character" w:customStyle="1" w:styleId="CommentSubjectChar">
    <w:name w:val="Comment Subject Char"/>
    <w:basedOn w:val="CommentTextChar"/>
    <w:link w:val="CommentSubject"/>
    <w:rsid w:val="00C9665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0BBED-FE8B-4166-9319-744DDC99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Garcia Andres</cp:lastModifiedBy>
  <cp:revision>3</cp:revision>
  <cp:lastPrinted>2005-08-19T14:51:00Z</cp:lastPrinted>
  <dcterms:created xsi:type="dcterms:W3CDTF">2022-02-18T22:52:00Z</dcterms:created>
  <dcterms:modified xsi:type="dcterms:W3CDTF">2022-02-18T22:53:00Z</dcterms:modified>
</cp:coreProperties>
</file>