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1F798572"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14011E04"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09E92A64" w14:textId="77777777">
      <w:pPr>
        <w:keepNext/>
        <w:numPr>
          <w:ilvl w:val="12"/>
          <w:numId w:val="0"/>
        </w:numPr>
        <w:ind w:left="360"/>
      </w:pPr>
    </w:p>
    <w:p w:rsidRPr="00C035A8" w:rsidR="005E4A71" w:rsidP="005E4A71" w:rsidRDefault="0093439E" w14:paraId="23927A98" w14:textId="34C9A51B">
      <w:pPr>
        <w:ind w:left="360"/>
        <w:rPr>
          <w:szCs w:val="24"/>
        </w:rPr>
      </w:pPr>
      <w:r>
        <w:rPr>
          <w:szCs w:val="24"/>
        </w:rPr>
        <w:t xml:space="preserve">In response to the terrorist attacks of September 11, 2001 and </w:t>
      </w:r>
      <w:r w:rsidR="00E65502">
        <w:rPr>
          <w:szCs w:val="24"/>
        </w:rPr>
        <w:t xml:space="preserve">intelligence </w:t>
      </w:r>
      <w:r>
        <w:rPr>
          <w:szCs w:val="24"/>
        </w:rPr>
        <w:t xml:space="preserve">information </w:t>
      </w:r>
      <w:r w:rsidR="00E65502">
        <w:rPr>
          <w:szCs w:val="24"/>
        </w:rPr>
        <w:t xml:space="preserve">subsequently gathered </w:t>
      </w:r>
      <w:r>
        <w:rPr>
          <w:szCs w:val="24"/>
        </w:rPr>
        <w:t xml:space="preserve">regarding the individuals who perpetrated those attacks, Congress enacted legislation </w:t>
      </w:r>
      <w:r w:rsidR="009A428E">
        <w:rPr>
          <w:szCs w:val="24"/>
        </w:rPr>
        <w:t xml:space="preserve">to prevent aviation training providers from providing flight training to individuals who may pose a threat to aviation or national security.  </w:t>
      </w:r>
      <w:r>
        <w:rPr>
          <w:i/>
          <w:szCs w:val="24"/>
        </w:rPr>
        <w:t xml:space="preserve">See </w:t>
      </w:r>
      <w:r w:rsidRPr="002A5EDC">
        <w:rPr>
          <w:szCs w:val="24"/>
        </w:rPr>
        <w:t>49 USC 44939</w:t>
      </w:r>
      <w:r w:rsidR="009A428E">
        <w:rPr>
          <w:szCs w:val="24"/>
        </w:rPr>
        <w:t>.  As amended by</w:t>
      </w:r>
      <w:r w:rsidR="00E65502">
        <w:rPr>
          <w:i/>
          <w:szCs w:val="24"/>
        </w:rPr>
        <w:t xml:space="preserve"> </w:t>
      </w:r>
      <w:r w:rsidR="00E65502">
        <w:rPr>
          <w:szCs w:val="24"/>
        </w:rPr>
        <w:t xml:space="preserve">sec. 612 of the </w:t>
      </w:r>
      <w:r w:rsidRPr="00C035A8" w:rsidR="00F2667E">
        <w:rPr>
          <w:szCs w:val="24"/>
        </w:rPr>
        <w:t>Vision 100—Century of Aviation Reauthorization Act (Pub. L. 108-176</w:t>
      </w:r>
      <w:r w:rsidR="00E65502">
        <w:rPr>
          <w:szCs w:val="24"/>
        </w:rPr>
        <w:t>; Dec. 12, 2003</w:t>
      </w:r>
      <w:r w:rsidRPr="00C035A8" w:rsidR="00F2667E">
        <w:rPr>
          <w:szCs w:val="24"/>
        </w:rPr>
        <w:t>)</w:t>
      </w:r>
      <w:r w:rsidR="00E65502">
        <w:rPr>
          <w:szCs w:val="24"/>
        </w:rPr>
        <w:t>,</w:t>
      </w:r>
      <w:r w:rsidR="009A428E">
        <w:rPr>
          <w:szCs w:val="24"/>
        </w:rPr>
        <w:t xml:space="preserve"> section </w:t>
      </w:r>
      <w:r w:rsidRPr="00C035A8" w:rsidR="00F2667E">
        <w:rPr>
          <w:szCs w:val="24"/>
        </w:rPr>
        <w:t>44939</w:t>
      </w:r>
      <w:r w:rsidR="009A428E">
        <w:rPr>
          <w:szCs w:val="24"/>
        </w:rPr>
        <w:t xml:space="preserve"> (1) specifies </w:t>
      </w:r>
      <w:r w:rsidRPr="00C035A8" w:rsidR="00F2667E">
        <w:rPr>
          <w:szCs w:val="24"/>
        </w:rPr>
        <w:t>various categories of identifying information require</w:t>
      </w:r>
      <w:r w:rsidR="001D6123">
        <w:rPr>
          <w:szCs w:val="24"/>
        </w:rPr>
        <w:t>d</w:t>
      </w:r>
      <w:r w:rsidRPr="00C035A8" w:rsidR="00F2667E">
        <w:rPr>
          <w:szCs w:val="24"/>
        </w:rPr>
        <w:t xml:space="preserve"> </w:t>
      </w:r>
      <w:r w:rsidR="00555044">
        <w:rPr>
          <w:szCs w:val="24"/>
        </w:rPr>
        <w:t xml:space="preserve">from </w:t>
      </w:r>
      <w:r w:rsidR="004E5996">
        <w:rPr>
          <w:szCs w:val="24"/>
        </w:rPr>
        <w:t xml:space="preserve"> </w:t>
      </w:r>
      <w:r w:rsidR="002C0210">
        <w:rPr>
          <w:szCs w:val="24"/>
        </w:rPr>
        <w:t>non-U.S. citizens and non-U.S. nationals</w:t>
      </w:r>
      <w:r w:rsidR="004E5996">
        <w:rPr>
          <w:szCs w:val="24"/>
        </w:rPr>
        <w:t xml:space="preserve"> (</w:t>
      </w:r>
      <w:r w:rsidRPr="00C035A8" w:rsidR="00F2667E">
        <w:rPr>
          <w:szCs w:val="24"/>
        </w:rPr>
        <w:t>candidates</w:t>
      </w:r>
      <w:r w:rsidR="004E5996">
        <w:rPr>
          <w:szCs w:val="24"/>
        </w:rPr>
        <w:t>)</w:t>
      </w:r>
      <w:r w:rsidRPr="00C035A8" w:rsidR="00F2667E">
        <w:rPr>
          <w:szCs w:val="24"/>
        </w:rPr>
        <w:t xml:space="preserve"> </w:t>
      </w:r>
      <w:r w:rsidR="00555044">
        <w:rPr>
          <w:szCs w:val="24"/>
        </w:rPr>
        <w:t xml:space="preserve">training in the operation of aircraft </w:t>
      </w:r>
      <w:r w:rsidR="001D6123">
        <w:rPr>
          <w:szCs w:val="24"/>
        </w:rPr>
        <w:t xml:space="preserve">weighing </w:t>
      </w:r>
      <w:r w:rsidR="005A303B">
        <w:rPr>
          <w:szCs w:val="24"/>
        </w:rPr>
        <w:t xml:space="preserve">more </w:t>
      </w:r>
      <w:r w:rsidR="00555044">
        <w:rPr>
          <w:szCs w:val="24"/>
        </w:rPr>
        <w:t>than 12,500 pounds</w:t>
      </w:r>
      <w:r w:rsidRPr="00C035A8" w:rsidR="00F2667E">
        <w:rPr>
          <w:szCs w:val="24"/>
        </w:rPr>
        <w:t>; (</w:t>
      </w:r>
      <w:r w:rsidR="009A428E">
        <w:rPr>
          <w:szCs w:val="24"/>
        </w:rPr>
        <w:t>2</w:t>
      </w:r>
      <w:r w:rsidRPr="00C035A8" w:rsidR="00F2667E">
        <w:rPr>
          <w:szCs w:val="24"/>
        </w:rPr>
        <w:t>) authoriz</w:t>
      </w:r>
      <w:r w:rsidR="009A428E">
        <w:rPr>
          <w:szCs w:val="24"/>
        </w:rPr>
        <w:t>es</w:t>
      </w:r>
      <w:r w:rsidRPr="00C035A8" w:rsidR="00F2667E">
        <w:rPr>
          <w:szCs w:val="24"/>
        </w:rPr>
        <w:t xml:space="preserve"> assess</w:t>
      </w:r>
      <w:r w:rsidR="001D6123">
        <w:rPr>
          <w:szCs w:val="24"/>
        </w:rPr>
        <w:t>ment of</w:t>
      </w:r>
      <w:r w:rsidRPr="00C035A8" w:rsidR="00F2667E">
        <w:rPr>
          <w:szCs w:val="24"/>
        </w:rPr>
        <w:t xml:space="preserve"> a fee for the </w:t>
      </w:r>
      <w:r w:rsidR="001D6123">
        <w:rPr>
          <w:szCs w:val="24"/>
        </w:rPr>
        <w:t xml:space="preserve">security </w:t>
      </w:r>
      <w:r w:rsidRPr="00C035A8" w:rsidR="00F2667E">
        <w:rPr>
          <w:szCs w:val="24"/>
        </w:rPr>
        <w:t>threat assessment</w:t>
      </w:r>
      <w:r w:rsidR="00C82E31">
        <w:rPr>
          <w:szCs w:val="24"/>
        </w:rPr>
        <w:t xml:space="preserve"> (STA)</w:t>
      </w:r>
      <w:r w:rsidRPr="00C035A8" w:rsidR="00F2667E">
        <w:rPr>
          <w:szCs w:val="24"/>
        </w:rPr>
        <w:t>; and (</w:t>
      </w:r>
      <w:r w:rsidR="009A428E">
        <w:rPr>
          <w:szCs w:val="24"/>
        </w:rPr>
        <w:t>3</w:t>
      </w:r>
      <w:r w:rsidRPr="00C035A8" w:rsidR="00F2667E">
        <w:rPr>
          <w:szCs w:val="24"/>
        </w:rPr>
        <w:t xml:space="preserve">) </w:t>
      </w:r>
      <w:r w:rsidR="001D6123">
        <w:rPr>
          <w:szCs w:val="24"/>
        </w:rPr>
        <w:t>requir</w:t>
      </w:r>
      <w:r w:rsidR="009A428E">
        <w:rPr>
          <w:szCs w:val="24"/>
        </w:rPr>
        <w:t>es</w:t>
      </w:r>
      <w:r w:rsidR="001D6123">
        <w:rPr>
          <w:szCs w:val="24"/>
        </w:rPr>
        <w:t xml:space="preserve"> </w:t>
      </w:r>
      <w:r w:rsidR="00E856B0">
        <w:rPr>
          <w:szCs w:val="24"/>
        </w:rPr>
        <w:t xml:space="preserve">flight </w:t>
      </w:r>
      <w:r w:rsidR="002C0210">
        <w:rPr>
          <w:szCs w:val="24"/>
        </w:rPr>
        <w:t xml:space="preserve">training providers </w:t>
      </w:r>
      <w:r w:rsidRPr="00C035A8" w:rsidR="00F2667E">
        <w:rPr>
          <w:szCs w:val="24"/>
        </w:rPr>
        <w:t>to conduct a security awareness program for</w:t>
      </w:r>
      <w:r w:rsidR="004E5996">
        <w:rPr>
          <w:szCs w:val="24"/>
        </w:rPr>
        <w:t xml:space="preserve"> </w:t>
      </w:r>
      <w:r w:rsidRPr="00C035A8" w:rsidR="00F2667E">
        <w:rPr>
          <w:szCs w:val="24"/>
        </w:rPr>
        <w:t xml:space="preserve">employees and contract employees to increase their awareness of suspicious circumstances and activities of individuals enrolling in or attending flight training.  </w:t>
      </w:r>
      <w:r w:rsidR="005A303B">
        <w:rPr>
          <w:szCs w:val="24"/>
        </w:rPr>
        <w:t>If it is determined that the candidate presents a threat to aviation or national security, DHS/TSA is required to notify the flight training provider and that person</w:t>
      </w:r>
      <w:r w:rsidR="007B1F70">
        <w:rPr>
          <w:szCs w:val="24"/>
        </w:rPr>
        <w:t xml:space="preserve"> is required to immediately terminate the training.  </w:t>
      </w:r>
      <w:r w:rsidRPr="00C035A8" w:rsidR="00F2667E">
        <w:rPr>
          <w:szCs w:val="24"/>
        </w:rPr>
        <w:t>TSA issued an interim final rule</w:t>
      </w:r>
      <w:r w:rsidR="00836DA8">
        <w:rPr>
          <w:szCs w:val="24"/>
        </w:rPr>
        <w:t xml:space="preserve"> (IFR)</w:t>
      </w:r>
      <w:r w:rsidRPr="00C035A8" w:rsidR="00F2667E">
        <w:rPr>
          <w:szCs w:val="24"/>
        </w:rPr>
        <w:t xml:space="preserve"> implementing these requirements</w:t>
      </w:r>
      <w:r w:rsidR="009A428E">
        <w:rPr>
          <w:szCs w:val="24"/>
        </w:rPr>
        <w:t xml:space="preserve"> in 2003</w:t>
      </w:r>
      <w:r w:rsidR="00B110B5">
        <w:rPr>
          <w:szCs w:val="24"/>
        </w:rPr>
        <w:t>.</w:t>
      </w:r>
      <w:r w:rsidR="006C701C">
        <w:rPr>
          <w:szCs w:val="24"/>
        </w:rPr>
        <w:t xml:space="preserve"> </w:t>
      </w:r>
      <w:r w:rsidR="00B110B5">
        <w:rPr>
          <w:szCs w:val="24"/>
        </w:rPr>
        <w:t xml:space="preserve"> </w:t>
      </w:r>
      <w:r w:rsidRPr="001D1E88" w:rsidR="00B110B5">
        <w:rPr>
          <w:i/>
          <w:szCs w:val="24"/>
        </w:rPr>
        <w:t>See</w:t>
      </w:r>
      <w:r w:rsidRPr="00C035A8" w:rsidR="00F2667E">
        <w:rPr>
          <w:szCs w:val="24"/>
        </w:rPr>
        <w:t xml:space="preserve"> 69 FR 56324</w:t>
      </w:r>
      <w:r w:rsidR="00B110B5">
        <w:rPr>
          <w:szCs w:val="24"/>
        </w:rPr>
        <w:t xml:space="preserve"> (Sept</w:t>
      </w:r>
      <w:r w:rsidR="009A428E">
        <w:rPr>
          <w:szCs w:val="24"/>
        </w:rPr>
        <w:t>.</w:t>
      </w:r>
      <w:r w:rsidR="00B110B5">
        <w:rPr>
          <w:szCs w:val="24"/>
        </w:rPr>
        <w:t xml:space="preserve"> 20, 20</w:t>
      </w:r>
      <w:r w:rsidR="009A428E">
        <w:rPr>
          <w:szCs w:val="24"/>
        </w:rPr>
        <w:t>04</w:t>
      </w:r>
      <w:r w:rsidR="00B110B5">
        <w:rPr>
          <w:szCs w:val="24"/>
        </w:rPr>
        <w:t>)</w:t>
      </w:r>
      <w:r w:rsidRPr="001D1E88" w:rsidR="00FD2895">
        <w:rPr>
          <w:i/>
          <w:szCs w:val="24"/>
        </w:rPr>
        <w:t xml:space="preserve"> </w:t>
      </w:r>
      <w:r w:rsidRPr="001D1E88" w:rsidR="00B110B5">
        <w:rPr>
          <w:i/>
          <w:szCs w:val="24"/>
        </w:rPr>
        <w:t>codified at</w:t>
      </w:r>
      <w:r w:rsidR="00B110B5">
        <w:rPr>
          <w:szCs w:val="24"/>
        </w:rPr>
        <w:t xml:space="preserve"> </w:t>
      </w:r>
      <w:r w:rsidRPr="00C035A8" w:rsidR="00F2667E">
        <w:rPr>
          <w:szCs w:val="24"/>
        </w:rPr>
        <w:t>49 CFR part 1552.</w:t>
      </w:r>
      <w:r w:rsidR="0022432F">
        <w:rPr>
          <w:szCs w:val="24"/>
        </w:rPr>
        <w:t xml:space="preserve">  </w:t>
      </w:r>
      <w:r w:rsidRPr="00512504" w:rsidR="005E4A71">
        <w:rPr>
          <w:szCs w:val="24"/>
        </w:rPr>
        <w:t xml:space="preserve">TSA is revising the information collection </w:t>
      </w:r>
      <w:r w:rsidR="004B6382">
        <w:rPr>
          <w:szCs w:val="24"/>
        </w:rPr>
        <w:t xml:space="preserve">request (ICR) </w:t>
      </w:r>
      <w:r w:rsidRPr="00512504" w:rsidR="005E4A71">
        <w:rPr>
          <w:szCs w:val="24"/>
        </w:rPr>
        <w:t>by changing the name of the collection from “Flight Training for Aliens and Other Designated Individuals; Security Awareness Training for Flight School Employees</w:t>
      </w:r>
      <w:r w:rsidR="005E4A71">
        <w:rPr>
          <w:szCs w:val="24"/>
        </w:rPr>
        <w:t>,</w:t>
      </w:r>
      <w:r w:rsidRPr="00512504" w:rsidR="005E4A71">
        <w:rPr>
          <w:szCs w:val="24"/>
        </w:rPr>
        <w:t xml:space="preserve">” </w:t>
      </w:r>
      <w:r w:rsidR="005E4A71">
        <w:rPr>
          <w:szCs w:val="24"/>
        </w:rPr>
        <w:t xml:space="preserve">frequently referred to as the “Alien Flight Student Program” (AFSP), </w:t>
      </w:r>
      <w:r w:rsidRPr="00512504" w:rsidR="005E4A71">
        <w:rPr>
          <w:szCs w:val="24"/>
        </w:rPr>
        <w:t>to “Flight Training Security</w:t>
      </w:r>
      <w:r w:rsidR="004B6382">
        <w:rPr>
          <w:szCs w:val="24"/>
        </w:rPr>
        <w:t>.”  This change to the ICR aligns with TSA’s decision to refer to the program as the Flight Training Security</w:t>
      </w:r>
      <w:r w:rsidRPr="00512504" w:rsidR="005E4A71">
        <w:rPr>
          <w:szCs w:val="24"/>
        </w:rPr>
        <w:t xml:space="preserve"> Program</w:t>
      </w:r>
      <w:r w:rsidR="005E4A71">
        <w:rPr>
          <w:szCs w:val="24"/>
        </w:rPr>
        <w:t xml:space="preserve"> (FTSP).</w:t>
      </w:r>
    </w:p>
    <w:p w:rsidR="00A916AB" w:rsidP="009A428E" w:rsidRDefault="005E4A71" w14:paraId="7BAB40ED" w14:textId="7B3C3427">
      <w:pPr>
        <w:pStyle w:val="NoSpacing"/>
        <w:ind w:left="360"/>
        <w:rPr>
          <w:rFonts w:ascii="Times New Roman" w:hAnsi="Times New Roman"/>
          <w:sz w:val="24"/>
          <w:szCs w:val="24"/>
        </w:rPr>
      </w:pPr>
      <w:r w:rsidRPr="0022432F" w:rsidDel="009B0597">
        <w:rPr>
          <w:rFonts w:ascii="Times New Roman" w:hAnsi="Times New Roman"/>
          <w:sz w:val="24"/>
          <w:szCs w:val="24"/>
        </w:rPr>
        <w:t xml:space="preserve"> </w:t>
      </w:r>
    </w:p>
    <w:p w:rsidR="00320387" w:rsidP="00320387" w:rsidRDefault="00320387" w14:paraId="19E11802" w14:textId="035C8B50">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6B62CFE1" w14:textId="77777777">
      <w:pPr>
        <w:keepNext/>
        <w:numPr>
          <w:ilvl w:val="12"/>
          <w:numId w:val="0"/>
        </w:numPr>
        <w:ind w:left="360"/>
      </w:pPr>
    </w:p>
    <w:p w:rsidRPr="00BF279C" w:rsidR="00BF279C" w:rsidP="00F2667E" w:rsidRDefault="009B0597" w14:paraId="4386F7D1" w14:textId="5A369FEB">
      <w:pPr>
        <w:ind w:left="360"/>
        <w:rPr>
          <w:szCs w:val="24"/>
        </w:rPr>
      </w:pPr>
      <w:r>
        <w:rPr>
          <w:szCs w:val="24"/>
        </w:rPr>
        <w:t>Candidates</w:t>
      </w:r>
      <w:r w:rsidR="004B6382">
        <w:rPr>
          <w:szCs w:val="24"/>
        </w:rPr>
        <w:t>, as defined in 49 CFR 1552.1,</w:t>
      </w:r>
      <w:r>
        <w:rPr>
          <w:szCs w:val="24"/>
        </w:rPr>
        <w:t xml:space="preserve"> </w:t>
      </w:r>
      <w:r w:rsidRPr="00C035A8">
        <w:rPr>
          <w:szCs w:val="24"/>
        </w:rPr>
        <w:t xml:space="preserve">are required to provide TSA with identifying and training information and fingerprints when they apply for </w:t>
      </w:r>
      <w:r>
        <w:rPr>
          <w:szCs w:val="24"/>
        </w:rPr>
        <w:t>a security threat assessment</w:t>
      </w:r>
      <w:r w:rsidRPr="00C035A8">
        <w:rPr>
          <w:szCs w:val="24"/>
        </w:rPr>
        <w:t xml:space="preserve">.  </w:t>
      </w:r>
      <w:r>
        <w:rPr>
          <w:szCs w:val="24"/>
        </w:rPr>
        <w:t>The scope of c</w:t>
      </w:r>
      <w:r w:rsidR="00CB22B3">
        <w:rPr>
          <w:szCs w:val="24"/>
        </w:rPr>
        <w:t xml:space="preserve">andidates </w:t>
      </w:r>
      <w:r>
        <w:rPr>
          <w:szCs w:val="24"/>
        </w:rPr>
        <w:t xml:space="preserve">covered by </w:t>
      </w:r>
      <w:r w:rsidRPr="00CB22B3" w:rsidR="00CB22B3">
        <w:rPr>
          <w:szCs w:val="24"/>
        </w:rPr>
        <w:t xml:space="preserve">49 CFR </w:t>
      </w:r>
      <w:r>
        <w:rPr>
          <w:szCs w:val="24"/>
        </w:rPr>
        <w:t xml:space="preserve">part 1552 includes </w:t>
      </w:r>
      <w:r w:rsidR="00CB22B3">
        <w:rPr>
          <w:szCs w:val="24"/>
        </w:rPr>
        <w:t>a</w:t>
      </w:r>
      <w:r w:rsidR="00FB6A7A">
        <w:rPr>
          <w:szCs w:val="24"/>
        </w:rPr>
        <w:t xml:space="preserve">ll individuals </w:t>
      </w:r>
      <w:r>
        <w:rPr>
          <w:szCs w:val="24"/>
        </w:rPr>
        <w:t xml:space="preserve">applying for </w:t>
      </w:r>
      <w:r w:rsidR="004B6382">
        <w:rPr>
          <w:szCs w:val="24"/>
        </w:rPr>
        <w:t xml:space="preserve">initial or recurrent </w:t>
      </w:r>
      <w:r>
        <w:rPr>
          <w:szCs w:val="24"/>
        </w:rPr>
        <w:t xml:space="preserve">flight training </w:t>
      </w:r>
      <w:r w:rsidR="00FB6A7A">
        <w:rPr>
          <w:szCs w:val="24"/>
        </w:rPr>
        <w:t xml:space="preserve">who are </w:t>
      </w:r>
      <w:r>
        <w:rPr>
          <w:szCs w:val="24"/>
        </w:rPr>
        <w:t xml:space="preserve">neither </w:t>
      </w:r>
      <w:r w:rsidR="00FB6A7A">
        <w:rPr>
          <w:szCs w:val="24"/>
        </w:rPr>
        <w:t>U</w:t>
      </w:r>
      <w:r w:rsidR="0025460D">
        <w:rPr>
          <w:szCs w:val="24"/>
        </w:rPr>
        <w:t>.S</w:t>
      </w:r>
      <w:r w:rsidR="00FB6A7A">
        <w:rPr>
          <w:szCs w:val="24"/>
        </w:rPr>
        <w:t xml:space="preserve"> citizens</w:t>
      </w:r>
      <w:r w:rsidR="00C82E31">
        <w:rPr>
          <w:szCs w:val="24"/>
        </w:rPr>
        <w:t xml:space="preserve"> </w:t>
      </w:r>
      <w:r>
        <w:rPr>
          <w:szCs w:val="24"/>
        </w:rPr>
        <w:t>nor</w:t>
      </w:r>
      <w:r w:rsidR="00C82E31">
        <w:rPr>
          <w:szCs w:val="24"/>
        </w:rPr>
        <w:t xml:space="preserve"> U</w:t>
      </w:r>
      <w:r w:rsidR="0025460D">
        <w:rPr>
          <w:szCs w:val="24"/>
        </w:rPr>
        <w:t>.</w:t>
      </w:r>
      <w:r w:rsidR="00C82E31">
        <w:rPr>
          <w:szCs w:val="24"/>
        </w:rPr>
        <w:t>S</w:t>
      </w:r>
      <w:r w:rsidR="0025460D">
        <w:rPr>
          <w:szCs w:val="24"/>
        </w:rPr>
        <w:t>.</w:t>
      </w:r>
      <w:r w:rsidR="00C82E31">
        <w:rPr>
          <w:szCs w:val="24"/>
        </w:rPr>
        <w:t xml:space="preserve"> nationals</w:t>
      </w:r>
      <w:r w:rsidR="00CB22B3">
        <w:rPr>
          <w:szCs w:val="24"/>
        </w:rPr>
        <w:t xml:space="preserve">.  </w:t>
      </w:r>
      <w:r w:rsidR="004B6382">
        <w:rPr>
          <w:szCs w:val="24"/>
        </w:rPr>
        <w:t xml:space="preserve">The scope does not include individuals endorsed by the Department of Defense to receive flight training. </w:t>
      </w:r>
      <w:r w:rsidR="00BF279C">
        <w:rPr>
          <w:szCs w:val="24"/>
        </w:rPr>
        <w:t xml:space="preserve"> Flights schools are also required to submit information, including information related to security awareness training for flight school employees.  </w:t>
      </w:r>
      <w:r w:rsidR="00BF279C">
        <w:rPr>
          <w:i/>
          <w:szCs w:val="24"/>
        </w:rPr>
        <w:t xml:space="preserve">See </w:t>
      </w:r>
      <w:r w:rsidR="00BF279C">
        <w:rPr>
          <w:szCs w:val="24"/>
        </w:rPr>
        <w:t>49 CFR 1552.1 for definition of “flight schools” and 49 CFR 1552.21 for definition of “flight school employee.”</w:t>
      </w:r>
    </w:p>
    <w:p w:rsidR="00BF279C" w:rsidP="00F2667E" w:rsidRDefault="00BF279C" w14:paraId="45AC6AA4" w14:textId="77777777">
      <w:pPr>
        <w:ind w:left="360"/>
        <w:rPr>
          <w:szCs w:val="24"/>
        </w:rPr>
      </w:pPr>
    </w:p>
    <w:p w:rsidRPr="00C035A8" w:rsidR="00F2667E" w:rsidP="00F2667E" w:rsidRDefault="00F2667E" w14:paraId="1A0C474E" w14:textId="03568261">
      <w:pPr>
        <w:shd w:val="clear" w:color="auto" w:fill="FFFFFF"/>
        <w:ind w:left="360"/>
        <w:rPr>
          <w:szCs w:val="24"/>
        </w:rPr>
      </w:pPr>
      <w:r w:rsidRPr="00C035A8">
        <w:rPr>
          <w:szCs w:val="24"/>
        </w:rPr>
        <w:lastRenderedPageBreak/>
        <w:t>T</w:t>
      </w:r>
      <w:r w:rsidR="000D6DBF">
        <w:rPr>
          <w:szCs w:val="24"/>
        </w:rPr>
        <w:t>SA</w:t>
      </w:r>
      <w:r w:rsidRPr="00C035A8">
        <w:rPr>
          <w:szCs w:val="24"/>
        </w:rPr>
        <w:t xml:space="preserve"> conducts a</w:t>
      </w:r>
      <w:r w:rsidR="00C82E31">
        <w:rPr>
          <w:szCs w:val="24"/>
        </w:rPr>
        <w:t>n STA</w:t>
      </w:r>
      <w:r w:rsidRPr="00C035A8">
        <w:rPr>
          <w:szCs w:val="24"/>
        </w:rPr>
        <w:t xml:space="preserve"> on all </w:t>
      </w:r>
      <w:r w:rsidR="004E5996">
        <w:rPr>
          <w:szCs w:val="24"/>
        </w:rPr>
        <w:t>c</w:t>
      </w:r>
      <w:r w:rsidRPr="00C035A8">
        <w:rPr>
          <w:szCs w:val="24"/>
        </w:rPr>
        <w:t xml:space="preserve">andidates </w:t>
      </w:r>
      <w:r w:rsidR="00C82E31">
        <w:rPr>
          <w:szCs w:val="24"/>
        </w:rPr>
        <w:t>requesting participation in</w:t>
      </w:r>
      <w:r w:rsidRPr="00C035A8" w:rsidR="00C82E31">
        <w:rPr>
          <w:szCs w:val="24"/>
        </w:rPr>
        <w:t xml:space="preserve"> </w:t>
      </w:r>
      <w:r w:rsidRPr="00C035A8">
        <w:rPr>
          <w:szCs w:val="24"/>
        </w:rPr>
        <w:t xml:space="preserve">a training </w:t>
      </w:r>
      <w:r w:rsidR="00C82E31">
        <w:rPr>
          <w:szCs w:val="24"/>
        </w:rPr>
        <w:t>event</w:t>
      </w:r>
      <w:r w:rsidR="00E856B0">
        <w:rPr>
          <w:szCs w:val="24"/>
        </w:rPr>
        <w:t>.</w:t>
      </w:r>
      <w:r w:rsidR="00CF1C14">
        <w:rPr>
          <w:szCs w:val="24"/>
        </w:rPr>
        <w:t xml:space="preserve"> </w:t>
      </w:r>
      <w:r w:rsidR="00E856B0">
        <w:rPr>
          <w:szCs w:val="24"/>
        </w:rPr>
        <w:t xml:space="preserve"> </w:t>
      </w:r>
      <w:r w:rsidRPr="00C035A8" w:rsidR="00BF279C">
        <w:rPr>
          <w:szCs w:val="24"/>
        </w:rPr>
        <w:t xml:space="preserve">The candidates submit their </w:t>
      </w:r>
      <w:r w:rsidR="00BF279C">
        <w:rPr>
          <w:szCs w:val="24"/>
        </w:rPr>
        <w:t xml:space="preserve">biographic information </w:t>
      </w:r>
      <w:r w:rsidRPr="00C035A8" w:rsidR="00BF279C">
        <w:rPr>
          <w:szCs w:val="24"/>
        </w:rPr>
        <w:t xml:space="preserve">at </w:t>
      </w:r>
      <w:hyperlink w:history="1" r:id="rId12">
        <w:r w:rsidRPr="001D1E88" w:rsidR="00BF279C">
          <w:rPr>
            <w:rStyle w:val="Hyperlink"/>
            <w:szCs w:val="24"/>
            <w:u w:val="none"/>
          </w:rPr>
          <w:t>https://www.flightschoolcandidates.gov/</w:t>
        </w:r>
      </w:hyperlink>
      <w:r w:rsidRPr="00C035A8" w:rsidR="00BF279C">
        <w:rPr>
          <w:szCs w:val="24"/>
        </w:rPr>
        <w:t>.</w:t>
      </w:r>
      <w:r w:rsidR="00BF279C">
        <w:rPr>
          <w:szCs w:val="24"/>
        </w:rPr>
        <w:t xml:space="preserve">  </w:t>
      </w:r>
      <w:r w:rsidR="00B110B5">
        <w:rPr>
          <w:szCs w:val="24"/>
        </w:rPr>
        <w:t>There are</w:t>
      </w:r>
      <w:r w:rsidRPr="00C035A8">
        <w:rPr>
          <w:szCs w:val="24"/>
        </w:rPr>
        <w:t xml:space="preserve"> four </w:t>
      </w:r>
      <w:r w:rsidR="00C82E31">
        <w:rPr>
          <w:szCs w:val="24"/>
        </w:rPr>
        <w:t>training event</w:t>
      </w:r>
      <w:r w:rsidR="00BF179C">
        <w:rPr>
          <w:szCs w:val="24"/>
        </w:rPr>
        <w:t xml:space="preserve"> </w:t>
      </w:r>
      <w:r w:rsidRPr="00C035A8">
        <w:rPr>
          <w:szCs w:val="24"/>
        </w:rPr>
        <w:t xml:space="preserve">categories within </w:t>
      </w:r>
      <w:r w:rsidR="00D37EE9">
        <w:rPr>
          <w:szCs w:val="24"/>
        </w:rPr>
        <w:t xml:space="preserve">the </w:t>
      </w:r>
      <w:r w:rsidR="00512504">
        <w:rPr>
          <w:szCs w:val="24"/>
        </w:rPr>
        <w:t>Program</w:t>
      </w:r>
      <w:r w:rsidR="00E856B0">
        <w:rPr>
          <w:szCs w:val="24"/>
        </w:rPr>
        <w:t>:</w:t>
      </w:r>
    </w:p>
    <w:p w:rsidRPr="00C035A8" w:rsidR="00F2667E" w:rsidP="00F2667E" w:rsidRDefault="00F2667E" w14:paraId="6418346E" w14:textId="77777777">
      <w:pPr>
        <w:shd w:val="clear" w:color="auto" w:fill="FFFFFF"/>
        <w:ind w:left="360"/>
        <w:rPr>
          <w:szCs w:val="24"/>
        </w:rPr>
      </w:pPr>
    </w:p>
    <w:p w:rsidRPr="00763625" w:rsidR="00E856B0" w:rsidP="003E4350" w:rsidRDefault="00F2667E" w14:paraId="0FA0498A" w14:textId="6C8C9D99">
      <w:pPr>
        <w:pStyle w:val="ListParagraph"/>
        <w:numPr>
          <w:ilvl w:val="0"/>
          <w:numId w:val="3"/>
        </w:numPr>
        <w:shd w:val="clear" w:color="auto" w:fill="FFFFFF"/>
        <w:rPr>
          <w:szCs w:val="24"/>
        </w:rPr>
      </w:pPr>
      <w:r w:rsidRPr="00B110B5">
        <w:rPr>
          <w:szCs w:val="24"/>
        </w:rPr>
        <w:t>Category 1</w:t>
      </w:r>
      <w:r w:rsidR="00B110B5">
        <w:rPr>
          <w:szCs w:val="24"/>
        </w:rPr>
        <w:t xml:space="preserve">: </w:t>
      </w:r>
      <w:r w:rsidR="00D37EE9">
        <w:rPr>
          <w:szCs w:val="24"/>
        </w:rPr>
        <w:t xml:space="preserve"> </w:t>
      </w:r>
      <w:r w:rsidR="00C82E31">
        <w:rPr>
          <w:szCs w:val="24"/>
        </w:rPr>
        <w:t>T</w:t>
      </w:r>
      <w:r w:rsidRPr="00B110B5">
        <w:rPr>
          <w:szCs w:val="24"/>
        </w:rPr>
        <w:t xml:space="preserve">raining in the operation of aircraft </w:t>
      </w:r>
      <w:r w:rsidRPr="00763625" w:rsidR="004E5996">
        <w:rPr>
          <w:szCs w:val="24"/>
        </w:rPr>
        <w:t xml:space="preserve">weighing more </w:t>
      </w:r>
      <w:r w:rsidRPr="00763625">
        <w:rPr>
          <w:szCs w:val="24"/>
        </w:rPr>
        <w:t>than 12,500 pounds</w:t>
      </w:r>
      <w:r w:rsidRPr="00763625" w:rsidR="004E5996">
        <w:rPr>
          <w:szCs w:val="24"/>
        </w:rPr>
        <w:t>.</w:t>
      </w:r>
    </w:p>
    <w:p w:rsidR="00E856B0" w:rsidP="00F2667E" w:rsidRDefault="00E856B0" w14:paraId="1331E3FD" w14:textId="77777777">
      <w:pPr>
        <w:shd w:val="clear" w:color="auto" w:fill="FFFFFF"/>
        <w:ind w:left="360"/>
        <w:rPr>
          <w:szCs w:val="24"/>
        </w:rPr>
      </w:pPr>
    </w:p>
    <w:p w:rsidR="00F2667E" w:rsidP="003E4350" w:rsidRDefault="00F2667E" w14:paraId="7C0424DE" w14:textId="7C06B17D">
      <w:pPr>
        <w:pStyle w:val="ListParagraph"/>
        <w:numPr>
          <w:ilvl w:val="0"/>
          <w:numId w:val="3"/>
        </w:numPr>
        <w:shd w:val="clear" w:color="auto" w:fill="FFFFFF"/>
        <w:rPr>
          <w:szCs w:val="24"/>
        </w:rPr>
      </w:pPr>
      <w:r w:rsidRPr="00B110B5">
        <w:rPr>
          <w:szCs w:val="24"/>
        </w:rPr>
        <w:t>Category 2</w:t>
      </w:r>
      <w:r w:rsidR="00B110B5">
        <w:rPr>
          <w:szCs w:val="24"/>
        </w:rPr>
        <w:t xml:space="preserve">: </w:t>
      </w:r>
      <w:r w:rsidR="00D37EE9">
        <w:rPr>
          <w:szCs w:val="24"/>
        </w:rPr>
        <w:t xml:space="preserve"> </w:t>
      </w:r>
      <w:r w:rsidR="00C82E31">
        <w:rPr>
          <w:szCs w:val="24"/>
        </w:rPr>
        <w:t>T</w:t>
      </w:r>
      <w:r w:rsidRPr="00B110B5">
        <w:rPr>
          <w:szCs w:val="24"/>
        </w:rPr>
        <w:t xml:space="preserve">raining in the operation of aircraft </w:t>
      </w:r>
      <w:r w:rsidRPr="00763625" w:rsidR="004E5996">
        <w:rPr>
          <w:szCs w:val="24"/>
        </w:rPr>
        <w:t xml:space="preserve">weighing more </w:t>
      </w:r>
      <w:r w:rsidRPr="00763625">
        <w:rPr>
          <w:szCs w:val="24"/>
        </w:rPr>
        <w:t xml:space="preserve">than 12,500 pounds, </w:t>
      </w:r>
      <w:r w:rsidR="00C82E31">
        <w:rPr>
          <w:szCs w:val="24"/>
        </w:rPr>
        <w:t xml:space="preserve">for candidates </w:t>
      </w:r>
      <w:r w:rsidRPr="00763625">
        <w:rPr>
          <w:szCs w:val="24"/>
        </w:rPr>
        <w:t>who</w:t>
      </w:r>
      <w:r w:rsidRPr="00763625" w:rsidR="001D2461">
        <w:rPr>
          <w:szCs w:val="24"/>
        </w:rPr>
        <w:t xml:space="preserve"> </w:t>
      </w:r>
      <w:r w:rsidR="00C82E31">
        <w:rPr>
          <w:szCs w:val="24"/>
        </w:rPr>
        <w:t>may be</w:t>
      </w:r>
      <w:r w:rsidRPr="00763625" w:rsidR="00C82E31">
        <w:rPr>
          <w:szCs w:val="24"/>
        </w:rPr>
        <w:t xml:space="preserve"> </w:t>
      </w:r>
      <w:r w:rsidRPr="00763625" w:rsidR="001D2461">
        <w:rPr>
          <w:szCs w:val="24"/>
        </w:rPr>
        <w:t xml:space="preserve">eligible for expedited processing </w:t>
      </w:r>
      <w:r w:rsidRPr="002E7C77" w:rsidR="004E5996">
        <w:rPr>
          <w:szCs w:val="24"/>
        </w:rPr>
        <w:t>because they meet</w:t>
      </w:r>
      <w:r w:rsidRPr="002E7C77" w:rsidR="005A4AE3">
        <w:rPr>
          <w:szCs w:val="24"/>
        </w:rPr>
        <w:t xml:space="preserve"> </w:t>
      </w:r>
      <w:r w:rsidRPr="002E7C77" w:rsidR="001D2461">
        <w:rPr>
          <w:szCs w:val="24"/>
        </w:rPr>
        <w:t xml:space="preserve">certain </w:t>
      </w:r>
      <w:r w:rsidRPr="006C6276" w:rsidR="004E5996">
        <w:rPr>
          <w:szCs w:val="24"/>
        </w:rPr>
        <w:t xml:space="preserve">additional </w:t>
      </w:r>
      <w:r w:rsidRPr="006C6276" w:rsidR="001D2461">
        <w:rPr>
          <w:szCs w:val="24"/>
        </w:rPr>
        <w:t>criteria</w:t>
      </w:r>
      <w:r w:rsidRPr="006C6276" w:rsidR="004E5996">
        <w:rPr>
          <w:szCs w:val="24"/>
        </w:rPr>
        <w:t xml:space="preserve"> specified in the </w:t>
      </w:r>
      <w:r w:rsidR="00C82E31">
        <w:rPr>
          <w:szCs w:val="24"/>
        </w:rPr>
        <w:t>regulation</w:t>
      </w:r>
      <w:r w:rsidRPr="000D6DBF" w:rsidR="001D2461">
        <w:rPr>
          <w:szCs w:val="24"/>
        </w:rPr>
        <w:t>.</w:t>
      </w:r>
    </w:p>
    <w:p w:rsidRPr="00B110B5" w:rsidR="00B110B5" w:rsidP="003E4350" w:rsidRDefault="00B110B5" w14:paraId="46074F2F" w14:textId="77777777">
      <w:pPr>
        <w:pStyle w:val="ListParagraph"/>
        <w:shd w:val="clear" w:color="auto" w:fill="FFFFFF"/>
        <w:ind w:left="1080"/>
        <w:rPr>
          <w:szCs w:val="24"/>
        </w:rPr>
      </w:pPr>
    </w:p>
    <w:p w:rsidR="00F2667E" w:rsidP="003E4350" w:rsidRDefault="00F2667E" w14:paraId="2175A5B4" w14:textId="49B5DB3E">
      <w:pPr>
        <w:pStyle w:val="ListParagraph"/>
        <w:numPr>
          <w:ilvl w:val="0"/>
          <w:numId w:val="3"/>
        </w:numPr>
        <w:shd w:val="clear" w:color="auto" w:fill="FFFFFF"/>
        <w:spacing w:before="100" w:beforeAutospacing="1" w:afterAutospacing="1"/>
        <w:rPr>
          <w:szCs w:val="24"/>
        </w:rPr>
      </w:pPr>
      <w:r w:rsidRPr="00B110B5">
        <w:rPr>
          <w:szCs w:val="24"/>
        </w:rPr>
        <w:t>Category 3</w:t>
      </w:r>
      <w:r w:rsidR="00B110B5">
        <w:rPr>
          <w:szCs w:val="24"/>
        </w:rPr>
        <w:t xml:space="preserve">: </w:t>
      </w:r>
      <w:r w:rsidR="00D37EE9">
        <w:rPr>
          <w:szCs w:val="24"/>
        </w:rPr>
        <w:t xml:space="preserve"> </w:t>
      </w:r>
      <w:r w:rsidR="00C82E31">
        <w:rPr>
          <w:szCs w:val="24"/>
        </w:rPr>
        <w:t>T</w:t>
      </w:r>
      <w:r w:rsidRPr="00B110B5">
        <w:rPr>
          <w:szCs w:val="24"/>
        </w:rPr>
        <w:t xml:space="preserve">raining in the operation of aircraft </w:t>
      </w:r>
      <w:r w:rsidRPr="00B110B5" w:rsidR="004E5996">
        <w:rPr>
          <w:szCs w:val="24"/>
        </w:rPr>
        <w:t xml:space="preserve">weighing </w:t>
      </w:r>
      <w:r w:rsidRPr="00B110B5">
        <w:rPr>
          <w:szCs w:val="24"/>
        </w:rPr>
        <w:t>12,500 pounds or less</w:t>
      </w:r>
      <w:r w:rsidRPr="00B110B5" w:rsidR="00E856B0">
        <w:rPr>
          <w:szCs w:val="24"/>
        </w:rPr>
        <w:t xml:space="preserve"> </w:t>
      </w:r>
      <w:r w:rsidRPr="00B110B5">
        <w:rPr>
          <w:szCs w:val="24"/>
        </w:rPr>
        <w:t>for the following training</w:t>
      </w:r>
      <w:r w:rsidR="00C82E31">
        <w:rPr>
          <w:szCs w:val="24"/>
        </w:rPr>
        <w:t xml:space="preserve"> events</w:t>
      </w:r>
      <w:r w:rsidRPr="00B110B5">
        <w:rPr>
          <w:szCs w:val="24"/>
        </w:rPr>
        <w:t>: a</w:t>
      </w:r>
      <w:r w:rsidRPr="00B110B5" w:rsidR="00076D50">
        <w:rPr>
          <w:szCs w:val="24"/>
        </w:rPr>
        <w:t>n</w:t>
      </w:r>
      <w:r w:rsidRPr="00B110B5">
        <w:rPr>
          <w:szCs w:val="24"/>
        </w:rPr>
        <w:t xml:space="preserve"> initial </w:t>
      </w:r>
      <w:r w:rsidRPr="00763625" w:rsidR="005713ED">
        <w:rPr>
          <w:szCs w:val="24"/>
        </w:rPr>
        <w:t xml:space="preserve">private pilot’s </w:t>
      </w:r>
      <w:r w:rsidRPr="00763625">
        <w:rPr>
          <w:szCs w:val="24"/>
        </w:rPr>
        <w:t>certificate</w:t>
      </w:r>
      <w:r w:rsidRPr="00763625" w:rsidR="005713ED">
        <w:rPr>
          <w:szCs w:val="24"/>
        </w:rPr>
        <w:t xml:space="preserve"> or other entry-level certificate</w:t>
      </w:r>
      <w:r w:rsidRPr="00763625">
        <w:rPr>
          <w:szCs w:val="24"/>
        </w:rPr>
        <w:t xml:space="preserve">, </w:t>
      </w:r>
      <w:r w:rsidRPr="00763625" w:rsidR="005713ED">
        <w:rPr>
          <w:szCs w:val="24"/>
        </w:rPr>
        <w:t>i</w:t>
      </w:r>
      <w:r w:rsidRPr="00763625">
        <w:rPr>
          <w:szCs w:val="24"/>
        </w:rPr>
        <w:t xml:space="preserve">nstrument </w:t>
      </w:r>
      <w:r w:rsidRPr="00763625" w:rsidR="005713ED">
        <w:rPr>
          <w:szCs w:val="24"/>
        </w:rPr>
        <w:t>r</w:t>
      </w:r>
      <w:r w:rsidRPr="00763625">
        <w:rPr>
          <w:szCs w:val="24"/>
        </w:rPr>
        <w:t xml:space="preserve">ating, and </w:t>
      </w:r>
      <w:r w:rsidRPr="002E7C77" w:rsidR="005713ED">
        <w:rPr>
          <w:szCs w:val="24"/>
        </w:rPr>
        <w:t>m</w:t>
      </w:r>
      <w:r w:rsidRPr="002E7C77">
        <w:rPr>
          <w:szCs w:val="24"/>
        </w:rPr>
        <w:t>ulti-</w:t>
      </w:r>
      <w:r w:rsidRPr="002E7C77" w:rsidR="005713ED">
        <w:rPr>
          <w:szCs w:val="24"/>
        </w:rPr>
        <w:t>e</w:t>
      </w:r>
      <w:r w:rsidRPr="006C6276">
        <w:rPr>
          <w:szCs w:val="24"/>
        </w:rPr>
        <w:t>ngine</w:t>
      </w:r>
      <w:r w:rsidRPr="006C6276" w:rsidR="005713ED">
        <w:rPr>
          <w:szCs w:val="24"/>
        </w:rPr>
        <w:t xml:space="preserve"> rating</w:t>
      </w:r>
      <w:r w:rsidRPr="006C6276">
        <w:rPr>
          <w:szCs w:val="24"/>
        </w:rPr>
        <w:t>.</w:t>
      </w:r>
    </w:p>
    <w:p w:rsidRPr="00B110B5" w:rsidR="00B110B5" w:rsidP="003E4350" w:rsidRDefault="00B110B5" w14:paraId="3962A5E2" w14:textId="77777777">
      <w:pPr>
        <w:pStyle w:val="ListParagraph"/>
        <w:shd w:val="clear" w:color="auto" w:fill="FFFFFF"/>
        <w:spacing w:before="100" w:beforeAutospacing="1" w:afterAutospacing="1"/>
        <w:ind w:left="1080"/>
        <w:rPr>
          <w:szCs w:val="24"/>
        </w:rPr>
      </w:pPr>
    </w:p>
    <w:p w:rsidRPr="00763625" w:rsidR="00F2667E" w:rsidP="003E4350" w:rsidRDefault="00F2667E" w14:paraId="1882B17C" w14:textId="0AE760E7">
      <w:pPr>
        <w:pStyle w:val="ListParagraph"/>
        <w:numPr>
          <w:ilvl w:val="0"/>
          <w:numId w:val="3"/>
        </w:numPr>
        <w:shd w:val="clear" w:color="auto" w:fill="FFFFFF"/>
        <w:rPr>
          <w:szCs w:val="24"/>
        </w:rPr>
      </w:pPr>
      <w:r w:rsidRPr="00B110B5">
        <w:rPr>
          <w:szCs w:val="24"/>
        </w:rPr>
        <w:t>Category 4</w:t>
      </w:r>
      <w:r w:rsidR="00B110B5">
        <w:rPr>
          <w:szCs w:val="24"/>
        </w:rPr>
        <w:t xml:space="preserve">: </w:t>
      </w:r>
      <w:r w:rsidR="00D37EE9">
        <w:rPr>
          <w:szCs w:val="24"/>
        </w:rPr>
        <w:t xml:space="preserve"> </w:t>
      </w:r>
      <w:r w:rsidR="00C82E31">
        <w:rPr>
          <w:szCs w:val="24"/>
        </w:rPr>
        <w:t>T</w:t>
      </w:r>
      <w:r w:rsidRPr="00B110B5">
        <w:rPr>
          <w:szCs w:val="24"/>
        </w:rPr>
        <w:t xml:space="preserve">raining for all aircraft and who are qualified on the </w:t>
      </w:r>
      <w:r w:rsidRPr="00763625">
        <w:rPr>
          <w:szCs w:val="24"/>
        </w:rPr>
        <w:t>aircraft for which they are requesting training.</w:t>
      </w:r>
    </w:p>
    <w:p w:rsidRPr="00C035A8" w:rsidR="00F2667E" w:rsidP="00F2667E" w:rsidRDefault="00F2667E" w14:paraId="68DFA87A" w14:textId="77777777">
      <w:pPr>
        <w:shd w:val="clear" w:color="auto" w:fill="FFFFFF"/>
        <w:ind w:left="360"/>
        <w:rPr>
          <w:szCs w:val="24"/>
        </w:rPr>
      </w:pPr>
    </w:p>
    <w:p w:rsidRPr="00C035A8" w:rsidR="00F2667E" w:rsidP="00F2667E" w:rsidRDefault="00B110B5" w14:paraId="674F46A1" w14:textId="766CAC9E">
      <w:pPr>
        <w:shd w:val="clear" w:color="auto" w:fill="FFFFFF"/>
        <w:ind w:left="360"/>
        <w:rPr>
          <w:szCs w:val="24"/>
        </w:rPr>
      </w:pPr>
      <w:r>
        <w:rPr>
          <w:szCs w:val="24"/>
        </w:rPr>
        <w:t xml:space="preserve">The process for the STA is different for each of the four categories.  Under </w:t>
      </w:r>
      <w:r w:rsidRPr="00C035A8" w:rsidR="00F2667E">
        <w:rPr>
          <w:szCs w:val="24"/>
        </w:rPr>
        <w:t xml:space="preserve">49 CFR </w:t>
      </w:r>
      <w:r>
        <w:rPr>
          <w:szCs w:val="24"/>
        </w:rPr>
        <w:t>p</w:t>
      </w:r>
      <w:r w:rsidRPr="00C035A8" w:rsidR="00F2667E">
        <w:rPr>
          <w:szCs w:val="24"/>
        </w:rPr>
        <w:t xml:space="preserve">art 1552, </w:t>
      </w:r>
      <w:r w:rsidR="005713ED">
        <w:rPr>
          <w:szCs w:val="24"/>
        </w:rPr>
        <w:t>c</w:t>
      </w:r>
      <w:r w:rsidRPr="00C035A8" w:rsidR="00F2667E">
        <w:rPr>
          <w:szCs w:val="24"/>
        </w:rPr>
        <w:t xml:space="preserve">andidates applying for a Category 1, 2, or 3 training event are required to provide fingerprints to </w:t>
      </w:r>
      <w:r w:rsidR="00512504">
        <w:rPr>
          <w:szCs w:val="24"/>
        </w:rPr>
        <w:t>FTSP</w:t>
      </w:r>
      <w:r w:rsidRPr="00C035A8" w:rsidR="00F2667E">
        <w:rPr>
          <w:szCs w:val="24"/>
        </w:rPr>
        <w:t xml:space="preserve"> for</w:t>
      </w:r>
      <w:r w:rsidR="00190ACD">
        <w:rPr>
          <w:szCs w:val="24"/>
        </w:rPr>
        <w:t xml:space="preserve"> a</w:t>
      </w:r>
      <w:r w:rsidRPr="00C035A8" w:rsidR="00F2667E">
        <w:rPr>
          <w:szCs w:val="24"/>
        </w:rPr>
        <w:t xml:space="preserve"> </w:t>
      </w:r>
      <w:r w:rsidRPr="00190ACD" w:rsidR="00190ACD">
        <w:rPr>
          <w:szCs w:val="24"/>
        </w:rPr>
        <w:t>Criminal History Records Check (CHRC)</w:t>
      </w:r>
      <w:r w:rsidR="00190ACD">
        <w:rPr>
          <w:szCs w:val="24"/>
        </w:rPr>
        <w:t xml:space="preserve">.  </w:t>
      </w:r>
      <w:r>
        <w:rPr>
          <w:szCs w:val="24"/>
        </w:rPr>
        <w:t>In general, a</w:t>
      </w:r>
      <w:r w:rsidRPr="00C035A8" w:rsidR="00F2667E">
        <w:rPr>
          <w:szCs w:val="24"/>
        </w:rPr>
        <w:t xml:space="preserve"> </w:t>
      </w:r>
      <w:r w:rsidR="005713ED">
        <w:rPr>
          <w:szCs w:val="24"/>
        </w:rPr>
        <w:t>c</w:t>
      </w:r>
      <w:r w:rsidRPr="00C035A8" w:rsidR="00F2667E">
        <w:rPr>
          <w:szCs w:val="24"/>
        </w:rPr>
        <w:t xml:space="preserve">andidate must provide fingerprints to the </w:t>
      </w:r>
      <w:r w:rsidR="00512504">
        <w:rPr>
          <w:szCs w:val="24"/>
        </w:rPr>
        <w:t>FTSP</w:t>
      </w:r>
      <w:r w:rsidRPr="00C035A8" w:rsidR="00F2667E">
        <w:rPr>
          <w:szCs w:val="24"/>
        </w:rPr>
        <w:t xml:space="preserve"> </w:t>
      </w:r>
      <w:r>
        <w:rPr>
          <w:szCs w:val="24"/>
        </w:rPr>
        <w:t xml:space="preserve">only </w:t>
      </w:r>
      <w:r w:rsidRPr="00C035A8" w:rsidR="00F2667E">
        <w:rPr>
          <w:szCs w:val="24"/>
        </w:rPr>
        <w:t xml:space="preserve">once </w:t>
      </w:r>
      <w:r w:rsidR="00A916AB">
        <w:rPr>
          <w:szCs w:val="24"/>
        </w:rPr>
        <w:t>as</w:t>
      </w:r>
      <w:r w:rsidRPr="00C035A8" w:rsidR="00A916AB">
        <w:rPr>
          <w:szCs w:val="24"/>
        </w:rPr>
        <w:t xml:space="preserve"> </w:t>
      </w:r>
      <w:r w:rsidR="00512504">
        <w:rPr>
          <w:szCs w:val="24"/>
        </w:rPr>
        <w:t>FTSP</w:t>
      </w:r>
      <w:r w:rsidRPr="00C035A8" w:rsidR="00F2667E">
        <w:rPr>
          <w:szCs w:val="24"/>
        </w:rPr>
        <w:t xml:space="preserve"> stores those fingerprints for subsequent </w:t>
      </w:r>
      <w:r w:rsidR="00A916AB">
        <w:rPr>
          <w:szCs w:val="24"/>
        </w:rPr>
        <w:t>STA</w:t>
      </w:r>
      <w:r w:rsidRPr="00C035A8" w:rsidR="00F2667E">
        <w:rPr>
          <w:szCs w:val="24"/>
        </w:rPr>
        <w:t xml:space="preserve"> submissions to reduce the burden on the </w:t>
      </w:r>
      <w:r w:rsidR="005713ED">
        <w:rPr>
          <w:szCs w:val="24"/>
        </w:rPr>
        <w:t>c</w:t>
      </w:r>
      <w:r w:rsidRPr="00C035A8" w:rsidR="00F2667E">
        <w:rPr>
          <w:szCs w:val="24"/>
        </w:rPr>
        <w:t xml:space="preserve">andidate.  </w:t>
      </w:r>
      <w:r w:rsidR="00076D50">
        <w:rPr>
          <w:szCs w:val="24"/>
        </w:rPr>
        <w:t>However, there may be rare occurr</w:t>
      </w:r>
      <w:r w:rsidR="00CB7869">
        <w:rPr>
          <w:szCs w:val="24"/>
        </w:rPr>
        <w:t>e</w:t>
      </w:r>
      <w:r w:rsidR="00076D50">
        <w:rPr>
          <w:szCs w:val="24"/>
        </w:rPr>
        <w:t xml:space="preserve">nces when </w:t>
      </w:r>
      <w:r w:rsidR="00512504">
        <w:rPr>
          <w:szCs w:val="24"/>
        </w:rPr>
        <w:t>FTSP</w:t>
      </w:r>
      <w:r w:rsidR="00076D50">
        <w:rPr>
          <w:szCs w:val="24"/>
        </w:rPr>
        <w:t xml:space="preserve"> will </w:t>
      </w:r>
      <w:r w:rsidR="00C33CF1">
        <w:rPr>
          <w:szCs w:val="24"/>
        </w:rPr>
        <w:t>require a</w:t>
      </w:r>
      <w:r w:rsidR="00076D50">
        <w:rPr>
          <w:szCs w:val="24"/>
        </w:rPr>
        <w:t xml:space="preserve"> </w:t>
      </w:r>
      <w:r w:rsidR="001D6123">
        <w:rPr>
          <w:szCs w:val="24"/>
        </w:rPr>
        <w:t>c</w:t>
      </w:r>
      <w:r w:rsidR="00076D50">
        <w:rPr>
          <w:szCs w:val="24"/>
        </w:rPr>
        <w:t xml:space="preserve">andidate </w:t>
      </w:r>
      <w:r w:rsidR="001D6123">
        <w:rPr>
          <w:szCs w:val="24"/>
        </w:rPr>
        <w:t xml:space="preserve">to </w:t>
      </w:r>
      <w:r w:rsidR="00076D50">
        <w:rPr>
          <w:szCs w:val="24"/>
        </w:rPr>
        <w:t>submit new fingerprints</w:t>
      </w:r>
      <w:r w:rsidR="001D6123">
        <w:rPr>
          <w:szCs w:val="24"/>
        </w:rPr>
        <w:t xml:space="preserve"> (</w:t>
      </w:r>
      <w:r>
        <w:rPr>
          <w:szCs w:val="24"/>
        </w:rPr>
        <w:t>for example</w:t>
      </w:r>
      <w:r w:rsidR="00076D50">
        <w:rPr>
          <w:szCs w:val="24"/>
        </w:rPr>
        <w:t xml:space="preserve">, the digital fingerprint file </w:t>
      </w:r>
      <w:r w:rsidR="001D6123">
        <w:rPr>
          <w:szCs w:val="24"/>
        </w:rPr>
        <w:t xml:space="preserve">is </w:t>
      </w:r>
      <w:r w:rsidR="00076D50">
        <w:rPr>
          <w:szCs w:val="24"/>
        </w:rPr>
        <w:t>corrupt</w:t>
      </w:r>
      <w:r w:rsidR="001D6123">
        <w:rPr>
          <w:szCs w:val="24"/>
        </w:rPr>
        <w:t>ed)</w:t>
      </w:r>
      <w:r w:rsidR="00076D50">
        <w:rPr>
          <w:szCs w:val="24"/>
        </w:rPr>
        <w:t xml:space="preserve">.  </w:t>
      </w:r>
      <w:r w:rsidRPr="00C035A8" w:rsidR="00F2667E">
        <w:rPr>
          <w:szCs w:val="24"/>
        </w:rPr>
        <w:t xml:space="preserve">Candidates applying for a Category 4 training request are not required to provide fingerprints </w:t>
      </w:r>
      <w:r w:rsidR="00A916AB">
        <w:rPr>
          <w:szCs w:val="24"/>
        </w:rPr>
        <w:t>as</w:t>
      </w:r>
      <w:r w:rsidRPr="00C035A8" w:rsidR="00A916AB">
        <w:rPr>
          <w:szCs w:val="24"/>
        </w:rPr>
        <w:t xml:space="preserve"> </w:t>
      </w:r>
      <w:r w:rsidRPr="00C035A8" w:rsidR="00F2667E">
        <w:rPr>
          <w:szCs w:val="24"/>
        </w:rPr>
        <w:t>they are not required to undergo</w:t>
      </w:r>
      <w:r w:rsidR="001D6123">
        <w:rPr>
          <w:szCs w:val="24"/>
        </w:rPr>
        <w:t xml:space="preserve"> </w:t>
      </w:r>
      <w:r w:rsidRPr="00C035A8" w:rsidR="00F2667E">
        <w:rPr>
          <w:szCs w:val="24"/>
        </w:rPr>
        <w:t>a</w:t>
      </w:r>
      <w:r w:rsidR="00190ACD">
        <w:rPr>
          <w:szCs w:val="24"/>
        </w:rPr>
        <w:t xml:space="preserve"> </w:t>
      </w:r>
      <w:r w:rsidRPr="00190ACD" w:rsidR="00190ACD">
        <w:rPr>
          <w:szCs w:val="24"/>
        </w:rPr>
        <w:t>CHRC</w:t>
      </w:r>
      <w:r w:rsidR="00A916AB">
        <w:rPr>
          <w:szCs w:val="24"/>
        </w:rPr>
        <w:t xml:space="preserve"> as part of the STA</w:t>
      </w:r>
      <w:r w:rsidRPr="00C035A8" w:rsidR="00F2667E">
        <w:rPr>
          <w:szCs w:val="24"/>
        </w:rPr>
        <w:t>.</w:t>
      </w:r>
      <w:r w:rsidR="00076D50">
        <w:rPr>
          <w:szCs w:val="24"/>
        </w:rPr>
        <w:t xml:space="preserve">  Any </w:t>
      </w:r>
      <w:r w:rsidR="003C7DF3">
        <w:rPr>
          <w:szCs w:val="24"/>
        </w:rPr>
        <w:t>c</w:t>
      </w:r>
      <w:r w:rsidR="00076D50">
        <w:rPr>
          <w:szCs w:val="24"/>
        </w:rPr>
        <w:t xml:space="preserve">andidate who has submitted fingerprints to </w:t>
      </w:r>
      <w:r w:rsidR="00512504">
        <w:rPr>
          <w:szCs w:val="24"/>
        </w:rPr>
        <w:t>FTSP</w:t>
      </w:r>
      <w:r w:rsidR="00076D50">
        <w:rPr>
          <w:szCs w:val="24"/>
        </w:rPr>
        <w:t xml:space="preserve"> may be subject to recurrent criminal vetting</w:t>
      </w:r>
      <w:r w:rsidR="00974B10">
        <w:rPr>
          <w:szCs w:val="24"/>
        </w:rPr>
        <w:t>.</w:t>
      </w:r>
    </w:p>
    <w:p w:rsidRPr="00C035A8" w:rsidR="00F2667E" w:rsidP="00F2667E" w:rsidRDefault="00F2667E" w14:paraId="6755876C" w14:textId="77777777">
      <w:pPr>
        <w:shd w:val="clear" w:color="auto" w:fill="FFFFFF"/>
        <w:ind w:left="360"/>
        <w:rPr>
          <w:szCs w:val="24"/>
        </w:rPr>
      </w:pPr>
    </w:p>
    <w:p w:rsidRPr="00C035A8" w:rsidR="00F2667E" w:rsidP="00F2667E" w:rsidRDefault="00F2667E" w14:paraId="57391A84" w14:textId="1C5EEF06">
      <w:pPr>
        <w:ind w:left="360"/>
        <w:rPr>
          <w:szCs w:val="24"/>
        </w:rPr>
      </w:pPr>
      <w:r w:rsidRPr="00C035A8">
        <w:rPr>
          <w:szCs w:val="24"/>
        </w:rPr>
        <w:t xml:space="preserve">Flight </w:t>
      </w:r>
      <w:r w:rsidR="00A916AB">
        <w:rPr>
          <w:szCs w:val="24"/>
        </w:rPr>
        <w:t xml:space="preserve">training providers </w:t>
      </w:r>
      <w:r w:rsidRPr="00C035A8">
        <w:rPr>
          <w:szCs w:val="24"/>
        </w:rPr>
        <w:t xml:space="preserve">are required to confirm that a candidate has applied for flight training and provide TSA with a photograph of the </w:t>
      </w:r>
      <w:r w:rsidR="007D71B0">
        <w:rPr>
          <w:szCs w:val="24"/>
        </w:rPr>
        <w:t>c</w:t>
      </w:r>
      <w:r w:rsidRPr="00C035A8">
        <w:rPr>
          <w:szCs w:val="24"/>
        </w:rPr>
        <w:t xml:space="preserve">andidate when the candidate arrives for training.  To facilitate information collection, </w:t>
      </w:r>
      <w:r w:rsidR="003C7DF3">
        <w:rPr>
          <w:szCs w:val="24"/>
        </w:rPr>
        <w:t>c</w:t>
      </w:r>
      <w:r w:rsidRPr="00C035A8">
        <w:rPr>
          <w:szCs w:val="24"/>
        </w:rPr>
        <w:t xml:space="preserve">andidates submit information directly to TSA via </w:t>
      </w:r>
      <w:r w:rsidR="00A916AB">
        <w:rPr>
          <w:szCs w:val="24"/>
        </w:rPr>
        <w:t>an online portal</w:t>
      </w:r>
      <w:r w:rsidRPr="008279BC">
        <w:rPr>
          <w:szCs w:val="24"/>
        </w:rPr>
        <w:t>.</w:t>
      </w:r>
      <w:r w:rsidRPr="00C035A8">
        <w:rPr>
          <w:szCs w:val="24"/>
        </w:rPr>
        <w:t xml:space="preserve"> </w:t>
      </w:r>
      <w:r w:rsidR="00836DA8">
        <w:rPr>
          <w:szCs w:val="24"/>
        </w:rPr>
        <w:t xml:space="preserve"> </w:t>
      </w:r>
      <w:r w:rsidRPr="00C035A8" w:rsidR="007E5C86">
        <w:rPr>
          <w:szCs w:val="24"/>
        </w:rPr>
        <w:t xml:space="preserve">TSA uses this information to perform </w:t>
      </w:r>
      <w:r w:rsidR="007E5C86">
        <w:rPr>
          <w:szCs w:val="24"/>
        </w:rPr>
        <w:t>STAs</w:t>
      </w:r>
      <w:r w:rsidRPr="00C035A8" w:rsidR="007E5C86">
        <w:rPr>
          <w:szCs w:val="24"/>
        </w:rPr>
        <w:t xml:space="preserve"> to determine if the </w:t>
      </w:r>
      <w:r w:rsidR="007E5C86">
        <w:rPr>
          <w:szCs w:val="24"/>
        </w:rPr>
        <w:t>c</w:t>
      </w:r>
      <w:r w:rsidRPr="00C035A8" w:rsidR="007E5C86">
        <w:rPr>
          <w:szCs w:val="24"/>
        </w:rPr>
        <w:t>andidate poses a threat</w:t>
      </w:r>
      <w:r w:rsidR="007E5C86">
        <w:rPr>
          <w:szCs w:val="24"/>
        </w:rPr>
        <w:t xml:space="preserve"> to aviation or national security</w:t>
      </w:r>
      <w:r w:rsidRPr="00C035A8" w:rsidR="007E5C86">
        <w:rPr>
          <w:szCs w:val="24"/>
        </w:rPr>
        <w:t>.</w:t>
      </w:r>
    </w:p>
    <w:p w:rsidRPr="00C035A8" w:rsidR="00F2667E" w:rsidP="00F2667E" w:rsidRDefault="00F2667E" w14:paraId="44BB2374" w14:textId="77777777">
      <w:pPr>
        <w:rPr>
          <w:szCs w:val="24"/>
        </w:rPr>
      </w:pPr>
    </w:p>
    <w:p w:rsidR="00F2667E" w:rsidP="00F2667E" w:rsidRDefault="00E856B0" w14:paraId="5A4BE963" w14:textId="43E509D0">
      <w:pPr>
        <w:ind w:left="360"/>
        <w:rPr>
          <w:szCs w:val="24"/>
        </w:rPr>
      </w:pPr>
      <w:r>
        <w:rPr>
          <w:szCs w:val="24"/>
        </w:rPr>
        <w:t xml:space="preserve">Flight </w:t>
      </w:r>
      <w:r w:rsidR="00A916AB">
        <w:rPr>
          <w:szCs w:val="24"/>
        </w:rPr>
        <w:t>training providers</w:t>
      </w:r>
      <w:r w:rsidRPr="00C035A8" w:rsidR="00A916AB">
        <w:rPr>
          <w:szCs w:val="24"/>
        </w:rPr>
        <w:t xml:space="preserve"> </w:t>
      </w:r>
      <w:r w:rsidR="00BF279C">
        <w:rPr>
          <w:szCs w:val="24"/>
        </w:rPr>
        <w:t xml:space="preserve">must also </w:t>
      </w:r>
      <w:r w:rsidRPr="00C035A8" w:rsidR="00F2667E">
        <w:rPr>
          <w:szCs w:val="24"/>
        </w:rPr>
        <w:t xml:space="preserve">retain records of the initial and recurrent security awareness training provided to employees, for one year after the employee is no longer employed by the </w:t>
      </w:r>
      <w:r w:rsidR="00A916AB">
        <w:rPr>
          <w:szCs w:val="24"/>
        </w:rPr>
        <w:t>provider</w:t>
      </w:r>
      <w:r w:rsidRPr="00C035A8" w:rsidR="00F2667E">
        <w:rPr>
          <w:szCs w:val="24"/>
        </w:rPr>
        <w:t>, so that TSA may inspect those records.</w:t>
      </w:r>
      <w:r w:rsidR="007E5C86">
        <w:rPr>
          <w:szCs w:val="24"/>
        </w:rPr>
        <w:t xml:space="preserve">  </w:t>
      </w:r>
      <w:r w:rsidR="005E4A71">
        <w:rPr>
          <w:szCs w:val="24"/>
        </w:rPr>
        <w:t xml:space="preserve">These requirements also apply to </w:t>
      </w:r>
      <w:r w:rsidR="00836DA8">
        <w:rPr>
          <w:szCs w:val="24"/>
        </w:rPr>
        <w:t xml:space="preserve">certificated flight instructors </w:t>
      </w:r>
      <w:r w:rsidR="007E5C86">
        <w:rPr>
          <w:szCs w:val="24"/>
        </w:rPr>
        <w:t>(CFIs), who</w:t>
      </w:r>
      <w:r w:rsidR="006F3173">
        <w:rPr>
          <w:szCs w:val="24"/>
        </w:rPr>
        <w:t xml:space="preserve"> also</w:t>
      </w:r>
      <w:r w:rsidR="007E5C86">
        <w:rPr>
          <w:szCs w:val="24"/>
        </w:rPr>
        <w:t xml:space="preserve"> would be required to comply with this part, regardless of whether they are providing flight instruction to </w:t>
      </w:r>
      <w:r w:rsidR="009B0597">
        <w:rPr>
          <w:szCs w:val="24"/>
        </w:rPr>
        <w:t>n</w:t>
      </w:r>
      <w:r w:rsidR="002C0210">
        <w:rPr>
          <w:szCs w:val="24"/>
        </w:rPr>
        <w:t>on-U.S. citizens and non-U.S. nationals</w:t>
      </w:r>
      <w:r w:rsidR="007E5C86">
        <w:rPr>
          <w:szCs w:val="24"/>
        </w:rPr>
        <w:t>.</w:t>
      </w:r>
      <w:r w:rsidR="005E4A71">
        <w:rPr>
          <w:szCs w:val="24"/>
        </w:rPr>
        <w:t xml:space="preserve">  </w:t>
      </w:r>
      <w:r w:rsidR="005E4A71">
        <w:rPr>
          <w:i/>
          <w:szCs w:val="24"/>
        </w:rPr>
        <w:t xml:space="preserve">See, e.g., </w:t>
      </w:r>
      <w:r w:rsidR="005E4A71">
        <w:rPr>
          <w:szCs w:val="24"/>
        </w:rPr>
        <w:t xml:space="preserve">Federal Aviation Administration Safety Team Notice dated April 20, 2020, available at </w:t>
      </w:r>
      <w:hyperlink w:history="1" r:id="rId13">
        <w:r w:rsidR="005E4A71">
          <w:rPr>
            <w:rStyle w:val="Hyperlink"/>
          </w:rPr>
          <w:t>https://www.faasafety.gov/spans/noticeView.aspx?nid=10089</w:t>
        </w:r>
      </w:hyperlink>
      <w:r w:rsidR="005E4A71">
        <w:t>.</w:t>
      </w:r>
    </w:p>
    <w:p w:rsidR="00512504" w:rsidP="00F2667E" w:rsidRDefault="00512504" w14:paraId="093D06BF" w14:textId="7365F400">
      <w:pPr>
        <w:ind w:left="360"/>
        <w:rPr>
          <w:szCs w:val="24"/>
        </w:rPr>
      </w:pPr>
    </w:p>
    <w:p w:rsidR="00320387" w:rsidP="00320387" w:rsidRDefault="00320387" w14:paraId="5AE9B0F1" w14:textId="7777777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i/>
        </w:rPr>
        <w:lastRenderedPageBreak/>
        <w:t>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5235F88C" w14:textId="77777777">
      <w:pPr>
        <w:keepNext/>
        <w:numPr>
          <w:ilvl w:val="12"/>
          <w:numId w:val="0"/>
        </w:numPr>
        <w:ind w:left="360"/>
      </w:pPr>
    </w:p>
    <w:p w:rsidR="00320387" w:rsidP="001D1E88" w:rsidRDefault="00F2667E" w14:paraId="6A94C759" w14:textId="0FAB5551">
      <w:pPr>
        <w:ind w:left="360"/>
      </w:pPr>
      <w:r w:rsidRPr="00C035A8">
        <w:rPr>
          <w:szCs w:val="24"/>
        </w:rPr>
        <w:t xml:space="preserve">As required by the Government Paperwork Elimination Act (GPEA), as well as by program design, all applicant data is submitted and tracked electronically via an internet-based portal.  To the extent practicable, </w:t>
      </w:r>
      <w:r w:rsidR="00A73043">
        <w:rPr>
          <w:szCs w:val="24"/>
        </w:rPr>
        <w:t>f</w:t>
      </w:r>
      <w:r w:rsidR="00E856B0">
        <w:rPr>
          <w:szCs w:val="24"/>
        </w:rPr>
        <w:t>light schools</w:t>
      </w:r>
      <w:r w:rsidRPr="00C035A8">
        <w:rPr>
          <w:szCs w:val="24"/>
        </w:rPr>
        <w:t xml:space="preserve"> </w:t>
      </w:r>
      <w:r w:rsidR="00B110B5">
        <w:rPr>
          <w:szCs w:val="24"/>
        </w:rPr>
        <w:t xml:space="preserve">may electronically store </w:t>
      </w:r>
      <w:r w:rsidRPr="00C035A8">
        <w:rPr>
          <w:szCs w:val="24"/>
        </w:rPr>
        <w:t>records associated with this collection.</w:t>
      </w:r>
    </w:p>
    <w:p w:rsidR="00320387" w:rsidP="00320387" w:rsidRDefault="00320387" w14:paraId="68B09F22" w14:textId="77777777">
      <w:pPr>
        <w:numPr>
          <w:ilvl w:val="12"/>
          <w:numId w:val="0"/>
        </w:numPr>
      </w:pPr>
    </w:p>
    <w:p w:rsidR="00320387" w:rsidP="00320387" w:rsidRDefault="00320387" w14:paraId="5AD5DA9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592F49F0" w14:textId="77777777">
      <w:pPr>
        <w:keepNext/>
        <w:numPr>
          <w:ilvl w:val="12"/>
          <w:numId w:val="0"/>
        </w:numPr>
        <w:ind w:left="360"/>
      </w:pPr>
    </w:p>
    <w:p w:rsidR="00E346D4" w:rsidP="00320387" w:rsidRDefault="00F2667E" w14:paraId="230B62BD" w14:textId="0611482E">
      <w:pPr>
        <w:numPr>
          <w:ilvl w:val="12"/>
          <w:numId w:val="0"/>
        </w:numPr>
        <w:ind w:left="360"/>
      </w:pPr>
      <w:r w:rsidRPr="00332A2A">
        <w:rPr>
          <w:szCs w:val="24"/>
        </w:rPr>
        <w:t>There is no other way to collect the needed information from first-time applicants and, to the extent possible, the information is retained so as not to duplicate the collection</w:t>
      </w:r>
      <w:r w:rsidR="00902FDF">
        <w:rPr>
          <w:szCs w:val="24"/>
        </w:rPr>
        <w:t xml:space="preserve"> for subsequent </w:t>
      </w:r>
      <w:r w:rsidR="005637C0">
        <w:rPr>
          <w:szCs w:val="24"/>
        </w:rPr>
        <w:t>STAs</w:t>
      </w:r>
      <w:r w:rsidRPr="00332A2A">
        <w:rPr>
          <w:szCs w:val="24"/>
        </w:rPr>
        <w:t xml:space="preserve">.  After a candidate submits </w:t>
      </w:r>
      <w:r w:rsidR="00B70039">
        <w:rPr>
          <w:szCs w:val="24"/>
        </w:rPr>
        <w:t xml:space="preserve">an </w:t>
      </w:r>
      <w:r w:rsidRPr="00332A2A">
        <w:rPr>
          <w:szCs w:val="24"/>
        </w:rPr>
        <w:t>initial training request, th</w:t>
      </w:r>
      <w:r w:rsidR="00974B10">
        <w:rPr>
          <w:szCs w:val="24"/>
        </w:rPr>
        <w:t xml:space="preserve">at information is retained by the system for use in </w:t>
      </w:r>
      <w:r w:rsidR="00902FDF">
        <w:rPr>
          <w:szCs w:val="24"/>
        </w:rPr>
        <w:t xml:space="preserve">conducting vetting for </w:t>
      </w:r>
      <w:r w:rsidR="00974B10">
        <w:rPr>
          <w:szCs w:val="24"/>
        </w:rPr>
        <w:t xml:space="preserve">future training requests to limit the amount of </w:t>
      </w:r>
      <w:r w:rsidR="005A4AE3">
        <w:rPr>
          <w:szCs w:val="24"/>
        </w:rPr>
        <w:t>information</w:t>
      </w:r>
      <w:r w:rsidR="00974B10">
        <w:rPr>
          <w:szCs w:val="24"/>
        </w:rPr>
        <w:t xml:space="preserve"> the candidate has</w:t>
      </w:r>
      <w:r w:rsidR="005A4AE3">
        <w:rPr>
          <w:szCs w:val="24"/>
        </w:rPr>
        <w:t xml:space="preserve"> to re-enter</w:t>
      </w:r>
      <w:r w:rsidRPr="00332A2A">
        <w:rPr>
          <w:szCs w:val="24"/>
        </w:rPr>
        <w:t>.</w:t>
      </w:r>
      <w:r w:rsidRPr="00141400">
        <w:rPr>
          <w:szCs w:val="24"/>
        </w:rPr>
        <w:t xml:space="preserve">  </w:t>
      </w:r>
      <w:r w:rsidR="00E346D4">
        <w:rPr>
          <w:szCs w:val="24"/>
        </w:rPr>
        <w:t xml:space="preserve">Flight </w:t>
      </w:r>
      <w:r w:rsidR="005637C0">
        <w:rPr>
          <w:szCs w:val="24"/>
        </w:rPr>
        <w:t>training providers</w:t>
      </w:r>
      <w:r w:rsidRPr="00C035A8" w:rsidR="005637C0">
        <w:rPr>
          <w:szCs w:val="24"/>
        </w:rPr>
        <w:t xml:space="preserve"> </w:t>
      </w:r>
      <w:r w:rsidRPr="00C035A8" w:rsidR="00E346D4">
        <w:rPr>
          <w:szCs w:val="24"/>
        </w:rPr>
        <w:t xml:space="preserve">also retain records of the initial and recurrent security awareness training provided to employees, for one year after the employee is no longer employed by the </w:t>
      </w:r>
      <w:r w:rsidR="00E346D4">
        <w:rPr>
          <w:szCs w:val="24"/>
        </w:rPr>
        <w:t>flight school</w:t>
      </w:r>
      <w:r w:rsidRPr="00C035A8" w:rsidR="00E346D4">
        <w:rPr>
          <w:szCs w:val="24"/>
        </w:rPr>
        <w:t>, so that TSA may inspect those records.</w:t>
      </w:r>
    </w:p>
    <w:p w:rsidR="00320387" w:rsidP="00320387" w:rsidRDefault="00320387" w14:paraId="06D7BFD6" w14:textId="77777777">
      <w:pPr>
        <w:numPr>
          <w:ilvl w:val="12"/>
          <w:numId w:val="0"/>
        </w:numPr>
      </w:pPr>
    </w:p>
    <w:p w:rsidR="00320387" w:rsidP="00320387" w:rsidRDefault="00320387" w14:paraId="1DE719AF"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45D1171B" w14:textId="77777777">
      <w:pPr>
        <w:keepNext/>
        <w:numPr>
          <w:ilvl w:val="12"/>
          <w:numId w:val="0"/>
        </w:numPr>
        <w:ind w:left="360"/>
      </w:pPr>
    </w:p>
    <w:p w:rsidRPr="00C035A8" w:rsidR="00F2667E" w:rsidP="00F2667E" w:rsidRDefault="00F2667E" w14:paraId="01703A0F" w14:textId="77777777">
      <w:pPr>
        <w:ind w:left="360"/>
        <w:rPr>
          <w:szCs w:val="24"/>
        </w:rPr>
      </w:pPr>
      <w:r w:rsidRPr="00C035A8">
        <w:rPr>
          <w:szCs w:val="24"/>
        </w:rPr>
        <w:t>The information collected is consistent with the statutory requirements and there is no significant burden to small businesses.</w:t>
      </w:r>
    </w:p>
    <w:p w:rsidR="00320387" w:rsidP="00320387" w:rsidRDefault="00320387" w14:paraId="496FFD5B" w14:textId="77777777">
      <w:pPr>
        <w:numPr>
          <w:ilvl w:val="12"/>
          <w:numId w:val="0"/>
        </w:numPr>
      </w:pPr>
    </w:p>
    <w:p w:rsidR="00320387" w:rsidP="00320387" w:rsidRDefault="00320387" w14:paraId="685776D5"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7E76A876" w14:textId="77777777">
      <w:pPr>
        <w:keepNext/>
        <w:numPr>
          <w:ilvl w:val="12"/>
          <w:numId w:val="0"/>
        </w:numPr>
        <w:ind w:left="360"/>
      </w:pPr>
    </w:p>
    <w:p w:rsidRPr="00C035A8" w:rsidR="00F2667E" w:rsidP="00F2667E" w:rsidRDefault="00F2667E" w14:paraId="2929A3F7" w14:textId="3FFA77D4">
      <w:pPr>
        <w:ind w:left="360"/>
        <w:rPr>
          <w:szCs w:val="24"/>
        </w:rPr>
      </w:pPr>
      <w:r w:rsidRPr="00C035A8">
        <w:rPr>
          <w:szCs w:val="24"/>
        </w:rPr>
        <w:t xml:space="preserve">If the collection of information is reduced or eliminated, TSA would not be able to fulfill its Congressional mandate to prevent </w:t>
      </w:r>
      <w:r w:rsidR="002C0210">
        <w:rPr>
          <w:szCs w:val="24"/>
        </w:rPr>
        <w:t xml:space="preserve">non-U.S. citizens and non-U.S. nationals </w:t>
      </w:r>
      <w:r w:rsidRPr="00C035A8">
        <w:rPr>
          <w:szCs w:val="24"/>
        </w:rPr>
        <w:t>who pose a</w:t>
      </w:r>
      <w:r w:rsidR="00EF71EB">
        <w:rPr>
          <w:szCs w:val="24"/>
        </w:rPr>
        <w:t>n aviation or national</w:t>
      </w:r>
      <w:r w:rsidRPr="00C035A8">
        <w:rPr>
          <w:szCs w:val="24"/>
        </w:rPr>
        <w:t xml:space="preserve"> security threat from obtaining flight training.</w:t>
      </w:r>
    </w:p>
    <w:p w:rsidR="00320387" w:rsidP="00320387" w:rsidRDefault="00320387" w14:paraId="3D840031" w14:textId="77777777">
      <w:pPr>
        <w:numPr>
          <w:ilvl w:val="12"/>
          <w:numId w:val="0"/>
        </w:numPr>
      </w:pPr>
    </w:p>
    <w:p w:rsidR="00320387" w:rsidP="00320387" w:rsidRDefault="00320387" w14:paraId="0C0819E4"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2DD5FB3F" w14:textId="77777777">
      <w:pPr>
        <w:keepNext/>
        <w:numPr>
          <w:ilvl w:val="12"/>
          <w:numId w:val="0"/>
        </w:numPr>
        <w:ind w:left="360"/>
      </w:pPr>
    </w:p>
    <w:p w:rsidR="00320387" w:rsidP="001D1E88" w:rsidRDefault="00F2667E" w14:paraId="7DCB0386" w14:textId="34C86D0D">
      <w:pPr>
        <w:ind w:left="360"/>
      </w:pPr>
      <w:r w:rsidRPr="00C035A8">
        <w:rPr>
          <w:szCs w:val="24"/>
        </w:rPr>
        <w:t>No special circumstances</w:t>
      </w:r>
      <w:r w:rsidR="00CB22B3">
        <w:rPr>
          <w:szCs w:val="24"/>
        </w:rPr>
        <w:t xml:space="preserve"> exist</w:t>
      </w:r>
      <w:r w:rsidRPr="00C035A8">
        <w:rPr>
          <w:szCs w:val="24"/>
        </w:rPr>
        <w:t>.</w:t>
      </w:r>
    </w:p>
    <w:p w:rsidR="00320387" w:rsidP="00320387" w:rsidRDefault="00320387" w14:paraId="7053219D" w14:textId="77777777">
      <w:pPr>
        <w:numPr>
          <w:ilvl w:val="12"/>
          <w:numId w:val="0"/>
        </w:numPr>
      </w:pPr>
    </w:p>
    <w:p w:rsidR="00320387" w:rsidP="00320387" w:rsidRDefault="00320387" w14:paraId="403D80A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w:t>
      </w:r>
      <w:r>
        <w:rPr>
          <w:b/>
          <w:i/>
        </w:rPr>
        <w:lastRenderedPageBreak/>
        <w:t xml:space="preserve">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127CF01E" w14:textId="77777777">
      <w:pPr>
        <w:keepNext/>
        <w:numPr>
          <w:ilvl w:val="12"/>
          <w:numId w:val="0"/>
        </w:numPr>
        <w:ind w:left="360"/>
      </w:pPr>
    </w:p>
    <w:p w:rsidRPr="00A3780E" w:rsidR="004E2807" w:rsidP="004E2807" w:rsidRDefault="00B110B5" w14:paraId="04A299B5" w14:textId="5E9B03AB">
      <w:pPr>
        <w:numPr>
          <w:ilvl w:val="12"/>
          <w:numId w:val="0"/>
        </w:numPr>
        <w:ind w:left="360"/>
        <w:rPr>
          <w:rFonts w:cs="Times New Roman"/>
          <w:color w:val="auto"/>
          <w:szCs w:val="24"/>
          <w:highlight w:val="yellow"/>
        </w:rPr>
      </w:pPr>
      <w:r>
        <w:t>T</w:t>
      </w:r>
      <w:r w:rsidRPr="00F2667E">
        <w:t>o minimize the time and cost burden without compromising security</w:t>
      </w:r>
      <w:r>
        <w:t xml:space="preserve">, </w:t>
      </w:r>
      <w:r w:rsidRPr="00F2667E" w:rsidR="00F2667E">
        <w:t xml:space="preserve">TSA consulted with </w:t>
      </w:r>
      <w:r w:rsidR="00EF71EB">
        <w:t xml:space="preserve">aviation community </w:t>
      </w:r>
      <w:r w:rsidRPr="00F2667E" w:rsidR="00F2667E">
        <w:t>stakeholders, as well as with the Department of Justice (the agency from which program responsibility was transferred</w:t>
      </w:r>
      <w:r w:rsidR="00EE5168">
        <w:t xml:space="preserve"> in 2004</w:t>
      </w:r>
      <w:r w:rsidRPr="00F2667E" w:rsidR="00F2667E">
        <w:t xml:space="preserve">) </w:t>
      </w:r>
      <w:r w:rsidR="00EF71EB">
        <w:t xml:space="preserve">during development of the IFR </w:t>
      </w:r>
      <w:r w:rsidRPr="00F2667E" w:rsidR="00F2667E">
        <w:t>to ensure no more information than is necessary is collected from each respondent</w:t>
      </w:r>
      <w:r>
        <w:t>.</w:t>
      </w:r>
      <w:r w:rsidR="00836DA8">
        <w:t xml:space="preserve"> </w:t>
      </w:r>
      <w:r w:rsidRPr="00F2667E" w:rsidR="00F2667E">
        <w:t xml:space="preserve"> TSA published a 60-day notice for this collection in the Federal Register on </w:t>
      </w:r>
      <w:r w:rsidR="00D84ED8">
        <w:t>August 25</w:t>
      </w:r>
      <w:r w:rsidRPr="001D1E88" w:rsidR="0065776E">
        <w:t>, 20</w:t>
      </w:r>
      <w:r w:rsidR="00512504">
        <w:t>2</w:t>
      </w:r>
      <w:r w:rsidRPr="001D1E88" w:rsidR="0065776E">
        <w:t>1</w:t>
      </w:r>
      <w:r w:rsidRPr="001D1E88" w:rsidR="00F2667E">
        <w:t xml:space="preserve"> (</w:t>
      </w:r>
      <w:r w:rsidRPr="001D1E88" w:rsidR="0065776E">
        <w:t>8</w:t>
      </w:r>
      <w:r w:rsidR="000160FC">
        <w:t>6</w:t>
      </w:r>
      <w:r w:rsidRPr="001D1E88" w:rsidR="0065776E">
        <w:t xml:space="preserve"> FR </w:t>
      </w:r>
      <w:r w:rsidR="00D84ED8">
        <w:t>47507</w:t>
      </w:r>
      <w:r w:rsidRPr="001D1E88" w:rsidR="00F2667E">
        <w:t>)</w:t>
      </w:r>
      <w:r w:rsidR="00615EBA">
        <w:t xml:space="preserve"> and received one comment.  The commenter had concerns about TSA continuing to provide adequate vetting </w:t>
      </w:r>
      <w:r w:rsidR="00D84ED8">
        <w:t xml:space="preserve">of </w:t>
      </w:r>
      <w:r w:rsidRPr="00F2667E" w:rsidR="00D84ED8">
        <w:t>non</w:t>
      </w:r>
      <w:r w:rsidR="00615EBA">
        <w:t xml:space="preserve">-U.S. citizens and non-U.S. nationals.  TSA will continue to conduct security threat assessments on </w:t>
      </w:r>
      <w:r w:rsidRPr="00615EBA" w:rsidR="00615EBA">
        <w:t>non-U.S. citizens and non-U.S. nationals</w:t>
      </w:r>
      <w:r w:rsidR="00615EBA">
        <w:t xml:space="preserve">.  </w:t>
      </w:r>
      <w:r w:rsidR="00423641">
        <w:t xml:space="preserve">FAA certificate holders are also subject to </w:t>
      </w:r>
      <w:r w:rsidR="00615EBA">
        <w:t>terrorism checks</w:t>
      </w:r>
      <w:r w:rsidR="00423641">
        <w:t>.</w:t>
      </w:r>
      <w:r w:rsidR="00615EBA">
        <w:t xml:space="preserve">  TSA also published a</w:t>
      </w:r>
      <w:r w:rsidRPr="00F2667E" w:rsidR="00F2667E">
        <w:t xml:space="preserve"> </w:t>
      </w:r>
      <w:r w:rsidRPr="0065776E" w:rsidR="00F2667E">
        <w:t xml:space="preserve">30-day notice on </w:t>
      </w:r>
      <w:r w:rsidRPr="00493BE6" w:rsidR="00493BE6">
        <w:t>January 19</w:t>
      </w:r>
      <w:r w:rsidRPr="00493BE6" w:rsidR="00144139">
        <w:t xml:space="preserve">, </w:t>
      </w:r>
      <w:r w:rsidRPr="00493BE6" w:rsidR="00F2667E">
        <w:t>20</w:t>
      </w:r>
      <w:r w:rsidRPr="00493BE6" w:rsidR="000160FC">
        <w:t>2</w:t>
      </w:r>
      <w:r w:rsidRPr="00493BE6" w:rsidR="00493BE6">
        <w:t>2</w:t>
      </w:r>
      <w:r w:rsidRPr="00493BE6" w:rsidR="00F2667E">
        <w:t xml:space="preserve"> (</w:t>
      </w:r>
      <w:r w:rsidRPr="00493BE6" w:rsidR="007C5FFD">
        <w:t>8</w:t>
      </w:r>
      <w:r w:rsidRPr="00493BE6" w:rsidR="00493BE6">
        <w:t>7</w:t>
      </w:r>
      <w:r w:rsidRPr="00493BE6" w:rsidR="00F2667E">
        <w:t xml:space="preserve"> FR </w:t>
      </w:r>
      <w:r w:rsidRPr="00493BE6" w:rsidR="00493BE6">
        <w:t>2889</w:t>
      </w:r>
      <w:r w:rsidRPr="00493BE6" w:rsidR="00F2667E">
        <w:t>).</w:t>
      </w:r>
      <w:r w:rsidRPr="00493BE6" w:rsidR="00DA4B83">
        <w:t xml:space="preserve">  </w:t>
      </w:r>
      <w:r w:rsidRPr="00493BE6" w:rsidR="00615EBA">
        <w:t xml:space="preserve">TSA did not receive a comment on the 30-day notice. </w:t>
      </w:r>
    </w:p>
    <w:p w:rsidR="00320387" w:rsidP="001D1E88" w:rsidRDefault="00320387" w14:paraId="50EED8F3" w14:textId="259C7141">
      <w:pPr>
        <w:pStyle w:val="IndexHeading"/>
        <w:keepNext w:val="0"/>
        <w:numPr>
          <w:ilvl w:val="12"/>
          <w:numId w:val="0"/>
        </w:numPr>
        <w:spacing w:line="240" w:lineRule="auto"/>
        <w:ind w:left="360"/>
        <w:rPr>
          <w:rFonts w:ascii="Times New Roman" w:hAnsi="Times New Roman"/>
          <w:spacing w:val="0"/>
        </w:rPr>
      </w:pPr>
    </w:p>
    <w:p w:rsidR="00320387" w:rsidP="00320387" w:rsidRDefault="00320387" w14:paraId="7605BDFD"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55567956" w14:textId="77777777">
      <w:pPr>
        <w:keepNext/>
        <w:numPr>
          <w:ilvl w:val="12"/>
          <w:numId w:val="0"/>
        </w:numPr>
        <w:ind w:left="360"/>
      </w:pPr>
    </w:p>
    <w:p w:rsidRPr="00C035A8" w:rsidR="00F2667E" w:rsidP="00F2667E" w:rsidRDefault="00F2667E" w14:paraId="7179BDC4" w14:textId="77777777">
      <w:pPr>
        <w:ind w:left="360"/>
        <w:rPr>
          <w:szCs w:val="24"/>
        </w:rPr>
      </w:pPr>
      <w:r w:rsidRPr="00C035A8">
        <w:rPr>
          <w:szCs w:val="24"/>
        </w:rPr>
        <w:t>TSA does not provide payment or gifts to respondents.</w:t>
      </w:r>
    </w:p>
    <w:p w:rsidR="00320387" w:rsidP="00320387" w:rsidRDefault="00320387" w14:paraId="66720D20" w14:textId="77777777">
      <w:pPr>
        <w:numPr>
          <w:ilvl w:val="12"/>
          <w:numId w:val="0"/>
        </w:numPr>
      </w:pPr>
    </w:p>
    <w:p w:rsidR="00320387" w:rsidP="00320387" w:rsidRDefault="00320387" w14:paraId="406E6775"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6683BD62" w14:textId="77777777">
      <w:pPr>
        <w:keepNext/>
        <w:numPr>
          <w:ilvl w:val="12"/>
          <w:numId w:val="0"/>
        </w:numPr>
        <w:ind w:left="360"/>
      </w:pPr>
    </w:p>
    <w:p w:rsidRPr="00B27901" w:rsidR="00B27901" w:rsidP="00B27901" w:rsidRDefault="00561922" w14:paraId="43A9D211" w14:textId="24BE31E4">
      <w:pPr>
        <w:ind w:left="360"/>
        <w:rPr>
          <w:rFonts w:cs="Times New Roman"/>
          <w:color w:val="auto"/>
          <w:szCs w:val="24"/>
        </w:rPr>
      </w:pPr>
      <w:r>
        <w:rPr>
          <w:szCs w:val="24"/>
        </w:rPr>
        <w:t>TSA does not provide any assurance of confidentiality to the respondents</w:t>
      </w:r>
      <w:r w:rsidR="00802080">
        <w:rPr>
          <w:szCs w:val="24"/>
        </w:rPr>
        <w:t>;</w:t>
      </w:r>
      <w:r w:rsidR="002D3AB1">
        <w:rPr>
          <w:szCs w:val="24"/>
        </w:rPr>
        <w:t xml:space="preserve"> </w:t>
      </w:r>
      <w:r w:rsidR="00950EFA">
        <w:rPr>
          <w:szCs w:val="24"/>
        </w:rPr>
        <w:t>however,</w:t>
      </w:r>
      <w:r w:rsidR="002D3AB1">
        <w:rPr>
          <w:szCs w:val="24"/>
        </w:rPr>
        <w:t xml:space="preserve"> all information is handled in accordance with t</w:t>
      </w:r>
      <w:r>
        <w:rPr>
          <w:szCs w:val="24"/>
        </w:rPr>
        <w:t xml:space="preserve">he Privacy Act of 1974.  </w:t>
      </w:r>
      <w:r w:rsidR="002D3AB1">
        <w:rPr>
          <w:szCs w:val="24"/>
        </w:rPr>
        <w:t xml:space="preserve">The applicable TSA system of records notice (SORN) is DHS/TSA-002, Transportation Security Threat Assessment System, last published in the </w:t>
      </w:r>
      <w:r w:rsidRPr="001D1E88" w:rsidR="002D3AB1">
        <w:rPr>
          <w:i/>
          <w:szCs w:val="24"/>
        </w:rPr>
        <w:t>Federal Register</w:t>
      </w:r>
      <w:r w:rsidR="002D3AB1">
        <w:rPr>
          <w:szCs w:val="24"/>
        </w:rPr>
        <w:t xml:space="preserve"> on </w:t>
      </w:r>
      <w:r w:rsidR="00FC53D1">
        <w:rPr>
          <w:szCs w:val="24"/>
        </w:rPr>
        <w:t>August 11, 2014</w:t>
      </w:r>
      <w:r w:rsidR="002D3AB1">
        <w:rPr>
          <w:szCs w:val="24"/>
        </w:rPr>
        <w:t xml:space="preserve"> (</w:t>
      </w:r>
      <w:r w:rsidR="00FC53D1">
        <w:rPr>
          <w:szCs w:val="24"/>
        </w:rPr>
        <w:t>79</w:t>
      </w:r>
      <w:r w:rsidR="002D3AB1">
        <w:rPr>
          <w:szCs w:val="24"/>
        </w:rPr>
        <w:t xml:space="preserve"> FR </w:t>
      </w:r>
      <w:r w:rsidR="00FC53D1">
        <w:rPr>
          <w:szCs w:val="24"/>
        </w:rPr>
        <w:t>46862</w:t>
      </w:r>
      <w:r w:rsidR="002D3AB1">
        <w:rPr>
          <w:szCs w:val="24"/>
        </w:rPr>
        <w:t>).</w:t>
      </w:r>
      <w:r w:rsidR="00B27901">
        <w:rPr>
          <w:szCs w:val="24"/>
        </w:rPr>
        <w:t xml:space="preserve">  </w:t>
      </w:r>
      <w:r w:rsidR="00E24744">
        <w:rPr>
          <w:szCs w:val="24"/>
        </w:rPr>
        <w:t>Also, a</w:t>
      </w:r>
      <w:r w:rsidR="00B27901">
        <w:rPr>
          <w:szCs w:val="24"/>
        </w:rPr>
        <w:t xml:space="preserve"> Privacy Impact Assessment (PIA)</w:t>
      </w:r>
      <w:r w:rsidR="00E24744">
        <w:rPr>
          <w:szCs w:val="24"/>
        </w:rPr>
        <w:t xml:space="preserve">, </w:t>
      </w:r>
      <w:r w:rsidR="00B27901">
        <w:rPr>
          <w:szCs w:val="24"/>
        </w:rPr>
        <w:t>DHS/TSA/PIA-026</w:t>
      </w:r>
      <w:r w:rsidR="00E24744">
        <w:rPr>
          <w:szCs w:val="24"/>
        </w:rPr>
        <w:t>-</w:t>
      </w:r>
      <w:r w:rsidRPr="003E77BA" w:rsidR="00B27901">
        <w:rPr>
          <w:szCs w:val="24"/>
        </w:rPr>
        <w:t>Alien Flight Student</w:t>
      </w:r>
      <w:r w:rsidR="00B27901">
        <w:rPr>
          <w:szCs w:val="24"/>
        </w:rPr>
        <w:t xml:space="preserve"> Program</w:t>
      </w:r>
      <w:r w:rsidR="00E24744">
        <w:rPr>
          <w:rFonts w:cs="Times New Roman"/>
          <w:color w:val="auto"/>
          <w:szCs w:val="24"/>
        </w:rPr>
        <w:t>,</w:t>
      </w:r>
      <w:r w:rsidR="00B27901">
        <w:rPr>
          <w:rFonts w:cs="Times New Roman"/>
          <w:color w:val="auto"/>
          <w:szCs w:val="24"/>
        </w:rPr>
        <w:t xml:space="preserve"> </w:t>
      </w:r>
      <w:r w:rsidRPr="00B27901" w:rsidR="00B27901">
        <w:rPr>
          <w:rFonts w:cs="Times New Roman"/>
          <w:color w:val="auto"/>
          <w:szCs w:val="24"/>
        </w:rPr>
        <w:t>was published on J</w:t>
      </w:r>
      <w:r w:rsidR="00B27901">
        <w:rPr>
          <w:rFonts w:cs="Times New Roman"/>
          <w:color w:val="auto"/>
          <w:szCs w:val="24"/>
        </w:rPr>
        <w:t>uly 28, 2014</w:t>
      </w:r>
      <w:r w:rsidRPr="00B27901" w:rsidR="00B27901">
        <w:rPr>
          <w:rFonts w:cs="Times New Roman"/>
          <w:color w:val="auto"/>
          <w:szCs w:val="24"/>
        </w:rPr>
        <w:t xml:space="preserve"> on </w:t>
      </w:r>
      <w:hyperlink w:history="1" r:id="rId14">
        <w:r w:rsidRPr="00B27901" w:rsidR="00B27901">
          <w:rPr>
            <w:rFonts w:cs="Times New Roman"/>
            <w:color w:val="0000FF"/>
            <w:szCs w:val="24"/>
          </w:rPr>
          <w:t>www.dhs.gov</w:t>
        </w:r>
      </w:hyperlink>
      <w:r w:rsidRPr="00B27901" w:rsidR="00B27901">
        <w:rPr>
          <w:rFonts w:cs="Times New Roman"/>
          <w:color w:val="auto"/>
          <w:szCs w:val="24"/>
        </w:rPr>
        <w:t>.</w:t>
      </w:r>
    </w:p>
    <w:p w:rsidRPr="00C035A8" w:rsidR="00F2667E" w:rsidP="00F2667E" w:rsidRDefault="00F2667E" w14:paraId="6705362F" w14:textId="1996D249">
      <w:pPr>
        <w:ind w:left="360"/>
        <w:rPr>
          <w:szCs w:val="24"/>
        </w:rPr>
      </w:pPr>
    </w:p>
    <w:p w:rsidR="00320387" w:rsidP="00320387" w:rsidRDefault="00320387" w14:paraId="4DFCA441" w14:textId="77777777">
      <w:pPr>
        <w:numPr>
          <w:ilvl w:val="12"/>
          <w:numId w:val="0"/>
        </w:numPr>
      </w:pPr>
    </w:p>
    <w:p w:rsidR="00320387" w:rsidP="00320387" w:rsidRDefault="00320387" w14:paraId="70364321"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1D1E88" w:rsidRDefault="00320387" w14:paraId="6CBA29F1" w14:textId="77777777">
      <w:pPr>
        <w:keepNext/>
        <w:numPr>
          <w:ilvl w:val="12"/>
          <w:numId w:val="0"/>
        </w:numPr>
        <w:ind w:left="360"/>
      </w:pPr>
    </w:p>
    <w:p w:rsidRPr="00C035A8" w:rsidR="00F2667E" w:rsidP="00F2667E" w:rsidRDefault="00F2667E" w14:paraId="3CE8048D" w14:textId="77777777">
      <w:pPr>
        <w:ind w:left="360"/>
        <w:rPr>
          <w:szCs w:val="24"/>
        </w:rPr>
      </w:pPr>
      <w:r w:rsidRPr="00C035A8">
        <w:rPr>
          <w:szCs w:val="24"/>
        </w:rPr>
        <w:t>TSA is not posing questions of sensitive nature.</w:t>
      </w:r>
    </w:p>
    <w:p w:rsidR="00320387" w:rsidP="00320387" w:rsidRDefault="00320387" w14:paraId="2C0374C2" w14:textId="77777777">
      <w:pPr>
        <w:numPr>
          <w:ilvl w:val="12"/>
          <w:numId w:val="0"/>
        </w:numPr>
      </w:pPr>
    </w:p>
    <w:p w:rsidR="00320387" w:rsidP="00320387" w:rsidRDefault="00320387" w14:paraId="1BA300A8" w14:textId="77777777">
      <w:pPr>
        <w:keepNext/>
        <w:numPr>
          <w:ilvl w:val="0"/>
          <w:numId w:val="1"/>
        </w:numPr>
        <w:tabs>
          <w:tab w:val="left" w:pos="360"/>
        </w:tabs>
        <w:rPr>
          <w:b/>
          <w:i/>
        </w:rPr>
      </w:pPr>
      <w:r>
        <w:rPr>
          <w:b/>
          <w:i/>
        </w:rPr>
        <w:t>Provide estimates of hour</w:t>
      </w:r>
      <w:r w:rsidR="00D12A14">
        <w:rPr>
          <w:b/>
          <w:i/>
        </w:rPr>
        <w:t xml:space="preserve"> and cost</w:t>
      </w:r>
      <w:r>
        <w:rPr>
          <w:b/>
          <w:i/>
        </w:rPr>
        <w:t xml:space="preserve"> burden of the collection of information.</w:t>
      </w:r>
    </w:p>
    <w:p w:rsidR="00320387" w:rsidP="00320387" w:rsidRDefault="00320387" w14:paraId="575D0020" w14:textId="77777777">
      <w:pPr>
        <w:keepNext/>
        <w:numPr>
          <w:ilvl w:val="12"/>
          <w:numId w:val="0"/>
        </w:numPr>
        <w:ind w:left="360"/>
      </w:pPr>
    </w:p>
    <w:p w:rsidR="003E77BA" w:rsidP="003E77BA" w:rsidRDefault="003E77BA" w14:paraId="07A1A0F5" w14:textId="4B05EA56">
      <w:pPr>
        <w:ind w:left="360"/>
        <w:rPr>
          <w:szCs w:val="24"/>
        </w:rPr>
      </w:pPr>
      <w:r>
        <w:rPr>
          <w:szCs w:val="24"/>
        </w:rPr>
        <w:t xml:space="preserve">There are two categories of respondents: </w:t>
      </w:r>
      <w:r w:rsidR="006B02CF">
        <w:rPr>
          <w:szCs w:val="24"/>
        </w:rPr>
        <w:t xml:space="preserve">flight training </w:t>
      </w:r>
      <w:r>
        <w:rPr>
          <w:szCs w:val="24"/>
        </w:rPr>
        <w:t xml:space="preserve">candidates and flight training providers. </w:t>
      </w:r>
      <w:r w:rsidRPr="00551A3A" w:rsidR="006B02CF">
        <w:rPr>
          <w:szCs w:val="24"/>
        </w:rPr>
        <w:t>TSA estimates a total of 39,496 respondents annually: 19,869 flight training candidates and 19,627 flight training providers.</w:t>
      </w:r>
      <w:r w:rsidR="006B02CF">
        <w:rPr>
          <w:szCs w:val="24"/>
        </w:rPr>
        <w:t xml:space="preserve">  </w:t>
      </w:r>
      <w:r>
        <w:rPr>
          <w:szCs w:val="24"/>
        </w:rPr>
        <w:t xml:space="preserve">Non-U.S. citizens and non-U.S. national </w:t>
      </w:r>
      <w:r>
        <w:rPr>
          <w:szCs w:val="24"/>
        </w:rPr>
        <w:lastRenderedPageBreak/>
        <w:t xml:space="preserve">candidates are required to provide or update the biographical and biometric information as well as information on the training itself each time they apply for flight training as described in 49 CFR part 1552.  </w:t>
      </w:r>
    </w:p>
    <w:p w:rsidR="006B02CF" w:rsidP="003E77BA" w:rsidRDefault="006B02CF" w14:paraId="3CFBC394" w14:textId="77777777">
      <w:pPr>
        <w:ind w:left="360"/>
        <w:rPr>
          <w:szCs w:val="24"/>
        </w:rPr>
      </w:pPr>
    </w:p>
    <w:p w:rsidR="003E77BA" w:rsidP="003E77BA" w:rsidRDefault="003E77BA" w14:paraId="5EA87DF7" w14:textId="77777777">
      <w:pPr>
        <w:ind w:left="360"/>
        <w:rPr>
          <w:szCs w:val="24"/>
        </w:rPr>
      </w:pPr>
      <w:r w:rsidRPr="00C035A8">
        <w:rPr>
          <w:szCs w:val="24"/>
        </w:rPr>
        <w:t xml:space="preserve">TSA estimates the </w:t>
      </w:r>
      <w:r>
        <w:rPr>
          <w:szCs w:val="24"/>
        </w:rPr>
        <w:t xml:space="preserve">average annual </w:t>
      </w:r>
      <w:r w:rsidRPr="00C035A8">
        <w:rPr>
          <w:szCs w:val="24"/>
        </w:rPr>
        <w:t xml:space="preserve">number of </w:t>
      </w:r>
      <w:r>
        <w:rPr>
          <w:szCs w:val="24"/>
        </w:rPr>
        <w:t xml:space="preserve">flight training events </w:t>
      </w:r>
      <w:r w:rsidRPr="00C035A8">
        <w:rPr>
          <w:szCs w:val="24"/>
        </w:rPr>
        <w:t xml:space="preserve">to be </w:t>
      </w:r>
      <w:r>
        <w:rPr>
          <w:szCs w:val="24"/>
        </w:rPr>
        <w:t>40,340</w:t>
      </w:r>
      <w:r w:rsidRPr="00EA2050">
        <w:rPr>
          <w:szCs w:val="24"/>
        </w:rPr>
        <w:t xml:space="preserve"> </w:t>
      </w:r>
      <w:r>
        <w:rPr>
          <w:szCs w:val="24"/>
        </w:rPr>
        <w:t xml:space="preserve">for </w:t>
      </w:r>
      <w:r w:rsidRPr="00EA2050">
        <w:rPr>
          <w:szCs w:val="24"/>
        </w:rPr>
        <w:t>Category 1, 2, or 3</w:t>
      </w:r>
      <w:r>
        <w:rPr>
          <w:szCs w:val="24"/>
        </w:rPr>
        <w:t xml:space="preserve"> and 19,882 for </w:t>
      </w:r>
      <w:r w:rsidRPr="00EA2050">
        <w:rPr>
          <w:szCs w:val="24"/>
        </w:rPr>
        <w:t>Category 4</w:t>
      </w:r>
      <w:r>
        <w:rPr>
          <w:szCs w:val="24"/>
        </w:rPr>
        <w:t xml:space="preserve">. </w:t>
      </w:r>
      <w:r w:rsidRPr="00A429CB">
        <w:rPr>
          <w:szCs w:val="24"/>
        </w:rPr>
        <w:t xml:space="preserve"> </w:t>
      </w:r>
      <w:r w:rsidRPr="00C035A8">
        <w:rPr>
          <w:szCs w:val="24"/>
        </w:rPr>
        <w:t xml:space="preserve">TSA estimates it takes 45 minutes </w:t>
      </w:r>
      <w:r>
        <w:rPr>
          <w:szCs w:val="24"/>
        </w:rPr>
        <w:t xml:space="preserve">(0.75 hours) </w:t>
      </w:r>
      <w:r w:rsidRPr="00C035A8">
        <w:rPr>
          <w:szCs w:val="24"/>
        </w:rPr>
        <w:t xml:space="preserve">per </w:t>
      </w:r>
      <w:r>
        <w:rPr>
          <w:szCs w:val="24"/>
        </w:rPr>
        <w:t xml:space="preserve">training request </w:t>
      </w:r>
      <w:r w:rsidRPr="00C035A8">
        <w:rPr>
          <w:szCs w:val="24"/>
        </w:rPr>
        <w:t>application</w:t>
      </w:r>
      <w:r>
        <w:rPr>
          <w:szCs w:val="24"/>
        </w:rPr>
        <w:t>, and uses a hourly compensation rate of $34.20 for all flight training candidates.</w:t>
      </w:r>
      <w:r>
        <w:rPr>
          <w:rStyle w:val="FootnoteReference"/>
          <w:szCs w:val="24"/>
        </w:rPr>
        <w:footnoteReference w:id="1"/>
      </w:r>
      <w:r>
        <w:rPr>
          <w:szCs w:val="24"/>
        </w:rPr>
        <w:t xml:space="preserve"> TSA multiplies the number of training events by the hourly burden per training event and candidate compensation rate to calculate the annual hour burden cost. Table 1 summarizes the burden for flight training candidates.</w:t>
      </w:r>
    </w:p>
    <w:p w:rsidR="003E77BA" w:rsidP="003E77BA" w:rsidRDefault="003E77BA" w14:paraId="00F557F5" w14:textId="77777777">
      <w:pPr>
        <w:ind w:left="360"/>
        <w:rPr>
          <w:szCs w:val="24"/>
        </w:rPr>
      </w:pPr>
    </w:p>
    <w:p w:rsidR="003E77BA" w:rsidP="003E77BA" w:rsidRDefault="003E77BA" w14:paraId="5F3C02B5" w14:textId="77777777">
      <w:pPr>
        <w:ind w:left="360"/>
        <w:rPr>
          <w:szCs w:val="24"/>
        </w:rPr>
      </w:pPr>
    </w:p>
    <w:p w:rsidR="003E77BA" w:rsidP="003E77BA" w:rsidRDefault="003E77BA" w14:paraId="1C40B625" w14:textId="77777777">
      <w:pPr>
        <w:ind w:left="360"/>
        <w:rPr>
          <w:szCs w:val="24"/>
        </w:rPr>
      </w:pPr>
    </w:p>
    <w:p w:rsidR="003E77BA" w:rsidP="003E77BA" w:rsidRDefault="003E77BA" w14:paraId="799866F4" w14:textId="77777777">
      <w:pPr>
        <w:keepNext/>
        <w:keepLines/>
        <w:jc w:val="center"/>
        <w:rPr>
          <w:rFonts w:cs="Times New Roman"/>
          <w:b/>
          <w:bCs/>
          <w:szCs w:val="24"/>
        </w:rPr>
        <w:sectPr w:rsidR="003E77BA" w:rsidSect="00CC0741">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pPr>
    </w:p>
    <w:tbl>
      <w:tblPr>
        <w:tblW w:w="13140" w:type="dxa"/>
        <w:tblLayout w:type="fixed"/>
        <w:tblCellMar>
          <w:left w:w="115" w:type="dxa"/>
          <w:right w:w="115" w:type="dxa"/>
        </w:tblCellMar>
        <w:tblLook w:val="04A0" w:firstRow="1" w:lastRow="0" w:firstColumn="1" w:lastColumn="0" w:noHBand="0" w:noVBand="1"/>
      </w:tblPr>
      <w:tblGrid>
        <w:gridCol w:w="1287"/>
        <w:gridCol w:w="898"/>
        <w:gridCol w:w="906"/>
        <w:gridCol w:w="959"/>
        <w:gridCol w:w="1080"/>
        <w:gridCol w:w="1440"/>
        <w:gridCol w:w="1710"/>
        <w:gridCol w:w="1620"/>
        <w:gridCol w:w="1530"/>
        <w:gridCol w:w="1710"/>
      </w:tblGrid>
      <w:tr w:rsidRPr="00CC0741" w:rsidR="003E77BA" w:rsidTr="00D7095E" w14:paraId="6E3F6DBB" w14:textId="77777777">
        <w:trPr>
          <w:trHeight w:val="144"/>
        </w:trPr>
        <w:tc>
          <w:tcPr>
            <w:tcW w:w="13140" w:type="dxa"/>
            <w:gridSpan w:val="10"/>
            <w:tcBorders>
              <w:top w:val="nil"/>
              <w:left w:val="nil"/>
              <w:bottom w:val="single" w:color="auto" w:sz="4" w:space="0"/>
              <w:right w:val="nil"/>
            </w:tcBorders>
            <w:shd w:val="clear" w:color="auto" w:fill="auto"/>
            <w:noWrap/>
            <w:vAlign w:val="center"/>
            <w:hideMark/>
          </w:tcPr>
          <w:p w:rsidRPr="00CC0741" w:rsidR="003E77BA" w:rsidP="00D7095E" w:rsidRDefault="003E77BA" w14:paraId="66B2A3B6" w14:textId="77777777">
            <w:pPr>
              <w:keepNext/>
              <w:keepLines/>
              <w:jc w:val="center"/>
              <w:rPr>
                <w:rFonts w:cs="Times New Roman"/>
                <w:b/>
                <w:bCs/>
                <w:szCs w:val="24"/>
              </w:rPr>
            </w:pPr>
            <w:r w:rsidRPr="00CC0741">
              <w:rPr>
                <w:rFonts w:cs="Times New Roman"/>
                <w:b/>
                <w:bCs/>
                <w:szCs w:val="24"/>
              </w:rPr>
              <w:lastRenderedPageBreak/>
              <w:t xml:space="preserve">Table 1.  </w:t>
            </w:r>
            <w:r>
              <w:rPr>
                <w:rFonts w:cs="Times New Roman"/>
                <w:b/>
                <w:bCs/>
                <w:szCs w:val="24"/>
              </w:rPr>
              <w:t xml:space="preserve">Candidate </w:t>
            </w:r>
            <w:r w:rsidRPr="00CC0741">
              <w:rPr>
                <w:rFonts w:cs="Times New Roman"/>
                <w:b/>
                <w:bCs/>
                <w:szCs w:val="24"/>
              </w:rPr>
              <w:t>Hour Burden Cost</w:t>
            </w:r>
          </w:p>
        </w:tc>
      </w:tr>
      <w:tr w:rsidRPr="00CC0741" w:rsidR="003E77BA" w:rsidTr="00D7095E" w14:paraId="7FE68F5A" w14:textId="77777777">
        <w:trPr>
          <w:trHeight w:val="425"/>
        </w:trPr>
        <w:tc>
          <w:tcPr>
            <w:tcW w:w="128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12619F5D" w14:textId="77777777">
            <w:pPr>
              <w:keepNext/>
              <w:keepLines/>
              <w:jc w:val="center"/>
              <w:rPr>
                <w:rFonts w:cs="Times New Roman"/>
                <w:b/>
                <w:bCs/>
                <w:szCs w:val="24"/>
              </w:rPr>
            </w:pPr>
            <w:r w:rsidRPr="00CC0741">
              <w:rPr>
                <w:rFonts w:cs="Times New Roman"/>
                <w:b/>
                <w:bCs/>
                <w:szCs w:val="24"/>
              </w:rPr>
              <w:t>Collection Activity</w:t>
            </w:r>
          </w:p>
        </w:tc>
        <w:tc>
          <w:tcPr>
            <w:tcW w:w="3843"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462B7326" w14:textId="77777777">
            <w:pPr>
              <w:keepNext/>
              <w:keepLines/>
              <w:jc w:val="center"/>
              <w:rPr>
                <w:rFonts w:cs="Times New Roman"/>
                <w:b/>
                <w:bCs/>
                <w:szCs w:val="24"/>
              </w:rPr>
            </w:pPr>
            <w:r w:rsidRPr="00CC0741">
              <w:rPr>
                <w:rFonts w:cs="Times New Roman"/>
                <w:b/>
                <w:bCs/>
                <w:szCs w:val="24"/>
              </w:rPr>
              <w:t>Responses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0BED53C5" w14:textId="77777777">
            <w:pPr>
              <w:keepNext/>
              <w:keepLines/>
              <w:jc w:val="center"/>
              <w:rPr>
                <w:rFonts w:cs="Times New Roman"/>
                <w:b/>
                <w:bCs/>
                <w:szCs w:val="24"/>
              </w:rPr>
            </w:pPr>
            <w:r w:rsidRPr="00CC0741">
              <w:rPr>
                <w:rFonts w:cs="Times New Roman"/>
                <w:b/>
                <w:bCs/>
                <w:szCs w:val="24"/>
              </w:rPr>
              <w:t>Annual Number of Responses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2AB373AD" w14:textId="77777777">
            <w:pPr>
              <w:keepNext/>
              <w:keepLines/>
              <w:jc w:val="center"/>
              <w:rPr>
                <w:rFonts w:cs="Times New Roman"/>
                <w:b/>
                <w:bCs/>
                <w:szCs w:val="24"/>
              </w:rPr>
            </w:pPr>
            <w:r w:rsidRPr="00CC0741">
              <w:rPr>
                <w:rFonts w:cs="Times New Roman"/>
                <w:b/>
                <w:bCs/>
                <w:szCs w:val="24"/>
              </w:rPr>
              <w:t>Hour Burden Per Response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416975C9" w14:textId="77777777">
            <w:pPr>
              <w:keepNext/>
              <w:keepLines/>
              <w:jc w:val="center"/>
              <w:rPr>
                <w:rFonts w:cs="Times New Roman"/>
                <w:b/>
                <w:bCs/>
                <w:szCs w:val="24"/>
              </w:rPr>
            </w:pPr>
            <w:r w:rsidRPr="00CC0741">
              <w:rPr>
                <w:rFonts w:cs="Times New Roman"/>
                <w:b/>
                <w:bCs/>
                <w:szCs w:val="24"/>
              </w:rPr>
              <w:t>Total Hour Burden</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05D873DE" w14:textId="77777777">
            <w:pPr>
              <w:keepNext/>
              <w:keepLines/>
              <w:jc w:val="center"/>
              <w:rPr>
                <w:rFonts w:cs="Times New Roman"/>
                <w:b/>
                <w:bCs/>
                <w:szCs w:val="24"/>
              </w:rPr>
            </w:pPr>
            <w:r w:rsidRPr="00CC0741">
              <w:rPr>
                <w:rFonts w:cs="Times New Roman"/>
                <w:b/>
                <w:bCs/>
                <w:szCs w:val="24"/>
              </w:rPr>
              <w:t>Respondent Wage</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5BE1C8F0" w14:textId="77777777">
            <w:pPr>
              <w:keepNext/>
              <w:keepLines/>
              <w:jc w:val="center"/>
              <w:rPr>
                <w:rFonts w:cs="Times New Roman"/>
                <w:b/>
                <w:bCs/>
                <w:szCs w:val="24"/>
              </w:rPr>
            </w:pPr>
            <w:r w:rsidRPr="00CC0741">
              <w:rPr>
                <w:rFonts w:cs="Times New Roman"/>
                <w:b/>
                <w:bCs/>
                <w:szCs w:val="24"/>
              </w:rPr>
              <w:t>Total Hour Burden Cost</w:t>
            </w:r>
          </w:p>
        </w:tc>
      </w:tr>
      <w:tr w:rsidRPr="00CC0741" w:rsidR="003E77BA" w:rsidTr="00D7095E" w14:paraId="79099926" w14:textId="77777777">
        <w:trPr>
          <w:trHeight w:val="144"/>
        </w:trPr>
        <w:tc>
          <w:tcPr>
            <w:tcW w:w="1287" w:type="dxa"/>
            <w:vMerge/>
            <w:tcBorders>
              <w:top w:val="single" w:color="auto" w:sz="4" w:space="0"/>
              <w:left w:val="single" w:color="auto" w:sz="4" w:space="0"/>
              <w:bottom w:val="single" w:color="auto" w:sz="4" w:space="0"/>
              <w:right w:val="single" w:color="auto" w:sz="4" w:space="0"/>
            </w:tcBorders>
            <w:vAlign w:val="center"/>
            <w:hideMark/>
          </w:tcPr>
          <w:p w:rsidRPr="00CC0741" w:rsidR="003E77BA" w:rsidP="00D7095E" w:rsidRDefault="003E77BA" w14:paraId="4B166CAD" w14:textId="77777777">
            <w:pPr>
              <w:keepNext/>
              <w:keepLines/>
              <w:rPr>
                <w:rFonts w:cs="Times New Roman"/>
                <w:b/>
                <w:bCs/>
                <w:szCs w:val="24"/>
              </w:rPr>
            </w:pP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65401CA" w14:textId="77777777">
            <w:pPr>
              <w:keepNext/>
              <w:keepLines/>
              <w:jc w:val="center"/>
              <w:rPr>
                <w:rFonts w:cs="Times New Roman"/>
                <w:b/>
                <w:bCs/>
                <w:szCs w:val="24"/>
              </w:rPr>
            </w:pPr>
            <w:r w:rsidRPr="00CC0741">
              <w:rPr>
                <w:rFonts w:cs="Times New Roman"/>
                <w:b/>
                <w:bCs/>
                <w:szCs w:val="24"/>
              </w:rPr>
              <w:t>Year 1</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FD56D29" w14:textId="77777777">
            <w:pPr>
              <w:keepNext/>
              <w:keepLines/>
              <w:jc w:val="center"/>
              <w:rPr>
                <w:rFonts w:cs="Times New Roman"/>
                <w:b/>
                <w:bCs/>
                <w:szCs w:val="24"/>
              </w:rPr>
            </w:pPr>
            <w:r w:rsidRPr="00CC0741">
              <w:rPr>
                <w:rFonts w:cs="Times New Roman"/>
                <w:b/>
                <w:bCs/>
                <w:szCs w:val="24"/>
              </w:rPr>
              <w:t>Year 2</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003E77BA" w:rsidP="00D7095E" w:rsidRDefault="003E77BA" w14:paraId="49C9A260" w14:textId="77777777">
            <w:pPr>
              <w:keepNext/>
              <w:keepLines/>
              <w:jc w:val="center"/>
              <w:rPr>
                <w:rFonts w:cs="Times New Roman"/>
                <w:b/>
                <w:bCs/>
                <w:szCs w:val="24"/>
              </w:rPr>
            </w:pPr>
            <w:r w:rsidRPr="00CC0741">
              <w:rPr>
                <w:rFonts w:cs="Times New Roman"/>
                <w:b/>
                <w:bCs/>
                <w:szCs w:val="24"/>
              </w:rPr>
              <w:t xml:space="preserve">Year </w:t>
            </w:r>
          </w:p>
          <w:p w:rsidRPr="00CC0741" w:rsidR="003E77BA" w:rsidP="00D7095E" w:rsidRDefault="003E77BA" w14:paraId="5767069A" w14:textId="77777777">
            <w:pPr>
              <w:keepNext/>
              <w:keepLines/>
              <w:jc w:val="center"/>
              <w:rPr>
                <w:rFonts w:cs="Times New Roman"/>
                <w:b/>
                <w:bCs/>
                <w:szCs w:val="24"/>
              </w:rPr>
            </w:pPr>
            <w:r w:rsidRPr="00CC0741">
              <w:rPr>
                <w:rFonts w:cs="Times New Roman"/>
                <w:b/>
                <w:bCs/>
                <w:szCs w:val="24"/>
              </w:rPr>
              <w:t>3</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67537F6" w14:textId="77777777">
            <w:pPr>
              <w:keepNext/>
              <w:keepLines/>
              <w:jc w:val="center"/>
              <w:rPr>
                <w:rFonts w:cs="Times New Roman"/>
                <w:b/>
                <w:bCs/>
                <w:szCs w:val="24"/>
              </w:rPr>
            </w:pPr>
            <w:r w:rsidRPr="00CC0741">
              <w:rPr>
                <w:rFonts w:cs="Times New Roman"/>
                <w:b/>
                <w:bCs/>
                <w:szCs w:val="24"/>
              </w:rPr>
              <w:t>Total</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9F08F10" w14:textId="77777777">
            <w:pPr>
              <w:keepNext/>
              <w:keepLines/>
              <w:jc w:val="center"/>
              <w:rPr>
                <w:rFonts w:cs="Times New Roman"/>
                <w:b/>
                <w:bCs/>
                <w:szCs w:val="24"/>
              </w:rPr>
            </w:pPr>
            <w:r w:rsidRPr="00CC0741">
              <w:rPr>
                <w:rFonts w:cs="Times New Roman"/>
                <w:b/>
                <w:bCs/>
                <w:szCs w:val="24"/>
              </w:rPr>
              <w:t>a</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CAD4995" w14:textId="77777777">
            <w:pPr>
              <w:keepNext/>
              <w:keepLines/>
              <w:jc w:val="center"/>
              <w:rPr>
                <w:rFonts w:cs="Times New Roman"/>
                <w:b/>
                <w:bCs/>
                <w:szCs w:val="24"/>
              </w:rPr>
            </w:pPr>
            <w:r w:rsidRPr="00CC0741">
              <w:rPr>
                <w:rFonts w:cs="Times New Roman"/>
                <w:b/>
                <w:bCs/>
                <w:szCs w:val="24"/>
              </w:rPr>
              <w:t>b</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EEC9AD7" w14:textId="77777777">
            <w:pPr>
              <w:keepNext/>
              <w:keepLines/>
              <w:jc w:val="center"/>
              <w:rPr>
                <w:rFonts w:cs="Times New Roman"/>
                <w:b/>
                <w:bCs/>
                <w:szCs w:val="24"/>
              </w:rPr>
            </w:pPr>
            <w:r w:rsidRPr="00CC0741">
              <w:rPr>
                <w:rFonts w:cs="Times New Roman"/>
                <w:b/>
                <w:bCs/>
                <w:szCs w:val="24"/>
              </w:rPr>
              <w:t>c = a x b</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5FD0F69" w14:textId="77777777">
            <w:pPr>
              <w:keepNext/>
              <w:keepLines/>
              <w:jc w:val="center"/>
              <w:rPr>
                <w:rFonts w:cs="Times New Roman"/>
                <w:b/>
                <w:bCs/>
                <w:szCs w:val="24"/>
              </w:rPr>
            </w:pPr>
            <w:r w:rsidRPr="00CC0741">
              <w:rPr>
                <w:rFonts w:cs="Times New Roman"/>
                <w:b/>
                <w:bCs/>
                <w:szCs w:val="24"/>
              </w:rPr>
              <w:t>d</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844F8CD" w14:textId="77777777">
            <w:pPr>
              <w:keepNext/>
              <w:keepLines/>
              <w:jc w:val="center"/>
              <w:rPr>
                <w:rFonts w:cs="Times New Roman"/>
                <w:b/>
                <w:bCs/>
                <w:szCs w:val="24"/>
              </w:rPr>
            </w:pPr>
            <w:r w:rsidRPr="00CC0741">
              <w:rPr>
                <w:rFonts w:cs="Times New Roman"/>
                <w:b/>
                <w:bCs/>
                <w:szCs w:val="24"/>
              </w:rPr>
              <w:t>e = c x d</w:t>
            </w:r>
          </w:p>
        </w:tc>
      </w:tr>
      <w:tr w:rsidRPr="00CC0741" w:rsidR="003E77BA" w:rsidTr="00D7095E" w14:paraId="3EFEA146" w14:textId="77777777">
        <w:trPr>
          <w:trHeight w:val="294"/>
        </w:trPr>
        <w:tc>
          <w:tcPr>
            <w:tcW w:w="12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00454E5B" w14:textId="77777777">
            <w:pPr>
              <w:keepNext/>
              <w:keepLines/>
              <w:rPr>
                <w:rFonts w:cs="Times New Roman"/>
                <w:szCs w:val="24"/>
              </w:rPr>
            </w:pPr>
            <w:r w:rsidRPr="00CC0741">
              <w:rPr>
                <w:rFonts w:cs="Times New Roman"/>
                <w:szCs w:val="24"/>
              </w:rPr>
              <w:t>Category 1/2/3 Training Requests</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DDB9CCC" w14:textId="77777777">
            <w:pPr>
              <w:keepNext/>
              <w:keepLines/>
              <w:jc w:val="right"/>
              <w:rPr>
                <w:rFonts w:cs="Times New Roman"/>
                <w:szCs w:val="24"/>
              </w:rPr>
            </w:pPr>
            <w:r w:rsidRPr="00CC0741">
              <w:rPr>
                <w:rFonts w:cs="Times New Roman"/>
                <w:szCs w:val="24"/>
              </w:rPr>
              <w:t xml:space="preserve">38,252 </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D1B3099" w14:textId="77777777">
            <w:pPr>
              <w:keepNext/>
              <w:keepLines/>
              <w:jc w:val="right"/>
              <w:rPr>
                <w:rFonts w:cs="Times New Roman"/>
                <w:szCs w:val="24"/>
              </w:rPr>
            </w:pPr>
            <w:r w:rsidRPr="00CC0741">
              <w:rPr>
                <w:rFonts w:cs="Times New Roman"/>
                <w:szCs w:val="24"/>
              </w:rPr>
              <w:t xml:space="preserve">40,302 </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7245AC9" w14:textId="77777777">
            <w:pPr>
              <w:keepNext/>
              <w:keepLines/>
              <w:jc w:val="right"/>
              <w:rPr>
                <w:rFonts w:cs="Times New Roman"/>
                <w:szCs w:val="24"/>
              </w:rPr>
            </w:pPr>
            <w:r w:rsidRPr="00CC0741">
              <w:rPr>
                <w:rFonts w:cs="Times New Roman"/>
                <w:szCs w:val="24"/>
              </w:rPr>
              <w:t xml:space="preserve">42,467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58BBBEF0" w14:textId="77777777">
            <w:pPr>
              <w:keepNext/>
              <w:keepLines/>
              <w:jc w:val="right"/>
              <w:rPr>
                <w:rFonts w:cs="Times New Roman"/>
                <w:b/>
                <w:bCs/>
                <w:szCs w:val="24"/>
              </w:rPr>
            </w:pPr>
            <w:r w:rsidRPr="00CC0741">
              <w:rPr>
                <w:rFonts w:cs="Times New Roman"/>
                <w:b/>
                <w:bCs/>
                <w:szCs w:val="24"/>
              </w:rPr>
              <w:t xml:space="preserve">121,021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598E8EF" w14:textId="77777777">
            <w:pPr>
              <w:keepNext/>
              <w:keepLines/>
              <w:jc w:val="right"/>
              <w:rPr>
                <w:rFonts w:cs="Times New Roman"/>
                <w:szCs w:val="24"/>
              </w:rPr>
            </w:pPr>
            <w:r w:rsidRPr="00CC0741">
              <w:rPr>
                <w:rFonts w:cs="Times New Roman"/>
                <w:szCs w:val="24"/>
              </w:rPr>
              <w:t>40,340</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62CFA4E" w14:textId="77777777">
            <w:pPr>
              <w:keepNext/>
              <w:keepLines/>
              <w:jc w:val="center"/>
              <w:rPr>
                <w:rFonts w:cs="Times New Roman"/>
                <w:szCs w:val="24"/>
              </w:rPr>
            </w:pPr>
            <w:r w:rsidRPr="00CC0741">
              <w:rPr>
                <w:rFonts w:cs="Times New Roman"/>
                <w:szCs w:val="24"/>
              </w:rPr>
              <w:t xml:space="preserve">0.75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68B683D" w14:textId="77777777">
            <w:pPr>
              <w:keepNext/>
              <w:keepLines/>
              <w:jc w:val="right"/>
              <w:rPr>
                <w:rFonts w:cs="Times New Roman"/>
                <w:szCs w:val="24"/>
              </w:rPr>
            </w:pPr>
            <w:r w:rsidRPr="00CC0741">
              <w:rPr>
                <w:rFonts w:cs="Times New Roman"/>
                <w:szCs w:val="24"/>
              </w:rPr>
              <w:t>30,255</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D2AC732" w14:textId="77777777">
            <w:pPr>
              <w:keepNext/>
              <w:keepLines/>
              <w:jc w:val="center"/>
              <w:rPr>
                <w:rFonts w:cs="Times New Roman"/>
                <w:szCs w:val="24"/>
              </w:rPr>
            </w:pPr>
            <w:r w:rsidRPr="00CC0741">
              <w:rPr>
                <w:rFonts w:cs="Times New Roman"/>
                <w:szCs w:val="24"/>
              </w:rPr>
              <w:t xml:space="preserve">$34.20 </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D28BD9B" w14:textId="77777777">
            <w:pPr>
              <w:keepNext/>
              <w:keepLines/>
              <w:jc w:val="right"/>
              <w:rPr>
                <w:rFonts w:cs="Times New Roman"/>
                <w:szCs w:val="24"/>
              </w:rPr>
            </w:pPr>
            <w:r w:rsidRPr="00CC0741">
              <w:rPr>
                <w:rFonts w:cs="Times New Roman"/>
                <w:szCs w:val="24"/>
              </w:rPr>
              <w:t xml:space="preserve">$1,034,642 </w:t>
            </w:r>
          </w:p>
        </w:tc>
      </w:tr>
      <w:tr w:rsidRPr="00CC0741" w:rsidR="003E77BA" w:rsidTr="00D7095E" w14:paraId="4B59822D" w14:textId="77777777">
        <w:trPr>
          <w:trHeight w:val="294"/>
        </w:trPr>
        <w:tc>
          <w:tcPr>
            <w:tcW w:w="12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497DDC96" w14:textId="77777777">
            <w:pPr>
              <w:keepNext/>
              <w:keepLines/>
              <w:rPr>
                <w:rFonts w:cs="Times New Roman"/>
                <w:szCs w:val="24"/>
              </w:rPr>
            </w:pPr>
            <w:r w:rsidRPr="00CC0741">
              <w:rPr>
                <w:rFonts w:cs="Times New Roman"/>
                <w:szCs w:val="24"/>
              </w:rPr>
              <w:t>Category 4 Training Requests</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C843E61" w14:textId="77777777">
            <w:pPr>
              <w:keepNext/>
              <w:keepLines/>
              <w:jc w:val="right"/>
              <w:rPr>
                <w:rFonts w:cs="Times New Roman"/>
                <w:szCs w:val="24"/>
              </w:rPr>
            </w:pPr>
            <w:r w:rsidRPr="00CC0741">
              <w:rPr>
                <w:rFonts w:cs="Times New Roman"/>
                <w:szCs w:val="24"/>
              </w:rPr>
              <w:t xml:space="preserve">19,934 </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85A11E9" w14:textId="77777777">
            <w:pPr>
              <w:keepNext/>
              <w:keepLines/>
              <w:jc w:val="right"/>
              <w:rPr>
                <w:rFonts w:cs="Times New Roman"/>
                <w:szCs w:val="24"/>
              </w:rPr>
            </w:pPr>
            <w:r w:rsidRPr="00CC0741">
              <w:rPr>
                <w:rFonts w:cs="Times New Roman"/>
                <w:szCs w:val="24"/>
              </w:rPr>
              <w:t xml:space="preserve">19,882 </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26E0F75" w14:textId="77777777">
            <w:pPr>
              <w:keepNext/>
              <w:keepLines/>
              <w:jc w:val="right"/>
              <w:rPr>
                <w:rFonts w:cs="Times New Roman"/>
                <w:szCs w:val="24"/>
              </w:rPr>
            </w:pPr>
            <w:r w:rsidRPr="00CC0741">
              <w:rPr>
                <w:rFonts w:cs="Times New Roman"/>
                <w:szCs w:val="24"/>
              </w:rPr>
              <w:t xml:space="preserve">19,830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353C010" w14:textId="77777777">
            <w:pPr>
              <w:keepNext/>
              <w:keepLines/>
              <w:jc w:val="right"/>
              <w:rPr>
                <w:rFonts w:cs="Times New Roman"/>
                <w:b/>
                <w:bCs/>
                <w:szCs w:val="24"/>
              </w:rPr>
            </w:pPr>
            <w:r w:rsidRPr="00CC0741">
              <w:rPr>
                <w:rFonts w:cs="Times New Roman"/>
                <w:b/>
                <w:bCs/>
                <w:szCs w:val="24"/>
              </w:rPr>
              <w:t xml:space="preserve">59,646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EFC075E" w14:textId="77777777">
            <w:pPr>
              <w:keepNext/>
              <w:keepLines/>
              <w:jc w:val="right"/>
              <w:rPr>
                <w:rFonts w:cs="Times New Roman"/>
                <w:szCs w:val="24"/>
              </w:rPr>
            </w:pPr>
            <w:r w:rsidRPr="00CC0741">
              <w:rPr>
                <w:rFonts w:cs="Times New Roman"/>
                <w:szCs w:val="24"/>
              </w:rPr>
              <w:t>19,882</w:t>
            </w: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C0741" w:rsidR="003E77BA" w:rsidP="00D7095E" w:rsidRDefault="003E77BA" w14:paraId="25B38E05" w14:textId="77777777">
            <w:pPr>
              <w:keepNext/>
              <w:keepLines/>
              <w:rPr>
                <w:rFonts w:cs="Times New Roman"/>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45C2CCE" w14:textId="77777777">
            <w:pPr>
              <w:keepNext/>
              <w:keepLines/>
              <w:jc w:val="right"/>
              <w:rPr>
                <w:rFonts w:cs="Times New Roman"/>
                <w:szCs w:val="24"/>
              </w:rPr>
            </w:pPr>
            <w:r w:rsidRPr="00CC0741">
              <w:rPr>
                <w:rFonts w:cs="Times New Roman"/>
                <w:szCs w:val="24"/>
              </w:rPr>
              <w:t>14,912</w:t>
            </w:r>
          </w:p>
        </w:tc>
        <w:tc>
          <w:tcPr>
            <w:tcW w:w="1530" w:type="dxa"/>
            <w:vMerge/>
            <w:tcBorders>
              <w:top w:val="single" w:color="auto" w:sz="4" w:space="0"/>
              <w:left w:val="single" w:color="auto" w:sz="4" w:space="0"/>
              <w:bottom w:val="single" w:color="auto" w:sz="4" w:space="0"/>
              <w:right w:val="single" w:color="auto" w:sz="4" w:space="0"/>
            </w:tcBorders>
            <w:vAlign w:val="center"/>
            <w:hideMark/>
          </w:tcPr>
          <w:p w:rsidRPr="00CC0741" w:rsidR="003E77BA" w:rsidP="00D7095E" w:rsidRDefault="003E77BA" w14:paraId="0F2FD69F" w14:textId="77777777">
            <w:pPr>
              <w:keepNext/>
              <w:keepLines/>
              <w:rPr>
                <w:rFonts w:cs="Times New Roman"/>
                <w:szCs w:val="24"/>
              </w:rPr>
            </w:pP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94947F0" w14:textId="77777777">
            <w:pPr>
              <w:keepNext/>
              <w:keepLines/>
              <w:jc w:val="right"/>
              <w:rPr>
                <w:rFonts w:cs="Times New Roman"/>
                <w:szCs w:val="24"/>
              </w:rPr>
            </w:pPr>
            <w:r w:rsidRPr="00CC0741">
              <w:rPr>
                <w:rFonts w:cs="Times New Roman"/>
                <w:szCs w:val="24"/>
              </w:rPr>
              <w:t xml:space="preserve">$509,933 </w:t>
            </w:r>
          </w:p>
        </w:tc>
      </w:tr>
      <w:tr w:rsidRPr="00CC0741" w:rsidR="003E77BA" w:rsidTr="00D7095E" w14:paraId="58EDE1CF" w14:textId="77777777">
        <w:trPr>
          <w:trHeight w:val="218"/>
        </w:trPr>
        <w:tc>
          <w:tcPr>
            <w:tcW w:w="128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43E3D6D5" w14:textId="77777777">
            <w:pPr>
              <w:keepNext/>
              <w:keepLines/>
              <w:rPr>
                <w:rFonts w:cs="Times New Roman"/>
                <w:b/>
                <w:bCs/>
                <w:szCs w:val="24"/>
              </w:rPr>
            </w:pPr>
            <w:r w:rsidRPr="00CC0741">
              <w:rPr>
                <w:rFonts w:cs="Times New Roman"/>
                <w:b/>
                <w:bCs/>
                <w:szCs w:val="24"/>
              </w:rPr>
              <w:t>Total</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6B58518" w14:textId="77777777">
            <w:pPr>
              <w:keepNext/>
              <w:keepLines/>
              <w:jc w:val="right"/>
              <w:rPr>
                <w:rFonts w:cs="Times New Roman"/>
                <w:b/>
                <w:bCs/>
                <w:szCs w:val="24"/>
              </w:rPr>
            </w:pPr>
            <w:r w:rsidRPr="00CC0741">
              <w:rPr>
                <w:rFonts w:cs="Times New Roman"/>
                <w:b/>
                <w:bCs/>
                <w:szCs w:val="24"/>
              </w:rPr>
              <w:t xml:space="preserve">58,186 </w:t>
            </w:r>
          </w:p>
        </w:tc>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CBFA9C8" w14:textId="77777777">
            <w:pPr>
              <w:keepNext/>
              <w:keepLines/>
              <w:jc w:val="right"/>
              <w:rPr>
                <w:rFonts w:cs="Times New Roman"/>
                <w:b/>
                <w:bCs/>
                <w:szCs w:val="24"/>
              </w:rPr>
            </w:pPr>
            <w:r w:rsidRPr="00CC0741">
              <w:rPr>
                <w:rFonts w:cs="Times New Roman"/>
                <w:b/>
                <w:bCs/>
                <w:szCs w:val="24"/>
              </w:rPr>
              <w:t xml:space="preserve">60,184 </w:t>
            </w:r>
          </w:p>
        </w:tc>
        <w:tc>
          <w:tcPr>
            <w:tcW w:w="95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FE1431B" w14:textId="77777777">
            <w:pPr>
              <w:keepNext/>
              <w:keepLines/>
              <w:jc w:val="right"/>
              <w:rPr>
                <w:rFonts w:cs="Times New Roman"/>
                <w:b/>
                <w:bCs/>
                <w:szCs w:val="24"/>
              </w:rPr>
            </w:pPr>
            <w:r w:rsidRPr="00CC0741">
              <w:rPr>
                <w:rFonts w:cs="Times New Roman"/>
                <w:b/>
                <w:bCs/>
                <w:szCs w:val="24"/>
              </w:rPr>
              <w:t xml:space="preserve">62,297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FD860C4" w14:textId="77777777">
            <w:pPr>
              <w:keepNext/>
              <w:keepLines/>
              <w:jc w:val="right"/>
              <w:rPr>
                <w:rFonts w:cs="Times New Roman"/>
                <w:b/>
                <w:bCs/>
                <w:szCs w:val="24"/>
              </w:rPr>
            </w:pPr>
            <w:r w:rsidRPr="00CC0741">
              <w:rPr>
                <w:rFonts w:cs="Times New Roman"/>
                <w:b/>
                <w:bCs/>
                <w:szCs w:val="24"/>
              </w:rPr>
              <w:t xml:space="preserve">180,667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B04FFB8" w14:textId="77777777">
            <w:pPr>
              <w:keepNext/>
              <w:keepLines/>
              <w:jc w:val="right"/>
              <w:rPr>
                <w:rFonts w:cs="Times New Roman"/>
                <w:b/>
                <w:bCs/>
                <w:szCs w:val="24"/>
              </w:rPr>
            </w:pPr>
            <w:r w:rsidRPr="00CC0741">
              <w:rPr>
                <w:rFonts w:cs="Times New Roman"/>
                <w:b/>
                <w:bCs/>
                <w:szCs w:val="24"/>
              </w:rPr>
              <w:t xml:space="preserve">60,222 </w:t>
            </w:r>
          </w:p>
        </w:tc>
        <w:tc>
          <w:tcPr>
            <w:tcW w:w="171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C0741" w:rsidR="003E77BA" w:rsidP="00D7095E" w:rsidRDefault="003E77BA" w14:paraId="29D2F862" w14:textId="77777777">
            <w:pPr>
              <w:keepNext/>
              <w:keepLines/>
              <w:rPr>
                <w:rFonts w:cs="Times New Roman"/>
                <w:b/>
                <w:bCs/>
                <w:szCs w:val="24"/>
              </w:rPr>
            </w:pPr>
            <w:r w:rsidRPr="00CC0741">
              <w:rPr>
                <w:rFonts w:cs="Times New Roman"/>
                <w:b/>
                <w:bCs/>
                <w:szCs w:val="24"/>
              </w:rPr>
              <w:t> </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D8F8678" w14:textId="77777777">
            <w:pPr>
              <w:keepNext/>
              <w:keepLines/>
              <w:jc w:val="right"/>
              <w:rPr>
                <w:rFonts w:cs="Times New Roman"/>
                <w:b/>
                <w:bCs/>
                <w:szCs w:val="24"/>
              </w:rPr>
            </w:pPr>
            <w:r w:rsidRPr="00CC0741">
              <w:rPr>
                <w:rFonts w:cs="Times New Roman"/>
                <w:b/>
                <w:bCs/>
                <w:szCs w:val="24"/>
              </w:rPr>
              <w:t xml:space="preserve">45,167 </w:t>
            </w:r>
          </w:p>
        </w:tc>
        <w:tc>
          <w:tcPr>
            <w:tcW w:w="153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C0741" w:rsidR="003E77BA" w:rsidP="00D7095E" w:rsidRDefault="003E77BA" w14:paraId="26266C48" w14:textId="77777777">
            <w:pPr>
              <w:keepNext/>
              <w:keepLines/>
              <w:rPr>
                <w:rFonts w:cs="Times New Roman"/>
                <w:b/>
                <w:bCs/>
                <w:szCs w:val="24"/>
              </w:rPr>
            </w:pPr>
            <w:r w:rsidRPr="00CC0741">
              <w:rPr>
                <w:rFonts w:cs="Times New Roman"/>
                <w:b/>
                <w:bCs/>
                <w:szCs w:val="24"/>
              </w:rPr>
              <w:t> </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B14D2F6" w14:textId="77777777">
            <w:pPr>
              <w:keepNext/>
              <w:keepLines/>
              <w:jc w:val="right"/>
              <w:rPr>
                <w:rFonts w:cs="Times New Roman"/>
                <w:b/>
                <w:bCs/>
                <w:szCs w:val="24"/>
              </w:rPr>
            </w:pPr>
            <w:r w:rsidRPr="00CC0741">
              <w:rPr>
                <w:rFonts w:cs="Times New Roman"/>
                <w:b/>
                <w:bCs/>
                <w:szCs w:val="24"/>
              </w:rPr>
              <w:t xml:space="preserve">$1,544,574 </w:t>
            </w:r>
          </w:p>
        </w:tc>
      </w:tr>
    </w:tbl>
    <w:p w:rsidR="003E77BA" w:rsidP="003E77BA" w:rsidRDefault="003E77BA" w14:paraId="38FCB61D" w14:textId="77777777">
      <w:pPr>
        <w:keepNext/>
        <w:keepLines/>
        <w:ind w:left="360"/>
        <w:rPr>
          <w:szCs w:val="24"/>
        </w:rPr>
      </w:pPr>
    </w:p>
    <w:p w:rsidR="003E77BA" w:rsidP="003E77BA" w:rsidRDefault="003E77BA" w14:paraId="51E3504C" w14:textId="77777777">
      <w:pPr>
        <w:ind w:left="360"/>
        <w:rPr>
          <w:szCs w:val="24"/>
        </w:rPr>
        <w:sectPr w:rsidR="003E77BA" w:rsidSect="00AD233B">
          <w:pgSz w:w="15840" w:h="12240" w:orient="landscape"/>
          <w:pgMar w:top="1440" w:right="1440" w:bottom="1440" w:left="1440" w:header="720" w:footer="720" w:gutter="0"/>
          <w:pgNumType w:start="1"/>
          <w:cols w:space="720"/>
          <w:titlePg/>
          <w:docGrid w:linePitch="360"/>
        </w:sectPr>
      </w:pPr>
    </w:p>
    <w:p w:rsidR="003E77BA" w:rsidP="003E77BA" w:rsidRDefault="003E77BA" w14:paraId="188C64AE" w14:textId="09E55CAC">
      <w:pPr>
        <w:ind w:left="360"/>
        <w:rPr>
          <w:szCs w:val="24"/>
        </w:rPr>
      </w:pPr>
      <w:r>
        <w:rPr>
          <w:szCs w:val="24"/>
        </w:rPr>
        <w:lastRenderedPageBreak/>
        <w:t xml:space="preserve">Flight training providers must retain candidate training records for each flight training event. TSA estimates that it will take </w:t>
      </w:r>
      <w:r w:rsidR="005E4A71">
        <w:rPr>
          <w:szCs w:val="24"/>
        </w:rPr>
        <w:t xml:space="preserve">small or independent provides, such as </w:t>
      </w:r>
      <w:r>
        <w:rPr>
          <w:szCs w:val="24"/>
        </w:rPr>
        <w:t>CFI and flying club providers</w:t>
      </w:r>
      <w:r w:rsidR="005E4A71">
        <w:rPr>
          <w:szCs w:val="24"/>
        </w:rPr>
        <w:t>,</w:t>
      </w:r>
      <w:r>
        <w:rPr>
          <w:szCs w:val="24"/>
        </w:rPr>
        <w:t xml:space="preserve"> 5 minutes (0.083 hours) to file candidate records</w:t>
      </w:r>
      <w:r w:rsidR="005E4A71">
        <w:rPr>
          <w:szCs w:val="24"/>
        </w:rPr>
        <w:t xml:space="preserve"> and 1 hour for large providers</w:t>
      </w:r>
      <w:r>
        <w:rPr>
          <w:szCs w:val="24"/>
        </w:rPr>
        <w:t>. Additionally, all flight training providers are required to maintain employees’ security awareness training record, which TSA estimates takes 5 minutes (0.083 hours). For both candidate and employee records, TSA uses the $62.33 compensation rate</w:t>
      </w:r>
      <w:r>
        <w:rPr>
          <w:rStyle w:val="FootnoteReference"/>
          <w:szCs w:val="24"/>
        </w:rPr>
        <w:footnoteReference w:id="2"/>
      </w:r>
      <w:r>
        <w:rPr>
          <w:szCs w:val="24"/>
        </w:rPr>
        <w:t xml:space="preserve"> for CFI and flying club providers’ and the $28.80 compensation rate</w:t>
      </w:r>
      <w:r>
        <w:rPr>
          <w:rStyle w:val="FootnoteReference"/>
          <w:szCs w:val="24"/>
        </w:rPr>
        <w:footnoteReference w:id="3"/>
      </w:r>
      <w:r>
        <w:rPr>
          <w:szCs w:val="24"/>
        </w:rPr>
        <w:t xml:space="preserve"> for large providers’ to calculate the total hour burden cost.</w:t>
      </w:r>
      <w:r w:rsidRPr="00340BEF">
        <w:rPr>
          <w:szCs w:val="24"/>
        </w:rPr>
        <w:t xml:space="preserve"> </w:t>
      </w:r>
      <w:r>
        <w:rPr>
          <w:szCs w:val="24"/>
        </w:rPr>
        <w:t>Table 2 summarizes these burdens.</w:t>
      </w:r>
    </w:p>
    <w:p w:rsidR="003E77BA" w:rsidP="003E77BA" w:rsidRDefault="003E77BA" w14:paraId="5CFF1E5B" w14:textId="77777777">
      <w:pPr>
        <w:ind w:left="360"/>
        <w:rPr>
          <w:szCs w:val="24"/>
        </w:rPr>
      </w:pPr>
    </w:p>
    <w:p w:rsidR="003E77BA" w:rsidP="003E77BA" w:rsidRDefault="003E77BA" w14:paraId="423C7D46" w14:textId="77777777">
      <w:pPr>
        <w:ind w:left="360"/>
        <w:rPr>
          <w:szCs w:val="24"/>
        </w:rPr>
        <w:sectPr w:rsidR="003E77BA" w:rsidSect="004B7C73">
          <w:pgSz w:w="12240" w:h="15840"/>
          <w:pgMar w:top="1440" w:right="1440" w:bottom="1440" w:left="1440" w:header="720" w:footer="720" w:gutter="0"/>
          <w:pgNumType w:start="1"/>
          <w:cols w:space="720"/>
          <w:titlePg/>
          <w:docGrid w:linePitch="360"/>
        </w:sectPr>
      </w:pPr>
      <w:r w:rsidRPr="0059658C">
        <w:rPr>
          <w:strike/>
          <w:szCs w:val="24"/>
        </w:rPr>
        <w:t xml:space="preserve"> </w:t>
      </w:r>
    </w:p>
    <w:tbl>
      <w:tblPr>
        <w:tblW w:w="13860" w:type="dxa"/>
        <w:tblLayout w:type="fixed"/>
        <w:tblLook w:val="04A0" w:firstRow="1" w:lastRow="0" w:firstColumn="1" w:lastColumn="0" w:noHBand="0" w:noVBand="1"/>
      </w:tblPr>
      <w:tblGrid>
        <w:gridCol w:w="1710"/>
        <w:gridCol w:w="1232"/>
        <w:gridCol w:w="1039"/>
        <w:gridCol w:w="1039"/>
        <w:gridCol w:w="1039"/>
        <w:gridCol w:w="1042"/>
        <w:gridCol w:w="1299"/>
        <w:gridCol w:w="1213"/>
        <w:gridCol w:w="1097"/>
        <w:gridCol w:w="1800"/>
        <w:gridCol w:w="1350"/>
      </w:tblGrid>
      <w:tr w:rsidRPr="00CC0741" w:rsidR="003E77BA" w:rsidTr="00D7095E" w14:paraId="54AD9AF9" w14:textId="77777777">
        <w:trPr>
          <w:trHeight w:val="292"/>
        </w:trPr>
        <w:tc>
          <w:tcPr>
            <w:tcW w:w="13860" w:type="dxa"/>
            <w:gridSpan w:val="11"/>
            <w:tcBorders>
              <w:top w:val="nil"/>
              <w:left w:val="nil"/>
              <w:bottom w:val="single" w:color="auto" w:sz="4" w:space="0"/>
              <w:right w:val="nil"/>
            </w:tcBorders>
            <w:shd w:val="clear" w:color="auto" w:fill="auto"/>
            <w:noWrap/>
            <w:vAlign w:val="center"/>
            <w:hideMark/>
          </w:tcPr>
          <w:p w:rsidRPr="00CC0741" w:rsidR="003E77BA" w:rsidP="00D7095E" w:rsidRDefault="003E77BA" w14:paraId="259EB5B5" w14:textId="77777777">
            <w:pPr>
              <w:jc w:val="center"/>
              <w:rPr>
                <w:rFonts w:cs="Times New Roman"/>
                <w:b/>
                <w:bCs/>
                <w:szCs w:val="24"/>
              </w:rPr>
            </w:pPr>
            <w:r w:rsidRPr="00CC0741">
              <w:rPr>
                <w:rFonts w:cs="Times New Roman"/>
                <w:b/>
                <w:bCs/>
                <w:szCs w:val="24"/>
              </w:rPr>
              <w:lastRenderedPageBreak/>
              <w:t>Table 2.  Training Recordkeeping Costs</w:t>
            </w:r>
          </w:p>
        </w:tc>
      </w:tr>
      <w:tr w:rsidRPr="00CC0741" w:rsidR="003E77BA" w:rsidTr="00D7095E" w14:paraId="70BE2615" w14:textId="77777777">
        <w:trPr>
          <w:trHeight w:val="1130"/>
        </w:trPr>
        <w:tc>
          <w:tcPr>
            <w:tcW w:w="29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231F2178" w14:textId="77777777">
            <w:pPr>
              <w:jc w:val="center"/>
              <w:rPr>
                <w:rFonts w:cs="Times New Roman"/>
                <w:b/>
                <w:bCs/>
                <w:szCs w:val="24"/>
              </w:rPr>
            </w:pPr>
            <w:r w:rsidRPr="00CC0741">
              <w:rPr>
                <w:rFonts w:cs="Times New Roman"/>
                <w:b/>
                <w:bCs/>
                <w:szCs w:val="24"/>
              </w:rPr>
              <w:t>Training Activity</w:t>
            </w:r>
          </w:p>
        </w:tc>
        <w:tc>
          <w:tcPr>
            <w:tcW w:w="4159"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7C53B85B" w14:textId="77777777">
            <w:pPr>
              <w:jc w:val="center"/>
              <w:rPr>
                <w:rFonts w:cs="Times New Roman"/>
                <w:b/>
                <w:bCs/>
                <w:szCs w:val="24"/>
              </w:rPr>
            </w:pPr>
            <w:r>
              <w:rPr>
                <w:rFonts w:cs="Times New Roman"/>
                <w:b/>
                <w:bCs/>
                <w:szCs w:val="24"/>
              </w:rPr>
              <w:t>Records</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3E77BA" w:rsidP="00D7095E" w:rsidRDefault="003E77BA" w14:paraId="32D46B01" w14:textId="77777777">
            <w:pPr>
              <w:jc w:val="center"/>
              <w:rPr>
                <w:rFonts w:cs="Times New Roman"/>
                <w:b/>
                <w:bCs/>
                <w:szCs w:val="24"/>
              </w:rPr>
            </w:pPr>
            <w:r>
              <w:rPr>
                <w:rFonts w:cs="Times New Roman"/>
                <w:b/>
                <w:bCs/>
                <w:szCs w:val="24"/>
              </w:rPr>
              <w:t>Average</w:t>
            </w:r>
          </w:p>
          <w:p w:rsidRPr="00CC0741" w:rsidR="003E77BA" w:rsidP="00D7095E" w:rsidRDefault="003E77BA" w14:paraId="1A19C73A" w14:textId="77777777">
            <w:pPr>
              <w:jc w:val="center"/>
              <w:rPr>
                <w:rFonts w:cs="Times New Roman"/>
                <w:b/>
                <w:bCs/>
                <w:szCs w:val="24"/>
              </w:rPr>
            </w:pPr>
            <w:r w:rsidRPr="00CC0741">
              <w:rPr>
                <w:rFonts w:cs="Times New Roman"/>
                <w:b/>
                <w:bCs/>
                <w:szCs w:val="24"/>
              </w:rPr>
              <w:t xml:space="preserve">Annual </w:t>
            </w:r>
            <w:r>
              <w:rPr>
                <w:rFonts w:cs="Times New Roman"/>
                <w:b/>
                <w:bCs/>
                <w:szCs w:val="24"/>
              </w:rPr>
              <w:t>Records</w:t>
            </w:r>
          </w:p>
        </w:tc>
        <w:tc>
          <w:tcPr>
            <w:tcW w:w="121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69FCC8F2" w14:textId="77777777">
            <w:pPr>
              <w:jc w:val="center"/>
              <w:rPr>
                <w:rFonts w:cs="Times New Roman"/>
                <w:b/>
                <w:bCs/>
                <w:szCs w:val="24"/>
              </w:rPr>
            </w:pPr>
            <w:r w:rsidRPr="00CC0741">
              <w:rPr>
                <w:rFonts w:cs="Times New Roman"/>
                <w:b/>
                <w:bCs/>
                <w:szCs w:val="24"/>
              </w:rPr>
              <w:t>Hour Burden Per R</w:t>
            </w:r>
            <w:r>
              <w:rPr>
                <w:rFonts w:cs="Times New Roman"/>
                <w:b/>
                <w:bCs/>
                <w:szCs w:val="24"/>
              </w:rPr>
              <w:t>ecord</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21B5D3B1" w14:textId="77777777">
            <w:pPr>
              <w:jc w:val="center"/>
              <w:rPr>
                <w:rFonts w:cs="Times New Roman"/>
                <w:b/>
                <w:bCs/>
                <w:szCs w:val="24"/>
              </w:rPr>
            </w:pPr>
            <w:r w:rsidRPr="00CC0741">
              <w:rPr>
                <w:rFonts w:cs="Times New Roman"/>
                <w:b/>
                <w:bCs/>
                <w:szCs w:val="24"/>
              </w:rPr>
              <w:t>Total Hour Burden</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5786F6BB" w14:textId="77777777">
            <w:pPr>
              <w:jc w:val="center"/>
              <w:rPr>
                <w:rFonts w:cs="Times New Roman"/>
                <w:b/>
                <w:bCs/>
                <w:szCs w:val="24"/>
              </w:rPr>
            </w:pPr>
            <w:r>
              <w:rPr>
                <w:rFonts w:cs="Times New Roman"/>
                <w:b/>
                <w:bCs/>
                <w:szCs w:val="24"/>
              </w:rPr>
              <w:t xml:space="preserve">Recordkeeping Compensation </w:t>
            </w:r>
            <w:r w:rsidRPr="00CC0741">
              <w:rPr>
                <w:rFonts w:cs="Times New Roman"/>
                <w:b/>
                <w:bCs/>
                <w:szCs w:val="24"/>
              </w:rPr>
              <w:t>Rate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6FB43E12" w14:textId="77777777">
            <w:pPr>
              <w:jc w:val="center"/>
              <w:rPr>
                <w:rFonts w:cs="Times New Roman"/>
                <w:b/>
                <w:bCs/>
                <w:szCs w:val="24"/>
              </w:rPr>
            </w:pPr>
            <w:r w:rsidRPr="00CC0741">
              <w:rPr>
                <w:rFonts w:cs="Times New Roman"/>
                <w:b/>
                <w:bCs/>
                <w:szCs w:val="24"/>
              </w:rPr>
              <w:t>Total Hour Burden Cost</w:t>
            </w:r>
          </w:p>
        </w:tc>
      </w:tr>
      <w:tr w:rsidRPr="00CC0741" w:rsidR="003E77BA" w:rsidTr="00D7095E" w14:paraId="0FFA6A5D" w14:textId="77777777">
        <w:trPr>
          <w:trHeight w:val="302"/>
        </w:trPr>
        <w:tc>
          <w:tcPr>
            <w:tcW w:w="2942" w:type="dxa"/>
            <w:gridSpan w:val="2"/>
            <w:vMerge/>
            <w:tcBorders>
              <w:top w:val="single" w:color="auto" w:sz="4" w:space="0"/>
              <w:left w:val="single" w:color="auto" w:sz="4" w:space="0"/>
              <w:bottom w:val="single" w:color="auto" w:sz="4" w:space="0"/>
              <w:right w:val="single" w:color="auto" w:sz="4" w:space="0"/>
            </w:tcBorders>
            <w:vAlign w:val="center"/>
            <w:hideMark/>
          </w:tcPr>
          <w:p w:rsidRPr="00CC0741" w:rsidR="003E77BA" w:rsidP="00D7095E" w:rsidRDefault="003E77BA" w14:paraId="49C7E30C" w14:textId="77777777">
            <w:pPr>
              <w:rPr>
                <w:rFonts w:cs="Times New Roman"/>
                <w:b/>
                <w:bCs/>
                <w:szCs w:val="24"/>
              </w:rPr>
            </w:pP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C0741" w:rsidR="003E77BA" w:rsidP="00D7095E" w:rsidRDefault="003E77BA" w14:paraId="145E2119" w14:textId="77777777">
            <w:pPr>
              <w:jc w:val="center"/>
              <w:rPr>
                <w:rFonts w:cs="Times New Roman"/>
                <w:b/>
                <w:bCs/>
                <w:szCs w:val="24"/>
              </w:rPr>
            </w:pPr>
            <w:r w:rsidRPr="00CC0741">
              <w:rPr>
                <w:rFonts w:cs="Times New Roman"/>
                <w:b/>
                <w:bCs/>
                <w:szCs w:val="24"/>
              </w:rPr>
              <w:t>Year 1</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C0741" w:rsidR="003E77BA" w:rsidP="00D7095E" w:rsidRDefault="003E77BA" w14:paraId="7A287879" w14:textId="77777777">
            <w:pPr>
              <w:jc w:val="center"/>
              <w:rPr>
                <w:rFonts w:cs="Times New Roman"/>
                <w:b/>
                <w:bCs/>
                <w:szCs w:val="24"/>
              </w:rPr>
            </w:pPr>
            <w:r w:rsidRPr="00CC0741">
              <w:rPr>
                <w:rFonts w:cs="Times New Roman"/>
                <w:b/>
                <w:bCs/>
                <w:szCs w:val="24"/>
              </w:rPr>
              <w:t>Year 2</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C0741" w:rsidR="003E77BA" w:rsidP="00D7095E" w:rsidRDefault="003E77BA" w14:paraId="7DA2A33A" w14:textId="77777777">
            <w:pPr>
              <w:jc w:val="center"/>
              <w:rPr>
                <w:rFonts w:cs="Times New Roman"/>
                <w:b/>
                <w:bCs/>
                <w:szCs w:val="24"/>
              </w:rPr>
            </w:pPr>
            <w:r w:rsidRPr="00CC0741">
              <w:rPr>
                <w:rFonts w:cs="Times New Roman"/>
                <w:b/>
                <w:bCs/>
                <w:szCs w:val="24"/>
              </w:rPr>
              <w:t xml:space="preserve">Year 3 </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C0741" w:rsidR="003E77BA" w:rsidP="00D7095E" w:rsidRDefault="003E77BA" w14:paraId="635CF037" w14:textId="77777777">
            <w:pPr>
              <w:jc w:val="center"/>
              <w:rPr>
                <w:rFonts w:cs="Times New Roman"/>
                <w:b/>
                <w:bCs/>
                <w:szCs w:val="24"/>
              </w:rPr>
            </w:pPr>
            <w:r w:rsidRPr="00CC0741">
              <w:rPr>
                <w:rFonts w:cs="Times New Roman"/>
                <w:b/>
                <w:bCs/>
                <w:szCs w:val="24"/>
              </w:rPr>
              <w:t>Total</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F784977" w14:textId="77777777">
            <w:pPr>
              <w:jc w:val="center"/>
              <w:rPr>
                <w:rFonts w:cs="Times New Roman"/>
                <w:b/>
                <w:bCs/>
                <w:szCs w:val="24"/>
              </w:rPr>
            </w:pPr>
            <w:r w:rsidRPr="00CC0741">
              <w:rPr>
                <w:rFonts w:cs="Times New Roman"/>
                <w:b/>
                <w:bCs/>
                <w:szCs w:val="24"/>
              </w:rPr>
              <w:t>a</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4A7521E" w14:textId="77777777">
            <w:pPr>
              <w:jc w:val="center"/>
              <w:rPr>
                <w:rFonts w:cs="Times New Roman"/>
                <w:b/>
                <w:bCs/>
                <w:szCs w:val="24"/>
              </w:rPr>
            </w:pPr>
            <w:r w:rsidRPr="00CC0741">
              <w:rPr>
                <w:rFonts w:cs="Times New Roman"/>
                <w:b/>
                <w:bCs/>
                <w:szCs w:val="24"/>
              </w:rPr>
              <w:t>b</w:t>
            </w:r>
          </w:p>
        </w:tc>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2061459" w14:textId="77777777">
            <w:pPr>
              <w:jc w:val="center"/>
              <w:rPr>
                <w:rFonts w:cs="Times New Roman"/>
                <w:b/>
                <w:bCs/>
                <w:szCs w:val="24"/>
              </w:rPr>
            </w:pPr>
            <w:r w:rsidRPr="00CC0741">
              <w:rPr>
                <w:rFonts w:cs="Times New Roman"/>
                <w:b/>
                <w:bCs/>
                <w:szCs w:val="24"/>
              </w:rPr>
              <w:t>c = a x b</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E47972A" w14:textId="77777777">
            <w:pPr>
              <w:jc w:val="center"/>
              <w:rPr>
                <w:rFonts w:cs="Times New Roman"/>
                <w:b/>
                <w:bCs/>
                <w:szCs w:val="24"/>
              </w:rPr>
            </w:pPr>
            <w:r w:rsidRPr="00CC0741">
              <w:rPr>
                <w:rFonts w:cs="Times New Roman"/>
                <w:b/>
                <w:bCs/>
                <w:szCs w:val="24"/>
              </w:rPr>
              <w:t>d</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B7EF143" w14:textId="77777777">
            <w:pPr>
              <w:jc w:val="center"/>
              <w:rPr>
                <w:rFonts w:cs="Times New Roman"/>
                <w:b/>
                <w:bCs/>
                <w:szCs w:val="24"/>
              </w:rPr>
            </w:pPr>
            <w:r w:rsidRPr="00CC0741">
              <w:rPr>
                <w:rFonts w:cs="Times New Roman"/>
                <w:b/>
                <w:bCs/>
                <w:szCs w:val="24"/>
              </w:rPr>
              <w:t>e = c x d</w:t>
            </w:r>
          </w:p>
        </w:tc>
      </w:tr>
      <w:tr w:rsidRPr="00CC0741" w:rsidR="003E77BA" w:rsidTr="00D7095E" w14:paraId="4C73159E" w14:textId="77777777">
        <w:trPr>
          <w:trHeight w:val="698"/>
        </w:trPr>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14CF2F28" w14:textId="77777777">
            <w:pPr>
              <w:rPr>
                <w:rFonts w:cs="Times New Roman"/>
                <w:szCs w:val="24"/>
              </w:rPr>
            </w:pPr>
            <w:r w:rsidRPr="00CC0741">
              <w:rPr>
                <w:rFonts w:cs="Times New Roman"/>
                <w:szCs w:val="24"/>
              </w:rPr>
              <w:t>Recordkeeping of Flight Training Requests</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6B50BBF0" w14:textId="77777777">
            <w:pPr>
              <w:jc w:val="center"/>
              <w:rPr>
                <w:rFonts w:cs="Times New Roman"/>
                <w:szCs w:val="24"/>
              </w:rPr>
            </w:pPr>
            <w:r w:rsidRPr="00CC0741">
              <w:rPr>
                <w:rFonts w:cs="Times New Roman"/>
                <w:szCs w:val="24"/>
              </w:rPr>
              <w:t>CFI &amp; Club Providers</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346DF0D" w14:textId="77777777">
            <w:pPr>
              <w:jc w:val="right"/>
              <w:rPr>
                <w:rFonts w:cs="Times New Roman"/>
                <w:szCs w:val="24"/>
              </w:rPr>
            </w:pPr>
            <w:r w:rsidRPr="00CC0741">
              <w:rPr>
                <w:rFonts w:cs="Times New Roman"/>
                <w:szCs w:val="24"/>
              </w:rPr>
              <w:t xml:space="preserve">6,009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0E7A8C0" w14:textId="77777777">
            <w:pPr>
              <w:jc w:val="right"/>
              <w:rPr>
                <w:rFonts w:cs="Times New Roman"/>
                <w:szCs w:val="24"/>
              </w:rPr>
            </w:pPr>
            <w:r w:rsidRPr="00CC0741">
              <w:rPr>
                <w:rFonts w:cs="Times New Roman"/>
                <w:szCs w:val="24"/>
              </w:rPr>
              <w:t xml:space="preserve">6,216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2419BF9" w14:textId="77777777">
            <w:pPr>
              <w:jc w:val="right"/>
              <w:rPr>
                <w:rFonts w:cs="Times New Roman"/>
                <w:szCs w:val="24"/>
              </w:rPr>
            </w:pPr>
            <w:r w:rsidRPr="00CC0741">
              <w:rPr>
                <w:rFonts w:cs="Times New Roman"/>
                <w:szCs w:val="24"/>
              </w:rPr>
              <w:t xml:space="preserve">6,434 </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5A099192" w14:textId="77777777">
            <w:pPr>
              <w:jc w:val="right"/>
              <w:rPr>
                <w:rFonts w:cs="Times New Roman"/>
                <w:b/>
                <w:bCs/>
                <w:szCs w:val="24"/>
              </w:rPr>
            </w:pPr>
            <w:r w:rsidRPr="00CC0741">
              <w:rPr>
                <w:rFonts w:cs="Times New Roman"/>
                <w:b/>
                <w:bCs/>
                <w:szCs w:val="24"/>
              </w:rPr>
              <w:t xml:space="preserve">18,659 </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C228075" w14:textId="77777777">
            <w:pPr>
              <w:jc w:val="right"/>
              <w:rPr>
                <w:rFonts w:cs="Times New Roman"/>
                <w:szCs w:val="24"/>
              </w:rPr>
            </w:pPr>
            <w:r w:rsidRPr="00CC0741">
              <w:rPr>
                <w:rFonts w:cs="Times New Roman"/>
                <w:szCs w:val="24"/>
              </w:rPr>
              <w:t>6,220</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2A6C9FF" w14:textId="77777777">
            <w:pPr>
              <w:jc w:val="center"/>
              <w:rPr>
                <w:rFonts w:cs="Times New Roman"/>
                <w:szCs w:val="24"/>
              </w:rPr>
            </w:pPr>
            <w:r w:rsidRPr="00CC0741">
              <w:rPr>
                <w:rFonts w:cs="Times New Roman"/>
                <w:szCs w:val="24"/>
              </w:rPr>
              <w:t>0.083</w:t>
            </w:r>
          </w:p>
        </w:tc>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39FE5AC" w14:textId="77777777">
            <w:pPr>
              <w:jc w:val="right"/>
              <w:rPr>
                <w:rFonts w:cs="Times New Roman"/>
                <w:szCs w:val="24"/>
              </w:rPr>
            </w:pPr>
            <w:r w:rsidRPr="00CC0741">
              <w:rPr>
                <w:rFonts w:cs="Times New Roman"/>
                <w:szCs w:val="24"/>
              </w:rPr>
              <w:t>518</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83ACD80" w14:textId="77777777">
            <w:pPr>
              <w:jc w:val="right"/>
              <w:rPr>
                <w:rFonts w:cs="Times New Roman"/>
                <w:szCs w:val="24"/>
              </w:rPr>
            </w:pPr>
            <w:r w:rsidRPr="00CC0741">
              <w:rPr>
                <w:rFonts w:cs="Times New Roman"/>
                <w:szCs w:val="24"/>
              </w:rPr>
              <w:t xml:space="preserve">$62.33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2EA956C" w14:textId="77777777">
            <w:pPr>
              <w:jc w:val="right"/>
              <w:rPr>
                <w:rFonts w:cs="Times New Roman"/>
                <w:szCs w:val="24"/>
              </w:rPr>
            </w:pPr>
            <w:r w:rsidRPr="00CC0741">
              <w:rPr>
                <w:rFonts w:cs="Times New Roman"/>
                <w:szCs w:val="24"/>
              </w:rPr>
              <w:t xml:space="preserve">$32,305 </w:t>
            </w:r>
          </w:p>
        </w:tc>
      </w:tr>
      <w:tr w:rsidRPr="00CC0741" w:rsidR="003E77BA" w:rsidTr="00D7095E" w14:paraId="12C118E7" w14:textId="77777777">
        <w:trPr>
          <w:trHeight w:val="698"/>
        </w:trPr>
        <w:tc>
          <w:tcPr>
            <w:tcW w:w="1710" w:type="dxa"/>
            <w:vMerge/>
            <w:tcBorders>
              <w:top w:val="single" w:color="auto" w:sz="4" w:space="0"/>
              <w:left w:val="single" w:color="auto" w:sz="4" w:space="0"/>
              <w:bottom w:val="single" w:color="auto" w:sz="4" w:space="0"/>
              <w:right w:val="single" w:color="auto" w:sz="4" w:space="0"/>
            </w:tcBorders>
            <w:vAlign w:val="center"/>
            <w:hideMark/>
          </w:tcPr>
          <w:p w:rsidRPr="00CC0741" w:rsidR="003E77BA" w:rsidP="00D7095E" w:rsidRDefault="003E77BA" w14:paraId="76112FE1" w14:textId="77777777">
            <w:pPr>
              <w:rPr>
                <w:rFonts w:cs="Times New Roman"/>
                <w:szCs w:val="24"/>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0C66B0A5" w14:textId="77777777">
            <w:pPr>
              <w:jc w:val="center"/>
              <w:rPr>
                <w:rFonts w:cs="Times New Roman"/>
                <w:szCs w:val="24"/>
              </w:rPr>
            </w:pPr>
            <w:r w:rsidRPr="00CC0741">
              <w:rPr>
                <w:rFonts w:cs="Times New Roman"/>
                <w:szCs w:val="24"/>
              </w:rPr>
              <w:t>Large Providers</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5A935E9D" w14:textId="77777777">
            <w:pPr>
              <w:jc w:val="right"/>
              <w:rPr>
                <w:rFonts w:cs="Times New Roman"/>
                <w:szCs w:val="24"/>
              </w:rPr>
            </w:pPr>
            <w:r w:rsidRPr="00CC0741">
              <w:rPr>
                <w:rFonts w:cs="Times New Roman"/>
                <w:szCs w:val="24"/>
              </w:rPr>
              <w:t xml:space="preserve">52,177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2A1A179" w14:textId="77777777">
            <w:pPr>
              <w:jc w:val="right"/>
              <w:rPr>
                <w:rFonts w:cs="Times New Roman"/>
                <w:szCs w:val="24"/>
              </w:rPr>
            </w:pPr>
            <w:r w:rsidRPr="00CC0741">
              <w:rPr>
                <w:rFonts w:cs="Times New Roman"/>
                <w:szCs w:val="24"/>
              </w:rPr>
              <w:t xml:space="preserve">53,968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DBC8322" w14:textId="77777777">
            <w:pPr>
              <w:jc w:val="right"/>
              <w:rPr>
                <w:rFonts w:cs="Times New Roman"/>
                <w:szCs w:val="24"/>
              </w:rPr>
            </w:pPr>
            <w:r w:rsidRPr="00CC0741">
              <w:rPr>
                <w:rFonts w:cs="Times New Roman"/>
                <w:szCs w:val="24"/>
              </w:rPr>
              <w:t xml:space="preserve">55,863 </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3FFA9EE" w14:textId="77777777">
            <w:pPr>
              <w:jc w:val="right"/>
              <w:rPr>
                <w:rFonts w:cs="Times New Roman"/>
                <w:b/>
                <w:bCs/>
                <w:szCs w:val="24"/>
              </w:rPr>
            </w:pPr>
            <w:r w:rsidRPr="00CC0741">
              <w:rPr>
                <w:rFonts w:cs="Times New Roman"/>
                <w:b/>
                <w:bCs/>
                <w:szCs w:val="24"/>
              </w:rPr>
              <w:t xml:space="preserve">162,008 </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22715F5" w14:textId="77777777">
            <w:pPr>
              <w:jc w:val="right"/>
              <w:rPr>
                <w:rFonts w:cs="Times New Roman"/>
                <w:szCs w:val="24"/>
              </w:rPr>
            </w:pPr>
            <w:r w:rsidRPr="00CC0741">
              <w:rPr>
                <w:rFonts w:cs="Times New Roman"/>
                <w:szCs w:val="24"/>
              </w:rPr>
              <w:t>54,003</w:t>
            </w:r>
          </w:p>
        </w:tc>
        <w:tc>
          <w:tcPr>
            <w:tcW w:w="121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08233A5" w14:textId="77777777">
            <w:pPr>
              <w:jc w:val="center"/>
              <w:rPr>
                <w:rFonts w:cs="Times New Roman"/>
                <w:szCs w:val="24"/>
              </w:rPr>
            </w:pPr>
            <w:r w:rsidRPr="00CC0741">
              <w:rPr>
                <w:rFonts w:cs="Times New Roman"/>
                <w:szCs w:val="24"/>
              </w:rPr>
              <w:t>1.000</w:t>
            </w:r>
          </w:p>
        </w:tc>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E03FA0A" w14:textId="77777777">
            <w:pPr>
              <w:jc w:val="right"/>
              <w:rPr>
                <w:rFonts w:cs="Times New Roman"/>
                <w:szCs w:val="24"/>
              </w:rPr>
            </w:pPr>
            <w:r w:rsidRPr="00CC0741">
              <w:rPr>
                <w:rFonts w:cs="Times New Roman"/>
                <w:szCs w:val="24"/>
              </w:rPr>
              <w:t>54,003</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99C14D8" w14:textId="77777777">
            <w:pPr>
              <w:jc w:val="right"/>
              <w:rPr>
                <w:rFonts w:cs="Times New Roman"/>
                <w:szCs w:val="24"/>
              </w:rPr>
            </w:pPr>
            <w:r w:rsidRPr="00CC0741">
              <w:rPr>
                <w:rFonts w:cs="Times New Roman"/>
                <w:szCs w:val="24"/>
              </w:rPr>
              <w:t xml:space="preserve">$28.80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3D879B0" w14:textId="77777777">
            <w:pPr>
              <w:jc w:val="right"/>
              <w:rPr>
                <w:rFonts w:cs="Times New Roman"/>
                <w:szCs w:val="24"/>
              </w:rPr>
            </w:pPr>
            <w:r w:rsidRPr="00CC0741">
              <w:rPr>
                <w:rFonts w:cs="Times New Roman"/>
                <w:szCs w:val="24"/>
              </w:rPr>
              <w:t xml:space="preserve">$1,555,069 </w:t>
            </w:r>
          </w:p>
        </w:tc>
      </w:tr>
      <w:tr w:rsidRPr="00CC0741" w:rsidR="003E77BA" w:rsidTr="00D7095E" w14:paraId="31B05312" w14:textId="77777777">
        <w:trPr>
          <w:trHeight w:val="726"/>
        </w:trPr>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14E4FFBB" w14:textId="77777777">
            <w:pPr>
              <w:rPr>
                <w:rFonts w:cs="Times New Roman"/>
                <w:szCs w:val="24"/>
              </w:rPr>
            </w:pPr>
            <w:r w:rsidRPr="00CC0741">
              <w:rPr>
                <w:rFonts w:cs="Times New Roman"/>
                <w:szCs w:val="24"/>
              </w:rPr>
              <w:t>Recordkeeping of Security Awareness Training</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30336A0C" w14:textId="77777777">
            <w:pPr>
              <w:jc w:val="center"/>
              <w:rPr>
                <w:rFonts w:cs="Times New Roman"/>
                <w:szCs w:val="24"/>
              </w:rPr>
            </w:pPr>
            <w:r w:rsidRPr="00CC0741">
              <w:rPr>
                <w:rFonts w:cs="Times New Roman"/>
                <w:szCs w:val="24"/>
              </w:rPr>
              <w:t>CFI &amp; Club Providers</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F782248" w14:textId="77777777">
            <w:pPr>
              <w:jc w:val="right"/>
              <w:rPr>
                <w:rFonts w:cs="Times New Roman"/>
                <w:szCs w:val="24"/>
              </w:rPr>
            </w:pPr>
            <w:r w:rsidRPr="00CC0741">
              <w:rPr>
                <w:rFonts w:cs="Times New Roman"/>
                <w:szCs w:val="24"/>
              </w:rPr>
              <w:t xml:space="preserve">36,023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EC7E86A" w14:textId="77777777">
            <w:pPr>
              <w:jc w:val="right"/>
              <w:rPr>
                <w:rFonts w:cs="Times New Roman"/>
                <w:szCs w:val="24"/>
              </w:rPr>
            </w:pPr>
            <w:r w:rsidRPr="00CC0741">
              <w:rPr>
                <w:rFonts w:cs="Times New Roman"/>
                <w:szCs w:val="24"/>
              </w:rPr>
              <w:t xml:space="preserve">36,677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562C168E" w14:textId="77777777">
            <w:pPr>
              <w:jc w:val="right"/>
              <w:rPr>
                <w:rFonts w:cs="Times New Roman"/>
                <w:szCs w:val="24"/>
              </w:rPr>
            </w:pPr>
            <w:r w:rsidRPr="00CC0741">
              <w:rPr>
                <w:rFonts w:cs="Times New Roman"/>
                <w:szCs w:val="24"/>
              </w:rPr>
              <w:t xml:space="preserve">37,344 </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46A1CBA" w14:textId="77777777">
            <w:pPr>
              <w:jc w:val="right"/>
              <w:rPr>
                <w:rFonts w:cs="Times New Roman"/>
                <w:b/>
                <w:bCs/>
                <w:szCs w:val="24"/>
              </w:rPr>
            </w:pPr>
            <w:r w:rsidRPr="00CC0741">
              <w:rPr>
                <w:rFonts w:cs="Times New Roman"/>
                <w:b/>
                <w:bCs/>
                <w:szCs w:val="24"/>
              </w:rPr>
              <w:t xml:space="preserve">110,043 </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5DCEEED" w14:textId="77777777">
            <w:pPr>
              <w:jc w:val="right"/>
              <w:rPr>
                <w:rFonts w:cs="Times New Roman"/>
                <w:szCs w:val="24"/>
              </w:rPr>
            </w:pPr>
            <w:r w:rsidRPr="00CC0741">
              <w:rPr>
                <w:rFonts w:cs="Times New Roman"/>
                <w:szCs w:val="24"/>
              </w:rPr>
              <w:t>36,681</w:t>
            </w:r>
          </w:p>
        </w:tc>
        <w:tc>
          <w:tcPr>
            <w:tcW w:w="12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7C6CE8B" w14:textId="77777777">
            <w:pPr>
              <w:jc w:val="center"/>
              <w:rPr>
                <w:rFonts w:cs="Times New Roman"/>
                <w:szCs w:val="24"/>
              </w:rPr>
            </w:pPr>
            <w:r w:rsidRPr="00CC0741">
              <w:rPr>
                <w:rFonts w:cs="Times New Roman"/>
                <w:szCs w:val="24"/>
              </w:rPr>
              <w:t>0.083</w:t>
            </w:r>
          </w:p>
        </w:tc>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0EE792D" w14:textId="77777777">
            <w:pPr>
              <w:jc w:val="right"/>
              <w:rPr>
                <w:rFonts w:cs="Times New Roman"/>
                <w:szCs w:val="24"/>
              </w:rPr>
            </w:pPr>
            <w:r w:rsidRPr="00CC0741">
              <w:rPr>
                <w:rFonts w:cs="Times New Roman"/>
                <w:szCs w:val="24"/>
              </w:rPr>
              <w:t>3,057</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27AB5C2F" w14:textId="77777777">
            <w:pPr>
              <w:jc w:val="right"/>
              <w:rPr>
                <w:rFonts w:cs="Times New Roman"/>
                <w:szCs w:val="24"/>
              </w:rPr>
            </w:pPr>
            <w:r w:rsidRPr="00CC0741">
              <w:rPr>
                <w:rFonts w:cs="Times New Roman"/>
                <w:szCs w:val="24"/>
              </w:rPr>
              <w:t xml:space="preserve">$62.33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3FC50B0" w14:textId="77777777">
            <w:pPr>
              <w:jc w:val="right"/>
              <w:rPr>
                <w:rFonts w:cs="Times New Roman"/>
                <w:szCs w:val="24"/>
              </w:rPr>
            </w:pPr>
            <w:r w:rsidRPr="00CC0741">
              <w:rPr>
                <w:rFonts w:cs="Times New Roman"/>
                <w:szCs w:val="24"/>
              </w:rPr>
              <w:t xml:space="preserve">$190,526 </w:t>
            </w:r>
          </w:p>
        </w:tc>
      </w:tr>
      <w:tr w:rsidRPr="00CC0741" w:rsidR="003E77BA" w:rsidTr="00D7095E" w14:paraId="318413B1" w14:textId="77777777">
        <w:trPr>
          <w:trHeight w:val="661"/>
        </w:trPr>
        <w:tc>
          <w:tcPr>
            <w:tcW w:w="1710" w:type="dxa"/>
            <w:vMerge/>
            <w:tcBorders>
              <w:top w:val="single" w:color="auto" w:sz="4" w:space="0"/>
              <w:left w:val="single" w:color="auto" w:sz="4" w:space="0"/>
              <w:bottom w:val="single" w:color="auto" w:sz="4" w:space="0"/>
              <w:right w:val="single" w:color="auto" w:sz="4" w:space="0"/>
            </w:tcBorders>
            <w:vAlign w:val="center"/>
            <w:hideMark/>
          </w:tcPr>
          <w:p w:rsidRPr="00CC0741" w:rsidR="003E77BA" w:rsidP="00D7095E" w:rsidRDefault="003E77BA" w14:paraId="546F9901" w14:textId="77777777">
            <w:pPr>
              <w:rPr>
                <w:rFonts w:cs="Times New Roman"/>
                <w:szCs w:val="24"/>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C0741" w:rsidR="003E77BA" w:rsidP="00D7095E" w:rsidRDefault="003E77BA" w14:paraId="584D8F6F" w14:textId="77777777">
            <w:pPr>
              <w:jc w:val="center"/>
              <w:rPr>
                <w:rFonts w:cs="Times New Roman"/>
                <w:szCs w:val="24"/>
              </w:rPr>
            </w:pPr>
            <w:r w:rsidRPr="00CC0741">
              <w:rPr>
                <w:rFonts w:cs="Times New Roman"/>
                <w:szCs w:val="24"/>
              </w:rPr>
              <w:t>Large Providers</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2846786" w14:textId="77777777">
            <w:pPr>
              <w:jc w:val="right"/>
              <w:rPr>
                <w:rFonts w:cs="Times New Roman"/>
                <w:szCs w:val="24"/>
              </w:rPr>
            </w:pPr>
            <w:r w:rsidRPr="00CC0741">
              <w:rPr>
                <w:rFonts w:cs="Times New Roman"/>
                <w:szCs w:val="24"/>
              </w:rPr>
              <w:t xml:space="preserve">12,630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C843D20" w14:textId="77777777">
            <w:pPr>
              <w:jc w:val="right"/>
              <w:rPr>
                <w:rFonts w:cs="Times New Roman"/>
                <w:szCs w:val="24"/>
              </w:rPr>
            </w:pPr>
            <w:r w:rsidRPr="00CC0741">
              <w:rPr>
                <w:rFonts w:cs="Times New Roman"/>
                <w:szCs w:val="24"/>
              </w:rPr>
              <w:t xml:space="preserve">12,859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829A601" w14:textId="77777777">
            <w:pPr>
              <w:jc w:val="right"/>
              <w:rPr>
                <w:rFonts w:cs="Times New Roman"/>
                <w:szCs w:val="24"/>
              </w:rPr>
            </w:pPr>
            <w:r w:rsidRPr="00CC0741">
              <w:rPr>
                <w:rFonts w:cs="Times New Roman"/>
                <w:szCs w:val="24"/>
              </w:rPr>
              <w:t xml:space="preserve">13,093 </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0D242BE" w14:textId="77777777">
            <w:pPr>
              <w:jc w:val="right"/>
              <w:rPr>
                <w:rFonts w:cs="Times New Roman"/>
                <w:b/>
                <w:bCs/>
                <w:szCs w:val="24"/>
              </w:rPr>
            </w:pPr>
            <w:r w:rsidRPr="00CC0741">
              <w:rPr>
                <w:rFonts w:cs="Times New Roman"/>
                <w:b/>
                <w:bCs/>
                <w:szCs w:val="24"/>
              </w:rPr>
              <w:t xml:space="preserve">38,582 </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D572659" w14:textId="77777777">
            <w:pPr>
              <w:jc w:val="right"/>
              <w:rPr>
                <w:rFonts w:cs="Times New Roman"/>
                <w:szCs w:val="24"/>
              </w:rPr>
            </w:pPr>
            <w:r w:rsidRPr="00CC0741">
              <w:rPr>
                <w:rFonts w:cs="Times New Roman"/>
                <w:szCs w:val="24"/>
              </w:rPr>
              <w:t>12,861</w:t>
            </w:r>
          </w:p>
        </w:tc>
        <w:tc>
          <w:tcPr>
            <w:tcW w:w="1213" w:type="dxa"/>
            <w:vMerge/>
            <w:tcBorders>
              <w:top w:val="single" w:color="auto" w:sz="4" w:space="0"/>
              <w:left w:val="single" w:color="auto" w:sz="4" w:space="0"/>
              <w:bottom w:val="single" w:color="auto" w:sz="4" w:space="0"/>
              <w:right w:val="single" w:color="auto" w:sz="4" w:space="0"/>
            </w:tcBorders>
            <w:vAlign w:val="center"/>
            <w:hideMark/>
          </w:tcPr>
          <w:p w:rsidRPr="00CC0741" w:rsidR="003E77BA" w:rsidP="00D7095E" w:rsidRDefault="003E77BA" w14:paraId="43670E6E" w14:textId="77777777">
            <w:pPr>
              <w:rPr>
                <w:rFonts w:cs="Times New Roman"/>
                <w:szCs w:val="24"/>
              </w:rPr>
            </w:pPr>
          </w:p>
        </w:tc>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3A17397" w14:textId="77777777">
            <w:pPr>
              <w:jc w:val="right"/>
              <w:rPr>
                <w:rFonts w:cs="Times New Roman"/>
                <w:szCs w:val="24"/>
              </w:rPr>
            </w:pPr>
            <w:r w:rsidRPr="00CC0741">
              <w:rPr>
                <w:rFonts w:cs="Times New Roman"/>
                <w:szCs w:val="24"/>
              </w:rPr>
              <w:t>1,072</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3DC5BB2" w14:textId="77777777">
            <w:pPr>
              <w:jc w:val="right"/>
              <w:rPr>
                <w:rFonts w:cs="Times New Roman"/>
                <w:szCs w:val="24"/>
              </w:rPr>
            </w:pPr>
            <w:r w:rsidRPr="00CC0741">
              <w:rPr>
                <w:rFonts w:cs="Times New Roman"/>
                <w:szCs w:val="24"/>
              </w:rPr>
              <w:t xml:space="preserve">$28.80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7B68E75" w14:textId="77777777">
            <w:pPr>
              <w:jc w:val="right"/>
              <w:rPr>
                <w:rFonts w:cs="Times New Roman"/>
                <w:szCs w:val="24"/>
              </w:rPr>
            </w:pPr>
            <w:r w:rsidRPr="00CC0741">
              <w:rPr>
                <w:rFonts w:cs="Times New Roman"/>
                <w:szCs w:val="24"/>
              </w:rPr>
              <w:t xml:space="preserve">$30,862 </w:t>
            </w:r>
          </w:p>
        </w:tc>
      </w:tr>
      <w:tr w:rsidRPr="00CC0741" w:rsidR="003E77BA" w:rsidTr="00D7095E" w14:paraId="1620A7BC" w14:textId="77777777">
        <w:trPr>
          <w:trHeight w:val="302"/>
        </w:trPr>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2F44A70" w14:textId="77777777">
            <w:pPr>
              <w:rPr>
                <w:rFonts w:cs="Times New Roman"/>
                <w:b/>
                <w:bCs/>
                <w:szCs w:val="24"/>
              </w:rPr>
            </w:pPr>
            <w:r w:rsidRPr="00CC0741">
              <w:rPr>
                <w:rFonts w:cs="Times New Roman"/>
                <w:b/>
                <w:bCs/>
                <w:szCs w:val="24"/>
              </w:rPr>
              <w:t>Total</w:t>
            </w:r>
          </w:p>
        </w:tc>
        <w:tc>
          <w:tcPr>
            <w:tcW w:w="12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C0741" w:rsidR="003E77BA" w:rsidP="00D7095E" w:rsidRDefault="003E77BA" w14:paraId="60D87C0F" w14:textId="77777777">
            <w:pPr>
              <w:rPr>
                <w:rFonts w:cs="Times New Roman"/>
                <w:szCs w:val="24"/>
              </w:rPr>
            </w:pPr>
            <w:r w:rsidRPr="00CC0741">
              <w:rPr>
                <w:rFonts w:cs="Times New Roman"/>
                <w:szCs w:val="24"/>
              </w:rPr>
              <w:t>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C1C2F54" w14:textId="77777777">
            <w:pPr>
              <w:jc w:val="right"/>
              <w:rPr>
                <w:rFonts w:cs="Times New Roman"/>
                <w:b/>
                <w:bCs/>
                <w:szCs w:val="24"/>
              </w:rPr>
            </w:pPr>
            <w:r w:rsidRPr="00CC0741">
              <w:rPr>
                <w:rFonts w:cs="Times New Roman"/>
                <w:b/>
                <w:bCs/>
                <w:szCs w:val="24"/>
              </w:rPr>
              <w:t xml:space="preserve">106,839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1050883A" w14:textId="77777777">
            <w:pPr>
              <w:jc w:val="right"/>
              <w:rPr>
                <w:rFonts w:cs="Times New Roman"/>
                <w:b/>
                <w:bCs/>
                <w:szCs w:val="24"/>
              </w:rPr>
            </w:pPr>
            <w:r w:rsidRPr="00CC0741">
              <w:rPr>
                <w:rFonts w:cs="Times New Roman"/>
                <w:b/>
                <w:bCs/>
                <w:szCs w:val="24"/>
              </w:rPr>
              <w:t xml:space="preserve">109,720 </w:t>
            </w:r>
          </w:p>
        </w:tc>
        <w:tc>
          <w:tcPr>
            <w:tcW w:w="103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7C86E352" w14:textId="77777777">
            <w:pPr>
              <w:jc w:val="right"/>
              <w:rPr>
                <w:rFonts w:cs="Times New Roman"/>
                <w:b/>
                <w:bCs/>
                <w:szCs w:val="24"/>
              </w:rPr>
            </w:pPr>
            <w:r w:rsidRPr="00CC0741">
              <w:rPr>
                <w:rFonts w:cs="Times New Roman"/>
                <w:b/>
                <w:bCs/>
                <w:szCs w:val="24"/>
              </w:rPr>
              <w:t xml:space="preserve">112,733 </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5DCBC137" w14:textId="77777777">
            <w:pPr>
              <w:jc w:val="right"/>
              <w:rPr>
                <w:rFonts w:cs="Times New Roman"/>
                <w:b/>
                <w:bCs/>
                <w:szCs w:val="24"/>
              </w:rPr>
            </w:pPr>
            <w:r w:rsidRPr="00CC0741">
              <w:rPr>
                <w:rFonts w:cs="Times New Roman"/>
                <w:b/>
                <w:bCs/>
                <w:szCs w:val="24"/>
              </w:rPr>
              <w:t xml:space="preserve">329,292 </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6CC041B4" w14:textId="77777777">
            <w:pPr>
              <w:jc w:val="right"/>
              <w:rPr>
                <w:rFonts w:cs="Times New Roman"/>
                <w:b/>
                <w:bCs/>
                <w:szCs w:val="24"/>
              </w:rPr>
            </w:pPr>
            <w:r w:rsidRPr="00CC0741">
              <w:rPr>
                <w:rFonts w:cs="Times New Roman"/>
                <w:b/>
                <w:bCs/>
                <w:szCs w:val="24"/>
              </w:rPr>
              <w:t xml:space="preserve">109,764 </w:t>
            </w:r>
          </w:p>
        </w:tc>
        <w:tc>
          <w:tcPr>
            <w:tcW w:w="1213"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C0741" w:rsidR="003E77BA" w:rsidP="00D7095E" w:rsidRDefault="003E77BA" w14:paraId="26A597B8" w14:textId="77777777">
            <w:pPr>
              <w:rPr>
                <w:rFonts w:cs="Times New Roman"/>
                <w:b/>
                <w:bCs/>
                <w:szCs w:val="24"/>
              </w:rPr>
            </w:pPr>
            <w:r w:rsidRPr="00CC0741">
              <w:rPr>
                <w:rFonts w:cs="Times New Roman"/>
                <w:b/>
                <w:bCs/>
                <w:szCs w:val="24"/>
              </w:rPr>
              <w:t> </w:t>
            </w:r>
          </w:p>
        </w:tc>
        <w:tc>
          <w:tcPr>
            <w:tcW w:w="109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39BA351A" w14:textId="77777777">
            <w:pPr>
              <w:jc w:val="right"/>
              <w:rPr>
                <w:rFonts w:cs="Times New Roman"/>
                <w:b/>
                <w:bCs/>
                <w:szCs w:val="24"/>
              </w:rPr>
            </w:pPr>
            <w:r w:rsidRPr="00CC0741">
              <w:rPr>
                <w:rFonts w:cs="Times New Roman"/>
                <w:b/>
                <w:bCs/>
                <w:szCs w:val="24"/>
              </w:rPr>
              <w:t xml:space="preserve">58,649 </w:t>
            </w:r>
          </w:p>
        </w:tc>
        <w:tc>
          <w:tcPr>
            <w:tcW w:w="1800"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CC0741" w:rsidR="003E77BA" w:rsidP="00D7095E" w:rsidRDefault="003E77BA" w14:paraId="3793F652" w14:textId="77777777">
            <w:pPr>
              <w:rPr>
                <w:rFonts w:cs="Times New Roman"/>
                <w:b/>
                <w:bCs/>
                <w:szCs w:val="24"/>
              </w:rPr>
            </w:pPr>
            <w:r w:rsidRPr="00CC0741">
              <w:rPr>
                <w:rFonts w:cs="Times New Roman"/>
                <w:b/>
                <w:bCs/>
                <w:szCs w:val="24"/>
              </w:rPr>
              <w:t>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C0741" w:rsidR="003E77BA" w:rsidP="00D7095E" w:rsidRDefault="003E77BA" w14:paraId="425D7364" w14:textId="77777777">
            <w:pPr>
              <w:jc w:val="right"/>
              <w:rPr>
                <w:rFonts w:cs="Times New Roman"/>
                <w:b/>
                <w:bCs/>
                <w:szCs w:val="24"/>
              </w:rPr>
            </w:pPr>
            <w:r w:rsidRPr="00CC0741">
              <w:rPr>
                <w:rFonts w:cs="Times New Roman"/>
                <w:b/>
                <w:bCs/>
                <w:szCs w:val="24"/>
              </w:rPr>
              <w:t xml:space="preserve">$1,808,761 </w:t>
            </w:r>
          </w:p>
        </w:tc>
      </w:tr>
    </w:tbl>
    <w:p w:rsidR="003E77BA" w:rsidP="003E77BA" w:rsidRDefault="003E77BA" w14:paraId="7DCF9A0E" w14:textId="77777777">
      <w:pPr>
        <w:ind w:left="360"/>
        <w:rPr>
          <w:szCs w:val="24"/>
        </w:rPr>
      </w:pPr>
    </w:p>
    <w:p w:rsidR="003E77BA" w:rsidP="003E77BA" w:rsidRDefault="003E77BA" w14:paraId="20560539" w14:textId="77777777">
      <w:pPr>
        <w:ind w:left="360"/>
        <w:rPr>
          <w:szCs w:val="24"/>
        </w:rPr>
        <w:sectPr w:rsidR="003E77BA" w:rsidSect="004B7C73">
          <w:pgSz w:w="15840" w:h="12240" w:orient="landscape"/>
          <w:pgMar w:top="1440" w:right="1440" w:bottom="1440" w:left="1440" w:header="720" w:footer="720" w:gutter="0"/>
          <w:pgNumType w:start="1"/>
          <w:cols w:space="720"/>
          <w:titlePg/>
          <w:docGrid w:linePitch="360"/>
        </w:sectPr>
      </w:pPr>
    </w:p>
    <w:p w:rsidR="003E77BA" w:rsidP="003E77BA" w:rsidRDefault="003E77BA" w14:paraId="1F13122F" w14:textId="77777777">
      <w:pPr>
        <w:ind w:left="360"/>
        <w:rPr>
          <w:szCs w:val="24"/>
        </w:rPr>
      </w:pPr>
      <w:r>
        <w:rPr>
          <w:szCs w:val="24"/>
        </w:rPr>
        <w:lastRenderedPageBreak/>
        <w:t>TSA sums the hour burden costs for both flight training events and recordkeeping to estimate a total annual hour burden of 103,816 (311,448 over three years) and cost of</w:t>
      </w:r>
      <w:r w:rsidRPr="001F6310">
        <w:t xml:space="preserve"> </w:t>
      </w:r>
      <w:r w:rsidRPr="001F6310">
        <w:rPr>
          <w:szCs w:val="24"/>
        </w:rPr>
        <w:t xml:space="preserve">$3,353,335 </w:t>
      </w:r>
      <w:r>
        <w:rPr>
          <w:szCs w:val="24"/>
        </w:rPr>
        <w:t>($</w:t>
      </w:r>
      <w:r w:rsidRPr="001F6310">
        <w:t xml:space="preserve"> </w:t>
      </w:r>
      <w:r w:rsidRPr="001F6310">
        <w:rPr>
          <w:szCs w:val="24"/>
        </w:rPr>
        <w:t xml:space="preserve">$10,060,005 </w:t>
      </w:r>
      <w:r>
        <w:rPr>
          <w:szCs w:val="24"/>
        </w:rPr>
        <w:t>over three years).</w:t>
      </w:r>
    </w:p>
    <w:p w:rsidR="003E77BA" w:rsidP="003E77BA" w:rsidRDefault="003E77BA" w14:paraId="39AD4A93" w14:textId="77777777">
      <w:pPr>
        <w:numPr>
          <w:ilvl w:val="12"/>
          <w:numId w:val="0"/>
        </w:numPr>
      </w:pPr>
    </w:p>
    <w:p w:rsidR="00320387" w:rsidRDefault="00320387" w14:paraId="6FE350CC" w14:textId="27F9468C">
      <w:pPr>
        <w:keepNext/>
        <w:numPr>
          <w:ilvl w:val="0"/>
          <w:numId w:val="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rsidR="00A429CB" w:rsidP="001D1E88" w:rsidRDefault="00A429CB" w14:paraId="6C04A881" w14:textId="241E3E0E">
      <w:pPr>
        <w:numPr>
          <w:ilvl w:val="12"/>
          <w:numId w:val="0"/>
        </w:numPr>
        <w:ind w:left="360"/>
      </w:pPr>
    </w:p>
    <w:p w:rsidR="003E77BA" w:rsidP="001D1E88" w:rsidRDefault="003E77BA" w14:paraId="66507AC4" w14:textId="131742A8">
      <w:pPr>
        <w:numPr>
          <w:ilvl w:val="12"/>
          <w:numId w:val="0"/>
        </w:numPr>
        <w:ind w:left="360"/>
      </w:pPr>
      <w:r>
        <w:t xml:space="preserve">Non-U.S. citizen and non-U.S. national candidates for flight training are required to pay an application fee to cover the cost of their STA.  Category 1, 2, and 3 applicants must pay a fee of $130, while Category 4 applicants pay a fee of $70.  Additionally, flight training providers who train </w:t>
      </w:r>
      <w:r>
        <w:rPr>
          <w:szCs w:val="24"/>
        </w:rPr>
        <w:t xml:space="preserve">non-U.S. citizens and non-U.S. nationals </w:t>
      </w:r>
      <w:r>
        <w:t>must hold records on site to be inspected by TSA.  TSA estimates a per record printing cost of $0.52 for flight training event records</w:t>
      </w:r>
      <w:r>
        <w:rPr>
          <w:rStyle w:val="FootnoteReference"/>
        </w:rPr>
        <w:footnoteReference w:id="4"/>
      </w:r>
      <w:r>
        <w:t xml:space="preserve"> and $0.03 for security awareness training records</w:t>
      </w:r>
      <w:r w:rsidR="005E4A71">
        <w:t>.</w:t>
      </w:r>
      <w:r>
        <w:rPr>
          <w:rStyle w:val="FootnoteReference"/>
        </w:rPr>
        <w:footnoteReference w:id="5"/>
      </w:r>
      <w:r>
        <w:t xml:space="preserve"> Furthermore, TSA includes the $300 cost of a cabinet for recordkeeping for new flight training providers. TSA estimates the total annual cost burden for fees and recordkeeping to be $7,018,816 (</w:t>
      </w:r>
      <w:r w:rsidRPr="004B3C66">
        <w:t xml:space="preserve">$21,056,448 </w:t>
      </w:r>
      <w:r>
        <w:t>for the three-year period).  Table 3 summarizes these calculations.</w:t>
      </w:r>
    </w:p>
    <w:tbl>
      <w:tblPr>
        <w:tblW w:w="9360" w:type="dxa"/>
        <w:jc w:val="center"/>
        <w:tblLayout w:type="fixed"/>
        <w:tblCellMar>
          <w:left w:w="115" w:type="dxa"/>
          <w:right w:w="115" w:type="dxa"/>
        </w:tblCellMar>
        <w:tblLook w:val="04A0" w:firstRow="1" w:lastRow="0" w:firstColumn="1" w:lastColumn="0" w:noHBand="0" w:noVBand="1"/>
      </w:tblPr>
      <w:tblGrid>
        <w:gridCol w:w="2880"/>
        <w:gridCol w:w="1980"/>
        <w:gridCol w:w="1800"/>
        <w:gridCol w:w="1913"/>
        <w:gridCol w:w="787"/>
      </w:tblGrid>
      <w:tr w:rsidRPr="001669A7" w:rsidR="003E77BA" w:rsidTr="003E77BA" w14:paraId="469E7978" w14:textId="77777777">
        <w:trPr>
          <w:gridAfter w:val="1"/>
          <w:wAfter w:w="787" w:type="dxa"/>
          <w:trHeight w:val="20"/>
          <w:jc w:val="center"/>
        </w:trPr>
        <w:tc>
          <w:tcPr>
            <w:tcW w:w="8573" w:type="dxa"/>
            <w:gridSpan w:val="4"/>
            <w:tcBorders>
              <w:top w:val="nil"/>
              <w:left w:val="nil"/>
              <w:bottom w:val="single" w:color="auto" w:sz="8" w:space="0"/>
              <w:right w:val="nil"/>
            </w:tcBorders>
            <w:shd w:val="clear" w:color="auto" w:fill="auto"/>
            <w:noWrap/>
            <w:vAlign w:val="center"/>
            <w:hideMark/>
          </w:tcPr>
          <w:p w:rsidRPr="001669A7" w:rsidR="003E77BA" w:rsidP="00D7095E" w:rsidRDefault="003E77BA" w14:paraId="31E55945" w14:textId="77777777">
            <w:pPr>
              <w:keepNext/>
              <w:keepLines/>
              <w:jc w:val="center"/>
              <w:rPr>
                <w:rFonts w:cs="Times New Roman"/>
                <w:b/>
                <w:bCs/>
                <w:szCs w:val="24"/>
              </w:rPr>
            </w:pPr>
            <w:r w:rsidRPr="001669A7">
              <w:rPr>
                <w:rFonts w:cs="Times New Roman"/>
                <w:b/>
                <w:bCs/>
                <w:szCs w:val="24"/>
              </w:rPr>
              <w:t>Table 3.  Fees and Other Annualized Costs</w:t>
            </w:r>
          </w:p>
        </w:tc>
      </w:tr>
      <w:tr w:rsidRPr="001669A7" w:rsidR="003E77BA" w:rsidTr="003E77BA" w14:paraId="21D4EA52" w14:textId="77777777">
        <w:trPr>
          <w:gridAfter w:val="1"/>
          <w:wAfter w:w="787" w:type="dxa"/>
          <w:trHeight w:val="20"/>
          <w:jc w:val="center"/>
        </w:trPr>
        <w:tc>
          <w:tcPr>
            <w:tcW w:w="2880" w:type="dxa"/>
            <w:vMerge w:val="restart"/>
            <w:tcBorders>
              <w:top w:val="single" w:color="auto" w:sz="8" w:space="0"/>
              <w:left w:val="single" w:color="auto" w:sz="8" w:space="0"/>
              <w:bottom w:val="nil"/>
              <w:right w:val="single" w:color="auto" w:sz="8" w:space="0"/>
            </w:tcBorders>
            <w:shd w:val="clear" w:color="auto" w:fill="auto"/>
            <w:noWrap/>
            <w:vAlign w:val="center"/>
            <w:hideMark/>
          </w:tcPr>
          <w:p w:rsidRPr="001669A7" w:rsidR="003E77BA" w:rsidP="00D7095E" w:rsidRDefault="003E77BA" w14:paraId="48A6BC6C" w14:textId="77777777">
            <w:pPr>
              <w:keepNext/>
              <w:keepLines/>
              <w:jc w:val="center"/>
              <w:rPr>
                <w:rFonts w:cs="Times New Roman"/>
                <w:b/>
                <w:bCs/>
                <w:szCs w:val="24"/>
              </w:rPr>
            </w:pPr>
            <w:r w:rsidRPr="001669A7">
              <w:rPr>
                <w:rFonts w:cs="Times New Roman"/>
                <w:b/>
                <w:bCs/>
                <w:szCs w:val="24"/>
              </w:rPr>
              <w:t>Activity</w:t>
            </w:r>
          </w:p>
        </w:tc>
        <w:tc>
          <w:tcPr>
            <w:tcW w:w="19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669A7" w:rsidR="003E77BA" w:rsidP="00D7095E" w:rsidRDefault="003E77BA" w14:paraId="3F974E2E" w14:textId="77777777">
            <w:pPr>
              <w:keepNext/>
              <w:keepLines/>
              <w:jc w:val="center"/>
              <w:rPr>
                <w:rFonts w:cs="Times New Roman"/>
                <w:b/>
                <w:bCs/>
                <w:szCs w:val="24"/>
              </w:rPr>
            </w:pPr>
            <w:r w:rsidRPr="001669A7">
              <w:rPr>
                <w:rFonts w:cs="Times New Roman"/>
                <w:b/>
                <w:bCs/>
                <w:szCs w:val="24"/>
              </w:rPr>
              <w:t>Annual Number of Instances</w:t>
            </w:r>
          </w:p>
        </w:tc>
        <w:tc>
          <w:tcPr>
            <w:tcW w:w="1800" w:type="dxa"/>
            <w:tcBorders>
              <w:top w:val="single" w:color="auto" w:sz="8" w:space="0"/>
              <w:left w:val="nil"/>
              <w:bottom w:val="single" w:color="auto" w:sz="8" w:space="0"/>
              <w:right w:val="single" w:color="auto" w:sz="8" w:space="0"/>
            </w:tcBorders>
            <w:shd w:val="clear" w:color="auto" w:fill="auto"/>
            <w:noWrap/>
            <w:vAlign w:val="center"/>
            <w:hideMark/>
          </w:tcPr>
          <w:p w:rsidRPr="001669A7" w:rsidR="003E77BA" w:rsidP="00D7095E" w:rsidRDefault="003E77BA" w14:paraId="2A9F1779" w14:textId="77777777">
            <w:pPr>
              <w:keepNext/>
              <w:keepLines/>
              <w:jc w:val="center"/>
              <w:rPr>
                <w:rFonts w:cs="Times New Roman"/>
                <w:b/>
                <w:bCs/>
                <w:szCs w:val="24"/>
              </w:rPr>
            </w:pPr>
            <w:r w:rsidRPr="001669A7">
              <w:rPr>
                <w:rFonts w:cs="Times New Roman"/>
                <w:b/>
                <w:bCs/>
                <w:szCs w:val="24"/>
              </w:rPr>
              <w:t>Fee or Cost</w:t>
            </w:r>
          </w:p>
        </w:tc>
        <w:tc>
          <w:tcPr>
            <w:tcW w:w="1913" w:type="dxa"/>
            <w:tcBorders>
              <w:top w:val="single" w:color="auto" w:sz="8" w:space="0"/>
              <w:left w:val="nil"/>
              <w:bottom w:val="single" w:color="auto" w:sz="8" w:space="0"/>
              <w:right w:val="single" w:color="auto" w:sz="8" w:space="0"/>
            </w:tcBorders>
            <w:shd w:val="clear" w:color="auto" w:fill="auto"/>
            <w:noWrap/>
            <w:vAlign w:val="center"/>
            <w:hideMark/>
          </w:tcPr>
          <w:p w:rsidRPr="001669A7" w:rsidR="003E77BA" w:rsidP="00D7095E" w:rsidRDefault="003E77BA" w14:paraId="345451DA" w14:textId="77777777">
            <w:pPr>
              <w:keepNext/>
              <w:keepLines/>
              <w:jc w:val="center"/>
              <w:rPr>
                <w:rFonts w:cs="Times New Roman"/>
                <w:b/>
                <w:bCs/>
                <w:szCs w:val="24"/>
              </w:rPr>
            </w:pPr>
            <w:r w:rsidRPr="001669A7">
              <w:rPr>
                <w:rFonts w:cs="Times New Roman"/>
                <w:b/>
                <w:bCs/>
                <w:szCs w:val="24"/>
              </w:rPr>
              <w:t>Annualized Cost</w:t>
            </w:r>
          </w:p>
        </w:tc>
      </w:tr>
      <w:tr w:rsidRPr="001669A7" w:rsidR="003E77BA" w:rsidTr="003E77BA" w14:paraId="3D5F25C2" w14:textId="77777777">
        <w:trPr>
          <w:gridAfter w:val="1"/>
          <w:wAfter w:w="787" w:type="dxa"/>
          <w:trHeight w:val="20"/>
          <w:jc w:val="center"/>
        </w:trPr>
        <w:tc>
          <w:tcPr>
            <w:tcW w:w="2880" w:type="dxa"/>
            <w:vMerge/>
            <w:tcBorders>
              <w:top w:val="single" w:color="auto" w:sz="8" w:space="0"/>
              <w:left w:val="single" w:color="auto" w:sz="8" w:space="0"/>
              <w:bottom w:val="nil"/>
              <w:right w:val="single" w:color="auto" w:sz="8" w:space="0"/>
            </w:tcBorders>
            <w:vAlign w:val="center"/>
            <w:hideMark/>
          </w:tcPr>
          <w:p w:rsidRPr="001669A7" w:rsidR="003E77BA" w:rsidP="00D7095E" w:rsidRDefault="003E77BA" w14:paraId="002E0244" w14:textId="77777777">
            <w:pPr>
              <w:keepNext/>
              <w:keepLines/>
              <w:rPr>
                <w:rFonts w:cs="Times New Roman"/>
                <w:b/>
                <w:bCs/>
                <w:szCs w:val="24"/>
              </w:rPr>
            </w:pPr>
          </w:p>
        </w:tc>
        <w:tc>
          <w:tcPr>
            <w:tcW w:w="1980" w:type="dxa"/>
            <w:tcBorders>
              <w:top w:val="nil"/>
              <w:left w:val="nil"/>
              <w:bottom w:val="nil"/>
              <w:right w:val="single" w:color="auto" w:sz="8" w:space="0"/>
            </w:tcBorders>
            <w:shd w:val="clear" w:color="auto" w:fill="auto"/>
            <w:noWrap/>
            <w:vAlign w:val="center"/>
            <w:hideMark/>
          </w:tcPr>
          <w:p w:rsidRPr="001669A7" w:rsidR="003E77BA" w:rsidP="00D7095E" w:rsidRDefault="003E77BA" w14:paraId="0019A035" w14:textId="77777777">
            <w:pPr>
              <w:keepNext/>
              <w:keepLines/>
              <w:jc w:val="center"/>
              <w:rPr>
                <w:rFonts w:cs="Times New Roman"/>
                <w:b/>
                <w:bCs/>
                <w:szCs w:val="24"/>
              </w:rPr>
            </w:pPr>
            <w:r w:rsidRPr="001669A7">
              <w:rPr>
                <w:rFonts w:cs="Times New Roman"/>
                <w:b/>
                <w:bCs/>
                <w:szCs w:val="24"/>
              </w:rPr>
              <w:t>a</w:t>
            </w:r>
          </w:p>
        </w:tc>
        <w:tc>
          <w:tcPr>
            <w:tcW w:w="1800" w:type="dxa"/>
            <w:tcBorders>
              <w:top w:val="nil"/>
              <w:left w:val="nil"/>
              <w:bottom w:val="nil"/>
              <w:right w:val="single" w:color="auto" w:sz="8" w:space="0"/>
            </w:tcBorders>
            <w:shd w:val="clear" w:color="auto" w:fill="auto"/>
            <w:noWrap/>
            <w:vAlign w:val="center"/>
            <w:hideMark/>
          </w:tcPr>
          <w:p w:rsidRPr="001669A7" w:rsidR="003E77BA" w:rsidP="00D7095E" w:rsidRDefault="003E77BA" w14:paraId="7223B8E4" w14:textId="77777777">
            <w:pPr>
              <w:keepNext/>
              <w:keepLines/>
              <w:jc w:val="center"/>
              <w:rPr>
                <w:rFonts w:cs="Times New Roman"/>
                <w:b/>
                <w:bCs/>
                <w:szCs w:val="24"/>
              </w:rPr>
            </w:pPr>
            <w:r w:rsidRPr="001669A7">
              <w:rPr>
                <w:rFonts w:cs="Times New Roman"/>
                <w:b/>
                <w:bCs/>
                <w:szCs w:val="24"/>
              </w:rPr>
              <w:t>b</w:t>
            </w:r>
          </w:p>
        </w:tc>
        <w:tc>
          <w:tcPr>
            <w:tcW w:w="1913" w:type="dxa"/>
            <w:tcBorders>
              <w:top w:val="nil"/>
              <w:left w:val="nil"/>
              <w:bottom w:val="nil"/>
              <w:right w:val="single" w:color="auto" w:sz="8" w:space="0"/>
            </w:tcBorders>
            <w:shd w:val="clear" w:color="auto" w:fill="auto"/>
            <w:noWrap/>
            <w:vAlign w:val="center"/>
            <w:hideMark/>
          </w:tcPr>
          <w:p w:rsidRPr="001669A7" w:rsidR="003E77BA" w:rsidP="00D7095E" w:rsidRDefault="003E77BA" w14:paraId="5F78EE69" w14:textId="77777777">
            <w:pPr>
              <w:keepNext/>
              <w:keepLines/>
              <w:jc w:val="center"/>
              <w:rPr>
                <w:rFonts w:cs="Times New Roman"/>
                <w:b/>
                <w:bCs/>
                <w:szCs w:val="24"/>
              </w:rPr>
            </w:pPr>
            <w:r w:rsidRPr="001669A7">
              <w:rPr>
                <w:rFonts w:cs="Times New Roman"/>
                <w:b/>
                <w:bCs/>
                <w:szCs w:val="24"/>
              </w:rPr>
              <w:t>c = a x b</w:t>
            </w:r>
          </w:p>
        </w:tc>
      </w:tr>
      <w:tr w:rsidRPr="001669A7" w:rsidR="003E77BA" w:rsidTr="003E77BA" w14:paraId="65D9051D" w14:textId="77777777">
        <w:trPr>
          <w:gridAfter w:val="1"/>
          <w:wAfter w:w="787" w:type="dxa"/>
          <w:trHeight w:val="20"/>
          <w:jc w:val="center"/>
        </w:trPr>
        <w:tc>
          <w:tcPr>
            <w:tcW w:w="288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669A7" w:rsidR="003E77BA" w:rsidP="00D7095E" w:rsidRDefault="003E77BA" w14:paraId="063867BC" w14:textId="77777777">
            <w:pPr>
              <w:keepNext/>
              <w:keepLines/>
              <w:rPr>
                <w:rFonts w:cs="Times New Roman"/>
                <w:szCs w:val="24"/>
              </w:rPr>
            </w:pPr>
            <w:r w:rsidRPr="001669A7">
              <w:rPr>
                <w:rFonts w:cs="Times New Roman"/>
                <w:szCs w:val="24"/>
              </w:rPr>
              <w:t>Category 1/2/3 Application Fee</w:t>
            </w:r>
          </w:p>
        </w:tc>
        <w:tc>
          <w:tcPr>
            <w:tcW w:w="1980" w:type="dxa"/>
            <w:tcBorders>
              <w:top w:val="single" w:color="auto" w:sz="8" w:space="0"/>
              <w:left w:val="nil"/>
              <w:bottom w:val="single" w:color="auto" w:sz="8" w:space="0"/>
              <w:right w:val="single" w:color="auto" w:sz="8" w:space="0"/>
            </w:tcBorders>
            <w:shd w:val="clear" w:color="auto" w:fill="auto"/>
            <w:noWrap/>
            <w:vAlign w:val="center"/>
            <w:hideMark/>
          </w:tcPr>
          <w:p w:rsidRPr="001669A7" w:rsidR="003E77BA" w:rsidP="00D7095E" w:rsidRDefault="003E77BA" w14:paraId="3CF04C1F" w14:textId="77777777">
            <w:pPr>
              <w:keepNext/>
              <w:keepLines/>
              <w:jc w:val="right"/>
              <w:rPr>
                <w:rFonts w:cs="Times New Roman"/>
                <w:szCs w:val="24"/>
              </w:rPr>
            </w:pPr>
            <w:r w:rsidRPr="001669A7">
              <w:rPr>
                <w:rFonts w:cs="Times New Roman"/>
                <w:szCs w:val="24"/>
              </w:rPr>
              <w:t xml:space="preserve">         40,340 </w:t>
            </w:r>
          </w:p>
        </w:tc>
        <w:tc>
          <w:tcPr>
            <w:tcW w:w="1800" w:type="dxa"/>
            <w:tcBorders>
              <w:top w:val="single" w:color="auto" w:sz="8" w:space="0"/>
              <w:left w:val="nil"/>
              <w:bottom w:val="single" w:color="auto" w:sz="8" w:space="0"/>
              <w:right w:val="single" w:color="auto" w:sz="8" w:space="0"/>
            </w:tcBorders>
            <w:shd w:val="clear" w:color="auto" w:fill="auto"/>
            <w:noWrap/>
            <w:vAlign w:val="center"/>
            <w:hideMark/>
          </w:tcPr>
          <w:p w:rsidRPr="001669A7" w:rsidR="003E77BA" w:rsidP="00D7095E" w:rsidRDefault="003E77BA" w14:paraId="69A51D45" w14:textId="77777777">
            <w:pPr>
              <w:keepNext/>
              <w:keepLines/>
              <w:jc w:val="right"/>
              <w:rPr>
                <w:rFonts w:cs="Times New Roman"/>
                <w:szCs w:val="24"/>
              </w:rPr>
            </w:pPr>
            <w:r w:rsidRPr="001669A7">
              <w:rPr>
                <w:rFonts w:cs="Times New Roman"/>
                <w:szCs w:val="24"/>
              </w:rPr>
              <w:t>$130</w:t>
            </w:r>
            <w:r>
              <w:rPr>
                <w:rFonts w:cs="Times New Roman"/>
                <w:szCs w:val="24"/>
              </w:rPr>
              <w:t>.00</w:t>
            </w:r>
            <w:r w:rsidRPr="001669A7">
              <w:rPr>
                <w:rFonts w:cs="Times New Roman"/>
                <w:szCs w:val="24"/>
              </w:rPr>
              <w:t xml:space="preserve"> </w:t>
            </w:r>
          </w:p>
        </w:tc>
        <w:tc>
          <w:tcPr>
            <w:tcW w:w="1913" w:type="dxa"/>
            <w:tcBorders>
              <w:top w:val="single" w:color="auto" w:sz="8" w:space="0"/>
              <w:left w:val="nil"/>
              <w:bottom w:val="single" w:color="auto" w:sz="8" w:space="0"/>
              <w:right w:val="single" w:color="auto" w:sz="8" w:space="0"/>
            </w:tcBorders>
            <w:shd w:val="clear" w:color="auto" w:fill="auto"/>
            <w:noWrap/>
            <w:vAlign w:val="center"/>
            <w:hideMark/>
          </w:tcPr>
          <w:p w:rsidRPr="001669A7" w:rsidR="003E77BA" w:rsidP="00D7095E" w:rsidRDefault="003E77BA" w14:paraId="7E60E25D" w14:textId="77777777">
            <w:pPr>
              <w:keepNext/>
              <w:keepLines/>
              <w:jc w:val="right"/>
              <w:rPr>
                <w:rFonts w:cs="Times New Roman"/>
                <w:szCs w:val="24"/>
              </w:rPr>
            </w:pPr>
            <w:r w:rsidRPr="001669A7">
              <w:rPr>
                <w:rFonts w:cs="Times New Roman"/>
                <w:szCs w:val="24"/>
              </w:rPr>
              <w:t xml:space="preserve">$5,244,222 </w:t>
            </w:r>
          </w:p>
        </w:tc>
      </w:tr>
      <w:tr w:rsidRPr="001669A7" w:rsidR="003E77BA" w:rsidTr="003E77BA" w14:paraId="3CE391EB" w14:textId="77777777">
        <w:trPr>
          <w:gridAfter w:val="1"/>
          <w:wAfter w:w="787" w:type="dxa"/>
          <w:trHeight w:val="20"/>
          <w:jc w:val="center"/>
        </w:trPr>
        <w:tc>
          <w:tcPr>
            <w:tcW w:w="2880" w:type="dxa"/>
            <w:tcBorders>
              <w:top w:val="nil"/>
              <w:left w:val="single" w:color="auto" w:sz="8" w:space="0"/>
              <w:bottom w:val="single" w:color="auto" w:sz="8" w:space="0"/>
              <w:right w:val="single" w:color="auto" w:sz="8" w:space="0"/>
            </w:tcBorders>
            <w:shd w:val="clear" w:color="auto" w:fill="auto"/>
            <w:vAlign w:val="center"/>
            <w:hideMark/>
          </w:tcPr>
          <w:p w:rsidRPr="001669A7" w:rsidR="003E77BA" w:rsidP="00D7095E" w:rsidRDefault="003E77BA" w14:paraId="51A62923" w14:textId="77777777">
            <w:pPr>
              <w:keepNext/>
              <w:keepLines/>
              <w:rPr>
                <w:rFonts w:cs="Times New Roman"/>
                <w:szCs w:val="24"/>
              </w:rPr>
            </w:pPr>
            <w:r w:rsidRPr="001669A7">
              <w:rPr>
                <w:rFonts w:cs="Times New Roman"/>
                <w:szCs w:val="24"/>
              </w:rPr>
              <w:t>Category 4 Application Fee</w:t>
            </w:r>
          </w:p>
        </w:tc>
        <w:tc>
          <w:tcPr>
            <w:tcW w:w="198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6E850A5D" w14:textId="77777777">
            <w:pPr>
              <w:keepNext/>
              <w:keepLines/>
              <w:jc w:val="right"/>
              <w:rPr>
                <w:rFonts w:cs="Times New Roman"/>
                <w:szCs w:val="24"/>
              </w:rPr>
            </w:pPr>
            <w:r w:rsidRPr="001669A7">
              <w:rPr>
                <w:rFonts w:cs="Times New Roman"/>
                <w:szCs w:val="24"/>
              </w:rPr>
              <w:t xml:space="preserve">         19,882 </w:t>
            </w:r>
          </w:p>
        </w:tc>
        <w:tc>
          <w:tcPr>
            <w:tcW w:w="180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00EB8C26" w14:textId="77777777">
            <w:pPr>
              <w:keepNext/>
              <w:keepLines/>
              <w:jc w:val="right"/>
              <w:rPr>
                <w:rFonts w:cs="Times New Roman"/>
                <w:szCs w:val="24"/>
              </w:rPr>
            </w:pPr>
            <w:r w:rsidRPr="001669A7">
              <w:rPr>
                <w:rFonts w:cs="Times New Roman"/>
                <w:szCs w:val="24"/>
              </w:rPr>
              <w:t>$70</w:t>
            </w:r>
            <w:r>
              <w:rPr>
                <w:rFonts w:cs="Times New Roman"/>
                <w:szCs w:val="24"/>
              </w:rPr>
              <w:t>.00</w:t>
            </w:r>
            <w:r w:rsidRPr="001669A7">
              <w:rPr>
                <w:rFonts w:cs="Times New Roman"/>
                <w:szCs w:val="24"/>
              </w:rPr>
              <w:t xml:space="preserve"> </w:t>
            </w:r>
          </w:p>
        </w:tc>
        <w:tc>
          <w:tcPr>
            <w:tcW w:w="1913"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676C32BE" w14:textId="77777777">
            <w:pPr>
              <w:keepNext/>
              <w:keepLines/>
              <w:jc w:val="right"/>
              <w:rPr>
                <w:rFonts w:cs="Times New Roman"/>
                <w:szCs w:val="24"/>
              </w:rPr>
            </w:pPr>
            <w:r w:rsidRPr="001669A7">
              <w:rPr>
                <w:rFonts w:cs="Times New Roman"/>
                <w:szCs w:val="24"/>
              </w:rPr>
              <w:t xml:space="preserve">$1,391,741 </w:t>
            </w:r>
          </w:p>
        </w:tc>
      </w:tr>
      <w:tr w:rsidRPr="001669A7" w:rsidR="003E77BA" w:rsidTr="003E77BA" w14:paraId="36F83DEB" w14:textId="77777777">
        <w:trPr>
          <w:gridAfter w:val="1"/>
          <w:wAfter w:w="787" w:type="dxa"/>
          <w:trHeight w:val="20"/>
          <w:jc w:val="center"/>
        </w:trPr>
        <w:tc>
          <w:tcPr>
            <w:tcW w:w="2880" w:type="dxa"/>
            <w:tcBorders>
              <w:top w:val="nil"/>
              <w:left w:val="single" w:color="auto" w:sz="8" w:space="0"/>
              <w:bottom w:val="single" w:color="auto" w:sz="8" w:space="0"/>
              <w:right w:val="single" w:color="auto" w:sz="8" w:space="0"/>
            </w:tcBorders>
            <w:shd w:val="clear" w:color="auto" w:fill="auto"/>
            <w:vAlign w:val="center"/>
            <w:hideMark/>
          </w:tcPr>
          <w:p w:rsidRPr="001669A7" w:rsidR="003E77BA" w:rsidP="00D7095E" w:rsidRDefault="003E77BA" w14:paraId="0161C316" w14:textId="77777777">
            <w:pPr>
              <w:keepNext/>
              <w:keepLines/>
              <w:rPr>
                <w:rFonts w:cs="Times New Roman"/>
                <w:szCs w:val="24"/>
              </w:rPr>
            </w:pPr>
            <w:r w:rsidRPr="001669A7">
              <w:rPr>
                <w:rFonts w:cs="Times New Roman"/>
                <w:szCs w:val="24"/>
              </w:rPr>
              <w:t>Annualized Flight Training Recordkeeping Cost</w:t>
            </w:r>
          </w:p>
        </w:tc>
        <w:tc>
          <w:tcPr>
            <w:tcW w:w="198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1E85C6E3" w14:textId="77777777">
            <w:pPr>
              <w:keepNext/>
              <w:keepLines/>
              <w:jc w:val="right"/>
              <w:rPr>
                <w:rFonts w:cs="Times New Roman"/>
                <w:szCs w:val="24"/>
              </w:rPr>
            </w:pPr>
            <w:r w:rsidRPr="001669A7">
              <w:rPr>
                <w:rFonts w:cs="Times New Roman"/>
                <w:szCs w:val="24"/>
              </w:rPr>
              <w:t xml:space="preserve">         60,222 </w:t>
            </w:r>
          </w:p>
        </w:tc>
        <w:tc>
          <w:tcPr>
            <w:tcW w:w="180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0D2BA62C" w14:textId="77777777">
            <w:pPr>
              <w:keepNext/>
              <w:keepLines/>
              <w:jc w:val="right"/>
              <w:rPr>
                <w:rFonts w:cs="Times New Roman"/>
                <w:szCs w:val="24"/>
              </w:rPr>
            </w:pPr>
            <w:r w:rsidRPr="001669A7">
              <w:rPr>
                <w:rFonts w:cs="Times New Roman"/>
                <w:szCs w:val="24"/>
              </w:rPr>
              <w:t>$0.5</w:t>
            </w:r>
            <w:r>
              <w:rPr>
                <w:rFonts w:cs="Times New Roman"/>
                <w:szCs w:val="24"/>
              </w:rPr>
              <w:t>2</w:t>
            </w:r>
            <w:r w:rsidRPr="001669A7">
              <w:rPr>
                <w:rFonts w:cs="Times New Roman"/>
                <w:szCs w:val="24"/>
              </w:rPr>
              <w:t xml:space="preserve"> </w:t>
            </w:r>
          </w:p>
        </w:tc>
        <w:tc>
          <w:tcPr>
            <w:tcW w:w="1913"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5E928B56" w14:textId="77777777">
            <w:pPr>
              <w:keepNext/>
              <w:keepLines/>
              <w:jc w:val="right"/>
              <w:rPr>
                <w:rFonts w:cs="Times New Roman"/>
                <w:szCs w:val="24"/>
              </w:rPr>
            </w:pPr>
            <w:r w:rsidRPr="001669A7">
              <w:rPr>
                <w:rFonts w:cs="Times New Roman"/>
                <w:szCs w:val="24"/>
              </w:rPr>
              <w:t xml:space="preserve">$31,117 </w:t>
            </w:r>
          </w:p>
        </w:tc>
      </w:tr>
      <w:tr w:rsidRPr="001669A7" w:rsidR="003E77BA" w:rsidTr="003E77BA" w14:paraId="115065DD" w14:textId="77777777">
        <w:trPr>
          <w:gridAfter w:val="1"/>
          <w:wAfter w:w="787" w:type="dxa"/>
          <w:trHeight w:val="20"/>
          <w:jc w:val="center"/>
        </w:trPr>
        <w:tc>
          <w:tcPr>
            <w:tcW w:w="2880" w:type="dxa"/>
            <w:tcBorders>
              <w:top w:val="nil"/>
              <w:left w:val="single" w:color="auto" w:sz="8" w:space="0"/>
              <w:bottom w:val="single" w:color="auto" w:sz="8" w:space="0"/>
              <w:right w:val="single" w:color="auto" w:sz="8" w:space="0"/>
            </w:tcBorders>
            <w:shd w:val="clear" w:color="auto" w:fill="auto"/>
            <w:vAlign w:val="center"/>
            <w:hideMark/>
          </w:tcPr>
          <w:p w:rsidRPr="001669A7" w:rsidR="003E77BA" w:rsidP="00D7095E" w:rsidRDefault="003E77BA" w14:paraId="6C6C3018" w14:textId="77777777">
            <w:pPr>
              <w:keepNext/>
              <w:keepLines/>
              <w:rPr>
                <w:rFonts w:cs="Times New Roman"/>
                <w:szCs w:val="24"/>
              </w:rPr>
            </w:pPr>
            <w:r w:rsidRPr="001669A7">
              <w:rPr>
                <w:rFonts w:cs="Times New Roman"/>
                <w:szCs w:val="24"/>
              </w:rPr>
              <w:t>Annualized Security Awareness Recordkeeping Costs</w:t>
            </w:r>
          </w:p>
        </w:tc>
        <w:tc>
          <w:tcPr>
            <w:tcW w:w="198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0D7DECC0" w14:textId="77777777">
            <w:pPr>
              <w:keepNext/>
              <w:keepLines/>
              <w:jc w:val="right"/>
              <w:rPr>
                <w:rFonts w:cs="Times New Roman"/>
                <w:szCs w:val="24"/>
              </w:rPr>
            </w:pPr>
            <w:r w:rsidRPr="001669A7">
              <w:rPr>
                <w:rFonts w:cs="Times New Roman"/>
                <w:szCs w:val="24"/>
              </w:rPr>
              <w:t xml:space="preserve">         49,542 </w:t>
            </w:r>
          </w:p>
        </w:tc>
        <w:tc>
          <w:tcPr>
            <w:tcW w:w="180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32F0481C" w14:textId="77777777">
            <w:pPr>
              <w:keepNext/>
              <w:keepLines/>
              <w:jc w:val="right"/>
              <w:rPr>
                <w:rFonts w:cs="Times New Roman"/>
                <w:szCs w:val="24"/>
              </w:rPr>
            </w:pPr>
            <w:r w:rsidRPr="001669A7">
              <w:rPr>
                <w:rFonts w:cs="Times New Roman"/>
                <w:szCs w:val="24"/>
              </w:rPr>
              <w:t xml:space="preserve">$0.03 </w:t>
            </w:r>
          </w:p>
        </w:tc>
        <w:tc>
          <w:tcPr>
            <w:tcW w:w="1913"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470B2327" w14:textId="77777777">
            <w:pPr>
              <w:keepNext/>
              <w:keepLines/>
              <w:jc w:val="right"/>
              <w:rPr>
                <w:rFonts w:cs="Times New Roman"/>
                <w:szCs w:val="24"/>
              </w:rPr>
            </w:pPr>
            <w:r w:rsidRPr="001669A7">
              <w:rPr>
                <w:rFonts w:cs="Times New Roman"/>
                <w:szCs w:val="24"/>
              </w:rPr>
              <w:t xml:space="preserve">$1,707 </w:t>
            </w:r>
          </w:p>
        </w:tc>
      </w:tr>
      <w:tr w:rsidRPr="001669A7" w:rsidR="003E77BA" w:rsidTr="003E77BA" w14:paraId="727FA9C8" w14:textId="77777777">
        <w:trPr>
          <w:gridAfter w:val="1"/>
          <w:wAfter w:w="787" w:type="dxa"/>
          <w:trHeight w:val="20"/>
          <w:jc w:val="center"/>
        </w:trPr>
        <w:tc>
          <w:tcPr>
            <w:tcW w:w="2880" w:type="dxa"/>
            <w:tcBorders>
              <w:top w:val="nil"/>
              <w:left w:val="single" w:color="auto" w:sz="8" w:space="0"/>
              <w:bottom w:val="single" w:color="auto" w:sz="8" w:space="0"/>
              <w:right w:val="single" w:color="auto" w:sz="8" w:space="0"/>
            </w:tcBorders>
            <w:shd w:val="clear" w:color="auto" w:fill="auto"/>
            <w:vAlign w:val="center"/>
            <w:hideMark/>
          </w:tcPr>
          <w:p w:rsidRPr="00AD233B" w:rsidR="003E77BA" w:rsidP="00D7095E" w:rsidRDefault="003E77BA" w14:paraId="546088D4" w14:textId="77777777">
            <w:pPr>
              <w:keepNext/>
              <w:keepLines/>
              <w:rPr>
                <w:rFonts w:cs="Times New Roman"/>
                <w:i/>
                <w:szCs w:val="24"/>
              </w:rPr>
            </w:pPr>
            <w:r w:rsidRPr="001669A7">
              <w:rPr>
                <w:rFonts w:cs="Times New Roman"/>
                <w:szCs w:val="24"/>
              </w:rPr>
              <w:t>Physical Storage Savings</w:t>
            </w:r>
            <w:r>
              <w:rPr>
                <w:rFonts w:cs="Times New Roman"/>
                <w:szCs w:val="24"/>
              </w:rPr>
              <w:t xml:space="preserve"> (</w:t>
            </w:r>
            <w:r>
              <w:rPr>
                <w:rFonts w:cs="Times New Roman"/>
                <w:i/>
                <w:szCs w:val="24"/>
              </w:rPr>
              <w:t>for New Providers)</w:t>
            </w:r>
          </w:p>
        </w:tc>
        <w:tc>
          <w:tcPr>
            <w:tcW w:w="198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166E1A0A" w14:textId="77777777">
            <w:pPr>
              <w:keepNext/>
              <w:keepLines/>
              <w:jc w:val="right"/>
              <w:rPr>
                <w:rFonts w:cs="Times New Roman"/>
                <w:szCs w:val="24"/>
              </w:rPr>
            </w:pPr>
            <w:r>
              <w:t xml:space="preserve">           1,167</w:t>
            </w:r>
            <w:r>
              <w:rPr>
                <w:rStyle w:val="FootnoteReference"/>
              </w:rPr>
              <w:footnoteReference w:id="6"/>
            </w:r>
            <w:r>
              <w:t xml:space="preserve"> </w:t>
            </w:r>
          </w:p>
        </w:tc>
        <w:tc>
          <w:tcPr>
            <w:tcW w:w="1800"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18E9B020" w14:textId="77777777">
            <w:pPr>
              <w:keepNext/>
              <w:keepLines/>
              <w:jc w:val="right"/>
              <w:rPr>
                <w:rFonts w:cs="Times New Roman"/>
                <w:szCs w:val="24"/>
              </w:rPr>
            </w:pPr>
            <w:r>
              <w:t xml:space="preserve">$300.00 </w:t>
            </w:r>
          </w:p>
        </w:tc>
        <w:tc>
          <w:tcPr>
            <w:tcW w:w="1913" w:type="dxa"/>
            <w:tcBorders>
              <w:top w:val="nil"/>
              <w:left w:val="nil"/>
              <w:bottom w:val="single" w:color="auto" w:sz="8" w:space="0"/>
              <w:right w:val="single" w:color="auto" w:sz="8" w:space="0"/>
            </w:tcBorders>
            <w:shd w:val="clear" w:color="auto" w:fill="auto"/>
            <w:noWrap/>
            <w:vAlign w:val="center"/>
            <w:hideMark/>
          </w:tcPr>
          <w:p w:rsidRPr="001669A7" w:rsidR="003E77BA" w:rsidP="00D7095E" w:rsidRDefault="003E77BA" w14:paraId="581681D5" w14:textId="77777777">
            <w:pPr>
              <w:keepNext/>
              <w:keepLines/>
              <w:jc w:val="right"/>
              <w:rPr>
                <w:rFonts w:cs="Times New Roman"/>
                <w:szCs w:val="24"/>
              </w:rPr>
            </w:pPr>
            <w:r>
              <w:t xml:space="preserve">$350,029 </w:t>
            </w:r>
          </w:p>
        </w:tc>
      </w:tr>
      <w:tr w:rsidRPr="008B3FDA" w:rsidR="003E77BA" w:rsidTr="003E77BA" w14:paraId="265AF89B" w14:textId="77777777">
        <w:trPr>
          <w:gridAfter w:val="1"/>
          <w:wAfter w:w="787" w:type="dxa"/>
          <w:trHeight w:val="20"/>
          <w:jc w:val="center"/>
        </w:trPr>
        <w:tc>
          <w:tcPr>
            <w:tcW w:w="2880" w:type="dxa"/>
            <w:tcBorders>
              <w:top w:val="nil"/>
              <w:left w:val="single" w:color="auto" w:sz="8" w:space="0"/>
              <w:bottom w:val="single" w:color="auto" w:sz="8" w:space="0"/>
              <w:right w:val="single" w:color="auto" w:sz="8" w:space="0"/>
            </w:tcBorders>
            <w:shd w:val="clear" w:color="auto" w:fill="auto"/>
            <w:noWrap/>
            <w:vAlign w:val="center"/>
            <w:hideMark/>
          </w:tcPr>
          <w:p w:rsidRPr="001669A7" w:rsidR="003E77BA" w:rsidP="00D7095E" w:rsidRDefault="003E77BA" w14:paraId="26A162F5" w14:textId="77777777">
            <w:pPr>
              <w:keepNext/>
              <w:keepLines/>
              <w:rPr>
                <w:rFonts w:cs="Times New Roman"/>
                <w:b/>
                <w:bCs/>
                <w:szCs w:val="24"/>
              </w:rPr>
            </w:pPr>
            <w:r w:rsidRPr="001669A7">
              <w:rPr>
                <w:rFonts w:cs="Times New Roman"/>
                <w:b/>
                <w:bCs/>
                <w:szCs w:val="24"/>
              </w:rPr>
              <w:t>Total</w:t>
            </w:r>
          </w:p>
        </w:tc>
        <w:tc>
          <w:tcPr>
            <w:tcW w:w="1980" w:type="dxa"/>
            <w:tcBorders>
              <w:top w:val="nil"/>
              <w:left w:val="nil"/>
              <w:bottom w:val="single" w:color="auto" w:sz="8" w:space="0"/>
              <w:right w:val="single" w:color="auto" w:sz="8" w:space="0"/>
            </w:tcBorders>
            <w:shd w:val="clear" w:color="auto" w:fill="auto"/>
            <w:noWrap/>
            <w:vAlign w:val="center"/>
            <w:hideMark/>
          </w:tcPr>
          <w:p w:rsidRPr="008B3FDA" w:rsidR="003E77BA" w:rsidP="00D7095E" w:rsidRDefault="003E77BA" w14:paraId="185E09E1" w14:textId="77777777">
            <w:pPr>
              <w:jc w:val="right"/>
              <w:rPr>
                <w:rFonts w:cs="Times New Roman"/>
                <w:b/>
                <w:bCs/>
              </w:rPr>
            </w:pPr>
            <w:r>
              <w:rPr>
                <w:b/>
                <w:bCs/>
              </w:rPr>
              <w:t>171,153</w:t>
            </w:r>
          </w:p>
        </w:tc>
        <w:tc>
          <w:tcPr>
            <w:tcW w:w="1800" w:type="dxa"/>
            <w:tcBorders>
              <w:top w:val="single" w:color="auto" w:sz="8" w:space="0"/>
              <w:left w:val="nil"/>
              <w:bottom w:val="single" w:color="auto" w:sz="8" w:space="0"/>
              <w:right w:val="single" w:color="auto" w:sz="8" w:space="0"/>
            </w:tcBorders>
            <w:shd w:val="clear" w:color="000000" w:fill="D9D9D9"/>
            <w:noWrap/>
            <w:vAlign w:val="center"/>
            <w:hideMark/>
          </w:tcPr>
          <w:p w:rsidRPr="001669A7" w:rsidR="003E77BA" w:rsidP="00D7095E" w:rsidRDefault="003E77BA" w14:paraId="6AADAB0B" w14:textId="77777777">
            <w:pPr>
              <w:keepNext/>
              <w:keepLines/>
              <w:jc w:val="right"/>
              <w:rPr>
                <w:rFonts w:cs="Times New Roman"/>
                <w:b/>
                <w:bCs/>
                <w:szCs w:val="24"/>
              </w:rPr>
            </w:pPr>
          </w:p>
        </w:tc>
        <w:tc>
          <w:tcPr>
            <w:tcW w:w="1913" w:type="dxa"/>
            <w:tcBorders>
              <w:top w:val="nil"/>
              <w:left w:val="nil"/>
              <w:bottom w:val="single" w:color="auto" w:sz="8" w:space="0"/>
              <w:right w:val="single" w:color="auto" w:sz="8" w:space="0"/>
            </w:tcBorders>
            <w:shd w:val="clear" w:color="auto" w:fill="auto"/>
            <w:noWrap/>
            <w:vAlign w:val="center"/>
            <w:hideMark/>
          </w:tcPr>
          <w:p w:rsidRPr="008B3FDA" w:rsidR="003E77BA" w:rsidP="00D7095E" w:rsidRDefault="003E77BA" w14:paraId="2387A894" w14:textId="77777777">
            <w:pPr>
              <w:jc w:val="right"/>
              <w:rPr>
                <w:rFonts w:cs="Times New Roman"/>
                <w:b/>
                <w:bCs/>
              </w:rPr>
            </w:pPr>
            <w:r>
              <w:rPr>
                <w:b/>
                <w:bCs/>
              </w:rPr>
              <w:t>$7,018,816</w:t>
            </w:r>
          </w:p>
        </w:tc>
      </w:tr>
      <w:tr w:rsidRPr="0011021D" w:rsidR="0011021D" w:rsidTr="00A3780E" w14:paraId="38261601" w14:textId="77777777">
        <w:trPr>
          <w:trHeight w:val="315"/>
          <w:jc w:val="center"/>
        </w:trPr>
        <w:tc>
          <w:tcPr>
            <w:tcW w:w="9360" w:type="dxa"/>
            <w:gridSpan w:val="5"/>
            <w:tcBorders>
              <w:top w:val="nil"/>
              <w:left w:val="nil"/>
              <w:bottom w:val="nil"/>
              <w:right w:val="nil"/>
            </w:tcBorders>
            <w:shd w:val="clear" w:color="auto" w:fill="auto"/>
            <w:noWrap/>
            <w:vAlign w:val="bottom"/>
          </w:tcPr>
          <w:p w:rsidRPr="001D1E88" w:rsidR="0011021D" w:rsidP="001D1E88" w:rsidRDefault="0011021D" w14:paraId="4C92D5EF" w14:textId="3D579254">
            <w:pPr>
              <w:jc w:val="center"/>
              <w:rPr>
                <w:rFonts w:cs="Times New Roman"/>
                <w:b/>
                <w:bCs/>
                <w:szCs w:val="24"/>
              </w:rPr>
            </w:pPr>
          </w:p>
        </w:tc>
      </w:tr>
    </w:tbl>
    <w:p w:rsidRPr="0020712D" w:rsidR="0020712D" w:rsidP="002B2F84" w:rsidRDefault="0020712D" w14:paraId="4D73EBE2" w14:textId="07350235">
      <w:pPr>
        <w:pStyle w:val="Index1"/>
      </w:pPr>
    </w:p>
    <w:p w:rsidR="00320387" w:rsidP="00320387" w:rsidRDefault="00320387" w14:paraId="732D124B" w14:textId="77777777">
      <w:pPr>
        <w:keepNext/>
        <w:numPr>
          <w:ilvl w:val="0"/>
          <w:numId w:val="1"/>
        </w:numPr>
        <w:tabs>
          <w:tab w:val="left" w:pos="360"/>
        </w:tabs>
        <w:rPr>
          <w:b/>
          <w:i/>
        </w:rPr>
      </w:pPr>
      <w:r>
        <w:rPr>
          <w:b/>
          <w:i/>
        </w:rPr>
        <w:lastRenderedPageBreak/>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2323B53E" w14:textId="77777777">
      <w:pPr>
        <w:keepNext/>
        <w:numPr>
          <w:ilvl w:val="12"/>
          <w:numId w:val="0"/>
        </w:numPr>
        <w:ind w:left="360"/>
      </w:pPr>
    </w:p>
    <w:p w:rsidR="00A429CB" w:rsidP="00CD0DC4" w:rsidRDefault="00A429CB" w14:paraId="6A316626" w14:textId="683035E2">
      <w:pPr>
        <w:ind w:left="360"/>
      </w:pPr>
      <w:r>
        <w:t>TSA</w:t>
      </w:r>
      <w:r w:rsidR="008156F3">
        <w:t xml:space="preserve"> </w:t>
      </w:r>
      <w:r>
        <w:t xml:space="preserve">costs to conduct </w:t>
      </w:r>
      <w:r w:rsidR="00EE5168">
        <w:t>STAs</w:t>
      </w:r>
      <w:r>
        <w:t xml:space="preserve"> are covered by the application fee applicants must pay.</w:t>
      </w:r>
      <w:r w:rsidR="0042324B">
        <w:t xml:space="preserve"> </w:t>
      </w:r>
      <w:r>
        <w:t xml:space="preserve"> </w:t>
      </w:r>
    </w:p>
    <w:p w:rsidR="00A429CB" w:rsidP="00A429CB" w:rsidRDefault="00A429CB" w14:paraId="0428AEA1" w14:textId="77777777"/>
    <w:p w:rsidR="00320387" w:rsidP="003E6B4C" w:rsidRDefault="00320387" w14:paraId="067AA06E" w14:textId="49C19DEB">
      <w:pPr>
        <w:pStyle w:val="IndexHeading"/>
        <w:keepNext w:val="0"/>
        <w:numPr>
          <w:ilvl w:val="12"/>
          <w:numId w:val="0"/>
        </w:numPr>
        <w:tabs>
          <w:tab w:val="left" w:pos="1770"/>
        </w:tabs>
        <w:spacing w:line="240" w:lineRule="auto"/>
        <w:rPr>
          <w:rFonts w:ascii="Times New Roman" w:hAnsi="Times New Roman"/>
          <w:spacing w:val="0"/>
        </w:rPr>
      </w:pPr>
    </w:p>
    <w:p w:rsidR="00320387" w:rsidP="00320387" w:rsidRDefault="00320387" w14:paraId="296943C0"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rsidRDefault="00320387" w14:paraId="4658E189" w14:textId="77777777">
      <w:pPr>
        <w:keepNext/>
        <w:numPr>
          <w:ilvl w:val="12"/>
          <w:numId w:val="0"/>
        </w:numPr>
        <w:ind w:left="360"/>
      </w:pPr>
    </w:p>
    <w:p w:rsidR="00320387" w:rsidP="00D84798" w:rsidRDefault="003E77BA" w14:paraId="221A6929" w14:textId="24056789">
      <w:pPr>
        <w:pStyle w:val="IndexHeading"/>
        <w:keepNext w:val="0"/>
        <w:numPr>
          <w:ilvl w:val="12"/>
          <w:numId w:val="0"/>
        </w:numPr>
        <w:spacing w:line="240" w:lineRule="auto"/>
        <w:ind w:left="360"/>
        <w:jc w:val="both"/>
        <w:rPr>
          <w:rFonts w:ascii="Times New Roman" w:hAnsi="Times New Roman"/>
          <w:szCs w:val="24"/>
        </w:rPr>
      </w:pPr>
      <w:r w:rsidRPr="00D84ED8">
        <w:rPr>
          <w:rFonts w:ascii="Times New Roman" w:hAnsi="Times New Roman"/>
          <w:szCs w:val="24"/>
        </w:rPr>
        <w:t xml:space="preserve">No changes or adjustments to the collection other than </w:t>
      </w:r>
      <w:r w:rsidR="00D84798">
        <w:rPr>
          <w:rFonts w:ascii="Times New Roman" w:hAnsi="Times New Roman"/>
          <w:szCs w:val="24"/>
        </w:rPr>
        <w:t>th</w:t>
      </w:r>
      <w:bookmarkStart w:name="_GoBack" w:id="0"/>
      <w:bookmarkEnd w:id="0"/>
      <w:r w:rsidR="00D84798">
        <w:rPr>
          <w:rFonts w:ascii="Times New Roman" w:hAnsi="Times New Roman"/>
          <w:szCs w:val="24"/>
        </w:rPr>
        <w:t xml:space="preserve">e </w:t>
      </w:r>
      <w:r w:rsidRPr="00D84ED8">
        <w:rPr>
          <w:rFonts w:ascii="Times New Roman" w:hAnsi="Times New Roman"/>
          <w:szCs w:val="24"/>
        </w:rPr>
        <w:t>name change to the program.</w:t>
      </w:r>
      <w:r w:rsidR="00D84798">
        <w:rPr>
          <w:rFonts w:ascii="Times New Roman" w:hAnsi="Times New Roman"/>
          <w:szCs w:val="24"/>
        </w:rPr>
        <w:t xml:space="preserve">  </w:t>
      </w:r>
      <w:r w:rsidRPr="00D84798" w:rsidR="00D84798">
        <w:rPr>
          <w:rFonts w:ascii="Times New Roman" w:hAnsi="Times New Roman"/>
          <w:szCs w:val="24"/>
        </w:rPr>
        <w:t xml:space="preserve">TSA is changing the name of the collection from “Flight Training for Aliens and Other Designated Individuals; Security Awareness Training for Flight School Employees,” frequently referred to as the “Alien Flight Student Program” (AFSP), to “Flight Training Security.”  </w:t>
      </w:r>
    </w:p>
    <w:p w:rsidRPr="00CB22B3" w:rsidR="00CB22B3" w:rsidP="00D84ED8" w:rsidRDefault="00CB22B3" w14:paraId="47D7F411" w14:textId="77777777">
      <w:pPr>
        <w:pStyle w:val="Index1"/>
      </w:pPr>
    </w:p>
    <w:p w:rsidR="00320387" w:rsidP="00320387" w:rsidRDefault="00320387" w14:paraId="6A40FB92"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rsidRDefault="00320387" w14:paraId="59FFFA49" w14:textId="77777777">
      <w:pPr>
        <w:keepNext/>
        <w:numPr>
          <w:ilvl w:val="12"/>
          <w:numId w:val="0"/>
        </w:numPr>
        <w:ind w:left="360"/>
      </w:pPr>
    </w:p>
    <w:p w:rsidR="00320387" w:rsidP="001D1E88" w:rsidRDefault="00F2667E" w14:paraId="2989E197" w14:textId="6D731DE3">
      <w:pPr>
        <w:ind w:left="360"/>
      </w:pPr>
      <w:r w:rsidRPr="00C035A8">
        <w:rPr>
          <w:szCs w:val="24"/>
        </w:rPr>
        <w:t>TSA does not publish the results of this collection.</w:t>
      </w:r>
    </w:p>
    <w:p w:rsidR="00320387" w:rsidP="00320387" w:rsidRDefault="00320387" w14:paraId="29A03167"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01940434"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2671F2D1" w14:textId="77777777">
      <w:pPr>
        <w:keepNext/>
        <w:numPr>
          <w:ilvl w:val="12"/>
          <w:numId w:val="0"/>
        </w:numPr>
        <w:ind w:left="360"/>
      </w:pPr>
    </w:p>
    <w:p w:rsidRPr="00C035A8" w:rsidR="00F2667E" w:rsidP="00F2667E" w:rsidRDefault="00F2667E" w14:paraId="7C7D110B" w14:textId="333E9C91">
      <w:pPr>
        <w:ind w:left="360"/>
        <w:rPr>
          <w:szCs w:val="24"/>
        </w:rPr>
      </w:pPr>
      <w:r w:rsidRPr="00C035A8">
        <w:rPr>
          <w:szCs w:val="24"/>
        </w:rPr>
        <w:t>TSA is not seeking such approval.</w:t>
      </w:r>
    </w:p>
    <w:p w:rsidR="00320387" w:rsidP="00320387" w:rsidRDefault="00320387" w14:paraId="6503C586" w14:textId="77777777">
      <w:pPr>
        <w:numPr>
          <w:ilvl w:val="12"/>
          <w:numId w:val="0"/>
        </w:numPr>
        <w:tabs>
          <w:tab w:val="left" w:pos="360"/>
        </w:tabs>
      </w:pPr>
    </w:p>
    <w:p w:rsidR="00320387" w:rsidP="00320387" w:rsidRDefault="00320387" w14:paraId="5CBD84EA"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6DA0D9AD" w14:textId="77777777">
      <w:pPr>
        <w:keepNext/>
        <w:numPr>
          <w:ilvl w:val="12"/>
          <w:numId w:val="0"/>
        </w:numPr>
        <w:ind w:left="360"/>
      </w:pPr>
    </w:p>
    <w:p w:rsidR="003C0F11" w:rsidP="001D1E88" w:rsidRDefault="00F2667E" w14:paraId="75962FDE" w14:textId="26797AAD">
      <w:pPr>
        <w:ind w:left="360"/>
      </w:pPr>
      <w:r w:rsidRPr="00C035A8">
        <w:rPr>
          <w:szCs w:val="24"/>
        </w:rPr>
        <w:t>TSA is not seeking any exceptions to the certification statement.</w:t>
      </w:r>
    </w:p>
    <w:sectPr w:rsidR="003C0F11" w:rsidSect="00D32902">
      <w:head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46838" w14:textId="77777777" w:rsidR="00987E10" w:rsidRDefault="00987E10">
      <w:r>
        <w:separator/>
      </w:r>
    </w:p>
  </w:endnote>
  <w:endnote w:type="continuationSeparator" w:id="0">
    <w:p w14:paraId="4E89321E" w14:textId="77777777" w:rsidR="00987E10" w:rsidRDefault="0098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7B3" w14:textId="77777777" w:rsidR="003E77BA" w:rsidRDefault="003E77BA">
    <w:pPr>
      <w:tabs>
        <w:tab w:val="left" w:pos="0"/>
        <w:tab w:val="right" w:pos="6984"/>
        <w:tab w:val="left" w:pos="7034"/>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D5F54"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526F8" w14:textId="77777777" w:rsidR="00987E10" w:rsidRDefault="00987E10">
      <w:r>
        <w:separator/>
      </w:r>
    </w:p>
  </w:footnote>
  <w:footnote w:type="continuationSeparator" w:id="0">
    <w:p w14:paraId="3ACFF3DB" w14:textId="77777777" w:rsidR="00987E10" w:rsidRDefault="00987E10">
      <w:r>
        <w:continuationSeparator/>
      </w:r>
    </w:p>
  </w:footnote>
  <w:footnote w:id="1">
    <w:p w14:paraId="4812B767" w14:textId="77777777" w:rsidR="003E77BA" w:rsidRDefault="003E77BA" w:rsidP="003E77BA">
      <w:pPr>
        <w:autoSpaceDE w:val="0"/>
        <w:autoSpaceDN w:val="0"/>
        <w:rPr>
          <w:rFonts w:cs="Times New Roman"/>
          <w:sz w:val="20"/>
        </w:rPr>
      </w:pPr>
      <w:r>
        <w:rPr>
          <w:rStyle w:val="FootnoteReference"/>
        </w:rPr>
        <w:footnoteRef/>
      </w:r>
      <w:r>
        <w:t xml:space="preserve"> </w:t>
      </w:r>
      <w:r>
        <w:rPr>
          <w:rFonts w:cs="Times New Roman"/>
          <w:sz w:val="20"/>
        </w:rPr>
        <w:t>$34.20 = $22.53 unloaded wage for candidates × 1.5180 compensation factor. </w:t>
      </w:r>
    </w:p>
    <w:p w14:paraId="1112C7A2" w14:textId="77777777" w:rsidR="003E77BA" w:rsidRDefault="003E77BA" w:rsidP="003E77BA">
      <w:pPr>
        <w:autoSpaceDE w:val="0"/>
        <w:autoSpaceDN w:val="0"/>
        <w:rPr>
          <w:rFonts w:cs="Calibri"/>
          <w:color w:val="auto"/>
          <w:sz w:val="22"/>
        </w:rPr>
      </w:pPr>
    </w:p>
    <w:p w14:paraId="188143D5" w14:textId="77777777" w:rsidR="003E77BA" w:rsidRDefault="003E77BA" w:rsidP="003E77BA">
      <w:pPr>
        <w:pStyle w:val="FootnoteText"/>
      </w:pPr>
      <w:r w:rsidRPr="00113A57">
        <w:t>B</w:t>
      </w:r>
      <w:r>
        <w:t xml:space="preserve">ureau of </w:t>
      </w:r>
      <w:r w:rsidRPr="00113A57">
        <w:t>L</w:t>
      </w:r>
      <w:r>
        <w:t xml:space="preserve">abor </w:t>
      </w:r>
      <w:r w:rsidRPr="00113A57">
        <w:t>S</w:t>
      </w:r>
      <w:r>
        <w:t>tatistics. (</w:t>
      </w:r>
      <w:r w:rsidRPr="00113A57">
        <w:t>May 2020</w:t>
      </w:r>
      <w:r>
        <w:t xml:space="preserve">). Occupation Employment and Wage Statistics Query System. </w:t>
      </w:r>
      <w:r w:rsidRPr="00113A57">
        <w:t xml:space="preserve">Last modified May 2020, Accessed May 27, 2021. </w:t>
      </w:r>
      <w:hyperlink r:id="rId1" w:history="1">
        <w:r w:rsidRPr="00113A57">
          <w:rPr>
            <w:rStyle w:val="Hyperlink"/>
          </w:rPr>
          <w:t>https://data.bls.gov/oes/#/occInd/One%20occupation%20for%20multiple%20industries</w:t>
        </w:r>
      </w:hyperlink>
      <w:r>
        <w:t xml:space="preserve">. TSA uses the </w:t>
      </w:r>
      <w:r w:rsidRPr="00113A57">
        <w:t>10th percentile to reflect newer pilots and experienced for recurrent training, Sp</w:t>
      </w:r>
      <w:r>
        <w:t xml:space="preserve">ecific to occupational data </w:t>
      </w:r>
      <w:r w:rsidRPr="00113A57">
        <w:t>for Comme</w:t>
      </w:r>
      <w:r>
        <w:t xml:space="preserve">rcial Pilots (SOC Code 532012) </w:t>
      </w:r>
      <w:r w:rsidRPr="00113A57">
        <w:t>in the Nonscheduled Air Transportation</w:t>
      </w:r>
      <w:r>
        <w:t xml:space="preserve"> </w:t>
      </w:r>
      <w:r w:rsidRPr="00113A57">
        <w:t>(481200), Scenic and Sightseeing Transportation, Other</w:t>
      </w:r>
      <w:r>
        <w:t xml:space="preserve"> </w:t>
      </w:r>
      <w:r w:rsidRPr="00113A57">
        <w:t>(487900), Support Activities for Air Transportation</w:t>
      </w:r>
      <w:r>
        <w:t xml:space="preserve"> </w:t>
      </w:r>
      <w:r w:rsidRPr="00113A57">
        <w:t>(488100)</w:t>
      </w:r>
      <w:r>
        <w:t>.</w:t>
      </w:r>
    </w:p>
    <w:p w14:paraId="3213FBC6" w14:textId="77777777" w:rsidR="003E77BA" w:rsidRDefault="003E77BA" w:rsidP="003E77BA">
      <w:pPr>
        <w:pStyle w:val="FootnoteText"/>
      </w:pPr>
    </w:p>
    <w:p w14:paraId="43AEBA04" w14:textId="77777777" w:rsidR="003E77BA" w:rsidRPr="00AD233B" w:rsidRDefault="003E77BA" w:rsidP="003E77BA">
      <w:pPr>
        <w:autoSpaceDE w:val="0"/>
        <w:autoSpaceDN w:val="0"/>
        <w:spacing w:before="40" w:after="40"/>
        <w:rPr>
          <w:sz w:val="20"/>
        </w:rPr>
      </w:pPr>
      <w:r>
        <w:rPr>
          <w:rFonts w:cs="Times New Roman"/>
          <w:sz w:val="20"/>
        </w:rPr>
        <w:t xml:space="preserve">BLS, News Release, Employer Costs for Employee Compensation -  Table 5.  Employer costs per hour worked for employee compensation and costs as a percent of total compensation, production, transportation, and material moving.  Note that this compensation factor corresponds to the average load factor for a civilian employee working in Production, Transportation and Material Moving occupational group published for March 2020, June 2020, </w:t>
      </w:r>
      <w:r w:rsidRPr="00607550">
        <w:rPr>
          <w:rFonts w:cs="Times New Roman"/>
          <w:sz w:val="20"/>
        </w:rPr>
        <w:t>September 2020, and December 2020 quarters.  Accessed on May 27, 2021.</w:t>
      </w:r>
    </w:p>
    <w:p w14:paraId="2122F230" w14:textId="77777777" w:rsidR="003E77BA" w:rsidRPr="00AD233B" w:rsidRDefault="00987E10" w:rsidP="003E77BA">
      <w:pPr>
        <w:autoSpaceDE w:val="0"/>
        <w:autoSpaceDN w:val="0"/>
        <w:spacing w:before="40" w:after="40"/>
        <w:rPr>
          <w:sz w:val="20"/>
        </w:rPr>
      </w:pPr>
      <w:hyperlink r:id="rId2" w:history="1">
        <w:r w:rsidR="003E77BA" w:rsidRPr="00AD233B">
          <w:rPr>
            <w:rStyle w:val="Hyperlink"/>
          </w:rPr>
          <w:t>https://www.bls.gov/news.release/archives/ecec_06182020.pdf </w:t>
        </w:r>
      </w:hyperlink>
      <w:r w:rsidR="003E77BA" w:rsidRPr="00607550">
        <w:rPr>
          <w:rFonts w:cs="Times New Roman"/>
          <w:sz w:val="20"/>
        </w:rPr>
        <w:t>(March 2020), </w:t>
      </w:r>
    </w:p>
    <w:p w14:paraId="54B1E0E5" w14:textId="77777777" w:rsidR="003E77BA" w:rsidRPr="00AD233B" w:rsidRDefault="00987E10" w:rsidP="003E77BA">
      <w:pPr>
        <w:autoSpaceDE w:val="0"/>
        <w:autoSpaceDN w:val="0"/>
        <w:spacing w:before="40" w:after="40"/>
        <w:rPr>
          <w:sz w:val="20"/>
        </w:rPr>
      </w:pPr>
      <w:hyperlink r:id="rId3" w:history="1">
        <w:r w:rsidR="003E77BA" w:rsidRPr="00AD233B">
          <w:rPr>
            <w:rStyle w:val="Hyperlink"/>
            <w:sz w:val="20"/>
          </w:rPr>
          <w:t>https://www.bls.gov/news.release/archives/ecec_09172020.pdf </w:t>
        </w:r>
      </w:hyperlink>
      <w:r w:rsidR="003E77BA" w:rsidRPr="00AD233B">
        <w:rPr>
          <w:rFonts w:cs="Times New Roman"/>
          <w:sz w:val="20"/>
        </w:rPr>
        <w:t>(June 2020), </w:t>
      </w:r>
    </w:p>
    <w:p w14:paraId="470D99A4" w14:textId="77777777" w:rsidR="003E77BA" w:rsidRPr="00AD233B" w:rsidRDefault="00987E10" w:rsidP="003E77BA">
      <w:pPr>
        <w:autoSpaceDE w:val="0"/>
        <w:autoSpaceDN w:val="0"/>
        <w:spacing w:before="40" w:after="40"/>
        <w:rPr>
          <w:sz w:val="20"/>
        </w:rPr>
      </w:pPr>
      <w:hyperlink r:id="rId4" w:history="1">
        <w:r w:rsidR="003E77BA" w:rsidRPr="00AD233B">
          <w:rPr>
            <w:rStyle w:val="Hyperlink"/>
            <w:sz w:val="20"/>
          </w:rPr>
          <w:t>https://www.bls.gov/news.release/archives/ecec_12172020.pdf </w:t>
        </w:r>
      </w:hyperlink>
      <w:r w:rsidR="003E77BA" w:rsidRPr="00AD233B">
        <w:rPr>
          <w:rFonts w:cs="Times New Roman"/>
          <w:sz w:val="20"/>
        </w:rPr>
        <w:t>(September 2020), </w:t>
      </w:r>
    </w:p>
    <w:p w14:paraId="6FCC0A5B" w14:textId="77777777" w:rsidR="003E77BA" w:rsidRDefault="00987E10" w:rsidP="003E77BA">
      <w:pPr>
        <w:pStyle w:val="FootnoteText"/>
        <w:rPr>
          <w:rFonts w:ascii="Segoe UI" w:hAnsi="Segoe UI" w:cs="Segoe UI"/>
        </w:rPr>
      </w:pPr>
      <w:hyperlink r:id="rId5" w:history="1">
        <w:r w:rsidR="003E77BA" w:rsidRPr="00AD233B">
          <w:rPr>
            <w:rStyle w:val="Hyperlink"/>
          </w:rPr>
          <w:t>https://www.bls.gov/news.release/archives/ecec_03182021.pdf </w:t>
        </w:r>
      </w:hyperlink>
      <w:r w:rsidR="003E77BA" w:rsidRPr="00AD233B">
        <w:rPr>
          <w:rFonts w:cs="Times New Roman"/>
        </w:rPr>
        <w:t>(December 2020).</w:t>
      </w:r>
      <w:r w:rsidR="003E77BA" w:rsidRPr="00607550">
        <w:rPr>
          <w:rFonts w:ascii="Segoe UI" w:hAnsi="Segoe UI" w:cs="Segoe UI"/>
        </w:rPr>
        <w:t xml:space="preserve"> </w:t>
      </w:r>
    </w:p>
    <w:p w14:paraId="01B646D7" w14:textId="77777777" w:rsidR="003E77BA" w:rsidRDefault="003E77BA" w:rsidP="003E77BA">
      <w:pPr>
        <w:pStyle w:val="FootnoteText"/>
        <w:rPr>
          <w:rFonts w:ascii="Segoe UI" w:hAnsi="Segoe UI" w:cs="Segoe UI"/>
        </w:rPr>
      </w:pPr>
    </w:p>
    <w:p w14:paraId="48C84A4C" w14:textId="77777777" w:rsidR="003E77BA" w:rsidRDefault="003E77BA" w:rsidP="003E77BA">
      <w:pPr>
        <w:pStyle w:val="FootnoteText"/>
      </w:pPr>
      <w:r>
        <w:t>This compensation factor can include health benefits, retirement account contributions, etc. and represents the full cost of compensation to the employer (not simply the wage costs). </w:t>
      </w:r>
    </w:p>
    <w:p w14:paraId="46D7152F" w14:textId="77777777" w:rsidR="003E77BA" w:rsidRDefault="003E77BA" w:rsidP="003E77BA">
      <w:pPr>
        <w:pStyle w:val="FootnoteText"/>
      </w:pPr>
      <w:r>
        <w:t>1.5180 = (($33.72 + $34.38 + $34.25 + $35.24) ÷ 4) ÷ (($22.20 + $22.58 + $22.57 + $23.29) ÷ 4)</w:t>
      </w:r>
    </w:p>
    <w:p w14:paraId="4454992B" w14:textId="77777777" w:rsidR="003E77BA" w:rsidRPr="00AD233B" w:rsidRDefault="003E77BA" w:rsidP="003E77BA">
      <w:pPr>
        <w:autoSpaceDE w:val="0"/>
        <w:autoSpaceDN w:val="0"/>
        <w:spacing w:before="40" w:after="40"/>
        <w:rPr>
          <w:sz w:val="20"/>
        </w:rPr>
      </w:pPr>
    </w:p>
    <w:p w14:paraId="7C84F271" w14:textId="77777777" w:rsidR="003E77BA" w:rsidRDefault="003E77BA" w:rsidP="003E77BA">
      <w:pPr>
        <w:autoSpaceDE w:val="0"/>
        <w:autoSpaceDN w:val="0"/>
      </w:pPr>
      <w:r>
        <w:rPr>
          <w:rFonts w:ascii="Segoe UI" w:hAnsi="Segoe UI" w:cs="Segoe UI"/>
          <w:color w:val="6E6E73"/>
          <w:sz w:val="16"/>
          <w:szCs w:val="16"/>
        </w:rPr>
        <w:t> </w:t>
      </w:r>
    </w:p>
    <w:p w14:paraId="1355C181" w14:textId="77777777" w:rsidR="003E77BA" w:rsidRDefault="003E77BA" w:rsidP="003E77BA">
      <w:pPr>
        <w:autoSpaceDE w:val="0"/>
        <w:autoSpaceDN w:val="0"/>
      </w:pPr>
      <w:r>
        <w:rPr>
          <w:sz w:val="19"/>
          <w:szCs w:val="19"/>
        </w:rPr>
        <w:t> </w:t>
      </w:r>
    </w:p>
    <w:p w14:paraId="5BED2D6E" w14:textId="77777777" w:rsidR="003E77BA" w:rsidRDefault="003E77BA" w:rsidP="003E77BA">
      <w:pPr>
        <w:pStyle w:val="FootnoteText"/>
      </w:pPr>
    </w:p>
  </w:footnote>
  <w:footnote w:id="2">
    <w:p w14:paraId="34F4BE50" w14:textId="77777777" w:rsidR="003E77BA" w:rsidRPr="008B3FDA" w:rsidRDefault="003E77BA" w:rsidP="003E77BA">
      <w:pPr>
        <w:pStyle w:val="FootnoteText"/>
        <w:spacing w:after="120"/>
        <w:rPr>
          <w:rFonts w:cs="Times New Roman"/>
        </w:rPr>
      </w:pPr>
      <w:r>
        <w:rPr>
          <w:rStyle w:val="FootnoteReference"/>
        </w:rPr>
        <w:footnoteRef/>
      </w:r>
      <w:r>
        <w:t xml:space="preserve"> $62.33 CFI and club provider employee compensation wage = $41.06 Unloaded Hourly Wage Rate </w:t>
      </w:r>
      <w:r>
        <w:rPr>
          <w:rFonts w:cs="Times New Roman"/>
        </w:rPr>
        <w:t>×</w:t>
      </w:r>
      <w:r>
        <w:t xml:space="preserve"> </w:t>
      </w:r>
      <w:r>
        <w:rPr>
          <w:rFonts w:cs="Times New Roman"/>
        </w:rPr>
        <w:t xml:space="preserve">1.5180 Compensation Factor. </w:t>
      </w:r>
    </w:p>
    <w:p w14:paraId="2C35C560" w14:textId="77777777" w:rsidR="003E77BA" w:rsidRDefault="003E77BA" w:rsidP="003E77BA">
      <w:pPr>
        <w:pStyle w:val="FootnoteText"/>
      </w:pPr>
      <w:r>
        <w:t xml:space="preserve">Bureau of Labor Statistics. </w:t>
      </w:r>
      <w:r w:rsidRPr="00A141CE">
        <w:t xml:space="preserve">May 2020, Mean Annual Wage Specific to Commercial Pilots (SOC Code 532012) in Technical and Trade Schools (NAICS 611500). </w:t>
      </w:r>
      <w:hyperlink r:id="rId6" w:history="1">
        <w:r w:rsidRPr="00F3016C">
          <w:rPr>
            <w:rStyle w:val="Hyperlink"/>
          </w:rPr>
          <w:t>https://www.bls.gov/oes/2020/May/oes532012.htm</w:t>
        </w:r>
      </w:hyperlink>
    </w:p>
    <w:p w14:paraId="25E1C433" w14:textId="77777777" w:rsidR="003E77BA" w:rsidRDefault="003E77BA" w:rsidP="003E77BA">
      <w:pPr>
        <w:pStyle w:val="FootnoteText"/>
        <w:spacing w:before="120"/>
      </w:pPr>
      <w:r w:rsidRPr="00A141CE">
        <w:t>For CF</w:t>
      </w:r>
      <w:r>
        <w:t>I and flying club providers, TSA</w:t>
      </w:r>
      <w:r w:rsidRPr="00A141CE">
        <w:t xml:space="preserve"> uses the employee compensation rate for </w:t>
      </w:r>
      <w:r>
        <w:t xml:space="preserve">administrative employees as TSA assumes </w:t>
      </w:r>
      <w:r w:rsidRPr="00A141CE">
        <w:t>these entities do not have dedicated staff for these tasks unlike larger entities.</w:t>
      </w:r>
    </w:p>
  </w:footnote>
  <w:footnote w:id="3">
    <w:p w14:paraId="6130A793" w14:textId="77777777" w:rsidR="003E77BA" w:rsidRDefault="003E77BA" w:rsidP="003E77BA">
      <w:pPr>
        <w:pStyle w:val="FootnoteText"/>
        <w:spacing w:before="240" w:after="120"/>
        <w:rPr>
          <w:rFonts w:cs="Times New Roman"/>
        </w:rPr>
      </w:pPr>
      <w:r>
        <w:rPr>
          <w:rStyle w:val="FootnoteReference"/>
        </w:rPr>
        <w:footnoteRef/>
      </w:r>
      <w:r>
        <w:t xml:space="preserve"> $28.80 Large Provider Administrative Compensation Wage = $18.97 Unloaded Hourly Wage Rate </w:t>
      </w:r>
      <w:r>
        <w:rPr>
          <w:rFonts w:cs="Times New Roman"/>
        </w:rPr>
        <w:t>×</w:t>
      </w:r>
      <w:r>
        <w:t xml:space="preserve"> </w:t>
      </w:r>
      <w:r>
        <w:rPr>
          <w:rFonts w:cs="Times New Roman"/>
        </w:rPr>
        <w:t xml:space="preserve">1.5180 Compensation Factor. </w:t>
      </w:r>
    </w:p>
    <w:p w14:paraId="2299A472" w14:textId="77777777" w:rsidR="003E77BA" w:rsidRDefault="003E77BA" w:rsidP="003E77BA">
      <w:pPr>
        <w:pStyle w:val="FootnoteText"/>
        <w:spacing w:after="120"/>
        <w:rPr>
          <w:rFonts w:cs="Times New Roman"/>
        </w:rPr>
      </w:pPr>
      <w:r>
        <w:rPr>
          <w:rFonts w:cs="Times New Roman"/>
        </w:rPr>
        <w:t xml:space="preserve">Bureau of Labor Statistics. May 2020. </w:t>
      </w:r>
      <w:r w:rsidRPr="00A141CE">
        <w:rPr>
          <w:rFonts w:cs="Times New Roman"/>
        </w:rPr>
        <w:t>Mean wage rate for NAICS 481200 - Non-Scheduled Air Transportation. Occupation Code 43-4000, Information and Record Clerks</w:t>
      </w:r>
      <w:r>
        <w:rPr>
          <w:rFonts w:cs="Times New Roman"/>
        </w:rPr>
        <w:t xml:space="preserve">. </w:t>
      </w:r>
      <w:hyperlink r:id="rId7" w:anchor="43-4000" w:history="1">
        <w:r w:rsidRPr="00F3016C">
          <w:rPr>
            <w:rStyle w:val="Hyperlink"/>
            <w:rFonts w:cs="Times New Roman"/>
          </w:rPr>
          <w:t>https://www.bls.gov/oes/2020/may/naics4_481200.htm#43-4000</w:t>
        </w:r>
      </w:hyperlink>
    </w:p>
    <w:p w14:paraId="7B466E6B" w14:textId="77777777" w:rsidR="003E77BA" w:rsidRDefault="003E77BA" w:rsidP="003E77BA">
      <w:pPr>
        <w:pStyle w:val="FootnoteText"/>
      </w:pPr>
      <w:r>
        <w:rPr>
          <w:rFonts w:cs="Times New Roman"/>
        </w:rPr>
        <w:t>See footnote 1 for how the compensation factor is calculated.</w:t>
      </w:r>
    </w:p>
  </w:footnote>
  <w:footnote w:id="4">
    <w:p w14:paraId="66E996E5" w14:textId="77777777" w:rsidR="003E77BA" w:rsidRDefault="003E77BA" w:rsidP="003E77BA">
      <w:pPr>
        <w:pStyle w:val="FootnoteText"/>
      </w:pPr>
      <w:r>
        <w:rPr>
          <w:rStyle w:val="FootnoteReference"/>
        </w:rPr>
        <w:footnoteRef/>
      </w:r>
      <w:r>
        <w:t xml:space="preserve"> $0.52 Printing Cost per Flight Training Event Record = $0.034 Printer Toner Cost per Page </w:t>
      </w:r>
      <w:r>
        <w:rPr>
          <w:rFonts w:cs="Times New Roman"/>
        </w:rPr>
        <w:t>×</w:t>
      </w:r>
      <w:r>
        <w:t xml:space="preserve"> 15 Pages for Flight Training Record.</w:t>
      </w:r>
    </w:p>
  </w:footnote>
  <w:footnote w:id="5">
    <w:p w14:paraId="2A4EBC5D" w14:textId="77777777" w:rsidR="003E77BA" w:rsidRDefault="003E77BA" w:rsidP="003E77BA">
      <w:pPr>
        <w:pStyle w:val="FootnoteText"/>
      </w:pPr>
      <w:r>
        <w:rPr>
          <w:rStyle w:val="FootnoteReference"/>
        </w:rPr>
        <w:footnoteRef/>
      </w:r>
      <w:r>
        <w:t xml:space="preserve"> $0.03 Printing Cost per Employee Training Record = $0.034 Printer Toner Cost per Page </w:t>
      </w:r>
      <w:r>
        <w:rPr>
          <w:rFonts w:cs="Times New Roman"/>
        </w:rPr>
        <w:t>×</w:t>
      </w:r>
      <w:r>
        <w:t xml:space="preserve"> 1 Page for Employee Training Record.</w:t>
      </w:r>
    </w:p>
  </w:footnote>
  <w:footnote w:id="6">
    <w:p w14:paraId="0B0006B0" w14:textId="77777777" w:rsidR="003E77BA" w:rsidRDefault="003E77BA" w:rsidP="003E77BA">
      <w:pPr>
        <w:pStyle w:val="FootnoteText"/>
      </w:pPr>
      <w:r>
        <w:rPr>
          <w:rStyle w:val="FootnoteReference"/>
        </w:rPr>
        <w:footnoteRef/>
      </w:r>
      <w:r>
        <w:t xml:space="preserve"> TSA estimates 1,145 new providers in Year 1, 1,167 new providers in Year 2, and 1,188 new providers in Year 3. TSA summed the new providers in the first three years and took the average to determine the average number of providers that would purchase a file cabinet for recordkeeping.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0A3D" w14:textId="3BBE67BA" w:rsidR="003E77BA" w:rsidRDefault="003E77B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84798">
      <w:rPr>
        <w:rStyle w:val="PageNumber"/>
        <w:rFonts w:ascii="Times New Roman" w:hAnsi="Times New Roman"/>
        <w:noProof/>
        <w:sz w:val="24"/>
      </w:rPr>
      <w:t>5</w:t>
    </w:r>
    <w:r>
      <w:rPr>
        <w:rStyle w:val="PageNumber"/>
        <w:rFonts w:ascii="Times New Roman" w:hAnsi="Times New Roman"/>
        <w:sz w:val="24"/>
      </w:rPr>
      <w:fldChar w:fldCharType="end"/>
    </w:r>
  </w:p>
  <w:p w14:paraId="21209A4F" w14:textId="77777777" w:rsidR="003E77BA" w:rsidRPr="00320387" w:rsidRDefault="003E77B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BD30" w14:textId="77777777" w:rsidR="003E77BA" w:rsidRDefault="003E77B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5E288C43" w14:textId="77777777" w:rsidR="003E77BA" w:rsidRDefault="003E77BA">
    <w:pPr>
      <w:jc w:val="center"/>
      <w:rPr>
        <w:rFonts w:cs="Times New Roman"/>
        <w:b/>
        <w:sz w:val="28"/>
      </w:rPr>
    </w:pPr>
  </w:p>
  <w:p w14:paraId="5499DE86" w14:textId="77777777" w:rsidR="003E77BA" w:rsidRPr="00266F92" w:rsidRDefault="003E77BA" w:rsidP="00B60ACB">
    <w:pPr>
      <w:jc w:val="center"/>
      <w:rPr>
        <w:rFonts w:cs="Times New Roman"/>
        <w:b/>
        <w:szCs w:val="24"/>
      </w:rPr>
    </w:pPr>
    <w:r w:rsidRPr="00266F92">
      <w:rPr>
        <w:rFonts w:cs="Times New Roman"/>
        <w:b/>
        <w:szCs w:val="24"/>
      </w:rPr>
      <w:t xml:space="preserve">Flight Training </w:t>
    </w:r>
    <w:r>
      <w:rPr>
        <w:rFonts w:cs="Times New Roman"/>
        <w:b/>
        <w:szCs w:val="24"/>
      </w:rPr>
      <w:t>Security Program</w:t>
    </w:r>
  </w:p>
  <w:p w14:paraId="2DFAA202" w14:textId="77777777" w:rsidR="003E77BA" w:rsidRDefault="003E77BA">
    <w:pPr>
      <w:jc w:val="center"/>
      <w:rPr>
        <w:rFonts w:cs="Times New Roman"/>
        <w:b/>
        <w:szCs w:val="24"/>
      </w:rPr>
    </w:pPr>
    <w:r w:rsidRPr="00266F92">
      <w:rPr>
        <w:rFonts w:cs="Times New Roman"/>
        <w:b/>
        <w:szCs w:val="24"/>
      </w:rPr>
      <w:t>OMB Control Number 1652-0021</w:t>
    </w:r>
  </w:p>
  <w:p w14:paraId="0325ECB7" w14:textId="77777777" w:rsidR="003E77BA" w:rsidRPr="00266F92" w:rsidRDefault="003E77BA">
    <w:pPr>
      <w:jc w:val="center"/>
      <w:rPr>
        <w:rFonts w:cs="Times New Roman"/>
        <w:b/>
        <w:szCs w:val="24"/>
      </w:rPr>
    </w:pPr>
    <w:r>
      <w:rPr>
        <w:rFonts w:cs="Times New Roman"/>
        <w:b/>
        <w:szCs w:val="24"/>
      </w:rPr>
      <w:t>Expiration Date: 07/31/2022</w:t>
    </w:r>
  </w:p>
  <w:p w14:paraId="60F6CE9E" w14:textId="77777777" w:rsidR="003E77BA" w:rsidRDefault="003E77BA" w:rsidP="00D32902">
    <w:pPr>
      <w:pStyle w:val="Header"/>
      <w:keepLines w:val="0"/>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CD75D" w14:textId="79BB1AAF"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84798">
      <w:rPr>
        <w:rStyle w:val="PageNumber"/>
        <w:rFonts w:ascii="Times New Roman" w:hAnsi="Times New Roman"/>
        <w:noProof/>
        <w:sz w:val="24"/>
      </w:rPr>
      <w:t>2</w:t>
    </w:r>
    <w:r>
      <w:rPr>
        <w:rStyle w:val="PageNumber"/>
        <w:rFonts w:ascii="Times New Roman" w:hAnsi="Times New Roman"/>
        <w:sz w:val="24"/>
      </w:rPr>
      <w:fldChar w:fldCharType="end"/>
    </w:r>
  </w:p>
  <w:p w14:paraId="6EBEEE5D"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4D43A"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D6EB6D9" w14:textId="77777777" w:rsidR="00320387" w:rsidRDefault="00320387">
    <w:pPr>
      <w:jc w:val="center"/>
      <w:rPr>
        <w:rFonts w:cs="Times New Roman"/>
        <w:b/>
        <w:sz w:val="28"/>
      </w:rPr>
    </w:pPr>
  </w:p>
  <w:p w14:paraId="0B696D64" w14:textId="41DF9C4A" w:rsidR="00B60ACB" w:rsidRPr="00266F92" w:rsidRDefault="00B60ACB" w:rsidP="00B60ACB">
    <w:pPr>
      <w:jc w:val="center"/>
      <w:rPr>
        <w:rFonts w:cs="Times New Roman"/>
        <w:b/>
        <w:szCs w:val="24"/>
      </w:rPr>
    </w:pPr>
    <w:r w:rsidRPr="00266F92">
      <w:rPr>
        <w:rFonts w:cs="Times New Roman"/>
        <w:b/>
        <w:szCs w:val="24"/>
      </w:rPr>
      <w:t xml:space="preserve">Flight Training </w:t>
    </w:r>
    <w:r w:rsidR="000160FC">
      <w:rPr>
        <w:rFonts w:cs="Times New Roman"/>
        <w:b/>
        <w:szCs w:val="24"/>
      </w:rPr>
      <w:t>Security Program</w:t>
    </w:r>
  </w:p>
  <w:p w14:paraId="66963E89" w14:textId="77777777" w:rsidR="00320387" w:rsidRDefault="00B60ACB">
    <w:pPr>
      <w:jc w:val="center"/>
      <w:rPr>
        <w:rFonts w:cs="Times New Roman"/>
        <w:b/>
        <w:szCs w:val="24"/>
      </w:rPr>
    </w:pPr>
    <w:r w:rsidRPr="00266F92">
      <w:rPr>
        <w:rFonts w:cs="Times New Roman"/>
        <w:b/>
        <w:szCs w:val="24"/>
      </w:rPr>
      <w:t>OMB Control Number 1652-0021</w:t>
    </w:r>
  </w:p>
  <w:p w14:paraId="2CEA0A3A" w14:textId="0D8B83EF" w:rsidR="00F310CD" w:rsidRPr="00266F92" w:rsidRDefault="00F310CD">
    <w:pPr>
      <w:jc w:val="center"/>
      <w:rPr>
        <w:rFonts w:cs="Times New Roman"/>
        <w:b/>
        <w:szCs w:val="24"/>
      </w:rPr>
    </w:pPr>
    <w:r>
      <w:rPr>
        <w:rFonts w:cs="Times New Roman"/>
        <w:b/>
        <w:szCs w:val="24"/>
      </w:rPr>
      <w:t xml:space="preserve">Expiration Date: </w:t>
    </w:r>
    <w:r w:rsidR="00F509C7">
      <w:rPr>
        <w:rFonts w:cs="Times New Roman"/>
        <w:b/>
        <w:szCs w:val="24"/>
      </w:rPr>
      <w:t>07</w:t>
    </w:r>
    <w:r>
      <w:rPr>
        <w:rFonts w:cs="Times New Roman"/>
        <w:b/>
        <w:szCs w:val="24"/>
      </w:rPr>
      <w:t>/31/</w:t>
    </w:r>
    <w:r w:rsidR="00D3173D">
      <w:rPr>
        <w:rFonts w:cs="Times New Roman"/>
        <w:b/>
        <w:szCs w:val="24"/>
      </w:rPr>
      <w:t>20</w:t>
    </w:r>
    <w:r w:rsidR="00F509C7">
      <w:rPr>
        <w:rFonts w:cs="Times New Roman"/>
        <w:b/>
        <w:szCs w:val="24"/>
      </w:rPr>
      <w:t>22</w:t>
    </w:r>
  </w:p>
  <w:p w14:paraId="29972199"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15:restartNumberingAfterBreak="0">
    <w:nsid w:val="1C7F61B5"/>
    <w:multiLevelType w:val="hybridMultilevel"/>
    <w:tmpl w:val="65B0A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757EC"/>
    <w:multiLevelType w:val="hybridMultilevel"/>
    <w:tmpl w:val="7D34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441D49"/>
    <w:multiLevelType w:val="multilevel"/>
    <w:tmpl w:val="7BC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4A01"/>
    <w:multiLevelType w:val="hybridMultilevel"/>
    <w:tmpl w:val="938A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hideSpellingError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5399"/>
    <w:rsid w:val="00012D3D"/>
    <w:rsid w:val="000160FC"/>
    <w:rsid w:val="000206BA"/>
    <w:rsid w:val="00034A95"/>
    <w:rsid w:val="00036F71"/>
    <w:rsid w:val="00041882"/>
    <w:rsid w:val="00045ACF"/>
    <w:rsid w:val="00076D50"/>
    <w:rsid w:val="00087F14"/>
    <w:rsid w:val="000958BF"/>
    <w:rsid w:val="000A7323"/>
    <w:rsid w:val="000B1F15"/>
    <w:rsid w:val="000C14BF"/>
    <w:rsid w:val="000D2C4B"/>
    <w:rsid w:val="000D6DBF"/>
    <w:rsid w:val="001025CB"/>
    <w:rsid w:val="00104055"/>
    <w:rsid w:val="00106482"/>
    <w:rsid w:val="0011021D"/>
    <w:rsid w:val="00117FEF"/>
    <w:rsid w:val="00120A21"/>
    <w:rsid w:val="0013059B"/>
    <w:rsid w:val="00144139"/>
    <w:rsid w:val="00146DD3"/>
    <w:rsid w:val="00170240"/>
    <w:rsid w:val="001747F2"/>
    <w:rsid w:val="00177680"/>
    <w:rsid w:val="001825BF"/>
    <w:rsid w:val="001829A3"/>
    <w:rsid w:val="00186C03"/>
    <w:rsid w:val="00190ACD"/>
    <w:rsid w:val="0019213E"/>
    <w:rsid w:val="0019683F"/>
    <w:rsid w:val="001A7C9B"/>
    <w:rsid w:val="001C3986"/>
    <w:rsid w:val="001D1E88"/>
    <w:rsid w:val="001D2461"/>
    <w:rsid w:val="001D33CF"/>
    <w:rsid w:val="001D5EFB"/>
    <w:rsid w:val="001D6123"/>
    <w:rsid w:val="001E5F55"/>
    <w:rsid w:val="00202DFB"/>
    <w:rsid w:val="0020712D"/>
    <w:rsid w:val="0022432F"/>
    <w:rsid w:val="002313DF"/>
    <w:rsid w:val="002438B0"/>
    <w:rsid w:val="0024480B"/>
    <w:rsid w:val="002539EB"/>
    <w:rsid w:val="0025460D"/>
    <w:rsid w:val="00263523"/>
    <w:rsid w:val="002643DB"/>
    <w:rsid w:val="00264B21"/>
    <w:rsid w:val="00265E64"/>
    <w:rsid w:val="00266F92"/>
    <w:rsid w:val="002674A0"/>
    <w:rsid w:val="00280CE5"/>
    <w:rsid w:val="00281A71"/>
    <w:rsid w:val="00284B90"/>
    <w:rsid w:val="002A5EDC"/>
    <w:rsid w:val="002B2F84"/>
    <w:rsid w:val="002B559C"/>
    <w:rsid w:val="002C0210"/>
    <w:rsid w:val="002D3AB1"/>
    <w:rsid w:val="002D5330"/>
    <w:rsid w:val="002D6CCC"/>
    <w:rsid w:val="002E7C77"/>
    <w:rsid w:val="0030312C"/>
    <w:rsid w:val="00320387"/>
    <w:rsid w:val="0034693D"/>
    <w:rsid w:val="00360F3C"/>
    <w:rsid w:val="00365D1A"/>
    <w:rsid w:val="00370224"/>
    <w:rsid w:val="00373B66"/>
    <w:rsid w:val="0038165D"/>
    <w:rsid w:val="003820A8"/>
    <w:rsid w:val="003A5714"/>
    <w:rsid w:val="003A67BF"/>
    <w:rsid w:val="003C0F11"/>
    <w:rsid w:val="003C2F90"/>
    <w:rsid w:val="003C64FC"/>
    <w:rsid w:val="003C7DF3"/>
    <w:rsid w:val="003D57D9"/>
    <w:rsid w:val="003E4350"/>
    <w:rsid w:val="003E6B4C"/>
    <w:rsid w:val="003E77BA"/>
    <w:rsid w:val="003F397C"/>
    <w:rsid w:val="0042324B"/>
    <w:rsid w:val="00423641"/>
    <w:rsid w:val="004243D1"/>
    <w:rsid w:val="00435F57"/>
    <w:rsid w:val="004366CC"/>
    <w:rsid w:val="0044129A"/>
    <w:rsid w:val="00452A87"/>
    <w:rsid w:val="00464032"/>
    <w:rsid w:val="004731C6"/>
    <w:rsid w:val="00481B6D"/>
    <w:rsid w:val="00484ED4"/>
    <w:rsid w:val="00493BE6"/>
    <w:rsid w:val="004944C5"/>
    <w:rsid w:val="004A2BB7"/>
    <w:rsid w:val="004B1B76"/>
    <w:rsid w:val="004B6382"/>
    <w:rsid w:val="004B6F5B"/>
    <w:rsid w:val="004C105A"/>
    <w:rsid w:val="004D345E"/>
    <w:rsid w:val="004E2807"/>
    <w:rsid w:val="004E44A0"/>
    <w:rsid w:val="004E5996"/>
    <w:rsid w:val="004F4468"/>
    <w:rsid w:val="00512504"/>
    <w:rsid w:val="00517946"/>
    <w:rsid w:val="00534612"/>
    <w:rsid w:val="005366B3"/>
    <w:rsid w:val="0054687B"/>
    <w:rsid w:val="00555044"/>
    <w:rsid w:val="00561922"/>
    <w:rsid w:val="005637C0"/>
    <w:rsid w:val="005713ED"/>
    <w:rsid w:val="005740E5"/>
    <w:rsid w:val="00582853"/>
    <w:rsid w:val="005A303B"/>
    <w:rsid w:val="005A4AE3"/>
    <w:rsid w:val="005B176F"/>
    <w:rsid w:val="005B5B60"/>
    <w:rsid w:val="005C5D7A"/>
    <w:rsid w:val="005C7ECE"/>
    <w:rsid w:val="005D01EA"/>
    <w:rsid w:val="005E4534"/>
    <w:rsid w:val="005E4A71"/>
    <w:rsid w:val="005F1BE9"/>
    <w:rsid w:val="00601116"/>
    <w:rsid w:val="00615EBA"/>
    <w:rsid w:val="00621F77"/>
    <w:rsid w:val="00625F45"/>
    <w:rsid w:val="00627753"/>
    <w:rsid w:val="00631371"/>
    <w:rsid w:val="00637F6B"/>
    <w:rsid w:val="006447FA"/>
    <w:rsid w:val="0065776E"/>
    <w:rsid w:val="006650CB"/>
    <w:rsid w:val="00671E66"/>
    <w:rsid w:val="006731EC"/>
    <w:rsid w:val="006742C9"/>
    <w:rsid w:val="00675AF5"/>
    <w:rsid w:val="00686CC9"/>
    <w:rsid w:val="006A3A3A"/>
    <w:rsid w:val="006B02CF"/>
    <w:rsid w:val="006B1AAE"/>
    <w:rsid w:val="006C6276"/>
    <w:rsid w:val="006C701C"/>
    <w:rsid w:val="006E3384"/>
    <w:rsid w:val="006F3173"/>
    <w:rsid w:val="00702310"/>
    <w:rsid w:val="0070278C"/>
    <w:rsid w:val="007266DC"/>
    <w:rsid w:val="007445F5"/>
    <w:rsid w:val="00744825"/>
    <w:rsid w:val="00763625"/>
    <w:rsid w:val="00770CBC"/>
    <w:rsid w:val="00780743"/>
    <w:rsid w:val="00784482"/>
    <w:rsid w:val="0079555E"/>
    <w:rsid w:val="007A5D81"/>
    <w:rsid w:val="007A7DC6"/>
    <w:rsid w:val="007B1F70"/>
    <w:rsid w:val="007B5878"/>
    <w:rsid w:val="007C5FFD"/>
    <w:rsid w:val="007D36AF"/>
    <w:rsid w:val="007D3F24"/>
    <w:rsid w:val="007D4257"/>
    <w:rsid w:val="007D71B0"/>
    <w:rsid w:val="007E5C86"/>
    <w:rsid w:val="007F7994"/>
    <w:rsid w:val="00802080"/>
    <w:rsid w:val="00804171"/>
    <w:rsid w:val="008060E0"/>
    <w:rsid w:val="008156F3"/>
    <w:rsid w:val="0082535B"/>
    <w:rsid w:val="008279BC"/>
    <w:rsid w:val="00836DA8"/>
    <w:rsid w:val="00844BDE"/>
    <w:rsid w:val="00845390"/>
    <w:rsid w:val="00851221"/>
    <w:rsid w:val="0085557C"/>
    <w:rsid w:val="008A49AB"/>
    <w:rsid w:val="008C328C"/>
    <w:rsid w:val="008D5BED"/>
    <w:rsid w:val="008E1C64"/>
    <w:rsid w:val="008E7570"/>
    <w:rsid w:val="00902FDF"/>
    <w:rsid w:val="00905DB1"/>
    <w:rsid w:val="00917871"/>
    <w:rsid w:val="00920611"/>
    <w:rsid w:val="009270CA"/>
    <w:rsid w:val="0093439E"/>
    <w:rsid w:val="009416B4"/>
    <w:rsid w:val="00950989"/>
    <w:rsid w:val="00950EFA"/>
    <w:rsid w:val="0095116B"/>
    <w:rsid w:val="00951CF5"/>
    <w:rsid w:val="00957268"/>
    <w:rsid w:val="00960146"/>
    <w:rsid w:val="0096095F"/>
    <w:rsid w:val="009738AD"/>
    <w:rsid w:val="00973C35"/>
    <w:rsid w:val="00973D2A"/>
    <w:rsid w:val="00974B10"/>
    <w:rsid w:val="00977A82"/>
    <w:rsid w:val="0098282D"/>
    <w:rsid w:val="00987E10"/>
    <w:rsid w:val="009A428E"/>
    <w:rsid w:val="009A5AD0"/>
    <w:rsid w:val="009B0597"/>
    <w:rsid w:val="009B092C"/>
    <w:rsid w:val="009B0F89"/>
    <w:rsid w:val="009E2667"/>
    <w:rsid w:val="009E4E7D"/>
    <w:rsid w:val="009F4979"/>
    <w:rsid w:val="009F50C3"/>
    <w:rsid w:val="00A005EE"/>
    <w:rsid w:val="00A058F4"/>
    <w:rsid w:val="00A1303E"/>
    <w:rsid w:val="00A14CC5"/>
    <w:rsid w:val="00A3780E"/>
    <w:rsid w:val="00A37971"/>
    <w:rsid w:val="00A41340"/>
    <w:rsid w:val="00A429CB"/>
    <w:rsid w:val="00A5496F"/>
    <w:rsid w:val="00A600D9"/>
    <w:rsid w:val="00A707A1"/>
    <w:rsid w:val="00A73043"/>
    <w:rsid w:val="00A83021"/>
    <w:rsid w:val="00A8483B"/>
    <w:rsid w:val="00A916AB"/>
    <w:rsid w:val="00AA3B2C"/>
    <w:rsid w:val="00AB0DCD"/>
    <w:rsid w:val="00AC28BD"/>
    <w:rsid w:val="00AC7C15"/>
    <w:rsid w:val="00AD2B17"/>
    <w:rsid w:val="00AF034C"/>
    <w:rsid w:val="00AF043E"/>
    <w:rsid w:val="00B10B9B"/>
    <w:rsid w:val="00B110B5"/>
    <w:rsid w:val="00B12FFA"/>
    <w:rsid w:val="00B14F7E"/>
    <w:rsid w:val="00B27901"/>
    <w:rsid w:val="00B3054E"/>
    <w:rsid w:val="00B402B1"/>
    <w:rsid w:val="00B60ACB"/>
    <w:rsid w:val="00B60DD6"/>
    <w:rsid w:val="00B641C8"/>
    <w:rsid w:val="00B70039"/>
    <w:rsid w:val="00B70E1E"/>
    <w:rsid w:val="00B74599"/>
    <w:rsid w:val="00B80241"/>
    <w:rsid w:val="00B835A3"/>
    <w:rsid w:val="00B85DAF"/>
    <w:rsid w:val="00B923C7"/>
    <w:rsid w:val="00BA4E08"/>
    <w:rsid w:val="00BB1630"/>
    <w:rsid w:val="00BB5632"/>
    <w:rsid w:val="00BD45E3"/>
    <w:rsid w:val="00BE6C0C"/>
    <w:rsid w:val="00BF179C"/>
    <w:rsid w:val="00BF279C"/>
    <w:rsid w:val="00BF5CB2"/>
    <w:rsid w:val="00C05EC6"/>
    <w:rsid w:val="00C17976"/>
    <w:rsid w:val="00C33CF1"/>
    <w:rsid w:val="00C44EA2"/>
    <w:rsid w:val="00C6054E"/>
    <w:rsid w:val="00C82E31"/>
    <w:rsid w:val="00CB0351"/>
    <w:rsid w:val="00CB22B3"/>
    <w:rsid w:val="00CB7869"/>
    <w:rsid w:val="00CD0DC4"/>
    <w:rsid w:val="00CF1C14"/>
    <w:rsid w:val="00CF213B"/>
    <w:rsid w:val="00CF5660"/>
    <w:rsid w:val="00D00E0A"/>
    <w:rsid w:val="00D10EB8"/>
    <w:rsid w:val="00D12A14"/>
    <w:rsid w:val="00D23E75"/>
    <w:rsid w:val="00D2447E"/>
    <w:rsid w:val="00D3173D"/>
    <w:rsid w:val="00D32902"/>
    <w:rsid w:val="00D32929"/>
    <w:rsid w:val="00D37EE9"/>
    <w:rsid w:val="00D411B5"/>
    <w:rsid w:val="00D41951"/>
    <w:rsid w:val="00D51FBC"/>
    <w:rsid w:val="00D53A62"/>
    <w:rsid w:val="00D6103F"/>
    <w:rsid w:val="00D6556E"/>
    <w:rsid w:val="00D71446"/>
    <w:rsid w:val="00D7189D"/>
    <w:rsid w:val="00D84798"/>
    <w:rsid w:val="00D84ED8"/>
    <w:rsid w:val="00D92624"/>
    <w:rsid w:val="00D94081"/>
    <w:rsid w:val="00DA4B83"/>
    <w:rsid w:val="00DB4565"/>
    <w:rsid w:val="00DE15D5"/>
    <w:rsid w:val="00DE4873"/>
    <w:rsid w:val="00DE5F71"/>
    <w:rsid w:val="00DF2AEB"/>
    <w:rsid w:val="00DF4933"/>
    <w:rsid w:val="00DF71C3"/>
    <w:rsid w:val="00E01976"/>
    <w:rsid w:val="00E02E42"/>
    <w:rsid w:val="00E24744"/>
    <w:rsid w:val="00E3359B"/>
    <w:rsid w:val="00E346D4"/>
    <w:rsid w:val="00E35C94"/>
    <w:rsid w:val="00E43523"/>
    <w:rsid w:val="00E61074"/>
    <w:rsid w:val="00E65502"/>
    <w:rsid w:val="00E76A3E"/>
    <w:rsid w:val="00E856B0"/>
    <w:rsid w:val="00EA0D46"/>
    <w:rsid w:val="00EA13FF"/>
    <w:rsid w:val="00EA4989"/>
    <w:rsid w:val="00EC1450"/>
    <w:rsid w:val="00EC7644"/>
    <w:rsid w:val="00ED2CDF"/>
    <w:rsid w:val="00ED3091"/>
    <w:rsid w:val="00EE5168"/>
    <w:rsid w:val="00EF6BC9"/>
    <w:rsid w:val="00EF71EB"/>
    <w:rsid w:val="00F10052"/>
    <w:rsid w:val="00F11E1C"/>
    <w:rsid w:val="00F2667E"/>
    <w:rsid w:val="00F310CD"/>
    <w:rsid w:val="00F41041"/>
    <w:rsid w:val="00F509C7"/>
    <w:rsid w:val="00F526DF"/>
    <w:rsid w:val="00F52E3F"/>
    <w:rsid w:val="00F70AC8"/>
    <w:rsid w:val="00F76627"/>
    <w:rsid w:val="00F77CA0"/>
    <w:rsid w:val="00F77E35"/>
    <w:rsid w:val="00F854F6"/>
    <w:rsid w:val="00F93DBA"/>
    <w:rsid w:val="00FA4C88"/>
    <w:rsid w:val="00FA51CC"/>
    <w:rsid w:val="00FB0503"/>
    <w:rsid w:val="00FB6A7A"/>
    <w:rsid w:val="00FC4DC1"/>
    <w:rsid w:val="00FC53D1"/>
    <w:rsid w:val="00FC7CF8"/>
    <w:rsid w:val="00FD11F6"/>
    <w:rsid w:val="00FD2895"/>
    <w:rsid w:val="00FD53C6"/>
    <w:rsid w:val="00FF30BC"/>
    <w:rsid w:val="00FF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C51F5"/>
  <w15:docId w15:val="{ECF3E4CA-E1B2-441D-A502-375D7434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2B2F84"/>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F2667E"/>
    <w:rPr>
      <w:color w:val="0000FF"/>
      <w:u w:val="single"/>
    </w:rPr>
  </w:style>
  <w:style w:type="paragraph" w:styleId="NoSpacing">
    <w:name w:val="No Spacing"/>
    <w:uiPriority w:val="1"/>
    <w:qFormat/>
    <w:rsid w:val="00F2667E"/>
    <w:rPr>
      <w:rFonts w:ascii="Calibri" w:eastAsia="Calibri" w:hAnsi="Calibri"/>
      <w:sz w:val="22"/>
      <w:szCs w:val="22"/>
    </w:rPr>
  </w:style>
  <w:style w:type="character" w:styleId="CommentReference">
    <w:name w:val="annotation reference"/>
    <w:basedOn w:val="DefaultParagraphFont"/>
    <w:rsid w:val="00076D50"/>
    <w:rPr>
      <w:sz w:val="16"/>
      <w:szCs w:val="16"/>
    </w:rPr>
  </w:style>
  <w:style w:type="paragraph" w:styleId="CommentText">
    <w:name w:val="annotation text"/>
    <w:basedOn w:val="Normal"/>
    <w:link w:val="CommentTextChar"/>
    <w:rsid w:val="00076D50"/>
    <w:rPr>
      <w:sz w:val="20"/>
    </w:rPr>
  </w:style>
  <w:style w:type="character" w:customStyle="1" w:styleId="CommentTextChar">
    <w:name w:val="Comment Text Char"/>
    <w:basedOn w:val="DefaultParagraphFont"/>
    <w:link w:val="CommentText"/>
    <w:rsid w:val="00076D50"/>
    <w:rPr>
      <w:rFonts w:cs="Arial"/>
      <w:color w:val="000000"/>
    </w:rPr>
  </w:style>
  <w:style w:type="paragraph" w:styleId="CommentSubject">
    <w:name w:val="annotation subject"/>
    <w:basedOn w:val="CommentText"/>
    <w:next w:val="CommentText"/>
    <w:link w:val="CommentSubjectChar"/>
    <w:rsid w:val="00076D50"/>
    <w:rPr>
      <w:b/>
      <w:bCs/>
    </w:rPr>
  </w:style>
  <w:style w:type="character" w:customStyle="1" w:styleId="CommentSubjectChar">
    <w:name w:val="Comment Subject Char"/>
    <w:basedOn w:val="CommentTextChar"/>
    <w:link w:val="CommentSubject"/>
    <w:rsid w:val="00076D50"/>
    <w:rPr>
      <w:rFonts w:cs="Arial"/>
      <w:b/>
      <w:bCs/>
      <w:color w:val="000000"/>
    </w:rPr>
  </w:style>
  <w:style w:type="paragraph" w:styleId="BalloonText">
    <w:name w:val="Balloon Text"/>
    <w:basedOn w:val="Normal"/>
    <w:link w:val="BalloonTextChar"/>
    <w:rsid w:val="00076D50"/>
    <w:rPr>
      <w:rFonts w:ascii="Tahoma" w:hAnsi="Tahoma" w:cs="Tahoma"/>
      <w:sz w:val="16"/>
      <w:szCs w:val="16"/>
    </w:rPr>
  </w:style>
  <w:style w:type="character" w:customStyle="1" w:styleId="BalloonTextChar">
    <w:name w:val="Balloon Text Char"/>
    <w:basedOn w:val="DefaultParagraphFont"/>
    <w:link w:val="BalloonText"/>
    <w:rsid w:val="00076D50"/>
    <w:rPr>
      <w:rFonts w:ascii="Tahoma" w:hAnsi="Tahoma" w:cs="Tahoma"/>
      <w:color w:val="000000"/>
      <w:sz w:val="16"/>
      <w:szCs w:val="16"/>
    </w:rPr>
  </w:style>
  <w:style w:type="paragraph" w:styleId="FootnoteText">
    <w:name w:val="footnote text"/>
    <w:basedOn w:val="Normal"/>
    <w:link w:val="FootnoteTextChar"/>
    <w:rsid w:val="00E856B0"/>
    <w:rPr>
      <w:sz w:val="20"/>
    </w:rPr>
  </w:style>
  <w:style w:type="character" w:customStyle="1" w:styleId="FootnoteTextChar">
    <w:name w:val="Footnote Text Char"/>
    <w:basedOn w:val="DefaultParagraphFont"/>
    <w:link w:val="FootnoteText"/>
    <w:rsid w:val="00E856B0"/>
    <w:rPr>
      <w:rFonts w:cs="Arial"/>
      <w:color w:val="000000"/>
    </w:rPr>
  </w:style>
  <w:style w:type="character" w:styleId="FootnoteReference">
    <w:name w:val="footnote reference"/>
    <w:basedOn w:val="DefaultParagraphFont"/>
    <w:rsid w:val="00E856B0"/>
    <w:rPr>
      <w:vertAlign w:val="superscript"/>
    </w:rPr>
  </w:style>
  <w:style w:type="paragraph" w:styleId="ListParagraph">
    <w:name w:val="List Paragraph"/>
    <w:basedOn w:val="Normal"/>
    <w:uiPriority w:val="34"/>
    <w:qFormat/>
    <w:rsid w:val="00B110B5"/>
    <w:pPr>
      <w:ind w:left="720"/>
      <w:contextualSpacing/>
    </w:pPr>
  </w:style>
  <w:style w:type="character" w:styleId="FollowedHyperlink">
    <w:name w:val="FollowedHyperlink"/>
    <w:basedOn w:val="DefaultParagraphFont"/>
    <w:rsid w:val="003E4350"/>
    <w:rPr>
      <w:color w:val="800080" w:themeColor="followedHyperlink"/>
      <w:u w:val="single"/>
    </w:rPr>
  </w:style>
  <w:style w:type="paragraph" w:styleId="Revision">
    <w:name w:val="Revision"/>
    <w:hidden/>
    <w:uiPriority w:val="99"/>
    <w:semiHidden/>
    <w:rsid w:val="00B60DD6"/>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334349">
      <w:bodyDiv w:val="1"/>
      <w:marLeft w:val="0"/>
      <w:marRight w:val="0"/>
      <w:marTop w:val="0"/>
      <w:marBottom w:val="0"/>
      <w:divBdr>
        <w:top w:val="none" w:sz="0" w:space="0" w:color="auto"/>
        <w:left w:val="none" w:sz="0" w:space="0" w:color="auto"/>
        <w:bottom w:val="none" w:sz="0" w:space="0" w:color="auto"/>
        <w:right w:val="none" w:sz="0" w:space="0" w:color="auto"/>
      </w:divBdr>
    </w:div>
    <w:div w:id="1416126469">
      <w:bodyDiv w:val="1"/>
      <w:marLeft w:val="0"/>
      <w:marRight w:val="0"/>
      <w:marTop w:val="0"/>
      <w:marBottom w:val="0"/>
      <w:divBdr>
        <w:top w:val="none" w:sz="0" w:space="0" w:color="auto"/>
        <w:left w:val="none" w:sz="0" w:space="0" w:color="auto"/>
        <w:bottom w:val="none" w:sz="0" w:space="0" w:color="auto"/>
        <w:right w:val="none" w:sz="0" w:space="0" w:color="auto"/>
      </w:divBdr>
    </w:div>
    <w:div w:id="189222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asafety.gov/spans/noticeView.aspx?nid=10089"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lightschoolcandidate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hs.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9172020.pdf&#160;" TargetMode="External"/><Relationship Id="rId7" Type="http://schemas.openxmlformats.org/officeDocument/2006/relationships/hyperlink" Target="https://www.bls.gov/oes/2020/may/naics4_481200.htm" TargetMode="External"/><Relationship Id="rId2" Type="http://schemas.openxmlformats.org/officeDocument/2006/relationships/hyperlink" Target="https://www.bls.gov/news.release/archives/ecec_06182020.pdf&#160;" TargetMode="External"/><Relationship Id="rId1" Type="http://schemas.openxmlformats.org/officeDocument/2006/relationships/hyperlink" Target="https://data.bls.gov/oes/%23/occInd/One%20occupation%20for%20multiple%20industries" TargetMode="External"/><Relationship Id="rId6" Type="http://schemas.openxmlformats.org/officeDocument/2006/relationships/hyperlink" Target="https://www.bls.gov/oes/2020/May/oes532012.htm" TargetMode="External"/><Relationship Id="rId5" Type="http://schemas.openxmlformats.org/officeDocument/2006/relationships/hyperlink" Target="https://www.bls.gov/news.release/archives/ecec_03182021.pdf&#160;" TargetMode="External"/><Relationship Id="rId4" Type="http://schemas.openxmlformats.org/officeDocument/2006/relationships/hyperlink" Target="https://www.bls.gov/news.release/archives/ecec_12172020.pdf&#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dfa24db8-b43c-4576-b9f3-d527095e9577">TSADT-783092807-58070</_dlc_DocId>
    <_dlc_DocIdUrl xmlns="dfa24db8-b43c-4576-b9f3-d527095e9577">
      <Url>https://apps2013.ishare.tsa.dhs.gov/sites/gel/OIT/_layouts/15/DocIdRedir.aspx?ID=TSADT-783092807-58070</Url>
      <Description>TSADT-783092807-58070</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2.xml><?xml version="1.0" encoding="utf-8"?>
<ds:datastoreItem xmlns:ds="http://schemas.openxmlformats.org/officeDocument/2006/customXml" ds:itemID="{B4701F74-5A51-42CB-BE7D-9B89BFC5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5C746AAC-80BA-4AE0-87BF-D7A1611B078A}">
  <ds:schemaRefs>
    <ds:schemaRef ds:uri="http://schemas.microsoft.com/sharepoint/events"/>
  </ds:schemaRefs>
</ds:datastoreItem>
</file>

<file path=customXml/itemProps5.xml><?xml version="1.0" encoding="utf-8"?>
<ds:datastoreItem xmlns:ds="http://schemas.openxmlformats.org/officeDocument/2006/customXml" ds:itemID="{E1176599-4CE8-4081-91B1-924EAAB6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recordkeeping and documentation</dc:subject>
  <dc:creator>marisa.mullen</dc:creator>
  <cp:keywords>Approved by Tom;5000.22;5000.22</cp:keywords>
  <cp:lastModifiedBy>Walsh, Christina</cp:lastModifiedBy>
  <cp:revision>2</cp:revision>
  <cp:lastPrinted>2015-06-09T15:58:00Z</cp:lastPrinted>
  <dcterms:created xsi:type="dcterms:W3CDTF">2022-01-20T14:18:00Z</dcterms:created>
  <dcterms:modified xsi:type="dcterms:W3CDTF">2022-01-20T14:18:00Z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e30e91e9-6b0f-41e8-96dc-9bce8de01210</vt:lpwstr>
  </property>
  <property fmtid="{D5CDD505-2E9C-101B-9397-08002B2CF9AE}" pid="4" name="Day Notice">
    <vt:lpwstr>30 Day</vt:lpwstr>
  </property>
  <property fmtid="{D5CDD505-2E9C-101B-9397-08002B2CF9AE}" pid="5" name="Type of Request">
    <vt:lpwstr>Renewal</vt:lpwstr>
  </property>
  <property fmtid="{D5CDD505-2E9C-101B-9397-08002B2CF9AE}" pid="6" name="_dlc_DocId">
    <vt:lpwstr>2MNXFYDWMX7Y-461-2249</vt:lpwstr>
  </property>
  <property fmtid="{D5CDD505-2E9C-101B-9397-08002B2CF9AE}" pid="7" name="Supplementary Document">
    <vt:lpwstr>Supporting Statement</vt:lpwstr>
  </property>
  <property fmtid="{D5CDD505-2E9C-101B-9397-08002B2CF9AE}" pid="8" name="_dlc_DocIdUrl">
    <vt:lpwstr>https://team.ishare.tsa.dhs.gov/sites/oit/bmo/PRA/_layouts/DocIdRedir.aspx?ID=2MNXFYDWMX7Y-461-22492MNXFYDWMX7Y-461-2249</vt:lpwstr>
  </property>
  <property fmtid="{D5CDD505-2E9C-101B-9397-08002B2CF9AE}" pid="9" name="Legacy">
    <vt:lpwstr>ROCIS</vt:lpwstr>
  </property>
  <property fmtid="{D5CDD505-2E9C-101B-9397-08002B2CF9AE}" pid="10" name="Renewal Year">
    <vt:lpwstr>FY15</vt:lpwstr>
  </property>
  <property fmtid="{D5CDD505-2E9C-101B-9397-08002B2CF9AE}" pid="11" name="_NewReviewCycle">
    <vt:lpwstr/>
  </property>
  <property fmtid="{D5CDD505-2E9C-101B-9397-08002B2CF9AE}" pid="12" name="Office">
    <vt:lpwstr>OIA</vt:lpwstr>
  </property>
  <property fmtid="{D5CDD505-2E9C-101B-9397-08002B2CF9AE}" pid="13" name="RequestType">
    <vt:lpwstr>Extension</vt:lpwstr>
  </property>
  <property fmtid="{D5CDD505-2E9C-101B-9397-08002B2CF9AE}" pid="14" name="Comment">
    <vt:lpwstr>Draft; edits needed</vt:lpwstr>
  </property>
  <property fmtid="{D5CDD505-2E9C-101B-9397-08002B2CF9AE}" pid="15" name="OtherAction">
    <vt:lpwstr>ROCIS</vt:lpwstr>
  </property>
  <property fmtid="{D5CDD505-2E9C-101B-9397-08002B2CF9AE}" pid="16" name="CollectionYear">
    <vt:lpwstr>FY19</vt:lpwstr>
  </property>
  <property fmtid="{D5CDD505-2E9C-101B-9397-08002B2CF9AE}" pid="17" name="DayNotice">
    <vt:lpwstr>N/A</vt:lpwstr>
  </property>
  <property fmtid="{D5CDD505-2E9C-101B-9397-08002B2CF9AE}" pid="18" name="DocumentType">
    <vt:lpwstr>Supporting Statement</vt:lpwstr>
  </property>
</Properties>
</file>