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939DD" w:rsidR="00FC7490" w:rsidRDefault="270996F6" w14:paraId="53D4B8EA" w14:textId="62212CF3">
      <w:pPr>
        <w:pStyle w:val="Title"/>
        <w:jc w:val="right"/>
        <w:rPr>
          <w:bCs/>
        </w:rPr>
      </w:pPr>
      <w:r w:rsidRPr="004939DD">
        <w:rPr>
          <w:bCs/>
        </w:rPr>
        <w:t xml:space="preserve">November </w:t>
      </w:r>
      <w:r w:rsidR="009D252C">
        <w:rPr>
          <w:bCs/>
        </w:rPr>
        <w:t>17</w:t>
      </w:r>
      <w:r w:rsidRPr="004939DD">
        <w:rPr>
          <w:bCs/>
        </w:rPr>
        <w:t>, 2021</w:t>
      </w:r>
    </w:p>
    <w:p w:rsidRPr="00626A81" w:rsidR="00562915" w:rsidP="00A11A26" w:rsidRDefault="00562915" w14:paraId="718CBFFB" w14:textId="2A3373FD">
      <w:pPr>
        <w:pStyle w:val="Title"/>
        <w:contextualSpacing/>
      </w:pPr>
      <w:r>
        <w:t xml:space="preserve">Supporting Statement for </w:t>
      </w:r>
    </w:p>
    <w:p w:rsidRPr="00626A81" w:rsidR="00562915" w:rsidP="00A11A26" w:rsidRDefault="00562915" w14:paraId="746898F5" w14:textId="77777777">
      <w:pPr>
        <w:pStyle w:val="Title"/>
        <w:contextualSpacing/>
      </w:pPr>
      <w:r w:rsidRPr="00626A81">
        <w:t>Paperwork Reduction Act Submissions</w:t>
      </w:r>
    </w:p>
    <w:p w:rsidRPr="00626A81" w:rsidR="00562915" w:rsidP="00A11A26" w:rsidRDefault="00562915" w14:paraId="672A6659" w14:textId="77777777">
      <w:pPr>
        <w:tabs>
          <w:tab w:val="left" w:pos="-720"/>
        </w:tabs>
        <w:suppressAutoHyphens/>
        <w:contextualSpacing/>
        <w:rPr>
          <w:rFonts w:ascii="Times New Roman" w:hAnsi="Times New Roman" w:cs="Times New Roman"/>
          <w:b/>
          <w:sz w:val="24"/>
          <w:szCs w:val="24"/>
        </w:rPr>
      </w:pPr>
    </w:p>
    <w:p w:rsidRPr="00626A81" w:rsidR="00083610" w:rsidP="00A11A26" w:rsidRDefault="00562915" w14:paraId="2FF5299C" w14:textId="4FA217CA">
      <w:pPr>
        <w:tabs>
          <w:tab w:val="left" w:pos="-720"/>
        </w:tabs>
        <w:suppressAutoHyphens/>
        <w:contextualSpacing/>
        <w:rPr>
          <w:rFonts w:ascii="Times New Roman" w:hAnsi="Times New Roman" w:cs="Times New Roman"/>
          <w:b/>
          <w:sz w:val="28"/>
          <w:szCs w:val="28"/>
        </w:rPr>
      </w:pPr>
      <w:r w:rsidRPr="00626A81">
        <w:rPr>
          <w:rFonts w:ascii="Times New Roman" w:hAnsi="Times New Roman" w:cs="Times New Roman"/>
          <w:b/>
          <w:sz w:val="28"/>
          <w:szCs w:val="28"/>
        </w:rPr>
        <w:t xml:space="preserve">OMB Control Number:  </w:t>
      </w:r>
      <w:r w:rsidRPr="00626A81" w:rsidR="047442BA">
        <w:rPr>
          <w:rFonts w:ascii="Times New Roman" w:hAnsi="Times New Roman" w:cs="Times New Roman"/>
          <w:b/>
          <w:bCs/>
          <w:sz w:val="28"/>
          <w:szCs w:val="28"/>
        </w:rPr>
        <w:t>1660-</w:t>
      </w:r>
      <w:r w:rsidRPr="00626A81" w:rsidR="00640086">
        <w:rPr>
          <w:rFonts w:ascii="Times New Roman" w:hAnsi="Times New Roman" w:cs="Times New Roman"/>
          <w:b/>
          <w:bCs/>
          <w:sz w:val="28"/>
          <w:szCs w:val="28"/>
        </w:rPr>
        <w:t>NW1</w:t>
      </w:r>
      <w:r w:rsidRPr="00626A81" w:rsidR="00E565DE">
        <w:rPr>
          <w:rFonts w:ascii="Times New Roman" w:hAnsi="Times New Roman" w:cs="Times New Roman"/>
          <w:b/>
          <w:bCs/>
          <w:sz w:val="28"/>
          <w:szCs w:val="28"/>
        </w:rPr>
        <w:t>32</w:t>
      </w:r>
    </w:p>
    <w:p w:rsidRPr="00626A81" w:rsidR="00562915" w:rsidP="00A11A26" w:rsidRDefault="00562915" w14:paraId="28A6500C" w14:textId="5882ED18">
      <w:pPr>
        <w:contextualSpacing/>
        <w:rPr>
          <w:rFonts w:ascii="Times New Roman" w:hAnsi="Times New Roman" w:cs="Times New Roman"/>
          <w:b/>
          <w:sz w:val="28"/>
          <w:szCs w:val="28"/>
        </w:rPr>
      </w:pPr>
      <w:r w:rsidRPr="00626A81">
        <w:rPr>
          <w:rFonts w:ascii="Times New Roman" w:hAnsi="Times New Roman" w:cs="Times New Roman"/>
          <w:b/>
          <w:sz w:val="28"/>
          <w:szCs w:val="28"/>
        </w:rPr>
        <w:t xml:space="preserve">Title:  </w:t>
      </w:r>
      <w:r w:rsidRPr="00626A81" w:rsidR="00640086">
        <w:rPr>
          <w:rFonts w:ascii="Times New Roman" w:hAnsi="Times New Roman" w:cs="Times New Roman"/>
          <w:b/>
          <w:sz w:val="28"/>
          <w:szCs w:val="28"/>
        </w:rPr>
        <w:t>FEMA</w:t>
      </w:r>
      <w:r w:rsidRPr="00626A81" w:rsidR="00380D54">
        <w:rPr>
          <w:rFonts w:ascii="Times New Roman" w:hAnsi="Times New Roman" w:cs="Times New Roman"/>
          <w:b/>
          <w:sz w:val="28"/>
          <w:szCs w:val="28"/>
        </w:rPr>
        <w:t>-</w:t>
      </w:r>
      <w:r w:rsidRPr="00626A81" w:rsidR="004E7F2C">
        <w:rPr>
          <w:rFonts w:ascii="Times New Roman" w:hAnsi="Times New Roman" w:cs="Times New Roman"/>
          <w:b/>
          <w:sz w:val="28"/>
          <w:szCs w:val="28"/>
        </w:rPr>
        <w:t>A</w:t>
      </w:r>
      <w:r w:rsidRPr="00626A81" w:rsidR="00380D54">
        <w:rPr>
          <w:rFonts w:ascii="Times New Roman" w:hAnsi="Times New Roman" w:cs="Times New Roman"/>
          <w:b/>
          <w:sz w:val="28"/>
          <w:szCs w:val="28"/>
        </w:rPr>
        <w:t xml:space="preserve">dministered Disaster Case Management </w:t>
      </w:r>
      <w:r w:rsidRPr="00626A81" w:rsidR="004E7F2C">
        <w:rPr>
          <w:rFonts w:ascii="Times New Roman" w:hAnsi="Times New Roman" w:cs="Times New Roman"/>
          <w:b/>
          <w:sz w:val="28"/>
          <w:szCs w:val="28"/>
        </w:rPr>
        <w:t>Intake Form</w:t>
      </w:r>
    </w:p>
    <w:p w:rsidR="00562915" w:rsidP="535D75D0" w:rsidRDefault="00562915" w14:paraId="2C1D6501" w14:textId="245E811E">
      <w:pPr>
        <w:suppressAutoHyphens/>
        <w:ind w:left="2160" w:hanging="2160"/>
        <w:contextualSpacing/>
        <w:rPr>
          <w:rFonts w:ascii="Times New Roman" w:hAnsi="Times New Roman" w:cs="Times New Roman"/>
          <w:b/>
          <w:bCs/>
          <w:sz w:val="28"/>
          <w:szCs w:val="28"/>
        </w:rPr>
      </w:pPr>
      <w:r w:rsidRPr="535D75D0">
        <w:rPr>
          <w:rFonts w:ascii="Times New Roman" w:hAnsi="Times New Roman" w:cs="Times New Roman"/>
          <w:b/>
          <w:bCs/>
          <w:sz w:val="28"/>
          <w:szCs w:val="28"/>
        </w:rPr>
        <w:t>Form Number(s):</w:t>
      </w:r>
      <w:r>
        <w:tab/>
      </w:r>
      <w:r w:rsidRPr="535D75D0" w:rsidR="00E565DE">
        <w:rPr>
          <w:rFonts w:ascii="Times New Roman" w:hAnsi="Times New Roman" w:cs="Times New Roman"/>
          <w:b/>
          <w:bCs/>
          <w:sz w:val="28"/>
          <w:szCs w:val="28"/>
        </w:rPr>
        <w:t xml:space="preserve">FEMA Form </w:t>
      </w:r>
      <w:r w:rsidRPr="535D75D0" w:rsidR="00A11A26">
        <w:rPr>
          <w:rFonts w:ascii="Times New Roman" w:hAnsi="Times New Roman" w:cs="Times New Roman"/>
          <w:b/>
          <w:bCs/>
          <w:sz w:val="28"/>
          <w:szCs w:val="28"/>
        </w:rPr>
        <w:t xml:space="preserve">FF-104-FY-21-146 </w:t>
      </w:r>
      <w:r w:rsidRPr="535D75D0" w:rsidR="00E565DE">
        <w:rPr>
          <w:rFonts w:ascii="Times New Roman" w:hAnsi="Times New Roman" w:cs="Times New Roman"/>
          <w:b/>
          <w:bCs/>
          <w:sz w:val="28"/>
          <w:szCs w:val="28"/>
        </w:rPr>
        <w:t xml:space="preserve">– </w:t>
      </w:r>
      <w:r w:rsidRPr="535D75D0" w:rsidR="00A11A26">
        <w:rPr>
          <w:rFonts w:ascii="Times New Roman" w:hAnsi="Times New Roman" w:cs="Times New Roman"/>
          <w:b/>
          <w:bCs/>
          <w:sz w:val="28"/>
          <w:szCs w:val="28"/>
        </w:rPr>
        <w:t xml:space="preserve">Administered </w:t>
      </w:r>
      <w:r w:rsidRPr="535D75D0" w:rsidR="00E565DE">
        <w:rPr>
          <w:rFonts w:ascii="Times New Roman" w:hAnsi="Times New Roman" w:cs="Times New Roman"/>
          <w:b/>
          <w:bCs/>
          <w:sz w:val="28"/>
          <w:szCs w:val="28"/>
        </w:rPr>
        <w:t>DCM Intake</w:t>
      </w:r>
      <w:r w:rsidRPr="535D75D0" w:rsidR="00A11A26">
        <w:rPr>
          <w:rFonts w:ascii="Times New Roman" w:hAnsi="Times New Roman" w:cs="Times New Roman"/>
          <w:b/>
          <w:bCs/>
          <w:sz w:val="28"/>
          <w:szCs w:val="28"/>
        </w:rPr>
        <w:t xml:space="preserve"> Form</w:t>
      </w:r>
    </w:p>
    <w:p w:rsidRPr="00626A81" w:rsidR="00A11A26" w:rsidP="00A11A26" w:rsidRDefault="00A11A26" w14:paraId="60C19267" w14:textId="4B352EE5">
      <w:pPr>
        <w:tabs>
          <w:tab w:val="left" w:pos="-720"/>
        </w:tabs>
        <w:suppressAutoHyphens/>
        <w:ind w:left="2160" w:hanging="2160"/>
        <w:contextualSpacing/>
        <w:rPr>
          <w:rFonts w:ascii="Times New Roman" w:hAnsi="Times New Roman" w:cs="Times New Roman"/>
          <w:b/>
          <w:sz w:val="28"/>
          <w:szCs w:val="28"/>
        </w:rPr>
      </w:pPr>
      <w:r>
        <w:rPr>
          <w:rFonts w:ascii="Times New Roman" w:hAnsi="Times New Roman" w:cs="Times New Roman"/>
          <w:b/>
          <w:sz w:val="28"/>
          <w:szCs w:val="28"/>
        </w:rPr>
        <w:tab/>
        <w:t xml:space="preserve">FEMA Form FF-104-FY-21-147 – </w:t>
      </w:r>
      <w:r w:rsidR="00FB600C">
        <w:rPr>
          <w:rFonts w:ascii="Times New Roman" w:hAnsi="Times New Roman" w:cs="Times New Roman"/>
          <w:b/>
          <w:sz w:val="28"/>
          <w:szCs w:val="28"/>
        </w:rPr>
        <w:t>Consent Form</w:t>
      </w:r>
    </w:p>
    <w:p w:rsidR="00562915" w:rsidP="00A11A26" w:rsidRDefault="00562915" w14:paraId="194861D8" w14:textId="77777777">
      <w:pPr>
        <w:pStyle w:val="Heading1"/>
        <w:contextualSpacing/>
        <w:rPr>
          <w:szCs w:val="28"/>
        </w:rPr>
      </w:pPr>
      <w:r w:rsidRPr="00B92B09">
        <w:rPr>
          <w:szCs w:val="28"/>
        </w:rPr>
        <w:t>General Instructions</w:t>
      </w:r>
    </w:p>
    <w:p w:rsidRPr="00B92B09" w:rsidR="00B92B09" w:rsidP="00A11A26" w:rsidRDefault="00B92B09" w14:paraId="5DAB6C7B" w14:textId="77777777">
      <w:pPr>
        <w:spacing w:after="0" w:line="240" w:lineRule="auto"/>
        <w:contextualSpacing/>
      </w:pPr>
    </w:p>
    <w:p w:rsidRPr="006625E7" w:rsidR="00562915" w:rsidP="00A11A26" w:rsidRDefault="00562915" w14:paraId="3FEF167A" w14:textId="19DDC095">
      <w:pPr>
        <w:suppressAutoHyphens/>
        <w:spacing w:after="0" w:line="240" w:lineRule="auto"/>
        <w:contextualSpacing/>
        <w:rPr>
          <w:rFonts w:ascii="Times New Roman" w:hAnsi="Times New Roman" w:cs="Times New Roman"/>
          <w:sz w:val="24"/>
          <w:szCs w:val="24"/>
        </w:rPr>
      </w:pPr>
      <w:r w:rsidRPr="60D7314D">
        <w:rPr>
          <w:rFonts w:ascii="Times New Roman" w:hAnsi="Times New Roman" w:cs="Times New Roman"/>
          <w:sz w:val="24"/>
          <w:szCs w:val="24"/>
        </w:rPr>
        <w:t>A Supporting Statement, including the text of the notice to the public required by 5 CFR 1320.5(a)(</w:t>
      </w:r>
      <w:r w:rsidRPr="60D7314D" w:rsidR="72C8C60E">
        <w:rPr>
          <w:rFonts w:ascii="Times New Roman" w:hAnsi="Times New Roman" w:cs="Times New Roman"/>
          <w:sz w:val="24"/>
          <w:szCs w:val="24"/>
        </w:rPr>
        <w:t>1</w:t>
      </w:r>
      <w:r w:rsidRPr="60D7314D">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P="00A11A26" w:rsidRDefault="00B92B09" w14:paraId="02EB378F" w14:textId="77777777">
      <w:pPr>
        <w:pStyle w:val="Heading1"/>
        <w:contextualSpacing/>
        <w:rPr>
          <w:szCs w:val="28"/>
        </w:rPr>
      </w:pPr>
    </w:p>
    <w:p w:rsidRPr="00B92B09" w:rsidR="00562915" w:rsidP="00A11A26" w:rsidRDefault="00562915" w14:paraId="329FD6F4" w14:textId="77777777">
      <w:pPr>
        <w:pStyle w:val="Heading1"/>
        <w:contextualSpacing/>
        <w:rPr>
          <w:szCs w:val="28"/>
        </w:rPr>
      </w:pPr>
      <w:r w:rsidRPr="00B92B09">
        <w:rPr>
          <w:szCs w:val="28"/>
        </w:rPr>
        <w:t>Specific Instructions</w:t>
      </w:r>
    </w:p>
    <w:p w:rsidRPr="00B92B09" w:rsidR="00562915" w:rsidP="00A11A26" w:rsidRDefault="00562915" w14:paraId="6A05A809" w14:textId="77777777">
      <w:pPr>
        <w:tabs>
          <w:tab w:val="left" w:pos="-720"/>
        </w:tabs>
        <w:suppressAutoHyphens/>
        <w:spacing w:after="0" w:line="240" w:lineRule="auto"/>
        <w:contextualSpacing/>
        <w:rPr>
          <w:rFonts w:ascii="Times New Roman" w:hAnsi="Times New Roman" w:cs="Times New Roman"/>
          <w:sz w:val="28"/>
          <w:szCs w:val="28"/>
        </w:rPr>
      </w:pPr>
    </w:p>
    <w:p w:rsidRPr="00B92B09" w:rsidR="00562915" w:rsidP="00A11A26" w:rsidRDefault="00562915" w14:paraId="4D4762C9" w14:textId="77777777">
      <w:pPr>
        <w:pStyle w:val="Heading1"/>
        <w:contextualSpacing/>
        <w:rPr>
          <w:szCs w:val="28"/>
        </w:rPr>
      </w:pPr>
      <w:r w:rsidRPr="00B92B09">
        <w:rPr>
          <w:szCs w:val="28"/>
        </w:rPr>
        <w:t>A.  Justification</w:t>
      </w:r>
    </w:p>
    <w:p w:rsidRPr="00B92B09" w:rsidR="00562915" w:rsidP="00A11A26" w:rsidRDefault="00562915" w14:paraId="5A39BBE3" w14:textId="77777777">
      <w:pPr>
        <w:spacing w:after="0" w:line="240" w:lineRule="auto"/>
        <w:contextualSpacing/>
        <w:rPr>
          <w:rFonts w:ascii="Times New Roman" w:hAnsi="Times New Roman" w:cs="Times New Roman"/>
          <w:sz w:val="28"/>
          <w:szCs w:val="28"/>
        </w:rPr>
      </w:pPr>
    </w:p>
    <w:p w:rsidRPr="006625E7" w:rsidR="00562915" w:rsidP="00A11A26" w:rsidRDefault="00562915" w14:paraId="78AE73CA" w14:textId="77777777">
      <w:pPr>
        <w:numPr>
          <w:ilvl w:val="0"/>
          <w:numId w:val="1"/>
        </w:numPr>
        <w:spacing w:after="0" w:line="240" w:lineRule="auto"/>
        <w:contextualSpacing/>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Pr="006625E7" w:rsidR="00562915" w:rsidP="00A11A26" w:rsidRDefault="00562915" w14:paraId="39B02208" w14:textId="77777777">
      <w:pPr>
        <w:contextualSpacing/>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FB600C" w:rsidP="00A11A26" w:rsidRDefault="00FB600C" w14:paraId="531570D9" w14:textId="77777777">
      <w:pPr>
        <w:contextualSpacing/>
        <w:rPr>
          <w:rFonts w:ascii="Times New Roman" w:hAnsi="Times New Roman" w:cs="Times New Roman"/>
          <w:spacing w:val="-3"/>
          <w:sz w:val="24"/>
          <w:szCs w:val="24"/>
        </w:rPr>
      </w:pPr>
    </w:p>
    <w:p w:rsidR="00562915" w:rsidP="00A11A26" w:rsidRDefault="00A11A26" w14:paraId="4527EADE" w14:textId="7229FFDE">
      <w:pPr>
        <w:contextualSpacing/>
        <w:rPr>
          <w:rFonts w:ascii="Times New Roman" w:hAnsi="Times New Roman" w:cs="Times New Roman"/>
          <w:spacing w:val="-3"/>
          <w:sz w:val="24"/>
          <w:szCs w:val="24"/>
        </w:rPr>
      </w:pPr>
      <w:r w:rsidRPr="535D75D0">
        <w:rPr>
          <w:rFonts w:ascii="Times New Roman" w:hAnsi="Times New Roman" w:cs="Times New Roman"/>
          <w:sz w:val="24"/>
          <w:szCs w:val="24"/>
        </w:rPr>
        <w:t>Section 426 of t</w:t>
      </w:r>
      <w:r w:rsidR="00083610">
        <w:rPr>
          <w:rFonts w:ascii="Times New Roman" w:hAnsi="Times New Roman" w:cs="Times New Roman"/>
          <w:spacing w:val="-3"/>
          <w:sz w:val="24"/>
          <w:szCs w:val="24"/>
        </w:rPr>
        <w:t>he Robert T. Stafford Disaster Relief and Emergency Assistance Act (Stafford Act), Pub</w:t>
      </w:r>
      <w:r w:rsidR="26C33DE4">
        <w:rPr>
          <w:rFonts w:ascii="Times New Roman" w:hAnsi="Times New Roman" w:cs="Times New Roman"/>
          <w:spacing w:val="-3"/>
          <w:sz w:val="24"/>
          <w:szCs w:val="24"/>
        </w:rPr>
        <w:t>.</w:t>
      </w:r>
      <w:r w:rsidR="00083610">
        <w:rPr>
          <w:rFonts w:ascii="Times New Roman" w:hAnsi="Times New Roman" w:cs="Times New Roman"/>
          <w:spacing w:val="-3"/>
          <w:sz w:val="24"/>
          <w:szCs w:val="24"/>
        </w:rPr>
        <w:t xml:space="preserve"> L</w:t>
      </w:r>
      <w:r w:rsidR="3656763D">
        <w:rPr>
          <w:rFonts w:ascii="Times New Roman" w:hAnsi="Times New Roman" w:cs="Times New Roman"/>
          <w:spacing w:val="-3"/>
          <w:sz w:val="24"/>
          <w:szCs w:val="24"/>
        </w:rPr>
        <w:t>.</w:t>
      </w:r>
      <w:r w:rsidR="00083610">
        <w:rPr>
          <w:rFonts w:ascii="Times New Roman" w:hAnsi="Times New Roman" w:cs="Times New Roman"/>
          <w:spacing w:val="-3"/>
          <w:sz w:val="24"/>
          <w:szCs w:val="24"/>
        </w:rPr>
        <w:t xml:space="preserve"> 93-288, as amended</w:t>
      </w:r>
      <w:r w:rsidRPr="535D75D0" w:rsidR="00962F72">
        <w:rPr>
          <w:rFonts w:ascii="Times New Roman" w:hAnsi="Times New Roman" w:cs="Times New Roman"/>
          <w:sz w:val="24"/>
          <w:szCs w:val="24"/>
        </w:rPr>
        <w:t xml:space="preserve"> and codified </w:t>
      </w:r>
      <w:r w:rsidRPr="535D75D0" w:rsidR="00E424C6">
        <w:rPr>
          <w:rFonts w:ascii="Times New Roman" w:hAnsi="Times New Roman" w:cs="Times New Roman"/>
          <w:sz w:val="24"/>
          <w:szCs w:val="24"/>
        </w:rPr>
        <w:t>at</w:t>
      </w:r>
      <w:r w:rsidRPr="535D75D0" w:rsidR="00962F72">
        <w:rPr>
          <w:rFonts w:ascii="Times New Roman" w:hAnsi="Times New Roman" w:cs="Times New Roman"/>
          <w:sz w:val="24"/>
          <w:szCs w:val="24"/>
        </w:rPr>
        <w:t xml:space="preserve"> </w:t>
      </w:r>
      <w:r w:rsidRPr="535D75D0">
        <w:rPr>
          <w:rFonts w:ascii="Times New Roman" w:hAnsi="Times New Roman" w:cs="Times New Roman"/>
          <w:sz w:val="24"/>
          <w:szCs w:val="24"/>
        </w:rPr>
        <w:t>42 U.S.C. § 5189d</w:t>
      </w:r>
      <w:r w:rsidR="00083610">
        <w:rPr>
          <w:rFonts w:ascii="Times New Roman" w:hAnsi="Times New Roman" w:cs="Times New Roman"/>
          <w:spacing w:val="-3"/>
          <w:sz w:val="24"/>
          <w:szCs w:val="24"/>
        </w:rPr>
        <w:t xml:space="preserve"> is the legal basis for </w:t>
      </w:r>
      <w:r w:rsidR="00FC7490">
        <w:rPr>
          <w:rFonts w:ascii="Times New Roman" w:hAnsi="Times New Roman" w:cs="Times New Roman"/>
          <w:spacing w:val="-3"/>
          <w:sz w:val="24"/>
          <w:szCs w:val="24"/>
        </w:rPr>
        <w:t>the Federal Emergency Management Agency (</w:t>
      </w:r>
      <w:r w:rsidR="00083610">
        <w:rPr>
          <w:rFonts w:ascii="Times New Roman" w:hAnsi="Times New Roman" w:cs="Times New Roman"/>
          <w:spacing w:val="-3"/>
          <w:sz w:val="24"/>
          <w:szCs w:val="24"/>
        </w:rPr>
        <w:t>FEMA</w:t>
      </w:r>
      <w:r w:rsidR="00FC7490">
        <w:rPr>
          <w:rFonts w:ascii="Times New Roman" w:hAnsi="Times New Roman" w:cs="Times New Roman"/>
          <w:spacing w:val="-3"/>
          <w:sz w:val="24"/>
          <w:szCs w:val="24"/>
        </w:rPr>
        <w:t>)</w:t>
      </w:r>
      <w:r w:rsidR="00083610">
        <w:rPr>
          <w:rFonts w:ascii="Times New Roman" w:hAnsi="Times New Roman" w:cs="Times New Roman"/>
          <w:spacing w:val="-3"/>
          <w:sz w:val="24"/>
          <w:szCs w:val="24"/>
        </w:rPr>
        <w:t xml:space="preserve"> to provide </w:t>
      </w:r>
      <w:r w:rsidR="005A6C33">
        <w:rPr>
          <w:rFonts w:ascii="Times New Roman" w:hAnsi="Times New Roman" w:cs="Times New Roman"/>
          <w:spacing w:val="-3"/>
          <w:sz w:val="24"/>
          <w:szCs w:val="24"/>
        </w:rPr>
        <w:t xml:space="preserve">case management services to victims of major disasters to identify and address unmet needs. </w:t>
      </w:r>
      <w:r w:rsidR="00380D54">
        <w:rPr>
          <w:rFonts w:ascii="Times New Roman" w:hAnsi="Times New Roman" w:cs="Times New Roman"/>
          <w:spacing w:val="-3"/>
          <w:sz w:val="24"/>
          <w:szCs w:val="24"/>
        </w:rPr>
        <w:t>A</w:t>
      </w:r>
      <w:r w:rsidR="005A6C33">
        <w:rPr>
          <w:rFonts w:ascii="Times New Roman" w:hAnsi="Times New Roman" w:cs="Times New Roman"/>
          <w:spacing w:val="-3"/>
          <w:sz w:val="24"/>
          <w:szCs w:val="24"/>
        </w:rPr>
        <w:t>s part of its disaster response</w:t>
      </w:r>
      <w:r w:rsidR="004E7F2C">
        <w:rPr>
          <w:rFonts w:ascii="Times New Roman" w:hAnsi="Times New Roman" w:cs="Times New Roman"/>
          <w:spacing w:val="-3"/>
          <w:sz w:val="24"/>
          <w:szCs w:val="24"/>
        </w:rPr>
        <w:t xml:space="preserve"> and recovery mission</w:t>
      </w:r>
      <w:r w:rsidRPr="00EA7FB2" w:rsidR="005A6C33">
        <w:rPr>
          <w:rFonts w:ascii="Times New Roman" w:hAnsi="Times New Roman" w:cs="Times New Roman"/>
          <w:spacing w:val="-3"/>
          <w:sz w:val="24"/>
          <w:szCs w:val="24"/>
        </w:rPr>
        <w:t xml:space="preserve">, </w:t>
      </w:r>
      <w:r w:rsidRPr="004939DD" w:rsidR="005A6C33">
        <w:rPr>
          <w:rFonts w:ascii="Times New Roman" w:hAnsi="Times New Roman" w:cs="Times New Roman"/>
          <w:spacing w:val="-3"/>
          <w:sz w:val="24"/>
          <w:szCs w:val="24"/>
        </w:rPr>
        <w:t xml:space="preserve">FEMA may </w:t>
      </w:r>
      <w:r w:rsidRPr="004939DD" w:rsidR="00380D54">
        <w:rPr>
          <w:rFonts w:ascii="Times New Roman" w:hAnsi="Times New Roman" w:cs="Times New Roman"/>
          <w:spacing w:val="-3"/>
          <w:sz w:val="24"/>
          <w:szCs w:val="24"/>
        </w:rPr>
        <w:t>provide services itself,</w:t>
      </w:r>
      <w:r w:rsidRPr="00EA7FB2" w:rsidR="00380D54">
        <w:rPr>
          <w:rFonts w:ascii="Times New Roman" w:hAnsi="Times New Roman" w:cs="Times New Roman"/>
          <w:spacing w:val="-3"/>
          <w:sz w:val="24"/>
          <w:szCs w:val="24"/>
        </w:rPr>
        <w:t xml:space="preserve"> </w:t>
      </w:r>
      <w:r w:rsidRPr="004939DD" w:rsidR="005A6C33">
        <w:rPr>
          <w:rFonts w:ascii="Times New Roman" w:hAnsi="Times New Roman" w:cs="Times New Roman"/>
          <w:spacing w:val="-3"/>
          <w:sz w:val="24"/>
          <w:szCs w:val="24"/>
        </w:rPr>
        <w:t>issue</w:t>
      </w:r>
      <w:r w:rsidR="005A6C33">
        <w:rPr>
          <w:rFonts w:ascii="Times New Roman" w:hAnsi="Times New Roman" w:cs="Times New Roman"/>
          <w:spacing w:val="-3"/>
          <w:sz w:val="24"/>
          <w:szCs w:val="24"/>
        </w:rPr>
        <w:t xml:space="preserve"> a</w:t>
      </w:r>
      <w:r w:rsidR="00380D54">
        <w:rPr>
          <w:rFonts w:ascii="Times New Roman" w:hAnsi="Times New Roman" w:cs="Times New Roman"/>
          <w:spacing w:val="-3"/>
          <w:sz w:val="24"/>
          <w:szCs w:val="24"/>
        </w:rPr>
        <w:t>n agreement with another Federal agency or contract with a non-profit or commercial organization to implement a FEMA-administered</w:t>
      </w:r>
      <w:r w:rsidR="005A6C33">
        <w:rPr>
          <w:rFonts w:ascii="Times New Roman" w:hAnsi="Times New Roman" w:cs="Times New Roman"/>
          <w:spacing w:val="-3"/>
          <w:sz w:val="24"/>
          <w:szCs w:val="24"/>
        </w:rPr>
        <w:t xml:space="preserve"> Disaster Case Management (DCM) </w:t>
      </w:r>
      <w:r w:rsidR="00380D54">
        <w:rPr>
          <w:rFonts w:ascii="Times New Roman" w:hAnsi="Times New Roman" w:cs="Times New Roman"/>
          <w:spacing w:val="-3"/>
          <w:sz w:val="24"/>
          <w:szCs w:val="24"/>
        </w:rPr>
        <w:t>program</w:t>
      </w:r>
      <w:r w:rsidR="005A6C33">
        <w:rPr>
          <w:rFonts w:ascii="Times New Roman" w:hAnsi="Times New Roman" w:cs="Times New Roman"/>
          <w:spacing w:val="-3"/>
          <w:sz w:val="24"/>
          <w:szCs w:val="24"/>
        </w:rPr>
        <w:t xml:space="preserve">. </w:t>
      </w:r>
      <w:r w:rsidR="00380D54">
        <w:rPr>
          <w:rFonts w:ascii="Times New Roman" w:hAnsi="Times New Roman" w:cs="Times New Roman"/>
          <w:spacing w:val="-3"/>
          <w:sz w:val="24"/>
          <w:szCs w:val="24"/>
        </w:rPr>
        <w:t xml:space="preserve">FEMA-administered DCM </w:t>
      </w:r>
      <w:r w:rsidR="00F41F5F">
        <w:rPr>
          <w:rFonts w:ascii="Times New Roman" w:hAnsi="Times New Roman" w:cs="Times New Roman"/>
          <w:spacing w:val="-3"/>
          <w:sz w:val="24"/>
          <w:szCs w:val="24"/>
        </w:rPr>
        <w:t>services include assessing disaster-caused unmet needs</w:t>
      </w:r>
      <w:r w:rsidR="00787D75">
        <w:rPr>
          <w:rFonts w:ascii="Times New Roman" w:hAnsi="Times New Roman" w:cs="Times New Roman"/>
          <w:spacing w:val="-3"/>
          <w:sz w:val="24"/>
          <w:szCs w:val="24"/>
        </w:rPr>
        <w:t>;</w:t>
      </w:r>
      <w:r w:rsidR="00F41F5F">
        <w:rPr>
          <w:rFonts w:ascii="Times New Roman" w:hAnsi="Times New Roman" w:cs="Times New Roman"/>
          <w:spacing w:val="-3"/>
          <w:sz w:val="24"/>
          <w:szCs w:val="24"/>
        </w:rPr>
        <w:t xml:space="preserve"> screening to gather necessary information on the survivor’s specific unmet needs</w:t>
      </w:r>
      <w:r w:rsidR="00787D75">
        <w:rPr>
          <w:rFonts w:ascii="Times New Roman" w:hAnsi="Times New Roman" w:cs="Times New Roman"/>
          <w:spacing w:val="-3"/>
          <w:sz w:val="24"/>
          <w:szCs w:val="24"/>
        </w:rPr>
        <w:t>;</w:t>
      </w:r>
      <w:r w:rsidR="00F41F5F">
        <w:rPr>
          <w:rFonts w:ascii="Times New Roman" w:hAnsi="Times New Roman" w:cs="Times New Roman"/>
          <w:spacing w:val="-3"/>
          <w:sz w:val="24"/>
          <w:szCs w:val="24"/>
        </w:rPr>
        <w:t xml:space="preserve"> </w:t>
      </w:r>
      <w:r w:rsidR="00787D75">
        <w:rPr>
          <w:rFonts w:ascii="Times New Roman" w:hAnsi="Times New Roman" w:cs="Times New Roman"/>
          <w:spacing w:val="-3"/>
          <w:sz w:val="24"/>
          <w:szCs w:val="24"/>
        </w:rPr>
        <w:t xml:space="preserve">providing </w:t>
      </w:r>
      <w:r w:rsidR="00F41F5F">
        <w:rPr>
          <w:rFonts w:ascii="Times New Roman" w:hAnsi="Times New Roman" w:cs="Times New Roman"/>
          <w:spacing w:val="-3"/>
          <w:sz w:val="24"/>
          <w:szCs w:val="24"/>
        </w:rPr>
        <w:t>information and referral to resources to address unmet needs</w:t>
      </w:r>
      <w:r w:rsidR="00787D75">
        <w:rPr>
          <w:rFonts w:ascii="Times New Roman" w:hAnsi="Times New Roman" w:cs="Times New Roman"/>
          <w:spacing w:val="-3"/>
          <w:sz w:val="24"/>
          <w:szCs w:val="24"/>
        </w:rPr>
        <w:t>;</w:t>
      </w:r>
      <w:r w:rsidR="00F41F5F">
        <w:rPr>
          <w:rFonts w:ascii="Times New Roman" w:hAnsi="Times New Roman" w:cs="Times New Roman"/>
          <w:spacing w:val="-3"/>
          <w:sz w:val="24"/>
          <w:szCs w:val="24"/>
        </w:rPr>
        <w:t xml:space="preserve"> and providing </w:t>
      </w:r>
      <w:r w:rsidR="00F41F5F">
        <w:rPr>
          <w:rFonts w:ascii="Times New Roman" w:hAnsi="Times New Roman" w:cs="Times New Roman"/>
          <w:spacing w:val="-3"/>
          <w:sz w:val="24"/>
          <w:szCs w:val="24"/>
        </w:rPr>
        <w:lastRenderedPageBreak/>
        <w:t>outreach and triage at FEMA</w:t>
      </w:r>
      <w:r w:rsidR="00787D75">
        <w:rPr>
          <w:rFonts w:ascii="Times New Roman" w:hAnsi="Times New Roman" w:cs="Times New Roman"/>
          <w:spacing w:val="-3"/>
          <w:sz w:val="24"/>
          <w:szCs w:val="24"/>
        </w:rPr>
        <w:t>-</w:t>
      </w:r>
      <w:r w:rsidR="00F41F5F">
        <w:rPr>
          <w:rFonts w:ascii="Times New Roman" w:hAnsi="Times New Roman" w:cs="Times New Roman"/>
          <w:spacing w:val="-3"/>
          <w:sz w:val="24"/>
          <w:szCs w:val="24"/>
        </w:rPr>
        <w:t xml:space="preserve">designated locations where survivors gather. </w:t>
      </w:r>
      <w:r w:rsidR="00380D54">
        <w:rPr>
          <w:rFonts w:ascii="Times New Roman" w:hAnsi="Times New Roman" w:cs="Times New Roman"/>
          <w:spacing w:val="-3"/>
          <w:sz w:val="24"/>
          <w:szCs w:val="24"/>
        </w:rPr>
        <w:t xml:space="preserve">FEMA, or an agent of FEMA, </w:t>
      </w:r>
      <w:r w:rsidR="00F41F5F">
        <w:rPr>
          <w:rFonts w:ascii="Times New Roman" w:hAnsi="Times New Roman" w:cs="Times New Roman"/>
          <w:spacing w:val="-3"/>
          <w:sz w:val="24"/>
          <w:szCs w:val="24"/>
        </w:rPr>
        <w:t xml:space="preserve">assists survivors in developing a preliminary disaster recovery plan and advocating for the resources needed to address their unmet needs. </w:t>
      </w:r>
      <w:r w:rsidR="00380D54">
        <w:rPr>
          <w:rFonts w:ascii="Times New Roman" w:hAnsi="Times New Roman" w:cs="Times New Roman"/>
          <w:spacing w:val="-3"/>
          <w:sz w:val="24"/>
          <w:szCs w:val="24"/>
        </w:rPr>
        <w:t>As defined in the agreement or contract, the agent</w:t>
      </w:r>
      <w:r w:rsidR="00F41F5F">
        <w:rPr>
          <w:rFonts w:ascii="Times New Roman" w:hAnsi="Times New Roman" w:cs="Times New Roman"/>
          <w:spacing w:val="-3"/>
          <w:sz w:val="24"/>
          <w:szCs w:val="24"/>
        </w:rPr>
        <w:t xml:space="preserve"> is performing case management functions on behalf of FEMA. </w:t>
      </w:r>
    </w:p>
    <w:p w:rsidRPr="00083610" w:rsidR="00A11A26" w:rsidP="00A11A26" w:rsidRDefault="00A11A26" w14:paraId="44EA3762" w14:textId="77777777">
      <w:pPr>
        <w:contextualSpacing/>
        <w:rPr>
          <w:rFonts w:ascii="Times New Roman" w:hAnsi="Times New Roman" w:cs="Times New Roman"/>
          <w:spacing w:val="-3"/>
          <w:sz w:val="24"/>
          <w:szCs w:val="24"/>
        </w:rPr>
      </w:pPr>
    </w:p>
    <w:p w:rsidRPr="006625E7" w:rsidR="00562915" w:rsidP="00A11A26" w:rsidRDefault="00562915" w14:paraId="1A0B65B4" w14:textId="44E6BB08">
      <w:pPr>
        <w:contextualSpacing/>
        <w:rPr>
          <w:rFonts w:ascii="Times New Roman" w:hAnsi="Times New Roman" w:cs="Times New Roman"/>
          <w:b/>
          <w:bCs/>
          <w:color w:val="000000" w:themeColor="text1"/>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3E745F8F">
        <w:rPr>
          <w:rFonts w:ascii="Times New Roman" w:hAnsi="Times New Roman" w:cs="Times New Roman"/>
          <w:b/>
          <w:color w:val="000000" w:themeColor="text1"/>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3E745F8F">
        <w:rPr>
          <w:rFonts w:ascii="Times New Roman" w:hAnsi="Times New Roman" w:cs="Times New Roman"/>
          <w:b/>
          <w:color w:val="000000" w:themeColor="text1"/>
          <w:sz w:val="24"/>
          <w:szCs w:val="24"/>
        </w:rPr>
        <w:t xml:space="preserve">what programmatic purpose.     </w:t>
      </w:r>
    </w:p>
    <w:p w:rsidR="00A11A26" w:rsidP="00A11A26" w:rsidRDefault="00A11A26" w14:paraId="37AD6583" w14:textId="77777777">
      <w:pPr>
        <w:contextualSpacing/>
        <w:rPr>
          <w:rFonts w:ascii="Times New Roman" w:hAnsi="Times New Roman" w:cs="Times New Roman"/>
          <w:color w:val="000000" w:themeColor="text1"/>
          <w:sz w:val="24"/>
          <w:szCs w:val="24"/>
        </w:rPr>
      </w:pPr>
    </w:p>
    <w:p w:rsidR="00562915" w:rsidP="00A11A26" w:rsidRDefault="20018CF3" w14:paraId="768FE614" w14:textId="74F0099B">
      <w:pPr>
        <w:contextualSpacing/>
        <w:rPr>
          <w:rFonts w:ascii="Times New Roman" w:hAnsi="Times New Roman" w:cs="Times New Roman"/>
          <w:color w:val="000000" w:themeColor="text1"/>
          <w:sz w:val="24"/>
          <w:szCs w:val="24"/>
        </w:rPr>
      </w:pPr>
      <w:r w:rsidRPr="00C436BC">
        <w:rPr>
          <w:rFonts w:ascii="Times New Roman" w:hAnsi="Times New Roman" w:cs="Times New Roman"/>
          <w:color w:val="000000" w:themeColor="text1"/>
          <w:sz w:val="24"/>
          <w:szCs w:val="24"/>
        </w:rPr>
        <w:t xml:space="preserve">The information gathered within this collection form is used </w:t>
      </w:r>
      <w:r w:rsidRPr="62E3A487" w:rsidR="014FE2DD">
        <w:rPr>
          <w:rFonts w:ascii="Times New Roman" w:hAnsi="Times New Roman" w:cs="Times New Roman"/>
          <w:color w:val="000000" w:themeColor="text1"/>
          <w:sz w:val="24"/>
          <w:szCs w:val="24"/>
        </w:rPr>
        <w:t>to determine the survivor’s disaster-caused unmet needs</w:t>
      </w:r>
      <w:r w:rsidR="00666B90">
        <w:rPr>
          <w:rFonts w:ascii="Times New Roman" w:hAnsi="Times New Roman" w:cs="Times New Roman"/>
          <w:color w:val="000000" w:themeColor="text1"/>
          <w:sz w:val="24"/>
          <w:szCs w:val="24"/>
        </w:rPr>
        <w:t xml:space="preserve">, </w:t>
      </w:r>
      <w:r w:rsidRPr="62E3A487" w:rsidR="014FE2DD">
        <w:rPr>
          <w:rFonts w:ascii="Times New Roman" w:hAnsi="Times New Roman" w:cs="Times New Roman"/>
          <w:color w:val="000000" w:themeColor="text1"/>
          <w:sz w:val="24"/>
          <w:szCs w:val="24"/>
        </w:rPr>
        <w:t>what types of referrals the case manager may provide</w:t>
      </w:r>
      <w:r w:rsidR="00666B90">
        <w:rPr>
          <w:rFonts w:ascii="Times New Roman" w:hAnsi="Times New Roman" w:cs="Times New Roman"/>
          <w:color w:val="000000" w:themeColor="text1"/>
          <w:sz w:val="24"/>
          <w:szCs w:val="24"/>
        </w:rPr>
        <w:t>, and ensuring the survivor is able to progress in their recovery</w:t>
      </w:r>
      <w:r w:rsidRPr="62E3A487" w:rsidR="014FE2DD">
        <w:rPr>
          <w:rFonts w:ascii="Times New Roman" w:hAnsi="Times New Roman" w:cs="Times New Roman"/>
          <w:color w:val="000000" w:themeColor="text1"/>
          <w:sz w:val="24"/>
          <w:szCs w:val="24"/>
        </w:rPr>
        <w:t xml:space="preserve">. </w:t>
      </w:r>
      <w:r w:rsidRPr="62E3A487" w:rsidR="6AEBC547">
        <w:rPr>
          <w:rFonts w:ascii="Times New Roman" w:hAnsi="Times New Roman" w:cs="Times New Roman"/>
          <w:color w:val="000000" w:themeColor="text1"/>
          <w:sz w:val="24"/>
          <w:szCs w:val="24"/>
        </w:rPr>
        <w:t>When a</w:t>
      </w:r>
      <w:r w:rsidR="00380D54">
        <w:rPr>
          <w:rFonts w:ascii="Times New Roman" w:hAnsi="Times New Roman" w:cs="Times New Roman"/>
          <w:color w:val="000000" w:themeColor="text1"/>
          <w:sz w:val="24"/>
          <w:szCs w:val="24"/>
        </w:rPr>
        <w:t xml:space="preserve"> </w:t>
      </w:r>
      <w:r w:rsidRPr="62E3A487" w:rsidR="6AEBC547">
        <w:rPr>
          <w:rFonts w:ascii="Times New Roman" w:hAnsi="Times New Roman" w:cs="Times New Roman"/>
          <w:color w:val="000000" w:themeColor="text1"/>
          <w:sz w:val="24"/>
          <w:szCs w:val="24"/>
        </w:rPr>
        <w:t xml:space="preserve">case manager speaks to the survivor, he or she will ask the survivor a series of </w:t>
      </w:r>
      <w:r w:rsidRPr="62E3A487" w:rsidR="5FAE3D0A">
        <w:rPr>
          <w:rFonts w:ascii="Times New Roman" w:hAnsi="Times New Roman" w:cs="Times New Roman"/>
          <w:color w:val="000000" w:themeColor="text1"/>
          <w:sz w:val="24"/>
          <w:szCs w:val="24"/>
        </w:rPr>
        <w:t>data points</w:t>
      </w:r>
      <w:r w:rsidRPr="62E3A487" w:rsidR="6AEBC547">
        <w:rPr>
          <w:rFonts w:ascii="Times New Roman" w:hAnsi="Times New Roman" w:cs="Times New Roman"/>
          <w:color w:val="000000" w:themeColor="text1"/>
          <w:sz w:val="24"/>
          <w:szCs w:val="24"/>
        </w:rPr>
        <w:t>, outlined within the fo</w:t>
      </w:r>
      <w:r w:rsidRPr="62E3A487" w:rsidR="47014912">
        <w:rPr>
          <w:rFonts w:ascii="Times New Roman" w:hAnsi="Times New Roman" w:cs="Times New Roman"/>
          <w:color w:val="000000" w:themeColor="text1"/>
          <w:sz w:val="24"/>
          <w:szCs w:val="24"/>
        </w:rPr>
        <w:t>rm, so the case manager can get a better understanding of the survivor’s immediate</w:t>
      </w:r>
      <w:r w:rsidR="004E7F2C">
        <w:rPr>
          <w:rFonts w:ascii="Times New Roman" w:hAnsi="Times New Roman" w:cs="Times New Roman"/>
          <w:color w:val="000000" w:themeColor="text1"/>
          <w:sz w:val="24"/>
          <w:szCs w:val="24"/>
        </w:rPr>
        <w:t>, interim, and long-term</w:t>
      </w:r>
      <w:r w:rsidRPr="62E3A487" w:rsidR="47014912">
        <w:rPr>
          <w:rFonts w:ascii="Times New Roman" w:hAnsi="Times New Roman" w:cs="Times New Roman"/>
          <w:color w:val="000000" w:themeColor="text1"/>
          <w:sz w:val="24"/>
          <w:szCs w:val="24"/>
        </w:rPr>
        <w:t xml:space="preserve"> needs and can </w:t>
      </w:r>
      <w:r w:rsidRPr="62E3A487" w:rsidR="00CF1778">
        <w:rPr>
          <w:rFonts w:ascii="Times New Roman" w:hAnsi="Times New Roman" w:cs="Times New Roman"/>
          <w:color w:val="000000" w:themeColor="text1"/>
          <w:sz w:val="24"/>
          <w:szCs w:val="24"/>
        </w:rPr>
        <w:t xml:space="preserve">then </w:t>
      </w:r>
      <w:r w:rsidRPr="62E3A487" w:rsidR="47014912">
        <w:rPr>
          <w:rFonts w:ascii="Times New Roman" w:hAnsi="Times New Roman" w:cs="Times New Roman"/>
          <w:color w:val="000000" w:themeColor="text1"/>
          <w:sz w:val="24"/>
          <w:szCs w:val="24"/>
        </w:rPr>
        <w:t xml:space="preserve">assist them with </w:t>
      </w:r>
      <w:r w:rsidR="00EB29A3">
        <w:rPr>
          <w:rFonts w:ascii="Times New Roman" w:hAnsi="Times New Roman" w:cs="Times New Roman"/>
          <w:color w:val="000000" w:themeColor="text1"/>
          <w:sz w:val="24"/>
          <w:szCs w:val="24"/>
        </w:rPr>
        <w:t xml:space="preserve">planning their recovery and </w:t>
      </w:r>
      <w:r w:rsidRPr="62E3A487" w:rsidR="47014912">
        <w:rPr>
          <w:rFonts w:ascii="Times New Roman" w:hAnsi="Times New Roman" w:cs="Times New Roman"/>
          <w:color w:val="000000" w:themeColor="text1"/>
          <w:sz w:val="24"/>
          <w:szCs w:val="24"/>
        </w:rPr>
        <w:t xml:space="preserve">obtaining the resources needed. </w:t>
      </w:r>
      <w:r w:rsidR="00380D54">
        <w:rPr>
          <w:rFonts w:ascii="Times New Roman" w:hAnsi="Times New Roman" w:cs="Times New Roman"/>
          <w:color w:val="000000" w:themeColor="text1"/>
          <w:sz w:val="24"/>
          <w:szCs w:val="24"/>
        </w:rPr>
        <w:t xml:space="preserve">FEMA-administered DCM </w:t>
      </w:r>
      <w:r w:rsidRPr="62E3A487" w:rsidR="1B83BE02">
        <w:rPr>
          <w:rFonts w:ascii="Times New Roman" w:hAnsi="Times New Roman" w:cs="Times New Roman"/>
          <w:color w:val="000000" w:themeColor="text1"/>
          <w:sz w:val="24"/>
          <w:szCs w:val="24"/>
        </w:rPr>
        <w:t>case managers may also assist in initiating a personalized disaster recovery plan by assessing unmet needs; helping creat</w:t>
      </w:r>
      <w:r w:rsidRPr="62E3A487" w:rsidR="00E06EEF">
        <w:rPr>
          <w:rFonts w:ascii="Times New Roman" w:hAnsi="Times New Roman" w:cs="Times New Roman"/>
          <w:color w:val="000000" w:themeColor="text1"/>
          <w:sz w:val="24"/>
          <w:szCs w:val="24"/>
        </w:rPr>
        <w:t>e</w:t>
      </w:r>
      <w:r w:rsidRPr="62E3A487" w:rsidR="1B83BE02">
        <w:rPr>
          <w:rFonts w:ascii="Times New Roman" w:hAnsi="Times New Roman" w:cs="Times New Roman"/>
          <w:color w:val="000000" w:themeColor="text1"/>
          <w:sz w:val="24"/>
          <w:szCs w:val="24"/>
        </w:rPr>
        <w:t xml:space="preserve"> goal-oriented plans outlining what in</w:t>
      </w:r>
      <w:r w:rsidRPr="62E3A487" w:rsidR="515DEB8C">
        <w:rPr>
          <w:rFonts w:ascii="Times New Roman" w:hAnsi="Times New Roman" w:cs="Times New Roman"/>
          <w:color w:val="000000" w:themeColor="text1"/>
          <w:sz w:val="24"/>
          <w:szCs w:val="24"/>
        </w:rPr>
        <w:t>i</w:t>
      </w:r>
      <w:r w:rsidRPr="62E3A487" w:rsidR="1B83BE02">
        <w:rPr>
          <w:rFonts w:ascii="Times New Roman" w:hAnsi="Times New Roman" w:cs="Times New Roman"/>
          <w:color w:val="000000" w:themeColor="text1"/>
          <w:sz w:val="24"/>
          <w:szCs w:val="24"/>
        </w:rPr>
        <w:t>tial steps can be taken to recovery; bringing together information and services; and monitoring progress to reach goa</w:t>
      </w:r>
      <w:r w:rsidRPr="62E3A487" w:rsidR="69328832">
        <w:rPr>
          <w:rFonts w:ascii="Times New Roman" w:hAnsi="Times New Roman" w:cs="Times New Roman"/>
          <w:color w:val="000000" w:themeColor="text1"/>
          <w:sz w:val="24"/>
          <w:szCs w:val="24"/>
        </w:rPr>
        <w:t xml:space="preserve">ls. </w:t>
      </w:r>
      <w:r w:rsidRPr="62E3A487" w:rsidR="14AE5EF4">
        <w:rPr>
          <w:rFonts w:ascii="Times New Roman" w:hAnsi="Times New Roman" w:cs="Times New Roman"/>
          <w:color w:val="000000" w:themeColor="text1"/>
          <w:sz w:val="24"/>
          <w:szCs w:val="24"/>
        </w:rPr>
        <w:t>Survivors receive free assistance from case managers on how to access critical resources and on how best to recover from disasters and their aftermath, along with ways to access a variety of available resources</w:t>
      </w:r>
      <w:r w:rsidR="00666B90">
        <w:rPr>
          <w:rFonts w:ascii="Times New Roman" w:hAnsi="Times New Roman" w:cs="Times New Roman"/>
          <w:color w:val="000000" w:themeColor="text1"/>
          <w:sz w:val="24"/>
          <w:szCs w:val="24"/>
        </w:rPr>
        <w:t xml:space="preserve"> from other federal agencies, voluntary agencies, private organizations, and state and local government</w:t>
      </w:r>
      <w:r w:rsidRPr="62E3A487" w:rsidR="14AE5EF4">
        <w:rPr>
          <w:rFonts w:ascii="Times New Roman" w:hAnsi="Times New Roman" w:cs="Times New Roman"/>
          <w:color w:val="000000" w:themeColor="text1"/>
          <w:sz w:val="24"/>
          <w:szCs w:val="24"/>
        </w:rPr>
        <w:t xml:space="preserve">, including crisis counseling, disaster unemployment, disaster legal assistance, </w:t>
      </w:r>
      <w:r w:rsidR="00666B90">
        <w:rPr>
          <w:rFonts w:ascii="Times New Roman" w:hAnsi="Times New Roman" w:cs="Times New Roman"/>
          <w:color w:val="000000" w:themeColor="text1"/>
          <w:sz w:val="24"/>
          <w:szCs w:val="24"/>
        </w:rPr>
        <w:t xml:space="preserve">home repair assistance, </w:t>
      </w:r>
      <w:r w:rsidRPr="62E3A487" w:rsidR="14AE5EF4">
        <w:rPr>
          <w:rFonts w:ascii="Times New Roman" w:hAnsi="Times New Roman" w:cs="Times New Roman"/>
          <w:color w:val="000000" w:themeColor="text1"/>
          <w:sz w:val="24"/>
          <w:szCs w:val="24"/>
        </w:rPr>
        <w:t>and voluntary agency s</w:t>
      </w:r>
      <w:r w:rsidRPr="62E3A487" w:rsidR="4558CC26">
        <w:rPr>
          <w:rFonts w:ascii="Times New Roman" w:hAnsi="Times New Roman" w:cs="Times New Roman"/>
          <w:color w:val="000000" w:themeColor="text1"/>
          <w:sz w:val="24"/>
          <w:szCs w:val="24"/>
        </w:rPr>
        <w:t xml:space="preserve">ervices. </w:t>
      </w:r>
    </w:p>
    <w:p w:rsidRPr="00C436BC" w:rsidR="00A11A26" w:rsidP="00A11A26" w:rsidRDefault="00A11A26" w14:paraId="50D0CA5C" w14:textId="77777777">
      <w:pPr>
        <w:contextualSpacing/>
        <w:rPr>
          <w:rFonts w:ascii="Times New Roman" w:hAnsi="Times New Roman" w:cs="Times New Roman"/>
          <w:color w:val="000000"/>
          <w:spacing w:val="-3"/>
          <w:sz w:val="24"/>
          <w:szCs w:val="24"/>
        </w:rPr>
      </w:pPr>
    </w:p>
    <w:p w:rsidRPr="006625E7" w:rsidR="00562915" w:rsidP="00A11A26" w:rsidRDefault="00562915" w14:paraId="1617DABA" w14:textId="77777777">
      <w:pPr>
        <w:contextualSpacing/>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A11A26" w:rsidP="00A11A26" w:rsidRDefault="00A11A26" w14:paraId="175412FD" w14:textId="77777777">
      <w:pPr>
        <w:contextualSpacing/>
        <w:rPr>
          <w:rFonts w:ascii="Times New Roman" w:hAnsi="Times New Roman" w:cs="Times New Roman"/>
          <w:sz w:val="24"/>
        </w:rPr>
      </w:pPr>
    </w:p>
    <w:p w:rsidR="00666B90" w:rsidP="00A11A26" w:rsidRDefault="00666B90" w14:paraId="0E184625" w14:textId="51F466DF">
      <w:pPr>
        <w:contextualSpacing/>
        <w:rPr>
          <w:rFonts w:ascii="Times New Roman" w:hAnsi="Times New Roman" w:cs="Times New Roman"/>
          <w:sz w:val="24"/>
        </w:rPr>
      </w:pPr>
      <w:r w:rsidRPr="00D34D9D">
        <w:rPr>
          <w:rFonts w:ascii="Times New Roman" w:hAnsi="Times New Roman" w:cs="Times New Roman"/>
          <w:sz w:val="24"/>
        </w:rPr>
        <w:t xml:space="preserve">When </w:t>
      </w:r>
      <w:r w:rsidR="00380D54">
        <w:rPr>
          <w:rFonts w:ascii="Times New Roman" w:hAnsi="Times New Roman" w:cs="Times New Roman"/>
          <w:sz w:val="24"/>
        </w:rPr>
        <w:t>a</w:t>
      </w:r>
      <w:r w:rsidRPr="00D34D9D">
        <w:rPr>
          <w:rFonts w:ascii="Times New Roman" w:hAnsi="Times New Roman" w:cs="Times New Roman"/>
          <w:sz w:val="24"/>
        </w:rPr>
        <w:t xml:space="preserve"> case manager speaks to the survivor, he or she will ask the survivor a series of </w:t>
      </w:r>
      <w:r w:rsidR="004E7F2C">
        <w:rPr>
          <w:rFonts w:ascii="Times New Roman" w:hAnsi="Times New Roman" w:cs="Times New Roman"/>
          <w:sz w:val="24"/>
        </w:rPr>
        <w:t>questions (</w:t>
      </w:r>
      <w:r w:rsidRPr="00D34D9D">
        <w:rPr>
          <w:rFonts w:ascii="Times New Roman" w:hAnsi="Times New Roman" w:cs="Times New Roman"/>
          <w:sz w:val="24"/>
        </w:rPr>
        <w:t>data points</w:t>
      </w:r>
      <w:r w:rsidR="004E7F2C">
        <w:rPr>
          <w:rFonts w:ascii="Times New Roman" w:hAnsi="Times New Roman" w:cs="Times New Roman"/>
          <w:sz w:val="24"/>
        </w:rPr>
        <w:t>)</w:t>
      </w:r>
      <w:r w:rsidRPr="00D34D9D">
        <w:rPr>
          <w:rFonts w:ascii="Times New Roman" w:hAnsi="Times New Roman" w:cs="Times New Roman"/>
          <w:sz w:val="24"/>
        </w:rPr>
        <w:t xml:space="preserve">, outlined within the form, so the case manager can get a better understanding of the survivor’s immediate </w:t>
      </w:r>
      <w:r w:rsidR="004E7F2C">
        <w:rPr>
          <w:rFonts w:ascii="Times New Roman" w:hAnsi="Times New Roman" w:cs="Times New Roman"/>
          <w:sz w:val="24"/>
        </w:rPr>
        <w:t xml:space="preserve">to long-term </w:t>
      </w:r>
      <w:r w:rsidRPr="00D34D9D">
        <w:rPr>
          <w:rFonts w:ascii="Times New Roman" w:hAnsi="Times New Roman" w:cs="Times New Roman"/>
          <w:sz w:val="24"/>
        </w:rPr>
        <w:t xml:space="preserve">needs </w:t>
      </w:r>
      <w:r w:rsidR="004E7F2C">
        <w:rPr>
          <w:rFonts w:ascii="Times New Roman" w:hAnsi="Times New Roman" w:cs="Times New Roman"/>
          <w:sz w:val="24"/>
        </w:rPr>
        <w:t xml:space="preserve">as well as </w:t>
      </w:r>
      <w:r w:rsidR="00EB29A3">
        <w:rPr>
          <w:rFonts w:ascii="Times New Roman" w:hAnsi="Times New Roman" w:cs="Times New Roman"/>
          <w:sz w:val="24"/>
        </w:rPr>
        <w:t xml:space="preserve">assist </w:t>
      </w:r>
      <w:r w:rsidRPr="00D34D9D">
        <w:rPr>
          <w:rFonts w:ascii="Times New Roman" w:hAnsi="Times New Roman" w:cs="Times New Roman"/>
          <w:sz w:val="24"/>
        </w:rPr>
        <w:t>the</w:t>
      </w:r>
      <w:r w:rsidR="00EB29A3">
        <w:rPr>
          <w:rFonts w:ascii="Times New Roman" w:hAnsi="Times New Roman" w:cs="Times New Roman"/>
          <w:sz w:val="24"/>
        </w:rPr>
        <w:t>m with planning</w:t>
      </w:r>
      <w:r w:rsidR="004E7F2C">
        <w:rPr>
          <w:rFonts w:ascii="Times New Roman" w:hAnsi="Times New Roman" w:cs="Times New Roman"/>
          <w:sz w:val="24"/>
        </w:rPr>
        <w:t xml:space="preserve"> and prioritizing the steps in</w:t>
      </w:r>
      <w:r w:rsidR="00EB29A3">
        <w:rPr>
          <w:rFonts w:ascii="Times New Roman" w:hAnsi="Times New Roman" w:cs="Times New Roman"/>
          <w:sz w:val="24"/>
        </w:rPr>
        <w:t xml:space="preserve"> their recovery and</w:t>
      </w:r>
      <w:r w:rsidRPr="00D34D9D">
        <w:rPr>
          <w:rFonts w:ascii="Times New Roman" w:hAnsi="Times New Roman" w:cs="Times New Roman"/>
          <w:sz w:val="24"/>
        </w:rPr>
        <w:t xml:space="preserve"> obtaining the resources needed. </w:t>
      </w:r>
      <w:r w:rsidRPr="00D34D9D">
        <w:rPr>
          <w:rFonts w:ascii="Times New Roman" w:hAnsi="Times New Roman" w:cs="Times New Roman"/>
          <w:sz w:val="24"/>
        </w:rPr>
        <w:lastRenderedPageBreak/>
        <w:t>The information gathered within this collection form</w:t>
      </w:r>
      <w:r w:rsidR="00FB600C">
        <w:rPr>
          <w:rFonts w:ascii="Times New Roman" w:hAnsi="Times New Roman" w:cs="Times New Roman"/>
          <w:sz w:val="24"/>
        </w:rPr>
        <w:t xml:space="preserve"> (FF-104-FY-21-146)</w:t>
      </w:r>
      <w:r w:rsidRPr="00D34D9D">
        <w:rPr>
          <w:rFonts w:ascii="Times New Roman" w:hAnsi="Times New Roman" w:cs="Times New Roman"/>
          <w:sz w:val="24"/>
        </w:rPr>
        <w:t xml:space="preserve"> is used to determine the survivor’s disaster-caused unmet needs and what types of referrals the case manager may provide</w:t>
      </w:r>
      <w:r w:rsidR="004E7F2C">
        <w:rPr>
          <w:rFonts w:ascii="Times New Roman" w:hAnsi="Times New Roman" w:cs="Times New Roman"/>
          <w:sz w:val="24"/>
        </w:rPr>
        <w:t xml:space="preserve"> to specifically address those needs</w:t>
      </w:r>
      <w:r w:rsidRPr="00D34D9D">
        <w:rPr>
          <w:rFonts w:ascii="Times New Roman" w:hAnsi="Times New Roman" w:cs="Times New Roman"/>
          <w:sz w:val="24"/>
        </w:rPr>
        <w:t xml:space="preserve">. </w:t>
      </w:r>
      <w:r w:rsidR="00380D54">
        <w:rPr>
          <w:rFonts w:ascii="Times New Roman" w:hAnsi="Times New Roman" w:cs="Times New Roman"/>
          <w:sz w:val="24"/>
        </w:rPr>
        <w:t>C</w:t>
      </w:r>
      <w:r w:rsidRPr="00D34D9D">
        <w:rPr>
          <w:rFonts w:ascii="Times New Roman" w:hAnsi="Times New Roman" w:cs="Times New Roman"/>
          <w:sz w:val="24"/>
        </w:rPr>
        <w:t>ase managers then take the information from the intake form</w:t>
      </w:r>
      <w:r w:rsidR="00FB600C">
        <w:rPr>
          <w:rFonts w:ascii="Times New Roman" w:hAnsi="Times New Roman" w:cs="Times New Roman"/>
          <w:sz w:val="24"/>
        </w:rPr>
        <w:t xml:space="preserve"> (FF-104-FY-21-146)</w:t>
      </w:r>
      <w:r w:rsidRPr="00D34D9D">
        <w:rPr>
          <w:rFonts w:ascii="Times New Roman" w:hAnsi="Times New Roman" w:cs="Times New Roman"/>
          <w:sz w:val="24"/>
        </w:rPr>
        <w:t xml:space="preserve"> and </w:t>
      </w:r>
      <w:r w:rsidR="00823272">
        <w:rPr>
          <w:rFonts w:ascii="Times New Roman" w:hAnsi="Times New Roman" w:cs="Times New Roman"/>
          <w:sz w:val="24"/>
        </w:rPr>
        <w:t>type it directly</w:t>
      </w:r>
      <w:r w:rsidRPr="00D34D9D">
        <w:rPr>
          <w:rFonts w:ascii="Times New Roman" w:hAnsi="Times New Roman" w:cs="Times New Roman"/>
          <w:sz w:val="24"/>
        </w:rPr>
        <w:t xml:space="preserve"> into the</w:t>
      </w:r>
      <w:r w:rsidR="00823272">
        <w:rPr>
          <w:rFonts w:ascii="Times New Roman" w:hAnsi="Times New Roman" w:cs="Times New Roman"/>
          <w:sz w:val="24"/>
        </w:rPr>
        <w:t>ir proprietary</w:t>
      </w:r>
      <w:r w:rsidRPr="00D34D9D">
        <w:rPr>
          <w:rFonts w:ascii="Times New Roman" w:hAnsi="Times New Roman" w:cs="Times New Roman"/>
          <w:sz w:val="24"/>
        </w:rPr>
        <w:t xml:space="preserve"> </w:t>
      </w:r>
      <w:r w:rsidR="00823272">
        <w:rPr>
          <w:rFonts w:ascii="Times New Roman" w:hAnsi="Times New Roman" w:cs="Times New Roman"/>
          <w:sz w:val="24"/>
        </w:rPr>
        <w:t>case management</w:t>
      </w:r>
      <w:r w:rsidR="00380D54">
        <w:rPr>
          <w:rFonts w:ascii="Times New Roman" w:hAnsi="Times New Roman" w:cs="Times New Roman"/>
          <w:sz w:val="24"/>
        </w:rPr>
        <w:t xml:space="preserve"> secure </w:t>
      </w:r>
      <w:r w:rsidR="00776533">
        <w:rPr>
          <w:rFonts w:ascii="Times New Roman" w:hAnsi="Times New Roman" w:cs="Times New Roman"/>
          <w:sz w:val="24"/>
        </w:rPr>
        <w:t xml:space="preserve">electronic </w:t>
      </w:r>
      <w:r w:rsidR="00380D54">
        <w:rPr>
          <w:rFonts w:ascii="Times New Roman" w:hAnsi="Times New Roman" w:cs="Times New Roman"/>
          <w:sz w:val="24"/>
        </w:rPr>
        <w:t>system of record</w:t>
      </w:r>
      <w:r w:rsidRPr="00D34D9D">
        <w:rPr>
          <w:rFonts w:ascii="Times New Roman" w:hAnsi="Times New Roman" w:cs="Times New Roman"/>
          <w:sz w:val="24"/>
        </w:rPr>
        <w:t>.</w:t>
      </w:r>
      <w:r>
        <w:rPr>
          <w:rFonts w:ascii="Times New Roman" w:hAnsi="Times New Roman" w:cs="Times New Roman"/>
          <w:sz w:val="24"/>
        </w:rPr>
        <w:t xml:space="preserve"> </w:t>
      </w:r>
    </w:p>
    <w:p w:rsidR="00FB600C" w:rsidP="00A11A26" w:rsidRDefault="00FB600C" w14:paraId="584CA4E9" w14:textId="77777777">
      <w:pPr>
        <w:contextualSpacing/>
        <w:rPr>
          <w:rFonts w:ascii="Times New Roman" w:hAnsi="Times New Roman" w:cs="Times New Roman"/>
          <w:color w:val="000000" w:themeColor="text1"/>
          <w:sz w:val="24"/>
          <w:szCs w:val="24"/>
        </w:rPr>
      </w:pPr>
    </w:p>
    <w:p w:rsidRPr="001D0108" w:rsidR="001D0108" w:rsidP="00A11A26" w:rsidRDefault="00666B90" w14:paraId="36388CA3" w14:textId="1343337A">
      <w:p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FEMA may provide data elements collected at the time of FEMA registration</w:t>
      </w:r>
      <w:r w:rsidRPr="00536135" w:rsidR="00536135">
        <w:t xml:space="preserve"> </w:t>
      </w:r>
      <w:r w:rsidRPr="00536135" w:rsidR="00536135">
        <w:rPr>
          <w:rFonts w:ascii="Times New Roman" w:hAnsi="Times New Roman" w:cs="Times New Roman"/>
          <w:color w:val="000000" w:themeColor="text1"/>
          <w:sz w:val="24"/>
          <w:szCs w:val="24"/>
        </w:rPr>
        <w:t>for federal assistance to individuals and households under Section 408 of the Stafford Act, 42 U.S.C. § 5174,</w:t>
      </w:r>
      <w:r>
        <w:rPr>
          <w:rFonts w:ascii="Times New Roman" w:hAnsi="Times New Roman" w:cs="Times New Roman"/>
          <w:color w:val="000000" w:themeColor="text1"/>
          <w:sz w:val="24"/>
          <w:szCs w:val="24"/>
        </w:rPr>
        <w:t xml:space="preserve"> to </w:t>
      </w:r>
      <w:r w:rsidR="00380D54">
        <w:rPr>
          <w:rFonts w:ascii="Times New Roman" w:hAnsi="Times New Roman" w:cs="Times New Roman"/>
          <w:color w:val="000000" w:themeColor="text1"/>
          <w:sz w:val="24"/>
          <w:szCs w:val="24"/>
        </w:rPr>
        <w:t xml:space="preserve">the agent performing services </w:t>
      </w:r>
      <w:r>
        <w:rPr>
          <w:rFonts w:ascii="Times New Roman" w:hAnsi="Times New Roman" w:cs="Times New Roman"/>
          <w:color w:val="000000" w:themeColor="text1"/>
          <w:sz w:val="24"/>
          <w:szCs w:val="24"/>
        </w:rPr>
        <w:t xml:space="preserve">through an approved Information Sharing Access Agreement (ISAA), </w:t>
      </w:r>
      <w:r w:rsidR="00EB29A3">
        <w:rPr>
          <w:rFonts w:ascii="Times New Roman" w:hAnsi="Times New Roman" w:cs="Times New Roman"/>
          <w:color w:val="000000" w:themeColor="text1"/>
          <w:sz w:val="24"/>
          <w:szCs w:val="24"/>
        </w:rPr>
        <w:t xml:space="preserve">providing </w:t>
      </w:r>
      <w:r w:rsidR="00380D54">
        <w:rPr>
          <w:rFonts w:ascii="Times New Roman" w:hAnsi="Times New Roman" w:cs="Times New Roman"/>
          <w:color w:val="000000" w:themeColor="text1"/>
          <w:sz w:val="24"/>
          <w:szCs w:val="24"/>
        </w:rPr>
        <w:t xml:space="preserve">the agent </w:t>
      </w:r>
      <w:r w:rsidR="00EB29A3">
        <w:rPr>
          <w:rFonts w:ascii="Times New Roman" w:hAnsi="Times New Roman" w:cs="Times New Roman"/>
          <w:color w:val="000000" w:themeColor="text1"/>
          <w:sz w:val="24"/>
          <w:szCs w:val="24"/>
        </w:rPr>
        <w:t>with a focused population that will benefit f</w:t>
      </w:r>
      <w:r w:rsidR="00380D54">
        <w:rPr>
          <w:rFonts w:ascii="Times New Roman" w:hAnsi="Times New Roman" w:cs="Times New Roman"/>
          <w:color w:val="000000" w:themeColor="text1"/>
          <w:sz w:val="24"/>
          <w:szCs w:val="24"/>
        </w:rPr>
        <w:t xml:space="preserve">rom FEMA-administered </w:t>
      </w:r>
      <w:r w:rsidRPr="23AD0207" w:rsidR="534B2935">
        <w:rPr>
          <w:rFonts w:ascii="Times New Roman" w:hAnsi="Times New Roman" w:cs="Times New Roman"/>
          <w:color w:val="000000" w:themeColor="text1"/>
          <w:sz w:val="24"/>
          <w:szCs w:val="24"/>
        </w:rPr>
        <w:t xml:space="preserve">DCM </w:t>
      </w:r>
      <w:r w:rsidR="00EB29A3">
        <w:rPr>
          <w:rFonts w:ascii="Times New Roman" w:hAnsi="Times New Roman" w:cs="Times New Roman"/>
          <w:color w:val="000000" w:themeColor="text1"/>
          <w:sz w:val="24"/>
          <w:szCs w:val="24"/>
        </w:rPr>
        <w:t>services</w:t>
      </w:r>
      <w:r w:rsidR="00823272">
        <w:rPr>
          <w:rFonts w:ascii="Times New Roman" w:hAnsi="Times New Roman" w:cs="Times New Roman"/>
          <w:color w:val="000000" w:themeColor="text1"/>
          <w:sz w:val="24"/>
          <w:szCs w:val="24"/>
        </w:rPr>
        <w:t>. In addition,</w:t>
      </w:r>
      <w:r w:rsidR="00EB29A3">
        <w:rPr>
          <w:rFonts w:ascii="Times New Roman" w:hAnsi="Times New Roman" w:cs="Times New Roman"/>
          <w:color w:val="000000" w:themeColor="text1"/>
          <w:sz w:val="24"/>
          <w:szCs w:val="24"/>
        </w:rPr>
        <w:t xml:space="preserve"> </w:t>
      </w:r>
      <w:r w:rsidR="00380D54">
        <w:rPr>
          <w:rFonts w:ascii="Times New Roman" w:hAnsi="Times New Roman" w:cs="Times New Roman"/>
          <w:color w:val="000000" w:themeColor="text1"/>
          <w:sz w:val="24"/>
          <w:szCs w:val="24"/>
        </w:rPr>
        <w:t xml:space="preserve">the agent </w:t>
      </w:r>
      <w:r>
        <w:rPr>
          <w:rFonts w:ascii="Times New Roman" w:hAnsi="Times New Roman" w:cs="Times New Roman"/>
          <w:color w:val="000000" w:themeColor="text1"/>
          <w:sz w:val="24"/>
          <w:szCs w:val="24"/>
        </w:rPr>
        <w:t xml:space="preserve">will not have to </w:t>
      </w:r>
      <w:r w:rsidR="00823272">
        <w:rPr>
          <w:rFonts w:ascii="Times New Roman" w:hAnsi="Times New Roman" w:cs="Times New Roman"/>
          <w:color w:val="000000" w:themeColor="text1"/>
          <w:sz w:val="24"/>
          <w:szCs w:val="24"/>
        </w:rPr>
        <w:t xml:space="preserve">expend extra staffing for survivor time in </w:t>
      </w:r>
      <w:r>
        <w:rPr>
          <w:rFonts w:ascii="Times New Roman" w:hAnsi="Times New Roman" w:cs="Times New Roman"/>
          <w:color w:val="000000" w:themeColor="text1"/>
          <w:sz w:val="24"/>
          <w:szCs w:val="24"/>
        </w:rPr>
        <w:t>collect</w:t>
      </w:r>
      <w:r w:rsidR="00823272">
        <w:rPr>
          <w:rFonts w:ascii="Times New Roman" w:hAnsi="Times New Roman" w:cs="Times New Roman"/>
          <w:color w:val="000000" w:themeColor="text1"/>
          <w:sz w:val="24"/>
          <w:szCs w:val="24"/>
        </w:rPr>
        <w:t>ing</w:t>
      </w:r>
      <w:r>
        <w:rPr>
          <w:rFonts w:ascii="Times New Roman" w:hAnsi="Times New Roman" w:cs="Times New Roman"/>
          <w:color w:val="000000" w:themeColor="text1"/>
          <w:sz w:val="24"/>
          <w:szCs w:val="24"/>
        </w:rPr>
        <w:t xml:space="preserve"> the same information</w:t>
      </w:r>
      <w:r w:rsidR="00823272">
        <w:rPr>
          <w:rFonts w:ascii="Times New Roman" w:hAnsi="Times New Roman" w:cs="Times New Roman"/>
          <w:color w:val="000000" w:themeColor="text1"/>
          <w:sz w:val="24"/>
          <w:szCs w:val="24"/>
        </w:rPr>
        <w:t>, making it more efficient when the survivor requests these services</w:t>
      </w:r>
      <w:r>
        <w:rPr>
          <w:rFonts w:ascii="Times New Roman" w:hAnsi="Times New Roman" w:cs="Times New Roman"/>
          <w:color w:val="000000" w:themeColor="text1"/>
          <w:sz w:val="24"/>
          <w:szCs w:val="24"/>
        </w:rPr>
        <w:t xml:space="preserve">. </w:t>
      </w:r>
      <w:r w:rsidRPr="26680FD3" w:rsidR="2369E93F">
        <w:rPr>
          <w:rFonts w:ascii="Times New Roman" w:hAnsi="Times New Roman" w:cs="Times New Roman"/>
          <w:color w:val="000000" w:themeColor="text1"/>
          <w:sz w:val="24"/>
          <w:szCs w:val="24"/>
        </w:rPr>
        <w:t xml:space="preserve">An applicant may register for FEMA </w:t>
      </w:r>
      <w:r w:rsidRPr="4A613729" w:rsidR="2369E93F">
        <w:rPr>
          <w:rFonts w:ascii="Times New Roman" w:hAnsi="Times New Roman" w:cs="Times New Roman"/>
          <w:color w:val="000000" w:themeColor="text1"/>
          <w:sz w:val="24"/>
          <w:szCs w:val="24"/>
        </w:rPr>
        <w:t>assist</w:t>
      </w:r>
      <w:r w:rsidRPr="4A613729" w:rsidR="6878E932">
        <w:rPr>
          <w:rFonts w:ascii="Times New Roman" w:hAnsi="Times New Roman" w:cs="Times New Roman"/>
          <w:color w:val="000000" w:themeColor="text1"/>
          <w:sz w:val="24"/>
          <w:szCs w:val="24"/>
        </w:rPr>
        <w:t>an</w:t>
      </w:r>
      <w:r w:rsidRPr="4A613729" w:rsidR="2369E93F">
        <w:rPr>
          <w:rFonts w:ascii="Times New Roman" w:hAnsi="Times New Roman" w:cs="Times New Roman"/>
          <w:color w:val="000000" w:themeColor="text1"/>
          <w:sz w:val="24"/>
          <w:szCs w:val="24"/>
        </w:rPr>
        <w:t>ce</w:t>
      </w:r>
      <w:r w:rsidRPr="6DFFCC03" w:rsidR="2369E93F">
        <w:rPr>
          <w:rFonts w:ascii="Times New Roman" w:hAnsi="Times New Roman" w:cs="Times New Roman"/>
          <w:color w:val="000000" w:themeColor="text1"/>
          <w:sz w:val="24"/>
          <w:szCs w:val="24"/>
        </w:rPr>
        <w:t xml:space="preserve"> via </w:t>
      </w:r>
      <w:hyperlink r:id="rId11">
        <w:r w:rsidRPr="23AD0207" w:rsidR="00FC7490">
          <w:rPr>
            <w:rStyle w:val="Hyperlink"/>
            <w:rFonts w:ascii="Times New Roman" w:hAnsi="Times New Roman" w:cs="Times New Roman"/>
            <w:sz w:val="24"/>
            <w:szCs w:val="24"/>
          </w:rPr>
          <w:t>www.DisasterAssistance.gov</w:t>
        </w:r>
      </w:hyperlink>
      <w:r w:rsidRPr="6DFFCC03" w:rsidR="2369E93F">
        <w:rPr>
          <w:rFonts w:ascii="Times New Roman" w:hAnsi="Times New Roman" w:cs="Times New Roman"/>
          <w:color w:val="000000" w:themeColor="text1"/>
          <w:sz w:val="24"/>
          <w:szCs w:val="24"/>
        </w:rPr>
        <w:t xml:space="preserve"> </w:t>
      </w:r>
      <w:r w:rsidRPr="426F4DA1" w:rsidR="2369E93F">
        <w:rPr>
          <w:rFonts w:ascii="Times New Roman" w:hAnsi="Times New Roman" w:cs="Times New Roman"/>
          <w:color w:val="000000" w:themeColor="text1"/>
          <w:sz w:val="24"/>
          <w:szCs w:val="24"/>
        </w:rPr>
        <w:t xml:space="preserve">through the internet using a personal computer or internet capable </w:t>
      </w:r>
      <w:r w:rsidRPr="42236646" w:rsidR="2369E93F">
        <w:rPr>
          <w:rFonts w:ascii="Times New Roman" w:hAnsi="Times New Roman" w:cs="Times New Roman"/>
          <w:color w:val="000000" w:themeColor="text1"/>
          <w:sz w:val="24"/>
          <w:szCs w:val="24"/>
        </w:rPr>
        <w:t>mob</w:t>
      </w:r>
      <w:r w:rsidR="00855E3A">
        <w:rPr>
          <w:rFonts w:ascii="Times New Roman" w:hAnsi="Times New Roman" w:cs="Times New Roman"/>
          <w:color w:val="000000" w:themeColor="text1"/>
          <w:sz w:val="24"/>
          <w:szCs w:val="24"/>
        </w:rPr>
        <w:t>i</w:t>
      </w:r>
      <w:r w:rsidRPr="42236646" w:rsidR="2369E93F">
        <w:rPr>
          <w:rFonts w:ascii="Times New Roman" w:hAnsi="Times New Roman" w:cs="Times New Roman"/>
          <w:color w:val="000000" w:themeColor="text1"/>
          <w:sz w:val="24"/>
          <w:szCs w:val="24"/>
        </w:rPr>
        <w:t xml:space="preserve">le device, by calling FEMA’s 800 toll-free number, or </w:t>
      </w:r>
      <w:r w:rsidRPr="3AB84273" w:rsidR="2369E93F">
        <w:rPr>
          <w:rFonts w:ascii="Times New Roman" w:hAnsi="Times New Roman" w:cs="Times New Roman"/>
          <w:color w:val="000000" w:themeColor="text1"/>
          <w:sz w:val="24"/>
          <w:szCs w:val="24"/>
        </w:rPr>
        <w:t xml:space="preserve">through the submission of a paper registration via a </w:t>
      </w:r>
      <w:r w:rsidRPr="42236646" w:rsidR="00477348">
        <w:rPr>
          <w:rFonts w:ascii="Times New Roman" w:hAnsi="Times New Roman" w:cs="Times New Roman"/>
          <w:color w:val="000000" w:themeColor="text1"/>
          <w:sz w:val="24"/>
          <w:szCs w:val="24"/>
        </w:rPr>
        <w:t>FEMA</w:t>
      </w:r>
      <w:r w:rsidR="00477348">
        <w:rPr>
          <w:rFonts w:ascii="Times New Roman" w:hAnsi="Times New Roman" w:cs="Times New Roman"/>
          <w:color w:val="000000" w:themeColor="text1"/>
          <w:sz w:val="24"/>
          <w:szCs w:val="24"/>
        </w:rPr>
        <w:t xml:space="preserve"> </w:t>
      </w:r>
      <w:r w:rsidRPr="5A8767D5" w:rsidR="2369E93F">
        <w:rPr>
          <w:rFonts w:ascii="Times New Roman" w:hAnsi="Times New Roman" w:cs="Times New Roman"/>
          <w:color w:val="000000" w:themeColor="text1"/>
          <w:sz w:val="24"/>
          <w:szCs w:val="24"/>
        </w:rPr>
        <w:t xml:space="preserve">representative. </w:t>
      </w:r>
      <w:r w:rsidR="00FC7490">
        <w:rPr>
          <w:rFonts w:ascii="Times New Roman" w:hAnsi="Times New Roman" w:cs="Times New Roman"/>
          <w:color w:val="000000" w:themeColor="text1"/>
          <w:sz w:val="24"/>
          <w:szCs w:val="24"/>
        </w:rPr>
        <w:t xml:space="preserve">  </w:t>
      </w:r>
    </w:p>
    <w:p w:rsidR="00FB600C" w:rsidP="00A11A26" w:rsidRDefault="00FB600C" w14:paraId="5845598B" w14:textId="77777777">
      <w:pPr>
        <w:contextualSpacing/>
        <w:rPr>
          <w:rFonts w:ascii="Times New Roman" w:hAnsi="Times New Roman" w:cs="Times New Roman"/>
          <w:color w:val="000000" w:themeColor="text1"/>
          <w:sz w:val="24"/>
          <w:szCs w:val="24"/>
        </w:rPr>
      </w:pPr>
    </w:p>
    <w:p w:rsidRPr="006E6A28" w:rsidR="000B5339" w:rsidP="00A11A26" w:rsidRDefault="00536135" w14:paraId="65D9903C" w14:textId="10116DAD">
      <w:pPr>
        <w:contextualSpacing/>
        <w:rPr>
          <w:rFonts w:ascii="Times New Roman" w:hAnsi="Times New Roman" w:cs="Times New Roman"/>
          <w:color w:val="000000" w:themeColor="text1"/>
          <w:sz w:val="24"/>
          <w:szCs w:val="24"/>
        </w:rPr>
      </w:pPr>
      <w:r w:rsidRPr="00536135">
        <w:rPr>
          <w:rFonts w:ascii="Times New Roman" w:hAnsi="Times New Roman" w:cs="Times New Roman"/>
          <w:color w:val="000000" w:themeColor="text1"/>
          <w:sz w:val="24"/>
          <w:szCs w:val="24"/>
        </w:rPr>
        <w:t>Survivors do not have to register for Section 408 FEMA assistance to receive DCM</w:t>
      </w:r>
      <w:r w:rsidR="006C1A27">
        <w:rPr>
          <w:rFonts w:ascii="Times New Roman" w:hAnsi="Times New Roman" w:cs="Times New Roman"/>
          <w:color w:val="000000" w:themeColor="text1"/>
          <w:sz w:val="24"/>
          <w:szCs w:val="24"/>
        </w:rPr>
        <w:t xml:space="preserve"> under Section 426 of the Stafford Act</w:t>
      </w:r>
      <w:r w:rsidRPr="00536135">
        <w:rPr>
          <w:rFonts w:ascii="Times New Roman" w:hAnsi="Times New Roman" w:cs="Times New Roman"/>
          <w:color w:val="000000" w:themeColor="text1"/>
          <w:sz w:val="24"/>
          <w:szCs w:val="24"/>
        </w:rPr>
        <w:t>.</w:t>
      </w:r>
      <w:r w:rsidR="007F0945">
        <w:rPr>
          <w:rFonts w:ascii="Times New Roman" w:hAnsi="Times New Roman" w:cs="Times New Roman"/>
          <w:color w:val="000000" w:themeColor="text1"/>
          <w:sz w:val="24"/>
          <w:szCs w:val="24"/>
        </w:rPr>
        <w:t xml:space="preserve"> </w:t>
      </w:r>
      <w:r w:rsidR="00214A35">
        <w:rPr>
          <w:rFonts w:ascii="Times New Roman" w:hAnsi="Times New Roman" w:cs="Times New Roman"/>
          <w:color w:val="000000" w:themeColor="text1"/>
          <w:sz w:val="24"/>
          <w:szCs w:val="24"/>
        </w:rPr>
        <w:t>Su</w:t>
      </w:r>
      <w:r w:rsidR="00743D25">
        <w:rPr>
          <w:rFonts w:ascii="Times New Roman" w:hAnsi="Times New Roman" w:cs="Times New Roman"/>
          <w:color w:val="000000" w:themeColor="text1"/>
          <w:sz w:val="24"/>
          <w:szCs w:val="24"/>
        </w:rPr>
        <w:t>rvivor</w:t>
      </w:r>
      <w:r w:rsidR="00214A35">
        <w:rPr>
          <w:rFonts w:ascii="Times New Roman" w:hAnsi="Times New Roman" w:cs="Times New Roman"/>
          <w:color w:val="000000" w:themeColor="text1"/>
          <w:sz w:val="24"/>
          <w:szCs w:val="24"/>
        </w:rPr>
        <w:t>s</w:t>
      </w:r>
      <w:r w:rsidR="00743D25">
        <w:rPr>
          <w:rFonts w:ascii="Times New Roman" w:hAnsi="Times New Roman" w:cs="Times New Roman"/>
          <w:color w:val="000000" w:themeColor="text1"/>
          <w:sz w:val="24"/>
          <w:szCs w:val="24"/>
        </w:rPr>
        <w:t xml:space="preserve"> </w:t>
      </w:r>
      <w:r w:rsidR="004F5B8D">
        <w:rPr>
          <w:rFonts w:ascii="Times New Roman" w:hAnsi="Times New Roman" w:cs="Times New Roman"/>
          <w:color w:val="000000" w:themeColor="text1"/>
          <w:sz w:val="24"/>
          <w:szCs w:val="24"/>
        </w:rPr>
        <w:t>(</w:t>
      </w:r>
      <w:r w:rsidR="001B188C">
        <w:rPr>
          <w:rFonts w:ascii="Times New Roman" w:hAnsi="Times New Roman" w:cs="Times New Roman"/>
          <w:color w:val="000000" w:themeColor="text1"/>
          <w:sz w:val="24"/>
          <w:szCs w:val="24"/>
        </w:rPr>
        <w:t>regardless of FEMA assistance registration status</w:t>
      </w:r>
      <w:r w:rsidR="00AF7E93">
        <w:rPr>
          <w:rFonts w:ascii="Times New Roman" w:hAnsi="Times New Roman" w:cs="Times New Roman"/>
          <w:color w:val="000000" w:themeColor="text1"/>
          <w:sz w:val="24"/>
          <w:szCs w:val="24"/>
        </w:rPr>
        <w:t xml:space="preserve">) </w:t>
      </w:r>
      <w:r w:rsidR="00743D25">
        <w:rPr>
          <w:rFonts w:ascii="Times New Roman" w:hAnsi="Times New Roman" w:cs="Times New Roman"/>
          <w:color w:val="000000" w:themeColor="text1"/>
          <w:sz w:val="24"/>
          <w:szCs w:val="24"/>
        </w:rPr>
        <w:t>that want to participate in DCM</w:t>
      </w:r>
      <w:r w:rsidR="00FF69FD">
        <w:rPr>
          <w:rFonts w:ascii="Times New Roman" w:hAnsi="Times New Roman" w:cs="Times New Roman"/>
          <w:color w:val="000000" w:themeColor="text1"/>
          <w:sz w:val="24"/>
          <w:szCs w:val="24"/>
        </w:rPr>
        <w:t xml:space="preserve"> </w:t>
      </w:r>
      <w:r w:rsidR="007F0945">
        <w:rPr>
          <w:rFonts w:ascii="Times New Roman" w:hAnsi="Times New Roman" w:cs="Times New Roman"/>
          <w:color w:val="000000" w:themeColor="text1"/>
          <w:sz w:val="24"/>
          <w:szCs w:val="24"/>
        </w:rPr>
        <w:t xml:space="preserve">may </w:t>
      </w:r>
      <w:r w:rsidRPr="006E6A28" w:rsidR="00BB4823">
        <w:rPr>
          <w:rFonts w:ascii="Times New Roman" w:hAnsi="Times New Roman" w:cs="Times New Roman"/>
          <w:color w:val="000000" w:themeColor="text1"/>
          <w:sz w:val="24"/>
          <w:szCs w:val="24"/>
        </w:rPr>
        <w:t>proactively reach</w:t>
      </w:r>
      <w:r w:rsidR="00C54BBF">
        <w:rPr>
          <w:rFonts w:ascii="Times New Roman" w:hAnsi="Times New Roman" w:cs="Times New Roman"/>
          <w:color w:val="000000" w:themeColor="text1"/>
          <w:sz w:val="24"/>
          <w:szCs w:val="24"/>
        </w:rPr>
        <w:t xml:space="preserve"> </w:t>
      </w:r>
      <w:r w:rsidRPr="006E6A28" w:rsidR="00BB4823">
        <w:rPr>
          <w:rFonts w:ascii="Times New Roman" w:hAnsi="Times New Roman" w:cs="Times New Roman"/>
          <w:color w:val="000000" w:themeColor="text1"/>
          <w:sz w:val="24"/>
          <w:szCs w:val="24"/>
        </w:rPr>
        <w:t>out on their own based on the socialization of the services through media and word of mouth or through in-person connection in a disaster recovery location.</w:t>
      </w:r>
      <w:r w:rsidRPr="006E6A28" w:rsidR="4183C688">
        <w:rPr>
          <w:rFonts w:ascii="Times New Roman" w:hAnsi="Times New Roman" w:cs="Times New Roman"/>
          <w:color w:val="000000" w:themeColor="text1"/>
          <w:sz w:val="24"/>
          <w:szCs w:val="24"/>
        </w:rPr>
        <w:t xml:space="preserve"> </w:t>
      </w:r>
      <w:r w:rsidR="00C5369F">
        <w:rPr>
          <w:rFonts w:ascii="Times New Roman" w:hAnsi="Times New Roman" w:cs="Times New Roman"/>
          <w:color w:val="000000" w:themeColor="text1"/>
          <w:sz w:val="24"/>
          <w:szCs w:val="24"/>
        </w:rPr>
        <w:t>I</w:t>
      </w:r>
      <w:r w:rsidRPr="006E6A28" w:rsidR="4183C688">
        <w:rPr>
          <w:rFonts w:ascii="Times New Roman" w:hAnsi="Times New Roman" w:cs="Times New Roman"/>
          <w:color w:val="000000" w:themeColor="text1"/>
          <w:sz w:val="24"/>
          <w:szCs w:val="24"/>
        </w:rPr>
        <w:t>nformation</w:t>
      </w:r>
      <w:r w:rsidR="001A1C45">
        <w:rPr>
          <w:rFonts w:ascii="Times New Roman" w:hAnsi="Times New Roman" w:cs="Times New Roman"/>
          <w:color w:val="000000" w:themeColor="text1"/>
          <w:sz w:val="24"/>
          <w:szCs w:val="24"/>
        </w:rPr>
        <w:t xml:space="preserve"> about </w:t>
      </w:r>
      <w:r w:rsidR="003153EF">
        <w:rPr>
          <w:rFonts w:ascii="Times New Roman" w:hAnsi="Times New Roman" w:cs="Times New Roman"/>
          <w:color w:val="000000" w:themeColor="text1"/>
          <w:sz w:val="24"/>
          <w:szCs w:val="24"/>
        </w:rPr>
        <w:t>such</w:t>
      </w:r>
      <w:r w:rsidR="00610373">
        <w:rPr>
          <w:rFonts w:ascii="Times New Roman" w:hAnsi="Times New Roman" w:cs="Times New Roman"/>
          <w:color w:val="000000" w:themeColor="text1"/>
          <w:sz w:val="24"/>
          <w:szCs w:val="24"/>
        </w:rPr>
        <w:t xml:space="preserve"> </w:t>
      </w:r>
      <w:r w:rsidR="001A1C45">
        <w:rPr>
          <w:rFonts w:ascii="Times New Roman" w:hAnsi="Times New Roman" w:cs="Times New Roman"/>
          <w:color w:val="000000" w:themeColor="text1"/>
          <w:sz w:val="24"/>
          <w:szCs w:val="24"/>
        </w:rPr>
        <w:t>survivors</w:t>
      </w:r>
      <w:r w:rsidRPr="006E6A28" w:rsidR="4183C688">
        <w:rPr>
          <w:rFonts w:ascii="Times New Roman" w:hAnsi="Times New Roman" w:cs="Times New Roman"/>
          <w:color w:val="000000" w:themeColor="text1"/>
          <w:sz w:val="24"/>
          <w:szCs w:val="24"/>
        </w:rPr>
        <w:t xml:space="preserve"> </w:t>
      </w:r>
      <w:r w:rsidR="00985410">
        <w:rPr>
          <w:rFonts w:ascii="Times New Roman" w:hAnsi="Times New Roman" w:cs="Times New Roman"/>
          <w:color w:val="000000" w:themeColor="text1"/>
          <w:sz w:val="24"/>
          <w:szCs w:val="24"/>
        </w:rPr>
        <w:t>may be</w:t>
      </w:r>
      <w:r w:rsidRPr="006E6A28" w:rsidR="4183C688">
        <w:rPr>
          <w:rFonts w:ascii="Times New Roman" w:hAnsi="Times New Roman" w:cs="Times New Roman"/>
          <w:color w:val="000000" w:themeColor="text1"/>
          <w:sz w:val="24"/>
          <w:szCs w:val="24"/>
        </w:rPr>
        <w:t xml:space="preserve"> collected</w:t>
      </w:r>
      <w:r w:rsidRPr="006E6A28" w:rsidR="50A44C8C">
        <w:rPr>
          <w:rFonts w:ascii="Times New Roman" w:hAnsi="Times New Roman" w:cs="Times New Roman"/>
          <w:color w:val="000000" w:themeColor="text1"/>
          <w:sz w:val="24"/>
          <w:szCs w:val="24"/>
        </w:rPr>
        <w:t xml:space="preserve"> by a</w:t>
      </w:r>
      <w:r w:rsidRPr="006E6A28" w:rsidR="00380D54">
        <w:rPr>
          <w:rFonts w:ascii="Times New Roman" w:hAnsi="Times New Roman" w:cs="Times New Roman"/>
          <w:color w:val="000000" w:themeColor="text1"/>
          <w:sz w:val="24"/>
          <w:szCs w:val="24"/>
        </w:rPr>
        <w:t xml:space="preserve"> </w:t>
      </w:r>
      <w:r w:rsidRPr="006E6A28" w:rsidR="50A44C8C">
        <w:rPr>
          <w:rFonts w:ascii="Times New Roman" w:hAnsi="Times New Roman" w:cs="Times New Roman"/>
          <w:color w:val="000000" w:themeColor="text1"/>
          <w:sz w:val="24"/>
          <w:szCs w:val="24"/>
        </w:rPr>
        <w:t>case manager</w:t>
      </w:r>
      <w:r w:rsidRPr="006E6A28" w:rsidR="5B43FC7C">
        <w:rPr>
          <w:rFonts w:ascii="Times New Roman" w:hAnsi="Times New Roman" w:cs="Times New Roman"/>
          <w:color w:val="000000" w:themeColor="text1"/>
          <w:sz w:val="24"/>
          <w:szCs w:val="24"/>
        </w:rPr>
        <w:t xml:space="preserve"> through in-person or telephonic </w:t>
      </w:r>
      <w:r w:rsidRPr="006E6A28" w:rsidR="00332BB0">
        <w:rPr>
          <w:rFonts w:ascii="Times New Roman" w:hAnsi="Times New Roman" w:cs="Times New Roman"/>
          <w:color w:val="000000" w:themeColor="text1"/>
          <w:sz w:val="24"/>
          <w:szCs w:val="24"/>
        </w:rPr>
        <w:t>means</w:t>
      </w:r>
      <w:r w:rsidRPr="006E6A28" w:rsidR="5B43FC7C">
        <w:rPr>
          <w:rFonts w:ascii="Times New Roman" w:hAnsi="Times New Roman" w:cs="Times New Roman"/>
          <w:color w:val="000000" w:themeColor="text1"/>
          <w:sz w:val="24"/>
          <w:szCs w:val="24"/>
        </w:rPr>
        <w:t>.</w:t>
      </w:r>
      <w:r w:rsidR="00C5369F">
        <w:rPr>
          <w:rFonts w:ascii="Times New Roman" w:hAnsi="Times New Roman" w:cs="Times New Roman"/>
          <w:color w:val="000000" w:themeColor="text1"/>
          <w:sz w:val="24"/>
          <w:szCs w:val="24"/>
        </w:rPr>
        <w:t xml:space="preserve"> </w:t>
      </w:r>
      <w:r w:rsidRPr="006E6A28" w:rsidR="2F681B35">
        <w:rPr>
          <w:rFonts w:ascii="Times New Roman" w:hAnsi="Times New Roman" w:cs="Times New Roman"/>
          <w:color w:val="000000" w:themeColor="text1"/>
          <w:sz w:val="24"/>
          <w:szCs w:val="24"/>
        </w:rPr>
        <w:t xml:space="preserve">Once the information has been collected, it will be accessible </w:t>
      </w:r>
      <w:r w:rsidRPr="006E6A28" w:rsidR="6566AAA8">
        <w:rPr>
          <w:rFonts w:ascii="Times New Roman" w:hAnsi="Times New Roman" w:cs="Times New Roman"/>
          <w:color w:val="000000" w:themeColor="text1"/>
          <w:sz w:val="24"/>
          <w:szCs w:val="24"/>
        </w:rPr>
        <w:t>by all qualified and vetted case managers</w:t>
      </w:r>
      <w:r w:rsidRPr="006E6A28" w:rsidR="0B4A83E9">
        <w:rPr>
          <w:rFonts w:ascii="Times New Roman" w:hAnsi="Times New Roman" w:cs="Times New Roman"/>
          <w:color w:val="000000" w:themeColor="text1"/>
          <w:sz w:val="24"/>
          <w:szCs w:val="24"/>
        </w:rPr>
        <w:t xml:space="preserve"> so that</w:t>
      </w:r>
      <w:r w:rsidRPr="006E6A28" w:rsidR="009E3409">
        <w:rPr>
          <w:rFonts w:ascii="Times New Roman" w:hAnsi="Times New Roman" w:cs="Times New Roman"/>
          <w:color w:val="000000" w:themeColor="text1"/>
          <w:sz w:val="24"/>
          <w:szCs w:val="24"/>
        </w:rPr>
        <w:t>,</w:t>
      </w:r>
      <w:r w:rsidRPr="006E6A28" w:rsidR="0B4A83E9">
        <w:rPr>
          <w:rFonts w:ascii="Times New Roman" w:hAnsi="Times New Roman" w:cs="Times New Roman"/>
          <w:color w:val="000000" w:themeColor="text1"/>
          <w:sz w:val="24"/>
          <w:szCs w:val="24"/>
        </w:rPr>
        <w:t xml:space="preserve"> should the survivor request services when their case manager is unavailable, another case manager can assist them and will not have to re-collect information already provided. </w:t>
      </w:r>
    </w:p>
    <w:p w:rsidR="00FB600C" w:rsidP="00A11A26" w:rsidRDefault="00FB600C" w14:paraId="624B5E22" w14:textId="77777777">
      <w:pPr>
        <w:contextualSpacing/>
        <w:rPr>
          <w:rFonts w:ascii="Times New Roman" w:hAnsi="Times New Roman" w:cs="Times New Roman"/>
          <w:color w:val="000000" w:themeColor="text1"/>
          <w:sz w:val="24"/>
          <w:szCs w:val="24"/>
        </w:rPr>
      </w:pPr>
    </w:p>
    <w:p w:rsidR="00F92479" w:rsidP="00A11A26" w:rsidRDefault="00F92479" w14:paraId="45407D30" w14:textId="2371218B">
      <w:pPr>
        <w:contextualSpacing/>
        <w:rPr>
          <w:rFonts w:ascii="Times New Roman" w:hAnsi="Times New Roman" w:cs="Times New Roman"/>
          <w:color w:val="000000" w:themeColor="text1"/>
          <w:sz w:val="24"/>
          <w:szCs w:val="24"/>
        </w:rPr>
      </w:pPr>
      <w:r w:rsidRPr="006E6A28">
        <w:rPr>
          <w:rFonts w:ascii="Times New Roman" w:hAnsi="Times New Roman" w:cs="Times New Roman"/>
          <w:color w:val="000000" w:themeColor="text1"/>
          <w:sz w:val="24"/>
          <w:szCs w:val="24"/>
        </w:rPr>
        <w:t xml:space="preserve">Survivors in need of services may choose to receive only information and referrals or </w:t>
      </w:r>
      <w:r w:rsidRPr="006E6A28" w:rsidR="00EA58DD">
        <w:rPr>
          <w:rFonts w:ascii="Times New Roman" w:hAnsi="Times New Roman" w:cs="Times New Roman"/>
          <w:color w:val="000000" w:themeColor="text1"/>
          <w:sz w:val="24"/>
          <w:szCs w:val="24"/>
        </w:rPr>
        <w:t xml:space="preserve">may choose </w:t>
      </w:r>
      <w:r w:rsidRPr="006E6A28">
        <w:rPr>
          <w:rFonts w:ascii="Times New Roman" w:hAnsi="Times New Roman" w:cs="Times New Roman"/>
          <w:color w:val="000000" w:themeColor="text1"/>
          <w:sz w:val="24"/>
          <w:szCs w:val="24"/>
        </w:rPr>
        <w:t>more in-depth case manage</w:t>
      </w:r>
      <w:r w:rsidRPr="006E6A28" w:rsidR="00EA58DD">
        <w:rPr>
          <w:rFonts w:ascii="Times New Roman" w:hAnsi="Times New Roman" w:cs="Times New Roman"/>
          <w:color w:val="000000" w:themeColor="text1"/>
          <w:sz w:val="24"/>
          <w:szCs w:val="24"/>
        </w:rPr>
        <w:t>ment</w:t>
      </w:r>
      <w:r w:rsidRPr="006E6A28">
        <w:rPr>
          <w:rFonts w:ascii="Times New Roman" w:hAnsi="Times New Roman" w:cs="Times New Roman"/>
          <w:color w:val="000000" w:themeColor="text1"/>
          <w:sz w:val="24"/>
          <w:szCs w:val="24"/>
        </w:rPr>
        <w:t xml:space="preserve"> services. If the survivor opts for the latter, </w:t>
      </w:r>
      <w:r w:rsidRPr="006E6A28" w:rsidR="00EA58DD">
        <w:rPr>
          <w:rFonts w:ascii="Times New Roman" w:hAnsi="Times New Roman" w:cs="Times New Roman"/>
          <w:color w:val="000000" w:themeColor="text1"/>
          <w:sz w:val="24"/>
          <w:szCs w:val="24"/>
        </w:rPr>
        <w:t>the survivor will sign the FEMA consent form</w:t>
      </w:r>
      <w:r w:rsidRPr="006E6A28" w:rsidR="00823272">
        <w:rPr>
          <w:rFonts w:ascii="Times New Roman" w:hAnsi="Times New Roman" w:cs="Times New Roman"/>
          <w:color w:val="000000" w:themeColor="text1"/>
          <w:sz w:val="24"/>
          <w:szCs w:val="24"/>
        </w:rPr>
        <w:t xml:space="preserve">, currently in development, </w:t>
      </w:r>
      <w:r w:rsidRPr="006E6A28" w:rsidR="00EA58DD">
        <w:rPr>
          <w:rFonts w:ascii="Times New Roman" w:hAnsi="Times New Roman" w:cs="Times New Roman"/>
          <w:color w:val="000000" w:themeColor="text1"/>
          <w:sz w:val="24"/>
          <w:szCs w:val="24"/>
        </w:rPr>
        <w:t xml:space="preserve">and work with </w:t>
      </w:r>
      <w:r w:rsidRPr="006E6A28">
        <w:rPr>
          <w:rFonts w:ascii="Times New Roman" w:hAnsi="Times New Roman" w:cs="Times New Roman"/>
          <w:color w:val="000000" w:themeColor="text1"/>
          <w:sz w:val="24"/>
          <w:szCs w:val="24"/>
        </w:rPr>
        <w:t xml:space="preserve">the case manager to </w:t>
      </w:r>
      <w:r w:rsidRPr="006E6A28" w:rsidR="00823272">
        <w:rPr>
          <w:rFonts w:ascii="Times New Roman" w:hAnsi="Times New Roman" w:cs="Times New Roman"/>
          <w:color w:val="000000" w:themeColor="text1"/>
          <w:sz w:val="24"/>
          <w:szCs w:val="24"/>
        </w:rPr>
        <w:t xml:space="preserve">create </w:t>
      </w:r>
      <w:r w:rsidRPr="006E6A28">
        <w:rPr>
          <w:rFonts w:ascii="Times New Roman" w:hAnsi="Times New Roman" w:cs="Times New Roman"/>
          <w:color w:val="000000" w:themeColor="text1"/>
          <w:sz w:val="24"/>
          <w:szCs w:val="24"/>
        </w:rPr>
        <w:t xml:space="preserve">a personalized disaster recovery plan that will allow the case manager </w:t>
      </w:r>
      <w:r w:rsidRPr="006E6A28" w:rsidR="00823272">
        <w:rPr>
          <w:rFonts w:ascii="Times New Roman" w:hAnsi="Times New Roman" w:cs="Times New Roman"/>
          <w:color w:val="000000" w:themeColor="text1"/>
          <w:sz w:val="24"/>
          <w:szCs w:val="24"/>
        </w:rPr>
        <w:t xml:space="preserve">and survivor to go more into detail on the disaster-caused unmet needs and the next steps and referrals needed for recovery. For example, </w:t>
      </w:r>
      <w:r w:rsidRPr="006E6A28" w:rsidR="00EA58DD">
        <w:rPr>
          <w:rFonts w:ascii="Times New Roman" w:hAnsi="Times New Roman" w:cs="Times New Roman"/>
          <w:color w:val="000000" w:themeColor="text1"/>
          <w:sz w:val="24"/>
          <w:szCs w:val="24"/>
        </w:rPr>
        <w:t xml:space="preserve">if the survivor has a child in need of clothing/shoes, the case manager may collect the child’s clothing size and types of clothing needed so they can assist the survivor with finding appropriate resources. </w:t>
      </w:r>
    </w:p>
    <w:p w:rsidRPr="006E6A28" w:rsidR="00FB600C" w:rsidP="00A11A26" w:rsidRDefault="00FB600C" w14:paraId="4620A4BE" w14:textId="77777777">
      <w:pPr>
        <w:contextualSpacing/>
        <w:rPr>
          <w:rFonts w:ascii="Times New Roman" w:hAnsi="Times New Roman" w:cs="Times New Roman"/>
          <w:color w:val="000000" w:themeColor="text1"/>
          <w:sz w:val="24"/>
          <w:szCs w:val="24"/>
        </w:rPr>
      </w:pPr>
    </w:p>
    <w:p w:rsidRPr="00065681" w:rsidR="00562915" w:rsidP="00A11A26" w:rsidRDefault="00562915" w14:paraId="1472C8B8" w14:textId="2498CF45">
      <w:pPr>
        <w:contextualSpacing/>
        <w:rPr>
          <w:rFonts w:ascii="Times New Roman" w:hAnsi="Times New Roman" w:cs="Times New Roman"/>
          <w:color w:val="000000" w:themeColor="text1"/>
          <w:sz w:val="24"/>
          <w:szCs w:val="24"/>
        </w:rPr>
      </w:pPr>
      <w:r w:rsidRPr="00065681">
        <w:rPr>
          <w:rFonts w:ascii="Times New Roman" w:hAnsi="Times New Roman" w:cs="Times New Roman"/>
          <w:b/>
          <w:bCs/>
          <w:color w:val="000000" w:themeColor="text1"/>
          <w:sz w:val="24"/>
          <w:szCs w:val="24"/>
        </w:rPr>
        <w:t xml:space="preserve">4.  Describe efforts to identify duplication.  Show specifically why any similar information already available cannot be used or modified for use for the purposes described in Item 2 above.  </w:t>
      </w:r>
      <w:r w:rsidRPr="00065681">
        <w:rPr>
          <w:rFonts w:ascii="Times New Roman" w:hAnsi="Times New Roman" w:cs="Times New Roman"/>
          <w:color w:val="000000" w:themeColor="text1"/>
          <w:sz w:val="24"/>
          <w:szCs w:val="24"/>
        </w:rPr>
        <w:fldChar w:fldCharType="begin"/>
      </w:r>
      <w:r w:rsidRPr="00065681">
        <w:rPr>
          <w:rFonts w:ascii="Times New Roman" w:hAnsi="Times New Roman" w:cs="Times New Roman"/>
          <w:color w:val="000000" w:themeColor="text1"/>
          <w:sz w:val="24"/>
          <w:szCs w:val="24"/>
        </w:rPr>
        <w:instrText>ADVANCE \R 0.95</w:instrText>
      </w:r>
      <w:r w:rsidRPr="00065681">
        <w:rPr>
          <w:rFonts w:ascii="Times New Roman" w:hAnsi="Times New Roman" w:cs="Times New Roman"/>
          <w:color w:val="000000" w:themeColor="text1"/>
          <w:sz w:val="24"/>
          <w:szCs w:val="24"/>
        </w:rPr>
        <w:fldChar w:fldCharType="end"/>
      </w:r>
    </w:p>
    <w:p w:rsidR="00FB600C" w:rsidP="00A11A26" w:rsidRDefault="00FB600C" w14:paraId="1EEF2B05" w14:textId="77777777">
      <w:pPr>
        <w:contextualSpacing/>
        <w:rPr>
          <w:rFonts w:ascii="Times New Roman" w:hAnsi="Times New Roman" w:cs="Times New Roman"/>
          <w:color w:val="000000" w:themeColor="text1"/>
          <w:sz w:val="24"/>
          <w:szCs w:val="24"/>
        </w:rPr>
      </w:pPr>
    </w:p>
    <w:p w:rsidR="002B2B7C" w:rsidP="00A11A26" w:rsidRDefault="5C0B146D" w14:paraId="0D0B940D" w14:textId="6D5CDF4B">
      <w:pPr>
        <w:contextualSpacing/>
        <w:rPr>
          <w:rFonts w:ascii="Times New Roman" w:hAnsi="Times New Roman" w:cs="Times New Roman"/>
          <w:color w:val="000000" w:themeColor="text1"/>
          <w:sz w:val="24"/>
          <w:szCs w:val="24"/>
        </w:rPr>
      </w:pPr>
      <w:r w:rsidRPr="00065681">
        <w:rPr>
          <w:rFonts w:ascii="Times New Roman" w:hAnsi="Times New Roman" w:cs="Times New Roman"/>
          <w:color w:val="000000" w:themeColor="text1"/>
          <w:sz w:val="24"/>
          <w:szCs w:val="24"/>
        </w:rPr>
        <w:lastRenderedPageBreak/>
        <w:t>FEMA may provide data elements collected at</w:t>
      </w:r>
      <w:r w:rsidRPr="00065681" w:rsidR="08881F15">
        <w:rPr>
          <w:rFonts w:ascii="Times New Roman" w:hAnsi="Times New Roman" w:cs="Times New Roman"/>
          <w:color w:val="000000" w:themeColor="text1"/>
          <w:sz w:val="24"/>
          <w:szCs w:val="24"/>
        </w:rPr>
        <w:t xml:space="preserve"> the time of FEMA registration to </w:t>
      </w:r>
      <w:r w:rsidRPr="00065681" w:rsidR="00380D54">
        <w:rPr>
          <w:rFonts w:ascii="Times New Roman" w:hAnsi="Times New Roman" w:cs="Times New Roman"/>
          <w:color w:val="000000" w:themeColor="text1"/>
          <w:sz w:val="24"/>
          <w:szCs w:val="24"/>
        </w:rPr>
        <w:t>its agent</w:t>
      </w:r>
      <w:r w:rsidRPr="00065681" w:rsidR="08881F15">
        <w:rPr>
          <w:rFonts w:ascii="Times New Roman" w:hAnsi="Times New Roman" w:cs="Times New Roman"/>
          <w:color w:val="000000" w:themeColor="text1"/>
          <w:sz w:val="24"/>
          <w:szCs w:val="24"/>
        </w:rPr>
        <w:t xml:space="preserve">, through an approved ISAA, to ensure that FEMA registrants will not have to provide the same information twice. </w:t>
      </w:r>
      <w:r w:rsidRPr="00065681" w:rsidR="00EB29A3">
        <w:rPr>
          <w:rFonts w:ascii="Times New Roman" w:hAnsi="Times New Roman" w:cs="Times New Roman"/>
          <w:color w:val="000000" w:themeColor="text1"/>
          <w:sz w:val="24"/>
          <w:szCs w:val="24"/>
        </w:rPr>
        <w:t xml:space="preserve">Using the FEMA Registration </w:t>
      </w:r>
      <w:r w:rsidRPr="00065681" w:rsidR="00020ABB">
        <w:rPr>
          <w:rFonts w:ascii="Times New Roman" w:hAnsi="Times New Roman" w:cs="Times New Roman"/>
          <w:color w:val="000000" w:themeColor="text1"/>
          <w:sz w:val="24"/>
          <w:szCs w:val="24"/>
        </w:rPr>
        <w:t xml:space="preserve">ID </w:t>
      </w:r>
      <w:r w:rsidR="00020ABB">
        <w:rPr>
          <w:rFonts w:ascii="Times New Roman" w:hAnsi="Times New Roman" w:cs="Times New Roman"/>
          <w:color w:val="000000" w:themeColor="text1"/>
          <w:sz w:val="24"/>
          <w:szCs w:val="24"/>
        </w:rPr>
        <w:t>and</w:t>
      </w:r>
      <w:r w:rsidRPr="00065681" w:rsidR="00EB29A3">
        <w:rPr>
          <w:rFonts w:ascii="Times New Roman" w:hAnsi="Times New Roman" w:cs="Times New Roman"/>
          <w:color w:val="000000" w:themeColor="text1"/>
          <w:sz w:val="24"/>
          <w:szCs w:val="24"/>
        </w:rPr>
        <w:t xml:space="preserve"> </w:t>
      </w:r>
      <w:r w:rsidR="00B63539">
        <w:rPr>
          <w:rFonts w:ascii="Times New Roman" w:hAnsi="Times New Roman" w:cs="Times New Roman"/>
          <w:color w:val="000000" w:themeColor="text1"/>
          <w:sz w:val="24"/>
          <w:szCs w:val="24"/>
        </w:rPr>
        <w:t xml:space="preserve">the </w:t>
      </w:r>
      <w:r w:rsidRPr="00065681" w:rsidR="00380D54">
        <w:rPr>
          <w:rFonts w:ascii="Times New Roman" w:hAnsi="Times New Roman" w:cs="Times New Roman"/>
          <w:color w:val="000000" w:themeColor="text1"/>
          <w:sz w:val="24"/>
          <w:szCs w:val="24"/>
        </w:rPr>
        <w:t xml:space="preserve">FEMA-administered </w:t>
      </w:r>
      <w:r w:rsidRPr="00065681" w:rsidR="00EB29A3">
        <w:rPr>
          <w:rFonts w:ascii="Times New Roman" w:hAnsi="Times New Roman" w:cs="Times New Roman"/>
          <w:color w:val="000000" w:themeColor="text1"/>
          <w:sz w:val="24"/>
          <w:szCs w:val="24"/>
        </w:rPr>
        <w:t xml:space="preserve">DCM client number as unique identifiers, </w:t>
      </w:r>
      <w:r w:rsidRPr="00065681" w:rsidR="00380D54">
        <w:rPr>
          <w:rFonts w:ascii="Times New Roman" w:hAnsi="Times New Roman" w:cs="Times New Roman"/>
          <w:color w:val="000000" w:themeColor="text1"/>
          <w:sz w:val="24"/>
          <w:szCs w:val="24"/>
        </w:rPr>
        <w:t xml:space="preserve">the agent </w:t>
      </w:r>
      <w:r w:rsidRPr="00065681" w:rsidR="01A80B4B">
        <w:rPr>
          <w:rFonts w:ascii="Times New Roman" w:hAnsi="Times New Roman" w:cs="Times New Roman"/>
          <w:color w:val="000000" w:themeColor="text1"/>
          <w:sz w:val="24"/>
          <w:szCs w:val="24"/>
        </w:rPr>
        <w:t xml:space="preserve">will review </w:t>
      </w:r>
      <w:r w:rsidRPr="00065681" w:rsidR="00EB29A3">
        <w:rPr>
          <w:rFonts w:ascii="Times New Roman" w:hAnsi="Times New Roman" w:cs="Times New Roman"/>
          <w:color w:val="000000" w:themeColor="text1"/>
          <w:sz w:val="24"/>
          <w:szCs w:val="24"/>
        </w:rPr>
        <w:t>and compare against the</w:t>
      </w:r>
      <w:r w:rsidRPr="00065681" w:rsidR="00380D54">
        <w:rPr>
          <w:rFonts w:ascii="Times New Roman" w:hAnsi="Times New Roman" w:cs="Times New Roman"/>
          <w:color w:val="000000" w:themeColor="text1"/>
          <w:sz w:val="24"/>
          <w:szCs w:val="24"/>
        </w:rPr>
        <w:t xml:space="preserve">ir system of record </w:t>
      </w:r>
      <w:r w:rsidRPr="00065681" w:rsidR="00EB29A3">
        <w:rPr>
          <w:rFonts w:ascii="Times New Roman" w:hAnsi="Times New Roman" w:cs="Times New Roman"/>
          <w:color w:val="000000" w:themeColor="text1"/>
          <w:sz w:val="24"/>
          <w:szCs w:val="24"/>
        </w:rPr>
        <w:t>to ensure there are no duplicate case files</w:t>
      </w:r>
      <w:r w:rsidR="00B63539">
        <w:rPr>
          <w:rFonts w:ascii="Times New Roman" w:hAnsi="Times New Roman" w:cs="Times New Roman"/>
          <w:color w:val="000000" w:themeColor="text1"/>
          <w:sz w:val="24"/>
          <w:szCs w:val="24"/>
        </w:rPr>
        <w:t>, and to protect the survivor against any potential duplication</w:t>
      </w:r>
      <w:r w:rsidRPr="00065681" w:rsidR="01A80B4B">
        <w:rPr>
          <w:rFonts w:ascii="Times New Roman" w:hAnsi="Times New Roman" w:cs="Times New Roman"/>
          <w:color w:val="000000" w:themeColor="text1"/>
          <w:sz w:val="24"/>
          <w:szCs w:val="24"/>
        </w:rPr>
        <w:t xml:space="preserve">. </w:t>
      </w:r>
    </w:p>
    <w:p w:rsidRPr="00065681" w:rsidR="00FB600C" w:rsidP="00A11A26" w:rsidRDefault="00FB600C" w14:paraId="0DDE6410" w14:textId="77777777">
      <w:pPr>
        <w:contextualSpacing/>
        <w:rPr>
          <w:rFonts w:ascii="Times New Roman" w:hAnsi="Times New Roman" w:cs="Times New Roman"/>
          <w:color w:val="000000" w:themeColor="text1"/>
          <w:sz w:val="24"/>
          <w:szCs w:val="24"/>
        </w:rPr>
      </w:pPr>
    </w:p>
    <w:p w:rsidRPr="00065681" w:rsidR="00562915" w:rsidP="00A11A26" w:rsidRDefault="00562915" w14:paraId="7E1C2876" w14:textId="77777777">
      <w:pPr>
        <w:tabs>
          <w:tab w:val="left" w:pos="360"/>
        </w:tabs>
        <w:contextualSpacing/>
        <w:rPr>
          <w:rFonts w:ascii="Times New Roman" w:hAnsi="Times New Roman" w:cs="Times New Roman"/>
          <w:b/>
          <w:bCs/>
          <w:color w:val="000000" w:themeColor="text1"/>
          <w:sz w:val="24"/>
          <w:szCs w:val="24"/>
        </w:rPr>
      </w:pPr>
      <w:r w:rsidRPr="00065681">
        <w:rPr>
          <w:rFonts w:ascii="Times New Roman" w:hAnsi="Times New Roman" w:cs="Times New Roman"/>
          <w:b/>
          <w:bCs/>
          <w:color w:val="000000" w:themeColor="text1"/>
          <w:sz w:val="24"/>
          <w:szCs w:val="24"/>
        </w:rPr>
        <w:t xml:space="preserve">5.  </w:t>
      </w:r>
      <w:r w:rsidRPr="00065681">
        <w:rPr>
          <w:rFonts w:ascii="Times New Roman" w:hAnsi="Times New Roman" w:cs="Times New Roman"/>
          <w:b/>
          <w:bCs/>
          <w:color w:val="000000" w:themeColor="text1"/>
          <w:sz w:val="24"/>
          <w:szCs w:val="24"/>
        </w:rPr>
        <w:tab/>
        <w:t>If the collection of information impacts small businesses or other small entities (Item 5 of OMB Form 83-I), describe any methods used to minimize.</w:t>
      </w:r>
    </w:p>
    <w:p w:rsidR="00FB600C" w:rsidP="00A11A26" w:rsidRDefault="00FB600C" w14:paraId="5D83C6DE" w14:textId="77777777">
      <w:pPr>
        <w:contextualSpacing/>
        <w:rPr>
          <w:rFonts w:ascii="Times New Roman" w:hAnsi="Times New Roman" w:cs="Times New Roman"/>
          <w:color w:val="000000" w:themeColor="text1"/>
          <w:sz w:val="24"/>
          <w:szCs w:val="24"/>
        </w:rPr>
      </w:pPr>
    </w:p>
    <w:p w:rsidR="002B2B7C" w:rsidP="00A11A26" w:rsidRDefault="4F4C20BF" w14:paraId="0E27B00A" w14:textId="27B17289">
      <w:pPr>
        <w:contextualSpacing/>
        <w:rPr>
          <w:rFonts w:ascii="Times New Roman" w:hAnsi="Times New Roman" w:cs="Times New Roman"/>
          <w:color w:val="000000" w:themeColor="text1"/>
          <w:sz w:val="24"/>
          <w:szCs w:val="24"/>
        </w:rPr>
      </w:pPr>
      <w:r w:rsidRPr="00065681">
        <w:rPr>
          <w:rFonts w:ascii="Times New Roman" w:hAnsi="Times New Roman" w:cs="Times New Roman"/>
          <w:color w:val="000000" w:themeColor="text1"/>
          <w:sz w:val="24"/>
          <w:szCs w:val="24"/>
        </w:rPr>
        <w:t xml:space="preserve">Should the survivor requesting case management services mention that their small business or small entity has a disaster-caused unmet need, the case manager will refer the survivor to the Small Business Administration (SBA) for assistance. </w:t>
      </w:r>
    </w:p>
    <w:p w:rsidRPr="00065681" w:rsidR="00A11A26" w:rsidP="00A11A26" w:rsidRDefault="00A11A26" w14:paraId="5C7CD9AB" w14:textId="77777777">
      <w:pPr>
        <w:contextualSpacing/>
        <w:rPr>
          <w:rFonts w:ascii="Times New Roman" w:hAnsi="Times New Roman" w:cs="Times New Roman"/>
          <w:color w:val="000000" w:themeColor="text1"/>
          <w:sz w:val="24"/>
          <w:szCs w:val="24"/>
        </w:rPr>
      </w:pPr>
    </w:p>
    <w:p w:rsidRPr="00065681" w:rsidR="00562915" w:rsidP="00A11A26" w:rsidRDefault="00562915" w14:paraId="7003E741" w14:textId="12A456DA">
      <w:pPr>
        <w:contextualSpacing/>
        <w:rPr>
          <w:rFonts w:ascii="Times New Roman" w:hAnsi="Times New Roman" w:cs="Times New Roman"/>
          <w:b/>
          <w:bCs/>
          <w:color w:val="000000" w:themeColor="text1"/>
          <w:sz w:val="24"/>
          <w:szCs w:val="24"/>
        </w:rPr>
      </w:pPr>
      <w:r w:rsidRPr="00065681">
        <w:rPr>
          <w:rFonts w:ascii="Times New Roman" w:hAnsi="Times New Roman" w:cs="Times New Roman"/>
          <w:b/>
          <w:bCs/>
          <w:color w:val="000000" w:themeColor="text1"/>
          <w:sz w:val="24"/>
          <w:szCs w:val="24"/>
        </w:rPr>
        <w:fldChar w:fldCharType="begin"/>
      </w:r>
      <w:r w:rsidRPr="00065681">
        <w:rPr>
          <w:rFonts w:ascii="Times New Roman" w:hAnsi="Times New Roman" w:cs="Times New Roman"/>
          <w:b/>
          <w:bCs/>
          <w:color w:val="000000" w:themeColor="text1"/>
          <w:sz w:val="24"/>
          <w:szCs w:val="24"/>
        </w:rPr>
        <w:instrText>ADVANCE \R 0.95</w:instrText>
      </w:r>
      <w:r w:rsidRPr="00065681">
        <w:rPr>
          <w:rFonts w:ascii="Times New Roman" w:hAnsi="Times New Roman" w:cs="Times New Roman"/>
          <w:b/>
          <w:bCs/>
          <w:color w:val="000000" w:themeColor="text1"/>
          <w:sz w:val="24"/>
          <w:szCs w:val="24"/>
        </w:rPr>
        <w:fldChar w:fldCharType="end"/>
      </w:r>
      <w:r w:rsidRPr="00065681">
        <w:rPr>
          <w:rFonts w:ascii="Times New Roman" w:hAnsi="Times New Roman" w:cs="Times New Roman"/>
          <w:b/>
          <w:bCs/>
          <w:color w:val="000000" w:themeColor="text1"/>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A11A26" w:rsidP="00A11A26" w:rsidRDefault="00A11A26" w14:paraId="6123309B" w14:textId="77777777">
      <w:pPr>
        <w:contextualSpacing/>
        <w:rPr>
          <w:rFonts w:ascii="Times New Roman" w:hAnsi="Times New Roman" w:cs="Times New Roman"/>
          <w:color w:val="000000" w:themeColor="text1"/>
          <w:sz w:val="24"/>
          <w:szCs w:val="24"/>
        </w:rPr>
      </w:pPr>
    </w:p>
    <w:p w:rsidR="002B2B7C" w:rsidP="00A11A26" w:rsidRDefault="00495B0C" w14:paraId="60061E4C" w14:textId="1E0C84C0">
      <w:pPr>
        <w:contextualSpacing/>
        <w:rPr>
          <w:rFonts w:ascii="Times New Roman" w:hAnsi="Times New Roman" w:cs="Times New Roman"/>
          <w:color w:val="000000" w:themeColor="text1"/>
          <w:sz w:val="24"/>
          <w:szCs w:val="24"/>
        </w:rPr>
      </w:pPr>
      <w:r w:rsidRPr="00065681">
        <w:rPr>
          <w:rFonts w:ascii="Times New Roman" w:hAnsi="Times New Roman" w:cs="Times New Roman"/>
          <w:color w:val="000000" w:themeColor="text1"/>
          <w:sz w:val="24"/>
          <w:szCs w:val="24"/>
        </w:rPr>
        <w:t>This collected i</w:t>
      </w:r>
      <w:r w:rsidRPr="00065681" w:rsidR="05264E4A">
        <w:rPr>
          <w:rFonts w:ascii="Times New Roman" w:hAnsi="Times New Roman" w:cs="Times New Roman"/>
          <w:color w:val="000000" w:themeColor="text1"/>
          <w:sz w:val="24"/>
          <w:szCs w:val="24"/>
        </w:rPr>
        <w:t>nformation is gathered only when the President has declared a major disaster for FEMA Individual Assistance</w:t>
      </w:r>
      <w:r w:rsidR="00B3429C">
        <w:rPr>
          <w:rFonts w:ascii="Times New Roman" w:hAnsi="Times New Roman" w:cs="Times New Roman"/>
          <w:color w:val="000000" w:themeColor="text1"/>
          <w:sz w:val="24"/>
          <w:szCs w:val="24"/>
        </w:rPr>
        <w:t xml:space="preserve"> (IA)</w:t>
      </w:r>
      <w:r w:rsidRPr="00065681" w:rsidR="05264E4A">
        <w:rPr>
          <w:rFonts w:ascii="Times New Roman" w:hAnsi="Times New Roman" w:cs="Times New Roman"/>
          <w:color w:val="000000" w:themeColor="text1"/>
          <w:sz w:val="24"/>
          <w:szCs w:val="24"/>
        </w:rPr>
        <w:t xml:space="preserve"> and FEMA </w:t>
      </w:r>
      <w:r w:rsidRPr="00065681" w:rsidR="00D0679B">
        <w:rPr>
          <w:rFonts w:ascii="Times New Roman" w:hAnsi="Times New Roman" w:cs="Times New Roman"/>
          <w:color w:val="000000" w:themeColor="text1"/>
          <w:sz w:val="24"/>
          <w:szCs w:val="24"/>
        </w:rPr>
        <w:t xml:space="preserve">provides services itself or </w:t>
      </w:r>
      <w:r w:rsidRPr="00065681" w:rsidR="00823272">
        <w:rPr>
          <w:rFonts w:ascii="Times New Roman" w:hAnsi="Times New Roman" w:cs="Times New Roman"/>
          <w:color w:val="000000" w:themeColor="text1"/>
          <w:sz w:val="24"/>
          <w:szCs w:val="24"/>
        </w:rPr>
        <w:t xml:space="preserve">executes </w:t>
      </w:r>
      <w:r w:rsidRPr="00065681" w:rsidR="05264E4A">
        <w:rPr>
          <w:rFonts w:ascii="Times New Roman" w:hAnsi="Times New Roman" w:cs="Times New Roman"/>
          <w:color w:val="000000" w:themeColor="text1"/>
          <w:sz w:val="24"/>
          <w:szCs w:val="24"/>
        </w:rPr>
        <w:t>a</w:t>
      </w:r>
      <w:r w:rsidRPr="00065681" w:rsidR="00D0679B">
        <w:rPr>
          <w:rFonts w:ascii="Times New Roman" w:hAnsi="Times New Roman" w:cs="Times New Roman"/>
          <w:color w:val="000000" w:themeColor="text1"/>
          <w:sz w:val="24"/>
          <w:szCs w:val="24"/>
        </w:rPr>
        <w:t xml:space="preserve">n agreement with </w:t>
      </w:r>
      <w:r w:rsidRPr="00065681" w:rsidR="00823272">
        <w:rPr>
          <w:rFonts w:ascii="Times New Roman" w:hAnsi="Times New Roman" w:cs="Times New Roman"/>
          <w:color w:val="000000" w:themeColor="text1"/>
          <w:sz w:val="24"/>
          <w:szCs w:val="24"/>
        </w:rPr>
        <w:t xml:space="preserve">a Federal </w:t>
      </w:r>
      <w:r w:rsidRPr="00065681" w:rsidR="00D0679B">
        <w:rPr>
          <w:rFonts w:ascii="Times New Roman" w:hAnsi="Times New Roman" w:cs="Times New Roman"/>
          <w:color w:val="000000" w:themeColor="text1"/>
          <w:sz w:val="24"/>
          <w:szCs w:val="24"/>
        </w:rPr>
        <w:t xml:space="preserve">entity or contracts with a non-profit or commercial organization. </w:t>
      </w:r>
      <w:r w:rsidRPr="00065681" w:rsidR="6CD8343D">
        <w:rPr>
          <w:rFonts w:ascii="Times New Roman" w:hAnsi="Times New Roman" w:cs="Times New Roman"/>
          <w:color w:val="000000" w:themeColor="text1"/>
          <w:sz w:val="24"/>
          <w:szCs w:val="24"/>
        </w:rPr>
        <w:t xml:space="preserve">In order for </w:t>
      </w:r>
      <w:r w:rsidRPr="00065681" w:rsidR="00D0679B">
        <w:rPr>
          <w:rFonts w:ascii="Times New Roman" w:hAnsi="Times New Roman" w:cs="Times New Roman"/>
          <w:color w:val="000000" w:themeColor="text1"/>
          <w:sz w:val="24"/>
          <w:szCs w:val="24"/>
        </w:rPr>
        <w:t xml:space="preserve">FEMA or an agent of FEMA </w:t>
      </w:r>
      <w:r w:rsidRPr="00065681" w:rsidR="6CD8343D">
        <w:rPr>
          <w:rFonts w:ascii="Times New Roman" w:hAnsi="Times New Roman" w:cs="Times New Roman"/>
          <w:color w:val="000000" w:themeColor="text1"/>
          <w:sz w:val="24"/>
          <w:szCs w:val="24"/>
        </w:rPr>
        <w:t xml:space="preserve">to carry out </w:t>
      </w:r>
      <w:r w:rsidRPr="00065681" w:rsidR="00EB29A3">
        <w:rPr>
          <w:rFonts w:ascii="Times New Roman" w:hAnsi="Times New Roman" w:cs="Times New Roman"/>
          <w:color w:val="000000" w:themeColor="text1"/>
          <w:sz w:val="24"/>
          <w:szCs w:val="24"/>
        </w:rPr>
        <w:t>the FEMA</w:t>
      </w:r>
      <w:r w:rsidRPr="00065681" w:rsidR="00D0679B">
        <w:rPr>
          <w:rFonts w:ascii="Times New Roman" w:hAnsi="Times New Roman" w:cs="Times New Roman"/>
          <w:color w:val="000000" w:themeColor="text1"/>
          <w:sz w:val="24"/>
          <w:szCs w:val="24"/>
        </w:rPr>
        <w:t xml:space="preserve">-administered </w:t>
      </w:r>
      <w:r w:rsidRPr="00065681" w:rsidR="00EB29A3">
        <w:rPr>
          <w:rFonts w:ascii="Times New Roman" w:hAnsi="Times New Roman" w:cs="Times New Roman"/>
          <w:color w:val="000000" w:themeColor="text1"/>
          <w:sz w:val="24"/>
          <w:szCs w:val="24"/>
        </w:rPr>
        <w:t>DCM</w:t>
      </w:r>
      <w:r w:rsidRPr="00065681" w:rsidR="6CD8343D">
        <w:rPr>
          <w:rFonts w:ascii="Times New Roman" w:hAnsi="Times New Roman" w:cs="Times New Roman"/>
          <w:color w:val="000000" w:themeColor="text1"/>
          <w:sz w:val="24"/>
          <w:szCs w:val="24"/>
        </w:rPr>
        <w:t xml:space="preserve"> mission and </w:t>
      </w:r>
      <w:r w:rsidRPr="00065681" w:rsidR="5321265D">
        <w:rPr>
          <w:rFonts w:ascii="Times New Roman" w:hAnsi="Times New Roman" w:cs="Times New Roman"/>
          <w:color w:val="000000" w:themeColor="text1"/>
          <w:sz w:val="24"/>
          <w:szCs w:val="24"/>
        </w:rPr>
        <w:t xml:space="preserve">assist </w:t>
      </w:r>
      <w:r w:rsidRPr="00065681" w:rsidR="6CD8343D">
        <w:rPr>
          <w:rFonts w:ascii="Times New Roman" w:hAnsi="Times New Roman" w:cs="Times New Roman"/>
          <w:color w:val="000000" w:themeColor="text1"/>
          <w:sz w:val="24"/>
          <w:szCs w:val="24"/>
        </w:rPr>
        <w:t>survivors</w:t>
      </w:r>
      <w:r w:rsidRPr="00065681" w:rsidR="143865EC">
        <w:rPr>
          <w:rFonts w:ascii="Times New Roman" w:hAnsi="Times New Roman" w:cs="Times New Roman"/>
          <w:color w:val="000000" w:themeColor="text1"/>
          <w:sz w:val="24"/>
          <w:szCs w:val="24"/>
        </w:rPr>
        <w:t xml:space="preserve"> </w:t>
      </w:r>
      <w:r w:rsidRPr="00065681" w:rsidR="005C570B">
        <w:rPr>
          <w:rFonts w:ascii="Times New Roman" w:hAnsi="Times New Roman" w:cs="Times New Roman"/>
          <w:color w:val="000000" w:themeColor="text1"/>
          <w:sz w:val="24"/>
          <w:szCs w:val="24"/>
        </w:rPr>
        <w:t>following a disaster</w:t>
      </w:r>
      <w:r w:rsidRPr="00065681" w:rsidR="6CD8343D">
        <w:rPr>
          <w:rFonts w:ascii="Times New Roman" w:hAnsi="Times New Roman" w:cs="Times New Roman"/>
          <w:color w:val="000000" w:themeColor="text1"/>
          <w:sz w:val="24"/>
          <w:szCs w:val="24"/>
        </w:rPr>
        <w:t xml:space="preserve">, the information must be collected </w:t>
      </w:r>
      <w:r w:rsidRPr="00065681" w:rsidR="79D3A461">
        <w:rPr>
          <w:rFonts w:ascii="Times New Roman" w:hAnsi="Times New Roman" w:cs="Times New Roman"/>
          <w:color w:val="000000" w:themeColor="text1"/>
          <w:sz w:val="24"/>
          <w:szCs w:val="24"/>
        </w:rPr>
        <w:t xml:space="preserve">from individuals that reside in or were in the IA-designated areas at the time of the incident </w:t>
      </w:r>
      <w:r w:rsidRPr="00065681" w:rsidR="39019866">
        <w:rPr>
          <w:rFonts w:ascii="Times New Roman" w:hAnsi="Times New Roman" w:cs="Times New Roman"/>
          <w:color w:val="000000" w:themeColor="text1"/>
          <w:sz w:val="24"/>
          <w:szCs w:val="24"/>
        </w:rPr>
        <w:t xml:space="preserve">so the survivor can begin </w:t>
      </w:r>
      <w:r w:rsidRPr="00065681" w:rsidR="0017AE6B">
        <w:rPr>
          <w:rFonts w:ascii="Times New Roman" w:hAnsi="Times New Roman" w:cs="Times New Roman"/>
          <w:color w:val="000000" w:themeColor="text1"/>
          <w:sz w:val="24"/>
          <w:szCs w:val="24"/>
        </w:rPr>
        <w:t>accessing available resources and/or developing their personalized disaster recovery plan</w:t>
      </w:r>
      <w:r w:rsidRPr="00065681" w:rsidR="00A47824">
        <w:rPr>
          <w:rFonts w:ascii="Times New Roman" w:hAnsi="Times New Roman" w:cs="Times New Roman"/>
          <w:color w:val="000000" w:themeColor="text1"/>
          <w:sz w:val="24"/>
          <w:szCs w:val="24"/>
        </w:rPr>
        <w:t xml:space="preserve"> in order</w:t>
      </w:r>
      <w:r w:rsidRPr="00065681" w:rsidR="0017AE6B">
        <w:rPr>
          <w:rFonts w:ascii="Times New Roman" w:hAnsi="Times New Roman" w:cs="Times New Roman"/>
          <w:color w:val="000000" w:themeColor="text1"/>
          <w:sz w:val="24"/>
          <w:szCs w:val="24"/>
        </w:rPr>
        <w:t xml:space="preserve"> to </w:t>
      </w:r>
      <w:r w:rsidRPr="00065681" w:rsidR="00A47824">
        <w:rPr>
          <w:rFonts w:ascii="Times New Roman" w:hAnsi="Times New Roman" w:cs="Times New Roman"/>
          <w:color w:val="000000" w:themeColor="text1"/>
          <w:sz w:val="24"/>
          <w:szCs w:val="24"/>
        </w:rPr>
        <w:t xml:space="preserve">pursue </w:t>
      </w:r>
      <w:r w:rsidRPr="00065681" w:rsidR="0017AE6B">
        <w:rPr>
          <w:rFonts w:ascii="Times New Roman" w:hAnsi="Times New Roman" w:cs="Times New Roman"/>
          <w:color w:val="000000" w:themeColor="text1"/>
          <w:sz w:val="24"/>
          <w:szCs w:val="24"/>
        </w:rPr>
        <w:t xml:space="preserve">their holistic recovery. </w:t>
      </w:r>
    </w:p>
    <w:p w:rsidRPr="00065681" w:rsidR="00A11A26" w:rsidP="00A11A26" w:rsidRDefault="00A11A26" w14:paraId="614D7671" w14:textId="77777777">
      <w:pPr>
        <w:contextualSpacing/>
        <w:rPr>
          <w:rFonts w:ascii="Times New Roman" w:hAnsi="Times New Roman" w:cs="Times New Roman"/>
          <w:color w:val="000000" w:themeColor="text1"/>
          <w:sz w:val="24"/>
          <w:szCs w:val="24"/>
        </w:rPr>
      </w:pPr>
    </w:p>
    <w:p w:rsidR="00EB29A3" w:rsidP="00A11A26" w:rsidRDefault="00EB29A3" w14:paraId="7E1B41E9" w14:textId="73C5ABD5">
      <w:pPr>
        <w:contextualSpacing/>
        <w:rPr>
          <w:rFonts w:ascii="Times New Roman" w:hAnsi="Times New Roman" w:cs="Times New Roman"/>
          <w:color w:val="000000" w:themeColor="text1"/>
          <w:sz w:val="24"/>
          <w:szCs w:val="24"/>
        </w:rPr>
      </w:pPr>
      <w:r w:rsidRPr="00065681">
        <w:rPr>
          <w:rFonts w:ascii="Times New Roman" w:hAnsi="Times New Roman" w:cs="Times New Roman"/>
          <w:color w:val="000000" w:themeColor="text1"/>
          <w:sz w:val="24"/>
          <w:szCs w:val="24"/>
        </w:rPr>
        <w:t xml:space="preserve">Failure to collect this information will result in individuals and families having lengthier timelines to recover and a potential to not recover at all. </w:t>
      </w:r>
    </w:p>
    <w:p w:rsidRPr="00065681" w:rsidR="00A11A26" w:rsidP="00A11A26" w:rsidRDefault="00A11A26" w14:paraId="015E01F8" w14:textId="77777777">
      <w:pPr>
        <w:contextualSpacing/>
        <w:rPr>
          <w:rFonts w:ascii="Times New Roman" w:hAnsi="Times New Roman" w:cs="Times New Roman"/>
          <w:color w:val="000000" w:themeColor="text1"/>
          <w:spacing w:val="-3"/>
          <w:sz w:val="24"/>
          <w:szCs w:val="24"/>
        </w:rPr>
      </w:pPr>
    </w:p>
    <w:p w:rsidRPr="00065681" w:rsidR="00562915" w:rsidP="00A11A26" w:rsidRDefault="00562915" w14:paraId="6E032CCF" w14:textId="77777777">
      <w:pPr>
        <w:contextualSpacing/>
        <w:rPr>
          <w:rFonts w:ascii="Times New Roman" w:hAnsi="Times New Roman" w:cs="Times New Roman"/>
          <w:b/>
          <w:bCs/>
          <w:color w:val="000000" w:themeColor="text1"/>
          <w:sz w:val="24"/>
          <w:szCs w:val="24"/>
        </w:rPr>
      </w:pPr>
      <w:r w:rsidRPr="00065681">
        <w:rPr>
          <w:rFonts w:ascii="Times New Roman" w:hAnsi="Times New Roman" w:cs="Times New Roman"/>
          <w:b/>
          <w:bCs/>
          <w:color w:val="000000" w:themeColor="text1"/>
          <w:sz w:val="24"/>
          <w:szCs w:val="24"/>
        </w:rPr>
        <w:fldChar w:fldCharType="begin"/>
      </w:r>
      <w:r w:rsidRPr="00065681">
        <w:rPr>
          <w:rFonts w:ascii="Times New Roman" w:hAnsi="Times New Roman" w:cs="Times New Roman"/>
          <w:b/>
          <w:bCs/>
          <w:color w:val="000000" w:themeColor="text1"/>
          <w:sz w:val="24"/>
          <w:szCs w:val="24"/>
        </w:rPr>
        <w:instrText>ADVANCE \R 0.95</w:instrText>
      </w:r>
      <w:r w:rsidRPr="00065681">
        <w:rPr>
          <w:rFonts w:ascii="Times New Roman" w:hAnsi="Times New Roman" w:cs="Times New Roman"/>
          <w:b/>
          <w:bCs/>
          <w:color w:val="000000" w:themeColor="text1"/>
          <w:sz w:val="24"/>
          <w:szCs w:val="24"/>
        </w:rPr>
        <w:fldChar w:fldCharType="end"/>
      </w:r>
      <w:r w:rsidRPr="00065681">
        <w:rPr>
          <w:rFonts w:ascii="Times New Roman" w:hAnsi="Times New Roman" w:cs="Times New Roman"/>
          <w:b/>
          <w:bCs/>
          <w:color w:val="000000" w:themeColor="text1"/>
          <w:sz w:val="24"/>
          <w:szCs w:val="24"/>
        </w:rPr>
        <w:t>7.  Explain any special circumstances that would cause an information collection to be conducted in a manner:</w:t>
      </w:r>
    </w:p>
    <w:p w:rsidRPr="00065681" w:rsidR="00562915" w:rsidP="00A11A26" w:rsidRDefault="00562915" w14:paraId="3FF12E11" w14:textId="3728E897">
      <w:pPr>
        <w:numPr>
          <w:ilvl w:val="0"/>
          <w:numId w:val="2"/>
        </w:numPr>
        <w:spacing w:after="0" w:line="240" w:lineRule="auto"/>
        <w:contextualSpacing/>
        <w:rPr>
          <w:rFonts w:ascii="Times New Roman" w:hAnsi="Times New Roman" w:cs="Times New Roman"/>
          <w:b/>
          <w:bCs/>
          <w:color w:val="000000" w:themeColor="text1"/>
          <w:sz w:val="24"/>
          <w:szCs w:val="24"/>
        </w:rPr>
      </w:pPr>
      <w:r w:rsidRPr="00065681">
        <w:rPr>
          <w:rFonts w:ascii="Times New Roman" w:hAnsi="Times New Roman" w:cs="Times New Roman"/>
          <w:b/>
          <w:bCs/>
          <w:color w:val="000000" w:themeColor="text1"/>
          <w:sz w:val="24"/>
          <w:szCs w:val="24"/>
        </w:rPr>
        <w:fldChar w:fldCharType="begin"/>
      </w:r>
      <w:r w:rsidRPr="00065681">
        <w:rPr>
          <w:rFonts w:ascii="Times New Roman" w:hAnsi="Times New Roman" w:cs="Times New Roman"/>
          <w:b/>
          <w:bCs/>
          <w:color w:val="000000" w:themeColor="text1"/>
          <w:sz w:val="24"/>
          <w:szCs w:val="24"/>
        </w:rPr>
        <w:instrText>ADVANCE \R 0.95</w:instrText>
      </w:r>
      <w:r w:rsidRPr="00065681">
        <w:rPr>
          <w:rFonts w:ascii="Times New Roman" w:hAnsi="Times New Roman" w:cs="Times New Roman"/>
          <w:b/>
          <w:bCs/>
          <w:color w:val="000000" w:themeColor="text1"/>
          <w:sz w:val="24"/>
          <w:szCs w:val="24"/>
        </w:rPr>
        <w:fldChar w:fldCharType="end"/>
      </w:r>
      <w:r w:rsidRPr="00065681">
        <w:rPr>
          <w:rFonts w:ascii="Times New Roman" w:hAnsi="Times New Roman" w:cs="Times New Roman"/>
          <w:b/>
          <w:bCs/>
          <w:color w:val="000000" w:themeColor="text1"/>
          <w:sz w:val="24"/>
          <w:szCs w:val="24"/>
        </w:rPr>
        <w:t>Requiring respondents to report information to the agency more</w:t>
      </w:r>
      <w:r w:rsidRPr="00065681" w:rsidR="002B2B7C">
        <w:rPr>
          <w:rFonts w:ascii="Times New Roman" w:hAnsi="Times New Roman" w:cs="Times New Roman"/>
          <w:b/>
          <w:bCs/>
          <w:color w:val="000000" w:themeColor="text1"/>
          <w:sz w:val="24"/>
          <w:szCs w:val="24"/>
        </w:rPr>
        <w:t xml:space="preserve"> </w:t>
      </w:r>
      <w:r w:rsidRPr="00065681">
        <w:rPr>
          <w:rFonts w:ascii="Times New Roman" w:hAnsi="Times New Roman" w:cs="Times New Roman"/>
          <w:b/>
          <w:bCs/>
          <w:color w:val="000000" w:themeColor="text1"/>
          <w:sz w:val="24"/>
          <w:szCs w:val="24"/>
        </w:rPr>
        <w:t>often than quarterly.</w:t>
      </w:r>
    </w:p>
    <w:p w:rsidRPr="0008053C" w:rsidR="00B3429C" w:rsidP="00A11A26" w:rsidRDefault="00B3429C" w14:paraId="78C601AB" w14:textId="77777777">
      <w:pPr>
        <w:spacing w:after="0"/>
        <w:contextualSpacing/>
        <w:rPr>
          <w:rFonts w:ascii="Times New Roman" w:hAnsi="Times New Roman" w:cs="Times New Roman"/>
          <w:color w:val="000000" w:themeColor="text1"/>
          <w:sz w:val="24"/>
          <w:szCs w:val="24"/>
        </w:rPr>
      </w:pPr>
    </w:p>
    <w:p w:rsidRPr="00065681" w:rsidR="001C7246" w:rsidP="00A11A26" w:rsidRDefault="001C7246" w14:paraId="376FB535" w14:textId="5A8663A9">
      <w:pPr>
        <w:spacing w:after="0"/>
        <w:contextualSpacing/>
        <w:rPr>
          <w:rFonts w:ascii="Times New Roman" w:hAnsi="Times New Roman" w:cs="Times New Roman"/>
          <w:color w:val="000000" w:themeColor="text1"/>
          <w:sz w:val="24"/>
          <w:szCs w:val="24"/>
        </w:rPr>
      </w:pPr>
      <w:r w:rsidRPr="00065681">
        <w:rPr>
          <w:rFonts w:ascii="Times New Roman" w:hAnsi="Times New Roman" w:cs="Times New Roman"/>
          <w:color w:val="000000" w:themeColor="text1"/>
          <w:sz w:val="24"/>
          <w:szCs w:val="24"/>
        </w:rPr>
        <w:t>Respondent participation is always voluntary</w:t>
      </w:r>
      <w:r w:rsidRPr="0008053C" w:rsidR="00B3429C">
        <w:rPr>
          <w:rFonts w:ascii="Times New Roman" w:hAnsi="Times New Roman" w:cs="Times New Roman"/>
          <w:color w:val="000000" w:themeColor="text1"/>
          <w:sz w:val="24"/>
          <w:szCs w:val="24"/>
        </w:rPr>
        <w:t xml:space="preserve"> and the reporting tempo is driven by disasters and the unmet needs of survivors</w:t>
      </w:r>
      <w:r w:rsidRPr="00065681">
        <w:rPr>
          <w:rFonts w:ascii="Times New Roman" w:hAnsi="Times New Roman" w:cs="Times New Roman"/>
          <w:color w:val="000000" w:themeColor="text1"/>
          <w:sz w:val="24"/>
          <w:szCs w:val="24"/>
        </w:rPr>
        <w:t xml:space="preserve">. If the Respondent so chooses, they may meet with a case manager more frequently than quarterly if they have urgent and critical needs that they would like assistance with, and they feel that meeting more frequently than quarterly is beneficial. For example, if an individual met initially with a case manager to </w:t>
      </w:r>
      <w:r w:rsidRPr="00065681">
        <w:rPr>
          <w:rFonts w:ascii="Times New Roman" w:hAnsi="Times New Roman" w:cs="Times New Roman"/>
          <w:color w:val="000000" w:themeColor="text1"/>
          <w:sz w:val="24"/>
          <w:szCs w:val="24"/>
        </w:rPr>
        <w:lastRenderedPageBreak/>
        <w:t>locate temporary shelter and now needs to find food for their family because the shelter has no kitchen and they have no money to buy food, then they may reach out to their case manager to seek food resources.</w:t>
      </w:r>
    </w:p>
    <w:p w:rsidRPr="00065681" w:rsidR="002B2B7C" w:rsidP="00A11A26" w:rsidRDefault="002B2B7C" w14:paraId="44EAFD9C" w14:textId="77777777">
      <w:pPr>
        <w:spacing w:after="0" w:line="240" w:lineRule="auto"/>
        <w:ind w:left="1080"/>
        <w:contextualSpacing/>
        <w:rPr>
          <w:rFonts w:ascii="Times New Roman" w:hAnsi="Times New Roman" w:cs="Times New Roman"/>
          <w:b/>
          <w:bCs/>
          <w:color w:val="000000" w:themeColor="text1"/>
          <w:sz w:val="24"/>
          <w:szCs w:val="24"/>
        </w:rPr>
      </w:pPr>
    </w:p>
    <w:p w:rsidRPr="00065681" w:rsidR="00562915" w:rsidP="00A11A26" w:rsidRDefault="00562915" w14:paraId="0FE1B1B6" w14:textId="6FA634B1">
      <w:pPr>
        <w:pStyle w:val="ListParagraph"/>
        <w:numPr>
          <w:ilvl w:val="0"/>
          <w:numId w:val="3"/>
        </w:numPr>
        <w:rPr>
          <w:rFonts w:ascii="Times New Roman" w:hAnsi="Times New Roman" w:cs="Times New Roman"/>
          <w:color w:val="000000" w:themeColor="text1"/>
          <w:sz w:val="24"/>
          <w:szCs w:val="24"/>
        </w:rPr>
      </w:pPr>
      <w:r w:rsidRPr="00065681">
        <w:rPr>
          <w:rFonts w:ascii="Times New Roman" w:hAnsi="Times New Roman" w:cs="Times New Roman"/>
          <w:color w:val="000000" w:themeColor="text1"/>
          <w:sz w:val="24"/>
          <w:szCs w:val="24"/>
        </w:rPr>
        <w:fldChar w:fldCharType="begin"/>
      </w:r>
      <w:r w:rsidRPr="00065681">
        <w:rPr>
          <w:rFonts w:ascii="Times New Roman" w:hAnsi="Times New Roman" w:cs="Times New Roman"/>
          <w:color w:val="000000" w:themeColor="text1"/>
          <w:sz w:val="24"/>
          <w:szCs w:val="24"/>
        </w:rPr>
        <w:instrText>ADVANCE \R 0.95</w:instrText>
      </w:r>
      <w:r w:rsidRPr="00065681">
        <w:rPr>
          <w:rFonts w:ascii="Times New Roman" w:hAnsi="Times New Roman" w:cs="Times New Roman"/>
          <w:color w:val="000000" w:themeColor="text1"/>
          <w:sz w:val="24"/>
          <w:szCs w:val="24"/>
        </w:rPr>
        <w:fldChar w:fldCharType="end"/>
      </w:r>
      <w:r w:rsidRPr="00065681">
        <w:rPr>
          <w:rFonts w:ascii="Times New Roman" w:hAnsi="Times New Roman" w:cs="Times New Roman"/>
          <w:color w:val="000000" w:themeColor="text1"/>
          <w:sz w:val="24"/>
          <w:szCs w:val="24"/>
        </w:rPr>
        <w:fldChar w:fldCharType="begin"/>
      </w:r>
      <w:r w:rsidRPr="00065681">
        <w:rPr>
          <w:rFonts w:ascii="Times New Roman" w:hAnsi="Times New Roman" w:cs="Times New Roman"/>
          <w:color w:val="000000" w:themeColor="text1"/>
          <w:sz w:val="24"/>
          <w:szCs w:val="24"/>
        </w:rPr>
        <w:instrText>ADVANCE \R 0.95</w:instrText>
      </w:r>
      <w:r w:rsidRPr="00065681">
        <w:rPr>
          <w:rFonts w:ascii="Times New Roman" w:hAnsi="Times New Roman" w:cs="Times New Roman"/>
          <w:color w:val="000000" w:themeColor="text1"/>
          <w:sz w:val="24"/>
          <w:szCs w:val="24"/>
        </w:rPr>
        <w:fldChar w:fldCharType="end"/>
      </w:r>
      <w:r w:rsidRPr="00065681">
        <w:rPr>
          <w:rFonts w:ascii="Times New Roman" w:hAnsi="Times New Roman" w:cs="Times New Roman"/>
          <w:b/>
          <w:bCs/>
          <w:color w:val="000000" w:themeColor="text1"/>
          <w:sz w:val="24"/>
          <w:szCs w:val="24"/>
        </w:rPr>
        <w:t>Requiring respondents to prepare a written response to a</w:t>
      </w:r>
      <w:r w:rsidRPr="00065681" w:rsidR="002B2B7C">
        <w:rPr>
          <w:rFonts w:ascii="Times New Roman" w:hAnsi="Times New Roman" w:cs="Times New Roman"/>
          <w:b/>
          <w:bCs/>
          <w:color w:val="000000" w:themeColor="text1"/>
          <w:sz w:val="24"/>
          <w:szCs w:val="24"/>
        </w:rPr>
        <w:t xml:space="preserve"> </w:t>
      </w:r>
      <w:r w:rsidRPr="00065681">
        <w:rPr>
          <w:rFonts w:ascii="Times New Roman" w:hAnsi="Times New Roman" w:cs="Times New Roman"/>
          <w:b/>
          <w:bCs/>
          <w:color w:val="000000" w:themeColor="text1"/>
          <w:sz w:val="24"/>
          <w:szCs w:val="24"/>
        </w:rPr>
        <w:t>collection of information in fewer than 30 days after receipt of it.</w:t>
      </w:r>
      <w:r w:rsidRPr="00065681">
        <w:rPr>
          <w:rFonts w:ascii="Times New Roman" w:hAnsi="Times New Roman" w:cs="Times New Roman"/>
          <w:color w:val="000000" w:themeColor="text1"/>
          <w:sz w:val="24"/>
          <w:szCs w:val="24"/>
        </w:rPr>
        <w:fldChar w:fldCharType="begin"/>
      </w:r>
      <w:r w:rsidRPr="00065681">
        <w:rPr>
          <w:rFonts w:ascii="Times New Roman" w:hAnsi="Times New Roman" w:cs="Times New Roman"/>
          <w:color w:val="000000" w:themeColor="text1"/>
          <w:sz w:val="24"/>
          <w:szCs w:val="24"/>
        </w:rPr>
        <w:instrText>ADVANCE \R 0.95</w:instrText>
      </w:r>
      <w:r w:rsidRPr="00065681">
        <w:rPr>
          <w:rFonts w:ascii="Times New Roman" w:hAnsi="Times New Roman" w:cs="Times New Roman"/>
          <w:color w:val="000000" w:themeColor="text1"/>
          <w:sz w:val="24"/>
          <w:szCs w:val="24"/>
        </w:rPr>
        <w:fldChar w:fldCharType="end"/>
      </w:r>
    </w:p>
    <w:p w:rsidR="001C7246" w:rsidP="00A11A26" w:rsidRDefault="001C7246" w14:paraId="75A77481" w14:textId="50BF9CEC">
      <w:pPr>
        <w:contextualSpacing/>
        <w:rPr>
          <w:rFonts w:ascii="Times New Roman" w:hAnsi="Times New Roman" w:cs="Times New Roman"/>
          <w:color w:val="000000" w:themeColor="text1"/>
          <w:sz w:val="24"/>
          <w:szCs w:val="24"/>
        </w:rPr>
      </w:pPr>
      <w:r w:rsidRPr="00065681">
        <w:rPr>
          <w:rFonts w:ascii="Times New Roman" w:hAnsi="Times New Roman" w:cs="Times New Roman"/>
          <w:color w:val="000000" w:themeColor="text1"/>
          <w:sz w:val="24"/>
          <w:szCs w:val="24"/>
        </w:rPr>
        <w:t xml:space="preserve">Respondents do not have to prepare written responses for </w:t>
      </w:r>
      <w:r w:rsidRPr="00065681" w:rsidR="00D0679B">
        <w:rPr>
          <w:rFonts w:ascii="Times New Roman" w:hAnsi="Times New Roman" w:cs="Times New Roman"/>
          <w:color w:val="000000" w:themeColor="text1"/>
          <w:sz w:val="24"/>
          <w:szCs w:val="24"/>
        </w:rPr>
        <w:t xml:space="preserve">FEMA-administered </w:t>
      </w:r>
      <w:r w:rsidRPr="00065681">
        <w:rPr>
          <w:rFonts w:ascii="Times New Roman" w:hAnsi="Times New Roman" w:cs="Times New Roman"/>
          <w:color w:val="000000" w:themeColor="text1"/>
          <w:sz w:val="24"/>
          <w:szCs w:val="24"/>
        </w:rPr>
        <w:t xml:space="preserve">DCM services. </w:t>
      </w:r>
    </w:p>
    <w:p w:rsidRPr="00065681" w:rsidR="00A11A26" w:rsidP="00A11A26" w:rsidRDefault="00A11A26" w14:paraId="61F3E628" w14:textId="77777777">
      <w:pPr>
        <w:contextualSpacing/>
        <w:rPr>
          <w:rFonts w:ascii="Times New Roman" w:hAnsi="Times New Roman" w:cs="Times New Roman"/>
          <w:color w:val="000000" w:themeColor="text1"/>
          <w:sz w:val="24"/>
          <w:szCs w:val="24"/>
        </w:rPr>
      </w:pPr>
    </w:p>
    <w:p w:rsidRPr="00065681" w:rsidR="00562915" w:rsidP="00A11A26" w:rsidRDefault="00562915" w14:paraId="235D0CF3" w14:textId="77777777">
      <w:pPr>
        <w:numPr>
          <w:ilvl w:val="0"/>
          <w:numId w:val="3"/>
        </w:numPr>
        <w:spacing w:after="0" w:line="240" w:lineRule="auto"/>
        <w:contextualSpacing/>
        <w:rPr>
          <w:rFonts w:ascii="Times New Roman" w:hAnsi="Times New Roman" w:cs="Times New Roman"/>
          <w:b/>
          <w:bCs/>
          <w:color w:val="000000" w:themeColor="text1"/>
          <w:sz w:val="24"/>
          <w:szCs w:val="24"/>
        </w:rPr>
      </w:pPr>
      <w:r w:rsidRPr="00065681">
        <w:rPr>
          <w:rFonts w:ascii="Times New Roman" w:hAnsi="Times New Roman" w:cs="Times New Roman"/>
          <w:color w:val="000000" w:themeColor="text1"/>
          <w:sz w:val="24"/>
          <w:szCs w:val="24"/>
        </w:rPr>
        <w:fldChar w:fldCharType="begin"/>
      </w:r>
      <w:r w:rsidRPr="00065681">
        <w:rPr>
          <w:rFonts w:ascii="Times New Roman" w:hAnsi="Times New Roman" w:cs="Times New Roman"/>
          <w:color w:val="000000" w:themeColor="text1"/>
          <w:sz w:val="24"/>
          <w:szCs w:val="24"/>
        </w:rPr>
        <w:instrText>ADVANCE \R 0.95</w:instrText>
      </w:r>
      <w:r w:rsidRPr="00065681">
        <w:rPr>
          <w:rFonts w:ascii="Times New Roman" w:hAnsi="Times New Roman" w:cs="Times New Roman"/>
          <w:color w:val="000000" w:themeColor="text1"/>
          <w:sz w:val="24"/>
          <w:szCs w:val="24"/>
        </w:rPr>
        <w:fldChar w:fldCharType="end"/>
      </w:r>
      <w:r w:rsidRPr="00065681">
        <w:rPr>
          <w:rFonts w:ascii="Times New Roman" w:hAnsi="Times New Roman" w:cs="Times New Roman"/>
          <w:b/>
          <w:bCs/>
          <w:color w:val="000000" w:themeColor="text1"/>
          <w:sz w:val="24"/>
          <w:szCs w:val="24"/>
        </w:rPr>
        <w:t>Requiring respondents to submit more than an original and two</w:t>
      </w:r>
    </w:p>
    <w:p w:rsidRPr="00065681" w:rsidR="00562915" w:rsidP="00A11A26" w:rsidRDefault="00562915" w14:paraId="35C91165" w14:textId="46762613">
      <w:pPr>
        <w:contextualSpacing/>
        <w:rPr>
          <w:rFonts w:ascii="Times New Roman" w:hAnsi="Times New Roman" w:cs="Times New Roman"/>
          <w:b/>
          <w:bCs/>
          <w:color w:val="000000" w:themeColor="text1"/>
          <w:sz w:val="24"/>
          <w:szCs w:val="24"/>
        </w:rPr>
      </w:pPr>
      <w:r w:rsidRPr="00065681">
        <w:rPr>
          <w:rFonts w:ascii="Times New Roman" w:hAnsi="Times New Roman" w:cs="Times New Roman"/>
          <w:b/>
          <w:bCs/>
          <w:color w:val="000000" w:themeColor="text1"/>
          <w:sz w:val="24"/>
          <w:szCs w:val="24"/>
        </w:rPr>
        <w:t>copies of any document.</w:t>
      </w:r>
      <w:r w:rsidRPr="00065681">
        <w:rPr>
          <w:rFonts w:ascii="Times New Roman" w:hAnsi="Times New Roman" w:cs="Times New Roman"/>
          <w:b/>
          <w:bCs/>
          <w:color w:val="000000" w:themeColor="text1"/>
          <w:sz w:val="24"/>
          <w:szCs w:val="24"/>
        </w:rPr>
        <w:fldChar w:fldCharType="begin"/>
      </w:r>
      <w:r w:rsidRPr="00065681">
        <w:rPr>
          <w:rFonts w:ascii="Times New Roman" w:hAnsi="Times New Roman" w:cs="Times New Roman"/>
          <w:b/>
          <w:bCs/>
          <w:color w:val="000000" w:themeColor="text1"/>
          <w:sz w:val="24"/>
          <w:szCs w:val="24"/>
        </w:rPr>
        <w:instrText>ADVANCE \R 0.95</w:instrText>
      </w:r>
      <w:r w:rsidRPr="00065681">
        <w:rPr>
          <w:rFonts w:ascii="Times New Roman" w:hAnsi="Times New Roman" w:cs="Times New Roman"/>
          <w:b/>
          <w:bCs/>
          <w:color w:val="000000" w:themeColor="text1"/>
          <w:sz w:val="24"/>
          <w:szCs w:val="24"/>
        </w:rPr>
        <w:fldChar w:fldCharType="end"/>
      </w:r>
    </w:p>
    <w:p w:rsidR="00A11A26" w:rsidP="00A11A26" w:rsidRDefault="00A11A26" w14:paraId="1B044B71" w14:textId="77777777">
      <w:pPr>
        <w:contextualSpacing/>
        <w:rPr>
          <w:rFonts w:ascii="Times New Roman" w:hAnsi="Times New Roman" w:eastAsia="Times New Roman" w:cs="Times New Roman"/>
          <w:bCs/>
          <w:color w:val="000000" w:themeColor="text1"/>
          <w:sz w:val="24"/>
          <w:szCs w:val="24"/>
        </w:rPr>
      </w:pPr>
    </w:p>
    <w:p w:rsidR="00E41C65" w:rsidP="00A11A26" w:rsidRDefault="00E41C65" w14:paraId="2BFB009C" w14:textId="0ECEDCB2">
      <w:pPr>
        <w:contextualSpacing/>
        <w:rPr>
          <w:rFonts w:ascii="Times New Roman" w:hAnsi="Times New Roman" w:eastAsia="Times New Roman" w:cs="Times New Roman"/>
          <w:bCs/>
          <w:color w:val="000000" w:themeColor="text1"/>
          <w:sz w:val="24"/>
          <w:szCs w:val="24"/>
        </w:rPr>
      </w:pPr>
      <w:r w:rsidRPr="00065681">
        <w:rPr>
          <w:rFonts w:ascii="Times New Roman" w:hAnsi="Times New Roman" w:eastAsia="Times New Roman" w:cs="Times New Roman"/>
          <w:bCs/>
          <w:color w:val="000000" w:themeColor="text1"/>
          <w:sz w:val="24"/>
          <w:szCs w:val="24"/>
        </w:rPr>
        <w:t>Respondents are not required to submit more than an original and two copies of any document.</w:t>
      </w:r>
    </w:p>
    <w:p w:rsidRPr="00065681" w:rsidR="00A11A26" w:rsidP="00A11A26" w:rsidRDefault="00A11A26" w14:paraId="30F5620F" w14:textId="77777777">
      <w:pPr>
        <w:contextualSpacing/>
        <w:rPr>
          <w:rFonts w:ascii="Times New Roman" w:hAnsi="Times New Roman" w:eastAsia="Times New Roman" w:cs="Times New Roman"/>
          <w:bCs/>
          <w:color w:val="000000" w:themeColor="text1"/>
          <w:sz w:val="24"/>
          <w:szCs w:val="24"/>
        </w:rPr>
      </w:pPr>
    </w:p>
    <w:p w:rsidRPr="00065681" w:rsidR="00562915" w:rsidP="00A11A26" w:rsidRDefault="00562915" w14:paraId="1BDA8489" w14:textId="77777777">
      <w:pPr>
        <w:numPr>
          <w:ilvl w:val="0"/>
          <w:numId w:val="3"/>
        </w:numPr>
        <w:spacing w:after="0" w:line="240" w:lineRule="auto"/>
        <w:contextualSpacing/>
        <w:rPr>
          <w:rFonts w:ascii="Times New Roman" w:hAnsi="Times New Roman" w:cs="Times New Roman"/>
          <w:b/>
          <w:bCs/>
          <w:color w:val="000000" w:themeColor="text1"/>
          <w:sz w:val="24"/>
          <w:szCs w:val="24"/>
        </w:rPr>
      </w:pPr>
      <w:r w:rsidRPr="00065681">
        <w:rPr>
          <w:rFonts w:ascii="Times New Roman" w:hAnsi="Times New Roman" w:cs="Times New Roman"/>
          <w:color w:val="000000" w:themeColor="text1"/>
          <w:sz w:val="24"/>
          <w:szCs w:val="24"/>
        </w:rPr>
        <w:fldChar w:fldCharType="begin"/>
      </w:r>
      <w:r w:rsidRPr="00065681">
        <w:rPr>
          <w:rFonts w:ascii="Times New Roman" w:hAnsi="Times New Roman" w:cs="Times New Roman"/>
          <w:color w:val="000000" w:themeColor="text1"/>
          <w:sz w:val="24"/>
          <w:szCs w:val="24"/>
        </w:rPr>
        <w:instrText>ADVANCE \R 0.95</w:instrText>
      </w:r>
      <w:r w:rsidRPr="00065681">
        <w:rPr>
          <w:rFonts w:ascii="Times New Roman" w:hAnsi="Times New Roman" w:cs="Times New Roman"/>
          <w:color w:val="000000" w:themeColor="text1"/>
          <w:sz w:val="24"/>
          <w:szCs w:val="24"/>
        </w:rPr>
        <w:fldChar w:fldCharType="end"/>
      </w:r>
      <w:r w:rsidRPr="00065681">
        <w:rPr>
          <w:rFonts w:ascii="Times New Roman" w:hAnsi="Times New Roman" w:cs="Times New Roman"/>
          <w:b/>
          <w:bCs/>
          <w:color w:val="000000" w:themeColor="text1"/>
          <w:sz w:val="24"/>
          <w:szCs w:val="24"/>
        </w:rPr>
        <w:t>Requiring respondents to retain records, other than health,</w:t>
      </w:r>
    </w:p>
    <w:p w:rsidRPr="00065681" w:rsidR="00562915" w:rsidP="00A11A26" w:rsidRDefault="00562915" w14:paraId="076B4CDC" w14:textId="140986DA">
      <w:pPr>
        <w:contextualSpacing/>
        <w:rPr>
          <w:rFonts w:ascii="Times New Roman" w:hAnsi="Times New Roman" w:cs="Times New Roman"/>
          <w:color w:val="000000" w:themeColor="text1"/>
          <w:sz w:val="24"/>
          <w:szCs w:val="24"/>
        </w:rPr>
      </w:pPr>
      <w:r w:rsidRPr="00065681">
        <w:rPr>
          <w:rFonts w:ascii="Times New Roman" w:hAnsi="Times New Roman" w:cs="Times New Roman"/>
          <w:b/>
          <w:bCs/>
          <w:color w:val="000000" w:themeColor="text1"/>
          <w:sz w:val="24"/>
          <w:szCs w:val="24"/>
        </w:rPr>
        <w:t>medical, government contract, grant-in-aid, or tax records for more than three years</w:t>
      </w:r>
      <w:r w:rsidRPr="00065681">
        <w:rPr>
          <w:rFonts w:ascii="Times New Roman" w:hAnsi="Times New Roman" w:cs="Times New Roman"/>
          <w:color w:val="000000" w:themeColor="text1"/>
          <w:sz w:val="24"/>
          <w:szCs w:val="24"/>
        </w:rPr>
        <w:t>.</w:t>
      </w:r>
      <w:r w:rsidRPr="00065681">
        <w:rPr>
          <w:rFonts w:ascii="Times New Roman" w:hAnsi="Times New Roman" w:cs="Times New Roman"/>
          <w:color w:val="000000" w:themeColor="text1"/>
          <w:sz w:val="24"/>
          <w:szCs w:val="24"/>
        </w:rPr>
        <w:fldChar w:fldCharType="begin"/>
      </w:r>
      <w:r w:rsidRPr="00065681">
        <w:rPr>
          <w:rFonts w:ascii="Times New Roman" w:hAnsi="Times New Roman" w:cs="Times New Roman"/>
          <w:color w:val="000000" w:themeColor="text1"/>
          <w:sz w:val="24"/>
          <w:szCs w:val="24"/>
        </w:rPr>
        <w:instrText>ADVANCE \R 0.95</w:instrText>
      </w:r>
      <w:r w:rsidRPr="00065681">
        <w:rPr>
          <w:rFonts w:ascii="Times New Roman" w:hAnsi="Times New Roman" w:cs="Times New Roman"/>
          <w:color w:val="000000" w:themeColor="text1"/>
          <w:sz w:val="24"/>
          <w:szCs w:val="24"/>
        </w:rPr>
        <w:fldChar w:fldCharType="end"/>
      </w:r>
    </w:p>
    <w:p w:rsidR="00A11A26" w:rsidP="00A11A26" w:rsidRDefault="00A11A26" w14:paraId="537E9795" w14:textId="77777777">
      <w:pPr>
        <w:contextualSpacing/>
        <w:rPr>
          <w:rFonts w:ascii="Times New Roman" w:hAnsi="Times New Roman" w:eastAsia="Times New Roman" w:cs="Times New Roman"/>
          <w:color w:val="000000" w:themeColor="text1"/>
          <w:sz w:val="24"/>
          <w:szCs w:val="24"/>
        </w:rPr>
      </w:pPr>
    </w:p>
    <w:p w:rsidR="00E41C65" w:rsidP="00A11A26" w:rsidRDefault="00E41C65" w14:paraId="74571025" w14:textId="3A8A1F86">
      <w:pPr>
        <w:contextualSpacing/>
        <w:rPr>
          <w:rFonts w:ascii="Times New Roman" w:hAnsi="Times New Roman" w:eastAsia="Times New Roman" w:cs="Times New Roman"/>
          <w:color w:val="000000" w:themeColor="text1"/>
          <w:sz w:val="24"/>
          <w:szCs w:val="24"/>
        </w:rPr>
      </w:pPr>
      <w:r w:rsidRPr="00065681">
        <w:rPr>
          <w:rFonts w:ascii="Times New Roman" w:hAnsi="Times New Roman" w:eastAsia="Times New Roman" w:cs="Times New Roman"/>
          <w:color w:val="000000" w:themeColor="text1"/>
          <w:sz w:val="24"/>
          <w:szCs w:val="24"/>
        </w:rPr>
        <w:t xml:space="preserve">Respondents are not required to retain records for more than </w:t>
      </w:r>
      <w:r w:rsidR="00B3429C">
        <w:rPr>
          <w:rFonts w:ascii="Times New Roman" w:hAnsi="Times New Roman" w:eastAsia="Times New Roman" w:cs="Times New Roman"/>
          <w:color w:val="000000" w:themeColor="text1"/>
          <w:sz w:val="24"/>
          <w:szCs w:val="24"/>
        </w:rPr>
        <w:t>three</w:t>
      </w:r>
      <w:r w:rsidRPr="00065681">
        <w:rPr>
          <w:rFonts w:ascii="Times New Roman" w:hAnsi="Times New Roman" w:eastAsia="Times New Roman" w:cs="Times New Roman"/>
          <w:color w:val="000000" w:themeColor="text1"/>
          <w:sz w:val="24"/>
          <w:szCs w:val="24"/>
        </w:rPr>
        <w:t xml:space="preserve"> years.</w:t>
      </w:r>
    </w:p>
    <w:p w:rsidRPr="00065681" w:rsidR="00A11A26" w:rsidP="00A11A26" w:rsidRDefault="00A11A26" w14:paraId="5FE81CD6" w14:textId="77777777">
      <w:pPr>
        <w:contextualSpacing/>
        <w:rPr>
          <w:rFonts w:ascii="Times New Roman" w:hAnsi="Times New Roman" w:cs="Times New Roman"/>
          <w:color w:val="000000" w:themeColor="text1"/>
          <w:sz w:val="24"/>
          <w:szCs w:val="24"/>
        </w:rPr>
      </w:pPr>
    </w:p>
    <w:p w:rsidRPr="00065681" w:rsidR="00562915" w:rsidP="00A11A26" w:rsidRDefault="00562915" w14:paraId="67D223B1" w14:textId="77777777">
      <w:pPr>
        <w:numPr>
          <w:ilvl w:val="0"/>
          <w:numId w:val="3"/>
        </w:numPr>
        <w:spacing w:after="0" w:line="240" w:lineRule="auto"/>
        <w:contextualSpacing/>
        <w:rPr>
          <w:rFonts w:ascii="Times New Roman" w:hAnsi="Times New Roman" w:cs="Times New Roman"/>
          <w:b/>
          <w:bCs/>
          <w:color w:val="000000" w:themeColor="text1"/>
          <w:sz w:val="24"/>
          <w:szCs w:val="24"/>
        </w:rPr>
      </w:pPr>
      <w:r w:rsidRPr="00065681">
        <w:rPr>
          <w:rFonts w:ascii="Times New Roman" w:hAnsi="Times New Roman" w:cs="Times New Roman"/>
          <w:color w:val="000000" w:themeColor="text1"/>
          <w:sz w:val="24"/>
          <w:szCs w:val="24"/>
        </w:rPr>
        <w:fldChar w:fldCharType="begin"/>
      </w:r>
      <w:r w:rsidRPr="00065681">
        <w:rPr>
          <w:rFonts w:ascii="Times New Roman" w:hAnsi="Times New Roman" w:cs="Times New Roman"/>
          <w:color w:val="000000" w:themeColor="text1"/>
          <w:sz w:val="24"/>
          <w:szCs w:val="24"/>
        </w:rPr>
        <w:instrText>ADVANCE \R 0.95</w:instrText>
      </w:r>
      <w:r w:rsidRPr="00065681">
        <w:rPr>
          <w:rFonts w:ascii="Times New Roman" w:hAnsi="Times New Roman" w:cs="Times New Roman"/>
          <w:color w:val="000000" w:themeColor="text1"/>
          <w:sz w:val="24"/>
          <w:szCs w:val="24"/>
        </w:rPr>
        <w:fldChar w:fldCharType="end"/>
      </w:r>
      <w:r w:rsidRPr="00065681">
        <w:rPr>
          <w:rFonts w:ascii="Times New Roman" w:hAnsi="Times New Roman" w:cs="Times New Roman"/>
          <w:b/>
          <w:bCs/>
          <w:color w:val="000000" w:themeColor="text1"/>
          <w:sz w:val="24"/>
          <w:szCs w:val="24"/>
        </w:rPr>
        <w:t>In connection with a statistical survey, that is not designed to</w:t>
      </w:r>
    </w:p>
    <w:p w:rsidRPr="00065681" w:rsidR="00562915" w:rsidP="00A11A26" w:rsidRDefault="00562915" w14:paraId="446B6FC8" w14:textId="70FB1A56">
      <w:pPr>
        <w:contextualSpacing/>
        <w:rPr>
          <w:rFonts w:ascii="Times New Roman" w:hAnsi="Times New Roman" w:cs="Times New Roman"/>
          <w:color w:val="000000" w:themeColor="text1"/>
          <w:sz w:val="24"/>
          <w:szCs w:val="24"/>
        </w:rPr>
      </w:pPr>
      <w:r w:rsidRPr="00065681">
        <w:rPr>
          <w:rFonts w:ascii="Times New Roman" w:hAnsi="Times New Roman" w:cs="Times New Roman"/>
          <w:b/>
          <w:bCs/>
          <w:color w:val="000000" w:themeColor="text1"/>
          <w:sz w:val="24"/>
          <w:szCs w:val="24"/>
        </w:rPr>
        <w:t>produce valid and reliable results that can be generalized to the universe of study</w:t>
      </w:r>
      <w:r w:rsidRPr="00065681">
        <w:rPr>
          <w:rFonts w:ascii="Times New Roman" w:hAnsi="Times New Roman" w:cs="Times New Roman"/>
          <w:color w:val="000000" w:themeColor="text1"/>
          <w:sz w:val="24"/>
          <w:szCs w:val="24"/>
        </w:rPr>
        <w:t>.</w:t>
      </w:r>
      <w:r w:rsidRPr="00065681">
        <w:rPr>
          <w:rFonts w:ascii="Times New Roman" w:hAnsi="Times New Roman" w:cs="Times New Roman"/>
          <w:color w:val="000000" w:themeColor="text1"/>
          <w:sz w:val="24"/>
          <w:szCs w:val="24"/>
        </w:rPr>
        <w:fldChar w:fldCharType="begin"/>
      </w:r>
      <w:r w:rsidRPr="00065681">
        <w:rPr>
          <w:rFonts w:ascii="Times New Roman" w:hAnsi="Times New Roman" w:cs="Times New Roman"/>
          <w:color w:val="000000" w:themeColor="text1"/>
          <w:sz w:val="24"/>
          <w:szCs w:val="24"/>
        </w:rPr>
        <w:instrText>ADVANCE \R 0.95</w:instrText>
      </w:r>
      <w:r w:rsidRPr="00065681">
        <w:rPr>
          <w:rFonts w:ascii="Times New Roman" w:hAnsi="Times New Roman" w:cs="Times New Roman"/>
          <w:color w:val="000000" w:themeColor="text1"/>
          <w:sz w:val="24"/>
          <w:szCs w:val="24"/>
        </w:rPr>
        <w:fldChar w:fldCharType="end"/>
      </w:r>
    </w:p>
    <w:p w:rsidR="00A11A26" w:rsidP="00A11A26" w:rsidRDefault="00A11A26" w14:paraId="3703757A" w14:textId="77777777">
      <w:pPr>
        <w:spacing w:after="0" w:line="240" w:lineRule="auto"/>
        <w:contextualSpacing/>
        <w:rPr>
          <w:rFonts w:ascii="Times New Roman" w:hAnsi="Times New Roman" w:eastAsia="Times New Roman" w:cs="Times New Roman"/>
          <w:color w:val="000000" w:themeColor="text1"/>
          <w:sz w:val="24"/>
          <w:szCs w:val="24"/>
        </w:rPr>
      </w:pPr>
    </w:p>
    <w:p w:rsidRPr="00065681" w:rsidR="00E41C65" w:rsidP="00A11A26" w:rsidRDefault="00E41C65" w14:paraId="30B6B068" w14:textId="66A730AE">
      <w:pPr>
        <w:spacing w:after="0" w:line="240" w:lineRule="auto"/>
        <w:contextualSpacing/>
        <w:rPr>
          <w:rFonts w:ascii="Times New Roman" w:hAnsi="Times New Roman" w:eastAsia="Times New Roman" w:cs="Times New Roman"/>
          <w:color w:val="000000" w:themeColor="text1"/>
          <w:sz w:val="24"/>
          <w:szCs w:val="24"/>
        </w:rPr>
      </w:pPr>
      <w:r w:rsidRPr="00065681">
        <w:rPr>
          <w:rFonts w:ascii="Times New Roman" w:hAnsi="Times New Roman" w:eastAsia="Times New Roman" w:cs="Times New Roman"/>
          <w:color w:val="000000" w:themeColor="text1"/>
          <w:sz w:val="24"/>
          <w:szCs w:val="24"/>
        </w:rPr>
        <w:t>This information collection does not involve statistical survey.</w:t>
      </w:r>
    </w:p>
    <w:p w:rsidRPr="00065681" w:rsidR="00E41C65" w:rsidP="00A11A26" w:rsidRDefault="00E41C65" w14:paraId="454A5779" w14:textId="77777777">
      <w:pPr>
        <w:spacing w:after="0" w:line="240" w:lineRule="auto"/>
        <w:contextualSpacing/>
        <w:rPr>
          <w:rFonts w:ascii="Times New Roman" w:hAnsi="Times New Roman" w:eastAsia="Times New Roman" w:cs="Times New Roman"/>
          <w:color w:val="000000" w:themeColor="text1"/>
          <w:sz w:val="24"/>
          <w:szCs w:val="24"/>
        </w:rPr>
      </w:pPr>
    </w:p>
    <w:p w:rsidRPr="00065681" w:rsidR="00562915" w:rsidP="00A11A26" w:rsidRDefault="00562915" w14:paraId="05BF6B56" w14:textId="77777777">
      <w:pPr>
        <w:spacing w:after="0" w:line="240" w:lineRule="auto"/>
        <w:contextualSpacing/>
        <w:rPr>
          <w:rFonts w:ascii="Times New Roman" w:hAnsi="Times New Roman" w:cs="Times New Roman"/>
          <w:b/>
          <w:bCs/>
          <w:color w:val="000000" w:themeColor="text1"/>
          <w:sz w:val="24"/>
          <w:szCs w:val="24"/>
        </w:rPr>
      </w:pPr>
      <w:r w:rsidRPr="00065681">
        <w:rPr>
          <w:rFonts w:ascii="Times New Roman" w:hAnsi="Times New Roman" w:cs="Times New Roman"/>
          <w:color w:val="000000" w:themeColor="text1"/>
          <w:sz w:val="24"/>
          <w:szCs w:val="24"/>
        </w:rPr>
        <w:fldChar w:fldCharType="begin"/>
      </w:r>
      <w:r w:rsidRPr="00065681">
        <w:rPr>
          <w:rFonts w:ascii="Times New Roman" w:hAnsi="Times New Roman" w:cs="Times New Roman"/>
          <w:color w:val="000000" w:themeColor="text1"/>
          <w:sz w:val="24"/>
          <w:szCs w:val="24"/>
        </w:rPr>
        <w:instrText>ADVANCE \R 0.95</w:instrText>
      </w:r>
      <w:r w:rsidRPr="00065681">
        <w:rPr>
          <w:rFonts w:ascii="Times New Roman" w:hAnsi="Times New Roman" w:cs="Times New Roman"/>
          <w:color w:val="000000" w:themeColor="text1"/>
          <w:sz w:val="24"/>
          <w:szCs w:val="24"/>
        </w:rPr>
        <w:fldChar w:fldCharType="end"/>
      </w:r>
      <w:r w:rsidRPr="00065681">
        <w:rPr>
          <w:rFonts w:ascii="Times New Roman" w:hAnsi="Times New Roman" w:cs="Times New Roman"/>
          <w:color w:val="000000" w:themeColor="text1"/>
          <w:sz w:val="24"/>
          <w:szCs w:val="24"/>
        </w:rPr>
        <w:tab/>
      </w:r>
      <w:r w:rsidRPr="00065681">
        <w:rPr>
          <w:rFonts w:ascii="Times New Roman" w:hAnsi="Times New Roman" w:cs="Times New Roman"/>
          <w:b/>
          <w:bCs/>
          <w:color w:val="000000" w:themeColor="text1"/>
          <w:sz w:val="24"/>
          <w:szCs w:val="24"/>
        </w:rPr>
        <w:t xml:space="preserve">(f) Requiring the use of a statistical data classification that has not </w:t>
      </w:r>
    </w:p>
    <w:p w:rsidRPr="00065681" w:rsidR="00562915" w:rsidP="00A11A26" w:rsidRDefault="00562915" w14:paraId="09FD5A89" w14:textId="77777777">
      <w:pPr>
        <w:spacing w:after="0" w:line="240" w:lineRule="auto"/>
        <w:contextualSpacing/>
        <w:rPr>
          <w:rFonts w:ascii="Times New Roman" w:hAnsi="Times New Roman" w:cs="Times New Roman"/>
          <w:b/>
          <w:bCs/>
          <w:color w:val="000000" w:themeColor="text1"/>
          <w:sz w:val="24"/>
          <w:szCs w:val="24"/>
        </w:rPr>
      </w:pPr>
      <w:r w:rsidRPr="00065681">
        <w:rPr>
          <w:rFonts w:ascii="Times New Roman" w:hAnsi="Times New Roman" w:cs="Times New Roman"/>
          <w:b/>
          <w:bCs/>
          <w:color w:val="000000" w:themeColor="text1"/>
          <w:sz w:val="24"/>
          <w:szCs w:val="24"/>
        </w:rPr>
        <w:t>been reviewed and approved by OMB.</w:t>
      </w:r>
    </w:p>
    <w:p w:rsidRPr="00065681" w:rsidR="002B2B7C" w:rsidP="00A11A26" w:rsidRDefault="002B2B7C" w14:paraId="4B94D5A5" w14:textId="427B73F2">
      <w:pPr>
        <w:spacing w:after="0" w:line="240" w:lineRule="auto"/>
        <w:contextualSpacing/>
        <w:rPr>
          <w:rFonts w:ascii="Times New Roman" w:hAnsi="Times New Roman" w:cs="Times New Roman"/>
          <w:color w:val="000000" w:themeColor="text1"/>
          <w:sz w:val="24"/>
          <w:szCs w:val="24"/>
        </w:rPr>
      </w:pPr>
    </w:p>
    <w:p w:rsidRPr="00065681" w:rsidR="00E41C65" w:rsidP="00A11A26" w:rsidRDefault="00E41C65" w14:paraId="673B1347" w14:textId="77777777">
      <w:pPr>
        <w:contextualSpacing/>
        <w:rPr>
          <w:rFonts w:ascii="Times New Roman" w:hAnsi="Times New Roman" w:cs="Times New Roman"/>
          <w:bCs/>
          <w:color w:val="000000" w:themeColor="text1"/>
          <w:sz w:val="24"/>
          <w:szCs w:val="24"/>
        </w:rPr>
      </w:pPr>
      <w:r w:rsidRPr="00065681">
        <w:rPr>
          <w:rFonts w:ascii="Times New Roman" w:hAnsi="Times New Roman" w:eastAsia="Times New Roman" w:cs="Times New Roman"/>
          <w:color w:val="000000" w:themeColor="text1"/>
          <w:sz w:val="24"/>
          <w:szCs w:val="24"/>
        </w:rPr>
        <w:t>This information collection does not use statistical data classification.</w:t>
      </w:r>
      <w:r w:rsidRPr="00065681">
        <w:rPr>
          <w:rFonts w:ascii="Times New Roman" w:hAnsi="Times New Roman" w:cs="Times New Roman"/>
          <w:b/>
          <w:bCs/>
          <w:color w:val="000000" w:themeColor="text1"/>
          <w:sz w:val="24"/>
          <w:szCs w:val="24"/>
        </w:rPr>
        <w:t xml:space="preserve"> </w:t>
      </w:r>
    </w:p>
    <w:p w:rsidRPr="00065681" w:rsidR="00562915" w:rsidP="00A11A26" w:rsidRDefault="00562915" w14:paraId="41F325D4" w14:textId="20E4C6EA">
      <w:pPr>
        <w:contextualSpacing/>
        <w:rPr>
          <w:rFonts w:ascii="Times New Roman" w:hAnsi="Times New Roman" w:cs="Times New Roman"/>
          <w:color w:val="000000" w:themeColor="text1"/>
          <w:sz w:val="24"/>
          <w:szCs w:val="24"/>
        </w:rPr>
      </w:pPr>
      <w:r w:rsidRPr="00065681">
        <w:rPr>
          <w:rFonts w:ascii="Times New Roman" w:hAnsi="Times New Roman" w:cs="Times New Roman"/>
          <w:color w:val="000000" w:themeColor="text1"/>
          <w:sz w:val="24"/>
          <w:szCs w:val="24"/>
        </w:rPr>
        <w:fldChar w:fldCharType="begin"/>
      </w:r>
      <w:r w:rsidRPr="00065681">
        <w:rPr>
          <w:rFonts w:ascii="Times New Roman" w:hAnsi="Times New Roman" w:cs="Times New Roman"/>
          <w:color w:val="000000" w:themeColor="text1"/>
          <w:sz w:val="24"/>
          <w:szCs w:val="24"/>
        </w:rPr>
        <w:instrText>ADVANCE \R 0.95</w:instrText>
      </w:r>
      <w:r w:rsidRPr="00065681">
        <w:rPr>
          <w:rFonts w:ascii="Times New Roman" w:hAnsi="Times New Roman" w:cs="Times New Roman"/>
          <w:color w:val="000000" w:themeColor="text1"/>
          <w:sz w:val="24"/>
          <w:szCs w:val="24"/>
        </w:rPr>
        <w:fldChar w:fldCharType="end"/>
      </w:r>
      <w:r w:rsidRPr="00065681">
        <w:rPr>
          <w:rFonts w:ascii="Times New Roman" w:hAnsi="Times New Roman" w:cs="Times New Roman"/>
          <w:color w:val="000000" w:themeColor="text1"/>
          <w:sz w:val="24"/>
          <w:szCs w:val="24"/>
        </w:rPr>
        <w:tab/>
      </w:r>
      <w:r w:rsidRPr="00065681">
        <w:rPr>
          <w:rFonts w:ascii="Times New Roman" w:hAnsi="Times New Roman" w:cs="Times New Roman"/>
          <w:b/>
          <w:bCs/>
          <w:color w:val="000000" w:themeColor="text1"/>
          <w:sz w:val="24"/>
          <w:szCs w:val="24"/>
        </w:rPr>
        <w:t>(g) That includes a pledge of confidentiality that is not supported by</w:t>
      </w:r>
      <w:r w:rsidRPr="00065681" w:rsidR="002B2B7C">
        <w:rPr>
          <w:rFonts w:ascii="Times New Roman" w:hAnsi="Times New Roman" w:cs="Times New Roman"/>
          <w:b/>
          <w:bCs/>
          <w:color w:val="000000" w:themeColor="text1"/>
          <w:sz w:val="24"/>
          <w:szCs w:val="24"/>
        </w:rPr>
        <w:t xml:space="preserve"> </w:t>
      </w:r>
      <w:r w:rsidRPr="00065681">
        <w:rPr>
          <w:rFonts w:ascii="Times New Roman" w:hAnsi="Times New Roman" w:cs="Times New Roman"/>
          <w:b/>
          <w:bCs/>
          <w:color w:val="000000" w:themeColor="text1"/>
          <w:sz w:val="24"/>
          <w:szCs w:val="24"/>
        </w:rPr>
        <w:t xml:space="preserve">authority established in statute or regulation, that is not supported by </w:t>
      </w:r>
      <w:r w:rsidRPr="00065681">
        <w:rPr>
          <w:rFonts w:ascii="Times New Roman" w:hAnsi="Times New Roman" w:cs="Times New Roman"/>
          <w:b/>
          <w:bCs/>
          <w:color w:val="000000" w:themeColor="text1"/>
          <w:sz w:val="24"/>
          <w:szCs w:val="24"/>
        </w:rPr>
        <w:tab/>
        <w:t>disclosure and data security policies that are consistent with the pledge, or which unnecessarily impedes sharing of data with other agencies for compatible confidential use.</w:t>
      </w:r>
      <w:r w:rsidRPr="00065681">
        <w:rPr>
          <w:rFonts w:ascii="Times New Roman" w:hAnsi="Times New Roman" w:cs="Times New Roman"/>
          <w:color w:val="000000" w:themeColor="text1"/>
          <w:sz w:val="24"/>
          <w:szCs w:val="24"/>
        </w:rPr>
        <w:fldChar w:fldCharType="begin"/>
      </w:r>
      <w:r w:rsidRPr="00065681">
        <w:rPr>
          <w:rFonts w:ascii="Times New Roman" w:hAnsi="Times New Roman" w:cs="Times New Roman"/>
          <w:color w:val="000000" w:themeColor="text1"/>
          <w:sz w:val="24"/>
          <w:szCs w:val="24"/>
        </w:rPr>
        <w:instrText>ADVANCE \R 0.95</w:instrText>
      </w:r>
      <w:r w:rsidRPr="00065681">
        <w:rPr>
          <w:rFonts w:ascii="Times New Roman" w:hAnsi="Times New Roman" w:cs="Times New Roman"/>
          <w:color w:val="000000" w:themeColor="text1"/>
          <w:sz w:val="24"/>
          <w:szCs w:val="24"/>
        </w:rPr>
        <w:fldChar w:fldCharType="end"/>
      </w:r>
    </w:p>
    <w:p w:rsidR="00A11A26" w:rsidP="00A11A26" w:rsidRDefault="00A11A26" w14:paraId="1E890D70" w14:textId="77777777">
      <w:pPr>
        <w:spacing w:after="0" w:line="240" w:lineRule="auto"/>
        <w:contextualSpacing/>
        <w:rPr>
          <w:rFonts w:ascii="Times New Roman" w:hAnsi="Times New Roman" w:eastAsia="Times New Roman" w:cs="Times New Roman"/>
          <w:color w:val="000000" w:themeColor="text1"/>
          <w:sz w:val="24"/>
          <w:szCs w:val="24"/>
        </w:rPr>
      </w:pPr>
    </w:p>
    <w:p w:rsidRPr="00065681" w:rsidR="00E41C65" w:rsidP="00A11A26" w:rsidRDefault="00E41C65" w14:paraId="6BFB660E" w14:textId="1ABEA33D">
      <w:pPr>
        <w:spacing w:after="0" w:line="240" w:lineRule="auto"/>
        <w:contextualSpacing/>
        <w:rPr>
          <w:rFonts w:ascii="Times New Roman" w:hAnsi="Times New Roman" w:eastAsia="Times New Roman" w:cs="Times New Roman"/>
          <w:color w:val="000000" w:themeColor="text1"/>
          <w:sz w:val="24"/>
          <w:szCs w:val="24"/>
        </w:rPr>
      </w:pPr>
      <w:r w:rsidRPr="00065681">
        <w:rPr>
          <w:rFonts w:ascii="Times New Roman" w:hAnsi="Times New Roman" w:eastAsia="Times New Roman" w:cs="Times New Roman"/>
          <w:color w:val="000000" w:themeColor="text1"/>
          <w:sz w:val="24"/>
          <w:szCs w:val="24"/>
        </w:rPr>
        <w:t>This collection does not include a pledge of confidentiality that is not supported by authority established in statute or regulation.</w:t>
      </w:r>
    </w:p>
    <w:p w:rsidRPr="00065681" w:rsidR="00E41C65" w:rsidP="00A11A26" w:rsidRDefault="00E41C65" w14:paraId="6654845A" w14:textId="77777777">
      <w:pPr>
        <w:contextualSpacing/>
        <w:rPr>
          <w:rFonts w:ascii="Times New Roman" w:hAnsi="Times New Roman" w:cs="Times New Roman"/>
          <w:color w:val="000000" w:themeColor="text1"/>
          <w:sz w:val="24"/>
          <w:szCs w:val="24"/>
        </w:rPr>
      </w:pPr>
    </w:p>
    <w:p w:rsidRPr="00065681" w:rsidR="00562915" w:rsidP="00A11A26" w:rsidRDefault="00562915" w14:paraId="70CFA2A6" w14:textId="77777777">
      <w:pPr>
        <w:contextualSpacing/>
        <w:rPr>
          <w:rFonts w:ascii="Times New Roman" w:hAnsi="Times New Roman" w:cs="Times New Roman"/>
          <w:color w:val="000000" w:themeColor="text1"/>
          <w:sz w:val="24"/>
          <w:szCs w:val="24"/>
        </w:rPr>
      </w:pPr>
      <w:r w:rsidRPr="00065681">
        <w:rPr>
          <w:rFonts w:ascii="Times New Roman" w:hAnsi="Times New Roman" w:cs="Times New Roman"/>
          <w:color w:val="000000" w:themeColor="text1"/>
          <w:sz w:val="24"/>
          <w:szCs w:val="24"/>
        </w:rPr>
        <w:fldChar w:fldCharType="begin"/>
      </w:r>
      <w:r w:rsidRPr="00065681">
        <w:rPr>
          <w:rFonts w:ascii="Times New Roman" w:hAnsi="Times New Roman" w:cs="Times New Roman"/>
          <w:color w:val="000000" w:themeColor="text1"/>
          <w:sz w:val="24"/>
          <w:szCs w:val="24"/>
        </w:rPr>
        <w:instrText>ADVANCE \R 0.95</w:instrText>
      </w:r>
      <w:r w:rsidRPr="00065681">
        <w:rPr>
          <w:rFonts w:ascii="Times New Roman" w:hAnsi="Times New Roman" w:cs="Times New Roman"/>
          <w:color w:val="000000" w:themeColor="text1"/>
          <w:sz w:val="24"/>
          <w:szCs w:val="24"/>
        </w:rPr>
        <w:fldChar w:fldCharType="end"/>
      </w:r>
      <w:r w:rsidRPr="00065681">
        <w:rPr>
          <w:rFonts w:ascii="Times New Roman" w:hAnsi="Times New Roman" w:cs="Times New Roman"/>
          <w:color w:val="000000" w:themeColor="text1"/>
          <w:sz w:val="24"/>
          <w:szCs w:val="24"/>
        </w:rPr>
        <w:tab/>
      </w:r>
      <w:r w:rsidRPr="00065681">
        <w:rPr>
          <w:rFonts w:ascii="Times New Roman" w:hAnsi="Times New Roman" w:cs="Times New Roman"/>
          <w:b/>
          <w:bCs/>
          <w:color w:val="000000" w:themeColor="text1"/>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065681">
        <w:rPr>
          <w:rFonts w:ascii="Times New Roman" w:hAnsi="Times New Roman" w:cs="Times New Roman"/>
          <w:color w:val="000000" w:themeColor="text1"/>
          <w:sz w:val="24"/>
          <w:szCs w:val="24"/>
        </w:rPr>
        <w:fldChar w:fldCharType="begin"/>
      </w:r>
      <w:r w:rsidRPr="00065681">
        <w:rPr>
          <w:rFonts w:ascii="Times New Roman" w:hAnsi="Times New Roman" w:cs="Times New Roman"/>
          <w:color w:val="000000" w:themeColor="text1"/>
          <w:sz w:val="24"/>
          <w:szCs w:val="24"/>
        </w:rPr>
        <w:instrText>ADVANCE \R 0.95</w:instrText>
      </w:r>
      <w:r w:rsidRPr="00065681">
        <w:rPr>
          <w:rFonts w:ascii="Times New Roman" w:hAnsi="Times New Roman" w:cs="Times New Roman"/>
          <w:color w:val="000000" w:themeColor="text1"/>
          <w:sz w:val="24"/>
          <w:szCs w:val="24"/>
        </w:rPr>
        <w:fldChar w:fldCharType="end"/>
      </w:r>
    </w:p>
    <w:p w:rsidR="00A11A26" w:rsidP="00A11A26" w:rsidRDefault="00A11A26" w14:paraId="3575C39B" w14:textId="77777777">
      <w:pPr>
        <w:contextualSpacing/>
        <w:rPr>
          <w:rFonts w:ascii="Times New Roman" w:hAnsi="Times New Roman" w:cs="Times New Roman"/>
          <w:color w:val="000000" w:themeColor="text1"/>
          <w:sz w:val="24"/>
          <w:szCs w:val="24"/>
        </w:rPr>
      </w:pPr>
    </w:p>
    <w:p w:rsidR="002B2B7C" w:rsidP="00A11A26" w:rsidRDefault="00B3429C" w14:paraId="3DEEC669" w14:textId="01DDD98B">
      <w:p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collection does not include requests to submit propriety trade secrets or similar confidential information.</w:t>
      </w:r>
      <w:r w:rsidRPr="00065681" w:rsidR="3763026C">
        <w:rPr>
          <w:rFonts w:ascii="Times New Roman" w:hAnsi="Times New Roman" w:cs="Times New Roman"/>
          <w:color w:val="000000" w:themeColor="text1"/>
          <w:sz w:val="24"/>
          <w:szCs w:val="24"/>
        </w:rPr>
        <w:t xml:space="preserve"> </w:t>
      </w:r>
    </w:p>
    <w:p w:rsidRPr="00065681" w:rsidR="00A11A26" w:rsidP="00A11A26" w:rsidRDefault="00A11A26" w14:paraId="36EF60DE" w14:textId="77777777">
      <w:pPr>
        <w:contextualSpacing/>
        <w:rPr>
          <w:rFonts w:ascii="Times New Roman" w:hAnsi="Times New Roman" w:cs="Times New Roman"/>
          <w:color w:val="000000" w:themeColor="text1"/>
          <w:sz w:val="24"/>
          <w:szCs w:val="24"/>
        </w:rPr>
      </w:pPr>
    </w:p>
    <w:p w:rsidRPr="00065681" w:rsidR="00562915" w:rsidP="00A11A26" w:rsidRDefault="00562915" w14:paraId="4CEB1CBC" w14:textId="77777777">
      <w:pPr>
        <w:contextualSpacing/>
        <w:rPr>
          <w:rFonts w:ascii="Times New Roman" w:hAnsi="Times New Roman" w:cs="Times New Roman"/>
          <w:b/>
          <w:bCs/>
          <w:color w:val="000000" w:themeColor="text1"/>
          <w:sz w:val="24"/>
          <w:szCs w:val="24"/>
        </w:rPr>
      </w:pPr>
      <w:r w:rsidRPr="00065681">
        <w:rPr>
          <w:rFonts w:ascii="Times New Roman" w:hAnsi="Times New Roman" w:cs="Times New Roman"/>
          <w:b/>
          <w:bCs/>
          <w:color w:val="000000" w:themeColor="text1"/>
          <w:sz w:val="24"/>
          <w:szCs w:val="24"/>
        </w:rPr>
        <w:fldChar w:fldCharType="begin"/>
      </w:r>
      <w:r w:rsidRPr="00065681">
        <w:rPr>
          <w:rFonts w:ascii="Times New Roman" w:hAnsi="Times New Roman" w:cs="Times New Roman"/>
          <w:b/>
          <w:bCs/>
          <w:color w:val="000000" w:themeColor="text1"/>
          <w:sz w:val="24"/>
          <w:szCs w:val="24"/>
        </w:rPr>
        <w:instrText>ADVANCE \R 0.95</w:instrText>
      </w:r>
      <w:r w:rsidRPr="00065681">
        <w:rPr>
          <w:rFonts w:ascii="Times New Roman" w:hAnsi="Times New Roman" w:cs="Times New Roman"/>
          <w:b/>
          <w:bCs/>
          <w:color w:val="000000" w:themeColor="text1"/>
          <w:sz w:val="24"/>
          <w:szCs w:val="24"/>
        </w:rPr>
        <w:fldChar w:fldCharType="end"/>
      </w:r>
      <w:r w:rsidRPr="00065681">
        <w:rPr>
          <w:rFonts w:ascii="Times New Roman" w:hAnsi="Times New Roman" w:cs="Times New Roman"/>
          <w:b/>
          <w:bCs/>
          <w:color w:val="000000" w:themeColor="text1"/>
          <w:sz w:val="24"/>
          <w:szCs w:val="24"/>
        </w:rPr>
        <w:t xml:space="preserve">8.  Federal Register Notice: </w:t>
      </w:r>
      <w:r w:rsidRPr="00065681">
        <w:rPr>
          <w:rFonts w:ascii="Times New Roman" w:hAnsi="Times New Roman" w:cs="Times New Roman"/>
          <w:b/>
          <w:bCs/>
          <w:color w:val="000000" w:themeColor="text1"/>
          <w:sz w:val="24"/>
          <w:szCs w:val="24"/>
        </w:rPr>
        <w:fldChar w:fldCharType="begin"/>
      </w:r>
      <w:r w:rsidRPr="00065681">
        <w:rPr>
          <w:rFonts w:ascii="Times New Roman" w:hAnsi="Times New Roman" w:cs="Times New Roman"/>
          <w:b/>
          <w:bCs/>
          <w:color w:val="000000" w:themeColor="text1"/>
          <w:sz w:val="24"/>
          <w:szCs w:val="24"/>
        </w:rPr>
        <w:instrText>ADVANCE \R 0.95</w:instrText>
      </w:r>
      <w:r w:rsidRPr="00065681">
        <w:rPr>
          <w:rFonts w:ascii="Times New Roman" w:hAnsi="Times New Roman" w:cs="Times New Roman"/>
          <w:b/>
          <w:bCs/>
          <w:color w:val="000000" w:themeColor="text1"/>
          <w:sz w:val="24"/>
          <w:szCs w:val="24"/>
        </w:rPr>
        <w:fldChar w:fldCharType="end"/>
      </w:r>
    </w:p>
    <w:p w:rsidRPr="00065681" w:rsidR="00562915" w:rsidP="00A11A26" w:rsidRDefault="00562915" w14:paraId="5585427B" w14:textId="77777777">
      <w:pPr>
        <w:contextualSpacing/>
        <w:rPr>
          <w:rFonts w:ascii="Times New Roman" w:hAnsi="Times New Roman" w:cs="Times New Roman"/>
          <w:color w:val="000000" w:themeColor="text1"/>
          <w:sz w:val="24"/>
          <w:szCs w:val="24"/>
        </w:rPr>
      </w:pPr>
      <w:r w:rsidRPr="00065681">
        <w:rPr>
          <w:rFonts w:ascii="Times New Roman" w:hAnsi="Times New Roman" w:cs="Times New Roman"/>
          <w:b/>
          <w:bCs/>
          <w:color w:val="000000" w:themeColor="text1"/>
          <w:sz w:val="24"/>
          <w:szCs w:val="24"/>
        </w:rPr>
        <w:fldChar w:fldCharType="begin"/>
      </w:r>
      <w:r w:rsidRPr="00065681">
        <w:rPr>
          <w:rFonts w:ascii="Times New Roman" w:hAnsi="Times New Roman" w:cs="Times New Roman"/>
          <w:b/>
          <w:bCs/>
          <w:color w:val="000000" w:themeColor="text1"/>
          <w:sz w:val="24"/>
          <w:szCs w:val="24"/>
        </w:rPr>
        <w:instrText>ADVANCE \R 0.95</w:instrText>
      </w:r>
      <w:r w:rsidRPr="00065681">
        <w:rPr>
          <w:rFonts w:ascii="Times New Roman" w:hAnsi="Times New Roman" w:cs="Times New Roman"/>
          <w:b/>
          <w:bCs/>
          <w:color w:val="000000" w:themeColor="text1"/>
          <w:sz w:val="24"/>
          <w:szCs w:val="24"/>
        </w:rPr>
        <w:fldChar w:fldCharType="end"/>
      </w:r>
      <w:r w:rsidRPr="00065681">
        <w:rPr>
          <w:rFonts w:ascii="Times New Roman" w:hAnsi="Times New Roman" w:cs="Times New Roman"/>
          <w:b/>
          <w:bCs/>
          <w:color w:val="000000" w:themeColor="text1"/>
          <w:sz w:val="24"/>
          <w:szCs w:val="24"/>
        </w:rPr>
        <w:t xml:space="preserve">            a.   Provide a copy and identify the date and page number of publication in the Federal Register of the agency’s notice soliciting comments on the</w:t>
      </w:r>
      <w:r w:rsidRPr="00065681" w:rsidR="00BB543D">
        <w:rPr>
          <w:rFonts w:ascii="Times New Roman" w:hAnsi="Times New Roman" w:cs="Times New Roman"/>
          <w:b/>
          <w:bCs/>
          <w:color w:val="000000" w:themeColor="text1"/>
          <w:sz w:val="24"/>
          <w:szCs w:val="24"/>
        </w:rPr>
        <w:t xml:space="preserve"> </w:t>
      </w:r>
      <w:r w:rsidRPr="00065681">
        <w:rPr>
          <w:rFonts w:ascii="Times New Roman" w:hAnsi="Times New Roman" w:cs="Times New Roman"/>
          <w:b/>
          <w:bCs/>
          <w:color w:val="000000" w:themeColor="text1"/>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065681">
        <w:rPr>
          <w:rFonts w:ascii="Times New Roman" w:hAnsi="Times New Roman" w:cs="Times New Roman"/>
          <w:color w:val="000000" w:themeColor="text1"/>
          <w:sz w:val="24"/>
          <w:szCs w:val="24"/>
        </w:rPr>
        <w:fldChar w:fldCharType="begin"/>
      </w:r>
      <w:r w:rsidRPr="00065681">
        <w:rPr>
          <w:rFonts w:ascii="Times New Roman" w:hAnsi="Times New Roman" w:cs="Times New Roman"/>
          <w:color w:val="000000" w:themeColor="text1"/>
          <w:sz w:val="24"/>
          <w:szCs w:val="24"/>
        </w:rPr>
        <w:instrText>ADVANCE \R 0.95</w:instrText>
      </w:r>
      <w:r w:rsidRPr="00065681">
        <w:rPr>
          <w:rFonts w:ascii="Times New Roman" w:hAnsi="Times New Roman" w:cs="Times New Roman"/>
          <w:color w:val="000000" w:themeColor="text1"/>
          <w:sz w:val="24"/>
          <w:szCs w:val="24"/>
        </w:rPr>
        <w:fldChar w:fldCharType="end"/>
      </w:r>
    </w:p>
    <w:p w:rsidR="00FB600C" w:rsidP="00A11A26" w:rsidRDefault="00FB600C" w14:paraId="3EE6BD18" w14:textId="77777777">
      <w:pPr>
        <w:contextualSpacing/>
        <w:rPr>
          <w:rFonts w:ascii="Times New Roman" w:hAnsi="Times New Roman" w:cs="Times New Roman"/>
          <w:color w:val="000000" w:themeColor="text1"/>
          <w:sz w:val="24"/>
          <w:szCs w:val="24"/>
        </w:rPr>
      </w:pPr>
    </w:p>
    <w:p w:rsidRPr="00A11A26" w:rsidR="006855A1" w:rsidP="00A11A26" w:rsidRDefault="006855A1" w14:paraId="23ADFE3F" w14:textId="064EC6D2">
      <w:pPr>
        <w:contextualSpacing/>
        <w:rPr>
          <w:rFonts w:ascii="Times New Roman" w:hAnsi="Times New Roman" w:cs="Times New Roman"/>
          <w:b/>
          <w:bCs/>
          <w:color w:val="000000" w:themeColor="text1"/>
          <w:sz w:val="24"/>
          <w:szCs w:val="24"/>
        </w:rPr>
      </w:pPr>
      <w:r w:rsidRPr="00A11A26">
        <w:rPr>
          <w:rFonts w:ascii="Times New Roman" w:hAnsi="Times New Roman" w:cs="Times New Roman"/>
          <w:color w:val="000000" w:themeColor="text1"/>
          <w:sz w:val="24"/>
          <w:szCs w:val="24"/>
        </w:rPr>
        <w:t xml:space="preserve">A 60-day Federal Register Notice inviting public comments was published on </w:t>
      </w:r>
      <w:r w:rsidR="00FB600C">
        <w:rPr>
          <w:rFonts w:ascii="Times New Roman" w:hAnsi="Times New Roman" w:cs="Times New Roman"/>
          <w:color w:val="000000" w:themeColor="text1"/>
          <w:sz w:val="24"/>
          <w:szCs w:val="24"/>
        </w:rPr>
        <w:t>June 29, 2021, at 86 FR 34266</w:t>
      </w:r>
      <w:r w:rsidRPr="00A11A26">
        <w:rPr>
          <w:rFonts w:ascii="Times New Roman" w:hAnsi="Times New Roman" w:cs="Times New Roman"/>
          <w:color w:val="000000" w:themeColor="text1"/>
          <w:sz w:val="24"/>
          <w:szCs w:val="24"/>
        </w:rPr>
        <w:t xml:space="preserve">.  </w:t>
      </w:r>
      <w:r w:rsidRPr="00A11A26">
        <w:rPr>
          <w:rFonts w:ascii="Times New Roman" w:hAnsi="Times New Roman" w:cs="Times New Roman"/>
          <w:b/>
          <w:bCs/>
          <w:color w:val="000000" w:themeColor="text1"/>
          <w:sz w:val="24"/>
          <w:szCs w:val="24"/>
        </w:rPr>
        <w:t xml:space="preserve">No </w:t>
      </w:r>
      <w:r w:rsidR="0052678B">
        <w:rPr>
          <w:rFonts w:ascii="Times New Roman" w:hAnsi="Times New Roman" w:cs="Times New Roman"/>
          <w:b/>
          <w:bCs/>
          <w:color w:val="000000" w:themeColor="text1"/>
          <w:sz w:val="24"/>
          <w:szCs w:val="24"/>
        </w:rPr>
        <w:t xml:space="preserve">public </w:t>
      </w:r>
      <w:r w:rsidRPr="00A11A26">
        <w:rPr>
          <w:rFonts w:ascii="Times New Roman" w:hAnsi="Times New Roman" w:cs="Times New Roman"/>
          <w:b/>
          <w:bCs/>
          <w:color w:val="000000" w:themeColor="text1"/>
          <w:sz w:val="24"/>
          <w:szCs w:val="24"/>
        </w:rPr>
        <w:t xml:space="preserve">comments were received.  </w:t>
      </w:r>
    </w:p>
    <w:p w:rsidR="00A11A26" w:rsidP="00A11A26" w:rsidRDefault="00A11A26" w14:paraId="14C3A8E9" w14:textId="77777777">
      <w:pPr>
        <w:contextualSpacing/>
        <w:rPr>
          <w:rFonts w:ascii="Times New Roman" w:hAnsi="Times New Roman" w:cs="Times New Roman"/>
          <w:color w:val="000000"/>
          <w:sz w:val="24"/>
          <w:szCs w:val="24"/>
        </w:rPr>
      </w:pPr>
    </w:p>
    <w:p w:rsidRPr="009D252C" w:rsidR="006855A1" w:rsidP="00A11A26" w:rsidRDefault="006855A1" w14:paraId="377A8E1E" w14:textId="64C4B1B4">
      <w:pPr>
        <w:contextualSpacing/>
        <w:rPr>
          <w:rFonts w:ascii="Times New Roman" w:hAnsi="Times New Roman" w:cs="Times New Roman"/>
          <w:b/>
          <w:bCs/>
          <w:color w:val="000000" w:themeColor="text1"/>
          <w:sz w:val="24"/>
          <w:szCs w:val="24"/>
        </w:rPr>
      </w:pPr>
      <w:r w:rsidRPr="535D75D0">
        <w:rPr>
          <w:rFonts w:ascii="Times New Roman" w:hAnsi="Times New Roman" w:cs="Times New Roman"/>
          <w:color w:val="000000" w:themeColor="text1"/>
          <w:sz w:val="24"/>
          <w:szCs w:val="24"/>
        </w:rPr>
        <w:t xml:space="preserve">A 30-day Federal Register </w:t>
      </w:r>
      <w:r w:rsidRPr="00EA7FB2">
        <w:rPr>
          <w:rFonts w:ascii="Times New Roman" w:hAnsi="Times New Roman" w:cs="Times New Roman"/>
          <w:color w:val="000000" w:themeColor="text1"/>
          <w:sz w:val="24"/>
          <w:szCs w:val="24"/>
        </w:rPr>
        <w:t>Notice invitin</w:t>
      </w:r>
      <w:r w:rsidRPr="004939DD">
        <w:rPr>
          <w:rFonts w:ascii="Times New Roman" w:hAnsi="Times New Roman" w:cs="Times New Roman"/>
          <w:color w:val="000000" w:themeColor="text1"/>
          <w:sz w:val="24"/>
          <w:szCs w:val="24"/>
        </w:rPr>
        <w:t xml:space="preserve">g public comments was published </w:t>
      </w:r>
      <w:r w:rsidRPr="009D252C">
        <w:rPr>
          <w:rFonts w:ascii="Times New Roman" w:hAnsi="Times New Roman" w:cs="Times New Roman"/>
          <w:color w:val="000000" w:themeColor="text1"/>
          <w:sz w:val="24"/>
          <w:szCs w:val="24"/>
        </w:rPr>
        <w:t xml:space="preserve">on </w:t>
      </w:r>
      <w:r w:rsidR="009D252C">
        <w:rPr>
          <w:rFonts w:ascii="Times New Roman" w:hAnsi="Times New Roman" w:cs="Times New Roman"/>
          <w:color w:val="000000" w:themeColor="text1"/>
          <w:sz w:val="24"/>
          <w:szCs w:val="24"/>
        </w:rPr>
        <w:t>November 17, 2021, at 86 FR 64223</w:t>
      </w:r>
      <w:r w:rsidRPr="009D252C">
        <w:rPr>
          <w:rFonts w:ascii="Times New Roman" w:hAnsi="Times New Roman" w:cs="Times New Roman"/>
          <w:color w:val="000000" w:themeColor="text1"/>
          <w:sz w:val="24"/>
          <w:szCs w:val="24"/>
        </w:rPr>
        <w:t>.</w:t>
      </w:r>
      <w:r w:rsidRPr="009D252C" w:rsidR="6431BFFC">
        <w:rPr>
          <w:rFonts w:ascii="Times New Roman" w:hAnsi="Times New Roman" w:cs="Times New Roman"/>
          <w:color w:val="000000" w:themeColor="text1"/>
          <w:sz w:val="24"/>
          <w:szCs w:val="24"/>
        </w:rPr>
        <w:t xml:space="preserve"> </w:t>
      </w:r>
      <w:r w:rsidRPr="009D252C" w:rsidR="49DF2C72">
        <w:rPr>
          <w:rFonts w:ascii="Times New Roman" w:hAnsi="Times New Roman" w:cs="Times New Roman"/>
          <w:color w:val="000000" w:themeColor="text1"/>
          <w:sz w:val="24"/>
          <w:szCs w:val="24"/>
        </w:rPr>
        <w:t xml:space="preserve"> </w:t>
      </w:r>
      <w:r w:rsidRPr="009D252C" w:rsidR="6431BFFC">
        <w:rPr>
          <w:rFonts w:ascii="Times New Roman" w:hAnsi="Times New Roman" w:cs="Times New Roman"/>
          <w:color w:val="000000" w:themeColor="text1"/>
          <w:sz w:val="24"/>
          <w:szCs w:val="24"/>
        </w:rPr>
        <w:t xml:space="preserve">The public comment period is open until </w:t>
      </w:r>
      <w:r w:rsidR="009D252C">
        <w:rPr>
          <w:rFonts w:ascii="Times New Roman" w:hAnsi="Times New Roman" w:cs="Times New Roman"/>
          <w:color w:val="000000" w:themeColor="text1"/>
          <w:sz w:val="24"/>
          <w:szCs w:val="24"/>
        </w:rPr>
        <w:t>December 17, 2021</w:t>
      </w:r>
      <w:r w:rsidRPr="009D252C" w:rsidR="009D252C">
        <w:rPr>
          <w:rFonts w:ascii="Times New Roman" w:hAnsi="Times New Roman" w:cs="Times New Roman"/>
          <w:color w:val="000000" w:themeColor="text1"/>
          <w:sz w:val="24"/>
          <w:szCs w:val="24"/>
        </w:rPr>
        <w:t xml:space="preserve">.   </w:t>
      </w:r>
    </w:p>
    <w:p w:rsidRPr="006625E7" w:rsidR="00A11A26" w:rsidP="00A11A26" w:rsidRDefault="00A11A26" w14:paraId="507CFAB2" w14:textId="77777777">
      <w:pPr>
        <w:contextualSpacing/>
        <w:rPr>
          <w:rFonts w:ascii="Times New Roman" w:hAnsi="Times New Roman" w:cs="Times New Roman"/>
          <w:sz w:val="24"/>
          <w:szCs w:val="24"/>
        </w:rPr>
      </w:pPr>
    </w:p>
    <w:p w:rsidRPr="00065681" w:rsidR="00562915" w:rsidP="00A11A26" w:rsidRDefault="00562915" w14:paraId="3EFDCF10" w14:textId="77777777">
      <w:pPr>
        <w:tabs>
          <w:tab w:val="left" w:pos="360"/>
        </w:tabs>
        <w:contextualSpacing/>
        <w:rPr>
          <w:rFonts w:ascii="Times New Roman" w:hAnsi="Times New Roman" w:cs="Times New Roman"/>
          <w:color w:val="000000" w:themeColor="text1"/>
          <w:sz w:val="24"/>
          <w:szCs w:val="24"/>
        </w:rPr>
      </w:pPr>
      <w:r w:rsidRPr="00065681">
        <w:rPr>
          <w:rFonts w:ascii="Times New Roman" w:hAnsi="Times New Roman" w:cs="Times New Roman"/>
          <w:color w:val="000000" w:themeColor="text1"/>
          <w:sz w:val="24"/>
          <w:szCs w:val="24"/>
        </w:rPr>
        <w:fldChar w:fldCharType="begin"/>
      </w:r>
      <w:r w:rsidRPr="00065681">
        <w:rPr>
          <w:rFonts w:ascii="Times New Roman" w:hAnsi="Times New Roman" w:cs="Times New Roman"/>
          <w:color w:val="000000" w:themeColor="text1"/>
          <w:sz w:val="24"/>
          <w:szCs w:val="24"/>
        </w:rPr>
        <w:instrText>ADVANCE \R 0.95</w:instrText>
      </w:r>
      <w:r w:rsidRPr="00065681">
        <w:rPr>
          <w:rFonts w:ascii="Times New Roman" w:hAnsi="Times New Roman" w:cs="Times New Roman"/>
          <w:color w:val="000000" w:themeColor="text1"/>
          <w:sz w:val="24"/>
          <w:szCs w:val="24"/>
        </w:rPr>
        <w:fldChar w:fldCharType="end"/>
      </w:r>
      <w:r w:rsidRPr="00065681">
        <w:rPr>
          <w:rFonts w:ascii="Times New Roman" w:hAnsi="Times New Roman" w:cs="Times New Roman"/>
          <w:color w:val="000000" w:themeColor="text1"/>
          <w:sz w:val="24"/>
          <w:szCs w:val="24"/>
        </w:rPr>
        <w:tab/>
      </w:r>
      <w:r w:rsidRPr="00065681">
        <w:rPr>
          <w:rFonts w:ascii="Times New Roman" w:hAnsi="Times New Roman" w:cs="Times New Roman"/>
          <w:color w:val="000000" w:themeColor="text1"/>
          <w:sz w:val="24"/>
          <w:szCs w:val="24"/>
        </w:rPr>
        <w:tab/>
      </w:r>
      <w:r w:rsidRPr="00065681">
        <w:rPr>
          <w:rFonts w:ascii="Times New Roman" w:hAnsi="Times New Roman" w:cs="Times New Roman"/>
          <w:b/>
          <w:bCs/>
          <w:color w:val="000000" w:themeColor="text1"/>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11A26" w:rsidP="00A11A26" w:rsidRDefault="00A11A26" w14:paraId="2895011D" w14:textId="77777777">
      <w:pPr>
        <w:contextualSpacing/>
        <w:rPr>
          <w:rFonts w:ascii="Times New Roman" w:hAnsi="Times New Roman" w:cs="Times New Roman"/>
          <w:color w:val="000000" w:themeColor="text1"/>
          <w:sz w:val="24"/>
          <w:szCs w:val="24"/>
        </w:rPr>
      </w:pPr>
    </w:p>
    <w:p w:rsidR="1814238F" w:rsidP="00A11A26" w:rsidRDefault="49D23C94" w14:paraId="2E6CD939" w14:textId="775871ED">
      <w:pPr>
        <w:contextualSpacing/>
        <w:rPr>
          <w:rFonts w:ascii="Times New Roman" w:hAnsi="Times New Roman" w:cs="Times New Roman"/>
          <w:color w:val="000000" w:themeColor="text1"/>
          <w:sz w:val="24"/>
          <w:szCs w:val="24"/>
        </w:rPr>
      </w:pPr>
      <w:r w:rsidRPr="00065681">
        <w:rPr>
          <w:rFonts w:ascii="Times New Roman" w:hAnsi="Times New Roman" w:cs="Times New Roman"/>
          <w:color w:val="000000" w:themeColor="text1"/>
          <w:sz w:val="24"/>
          <w:szCs w:val="24"/>
        </w:rPr>
        <w:t xml:space="preserve">FEMA frequently works with persons outside of the agency, who serve in a partnership role to facilitate our assistance or to provide other forms of assistance to disaster survivors. For this collection, FEMA has worked in partnership with </w:t>
      </w:r>
      <w:r w:rsidRPr="00065681" w:rsidR="00D0679B">
        <w:rPr>
          <w:rFonts w:ascii="Times New Roman" w:hAnsi="Times New Roman" w:cs="Times New Roman"/>
          <w:color w:val="000000" w:themeColor="text1"/>
          <w:sz w:val="24"/>
          <w:szCs w:val="24"/>
        </w:rPr>
        <w:t xml:space="preserve">typical recipients of Federal agreements for FEMA-administered DCM </w:t>
      </w:r>
      <w:r w:rsidRPr="00065681" w:rsidR="702C8C17">
        <w:rPr>
          <w:rFonts w:ascii="Times New Roman" w:hAnsi="Times New Roman" w:cs="Times New Roman"/>
          <w:color w:val="000000" w:themeColor="text1"/>
          <w:sz w:val="24"/>
          <w:szCs w:val="24"/>
        </w:rPr>
        <w:t xml:space="preserve">to confirm that </w:t>
      </w:r>
      <w:r w:rsidRPr="00065681" w:rsidR="00D0679B">
        <w:rPr>
          <w:rFonts w:ascii="Times New Roman" w:hAnsi="Times New Roman" w:cs="Times New Roman"/>
          <w:color w:val="000000" w:themeColor="text1"/>
          <w:sz w:val="24"/>
          <w:szCs w:val="24"/>
        </w:rPr>
        <w:t xml:space="preserve">all </w:t>
      </w:r>
      <w:r w:rsidRPr="00065681" w:rsidR="702C8C17">
        <w:rPr>
          <w:rFonts w:ascii="Times New Roman" w:hAnsi="Times New Roman" w:cs="Times New Roman"/>
          <w:color w:val="000000" w:themeColor="text1"/>
          <w:sz w:val="24"/>
          <w:szCs w:val="24"/>
        </w:rPr>
        <w:t>entities are in agreement on the availability of data</w:t>
      </w:r>
      <w:r w:rsidRPr="00065681" w:rsidR="00D213CC">
        <w:rPr>
          <w:rFonts w:ascii="Times New Roman" w:hAnsi="Times New Roman" w:cs="Times New Roman"/>
          <w:color w:val="000000" w:themeColor="text1"/>
          <w:sz w:val="24"/>
          <w:szCs w:val="24"/>
        </w:rPr>
        <w:t>;</w:t>
      </w:r>
      <w:r w:rsidRPr="00065681" w:rsidR="702C8C17">
        <w:rPr>
          <w:rFonts w:ascii="Times New Roman" w:hAnsi="Times New Roman" w:cs="Times New Roman"/>
          <w:color w:val="000000" w:themeColor="text1"/>
          <w:sz w:val="24"/>
          <w:szCs w:val="24"/>
        </w:rPr>
        <w:t xml:space="preserve"> frequency of collection</w:t>
      </w:r>
      <w:r w:rsidRPr="00065681" w:rsidR="00D213CC">
        <w:rPr>
          <w:rFonts w:ascii="Times New Roman" w:hAnsi="Times New Roman" w:cs="Times New Roman"/>
          <w:color w:val="000000" w:themeColor="text1"/>
          <w:sz w:val="24"/>
          <w:szCs w:val="24"/>
        </w:rPr>
        <w:t>;</w:t>
      </w:r>
      <w:r w:rsidRPr="00065681" w:rsidR="702C8C17">
        <w:rPr>
          <w:rFonts w:ascii="Times New Roman" w:hAnsi="Times New Roman" w:cs="Times New Roman"/>
          <w:color w:val="000000" w:themeColor="text1"/>
          <w:sz w:val="24"/>
          <w:szCs w:val="24"/>
        </w:rPr>
        <w:t xml:space="preserve"> the clarity of </w:t>
      </w:r>
      <w:r w:rsidRPr="00065681" w:rsidR="005C3C14">
        <w:rPr>
          <w:rFonts w:ascii="Times New Roman" w:hAnsi="Times New Roman" w:cs="Times New Roman"/>
          <w:color w:val="000000" w:themeColor="text1"/>
          <w:sz w:val="24"/>
          <w:szCs w:val="24"/>
        </w:rPr>
        <w:t>instructions</w:t>
      </w:r>
      <w:r w:rsidRPr="00065681" w:rsidR="702C8C17">
        <w:rPr>
          <w:rFonts w:ascii="Times New Roman" w:hAnsi="Times New Roman" w:cs="Times New Roman"/>
          <w:color w:val="000000" w:themeColor="text1"/>
          <w:sz w:val="24"/>
          <w:szCs w:val="24"/>
        </w:rPr>
        <w:t xml:space="preserve"> and recordkeeping</w:t>
      </w:r>
      <w:r w:rsidRPr="00065681" w:rsidR="00D213CC">
        <w:rPr>
          <w:rFonts w:ascii="Times New Roman" w:hAnsi="Times New Roman" w:cs="Times New Roman"/>
          <w:color w:val="000000" w:themeColor="text1"/>
          <w:sz w:val="24"/>
          <w:szCs w:val="24"/>
        </w:rPr>
        <w:t>;</w:t>
      </w:r>
      <w:r w:rsidRPr="00065681" w:rsidR="702C8C17">
        <w:rPr>
          <w:rFonts w:ascii="Times New Roman" w:hAnsi="Times New Roman" w:cs="Times New Roman"/>
          <w:color w:val="000000" w:themeColor="text1"/>
          <w:sz w:val="24"/>
          <w:szCs w:val="24"/>
        </w:rPr>
        <w:t xml:space="preserve"> disclosure</w:t>
      </w:r>
      <w:r w:rsidRPr="00065681" w:rsidR="00D213CC">
        <w:rPr>
          <w:rFonts w:ascii="Times New Roman" w:hAnsi="Times New Roman" w:cs="Times New Roman"/>
          <w:color w:val="000000" w:themeColor="text1"/>
          <w:sz w:val="24"/>
          <w:szCs w:val="24"/>
        </w:rPr>
        <w:t>s;</w:t>
      </w:r>
      <w:r w:rsidRPr="00065681" w:rsidR="702C8C17">
        <w:rPr>
          <w:rFonts w:ascii="Times New Roman" w:hAnsi="Times New Roman" w:cs="Times New Roman"/>
          <w:color w:val="000000" w:themeColor="text1"/>
          <w:sz w:val="24"/>
          <w:szCs w:val="24"/>
        </w:rPr>
        <w:t xml:space="preserve"> reporting format</w:t>
      </w:r>
      <w:r w:rsidRPr="00065681" w:rsidR="00D213CC">
        <w:rPr>
          <w:rFonts w:ascii="Times New Roman" w:hAnsi="Times New Roman" w:cs="Times New Roman"/>
          <w:color w:val="000000" w:themeColor="text1"/>
          <w:sz w:val="24"/>
          <w:szCs w:val="24"/>
        </w:rPr>
        <w:t>s;</w:t>
      </w:r>
      <w:r w:rsidRPr="00065681" w:rsidR="702C8C17">
        <w:rPr>
          <w:rFonts w:ascii="Times New Roman" w:hAnsi="Times New Roman" w:cs="Times New Roman"/>
          <w:color w:val="000000" w:themeColor="text1"/>
          <w:sz w:val="24"/>
          <w:szCs w:val="24"/>
        </w:rPr>
        <w:t xml:space="preserve"> and the data </w:t>
      </w:r>
      <w:r w:rsidRPr="00065681" w:rsidR="6FB30EB1">
        <w:rPr>
          <w:rFonts w:ascii="Times New Roman" w:hAnsi="Times New Roman" w:cs="Times New Roman"/>
          <w:color w:val="000000" w:themeColor="text1"/>
          <w:sz w:val="24"/>
          <w:szCs w:val="24"/>
        </w:rPr>
        <w:t xml:space="preserve">elements to be recorded, disclosed, or reported. </w:t>
      </w:r>
    </w:p>
    <w:p w:rsidRPr="00065681" w:rsidR="00A11A26" w:rsidP="00A11A26" w:rsidRDefault="00A11A26" w14:paraId="17177A60" w14:textId="77777777">
      <w:pPr>
        <w:contextualSpacing/>
        <w:rPr>
          <w:rFonts w:ascii="Times New Roman" w:hAnsi="Times New Roman" w:cs="Times New Roman"/>
          <w:color w:val="000000" w:themeColor="text1"/>
          <w:sz w:val="24"/>
          <w:szCs w:val="24"/>
        </w:rPr>
      </w:pPr>
    </w:p>
    <w:p w:rsidR="006855A1" w:rsidP="00A11A26" w:rsidRDefault="006D5651" w14:paraId="6037F6A4" w14:textId="57969D27">
      <w:pPr>
        <w:tabs>
          <w:tab w:val="left" w:pos="720"/>
        </w:tabs>
        <w:contextualSpacing/>
        <w:rPr>
          <w:rFonts w:ascii="Times New Roman" w:hAnsi="Times New Roman" w:cs="Times New Roman"/>
          <w:b/>
          <w:bCs/>
          <w:color w:val="000000" w:themeColor="text1"/>
          <w:sz w:val="24"/>
          <w:szCs w:val="24"/>
        </w:rPr>
      </w:pPr>
      <w:r w:rsidRPr="00065681">
        <w:rPr>
          <w:rFonts w:ascii="Times New Roman" w:hAnsi="Times New Roman" w:cs="Times New Roman"/>
          <w:b/>
          <w:bCs/>
          <w:color w:val="000000" w:themeColor="text1"/>
          <w:sz w:val="24"/>
          <w:szCs w:val="24"/>
        </w:rPr>
        <w:tab/>
      </w:r>
      <w:r w:rsidRPr="00065681" w:rsidR="00562915">
        <w:rPr>
          <w:rFonts w:ascii="Times New Roman" w:hAnsi="Times New Roman" w:cs="Times New Roman"/>
          <w:b/>
          <w:bCs/>
          <w:color w:val="000000" w:themeColor="text1"/>
          <w:sz w:val="24"/>
          <w:szCs w:val="24"/>
        </w:rPr>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A11A26" w:rsidP="00A11A26" w:rsidRDefault="00A11A26" w14:paraId="76E6C8A8" w14:textId="77777777">
      <w:pPr>
        <w:tabs>
          <w:tab w:val="left" w:pos="720"/>
        </w:tabs>
        <w:contextualSpacing/>
        <w:rPr>
          <w:rFonts w:ascii="Times New Roman" w:hAnsi="Times New Roman" w:cs="Times New Roman"/>
          <w:color w:val="000000" w:themeColor="text1"/>
          <w:sz w:val="24"/>
          <w:szCs w:val="24"/>
        </w:rPr>
      </w:pPr>
    </w:p>
    <w:p w:rsidR="00B63539" w:rsidP="00A11A26" w:rsidRDefault="00B63539" w14:paraId="4817D395" w14:textId="0EACC5F4">
      <w:pPr>
        <w:tabs>
          <w:tab w:val="left" w:pos="720"/>
        </w:tabs>
        <w:contextualSpacing/>
        <w:rPr>
          <w:rFonts w:ascii="Times New Roman" w:hAnsi="Times New Roman" w:cs="Times New Roman"/>
          <w:color w:val="000000" w:themeColor="text1"/>
          <w:sz w:val="24"/>
          <w:szCs w:val="24"/>
        </w:rPr>
      </w:pPr>
      <w:r w:rsidRPr="004B3BC4">
        <w:rPr>
          <w:rFonts w:ascii="Times New Roman" w:hAnsi="Times New Roman" w:cs="Times New Roman"/>
          <w:color w:val="000000" w:themeColor="text1"/>
          <w:sz w:val="24"/>
          <w:szCs w:val="24"/>
        </w:rPr>
        <w:t>N/A</w:t>
      </w:r>
    </w:p>
    <w:p w:rsidRPr="00B63539" w:rsidR="00A11A26" w:rsidP="00A11A26" w:rsidRDefault="00A11A26" w14:paraId="1532CAEE" w14:textId="77777777">
      <w:pPr>
        <w:tabs>
          <w:tab w:val="left" w:pos="720"/>
        </w:tabs>
        <w:contextualSpacing/>
        <w:rPr>
          <w:rFonts w:ascii="Times New Roman" w:hAnsi="Times New Roman" w:cs="Times New Roman"/>
          <w:color w:val="000000" w:themeColor="text1"/>
          <w:sz w:val="24"/>
          <w:szCs w:val="24"/>
        </w:rPr>
      </w:pPr>
    </w:p>
    <w:p w:rsidRPr="00065681" w:rsidR="00562915" w:rsidP="00A11A26" w:rsidRDefault="00562915" w14:paraId="00060D38" w14:textId="3AEC4CEA">
      <w:pPr>
        <w:tabs>
          <w:tab w:val="left" w:pos="360"/>
        </w:tabs>
        <w:contextualSpacing/>
        <w:rPr>
          <w:rFonts w:ascii="Times New Roman" w:hAnsi="Times New Roman" w:cs="Times New Roman"/>
          <w:b/>
          <w:bCs/>
          <w:color w:val="000000" w:themeColor="text1"/>
          <w:sz w:val="24"/>
          <w:szCs w:val="24"/>
        </w:rPr>
      </w:pPr>
      <w:r w:rsidRPr="00065681">
        <w:rPr>
          <w:rFonts w:ascii="Times New Roman" w:hAnsi="Times New Roman" w:cs="Times New Roman"/>
          <w:color w:val="000000" w:themeColor="text1"/>
          <w:sz w:val="24"/>
          <w:szCs w:val="24"/>
        </w:rPr>
        <w:lastRenderedPageBreak/>
        <w:t xml:space="preserve"> </w:t>
      </w:r>
      <w:r w:rsidRPr="00065681">
        <w:rPr>
          <w:rFonts w:ascii="Times New Roman" w:hAnsi="Times New Roman" w:cs="Times New Roman"/>
          <w:b/>
          <w:bCs/>
          <w:color w:val="000000" w:themeColor="text1"/>
          <w:sz w:val="24"/>
          <w:szCs w:val="24"/>
        </w:rPr>
        <w:fldChar w:fldCharType="begin"/>
      </w:r>
      <w:r w:rsidRPr="00065681">
        <w:rPr>
          <w:rFonts w:ascii="Times New Roman" w:hAnsi="Times New Roman" w:cs="Times New Roman"/>
          <w:b/>
          <w:bCs/>
          <w:color w:val="000000" w:themeColor="text1"/>
          <w:sz w:val="24"/>
          <w:szCs w:val="24"/>
        </w:rPr>
        <w:instrText>ADVANCE \R 0.95</w:instrText>
      </w:r>
      <w:r w:rsidRPr="00065681">
        <w:rPr>
          <w:rFonts w:ascii="Times New Roman" w:hAnsi="Times New Roman" w:cs="Times New Roman"/>
          <w:b/>
          <w:bCs/>
          <w:color w:val="000000" w:themeColor="text1"/>
          <w:sz w:val="24"/>
          <w:szCs w:val="24"/>
        </w:rPr>
        <w:fldChar w:fldCharType="end"/>
      </w:r>
      <w:r w:rsidRPr="00065681">
        <w:rPr>
          <w:rFonts w:ascii="Times New Roman" w:hAnsi="Times New Roman" w:cs="Times New Roman"/>
          <w:b/>
          <w:bCs/>
          <w:color w:val="000000" w:themeColor="text1"/>
          <w:sz w:val="24"/>
          <w:szCs w:val="24"/>
        </w:rPr>
        <w:t>9.  Explain any decision to provide any payment or gift to respondents, other than remuneration of contractors or grantees.</w:t>
      </w:r>
    </w:p>
    <w:p w:rsidR="00A11A26" w:rsidP="00A11A26" w:rsidRDefault="00A11A26" w14:paraId="040EC64D" w14:textId="77777777">
      <w:pPr>
        <w:contextualSpacing/>
        <w:rPr>
          <w:rFonts w:ascii="Times New Roman" w:hAnsi="Times New Roman" w:cs="Times New Roman"/>
          <w:color w:val="000000" w:themeColor="text1"/>
          <w:sz w:val="24"/>
          <w:szCs w:val="24"/>
        </w:rPr>
      </w:pPr>
    </w:p>
    <w:p w:rsidR="002B2B7C" w:rsidP="00A11A26" w:rsidRDefault="102AF9F3" w14:paraId="45FB0818" w14:textId="45DA399C">
      <w:pPr>
        <w:contextualSpacing/>
        <w:rPr>
          <w:rFonts w:ascii="Times New Roman" w:hAnsi="Times New Roman" w:cs="Times New Roman"/>
          <w:color w:val="000000" w:themeColor="text1"/>
          <w:sz w:val="24"/>
          <w:szCs w:val="24"/>
        </w:rPr>
      </w:pPr>
      <w:r w:rsidRPr="00065681">
        <w:rPr>
          <w:rFonts w:ascii="Times New Roman" w:hAnsi="Times New Roman" w:cs="Times New Roman"/>
          <w:color w:val="000000" w:themeColor="text1"/>
          <w:sz w:val="24"/>
          <w:szCs w:val="24"/>
        </w:rPr>
        <w:t>FEMA does not provide payments or gi</w:t>
      </w:r>
      <w:r w:rsidRPr="00065681" w:rsidR="3B315BC3">
        <w:rPr>
          <w:rFonts w:ascii="Times New Roman" w:hAnsi="Times New Roman" w:cs="Times New Roman"/>
          <w:color w:val="000000" w:themeColor="text1"/>
          <w:sz w:val="24"/>
          <w:szCs w:val="24"/>
        </w:rPr>
        <w:t>f</w:t>
      </w:r>
      <w:r w:rsidRPr="00065681">
        <w:rPr>
          <w:rFonts w:ascii="Times New Roman" w:hAnsi="Times New Roman" w:cs="Times New Roman"/>
          <w:color w:val="000000" w:themeColor="text1"/>
          <w:sz w:val="24"/>
          <w:szCs w:val="24"/>
        </w:rPr>
        <w:t>ts to respondents in exchange for a benefit sought.</w:t>
      </w:r>
    </w:p>
    <w:p w:rsidRPr="00065681" w:rsidR="00A11A26" w:rsidP="00A11A26" w:rsidRDefault="00A11A26" w14:paraId="5FE0F401" w14:textId="77777777">
      <w:pPr>
        <w:contextualSpacing/>
        <w:rPr>
          <w:rFonts w:ascii="Times New Roman" w:hAnsi="Times New Roman" w:cs="Times New Roman"/>
          <w:color w:val="000000" w:themeColor="text1"/>
          <w:sz w:val="24"/>
          <w:szCs w:val="24"/>
        </w:rPr>
      </w:pPr>
    </w:p>
    <w:p w:rsidRPr="00065681" w:rsidR="00562915" w:rsidP="00A11A26" w:rsidRDefault="00562915" w14:paraId="5EAFFC4D" w14:textId="47C0E26E">
      <w:pPr>
        <w:tabs>
          <w:tab w:val="left" w:pos="360"/>
        </w:tabs>
        <w:contextualSpacing/>
        <w:rPr>
          <w:rFonts w:ascii="Times New Roman" w:hAnsi="Times New Roman" w:cs="Times New Roman"/>
          <w:b/>
          <w:bCs/>
          <w:color w:val="000000" w:themeColor="text1"/>
          <w:sz w:val="24"/>
          <w:szCs w:val="24"/>
        </w:rPr>
      </w:pPr>
      <w:r w:rsidRPr="00065681">
        <w:rPr>
          <w:rFonts w:ascii="Times New Roman" w:hAnsi="Times New Roman" w:cs="Times New Roman"/>
          <w:b/>
          <w:bCs/>
          <w:color w:val="000000" w:themeColor="text1"/>
          <w:sz w:val="24"/>
          <w:szCs w:val="24"/>
        </w:rPr>
        <w:t xml:space="preserve">10.  Describe any assurance of confidentiality provided to respondents.  Present the basis for the assurance in statute, regulation, or agency policy.  </w:t>
      </w:r>
    </w:p>
    <w:p w:rsidR="00626A81" w:rsidP="00A11A26" w:rsidRDefault="00626A81" w14:paraId="71FD7E43" w14:textId="32B92EFB">
      <w:pPr>
        <w:tabs>
          <w:tab w:val="left" w:pos="360"/>
        </w:tabs>
        <w:contextualSpacing/>
        <w:rPr>
          <w:rFonts w:ascii="Times New Roman" w:hAnsi="Times New Roman" w:cs="Times New Roman"/>
          <w:color w:val="000000" w:themeColor="text1"/>
          <w:sz w:val="24"/>
          <w:szCs w:val="24"/>
        </w:rPr>
      </w:pPr>
    </w:p>
    <w:p w:rsidR="00626A81" w:rsidP="00A11A26" w:rsidRDefault="00626A81" w14:paraId="506D7F8D" w14:textId="1E961310">
      <w:pPr>
        <w:tabs>
          <w:tab w:val="left" w:pos="360"/>
        </w:tabs>
        <w:contextualSpacing/>
        <w:rPr>
          <w:rFonts w:ascii="Times New Roman" w:hAnsi="Times New Roman" w:cs="Times New Roman"/>
          <w:color w:val="000000" w:themeColor="text1"/>
          <w:sz w:val="24"/>
          <w:szCs w:val="24"/>
        </w:rPr>
      </w:pPr>
      <w:r w:rsidRPr="535D75D0">
        <w:rPr>
          <w:rFonts w:ascii="Times New Roman" w:hAnsi="Times New Roman" w:cs="Times New Roman"/>
          <w:color w:val="000000" w:themeColor="text1"/>
          <w:sz w:val="24"/>
          <w:szCs w:val="24"/>
        </w:rPr>
        <w:t xml:space="preserve">A Privacy Threshold Analysis was completed by the Department of Homeland Security’s (DHS) Office of Privacy (PRIV) on March 31, 2021.  This collection requires </w:t>
      </w:r>
      <w:r w:rsidRPr="535D75D0" w:rsidR="6A3D7DB7">
        <w:rPr>
          <w:rFonts w:ascii="Times New Roman" w:hAnsi="Times New Roman" w:cs="Times New Roman"/>
          <w:color w:val="000000" w:themeColor="text1"/>
          <w:sz w:val="24"/>
          <w:szCs w:val="24"/>
        </w:rPr>
        <w:t>new</w:t>
      </w:r>
      <w:r w:rsidRPr="535D75D0">
        <w:rPr>
          <w:rFonts w:ascii="Times New Roman" w:hAnsi="Times New Roman" w:cs="Times New Roman"/>
          <w:color w:val="000000" w:themeColor="text1"/>
          <w:sz w:val="24"/>
          <w:szCs w:val="24"/>
        </w:rPr>
        <w:t xml:space="preserve"> Privacy Impact Assessment (PIA) and System of Records Notice (SORN) </w:t>
      </w:r>
      <w:r w:rsidRPr="535D75D0" w:rsidR="00020ABB">
        <w:rPr>
          <w:rFonts w:ascii="Times New Roman" w:hAnsi="Times New Roman" w:cs="Times New Roman"/>
          <w:color w:val="000000" w:themeColor="text1"/>
          <w:sz w:val="24"/>
          <w:szCs w:val="24"/>
        </w:rPr>
        <w:t>coverage because</w:t>
      </w:r>
      <w:r w:rsidRPr="535D75D0">
        <w:rPr>
          <w:rFonts w:ascii="Times New Roman" w:hAnsi="Times New Roman" w:cs="Times New Roman"/>
          <w:color w:val="000000" w:themeColor="text1"/>
          <w:sz w:val="24"/>
          <w:szCs w:val="24"/>
        </w:rPr>
        <w:t xml:space="preserve"> the current PIA and SORN are inadequate</w:t>
      </w:r>
      <w:r w:rsidRPr="535D75D0" w:rsidR="029895A2">
        <w:rPr>
          <w:rFonts w:ascii="Times New Roman" w:hAnsi="Times New Roman" w:cs="Times New Roman"/>
          <w:color w:val="000000" w:themeColor="text1"/>
          <w:sz w:val="24"/>
          <w:szCs w:val="24"/>
        </w:rPr>
        <w:t xml:space="preserve">.  </w:t>
      </w:r>
      <w:r w:rsidRPr="535D75D0" w:rsidR="00AF6053">
        <w:rPr>
          <w:rFonts w:ascii="Times New Roman" w:hAnsi="Times New Roman" w:cs="Times New Roman"/>
          <w:color w:val="000000" w:themeColor="text1"/>
          <w:sz w:val="24"/>
          <w:szCs w:val="24"/>
        </w:rPr>
        <w:t>As of the date of this publication</w:t>
      </w:r>
      <w:r w:rsidRPr="535D75D0" w:rsidR="006578CF">
        <w:rPr>
          <w:rFonts w:ascii="Times New Roman" w:hAnsi="Times New Roman" w:cs="Times New Roman"/>
          <w:color w:val="000000" w:themeColor="text1"/>
          <w:sz w:val="24"/>
          <w:szCs w:val="24"/>
        </w:rPr>
        <w:t xml:space="preserve">, </w:t>
      </w:r>
      <w:r w:rsidRPr="535D75D0" w:rsidR="006A4813">
        <w:rPr>
          <w:rFonts w:ascii="Times New Roman" w:hAnsi="Times New Roman" w:cs="Times New Roman"/>
          <w:color w:val="000000" w:themeColor="text1"/>
          <w:sz w:val="24"/>
          <w:szCs w:val="24"/>
        </w:rPr>
        <w:t>t</w:t>
      </w:r>
      <w:r w:rsidRPr="535D75D0" w:rsidR="029895A2">
        <w:rPr>
          <w:rFonts w:ascii="Times New Roman" w:hAnsi="Times New Roman" w:cs="Times New Roman"/>
          <w:color w:val="000000" w:themeColor="text1"/>
          <w:sz w:val="24"/>
          <w:szCs w:val="24"/>
        </w:rPr>
        <w:t>he new</w:t>
      </w:r>
      <w:r w:rsidRPr="535D75D0" w:rsidR="7257CEBF">
        <w:rPr>
          <w:rFonts w:ascii="Times New Roman" w:hAnsi="Times New Roman" w:cs="Times New Roman"/>
          <w:color w:val="000000" w:themeColor="text1"/>
          <w:sz w:val="24"/>
          <w:szCs w:val="24"/>
        </w:rPr>
        <w:t xml:space="preserve"> </w:t>
      </w:r>
      <w:r w:rsidRPr="535D75D0" w:rsidR="681323B7">
        <w:rPr>
          <w:rFonts w:ascii="Times New Roman" w:hAnsi="Times New Roman" w:cs="Times New Roman"/>
          <w:color w:val="000000" w:themeColor="text1"/>
          <w:sz w:val="24"/>
          <w:szCs w:val="24"/>
        </w:rPr>
        <w:t xml:space="preserve">draft </w:t>
      </w:r>
      <w:r w:rsidRPr="535D75D0" w:rsidR="7257CEBF">
        <w:rPr>
          <w:rFonts w:ascii="Times New Roman" w:hAnsi="Times New Roman" w:cs="Times New Roman"/>
          <w:color w:val="000000" w:themeColor="text1"/>
          <w:sz w:val="24"/>
          <w:szCs w:val="24"/>
        </w:rPr>
        <w:t xml:space="preserve">SORN </w:t>
      </w:r>
      <w:r w:rsidRPr="535D75D0" w:rsidR="00DA4024">
        <w:rPr>
          <w:rFonts w:ascii="Times New Roman" w:hAnsi="Times New Roman" w:cs="Times New Roman"/>
          <w:color w:val="000000" w:themeColor="text1"/>
          <w:sz w:val="24"/>
          <w:szCs w:val="24"/>
        </w:rPr>
        <w:t xml:space="preserve">is pending with </w:t>
      </w:r>
      <w:r w:rsidRPr="535D75D0" w:rsidR="0088492C">
        <w:rPr>
          <w:rFonts w:ascii="Times New Roman" w:hAnsi="Times New Roman" w:cs="Times New Roman"/>
          <w:color w:val="000000" w:themeColor="text1"/>
          <w:sz w:val="24"/>
          <w:szCs w:val="24"/>
        </w:rPr>
        <w:t>DHS</w:t>
      </w:r>
      <w:r w:rsidRPr="535D75D0" w:rsidR="00565E5C">
        <w:rPr>
          <w:rFonts w:ascii="Times New Roman" w:hAnsi="Times New Roman" w:cs="Times New Roman"/>
          <w:color w:val="000000" w:themeColor="text1"/>
          <w:sz w:val="24"/>
          <w:szCs w:val="24"/>
        </w:rPr>
        <w:t xml:space="preserve"> for signature</w:t>
      </w:r>
      <w:r w:rsidRPr="535D75D0" w:rsidR="7257CEBF">
        <w:rPr>
          <w:rFonts w:ascii="Times New Roman" w:hAnsi="Times New Roman" w:cs="Times New Roman"/>
          <w:color w:val="000000" w:themeColor="text1"/>
          <w:sz w:val="24"/>
          <w:szCs w:val="24"/>
        </w:rPr>
        <w:t xml:space="preserve"> </w:t>
      </w:r>
      <w:r w:rsidRPr="535D75D0" w:rsidR="029895A2">
        <w:rPr>
          <w:rFonts w:ascii="Times New Roman" w:hAnsi="Times New Roman" w:cs="Times New Roman"/>
          <w:color w:val="000000" w:themeColor="text1"/>
          <w:sz w:val="24"/>
          <w:szCs w:val="24"/>
        </w:rPr>
        <w:t>and</w:t>
      </w:r>
      <w:r w:rsidRPr="535D75D0" w:rsidR="44D969BF">
        <w:rPr>
          <w:rFonts w:ascii="Times New Roman" w:hAnsi="Times New Roman" w:cs="Times New Roman"/>
          <w:color w:val="000000" w:themeColor="text1"/>
          <w:sz w:val="24"/>
          <w:szCs w:val="24"/>
        </w:rPr>
        <w:t xml:space="preserve"> </w:t>
      </w:r>
      <w:r w:rsidRPr="535D75D0" w:rsidR="006A4813">
        <w:rPr>
          <w:rFonts w:ascii="Times New Roman" w:hAnsi="Times New Roman" w:cs="Times New Roman"/>
          <w:color w:val="000000" w:themeColor="text1"/>
          <w:sz w:val="24"/>
          <w:szCs w:val="24"/>
        </w:rPr>
        <w:t>the</w:t>
      </w:r>
      <w:r w:rsidRPr="535D75D0" w:rsidR="002649DF">
        <w:rPr>
          <w:rFonts w:ascii="Times New Roman" w:hAnsi="Times New Roman" w:cs="Times New Roman"/>
          <w:color w:val="000000" w:themeColor="text1"/>
          <w:sz w:val="24"/>
          <w:szCs w:val="24"/>
        </w:rPr>
        <w:t xml:space="preserve"> </w:t>
      </w:r>
      <w:r w:rsidRPr="535D75D0" w:rsidR="44D969BF">
        <w:rPr>
          <w:rFonts w:ascii="Times New Roman" w:hAnsi="Times New Roman" w:cs="Times New Roman"/>
          <w:color w:val="000000" w:themeColor="text1"/>
          <w:sz w:val="24"/>
          <w:szCs w:val="24"/>
        </w:rPr>
        <w:t>new draft PIA is</w:t>
      </w:r>
      <w:r w:rsidRPr="535D75D0" w:rsidR="029895A2">
        <w:rPr>
          <w:rFonts w:ascii="Times New Roman" w:hAnsi="Times New Roman" w:cs="Times New Roman"/>
          <w:color w:val="000000" w:themeColor="text1"/>
          <w:sz w:val="24"/>
          <w:szCs w:val="24"/>
        </w:rPr>
        <w:t xml:space="preserve"> </w:t>
      </w:r>
      <w:r w:rsidRPr="535D75D0" w:rsidR="006578CF">
        <w:rPr>
          <w:rFonts w:ascii="Times New Roman" w:hAnsi="Times New Roman" w:cs="Times New Roman"/>
          <w:color w:val="000000" w:themeColor="text1"/>
          <w:sz w:val="24"/>
          <w:szCs w:val="24"/>
        </w:rPr>
        <w:t xml:space="preserve">pending </w:t>
      </w:r>
      <w:r w:rsidRPr="535D75D0" w:rsidR="0088492C">
        <w:rPr>
          <w:rFonts w:ascii="Times New Roman" w:hAnsi="Times New Roman" w:cs="Times New Roman"/>
          <w:color w:val="000000" w:themeColor="text1"/>
          <w:sz w:val="24"/>
          <w:szCs w:val="24"/>
        </w:rPr>
        <w:t xml:space="preserve">with </w:t>
      </w:r>
      <w:r w:rsidRPr="535D75D0" w:rsidR="002649DF">
        <w:rPr>
          <w:rFonts w:ascii="Times New Roman" w:hAnsi="Times New Roman" w:cs="Times New Roman"/>
          <w:color w:val="000000" w:themeColor="text1"/>
          <w:sz w:val="24"/>
          <w:szCs w:val="24"/>
        </w:rPr>
        <w:t xml:space="preserve">the </w:t>
      </w:r>
      <w:r w:rsidRPr="535D75D0" w:rsidR="006578CF">
        <w:rPr>
          <w:rFonts w:ascii="Times New Roman" w:hAnsi="Times New Roman" w:cs="Times New Roman"/>
          <w:color w:val="000000" w:themeColor="text1"/>
          <w:sz w:val="24"/>
          <w:szCs w:val="24"/>
        </w:rPr>
        <w:t>DHS Privacy Office for review</w:t>
      </w:r>
      <w:r w:rsidRPr="535D75D0">
        <w:rPr>
          <w:rFonts w:ascii="Times New Roman" w:hAnsi="Times New Roman" w:cs="Times New Roman"/>
          <w:color w:val="000000" w:themeColor="text1"/>
          <w:sz w:val="24"/>
          <w:szCs w:val="24"/>
        </w:rPr>
        <w:t>.</w:t>
      </w:r>
    </w:p>
    <w:p w:rsidR="00FB600C" w:rsidP="00A11A26" w:rsidRDefault="00FB600C" w14:paraId="41F75157" w14:textId="77777777">
      <w:pPr>
        <w:tabs>
          <w:tab w:val="left" w:pos="360"/>
        </w:tabs>
        <w:contextualSpacing/>
        <w:rPr>
          <w:rFonts w:ascii="Times New Roman" w:hAnsi="Times New Roman" w:cs="Times New Roman"/>
          <w:color w:val="000000" w:themeColor="text1"/>
          <w:sz w:val="24"/>
          <w:szCs w:val="24"/>
        </w:rPr>
      </w:pPr>
    </w:p>
    <w:p w:rsidR="00870102" w:rsidP="00A11A26" w:rsidRDefault="00870102" w14:paraId="7287568D" w14:textId="33363761">
      <w:pPr>
        <w:tabs>
          <w:tab w:val="left" w:pos="360"/>
        </w:tabs>
        <w:contextualSpacing/>
        <w:rPr>
          <w:rFonts w:ascii="Times New Roman" w:hAnsi="Times New Roman" w:cs="Times New Roman"/>
          <w:color w:val="000000" w:themeColor="text1"/>
          <w:sz w:val="24"/>
          <w:szCs w:val="24"/>
        </w:rPr>
      </w:pPr>
      <w:r w:rsidRPr="1BA694A3">
        <w:rPr>
          <w:rFonts w:ascii="Times New Roman" w:hAnsi="Times New Roman" w:cs="Times New Roman"/>
          <w:color w:val="000000" w:themeColor="text1"/>
          <w:sz w:val="24"/>
          <w:szCs w:val="24"/>
        </w:rPr>
        <w:t xml:space="preserve">FEMA may receive a request from a state to gain access to a disaster survivor’s personally identifiable information (PII)/sensitive personally identifiable information (SPII) data generated in a FEMA-administered DCM mission to establish their long-term disaster case management program.  The FEMA-administered DCM chosen provider will provide the survivor with a FEMA consent form and may share their information with other </w:t>
      </w:r>
      <w:r w:rsidRPr="1BA694A3" w:rsidR="00020ABB">
        <w:rPr>
          <w:rFonts w:ascii="Times New Roman" w:hAnsi="Times New Roman" w:cs="Times New Roman"/>
          <w:color w:val="000000" w:themeColor="text1"/>
          <w:sz w:val="24"/>
          <w:szCs w:val="24"/>
        </w:rPr>
        <w:t>entities; new</w:t>
      </w:r>
      <w:r w:rsidRPr="1BA694A3">
        <w:rPr>
          <w:rFonts w:ascii="Times New Roman" w:hAnsi="Times New Roman" w:cs="Times New Roman"/>
          <w:color w:val="000000" w:themeColor="text1"/>
          <w:sz w:val="24"/>
          <w:szCs w:val="24"/>
        </w:rPr>
        <w:t xml:space="preserve"> FEMA-administered DCM consent form</w:t>
      </w:r>
      <w:r w:rsidRPr="1BA694A3" w:rsidR="56C928CC">
        <w:rPr>
          <w:rFonts w:ascii="Times New Roman" w:hAnsi="Times New Roman" w:cs="Times New Roman"/>
          <w:color w:val="000000" w:themeColor="text1"/>
          <w:sz w:val="24"/>
          <w:szCs w:val="24"/>
        </w:rPr>
        <w:t xml:space="preserve"> is </w:t>
      </w:r>
      <w:r w:rsidRPr="1BA694A3" w:rsidR="352A167C">
        <w:rPr>
          <w:rFonts w:ascii="Times New Roman" w:hAnsi="Times New Roman" w:cs="Times New Roman"/>
          <w:color w:val="000000" w:themeColor="text1"/>
          <w:sz w:val="24"/>
          <w:szCs w:val="24"/>
        </w:rPr>
        <w:t>in the final drafting stages at FEMA</w:t>
      </w:r>
      <w:r w:rsidRPr="1BA694A3">
        <w:rPr>
          <w:rFonts w:ascii="Times New Roman" w:hAnsi="Times New Roman" w:cs="Times New Roman"/>
          <w:color w:val="000000" w:themeColor="text1"/>
          <w:sz w:val="24"/>
          <w:szCs w:val="24"/>
        </w:rPr>
        <w:t xml:space="preserve">.  When case managers refer disaster survivors to a voluntary recovery group as part of the FEMA administered DCM program, the chosen provider may share applicable information, that may include PII, with the voluntary recovery group after the survivor has provided written consent to share.  DHS PRIV anticipates that FEMA will develop a FEMA-administered DCM guidance document to outline proper data collection and sharing and to include information technology security requirements.  </w:t>
      </w:r>
    </w:p>
    <w:p w:rsidRPr="00870102" w:rsidR="00FB600C" w:rsidP="00A11A26" w:rsidRDefault="00FB600C" w14:paraId="36F65A7E" w14:textId="77777777">
      <w:pPr>
        <w:tabs>
          <w:tab w:val="left" w:pos="360"/>
        </w:tabs>
        <w:contextualSpacing/>
        <w:rPr>
          <w:rFonts w:ascii="Times New Roman" w:hAnsi="Times New Roman" w:cs="Times New Roman"/>
          <w:color w:val="000000" w:themeColor="text1"/>
          <w:sz w:val="24"/>
          <w:szCs w:val="24"/>
        </w:rPr>
      </w:pPr>
    </w:p>
    <w:p w:rsidRPr="00870102" w:rsidR="00870102" w:rsidP="00A11A26" w:rsidRDefault="00870102" w14:paraId="7FF88712" w14:textId="7C0D0A10">
      <w:pPr>
        <w:tabs>
          <w:tab w:val="left" w:pos="360"/>
        </w:tabs>
        <w:contextualSpacing/>
        <w:rPr>
          <w:rFonts w:ascii="Times New Roman" w:hAnsi="Times New Roman" w:cs="Times New Roman"/>
          <w:color w:val="000000" w:themeColor="text1"/>
          <w:sz w:val="24"/>
          <w:szCs w:val="24"/>
        </w:rPr>
      </w:pPr>
      <w:r w:rsidRPr="75168E1A">
        <w:rPr>
          <w:rFonts w:ascii="Times New Roman" w:hAnsi="Times New Roman" w:cs="Times New Roman"/>
          <w:color w:val="000000" w:themeColor="text1"/>
          <w:sz w:val="24"/>
          <w:szCs w:val="24"/>
        </w:rPr>
        <w:t>DHS PRIV concurs that this constitutes a privacy-sensitive system and requires PIA and SORN coverage.  Although th</w:t>
      </w:r>
      <w:r w:rsidRPr="75168E1A" w:rsidR="21B708A4">
        <w:rPr>
          <w:rFonts w:ascii="Times New Roman" w:hAnsi="Times New Roman" w:cs="Times New Roman"/>
          <w:color w:val="000000" w:themeColor="text1"/>
          <w:sz w:val="24"/>
          <w:szCs w:val="24"/>
        </w:rPr>
        <w:t>e</w:t>
      </w:r>
      <w:r w:rsidRPr="75168E1A">
        <w:rPr>
          <w:rFonts w:ascii="Times New Roman" w:hAnsi="Times New Roman" w:cs="Times New Roman"/>
          <w:color w:val="000000" w:themeColor="text1"/>
          <w:sz w:val="24"/>
          <w:szCs w:val="24"/>
        </w:rPr>
        <w:t xml:space="preserve"> PTA is adjudicated with an expiration of one year, this program is not in compliance until the PIA and SORN requirements are completed.  These compliance artifacts must be completed to be in compliance with the Privacy Act or E-government Act; current PIA and SORN coverage for other FEMA programs related to assistance is insufficient for the scope of the program’s collection.  A new PIA regarding Disaster Case Management Program and a new SORN regarding Administered Disaster Case Management are anticipated in order to bring this program into compliance.  DHS PRIV will update the adjudication once the PIA and SORN requirements are fulfilled.</w:t>
      </w:r>
    </w:p>
    <w:p w:rsidRPr="00065681" w:rsidR="00870102" w:rsidP="00A11A26" w:rsidRDefault="00870102" w14:paraId="6AE740B3" w14:textId="77777777">
      <w:pPr>
        <w:contextualSpacing/>
        <w:rPr>
          <w:rFonts w:ascii="Times New Roman" w:hAnsi="Times New Roman" w:cs="Times New Roman"/>
          <w:color w:val="000000" w:themeColor="text1"/>
          <w:sz w:val="24"/>
          <w:szCs w:val="24"/>
        </w:rPr>
      </w:pPr>
    </w:p>
    <w:p w:rsidRPr="00065681" w:rsidR="00562915" w:rsidP="00A11A26" w:rsidRDefault="00562915" w14:paraId="690C219F" w14:textId="77777777">
      <w:pPr>
        <w:tabs>
          <w:tab w:val="left" w:pos="360"/>
        </w:tabs>
        <w:contextualSpacing/>
        <w:rPr>
          <w:rFonts w:ascii="Times New Roman" w:hAnsi="Times New Roman" w:cs="Times New Roman"/>
          <w:b/>
          <w:bCs/>
          <w:color w:val="000000" w:themeColor="text1"/>
          <w:sz w:val="24"/>
          <w:szCs w:val="24"/>
        </w:rPr>
      </w:pPr>
      <w:r w:rsidRPr="00065681">
        <w:rPr>
          <w:rFonts w:ascii="Times New Roman" w:hAnsi="Times New Roman" w:cs="Times New Roman"/>
          <w:b/>
          <w:bCs/>
          <w:color w:val="000000" w:themeColor="text1"/>
          <w:sz w:val="24"/>
          <w:szCs w:val="24"/>
        </w:rPr>
        <w:lastRenderedPageBreak/>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FB600C" w:rsidP="00A11A26" w:rsidRDefault="00FB600C" w14:paraId="5A0F68E9" w14:textId="77777777">
      <w:pPr>
        <w:contextualSpacing/>
        <w:rPr>
          <w:rFonts w:ascii="Times New Roman" w:hAnsi="Times New Roman" w:cs="Times New Roman"/>
          <w:color w:val="000000" w:themeColor="text1"/>
          <w:sz w:val="24"/>
          <w:szCs w:val="24"/>
        </w:rPr>
      </w:pPr>
    </w:p>
    <w:p w:rsidR="00562915" w:rsidP="00A11A26" w:rsidRDefault="00546377" w14:paraId="53128261" w14:textId="1C38A6B6">
      <w:pPr>
        <w:contextualSpacing/>
        <w:rPr>
          <w:rFonts w:ascii="Times New Roman" w:hAnsi="Times New Roman" w:cs="Times New Roman"/>
          <w:color w:val="000000" w:themeColor="text1"/>
          <w:sz w:val="24"/>
          <w:szCs w:val="24"/>
        </w:rPr>
      </w:pPr>
      <w:r w:rsidRPr="00065681">
        <w:rPr>
          <w:rFonts w:ascii="Times New Roman" w:hAnsi="Times New Roman" w:cs="Times New Roman"/>
          <w:color w:val="000000" w:themeColor="text1"/>
          <w:sz w:val="24"/>
          <w:szCs w:val="24"/>
        </w:rPr>
        <w:t xml:space="preserve">There are no questions of sensitive nature. </w:t>
      </w:r>
    </w:p>
    <w:p w:rsidRPr="00065681" w:rsidR="00FB600C" w:rsidP="00A11A26" w:rsidRDefault="00FB600C" w14:paraId="44605574" w14:textId="77777777">
      <w:pPr>
        <w:contextualSpacing/>
        <w:rPr>
          <w:rFonts w:ascii="Times New Roman" w:hAnsi="Times New Roman" w:cs="Times New Roman"/>
          <w:color w:val="000000" w:themeColor="text1"/>
          <w:sz w:val="24"/>
          <w:szCs w:val="24"/>
        </w:rPr>
      </w:pPr>
    </w:p>
    <w:p w:rsidR="00562915" w:rsidP="00A11A26" w:rsidRDefault="00562915" w14:paraId="0EFBB8AF" w14:textId="3EBB2BF7">
      <w:pPr>
        <w:contextualSpacing/>
        <w:rPr>
          <w:rFonts w:ascii="Times New Roman" w:hAnsi="Times New Roman" w:cs="Times New Roman"/>
          <w:b/>
          <w:bCs/>
          <w:color w:val="000000" w:themeColor="text1"/>
          <w:sz w:val="24"/>
          <w:szCs w:val="24"/>
        </w:rPr>
      </w:pPr>
      <w:r w:rsidRPr="00065681">
        <w:rPr>
          <w:rFonts w:ascii="Times New Roman" w:hAnsi="Times New Roman" w:cs="Times New Roman"/>
          <w:b/>
          <w:bCs/>
          <w:color w:val="000000" w:themeColor="text1"/>
          <w:sz w:val="24"/>
          <w:szCs w:val="24"/>
        </w:rPr>
        <w:fldChar w:fldCharType="begin"/>
      </w:r>
      <w:r w:rsidRPr="00065681">
        <w:rPr>
          <w:rFonts w:ascii="Times New Roman" w:hAnsi="Times New Roman" w:cs="Times New Roman"/>
          <w:b/>
          <w:bCs/>
          <w:color w:val="000000" w:themeColor="text1"/>
          <w:sz w:val="24"/>
          <w:szCs w:val="24"/>
        </w:rPr>
        <w:instrText>ADVANCE \R 0.95</w:instrText>
      </w:r>
      <w:r w:rsidRPr="00065681">
        <w:rPr>
          <w:rFonts w:ascii="Times New Roman" w:hAnsi="Times New Roman" w:cs="Times New Roman"/>
          <w:b/>
          <w:bCs/>
          <w:color w:val="000000" w:themeColor="text1"/>
          <w:sz w:val="24"/>
          <w:szCs w:val="24"/>
        </w:rPr>
        <w:fldChar w:fldCharType="end"/>
      </w:r>
      <w:r w:rsidRPr="00065681">
        <w:rPr>
          <w:rFonts w:ascii="Times New Roman" w:hAnsi="Times New Roman" w:cs="Times New Roman"/>
          <w:b/>
          <w:bCs/>
          <w:color w:val="000000" w:themeColor="text1"/>
          <w:sz w:val="24"/>
          <w:szCs w:val="24"/>
        </w:rPr>
        <w:fldChar w:fldCharType="begin"/>
      </w:r>
      <w:r w:rsidRPr="00065681">
        <w:rPr>
          <w:rFonts w:ascii="Times New Roman" w:hAnsi="Times New Roman" w:cs="Times New Roman"/>
          <w:b/>
          <w:bCs/>
          <w:color w:val="000000" w:themeColor="text1"/>
          <w:sz w:val="24"/>
          <w:szCs w:val="24"/>
        </w:rPr>
        <w:instrText>ADVANCE \R 0.95</w:instrText>
      </w:r>
      <w:r w:rsidRPr="00065681">
        <w:rPr>
          <w:rFonts w:ascii="Times New Roman" w:hAnsi="Times New Roman" w:cs="Times New Roman"/>
          <w:b/>
          <w:bCs/>
          <w:color w:val="000000" w:themeColor="text1"/>
          <w:sz w:val="24"/>
          <w:szCs w:val="24"/>
        </w:rPr>
        <w:fldChar w:fldCharType="end"/>
      </w:r>
      <w:r w:rsidRPr="00065681">
        <w:rPr>
          <w:rFonts w:ascii="Times New Roman" w:hAnsi="Times New Roman" w:cs="Times New Roman"/>
          <w:b/>
          <w:bCs/>
          <w:color w:val="000000" w:themeColor="text1"/>
          <w:sz w:val="24"/>
          <w:szCs w:val="24"/>
        </w:rPr>
        <w:t>12.  Provide estimates of the hour burden of the collection of information.  The statement should:</w:t>
      </w:r>
      <w:r w:rsidRPr="00065681">
        <w:rPr>
          <w:rFonts w:ascii="Times New Roman" w:hAnsi="Times New Roman" w:cs="Times New Roman"/>
          <w:b/>
          <w:bCs/>
          <w:color w:val="000000" w:themeColor="text1"/>
          <w:sz w:val="24"/>
          <w:szCs w:val="24"/>
        </w:rPr>
        <w:fldChar w:fldCharType="begin"/>
      </w:r>
      <w:r w:rsidRPr="00065681">
        <w:rPr>
          <w:rFonts w:ascii="Times New Roman" w:hAnsi="Times New Roman" w:cs="Times New Roman"/>
          <w:b/>
          <w:bCs/>
          <w:color w:val="000000" w:themeColor="text1"/>
          <w:sz w:val="24"/>
          <w:szCs w:val="24"/>
        </w:rPr>
        <w:instrText>ADVANCE \R 0.95</w:instrText>
      </w:r>
      <w:r w:rsidRPr="00065681">
        <w:rPr>
          <w:rFonts w:ascii="Times New Roman" w:hAnsi="Times New Roman" w:cs="Times New Roman"/>
          <w:b/>
          <w:bCs/>
          <w:color w:val="000000" w:themeColor="text1"/>
          <w:sz w:val="24"/>
          <w:szCs w:val="24"/>
        </w:rPr>
        <w:fldChar w:fldCharType="end"/>
      </w:r>
      <w:r w:rsidRPr="00065681">
        <w:rPr>
          <w:rFonts w:ascii="Times New Roman" w:hAnsi="Times New Roman" w:cs="Times New Roman"/>
          <w:b/>
          <w:bCs/>
          <w:color w:val="000000" w:themeColor="text1"/>
          <w:sz w:val="24"/>
          <w:szCs w:val="24"/>
        </w:rPr>
        <w:t xml:space="preserve">                                             </w:t>
      </w:r>
    </w:p>
    <w:p w:rsidRPr="00065681" w:rsidR="00FB600C" w:rsidP="00A11A26" w:rsidRDefault="00FB600C" w14:paraId="2D9280FE" w14:textId="77777777">
      <w:pPr>
        <w:contextualSpacing/>
        <w:rPr>
          <w:rFonts w:ascii="Times New Roman" w:hAnsi="Times New Roman" w:cs="Times New Roman"/>
          <w:b/>
          <w:bCs/>
          <w:color w:val="000000" w:themeColor="text1"/>
          <w:sz w:val="24"/>
          <w:szCs w:val="24"/>
        </w:rPr>
      </w:pPr>
    </w:p>
    <w:p w:rsidRPr="00065681" w:rsidR="00562915" w:rsidP="00A11A26" w:rsidRDefault="00562915" w14:paraId="4F0382AD" w14:textId="77777777">
      <w:pPr>
        <w:contextualSpacing/>
        <w:rPr>
          <w:rFonts w:ascii="Times New Roman" w:hAnsi="Times New Roman" w:cs="Times New Roman"/>
          <w:b/>
          <w:bCs/>
          <w:color w:val="000000" w:themeColor="text1"/>
          <w:sz w:val="24"/>
          <w:szCs w:val="24"/>
        </w:rPr>
      </w:pPr>
      <w:r w:rsidRPr="00065681">
        <w:rPr>
          <w:rFonts w:ascii="Times New Roman" w:hAnsi="Times New Roman" w:cs="Times New Roman"/>
          <w:b/>
          <w:bCs/>
          <w:color w:val="000000" w:themeColor="text1"/>
          <w:sz w:val="24"/>
          <w:szCs w:val="24"/>
        </w:rPr>
        <w:fldChar w:fldCharType="begin"/>
      </w:r>
      <w:r w:rsidRPr="00065681">
        <w:rPr>
          <w:rFonts w:ascii="Times New Roman" w:hAnsi="Times New Roman" w:cs="Times New Roman"/>
          <w:b/>
          <w:bCs/>
          <w:color w:val="000000" w:themeColor="text1"/>
          <w:sz w:val="24"/>
          <w:szCs w:val="24"/>
        </w:rPr>
        <w:instrText>ADVANCE \R 0.95</w:instrText>
      </w:r>
      <w:r w:rsidRPr="00065681">
        <w:rPr>
          <w:rFonts w:ascii="Times New Roman" w:hAnsi="Times New Roman" w:cs="Times New Roman"/>
          <w:b/>
          <w:bCs/>
          <w:color w:val="000000" w:themeColor="text1"/>
          <w:sz w:val="24"/>
          <w:szCs w:val="24"/>
        </w:rPr>
        <w:fldChar w:fldCharType="end"/>
      </w:r>
      <w:r w:rsidRPr="00065681">
        <w:rPr>
          <w:rFonts w:ascii="Times New Roman" w:hAnsi="Times New Roman" w:cs="Times New Roman"/>
          <w:b/>
          <w:bCs/>
          <w:color w:val="000000" w:themeColor="text1"/>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065681">
        <w:rPr>
          <w:rFonts w:ascii="Times New Roman" w:hAnsi="Times New Roman" w:cs="Times New Roman"/>
          <w:b/>
          <w:bCs/>
          <w:color w:val="000000" w:themeColor="text1"/>
          <w:sz w:val="24"/>
          <w:szCs w:val="24"/>
        </w:rPr>
        <w:tab/>
        <w:t>directed to do so, agencies should not conduct special surveys to obtain information on which to base hour burden estimates.  Consultation with a sample (fewer than 10) of potential respondents is desired.  If the hour</w:t>
      </w:r>
      <w:r w:rsidRPr="00065681">
        <w:rPr>
          <w:rFonts w:ascii="Times New Roman" w:hAnsi="Times New Roman" w:cs="Times New Roman"/>
          <w:b/>
          <w:bCs/>
          <w:color w:val="000000" w:themeColor="text1"/>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B600C" w:rsidP="00A11A26" w:rsidRDefault="00FB600C" w14:paraId="78F88D0D" w14:textId="77777777">
      <w:pPr>
        <w:contextualSpacing/>
        <w:rPr>
          <w:rFonts w:ascii="Times New Roman" w:hAnsi="Times New Roman" w:cs="Times New Roman"/>
          <w:color w:val="000000" w:themeColor="text1"/>
          <w:sz w:val="24"/>
          <w:szCs w:val="24"/>
        </w:rPr>
      </w:pPr>
    </w:p>
    <w:p w:rsidR="00BB46F5" w:rsidP="00A11A26" w:rsidRDefault="00876239" w14:paraId="50E0E72F" w14:textId="7248366A">
      <w:pPr>
        <w:contextualSpacing/>
        <w:rPr>
          <w:rFonts w:ascii="Times New Roman" w:hAnsi="Times New Roman" w:cs="Times New Roman"/>
          <w:sz w:val="24"/>
          <w:szCs w:val="24"/>
        </w:rPr>
      </w:pPr>
      <w:r>
        <w:rPr>
          <w:rFonts w:ascii="Times New Roman" w:hAnsi="Times New Roman" w:cs="Times New Roman"/>
          <w:color w:val="000000" w:themeColor="text1"/>
          <w:sz w:val="24"/>
          <w:szCs w:val="24"/>
        </w:rPr>
        <w:t xml:space="preserve">While a survivor does not have to be registered for FEMA assistance, FEMA uses registration data to predict the number of survivors who may require FEMA-administered DCM services. </w:t>
      </w:r>
      <w:r w:rsidRPr="00065681" w:rsidR="63053DC5">
        <w:rPr>
          <w:rFonts w:ascii="Times New Roman" w:hAnsi="Times New Roman" w:cs="Times New Roman"/>
          <w:color w:val="000000" w:themeColor="text1"/>
          <w:sz w:val="24"/>
          <w:szCs w:val="24"/>
        </w:rPr>
        <w:t xml:space="preserve">FEMA estimates </w:t>
      </w:r>
      <w:r w:rsidRPr="3E745F8F" w:rsidR="0CAC05EF">
        <w:rPr>
          <w:rFonts w:ascii="Times New Roman" w:hAnsi="Times New Roman" w:cs="Times New Roman"/>
          <w:sz w:val="24"/>
          <w:szCs w:val="24"/>
        </w:rPr>
        <w:t xml:space="preserve">that </w:t>
      </w:r>
      <w:r w:rsidR="00B63539">
        <w:rPr>
          <w:rFonts w:ascii="Times New Roman" w:hAnsi="Times New Roman" w:cs="Times New Roman"/>
          <w:sz w:val="24"/>
          <w:szCs w:val="24"/>
        </w:rPr>
        <w:t xml:space="preserve">approximately 600,000 people annually will apply and be approved for FEMA assistance and </w:t>
      </w:r>
      <w:r w:rsidRPr="3E745F8F" w:rsidR="2CDD48F5">
        <w:rPr>
          <w:rFonts w:ascii="Times New Roman" w:hAnsi="Times New Roman" w:cs="Times New Roman"/>
          <w:sz w:val="24"/>
          <w:szCs w:val="24"/>
        </w:rPr>
        <w:t>the population to serve</w:t>
      </w:r>
      <w:r w:rsidR="00B63539">
        <w:rPr>
          <w:rFonts w:ascii="Times New Roman" w:hAnsi="Times New Roman" w:cs="Times New Roman"/>
          <w:sz w:val="24"/>
          <w:szCs w:val="24"/>
        </w:rPr>
        <w:t xml:space="preserve"> for a FEMA-administered DCM</w:t>
      </w:r>
      <w:r w:rsidRPr="3E745F8F" w:rsidR="2CDD48F5">
        <w:rPr>
          <w:rFonts w:ascii="Times New Roman" w:hAnsi="Times New Roman" w:cs="Times New Roman"/>
          <w:sz w:val="24"/>
          <w:szCs w:val="24"/>
        </w:rPr>
        <w:t xml:space="preserve"> would equate to </w:t>
      </w:r>
      <w:r w:rsidRPr="3E745F8F" w:rsidR="0CAC05EF">
        <w:rPr>
          <w:rFonts w:ascii="Times New Roman" w:hAnsi="Times New Roman" w:cs="Times New Roman"/>
          <w:sz w:val="24"/>
          <w:szCs w:val="24"/>
        </w:rPr>
        <w:t>approximately five percent of</w:t>
      </w:r>
      <w:r w:rsidRPr="3E745F8F" w:rsidR="6A0C5836">
        <w:rPr>
          <w:rFonts w:ascii="Times New Roman" w:hAnsi="Times New Roman" w:cs="Times New Roman"/>
          <w:sz w:val="24"/>
          <w:szCs w:val="24"/>
        </w:rPr>
        <w:t xml:space="preserve"> approved</w:t>
      </w:r>
      <w:r w:rsidRPr="3E745F8F" w:rsidR="0CAC05EF">
        <w:rPr>
          <w:rFonts w:ascii="Times New Roman" w:hAnsi="Times New Roman" w:cs="Times New Roman"/>
          <w:sz w:val="24"/>
          <w:szCs w:val="24"/>
        </w:rPr>
        <w:t xml:space="preserve"> FEMA registrants </w:t>
      </w:r>
      <w:r w:rsidRPr="3E745F8F" w:rsidR="7556E340">
        <w:rPr>
          <w:rFonts w:ascii="Times New Roman" w:hAnsi="Times New Roman" w:cs="Times New Roman"/>
          <w:sz w:val="24"/>
          <w:szCs w:val="24"/>
        </w:rPr>
        <w:t>needing</w:t>
      </w:r>
      <w:r w:rsidRPr="3E745F8F" w:rsidR="0CAC05EF">
        <w:rPr>
          <w:rFonts w:ascii="Times New Roman" w:hAnsi="Times New Roman" w:cs="Times New Roman"/>
          <w:sz w:val="24"/>
          <w:szCs w:val="24"/>
        </w:rPr>
        <w:t xml:space="preserve"> some form of disaster case management services</w:t>
      </w:r>
      <w:r w:rsidRPr="3E745F8F" w:rsidR="15D7312E">
        <w:rPr>
          <w:rFonts w:ascii="Times New Roman" w:hAnsi="Times New Roman" w:cs="Times New Roman"/>
          <w:sz w:val="24"/>
          <w:szCs w:val="24"/>
        </w:rPr>
        <w:t xml:space="preserve"> following a major disaster</w:t>
      </w:r>
      <w:r w:rsidRPr="3E745F8F" w:rsidR="006348A7">
        <w:rPr>
          <w:rFonts w:ascii="Times New Roman" w:hAnsi="Times New Roman" w:cs="Times New Roman"/>
          <w:sz w:val="24"/>
          <w:szCs w:val="24"/>
        </w:rPr>
        <w:t>;</w:t>
      </w:r>
      <w:r w:rsidRPr="3E745F8F" w:rsidR="29075958">
        <w:rPr>
          <w:rFonts w:ascii="Times New Roman" w:hAnsi="Times New Roman" w:cs="Times New Roman"/>
          <w:sz w:val="24"/>
          <w:szCs w:val="24"/>
        </w:rPr>
        <w:t xml:space="preserve"> however, the percentage of those</w:t>
      </w:r>
      <w:r w:rsidRPr="3E745F8F" w:rsidR="0CAC05EF">
        <w:rPr>
          <w:rFonts w:ascii="Times New Roman" w:hAnsi="Times New Roman" w:cs="Times New Roman"/>
          <w:sz w:val="24"/>
          <w:szCs w:val="24"/>
        </w:rPr>
        <w:t xml:space="preserve"> </w:t>
      </w:r>
      <w:r w:rsidRPr="3E745F8F" w:rsidR="29075958">
        <w:rPr>
          <w:rFonts w:ascii="Times New Roman" w:hAnsi="Times New Roman" w:cs="Times New Roman"/>
          <w:sz w:val="24"/>
          <w:szCs w:val="24"/>
        </w:rPr>
        <w:t xml:space="preserve">requesting services may vary depending upon the </w:t>
      </w:r>
      <w:r w:rsidRPr="3E745F8F" w:rsidR="34563F78">
        <w:rPr>
          <w:rFonts w:ascii="Times New Roman" w:hAnsi="Times New Roman" w:cs="Times New Roman"/>
          <w:sz w:val="24"/>
          <w:szCs w:val="24"/>
        </w:rPr>
        <w:t>incident</w:t>
      </w:r>
      <w:r w:rsidRPr="3E745F8F" w:rsidR="29075958">
        <w:rPr>
          <w:rFonts w:ascii="Times New Roman" w:hAnsi="Times New Roman" w:cs="Times New Roman"/>
          <w:sz w:val="24"/>
          <w:szCs w:val="24"/>
        </w:rPr>
        <w:t xml:space="preserve">. While it is anticipated that each conversation may </w:t>
      </w:r>
      <w:r w:rsidR="005E301C">
        <w:rPr>
          <w:rFonts w:ascii="Times New Roman" w:hAnsi="Times New Roman" w:cs="Times New Roman"/>
          <w:sz w:val="24"/>
          <w:szCs w:val="24"/>
        </w:rPr>
        <w:t>take up to an hour of the survivor’s time,</w:t>
      </w:r>
      <w:r w:rsidRPr="3E745F8F" w:rsidR="5E0426AC">
        <w:rPr>
          <w:rFonts w:ascii="Times New Roman" w:hAnsi="Times New Roman" w:cs="Times New Roman"/>
          <w:sz w:val="24"/>
          <w:szCs w:val="24"/>
        </w:rPr>
        <w:t xml:space="preserve"> the actual time a survivor may spend speaking to a disaster case manager may vary</w:t>
      </w:r>
      <w:r w:rsidRPr="3E745F8F" w:rsidR="7855D26B">
        <w:rPr>
          <w:rFonts w:ascii="Times New Roman" w:hAnsi="Times New Roman" w:cs="Times New Roman"/>
          <w:sz w:val="24"/>
          <w:szCs w:val="24"/>
        </w:rPr>
        <w:t xml:space="preserve"> depending upon the disaster-caused unmet needs they may have, the resources available at the time of intake, and </w:t>
      </w:r>
      <w:r w:rsidRPr="3E745F8F" w:rsidR="695A2686">
        <w:rPr>
          <w:rFonts w:ascii="Times New Roman" w:hAnsi="Times New Roman" w:cs="Times New Roman"/>
          <w:sz w:val="24"/>
          <w:szCs w:val="24"/>
        </w:rPr>
        <w:t>whether the survivor would like to</w:t>
      </w:r>
      <w:r w:rsidRPr="3E745F8F" w:rsidR="7855D26B">
        <w:rPr>
          <w:rFonts w:ascii="Times New Roman" w:hAnsi="Times New Roman" w:cs="Times New Roman"/>
          <w:sz w:val="24"/>
          <w:szCs w:val="24"/>
        </w:rPr>
        <w:t xml:space="preserve"> </w:t>
      </w:r>
      <w:r w:rsidRPr="3E745F8F" w:rsidR="695A2686">
        <w:rPr>
          <w:rFonts w:ascii="Times New Roman" w:hAnsi="Times New Roman" w:cs="Times New Roman"/>
          <w:sz w:val="24"/>
          <w:szCs w:val="24"/>
        </w:rPr>
        <w:t xml:space="preserve">initiate a personalized disaster recovery plan. </w:t>
      </w:r>
      <w:r w:rsidRPr="006625E7" w:rsidR="00562915">
        <w:rPr>
          <w:rFonts w:ascii="Times New Roman" w:hAnsi="Times New Roman" w:cs="Times New Roman"/>
          <w:sz w:val="24"/>
          <w:szCs w:val="24"/>
        </w:rPr>
        <w:fldChar w:fldCharType="begin"/>
      </w:r>
      <w:r w:rsidRPr="006625E7" w:rsidR="00562915">
        <w:rPr>
          <w:rFonts w:ascii="Times New Roman" w:hAnsi="Times New Roman" w:cs="Times New Roman"/>
          <w:sz w:val="24"/>
          <w:szCs w:val="24"/>
        </w:rPr>
        <w:instrText>ADVANCE \R 0.95</w:instrText>
      </w:r>
      <w:r w:rsidRPr="006625E7" w:rsidR="00562915">
        <w:rPr>
          <w:rFonts w:ascii="Times New Roman" w:hAnsi="Times New Roman" w:cs="Times New Roman"/>
          <w:sz w:val="24"/>
          <w:szCs w:val="24"/>
        </w:rPr>
        <w:fldChar w:fldCharType="end"/>
      </w:r>
    </w:p>
    <w:p w:rsidR="00FB600C" w:rsidP="00A11A26" w:rsidRDefault="00FB600C" w14:paraId="575C62BD" w14:textId="77777777">
      <w:pPr>
        <w:contextualSpacing/>
        <w:rPr>
          <w:rFonts w:ascii="Times New Roman" w:hAnsi="Times New Roman" w:cs="Times New Roman"/>
          <w:sz w:val="24"/>
          <w:szCs w:val="24"/>
        </w:rPr>
      </w:pPr>
    </w:p>
    <w:p w:rsidR="00876239" w:rsidP="00A11A26" w:rsidRDefault="00BB46F5" w14:paraId="0716BB16" w14:textId="2303E7F6">
      <w:pPr>
        <w:contextualSpacing/>
        <w:rPr>
          <w:rFonts w:ascii="Times New Roman" w:hAnsi="Times New Roman" w:cs="Times New Roman"/>
          <w:sz w:val="24"/>
          <w:szCs w:val="24"/>
        </w:rPr>
      </w:pPr>
      <w:r>
        <w:rPr>
          <w:rFonts w:ascii="Times New Roman" w:hAnsi="Times New Roman" w:cs="Times New Roman"/>
          <w:sz w:val="24"/>
          <w:szCs w:val="24"/>
        </w:rPr>
        <w:t>Additionally, it is anticipated that half of the respondents will return for</w:t>
      </w:r>
      <w:r w:rsidR="00876239">
        <w:rPr>
          <w:rFonts w:ascii="Times New Roman" w:hAnsi="Times New Roman" w:cs="Times New Roman"/>
          <w:sz w:val="24"/>
          <w:szCs w:val="24"/>
        </w:rPr>
        <w:t xml:space="preserve"> follow-up services to address their ongoing unmet needs, but all respondents will complete a FEMA-administered DCM Consent Form</w:t>
      </w:r>
      <w:r w:rsidR="00FB600C">
        <w:rPr>
          <w:rFonts w:ascii="Times New Roman" w:hAnsi="Times New Roman" w:cs="Times New Roman"/>
          <w:sz w:val="24"/>
          <w:szCs w:val="24"/>
        </w:rPr>
        <w:t xml:space="preserve"> (FF-104-FY-21-14</w:t>
      </w:r>
      <w:r w:rsidR="00806324">
        <w:rPr>
          <w:rFonts w:ascii="Times New Roman" w:hAnsi="Times New Roman" w:cs="Times New Roman"/>
          <w:sz w:val="24"/>
          <w:szCs w:val="24"/>
        </w:rPr>
        <w:t>7</w:t>
      </w:r>
      <w:r w:rsidR="00FB600C">
        <w:rPr>
          <w:rFonts w:ascii="Times New Roman" w:hAnsi="Times New Roman" w:cs="Times New Roman"/>
          <w:sz w:val="24"/>
          <w:szCs w:val="24"/>
        </w:rPr>
        <w:t>)</w:t>
      </w:r>
      <w:r w:rsidR="00876239">
        <w:rPr>
          <w:rFonts w:ascii="Times New Roman" w:hAnsi="Times New Roman" w:cs="Times New Roman"/>
          <w:sz w:val="24"/>
          <w:szCs w:val="24"/>
        </w:rPr>
        <w:t xml:space="preserve">. </w:t>
      </w:r>
    </w:p>
    <w:p w:rsidR="00FB600C" w:rsidP="00A11A26" w:rsidRDefault="00FB600C" w14:paraId="00436562" w14:textId="77777777">
      <w:pPr>
        <w:contextualSpacing/>
        <w:rPr>
          <w:rFonts w:ascii="Times New Roman" w:hAnsi="Times New Roman" w:cs="Times New Roman"/>
          <w:sz w:val="24"/>
          <w:szCs w:val="24"/>
        </w:rPr>
      </w:pPr>
    </w:p>
    <w:p w:rsidRPr="004B3BC4" w:rsidR="00876239" w:rsidP="00A11A26" w:rsidRDefault="003638FD" w14:paraId="60922FC8" w14:textId="241044C6">
      <w:pPr>
        <w:contextualSpacing/>
        <w:rPr>
          <w:rFonts w:ascii="Times New Roman" w:hAnsi="Times New Roman" w:cs="Times New Roman"/>
          <w:b/>
          <w:bCs/>
          <w:sz w:val="24"/>
          <w:szCs w:val="24"/>
        </w:rPr>
      </w:pPr>
      <w:r>
        <w:rPr>
          <w:rFonts w:ascii="Times New Roman" w:hAnsi="Times New Roman" w:cs="Times New Roman"/>
          <w:b/>
          <w:bCs/>
          <w:sz w:val="24"/>
          <w:szCs w:val="24"/>
          <w:u w:val="single"/>
        </w:rPr>
        <w:lastRenderedPageBreak/>
        <w:t xml:space="preserve">INTAKE FORM </w:t>
      </w:r>
      <w:r w:rsidR="00FB600C">
        <w:rPr>
          <w:rFonts w:ascii="Times New Roman" w:hAnsi="Times New Roman" w:cs="Times New Roman"/>
          <w:b/>
          <w:bCs/>
          <w:sz w:val="24"/>
          <w:szCs w:val="24"/>
          <w:u w:val="single"/>
        </w:rPr>
        <w:t xml:space="preserve">(FF-104-FY-21-146) </w:t>
      </w:r>
      <w:r w:rsidRPr="004B3BC4" w:rsidR="00876239">
        <w:rPr>
          <w:rFonts w:ascii="Times New Roman" w:hAnsi="Times New Roman" w:cs="Times New Roman"/>
          <w:b/>
          <w:bCs/>
          <w:sz w:val="24"/>
          <w:szCs w:val="24"/>
          <w:u w:val="single"/>
        </w:rPr>
        <w:t>CALCULATIONS:</w:t>
      </w:r>
    </w:p>
    <w:p w:rsidR="00FB600C" w:rsidP="00A11A26" w:rsidRDefault="00FB600C" w14:paraId="5634C4AE" w14:textId="77777777">
      <w:pPr>
        <w:contextualSpacing/>
        <w:rPr>
          <w:rFonts w:ascii="Times New Roman" w:hAnsi="Times New Roman" w:cs="Times New Roman"/>
          <w:sz w:val="24"/>
          <w:szCs w:val="24"/>
        </w:rPr>
      </w:pPr>
    </w:p>
    <w:p w:rsidR="00876239" w:rsidP="00A11A26" w:rsidRDefault="00876239" w14:paraId="29D710E3" w14:textId="1F2B2B9C">
      <w:pPr>
        <w:contextualSpacing/>
        <w:rPr>
          <w:rFonts w:ascii="Times New Roman" w:hAnsi="Times New Roman" w:cs="Times New Roman"/>
          <w:sz w:val="24"/>
          <w:szCs w:val="24"/>
        </w:rPr>
      </w:pPr>
      <w:r>
        <w:rPr>
          <w:rFonts w:ascii="Times New Roman" w:hAnsi="Times New Roman" w:cs="Times New Roman"/>
          <w:sz w:val="24"/>
          <w:szCs w:val="24"/>
        </w:rPr>
        <w:t xml:space="preserve">It is estimated that in one year, there will be 600,000 registered disaster survivors will be approved for FEMA assistance. FEMA multiples this number by five percent to predict how many survivors may require FEMA-administered DCM services. Calculation: </w:t>
      </w:r>
    </w:p>
    <w:p w:rsidRPr="00876239" w:rsidR="00FB600C" w:rsidP="00A11A26" w:rsidRDefault="00FB600C" w14:paraId="545E69E4" w14:textId="77777777">
      <w:pPr>
        <w:contextualSpacing/>
        <w:rPr>
          <w:rFonts w:ascii="Times New Roman" w:hAnsi="Times New Roman" w:cs="Times New Roman"/>
          <w:sz w:val="24"/>
          <w:szCs w:val="24"/>
        </w:rPr>
      </w:pPr>
    </w:p>
    <w:p w:rsidRPr="004B3BC4" w:rsidR="00876239" w:rsidP="00A11A26" w:rsidRDefault="00876239" w14:paraId="50F1142D" w14:textId="09B2CEC8">
      <w:pPr>
        <w:contextualSpacing/>
        <w:rPr>
          <w:rFonts w:ascii="Times New Roman" w:hAnsi="Times New Roman" w:cs="Times New Roman"/>
          <w:b/>
          <w:bCs/>
          <w:sz w:val="24"/>
          <w:szCs w:val="24"/>
        </w:rPr>
      </w:pPr>
      <w:r w:rsidRPr="004B3BC4">
        <w:rPr>
          <w:rFonts w:ascii="Times New Roman" w:hAnsi="Times New Roman" w:cs="Times New Roman"/>
          <w:b/>
          <w:bCs/>
          <w:sz w:val="24"/>
          <w:szCs w:val="24"/>
        </w:rPr>
        <w:t>600,000 approved registrants x 5% requiring case management services = 30,000 respondents completing initial Intake Forms</w:t>
      </w:r>
      <w:r w:rsidR="00806324">
        <w:rPr>
          <w:rFonts w:ascii="Times New Roman" w:hAnsi="Times New Roman" w:cs="Times New Roman"/>
          <w:b/>
          <w:bCs/>
          <w:sz w:val="24"/>
          <w:szCs w:val="24"/>
        </w:rPr>
        <w:t xml:space="preserve"> (FF-104-FY-21-146)</w:t>
      </w:r>
      <w:r w:rsidRPr="004B3BC4">
        <w:rPr>
          <w:rFonts w:ascii="Times New Roman" w:hAnsi="Times New Roman" w:cs="Times New Roman"/>
          <w:b/>
          <w:bCs/>
          <w:sz w:val="24"/>
          <w:szCs w:val="24"/>
        </w:rPr>
        <w:t xml:space="preserve"> and Consent Forms</w:t>
      </w:r>
      <w:r w:rsidR="00806324">
        <w:rPr>
          <w:rFonts w:ascii="Times New Roman" w:hAnsi="Times New Roman" w:cs="Times New Roman"/>
          <w:b/>
          <w:bCs/>
          <w:sz w:val="24"/>
          <w:szCs w:val="24"/>
        </w:rPr>
        <w:t xml:space="preserve"> (FF-104-FY-21-147).</w:t>
      </w:r>
    </w:p>
    <w:p w:rsidR="00FB600C" w:rsidP="00A11A26" w:rsidRDefault="00FB600C" w14:paraId="3D1F6650" w14:textId="77777777">
      <w:pPr>
        <w:contextualSpacing/>
        <w:rPr>
          <w:rFonts w:ascii="Times New Roman" w:hAnsi="Times New Roman" w:cs="Times New Roman"/>
          <w:sz w:val="24"/>
          <w:szCs w:val="24"/>
        </w:rPr>
      </w:pPr>
    </w:p>
    <w:p w:rsidR="00876239" w:rsidP="00A11A26" w:rsidRDefault="00876239" w14:paraId="091CD7A7" w14:textId="436C45D9">
      <w:pPr>
        <w:contextualSpacing/>
        <w:rPr>
          <w:rFonts w:ascii="Times New Roman" w:hAnsi="Times New Roman" w:cs="Times New Roman"/>
          <w:sz w:val="24"/>
          <w:szCs w:val="24"/>
        </w:rPr>
      </w:pPr>
      <w:r>
        <w:rPr>
          <w:rFonts w:ascii="Times New Roman" w:hAnsi="Times New Roman" w:cs="Times New Roman"/>
          <w:sz w:val="24"/>
          <w:szCs w:val="24"/>
        </w:rPr>
        <w:t>Of the 30,000 respondents completing initial Intake Forms</w:t>
      </w:r>
      <w:r w:rsidR="00FB600C">
        <w:rPr>
          <w:rFonts w:ascii="Times New Roman" w:hAnsi="Times New Roman" w:cs="Times New Roman"/>
          <w:sz w:val="24"/>
          <w:szCs w:val="24"/>
        </w:rPr>
        <w:t xml:space="preserve"> (FF-104-FY-21-146)</w:t>
      </w:r>
      <w:r>
        <w:rPr>
          <w:rFonts w:ascii="Times New Roman" w:hAnsi="Times New Roman" w:cs="Times New Roman"/>
          <w:sz w:val="24"/>
          <w:szCs w:val="24"/>
        </w:rPr>
        <w:t>, it is estimated that half of them will come back for follow-up services to address their ongoing unmet needs. These do not require an additional Consent Form</w:t>
      </w:r>
      <w:r w:rsidR="00FB600C">
        <w:rPr>
          <w:rFonts w:ascii="Times New Roman" w:hAnsi="Times New Roman" w:cs="Times New Roman"/>
          <w:sz w:val="24"/>
          <w:szCs w:val="24"/>
        </w:rPr>
        <w:t xml:space="preserve"> (FF-104-FY-21-147)</w:t>
      </w:r>
      <w:r>
        <w:rPr>
          <w:rFonts w:ascii="Times New Roman" w:hAnsi="Times New Roman" w:cs="Times New Roman"/>
          <w:sz w:val="24"/>
          <w:szCs w:val="24"/>
        </w:rPr>
        <w:t>, only time to make any updates to their initial Intake Form status. Calculation:</w:t>
      </w:r>
    </w:p>
    <w:p w:rsidR="00FB600C" w:rsidP="00A11A26" w:rsidRDefault="00FB600C" w14:paraId="683C0B9B" w14:textId="77777777">
      <w:pPr>
        <w:contextualSpacing/>
        <w:rPr>
          <w:rFonts w:ascii="Times New Roman" w:hAnsi="Times New Roman" w:cs="Times New Roman"/>
          <w:sz w:val="24"/>
          <w:szCs w:val="24"/>
        </w:rPr>
      </w:pPr>
    </w:p>
    <w:p w:rsidR="006D5651" w:rsidP="00A11A26" w:rsidRDefault="00876239" w14:paraId="5501E614" w14:textId="0CB82C38">
      <w:pPr>
        <w:contextualSpacing/>
        <w:rPr>
          <w:rFonts w:ascii="Times New Roman" w:hAnsi="Times New Roman" w:cs="Times New Roman"/>
          <w:b/>
          <w:bCs/>
          <w:sz w:val="24"/>
          <w:szCs w:val="24"/>
        </w:rPr>
      </w:pPr>
      <w:r w:rsidRPr="004B3BC4">
        <w:rPr>
          <w:rFonts w:ascii="Times New Roman" w:hAnsi="Times New Roman" w:cs="Times New Roman"/>
          <w:b/>
          <w:bCs/>
          <w:sz w:val="24"/>
          <w:szCs w:val="24"/>
        </w:rPr>
        <w:t xml:space="preserve">30,000 initial respondents </w:t>
      </w:r>
      <w:r w:rsidR="00E62B19">
        <w:rPr>
          <w:rFonts w:ascii="Times New Roman" w:hAnsi="Times New Roman" w:cs="Times New Roman"/>
          <w:b/>
          <w:bCs/>
          <w:sz w:val="24"/>
          <w:szCs w:val="24"/>
        </w:rPr>
        <w:t>÷</w:t>
      </w:r>
      <w:r w:rsidRPr="004B3BC4">
        <w:rPr>
          <w:rFonts w:ascii="Times New Roman" w:hAnsi="Times New Roman" w:cs="Times New Roman"/>
          <w:b/>
          <w:bCs/>
          <w:sz w:val="24"/>
          <w:szCs w:val="24"/>
        </w:rPr>
        <w:t xml:space="preserve"> 2 = 15,000 respondents returning for follow-up services and reviewing </w:t>
      </w:r>
      <w:r w:rsidR="00806324">
        <w:rPr>
          <w:rFonts w:ascii="Times New Roman" w:hAnsi="Times New Roman" w:cs="Times New Roman"/>
          <w:b/>
          <w:bCs/>
          <w:sz w:val="24"/>
          <w:szCs w:val="24"/>
        </w:rPr>
        <w:t xml:space="preserve">an </w:t>
      </w:r>
      <w:r w:rsidRPr="004B3BC4">
        <w:rPr>
          <w:rFonts w:ascii="Times New Roman" w:hAnsi="Times New Roman" w:cs="Times New Roman"/>
          <w:b/>
          <w:bCs/>
          <w:sz w:val="24"/>
          <w:szCs w:val="24"/>
        </w:rPr>
        <w:t>initial Intake Form</w:t>
      </w:r>
      <w:r w:rsidR="00806324">
        <w:rPr>
          <w:rFonts w:ascii="Times New Roman" w:hAnsi="Times New Roman" w:cs="Times New Roman"/>
          <w:b/>
          <w:bCs/>
          <w:sz w:val="24"/>
          <w:szCs w:val="24"/>
        </w:rPr>
        <w:t xml:space="preserve"> (FF-104-FY-21-146).</w:t>
      </w:r>
    </w:p>
    <w:p w:rsidR="00FB600C" w:rsidP="00A11A26" w:rsidRDefault="00FB600C" w14:paraId="3623BF8B" w14:textId="77777777">
      <w:pPr>
        <w:contextualSpacing/>
        <w:rPr>
          <w:rFonts w:ascii="Times New Roman" w:hAnsi="Times New Roman" w:cs="Times New Roman"/>
          <w:sz w:val="24"/>
          <w:szCs w:val="24"/>
        </w:rPr>
      </w:pPr>
    </w:p>
    <w:p w:rsidR="00876239" w:rsidP="00A11A26" w:rsidRDefault="00876239" w14:paraId="2556B5EC" w14:textId="1477F76A">
      <w:pPr>
        <w:contextualSpacing/>
        <w:rPr>
          <w:rFonts w:ascii="Times New Roman" w:hAnsi="Times New Roman" w:cs="Times New Roman"/>
          <w:sz w:val="24"/>
          <w:szCs w:val="24"/>
        </w:rPr>
      </w:pPr>
      <w:r>
        <w:rPr>
          <w:rFonts w:ascii="Times New Roman" w:hAnsi="Times New Roman" w:cs="Times New Roman"/>
          <w:sz w:val="24"/>
          <w:szCs w:val="24"/>
        </w:rPr>
        <w:t xml:space="preserve">Therefore, the total number of respondents completing an intake form is based on the number of initial respondents plus the number of respondents returning for follow-up services. Calculation: </w:t>
      </w:r>
    </w:p>
    <w:p w:rsidRPr="00876239" w:rsidR="00FB600C" w:rsidP="00A11A26" w:rsidRDefault="00FB600C" w14:paraId="595B4EA9" w14:textId="77777777">
      <w:pPr>
        <w:contextualSpacing/>
        <w:rPr>
          <w:rFonts w:ascii="Times New Roman" w:hAnsi="Times New Roman" w:cs="Times New Roman"/>
          <w:sz w:val="24"/>
          <w:szCs w:val="24"/>
        </w:rPr>
      </w:pPr>
    </w:p>
    <w:p w:rsidRPr="004B3BC4" w:rsidR="00876239" w:rsidP="00A11A26" w:rsidRDefault="00876239" w14:paraId="420A0253" w14:textId="525C603C">
      <w:pPr>
        <w:contextualSpacing/>
        <w:rPr>
          <w:rFonts w:ascii="Times New Roman" w:hAnsi="Times New Roman" w:cs="Times New Roman"/>
          <w:b/>
          <w:bCs/>
          <w:sz w:val="24"/>
          <w:szCs w:val="24"/>
        </w:rPr>
      </w:pPr>
      <w:r w:rsidRPr="004B3BC4">
        <w:rPr>
          <w:rFonts w:ascii="Times New Roman" w:hAnsi="Times New Roman" w:cs="Times New Roman"/>
          <w:b/>
          <w:bCs/>
          <w:sz w:val="24"/>
          <w:szCs w:val="24"/>
        </w:rPr>
        <w:t xml:space="preserve">30,000 initial respondents + 15,000 respondents returning for follow-up services = 45,000 respondents completing </w:t>
      </w:r>
      <w:r w:rsidR="00806324">
        <w:rPr>
          <w:rFonts w:ascii="Times New Roman" w:hAnsi="Times New Roman" w:cs="Times New Roman"/>
          <w:b/>
          <w:bCs/>
          <w:sz w:val="24"/>
          <w:szCs w:val="24"/>
        </w:rPr>
        <w:t xml:space="preserve">an </w:t>
      </w:r>
      <w:r w:rsidRPr="004B3BC4">
        <w:rPr>
          <w:rFonts w:ascii="Times New Roman" w:hAnsi="Times New Roman" w:cs="Times New Roman"/>
          <w:b/>
          <w:bCs/>
          <w:sz w:val="24"/>
          <w:szCs w:val="24"/>
        </w:rPr>
        <w:t>Intake Form</w:t>
      </w:r>
      <w:r w:rsidR="00806324">
        <w:rPr>
          <w:rFonts w:ascii="Times New Roman" w:hAnsi="Times New Roman" w:cs="Times New Roman"/>
          <w:b/>
          <w:bCs/>
          <w:sz w:val="24"/>
          <w:szCs w:val="24"/>
        </w:rPr>
        <w:t xml:space="preserve"> (FF-104-FY-21-146).</w:t>
      </w:r>
    </w:p>
    <w:p w:rsidRPr="00FB600C" w:rsidR="00FB600C" w:rsidP="00A11A26" w:rsidRDefault="00FB600C" w14:paraId="66CE5C1F" w14:textId="77777777">
      <w:pPr>
        <w:contextualSpacing/>
        <w:rPr>
          <w:rFonts w:ascii="Times New Roman" w:hAnsi="Times New Roman" w:cs="Times New Roman"/>
          <w:sz w:val="24"/>
          <w:szCs w:val="24"/>
        </w:rPr>
      </w:pPr>
    </w:p>
    <w:p w:rsidRPr="00994CBC" w:rsidR="003638FD" w:rsidP="00A11A26" w:rsidRDefault="003638FD" w14:paraId="1B877675" w14:textId="3AA40935">
      <w:pPr>
        <w:contextualSpacing/>
        <w:rPr>
          <w:rFonts w:ascii="Times New Roman" w:hAnsi="Times New Roman" w:cs="Times New Roman"/>
          <w:b/>
          <w:bCs/>
          <w:sz w:val="24"/>
          <w:szCs w:val="24"/>
        </w:rPr>
      </w:pPr>
      <w:r>
        <w:rPr>
          <w:rFonts w:ascii="Times New Roman" w:hAnsi="Times New Roman" w:cs="Times New Roman"/>
          <w:b/>
          <w:bCs/>
          <w:sz w:val="24"/>
          <w:szCs w:val="24"/>
          <w:u w:val="single"/>
        </w:rPr>
        <w:t>CONSENT FORM</w:t>
      </w:r>
      <w:r w:rsidR="00806324">
        <w:rPr>
          <w:rFonts w:ascii="Times New Roman" w:hAnsi="Times New Roman" w:cs="Times New Roman"/>
          <w:b/>
          <w:bCs/>
          <w:sz w:val="24"/>
          <w:szCs w:val="24"/>
          <w:u w:val="single"/>
        </w:rPr>
        <w:t xml:space="preserve"> (FF-104-FY-21-147)</w:t>
      </w:r>
      <w:r>
        <w:rPr>
          <w:rFonts w:ascii="Times New Roman" w:hAnsi="Times New Roman" w:cs="Times New Roman"/>
          <w:b/>
          <w:bCs/>
          <w:sz w:val="24"/>
          <w:szCs w:val="24"/>
          <w:u w:val="single"/>
        </w:rPr>
        <w:t xml:space="preserve"> </w:t>
      </w:r>
      <w:r w:rsidRPr="00994CBC">
        <w:rPr>
          <w:rFonts w:ascii="Times New Roman" w:hAnsi="Times New Roman" w:cs="Times New Roman"/>
          <w:b/>
          <w:bCs/>
          <w:sz w:val="24"/>
          <w:szCs w:val="24"/>
          <w:u w:val="single"/>
        </w:rPr>
        <w:t>CALCULATIONS:</w:t>
      </w:r>
    </w:p>
    <w:p w:rsidR="00806324" w:rsidP="00A11A26" w:rsidRDefault="00806324" w14:paraId="638DD3E3" w14:textId="77777777">
      <w:pPr>
        <w:contextualSpacing/>
        <w:rPr>
          <w:rFonts w:ascii="Times New Roman" w:hAnsi="Times New Roman" w:cs="Times New Roman"/>
          <w:sz w:val="24"/>
          <w:szCs w:val="24"/>
        </w:rPr>
      </w:pPr>
    </w:p>
    <w:p w:rsidR="003638FD" w:rsidP="00A11A26" w:rsidRDefault="003638FD" w14:paraId="36D822D2" w14:textId="3E5E25DD">
      <w:pPr>
        <w:contextualSpacing/>
        <w:rPr>
          <w:rFonts w:ascii="Times New Roman" w:hAnsi="Times New Roman" w:cs="Times New Roman"/>
          <w:sz w:val="24"/>
          <w:szCs w:val="24"/>
        </w:rPr>
      </w:pPr>
      <w:r>
        <w:rPr>
          <w:rFonts w:ascii="Times New Roman" w:hAnsi="Times New Roman" w:cs="Times New Roman"/>
          <w:sz w:val="24"/>
          <w:szCs w:val="24"/>
        </w:rPr>
        <w:t>Of the 30,000 respondents completing initial Intake Form</w:t>
      </w:r>
      <w:r w:rsidR="00806324">
        <w:rPr>
          <w:rFonts w:ascii="Times New Roman" w:hAnsi="Times New Roman" w:cs="Times New Roman"/>
          <w:sz w:val="24"/>
          <w:szCs w:val="24"/>
        </w:rPr>
        <w:t xml:space="preserve"> (FF-104-FY-21-146)</w:t>
      </w:r>
      <w:r>
        <w:rPr>
          <w:rFonts w:ascii="Times New Roman" w:hAnsi="Times New Roman" w:cs="Times New Roman"/>
          <w:sz w:val="24"/>
          <w:szCs w:val="24"/>
        </w:rPr>
        <w:t xml:space="preserve"> as mentioned above, all 30,000 will complete a Consent Form</w:t>
      </w:r>
      <w:r w:rsidR="00806324">
        <w:rPr>
          <w:rFonts w:ascii="Times New Roman" w:hAnsi="Times New Roman" w:cs="Times New Roman"/>
          <w:sz w:val="24"/>
          <w:szCs w:val="24"/>
        </w:rPr>
        <w:t xml:space="preserve"> (FF-104-FY-21-147)</w:t>
      </w:r>
      <w:r>
        <w:rPr>
          <w:rFonts w:ascii="Times New Roman" w:hAnsi="Times New Roman" w:cs="Times New Roman"/>
          <w:sz w:val="24"/>
          <w:szCs w:val="24"/>
        </w:rPr>
        <w:t xml:space="preserve">. The 15,000 who return for follow-up services to address their ongoing unmet needs will not need to complete a second Consent Form, so they are not included in the Consent Form burden. Calculation: </w:t>
      </w:r>
    </w:p>
    <w:p w:rsidRPr="00876239" w:rsidR="00FB600C" w:rsidP="00A11A26" w:rsidRDefault="00FB600C" w14:paraId="417CBBFE" w14:textId="77777777">
      <w:pPr>
        <w:contextualSpacing/>
        <w:rPr>
          <w:rFonts w:ascii="Times New Roman" w:hAnsi="Times New Roman" w:cs="Times New Roman"/>
          <w:sz w:val="24"/>
          <w:szCs w:val="24"/>
        </w:rPr>
      </w:pPr>
    </w:p>
    <w:p w:rsidRPr="00994CBC" w:rsidR="003638FD" w:rsidP="00A11A26" w:rsidRDefault="003638FD" w14:paraId="1CBCB499" w14:textId="3CE4C559">
      <w:pPr>
        <w:contextualSpacing/>
        <w:rPr>
          <w:rFonts w:ascii="Times New Roman" w:hAnsi="Times New Roman" w:cs="Times New Roman"/>
          <w:b/>
          <w:bCs/>
          <w:sz w:val="24"/>
          <w:szCs w:val="24"/>
        </w:rPr>
      </w:pPr>
      <w:r w:rsidRPr="00994CBC">
        <w:rPr>
          <w:rFonts w:ascii="Times New Roman" w:hAnsi="Times New Roman" w:cs="Times New Roman"/>
          <w:b/>
          <w:bCs/>
          <w:sz w:val="24"/>
          <w:szCs w:val="24"/>
        </w:rPr>
        <w:t>600,000 approved registrants x 5% requiring case management services = 30,000 respondents completing initial Intake Forms</w:t>
      </w:r>
      <w:r w:rsidR="00806324">
        <w:rPr>
          <w:rFonts w:ascii="Times New Roman" w:hAnsi="Times New Roman" w:cs="Times New Roman"/>
          <w:b/>
          <w:bCs/>
          <w:sz w:val="24"/>
          <w:szCs w:val="24"/>
        </w:rPr>
        <w:t xml:space="preserve"> (FF-104-FY-21-146)</w:t>
      </w:r>
      <w:r w:rsidRPr="00994CBC">
        <w:rPr>
          <w:rFonts w:ascii="Times New Roman" w:hAnsi="Times New Roman" w:cs="Times New Roman"/>
          <w:b/>
          <w:bCs/>
          <w:sz w:val="24"/>
          <w:szCs w:val="24"/>
        </w:rPr>
        <w:t xml:space="preserve"> and Consent Forms</w:t>
      </w:r>
      <w:r w:rsidR="00806324">
        <w:rPr>
          <w:rFonts w:ascii="Times New Roman" w:hAnsi="Times New Roman" w:cs="Times New Roman"/>
          <w:b/>
          <w:bCs/>
          <w:sz w:val="24"/>
          <w:szCs w:val="24"/>
        </w:rPr>
        <w:t xml:space="preserve"> (FF-104-FY-21-147).</w:t>
      </w:r>
    </w:p>
    <w:p w:rsidRPr="00FB600C" w:rsidR="00FB600C" w:rsidP="00A11A26" w:rsidRDefault="00FB600C" w14:paraId="12F36C12" w14:textId="77777777">
      <w:pPr>
        <w:contextualSpacing/>
        <w:rPr>
          <w:rFonts w:ascii="Times New Roman" w:hAnsi="Times New Roman" w:cs="Times New Roman"/>
          <w:sz w:val="24"/>
          <w:szCs w:val="24"/>
        </w:rPr>
      </w:pPr>
    </w:p>
    <w:p w:rsidR="00847E5D" w:rsidP="00A11A26" w:rsidRDefault="003638FD" w14:paraId="1BD51F38" w14:textId="6944E433">
      <w:pPr>
        <w:contextualSpacing/>
        <w:rPr>
          <w:rFonts w:ascii="Times New Roman" w:hAnsi="Times New Roman" w:cs="Times New Roman"/>
          <w:sz w:val="24"/>
          <w:szCs w:val="24"/>
        </w:rPr>
      </w:pPr>
      <w:r>
        <w:rPr>
          <w:rFonts w:ascii="Times New Roman" w:hAnsi="Times New Roman" w:cs="Times New Roman"/>
          <w:b/>
          <w:bCs/>
          <w:sz w:val="24"/>
          <w:szCs w:val="24"/>
          <w:u w:val="single"/>
        </w:rPr>
        <w:t>TOTAL ANNUAL BURDEN CALCULATIONS:</w:t>
      </w:r>
    </w:p>
    <w:p w:rsidR="00FB600C" w:rsidP="00A11A26" w:rsidRDefault="00FB600C" w14:paraId="65297F2D" w14:textId="77777777">
      <w:pPr>
        <w:contextualSpacing/>
        <w:rPr>
          <w:rFonts w:ascii="Times New Roman" w:hAnsi="Times New Roman" w:cs="Times New Roman"/>
          <w:sz w:val="24"/>
          <w:szCs w:val="24"/>
        </w:rPr>
      </w:pPr>
    </w:p>
    <w:p w:rsidR="003638FD" w:rsidP="00A11A26" w:rsidRDefault="004571B6" w14:paraId="655EA0B9" w14:textId="0400BCFD">
      <w:pPr>
        <w:contextualSpacing/>
        <w:rPr>
          <w:rFonts w:ascii="Times New Roman" w:hAnsi="Times New Roman" w:cs="Times New Roman"/>
          <w:sz w:val="24"/>
          <w:szCs w:val="24"/>
        </w:rPr>
      </w:pPr>
      <w:r>
        <w:rPr>
          <w:rFonts w:ascii="Times New Roman" w:hAnsi="Times New Roman" w:cs="Times New Roman"/>
          <w:sz w:val="24"/>
          <w:szCs w:val="24"/>
        </w:rPr>
        <w:lastRenderedPageBreak/>
        <w:t>The total annual burden hours for all required forms is: 45,000 + 3,000 = 48,000 burden hours</w:t>
      </w:r>
      <w:r w:rsidR="00F72D2E">
        <w:rPr>
          <w:rFonts w:ascii="Times New Roman" w:hAnsi="Times New Roman" w:cs="Times New Roman"/>
          <w:sz w:val="24"/>
          <w:szCs w:val="24"/>
        </w:rPr>
        <w:t>.</w:t>
      </w:r>
    </w:p>
    <w:p w:rsidRPr="003638FD" w:rsidR="00FB600C" w:rsidP="00A11A26" w:rsidRDefault="00FB600C" w14:paraId="2B5EEF02" w14:textId="77777777">
      <w:pPr>
        <w:contextualSpacing/>
        <w:rPr>
          <w:rFonts w:ascii="Times New Roman" w:hAnsi="Times New Roman" w:cs="Times New Roman"/>
          <w:sz w:val="24"/>
          <w:szCs w:val="24"/>
        </w:rPr>
      </w:pPr>
    </w:p>
    <w:p w:rsidR="0030437C" w:rsidP="00A11A26" w:rsidRDefault="00562915" w14:paraId="55FD0383" w14:textId="7403E2EF">
      <w:pPr>
        <w:ind w:firstLine="720"/>
        <w:contextualSpacing/>
        <w:rPr>
          <w:rFonts w:ascii="Times New Roman" w:hAnsi="Times New Roman" w:cs="Times New Roman"/>
          <w:b/>
          <w:bCs/>
          <w:sz w:val="24"/>
          <w:szCs w:val="24"/>
        </w:rPr>
      </w:pP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r w:rsidRPr="006625E7">
        <w:rPr>
          <w:rFonts w:ascii="Times New Roman" w:hAnsi="Times New Roman" w:cs="Times New Roman"/>
          <w:b/>
          <w:bCs/>
          <w:sz w:val="24"/>
          <w:szCs w:val="24"/>
        </w:rPr>
        <w:tab/>
      </w:r>
    </w:p>
    <w:p w:rsidR="00FB600C" w:rsidP="00A11A26" w:rsidRDefault="00FB600C" w14:paraId="5425E867" w14:textId="77777777">
      <w:pPr>
        <w:ind w:firstLine="720"/>
        <w:contextualSpacing/>
        <w:rPr>
          <w:rFonts w:ascii="Times New Roman" w:hAnsi="Times New Roman" w:cs="Times New Roman"/>
          <w:b/>
          <w:bCs/>
          <w:sz w:val="24"/>
          <w:szCs w:val="24"/>
        </w:rPr>
      </w:pPr>
    </w:p>
    <w:p w:rsidR="005D1DD4" w:rsidP="00A11A26" w:rsidRDefault="00562915" w14:paraId="5B20DE2F" w14:textId="5C187331">
      <w:pPr>
        <w:ind w:firstLine="720"/>
        <w:contextualSpacing/>
        <w:rPr>
          <w:rFonts w:ascii="Times New Roman" w:hAnsi="Times New Roman" w:cs="Times New Roman"/>
          <w:b/>
          <w:bCs/>
          <w:sz w:val="24"/>
          <w:szCs w:val="24"/>
        </w:rPr>
      </w:pPr>
      <w:r w:rsidRPr="006625E7">
        <w:rPr>
          <w:rFonts w:ascii="Times New Roman" w:hAnsi="Times New Roman" w:cs="Times New Roman"/>
          <w:b/>
          <w:bCs/>
          <w:sz w:val="24"/>
          <w:szCs w:val="24"/>
        </w:rPr>
        <w:t>c.  Provide an estimate of annualized cost to respondents for the hour burdens for collections of information, identifying and using appropriate wage rate categories.  NOTE: The wage-rate category for each respondent must be multiplied by 1.4</w:t>
      </w:r>
      <w:r w:rsidR="00C2735F">
        <w:rPr>
          <w:rFonts w:ascii="Times New Roman" w:hAnsi="Times New Roman" w:cs="Times New Roman"/>
          <w:b/>
          <w:bCs/>
          <w:sz w:val="24"/>
          <w:szCs w:val="24"/>
        </w:rPr>
        <w:t>6</w:t>
      </w:r>
      <w:r w:rsidRPr="006625E7">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p>
    <w:p w:rsidR="00A11A26" w:rsidP="00A11A26" w:rsidRDefault="00A11A26" w14:paraId="24D945D2" w14:textId="4D51A1BE">
      <w:pPr>
        <w:contextualSpacing/>
        <w:rPr>
          <w:rFonts w:ascii="Times New Roman" w:hAnsi="Times New Roman" w:cs="Times New Roman"/>
          <w:b/>
          <w:bCs/>
          <w:sz w:val="24"/>
          <w:szCs w:val="24"/>
        </w:rPr>
      </w:pPr>
    </w:p>
    <w:tbl>
      <w:tblPr>
        <w:tblStyle w:val="TableGrid"/>
        <w:tblW w:w="10602" w:type="dxa"/>
        <w:tblInd w:w="-455" w:type="dxa"/>
        <w:tblLook w:val="04A0" w:firstRow="1" w:lastRow="0" w:firstColumn="1" w:lastColumn="0" w:noHBand="0" w:noVBand="1"/>
      </w:tblPr>
      <w:tblGrid>
        <w:gridCol w:w="1255"/>
        <w:gridCol w:w="1400"/>
        <w:gridCol w:w="1239"/>
        <w:gridCol w:w="1161"/>
        <w:gridCol w:w="1061"/>
        <w:gridCol w:w="983"/>
        <w:gridCol w:w="876"/>
        <w:gridCol w:w="1261"/>
        <w:gridCol w:w="1366"/>
      </w:tblGrid>
      <w:tr w:rsidRPr="00C54100" w:rsidR="00ED7A89" w:rsidTr="00A12521" w14:paraId="22A6BF5D" w14:textId="77777777">
        <w:tc>
          <w:tcPr>
            <w:tcW w:w="1255" w:type="dxa"/>
          </w:tcPr>
          <w:p w:rsidRPr="00C54100" w:rsidR="00ED7A89" w:rsidP="00A11A26" w:rsidRDefault="00ED7A89" w14:paraId="22DEDF17" w14:textId="77777777">
            <w:pPr>
              <w:contextualSpacing/>
              <w:jc w:val="center"/>
              <w:rPr>
                <w:rFonts w:ascii="Times New Roman" w:hAnsi="Times New Roman" w:eastAsia="Calibri" w:cs="Times New Roman"/>
                <w:b/>
                <w:sz w:val="20"/>
                <w:szCs w:val="20"/>
              </w:rPr>
            </w:pPr>
          </w:p>
        </w:tc>
        <w:tc>
          <w:tcPr>
            <w:tcW w:w="9347" w:type="dxa"/>
            <w:gridSpan w:val="8"/>
          </w:tcPr>
          <w:p w:rsidRPr="00C54100" w:rsidR="00ED7A89" w:rsidP="00A11A26" w:rsidRDefault="00ED7A89" w14:paraId="5B212C20" w14:textId="77777777">
            <w:pPr>
              <w:contextualSpacing/>
              <w:jc w:val="center"/>
              <w:rPr>
                <w:rFonts w:ascii="Times New Roman" w:hAnsi="Times New Roman" w:eastAsia="Calibri" w:cs="Times New Roman"/>
                <w:b/>
                <w:sz w:val="20"/>
                <w:szCs w:val="20"/>
              </w:rPr>
            </w:pPr>
            <w:r w:rsidRPr="00C54100">
              <w:rPr>
                <w:rFonts w:ascii="Times New Roman" w:hAnsi="Times New Roman" w:eastAsia="Calibri" w:cs="Times New Roman"/>
                <w:b/>
                <w:sz w:val="20"/>
                <w:szCs w:val="20"/>
              </w:rPr>
              <w:t>Estimated Annualized Burden Hours and Costs</w:t>
            </w:r>
          </w:p>
        </w:tc>
      </w:tr>
      <w:tr w:rsidRPr="00C54100" w:rsidR="00ED7A89" w:rsidTr="00A12521" w14:paraId="460222CD" w14:textId="77777777">
        <w:tc>
          <w:tcPr>
            <w:tcW w:w="1255" w:type="dxa"/>
            <w:shd w:val="clear" w:color="auto" w:fill="8EAADB"/>
            <w:vAlign w:val="center"/>
          </w:tcPr>
          <w:p w:rsidRPr="00283C13" w:rsidR="00ED7A89" w:rsidP="00FB600C" w:rsidRDefault="00ED7A89" w14:paraId="7208104C" w14:textId="77777777">
            <w:pPr>
              <w:contextualSpacing/>
              <w:rPr>
                <w:rFonts w:ascii="Times New Roman" w:hAnsi="Times New Roman" w:eastAsia="Calibri" w:cs="Times New Roman"/>
                <w:sz w:val="20"/>
                <w:szCs w:val="20"/>
              </w:rPr>
            </w:pPr>
            <w:r w:rsidRPr="00283C13">
              <w:rPr>
                <w:rFonts w:ascii="Times New Roman" w:hAnsi="Times New Roman" w:cs="Times New Roman"/>
              </w:rPr>
              <w:t>Type of Respondent</w:t>
            </w:r>
          </w:p>
        </w:tc>
        <w:tc>
          <w:tcPr>
            <w:tcW w:w="1400" w:type="dxa"/>
            <w:shd w:val="clear" w:color="auto" w:fill="8EAADB"/>
            <w:vAlign w:val="center"/>
          </w:tcPr>
          <w:p w:rsidRPr="00283C13" w:rsidR="00ED7A89" w:rsidP="00FB600C" w:rsidRDefault="00ED7A89" w14:paraId="3A6638AF" w14:textId="77777777">
            <w:pPr>
              <w:contextualSpacing/>
              <w:rPr>
                <w:rFonts w:ascii="Times New Roman" w:hAnsi="Times New Roman" w:eastAsia="Calibri" w:cs="Times New Roman"/>
                <w:sz w:val="20"/>
                <w:szCs w:val="20"/>
              </w:rPr>
            </w:pPr>
            <w:r w:rsidRPr="00283C13">
              <w:rPr>
                <w:rFonts w:ascii="Times New Roman" w:hAnsi="Times New Roman" w:eastAsia="Calibri" w:cs="Times New Roman"/>
                <w:sz w:val="20"/>
                <w:szCs w:val="20"/>
              </w:rPr>
              <w:t>Form Name / Form No.</w:t>
            </w:r>
          </w:p>
        </w:tc>
        <w:tc>
          <w:tcPr>
            <w:tcW w:w="1239" w:type="dxa"/>
            <w:shd w:val="clear" w:color="auto" w:fill="8EAADB"/>
            <w:vAlign w:val="center"/>
          </w:tcPr>
          <w:p w:rsidRPr="00283C13" w:rsidR="00ED7A89" w:rsidP="00FB600C" w:rsidRDefault="00ED7A89" w14:paraId="7E995BD3" w14:textId="77777777">
            <w:pPr>
              <w:contextualSpacing/>
              <w:rPr>
                <w:rFonts w:ascii="Times New Roman" w:hAnsi="Times New Roman" w:eastAsia="Calibri" w:cs="Times New Roman"/>
                <w:sz w:val="20"/>
                <w:szCs w:val="20"/>
              </w:rPr>
            </w:pPr>
            <w:r w:rsidRPr="00283C13">
              <w:rPr>
                <w:rFonts w:ascii="Times New Roman" w:hAnsi="Times New Roman" w:eastAsia="Calibri" w:cs="Times New Roman"/>
                <w:sz w:val="20"/>
                <w:szCs w:val="20"/>
              </w:rPr>
              <w:t>No. of Respondents</w:t>
            </w:r>
          </w:p>
        </w:tc>
        <w:tc>
          <w:tcPr>
            <w:tcW w:w="1161" w:type="dxa"/>
            <w:shd w:val="clear" w:color="auto" w:fill="8EAADB"/>
            <w:vAlign w:val="center"/>
          </w:tcPr>
          <w:p w:rsidRPr="00C54100" w:rsidR="00ED7A89" w:rsidP="00FB600C" w:rsidRDefault="00ED7A89" w14:paraId="5C64AE14" w14:textId="77777777">
            <w:pPr>
              <w:contextualSpacing/>
              <w:rPr>
                <w:rFonts w:ascii="Times New Roman" w:hAnsi="Times New Roman" w:eastAsia="Calibri" w:cs="Times New Roman"/>
                <w:sz w:val="20"/>
                <w:szCs w:val="20"/>
              </w:rPr>
            </w:pPr>
            <w:r w:rsidRPr="00C54100">
              <w:rPr>
                <w:rFonts w:ascii="Times New Roman" w:hAnsi="Times New Roman" w:eastAsia="Calibri" w:cs="Times New Roman"/>
                <w:sz w:val="20"/>
                <w:szCs w:val="20"/>
              </w:rPr>
              <w:t>No. of Responses per Respondent</w:t>
            </w:r>
          </w:p>
        </w:tc>
        <w:tc>
          <w:tcPr>
            <w:tcW w:w="1061" w:type="dxa"/>
            <w:shd w:val="clear" w:color="auto" w:fill="8EAADB"/>
            <w:vAlign w:val="center"/>
          </w:tcPr>
          <w:p w:rsidRPr="00C54100" w:rsidR="00ED7A89" w:rsidP="00FB600C" w:rsidRDefault="00ED7A89" w14:paraId="1D771BFF" w14:textId="77777777">
            <w:pPr>
              <w:contextualSpacing/>
              <w:rPr>
                <w:rFonts w:ascii="Times New Roman" w:hAnsi="Times New Roman" w:eastAsia="Calibri" w:cs="Times New Roman"/>
                <w:sz w:val="20"/>
                <w:szCs w:val="20"/>
              </w:rPr>
            </w:pPr>
            <w:r w:rsidRPr="00C54100">
              <w:rPr>
                <w:rFonts w:ascii="Times New Roman" w:hAnsi="Times New Roman" w:eastAsia="Calibri" w:cs="Times New Roman"/>
                <w:sz w:val="20"/>
                <w:szCs w:val="20"/>
              </w:rPr>
              <w:t>Total No. of Responses</w:t>
            </w:r>
          </w:p>
        </w:tc>
        <w:tc>
          <w:tcPr>
            <w:tcW w:w="983" w:type="dxa"/>
            <w:shd w:val="clear" w:color="auto" w:fill="8EAADB"/>
            <w:vAlign w:val="center"/>
          </w:tcPr>
          <w:p w:rsidRPr="00C54100" w:rsidR="00ED7A89" w:rsidP="00FB600C" w:rsidRDefault="00ED7A89" w14:paraId="7D79BA3C" w14:textId="77777777">
            <w:pPr>
              <w:contextualSpacing/>
              <w:rPr>
                <w:rFonts w:ascii="Times New Roman" w:hAnsi="Times New Roman" w:eastAsia="Calibri" w:cs="Times New Roman"/>
                <w:sz w:val="20"/>
                <w:szCs w:val="20"/>
              </w:rPr>
            </w:pPr>
            <w:r w:rsidRPr="00C54100">
              <w:rPr>
                <w:rFonts w:ascii="Times New Roman" w:hAnsi="Times New Roman" w:eastAsia="Calibri" w:cs="Times New Roman"/>
                <w:sz w:val="20"/>
                <w:szCs w:val="20"/>
              </w:rPr>
              <w:t>Avg. Burden per Response (in hours)</w:t>
            </w:r>
          </w:p>
        </w:tc>
        <w:tc>
          <w:tcPr>
            <w:tcW w:w="876" w:type="dxa"/>
            <w:shd w:val="clear" w:color="auto" w:fill="8EAADB"/>
            <w:vAlign w:val="center"/>
          </w:tcPr>
          <w:p w:rsidRPr="00C54100" w:rsidR="00ED7A89" w:rsidP="00FB600C" w:rsidRDefault="00ED7A89" w14:paraId="41EA7D44" w14:textId="77777777">
            <w:pPr>
              <w:contextualSpacing/>
              <w:rPr>
                <w:rFonts w:ascii="Times New Roman" w:hAnsi="Times New Roman" w:eastAsia="Calibri" w:cs="Times New Roman"/>
                <w:sz w:val="20"/>
                <w:szCs w:val="20"/>
              </w:rPr>
            </w:pPr>
            <w:r w:rsidRPr="00C54100">
              <w:rPr>
                <w:rFonts w:ascii="Times New Roman" w:hAnsi="Times New Roman" w:eastAsia="Calibri" w:cs="Times New Roman"/>
                <w:sz w:val="20"/>
                <w:szCs w:val="20"/>
              </w:rPr>
              <w:t>Total Annual Burden (in Hours)</w:t>
            </w:r>
          </w:p>
        </w:tc>
        <w:tc>
          <w:tcPr>
            <w:tcW w:w="1261" w:type="dxa"/>
            <w:shd w:val="clear" w:color="auto" w:fill="8EAADB"/>
            <w:vAlign w:val="center"/>
          </w:tcPr>
          <w:p w:rsidRPr="00C54100" w:rsidR="00ED7A89" w:rsidP="00FB600C" w:rsidRDefault="00ED7A89" w14:paraId="5BD48214" w14:textId="77777777">
            <w:pPr>
              <w:contextualSpacing/>
              <w:rPr>
                <w:rFonts w:ascii="Times New Roman" w:hAnsi="Times New Roman" w:eastAsia="Calibri" w:cs="Times New Roman"/>
                <w:sz w:val="20"/>
                <w:szCs w:val="20"/>
              </w:rPr>
            </w:pPr>
            <w:r w:rsidRPr="00C54100">
              <w:rPr>
                <w:rFonts w:ascii="Times New Roman" w:hAnsi="Times New Roman" w:eastAsia="Calibri" w:cs="Times New Roman"/>
                <w:sz w:val="20"/>
                <w:szCs w:val="20"/>
              </w:rPr>
              <w:t>Avg. Hourly Wage Rate</w:t>
            </w:r>
          </w:p>
        </w:tc>
        <w:tc>
          <w:tcPr>
            <w:tcW w:w="1366" w:type="dxa"/>
            <w:shd w:val="clear" w:color="auto" w:fill="8EAADB"/>
            <w:vAlign w:val="center"/>
          </w:tcPr>
          <w:p w:rsidRPr="00C54100" w:rsidR="00ED7A89" w:rsidP="00FB600C" w:rsidRDefault="00ED7A89" w14:paraId="028F1415" w14:textId="77777777">
            <w:pPr>
              <w:contextualSpacing/>
              <w:rPr>
                <w:rFonts w:ascii="Times New Roman" w:hAnsi="Times New Roman" w:eastAsia="Calibri" w:cs="Times New Roman"/>
                <w:sz w:val="20"/>
                <w:szCs w:val="20"/>
              </w:rPr>
            </w:pPr>
            <w:r w:rsidRPr="00C54100">
              <w:rPr>
                <w:rFonts w:ascii="Times New Roman" w:hAnsi="Times New Roman" w:eastAsia="Calibri" w:cs="Times New Roman"/>
                <w:sz w:val="20"/>
                <w:szCs w:val="20"/>
              </w:rPr>
              <w:t>Total Annual Respondent Cost</w:t>
            </w:r>
          </w:p>
        </w:tc>
      </w:tr>
      <w:tr w:rsidRPr="00283C13" w:rsidR="00ED7A89" w:rsidTr="00A12521" w14:paraId="04CFDC64" w14:textId="77777777">
        <w:tc>
          <w:tcPr>
            <w:tcW w:w="1255" w:type="dxa"/>
            <w:vAlign w:val="center"/>
          </w:tcPr>
          <w:p w:rsidRPr="00283C13" w:rsidR="00ED7A89" w:rsidP="00FB600C" w:rsidRDefault="00ED7A89" w14:paraId="5AFDDCA7" w14:textId="77777777">
            <w:pPr>
              <w:contextualSpacing/>
              <w:rPr>
                <w:rFonts w:ascii="Times New Roman" w:hAnsi="Times New Roman" w:cs="Times New Roman"/>
              </w:rPr>
            </w:pPr>
            <w:r w:rsidRPr="00065681">
              <w:rPr>
                <w:rFonts w:ascii="Times New Roman" w:hAnsi="Times New Roman" w:eastAsia="Times New Roman" w:cs="Times New Roman"/>
                <w:color w:val="000000"/>
                <w:sz w:val="20"/>
                <w:szCs w:val="20"/>
              </w:rPr>
              <w:t>Individuals and Households</w:t>
            </w:r>
          </w:p>
        </w:tc>
        <w:tc>
          <w:tcPr>
            <w:tcW w:w="1400" w:type="dxa"/>
            <w:vAlign w:val="center"/>
          </w:tcPr>
          <w:p w:rsidRPr="00283C13" w:rsidR="00ED7A89" w:rsidP="00FB600C" w:rsidRDefault="00ED7A89" w14:paraId="5806DCC4" w14:textId="2D1706AC">
            <w:pPr>
              <w:contextualSpacing/>
              <w:rPr>
                <w:rFonts w:ascii="Times New Roman" w:hAnsi="Times New Roman" w:eastAsia="Calibri" w:cs="Times New Roman"/>
              </w:rPr>
            </w:pPr>
            <w:r>
              <w:rPr>
                <w:rFonts w:ascii="Times New Roman" w:hAnsi="Times New Roman" w:eastAsia="Times New Roman" w:cs="Times New Roman"/>
                <w:color w:val="000000"/>
                <w:sz w:val="20"/>
                <w:szCs w:val="20"/>
              </w:rPr>
              <w:t>FEMA-</w:t>
            </w:r>
            <w:r w:rsidRPr="00065681">
              <w:rPr>
                <w:rFonts w:ascii="Times New Roman" w:hAnsi="Times New Roman" w:eastAsia="Times New Roman" w:cs="Times New Roman"/>
                <w:color w:val="000000"/>
                <w:sz w:val="20"/>
                <w:szCs w:val="20"/>
              </w:rPr>
              <w:t xml:space="preserve">Administered DCM Intake Form / </w:t>
            </w:r>
            <w:r w:rsidR="00806324">
              <w:rPr>
                <w:rFonts w:ascii="Times New Roman" w:hAnsi="Times New Roman" w:eastAsia="Times New Roman" w:cs="Times New Roman"/>
                <w:color w:val="000000"/>
                <w:sz w:val="20"/>
                <w:szCs w:val="20"/>
              </w:rPr>
              <w:t>FEMA Form FF-104-FY-21-146</w:t>
            </w:r>
          </w:p>
        </w:tc>
        <w:tc>
          <w:tcPr>
            <w:tcW w:w="1239" w:type="dxa"/>
            <w:vAlign w:val="center"/>
          </w:tcPr>
          <w:p w:rsidRPr="008D241C" w:rsidR="00ED7A89" w:rsidP="00FB600C" w:rsidRDefault="00ED7A89" w14:paraId="1A502CD6" w14:textId="77777777">
            <w:pPr>
              <w:contextualSpacing/>
              <w:jc w:val="center"/>
              <w:rPr>
                <w:rFonts w:ascii="Times New Roman" w:hAnsi="Times New Roman" w:eastAsia="Calibri" w:cs="Times New Roman"/>
              </w:rPr>
            </w:pPr>
            <w:r w:rsidRPr="008D241C">
              <w:rPr>
                <w:rFonts w:ascii="Times New Roman" w:hAnsi="Times New Roman" w:eastAsia="Times New Roman" w:cs="Times New Roman"/>
                <w:color w:val="000000"/>
              </w:rPr>
              <w:t>45,000</w:t>
            </w:r>
          </w:p>
        </w:tc>
        <w:tc>
          <w:tcPr>
            <w:tcW w:w="1161" w:type="dxa"/>
            <w:vAlign w:val="center"/>
          </w:tcPr>
          <w:p w:rsidRPr="008D241C" w:rsidR="00ED7A89" w:rsidP="00FB600C" w:rsidRDefault="00ED7A89" w14:paraId="10D4DB39" w14:textId="77777777">
            <w:pPr>
              <w:contextualSpacing/>
              <w:jc w:val="center"/>
              <w:rPr>
                <w:rFonts w:ascii="Times New Roman" w:hAnsi="Times New Roman" w:eastAsia="Calibri" w:cs="Times New Roman"/>
              </w:rPr>
            </w:pPr>
            <w:r w:rsidRPr="008D241C">
              <w:rPr>
                <w:rFonts w:ascii="Times New Roman" w:hAnsi="Times New Roman" w:eastAsia="Times New Roman" w:cs="Times New Roman"/>
                <w:color w:val="000000"/>
              </w:rPr>
              <w:t>1</w:t>
            </w:r>
          </w:p>
        </w:tc>
        <w:tc>
          <w:tcPr>
            <w:tcW w:w="1061" w:type="dxa"/>
            <w:vAlign w:val="center"/>
          </w:tcPr>
          <w:p w:rsidRPr="008D241C" w:rsidR="00ED7A89" w:rsidP="00FB600C" w:rsidRDefault="00ED7A89" w14:paraId="50EAC624" w14:textId="77777777">
            <w:pPr>
              <w:contextualSpacing/>
              <w:jc w:val="center"/>
              <w:rPr>
                <w:rFonts w:ascii="Times New Roman" w:hAnsi="Times New Roman" w:eastAsia="Calibri" w:cs="Times New Roman"/>
              </w:rPr>
            </w:pPr>
            <w:r w:rsidRPr="008D241C">
              <w:rPr>
                <w:rFonts w:ascii="Times New Roman" w:hAnsi="Times New Roman" w:eastAsia="Times New Roman" w:cs="Times New Roman"/>
                <w:color w:val="000000"/>
              </w:rPr>
              <w:t>45,000</w:t>
            </w:r>
          </w:p>
        </w:tc>
        <w:tc>
          <w:tcPr>
            <w:tcW w:w="983" w:type="dxa"/>
            <w:vAlign w:val="center"/>
          </w:tcPr>
          <w:p w:rsidRPr="008D241C" w:rsidR="00ED7A89" w:rsidP="00FB600C" w:rsidRDefault="00ED7A89" w14:paraId="59C021E7" w14:textId="77777777">
            <w:pPr>
              <w:contextualSpacing/>
              <w:jc w:val="center"/>
              <w:rPr>
                <w:rFonts w:ascii="Times New Roman" w:hAnsi="Times New Roman" w:eastAsia="Calibri" w:cs="Times New Roman"/>
              </w:rPr>
            </w:pPr>
            <w:r w:rsidRPr="008D241C">
              <w:rPr>
                <w:rFonts w:ascii="Times New Roman" w:hAnsi="Times New Roman" w:eastAsia="Times New Roman" w:cs="Times New Roman"/>
                <w:color w:val="000000"/>
              </w:rPr>
              <w:t>1</w:t>
            </w:r>
          </w:p>
        </w:tc>
        <w:tc>
          <w:tcPr>
            <w:tcW w:w="876" w:type="dxa"/>
            <w:vAlign w:val="center"/>
          </w:tcPr>
          <w:p w:rsidRPr="008D241C" w:rsidR="00ED7A89" w:rsidP="00FB600C" w:rsidRDefault="00ED7A89" w14:paraId="3AE1780E" w14:textId="77777777">
            <w:pPr>
              <w:contextualSpacing/>
              <w:jc w:val="center"/>
              <w:rPr>
                <w:rFonts w:ascii="Times New Roman" w:hAnsi="Times New Roman" w:eastAsia="Calibri" w:cs="Times New Roman"/>
              </w:rPr>
            </w:pPr>
            <w:r w:rsidRPr="008D241C">
              <w:rPr>
                <w:rFonts w:ascii="Times New Roman" w:hAnsi="Times New Roman" w:eastAsia="Times New Roman" w:cs="Times New Roman"/>
                <w:color w:val="000000"/>
              </w:rPr>
              <w:t>45,000</w:t>
            </w:r>
          </w:p>
        </w:tc>
        <w:tc>
          <w:tcPr>
            <w:tcW w:w="1261" w:type="dxa"/>
            <w:vAlign w:val="center"/>
          </w:tcPr>
          <w:p w:rsidRPr="008D241C" w:rsidR="00ED7A89" w:rsidP="00FB600C" w:rsidRDefault="00ED7A89" w14:paraId="76C78274" w14:textId="77777777">
            <w:pPr>
              <w:contextualSpacing/>
              <w:jc w:val="center"/>
              <w:rPr>
                <w:rFonts w:ascii="Times New Roman" w:hAnsi="Times New Roman" w:eastAsia="Calibri" w:cs="Times New Roman"/>
              </w:rPr>
            </w:pPr>
            <w:r w:rsidRPr="008D241C">
              <w:rPr>
                <w:rFonts w:ascii="Times New Roman" w:hAnsi="Times New Roman" w:eastAsia="Times New Roman" w:cs="Times New Roman"/>
                <w:color w:val="000000"/>
              </w:rPr>
              <w:t>$</w:t>
            </w:r>
            <w:r>
              <w:rPr>
                <w:rFonts w:ascii="Times New Roman" w:hAnsi="Times New Roman" w:eastAsia="Times New Roman" w:cs="Times New Roman"/>
                <w:color w:val="000000"/>
              </w:rPr>
              <w:t>36.38</w:t>
            </w:r>
          </w:p>
        </w:tc>
        <w:tc>
          <w:tcPr>
            <w:tcW w:w="1366" w:type="dxa"/>
            <w:vAlign w:val="center"/>
          </w:tcPr>
          <w:p w:rsidRPr="00283C13" w:rsidR="00ED7A89" w:rsidP="00FB600C" w:rsidRDefault="00ED7A89" w14:paraId="5EE4A662" w14:textId="77777777">
            <w:pPr>
              <w:contextualSpacing/>
              <w:jc w:val="right"/>
              <w:rPr>
                <w:rFonts w:ascii="Times New Roman" w:hAnsi="Times New Roman" w:eastAsia="Calibri" w:cs="Times New Roman"/>
              </w:rPr>
            </w:pPr>
            <w:r w:rsidRPr="00065681">
              <w:rPr>
                <w:rFonts w:ascii="Times New Roman" w:hAnsi="Times New Roman" w:eastAsia="Times New Roman" w:cs="Times New Roman"/>
                <w:color w:val="000000"/>
                <w:sz w:val="20"/>
                <w:szCs w:val="20"/>
              </w:rPr>
              <w:t>$</w:t>
            </w:r>
            <w:r>
              <w:rPr>
                <w:rFonts w:ascii="Times New Roman" w:hAnsi="Times New Roman" w:eastAsia="Times New Roman" w:cs="Times New Roman"/>
                <w:color w:val="000000"/>
                <w:sz w:val="20"/>
                <w:szCs w:val="20"/>
              </w:rPr>
              <w:t>1,637,100</w:t>
            </w:r>
            <w:r w:rsidRPr="00065681">
              <w:rPr>
                <w:rFonts w:ascii="Times New Roman" w:hAnsi="Times New Roman" w:eastAsia="Times New Roman" w:cs="Times New Roman"/>
                <w:color w:val="000000"/>
                <w:sz w:val="20"/>
                <w:szCs w:val="20"/>
              </w:rPr>
              <w:t xml:space="preserve"> </w:t>
            </w:r>
          </w:p>
        </w:tc>
      </w:tr>
      <w:tr w:rsidRPr="00283C13" w:rsidR="00ED7A89" w:rsidTr="00A12521" w14:paraId="62E15DE6" w14:textId="77777777">
        <w:tc>
          <w:tcPr>
            <w:tcW w:w="1255" w:type="dxa"/>
            <w:tcBorders>
              <w:top w:val="nil"/>
              <w:left w:val="single" w:color="auto" w:sz="12" w:space="0"/>
              <w:bottom w:val="single" w:color="auto" w:sz="4" w:space="0"/>
              <w:right w:val="single" w:color="auto" w:sz="4" w:space="0"/>
            </w:tcBorders>
            <w:shd w:val="clear" w:color="auto" w:fill="auto"/>
            <w:vAlign w:val="center"/>
          </w:tcPr>
          <w:p w:rsidRPr="00283C13" w:rsidR="00ED7A89" w:rsidP="00FB600C" w:rsidRDefault="00ED7A89" w14:paraId="35469330" w14:textId="77777777">
            <w:pPr>
              <w:contextualSpacing/>
              <w:rPr>
                <w:rFonts w:ascii="Times New Roman" w:hAnsi="Times New Roman" w:cs="Times New Roman"/>
              </w:rPr>
            </w:pPr>
            <w:r w:rsidRPr="00065681">
              <w:rPr>
                <w:rFonts w:ascii="Times New Roman" w:hAnsi="Times New Roman" w:eastAsia="Times New Roman" w:cs="Times New Roman"/>
                <w:color w:val="000000"/>
                <w:sz w:val="20"/>
                <w:szCs w:val="20"/>
              </w:rPr>
              <w:t>Individuals and Households</w:t>
            </w:r>
          </w:p>
        </w:tc>
        <w:tc>
          <w:tcPr>
            <w:tcW w:w="1400" w:type="dxa"/>
            <w:tcBorders>
              <w:top w:val="nil"/>
              <w:left w:val="nil"/>
              <w:bottom w:val="single" w:color="auto" w:sz="4" w:space="0"/>
              <w:right w:val="single" w:color="auto" w:sz="4" w:space="0"/>
            </w:tcBorders>
            <w:shd w:val="clear" w:color="auto" w:fill="auto"/>
            <w:vAlign w:val="center"/>
          </w:tcPr>
          <w:p w:rsidRPr="00283C13" w:rsidR="00ED7A89" w:rsidP="00FB600C" w:rsidRDefault="00ED7A89" w14:paraId="6F896E61" w14:textId="137D222C">
            <w:pPr>
              <w:contextualSpacing/>
              <w:rPr>
                <w:rFonts w:ascii="Times New Roman" w:hAnsi="Times New Roman" w:eastAsia="Calibri" w:cs="Times New Roman"/>
              </w:rPr>
            </w:pPr>
            <w:r>
              <w:rPr>
                <w:rFonts w:ascii="Times New Roman" w:hAnsi="Times New Roman" w:eastAsia="Times New Roman" w:cs="Times New Roman"/>
                <w:color w:val="000000"/>
                <w:sz w:val="20"/>
                <w:szCs w:val="20"/>
              </w:rPr>
              <w:t xml:space="preserve">FEMA-Administered DCM Consent Form </w:t>
            </w:r>
            <w:r w:rsidR="00806324">
              <w:rPr>
                <w:rFonts w:ascii="Times New Roman" w:hAnsi="Times New Roman" w:eastAsia="Times New Roman" w:cs="Times New Roman"/>
                <w:color w:val="000000"/>
                <w:sz w:val="20"/>
                <w:szCs w:val="20"/>
              </w:rPr>
              <w:t>/ FEMA Form FF-104-FY-21-147</w:t>
            </w:r>
          </w:p>
        </w:tc>
        <w:tc>
          <w:tcPr>
            <w:tcW w:w="1239" w:type="dxa"/>
            <w:tcBorders>
              <w:top w:val="nil"/>
              <w:left w:val="nil"/>
              <w:bottom w:val="single" w:color="auto" w:sz="4" w:space="0"/>
              <w:right w:val="single" w:color="auto" w:sz="4" w:space="0"/>
            </w:tcBorders>
            <w:shd w:val="clear" w:color="auto" w:fill="auto"/>
            <w:vAlign w:val="center"/>
          </w:tcPr>
          <w:p w:rsidRPr="008D241C" w:rsidR="00ED7A89" w:rsidP="00FB600C" w:rsidRDefault="00ED7A89" w14:paraId="065C6632" w14:textId="77777777">
            <w:pPr>
              <w:contextualSpacing/>
              <w:jc w:val="center"/>
              <w:rPr>
                <w:rFonts w:ascii="Times New Roman" w:hAnsi="Times New Roman" w:eastAsia="Calibri" w:cs="Times New Roman"/>
              </w:rPr>
            </w:pPr>
            <w:r w:rsidRPr="008D241C">
              <w:rPr>
                <w:rFonts w:ascii="Times New Roman" w:hAnsi="Times New Roman" w:eastAsia="Times New Roman" w:cs="Times New Roman"/>
                <w:color w:val="000000"/>
              </w:rPr>
              <w:t>30,000</w:t>
            </w:r>
          </w:p>
        </w:tc>
        <w:tc>
          <w:tcPr>
            <w:tcW w:w="1161" w:type="dxa"/>
            <w:tcBorders>
              <w:top w:val="nil"/>
              <w:left w:val="nil"/>
              <w:bottom w:val="single" w:color="auto" w:sz="4" w:space="0"/>
              <w:right w:val="single" w:color="auto" w:sz="4" w:space="0"/>
            </w:tcBorders>
            <w:shd w:val="clear" w:color="auto" w:fill="auto"/>
            <w:vAlign w:val="center"/>
          </w:tcPr>
          <w:p w:rsidRPr="008D241C" w:rsidR="00ED7A89" w:rsidP="00FB600C" w:rsidRDefault="00ED7A89" w14:paraId="21C92F75" w14:textId="77777777">
            <w:pPr>
              <w:contextualSpacing/>
              <w:jc w:val="center"/>
              <w:rPr>
                <w:rFonts w:ascii="Times New Roman" w:hAnsi="Times New Roman" w:eastAsia="Calibri" w:cs="Times New Roman"/>
              </w:rPr>
            </w:pPr>
            <w:r w:rsidRPr="008D241C">
              <w:rPr>
                <w:rFonts w:ascii="Times New Roman" w:hAnsi="Times New Roman" w:eastAsia="Times New Roman" w:cs="Times New Roman"/>
                <w:color w:val="000000"/>
              </w:rPr>
              <w:t>1</w:t>
            </w:r>
          </w:p>
        </w:tc>
        <w:tc>
          <w:tcPr>
            <w:tcW w:w="1061" w:type="dxa"/>
            <w:tcBorders>
              <w:top w:val="nil"/>
              <w:left w:val="nil"/>
              <w:bottom w:val="single" w:color="auto" w:sz="4" w:space="0"/>
              <w:right w:val="single" w:color="auto" w:sz="4" w:space="0"/>
            </w:tcBorders>
            <w:shd w:val="clear" w:color="auto" w:fill="auto"/>
            <w:vAlign w:val="center"/>
          </w:tcPr>
          <w:p w:rsidRPr="008D241C" w:rsidR="00ED7A89" w:rsidP="00FB600C" w:rsidRDefault="00ED7A89" w14:paraId="3E2E642F" w14:textId="77777777">
            <w:pPr>
              <w:contextualSpacing/>
              <w:jc w:val="center"/>
              <w:rPr>
                <w:rFonts w:ascii="Times New Roman" w:hAnsi="Times New Roman" w:eastAsia="Calibri" w:cs="Times New Roman"/>
              </w:rPr>
            </w:pPr>
            <w:r w:rsidRPr="008D241C">
              <w:rPr>
                <w:rFonts w:ascii="Times New Roman" w:hAnsi="Times New Roman" w:eastAsia="Times New Roman" w:cs="Times New Roman"/>
                <w:color w:val="000000"/>
              </w:rPr>
              <w:t>30,000</w:t>
            </w:r>
          </w:p>
        </w:tc>
        <w:tc>
          <w:tcPr>
            <w:tcW w:w="983" w:type="dxa"/>
            <w:tcBorders>
              <w:top w:val="nil"/>
              <w:left w:val="nil"/>
              <w:bottom w:val="single" w:color="auto" w:sz="4" w:space="0"/>
              <w:right w:val="single" w:color="auto" w:sz="4" w:space="0"/>
            </w:tcBorders>
            <w:shd w:val="clear" w:color="auto" w:fill="auto"/>
            <w:vAlign w:val="center"/>
          </w:tcPr>
          <w:p w:rsidRPr="008D241C" w:rsidR="00ED7A89" w:rsidP="00FB600C" w:rsidRDefault="00ED7A89" w14:paraId="14C64042" w14:textId="77777777">
            <w:pPr>
              <w:contextualSpacing/>
              <w:jc w:val="center"/>
              <w:rPr>
                <w:rFonts w:ascii="Times New Roman" w:hAnsi="Times New Roman" w:eastAsia="Calibri" w:cs="Times New Roman"/>
              </w:rPr>
            </w:pPr>
            <w:r w:rsidRPr="008D241C">
              <w:rPr>
                <w:rFonts w:ascii="Times New Roman" w:hAnsi="Times New Roman" w:eastAsia="Times New Roman" w:cs="Times New Roman"/>
                <w:color w:val="000000"/>
              </w:rPr>
              <w:t>0.10</w:t>
            </w:r>
          </w:p>
        </w:tc>
        <w:tc>
          <w:tcPr>
            <w:tcW w:w="876" w:type="dxa"/>
            <w:tcBorders>
              <w:top w:val="nil"/>
              <w:left w:val="nil"/>
              <w:bottom w:val="single" w:color="auto" w:sz="4" w:space="0"/>
              <w:right w:val="single" w:color="auto" w:sz="4" w:space="0"/>
            </w:tcBorders>
            <w:shd w:val="clear" w:color="auto" w:fill="auto"/>
            <w:vAlign w:val="center"/>
          </w:tcPr>
          <w:p w:rsidRPr="008D241C" w:rsidR="00ED7A89" w:rsidP="00FB600C" w:rsidRDefault="00ED7A89" w14:paraId="149BEE02" w14:textId="77777777">
            <w:pPr>
              <w:contextualSpacing/>
              <w:jc w:val="center"/>
              <w:rPr>
                <w:rFonts w:ascii="Times New Roman" w:hAnsi="Times New Roman" w:eastAsia="Calibri" w:cs="Times New Roman"/>
              </w:rPr>
            </w:pPr>
            <w:r w:rsidRPr="008D241C">
              <w:rPr>
                <w:rFonts w:ascii="Times New Roman" w:hAnsi="Times New Roman" w:eastAsia="Times New Roman" w:cs="Times New Roman"/>
                <w:color w:val="000000"/>
              </w:rPr>
              <w:t>3,000</w:t>
            </w:r>
          </w:p>
        </w:tc>
        <w:tc>
          <w:tcPr>
            <w:tcW w:w="1261" w:type="dxa"/>
            <w:tcBorders>
              <w:top w:val="nil"/>
              <w:left w:val="nil"/>
              <w:bottom w:val="single" w:color="auto" w:sz="4" w:space="0"/>
              <w:right w:val="single" w:color="auto" w:sz="4" w:space="0"/>
            </w:tcBorders>
            <w:shd w:val="clear" w:color="auto" w:fill="auto"/>
            <w:vAlign w:val="center"/>
          </w:tcPr>
          <w:p w:rsidRPr="008D241C" w:rsidR="00ED7A89" w:rsidP="00FB600C" w:rsidRDefault="00ED7A89" w14:paraId="3D0687E3" w14:textId="77777777">
            <w:pPr>
              <w:contextualSpacing/>
              <w:jc w:val="center"/>
              <w:rPr>
                <w:rFonts w:ascii="Times New Roman" w:hAnsi="Times New Roman" w:eastAsia="Calibri" w:cs="Times New Roman"/>
              </w:rPr>
            </w:pPr>
            <w:r w:rsidRPr="00E666CD">
              <w:rPr>
                <w:rFonts w:ascii="Times New Roman" w:hAnsi="Times New Roman" w:eastAsia="Times New Roman" w:cs="Times New Roman"/>
                <w:color w:val="000000"/>
              </w:rPr>
              <w:t>$</w:t>
            </w:r>
            <w:r>
              <w:rPr>
                <w:rFonts w:ascii="Times New Roman" w:hAnsi="Times New Roman" w:eastAsia="Times New Roman" w:cs="Times New Roman"/>
                <w:color w:val="000000"/>
              </w:rPr>
              <w:t>36.38</w:t>
            </w:r>
          </w:p>
        </w:tc>
        <w:tc>
          <w:tcPr>
            <w:tcW w:w="1366" w:type="dxa"/>
            <w:tcBorders>
              <w:top w:val="nil"/>
              <w:left w:val="nil"/>
              <w:bottom w:val="single" w:color="auto" w:sz="4" w:space="0"/>
              <w:right w:val="single" w:color="auto" w:sz="12" w:space="0"/>
            </w:tcBorders>
            <w:shd w:val="clear" w:color="auto" w:fill="auto"/>
            <w:vAlign w:val="center"/>
          </w:tcPr>
          <w:p w:rsidRPr="00283C13" w:rsidR="00ED7A89" w:rsidP="00FB600C" w:rsidRDefault="00ED7A89" w14:paraId="3E97DC0B" w14:textId="77777777">
            <w:pPr>
              <w:contextualSpacing/>
              <w:jc w:val="right"/>
              <w:rPr>
                <w:rFonts w:ascii="Times New Roman" w:hAnsi="Times New Roman" w:eastAsia="Calibri" w:cs="Times New Roman"/>
              </w:rPr>
            </w:pPr>
            <w:r w:rsidRPr="00065681">
              <w:rPr>
                <w:rFonts w:ascii="Times New Roman" w:hAnsi="Times New Roman" w:eastAsia="Times New Roman" w:cs="Times New Roman"/>
                <w:color w:val="000000"/>
                <w:sz w:val="20"/>
                <w:szCs w:val="20"/>
              </w:rPr>
              <w:t>$</w:t>
            </w:r>
            <w:r>
              <w:rPr>
                <w:rFonts w:ascii="Times New Roman" w:hAnsi="Times New Roman" w:eastAsia="Times New Roman" w:cs="Times New Roman"/>
                <w:color w:val="000000"/>
                <w:sz w:val="20"/>
                <w:szCs w:val="20"/>
              </w:rPr>
              <w:t>109,140</w:t>
            </w:r>
            <w:r w:rsidRPr="00065681">
              <w:rPr>
                <w:rFonts w:ascii="Times New Roman" w:hAnsi="Times New Roman" w:eastAsia="Times New Roman" w:cs="Times New Roman"/>
                <w:color w:val="000000"/>
                <w:sz w:val="20"/>
                <w:szCs w:val="20"/>
              </w:rPr>
              <w:t xml:space="preserve"> </w:t>
            </w:r>
          </w:p>
        </w:tc>
      </w:tr>
      <w:tr w:rsidRPr="00283C13" w:rsidR="00ED7A89" w:rsidTr="00A12521" w14:paraId="3545A964" w14:textId="77777777">
        <w:tc>
          <w:tcPr>
            <w:tcW w:w="1255" w:type="dxa"/>
            <w:shd w:val="clear" w:color="auto" w:fill="FFFFFF" w:themeFill="background1"/>
            <w:vAlign w:val="center"/>
          </w:tcPr>
          <w:p w:rsidRPr="00283C13" w:rsidR="00ED7A89" w:rsidP="00FB600C" w:rsidRDefault="00ED7A89" w14:paraId="7ADC1A77" w14:textId="77777777">
            <w:pPr>
              <w:contextualSpacing/>
              <w:rPr>
                <w:rFonts w:ascii="Times New Roman" w:hAnsi="Times New Roman" w:eastAsia="Calibri" w:cs="Times New Roman"/>
                <w:b/>
                <w:bCs/>
                <w:color w:val="000000" w:themeColor="text1"/>
              </w:rPr>
            </w:pPr>
            <w:r w:rsidRPr="00283C13">
              <w:rPr>
                <w:rFonts w:ascii="Times New Roman" w:hAnsi="Times New Roman" w:eastAsia="Calibri" w:cs="Times New Roman"/>
                <w:b/>
                <w:bCs/>
                <w:color w:val="000000" w:themeColor="text1"/>
              </w:rPr>
              <w:t>Total</w:t>
            </w:r>
          </w:p>
        </w:tc>
        <w:tc>
          <w:tcPr>
            <w:tcW w:w="1400" w:type="dxa"/>
            <w:shd w:val="clear" w:color="auto" w:fill="FFFFFF" w:themeFill="background1"/>
            <w:vAlign w:val="center"/>
          </w:tcPr>
          <w:p w:rsidRPr="00283C13" w:rsidR="00ED7A89" w:rsidP="00FB600C" w:rsidRDefault="00ED7A89" w14:paraId="68F0463B" w14:textId="77777777">
            <w:pPr>
              <w:contextualSpacing/>
              <w:rPr>
                <w:rFonts w:ascii="Times New Roman" w:hAnsi="Times New Roman" w:eastAsia="Calibri" w:cs="Times New Roman"/>
                <w:b/>
                <w:bCs/>
                <w:color w:val="000000" w:themeColor="text1"/>
              </w:rPr>
            </w:pPr>
          </w:p>
        </w:tc>
        <w:tc>
          <w:tcPr>
            <w:tcW w:w="1239" w:type="dxa"/>
            <w:vAlign w:val="center"/>
          </w:tcPr>
          <w:p w:rsidRPr="008D241C" w:rsidR="00ED7A89" w:rsidP="00FB600C" w:rsidRDefault="00ED7A89" w14:paraId="64C34123" w14:textId="77777777">
            <w:pPr>
              <w:contextualSpacing/>
              <w:jc w:val="center"/>
              <w:rPr>
                <w:rFonts w:ascii="Times New Roman" w:hAnsi="Times New Roman" w:eastAsia="Calibri" w:cs="Times New Roman"/>
              </w:rPr>
            </w:pPr>
            <w:r w:rsidRPr="008D241C">
              <w:rPr>
                <w:rFonts w:ascii="Times New Roman" w:hAnsi="Times New Roman" w:eastAsia="Calibri" w:cs="Times New Roman"/>
              </w:rPr>
              <w:t>75,000</w:t>
            </w:r>
          </w:p>
        </w:tc>
        <w:tc>
          <w:tcPr>
            <w:tcW w:w="1161" w:type="dxa"/>
            <w:shd w:val="clear" w:color="auto" w:fill="000000"/>
            <w:vAlign w:val="center"/>
          </w:tcPr>
          <w:p w:rsidRPr="00E666CD" w:rsidR="00ED7A89" w:rsidP="00FB600C" w:rsidRDefault="00ED7A89" w14:paraId="31A6D7A6" w14:textId="77777777">
            <w:pPr>
              <w:contextualSpacing/>
              <w:jc w:val="center"/>
              <w:rPr>
                <w:rFonts w:ascii="Times New Roman" w:hAnsi="Times New Roman" w:eastAsia="Calibri" w:cs="Times New Roman"/>
              </w:rPr>
            </w:pPr>
          </w:p>
        </w:tc>
        <w:tc>
          <w:tcPr>
            <w:tcW w:w="1061" w:type="dxa"/>
            <w:vAlign w:val="center"/>
          </w:tcPr>
          <w:p w:rsidRPr="00E666CD" w:rsidR="00ED7A89" w:rsidP="00FB600C" w:rsidRDefault="00ED7A89" w14:paraId="68ABBF6A" w14:textId="77777777">
            <w:pPr>
              <w:contextualSpacing/>
              <w:jc w:val="center"/>
              <w:rPr>
                <w:rFonts w:ascii="Times New Roman" w:hAnsi="Times New Roman" w:eastAsia="Calibri" w:cs="Times New Roman"/>
              </w:rPr>
            </w:pPr>
            <w:r w:rsidRPr="00E666CD">
              <w:rPr>
                <w:rFonts w:ascii="Times New Roman" w:hAnsi="Times New Roman" w:cs="Times New Roman"/>
              </w:rPr>
              <w:t>75,000</w:t>
            </w:r>
          </w:p>
        </w:tc>
        <w:tc>
          <w:tcPr>
            <w:tcW w:w="983" w:type="dxa"/>
            <w:shd w:val="clear" w:color="auto" w:fill="000000"/>
            <w:vAlign w:val="center"/>
          </w:tcPr>
          <w:p w:rsidRPr="00E666CD" w:rsidR="00ED7A89" w:rsidP="00FB600C" w:rsidRDefault="00ED7A89" w14:paraId="1FDB239F" w14:textId="77777777">
            <w:pPr>
              <w:contextualSpacing/>
              <w:jc w:val="center"/>
              <w:rPr>
                <w:rFonts w:ascii="Times New Roman" w:hAnsi="Times New Roman" w:eastAsia="Calibri" w:cs="Times New Roman"/>
              </w:rPr>
            </w:pPr>
          </w:p>
        </w:tc>
        <w:tc>
          <w:tcPr>
            <w:tcW w:w="876" w:type="dxa"/>
            <w:vAlign w:val="center"/>
          </w:tcPr>
          <w:p w:rsidRPr="00E666CD" w:rsidR="00ED7A89" w:rsidP="00FB600C" w:rsidRDefault="00ED7A89" w14:paraId="34F243A2" w14:textId="77777777">
            <w:pPr>
              <w:contextualSpacing/>
              <w:jc w:val="center"/>
              <w:rPr>
                <w:rFonts w:ascii="Times New Roman" w:hAnsi="Times New Roman" w:eastAsia="Calibri" w:cs="Times New Roman"/>
              </w:rPr>
            </w:pPr>
            <w:r w:rsidRPr="00E666CD">
              <w:rPr>
                <w:rFonts w:ascii="Times New Roman" w:hAnsi="Times New Roman" w:cs="Times New Roman"/>
              </w:rPr>
              <w:t>48,000</w:t>
            </w:r>
          </w:p>
        </w:tc>
        <w:tc>
          <w:tcPr>
            <w:tcW w:w="1261" w:type="dxa"/>
            <w:shd w:val="clear" w:color="auto" w:fill="000000"/>
            <w:vAlign w:val="center"/>
          </w:tcPr>
          <w:p w:rsidRPr="00E666CD" w:rsidR="00ED7A89" w:rsidP="00FB600C" w:rsidRDefault="00ED7A89" w14:paraId="4D197285" w14:textId="77777777">
            <w:pPr>
              <w:contextualSpacing/>
              <w:jc w:val="center"/>
              <w:rPr>
                <w:rFonts w:ascii="Times New Roman" w:hAnsi="Times New Roman" w:eastAsia="Calibri" w:cs="Times New Roman"/>
              </w:rPr>
            </w:pPr>
          </w:p>
        </w:tc>
        <w:tc>
          <w:tcPr>
            <w:tcW w:w="1366" w:type="dxa"/>
            <w:vAlign w:val="center"/>
          </w:tcPr>
          <w:p w:rsidRPr="00283C13" w:rsidR="00ED7A89" w:rsidP="00FB600C" w:rsidRDefault="00ED7A89" w14:paraId="644B3BE5" w14:textId="77777777">
            <w:pPr>
              <w:contextualSpacing/>
              <w:jc w:val="right"/>
              <w:rPr>
                <w:rFonts w:ascii="Times New Roman" w:hAnsi="Times New Roman" w:eastAsia="Calibri" w:cs="Times New Roman"/>
              </w:rPr>
            </w:pPr>
            <w:r w:rsidRPr="00283C13">
              <w:rPr>
                <w:rFonts w:ascii="Times New Roman" w:hAnsi="Times New Roman" w:cs="Times New Roman"/>
              </w:rPr>
              <w:t xml:space="preserve"> $</w:t>
            </w:r>
            <w:r>
              <w:rPr>
                <w:rFonts w:ascii="Times New Roman" w:hAnsi="Times New Roman" w:cs="Times New Roman"/>
              </w:rPr>
              <w:t>1,746,240</w:t>
            </w:r>
            <w:r w:rsidRPr="00283C13">
              <w:rPr>
                <w:rFonts w:ascii="Times New Roman" w:hAnsi="Times New Roman" w:cs="Times New Roman"/>
              </w:rPr>
              <w:t xml:space="preserve"> </w:t>
            </w:r>
          </w:p>
        </w:tc>
      </w:tr>
    </w:tbl>
    <w:p w:rsidR="00ED7A89" w:rsidP="00FB600C" w:rsidRDefault="00ED7A89" w14:paraId="57F6671E" w14:textId="77777777">
      <w:pPr>
        <w:ind w:firstLine="720"/>
        <w:contextualSpacing/>
        <w:rPr>
          <w:rFonts w:ascii="Times New Roman" w:hAnsi="Times New Roman" w:cs="Times New Roman"/>
          <w:b/>
          <w:bCs/>
          <w:sz w:val="24"/>
          <w:szCs w:val="24"/>
        </w:rPr>
      </w:pPr>
    </w:p>
    <w:p w:rsidRPr="00AD6EF4" w:rsidR="00954E3A" w:rsidP="00FB600C" w:rsidRDefault="00954E3A" w14:paraId="1379523B" w14:textId="77777777">
      <w:pPr>
        <w:tabs>
          <w:tab w:val="left" w:pos="-720"/>
        </w:tabs>
        <w:suppressAutoHyphens/>
        <w:contextualSpacing/>
        <w:rPr>
          <w:rFonts w:ascii="Times New Roman" w:hAnsi="Times New Roman"/>
          <w:sz w:val="24"/>
          <w:szCs w:val="24"/>
        </w:rPr>
      </w:pPr>
      <w:r w:rsidRPr="00AD6EF4">
        <w:rPr>
          <w:rFonts w:ascii="Times New Roman" w:hAnsi="Times New Roman"/>
          <w:b/>
          <w:sz w:val="24"/>
          <w:szCs w:val="24"/>
        </w:rPr>
        <w:t>Instruction for Wage-rate category multiplier:  Take each non-loaded “Avg. Hourly Wage Rate” from the BLS website table and multiply that number by 1.4</w:t>
      </w:r>
      <w:r>
        <w:rPr>
          <w:rFonts w:ascii="Times New Roman" w:hAnsi="Times New Roman"/>
          <w:b/>
          <w:sz w:val="24"/>
          <w:szCs w:val="24"/>
        </w:rPr>
        <w:t>5</w:t>
      </w:r>
      <w:r w:rsidRPr="00AD6EF4">
        <w:rPr>
          <w:rFonts w:ascii="Times New Roman" w:hAnsi="Times New Roman"/>
          <w:b/>
          <w:sz w:val="24"/>
          <w:szCs w:val="24"/>
        </w:rPr>
        <w:t>.</w:t>
      </w:r>
      <w:r w:rsidRPr="00DA7128">
        <w:rPr>
          <w:rStyle w:val="FootnoteReference"/>
          <w:rFonts w:ascii="Times New Roman" w:hAnsi="Times New Roman"/>
          <w:b/>
          <w:sz w:val="24"/>
          <w:szCs w:val="24"/>
        </w:rPr>
        <w:t xml:space="preserve"> </w:t>
      </w:r>
      <w:r w:rsidRPr="00AD6EF4">
        <w:rPr>
          <w:rStyle w:val="FootnoteReference"/>
          <w:rFonts w:ascii="Times New Roman" w:hAnsi="Times New Roman"/>
          <w:b/>
          <w:sz w:val="24"/>
          <w:szCs w:val="24"/>
        </w:rPr>
        <w:footnoteReference w:id="2"/>
      </w:r>
      <w:r w:rsidRPr="00AD6EF4">
        <w:rPr>
          <w:rFonts w:ascii="Times New Roman" w:hAnsi="Times New Roman"/>
          <w:b/>
          <w:sz w:val="24"/>
          <w:szCs w:val="24"/>
        </w:rPr>
        <w:t xml:space="preserve">  For example, a non-loaded BLS table wage rate of $42.51 would be multiplied by 1.4</w:t>
      </w:r>
      <w:r>
        <w:rPr>
          <w:rFonts w:ascii="Times New Roman" w:hAnsi="Times New Roman"/>
          <w:b/>
          <w:sz w:val="24"/>
          <w:szCs w:val="24"/>
        </w:rPr>
        <w:t>5</w:t>
      </w:r>
      <w:r w:rsidRPr="00AD6EF4">
        <w:rPr>
          <w:rFonts w:ascii="Times New Roman" w:hAnsi="Times New Roman"/>
          <w:b/>
          <w:sz w:val="24"/>
          <w:szCs w:val="24"/>
        </w:rPr>
        <w:t>, and the entry for the “Avg. Hourly Wage Rate” would be $</w:t>
      </w:r>
      <w:r>
        <w:rPr>
          <w:rFonts w:ascii="Times New Roman" w:hAnsi="Times New Roman"/>
          <w:b/>
          <w:sz w:val="24"/>
          <w:szCs w:val="24"/>
        </w:rPr>
        <w:t>61.64</w:t>
      </w:r>
      <w:r w:rsidRPr="00AD6EF4">
        <w:rPr>
          <w:rFonts w:ascii="Times New Roman" w:hAnsi="Times New Roman"/>
          <w:b/>
          <w:sz w:val="24"/>
          <w:szCs w:val="24"/>
        </w:rPr>
        <w:t>.</w:t>
      </w:r>
    </w:p>
    <w:p w:rsidR="00FB600C" w:rsidP="00FB600C" w:rsidRDefault="00FB600C" w14:paraId="46229F60" w14:textId="77777777">
      <w:pPr>
        <w:tabs>
          <w:tab w:val="left" w:pos="-720"/>
        </w:tabs>
        <w:suppressAutoHyphens/>
        <w:contextualSpacing/>
        <w:rPr>
          <w:rFonts w:ascii="Times New Roman" w:hAnsi="Times New Roman"/>
          <w:sz w:val="24"/>
          <w:szCs w:val="24"/>
        </w:rPr>
      </w:pPr>
    </w:p>
    <w:p w:rsidR="00A63A6F" w:rsidP="00FB600C" w:rsidRDefault="00A63A6F" w14:paraId="6F478F16" w14:textId="3948F347">
      <w:pPr>
        <w:tabs>
          <w:tab w:val="left" w:pos="-720"/>
        </w:tabs>
        <w:suppressAutoHyphens/>
        <w:contextualSpacing/>
        <w:rPr>
          <w:rFonts w:ascii="Times New Roman" w:hAnsi="Times New Roman"/>
          <w:sz w:val="24"/>
          <w:szCs w:val="24"/>
        </w:rPr>
      </w:pPr>
      <w:r w:rsidRPr="004A3E69">
        <w:rPr>
          <w:rFonts w:ascii="Times New Roman" w:hAnsi="Times New Roman"/>
          <w:sz w:val="24"/>
          <w:szCs w:val="24"/>
        </w:rPr>
        <w:t>According to the U.S. Department of Labor, Bureau of Labor Statistics</w:t>
      </w:r>
      <w:r w:rsidRPr="004A3E69">
        <w:rPr>
          <w:rStyle w:val="FootnoteReference"/>
          <w:rFonts w:ascii="Times New Roman" w:hAnsi="Times New Roman"/>
          <w:sz w:val="24"/>
          <w:szCs w:val="24"/>
        </w:rPr>
        <w:footnoteReference w:id="3"/>
      </w:r>
      <w:r w:rsidRPr="004A3E69">
        <w:rPr>
          <w:rFonts w:ascii="Times New Roman" w:hAnsi="Times New Roman"/>
          <w:sz w:val="24"/>
          <w:szCs w:val="24"/>
        </w:rPr>
        <w:t xml:space="preserve">, the May 2020 Occupational Employment and Wage Estimates wage rate for </w:t>
      </w:r>
      <w:r w:rsidRPr="004A3E69">
        <w:rPr>
          <w:rFonts w:ascii="Times New Roman" w:hAnsi="Times New Roman" w:cs="Times New Roman"/>
          <w:color w:val="0000FF"/>
          <w:sz w:val="24"/>
          <w:szCs w:val="24"/>
        </w:rPr>
        <w:t>Community and Social Service Occupation</w:t>
      </w:r>
      <w:r w:rsidRPr="004A3E69">
        <w:rPr>
          <w:rFonts w:ascii="Times New Roman" w:hAnsi="Times New Roman"/>
          <w:sz w:val="24"/>
          <w:szCs w:val="24"/>
        </w:rPr>
        <w:t xml:space="preserve"> SOC is 21-0000 is $25.09.  Including the wage rate multiplier of 1.45, the fully-loaded wage rate is $36.38 per hour.  Therefore, the annual burden hour cost is estimated to be </w:t>
      </w:r>
      <w:r w:rsidRPr="004A3E69">
        <w:rPr>
          <w:rFonts w:ascii="Times New Roman" w:hAnsi="Times New Roman" w:cs="Times New Roman"/>
          <w:color w:val="0000FF"/>
          <w:sz w:val="24"/>
          <w:szCs w:val="24"/>
        </w:rPr>
        <w:t>$1,746,240</w:t>
      </w:r>
      <w:r w:rsidRPr="004A3E69">
        <w:rPr>
          <w:rFonts w:ascii="Times New Roman" w:hAnsi="Times New Roman"/>
          <w:sz w:val="24"/>
          <w:szCs w:val="24"/>
        </w:rPr>
        <w:t xml:space="preserve"> annually ($36.38 x </w:t>
      </w:r>
      <w:r w:rsidRPr="004A3E69">
        <w:rPr>
          <w:rFonts w:ascii="Times New Roman" w:hAnsi="Times New Roman"/>
          <w:color w:val="0000FF"/>
          <w:sz w:val="24"/>
          <w:szCs w:val="24"/>
        </w:rPr>
        <w:t>48,000</w:t>
      </w:r>
      <w:r w:rsidRPr="004A3E69">
        <w:rPr>
          <w:rFonts w:ascii="Times New Roman" w:hAnsi="Times New Roman"/>
          <w:sz w:val="24"/>
          <w:szCs w:val="24"/>
        </w:rPr>
        <w:t xml:space="preserve"> hours = $</w:t>
      </w:r>
      <w:r w:rsidRPr="004A3E69">
        <w:rPr>
          <w:rFonts w:ascii="Times New Roman" w:hAnsi="Times New Roman"/>
          <w:color w:val="0000FF"/>
          <w:sz w:val="24"/>
          <w:szCs w:val="24"/>
        </w:rPr>
        <w:t>1,746,240</w:t>
      </w:r>
      <w:r w:rsidRPr="004A3E69">
        <w:rPr>
          <w:rFonts w:ascii="Times New Roman" w:hAnsi="Times New Roman"/>
          <w:sz w:val="24"/>
          <w:szCs w:val="24"/>
        </w:rPr>
        <w:t>).</w:t>
      </w:r>
    </w:p>
    <w:p w:rsidRPr="004A3E69" w:rsidR="00FB600C" w:rsidP="00FB600C" w:rsidRDefault="00FB600C" w14:paraId="3EA9B69F" w14:textId="77777777">
      <w:pPr>
        <w:tabs>
          <w:tab w:val="left" w:pos="-720"/>
        </w:tabs>
        <w:suppressAutoHyphens/>
        <w:contextualSpacing/>
        <w:rPr>
          <w:rFonts w:ascii="Times New Roman" w:hAnsi="Times New Roman"/>
          <w:sz w:val="24"/>
          <w:szCs w:val="24"/>
        </w:rPr>
      </w:pPr>
    </w:p>
    <w:p w:rsidR="00562915" w:rsidP="00FB600C" w:rsidRDefault="00562915" w14:paraId="6F843078" w14:textId="5017FC39">
      <w:pPr>
        <w:contextualSpacing/>
        <w:rPr>
          <w:rFonts w:ascii="Times New Roman" w:hAnsi="Times New Roman" w:cs="Times New Roman"/>
          <w:b/>
          <w:bCs/>
          <w:color w:val="000000" w:themeColor="text1"/>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065681">
        <w:rPr>
          <w:rFonts w:ascii="Times New Roman" w:hAnsi="Times New Roman" w:cs="Times New Roman"/>
          <w:b/>
          <w:color w:val="000000" w:themeColor="text1"/>
          <w:sz w:val="24"/>
          <w:szCs w:val="24"/>
        </w:rPr>
        <w:t>13.</w:t>
      </w:r>
      <w:r w:rsidRPr="00065681">
        <w:rPr>
          <w:rFonts w:ascii="Times New Roman" w:hAnsi="Times New Roman" w:cs="Times New Roman"/>
          <w:color w:val="000000" w:themeColor="text1"/>
          <w:sz w:val="24"/>
          <w:szCs w:val="24"/>
        </w:rPr>
        <w:t xml:space="preserve">  </w:t>
      </w:r>
      <w:r w:rsidRPr="00065681">
        <w:rPr>
          <w:rFonts w:ascii="Times New Roman" w:hAnsi="Times New Roman" w:cs="Times New Roman"/>
          <w:b/>
          <w:bCs/>
          <w:color w:val="000000" w:themeColor="text1"/>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Pr="00065681" w:rsidR="00FB600C" w:rsidP="00FB600C" w:rsidRDefault="00FB600C" w14:paraId="433401DB" w14:textId="77777777">
      <w:pPr>
        <w:contextualSpacing/>
        <w:rPr>
          <w:rFonts w:ascii="Times New Roman" w:hAnsi="Times New Roman" w:cs="Times New Roman"/>
          <w:b/>
          <w:bCs/>
          <w:color w:val="000000" w:themeColor="text1"/>
          <w:sz w:val="24"/>
          <w:szCs w:val="24"/>
        </w:rPr>
      </w:pPr>
    </w:p>
    <w:p w:rsidRPr="00065681" w:rsidR="00562915" w:rsidP="00FB600C" w:rsidRDefault="00562915" w14:paraId="6E626C02" w14:textId="77777777">
      <w:pPr>
        <w:contextualSpacing/>
        <w:rPr>
          <w:rFonts w:ascii="Times New Roman" w:hAnsi="Times New Roman" w:cs="Times New Roman"/>
          <w:b/>
          <w:bCs/>
          <w:color w:val="000000" w:themeColor="text1"/>
          <w:sz w:val="24"/>
          <w:szCs w:val="24"/>
        </w:rPr>
      </w:pPr>
      <w:r w:rsidRPr="00065681">
        <w:rPr>
          <w:rFonts w:ascii="Times New Roman" w:hAnsi="Times New Roman" w:cs="Times New Roman"/>
          <w:b/>
          <w:bCs/>
          <w:color w:val="000000" w:themeColor="text1"/>
          <w:sz w:val="24"/>
          <w:szCs w:val="24"/>
        </w:rPr>
        <w:t>The cost estimates should be split into two components:</w:t>
      </w:r>
    </w:p>
    <w:p w:rsidRPr="00065681" w:rsidR="00562915" w:rsidP="00FB600C" w:rsidRDefault="00562915" w14:paraId="21AAB529" w14:textId="6B4FB229">
      <w:pPr>
        <w:contextualSpacing/>
        <w:rPr>
          <w:rFonts w:ascii="Times New Roman" w:hAnsi="Times New Roman" w:cs="Times New Roman"/>
          <w:b/>
          <w:bCs/>
          <w:color w:val="000000" w:themeColor="text1"/>
          <w:sz w:val="24"/>
          <w:szCs w:val="24"/>
        </w:rPr>
      </w:pPr>
      <w:r w:rsidRPr="00065681">
        <w:rPr>
          <w:rFonts w:ascii="Times New Roman" w:hAnsi="Times New Roman" w:cs="Times New Roman"/>
          <w:b/>
          <w:bCs/>
          <w:color w:val="000000" w:themeColor="text1"/>
          <w:sz w:val="24"/>
          <w:szCs w:val="24"/>
        </w:rPr>
        <w:tab/>
        <w:t xml:space="preserve">a.  Operation and Maintenance and purchase of services component.  These </w:t>
      </w:r>
      <w:r w:rsidRPr="00065681">
        <w:rPr>
          <w:rFonts w:ascii="Times New Roman" w:hAnsi="Times New Roman" w:cs="Times New Roman"/>
          <w:b/>
          <w:bCs/>
          <w:color w:val="000000" w:themeColor="text1"/>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FB600C" w:rsidP="00FB600C" w:rsidRDefault="00FB600C" w14:paraId="54CDB2F4" w14:textId="77777777">
      <w:pPr>
        <w:contextualSpacing/>
        <w:rPr>
          <w:rFonts w:ascii="Times New Roman" w:hAnsi="Times New Roman" w:cs="Times New Roman"/>
          <w:color w:val="000000" w:themeColor="text1"/>
          <w:sz w:val="24"/>
          <w:szCs w:val="24"/>
        </w:rPr>
      </w:pPr>
    </w:p>
    <w:p w:rsidR="00272F36" w:rsidP="00FB600C" w:rsidRDefault="00272F36" w14:paraId="6B72B88B" w14:textId="72571779">
      <w:pPr>
        <w:contextualSpacing/>
        <w:rPr>
          <w:rFonts w:ascii="Times New Roman" w:hAnsi="Times New Roman" w:cs="Times New Roman"/>
          <w:color w:val="000000" w:themeColor="text1"/>
          <w:sz w:val="24"/>
          <w:szCs w:val="24"/>
        </w:rPr>
      </w:pPr>
      <w:r w:rsidRPr="00065681">
        <w:rPr>
          <w:rFonts w:ascii="Times New Roman" w:hAnsi="Times New Roman" w:cs="Times New Roman"/>
          <w:color w:val="000000" w:themeColor="text1"/>
          <w:sz w:val="24"/>
          <w:szCs w:val="24"/>
        </w:rPr>
        <w:t xml:space="preserve">There are no </w:t>
      </w:r>
      <w:r w:rsidRPr="00065681" w:rsidR="00FB5B59">
        <w:rPr>
          <w:rFonts w:ascii="Times New Roman" w:hAnsi="Times New Roman" w:cs="Times New Roman"/>
          <w:color w:val="000000" w:themeColor="text1"/>
          <w:sz w:val="24"/>
          <w:szCs w:val="24"/>
        </w:rPr>
        <w:t>costs</w:t>
      </w:r>
      <w:r w:rsidRPr="00065681">
        <w:rPr>
          <w:rFonts w:ascii="Times New Roman" w:hAnsi="Times New Roman" w:cs="Times New Roman"/>
          <w:color w:val="000000" w:themeColor="text1"/>
          <w:sz w:val="24"/>
          <w:szCs w:val="24"/>
        </w:rPr>
        <w:t xml:space="preserve"> for operation and maintenance and purchase of services component</w:t>
      </w:r>
      <w:r w:rsidRPr="00065681" w:rsidR="0009456A">
        <w:rPr>
          <w:rFonts w:ascii="Times New Roman" w:hAnsi="Times New Roman" w:cs="Times New Roman"/>
          <w:color w:val="000000" w:themeColor="text1"/>
          <w:sz w:val="24"/>
          <w:szCs w:val="24"/>
        </w:rPr>
        <w:t xml:space="preserve"> for </w:t>
      </w:r>
      <w:r w:rsidRPr="00065681" w:rsidR="00FB5B59">
        <w:rPr>
          <w:rFonts w:ascii="Times New Roman" w:hAnsi="Times New Roman" w:cs="Times New Roman"/>
          <w:color w:val="000000" w:themeColor="text1"/>
          <w:sz w:val="24"/>
          <w:szCs w:val="24"/>
        </w:rPr>
        <w:t>respondents</w:t>
      </w:r>
      <w:r w:rsidRPr="00065681" w:rsidR="0009456A">
        <w:rPr>
          <w:rFonts w:ascii="Times New Roman" w:hAnsi="Times New Roman" w:cs="Times New Roman"/>
          <w:color w:val="000000" w:themeColor="text1"/>
          <w:sz w:val="24"/>
          <w:szCs w:val="24"/>
        </w:rPr>
        <w:t xml:space="preserve">. </w:t>
      </w:r>
    </w:p>
    <w:p w:rsidRPr="00065681" w:rsidR="00FB600C" w:rsidP="00FB600C" w:rsidRDefault="00FB600C" w14:paraId="122C7F2F" w14:textId="77777777">
      <w:pPr>
        <w:contextualSpacing/>
        <w:rPr>
          <w:rFonts w:ascii="Times New Roman" w:hAnsi="Times New Roman" w:cs="Times New Roman"/>
          <w:color w:val="000000" w:themeColor="text1"/>
          <w:sz w:val="24"/>
          <w:szCs w:val="24"/>
        </w:rPr>
      </w:pPr>
    </w:p>
    <w:p w:rsidRPr="00065681" w:rsidR="00562915" w:rsidP="00FB600C" w:rsidRDefault="00562915" w14:paraId="29EFAA3C" w14:textId="2C8540F8">
      <w:pPr>
        <w:contextualSpacing/>
        <w:rPr>
          <w:rFonts w:ascii="Times New Roman" w:hAnsi="Times New Roman" w:cs="Times New Roman"/>
          <w:b/>
          <w:bCs/>
          <w:color w:val="000000" w:themeColor="text1"/>
          <w:sz w:val="24"/>
          <w:szCs w:val="24"/>
        </w:rPr>
      </w:pPr>
      <w:r w:rsidRPr="00065681">
        <w:rPr>
          <w:rFonts w:ascii="Times New Roman" w:hAnsi="Times New Roman" w:cs="Times New Roman"/>
          <w:b/>
          <w:bCs/>
          <w:color w:val="000000" w:themeColor="text1"/>
          <w:sz w:val="24"/>
          <w:szCs w:val="24"/>
        </w:rPr>
        <w:tab/>
        <w:t>b.  Capital and Start-up-Cost should include, among other items, preparations for collecting information such as purchasing computers and</w:t>
      </w:r>
      <w:r w:rsidRPr="00065681" w:rsidR="00BB543D">
        <w:rPr>
          <w:rFonts w:ascii="Times New Roman" w:hAnsi="Times New Roman" w:cs="Times New Roman"/>
          <w:b/>
          <w:bCs/>
          <w:color w:val="000000" w:themeColor="text1"/>
          <w:sz w:val="24"/>
          <w:szCs w:val="24"/>
        </w:rPr>
        <w:t xml:space="preserve"> </w:t>
      </w:r>
      <w:r w:rsidRPr="00065681">
        <w:rPr>
          <w:rFonts w:ascii="Times New Roman" w:hAnsi="Times New Roman" w:cs="Times New Roman"/>
          <w:b/>
          <w:bCs/>
          <w:color w:val="000000" w:themeColor="text1"/>
          <w:sz w:val="24"/>
          <w:szCs w:val="24"/>
        </w:rPr>
        <w:t xml:space="preserve">software, monitoring sampling, drilling and testing equipment, and record storage facilities.  </w:t>
      </w:r>
    </w:p>
    <w:p w:rsidRPr="00065681" w:rsidR="0009456A" w:rsidP="00FB600C" w:rsidRDefault="0009456A" w14:paraId="0F1A2A76" w14:textId="61EDB12E">
      <w:pPr>
        <w:autoSpaceDE w:val="0"/>
        <w:autoSpaceDN w:val="0"/>
        <w:spacing w:after="0" w:line="240" w:lineRule="auto"/>
        <w:contextualSpacing/>
        <w:rPr>
          <w:color w:val="000000" w:themeColor="text1"/>
        </w:rPr>
      </w:pPr>
      <w:r w:rsidRPr="00065681">
        <w:rPr>
          <w:rFonts w:ascii="Times New Roman" w:hAnsi="Times New Roman" w:cs="Times New Roman"/>
          <w:color w:val="000000" w:themeColor="text1"/>
          <w:sz w:val="24"/>
          <w:szCs w:val="24"/>
        </w:rPr>
        <w:t xml:space="preserve">There are no record keeping, capital, start-up or maintenance costs associated with this information collection for </w:t>
      </w:r>
      <w:r w:rsidRPr="00065681" w:rsidR="00FB5B59">
        <w:rPr>
          <w:rFonts w:ascii="Times New Roman" w:hAnsi="Times New Roman" w:cs="Times New Roman"/>
          <w:color w:val="000000" w:themeColor="text1"/>
          <w:sz w:val="24"/>
          <w:szCs w:val="24"/>
        </w:rPr>
        <w:t>respondent</w:t>
      </w:r>
      <w:r w:rsidRPr="00065681">
        <w:rPr>
          <w:rFonts w:ascii="Times New Roman" w:hAnsi="Times New Roman" w:cs="Times New Roman"/>
          <w:color w:val="000000" w:themeColor="text1"/>
          <w:sz w:val="24"/>
          <w:szCs w:val="24"/>
        </w:rPr>
        <w:t xml:space="preserve">s. </w:t>
      </w:r>
    </w:p>
    <w:p w:rsidRPr="00065681" w:rsidR="00562915" w:rsidP="00FB600C" w:rsidRDefault="00562915" w14:paraId="4101652C" w14:textId="5EA341A1">
      <w:pPr>
        <w:contextualSpacing/>
        <w:rPr>
          <w:rFonts w:ascii="Times New Roman" w:hAnsi="Times New Roman" w:cs="Times New Roman"/>
          <w:color w:val="000000" w:themeColor="text1"/>
          <w:sz w:val="24"/>
          <w:szCs w:val="24"/>
        </w:rPr>
      </w:pPr>
    </w:p>
    <w:tbl>
      <w:tblPr>
        <w:tblW w:w="8540" w:type="dxa"/>
        <w:tblLook w:val="04A0" w:firstRow="1" w:lastRow="0" w:firstColumn="1" w:lastColumn="0" w:noHBand="0" w:noVBand="1"/>
      </w:tblPr>
      <w:tblGrid>
        <w:gridCol w:w="1794"/>
        <w:gridCol w:w="1700"/>
        <w:gridCol w:w="2028"/>
        <w:gridCol w:w="1631"/>
        <w:gridCol w:w="1387"/>
      </w:tblGrid>
      <w:tr w:rsidRPr="003B310F" w:rsidR="00274C3F" w:rsidTr="0008053C" w14:paraId="70D8DCBF" w14:textId="77777777">
        <w:trPr>
          <w:trHeight w:val="276"/>
        </w:trPr>
        <w:tc>
          <w:tcPr>
            <w:tcW w:w="8540" w:type="dxa"/>
            <w:gridSpan w:val="5"/>
            <w:tcBorders>
              <w:top w:val="single" w:color="auto" w:sz="12" w:space="0"/>
              <w:left w:val="single" w:color="auto" w:sz="12" w:space="0"/>
              <w:bottom w:val="single" w:color="auto" w:sz="12" w:space="0"/>
              <w:right w:val="single" w:color="auto" w:sz="12" w:space="0"/>
            </w:tcBorders>
            <w:shd w:val="clear" w:color="auto" w:fill="auto"/>
            <w:vAlign w:val="bottom"/>
            <w:hideMark/>
          </w:tcPr>
          <w:p w:rsidRPr="00065681" w:rsidR="00274C3F" w:rsidP="00FB600C" w:rsidRDefault="00274C3F" w14:paraId="424875B8" w14:textId="77777777">
            <w:pPr>
              <w:contextualSpacing/>
              <w:jc w:val="center"/>
              <w:rPr>
                <w:rFonts w:ascii="Times New Roman" w:hAnsi="Times New Roman" w:eastAsia="Times New Roman" w:cs="Times New Roman"/>
                <w:b/>
                <w:bCs/>
                <w:color w:val="000000"/>
                <w:sz w:val="20"/>
                <w:szCs w:val="20"/>
              </w:rPr>
            </w:pPr>
            <w:r w:rsidRPr="00065681">
              <w:rPr>
                <w:rFonts w:ascii="Times New Roman" w:hAnsi="Times New Roman" w:eastAsia="Times New Roman" w:cs="Times New Roman"/>
                <w:b/>
                <w:bCs/>
                <w:color w:val="000000"/>
                <w:sz w:val="20"/>
                <w:szCs w:val="20"/>
              </w:rPr>
              <w:t>Annual Cost Burden to Respondents or Record Keepers</w:t>
            </w:r>
          </w:p>
        </w:tc>
      </w:tr>
      <w:tr w:rsidRPr="003B310F" w:rsidR="00274C3F" w:rsidTr="00420206" w14:paraId="16469F36" w14:textId="77777777">
        <w:trPr>
          <w:trHeight w:val="1320"/>
        </w:trPr>
        <w:tc>
          <w:tcPr>
            <w:tcW w:w="1794" w:type="dxa"/>
            <w:tcBorders>
              <w:top w:val="single" w:color="auto" w:sz="12" w:space="0"/>
              <w:left w:val="single" w:color="auto" w:sz="12" w:space="0"/>
              <w:bottom w:val="single" w:color="auto" w:sz="4" w:space="0"/>
              <w:right w:val="single" w:color="auto" w:sz="4" w:space="0"/>
            </w:tcBorders>
            <w:shd w:val="clear" w:color="000000" w:fill="8DB4E2"/>
            <w:vAlign w:val="center"/>
            <w:hideMark/>
          </w:tcPr>
          <w:p w:rsidRPr="00065681" w:rsidR="00274C3F" w:rsidP="00FB600C" w:rsidRDefault="00274C3F" w14:paraId="4A998179" w14:textId="77777777">
            <w:pPr>
              <w:contextualSpacing/>
              <w:rPr>
                <w:rFonts w:ascii="Times New Roman" w:hAnsi="Times New Roman" w:eastAsia="Times New Roman" w:cs="Times New Roman"/>
                <w:color w:val="000000"/>
                <w:sz w:val="20"/>
                <w:szCs w:val="20"/>
              </w:rPr>
            </w:pPr>
            <w:r w:rsidRPr="00065681">
              <w:rPr>
                <w:rFonts w:ascii="Times New Roman" w:hAnsi="Times New Roman" w:eastAsia="Times New Roman" w:cs="Times New Roman"/>
                <w:color w:val="000000"/>
                <w:sz w:val="20"/>
                <w:szCs w:val="20"/>
              </w:rPr>
              <w:t xml:space="preserve">Data Collection Activity/Instrument </w:t>
            </w:r>
          </w:p>
        </w:tc>
        <w:tc>
          <w:tcPr>
            <w:tcW w:w="1700" w:type="dxa"/>
            <w:tcBorders>
              <w:top w:val="single" w:color="auto" w:sz="12" w:space="0"/>
              <w:left w:val="nil"/>
              <w:bottom w:val="single" w:color="auto" w:sz="4" w:space="0"/>
              <w:right w:val="single" w:color="auto" w:sz="4" w:space="0"/>
            </w:tcBorders>
            <w:shd w:val="clear" w:color="000000" w:fill="8DB4E2"/>
            <w:vAlign w:val="center"/>
            <w:hideMark/>
          </w:tcPr>
          <w:p w:rsidRPr="00065681" w:rsidR="00274C3F" w:rsidP="00FB600C" w:rsidRDefault="00274C3F" w14:paraId="7E08E2FC" w14:textId="77777777">
            <w:pPr>
              <w:contextualSpacing/>
              <w:rPr>
                <w:rFonts w:ascii="Times New Roman" w:hAnsi="Times New Roman" w:eastAsia="Times New Roman" w:cs="Times New Roman"/>
                <w:color w:val="000000"/>
                <w:sz w:val="20"/>
                <w:szCs w:val="20"/>
              </w:rPr>
            </w:pPr>
            <w:r w:rsidRPr="00065681">
              <w:rPr>
                <w:rFonts w:ascii="Times New Roman" w:hAnsi="Times New Roman" w:eastAsia="Times New Roman" w:cs="Times New Roman"/>
                <w:color w:val="000000"/>
                <w:sz w:val="20"/>
                <w:szCs w:val="20"/>
              </w:rPr>
              <w:t>*Annual Capital Start-Up Cost (investments in overhead, equipment, and other one-time expenditures)</w:t>
            </w:r>
          </w:p>
        </w:tc>
        <w:tc>
          <w:tcPr>
            <w:tcW w:w="2028" w:type="dxa"/>
            <w:tcBorders>
              <w:top w:val="single" w:color="auto" w:sz="12" w:space="0"/>
              <w:left w:val="nil"/>
              <w:bottom w:val="single" w:color="auto" w:sz="4" w:space="0"/>
              <w:right w:val="single" w:color="auto" w:sz="4" w:space="0"/>
            </w:tcBorders>
            <w:shd w:val="clear" w:color="000000" w:fill="8DB4E2"/>
            <w:vAlign w:val="center"/>
            <w:hideMark/>
          </w:tcPr>
          <w:p w:rsidRPr="00065681" w:rsidR="00274C3F" w:rsidP="00FB600C" w:rsidRDefault="00274C3F" w14:paraId="35F8CA32" w14:textId="77777777">
            <w:pPr>
              <w:contextualSpacing/>
              <w:rPr>
                <w:rFonts w:ascii="Times New Roman" w:hAnsi="Times New Roman" w:eastAsia="Times New Roman" w:cs="Times New Roman"/>
                <w:color w:val="000000"/>
                <w:sz w:val="20"/>
                <w:szCs w:val="20"/>
              </w:rPr>
            </w:pPr>
            <w:r w:rsidRPr="00065681">
              <w:rPr>
                <w:rFonts w:ascii="Times New Roman" w:hAnsi="Times New Roman" w:eastAsia="Times New Roman" w:cs="Times New Roman"/>
                <w:color w:val="000000"/>
                <w:sz w:val="20"/>
                <w:szCs w:val="20"/>
              </w:rPr>
              <w:t>*Annual Operations and Maintenance Cost (such as recordkeeping, technical/professional services, etc.)</w:t>
            </w:r>
          </w:p>
        </w:tc>
        <w:tc>
          <w:tcPr>
            <w:tcW w:w="1631" w:type="dxa"/>
            <w:tcBorders>
              <w:top w:val="single" w:color="auto" w:sz="12" w:space="0"/>
              <w:left w:val="nil"/>
              <w:bottom w:val="single" w:color="auto" w:sz="4" w:space="0"/>
              <w:right w:val="single" w:color="auto" w:sz="4" w:space="0"/>
            </w:tcBorders>
            <w:shd w:val="clear" w:color="000000" w:fill="8DB4E2"/>
            <w:vAlign w:val="center"/>
            <w:hideMark/>
          </w:tcPr>
          <w:p w:rsidRPr="00065681" w:rsidR="00274C3F" w:rsidP="00FB600C" w:rsidRDefault="00274C3F" w14:paraId="2471A254" w14:textId="77777777">
            <w:pPr>
              <w:contextualSpacing/>
              <w:rPr>
                <w:rFonts w:ascii="Times New Roman" w:hAnsi="Times New Roman" w:eastAsia="Times New Roman" w:cs="Times New Roman"/>
                <w:color w:val="000000"/>
                <w:sz w:val="20"/>
                <w:szCs w:val="20"/>
              </w:rPr>
            </w:pPr>
            <w:r w:rsidRPr="00065681">
              <w:rPr>
                <w:rFonts w:ascii="Times New Roman" w:hAnsi="Times New Roman" w:eastAsia="Times New Roman" w:cs="Times New Roman"/>
                <w:color w:val="000000"/>
                <w:sz w:val="20"/>
                <w:szCs w:val="20"/>
              </w:rPr>
              <w:t>Annual Non-Labor Cost (expenditures on training, travel and other resources)</w:t>
            </w:r>
          </w:p>
        </w:tc>
        <w:tc>
          <w:tcPr>
            <w:tcW w:w="1387" w:type="dxa"/>
            <w:tcBorders>
              <w:top w:val="single" w:color="auto" w:sz="12" w:space="0"/>
              <w:left w:val="nil"/>
              <w:bottom w:val="single" w:color="auto" w:sz="4" w:space="0"/>
              <w:right w:val="single" w:color="auto" w:sz="12" w:space="0"/>
            </w:tcBorders>
            <w:shd w:val="clear" w:color="000000" w:fill="8DB4E2"/>
            <w:vAlign w:val="center"/>
            <w:hideMark/>
          </w:tcPr>
          <w:p w:rsidRPr="00065681" w:rsidR="00274C3F" w:rsidP="00FB600C" w:rsidRDefault="00274C3F" w14:paraId="366D32E7" w14:textId="77777777">
            <w:pPr>
              <w:contextualSpacing/>
              <w:rPr>
                <w:rFonts w:ascii="Times New Roman" w:hAnsi="Times New Roman" w:eastAsia="Times New Roman" w:cs="Times New Roman"/>
                <w:color w:val="000000"/>
                <w:sz w:val="20"/>
                <w:szCs w:val="20"/>
              </w:rPr>
            </w:pPr>
            <w:r w:rsidRPr="00065681">
              <w:rPr>
                <w:rFonts w:ascii="Times New Roman" w:hAnsi="Times New Roman" w:eastAsia="Times New Roman" w:cs="Times New Roman"/>
                <w:color w:val="000000"/>
                <w:sz w:val="20"/>
                <w:szCs w:val="20"/>
              </w:rPr>
              <w:t>Total Annual Cost to Respondents</w:t>
            </w:r>
          </w:p>
        </w:tc>
      </w:tr>
      <w:tr w:rsidRPr="003B310F" w:rsidR="00274C3F" w:rsidTr="00335C54" w14:paraId="0531CED0" w14:textId="77777777">
        <w:tc>
          <w:tcPr>
            <w:tcW w:w="0" w:type="auto"/>
            <w:tcBorders>
              <w:top w:val="nil"/>
              <w:left w:val="single" w:color="auto" w:sz="12" w:space="0"/>
              <w:bottom w:val="single" w:color="auto" w:sz="4" w:space="0"/>
              <w:right w:val="single" w:color="auto" w:sz="4" w:space="0"/>
            </w:tcBorders>
            <w:shd w:val="clear" w:color="auto" w:fill="auto"/>
            <w:vAlign w:val="center"/>
            <w:hideMark/>
          </w:tcPr>
          <w:p w:rsidRPr="00065681" w:rsidR="00274C3F" w:rsidP="00FB600C" w:rsidRDefault="00274C3F" w14:paraId="2E56A58C" w14:textId="3DF6E8CC">
            <w:pPr>
              <w:contextualSpacing/>
              <w:rPr>
                <w:rFonts w:ascii="Times New Roman" w:hAnsi="Times New Roman" w:eastAsia="Times New Roman" w:cs="Times New Roman"/>
                <w:color w:val="000000"/>
                <w:sz w:val="20"/>
                <w:szCs w:val="20"/>
              </w:rPr>
            </w:pPr>
            <w:r w:rsidRPr="00065681">
              <w:rPr>
                <w:rFonts w:ascii="Times New Roman" w:hAnsi="Times New Roman" w:eastAsia="Times New Roman" w:cs="Times New Roman"/>
                <w:color w:val="000000"/>
                <w:sz w:val="20"/>
                <w:szCs w:val="20"/>
              </w:rPr>
              <w:t> </w:t>
            </w:r>
            <w:r w:rsidR="00420206">
              <w:rPr>
                <w:rFonts w:ascii="Times New Roman" w:hAnsi="Times New Roman" w:eastAsia="Times New Roman" w:cs="Times New Roman"/>
                <w:color w:val="000000"/>
                <w:sz w:val="20"/>
                <w:szCs w:val="20"/>
              </w:rPr>
              <w:t>N/A</w:t>
            </w:r>
          </w:p>
        </w:tc>
        <w:tc>
          <w:tcPr>
            <w:tcW w:w="0" w:type="auto"/>
            <w:tcBorders>
              <w:top w:val="nil"/>
              <w:left w:val="nil"/>
              <w:bottom w:val="single" w:color="auto" w:sz="4" w:space="0"/>
              <w:right w:val="single" w:color="auto" w:sz="4" w:space="0"/>
            </w:tcBorders>
            <w:shd w:val="clear" w:color="auto" w:fill="auto"/>
            <w:vAlign w:val="center"/>
            <w:hideMark/>
          </w:tcPr>
          <w:p w:rsidRPr="00065681" w:rsidR="00274C3F" w:rsidP="00FB600C" w:rsidRDefault="00274C3F" w14:paraId="4D19B7E9" w14:textId="77777777">
            <w:pPr>
              <w:contextualSpacing/>
              <w:rPr>
                <w:rFonts w:ascii="Times New Roman" w:hAnsi="Times New Roman" w:eastAsia="Times New Roman" w:cs="Times New Roman"/>
                <w:color w:val="000000"/>
                <w:sz w:val="20"/>
                <w:szCs w:val="20"/>
              </w:rPr>
            </w:pPr>
            <w:r w:rsidRPr="00065681">
              <w:rPr>
                <w:rFonts w:ascii="Times New Roman" w:hAnsi="Times New Roman"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noWrap/>
            <w:vAlign w:val="center"/>
            <w:hideMark/>
          </w:tcPr>
          <w:p w:rsidRPr="00065681" w:rsidR="00274C3F" w:rsidP="00FB600C" w:rsidRDefault="00274C3F" w14:paraId="6EB14D7E" w14:textId="77777777">
            <w:pPr>
              <w:contextualSpacing/>
              <w:rPr>
                <w:rFonts w:ascii="Times New Roman" w:hAnsi="Times New Roman" w:eastAsia="Times New Roman" w:cs="Times New Roman"/>
                <w:color w:val="000000"/>
                <w:sz w:val="20"/>
                <w:szCs w:val="20"/>
              </w:rPr>
            </w:pPr>
            <w:r w:rsidRPr="00065681">
              <w:rPr>
                <w:rFonts w:ascii="Times New Roman" w:hAnsi="Times New Roman" w:eastAsia="Times New Roman" w:cs="Times New Roman"/>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hideMark/>
          </w:tcPr>
          <w:p w:rsidRPr="00065681" w:rsidR="00274C3F" w:rsidP="00FB600C" w:rsidRDefault="00274C3F" w14:paraId="22F6D189" w14:textId="77777777">
            <w:pPr>
              <w:contextualSpacing/>
              <w:rPr>
                <w:rFonts w:ascii="Times New Roman" w:hAnsi="Times New Roman" w:eastAsia="Times New Roman" w:cs="Times New Roman"/>
                <w:color w:val="000000"/>
                <w:sz w:val="20"/>
                <w:szCs w:val="20"/>
              </w:rPr>
            </w:pPr>
            <w:r w:rsidRPr="00065681">
              <w:rPr>
                <w:rFonts w:ascii="Times New Roman" w:hAnsi="Times New Roman" w:eastAsia="Times New Roman" w:cs="Times New Roman"/>
                <w:color w:val="000000"/>
                <w:sz w:val="20"/>
                <w:szCs w:val="20"/>
              </w:rPr>
              <w:t> </w:t>
            </w:r>
          </w:p>
        </w:tc>
        <w:tc>
          <w:tcPr>
            <w:tcW w:w="0" w:type="auto"/>
            <w:tcBorders>
              <w:top w:val="nil"/>
              <w:left w:val="nil"/>
              <w:bottom w:val="single" w:color="auto" w:sz="4" w:space="0"/>
              <w:right w:val="single" w:color="auto" w:sz="12" w:space="0"/>
            </w:tcBorders>
            <w:shd w:val="clear" w:color="auto" w:fill="auto"/>
            <w:noWrap/>
            <w:vAlign w:val="center"/>
            <w:hideMark/>
          </w:tcPr>
          <w:p w:rsidRPr="00065681" w:rsidR="00274C3F" w:rsidP="00FB600C" w:rsidRDefault="00274C3F" w14:paraId="71D14ADC" w14:textId="1EC960DF">
            <w:pPr>
              <w:contextualSpacing/>
              <w:jc w:val="right"/>
              <w:rPr>
                <w:rFonts w:ascii="Times New Roman" w:hAnsi="Times New Roman" w:eastAsia="Times New Roman" w:cs="Times New Roman"/>
                <w:color w:val="000000"/>
                <w:sz w:val="20"/>
                <w:szCs w:val="20"/>
              </w:rPr>
            </w:pPr>
          </w:p>
        </w:tc>
      </w:tr>
      <w:tr w:rsidRPr="003B310F" w:rsidR="00274C3F" w:rsidTr="00335C54" w14:paraId="7CC813FC" w14:textId="77777777">
        <w:tc>
          <w:tcPr>
            <w:tcW w:w="0" w:type="auto"/>
            <w:tcBorders>
              <w:top w:val="nil"/>
              <w:left w:val="single" w:color="auto" w:sz="12" w:space="0"/>
              <w:bottom w:val="single" w:color="auto" w:sz="12" w:space="0"/>
              <w:right w:val="single" w:color="auto" w:sz="4" w:space="0"/>
            </w:tcBorders>
            <w:shd w:val="clear" w:color="auto" w:fill="auto"/>
            <w:vAlign w:val="center"/>
            <w:hideMark/>
          </w:tcPr>
          <w:p w:rsidRPr="00065681" w:rsidR="00274C3F" w:rsidP="00FB600C" w:rsidRDefault="00274C3F" w14:paraId="1317F2CC" w14:textId="77777777">
            <w:pPr>
              <w:contextualSpacing/>
              <w:rPr>
                <w:rFonts w:ascii="Times New Roman" w:hAnsi="Times New Roman" w:eastAsia="Times New Roman" w:cs="Times New Roman"/>
                <w:b/>
                <w:bCs/>
                <w:color w:val="000000"/>
                <w:sz w:val="20"/>
                <w:szCs w:val="20"/>
              </w:rPr>
            </w:pPr>
            <w:r w:rsidRPr="00065681">
              <w:rPr>
                <w:rFonts w:ascii="Times New Roman" w:hAnsi="Times New Roman" w:eastAsia="Times New Roman" w:cs="Times New Roman"/>
                <w:b/>
                <w:bCs/>
                <w:color w:val="000000"/>
                <w:sz w:val="20"/>
                <w:szCs w:val="20"/>
              </w:rPr>
              <w:t>Total</w:t>
            </w:r>
          </w:p>
        </w:tc>
        <w:tc>
          <w:tcPr>
            <w:tcW w:w="0" w:type="auto"/>
            <w:tcBorders>
              <w:top w:val="nil"/>
              <w:left w:val="nil"/>
              <w:bottom w:val="single" w:color="auto" w:sz="12" w:space="0"/>
              <w:right w:val="single" w:color="auto" w:sz="4" w:space="0"/>
            </w:tcBorders>
            <w:shd w:val="clear" w:color="auto" w:fill="auto"/>
            <w:vAlign w:val="center"/>
            <w:hideMark/>
          </w:tcPr>
          <w:p w:rsidRPr="00065681" w:rsidR="00274C3F" w:rsidP="00FB600C" w:rsidRDefault="00274C3F" w14:paraId="18CA26D2" w14:textId="450A4CB0">
            <w:pPr>
              <w:contextualSpacing/>
              <w:jc w:val="right"/>
              <w:rPr>
                <w:rFonts w:ascii="Times New Roman" w:hAnsi="Times New Roman" w:eastAsia="Times New Roman" w:cs="Times New Roman"/>
                <w:b/>
                <w:bCs/>
                <w:color w:val="000000"/>
                <w:sz w:val="20"/>
                <w:szCs w:val="20"/>
              </w:rPr>
            </w:pPr>
            <w:r w:rsidRPr="00065681">
              <w:rPr>
                <w:rFonts w:ascii="Times New Roman" w:hAnsi="Times New Roman" w:eastAsia="Times New Roman" w:cs="Times New Roman"/>
                <w:b/>
                <w:bCs/>
                <w:color w:val="000000"/>
                <w:sz w:val="20"/>
                <w:szCs w:val="20"/>
              </w:rPr>
              <w:t xml:space="preserve">$ </w:t>
            </w:r>
            <w:r w:rsidR="00420206">
              <w:rPr>
                <w:rFonts w:ascii="Times New Roman" w:hAnsi="Times New Roman" w:eastAsia="Times New Roman" w:cs="Times New Roman"/>
                <w:b/>
                <w:bCs/>
                <w:color w:val="000000"/>
                <w:sz w:val="20"/>
                <w:szCs w:val="20"/>
              </w:rPr>
              <w:t>0</w:t>
            </w:r>
            <w:r w:rsidRPr="00065681">
              <w:rPr>
                <w:rFonts w:ascii="Times New Roman" w:hAnsi="Times New Roman" w:eastAsia="Times New Roman" w:cs="Times New Roman"/>
                <w:b/>
                <w:bCs/>
                <w:color w:val="000000"/>
                <w:sz w:val="20"/>
                <w:szCs w:val="20"/>
              </w:rPr>
              <w:t xml:space="preserve">   </w:t>
            </w:r>
          </w:p>
        </w:tc>
        <w:tc>
          <w:tcPr>
            <w:tcW w:w="0" w:type="auto"/>
            <w:tcBorders>
              <w:top w:val="nil"/>
              <w:left w:val="nil"/>
              <w:bottom w:val="single" w:color="auto" w:sz="12" w:space="0"/>
              <w:right w:val="single" w:color="auto" w:sz="4" w:space="0"/>
            </w:tcBorders>
            <w:shd w:val="clear" w:color="auto" w:fill="auto"/>
            <w:vAlign w:val="center"/>
            <w:hideMark/>
          </w:tcPr>
          <w:p w:rsidRPr="00065681" w:rsidR="00274C3F" w:rsidP="00FB600C" w:rsidRDefault="00420206" w14:paraId="1E400E4C" w14:textId="32411F1A">
            <w:pPr>
              <w:contextualSpacing/>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w:t>
            </w:r>
          </w:p>
        </w:tc>
        <w:tc>
          <w:tcPr>
            <w:tcW w:w="0" w:type="auto"/>
            <w:tcBorders>
              <w:top w:val="nil"/>
              <w:left w:val="nil"/>
              <w:bottom w:val="single" w:color="auto" w:sz="12" w:space="0"/>
              <w:right w:val="single" w:color="auto" w:sz="4" w:space="0"/>
            </w:tcBorders>
            <w:shd w:val="clear" w:color="auto" w:fill="auto"/>
            <w:vAlign w:val="center"/>
            <w:hideMark/>
          </w:tcPr>
          <w:p w:rsidRPr="00065681" w:rsidR="00274C3F" w:rsidP="00FB600C" w:rsidRDefault="00335C54" w14:paraId="1A714271" w14:textId="72AA306B">
            <w:pPr>
              <w:contextualSpacing/>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w:t>
            </w:r>
          </w:p>
        </w:tc>
        <w:tc>
          <w:tcPr>
            <w:tcW w:w="0" w:type="auto"/>
            <w:tcBorders>
              <w:top w:val="nil"/>
              <w:left w:val="nil"/>
              <w:bottom w:val="single" w:color="auto" w:sz="12" w:space="0"/>
              <w:right w:val="single" w:color="auto" w:sz="12" w:space="0"/>
            </w:tcBorders>
            <w:shd w:val="clear" w:color="auto" w:fill="auto"/>
            <w:vAlign w:val="center"/>
            <w:hideMark/>
          </w:tcPr>
          <w:p w:rsidRPr="00065681" w:rsidR="00274C3F" w:rsidP="00FB600C" w:rsidRDefault="00335C54" w14:paraId="060EB1CF" w14:textId="0BED0444">
            <w:pPr>
              <w:contextualSpacing/>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w:t>
            </w:r>
          </w:p>
        </w:tc>
      </w:tr>
    </w:tbl>
    <w:p w:rsidRPr="006625E7" w:rsidR="00980116" w:rsidP="00FB600C" w:rsidRDefault="00980116" w14:paraId="31824049" w14:textId="77777777">
      <w:pPr>
        <w:contextualSpacing/>
        <w:rPr>
          <w:rFonts w:ascii="Times New Roman" w:hAnsi="Times New Roman" w:cs="Times New Roman"/>
          <w:sz w:val="24"/>
          <w:szCs w:val="24"/>
        </w:rPr>
      </w:pPr>
    </w:p>
    <w:p w:rsidR="00065681" w:rsidP="00FB600C" w:rsidRDefault="00065681" w14:paraId="6D1692EF" w14:textId="65DF81F0">
      <w:pPr>
        <w:contextualSpacing/>
        <w:rPr>
          <w:rFonts w:ascii="Times New Roman" w:hAnsi="Times New Roman" w:cs="Times New Roman"/>
          <w:b/>
          <w:bCs/>
          <w:sz w:val="24"/>
          <w:szCs w:val="24"/>
        </w:rPr>
      </w:pPr>
    </w:p>
    <w:p w:rsidR="00562915" w:rsidP="00FB600C" w:rsidRDefault="00562915" w14:paraId="5F4A1C2B" w14:textId="0FCFC4B6">
      <w:pPr>
        <w:contextualSpacing/>
        <w:rPr>
          <w:rFonts w:ascii="Times New Roman" w:hAnsi="Times New Roman" w:cs="Times New Roman"/>
          <w:b/>
          <w:bCs/>
          <w:sz w:val="24"/>
          <w:szCs w:val="24"/>
        </w:rPr>
      </w:pPr>
      <w:r w:rsidRPr="006625E7">
        <w:rPr>
          <w:rFonts w:ascii="Times New Roman" w:hAnsi="Times New Roman" w:cs="Times New Roman"/>
          <w:b/>
          <w:bCs/>
          <w:sz w:val="24"/>
          <w:szCs w:val="24"/>
        </w:rPr>
        <w:t xml:space="preserve">14. </w:t>
      </w:r>
      <w:r w:rsidR="00980116">
        <w:rPr>
          <w:rFonts w:ascii="Times New Roman" w:hAnsi="Times New Roman" w:cs="Times New Roman"/>
          <w:b/>
          <w:bCs/>
          <w:sz w:val="24"/>
          <w:szCs w:val="24"/>
        </w:rPr>
        <w:t xml:space="preserve"> </w:t>
      </w:r>
      <w:r w:rsidRPr="006625E7">
        <w:rPr>
          <w:rFonts w:ascii="Times New Roman" w:hAnsi="Times New Roman" w:cs="Times New Roman"/>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FB600C" w:rsidP="00FB600C" w:rsidRDefault="00FB600C" w14:paraId="30BA3084" w14:textId="77777777">
      <w:pPr>
        <w:contextualSpacing/>
        <w:rPr>
          <w:rFonts w:ascii="Times New Roman" w:hAnsi="Times New Roman" w:cs="Times New Roman"/>
          <w:b/>
          <w:bCs/>
          <w:sz w:val="24"/>
          <w:szCs w:val="24"/>
        </w:rPr>
      </w:pPr>
    </w:p>
    <w:tbl>
      <w:tblPr>
        <w:tblStyle w:val="TableGrid2"/>
        <w:tblW w:w="0" w:type="auto"/>
        <w:tblLook w:val="04A0" w:firstRow="1" w:lastRow="0" w:firstColumn="1" w:lastColumn="0" w:noHBand="0" w:noVBand="1"/>
      </w:tblPr>
      <w:tblGrid>
        <w:gridCol w:w="6742"/>
        <w:gridCol w:w="1888"/>
      </w:tblGrid>
      <w:tr w:rsidRPr="008D1279" w:rsidR="00297FB4" w:rsidTr="00A12521" w14:paraId="64AF4C5A" w14:textId="77777777">
        <w:tc>
          <w:tcPr>
            <w:tcW w:w="9350" w:type="dxa"/>
            <w:gridSpan w:val="2"/>
          </w:tcPr>
          <w:p w:rsidRPr="008D1279" w:rsidR="00297FB4" w:rsidP="00FB600C" w:rsidRDefault="00297FB4" w14:paraId="652C0456" w14:textId="77777777">
            <w:pPr>
              <w:contextualSpacing/>
              <w:jc w:val="center"/>
              <w:rPr>
                <w:rFonts w:ascii="Times New Roman" w:hAnsi="Times New Roman" w:eastAsia="Calibri" w:cs="Times New Roman"/>
                <w:b/>
                <w:sz w:val="20"/>
                <w:szCs w:val="20"/>
              </w:rPr>
            </w:pPr>
            <w:bookmarkStart w:name="_Hlk51849777" w:id="0"/>
            <w:r w:rsidRPr="008D1279">
              <w:rPr>
                <w:rFonts w:ascii="Times New Roman" w:hAnsi="Times New Roman" w:eastAsia="Calibri" w:cs="Times New Roman"/>
                <w:b/>
                <w:sz w:val="20"/>
                <w:szCs w:val="20"/>
              </w:rPr>
              <w:t>Annual Cost to the Federal Government</w:t>
            </w:r>
          </w:p>
        </w:tc>
      </w:tr>
      <w:tr w:rsidRPr="008D1279" w:rsidR="00297FB4" w:rsidTr="00A12521" w14:paraId="4CC2A2D1" w14:textId="77777777">
        <w:tc>
          <w:tcPr>
            <w:tcW w:w="7375" w:type="dxa"/>
            <w:shd w:val="clear" w:color="auto" w:fill="8EAADB"/>
          </w:tcPr>
          <w:p w:rsidRPr="008D1279" w:rsidR="00297FB4" w:rsidP="00FB600C" w:rsidRDefault="00297FB4" w14:paraId="3411153A" w14:textId="77777777">
            <w:pPr>
              <w:contextualSpacing/>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Item</w:t>
            </w:r>
          </w:p>
        </w:tc>
        <w:tc>
          <w:tcPr>
            <w:tcW w:w="1975" w:type="dxa"/>
            <w:shd w:val="clear" w:color="auto" w:fill="8EAADB"/>
          </w:tcPr>
          <w:p w:rsidRPr="008D1279" w:rsidR="00297FB4" w:rsidP="00FB600C" w:rsidRDefault="00297FB4" w14:paraId="0E682791" w14:textId="77777777">
            <w:pPr>
              <w:contextualSpacing/>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Cost ($)</w:t>
            </w:r>
          </w:p>
        </w:tc>
      </w:tr>
      <w:tr w:rsidRPr="008D1279" w:rsidR="00297FB4" w:rsidTr="00A12521" w14:paraId="4E3E8F23" w14:textId="77777777">
        <w:tc>
          <w:tcPr>
            <w:tcW w:w="7375" w:type="dxa"/>
          </w:tcPr>
          <w:p w:rsidR="00297FB4" w:rsidP="00FB600C" w:rsidRDefault="00297FB4" w14:paraId="61ED0E28" w14:textId="77777777">
            <w:pPr>
              <w:contextualSpacing/>
              <w:rPr>
                <w:rFonts w:ascii="Times New Roman" w:hAnsi="Times New Roman" w:eastAsia="Calibri" w:cs="Times New Roman"/>
                <w:sz w:val="20"/>
                <w:szCs w:val="20"/>
              </w:rPr>
            </w:pPr>
            <w:r w:rsidRPr="008D1279">
              <w:rPr>
                <w:rFonts w:ascii="Times New Roman" w:hAnsi="Times New Roman" w:eastAsia="Calibri" w:cs="Times New Roman"/>
                <w:sz w:val="20"/>
                <w:szCs w:val="20"/>
              </w:rPr>
              <w:t xml:space="preserve">Contract Costs </w:t>
            </w:r>
          </w:p>
          <w:p w:rsidRPr="008D1279" w:rsidR="00297FB4" w:rsidP="00FB600C" w:rsidRDefault="00297FB4" w14:paraId="5E44F364" w14:textId="6A411B4D">
            <w:pPr>
              <w:contextualSpacing/>
              <w:rPr>
                <w:rFonts w:ascii="Times New Roman" w:hAnsi="Times New Roman" w:eastAsia="Calibri" w:cs="Times New Roman"/>
                <w:sz w:val="20"/>
                <w:szCs w:val="20"/>
              </w:rPr>
            </w:pPr>
            <w:r w:rsidRPr="00065681">
              <w:rPr>
                <w:rFonts w:ascii="Times New Roman" w:hAnsi="Times New Roman" w:eastAsia="Times New Roman" w:cs="Times New Roman"/>
                <w:color w:val="000000"/>
                <w:sz w:val="20"/>
                <w:szCs w:val="20"/>
              </w:rPr>
              <w:t xml:space="preserve">For 180 days = </w:t>
            </w:r>
            <w:r w:rsidRPr="006E584F">
              <w:rPr>
                <w:rFonts w:ascii="Times New Roman" w:hAnsi="Times New Roman" w:eastAsia="Times New Roman" w:cs="Times New Roman"/>
                <w:color w:val="000000"/>
                <w:sz w:val="20"/>
                <w:szCs w:val="20"/>
              </w:rPr>
              <w:t>$51,000,000</w:t>
            </w:r>
            <w:r w:rsidRPr="00065681">
              <w:rPr>
                <w:rFonts w:ascii="Times New Roman" w:hAnsi="Times New Roman" w:eastAsia="Times New Roman" w:cs="Times New Roman"/>
                <w:color w:val="000000"/>
                <w:sz w:val="20"/>
                <w:szCs w:val="20"/>
              </w:rPr>
              <w:br/>
              <w:t xml:space="preserve">     Staff: 80 FTEs x 40 hours p/week x 180 days </w:t>
            </w:r>
            <w:r w:rsidRPr="00065681">
              <w:rPr>
                <w:rFonts w:ascii="Times New Roman" w:hAnsi="Times New Roman" w:eastAsia="Times New Roman" w:cs="Times New Roman"/>
                <w:color w:val="000000"/>
                <w:sz w:val="20"/>
                <w:szCs w:val="20"/>
              </w:rPr>
              <w:br/>
              <w:t xml:space="preserve">     Travel costs (mileage and per diem)</w:t>
            </w:r>
            <w:r w:rsidRPr="00065681">
              <w:rPr>
                <w:rFonts w:ascii="Times New Roman" w:hAnsi="Times New Roman" w:eastAsia="Times New Roman" w:cs="Times New Roman"/>
                <w:color w:val="000000"/>
                <w:sz w:val="20"/>
                <w:szCs w:val="20"/>
              </w:rPr>
              <w:br/>
              <w:t xml:space="preserve">     Supplies (</w:t>
            </w:r>
            <w:r w:rsidRPr="00065681" w:rsidR="00020ABB">
              <w:rPr>
                <w:rFonts w:ascii="Times New Roman" w:hAnsi="Times New Roman" w:eastAsia="Times New Roman" w:cs="Times New Roman"/>
                <w:color w:val="000000"/>
                <w:sz w:val="20"/>
                <w:szCs w:val="20"/>
              </w:rPr>
              <w:t>i.e.,</w:t>
            </w:r>
            <w:r w:rsidRPr="00065681">
              <w:rPr>
                <w:rFonts w:ascii="Times New Roman" w:hAnsi="Times New Roman" w:eastAsia="Times New Roman" w:cs="Times New Roman"/>
                <w:color w:val="000000"/>
                <w:sz w:val="20"/>
                <w:szCs w:val="20"/>
              </w:rPr>
              <w:t xml:space="preserve"> headsets, postage, office supplies)</w:t>
            </w:r>
            <w:r w:rsidRPr="00065681">
              <w:rPr>
                <w:rFonts w:ascii="Times New Roman" w:hAnsi="Times New Roman" w:eastAsia="Times New Roman" w:cs="Times New Roman"/>
                <w:color w:val="000000"/>
                <w:sz w:val="20"/>
                <w:szCs w:val="20"/>
              </w:rPr>
              <w:br/>
              <w:t xml:space="preserve">     Computer hardware/software</w:t>
            </w:r>
            <w:r w:rsidRPr="00065681">
              <w:rPr>
                <w:rFonts w:ascii="Times New Roman" w:hAnsi="Times New Roman" w:eastAsia="Times New Roman" w:cs="Times New Roman"/>
                <w:color w:val="000000"/>
                <w:sz w:val="20"/>
                <w:szCs w:val="20"/>
              </w:rPr>
              <w:br/>
            </w:r>
            <w:r>
              <w:rPr>
                <w:rFonts w:ascii="Times New Roman" w:hAnsi="Times New Roman" w:eastAsia="Times New Roman" w:cs="Times New Roman"/>
                <w:color w:val="000000"/>
                <w:sz w:val="20"/>
                <w:szCs w:val="20"/>
              </w:rPr>
              <w:t>Information Technology</w:t>
            </w:r>
            <w:r w:rsidRPr="00065681">
              <w:rPr>
                <w:rFonts w:ascii="Times New Roman" w:hAnsi="Times New Roman" w:eastAsia="Times New Roman" w:cs="Times New Roman"/>
                <w:color w:val="000000"/>
                <w:sz w:val="20"/>
                <w:szCs w:val="20"/>
              </w:rPr>
              <w:t xml:space="preserve"> Staff and License Support for 180 days = $</w:t>
            </w:r>
            <w:r w:rsidRPr="00817382">
              <w:rPr>
                <w:rFonts w:ascii="Times New Roman" w:hAnsi="Times New Roman" w:eastAsia="Times New Roman" w:cs="Times New Roman"/>
                <w:color w:val="000000"/>
                <w:sz w:val="20"/>
                <w:szCs w:val="20"/>
              </w:rPr>
              <w:t>300,000</w:t>
            </w:r>
            <w:r w:rsidRPr="00065681">
              <w:rPr>
                <w:rFonts w:ascii="Times New Roman" w:hAnsi="Times New Roman" w:eastAsia="Times New Roman" w:cs="Times New Roman"/>
                <w:color w:val="000000"/>
                <w:sz w:val="20"/>
                <w:szCs w:val="20"/>
              </w:rPr>
              <w:br/>
              <w:t>[$51,000,000 + $300,000 = $51,300,000]</w:t>
            </w:r>
            <w:r w:rsidRPr="008D1279" w:rsidDel="00E87ACC">
              <w:rPr>
                <w:rFonts w:ascii="Times New Roman" w:hAnsi="Times New Roman" w:eastAsia="Calibri" w:cs="Times New Roman"/>
                <w:sz w:val="20"/>
                <w:szCs w:val="20"/>
              </w:rPr>
              <w:t xml:space="preserve"> </w:t>
            </w:r>
          </w:p>
        </w:tc>
        <w:tc>
          <w:tcPr>
            <w:tcW w:w="1975" w:type="dxa"/>
            <w:vAlign w:val="center"/>
          </w:tcPr>
          <w:p w:rsidRPr="008D1279" w:rsidR="00297FB4" w:rsidP="00FB600C" w:rsidRDefault="00297FB4" w14:paraId="163A1B86" w14:textId="77777777">
            <w:pPr>
              <w:contextualSpacing/>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w:t>
            </w:r>
            <w:r>
              <w:rPr>
                <w:rFonts w:ascii="Times New Roman" w:hAnsi="Times New Roman" w:eastAsia="Calibri" w:cs="Times New Roman"/>
                <w:sz w:val="20"/>
                <w:szCs w:val="20"/>
              </w:rPr>
              <w:t>51,300,000</w:t>
            </w:r>
          </w:p>
        </w:tc>
      </w:tr>
      <w:tr w:rsidRPr="008D1279" w:rsidR="00297FB4" w:rsidTr="00A12521" w14:paraId="2FA65F95" w14:textId="77777777">
        <w:tc>
          <w:tcPr>
            <w:tcW w:w="7375" w:type="dxa"/>
          </w:tcPr>
          <w:p w:rsidR="00297FB4" w:rsidP="00FB600C" w:rsidRDefault="00297FB4" w14:paraId="5106190A" w14:textId="77777777">
            <w:pPr>
              <w:contextualSpacing/>
              <w:rPr>
                <w:rFonts w:ascii="Times New Roman" w:hAnsi="Times New Roman" w:eastAsia="Calibri" w:cs="Times New Roman"/>
                <w:sz w:val="20"/>
                <w:szCs w:val="20"/>
              </w:rPr>
            </w:pPr>
            <w:r w:rsidRPr="00BE3831">
              <w:rPr>
                <w:rFonts w:ascii="Times New Roman" w:hAnsi="Times New Roman" w:eastAsia="Calibri" w:cs="Times New Roman"/>
                <w:sz w:val="20"/>
                <w:szCs w:val="20"/>
              </w:rPr>
              <w:t>Staff Salaries</w:t>
            </w:r>
            <w:r>
              <w:rPr>
                <w:rFonts w:ascii="Times New Roman" w:hAnsi="Times New Roman" w:eastAsia="Calibri" w:cs="Times New Roman"/>
                <w:sz w:val="20"/>
                <w:szCs w:val="20"/>
              </w:rPr>
              <w:t xml:space="preserve">: </w:t>
            </w:r>
          </w:p>
          <w:p w:rsidR="00297FB4" w:rsidP="00A11A26" w:rsidRDefault="00297FB4" w14:paraId="71FB80FA" w14:textId="77777777">
            <w:pPr>
              <w:contextualSpacing/>
              <w:rPr>
                <w:rFonts w:ascii="Times New Roman" w:hAnsi="Times New Roman" w:eastAsia="Times New Roman" w:cs="Times New Roman"/>
                <w:color w:val="000000"/>
                <w:sz w:val="20"/>
                <w:szCs w:val="20"/>
              </w:rPr>
            </w:pPr>
            <w:r w:rsidRPr="00065681">
              <w:rPr>
                <w:rFonts w:ascii="Times New Roman" w:hAnsi="Times New Roman" w:eastAsia="Times New Roman" w:cs="Times New Roman"/>
                <w:color w:val="000000"/>
                <w:sz w:val="20"/>
                <w:szCs w:val="20"/>
              </w:rPr>
              <w:t>Leads (FEMA liaison/Finance and Admin Support/Contract Officer Representative)</w:t>
            </w:r>
          </w:p>
          <w:p w:rsidR="00297FB4" w:rsidP="00FB600C" w:rsidRDefault="00297FB4" w14:paraId="588FE9AF" w14:textId="77777777">
            <w:pPr>
              <w:contextualSpacing/>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FEMA Liaison (GS-14, Step 5) $66.54/hr</w:t>
            </w:r>
            <w:r>
              <w:rPr>
                <w:rFonts w:ascii="Times New Roman" w:hAnsi="Times New Roman" w:eastAsia="Times New Roman" w:cs="Times New Roman"/>
                <w:color w:val="000000"/>
                <w:sz w:val="20"/>
                <w:szCs w:val="20"/>
                <w:vertAlign w:val="superscript"/>
              </w:rPr>
              <w:t>1</w:t>
            </w:r>
            <w:r>
              <w:rPr>
                <w:rFonts w:ascii="Times New Roman" w:hAnsi="Times New Roman" w:eastAsia="Times New Roman" w:cs="Times New Roman"/>
                <w:color w:val="000000"/>
                <w:sz w:val="20"/>
                <w:szCs w:val="20"/>
              </w:rPr>
              <w:t xml:space="preserve"> x 1.45</w:t>
            </w:r>
            <w:r>
              <w:rPr>
                <w:rFonts w:ascii="Times New Roman" w:hAnsi="Times New Roman" w:eastAsia="Times New Roman" w:cs="Times New Roman"/>
                <w:color w:val="000000"/>
                <w:sz w:val="20"/>
                <w:szCs w:val="20"/>
                <w:vertAlign w:val="superscript"/>
              </w:rPr>
              <w:t>2</w:t>
            </w:r>
            <w:r>
              <w:rPr>
                <w:rFonts w:ascii="Times New Roman" w:hAnsi="Times New Roman" w:eastAsia="Times New Roman" w:cs="Times New Roman"/>
                <w:color w:val="000000"/>
                <w:sz w:val="20"/>
                <w:szCs w:val="20"/>
              </w:rPr>
              <w:t xml:space="preserve"> x 50 hr/week x 26 weeks = $125,428</w:t>
            </w:r>
          </w:p>
          <w:p w:rsidR="00297FB4" w:rsidP="00FB600C" w:rsidRDefault="00297FB4" w14:paraId="2404C9F3" w14:textId="77777777">
            <w:pPr>
              <w:contextualSpacing/>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F/Admin Support (GS-15, Step 5) $78.27/hr x 1.45 x 40 hr/week x 26 weeks = $118,031</w:t>
            </w:r>
          </w:p>
          <w:p w:rsidR="00297FB4" w:rsidP="00FB600C" w:rsidRDefault="00297FB4" w14:paraId="66C42DEA" w14:textId="77777777">
            <w:pPr>
              <w:contextualSpacing/>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COR (GS-13, Step 5) $56.31/hr x 1.45 x 40 hr/week x 26 weeks = $84,915</w:t>
            </w:r>
          </w:p>
          <w:p w:rsidRPr="008D1279" w:rsidR="00297FB4" w:rsidP="00FB600C" w:rsidRDefault="00297FB4" w14:paraId="0F226485" w14:textId="77777777">
            <w:pPr>
              <w:contextualSpacing/>
              <w:rPr>
                <w:rFonts w:ascii="Times New Roman" w:hAnsi="Times New Roman" w:eastAsia="Calibri" w:cs="Times New Roman"/>
                <w:sz w:val="20"/>
                <w:szCs w:val="20"/>
              </w:rPr>
            </w:pPr>
            <w:r>
              <w:rPr>
                <w:rFonts w:ascii="Times New Roman" w:hAnsi="Times New Roman" w:eastAsia="Times New Roman" w:cs="Times New Roman"/>
                <w:color w:val="000000"/>
                <w:sz w:val="20"/>
                <w:szCs w:val="20"/>
              </w:rPr>
              <w:t>[$125,428 + $ 118,031 + $84,915 = $328,374]</w:t>
            </w:r>
          </w:p>
        </w:tc>
        <w:tc>
          <w:tcPr>
            <w:tcW w:w="1975" w:type="dxa"/>
            <w:vAlign w:val="center"/>
          </w:tcPr>
          <w:p w:rsidRPr="008D1279" w:rsidR="00297FB4" w:rsidP="00FB600C" w:rsidRDefault="00297FB4" w14:paraId="3576F51E" w14:textId="77777777">
            <w:pPr>
              <w:contextualSpacing/>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w:t>
            </w:r>
            <w:r>
              <w:rPr>
                <w:rFonts w:ascii="Times New Roman" w:hAnsi="Times New Roman" w:eastAsia="Calibri" w:cs="Times New Roman"/>
                <w:sz w:val="20"/>
                <w:szCs w:val="20"/>
              </w:rPr>
              <w:t>328,374</w:t>
            </w:r>
          </w:p>
        </w:tc>
      </w:tr>
      <w:tr w:rsidRPr="008D1279" w:rsidR="00297FB4" w:rsidTr="00A12521" w14:paraId="0E90141C" w14:textId="77777777">
        <w:tc>
          <w:tcPr>
            <w:tcW w:w="7375" w:type="dxa"/>
          </w:tcPr>
          <w:p w:rsidRPr="008D1279" w:rsidR="00297FB4" w:rsidP="00FB600C" w:rsidRDefault="00297FB4" w14:paraId="1CADAF3F" w14:textId="77777777">
            <w:pPr>
              <w:contextualSpacing/>
              <w:rPr>
                <w:rFonts w:ascii="Times New Roman" w:hAnsi="Times New Roman" w:eastAsia="Calibri" w:cs="Times New Roman"/>
                <w:sz w:val="20"/>
                <w:szCs w:val="20"/>
              </w:rPr>
            </w:pPr>
            <w:r w:rsidRPr="008D1279">
              <w:rPr>
                <w:rFonts w:ascii="Times New Roman" w:hAnsi="Times New Roman" w:eastAsia="Calibri" w:cs="Times New Roman"/>
                <w:sz w:val="20"/>
                <w:szCs w:val="20"/>
              </w:rPr>
              <w:t>Facilities [cost for renting, overhead, etc. for data collection activity]</w:t>
            </w:r>
          </w:p>
        </w:tc>
        <w:tc>
          <w:tcPr>
            <w:tcW w:w="1975" w:type="dxa"/>
            <w:vAlign w:val="center"/>
          </w:tcPr>
          <w:p w:rsidRPr="008D1279" w:rsidR="00297FB4" w:rsidP="00FB600C" w:rsidRDefault="00297FB4" w14:paraId="4E28CEBD" w14:textId="77777777">
            <w:pPr>
              <w:contextualSpacing/>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297FB4" w:rsidTr="00A12521" w14:paraId="377EE7C0" w14:textId="77777777">
        <w:tc>
          <w:tcPr>
            <w:tcW w:w="7375" w:type="dxa"/>
          </w:tcPr>
          <w:p w:rsidRPr="008D1279" w:rsidR="00297FB4" w:rsidP="00FB600C" w:rsidRDefault="00297FB4" w14:paraId="48603BC8" w14:textId="77777777">
            <w:pPr>
              <w:contextualSpacing/>
              <w:rPr>
                <w:rFonts w:ascii="Times New Roman" w:hAnsi="Times New Roman" w:eastAsia="Calibri" w:cs="Times New Roman"/>
                <w:sz w:val="20"/>
                <w:szCs w:val="20"/>
              </w:rPr>
            </w:pPr>
            <w:r w:rsidRPr="008D1279">
              <w:rPr>
                <w:rFonts w:ascii="Times New Roman" w:hAnsi="Times New Roman" w:eastAsia="Calibri" w:cs="Times New Roman"/>
                <w:sz w:val="20"/>
                <w:szCs w:val="20"/>
              </w:rPr>
              <w:t>Computer Hardware and Software [cost of equipment annual lifecycle]</w:t>
            </w:r>
          </w:p>
        </w:tc>
        <w:tc>
          <w:tcPr>
            <w:tcW w:w="1975" w:type="dxa"/>
            <w:vAlign w:val="center"/>
          </w:tcPr>
          <w:p w:rsidRPr="008D1279" w:rsidR="00297FB4" w:rsidP="00FB600C" w:rsidRDefault="00297FB4" w14:paraId="2EE237AE" w14:textId="77777777">
            <w:pPr>
              <w:contextualSpacing/>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297FB4" w:rsidTr="00A12521" w14:paraId="6277AB0B" w14:textId="77777777">
        <w:tc>
          <w:tcPr>
            <w:tcW w:w="7375" w:type="dxa"/>
          </w:tcPr>
          <w:p w:rsidRPr="008D1279" w:rsidR="00297FB4" w:rsidP="00FB600C" w:rsidRDefault="00297FB4" w14:paraId="1A8D8CEA" w14:textId="77777777">
            <w:pPr>
              <w:contextualSpacing/>
              <w:rPr>
                <w:rFonts w:ascii="Times New Roman" w:hAnsi="Times New Roman" w:eastAsia="Calibri" w:cs="Times New Roman"/>
                <w:sz w:val="20"/>
                <w:szCs w:val="20"/>
              </w:rPr>
            </w:pPr>
            <w:r w:rsidRPr="008D1279">
              <w:rPr>
                <w:rFonts w:ascii="Times New Roman" w:hAnsi="Times New Roman" w:eastAsia="Calibri" w:cs="Times New Roman"/>
                <w:sz w:val="20"/>
                <w:szCs w:val="20"/>
              </w:rPr>
              <w:t>Equipment Maintenance [cost of annual maintenance/service agreements for equipment]</w:t>
            </w:r>
          </w:p>
        </w:tc>
        <w:tc>
          <w:tcPr>
            <w:tcW w:w="1975" w:type="dxa"/>
            <w:vAlign w:val="center"/>
          </w:tcPr>
          <w:p w:rsidRPr="008D1279" w:rsidR="00297FB4" w:rsidP="00FB600C" w:rsidRDefault="00297FB4" w14:paraId="4363B085" w14:textId="77777777">
            <w:pPr>
              <w:contextualSpacing/>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297FB4" w:rsidTr="00A12521" w14:paraId="003685C9" w14:textId="77777777">
        <w:tc>
          <w:tcPr>
            <w:tcW w:w="7375" w:type="dxa"/>
          </w:tcPr>
          <w:p w:rsidR="00297FB4" w:rsidP="00FB600C" w:rsidRDefault="00297FB4" w14:paraId="23E99ED6" w14:textId="77777777">
            <w:pPr>
              <w:contextualSpacing/>
              <w:rPr>
                <w:rFonts w:ascii="Times New Roman" w:hAnsi="Times New Roman" w:eastAsia="Calibri" w:cs="Times New Roman"/>
                <w:sz w:val="20"/>
                <w:szCs w:val="20"/>
              </w:rPr>
            </w:pPr>
            <w:r w:rsidRPr="008D1279">
              <w:rPr>
                <w:rFonts w:ascii="Times New Roman" w:hAnsi="Times New Roman" w:eastAsia="Calibri" w:cs="Times New Roman"/>
                <w:sz w:val="20"/>
                <w:szCs w:val="20"/>
              </w:rPr>
              <w:t>Travel</w:t>
            </w:r>
          </w:p>
          <w:p w:rsidRPr="008D1279" w:rsidR="00297FB4" w:rsidP="00FB600C" w:rsidRDefault="00297FB4" w14:paraId="547F496A" w14:textId="77777777">
            <w:pPr>
              <w:contextualSpacing/>
              <w:rPr>
                <w:rFonts w:ascii="Times New Roman" w:hAnsi="Times New Roman" w:eastAsia="Calibri" w:cs="Times New Roman"/>
                <w:sz w:val="20"/>
                <w:szCs w:val="20"/>
              </w:rPr>
            </w:pPr>
            <w:r w:rsidRPr="00065681">
              <w:rPr>
                <w:rFonts w:ascii="Times New Roman" w:hAnsi="Times New Roman" w:eastAsia="Times New Roman" w:cs="Times New Roman"/>
                <w:color w:val="000000"/>
                <w:sz w:val="20"/>
                <w:szCs w:val="20"/>
              </w:rPr>
              <w:t>Contract travel costs in contract costs</w:t>
            </w:r>
            <w:r w:rsidRPr="00065681">
              <w:rPr>
                <w:rFonts w:ascii="Times New Roman" w:hAnsi="Times New Roman" w:eastAsia="Times New Roman" w:cs="Times New Roman"/>
                <w:color w:val="000000"/>
                <w:sz w:val="20"/>
                <w:szCs w:val="20"/>
              </w:rPr>
              <w:br/>
              <w:t>Staff = Two (2) FTEs x Four (4) trips x $1,500 for travel/per diem = $12,000</w:t>
            </w:r>
          </w:p>
        </w:tc>
        <w:tc>
          <w:tcPr>
            <w:tcW w:w="1975" w:type="dxa"/>
            <w:vAlign w:val="center"/>
          </w:tcPr>
          <w:p w:rsidRPr="008D1279" w:rsidR="00297FB4" w:rsidP="00FB600C" w:rsidRDefault="00297FB4" w14:paraId="323040E6" w14:textId="77777777">
            <w:pPr>
              <w:contextualSpacing/>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w:t>
            </w:r>
            <w:r>
              <w:rPr>
                <w:rFonts w:ascii="Times New Roman" w:hAnsi="Times New Roman" w:eastAsia="Calibri" w:cs="Times New Roman"/>
                <w:sz w:val="20"/>
                <w:szCs w:val="20"/>
              </w:rPr>
              <w:t>12,00</w:t>
            </w:r>
            <w:r w:rsidRPr="008D1279">
              <w:rPr>
                <w:rFonts w:ascii="Times New Roman" w:hAnsi="Times New Roman" w:eastAsia="Calibri" w:cs="Times New Roman"/>
                <w:sz w:val="20"/>
                <w:szCs w:val="20"/>
              </w:rPr>
              <w:t>0</w:t>
            </w:r>
          </w:p>
        </w:tc>
      </w:tr>
      <w:tr w:rsidRPr="008D1279" w:rsidR="00297FB4" w:rsidTr="00A12521" w14:paraId="0BDF7989" w14:textId="77777777">
        <w:tc>
          <w:tcPr>
            <w:tcW w:w="7375" w:type="dxa"/>
          </w:tcPr>
          <w:p w:rsidRPr="008D1279" w:rsidR="00297FB4" w:rsidP="00FB600C" w:rsidRDefault="00297FB4" w14:paraId="46B71569" w14:textId="77777777">
            <w:pPr>
              <w:contextualSpacing/>
              <w:rPr>
                <w:rFonts w:ascii="Times New Roman" w:hAnsi="Times New Roman" w:eastAsia="Calibri" w:cs="Times New Roman"/>
                <w:b/>
                <w:sz w:val="20"/>
                <w:szCs w:val="20"/>
              </w:rPr>
            </w:pPr>
            <w:r w:rsidRPr="008D1279">
              <w:rPr>
                <w:rFonts w:ascii="Times New Roman" w:hAnsi="Times New Roman" w:eastAsia="Calibri" w:cs="Times New Roman"/>
                <w:b/>
                <w:sz w:val="20"/>
                <w:szCs w:val="20"/>
              </w:rPr>
              <w:t>Total</w:t>
            </w:r>
          </w:p>
        </w:tc>
        <w:tc>
          <w:tcPr>
            <w:tcW w:w="1975" w:type="dxa"/>
            <w:vAlign w:val="center"/>
          </w:tcPr>
          <w:p w:rsidRPr="008D1279" w:rsidR="00297FB4" w:rsidP="00FB600C" w:rsidRDefault="00297FB4" w14:paraId="78BD291F" w14:textId="77777777">
            <w:pPr>
              <w:contextualSpacing/>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w:t>
            </w:r>
            <w:r>
              <w:rPr>
                <w:rFonts w:ascii="Times New Roman" w:hAnsi="Times New Roman" w:eastAsia="Calibri" w:cs="Times New Roman"/>
                <w:sz w:val="20"/>
                <w:szCs w:val="20"/>
              </w:rPr>
              <w:t>51,640,374</w:t>
            </w:r>
          </w:p>
        </w:tc>
      </w:tr>
      <w:tr w:rsidRPr="008D1279" w:rsidR="00297FB4" w:rsidTr="00A12521" w14:paraId="6EB483FD" w14:textId="77777777">
        <w:tc>
          <w:tcPr>
            <w:tcW w:w="9350" w:type="dxa"/>
            <w:gridSpan w:val="2"/>
          </w:tcPr>
          <w:p w:rsidR="00297FB4" w:rsidP="00FB600C" w:rsidRDefault="00297FB4" w14:paraId="17462635" w14:textId="77777777">
            <w:pPr>
              <w:contextualSpacing/>
              <w:rPr>
                <w:rFonts w:ascii="Times New Roman" w:hAnsi="Times New Roman" w:eastAsia="Calibri" w:cs="Times New Roman"/>
                <w:sz w:val="20"/>
                <w:szCs w:val="20"/>
              </w:rPr>
            </w:pPr>
            <w:r>
              <w:rPr>
                <w:rFonts w:ascii="Times New Roman" w:hAnsi="Times New Roman" w:eastAsia="Calibri" w:cs="Times New Roman"/>
                <w:sz w:val="20"/>
                <w:szCs w:val="20"/>
                <w:vertAlign w:val="superscript"/>
              </w:rPr>
              <w:t>1</w:t>
            </w:r>
            <w:r w:rsidRPr="008D1279">
              <w:rPr>
                <w:rFonts w:ascii="Times New Roman" w:hAnsi="Times New Roman" w:eastAsia="Calibri" w:cs="Times New Roman"/>
                <w:sz w:val="20"/>
                <w:szCs w:val="20"/>
              </w:rPr>
              <w:t xml:space="preserve"> Office of Personnel Management 20</w:t>
            </w:r>
            <w:r>
              <w:rPr>
                <w:rFonts w:ascii="Times New Roman" w:hAnsi="Times New Roman" w:eastAsia="Calibri" w:cs="Times New Roman"/>
                <w:sz w:val="20"/>
                <w:szCs w:val="20"/>
              </w:rPr>
              <w:t>21</w:t>
            </w:r>
            <w:r w:rsidRPr="008D1279">
              <w:rPr>
                <w:rFonts w:ascii="Times New Roman" w:hAnsi="Times New Roman" w:eastAsia="Calibri" w:cs="Times New Roman"/>
                <w:sz w:val="20"/>
                <w:szCs w:val="20"/>
              </w:rPr>
              <w:t xml:space="preserve"> Pay and Leave Tables for the Washington-Baltimore-Arlington, DC-MD-VA-WV-PA locality. Available online at</w:t>
            </w:r>
            <w:r>
              <w:rPr>
                <w:rFonts w:ascii="Times New Roman" w:hAnsi="Times New Roman" w:eastAsia="Calibri" w:cs="Times New Roman"/>
                <w:sz w:val="20"/>
                <w:szCs w:val="20"/>
              </w:rPr>
              <w:t xml:space="preserve"> </w:t>
            </w:r>
            <w:hyperlink w:history="1" r:id="rId12">
              <w:r w:rsidRPr="00EE0D20">
                <w:rPr>
                  <w:rStyle w:val="Hyperlink"/>
                  <w:rFonts w:ascii="Times New Roman" w:hAnsi="Times New Roman" w:eastAsia="Calibri" w:cs="Times New Roman"/>
                  <w:sz w:val="20"/>
                  <w:szCs w:val="20"/>
                </w:rPr>
                <w:t>https://www.opm.gov/policy-data-oversight/pay-leave/salaries-wages/salary-tables/pdf/2021/DCB_h.pdf</w:t>
              </w:r>
            </w:hyperlink>
            <w:r>
              <w:rPr>
                <w:rFonts w:ascii="Times New Roman" w:hAnsi="Times New Roman" w:eastAsia="Calibri" w:cs="Times New Roman"/>
                <w:sz w:val="20"/>
                <w:szCs w:val="20"/>
              </w:rPr>
              <w:t xml:space="preserve">. </w:t>
            </w:r>
            <w:r w:rsidRPr="008D1279">
              <w:rPr>
                <w:rFonts w:ascii="Times New Roman" w:hAnsi="Times New Roman" w:eastAsia="Calibri" w:cs="Times New Roman"/>
                <w:sz w:val="20"/>
                <w:szCs w:val="20"/>
              </w:rPr>
              <w:t xml:space="preserve"> Accessed </w:t>
            </w:r>
            <w:r>
              <w:rPr>
                <w:rFonts w:ascii="Times New Roman" w:hAnsi="Times New Roman" w:eastAsia="Calibri" w:cs="Times New Roman"/>
                <w:sz w:val="20"/>
                <w:szCs w:val="20"/>
              </w:rPr>
              <w:t>May 12, 2020</w:t>
            </w:r>
            <w:r w:rsidRPr="008D1279">
              <w:rPr>
                <w:rFonts w:ascii="Times New Roman" w:hAnsi="Times New Roman" w:eastAsia="Calibri" w:cs="Times New Roman"/>
                <w:sz w:val="20"/>
                <w:szCs w:val="20"/>
              </w:rPr>
              <w:t>.</w:t>
            </w:r>
          </w:p>
          <w:p w:rsidRPr="008D1279" w:rsidR="00297FB4" w:rsidP="00FB600C" w:rsidRDefault="00297FB4" w14:paraId="793483E3" w14:textId="77777777">
            <w:pPr>
              <w:contextualSpacing/>
              <w:rPr>
                <w:rFonts w:ascii="Times New Roman" w:hAnsi="Times New Roman" w:eastAsia="Calibri" w:cs="Times New Roman"/>
                <w:sz w:val="20"/>
                <w:szCs w:val="20"/>
              </w:rPr>
            </w:pPr>
            <w:r>
              <w:rPr>
                <w:rFonts w:ascii="Times New Roman" w:hAnsi="Times New Roman" w:eastAsia="Calibri" w:cs="Times New Roman"/>
                <w:sz w:val="20"/>
                <w:szCs w:val="20"/>
                <w:vertAlign w:val="superscript"/>
              </w:rPr>
              <w:t>2</w:t>
            </w:r>
            <w:r w:rsidRPr="008D1279">
              <w:rPr>
                <w:rFonts w:ascii="Times New Roman" w:hAnsi="Times New Roman" w:eastAsia="Calibri" w:cs="Times New Roman"/>
                <w:sz w:val="20"/>
                <w:szCs w:val="20"/>
              </w:rPr>
              <w:t xml:space="preserve"> Wage rate includes a 1.4</w:t>
            </w:r>
            <w:r>
              <w:rPr>
                <w:rFonts w:ascii="Times New Roman" w:hAnsi="Times New Roman" w:eastAsia="Calibri" w:cs="Times New Roman"/>
                <w:sz w:val="20"/>
                <w:szCs w:val="20"/>
              </w:rPr>
              <w:t>5</w:t>
            </w:r>
            <w:r w:rsidRPr="008D1279">
              <w:rPr>
                <w:rFonts w:ascii="Times New Roman" w:hAnsi="Times New Roman" w:eastAsia="Calibri" w:cs="Times New Roman"/>
                <w:sz w:val="20"/>
                <w:szCs w:val="20"/>
              </w:rPr>
              <w:t xml:space="preserve"> multiplier to reflect the fully-loaded wage rate.</w:t>
            </w:r>
          </w:p>
        </w:tc>
      </w:tr>
      <w:bookmarkEnd w:id="0"/>
    </w:tbl>
    <w:p w:rsidR="00A61B9A" w:rsidP="00FB600C" w:rsidRDefault="00A61B9A" w14:paraId="70CD8236" w14:textId="35B13366">
      <w:pPr>
        <w:contextualSpacing/>
        <w:rPr>
          <w:rFonts w:ascii="Times New Roman" w:hAnsi="Times New Roman" w:cs="Times New Roman"/>
          <w:b/>
          <w:bCs/>
          <w:sz w:val="24"/>
          <w:szCs w:val="24"/>
        </w:rPr>
      </w:pPr>
    </w:p>
    <w:p w:rsidRPr="006625E7" w:rsidR="00562915" w:rsidP="00FB600C" w:rsidRDefault="00562915" w14:paraId="434328EF" w14:textId="0BA6FE7E">
      <w:pPr>
        <w:contextualSpacing/>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106954" w:rsidR="00562915" w:rsidP="535D75D0" w:rsidRDefault="00562915" w14:paraId="232436BF" w14:textId="61407B2E">
      <w:pPr>
        <w:pStyle w:val="NormalWeb"/>
        <w:contextualSpacing/>
        <w:rPr>
          <w:i/>
          <w:iCs/>
          <w:sz w:val="20"/>
          <w:szCs w:val="20"/>
        </w:rPr>
      </w:pPr>
      <w:r w:rsidRPr="535D75D0">
        <w:rPr>
          <w:i/>
          <w:iCs/>
          <w:sz w:val="20"/>
          <w:szCs w:val="20"/>
        </w:rPr>
        <w:t xml:space="preserve">A </w:t>
      </w:r>
      <w:r w:rsidRPr="535D75D0" w:rsidR="0D0215DD">
        <w:rPr>
          <w:i/>
          <w:iCs/>
          <w:sz w:val="20"/>
          <w:szCs w:val="20"/>
        </w:rPr>
        <w:t>“</w:t>
      </w:r>
      <w:r w:rsidRPr="535D75D0">
        <w:rPr>
          <w:b/>
          <w:bCs/>
          <w:i/>
          <w:iCs/>
          <w:sz w:val="20"/>
          <w:szCs w:val="20"/>
        </w:rPr>
        <w:t>Program increase</w:t>
      </w:r>
      <w:r w:rsidRPr="535D75D0" w:rsidR="68DDF766">
        <w:rPr>
          <w:b/>
          <w:bCs/>
          <w:i/>
          <w:iCs/>
          <w:sz w:val="20"/>
          <w:szCs w:val="20"/>
        </w:rPr>
        <w:t>”</w:t>
      </w:r>
      <w:r w:rsidRPr="535D75D0">
        <w:rPr>
          <w:i/>
          <w:iCs/>
          <w:sz w:val="20"/>
          <w:szCs w:val="20"/>
        </w:rPr>
        <w:t xml:space="preserve"> is an additional burden resulting from an federal government regulatory action or directive. (e.g., an increase in sample size or coverage, amount of information, reporting frequency, or </w:t>
      </w:r>
      <w:r w:rsidRPr="535D75D0">
        <w:rPr>
          <w:i/>
          <w:iCs/>
          <w:sz w:val="20"/>
          <w:szCs w:val="20"/>
        </w:rPr>
        <w:lastRenderedPageBreak/>
        <w:t xml:space="preserve">expanded use of an existing form). This also includes previously in-use and unapproved information collections discovered during the ICB process, or during the fiscal year, which will be in use during the next fiscal year. </w:t>
      </w:r>
    </w:p>
    <w:p w:rsidRPr="00106954" w:rsidR="00562915" w:rsidP="535D75D0" w:rsidRDefault="00562915" w14:paraId="054C3C5A" w14:textId="1C6A1AF5">
      <w:pPr>
        <w:pStyle w:val="NormalWeb"/>
        <w:contextualSpacing/>
        <w:rPr>
          <w:i/>
          <w:iCs/>
          <w:sz w:val="20"/>
          <w:szCs w:val="20"/>
        </w:rPr>
      </w:pPr>
      <w:r w:rsidRPr="535D75D0">
        <w:rPr>
          <w:i/>
          <w:iCs/>
          <w:sz w:val="20"/>
          <w:szCs w:val="20"/>
        </w:rPr>
        <w:t xml:space="preserve">A </w:t>
      </w:r>
      <w:r w:rsidRPr="535D75D0" w:rsidR="0A75E637">
        <w:rPr>
          <w:i/>
          <w:iCs/>
          <w:sz w:val="20"/>
          <w:szCs w:val="20"/>
        </w:rPr>
        <w:t>“</w:t>
      </w:r>
      <w:r w:rsidRPr="535D75D0">
        <w:rPr>
          <w:b/>
          <w:bCs/>
          <w:i/>
          <w:iCs/>
          <w:sz w:val="20"/>
          <w:szCs w:val="20"/>
        </w:rPr>
        <w:t>Program decrease</w:t>
      </w:r>
      <w:r w:rsidRPr="535D75D0" w:rsidR="662EC06A">
        <w:rPr>
          <w:b/>
          <w:bCs/>
          <w:i/>
          <w:iCs/>
          <w:sz w:val="20"/>
          <w:szCs w:val="20"/>
        </w:rPr>
        <w:t>”</w:t>
      </w:r>
      <w:r w:rsidRPr="535D75D0">
        <w:rPr>
          <w:b/>
          <w:bCs/>
          <w:i/>
          <w:iCs/>
          <w:sz w:val="20"/>
          <w:szCs w:val="20"/>
        </w:rPr>
        <w:t xml:space="preserve">, </w:t>
      </w:r>
      <w:r w:rsidRPr="535D75D0">
        <w:rPr>
          <w:i/>
          <w:iCs/>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P="535D75D0" w:rsidRDefault="00562915" w14:paraId="16337262" w14:textId="5BD3A8EB">
      <w:pPr>
        <w:pStyle w:val="NormalWeb"/>
        <w:contextualSpacing/>
        <w:rPr>
          <w:i/>
          <w:iCs/>
          <w:sz w:val="20"/>
          <w:szCs w:val="20"/>
        </w:rPr>
      </w:pPr>
      <w:r w:rsidRPr="535D75D0">
        <w:rPr>
          <w:b/>
          <w:bCs/>
          <w:i/>
          <w:iCs/>
          <w:sz w:val="20"/>
          <w:szCs w:val="20"/>
        </w:rPr>
        <w:t xml:space="preserve"> </w:t>
      </w:r>
      <w:r w:rsidRPr="535D75D0" w:rsidR="3812DFFB">
        <w:rPr>
          <w:b/>
          <w:bCs/>
          <w:i/>
          <w:iCs/>
          <w:sz w:val="20"/>
          <w:szCs w:val="20"/>
        </w:rPr>
        <w:t>“</w:t>
      </w:r>
      <w:r w:rsidRPr="535D75D0">
        <w:rPr>
          <w:b/>
          <w:bCs/>
          <w:i/>
          <w:iCs/>
          <w:sz w:val="20"/>
          <w:szCs w:val="20"/>
        </w:rPr>
        <w:t>Adjustment</w:t>
      </w:r>
      <w:r w:rsidRPr="535D75D0" w:rsidR="10488D0E">
        <w:rPr>
          <w:b/>
          <w:bCs/>
          <w:i/>
          <w:iCs/>
          <w:sz w:val="20"/>
          <w:szCs w:val="20"/>
        </w:rPr>
        <w:t>”</w:t>
      </w:r>
      <w:r w:rsidRPr="535D75D0">
        <w:rPr>
          <w:i/>
          <w:iCs/>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Style w:val="TableGrid"/>
        <w:tblW w:w="10339" w:type="dxa"/>
        <w:tblInd w:w="-545" w:type="dxa"/>
        <w:tblLook w:val="04A0" w:firstRow="1" w:lastRow="0" w:firstColumn="1" w:lastColumn="0" w:noHBand="0" w:noVBand="1"/>
      </w:tblPr>
      <w:tblGrid>
        <w:gridCol w:w="1952"/>
        <w:gridCol w:w="1828"/>
        <w:gridCol w:w="1156"/>
        <w:gridCol w:w="1236"/>
        <w:gridCol w:w="1658"/>
        <w:gridCol w:w="1273"/>
        <w:gridCol w:w="1236"/>
      </w:tblGrid>
      <w:tr w:rsidRPr="008D1279" w:rsidR="002144A2" w:rsidTr="00A12521" w14:paraId="7291F4C7" w14:textId="77777777">
        <w:tc>
          <w:tcPr>
            <w:tcW w:w="10339" w:type="dxa"/>
            <w:gridSpan w:val="7"/>
          </w:tcPr>
          <w:p w:rsidRPr="008D1279" w:rsidR="002144A2" w:rsidP="00FB600C" w:rsidRDefault="002144A2" w14:paraId="397903C2" w14:textId="77777777">
            <w:pPr>
              <w:contextualSpacing/>
              <w:jc w:val="center"/>
              <w:rPr>
                <w:rFonts w:ascii="Times New Roman" w:hAnsi="Times New Roman" w:cs="Times New Roman"/>
                <w:b/>
                <w:sz w:val="20"/>
                <w:szCs w:val="20"/>
              </w:rPr>
            </w:pPr>
            <w:bookmarkStart w:name="_Hlk23326361" w:id="1"/>
            <w:r w:rsidRPr="008D1279">
              <w:rPr>
                <w:rFonts w:ascii="Times New Roman" w:hAnsi="Times New Roman" w:cs="Times New Roman"/>
                <w:b/>
                <w:sz w:val="20"/>
                <w:szCs w:val="20"/>
              </w:rPr>
              <w:t>Itemized Changes in Annual Burden Hours</w:t>
            </w:r>
          </w:p>
        </w:tc>
      </w:tr>
      <w:tr w:rsidRPr="008D1279" w:rsidR="002144A2" w:rsidTr="00A12521" w14:paraId="2E6E0DBD" w14:textId="77777777">
        <w:tc>
          <w:tcPr>
            <w:tcW w:w="1952" w:type="dxa"/>
            <w:shd w:val="clear" w:color="auto" w:fill="95B3D7" w:themeFill="accent1" w:themeFillTint="99"/>
          </w:tcPr>
          <w:p w:rsidRPr="008D1279" w:rsidR="002144A2" w:rsidP="00FB600C" w:rsidRDefault="002144A2" w14:paraId="6468652F" w14:textId="77777777">
            <w:pPr>
              <w:contextualSpacing/>
              <w:rPr>
                <w:rFonts w:ascii="Times New Roman" w:hAnsi="Times New Roman" w:cs="Times New Roman"/>
                <w:sz w:val="20"/>
                <w:szCs w:val="20"/>
              </w:rPr>
            </w:pPr>
            <w:r w:rsidRPr="008D1279">
              <w:rPr>
                <w:rFonts w:ascii="Times New Roman" w:hAnsi="Times New Roman" w:cs="Times New Roman"/>
                <w:sz w:val="20"/>
                <w:szCs w:val="20"/>
              </w:rPr>
              <w:t>Data Collection Activity/Instrument</w:t>
            </w:r>
          </w:p>
        </w:tc>
        <w:tc>
          <w:tcPr>
            <w:tcW w:w="1828" w:type="dxa"/>
            <w:shd w:val="clear" w:color="auto" w:fill="95B3D7" w:themeFill="accent1" w:themeFillTint="99"/>
          </w:tcPr>
          <w:p w:rsidRPr="008D1279" w:rsidR="002144A2" w:rsidP="00FB600C" w:rsidRDefault="002144A2" w14:paraId="13FEB5B0" w14:textId="77777777">
            <w:pPr>
              <w:contextualSpacing/>
              <w:rPr>
                <w:rFonts w:ascii="Times New Roman" w:hAnsi="Times New Roman" w:cs="Times New Roman"/>
                <w:sz w:val="20"/>
                <w:szCs w:val="20"/>
              </w:rPr>
            </w:pPr>
            <w:r w:rsidRPr="008D1279">
              <w:rPr>
                <w:rFonts w:ascii="Times New Roman" w:hAnsi="Times New Roman" w:cs="Times New Roman"/>
                <w:sz w:val="20"/>
                <w:szCs w:val="20"/>
              </w:rPr>
              <w:t>Program Change (hours currently on OMB inventory)</w:t>
            </w:r>
          </w:p>
        </w:tc>
        <w:tc>
          <w:tcPr>
            <w:tcW w:w="1156" w:type="dxa"/>
            <w:shd w:val="clear" w:color="auto" w:fill="95B3D7" w:themeFill="accent1" w:themeFillTint="99"/>
          </w:tcPr>
          <w:p w:rsidRPr="008D1279" w:rsidR="002144A2" w:rsidP="00FB600C" w:rsidRDefault="002144A2" w14:paraId="2D8CCCD9" w14:textId="77777777">
            <w:pPr>
              <w:contextualSpacing/>
              <w:rPr>
                <w:rFonts w:ascii="Times New Roman" w:hAnsi="Times New Roman" w:cs="Times New Roman"/>
                <w:sz w:val="20"/>
                <w:szCs w:val="20"/>
              </w:rPr>
            </w:pPr>
            <w:r w:rsidRPr="008D1279">
              <w:rPr>
                <w:rFonts w:ascii="Times New Roman" w:hAnsi="Times New Roman" w:cs="Times New Roman"/>
                <w:sz w:val="20"/>
                <w:szCs w:val="20"/>
              </w:rPr>
              <w:t>Program Change (new)</w:t>
            </w:r>
          </w:p>
        </w:tc>
        <w:tc>
          <w:tcPr>
            <w:tcW w:w="1236" w:type="dxa"/>
            <w:shd w:val="clear" w:color="auto" w:fill="95B3D7" w:themeFill="accent1" w:themeFillTint="99"/>
          </w:tcPr>
          <w:p w:rsidRPr="008D1279" w:rsidR="002144A2" w:rsidP="00FB600C" w:rsidRDefault="002144A2" w14:paraId="0D9B653F" w14:textId="77777777">
            <w:pPr>
              <w:contextualSpacing/>
              <w:rPr>
                <w:rFonts w:ascii="Times New Roman" w:hAnsi="Times New Roman" w:cs="Times New Roman"/>
                <w:sz w:val="20"/>
                <w:szCs w:val="20"/>
              </w:rPr>
            </w:pPr>
            <w:r w:rsidRPr="008D1279">
              <w:rPr>
                <w:rFonts w:ascii="Times New Roman" w:hAnsi="Times New Roman" w:cs="Times New Roman"/>
                <w:sz w:val="20"/>
                <w:szCs w:val="20"/>
              </w:rPr>
              <w:t>Difference</w:t>
            </w:r>
          </w:p>
        </w:tc>
        <w:tc>
          <w:tcPr>
            <w:tcW w:w="1658" w:type="dxa"/>
            <w:shd w:val="clear" w:color="auto" w:fill="95B3D7" w:themeFill="accent1" w:themeFillTint="99"/>
          </w:tcPr>
          <w:p w:rsidRPr="008D1279" w:rsidR="002144A2" w:rsidP="00FB600C" w:rsidRDefault="002144A2" w14:paraId="1D87CF25" w14:textId="77777777">
            <w:pPr>
              <w:contextualSpacing/>
              <w:rPr>
                <w:rFonts w:ascii="Times New Roman" w:hAnsi="Times New Roman" w:cs="Times New Roman"/>
                <w:sz w:val="20"/>
                <w:szCs w:val="20"/>
              </w:rPr>
            </w:pPr>
            <w:r w:rsidRPr="008D1279">
              <w:rPr>
                <w:rFonts w:ascii="Times New Roman" w:hAnsi="Times New Roman" w:cs="Times New Roman"/>
                <w:sz w:val="20"/>
                <w:szCs w:val="20"/>
              </w:rPr>
              <w:t>Adjustment (hours currently on OMB inventory)</w:t>
            </w:r>
          </w:p>
        </w:tc>
        <w:tc>
          <w:tcPr>
            <w:tcW w:w="1273" w:type="dxa"/>
            <w:shd w:val="clear" w:color="auto" w:fill="95B3D7" w:themeFill="accent1" w:themeFillTint="99"/>
          </w:tcPr>
          <w:p w:rsidRPr="008D1279" w:rsidR="002144A2" w:rsidP="00FB600C" w:rsidRDefault="002144A2" w14:paraId="7E228D30" w14:textId="77777777">
            <w:pPr>
              <w:contextualSpacing/>
              <w:rPr>
                <w:rFonts w:ascii="Times New Roman" w:hAnsi="Times New Roman" w:cs="Times New Roman"/>
                <w:sz w:val="20"/>
                <w:szCs w:val="20"/>
              </w:rPr>
            </w:pPr>
            <w:r w:rsidRPr="008D1279">
              <w:rPr>
                <w:rFonts w:ascii="Times New Roman" w:hAnsi="Times New Roman" w:cs="Times New Roman"/>
                <w:sz w:val="20"/>
                <w:szCs w:val="20"/>
              </w:rPr>
              <w:t>Adjustment (new)</w:t>
            </w:r>
          </w:p>
        </w:tc>
        <w:tc>
          <w:tcPr>
            <w:tcW w:w="1236" w:type="dxa"/>
            <w:shd w:val="clear" w:color="auto" w:fill="95B3D7" w:themeFill="accent1" w:themeFillTint="99"/>
          </w:tcPr>
          <w:p w:rsidRPr="008D1279" w:rsidR="002144A2" w:rsidP="00FB600C" w:rsidRDefault="002144A2" w14:paraId="0E8F66F9" w14:textId="77777777">
            <w:pPr>
              <w:contextualSpacing/>
              <w:rPr>
                <w:rFonts w:ascii="Times New Roman" w:hAnsi="Times New Roman" w:cs="Times New Roman"/>
                <w:sz w:val="20"/>
                <w:szCs w:val="20"/>
              </w:rPr>
            </w:pPr>
            <w:r w:rsidRPr="008D1279">
              <w:rPr>
                <w:rFonts w:ascii="Times New Roman" w:hAnsi="Times New Roman" w:cs="Times New Roman"/>
                <w:sz w:val="20"/>
                <w:szCs w:val="20"/>
              </w:rPr>
              <w:t>Difference</w:t>
            </w:r>
          </w:p>
        </w:tc>
      </w:tr>
      <w:tr w:rsidRPr="008D1279" w:rsidR="002144A2" w:rsidTr="00A12521" w14:paraId="4ABD294C" w14:textId="77777777">
        <w:tc>
          <w:tcPr>
            <w:tcW w:w="1952" w:type="dxa"/>
            <w:vAlign w:val="center"/>
          </w:tcPr>
          <w:p w:rsidRPr="008D1279" w:rsidR="002144A2" w:rsidP="00FB600C" w:rsidRDefault="002144A2" w14:paraId="4F11D6BD" w14:textId="77777777">
            <w:pPr>
              <w:contextualSpacing/>
              <w:rPr>
                <w:rFonts w:ascii="Times New Roman" w:hAnsi="Times New Roman" w:cs="Times New Roman"/>
                <w:sz w:val="20"/>
                <w:szCs w:val="20"/>
              </w:rPr>
            </w:pPr>
            <w:r>
              <w:rPr>
                <w:rFonts w:ascii="Times New Roman" w:hAnsi="Times New Roman" w:cs="Times New Roman"/>
                <w:sz w:val="20"/>
                <w:szCs w:val="20"/>
              </w:rPr>
              <w:t>N/A</w:t>
            </w:r>
          </w:p>
        </w:tc>
        <w:tc>
          <w:tcPr>
            <w:tcW w:w="1828" w:type="dxa"/>
            <w:vAlign w:val="center"/>
          </w:tcPr>
          <w:p w:rsidRPr="008D1279" w:rsidR="002144A2" w:rsidP="00FB600C" w:rsidRDefault="002144A2" w14:paraId="7A67EAA5" w14:textId="77777777">
            <w:pPr>
              <w:contextualSpacing/>
              <w:jc w:val="right"/>
              <w:rPr>
                <w:rFonts w:ascii="Times New Roman" w:hAnsi="Times New Roman" w:cs="Times New Roman"/>
                <w:sz w:val="20"/>
                <w:szCs w:val="20"/>
              </w:rPr>
            </w:pPr>
          </w:p>
        </w:tc>
        <w:tc>
          <w:tcPr>
            <w:tcW w:w="1156" w:type="dxa"/>
            <w:vAlign w:val="center"/>
          </w:tcPr>
          <w:p w:rsidRPr="008D1279" w:rsidR="002144A2" w:rsidP="00FB600C" w:rsidRDefault="002144A2" w14:paraId="7FA1C1E9" w14:textId="77777777">
            <w:pPr>
              <w:contextualSpacing/>
              <w:jc w:val="right"/>
              <w:rPr>
                <w:rFonts w:ascii="Times New Roman" w:hAnsi="Times New Roman" w:cs="Times New Roman"/>
                <w:sz w:val="20"/>
                <w:szCs w:val="20"/>
              </w:rPr>
            </w:pPr>
          </w:p>
        </w:tc>
        <w:tc>
          <w:tcPr>
            <w:tcW w:w="1236" w:type="dxa"/>
            <w:vAlign w:val="center"/>
          </w:tcPr>
          <w:p w:rsidRPr="008D1279" w:rsidR="002144A2" w:rsidP="00FB600C" w:rsidRDefault="002144A2" w14:paraId="7B98FF27" w14:textId="77777777">
            <w:pPr>
              <w:contextualSpacing/>
              <w:jc w:val="right"/>
              <w:rPr>
                <w:rFonts w:ascii="Times New Roman" w:hAnsi="Times New Roman" w:cs="Times New Roman"/>
                <w:sz w:val="20"/>
                <w:szCs w:val="20"/>
              </w:rPr>
            </w:pPr>
          </w:p>
        </w:tc>
        <w:tc>
          <w:tcPr>
            <w:tcW w:w="1658" w:type="dxa"/>
            <w:vAlign w:val="center"/>
          </w:tcPr>
          <w:p w:rsidRPr="008D1279" w:rsidR="002144A2" w:rsidP="00FB600C" w:rsidRDefault="002144A2" w14:paraId="37817095" w14:textId="77777777">
            <w:pPr>
              <w:contextualSpacing/>
              <w:jc w:val="right"/>
              <w:rPr>
                <w:rFonts w:ascii="Times New Roman" w:hAnsi="Times New Roman" w:cs="Times New Roman"/>
                <w:sz w:val="20"/>
                <w:szCs w:val="20"/>
              </w:rPr>
            </w:pPr>
          </w:p>
        </w:tc>
        <w:tc>
          <w:tcPr>
            <w:tcW w:w="1273" w:type="dxa"/>
            <w:vAlign w:val="center"/>
          </w:tcPr>
          <w:p w:rsidRPr="008D1279" w:rsidR="002144A2" w:rsidP="00FB600C" w:rsidRDefault="002144A2" w14:paraId="7BC8CFE1" w14:textId="77777777">
            <w:pPr>
              <w:contextualSpacing/>
              <w:jc w:val="right"/>
              <w:rPr>
                <w:rFonts w:ascii="Times New Roman" w:hAnsi="Times New Roman" w:cs="Times New Roman"/>
                <w:sz w:val="20"/>
                <w:szCs w:val="20"/>
              </w:rPr>
            </w:pPr>
          </w:p>
        </w:tc>
        <w:tc>
          <w:tcPr>
            <w:tcW w:w="1236" w:type="dxa"/>
            <w:vAlign w:val="center"/>
          </w:tcPr>
          <w:p w:rsidRPr="008D1279" w:rsidR="002144A2" w:rsidP="00FB600C" w:rsidRDefault="002144A2" w14:paraId="61DBDD14" w14:textId="77777777">
            <w:pPr>
              <w:contextualSpacing/>
              <w:jc w:val="right"/>
              <w:rPr>
                <w:rFonts w:ascii="Times New Roman" w:hAnsi="Times New Roman" w:cs="Times New Roman"/>
                <w:sz w:val="20"/>
                <w:szCs w:val="20"/>
              </w:rPr>
            </w:pPr>
          </w:p>
        </w:tc>
      </w:tr>
      <w:tr w:rsidRPr="008D1279" w:rsidR="002144A2" w:rsidTr="00A12521" w14:paraId="46FD2BFF" w14:textId="77777777">
        <w:tc>
          <w:tcPr>
            <w:tcW w:w="1952" w:type="dxa"/>
            <w:vAlign w:val="center"/>
          </w:tcPr>
          <w:p w:rsidRPr="008D1279" w:rsidR="002144A2" w:rsidP="00FB600C" w:rsidRDefault="002144A2" w14:paraId="55E62B10" w14:textId="77777777">
            <w:pPr>
              <w:contextualSpacing/>
              <w:rPr>
                <w:rFonts w:ascii="Times New Roman" w:hAnsi="Times New Roman" w:cs="Times New Roman"/>
                <w:b/>
                <w:sz w:val="20"/>
                <w:szCs w:val="20"/>
              </w:rPr>
            </w:pPr>
            <w:r w:rsidRPr="008D1279">
              <w:rPr>
                <w:rFonts w:ascii="Times New Roman" w:hAnsi="Times New Roman" w:cs="Times New Roman"/>
                <w:b/>
                <w:sz w:val="20"/>
                <w:szCs w:val="20"/>
              </w:rPr>
              <w:t>Total</w:t>
            </w:r>
          </w:p>
        </w:tc>
        <w:tc>
          <w:tcPr>
            <w:tcW w:w="1828" w:type="dxa"/>
            <w:vAlign w:val="center"/>
          </w:tcPr>
          <w:p w:rsidRPr="008D1279" w:rsidR="002144A2" w:rsidP="00FB600C" w:rsidRDefault="002144A2" w14:paraId="7A0EF893" w14:textId="77777777">
            <w:pPr>
              <w:contextualSpacing/>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156" w:type="dxa"/>
            <w:vAlign w:val="center"/>
          </w:tcPr>
          <w:p w:rsidRPr="008D1279" w:rsidR="002144A2" w:rsidP="00FB600C" w:rsidRDefault="002144A2" w14:paraId="2B631198" w14:textId="77777777">
            <w:pPr>
              <w:contextualSpacing/>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36" w:type="dxa"/>
            <w:vAlign w:val="center"/>
          </w:tcPr>
          <w:p w:rsidRPr="008D1279" w:rsidR="002144A2" w:rsidP="00FB600C" w:rsidRDefault="002144A2" w14:paraId="12A6C72B" w14:textId="77777777">
            <w:pPr>
              <w:contextualSpacing/>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658" w:type="dxa"/>
            <w:vAlign w:val="center"/>
          </w:tcPr>
          <w:p w:rsidRPr="008D1279" w:rsidR="002144A2" w:rsidP="00FB600C" w:rsidRDefault="002144A2" w14:paraId="23337305" w14:textId="77777777">
            <w:pPr>
              <w:contextualSpacing/>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73" w:type="dxa"/>
            <w:vAlign w:val="center"/>
          </w:tcPr>
          <w:p w:rsidRPr="008D1279" w:rsidR="002144A2" w:rsidP="00FB600C" w:rsidRDefault="002144A2" w14:paraId="07D05BB7" w14:textId="77777777">
            <w:pPr>
              <w:contextualSpacing/>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36" w:type="dxa"/>
            <w:vAlign w:val="center"/>
          </w:tcPr>
          <w:p w:rsidRPr="008D1279" w:rsidR="002144A2" w:rsidP="00FB600C" w:rsidRDefault="002144A2" w14:paraId="5F5B273D" w14:textId="77777777">
            <w:pPr>
              <w:contextualSpacing/>
              <w:jc w:val="right"/>
              <w:rPr>
                <w:rFonts w:ascii="Times New Roman" w:hAnsi="Times New Roman" w:cs="Times New Roman"/>
                <w:sz w:val="20"/>
                <w:szCs w:val="20"/>
              </w:rPr>
            </w:pPr>
            <w:r w:rsidRPr="008D1279">
              <w:rPr>
                <w:rFonts w:ascii="Times New Roman" w:hAnsi="Times New Roman" w:cs="Times New Roman"/>
                <w:sz w:val="20"/>
                <w:szCs w:val="20"/>
              </w:rPr>
              <w:t>0</w:t>
            </w:r>
          </w:p>
        </w:tc>
      </w:tr>
      <w:bookmarkEnd w:id="1"/>
    </w:tbl>
    <w:p w:rsidR="00A11A26" w:rsidP="00A11A26" w:rsidRDefault="00A11A26" w14:paraId="5A14583C" w14:textId="77777777">
      <w:pPr>
        <w:pStyle w:val="NormalWeb"/>
        <w:contextualSpacing/>
        <w:rPr>
          <w:b/>
          <w:bCs/>
          <w:i/>
        </w:rPr>
      </w:pPr>
    </w:p>
    <w:p w:rsidR="001047AE" w:rsidP="00FB600C" w:rsidRDefault="00562915" w14:paraId="0777C9B0" w14:textId="5989ECA2">
      <w:pPr>
        <w:pStyle w:val="NormalWeb"/>
        <w:contextualSpacing/>
        <w:rPr>
          <w:b/>
          <w:bCs/>
          <w:iCs/>
        </w:rPr>
      </w:pPr>
      <w:r w:rsidRPr="006E6A28">
        <w:rPr>
          <w:b/>
          <w:bCs/>
          <w:i/>
        </w:rPr>
        <w:t>Explain:</w:t>
      </w:r>
      <w:r w:rsidRPr="00065681" w:rsidR="00134AA7">
        <w:rPr>
          <w:iCs/>
        </w:rPr>
        <w:t xml:space="preserve"> There are no changes in burden hours, as this is a new collection.</w:t>
      </w:r>
    </w:p>
    <w:tbl>
      <w:tblPr>
        <w:tblStyle w:val="TableGrid1"/>
        <w:tblW w:w="10309" w:type="dxa"/>
        <w:tblInd w:w="-545" w:type="dxa"/>
        <w:tblLook w:val="04A0" w:firstRow="1" w:lastRow="0" w:firstColumn="1" w:lastColumn="0" w:noHBand="0" w:noVBand="1"/>
      </w:tblPr>
      <w:tblGrid>
        <w:gridCol w:w="1952"/>
        <w:gridCol w:w="1738"/>
        <w:gridCol w:w="1156"/>
        <w:gridCol w:w="1236"/>
        <w:gridCol w:w="1748"/>
        <w:gridCol w:w="1243"/>
        <w:gridCol w:w="1236"/>
      </w:tblGrid>
      <w:tr w:rsidRPr="007D69DC" w:rsidR="007D69DC" w:rsidTr="00A12521" w14:paraId="4A653F40" w14:textId="77777777">
        <w:tc>
          <w:tcPr>
            <w:tcW w:w="10309" w:type="dxa"/>
            <w:gridSpan w:val="7"/>
          </w:tcPr>
          <w:p w:rsidRPr="007D69DC" w:rsidR="007D69DC" w:rsidP="00FB600C" w:rsidRDefault="007D69DC" w14:paraId="07FE85F2" w14:textId="77777777">
            <w:pPr>
              <w:contextualSpacing/>
              <w:jc w:val="center"/>
              <w:rPr>
                <w:rFonts w:ascii="Times New Roman" w:hAnsi="Times New Roman" w:cs="Times New Roman"/>
                <w:b/>
                <w:sz w:val="20"/>
                <w:szCs w:val="20"/>
              </w:rPr>
            </w:pPr>
            <w:bookmarkStart w:name="_Hlk51851522" w:id="2"/>
            <w:r w:rsidRPr="007D69DC">
              <w:rPr>
                <w:rFonts w:ascii="Times New Roman" w:hAnsi="Times New Roman" w:cs="Times New Roman"/>
                <w:b/>
                <w:sz w:val="20"/>
                <w:szCs w:val="20"/>
              </w:rPr>
              <w:t>Itemized Changes in Annual Cost Burden</w:t>
            </w:r>
          </w:p>
        </w:tc>
      </w:tr>
      <w:tr w:rsidRPr="007D69DC" w:rsidR="007D69DC" w:rsidTr="00A12521" w14:paraId="6491D6B7" w14:textId="77777777">
        <w:tc>
          <w:tcPr>
            <w:tcW w:w="1952" w:type="dxa"/>
            <w:shd w:val="clear" w:color="auto" w:fill="95B3D7" w:themeFill="accent1" w:themeFillTint="99"/>
          </w:tcPr>
          <w:p w:rsidRPr="007D69DC" w:rsidR="007D69DC" w:rsidP="00FB600C" w:rsidRDefault="007D69DC" w14:paraId="293845C8" w14:textId="77777777">
            <w:pPr>
              <w:contextualSpacing/>
              <w:rPr>
                <w:rFonts w:ascii="Times New Roman" w:hAnsi="Times New Roman" w:cs="Times New Roman"/>
                <w:sz w:val="20"/>
                <w:szCs w:val="20"/>
              </w:rPr>
            </w:pPr>
            <w:r w:rsidRPr="007D69DC">
              <w:rPr>
                <w:rFonts w:ascii="Times New Roman" w:hAnsi="Times New Roman" w:cs="Times New Roman"/>
                <w:sz w:val="20"/>
                <w:szCs w:val="20"/>
              </w:rPr>
              <w:t>Data Collection Activity/Instrument</w:t>
            </w:r>
          </w:p>
        </w:tc>
        <w:tc>
          <w:tcPr>
            <w:tcW w:w="1738" w:type="dxa"/>
            <w:shd w:val="clear" w:color="auto" w:fill="95B3D7" w:themeFill="accent1" w:themeFillTint="99"/>
          </w:tcPr>
          <w:p w:rsidRPr="007D69DC" w:rsidR="007D69DC" w:rsidP="00FB600C" w:rsidRDefault="007D69DC" w14:paraId="6ED9C0BA" w14:textId="77777777">
            <w:pPr>
              <w:contextualSpacing/>
              <w:rPr>
                <w:rFonts w:ascii="Times New Roman" w:hAnsi="Times New Roman" w:cs="Times New Roman"/>
                <w:sz w:val="20"/>
                <w:szCs w:val="20"/>
              </w:rPr>
            </w:pPr>
            <w:r w:rsidRPr="007D69DC">
              <w:rPr>
                <w:rFonts w:ascii="Times New Roman" w:hAnsi="Times New Roman" w:cs="Times New Roman"/>
                <w:sz w:val="20"/>
                <w:szCs w:val="20"/>
              </w:rPr>
              <w:t>Program Change (cost currently on OMB inventory)</w:t>
            </w:r>
          </w:p>
        </w:tc>
        <w:tc>
          <w:tcPr>
            <w:tcW w:w="1156" w:type="dxa"/>
            <w:shd w:val="clear" w:color="auto" w:fill="95B3D7" w:themeFill="accent1" w:themeFillTint="99"/>
          </w:tcPr>
          <w:p w:rsidRPr="007D69DC" w:rsidR="007D69DC" w:rsidP="00FB600C" w:rsidRDefault="007D69DC" w14:paraId="32C38CD1" w14:textId="77777777">
            <w:pPr>
              <w:contextualSpacing/>
              <w:rPr>
                <w:rFonts w:ascii="Times New Roman" w:hAnsi="Times New Roman" w:cs="Times New Roman"/>
                <w:sz w:val="20"/>
                <w:szCs w:val="20"/>
              </w:rPr>
            </w:pPr>
            <w:r w:rsidRPr="007D69DC">
              <w:rPr>
                <w:rFonts w:ascii="Times New Roman" w:hAnsi="Times New Roman" w:cs="Times New Roman"/>
                <w:sz w:val="20"/>
                <w:szCs w:val="20"/>
              </w:rPr>
              <w:t>Program Change (new)</w:t>
            </w:r>
          </w:p>
        </w:tc>
        <w:tc>
          <w:tcPr>
            <w:tcW w:w="1236" w:type="dxa"/>
            <w:shd w:val="clear" w:color="auto" w:fill="95B3D7" w:themeFill="accent1" w:themeFillTint="99"/>
          </w:tcPr>
          <w:p w:rsidRPr="007D69DC" w:rsidR="007D69DC" w:rsidP="00FB600C" w:rsidRDefault="007D69DC" w14:paraId="12FE0179" w14:textId="77777777">
            <w:pPr>
              <w:contextualSpacing/>
              <w:rPr>
                <w:rFonts w:ascii="Times New Roman" w:hAnsi="Times New Roman" w:cs="Times New Roman"/>
                <w:sz w:val="20"/>
                <w:szCs w:val="20"/>
              </w:rPr>
            </w:pPr>
            <w:r w:rsidRPr="007D69DC">
              <w:rPr>
                <w:rFonts w:ascii="Times New Roman" w:hAnsi="Times New Roman" w:cs="Times New Roman"/>
                <w:sz w:val="20"/>
                <w:szCs w:val="20"/>
              </w:rPr>
              <w:t>Difference</w:t>
            </w:r>
          </w:p>
        </w:tc>
        <w:tc>
          <w:tcPr>
            <w:tcW w:w="1748" w:type="dxa"/>
            <w:shd w:val="clear" w:color="auto" w:fill="95B3D7" w:themeFill="accent1" w:themeFillTint="99"/>
          </w:tcPr>
          <w:p w:rsidRPr="007D69DC" w:rsidR="007D69DC" w:rsidP="00FB600C" w:rsidRDefault="007D69DC" w14:paraId="358B46BD" w14:textId="77777777">
            <w:pPr>
              <w:contextualSpacing/>
              <w:rPr>
                <w:rFonts w:ascii="Times New Roman" w:hAnsi="Times New Roman" w:cs="Times New Roman"/>
                <w:sz w:val="20"/>
                <w:szCs w:val="20"/>
              </w:rPr>
            </w:pPr>
            <w:r w:rsidRPr="007D69DC">
              <w:rPr>
                <w:rFonts w:ascii="Times New Roman" w:hAnsi="Times New Roman" w:cs="Times New Roman"/>
                <w:sz w:val="20"/>
                <w:szCs w:val="20"/>
              </w:rPr>
              <w:t>Adjustment (cost currently on OMB inventory)</w:t>
            </w:r>
          </w:p>
        </w:tc>
        <w:tc>
          <w:tcPr>
            <w:tcW w:w="1243" w:type="dxa"/>
            <w:shd w:val="clear" w:color="auto" w:fill="95B3D7" w:themeFill="accent1" w:themeFillTint="99"/>
          </w:tcPr>
          <w:p w:rsidRPr="007D69DC" w:rsidR="007D69DC" w:rsidP="00FB600C" w:rsidRDefault="007D69DC" w14:paraId="3B259AF3" w14:textId="77777777">
            <w:pPr>
              <w:contextualSpacing/>
              <w:rPr>
                <w:rFonts w:ascii="Times New Roman" w:hAnsi="Times New Roman" w:cs="Times New Roman"/>
                <w:sz w:val="20"/>
                <w:szCs w:val="20"/>
              </w:rPr>
            </w:pPr>
            <w:r w:rsidRPr="007D69DC">
              <w:rPr>
                <w:rFonts w:ascii="Times New Roman" w:hAnsi="Times New Roman" w:cs="Times New Roman"/>
                <w:sz w:val="20"/>
                <w:szCs w:val="20"/>
              </w:rPr>
              <w:t>Adjustment (new)</w:t>
            </w:r>
          </w:p>
        </w:tc>
        <w:tc>
          <w:tcPr>
            <w:tcW w:w="1236" w:type="dxa"/>
            <w:shd w:val="clear" w:color="auto" w:fill="95B3D7" w:themeFill="accent1" w:themeFillTint="99"/>
          </w:tcPr>
          <w:p w:rsidRPr="007D69DC" w:rsidR="007D69DC" w:rsidP="00FB600C" w:rsidRDefault="007D69DC" w14:paraId="2CB63166" w14:textId="77777777">
            <w:pPr>
              <w:contextualSpacing/>
              <w:rPr>
                <w:rFonts w:ascii="Times New Roman" w:hAnsi="Times New Roman" w:cs="Times New Roman"/>
                <w:sz w:val="20"/>
                <w:szCs w:val="20"/>
              </w:rPr>
            </w:pPr>
            <w:r w:rsidRPr="007D69DC">
              <w:rPr>
                <w:rFonts w:ascii="Times New Roman" w:hAnsi="Times New Roman" w:cs="Times New Roman"/>
                <w:sz w:val="20"/>
                <w:szCs w:val="20"/>
              </w:rPr>
              <w:t>Difference</w:t>
            </w:r>
          </w:p>
        </w:tc>
      </w:tr>
      <w:tr w:rsidRPr="007D69DC" w:rsidR="007D69DC" w:rsidTr="00A12521" w14:paraId="7B378F93" w14:textId="77777777">
        <w:tc>
          <w:tcPr>
            <w:tcW w:w="1952" w:type="dxa"/>
          </w:tcPr>
          <w:p w:rsidRPr="007D69DC" w:rsidR="007D69DC" w:rsidP="00FB600C" w:rsidRDefault="007D69DC" w14:paraId="49E72151" w14:textId="77777777">
            <w:pPr>
              <w:contextualSpacing/>
              <w:rPr>
                <w:rFonts w:ascii="Times New Roman" w:hAnsi="Times New Roman" w:cs="Times New Roman"/>
                <w:sz w:val="20"/>
                <w:szCs w:val="20"/>
              </w:rPr>
            </w:pPr>
            <w:r w:rsidRPr="007D69DC">
              <w:rPr>
                <w:rFonts w:ascii="Times New Roman" w:hAnsi="Times New Roman" w:cs="Times New Roman"/>
                <w:sz w:val="20"/>
                <w:szCs w:val="20"/>
              </w:rPr>
              <w:t>N/A</w:t>
            </w:r>
          </w:p>
        </w:tc>
        <w:tc>
          <w:tcPr>
            <w:tcW w:w="1738" w:type="dxa"/>
            <w:vAlign w:val="center"/>
          </w:tcPr>
          <w:p w:rsidRPr="007D69DC" w:rsidR="007D69DC" w:rsidP="00FB600C" w:rsidRDefault="007D69DC" w14:paraId="42F5FD69" w14:textId="77777777">
            <w:pPr>
              <w:contextualSpacing/>
              <w:jc w:val="right"/>
              <w:rPr>
                <w:rFonts w:ascii="Times New Roman" w:hAnsi="Times New Roman" w:cs="Times New Roman"/>
                <w:sz w:val="20"/>
                <w:szCs w:val="20"/>
              </w:rPr>
            </w:pPr>
          </w:p>
        </w:tc>
        <w:tc>
          <w:tcPr>
            <w:tcW w:w="1156" w:type="dxa"/>
            <w:vAlign w:val="center"/>
          </w:tcPr>
          <w:p w:rsidRPr="007D69DC" w:rsidR="007D69DC" w:rsidP="00FB600C" w:rsidRDefault="007D69DC" w14:paraId="72078EF1" w14:textId="77777777">
            <w:pPr>
              <w:contextualSpacing/>
              <w:jc w:val="right"/>
              <w:rPr>
                <w:rFonts w:ascii="Times New Roman" w:hAnsi="Times New Roman" w:cs="Times New Roman"/>
                <w:sz w:val="20"/>
                <w:szCs w:val="20"/>
              </w:rPr>
            </w:pPr>
          </w:p>
        </w:tc>
        <w:tc>
          <w:tcPr>
            <w:tcW w:w="1236" w:type="dxa"/>
            <w:vAlign w:val="center"/>
          </w:tcPr>
          <w:p w:rsidRPr="007D69DC" w:rsidR="007D69DC" w:rsidP="00FB600C" w:rsidRDefault="007D69DC" w14:paraId="27039FAD" w14:textId="77777777">
            <w:pPr>
              <w:contextualSpacing/>
              <w:jc w:val="right"/>
              <w:rPr>
                <w:rFonts w:ascii="Times New Roman" w:hAnsi="Times New Roman" w:cs="Times New Roman"/>
                <w:sz w:val="20"/>
                <w:szCs w:val="20"/>
              </w:rPr>
            </w:pPr>
          </w:p>
        </w:tc>
        <w:tc>
          <w:tcPr>
            <w:tcW w:w="1748" w:type="dxa"/>
            <w:vAlign w:val="center"/>
          </w:tcPr>
          <w:p w:rsidRPr="007D69DC" w:rsidR="007D69DC" w:rsidP="00FB600C" w:rsidRDefault="007D69DC" w14:paraId="51116785" w14:textId="77777777">
            <w:pPr>
              <w:contextualSpacing/>
              <w:jc w:val="right"/>
              <w:rPr>
                <w:rFonts w:ascii="Times New Roman" w:hAnsi="Times New Roman" w:cs="Times New Roman"/>
                <w:sz w:val="20"/>
                <w:szCs w:val="20"/>
              </w:rPr>
            </w:pPr>
          </w:p>
        </w:tc>
        <w:tc>
          <w:tcPr>
            <w:tcW w:w="1243" w:type="dxa"/>
            <w:vAlign w:val="center"/>
          </w:tcPr>
          <w:p w:rsidRPr="007D69DC" w:rsidR="007D69DC" w:rsidP="00FB600C" w:rsidRDefault="007D69DC" w14:paraId="23BD3196" w14:textId="77777777">
            <w:pPr>
              <w:contextualSpacing/>
              <w:jc w:val="right"/>
              <w:rPr>
                <w:rFonts w:ascii="Times New Roman" w:hAnsi="Times New Roman" w:cs="Times New Roman"/>
                <w:sz w:val="20"/>
                <w:szCs w:val="20"/>
              </w:rPr>
            </w:pPr>
          </w:p>
        </w:tc>
        <w:tc>
          <w:tcPr>
            <w:tcW w:w="1236" w:type="dxa"/>
            <w:vAlign w:val="center"/>
          </w:tcPr>
          <w:p w:rsidRPr="007D69DC" w:rsidR="007D69DC" w:rsidP="00FB600C" w:rsidRDefault="007D69DC" w14:paraId="2C23F9EC" w14:textId="77777777">
            <w:pPr>
              <w:contextualSpacing/>
              <w:jc w:val="right"/>
              <w:rPr>
                <w:rFonts w:ascii="Times New Roman" w:hAnsi="Times New Roman" w:cs="Times New Roman"/>
                <w:sz w:val="20"/>
                <w:szCs w:val="20"/>
              </w:rPr>
            </w:pPr>
          </w:p>
        </w:tc>
      </w:tr>
      <w:tr w:rsidRPr="007D69DC" w:rsidR="007D69DC" w:rsidTr="00A12521" w14:paraId="586AC845" w14:textId="77777777">
        <w:tc>
          <w:tcPr>
            <w:tcW w:w="1952" w:type="dxa"/>
          </w:tcPr>
          <w:p w:rsidRPr="007D69DC" w:rsidR="007D69DC" w:rsidP="00FB600C" w:rsidRDefault="007D69DC" w14:paraId="1D8BE720" w14:textId="77777777">
            <w:pPr>
              <w:contextualSpacing/>
              <w:rPr>
                <w:rFonts w:ascii="Times New Roman" w:hAnsi="Times New Roman" w:cs="Times New Roman"/>
                <w:b/>
                <w:sz w:val="20"/>
                <w:szCs w:val="20"/>
              </w:rPr>
            </w:pPr>
            <w:r w:rsidRPr="007D69DC">
              <w:rPr>
                <w:rFonts w:ascii="Times New Roman" w:hAnsi="Times New Roman" w:cs="Times New Roman"/>
                <w:b/>
                <w:sz w:val="20"/>
                <w:szCs w:val="20"/>
              </w:rPr>
              <w:t>Total</w:t>
            </w:r>
          </w:p>
        </w:tc>
        <w:tc>
          <w:tcPr>
            <w:tcW w:w="1738" w:type="dxa"/>
            <w:vAlign w:val="center"/>
          </w:tcPr>
          <w:p w:rsidRPr="007D69DC" w:rsidR="007D69DC" w:rsidP="00FB600C" w:rsidRDefault="007D69DC" w14:paraId="1B2E7FAF" w14:textId="77777777">
            <w:pPr>
              <w:contextualSpacing/>
              <w:jc w:val="right"/>
              <w:rPr>
                <w:rFonts w:ascii="Times New Roman" w:hAnsi="Times New Roman" w:cs="Times New Roman"/>
                <w:sz w:val="20"/>
                <w:szCs w:val="20"/>
              </w:rPr>
            </w:pPr>
            <w:r w:rsidRPr="007D69DC">
              <w:rPr>
                <w:rFonts w:ascii="Times New Roman" w:hAnsi="Times New Roman" w:cs="Times New Roman"/>
                <w:sz w:val="20"/>
                <w:szCs w:val="20"/>
              </w:rPr>
              <w:t>$0</w:t>
            </w:r>
          </w:p>
        </w:tc>
        <w:tc>
          <w:tcPr>
            <w:tcW w:w="1156" w:type="dxa"/>
            <w:vAlign w:val="center"/>
          </w:tcPr>
          <w:p w:rsidRPr="007D69DC" w:rsidR="007D69DC" w:rsidP="00FB600C" w:rsidRDefault="007D69DC" w14:paraId="61E513DF" w14:textId="77777777">
            <w:pPr>
              <w:contextualSpacing/>
              <w:jc w:val="right"/>
              <w:rPr>
                <w:rFonts w:ascii="Times New Roman" w:hAnsi="Times New Roman" w:cs="Times New Roman"/>
                <w:sz w:val="20"/>
                <w:szCs w:val="20"/>
              </w:rPr>
            </w:pPr>
            <w:r w:rsidRPr="007D69DC">
              <w:rPr>
                <w:rFonts w:ascii="Times New Roman" w:hAnsi="Times New Roman" w:cs="Times New Roman"/>
                <w:sz w:val="20"/>
                <w:szCs w:val="20"/>
              </w:rPr>
              <w:t>$0</w:t>
            </w:r>
          </w:p>
        </w:tc>
        <w:tc>
          <w:tcPr>
            <w:tcW w:w="1236" w:type="dxa"/>
            <w:vAlign w:val="center"/>
          </w:tcPr>
          <w:p w:rsidRPr="007D69DC" w:rsidR="007D69DC" w:rsidP="00FB600C" w:rsidRDefault="007D69DC" w14:paraId="2C382DCD" w14:textId="77777777">
            <w:pPr>
              <w:contextualSpacing/>
              <w:jc w:val="right"/>
              <w:rPr>
                <w:rFonts w:ascii="Times New Roman" w:hAnsi="Times New Roman" w:cs="Times New Roman"/>
                <w:sz w:val="20"/>
                <w:szCs w:val="20"/>
              </w:rPr>
            </w:pPr>
            <w:r w:rsidRPr="007D69DC">
              <w:rPr>
                <w:rFonts w:ascii="Times New Roman" w:hAnsi="Times New Roman" w:cs="Times New Roman"/>
                <w:sz w:val="20"/>
                <w:szCs w:val="20"/>
              </w:rPr>
              <w:t>$0</w:t>
            </w:r>
          </w:p>
        </w:tc>
        <w:tc>
          <w:tcPr>
            <w:tcW w:w="1748" w:type="dxa"/>
            <w:vAlign w:val="center"/>
          </w:tcPr>
          <w:p w:rsidRPr="007D69DC" w:rsidR="007D69DC" w:rsidP="00FB600C" w:rsidRDefault="007D69DC" w14:paraId="0241D882" w14:textId="77777777">
            <w:pPr>
              <w:contextualSpacing/>
              <w:jc w:val="right"/>
              <w:rPr>
                <w:rFonts w:ascii="Times New Roman" w:hAnsi="Times New Roman" w:cs="Times New Roman"/>
                <w:sz w:val="20"/>
                <w:szCs w:val="20"/>
              </w:rPr>
            </w:pPr>
            <w:r w:rsidRPr="007D69DC">
              <w:rPr>
                <w:rFonts w:ascii="Times New Roman" w:hAnsi="Times New Roman" w:cs="Times New Roman"/>
                <w:sz w:val="20"/>
                <w:szCs w:val="20"/>
              </w:rPr>
              <w:t>$0</w:t>
            </w:r>
          </w:p>
        </w:tc>
        <w:tc>
          <w:tcPr>
            <w:tcW w:w="1243" w:type="dxa"/>
            <w:vAlign w:val="center"/>
          </w:tcPr>
          <w:p w:rsidRPr="007D69DC" w:rsidR="007D69DC" w:rsidP="00FB600C" w:rsidRDefault="007D69DC" w14:paraId="331BAE32" w14:textId="77777777">
            <w:pPr>
              <w:contextualSpacing/>
              <w:jc w:val="right"/>
              <w:rPr>
                <w:rFonts w:ascii="Times New Roman" w:hAnsi="Times New Roman" w:cs="Times New Roman"/>
                <w:sz w:val="20"/>
                <w:szCs w:val="20"/>
              </w:rPr>
            </w:pPr>
            <w:r w:rsidRPr="007D69DC">
              <w:rPr>
                <w:rFonts w:ascii="Times New Roman" w:hAnsi="Times New Roman" w:cs="Times New Roman"/>
                <w:sz w:val="20"/>
                <w:szCs w:val="20"/>
              </w:rPr>
              <w:t>$0</w:t>
            </w:r>
          </w:p>
        </w:tc>
        <w:tc>
          <w:tcPr>
            <w:tcW w:w="1236" w:type="dxa"/>
            <w:vAlign w:val="center"/>
          </w:tcPr>
          <w:p w:rsidRPr="007D69DC" w:rsidR="007D69DC" w:rsidP="00FB600C" w:rsidRDefault="007D69DC" w14:paraId="47F68C22" w14:textId="77777777">
            <w:pPr>
              <w:contextualSpacing/>
              <w:jc w:val="right"/>
              <w:rPr>
                <w:rFonts w:ascii="Times New Roman" w:hAnsi="Times New Roman" w:cs="Times New Roman"/>
                <w:sz w:val="20"/>
                <w:szCs w:val="20"/>
              </w:rPr>
            </w:pPr>
            <w:r w:rsidRPr="007D69DC">
              <w:rPr>
                <w:rFonts w:ascii="Times New Roman" w:hAnsi="Times New Roman" w:cs="Times New Roman"/>
                <w:sz w:val="20"/>
                <w:szCs w:val="20"/>
              </w:rPr>
              <w:t>$0</w:t>
            </w:r>
          </w:p>
        </w:tc>
      </w:tr>
      <w:bookmarkEnd w:id="2"/>
    </w:tbl>
    <w:p w:rsidR="00D34853" w:rsidP="00A11A26" w:rsidRDefault="00D34853" w14:paraId="206DB22A" w14:textId="77777777">
      <w:pPr>
        <w:contextualSpacing/>
        <w:rPr>
          <w:rFonts w:ascii="Times New Roman" w:hAnsi="Times New Roman" w:cs="Times New Roman"/>
          <w:b/>
          <w:bCs/>
          <w:i/>
          <w:sz w:val="24"/>
          <w:szCs w:val="24"/>
        </w:rPr>
      </w:pPr>
    </w:p>
    <w:p w:rsidRPr="00065681" w:rsidR="00562915" w:rsidP="00FB600C" w:rsidRDefault="00562915" w14:paraId="3CD247A7" w14:textId="01868374">
      <w:pPr>
        <w:contextualSpacing/>
        <w:rPr>
          <w:rFonts w:ascii="Times New Roman" w:hAnsi="Times New Roman" w:cs="Times New Roman"/>
          <w:b/>
          <w:bCs/>
          <w:iCs/>
          <w:sz w:val="24"/>
          <w:szCs w:val="24"/>
        </w:rPr>
      </w:pPr>
      <w:r w:rsidRPr="00065681">
        <w:rPr>
          <w:rFonts w:ascii="Times New Roman" w:hAnsi="Times New Roman" w:cs="Times New Roman"/>
          <w:b/>
          <w:bCs/>
          <w:i/>
          <w:sz w:val="24"/>
          <w:szCs w:val="24"/>
        </w:rPr>
        <w:t>Explain:</w:t>
      </w:r>
      <w:r w:rsidRPr="00065681">
        <w:rPr>
          <w:rFonts w:ascii="Times New Roman" w:hAnsi="Times New Roman" w:cs="Times New Roman"/>
          <w:bCs/>
          <w:i/>
          <w:sz w:val="24"/>
          <w:szCs w:val="24"/>
        </w:rPr>
        <w:t xml:space="preserve"> </w:t>
      </w:r>
      <w:r w:rsidRPr="00065681" w:rsidR="00134AA7">
        <w:rPr>
          <w:rFonts w:ascii="Times New Roman" w:hAnsi="Times New Roman" w:cs="Times New Roman"/>
          <w:bCs/>
          <w:iCs/>
          <w:sz w:val="24"/>
          <w:szCs w:val="24"/>
        </w:rPr>
        <w:t>There are no changes in cost burden, as this is a new collection.</w:t>
      </w:r>
    </w:p>
    <w:p w:rsidRPr="00065681" w:rsidR="00562915" w:rsidP="00FB600C" w:rsidRDefault="00562915" w14:paraId="01871F47" w14:textId="77777777">
      <w:pPr>
        <w:contextualSpacing/>
        <w:rPr>
          <w:rFonts w:ascii="Times New Roman" w:hAnsi="Times New Roman" w:cs="Times New Roman"/>
          <w:b/>
          <w:bCs/>
          <w:color w:val="000000" w:themeColor="text1"/>
          <w:sz w:val="24"/>
          <w:szCs w:val="24"/>
        </w:rPr>
      </w:pPr>
      <w:r w:rsidRPr="00065681">
        <w:rPr>
          <w:rFonts w:ascii="Times New Roman" w:hAnsi="Times New Roman" w:cs="Times New Roman"/>
          <w:b/>
          <w:bCs/>
          <w:sz w:val="24"/>
          <w:szCs w:val="24"/>
        </w:rPr>
        <w:fldChar w:fldCharType="begin"/>
      </w:r>
      <w:r w:rsidRPr="00065681">
        <w:rPr>
          <w:rFonts w:ascii="Times New Roman" w:hAnsi="Times New Roman" w:cs="Times New Roman"/>
          <w:b/>
          <w:bCs/>
          <w:sz w:val="24"/>
          <w:szCs w:val="24"/>
        </w:rPr>
        <w:instrText>ADVANCE \R 0.95</w:instrText>
      </w:r>
      <w:r w:rsidRPr="00065681">
        <w:rPr>
          <w:rFonts w:ascii="Times New Roman" w:hAnsi="Times New Roman" w:cs="Times New Roman"/>
          <w:b/>
          <w:bCs/>
          <w:sz w:val="24"/>
          <w:szCs w:val="24"/>
        </w:rPr>
        <w:fldChar w:fldCharType="end"/>
      </w:r>
    </w:p>
    <w:p w:rsidRPr="00065681" w:rsidR="00562915" w:rsidP="00FB600C" w:rsidRDefault="00562915" w14:paraId="20AAF973" w14:textId="77777777">
      <w:pPr>
        <w:contextualSpacing/>
        <w:rPr>
          <w:rFonts w:ascii="Times New Roman" w:hAnsi="Times New Roman" w:cs="Times New Roman"/>
          <w:color w:val="000000" w:themeColor="text1"/>
          <w:sz w:val="24"/>
          <w:szCs w:val="24"/>
        </w:rPr>
      </w:pPr>
      <w:r w:rsidRPr="00065681">
        <w:rPr>
          <w:rFonts w:ascii="Times New Roman" w:hAnsi="Times New Roman" w:cs="Times New Roman"/>
          <w:b/>
          <w:bCs/>
          <w:color w:val="000000" w:themeColor="text1"/>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065681">
        <w:rPr>
          <w:rFonts w:ascii="Times New Roman" w:hAnsi="Times New Roman" w:cs="Times New Roman"/>
          <w:color w:val="000000" w:themeColor="text1"/>
          <w:sz w:val="24"/>
          <w:szCs w:val="24"/>
        </w:rPr>
        <w:fldChar w:fldCharType="begin"/>
      </w:r>
      <w:r w:rsidRPr="00065681">
        <w:rPr>
          <w:rFonts w:ascii="Times New Roman" w:hAnsi="Times New Roman" w:cs="Times New Roman"/>
          <w:color w:val="000000" w:themeColor="text1"/>
          <w:sz w:val="24"/>
          <w:szCs w:val="24"/>
        </w:rPr>
        <w:instrText>ADVANCE \R 0.95</w:instrText>
      </w:r>
      <w:r w:rsidRPr="00065681">
        <w:rPr>
          <w:rFonts w:ascii="Times New Roman" w:hAnsi="Times New Roman" w:cs="Times New Roman"/>
          <w:color w:val="000000" w:themeColor="text1"/>
          <w:sz w:val="24"/>
          <w:szCs w:val="24"/>
        </w:rPr>
        <w:fldChar w:fldCharType="end"/>
      </w:r>
    </w:p>
    <w:p w:rsidR="00FB600C" w:rsidP="00FB600C" w:rsidRDefault="00FB600C" w14:paraId="2831538A" w14:textId="77777777">
      <w:pPr>
        <w:contextualSpacing/>
        <w:rPr>
          <w:rFonts w:ascii="Times New Roman" w:hAnsi="Times New Roman" w:cs="Times New Roman"/>
          <w:color w:val="000000" w:themeColor="text1"/>
          <w:sz w:val="24"/>
          <w:szCs w:val="24"/>
        </w:rPr>
      </w:pPr>
    </w:p>
    <w:p w:rsidR="00562915" w:rsidP="00FB600C" w:rsidRDefault="00562915" w14:paraId="15ECB7E0" w14:textId="075EAD2D">
      <w:pPr>
        <w:contextualSpacing/>
        <w:rPr>
          <w:rFonts w:ascii="Times New Roman" w:hAnsi="Times New Roman" w:cs="Times New Roman"/>
          <w:color w:val="000000" w:themeColor="text1"/>
          <w:sz w:val="24"/>
          <w:szCs w:val="24"/>
        </w:rPr>
      </w:pPr>
      <w:r w:rsidRPr="00065681">
        <w:rPr>
          <w:rFonts w:ascii="Times New Roman" w:hAnsi="Times New Roman" w:cs="Times New Roman"/>
          <w:color w:val="000000" w:themeColor="text1"/>
          <w:sz w:val="24"/>
          <w:szCs w:val="24"/>
        </w:rPr>
        <w:t>There are no outline plans for tabulation and publication of data for this information collection.</w:t>
      </w:r>
    </w:p>
    <w:p w:rsidRPr="00065681" w:rsidR="00FB600C" w:rsidP="00FB600C" w:rsidRDefault="00FB600C" w14:paraId="56265B3B" w14:textId="77777777">
      <w:pPr>
        <w:contextualSpacing/>
        <w:rPr>
          <w:rFonts w:ascii="Times New Roman" w:hAnsi="Times New Roman" w:cs="Times New Roman"/>
          <w:color w:val="000000" w:themeColor="text1"/>
          <w:sz w:val="24"/>
          <w:szCs w:val="24"/>
        </w:rPr>
      </w:pPr>
    </w:p>
    <w:p w:rsidRPr="00065681" w:rsidR="00562915" w:rsidP="00FB600C" w:rsidRDefault="00562915" w14:paraId="6A1217E3" w14:textId="77777777">
      <w:pPr>
        <w:contextualSpacing/>
        <w:rPr>
          <w:rFonts w:ascii="Times New Roman" w:hAnsi="Times New Roman" w:cs="Times New Roman"/>
          <w:b/>
          <w:bCs/>
          <w:color w:val="000000" w:themeColor="text1"/>
          <w:sz w:val="24"/>
          <w:szCs w:val="24"/>
        </w:rPr>
      </w:pPr>
      <w:r w:rsidRPr="00065681">
        <w:rPr>
          <w:rFonts w:ascii="Times New Roman" w:hAnsi="Times New Roman" w:cs="Times New Roman"/>
          <w:b/>
          <w:bCs/>
          <w:color w:val="000000" w:themeColor="text1"/>
          <w:sz w:val="24"/>
          <w:szCs w:val="24"/>
        </w:rPr>
        <w:fldChar w:fldCharType="begin"/>
      </w:r>
      <w:r w:rsidRPr="00065681">
        <w:rPr>
          <w:rFonts w:ascii="Times New Roman" w:hAnsi="Times New Roman" w:cs="Times New Roman"/>
          <w:b/>
          <w:bCs/>
          <w:color w:val="000000" w:themeColor="text1"/>
          <w:sz w:val="24"/>
          <w:szCs w:val="24"/>
        </w:rPr>
        <w:instrText>ADVANCE \R 0.95</w:instrText>
      </w:r>
      <w:r w:rsidRPr="00065681">
        <w:rPr>
          <w:rFonts w:ascii="Times New Roman" w:hAnsi="Times New Roman" w:cs="Times New Roman"/>
          <w:b/>
          <w:bCs/>
          <w:color w:val="000000" w:themeColor="text1"/>
          <w:sz w:val="24"/>
          <w:szCs w:val="24"/>
        </w:rPr>
        <w:fldChar w:fldCharType="end"/>
      </w:r>
      <w:r w:rsidRPr="00065681">
        <w:rPr>
          <w:rFonts w:ascii="Times New Roman" w:hAnsi="Times New Roman" w:cs="Times New Roman"/>
          <w:b/>
          <w:bCs/>
          <w:color w:val="000000" w:themeColor="text1"/>
          <w:sz w:val="24"/>
          <w:szCs w:val="24"/>
        </w:rPr>
        <w:t>17.  If seeking approval not to display the expiration date for OMB approval of the information collection, explain reasons that display would be inappropriate.</w:t>
      </w:r>
    </w:p>
    <w:p w:rsidR="00FB600C" w:rsidP="00FB600C" w:rsidRDefault="00FB600C" w14:paraId="07CCA99A" w14:textId="77777777">
      <w:pPr>
        <w:contextualSpacing/>
        <w:rPr>
          <w:rFonts w:ascii="Times New Roman" w:hAnsi="Times New Roman" w:cs="Times New Roman"/>
          <w:color w:val="000000" w:themeColor="text1"/>
          <w:sz w:val="24"/>
          <w:szCs w:val="24"/>
        </w:rPr>
      </w:pPr>
    </w:p>
    <w:p w:rsidR="00562915" w:rsidP="00FB600C" w:rsidRDefault="00562915" w14:paraId="350069C9" w14:textId="51932620">
      <w:pPr>
        <w:contextualSpacing/>
        <w:rPr>
          <w:rFonts w:ascii="Times New Roman" w:hAnsi="Times New Roman" w:cs="Times New Roman"/>
          <w:b/>
          <w:bCs/>
          <w:color w:val="000000" w:themeColor="text1"/>
          <w:sz w:val="24"/>
          <w:szCs w:val="24"/>
        </w:rPr>
      </w:pPr>
      <w:r w:rsidRPr="00065681">
        <w:rPr>
          <w:rFonts w:ascii="Times New Roman" w:hAnsi="Times New Roman" w:cs="Times New Roman"/>
          <w:color w:val="000000" w:themeColor="text1"/>
          <w:sz w:val="24"/>
          <w:szCs w:val="24"/>
        </w:rPr>
        <w:t>This collection does not seek approval to not display the expiration date for OMB approval.</w:t>
      </w:r>
      <w:r w:rsidRPr="00065681">
        <w:rPr>
          <w:rFonts w:ascii="Times New Roman" w:hAnsi="Times New Roman" w:cs="Times New Roman"/>
          <w:b/>
          <w:bCs/>
          <w:color w:val="000000" w:themeColor="text1"/>
          <w:sz w:val="24"/>
          <w:szCs w:val="24"/>
        </w:rPr>
        <w:fldChar w:fldCharType="begin"/>
      </w:r>
      <w:r w:rsidRPr="00065681">
        <w:rPr>
          <w:rFonts w:ascii="Times New Roman" w:hAnsi="Times New Roman" w:cs="Times New Roman"/>
          <w:b/>
          <w:bCs/>
          <w:color w:val="000000" w:themeColor="text1"/>
          <w:sz w:val="24"/>
          <w:szCs w:val="24"/>
        </w:rPr>
        <w:instrText>ADVANCE \R 0.95</w:instrText>
      </w:r>
      <w:r w:rsidRPr="00065681">
        <w:rPr>
          <w:rFonts w:ascii="Times New Roman" w:hAnsi="Times New Roman" w:cs="Times New Roman"/>
          <w:b/>
          <w:bCs/>
          <w:color w:val="000000" w:themeColor="text1"/>
          <w:sz w:val="24"/>
          <w:szCs w:val="24"/>
        </w:rPr>
        <w:fldChar w:fldCharType="end"/>
      </w:r>
    </w:p>
    <w:p w:rsidRPr="00065681" w:rsidR="00FB600C" w:rsidP="00FB600C" w:rsidRDefault="00FB600C" w14:paraId="152A87C6" w14:textId="77777777">
      <w:pPr>
        <w:contextualSpacing/>
        <w:rPr>
          <w:rFonts w:ascii="Times New Roman" w:hAnsi="Times New Roman" w:cs="Times New Roman"/>
          <w:b/>
          <w:bCs/>
          <w:color w:val="000000" w:themeColor="text1"/>
          <w:sz w:val="24"/>
          <w:szCs w:val="24"/>
        </w:rPr>
      </w:pPr>
    </w:p>
    <w:p w:rsidRPr="00065681" w:rsidR="00562915" w:rsidP="00FB600C" w:rsidRDefault="00562915" w14:paraId="70199C4F" w14:textId="77777777">
      <w:pPr>
        <w:contextualSpacing/>
        <w:rPr>
          <w:rFonts w:ascii="Times New Roman" w:hAnsi="Times New Roman" w:cs="Times New Roman"/>
          <w:b/>
          <w:bCs/>
          <w:color w:val="000000" w:themeColor="text1"/>
          <w:sz w:val="24"/>
          <w:szCs w:val="24"/>
        </w:rPr>
      </w:pPr>
      <w:r w:rsidRPr="00065681">
        <w:rPr>
          <w:rFonts w:ascii="Times New Roman" w:hAnsi="Times New Roman" w:cs="Times New Roman"/>
          <w:b/>
          <w:bCs/>
          <w:color w:val="000000" w:themeColor="text1"/>
          <w:sz w:val="24"/>
          <w:szCs w:val="24"/>
        </w:rPr>
        <w:lastRenderedPageBreak/>
        <w:fldChar w:fldCharType="begin"/>
      </w:r>
      <w:r w:rsidRPr="00065681">
        <w:rPr>
          <w:rFonts w:ascii="Times New Roman" w:hAnsi="Times New Roman" w:cs="Times New Roman"/>
          <w:b/>
          <w:bCs/>
          <w:color w:val="000000" w:themeColor="text1"/>
          <w:sz w:val="24"/>
          <w:szCs w:val="24"/>
        </w:rPr>
        <w:instrText>ADVANCE \R 0.95</w:instrText>
      </w:r>
      <w:r w:rsidRPr="00065681">
        <w:rPr>
          <w:rFonts w:ascii="Times New Roman" w:hAnsi="Times New Roman" w:cs="Times New Roman"/>
          <w:b/>
          <w:bCs/>
          <w:color w:val="000000" w:themeColor="text1"/>
          <w:sz w:val="24"/>
          <w:szCs w:val="24"/>
        </w:rPr>
        <w:fldChar w:fldCharType="end"/>
      </w:r>
      <w:r w:rsidRPr="00065681">
        <w:rPr>
          <w:rFonts w:ascii="Times New Roman" w:hAnsi="Times New Roman" w:cs="Times New Roman"/>
          <w:b/>
          <w:bCs/>
          <w:color w:val="000000" w:themeColor="text1"/>
          <w:sz w:val="24"/>
          <w:szCs w:val="24"/>
        </w:rPr>
        <w:t>18.  Explain each exception to the certification statement identified in Item 19 “Certification for Paperwork Reduction Act Submissions,” of OMB Form 83-I.</w:t>
      </w:r>
    </w:p>
    <w:p w:rsidR="00FB600C" w:rsidP="00FB600C" w:rsidRDefault="00562915" w14:paraId="00BB28AE" w14:textId="77777777">
      <w:pPr>
        <w:contextualSpacing/>
        <w:rPr>
          <w:rFonts w:ascii="Times New Roman" w:hAnsi="Times New Roman" w:cs="Times New Roman"/>
          <w:color w:val="000000" w:themeColor="text1"/>
          <w:sz w:val="24"/>
          <w:szCs w:val="24"/>
        </w:rPr>
      </w:pPr>
      <w:r w:rsidRPr="00065681">
        <w:rPr>
          <w:rFonts w:ascii="Times New Roman" w:hAnsi="Times New Roman" w:cs="Times New Roman"/>
          <w:color w:val="000000" w:themeColor="text1"/>
          <w:sz w:val="24"/>
          <w:szCs w:val="24"/>
        </w:rPr>
        <w:fldChar w:fldCharType="begin"/>
      </w:r>
      <w:r w:rsidRPr="00065681">
        <w:rPr>
          <w:rFonts w:ascii="Times New Roman" w:hAnsi="Times New Roman" w:cs="Times New Roman"/>
          <w:color w:val="000000" w:themeColor="text1"/>
          <w:sz w:val="24"/>
          <w:szCs w:val="24"/>
        </w:rPr>
        <w:instrText>ADVANCE \R 0.95</w:instrText>
      </w:r>
      <w:r w:rsidRPr="00065681">
        <w:rPr>
          <w:rFonts w:ascii="Times New Roman" w:hAnsi="Times New Roman" w:cs="Times New Roman"/>
          <w:color w:val="000000" w:themeColor="text1"/>
          <w:sz w:val="24"/>
          <w:szCs w:val="24"/>
        </w:rPr>
        <w:fldChar w:fldCharType="end"/>
      </w:r>
    </w:p>
    <w:p w:rsidRPr="00065681" w:rsidR="00562915" w:rsidP="00FB600C" w:rsidRDefault="00562915" w14:paraId="438BD201" w14:textId="1BA76ADC">
      <w:pPr>
        <w:contextualSpacing/>
        <w:rPr>
          <w:rFonts w:ascii="Times New Roman" w:hAnsi="Times New Roman" w:cs="Times New Roman"/>
          <w:color w:val="000000" w:themeColor="text1"/>
          <w:sz w:val="24"/>
          <w:szCs w:val="24"/>
        </w:rPr>
      </w:pPr>
      <w:r w:rsidRPr="00065681">
        <w:rPr>
          <w:rFonts w:ascii="Times New Roman" w:hAnsi="Times New Roman" w:cs="Times New Roman"/>
          <w:color w:val="000000" w:themeColor="text1"/>
          <w:sz w:val="24"/>
          <w:szCs w:val="24"/>
        </w:rPr>
        <w:t>This collection does not seek exception to “Certification for Paperwork Reduction Act Submissions</w:t>
      </w:r>
      <w:r w:rsidR="0008053C">
        <w:rPr>
          <w:rFonts w:ascii="Times New Roman" w:hAnsi="Times New Roman" w:cs="Times New Roman"/>
          <w:color w:val="000000" w:themeColor="text1"/>
          <w:sz w:val="24"/>
          <w:szCs w:val="24"/>
        </w:rPr>
        <w:t>.</w:t>
      </w:r>
      <w:r w:rsidRPr="00065681">
        <w:rPr>
          <w:rFonts w:ascii="Times New Roman" w:hAnsi="Times New Roman" w:cs="Times New Roman"/>
          <w:color w:val="000000" w:themeColor="text1"/>
          <w:sz w:val="24"/>
          <w:szCs w:val="24"/>
        </w:rPr>
        <w:t xml:space="preserve">”  </w:t>
      </w:r>
    </w:p>
    <w:sectPr w:rsidRPr="00065681" w:rsidR="00562915">
      <w:footerReference w:type="even"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79A80" w14:textId="77777777" w:rsidR="00A12521" w:rsidRDefault="00A12521">
      <w:pPr>
        <w:spacing w:after="0" w:line="240" w:lineRule="auto"/>
      </w:pPr>
      <w:r>
        <w:separator/>
      </w:r>
    </w:p>
  </w:endnote>
  <w:endnote w:type="continuationSeparator" w:id="0">
    <w:p w14:paraId="07CF31F0" w14:textId="77777777" w:rsidR="00A12521" w:rsidRDefault="00A12521">
      <w:pPr>
        <w:spacing w:after="0" w:line="240" w:lineRule="auto"/>
      </w:pPr>
      <w:r>
        <w:continuationSeparator/>
      </w:r>
    </w:p>
  </w:endnote>
  <w:endnote w:type="continuationNotice" w:id="1">
    <w:p w14:paraId="5C15D000" w14:textId="77777777" w:rsidR="00A12521" w:rsidRDefault="00A125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8121" w14:textId="77777777" w:rsidR="00A12521" w:rsidRDefault="00A12521" w:rsidP="00BF56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B78278" w14:textId="77777777" w:rsidR="00A12521" w:rsidRDefault="00A125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0BCC4" w14:textId="77777777" w:rsidR="00A12521" w:rsidRDefault="00A12521" w:rsidP="00BF56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DDBEF00" w14:textId="77777777" w:rsidR="00A12521" w:rsidRDefault="00A125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93D12" w14:textId="77777777" w:rsidR="00A12521" w:rsidRDefault="00A12521">
      <w:pPr>
        <w:spacing w:after="0" w:line="240" w:lineRule="auto"/>
      </w:pPr>
      <w:r>
        <w:separator/>
      </w:r>
    </w:p>
  </w:footnote>
  <w:footnote w:type="continuationSeparator" w:id="0">
    <w:p w14:paraId="051FD65F" w14:textId="77777777" w:rsidR="00A12521" w:rsidRDefault="00A12521">
      <w:pPr>
        <w:spacing w:after="0" w:line="240" w:lineRule="auto"/>
      </w:pPr>
      <w:r>
        <w:continuationSeparator/>
      </w:r>
    </w:p>
  </w:footnote>
  <w:footnote w:type="continuationNotice" w:id="1">
    <w:p w14:paraId="21D7B296" w14:textId="77777777" w:rsidR="00A12521" w:rsidRDefault="00A12521">
      <w:pPr>
        <w:spacing w:after="0" w:line="240" w:lineRule="auto"/>
      </w:pPr>
    </w:p>
  </w:footnote>
  <w:footnote w:id="2">
    <w:p w14:paraId="305454E9" w14:textId="77777777" w:rsidR="00A12521" w:rsidRDefault="00A12521" w:rsidP="00954E3A">
      <w:pPr>
        <w:pStyle w:val="FootnoteText"/>
      </w:pPr>
      <w:r>
        <w:rPr>
          <w:rStyle w:val="FootnoteReference"/>
        </w:rPr>
        <w:footnoteRef/>
      </w:r>
      <w:r>
        <w:t xml:space="preserve"> </w:t>
      </w:r>
      <w:r>
        <w:rPr>
          <w:rFonts w:ascii="Times New Roman" w:hAnsi="Times New Roman" w:cs="Times New Roman"/>
        </w:rPr>
        <w:t xml:space="preserve">Bureau of Labor Statistics, Employer Costs for Employee Compensation, Table 1.  “Employer costs per hour worked for employee compensation and costs as a percent of total compensation:  Civilian workers, by major occupational and industry group, December 2020.”  Available at </w:t>
      </w:r>
      <w:hyperlink r:id="rId1" w:history="1">
        <w:r>
          <w:rPr>
            <w:rStyle w:val="Hyperlink"/>
            <w:rFonts w:ascii="Times New Roman" w:hAnsi="Times New Roman" w:cs="Times New Roman"/>
          </w:rPr>
          <w:t>https://www.bls.gov/news.release/archives/ecec_03182021.pdf</w:t>
        </w:r>
      </w:hyperlink>
      <w:r>
        <w:rPr>
          <w:rFonts w:ascii="Times New Roman" w:hAnsi="Times New Roman" w:cs="Times New Roman"/>
        </w:rPr>
        <w:t xml:space="preserve">.  Accessed May 12, 2021.  The wage multiplier is calculated by dividing total compensation for all workers of $38.60 by wages and salaries for all workers of $26.53 per hour yielding a benefits multiplier of approximately </w:t>
      </w:r>
      <w:r w:rsidRPr="00CF3267">
        <w:rPr>
          <w:rFonts w:ascii="Times New Roman" w:hAnsi="Times New Roman" w:cs="Times New Roman"/>
        </w:rPr>
        <w:t>1.45</w:t>
      </w:r>
    </w:p>
  </w:footnote>
  <w:footnote w:id="3">
    <w:p w14:paraId="274931C9" w14:textId="77777777" w:rsidR="00A12521" w:rsidRPr="002F0868" w:rsidRDefault="00A12521" w:rsidP="00A63A6F">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Information </w:t>
      </w:r>
      <w:r w:rsidRPr="002F0868">
        <w:rPr>
          <w:rFonts w:ascii="Times New Roman" w:hAnsi="Times New Roman" w:cs="Times New Roman"/>
        </w:rPr>
        <w:t xml:space="preserve">on the mean wage rate from the U.S. Department of Labor, Bureau of Labor Statistics is available online at: </w:t>
      </w:r>
      <w:hyperlink r:id="rId2" w:history="1">
        <w:r>
          <w:rPr>
            <w:rStyle w:val="Hyperlink"/>
            <w:rFonts w:ascii="Times New Roman" w:hAnsi="Times New Roman" w:cs="Times New Roman"/>
          </w:rPr>
          <w:t>https://www.bls.gov/oes/2020/may/oes_nat.htm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513184"/>
    <w:multiLevelType w:val="hybridMultilevel"/>
    <w:tmpl w:val="B3B6BCF8"/>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15"/>
    <w:rsid w:val="00003428"/>
    <w:rsid w:val="000130A9"/>
    <w:rsid w:val="00013D5C"/>
    <w:rsid w:val="00014073"/>
    <w:rsid w:val="00014294"/>
    <w:rsid w:val="00020ABB"/>
    <w:rsid w:val="0002364B"/>
    <w:rsid w:val="00025B0E"/>
    <w:rsid w:val="000263AE"/>
    <w:rsid w:val="000278E6"/>
    <w:rsid w:val="000279DE"/>
    <w:rsid w:val="00027ADD"/>
    <w:rsid w:val="000309C6"/>
    <w:rsid w:val="00031433"/>
    <w:rsid w:val="000325CA"/>
    <w:rsid w:val="00040C42"/>
    <w:rsid w:val="00041142"/>
    <w:rsid w:val="00046CB1"/>
    <w:rsid w:val="00050E45"/>
    <w:rsid w:val="00054BB2"/>
    <w:rsid w:val="00056077"/>
    <w:rsid w:val="00065681"/>
    <w:rsid w:val="00065A25"/>
    <w:rsid w:val="00066AA1"/>
    <w:rsid w:val="00067691"/>
    <w:rsid w:val="0008053C"/>
    <w:rsid w:val="00082933"/>
    <w:rsid w:val="00083610"/>
    <w:rsid w:val="000907AF"/>
    <w:rsid w:val="0009301D"/>
    <w:rsid w:val="0009456A"/>
    <w:rsid w:val="00095EAD"/>
    <w:rsid w:val="000A169F"/>
    <w:rsid w:val="000A610A"/>
    <w:rsid w:val="000B2A0C"/>
    <w:rsid w:val="000B3246"/>
    <w:rsid w:val="000B410E"/>
    <w:rsid w:val="000B419F"/>
    <w:rsid w:val="000B4B13"/>
    <w:rsid w:val="000B5339"/>
    <w:rsid w:val="000C107E"/>
    <w:rsid w:val="000C2509"/>
    <w:rsid w:val="000C2E85"/>
    <w:rsid w:val="000C2E8C"/>
    <w:rsid w:val="000C3BB1"/>
    <w:rsid w:val="000C7202"/>
    <w:rsid w:val="000D1FDB"/>
    <w:rsid w:val="000D253E"/>
    <w:rsid w:val="000D32AB"/>
    <w:rsid w:val="000D6FD7"/>
    <w:rsid w:val="000E2546"/>
    <w:rsid w:val="000E4AD3"/>
    <w:rsid w:val="000F0A1B"/>
    <w:rsid w:val="000F6153"/>
    <w:rsid w:val="000F70AB"/>
    <w:rsid w:val="001047AE"/>
    <w:rsid w:val="00106954"/>
    <w:rsid w:val="00116F23"/>
    <w:rsid w:val="00121C5F"/>
    <w:rsid w:val="00122BDC"/>
    <w:rsid w:val="00124784"/>
    <w:rsid w:val="00134AA7"/>
    <w:rsid w:val="00140AB9"/>
    <w:rsid w:val="001433D3"/>
    <w:rsid w:val="001657C9"/>
    <w:rsid w:val="00166465"/>
    <w:rsid w:val="001667AC"/>
    <w:rsid w:val="0017642D"/>
    <w:rsid w:val="0017AE6B"/>
    <w:rsid w:val="001809CB"/>
    <w:rsid w:val="0019155D"/>
    <w:rsid w:val="001A1C45"/>
    <w:rsid w:val="001B188C"/>
    <w:rsid w:val="001B2675"/>
    <w:rsid w:val="001B4653"/>
    <w:rsid w:val="001C1122"/>
    <w:rsid w:val="001C2BD3"/>
    <w:rsid w:val="001C7246"/>
    <w:rsid w:val="001D0108"/>
    <w:rsid w:val="001D29BC"/>
    <w:rsid w:val="001D5C40"/>
    <w:rsid w:val="001E0045"/>
    <w:rsid w:val="001E275B"/>
    <w:rsid w:val="001E4485"/>
    <w:rsid w:val="001E6592"/>
    <w:rsid w:val="001F1F31"/>
    <w:rsid w:val="001F2038"/>
    <w:rsid w:val="001F4D25"/>
    <w:rsid w:val="001F5C0E"/>
    <w:rsid w:val="0020587A"/>
    <w:rsid w:val="00207558"/>
    <w:rsid w:val="00212FDD"/>
    <w:rsid w:val="002144A2"/>
    <w:rsid w:val="00214A35"/>
    <w:rsid w:val="002165A6"/>
    <w:rsid w:val="0022062E"/>
    <w:rsid w:val="002254A6"/>
    <w:rsid w:val="00227204"/>
    <w:rsid w:val="002305B6"/>
    <w:rsid w:val="002313CA"/>
    <w:rsid w:val="00232171"/>
    <w:rsid w:val="00234B26"/>
    <w:rsid w:val="00240FA9"/>
    <w:rsid w:val="00241005"/>
    <w:rsid w:val="002649DF"/>
    <w:rsid w:val="00265C27"/>
    <w:rsid w:val="002664AD"/>
    <w:rsid w:val="0026656F"/>
    <w:rsid w:val="00266D40"/>
    <w:rsid w:val="0027258B"/>
    <w:rsid w:val="00272F36"/>
    <w:rsid w:val="00274C3F"/>
    <w:rsid w:val="00274FD4"/>
    <w:rsid w:val="00275572"/>
    <w:rsid w:val="00285726"/>
    <w:rsid w:val="00291D5A"/>
    <w:rsid w:val="00296608"/>
    <w:rsid w:val="00296D38"/>
    <w:rsid w:val="00297FB4"/>
    <w:rsid w:val="0029F1E9"/>
    <w:rsid w:val="002B05BB"/>
    <w:rsid w:val="002B10CA"/>
    <w:rsid w:val="002B27E9"/>
    <w:rsid w:val="002B2B7C"/>
    <w:rsid w:val="002C69DD"/>
    <w:rsid w:val="002C7F13"/>
    <w:rsid w:val="002D50F8"/>
    <w:rsid w:val="002E0C99"/>
    <w:rsid w:val="002E1D25"/>
    <w:rsid w:val="002E37B4"/>
    <w:rsid w:val="002F45A3"/>
    <w:rsid w:val="00301B1A"/>
    <w:rsid w:val="0030437C"/>
    <w:rsid w:val="003053C5"/>
    <w:rsid w:val="003053F2"/>
    <w:rsid w:val="00315190"/>
    <w:rsid w:val="003153EF"/>
    <w:rsid w:val="003170E1"/>
    <w:rsid w:val="003218EA"/>
    <w:rsid w:val="00326896"/>
    <w:rsid w:val="003275CD"/>
    <w:rsid w:val="00327935"/>
    <w:rsid w:val="00330B59"/>
    <w:rsid w:val="00332BB0"/>
    <w:rsid w:val="00332EBD"/>
    <w:rsid w:val="00333041"/>
    <w:rsid w:val="003353FA"/>
    <w:rsid w:val="00335C54"/>
    <w:rsid w:val="00340D5C"/>
    <w:rsid w:val="0034327D"/>
    <w:rsid w:val="0034400B"/>
    <w:rsid w:val="00352FD0"/>
    <w:rsid w:val="003568B4"/>
    <w:rsid w:val="003614FD"/>
    <w:rsid w:val="003638FD"/>
    <w:rsid w:val="00364027"/>
    <w:rsid w:val="00372A10"/>
    <w:rsid w:val="00373A87"/>
    <w:rsid w:val="00373E0D"/>
    <w:rsid w:val="0037432D"/>
    <w:rsid w:val="003763C6"/>
    <w:rsid w:val="00380D54"/>
    <w:rsid w:val="003852F0"/>
    <w:rsid w:val="0038768A"/>
    <w:rsid w:val="00390C35"/>
    <w:rsid w:val="00393318"/>
    <w:rsid w:val="003951B0"/>
    <w:rsid w:val="003978EE"/>
    <w:rsid w:val="003C3F58"/>
    <w:rsid w:val="003C5A99"/>
    <w:rsid w:val="003C72EC"/>
    <w:rsid w:val="003C78A4"/>
    <w:rsid w:val="003E56AF"/>
    <w:rsid w:val="003F5E9B"/>
    <w:rsid w:val="004011F0"/>
    <w:rsid w:val="00402C36"/>
    <w:rsid w:val="00414D4B"/>
    <w:rsid w:val="00420206"/>
    <w:rsid w:val="00421143"/>
    <w:rsid w:val="00426BFF"/>
    <w:rsid w:val="00431373"/>
    <w:rsid w:val="00437986"/>
    <w:rsid w:val="004428F5"/>
    <w:rsid w:val="00444969"/>
    <w:rsid w:val="004502D9"/>
    <w:rsid w:val="00451111"/>
    <w:rsid w:val="0045342D"/>
    <w:rsid w:val="00455ECE"/>
    <w:rsid w:val="0045627E"/>
    <w:rsid w:val="004571B6"/>
    <w:rsid w:val="004573C4"/>
    <w:rsid w:val="00460780"/>
    <w:rsid w:val="004631BD"/>
    <w:rsid w:val="00474006"/>
    <w:rsid w:val="00474580"/>
    <w:rsid w:val="00477348"/>
    <w:rsid w:val="00487D3B"/>
    <w:rsid w:val="00492EAF"/>
    <w:rsid w:val="004939DD"/>
    <w:rsid w:val="00495B0C"/>
    <w:rsid w:val="004A55D0"/>
    <w:rsid w:val="004B368B"/>
    <w:rsid w:val="004B3BC4"/>
    <w:rsid w:val="004C094B"/>
    <w:rsid w:val="004C2EF8"/>
    <w:rsid w:val="004C4683"/>
    <w:rsid w:val="004C5295"/>
    <w:rsid w:val="004C7387"/>
    <w:rsid w:val="004D0979"/>
    <w:rsid w:val="004D3245"/>
    <w:rsid w:val="004D7304"/>
    <w:rsid w:val="004E3AE0"/>
    <w:rsid w:val="004E5857"/>
    <w:rsid w:val="004E64C7"/>
    <w:rsid w:val="004E7F2C"/>
    <w:rsid w:val="004F276B"/>
    <w:rsid w:val="004F5B8D"/>
    <w:rsid w:val="00502B2D"/>
    <w:rsid w:val="005043F2"/>
    <w:rsid w:val="00505EAD"/>
    <w:rsid w:val="005106DD"/>
    <w:rsid w:val="00522229"/>
    <w:rsid w:val="005253C9"/>
    <w:rsid w:val="0052678B"/>
    <w:rsid w:val="00526C37"/>
    <w:rsid w:val="00534221"/>
    <w:rsid w:val="00536135"/>
    <w:rsid w:val="00536DAE"/>
    <w:rsid w:val="00546377"/>
    <w:rsid w:val="005508F5"/>
    <w:rsid w:val="005525EB"/>
    <w:rsid w:val="00556D08"/>
    <w:rsid w:val="005570B8"/>
    <w:rsid w:val="005623FC"/>
    <w:rsid w:val="00562915"/>
    <w:rsid w:val="00564584"/>
    <w:rsid w:val="00564700"/>
    <w:rsid w:val="00565E5C"/>
    <w:rsid w:val="0057502A"/>
    <w:rsid w:val="0058012F"/>
    <w:rsid w:val="0058098B"/>
    <w:rsid w:val="00590B4F"/>
    <w:rsid w:val="005945CA"/>
    <w:rsid w:val="005A1EC0"/>
    <w:rsid w:val="005A2C06"/>
    <w:rsid w:val="005A5050"/>
    <w:rsid w:val="005A506F"/>
    <w:rsid w:val="005A6C33"/>
    <w:rsid w:val="005B11B4"/>
    <w:rsid w:val="005B4ECB"/>
    <w:rsid w:val="005B6491"/>
    <w:rsid w:val="005C07BE"/>
    <w:rsid w:val="005C0C3F"/>
    <w:rsid w:val="005C15DF"/>
    <w:rsid w:val="005C32C9"/>
    <w:rsid w:val="005C3C14"/>
    <w:rsid w:val="005C4A5E"/>
    <w:rsid w:val="005C570B"/>
    <w:rsid w:val="005D1DD4"/>
    <w:rsid w:val="005D42A7"/>
    <w:rsid w:val="005E301C"/>
    <w:rsid w:val="005E6793"/>
    <w:rsid w:val="005F4663"/>
    <w:rsid w:val="005F4A6D"/>
    <w:rsid w:val="005F67FF"/>
    <w:rsid w:val="005F7623"/>
    <w:rsid w:val="0060118E"/>
    <w:rsid w:val="00601BDF"/>
    <w:rsid w:val="00602523"/>
    <w:rsid w:val="00610373"/>
    <w:rsid w:val="006116EC"/>
    <w:rsid w:val="00613C2C"/>
    <w:rsid w:val="006269A9"/>
    <w:rsid w:val="00626A81"/>
    <w:rsid w:val="0062766B"/>
    <w:rsid w:val="00630C4D"/>
    <w:rsid w:val="0063182C"/>
    <w:rsid w:val="00631997"/>
    <w:rsid w:val="00631CD7"/>
    <w:rsid w:val="00633F2C"/>
    <w:rsid w:val="006348A7"/>
    <w:rsid w:val="0063735F"/>
    <w:rsid w:val="00640086"/>
    <w:rsid w:val="00653A2D"/>
    <w:rsid w:val="00654F06"/>
    <w:rsid w:val="00656923"/>
    <w:rsid w:val="00657013"/>
    <w:rsid w:val="006578CF"/>
    <w:rsid w:val="006625E7"/>
    <w:rsid w:val="00663635"/>
    <w:rsid w:val="00666B90"/>
    <w:rsid w:val="0066714A"/>
    <w:rsid w:val="00670223"/>
    <w:rsid w:val="0067560B"/>
    <w:rsid w:val="006811A0"/>
    <w:rsid w:val="006855A1"/>
    <w:rsid w:val="00691ED1"/>
    <w:rsid w:val="00692204"/>
    <w:rsid w:val="006A4813"/>
    <w:rsid w:val="006B27E2"/>
    <w:rsid w:val="006B2FFF"/>
    <w:rsid w:val="006C0842"/>
    <w:rsid w:val="006C1A27"/>
    <w:rsid w:val="006C37BC"/>
    <w:rsid w:val="006D01E8"/>
    <w:rsid w:val="006D5651"/>
    <w:rsid w:val="006E0085"/>
    <w:rsid w:val="006E089B"/>
    <w:rsid w:val="006E0E70"/>
    <w:rsid w:val="006E4060"/>
    <w:rsid w:val="006E6525"/>
    <w:rsid w:val="006E6A28"/>
    <w:rsid w:val="006F18C6"/>
    <w:rsid w:val="006F41A5"/>
    <w:rsid w:val="00700337"/>
    <w:rsid w:val="00700FA9"/>
    <w:rsid w:val="007103B8"/>
    <w:rsid w:val="007177AF"/>
    <w:rsid w:val="00720831"/>
    <w:rsid w:val="00723579"/>
    <w:rsid w:val="00725AF9"/>
    <w:rsid w:val="00726CAE"/>
    <w:rsid w:val="007316BF"/>
    <w:rsid w:val="00742B07"/>
    <w:rsid w:val="00743D25"/>
    <w:rsid w:val="00743FFD"/>
    <w:rsid w:val="00744C96"/>
    <w:rsid w:val="00747080"/>
    <w:rsid w:val="00752AD2"/>
    <w:rsid w:val="007547EE"/>
    <w:rsid w:val="00757122"/>
    <w:rsid w:val="00761141"/>
    <w:rsid w:val="00761B0B"/>
    <w:rsid w:val="00762B5C"/>
    <w:rsid w:val="00763E5D"/>
    <w:rsid w:val="00766602"/>
    <w:rsid w:val="00776533"/>
    <w:rsid w:val="00787D75"/>
    <w:rsid w:val="007901E6"/>
    <w:rsid w:val="007909A3"/>
    <w:rsid w:val="007918F0"/>
    <w:rsid w:val="00795831"/>
    <w:rsid w:val="007A6BA1"/>
    <w:rsid w:val="007B1A65"/>
    <w:rsid w:val="007B29C2"/>
    <w:rsid w:val="007B5775"/>
    <w:rsid w:val="007C0255"/>
    <w:rsid w:val="007C10E6"/>
    <w:rsid w:val="007D2375"/>
    <w:rsid w:val="007D6075"/>
    <w:rsid w:val="007D69DC"/>
    <w:rsid w:val="007E3701"/>
    <w:rsid w:val="007E4441"/>
    <w:rsid w:val="007F0945"/>
    <w:rsid w:val="007F1426"/>
    <w:rsid w:val="007F7EA4"/>
    <w:rsid w:val="008009DF"/>
    <w:rsid w:val="00804484"/>
    <w:rsid w:val="00806324"/>
    <w:rsid w:val="00807272"/>
    <w:rsid w:val="00811719"/>
    <w:rsid w:val="00812AF6"/>
    <w:rsid w:val="008164C7"/>
    <w:rsid w:val="00823272"/>
    <w:rsid w:val="008307C5"/>
    <w:rsid w:val="00831CB9"/>
    <w:rsid w:val="0083403E"/>
    <w:rsid w:val="00841D89"/>
    <w:rsid w:val="008421A2"/>
    <w:rsid w:val="0084270D"/>
    <w:rsid w:val="008439F3"/>
    <w:rsid w:val="00847E5D"/>
    <w:rsid w:val="008515A0"/>
    <w:rsid w:val="00855E3A"/>
    <w:rsid w:val="00860EC4"/>
    <w:rsid w:val="00863747"/>
    <w:rsid w:val="00866CBF"/>
    <w:rsid w:val="0086716B"/>
    <w:rsid w:val="00870102"/>
    <w:rsid w:val="00876239"/>
    <w:rsid w:val="0088492C"/>
    <w:rsid w:val="00887751"/>
    <w:rsid w:val="00892CCF"/>
    <w:rsid w:val="008948E3"/>
    <w:rsid w:val="00894BD1"/>
    <w:rsid w:val="00895698"/>
    <w:rsid w:val="00895AC5"/>
    <w:rsid w:val="008A1F29"/>
    <w:rsid w:val="008A38FF"/>
    <w:rsid w:val="008A6A3E"/>
    <w:rsid w:val="008A7DE7"/>
    <w:rsid w:val="008B13CE"/>
    <w:rsid w:val="008B436C"/>
    <w:rsid w:val="008C1CA5"/>
    <w:rsid w:val="008C3643"/>
    <w:rsid w:val="008C7522"/>
    <w:rsid w:val="008D10E5"/>
    <w:rsid w:val="008D27B0"/>
    <w:rsid w:val="008D48B5"/>
    <w:rsid w:val="008E220B"/>
    <w:rsid w:val="008E27CE"/>
    <w:rsid w:val="008E67D1"/>
    <w:rsid w:val="008F5831"/>
    <w:rsid w:val="00902E9C"/>
    <w:rsid w:val="00902F9C"/>
    <w:rsid w:val="00903023"/>
    <w:rsid w:val="00904F36"/>
    <w:rsid w:val="00907A49"/>
    <w:rsid w:val="00914B52"/>
    <w:rsid w:val="00927D6D"/>
    <w:rsid w:val="009329C9"/>
    <w:rsid w:val="00932CF9"/>
    <w:rsid w:val="009334C9"/>
    <w:rsid w:val="00942AD5"/>
    <w:rsid w:val="00947591"/>
    <w:rsid w:val="009536F1"/>
    <w:rsid w:val="0095466F"/>
    <w:rsid w:val="0095468C"/>
    <w:rsid w:val="00954C34"/>
    <w:rsid w:val="00954E3A"/>
    <w:rsid w:val="00962384"/>
    <w:rsid w:val="00962F72"/>
    <w:rsid w:val="009648CC"/>
    <w:rsid w:val="00967EAB"/>
    <w:rsid w:val="00970775"/>
    <w:rsid w:val="00973B6A"/>
    <w:rsid w:val="0097599F"/>
    <w:rsid w:val="009760D8"/>
    <w:rsid w:val="00976C4E"/>
    <w:rsid w:val="00980116"/>
    <w:rsid w:val="00981124"/>
    <w:rsid w:val="009818B7"/>
    <w:rsid w:val="00981AA8"/>
    <w:rsid w:val="00983C6F"/>
    <w:rsid w:val="00984BA4"/>
    <w:rsid w:val="00985410"/>
    <w:rsid w:val="00986232"/>
    <w:rsid w:val="009915DE"/>
    <w:rsid w:val="009973F8"/>
    <w:rsid w:val="009A17FE"/>
    <w:rsid w:val="009A2721"/>
    <w:rsid w:val="009B1124"/>
    <w:rsid w:val="009C0BB3"/>
    <w:rsid w:val="009D252C"/>
    <w:rsid w:val="009D6A12"/>
    <w:rsid w:val="009D70DB"/>
    <w:rsid w:val="009E3409"/>
    <w:rsid w:val="009E45F2"/>
    <w:rsid w:val="009F0FDF"/>
    <w:rsid w:val="009F377A"/>
    <w:rsid w:val="009F7E98"/>
    <w:rsid w:val="00A05853"/>
    <w:rsid w:val="00A05CDB"/>
    <w:rsid w:val="00A11A26"/>
    <w:rsid w:val="00A12365"/>
    <w:rsid w:val="00A12521"/>
    <w:rsid w:val="00A12F35"/>
    <w:rsid w:val="00A13E42"/>
    <w:rsid w:val="00A16898"/>
    <w:rsid w:val="00A17B1F"/>
    <w:rsid w:val="00A31B4C"/>
    <w:rsid w:val="00A32E48"/>
    <w:rsid w:val="00A438C4"/>
    <w:rsid w:val="00A43E7A"/>
    <w:rsid w:val="00A47824"/>
    <w:rsid w:val="00A500BF"/>
    <w:rsid w:val="00A50473"/>
    <w:rsid w:val="00A50D37"/>
    <w:rsid w:val="00A5216C"/>
    <w:rsid w:val="00A53FC5"/>
    <w:rsid w:val="00A61B9A"/>
    <w:rsid w:val="00A62A9E"/>
    <w:rsid w:val="00A63A6F"/>
    <w:rsid w:val="00A72625"/>
    <w:rsid w:val="00A735AC"/>
    <w:rsid w:val="00A74C91"/>
    <w:rsid w:val="00A755DF"/>
    <w:rsid w:val="00A81349"/>
    <w:rsid w:val="00A81B78"/>
    <w:rsid w:val="00A83466"/>
    <w:rsid w:val="00A83CE9"/>
    <w:rsid w:val="00A845DC"/>
    <w:rsid w:val="00A84E40"/>
    <w:rsid w:val="00A87D1B"/>
    <w:rsid w:val="00A9294B"/>
    <w:rsid w:val="00AA0164"/>
    <w:rsid w:val="00AA7011"/>
    <w:rsid w:val="00AA72AB"/>
    <w:rsid w:val="00AB1B3D"/>
    <w:rsid w:val="00AB48FB"/>
    <w:rsid w:val="00AC38D7"/>
    <w:rsid w:val="00AC5A51"/>
    <w:rsid w:val="00AC6AE9"/>
    <w:rsid w:val="00AD28CF"/>
    <w:rsid w:val="00AE1F69"/>
    <w:rsid w:val="00AE2889"/>
    <w:rsid w:val="00AE3006"/>
    <w:rsid w:val="00AF4BDD"/>
    <w:rsid w:val="00AF4E35"/>
    <w:rsid w:val="00AF52F7"/>
    <w:rsid w:val="00AF6053"/>
    <w:rsid w:val="00AF7E93"/>
    <w:rsid w:val="00B01F70"/>
    <w:rsid w:val="00B02E16"/>
    <w:rsid w:val="00B05162"/>
    <w:rsid w:val="00B06C8E"/>
    <w:rsid w:val="00B0B79E"/>
    <w:rsid w:val="00B0F49D"/>
    <w:rsid w:val="00B100DA"/>
    <w:rsid w:val="00B3177A"/>
    <w:rsid w:val="00B322AF"/>
    <w:rsid w:val="00B3291E"/>
    <w:rsid w:val="00B3429C"/>
    <w:rsid w:val="00B37BBB"/>
    <w:rsid w:val="00B418BB"/>
    <w:rsid w:val="00B458D4"/>
    <w:rsid w:val="00B46798"/>
    <w:rsid w:val="00B54A28"/>
    <w:rsid w:val="00B5500D"/>
    <w:rsid w:val="00B606CA"/>
    <w:rsid w:val="00B62788"/>
    <w:rsid w:val="00B63539"/>
    <w:rsid w:val="00B64CBC"/>
    <w:rsid w:val="00B65F6A"/>
    <w:rsid w:val="00B7032F"/>
    <w:rsid w:val="00B714FC"/>
    <w:rsid w:val="00B73723"/>
    <w:rsid w:val="00B763F7"/>
    <w:rsid w:val="00B8187F"/>
    <w:rsid w:val="00B9056D"/>
    <w:rsid w:val="00B92B09"/>
    <w:rsid w:val="00B95962"/>
    <w:rsid w:val="00B9724B"/>
    <w:rsid w:val="00B97372"/>
    <w:rsid w:val="00BA1364"/>
    <w:rsid w:val="00BA4094"/>
    <w:rsid w:val="00BA5521"/>
    <w:rsid w:val="00BB46F5"/>
    <w:rsid w:val="00BB4823"/>
    <w:rsid w:val="00BB5055"/>
    <w:rsid w:val="00BB543D"/>
    <w:rsid w:val="00BC0058"/>
    <w:rsid w:val="00BC42F9"/>
    <w:rsid w:val="00BC4902"/>
    <w:rsid w:val="00BD5A23"/>
    <w:rsid w:val="00BD6830"/>
    <w:rsid w:val="00BE42FA"/>
    <w:rsid w:val="00BE64AE"/>
    <w:rsid w:val="00BF2C30"/>
    <w:rsid w:val="00BF56F5"/>
    <w:rsid w:val="00C02247"/>
    <w:rsid w:val="00C043E0"/>
    <w:rsid w:val="00C13780"/>
    <w:rsid w:val="00C13A9C"/>
    <w:rsid w:val="00C150B0"/>
    <w:rsid w:val="00C20F64"/>
    <w:rsid w:val="00C21550"/>
    <w:rsid w:val="00C23F43"/>
    <w:rsid w:val="00C243B0"/>
    <w:rsid w:val="00C2538F"/>
    <w:rsid w:val="00C25B2C"/>
    <w:rsid w:val="00C26E0B"/>
    <w:rsid w:val="00C2735F"/>
    <w:rsid w:val="00C27A33"/>
    <w:rsid w:val="00C27C47"/>
    <w:rsid w:val="00C323C7"/>
    <w:rsid w:val="00C335A1"/>
    <w:rsid w:val="00C34855"/>
    <w:rsid w:val="00C41BD2"/>
    <w:rsid w:val="00C436BC"/>
    <w:rsid w:val="00C45991"/>
    <w:rsid w:val="00C51879"/>
    <w:rsid w:val="00C52523"/>
    <w:rsid w:val="00C5369F"/>
    <w:rsid w:val="00C54BBF"/>
    <w:rsid w:val="00C551D0"/>
    <w:rsid w:val="00C61B09"/>
    <w:rsid w:val="00C62702"/>
    <w:rsid w:val="00C64F12"/>
    <w:rsid w:val="00C656C0"/>
    <w:rsid w:val="00C82BED"/>
    <w:rsid w:val="00C83003"/>
    <w:rsid w:val="00C91276"/>
    <w:rsid w:val="00C917BF"/>
    <w:rsid w:val="00CA601C"/>
    <w:rsid w:val="00CA71A6"/>
    <w:rsid w:val="00CA724A"/>
    <w:rsid w:val="00CA7F2A"/>
    <w:rsid w:val="00CB33B2"/>
    <w:rsid w:val="00CB784F"/>
    <w:rsid w:val="00CC131F"/>
    <w:rsid w:val="00CC5284"/>
    <w:rsid w:val="00CC68DA"/>
    <w:rsid w:val="00CD2E5D"/>
    <w:rsid w:val="00CD453D"/>
    <w:rsid w:val="00CD5FBE"/>
    <w:rsid w:val="00CE2F0B"/>
    <w:rsid w:val="00CE3E04"/>
    <w:rsid w:val="00CE4786"/>
    <w:rsid w:val="00CF1778"/>
    <w:rsid w:val="00D0139B"/>
    <w:rsid w:val="00D02AF6"/>
    <w:rsid w:val="00D0679B"/>
    <w:rsid w:val="00D113BD"/>
    <w:rsid w:val="00D13F02"/>
    <w:rsid w:val="00D173AA"/>
    <w:rsid w:val="00D21372"/>
    <w:rsid w:val="00D213CC"/>
    <w:rsid w:val="00D3311C"/>
    <w:rsid w:val="00D34853"/>
    <w:rsid w:val="00D45AEA"/>
    <w:rsid w:val="00D5294D"/>
    <w:rsid w:val="00D52B92"/>
    <w:rsid w:val="00D55411"/>
    <w:rsid w:val="00D562C2"/>
    <w:rsid w:val="00D7057D"/>
    <w:rsid w:val="00D71954"/>
    <w:rsid w:val="00D73B15"/>
    <w:rsid w:val="00D73C36"/>
    <w:rsid w:val="00D74C31"/>
    <w:rsid w:val="00D77765"/>
    <w:rsid w:val="00D813C5"/>
    <w:rsid w:val="00D85584"/>
    <w:rsid w:val="00D864EC"/>
    <w:rsid w:val="00D94BD6"/>
    <w:rsid w:val="00D9667D"/>
    <w:rsid w:val="00DA1A78"/>
    <w:rsid w:val="00DA226F"/>
    <w:rsid w:val="00DA4024"/>
    <w:rsid w:val="00DB1B2B"/>
    <w:rsid w:val="00DB3E06"/>
    <w:rsid w:val="00DB515B"/>
    <w:rsid w:val="00DB620F"/>
    <w:rsid w:val="00DC2A93"/>
    <w:rsid w:val="00DC3501"/>
    <w:rsid w:val="00DD1B63"/>
    <w:rsid w:val="00DD2626"/>
    <w:rsid w:val="00DD3E94"/>
    <w:rsid w:val="00DD510C"/>
    <w:rsid w:val="00DD5493"/>
    <w:rsid w:val="00DD5A99"/>
    <w:rsid w:val="00DE1651"/>
    <w:rsid w:val="00DE3D10"/>
    <w:rsid w:val="00DF277D"/>
    <w:rsid w:val="00DF2924"/>
    <w:rsid w:val="00DF2934"/>
    <w:rsid w:val="00DF51E9"/>
    <w:rsid w:val="00E0156C"/>
    <w:rsid w:val="00E022DB"/>
    <w:rsid w:val="00E05082"/>
    <w:rsid w:val="00E06574"/>
    <w:rsid w:val="00E06DD7"/>
    <w:rsid w:val="00E06EEF"/>
    <w:rsid w:val="00E1359D"/>
    <w:rsid w:val="00E153D6"/>
    <w:rsid w:val="00E16C69"/>
    <w:rsid w:val="00E21530"/>
    <w:rsid w:val="00E311C4"/>
    <w:rsid w:val="00E3309A"/>
    <w:rsid w:val="00E353DD"/>
    <w:rsid w:val="00E41C65"/>
    <w:rsid w:val="00E42267"/>
    <w:rsid w:val="00E424C6"/>
    <w:rsid w:val="00E54DE1"/>
    <w:rsid w:val="00E55A1A"/>
    <w:rsid w:val="00E55D5E"/>
    <w:rsid w:val="00E565DE"/>
    <w:rsid w:val="00E62B19"/>
    <w:rsid w:val="00E64038"/>
    <w:rsid w:val="00E7119C"/>
    <w:rsid w:val="00E83B4F"/>
    <w:rsid w:val="00E86924"/>
    <w:rsid w:val="00E94B3E"/>
    <w:rsid w:val="00EA13B4"/>
    <w:rsid w:val="00EA244B"/>
    <w:rsid w:val="00EA58DD"/>
    <w:rsid w:val="00EA7870"/>
    <w:rsid w:val="00EA7FB2"/>
    <w:rsid w:val="00EB1C70"/>
    <w:rsid w:val="00EB1DC4"/>
    <w:rsid w:val="00EB29A3"/>
    <w:rsid w:val="00EB3A16"/>
    <w:rsid w:val="00EB3B6F"/>
    <w:rsid w:val="00EB7D1C"/>
    <w:rsid w:val="00EC10A9"/>
    <w:rsid w:val="00EC789C"/>
    <w:rsid w:val="00ED232A"/>
    <w:rsid w:val="00ED28D0"/>
    <w:rsid w:val="00ED6505"/>
    <w:rsid w:val="00ED7A89"/>
    <w:rsid w:val="00EE036C"/>
    <w:rsid w:val="00EE05E6"/>
    <w:rsid w:val="00EE380D"/>
    <w:rsid w:val="00EF35DB"/>
    <w:rsid w:val="00EF7188"/>
    <w:rsid w:val="00F00B4F"/>
    <w:rsid w:val="00F01FAE"/>
    <w:rsid w:val="00F14DCE"/>
    <w:rsid w:val="00F15466"/>
    <w:rsid w:val="00F207F2"/>
    <w:rsid w:val="00F259EB"/>
    <w:rsid w:val="00F30239"/>
    <w:rsid w:val="00F3032F"/>
    <w:rsid w:val="00F35382"/>
    <w:rsid w:val="00F35D2B"/>
    <w:rsid w:val="00F37D72"/>
    <w:rsid w:val="00F41F5F"/>
    <w:rsid w:val="00F546FE"/>
    <w:rsid w:val="00F55DC1"/>
    <w:rsid w:val="00F637D9"/>
    <w:rsid w:val="00F654CC"/>
    <w:rsid w:val="00F67CE8"/>
    <w:rsid w:val="00F706A6"/>
    <w:rsid w:val="00F71F77"/>
    <w:rsid w:val="00F72178"/>
    <w:rsid w:val="00F72D2E"/>
    <w:rsid w:val="00F7381B"/>
    <w:rsid w:val="00F812D5"/>
    <w:rsid w:val="00F874F1"/>
    <w:rsid w:val="00F87A02"/>
    <w:rsid w:val="00F8EBBF"/>
    <w:rsid w:val="00F92479"/>
    <w:rsid w:val="00F93CFC"/>
    <w:rsid w:val="00F94D9D"/>
    <w:rsid w:val="00F96369"/>
    <w:rsid w:val="00FA4FBE"/>
    <w:rsid w:val="00FB16DF"/>
    <w:rsid w:val="00FB505F"/>
    <w:rsid w:val="00FB5B59"/>
    <w:rsid w:val="00FB600C"/>
    <w:rsid w:val="00FC1D6D"/>
    <w:rsid w:val="00FC7490"/>
    <w:rsid w:val="00FD1CB2"/>
    <w:rsid w:val="00FE38CE"/>
    <w:rsid w:val="00FF0F8D"/>
    <w:rsid w:val="00FF2A79"/>
    <w:rsid w:val="00FF36DD"/>
    <w:rsid w:val="00FF69FD"/>
    <w:rsid w:val="00FF6D85"/>
    <w:rsid w:val="014FE2DD"/>
    <w:rsid w:val="015609FB"/>
    <w:rsid w:val="01A80B4B"/>
    <w:rsid w:val="029895A2"/>
    <w:rsid w:val="02A5F01B"/>
    <w:rsid w:val="02A6633B"/>
    <w:rsid w:val="033CC598"/>
    <w:rsid w:val="0355EDF5"/>
    <w:rsid w:val="03812FA7"/>
    <w:rsid w:val="03956689"/>
    <w:rsid w:val="041530F1"/>
    <w:rsid w:val="0437ABC8"/>
    <w:rsid w:val="047442BA"/>
    <w:rsid w:val="04BE717D"/>
    <w:rsid w:val="05264E4A"/>
    <w:rsid w:val="05743305"/>
    <w:rsid w:val="059B98B9"/>
    <w:rsid w:val="060FC6DC"/>
    <w:rsid w:val="061D6B46"/>
    <w:rsid w:val="06452CB6"/>
    <w:rsid w:val="065A41DE"/>
    <w:rsid w:val="066ED0E8"/>
    <w:rsid w:val="0671C418"/>
    <w:rsid w:val="0681072F"/>
    <w:rsid w:val="06CBF26B"/>
    <w:rsid w:val="073E0889"/>
    <w:rsid w:val="077048A9"/>
    <w:rsid w:val="07FA9212"/>
    <w:rsid w:val="08732AB9"/>
    <w:rsid w:val="08881F15"/>
    <w:rsid w:val="089AAD11"/>
    <w:rsid w:val="095D693A"/>
    <w:rsid w:val="0991E2A0"/>
    <w:rsid w:val="09AB0AFD"/>
    <w:rsid w:val="09B592D1"/>
    <w:rsid w:val="09C8B4D3"/>
    <w:rsid w:val="09E1F1EF"/>
    <w:rsid w:val="0A75E637"/>
    <w:rsid w:val="0AC850DA"/>
    <w:rsid w:val="0B4A83E9"/>
    <w:rsid w:val="0B83DED2"/>
    <w:rsid w:val="0BDB6466"/>
    <w:rsid w:val="0C43B9CC"/>
    <w:rsid w:val="0C8FA127"/>
    <w:rsid w:val="0CA5D231"/>
    <w:rsid w:val="0CAC05EF"/>
    <w:rsid w:val="0CF44BDA"/>
    <w:rsid w:val="0D0215DD"/>
    <w:rsid w:val="0D0DBB9B"/>
    <w:rsid w:val="0DAD2B6B"/>
    <w:rsid w:val="0E127164"/>
    <w:rsid w:val="0E8807D5"/>
    <w:rsid w:val="0FD2E69F"/>
    <w:rsid w:val="102AF9F3"/>
    <w:rsid w:val="1043F004"/>
    <w:rsid w:val="10488D0E"/>
    <w:rsid w:val="115CEB2C"/>
    <w:rsid w:val="1192DCEB"/>
    <w:rsid w:val="11944944"/>
    <w:rsid w:val="11F8E8C2"/>
    <w:rsid w:val="120417CF"/>
    <w:rsid w:val="12497861"/>
    <w:rsid w:val="12F3CEF2"/>
    <w:rsid w:val="134ACA06"/>
    <w:rsid w:val="13A27C5F"/>
    <w:rsid w:val="143865EC"/>
    <w:rsid w:val="1446AC55"/>
    <w:rsid w:val="1448A493"/>
    <w:rsid w:val="14AE5EF4"/>
    <w:rsid w:val="14B760C3"/>
    <w:rsid w:val="14E59E48"/>
    <w:rsid w:val="157C70DF"/>
    <w:rsid w:val="15D7312E"/>
    <w:rsid w:val="1642616F"/>
    <w:rsid w:val="167106BC"/>
    <w:rsid w:val="168FDDDD"/>
    <w:rsid w:val="16C33E6A"/>
    <w:rsid w:val="16CE5223"/>
    <w:rsid w:val="16D46F2F"/>
    <w:rsid w:val="17184140"/>
    <w:rsid w:val="1731699D"/>
    <w:rsid w:val="17721EA8"/>
    <w:rsid w:val="17AF13D7"/>
    <w:rsid w:val="1814238F"/>
    <w:rsid w:val="185F0ECB"/>
    <w:rsid w:val="186EF3E1"/>
    <w:rsid w:val="18AC627F"/>
    <w:rsid w:val="18B411A1"/>
    <w:rsid w:val="18B50DC0"/>
    <w:rsid w:val="18BE9975"/>
    <w:rsid w:val="1986B088"/>
    <w:rsid w:val="19B33F88"/>
    <w:rsid w:val="19B97FA5"/>
    <w:rsid w:val="19C9DF6F"/>
    <w:rsid w:val="1ADF0577"/>
    <w:rsid w:val="1AF115B8"/>
    <w:rsid w:val="1B0D79EA"/>
    <w:rsid w:val="1B83BE02"/>
    <w:rsid w:val="1B8CDDFC"/>
    <w:rsid w:val="1BA694A3"/>
    <w:rsid w:val="1C78BF60"/>
    <w:rsid w:val="1CAB29C6"/>
    <w:rsid w:val="1CE9010B"/>
    <w:rsid w:val="1D59453F"/>
    <w:rsid w:val="1D6FFC2D"/>
    <w:rsid w:val="1E2E623D"/>
    <w:rsid w:val="1E735831"/>
    <w:rsid w:val="1F0BE360"/>
    <w:rsid w:val="1F1E2826"/>
    <w:rsid w:val="1F661F05"/>
    <w:rsid w:val="1FCCCCEC"/>
    <w:rsid w:val="20018CF3"/>
    <w:rsid w:val="20203193"/>
    <w:rsid w:val="202CD268"/>
    <w:rsid w:val="2078B9C3"/>
    <w:rsid w:val="2092DE3F"/>
    <w:rsid w:val="20E8E626"/>
    <w:rsid w:val="210E3CF9"/>
    <w:rsid w:val="21B708A4"/>
    <w:rsid w:val="21E51992"/>
    <w:rsid w:val="223100ED"/>
    <w:rsid w:val="22C1D704"/>
    <w:rsid w:val="2358428F"/>
    <w:rsid w:val="2369E93F"/>
    <w:rsid w:val="2377ED11"/>
    <w:rsid w:val="23AD0207"/>
    <w:rsid w:val="23BF2EB0"/>
    <w:rsid w:val="23CE61B4"/>
    <w:rsid w:val="24399028"/>
    <w:rsid w:val="248E92FE"/>
    <w:rsid w:val="249E9FE0"/>
    <w:rsid w:val="25256595"/>
    <w:rsid w:val="252FED69"/>
    <w:rsid w:val="25A39DAA"/>
    <w:rsid w:val="25BDA485"/>
    <w:rsid w:val="26201EDC"/>
    <w:rsid w:val="262B5F7E"/>
    <w:rsid w:val="26428F9D"/>
    <w:rsid w:val="2645E8C3"/>
    <w:rsid w:val="26680FD3"/>
    <w:rsid w:val="26764ABA"/>
    <w:rsid w:val="26C33DE4"/>
    <w:rsid w:val="26EC6373"/>
    <w:rsid w:val="26EE3F89"/>
    <w:rsid w:val="26F82E71"/>
    <w:rsid w:val="270996F6"/>
    <w:rsid w:val="2732E683"/>
    <w:rsid w:val="27862A67"/>
    <w:rsid w:val="2795D5C4"/>
    <w:rsid w:val="27BD1845"/>
    <w:rsid w:val="27C633C0"/>
    <w:rsid w:val="27E793A2"/>
    <w:rsid w:val="2836255B"/>
    <w:rsid w:val="29075958"/>
    <w:rsid w:val="29166740"/>
    <w:rsid w:val="292725C7"/>
    <w:rsid w:val="2958E8A6"/>
    <w:rsid w:val="297C98D7"/>
    <w:rsid w:val="297E99AA"/>
    <w:rsid w:val="2997FBEE"/>
    <w:rsid w:val="29A3D3E2"/>
    <w:rsid w:val="29C88032"/>
    <w:rsid w:val="29FA4311"/>
    <w:rsid w:val="2A53CED6"/>
    <w:rsid w:val="2A5DE670"/>
    <w:rsid w:val="2AAE53E5"/>
    <w:rsid w:val="2B0D68FA"/>
    <w:rsid w:val="2B1B7E58"/>
    <w:rsid w:val="2C1892DA"/>
    <w:rsid w:val="2C460E66"/>
    <w:rsid w:val="2CAC1A3D"/>
    <w:rsid w:val="2CDD48F5"/>
    <w:rsid w:val="2CEC7DA5"/>
    <w:rsid w:val="2D0BA25F"/>
    <w:rsid w:val="2D4BA7C5"/>
    <w:rsid w:val="2D4F95FD"/>
    <w:rsid w:val="2DE26AAC"/>
    <w:rsid w:val="2E3A1D05"/>
    <w:rsid w:val="2E47EA9E"/>
    <w:rsid w:val="2E487683"/>
    <w:rsid w:val="2EC65EC5"/>
    <w:rsid w:val="2EF14E3A"/>
    <w:rsid w:val="2F05124C"/>
    <w:rsid w:val="2F0DFB81"/>
    <w:rsid w:val="2F681B35"/>
    <w:rsid w:val="2F8F440E"/>
    <w:rsid w:val="2FA3E994"/>
    <w:rsid w:val="2FD5ED66"/>
    <w:rsid w:val="3037C1B6"/>
    <w:rsid w:val="30516CA1"/>
    <w:rsid w:val="30A0CF6F"/>
    <w:rsid w:val="310EEFA1"/>
    <w:rsid w:val="3164F6AA"/>
    <w:rsid w:val="3227F2DD"/>
    <w:rsid w:val="32C5E8B1"/>
    <w:rsid w:val="3300C70B"/>
    <w:rsid w:val="33B1BE1E"/>
    <w:rsid w:val="34563F78"/>
    <w:rsid w:val="350C8907"/>
    <w:rsid w:val="352A167C"/>
    <w:rsid w:val="353DF1D7"/>
    <w:rsid w:val="35725B92"/>
    <w:rsid w:val="3592D3F8"/>
    <w:rsid w:val="359975DA"/>
    <w:rsid w:val="35BE1639"/>
    <w:rsid w:val="35CBA8F3"/>
    <w:rsid w:val="36092E29"/>
    <w:rsid w:val="362B42E5"/>
    <w:rsid w:val="3656763D"/>
    <w:rsid w:val="36A95587"/>
    <w:rsid w:val="36BA91DA"/>
    <w:rsid w:val="36D17ED2"/>
    <w:rsid w:val="3706C6BD"/>
    <w:rsid w:val="3763026C"/>
    <w:rsid w:val="378AB94B"/>
    <w:rsid w:val="37AD263F"/>
    <w:rsid w:val="37E1D580"/>
    <w:rsid w:val="3812DFFB"/>
    <w:rsid w:val="3831288A"/>
    <w:rsid w:val="38432DAA"/>
    <w:rsid w:val="3844EC9C"/>
    <w:rsid w:val="39019866"/>
    <w:rsid w:val="39342E16"/>
    <w:rsid w:val="396E9F58"/>
    <w:rsid w:val="398CB646"/>
    <w:rsid w:val="39FDBFAB"/>
    <w:rsid w:val="3A8343B7"/>
    <w:rsid w:val="3AB84273"/>
    <w:rsid w:val="3B315BC3"/>
    <w:rsid w:val="3BF91AB6"/>
    <w:rsid w:val="3C019421"/>
    <w:rsid w:val="3CDF186F"/>
    <w:rsid w:val="3CFED98B"/>
    <w:rsid w:val="3D45AE97"/>
    <w:rsid w:val="3DDDAC3F"/>
    <w:rsid w:val="3E5EB237"/>
    <w:rsid w:val="3E6042BC"/>
    <w:rsid w:val="3E745F8F"/>
    <w:rsid w:val="3EB878AB"/>
    <w:rsid w:val="3EF5DD1E"/>
    <w:rsid w:val="3F22941B"/>
    <w:rsid w:val="3F9C4C5D"/>
    <w:rsid w:val="3FCD131D"/>
    <w:rsid w:val="3FE92FD7"/>
    <w:rsid w:val="4026E068"/>
    <w:rsid w:val="41177715"/>
    <w:rsid w:val="417C86CD"/>
    <w:rsid w:val="4183C688"/>
    <w:rsid w:val="41CDF336"/>
    <w:rsid w:val="42236646"/>
    <w:rsid w:val="426F4DA1"/>
    <w:rsid w:val="42B34776"/>
    <w:rsid w:val="430DCF5A"/>
    <w:rsid w:val="431ED85B"/>
    <w:rsid w:val="432B7930"/>
    <w:rsid w:val="43FF48F9"/>
    <w:rsid w:val="444CEDC3"/>
    <w:rsid w:val="44AFF52D"/>
    <w:rsid w:val="44D3625B"/>
    <w:rsid w:val="44D969BF"/>
    <w:rsid w:val="44DE6EA6"/>
    <w:rsid w:val="44F58716"/>
    <w:rsid w:val="45101BCC"/>
    <w:rsid w:val="4558CC26"/>
    <w:rsid w:val="45D97F9D"/>
    <w:rsid w:val="45F26584"/>
    <w:rsid w:val="46514E1E"/>
    <w:rsid w:val="468B4009"/>
    <w:rsid w:val="46DA6B60"/>
    <w:rsid w:val="47014912"/>
    <w:rsid w:val="47CEDE56"/>
    <w:rsid w:val="47FEEA53"/>
    <w:rsid w:val="483E30D9"/>
    <w:rsid w:val="486B8ECF"/>
    <w:rsid w:val="48CB593E"/>
    <w:rsid w:val="49462300"/>
    <w:rsid w:val="49D23C94"/>
    <w:rsid w:val="49DF2C72"/>
    <w:rsid w:val="4A5FCAD0"/>
    <w:rsid w:val="4A613729"/>
    <w:rsid w:val="4BDFB2B0"/>
    <w:rsid w:val="4C0DA270"/>
    <w:rsid w:val="4CBFAEAE"/>
    <w:rsid w:val="4D6A3806"/>
    <w:rsid w:val="4D82566A"/>
    <w:rsid w:val="4DBA95E5"/>
    <w:rsid w:val="4DBC71F1"/>
    <w:rsid w:val="4E01F84E"/>
    <w:rsid w:val="4EA5E102"/>
    <w:rsid w:val="4EED2B49"/>
    <w:rsid w:val="4F4C20BF"/>
    <w:rsid w:val="50301A61"/>
    <w:rsid w:val="5072F69A"/>
    <w:rsid w:val="50A44C8C"/>
    <w:rsid w:val="50BA2C19"/>
    <w:rsid w:val="51218D58"/>
    <w:rsid w:val="515DEB8C"/>
    <w:rsid w:val="51636C4C"/>
    <w:rsid w:val="519DAD3D"/>
    <w:rsid w:val="51AA1724"/>
    <w:rsid w:val="51DEEC01"/>
    <w:rsid w:val="51E570D9"/>
    <w:rsid w:val="52A3B504"/>
    <w:rsid w:val="52D47129"/>
    <w:rsid w:val="5310290E"/>
    <w:rsid w:val="5321265D"/>
    <w:rsid w:val="534B2935"/>
    <w:rsid w:val="53513A2B"/>
    <w:rsid w:val="535D75D0"/>
    <w:rsid w:val="5375D7B0"/>
    <w:rsid w:val="539DC5C9"/>
    <w:rsid w:val="54703E47"/>
    <w:rsid w:val="5472C6A9"/>
    <w:rsid w:val="5542EEF4"/>
    <w:rsid w:val="55A1978B"/>
    <w:rsid w:val="55AE5B79"/>
    <w:rsid w:val="55C58B98"/>
    <w:rsid w:val="55F2263A"/>
    <w:rsid w:val="56C928CC"/>
    <w:rsid w:val="57699978"/>
    <w:rsid w:val="5785FE32"/>
    <w:rsid w:val="582FFB84"/>
    <w:rsid w:val="58716EF8"/>
    <w:rsid w:val="58AA21C2"/>
    <w:rsid w:val="58B4395C"/>
    <w:rsid w:val="58B84A9B"/>
    <w:rsid w:val="597462E0"/>
    <w:rsid w:val="5981EBC2"/>
    <w:rsid w:val="5981F9D1"/>
    <w:rsid w:val="5998EF58"/>
    <w:rsid w:val="599DA541"/>
    <w:rsid w:val="5A8767D5"/>
    <w:rsid w:val="5AC43E6D"/>
    <w:rsid w:val="5AD2DEF6"/>
    <w:rsid w:val="5B0F29A9"/>
    <w:rsid w:val="5B243877"/>
    <w:rsid w:val="5B43FC7C"/>
    <w:rsid w:val="5B47508C"/>
    <w:rsid w:val="5B62026B"/>
    <w:rsid w:val="5B6AADAC"/>
    <w:rsid w:val="5B7B56B3"/>
    <w:rsid w:val="5B7DAEEB"/>
    <w:rsid w:val="5BCDC526"/>
    <w:rsid w:val="5C0B146D"/>
    <w:rsid w:val="5C279B2C"/>
    <w:rsid w:val="5C62CC7D"/>
    <w:rsid w:val="5C96D9AF"/>
    <w:rsid w:val="5CAD9FE6"/>
    <w:rsid w:val="5D38B126"/>
    <w:rsid w:val="5D4D6488"/>
    <w:rsid w:val="5D9B5866"/>
    <w:rsid w:val="5DA752E1"/>
    <w:rsid w:val="5DA777EE"/>
    <w:rsid w:val="5E0426AC"/>
    <w:rsid w:val="5E1B88B9"/>
    <w:rsid w:val="5E272D6F"/>
    <w:rsid w:val="5EB61280"/>
    <w:rsid w:val="5F414061"/>
    <w:rsid w:val="5F67B096"/>
    <w:rsid w:val="5FAE3D0A"/>
    <w:rsid w:val="5FC2FDD0"/>
    <w:rsid w:val="60340735"/>
    <w:rsid w:val="604D2F92"/>
    <w:rsid w:val="60C1DE9A"/>
    <w:rsid w:val="60CFEEC4"/>
    <w:rsid w:val="60D7314D"/>
    <w:rsid w:val="60E088C3"/>
    <w:rsid w:val="60EBCB41"/>
    <w:rsid w:val="60EF716D"/>
    <w:rsid w:val="60F38298"/>
    <w:rsid w:val="618D1AA9"/>
    <w:rsid w:val="619E14B7"/>
    <w:rsid w:val="627A4D7C"/>
    <w:rsid w:val="62D5D17F"/>
    <w:rsid w:val="62E3A487"/>
    <w:rsid w:val="63053DC5"/>
    <w:rsid w:val="6306983F"/>
    <w:rsid w:val="6334BA19"/>
    <w:rsid w:val="6431BFFC"/>
    <w:rsid w:val="644EDF80"/>
    <w:rsid w:val="64597022"/>
    <w:rsid w:val="645E2846"/>
    <w:rsid w:val="6488D666"/>
    <w:rsid w:val="65340FA5"/>
    <w:rsid w:val="6566AAA8"/>
    <w:rsid w:val="662EC06A"/>
    <w:rsid w:val="663A1DB6"/>
    <w:rsid w:val="66B93E55"/>
    <w:rsid w:val="66DEFB9B"/>
    <w:rsid w:val="67085871"/>
    <w:rsid w:val="670ABED9"/>
    <w:rsid w:val="67683D2A"/>
    <w:rsid w:val="6799A5FA"/>
    <w:rsid w:val="67AED896"/>
    <w:rsid w:val="67C5F059"/>
    <w:rsid w:val="681323B7"/>
    <w:rsid w:val="6865DE6B"/>
    <w:rsid w:val="6878E932"/>
    <w:rsid w:val="68DDF766"/>
    <w:rsid w:val="69328832"/>
    <w:rsid w:val="69468BD9"/>
    <w:rsid w:val="695A2686"/>
    <w:rsid w:val="69E8866F"/>
    <w:rsid w:val="69EDD6F5"/>
    <w:rsid w:val="6A0C5836"/>
    <w:rsid w:val="6A0E18B3"/>
    <w:rsid w:val="6A3D7DB7"/>
    <w:rsid w:val="6A865B80"/>
    <w:rsid w:val="6A90C74A"/>
    <w:rsid w:val="6A966862"/>
    <w:rsid w:val="6AEBC547"/>
    <w:rsid w:val="6B4EC4E3"/>
    <w:rsid w:val="6B78B21A"/>
    <w:rsid w:val="6B9E99FC"/>
    <w:rsid w:val="6C71A00C"/>
    <w:rsid w:val="6CD43FD6"/>
    <w:rsid w:val="6CD8343D"/>
    <w:rsid w:val="6DD11E44"/>
    <w:rsid w:val="6DFFCC03"/>
    <w:rsid w:val="6E5C9EB1"/>
    <w:rsid w:val="6E757482"/>
    <w:rsid w:val="6E7C26F3"/>
    <w:rsid w:val="6E82E797"/>
    <w:rsid w:val="6EE7250F"/>
    <w:rsid w:val="6EFA41F9"/>
    <w:rsid w:val="6F50B128"/>
    <w:rsid w:val="6F9C9883"/>
    <w:rsid w:val="6FAC352B"/>
    <w:rsid w:val="6FB00381"/>
    <w:rsid w:val="6FB30EB1"/>
    <w:rsid w:val="702C8C17"/>
    <w:rsid w:val="70C02EE0"/>
    <w:rsid w:val="70E1F9B5"/>
    <w:rsid w:val="70FCCC1C"/>
    <w:rsid w:val="71E767B9"/>
    <w:rsid w:val="72110B3C"/>
    <w:rsid w:val="721EC5D1"/>
    <w:rsid w:val="7257CEBF"/>
    <w:rsid w:val="72626838"/>
    <w:rsid w:val="72C82BBD"/>
    <w:rsid w:val="72C8C60E"/>
    <w:rsid w:val="72E3D5ED"/>
    <w:rsid w:val="735F8D5E"/>
    <w:rsid w:val="7367A745"/>
    <w:rsid w:val="7391CE8C"/>
    <w:rsid w:val="73CABFD1"/>
    <w:rsid w:val="7423DEED"/>
    <w:rsid w:val="747FA64E"/>
    <w:rsid w:val="74C4403D"/>
    <w:rsid w:val="74C79D2D"/>
    <w:rsid w:val="75168E1A"/>
    <w:rsid w:val="7556E340"/>
    <w:rsid w:val="75882972"/>
    <w:rsid w:val="7597A557"/>
    <w:rsid w:val="75B666F7"/>
    <w:rsid w:val="760BDA07"/>
    <w:rsid w:val="76115F15"/>
    <w:rsid w:val="763F4E1E"/>
    <w:rsid w:val="7685314A"/>
    <w:rsid w:val="76A609DA"/>
    <w:rsid w:val="76B24946"/>
    <w:rsid w:val="7708B875"/>
    <w:rsid w:val="77754579"/>
    <w:rsid w:val="779A7CC2"/>
    <w:rsid w:val="77B131FB"/>
    <w:rsid w:val="77B7B74A"/>
    <w:rsid w:val="77BBFE9D"/>
    <w:rsid w:val="7855D26B"/>
    <w:rsid w:val="78723AC1"/>
    <w:rsid w:val="79D3A461"/>
    <w:rsid w:val="79EA5A42"/>
    <w:rsid w:val="7A2D2622"/>
    <w:rsid w:val="7A50058D"/>
    <w:rsid w:val="7A8AE3E9"/>
    <w:rsid w:val="7AB1CA3B"/>
    <w:rsid w:val="7AD4C356"/>
    <w:rsid w:val="7B19C5D8"/>
    <w:rsid w:val="7B1FAE92"/>
    <w:rsid w:val="7B33ABF0"/>
    <w:rsid w:val="7B99D1D3"/>
    <w:rsid w:val="7BEE1FED"/>
    <w:rsid w:val="7C2B9DC3"/>
    <w:rsid w:val="7C69972B"/>
    <w:rsid w:val="7CEB7FC5"/>
    <w:rsid w:val="7D6D7225"/>
    <w:rsid w:val="7D7C82E8"/>
    <w:rsid w:val="7DAB2024"/>
    <w:rsid w:val="7DAFB220"/>
    <w:rsid w:val="7DDC27A5"/>
    <w:rsid w:val="7E827CD1"/>
    <w:rsid w:val="7E8E2187"/>
    <w:rsid w:val="7F1E8A12"/>
    <w:rsid w:val="7F2E48E5"/>
    <w:rsid w:val="7F51B7A2"/>
    <w:rsid w:val="7F6A9A03"/>
    <w:rsid w:val="7F6E523E"/>
    <w:rsid w:val="7F775D75"/>
    <w:rsid w:val="7FE00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9A155"/>
  <w15:docId w15:val="{D664A5F5-AB5F-408A-81F7-2FE17D1E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paragraph" w:styleId="Header">
    <w:name w:val="header"/>
    <w:basedOn w:val="Normal"/>
    <w:link w:val="HeaderChar"/>
    <w:uiPriority w:val="99"/>
    <w:unhideWhenUsed/>
    <w:rsid w:val="00D02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AF6"/>
  </w:style>
  <w:style w:type="paragraph" w:styleId="CommentText">
    <w:name w:val="annotation text"/>
    <w:basedOn w:val="Normal"/>
    <w:link w:val="CommentTextChar"/>
    <w:uiPriority w:val="99"/>
    <w:semiHidden/>
    <w:unhideWhenUsed/>
    <w:rsid w:val="008D10E5"/>
    <w:pPr>
      <w:spacing w:line="240" w:lineRule="auto"/>
    </w:pPr>
    <w:rPr>
      <w:sz w:val="20"/>
      <w:szCs w:val="20"/>
    </w:rPr>
  </w:style>
  <w:style w:type="character" w:customStyle="1" w:styleId="CommentTextChar">
    <w:name w:val="Comment Text Char"/>
    <w:basedOn w:val="DefaultParagraphFont"/>
    <w:link w:val="CommentText"/>
    <w:uiPriority w:val="99"/>
    <w:semiHidden/>
    <w:rsid w:val="008D10E5"/>
    <w:rPr>
      <w:sz w:val="20"/>
      <w:szCs w:val="20"/>
    </w:rPr>
  </w:style>
  <w:style w:type="character" w:styleId="CommentReference">
    <w:name w:val="annotation reference"/>
    <w:basedOn w:val="DefaultParagraphFont"/>
    <w:uiPriority w:val="99"/>
    <w:semiHidden/>
    <w:unhideWhenUsed/>
    <w:rsid w:val="008D10E5"/>
    <w:rPr>
      <w:sz w:val="16"/>
      <w:szCs w:val="16"/>
    </w:rPr>
  </w:style>
  <w:style w:type="paragraph" w:styleId="CommentSubject">
    <w:name w:val="annotation subject"/>
    <w:basedOn w:val="CommentText"/>
    <w:next w:val="CommentText"/>
    <w:link w:val="CommentSubjectChar"/>
    <w:uiPriority w:val="99"/>
    <w:semiHidden/>
    <w:unhideWhenUsed/>
    <w:rsid w:val="008D10E5"/>
    <w:rPr>
      <w:b/>
      <w:bCs/>
    </w:rPr>
  </w:style>
  <w:style w:type="character" w:customStyle="1" w:styleId="CommentSubjectChar">
    <w:name w:val="Comment Subject Char"/>
    <w:basedOn w:val="CommentTextChar"/>
    <w:link w:val="CommentSubject"/>
    <w:uiPriority w:val="99"/>
    <w:semiHidden/>
    <w:rsid w:val="008D10E5"/>
    <w:rPr>
      <w:b/>
      <w:bCs/>
      <w:sz w:val="20"/>
      <w:szCs w:val="20"/>
    </w:rPr>
  </w:style>
  <w:style w:type="character" w:styleId="UnresolvedMention">
    <w:name w:val="Unresolved Mention"/>
    <w:basedOn w:val="DefaultParagraphFont"/>
    <w:uiPriority w:val="99"/>
    <w:semiHidden/>
    <w:unhideWhenUsed/>
    <w:rsid w:val="00FC7490"/>
    <w:rPr>
      <w:color w:val="605E5C"/>
      <w:shd w:val="clear" w:color="auto" w:fill="E1DFDD"/>
    </w:rPr>
  </w:style>
  <w:style w:type="paragraph" w:styleId="Revision">
    <w:name w:val="Revision"/>
    <w:hidden/>
    <w:uiPriority w:val="99"/>
    <w:semiHidden/>
    <w:rsid w:val="006E6A28"/>
    <w:pPr>
      <w:spacing w:after="0" w:line="240" w:lineRule="auto"/>
    </w:pPr>
  </w:style>
  <w:style w:type="table" w:styleId="TableGrid">
    <w:name w:val="Table Grid"/>
    <w:basedOn w:val="TableNormal"/>
    <w:uiPriority w:val="39"/>
    <w:rsid w:val="00453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54E3A"/>
    <w:pPr>
      <w:spacing w:after="0" w:line="240" w:lineRule="auto"/>
    </w:pPr>
    <w:rPr>
      <w:sz w:val="20"/>
      <w:szCs w:val="20"/>
    </w:rPr>
  </w:style>
  <w:style w:type="character" w:customStyle="1" w:styleId="FootnoteTextChar">
    <w:name w:val="Footnote Text Char"/>
    <w:basedOn w:val="DefaultParagraphFont"/>
    <w:link w:val="FootnoteText"/>
    <w:uiPriority w:val="99"/>
    <w:rsid w:val="00954E3A"/>
    <w:rPr>
      <w:sz w:val="20"/>
      <w:szCs w:val="20"/>
    </w:rPr>
  </w:style>
  <w:style w:type="character" w:styleId="FootnoteReference">
    <w:name w:val="footnote reference"/>
    <w:basedOn w:val="DefaultParagraphFont"/>
    <w:uiPriority w:val="99"/>
    <w:semiHidden/>
    <w:unhideWhenUsed/>
    <w:rsid w:val="00954E3A"/>
    <w:rPr>
      <w:vertAlign w:val="superscript"/>
    </w:rPr>
  </w:style>
  <w:style w:type="character" w:styleId="FollowedHyperlink">
    <w:name w:val="FollowedHyperlink"/>
    <w:basedOn w:val="DefaultParagraphFont"/>
    <w:uiPriority w:val="99"/>
    <w:semiHidden/>
    <w:unhideWhenUsed/>
    <w:rsid w:val="00747080"/>
    <w:rPr>
      <w:color w:val="800080" w:themeColor="followedHyperlink"/>
      <w:u w:val="single"/>
    </w:rPr>
  </w:style>
  <w:style w:type="table" w:customStyle="1" w:styleId="TableGrid2">
    <w:name w:val="Table Grid2"/>
    <w:basedOn w:val="TableNormal"/>
    <w:next w:val="TableGrid"/>
    <w:uiPriority w:val="39"/>
    <w:rsid w:val="00297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D6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524252729">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200304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DCB_h.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sasterAssistance.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2020/may/oes_nat.htm" TargetMode="External"/><Relationship Id="rId1" Type="http://schemas.openxmlformats.org/officeDocument/2006/relationships/hyperlink" Target="https://www.bls.gov/news.release/archives/ecec_0318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6" ma:contentTypeDescription="Create a new document." ma:contentTypeScope="" ma:versionID="aa568cbf1f41087661ea865e6c0189c7">
  <xsd:schema xmlns:xsd="http://www.w3.org/2001/XMLSchema" xmlns:xs="http://www.w3.org/2001/XMLSchema" xmlns:p="http://schemas.microsoft.com/office/2006/metadata/properties" xmlns:ns2="5583a38e-5bd1-4cf9-b4f2-d9b49c295657" targetNamespace="http://schemas.microsoft.com/office/2006/metadata/properties" ma:root="true" ma:fieldsID="edef570d19432d00d90ab0ffda848ad8" ns2:_="">
    <xsd:import namespace="5583a38e-5bd1-4cf9-b4f2-d9b49c2956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E819EC-EC12-427D-8249-738DC91F18AB}">
  <ds:schemaRefs>
    <ds:schemaRef ds:uri="http://schemas.microsoft.com/sharepoint/v3/contenttype/forms"/>
  </ds:schemaRefs>
</ds:datastoreItem>
</file>

<file path=customXml/itemProps2.xml><?xml version="1.0" encoding="utf-8"?>
<ds:datastoreItem xmlns:ds="http://schemas.openxmlformats.org/officeDocument/2006/customXml" ds:itemID="{EC722AEE-07B3-4A47-8600-8FA9DBA22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E02209-6B50-42CC-AC9F-F4E0D3AB9E31}">
  <ds:schemaRefs>
    <ds:schemaRef ds:uri="http://schemas.openxmlformats.org/officeDocument/2006/bibliography"/>
  </ds:schemaRefs>
</ds:datastoreItem>
</file>

<file path=customXml/itemProps4.xml><?xml version="1.0" encoding="utf-8"?>
<ds:datastoreItem xmlns:ds="http://schemas.openxmlformats.org/officeDocument/2006/customXml" ds:itemID="{CEBAC930-D3E5-466B-857E-8F7A3AEF333B}">
  <ds:schemaRefs>
    <ds:schemaRef ds:uri="http://schemas.microsoft.com/office/2006/documentManagement/types"/>
    <ds:schemaRef ds:uri="http://schemas.microsoft.com/office/2006/metadata/properties"/>
    <ds:schemaRef ds:uri="5583a38e-5bd1-4cf9-b4f2-d9b49c295657"/>
    <ds:schemaRef ds:uri="http://purl.org/dc/elements/1.1/"/>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4699</Words>
  <Characters>26789</Characters>
  <Application>Microsoft Office Word</Application>
  <DocSecurity>0</DocSecurity>
  <Lines>223</Lines>
  <Paragraphs>62</Paragraphs>
  <ScaleCrop>false</ScaleCrop>
  <Company/>
  <LinksUpToDate>false</LinksUpToDate>
  <CharactersWithSpaces>31426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cp:lastModifiedBy>Crosby, Kevin</cp:lastModifiedBy>
  <cp:revision>3</cp:revision>
  <dcterms:created xsi:type="dcterms:W3CDTF">2021-11-17T15:16:00Z</dcterms:created>
  <dcterms:modified xsi:type="dcterms:W3CDTF">2021-11-17T15:17:00Z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ies>
</file>