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258CF57B">
      <w:pPr>
        <w:jc w:val="center"/>
      </w:pPr>
      <w:r w:rsidRPr="00AC750B">
        <w:t>[</w:t>
      </w:r>
      <w:r w:rsidR="004E4EAD">
        <w:t xml:space="preserve">Docket No. </w:t>
      </w:r>
      <w:r w:rsidR="006050BA">
        <w:t>IC21-39</w:t>
      </w:r>
      <w:r w:rsidR="00150F12">
        <w:t>-</w:t>
      </w:r>
      <w:r w:rsidR="004E4EAD">
        <w:t>000</w:t>
      </w:r>
      <w:r w:rsidRPr="00AC750B">
        <w:t>]</w:t>
      </w:r>
    </w:p>
    <w:p w:rsidR="00A2604E" w:rsidP="00A2604E" w:rsidRDefault="00A2604E" w14:paraId="37A99FB4" w14:textId="77777777"/>
    <w:p w:rsidRPr="00466D3F" w:rsidR="005A7903" w:rsidP="005A7903" w:rsidRDefault="005A7903" w14:paraId="465B32C7" w14:textId="6DD3185B">
      <w:pPr>
        <w:jc w:val="center"/>
      </w:pPr>
      <w:r w:rsidRPr="00466D3F">
        <w:t>COMMISSION INFORMATION COLLECTION ACTIVITIES (</w:t>
      </w:r>
      <w:r w:rsidR="006050BA">
        <w:t xml:space="preserve">FERC </w:t>
      </w:r>
      <w:r w:rsidR="00665453">
        <w:t xml:space="preserve">Form </w:t>
      </w:r>
      <w:r w:rsidR="006050BA">
        <w:t>580</w:t>
      </w:r>
      <w:r w:rsidRPr="00466D3F">
        <w:t>);</w:t>
      </w:r>
      <w:r>
        <w:t xml:space="preserve"> </w:t>
      </w:r>
      <w:r w:rsidRPr="00466D3F">
        <w:t>COMMENT REQUEST; EXTENSION</w:t>
      </w:r>
    </w:p>
    <w:p w:rsidR="00810D18" w:rsidP="00810D18" w:rsidRDefault="00810D18" w14:paraId="6FC67CE5" w14:textId="1157AFF8"/>
    <w:p w:rsidR="00F77D5B" w:rsidP="007A7330" w:rsidRDefault="007A7330" w14:paraId="0BA91DBB" w14:textId="2DA15712">
      <w:pPr>
        <w:jc w:val="center"/>
      </w:pPr>
      <w:r w:rsidRPr="007A7330">
        <w:t>(November 26, 2021)</w:t>
      </w:r>
    </w:p>
    <w:p w:rsidRPr="007A7330" w:rsidR="007A7330" w:rsidP="007A7330" w:rsidRDefault="007A7330" w14:paraId="21960A75"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392A9EA6">
      <w:pPr>
        <w:spacing w:line="480" w:lineRule="auto"/>
      </w:pPr>
      <w:r w:rsidRPr="00CE64F2">
        <w:rPr>
          <w:b/>
        </w:rPr>
        <w:t>SUMMARY:</w:t>
      </w:r>
      <w:r>
        <w:t xml:space="preserve">  </w:t>
      </w:r>
      <w:r w:rsidRPr="005A7903" w:rsidR="005A7903">
        <w:t xml:space="preserve">In compliance with the requirements of the Paperwork Reduction Act of 1995, the Federal Energy Regulatory Commission (Commission or FERC) is soliciting public comment on the currently approved information collection, </w:t>
      </w:r>
      <w:r w:rsidRPr="0075295E" w:rsidR="003137DF">
        <w:rPr>
          <w:szCs w:val="26"/>
        </w:rPr>
        <w:t xml:space="preserve">FERC </w:t>
      </w:r>
      <w:r w:rsidR="00665453">
        <w:rPr>
          <w:szCs w:val="26"/>
        </w:rPr>
        <w:t xml:space="preserve">Form </w:t>
      </w:r>
      <w:r w:rsidRPr="0075295E" w:rsidR="003137DF">
        <w:rPr>
          <w:szCs w:val="26"/>
        </w:rPr>
        <w:t>580 (Interrogatory on Fuel and Energy Purchase Practices Pursuant to Section 205 of the Federal Power Act</w:t>
      </w:r>
      <w:r w:rsidR="003137DF">
        <w:rPr>
          <w:szCs w:val="26"/>
        </w:rPr>
        <w:t>)</w:t>
      </w:r>
      <w:r w:rsidR="00194C4C">
        <w:t>,</w:t>
      </w:r>
      <w:r w:rsidRPr="005A7903" w:rsidR="005A7903">
        <w:t xml:space="preserve"> which will be submitted to the Office of Management and Budget (OMB) for a review of the information collection requirements.</w:t>
      </w:r>
    </w:p>
    <w:p w:rsidR="006D2891" w:rsidP="00F8646E" w:rsidRDefault="006D2891" w14:paraId="33152983" w14:textId="3D1531FB">
      <w:pPr>
        <w:spacing w:line="480" w:lineRule="auto"/>
      </w:pPr>
      <w:r w:rsidRPr="00AE3783">
        <w:t>The Commission received no comments on the 60-day notice.</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7D2AFB3C">
      <w:pPr>
        <w:spacing w:line="480" w:lineRule="auto"/>
      </w:pPr>
      <w:r w:rsidRPr="007C1916">
        <w:rPr>
          <w:b/>
        </w:rPr>
        <w:t>ADDRESSES:</w:t>
      </w:r>
      <w:r w:rsidRPr="007C1916">
        <w:t xml:space="preserve">  </w:t>
      </w:r>
      <w:r w:rsidRPr="00096CAD" w:rsidR="00343A03">
        <w:rPr>
          <w:iCs/>
          <w:szCs w:val="26"/>
        </w:rPr>
        <w:t xml:space="preserve">Send written comments on </w:t>
      </w:r>
      <w:r w:rsidR="006050BA">
        <w:rPr>
          <w:iCs/>
          <w:szCs w:val="26"/>
        </w:rPr>
        <w:t xml:space="preserve">FERC </w:t>
      </w:r>
      <w:r w:rsidR="00665453">
        <w:rPr>
          <w:iCs/>
          <w:szCs w:val="26"/>
        </w:rPr>
        <w:t xml:space="preserve">Form </w:t>
      </w:r>
      <w:r w:rsidR="006050BA">
        <w:rPr>
          <w:iCs/>
          <w:szCs w:val="26"/>
        </w:rPr>
        <w:t>580</w:t>
      </w:r>
      <w:r w:rsidRPr="00096CAD" w:rsidR="00343A03">
        <w:rPr>
          <w:iCs/>
          <w:szCs w:val="26"/>
        </w:rPr>
        <w:t xml:space="preserve"> to OMB through </w:t>
      </w:r>
      <w:hyperlink w:history="1" r:id="rId13">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w:t>
      </w:r>
      <w:r w:rsidR="003137DF">
        <w:rPr>
          <w:iCs/>
          <w:szCs w:val="26"/>
        </w:rPr>
        <w:t>C</w:t>
      </w:r>
      <w:r w:rsidRPr="00096CAD" w:rsidR="003137DF">
        <w:rPr>
          <w:iCs/>
          <w:szCs w:val="26"/>
        </w:rPr>
        <w:t xml:space="preserve">ontrol </w:t>
      </w:r>
      <w:r w:rsidR="003137DF">
        <w:rPr>
          <w:iCs/>
          <w:szCs w:val="26"/>
        </w:rPr>
        <w:t>N</w:t>
      </w:r>
      <w:r w:rsidRPr="00096CAD" w:rsidR="003137DF">
        <w:rPr>
          <w:iCs/>
          <w:szCs w:val="26"/>
        </w:rPr>
        <w:t xml:space="preserve">umber </w:t>
      </w:r>
      <w:r w:rsidR="003137DF">
        <w:rPr>
          <w:iCs/>
          <w:szCs w:val="26"/>
        </w:rPr>
        <w:t>1902-0137</w:t>
      </w:r>
      <w:r w:rsidRPr="00096CAD" w:rsidR="00343A03">
        <w:rPr>
          <w:iCs/>
          <w:szCs w:val="26"/>
        </w:rPr>
        <w:t xml:space="preserve">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7EBD744C">
      <w:pPr>
        <w:spacing w:line="480" w:lineRule="auto"/>
      </w:pPr>
      <w:r>
        <w:lastRenderedPageBreak/>
        <w:t xml:space="preserve">Please submit copies of your comments </w:t>
      </w:r>
      <w:r w:rsidR="00D65D56">
        <w:t xml:space="preserve">(identified by Docket No. </w:t>
      </w:r>
      <w:r w:rsidR="006050BA">
        <w:t>IC21-39</w:t>
      </w:r>
      <w:r w:rsidR="00D65D56">
        <w:t xml:space="preserve">-000) </w:t>
      </w:r>
      <w:r>
        <w:t>to the Commission as noted below</w:t>
      </w:r>
      <w:r w:rsidR="00D65D56">
        <w:t xml:space="preserve">.  Electronic filing through </w:t>
      </w:r>
      <w:hyperlink w:history="1" r:id="rId14">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45237109">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BB42F9F">
      <w:pPr>
        <w:pStyle w:val="ListParagraph"/>
        <w:numPr>
          <w:ilvl w:val="1"/>
          <w:numId w:val="6"/>
        </w:numPr>
        <w:spacing w:line="480" w:lineRule="auto"/>
      </w:pPr>
      <w:r>
        <w:t>Hand (including courier) delivery</w:t>
      </w:r>
      <w:r w:rsidR="00A311A8">
        <w:t xml:space="preserve"> </w:t>
      </w:r>
      <w:r>
        <w:t xml:space="preserve">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5">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6">
        <w:r w:rsidRPr="00866BB4">
          <w:rPr>
            <w:rStyle w:val="Hyperlink"/>
          </w:rPr>
          <w:t>http://www.ferc.gov</w:t>
        </w:r>
      </w:hyperlink>
      <w:r>
        <w:t>.</w:t>
      </w:r>
      <w:r w:rsidR="00C44372">
        <w:t xml:space="preserve"> </w:t>
      </w:r>
      <w:r>
        <w:t>For user assistance, contact FERC Online Support by e-mail at ferconlinesupport@ferc.gov, or by phone at:  (866) 208-3676 (toll-free).</w:t>
      </w:r>
    </w:p>
    <w:p w:rsidR="00C44372" w:rsidP="00A2604E" w:rsidRDefault="00A2604E" w14:paraId="0A8B7F1C" w14:textId="530C988C">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7">
        <w:r w:rsidRPr="00006D4B">
          <w:rPr>
            <w:rStyle w:val="Hyperlink"/>
          </w:rPr>
          <w:t>DataClearance@FERC.gov</w:t>
        </w:r>
      </w:hyperlink>
      <w:r w:rsidR="00034C49">
        <w:t xml:space="preserve"> and</w:t>
      </w:r>
      <w:r>
        <w:t xml:space="preserve"> telephone at (202) 502-8663</w:t>
      </w:r>
      <w:r w:rsidR="00754526">
        <w:t>.</w:t>
      </w:r>
    </w:p>
    <w:p w:rsidRPr="00425DA2" w:rsidR="005A7903" w:rsidP="005A7903" w:rsidRDefault="005A7903" w14:paraId="4553AE5A" w14:textId="37157A14">
      <w:pPr>
        <w:spacing w:line="480" w:lineRule="auto"/>
      </w:pPr>
      <w:r w:rsidRPr="00466D3F">
        <w:rPr>
          <w:b/>
        </w:rPr>
        <w:t>SUPPLEMENTARY INFORMATION:</w:t>
      </w:r>
      <w:r w:rsidRPr="00466D3F">
        <w:t xml:space="preserve">  </w:t>
      </w:r>
    </w:p>
    <w:p w:rsidRPr="00F3319C" w:rsidR="00F3319C" w:rsidP="00F3319C" w:rsidRDefault="00F3319C" w14:paraId="548FC1AF" w14:textId="1A7C97BE">
      <w:pPr>
        <w:spacing w:line="480" w:lineRule="auto"/>
        <w:rPr>
          <w:i/>
          <w:szCs w:val="26"/>
        </w:rPr>
      </w:pPr>
      <w:r w:rsidRPr="00F3319C">
        <w:rPr>
          <w:i/>
          <w:iCs/>
          <w:szCs w:val="26"/>
        </w:rPr>
        <w:t>Title</w:t>
      </w:r>
      <w:r w:rsidRPr="00F3319C">
        <w:rPr>
          <w:iCs/>
          <w:szCs w:val="26"/>
        </w:rPr>
        <w:t xml:space="preserve">: </w:t>
      </w:r>
      <w:r w:rsidR="006050BA">
        <w:rPr>
          <w:iCs/>
          <w:szCs w:val="26"/>
        </w:rPr>
        <w:t xml:space="preserve">FERC </w:t>
      </w:r>
      <w:r w:rsidR="00665453">
        <w:rPr>
          <w:iCs/>
          <w:szCs w:val="26"/>
        </w:rPr>
        <w:t xml:space="preserve">Form </w:t>
      </w:r>
      <w:r w:rsidR="006050BA">
        <w:rPr>
          <w:iCs/>
          <w:szCs w:val="26"/>
        </w:rPr>
        <w:t>580</w:t>
      </w:r>
      <w:r w:rsidRPr="00F3319C">
        <w:rPr>
          <w:iCs/>
          <w:szCs w:val="26"/>
        </w:rPr>
        <w:t xml:space="preserve"> (</w:t>
      </w:r>
      <w:r w:rsidRPr="00665453" w:rsidR="00665453">
        <w:rPr>
          <w:iCs/>
          <w:szCs w:val="26"/>
        </w:rPr>
        <w:t>Interrogatory on Fuel and Energy Purchase Practices Pursuant to Section 205 of the Federal Power Act</w:t>
      </w:r>
      <w:r w:rsidRPr="00F3319C">
        <w:rPr>
          <w:iCs/>
          <w:szCs w:val="26"/>
        </w:rPr>
        <w:t>).</w:t>
      </w:r>
    </w:p>
    <w:p w:rsidRPr="00F3319C" w:rsidR="00F3319C" w:rsidP="00F3319C" w:rsidRDefault="00F3319C" w14:paraId="2A062BC5" w14:textId="38D60CD2">
      <w:pPr>
        <w:spacing w:line="480" w:lineRule="auto"/>
        <w:rPr>
          <w:i/>
          <w:szCs w:val="26"/>
        </w:rPr>
      </w:pPr>
      <w:r w:rsidRPr="00F3319C">
        <w:rPr>
          <w:i/>
          <w:iCs/>
          <w:szCs w:val="26"/>
        </w:rPr>
        <w:t>OMB Control No.</w:t>
      </w:r>
      <w:r w:rsidRPr="00F3319C">
        <w:rPr>
          <w:iCs/>
          <w:szCs w:val="26"/>
        </w:rPr>
        <w:t xml:space="preserve">: </w:t>
      </w:r>
      <w:r w:rsidR="003137DF">
        <w:rPr>
          <w:iCs/>
          <w:szCs w:val="26"/>
        </w:rPr>
        <w:t>1902-0137</w:t>
      </w:r>
      <w:r w:rsidRPr="00F3319C">
        <w:rPr>
          <w:iCs/>
          <w:szCs w:val="26"/>
        </w:rPr>
        <w:t>.</w:t>
      </w:r>
    </w:p>
    <w:p w:rsidRPr="00F3319C" w:rsidR="00F3319C" w:rsidP="00F3319C" w:rsidRDefault="00F3319C" w14:paraId="49C9EC33" w14:textId="40E19F7F">
      <w:pPr>
        <w:spacing w:line="480" w:lineRule="auto"/>
        <w:rPr>
          <w:i/>
          <w:szCs w:val="26"/>
        </w:rPr>
      </w:pPr>
      <w:r w:rsidRPr="00F3319C">
        <w:rPr>
          <w:i/>
          <w:iCs/>
          <w:szCs w:val="26"/>
        </w:rPr>
        <w:t>Type of Request</w:t>
      </w:r>
      <w:r w:rsidRPr="00F3319C">
        <w:rPr>
          <w:iCs/>
          <w:szCs w:val="26"/>
        </w:rPr>
        <w:t>: T</w:t>
      </w:r>
      <w:r w:rsidRPr="00665453" w:rsidR="00665453">
        <w:rPr>
          <w:iCs/>
          <w:szCs w:val="26"/>
        </w:rPr>
        <w:t xml:space="preserve">hree-year extension of the FERC Form 580 with no substantive changes to the current reporting requirements.  Administrative changes to update the form are being made, as described below. </w:t>
      </w:r>
      <w:r w:rsidRPr="00F3319C">
        <w:rPr>
          <w:i/>
          <w:szCs w:val="26"/>
        </w:rPr>
        <w:t xml:space="preserve"> </w:t>
      </w:r>
    </w:p>
    <w:p w:rsidR="00EB686B" w:rsidP="00F3319C" w:rsidRDefault="00F3319C" w14:paraId="7A4B0EFA" w14:textId="3A334F9F">
      <w:pPr>
        <w:spacing w:line="480" w:lineRule="auto"/>
        <w:rPr>
          <w:iCs/>
          <w:szCs w:val="26"/>
        </w:rPr>
      </w:pPr>
      <w:r w:rsidRPr="00F3319C">
        <w:rPr>
          <w:i/>
          <w:iCs/>
          <w:szCs w:val="26"/>
        </w:rPr>
        <w:t>Abstract</w:t>
      </w:r>
      <w:r w:rsidRPr="00F3319C">
        <w:rPr>
          <w:i/>
          <w:szCs w:val="26"/>
        </w:rPr>
        <w:t xml:space="preserve">: </w:t>
      </w:r>
      <w:r w:rsidRPr="00AE6F5C" w:rsidR="00AE6F5C">
        <w:rPr>
          <w:iCs/>
          <w:szCs w:val="26"/>
        </w:rPr>
        <w:t>The Commission collects FERC Form 580 information every other year as required under Section 205(f)(2) of the FPA,</w:t>
      </w:r>
      <w:r w:rsidR="00C71E55">
        <w:rPr>
          <w:rStyle w:val="FootnoteReference"/>
          <w:iCs/>
        </w:rPr>
        <w:footnoteReference w:id="2"/>
      </w:r>
      <w:r w:rsidRPr="00AE6F5C" w:rsidR="00AE6F5C">
        <w:rPr>
          <w:iCs/>
          <w:szCs w:val="26"/>
        </w:rPr>
        <w:t xml:space="preserve"> which provides that the Commission must </w:t>
      </w:r>
      <w:r w:rsidRPr="00AE6F5C" w:rsidR="00364E10">
        <w:rPr>
          <w:iCs/>
          <w:szCs w:val="26"/>
        </w:rPr>
        <w:t>review, “not</w:t>
      </w:r>
      <w:r w:rsidRPr="00AE6F5C" w:rsidR="00AE6F5C">
        <w:rPr>
          <w:iCs/>
          <w:szCs w:val="26"/>
        </w:rPr>
        <w:t xml:space="preserve"> less frequently than every 2 years,” practices under automatic adjustment clauses (AACs).</w:t>
      </w:r>
      <w:r w:rsidR="00C71E55">
        <w:rPr>
          <w:rStyle w:val="FootnoteReference"/>
          <w:iCs/>
        </w:rPr>
        <w:footnoteReference w:id="3"/>
      </w:r>
      <w:r w:rsidRPr="00AE6F5C" w:rsidR="00AE6F5C">
        <w:rPr>
          <w:iCs/>
          <w:szCs w:val="26"/>
        </w:rPr>
        <w:t xml:space="preserve">  As required by FPA section 205(f)(2), the Commission uses the information collected through the FERC Form 580 interrogatory to review utility purchase and cost recovery practices under  AACs in order to ensure efficient use of resources.</w:t>
      </w:r>
      <w:r w:rsidR="00C71E55">
        <w:rPr>
          <w:rStyle w:val="FootnoteReference"/>
          <w:iCs/>
        </w:rPr>
        <w:footnoteReference w:id="4"/>
      </w:r>
      <w:r w:rsidRPr="00AE6F5C" w:rsidR="00AE6F5C">
        <w:rPr>
          <w:iCs/>
          <w:szCs w:val="26"/>
        </w:rPr>
        <w:t xml:space="preserve">  The Commission uses the information to evaluate costs in individual rate </w:t>
      </w:r>
      <w:r w:rsidRPr="00AE6F5C" w:rsidR="00AE6F5C">
        <w:rPr>
          <w:iCs/>
          <w:szCs w:val="26"/>
        </w:rPr>
        <w:lastRenderedPageBreak/>
        <w:t xml:space="preserve">filings and to supplement periodic utility audits.  The public also uses the information in this manner.  Without the FERC Form 580 interrogatory, the Commission would not have the requisite information available to conduct the necessary review the FPA mandates. </w:t>
      </w:r>
    </w:p>
    <w:p w:rsidRPr="00F3319C" w:rsidR="00F3319C" w:rsidP="00F3319C" w:rsidRDefault="00F3319C" w14:paraId="0428525D" w14:textId="6F35B419">
      <w:pPr>
        <w:spacing w:line="480" w:lineRule="auto"/>
        <w:rPr>
          <w:i/>
          <w:szCs w:val="26"/>
        </w:rPr>
      </w:pPr>
      <w:r w:rsidRPr="00F3319C">
        <w:rPr>
          <w:i/>
          <w:iCs/>
          <w:szCs w:val="26"/>
        </w:rPr>
        <w:t>Type of Respondents</w:t>
      </w:r>
      <w:r w:rsidRPr="00F3319C">
        <w:rPr>
          <w:iCs/>
          <w:szCs w:val="26"/>
        </w:rPr>
        <w:t xml:space="preserve">: </w:t>
      </w:r>
      <w:r w:rsidRPr="00AE6F5C" w:rsidR="00AE6F5C">
        <w:rPr>
          <w:iCs/>
          <w:szCs w:val="26"/>
        </w:rPr>
        <w:t xml:space="preserve">The filing must be submitted by all FERC-jurisdictional utilities owning and/or operating at least one steam-electric generating station of 50 MW or greater capacity or having a majority ownership interest in a </w:t>
      </w:r>
      <w:proofErr w:type="gramStart"/>
      <w:r w:rsidRPr="00AE6F5C" w:rsidR="00AE6F5C">
        <w:rPr>
          <w:iCs/>
          <w:szCs w:val="26"/>
        </w:rPr>
        <w:t>jointly-owned</w:t>
      </w:r>
      <w:proofErr w:type="gramEnd"/>
      <w:r w:rsidRPr="00AE6F5C" w:rsidR="00AE6F5C">
        <w:rPr>
          <w:iCs/>
          <w:szCs w:val="26"/>
        </w:rPr>
        <w:t xml:space="preserve"> steam-electric generating station of at least 50 MW.  A jurisdictional utility without a cost-based tariff on file with the Commission is not required to file the form.</w:t>
      </w:r>
    </w:p>
    <w:p w:rsidRPr="00AE6F5C" w:rsidR="00AE6F5C" w:rsidP="00AE6F5C" w:rsidRDefault="00AE6F5C" w14:paraId="7483E20E" w14:textId="2E9BCAA9">
      <w:pPr>
        <w:widowControl w:val="0"/>
        <w:autoSpaceDE w:val="0"/>
        <w:autoSpaceDN w:val="0"/>
        <w:adjustRightInd w:val="0"/>
        <w:spacing w:line="480" w:lineRule="auto"/>
        <w:rPr>
          <w:iCs/>
          <w:szCs w:val="26"/>
        </w:rPr>
      </w:pPr>
      <w:r w:rsidRPr="00AE6F5C">
        <w:rPr>
          <w:i/>
          <w:szCs w:val="26"/>
        </w:rPr>
        <w:t>Administrative Updates to the FERC Form 580</w:t>
      </w:r>
      <w:r w:rsidRPr="00AE6F5C">
        <w:rPr>
          <w:iCs/>
          <w:szCs w:val="26"/>
        </w:rPr>
        <w:t xml:space="preserve">:  Continuing on from the data collection </w:t>
      </w:r>
      <w:r w:rsidR="00D932E2">
        <w:rPr>
          <w:iCs/>
          <w:szCs w:val="26"/>
        </w:rPr>
        <w:t xml:space="preserve">that was </w:t>
      </w:r>
      <w:r w:rsidRPr="00AE6F5C">
        <w:rPr>
          <w:iCs/>
          <w:szCs w:val="26"/>
        </w:rPr>
        <w:t>request</w:t>
      </w:r>
      <w:r w:rsidR="00D932E2">
        <w:rPr>
          <w:iCs/>
          <w:szCs w:val="26"/>
        </w:rPr>
        <w:t>ed</w:t>
      </w:r>
      <w:r w:rsidRPr="00AE6F5C">
        <w:rPr>
          <w:iCs/>
          <w:szCs w:val="26"/>
        </w:rPr>
        <w:t xml:space="preserve"> from October 2020, the Commission will be issuing a request </w:t>
      </w:r>
      <w:r w:rsidR="00221774">
        <w:rPr>
          <w:iCs/>
          <w:szCs w:val="26"/>
        </w:rPr>
        <w:t xml:space="preserve">in 2022 </w:t>
      </w:r>
      <w:r w:rsidRPr="00AE6F5C">
        <w:rPr>
          <w:iCs/>
          <w:szCs w:val="26"/>
        </w:rPr>
        <w:t>for similar data that was authorized in the last renewal for FERC Form 580.</w:t>
      </w:r>
      <w:r w:rsidRPr="00AE6F5C">
        <w:rPr>
          <w:b/>
          <w:iCs/>
          <w:szCs w:val="26"/>
          <w:vertAlign w:val="superscript"/>
        </w:rPr>
        <w:footnoteReference w:id="5"/>
      </w:r>
      <w:r w:rsidRPr="00AE6F5C">
        <w:rPr>
          <w:iCs/>
          <w:szCs w:val="26"/>
        </w:rPr>
        <w:t xml:space="preserve">  The request will solicit the same information as the previous request, except that the years will be changed from 2018-2019 to 2020-2021.  In this case, the updated year designations will appear in questions 2 through 8 of FERC Form 580, as well as in question 5 of the Privileged Addendum to the FERC Form 580.</w:t>
      </w:r>
    </w:p>
    <w:p w:rsidR="00EA38EF" w:rsidP="00EA38EF" w:rsidRDefault="00EA38EF" w14:paraId="548C6A2F" w14:textId="70380D8C">
      <w:pPr>
        <w:widowControl w:val="0"/>
        <w:autoSpaceDE w:val="0"/>
        <w:autoSpaceDN w:val="0"/>
        <w:adjustRightInd w:val="0"/>
        <w:spacing w:line="480" w:lineRule="auto"/>
        <w:rPr>
          <w:szCs w:val="26"/>
        </w:rPr>
      </w:pPr>
      <w:r w:rsidRPr="00EA38EF">
        <w:rPr>
          <w:i/>
          <w:szCs w:val="26"/>
        </w:rPr>
        <w:lastRenderedPageBreak/>
        <w:t>Estimate of Annual Burden</w:t>
      </w:r>
      <w:r w:rsidRPr="00EA38EF">
        <w:rPr>
          <w:szCs w:val="26"/>
        </w:rPr>
        <w:t>.</w:t>
      </w:r>
      <w:r w:rsidRPr="00EA38EF">
        <w:rPr>
          <w:szCs w:val="26"/>
          <w:vertAlign w:val="superscript"/>
        </w:rPr>
        <w:footnoteReference w:id="6"/>
      </w:r>
      <w:r w:rsidRPr="00EA38EF">
        <w:rPr>
          <w:szCs w:val="26"/>
        </w:rPr>
        <w:t xml:space="preserve"> The Commission estimates the annual</w:t>
      </w:r>
      <w:r w:rsidRPr="00EA38EF">
        <w:rPr>
          <w:bCs/>
          <w:szCs w:val="26"/>
          <w:vertAlign w:val="superscript"/>
        </w:rPr>
        <w:footnoteReference w:id="7"/>
      </w:r>
      <w:r w:rsidRPr="00EA38EF">
        <w:rPr>
          <w:szCs w:val="26"/>
        </w:rPr>
        <w:t xml:space="preserve"> public reporting burden and cost</w:t>
      </w:r>
      <w:r w:rsidRPr="00EA38EF">
        <w:rPr>
          <w:bCs/>
          <w:szCs w:val="26"/>
          <w:vertAlign w:val="superscript"/>
        </w:rPr>
        <w:footnoteReference w:id="8"/>
      </w:r>
      <w:r w:rsidRPr="00EA38EF">
        <w:rPr>
          <w:bCs/>
          <w:szCs w:val="26"/>
        </w:rPr>
        <w:t xml:space="preserve"> </w:t>
      </w:r>
      <w:r w:rsidRPr="00EA38EF">
        <w:rPr>
          <w:szCs w:val="26"/>
        </w:rPr>
        <w:t>for the information collection as:</w:t>
      </w: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5"/>
        <w:gridCol w:w="1632"/>
        <w:gridCol w:w="1531"/>
        <w:gridCol w:w="1404"/>
        <w:gridCol w:w="1257"/>
        <w:gridCol w:w="1516"/>
        <w:gridCol w:w="1531"/>
      </w:tblGrid>
      <w:tr w:rsidRPr="00EA38EF" w:rsidR="00EA38EF" w:rsidTr="00D2118D" w14:paraId="4B6B50FC"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EA38EF" w:rsidR="00EA38EF" w:rsidP="00EA38EF" w:rsidRDefault="00EA38EF" w14:paraId="469D28B8"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 xml:space="preserve">FERC Form 580 (Interrogatory on Fuel and Energy Purchase Practices Pursuant to </w:t>
            </w:r>
          </w:p>
          <w:p w:rsidRPr="00EA38EF" w:rsidR="00EA38EF" w:rsidP="00EA38EF" w:rsidRDefault="00EA38EF" w14:paraId="16300638"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Section 205 of the Federal Power Act</w:t>
            </w:r>
            <w:r w:rsidRPr="00EA38EF" w:rsidDel="00A27467">
              <w:rPr>
                <w:rFonts w:eastAsia="Calibri"/>
                <w:b/>
                <w:szCs w:val="26"/>
              </w:rPr>
              <w:t xml:space="preserve"> </w:t>
            </w:r>
            <w:r w:rsidRPr="00EA38EF">
              <w:rPr>
                <w:rFonts w:eastAsia="Calibri"/>
                <w:b/>
                <w:szCs w:val="26"/>
              </w:rPr>
              <w:t>)</w:t>
            </w:r>
          </w:p>
        </w:tc>
      </w:tr>
      <w:tr w:rsidRPr="00EA38EF" w:rsidR="00EA38EF" w:rsidTr="00D2118D" w14:paraId="10368037"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EA38EF" w:rsidR="00EA38EF" w:rsidP="00EA38EF" w:rsidRDefault="00EA38EF" w14:paraId="6F0EA7B0" w14:textId="77777777">
            <w:pPr>
              <w:widowControl w:val="0"/>
              <w:autoSpaceDE w:val="0"/>
              <w:autoSpaceDN w:val="0"/>
              <w:adjustRightInd w:val="0"/>
              <w:spacing w:line="276" w:lineRule="auto"/>
              <w:jc w:val="center"/>
              <w:rPr>
                <w:rFonts w:eastAsia="Calibri"/>
                <w:b/>
                <w:szCs w:val="26"/>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A38EF" w:rsidR="00EA38EF" w:rsidP="00EA38EF" w:rsidRDefault="00EA38EF" w14:paraId="20440A78"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Number of Respondents</w:t>
            </w:r>
            <w:r w:rsidRPr="00EA38EF">
              <w:rPr>
                <w:rFonts w:eastAsia="Calibri"/>
                <w:b/>
                <w:szCs w:val="26"/>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A38EF" w:rsidR="00EA38EF" w:rsidP="00EA38EF" w:rsidRDefault="00EA38EF" w14:paraId="6D525710"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Annual Number of Responses per Respondent</w:t>
            </w:r>
          </w:p>
          <w:p w:rsidRPr="00EA38EF" w:rsidR="00EA38EF" w:rsidP="00EA38EF" w:rsidRDefault="00EA38EF" w14:paraId="0AE2E6DE"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A38EF" w:rsidR="00EA38EF" w:rsidP="00EA38EF" w:rsidRDefault="00EA38EF" w14:paraId="3DBF9569"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A38EF" w:rsidR="00EA38EF" w:rsidP="00EA38EF" w:rsidRDefault="00EA38EF" w14:paraId="79D3B0E9" w14:textId="5FE4376F">
            <w:pPr>
              <w:widowControl w:val="0"/>
              <w:autoSpaceDE w:val="0"/>
              <w:autoSpaceDN w:val="0"/>
              <w:adjustRightInd w:val="0"/>
              <w:spacing w:line="276" w:lineRule="auto"/>
              <w:jc w:val="center"/>
              <w:rPr>
                <w:rFonts w:eastAsia="Calibri"/>
                <w:b/>
                <w:szCs w:val="26"/>
              </w:rPr>
            </w:pPr>
            <w:r w:rsidRPr="00EA38EF">
              <w:rPr>
                <w:rFonts w:eastAsia="Calibri"/>
                <w:b/>
                <w:szCs w:val="26"/>
              </w:rPr>
              <w:t xml:space="preserve">Average Burden &amp; Cost </w:t>
            </w:r>
            <w:r w:rsidR="00C71E55">
              <w:rPr>
                <w:rFonts w:eastAsia="Calibri"/>
                <w:b/>
                <w:szCs w:val="26"/>
              </w:rPr>
              <w:t xml:space="preserve">($) </w:t>
            </w:r>
            <w:r w:rsidRPr="00EA38EF">
              <w:rPr>
                <w:rFonts w:eastAsia="Calibri"/>
                <w:b/>
                <w:szCs w:val="26"/>
              </w:rPr>
              <w:t xml:space="preserve">Per Response </w:t>
            </w:r>
          </w:p>
          <w:p w:rsidRPr="00EA38EF" w:rsidR="00EA38EF" w:rsidP="00EA38EF" w:rsidRDefault="00EA38EF" w14:paraId="4936DDB2"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A38EF" w:rsidR="00EA38EF" w:rsidP="00EA38EF" w:rsidRDefault="00EA38EF" w14:paraId="58E3C3AA" w14:textId="695FC65E">
            <w:pPr>
              <w:widowControl w:val="0"/>
              <w:autoSpaceDE w:val="0"/>
              <w:autoSpaceDN w:val="0"/>
              <w:adjustRightInd w:val="0"/>
              <w:spacing w:line="276" w:lineRule="auto"/>
              <w:jc w:val="center"/>
              <w:rPr>
                <w:rFonts w:eastAsia="Calibri"/>
                <w:b/>
                <w:szCs w:val="26"/>
              </w:rPr>
            </w:pPr>
            <w:r w:rsidRPr="00EA38EF">
              <w:rPr>
                <w:rFonts w:eastAsia="Calibri"/>
                <w:b/>
                <w:szCs w:val="26"/>
              </w:rPr>
              <w:t>Total Annual Burden Hours &amp; Total Annual Cost</w:t>
            </w:r>
            <w:r w:rsidR="00C71E55">
              <w:rPr>
                <w:rFonts w:eastAsia="Calibri"/>
                <w:b/>
                <w:szCs w:val="26"/>
              </w:rPr>
              <w:t xml:space="preserve"> ($)</w:t>
            </w:r>
          </w:p>
          <w:p w:rsidRPr="00EA38EF" w:rsidR="00EA38EF" w:rsidP="00EA38EF" w:rsidRDefault="00EA38EF" w14:paraId="34D62DF8"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EA38EF" w:rsidR="00EA38EF" w:rsidP="00EA38EF" w:rsidRDefault="00EA38EF" w14:paraId="17AE5B70"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Annual Cost per Respondent</w:t>
            </w:r>
          </w:p>
          <w:p w:rsidRPr="00EA38EF" w:rsidR="00EA38EF" w:rsidP="00EA38EF" w:rsidRDefault="00EA38EF" w14:paraId="16F69116"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 xml:space="preserve"> ($)</w:t>
            </w:r>
          </w:p>
          <w:p w:rsidRPr="00EA38EF" w:rsidR="00EA38EF" w:rsidP="00EA38EF" w:rsidRDefault="00EA38EF" w14:paraId="0C28B1B7" w14:textId="77777777">
            <w:pPr>
              <w:widowControl w:val="0"/>
              <w:autoSpaceDE w:val="0"/>
              <w:autoSpaceDN w:val="0"/>
              <w:adjustRightInd w:val="0"/>
              <w:spacing w:line="276" w:lineRule="auto"/>
              <w:jc w:val="center"/>
              <w:rPr>
                <w:rFonts w:eastAsia="Calibri"/>
                <w:b/>
                <w:szCs w:val="26"/>
              </w:rPr>
            </w:pPr>
            <w:r w:rsidRPr="00EA38EF">
              <w:rPr>
                <w:rFonts w:eastAsia="Calibri"/>
                <w:b/>
                <w:szCs w:val="26"/>
              </w:rPr>
              <w:t>(5)÷(1)</w:t>
            </w:r>
          </w:p>
        </w:tc>
      </w:tr>
      <w:tr w:rsidRPr="00EA38EF" w:rsidR="00EA38EF" w:rsidTr="00D2118D" w14:paraId="6207BC45"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EA38EF" w:rsidR="00EA38EF" w:rsidP="00EA38EF" w:rsidRDefault="00EA38EF" w14:paraId="15E18371" w14:textId="360A615F">
            <w:pPr>
              <w:widowControl w:val="0"/>
              <w:autoSpaceDE w:val="0"/>
              <w:autoSpaceDN w:val="0"/>
              <w:adjustRightInd w:val="0"/>
              <w:spacing w:line="276" w:lineRule="auto"/>
              <w:rPr>
                <w:rFonts w:eastAsia="Calibri"/>
                <w:szCs w:val="26"/>
              </w:rPr>
            </w:pPr>
            <w:r w:rsidRPr="00EA38EF">
              <w:rPr>
                <w:rFonts w:eastAsia="Calibri"/>
                <w:szCs w:val="26"/>
              </w:rPr>
              <w:t>Respondents with FAC</w:t>
            </w:r>
            <w:r w:rsidR="0090337D">
              <w:rPr>
                <w:rFonts w:eastAsia="Calibri"/>
                <w:szCs w:val="26"/>
              </w:rPr>
              <w:t>s</w:t>
            </w:r>
            <w:r w:rsidRPr="00EA38EF">
              <w:rPr>
                <w:rFonts w:eastAsia="Calibri"/>
                <w:b/>
                <w:szCs w:val="26"/>
                <w:vertAlign w:val="superscript"/>
              </w:rPr>
              <w:footnoteReference w:id="9"/>
            </w:r>
          </w:p>
        </w:tc>
        <w:tc>
          <w:tcPr>
            <w:tcW w:w="746" w:type="pct"/>
            <w:tcBorders>
              <w:top w:val="single" w:color="auto" w:sz="4" w:space="0"/>
              <w:left w:val="single" w:color="auto" w:sz="4" w:space="0"/>
              <w:bottom w:val="single" w:color="auto" w:sz="4" w:space="0"/>
              <w:right w:val="single" w:color="auto" w:sz="4" w:space="0"/>
            </w:tcBorders>
            <w:vAlign w:val="bottom"/>
          </w:tcPr>
          <w:p w:rsidRPr="00EA38EF" w:rsidR="00EA38EF" w:rsidP="00EA38EF" w:rsidRDefault="00EA38EF" w14:paraId="077C4824" w14:textId="77777777">
            <w:pPr>
              <w:widowControl w:val="0"/>
              <w:autoSpaceDE w:val="0"/>
              <w:autoSpaceDN w:val="0"/>
              <w:adjustRightInd w:val="0"/>
              <w:spacing w:line="276" w:lineRule="auto"/>
              <w:jc w:val="right"/>
              <w:rPr>
                <w:rFonts w:eastAsia="Calibri"/>
                <w:szCs w:val="26"/>
              </w:rPr>
            </w:pPr>
            <w:r w:rsidRPr="00EA38EF">
              <w:rPr>
                <w:rFonts w:eastAsia="Calibri"/>
                <w:szCs w:val="26"/>
              </w:rPr>
              <w:t>24</w:t>
            </w:r>
          </w:p>
        </w:tc>
        <w:tc>
          <w:tcPr>
            <w:tcW w:w="746"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45E8487F" w14:textId="77777777">
            <w:pPr>
              <w:widowControl w:val="0"/>
              <w:autoSpaceDE w:val="0"/>
              <w:autoSpaceDN w:val="0"/>
              <w:adjustRightInd w:val="0"/>
              <w:spacing w:line="276" w:lineRule="auto"/>
              <w:jc w:val="right"/>
              <w:rPr>
                <w:rFonts w:eastAsia="Calibri"/>
                <w:szCs w:val="26"/>
              </w:rPr>
            </w:pPr>
            <w:r w:rsidRPr="00EA38EF">
              <w:rPr>
                <w:rFonts w:eastAsia="Calibri"/>
                <w:szCs w:val="26"/>
              </w:rPr>
              <w:t>0.5</w:t>
            </w:r>
          </w:p>
        </w:tc>
        <w:tc>
          <w:tcPr>
            <w:tcW w:w="703"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7B320B8C" w14:textId="77777777">
            <w:pPr>
              <w:widowControl w:val="0"/>
              <w:autoSpaceDE w:val="0"/>
              <w:autoSpaceDN w:val="0"/>
              <w:adjustRightInd w:val="0"/>
              <w:spacing w:line="276" w:lineRule="auto"/>
              <w:jc w:val="right"/>
              <w:rPr>
                <w:rFonts w:eastAsia="Calibri"/>
                <w:szCs w:val="26"/>
              </w:rPr>
            </w:pPr>
            <w:r w:rsidRPr="00EA38EF">
              <w:rPr>
                <w:rFonts w:eastAsia="Calibri"/>
                <w:szCs w:val="26"/>
              </w:rPr>
              <w:t>12</w:t>
            </w:r>
          </w:p>
        </w:tc>
        <w:tc>
          <w:tcPr>
            <w:tcW w:w="654"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49F1EAC7" w14:textId="77777777">
            <w:pPr>
              <w:widowControl w:val="0"/>
              <w:autoSpaceDE w:val="0"/>
              <w:autoSpaceDN w:val="0"/>
              <w:adjustRightInd w:val="0"/>
              <w:spacing w:line="276" w:lineRule="auto"/>
              <w:jc w:val="right"/>
              <w:rPr>
                <w:rFonts w:eastAsia="Calibri"/>
                <w:szCs w:val="26"/>
              </w:rPr>
            </w:pPr>
            <w:r w:rsidRPr="00EA38EF">
              <w:rPr>
                <w:rFonts w:eastAsia="Calibri"/>
                <w:szCs w:val="26"/>
              </w:rPr>
              <w:t xml:space="preserve">103 </w:t>
            </w:r>
            <w:proofErr w:type="gramStart"/>
            <w:r w:rsidRPr="00EA38EF">
              <w:rPr>
                <w:rFonts w:eastAsia="Calibri"/>
                <w:szCs w:val="26"/>
              </w:rPr>
              <w:t>hrs.;</w:t>
            </w:r>
            <w:proofErr w:type="gramEnd"/>
          </w:p>
          <w:p w:rsidRPr="00EA38EF" w:rsidR="00EA38EF" w:rsidP="00EA38EF" w:rsidRDefault="00EA38EF" w14:paraId="60C8A3F1" w14:textId="77777777">
            <w:pPr>
              <w:widowControl w:val="0"/>
              <w:autoSpaceDE w:val="0"/>
              <w:autoSpaceDN w:val="0"/>
              <w:adjustRightInd w:val="0"/>
              <w:spacing w:line="276" w:lineRule="auto"/>
              <w:jc w:val="right"/>
              <w:rPr>
                <w:rFonts w:eastAsia="Calibri"/>
                <w:szCs w:val="26"/>
              </w:rPr>
            </w:pPr>
            <w:r w:rsidRPr="00EA38EF">
              <w:rPr>
                <w:rFonts w:eastAsia="Calibri"/>
                <w:szCs w:val="26"/>
              </w:rPr>
              <w:t>$8,961.00</w:t>
            </w:r>
          </w:p>
        </w:tc>
        <w:tc>
          <w:tcPr>
            <w:tcW w:w="657"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0C46319D" w14:textId="512F94CC">
            <w:pPr>
              <w:widowControl w:val="0"/>
              <w:autoSpaceDE w:val="0"/>
              <w:autoSpaceDN w:val="0"/>
              <w:adjustRightInd w:val="0"/>
              <w:spacing w:line="276" w:lineRule="auto"/>
              <w:jc w:val="right"/>
              <w:rPr>
                <w:rFonts w:eastAsia="Calibri"/>
                <w:szCs w:val="26"/>
              </w:rPr>
            </w:pPr>
            <w:r w:rsidRPr="00EA38EF">
              <w:rPr>
                <w:rFonts w:eastAsia="Calibri"/>
                <w:szCs w:val="26"/>
              </w:rPr>
              <w:t xml:space="preserve">1,236.0 </w:t>
            </w:r>
            <w:proofErr w:type="gramStart"/>
            <w:r w:rsidRPr="00EA38EF">
              <w:rPr>
                <w:rFonts w:eastAsia="Calibri"/>
                <w:szCs w:val="26"/>
              </w:rPr>
              <w:t>hrs.;</w:t>
            </w:r>
            <w:proofErr w:type="gramEnd"/>
          </w:p>
          <w:p w:rsidRPr="00EA38EF" w:rsidR="00EA38EF" w:rsidP="00EA38EF" w:rsidRDefault="00EA38EF" w14:paraId="7BEA1E70" w14:textId="77777777">
            <w:pPr>
              <w:widowControl w:val="0"/>
              <w:autoSpaceDE w:val="0"/>
              <w:autoSpaceDN w:val="0"/>
              <w:adjustRightInd w:val="0"/>
              <w:spacing w:line="276" w:lineRule="auto"/>
              <w:jc w:val="right"/>
              <w:rPr>
                <w:rFonts w:eastAsia="Calibri"/>
                <w:szCs w:val="26"/>
              </w:rPr>
            </w:pPr>
            <w:r w:rsidRPr="00EA38EF">
              <w:rPr>
                <w:rFonts w:eastAsia="Calibri"/>
                <w:szCs w:val="26"/>
              </w:rPr>
              <w:t xml:space="preserve">$107,532.00 </w:t>
            </w:r>
          </w:p>
        </w:tc>
        <w:tc>
          <w:tcPr>
            <w:tcW w:w="616" w:type="pct"/>
            <w:tcBorders>
              <w:top w:val="single" w:color="auto" w:sz="4" w:space="0"/>
              <w:left w:val="single" w:color="auto" w:sz="4" w:space="0"/>
              <w:bottom w:val="single" w:color="auto" w:sz="4" w:space="0"/>
              <w:right w:val="single" w:color="auto" w:sz="4" w:space="0"/>
            </w:tcBorders>
            <w:vAlign w:val="bottom"/>
          </w:tcPr>
          <w:p w:rsidRPr="00EA38EF" w:rsidR="00EA38EF" w:rsidP="00EA38EF" w:rsidRDefault="00EA38EF" w14:paraId="5F9E96B0" w14:textId="77777777">
            <w:pPr>
              <w:widowControl w:val="0"/>
              <w:autoSpaceDE w:val="0"/>
              <w:autoSpaceDN w:val="0"/>
              <w:adjustRightInd w:val="0"/>
              <w:spacing w:line="276" w:lineRule="auto"/>
              <w:jc w:val="right"/>
              <w:rPr>
                <w:rFonts w:eastAsia="Calibri"/>
                <w:szCs w:val="26"/>
              </w:rPr>
            </w:pPr>
            <w:r w:rsidRPr="00EA38EF">
              <w:rPr>
                <w:rFonts w:eastAsia="Calibri"/>
                <w:szCs w:val="26"/>
              </w:rPr>
              <w:t xml:space="preserve">$4,480.50 </w:t>
            </w:r>
          </w:p>
        </w:tc>
      </w:tr>
      <w:tr w:rsidRPr="00EA38EF" w:rsidR="00EA38EF" w:rsidTr="00D2118D" w14:paraId="74706CD3"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EA38EF" w:rsidR="00EA38EF" w:rsidP="00EA38EF" w:rsidRDefault="00EA38EF" w14:paraId="5DCE9734" w14:textId="77777777">
            <w:pPr>
              <w:widowControl w:val="0"/>
              <w:autoSpaceDE w:val="0"/>
              <w:autoSpaceDN w:val="0"/>
              <w:adjustRightInd w:val="0"/>
              <w:spacing w:line="276" w:lineRule="auto"/>
              <w:rPr>
                <w:rFonts w:eastAsia="Calibri"/>
                <w:szCs w:val="26"/>
              </w:rPr>
            </w:pPr>
            <w:r w:rsidRPr="00EA38EF">
              <w:rPr>
                <w:rFonts w:eastAsia="Calibri"/>
                <w:szCs w:val="26"/>
              </w:rPr>
              <w:t>Respondents with AACs, but no FACs</w:t>
            </w:r>
          </w:p>
        </w:tc>
        <w:tc>
          <w:tcPr>
            <w:tcW w:w="746"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598B948F" w14:textId="77777777">
            <w:pPr>
              <w:widowControl w:val="0"/>
              <w:autoSpaceDE w:val="0"/>
              <w:autoSpaceDN w:val="0"/>
              <w:adjustRightInd w:val="0"/>
              <w:spacing w:line="276" w:lineRule="auto"/>
              <w:jc w:val="right"/>
              <w:rPr>
                <w:rFonts w:eastAsia="Calibri"/>
                <w:szCs w:val="26"/>
              </w:rPr>
            </w:pPr>
            <w:r w:rsidRPr="00EA38EF">
              <w:rPr>
                <w:rFonts w:eastAsia="Calibri"/>
                <w:szCs w:val="26"/>
              </w:rPr>
              <w:t>12</w:t>
            </w:r>
          </w:p>
        </w:tc>
        <w:tc>
          <w:tcPr>
            <w:tcW w:w="746"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5ACF16A7" w14:textId="77777777">
            <w:pPr>
              <w:widowControl w:val="0"/>
              <w:autoSpaceDE w:val="0"/>
              <w:autoSpaceDN w:val="0"/>
              <w:adjustRightInd w:val="0"/>
              <w:spacing w:line="276" w:lineRule="auto"/>
              <w:jc w:val="right"/>
              <w:rPr>
                <w:rFonts w:eastAsia="Calibri"/>
                <w:szCs w:val="26"/>
              </w:rPr>
            </w:pPr>
            <w:r w:rsidRPr="00EA38EF">
              <w:rPr>
                <w:rFonts w:eastAsia="Calibri"/>
                <w:szCs w:val="26"/>
              </w:rPr>
              <w:t>0.5</w:t>
            </w:r>
          </w:p>
        </w:tc>
        <w:tc>
          <w:tcPr>
            <w:tcW w:w="703"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55A4E34D" w14:textId="77777777">
            <w:pPr>
              <w:widowControl w:val="0"/>
              <w:autoSpaceDE w:val="0"/>
              <w:autoSpaceDN w:val="0"/>
              <w:adjustRightInd w:val="0"/>
              <w:spacing w:line="276" w:lineRule="auto"/>
              <w:jc w:val="right"/>
              <w:rPr>
                <w:rFonts w:eastAsia="Calibri"/>
                <w:szCs w:val="26"/>
              </w:rPr>
            </w:pPr>
            <w:r w:rsidRPr="00EA38EF">
              <w:rPr>
                <w:rFonts w:eastAsia="Calibri"/>
                <w:szCs w:val="26"/>
              </w:rPr>
              <w:t>6</w:t>
            </w:r>
          </w:p>
        </w:tc>
        <w:tc>
          <w:tcPr>
            <w:tcW w:w="654"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31B0EA9F" w14:textId="77777777">
            <w:pPr>
              <w:widowControl w:val="0"/>
              <w:autoSpaceDE w:val="0"/>
              <w:autoSpaceDN w:val="0"/>
              <w:adjustRightInd w:val="0"/>
              <w:spacing w:line="276" w:lineRule="auto"/>
              <w:jc w:val="right"/>
              <w:rPr>
                <w:rFonts w:eastAsia="Calibri"/>
                <w:szCs w:val="26"/>
              </w:rPr>
            </w:pPr>
            <w:r w:rsidRPr="00EA38EF">
              <w:rPr>
                <w:rFonts w:eastAsia="Calibri"/>
                <w:szCs w:val="26"/>
              </w:rPr>
              <w:t xml:space="preserve">20 </w:t>
            </w:r>
            <w:proofErr w:type="gramStart"/>
            <w:r w:rsidRPr="00EA38EF">
              <w:rPr>
                <w:rFonts w:eastAsia="Calibri"/>
                <w:szCs w:val="26"/>
              </w:rPr>
              <w:t>hrs.;</w:t>
            </w:r>
            <w:proofErr w:type="gramEnd"/>
          </w:p>
          <w:p w:rsidRPr="00EA38EF" w:rsidR="00EA38EF" w:rsidP="00EA38EF" w:rsidRDefault="00EA38EF" w14:paraId="6B25B3F2" w14:textId="77777777">
            <w:pPr>
              <w:widowControl w:val="0"/>
              <w:autoSpaceDE w:val="0"/>
              <w:autoSpaceDN w:val="0"/>
              <w:adjustRightInd w:val="0"/>
              <w:spacing w:line="276" w:lineRule="auto"/>
              <w:jc w:val="right"/>
              <w:rPr>
                <w:rFonts w:eastAsia="Calibri"/>
                <w:szCs w:val="26"/>
              </w:rPr>
            </w:pPr>
            <w:r w:rsidRPr="00EA38EF">
              <w:rPr>
                <w:rFonts w:eastAsia="Calibri"/>
                <w:szCs w:val="26"/>
              </w:rPr>
              <w:t>$1,740.00</w:t>
            </w:r>
          </w:p>
        </w:tc>
        <w:tc>
          <w:tcPr>
            <w:tcW w:w="657"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2075311E" w14:textId="77777777">
            <w:pPr>
              <w:widowControl w:val="0"/>
              <w:autoSpaceDE w:val="0"/>
              <w:autoSpaceDN w:val="0"/>
              <w:adjustRightInd w:val="0"/>
              <w:spacing w:line="276" w:lineRule="auto"/>
              <w:jc w:val="right"/>
              <w:rPr>
                <w:rFonts w:eastAsia="Calibri"/>
                <w:szCs w:val="26"/>
              </w:rPr>
            </w:pPr>
            <w:r w:rsidRPr="00EA38EF">
              <w:rPr>
                <w:rFonts w:eastAsia="Calibri"/>
                <w:szCs w:val="26"/>
              </w:rPr>
              <w:t xml:space="preserve">120.0 </w:t>
            </w:r>
            <w:proofErr w:type="gramStart"/>
            <w:r w:rsidRPr="00EA38EF">
              <w:rPr>
                <w:rFonts w:eastAsia="Calibri"/>
                <w:szCs w:val="26"/>
              </w:rPr>
              <w:t>hrs.;</w:t>
            </w:r>
            <w:proofErr w:type="gramEnd"/>
          </w:p>
          <w:p w:rsidRPr="00EA38EF" w:rsidR="00EA38EF" w:rsidP="00EA38EF" w:rsidRDefault="00EA38EF" w14:paraId="4AEA1C72" w14:textId="77777777">
            <w:pPr>
              <w:widowControl w:val="0"/>
              <w:autoSpaceDE w:val="0"/>
              <w:autoSpaceDN w:val="0"/>
              <w:adjustRightInd w:val="0"/>
              <w:spacing w:line="276" w:lineRule="auto"/>
              <w:jc w:val="right"/>
              <w:rPr>
                <w:rFonts w:eastAsia="Calibri"/>
                <w:szCs w:val="26"/>
              </w:rPr>
            </w:pPr>
            <w:r w:rsidRPr="00EA38EF">
              <w:rPr>
                <w:rFonts w:eastAsia="Calibri"/>
                <w:szCs w:val="26"/>
              </w:rPr>
              <w:t>$10,440.00</w:t>
            </w:r>
          </w:p>
        </w:tc>
        <w:tc>
          <w:tcPr>
            <w:tcW w:w="616"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1252255F" w14:textId="77777777">
            <w:pPr>
              <w:widowControl w:val="0"/>
              <w:autoSpaceDE w:val="0"/>
              <w:autoSpaceDN w:val="0"/>
              <w:adjustRightInd w:val="0"/>
              <w:spacing w:line="276" w:lineRule="auto"/>
              <w:jc w:val="right"/>
              <w:rPr>
                <w:rFonts w:eastAsia="Calibri"/>
                <w:szCs w:val="26"/>
              </w:rPr>
            </w:pPr>
            <w:r w:rsidRPr="00EA38EF">
              <w:rPr>
                <w:rFonts w:eastAsia="Calibri"/>
                <w:szCs w:val="26"/>
              </w:rPr>
              <w:t>$870.00</w:t>
            </w:r>
          </w:p>
        </w:tc>
      </w:tr>
      <w:tr w:rsidRPr="00EA38EF" w:rsidR="00EA38EF" w:rsidTr="00D2118D" w14:paraId="6DB70872"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EA38EF" w:rsidR="00EA38EF" w:rsidP="00EA38EF" w:rsidRDefault="00EA38EF" w14:paraId="180BC727" w14:textId="77777777">
            <w:pPr>
              <w:widowControl w:val="0"/>
              <w:autoSpaceDE w:val="0"/>
              <w:autoSpaceDN w:val="0"/>
              <w:adjustRightInd w:val="0"/>
              <w:spacing w:line="276" w:lineRule="auto"/>
              <w:rPr>
                <w:rFonts w:eastAsia="Calibri"/>
                <w:szCs w:val="26"/>
              </w:rPr>
            </w:pPr>
            <w:r w:rsidRPr="00EA38EF">
              <w:rPr>
                <w:rFonts w:eastAsia="Calibri"/>
                <w:szCs w:val="26"/>
              </w:rPr>
              <w:t>Respondents with no AACs and no FACs</w:t>
            </w:r>
          </w:p>
        </w:tc>
        <w:tc>
          <w:tcPr>
            <w:tcW w:w="746"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16E3D73F" w14:textId="77777777">
            <w:pPr>
              <w:widowControl w:val="0"/>
              <w:autoSpaceDE w:val="0"/>
              <w:autoSpaceDN w:val="0"/>
              <w:adjustRightInd w:val="0"/>
              <w:spacing w:line="276" w:lineRule="auto"/>
              <w:jc w:val="right"/>
              <w:rPr>
                <w:rFonts w:eastAsia="Calibri"/>
                <w:szCs w:val="26"/>
              </w:rPr>
            </w:pPr>
            <w:r w:rsidRPr="00EA38EF">
              <w:rPr>
                <w:rFonts w:eastAsia="Calibri"/>
                <w:szCs w:val="26"/>
              </w:rPr>
              <w:t>23</w:t>
            </w:r>
          </w:p>
        </w:tc>
        <w:tc>
          <w:tcPr>
            <w:tcW w:w="746"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3DC54894" w14:textId="77777777">
            <w:pPr>
              <w:widowControl w:val="0"/>
              <w:autoSpaceDE w:val="0"/>
              <w:autoSpaceDN w:val="0"/>
              <w:adjustRightInd w:val="0"/>
              <w:spacing w:line="276" w:lineRule="auto"/>
              <w:jc w:val="right"/>
              <w:rPr>
                <w:rFonts w:eastAsia="Calibri"/>
                <w:szCs w:val="26"/>
              </w:rPr>
            </w:pPr>
            <w:r w:rsidRPr="00EA38EF">
              <w:rPr>
                <w:rFonts w:eastAsia="Calibri"/>
                <w:szCs w:val="26"/>
              </w:rPr>
              <w:t>0.5</w:t>
            </w:r>
          </w:p>
        </w:tc>
        <w:tc>
          <w:tcPr>
            <w:tcW w:w="703"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547E348D" w14:textId="77777777">
            <w:pPr>
              <w:widowControl w:val="0"/>
              <w:autoSpaceDE w:val="0"/>
              <w:autoSpaceDN w:val="0"/>
              <w:adjustRightInd w:val="0"/>
              <w:spacing w:line="276" w:lineRule="auto"/>
              <w:jc w:val="right"/>
              <w:rPr>
                <w:rFonts w:eastAsia="Calibri"/>
                <w:szCs w:val="26"/>
              </w:rPr>
            </w:pPr>
            <w:r w:rsidRPr="00EA38EF">
              <w:rPr>
                <w:rFonts w:eastAsia="Calibri"/>
                <w:szCs w:val="26"/>
              </w:rPr>
              <w:t>11.5</w:t>
            </w:r>
          </w:p>
        </w:tc>
        <w:tc>
          <w:tcPr>
            <w:tcW w:w="654"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08B2D673" w14:textId="77777777">
            <w:pPr>
              <w:widowControl w:val="0"/>
              <w:autoSpaceDE w:val="0"/>
              <w:autoSpaceDN w:val="0"/>
              <w:adjustRightInd w:val="0"/>
              <w:spacing w:line="276" w:lineRule="auto"/>
              <w:jc w:val="right"/>
              <w:rPr>
                <w:rFonts w:eastAsia="Calibri"/>
                <w:szCs w:val="26"/>
              </w:rPr>
            </w:pPr>
            <w:r w:rsidRPr="00EA38EF">
              <w:rPr>
                <w:rFonts w:eastAsia="Calibri"/>
                <w:szCs w:val="26"/>
              </w:rPr>
              <w:t xml:space="preserve">2 </w:t>
            </w:r>
            <w:proofErr w:type="gramStart"/>
            <w:r w:rsidRPr="00EA38EF">
              <w:rPr>
                <w:rFonts w:eastAsia="Calibri"/>
                <w:szCs w:val="26"/>
              </w:rPr>
              <w:t>hrs.;</w:t>
            </w:r>
            <w:proofErr w:type="gramEnd"/>
          </w:p>
          <w:p w:rsidRPr="00EA38EF" w:rsidR="00EA38EF" w:rsidP="00EA38EF" w:rsidRDefault="00EA38EF" w14:paraId="4FD9A95B" w14:textId="77777777">
            <w:pPr>
              <w:widowControl w:val="0"/>
              <w:autoSpaceDE w:val="0"/>
              <w:autoSpaceDN w:val="0"/>
              <w:adjustRightInd w:val="0"/>
              <w:spacing w:line="276" w:lineRule="auto"/>
              <w:jc w:val="right"/>
              <w:rPr>
                <w:rFonts w:eastAsia="Calibri"/>
                <w:szCs w:val="26"/>
              </w:rPr>
            </w:pPr>
            <w:r w:rsidRPr="00EA38EF">
              <w:rPr>
                <w:rFonts w:eastAsia="Calibri"/>
                <w:szCs w:val="26"/>
              </w:rPr>
              <w:t>$174.00</w:t>
            </w:r>
          </w:p>
        </w:tc>
        <w:tc>
          <w:tcPr>
            <w:tcW w:w="657"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6C42EF02" w14:textId="77777777">
            <w:pPr>
              <w:widowControl w:val="0"/>
              <w:autoSpaceDE w:val="0"/>
              <w:autoSpaceDN w:val="0"/>
              <w:adjustRightInd w:val="0"/>
              <w:spacing w:line="276" w:lineRule="auto"/>
              <w:jc w:val="right"/>
              <w:rPr>
                <w:rFonts w:eastAsia="Calibri"/>
                <w:szCs w:val="26"/>
              </w:rPr>
            </w:pPr>
            <w:r w:rsidRPr="00EA38EF">
              <w:rPr>
                <w:rFonts w:eastAsia="Calibri"/>
                <w:szCs w:val="26"/>
              </w:rPr>
              <w:t xml:space="preserve">23.0 </w:t>
            </w:r>
            <w:proofErr w:type="gramStart"/>
            <w:r w:rsidRPr="00EA38EF">
              <w:rPr>
                <w:rFonts w:eastAsia="Calibri"/>
                <w:szCs w:val="26"/>
              </w:rPr>
              <w:t>hrs.;</w:t>
            </w:r>
            <w:proofErr w:type="gramEnd"/>
          </w:p>
          <w:p w:rsidRPr="00EA38EF" w:rsidR="00EA38EF" w:rsidP="00EA38EF" w:rsidRDefault="00EA38EF" w14:paraId="5ED80F98" w14:textId="77777777">
            <w:pPr>
              <w:widowControl w:val="0"/>
              <w:autoSpaceDE w:val="0"/>
              <w:autoSpaceDN w:val="0"/>
              <w:adjustRightInd w:val="0"/>
              <w:spacing w:line="276" w:lineRule="auto"/>
              <w:jc w:val="right"/>
              <w:rPr>
                <w:rFonts w:eastAsia="Calibri"/>
                <w:szCs w:val="26"/>
              </w:rPr>
            </w:pPr>
            <w:r w:rsidRPr="00EA38EF">
              <w:rPr>
                <w:rFonts w:eastAsia="Calibri"/>
                <w:szCs w:val="26"/>
              </w:rPr>
              <w:t>$2,001.00</w:t>
            </w:r>
          </w:p>
        </w:tc>
        <w:tc>
          <w:tcPr>
            <w:tcW w:w="616" w:type="pct"/>
            <w:tcBorders>
              <w:top w:val="single" w:color="auto" w:sz="4" w:space="0"/>
              <w:left w:val="single" w:color="auto" w:sz="4" w:space="0"/>
              <w:bottom w:val="single" w:color="auto" w:sz="4" w:space="0"/>
              <w:right w:val="single" w:color="auto" w:sz="4" w:space="0"/>
            </w:tcBorders>
            <w:vAlign w:val="bottom"/>
            <w:hideMark/>
          </w:tcPr>
          <w:p w:rsidRPr="00EA38EF" w:rsidR="00EA38EF" w:rsidP="00EA38EF" w:rsidRDefault="00EA38EF" w14:paraId="21DB1B67" w14:textId="77777777">
            <w:pPr>
              <w:widowControl w:val="0"/>
              <w:autoSpaceDE w:val="0"/>
              <w:autoSpaceDN w:val="0"/>
              <w:adjustRightInd w:val="0"/>
              <w:spacing w:line="276" w:lineRule="auto"/>
              <w:jc w:val="right"/>
              <w:rPr>
                <w:rFonts w:eastAsia="Calibri"/>
                <w:szCs w:val="26"/>
              </w:rPr>
            </w:pPr>
            <w:r w:rsidRPr="00EA38EF">
              <w:rPr>
                <w:rFonts w:eastAsia="Calibri"/>
                <w:szCs w:val="26"/>
              </w:rPr>
              <w:t>$87.00</w:t>
            </w:r>
          </w:p>
        </w:tc>
      </w:tr>
      <w:tr w:rsidRPr="00EA38EF" w:rsidR="00EA38EF" w:rsidTr="00D2118D" w14:paraId="3E20EEB1"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EA38EF" w:rsidR="00EA38EF" w:rsidP="00EA38EF" w:rsidRDefault="00EA38EF" w14:paraId="21CBE8F0" w14:textId="77777777">
            <w:pPr>
              <w:widowControl w:val="0"/>
              <w:autoSpaceDE w:val="0"/>
              <w:autoSpaceDN w:val="0"/>
              <w:adjustRightInd w:val="0"/>
              <w:spacing w:line="276" w:lineRule="auto"/>
              <w:rPr>
                <w:rFonts w:eastAsia="Calibri"/>
                <w:b/>
                <w:szCs w:val="26"/>
              </w:rPr>
            </w:pPr>
            <w:r w:rsidRPr="00EA38EF">
              <w:rPr>
                <w:rFonts w:eastAsia="Calibri"/>
                <w:b/>
                <w:szCs w:val="26"/>
              </w:rPr>
              <w:t>TOTAL</w:t>
            </w:r>
          </w:p>
        </w:tc>
        <w:tc>
          <w:tcPr>
            <w:tcW w:w="1492" w:type="pct"/>
            <w:gridSpan w:val="2"/>
            <w:tcBorders>
              <w:top w:val="single" w:color="auto" w:sz="4" w:space="0"/>
              <w:left w:val="single" w:color="auto" w:sz="4" w:space="0"/>
              <w:bottom w:val="single" w:color="auto" w:sz="4" w:space="0"/>
              <w:right w:val="single" w:color="auto" w:sz="4" w:space="0"/>
            </w:tcBorders>
            <w:shd w:val="clear" w:color="auto" w:fill="D9D9D9"/>
          </w:tcPr>
          <w:p w:rsidRPr="00EA38EF" w:rsidR="00EA38EF" w:rsidP="00EA38EF" w:rsidRDefault="00EA38EF" w14:paraId="26B40BD7" w14:textId="77777777">
            <w:pPr>
              <w:widowControl w:val="0"/>
              <w:autoSpaceDE w:val="0"/>
              <w:autoSpaceDN w:val="0"/>
              <w:adjustRightInd w:val="0"/>
              <w:spacing w:line="276" w:lineRule="auto"/>
              <w:jc w:val="right"/>
              <w:rPr>
                <w:rFonts w:eastAsia="Calibri"/>
                <w:szCs w:val="26"/>
              </w:rPr>
            </w:pPr>
          </w:p>
        </w:tc>
        <w:tc>
          <w:tcPr>
            <w:tcW w:w="703" w:type="pct"/>
            <w:tcBorders>
              <w:top w:val="single" w:color="auto" w:sz="4" w:space="0"/>
              <w:left w:val="single" w:color="auto" w:sz="4" w:space="0"/>
              <w:bottom w:val="single" w:color="auto" w:sz="4" w:space="0"/>
              <w:right w:val="single" w:color="auto" w:sz="4" w:space="0"/>
            </w:tcBorders>
            <w:hideMark/>
          </w:tcPr>
          <w:p w:rsidRPr="00EA38EF" w:rsidR="00EA38EF" w:rsidP="00EA38EF" w:rsidRDefault="00EA38EF" w14:paraId="643709F9" w14:textId="77777777">
            <w:pPr>
              <w:widowControl w:val="0"/>
              <w:autoSpaceDE w:val="0"/>
              <w:autoSpaceDN w:val="0"/>
              <w:adjustRightInd w:val="0"/>
              <w:spacing w:line="276" w:lineRule="auto"/>
              <w:jc w:val="right"/>
              <w:rPr>
                <w:rFonts w:eastAsia="Calibri"/>
                <w:b/>
                <w:szCs w:val="26"/>
              </w:rPr>
            </w:pPr>
            <w:r w:rsidRPr="00EA38EF">
              <w:rPr>
                <w:rFonts w:eastAsia="Calibri"/>
                <w:b/>
                <w:szCs w:val="26"/>
              </w:rPr>
              <w:t>29.5</w:t>
            </w:r>
          </w:p>
        </w:tc>
        <w:tc>
          <w:tcPr>
            <w:tcW w:w="654" w:type="pct"/>
            <w:tcBorders>
              <w:top w:val="single" w:color="auto" w:sz="4" w:space="0"/>
              <w:left w:val="single" w:color="auto" w:sz="4" w:space="0"/>
              <w:bottom w:val="single" w:color="auto" w:sz="4" w:space="0"/>
              <w:right w:val="single" w:color="auto" w:sz="4" w:space="0"/>
            </w:tcBorders>
            <w:shd w:val="clear" w:color="auto" w:fill="D9D9D9"/>
          </w:tcPr>
          <w:p w:rsidRPr="00EA38EF" w:rsidR="00EA38EF" w:rsidP="00EA38EF" w:rsidRDefault="00EA38EF" w14:paraId="2E86919D" w14:textId="77777777">
            <w:pPr>
              <w:widowControl w:val="0"/>
              <w:autoSpaceDE w:val="0"/>
              <w:autoSpaceDN w:val="0"/>
              <w:adjustRightInd w:val="0"/>
              <w:spacing w:line="276" w:lineRule="auto"/>
              <w:jc w:val="right"/>
              <w:rPr>
                <w:rFonts w:eastAsia="Calibri"/>
                <w:szCs w:val="26"/>
              </w:rPr>
            </w:pPr>
          </w:p>
        </w:tc>
        <w:tc>
          <w:tcPr>
            <w:tcW w:w="657" w:type="pct"/>
            <w:tcBorders>
              <w:top w:val="single" w:color="auto" w:sz="4" w:space="0"/>
              <w:left w:val="single" w:color="auto" w:sz="4" w:space="0"/>
              <w:bottom w:val="single" w:color="auto" w:sz="4" w:space="0"/>
              <w:right w:val="single" w:color="auto" w:sz="4" w:space="0"/>
            </w:tcBorders>
            <w:hideMark/>
          </w:tcPr>
          <w:p w:rsidRPr="00EA38EF" w:rsidR="00EA38EF" w:rsidP="00EA38EF" w:rsidRDefault="00EA38EF" w14:paraId="7B8D0D0C" w14:textId="77777777">
            <w:pPr>
              <w:widowControl w:val="0"/>
              <w:autoSpaceDE w:val="0"/>
              <w:autoSpaceDN w:val="0"/>
              <w:adjustRightInd w:val="0"/>
              <w:spacing w:line="276" w:lineRule="auto"/>
              <w:jc w:val="right"/>
              <w:rPr>
                <w:rFonts w:eastAsia="Calibri"/>
                <w:b/>
                <w:szCs w:val="26"/>
              </w:rPr>
            </w:pPr>
            <w:r w:rsidRPr="00EA38EF">
              <w:rPr>
                <w:rFonts w:eastAsia="Calibri"/>
                <w:b/>
                <w:szCs w:val="26"/>
              </w:rPr>
              <w:t xml:space="preserve">1,379.0 </w:t>
            </w:r>
            <w:proofErr w:type="gramStart"/>
            <w:r w:rsidRPr="00EA38EF">
              <w:rPr>
                <w:rFonts w:eastAsia="Calibri"/>
                <w:b/>
                <w:szCs w:val="26"/>
              </w:rPr>
              <w:t>hrs.;</w:t>
            </w:r>
            <w:proofErr w:type="gramEnd"/>
          </w:p>
          <w:p w:rsidRPr="00EA38EF" w:rsidR="00EA38EF" w:rsidP="00EA38EF" w:rsidRDefault="00EA38EF" w14:paraId="6D3A7D78" w14:textId="77777777">
            <w:pPr>
              <w:widowControl w:val="0"/>
              <w:autoSpaceDE w:val="0"/>
              <w:autoSpaceDN w:val="0"/>
              <w:adjustRightInd w:val="0"/>
              <w:spacing w:line="276" w:lineRule="auto"/>
              <w:jc w:val="right"/>
              <w:rPr>
                <w:rFonts w:eastAsia="Calibri"/>
                <w:b/>
                <w:szCs w:val="26"/>
              </w:rPr>
            </w:pPr>
            <w:r w:rsidRPr="00EA38EF">
              <w:rPr>
                <w:rFonts w:eastAsia="Calibri"/>
                <w:b/>
                <w:szCs w:val="26"/>
              </w:rPr>
              <w:t>$119,173.00</w:t>
            </w:r>
          </w:p>
        </w:tc>
        <w:tc>
          <w:tcPr>
            <w:tcW w:w="616" w:type="pct"/>
            <w:tcBorders>
              <w:top w:val="single" w:color="auto" w:sz="4" w:space="0"/>
              <w:left w:val="single" w:color="auto" w:sz="4" w:space="0"/>
              <w:bottom w:val="single" w:color="auto" w:sz="4" w:space="0"/>
              <w:right w:val="single" w:color="auto" w:sz="4" w:space="0"/>
            </w:tcBorders>
            <w:shd w:val="clear" w:color="auto" w:fill="D9D9D9"/>
          </w:tcPr>
          <w:p w:rsidRPr="00EA38EF" w:rsidR="00EA38EF" w:rsidP="00EA38EF" w:rsidRDefault="00EA38EF" w14:paraId="77EC4506" w14:textId="77777777">
            <w:pPr>
              <w:widowControl w:val="0"/>
              <w:autoSpaceDE w:val="0"/>
              <w:autoSpaceDN w:val="0"/>
              <w:adjustRightInd w:val="0"/>
              <w:spacing w:line="276" w:lineRule="auto"/>
              <w:jc w:val="right"/>
              <w:rPr>
                <w:rFonts w:eastAsia="Calibri"/>
                <w:b/>
                <w:szCs w:val="26"/>
              </w:rPr>
            </w:pPr>
          </w:p>
        </w:tc>
      </w:tr>
    </w:tbl>
    <w:p w:rsidRPr="00F3319C" w:rsidR="00F3319C" w:rsidP="00126669" w:rsidRDefault="00F3319C" w14:paraId="22D2BF26" w14:textId="77777777">
      <w:pPr>
        <w:rPr>
          <w:iCs/>
          <w:szCs w:val="26"/>
        </w:rPr>
      </w:pPr>
    </w:p>
    <w:p w:rsidRPr="00F3319C" w:rsidR="00F3319C" w:rsidP="00F3319C" w:rsidRDefault="00F3319C" w14:paraId="09FBDB8A" w14:textId="4960D4A1">
      <w:pPr>
        <w:spacing w:line="480" w:lineRule="auto"/>
        <w:rPr>
          <w:iCs/>
          <w:szCs w:val="26"/>
        </w:rPr>
      </w:pPr>
      <w:r w:rsidRPr="00F3319C">
        <w:rPr>
          <w:iCs/>
          <w:szCs w:val="26"/>
        </w:rPr>
        <w:lastRenderedPageBreak/>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F3319C" w:rsidP="00F77D5B" w:rsidRDefault="00F3319C" w14:paraId="28EFFF50" w14:textId="77F2A9A3">
      <w:pPr>
        <w:rPr>
          <w:iCs/>
          <w:szCs w:val="26"/>
        </w:rPr>
      </w:pPr>
    </w:p>
    <w:p w:rsidR="00F77D5B" w:rsidP="00F77D5B" w:rsidRDefault="00F77D5B" w14:paraId="3362BFC3" w14:textId="75B80A64">
      <w:pPr>
        <w:rPr>
          <w:i/>
          <w:szCs w:val="26"/>
        </w:rPr>
      </w:pPr>
    </w:p>
    <w:p w:rsidR="00F77D5B" w:rsidP="00F77D5B" w:rsidRDefault="00F77D5B" w14:paraId="3073A4C0" w14:textId="6FADD8C0">
      <w:pPr>
        <w:rPr>
          <w:i/>
          <w:szCs w:val="26"/>
        </w:rPr>
      </w:pPr>
    </w:p>
    <w:p w:rsidR="00F77D5B" w:rsidP="00F77D5B" w:rsidRDefault="00F77D5B" w14:paraId="7B61400C" w14:textId="04D5F8DB">
      <w:pPr>
        <w:rPr>
          <w:i/>
          <w:szCs w:val="26"/>
        </w:rPr>
      </w:pPr>
    </w:p>
    <w:p w:rsidRPr="00F77D5B" w:rsidR="00F77D5B" w:rsidP="00F77D5B" w:rsidRDefault="00F77D5B" w14:paraId="1FB88AAE" w14:textId="40DBBAFF">
      <w:pPr>
        <w:ind w:firstLine="2174"/>
        <w:jc w:val="center"/>
      </w:pPr>
      <w:r w:rsidRPr="00F77D5B">
        <w:t>Kimberly D. Bose,</w:t>
      </w:r>
    </w:p>
    <w:p w:rsidRPr="00F77D5B" w:rsidR="00F77D5B" w:rsidP="00F77D5B" w:rsidRDefault="00F77D5B" w14:paraId="3B42C85C" w14:textId="48A1A0E7">
      <w:pPr>
        <w:ind w:firstLine="2174"/>
        <w:jc w:val="center"/>
      </w:pPr>
      <w:r w:rsidRPr="00F77D5B">
        <w:t>Secretary.</w:t>
      </w:r>
    </w:p>
    <w:p w:rsidRPr="00F3319C" w:rsidR="00F77D5B" w:rsidP="00F77D5B" w:rsidRDefault="00F77D5B" w14:paraId="10910483" w14:textId="77777777">
      <w:pPr>
        <w:rPr>
          <w:i/>
          <w:szCs w:val="26"/>
        </w:rPr>
      </w:pPr>
    </w:p>
    <w:sectPr w:rsidRPr="00F3319C" w:rsidR="00F77D5B"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EB88A" w14:textId="77777777" w:rsidR="001B2388" w:rsidRDefault="001B2388" w:rsidP="00B01B16">
      <w:r>
        <w:separator/>
      </w:r>
    </w:p>
  </w:endnote>
  <w:endnote w:type="continuationSeparator" w:id="0">
    <w:p w14:paraId="091E3B7D" w14:textId="77777777" w:rsidR="001B2388" w:rsidRDefault="001B2388" w:rsidP="00B01B16">
      <w:r>
        <w:continuationSeparator/>
      </w:r>
    </w:p>
  </w:endnote>
  <w:endnote w:type="continuationNotice" w:id="1">
    <w:p w14:paraId="218384C2" w14:textId="77777777" w:rsidR="001B2388" w:rsidRDefault="001B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C15F4" w14:textId="77777777" w:rsidR="00F77D5B" w:rsidRDefault="00F77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D686" w14:textId="77777777" w:rsidR="00F77D5B" w:rsidRDefault="00F77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C2F0" w14:textId="77777777" w:rsidR="00F77D5B" w:rsidRDefault="00F77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BEA47" w14:textId="77777777" w:rsidR="001B2388" w:rsidRDefault="001B2388" w:rsidP="00B01B16">
      <w:r>
        <w:separator/>
      </w:r>
    </w:p>
  </w:footnote>
  <w:footnote w:type="continuationSeparator" w:id="0">
    <w:p w14:paraId="4B99F720" w14:textId="77777777" w:rsidR="001B2388" w:rsidRDefault="001B2388" w:rsidP="00B01B16">
      <w:r>
        <w:continuationSeparator/>
      </w:r>
    </w:p>
  </w:footnote>
  <w:footnote w:type="continuationNotice" w:id="1">
    <w:p w14:paraId="6131F0A8" w14:textId="77777777" w:rsidR="001B2388" w:rsidRDefault="001B2388"/>
  </w:footnote>
  <w:footnote w:id="2">
    <w:p w14:paraId="589F8D1F" w14:textId="12B49EF6" w:rsidR="00C71E55" w:rsidRPr="00330D48" w:rsidRDefault="00C71E55" w:rsidP="00330D48">
      <w:pPr>
        <w:pStyle w:val="FootnoteText"/>
        <w:spacing w:before="240"/>
        <w:rPr>
          <w:sz w:val="26"/>
        </w:rPr>
      </w:pPr>
      <w:r w:rsidRPr="00364E10">
        <w:rPr>
          <w:rStyle w:val="FootnoteReference"/>
        </w:rPr>
        <w:footnoteRef/>
      </w:r>
      <w:r w:rsidRPr="00330D48">
        <w:rPr>
          <w:sz w:val="26"/>
        </w:rPr>
        <w:t xml:space="preserve"> 16 U.S.C. 824d</w:t>
      </w:r>
      <w:r w:rsidR="00364E10" w:rsidRPr="00330D48">
        <w:rPr>
          <w:sz w:val="26"/>
        </w:rPr>
        <w:t>(f)(2</w:t>
      </w:r>
      <w:r w:rsidR="00364E10">
        <w:rPr>
          <w:sz w:val="26"/>
        </w:rPr>
        <w:t>)</w:t>
      </w:r>
    </w:p>
  </w:footnote>
  <w:footnote w:id="3">
    <w:p w14:paraId="4664CE3B" w14:textId="77777777" w:rsidR="00C71E55" w:rsidRPr="00330D48" w:rsidRDefault="00C71E55" w:rsidP="00C71E55">
      <w:pPr>
        <w:pStyle w:val="FootnoteText"/>
        <w:rPr>
          <w:sz w:val="26"/>
        </w:rPr>
      </w:pPr>
      <w:r w:rsidRPr="00364E10">
        <w:rPr>
          <w:rStyle w:val="FootnoteReference"/>
        </w:rPr>
        <w:footnoteRef/>
      </w:r>
      <w:r w:rsidRPr="00330D48">
        <w:rPr>
          <w:sz w:val="26"/>
        </w:rPr>
        <w:t xml:space="preserve"> An automatic adjustment clause is a provision of a rate schedule which provides for increases or decreases (or both), without prior hearing, in rates reflecting increases or decreases (or both) in costs incurred by an electric utility.</w:t>
      </w:r>
    </w:p>
    <w:p w14:paraId="64377877" w14:textId="24488481" w:rsidR="00C71E55" w:rsidRPr="00330D48" w:rsidRDefault="00C71E55" w:rsidP="00C71E55">
      <w:pPr>
        <w:pStyle w:val="FootnoteText"/>
        <w:rPr>
          <w:sz w:val="26"/>
        </w:rPr>
      </w:pPr>
      <w:r w:rsidRPr="00330D48">
        <w:rPr>
          <w:sz w:val="26"/>
        </w:rPr>
        <w:t>For additional information on AACs, see the Frequently Asked Questions (FAQs) and Desk Reference for FERC Form 580 on the Commission’s website.</w:t>
      </w:r>
    </w:p>
  </w:footnote>
  <w:footnote w:id="4">
    <w:p w14:paraId="01F0F878" w14:textId="471D19B8" w:rsidR="00C71E55" w:rsidRDefault="00C71E55">
      <w:pPr>
        <w:pStyle w:val="FootnoteText"/>
      </w:pPr>
      <w:r w:rsidRPr="00364E10">
        <w:rPr>
          <w:rStyle w:val="FootnoteReference"/>
        </w:rPr>
        <w:footnoteRef/>
      </w:r>
      <w:r w:rsidRPr="00330D48">
        <w:rPr>
          <w:sz w:val="26"/>
        </w:rPr>
        <w:t xml:space="preserve"> By using the data in FERC Form 580, the Commission is able to review utility purchase and cost recovery practices and ensure the resources are in compliance with Commission regulations in 18 CFR 35.14.</w:t>
      </w:r>
    </w:p>
  </w:footnote>
  <w:footnote w:id="5">
    <w:p w14:paraId="22C7C59E" w14:textId="63D44F6C" w:rsidR="00AE6F5C" w:rsidRPr="00EB686B" w:rsidRDefault="00AE6F5C" w:rsidP="00AE6F5C">
      <w:pPr>
        <w:pStyle w:val="FootnoteText"/>
        <w:rPr>
          <w:sz w:val="26"/>
          <w:szCs w:val="26"/>
        </w:rPr>
      </w:pPr>
      <w:r w:rsidRPr="008F3397">
        <w:rPr>
          <w:rStyle w:val="FootnoteReference"/>
        </w:rPr>
        <w:footnoteRef/>
      </w:r>
      <w:r w:rsidRPr="00EB686B">
        <w:rPr>
          <w:sz w:val="26"/>
          <w:szCs w:val="26"/>
        </w:rPr>
        <w:t xml:space="preserve"> The current OMB approval (ICR 201908-1902-015) was issued on April 23, 2020</w:t>
      </w:r>
      <w:r w:rsidR="000F33AE">
        <w:rPr>
          <w:sz w:val="26"/>
          <w:szCs w:val="26"/>
        </w:rPr>
        <w:t>,</w:t>
      </w:r>
      <w:r w:rsidRPr="00EB686B">
        <w:rPr>
          <w:sz w:val="26"/>
          <w:szCs w:val="26"/>
        </w:rPr>
        <w:t xml:space="preserve"> and expires January 31, 2023.  While that approval includes the timeframe for the Commission’s next required use of FERC-580 in 2022, we are submitting this request in order to update (administrative updates) FERC Form 580 for the data collection in 2022, and to request renewal of FERC-580 for another 3 years. </w:t>
      </w:r>
    </w:p>
  </w:footnote>
  <w:footnote w:id="6">
    <w:p w14:paraId="29D279DF" w14:textId="77777777" w:rsidR="00EA38EF" w:rsidRPr="00EB686B" w:rsidRDefault="00EA38EF" w:rsidP="00EA38EF">
      <w:pPr>
        <w:pStyle w:val="FootnoteText"/>
        <w:rPr>
          <w:sz w:val="26"/>
          <w:szCs w:val="26"/>
        </w:rPr>
      </w:pPr>
      <w:r w:rsidRPr="008F3397">
        <w:rPr>
          <w:rStyle w:val="FootnoteReference"/>
        </w:rPr>
        <w:footnoteRef/>
      </w:r>
      <w:r w:rsidRPr="00EB686B">
        <w:rPr>
          <w:sz w:val="26"/>
          <w:szCs w:val="26"/>
          <w:vertAlign w:val="superscript"/>
        </w:rPr>
        <w:t xml:space="preserve"> </w:t>
      </w:r>
      <w:r w:rsidRPr="00EB686B">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7">
    <w:p w14:paraId="0A9A2FF7" w14:textId="77777777" w:rsidR="00EA38EF" w:rsidRPr="00EB686B" w:rsidRDefault="00EA38EF" w:rsidP="00EA38EF">
      <w:pPr>
        <w:pStyle w:val="FootnoteText"/>
        <w:rPr>
          <w:sz w:val="26"/>
          <w:szCs w:val="26"/>
        </w:rPr>
      </w:pPr>
      <w:r w:rsidRPr="008F3397">
        <w:rPr>
          <w:rStyle w:val="FootnoteReference"/>
        </w:rPr>
        <w:footnoteRef/>
      </w:r>
      <w:r w:rsidRPr="00EB686B">
        <w:rPr>
          <w:sz w:val="26"/>
          <w:szCs w:val="26"/>
        </w:rPr>
        <w:t xml:space="preserve"> The FERC Form 580 interrogatory is conducted every two years.  </w:t>
      </w:r>
    </w:p>
  </w:footnote>
  <w:footnote w:id="8">
    <w:p w14:paraId="582EC2F0" w14:textId="77777777" w:rsidR="00EA38EF" w:rsidRDefault="00EA38EF" w:rsidP="00EA38EF">
      <w:pPr>
        <w:pStyle w:val="FootnoteText"/>
      </w:pPr>
      <w:r w:rsidRPr="008F3397">
        <w:rPr>
          <w:rStyle w:val="FootnoteReference"/>
        </w:rPr>
        <w:footnoteRef/>
      </w:r>
      <w:r w:rsidRPr="00EB686B">
        <w:rPr>
          <w:sz w:val="26"/>
          <w:szCs w:val="26"/>
        </w:rPr>
        <w:t xml:space="preserve"> Commission staff estimates that the industry’s average hourly cost for this information collection is approximated by the FERC’s average hourly cost (for wages and benefits) for 2021, or $87.00/hour. </w:t>
      </w:r>
    </w:p>
  </w:footnote>
  <w:footnote w:id="9">
    <w:p w14:paraId="1071CB5A" w14:textId="77777777" w:rsidR="00EA38EF" w:rsidRPr="00C71E55" w:rsidRDefault="00EA38EF" w:rsidP="00EA38EF">
      <w:pPr>
        <w:pStyle w:val="FootnoteText"/>
        <w:rPr>
          <w:sz w:val="26"/>
          <w:szCs w:val="26"/>
        </w:rPr>
      </w:pPr>
      <w:r w:rsidRPr="00C71E55">
        <w:rPr>
          <w:rStyle w:val="FootnoteReference"/>
        </w:rPr>
        <w:footnoteRef/>
      </w:r>
      <w:r w:rsidRPr="00C71E55">
        <w:rPr>
          <w:sz w:val="26"/>
          <w:szCs w:val="26"/>
        </w:rPr>
        <w:t xml:space="preserve"> Fuel Adjustment Clause (FAC)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6FC0" w14:textId="78FA795D" w:rsidR="00F77D5B" w:rsidRDefault="00F77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597F" w14:textId="3C0EEBF5" w:rsidR="00D43B63" w:rsidRDefault="00D43B63" w:rsidP="00810D18">
    <w:pPr>
      <w:pStyle w:val="Header"/>
    </w:pPr>
    <w:r>
      <w:t xml:space="preserve">Docket No. </w:t>
    </w:r>
    <w:r w:rsidR="006050BA">
      <w:t>IC21-39</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6457" w14:textId="40E053C5" w:rsidR="00F77D5B" w:rsidRDefault="00F77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365C"/>
    <w:rsid w:val="00034C49"/>
    <w:rsid w:val="000459B6"/>
    <w:rsid w:val="00056C5D"/>
    <w:rsid w:val="00062427"/>
    <w:rsid w:val="00080D67"/>
    <w:rsid w:val="000836F0"/>
    <w:rsid w:val="000861D3"/>
    <w:rsid w:val="00096CAD"/>
    <w:rsid w:val="000A0250"/>
    <w:rsid w:val="000A7E68"/>
    <w:rsid w:val="000E2568"/>
    <w:rsid w:val="000E4351"/>
    <w:rsid w:val="000F0B0E"/>
    <w:rsid w:val="000F33AE"/>
    <w:rsid w:val="0010087B"/>
    <w:rsid w:val="00112C9F"/>
    <w:rsid w:val="00114167"/>
    <w:rsid w:val="001240C7"/>
    <w:rsid w:val="00126669"/>
    <w:rsid w:val="00126F34"/>
    <w:rsid w:val="0014317D"/>
    <w:rsid w:val="001479DF"/>
    <w:rsid w:val="00150F12"/>
    <w:rsid w:val="0015578A"/>
    <w:rsid w:val="00155DE9"/>
    <w:rsid w:val="00156BBB"/>
    <w:rsid w:val="001600DF"/>
    <w:rsid w:val="00160B1A"/>
    <w:rsid w:val="00164968"/>
    <w:rsid w:val="00167BEB"/>
    <w:rsid w:val="00171725"/>
    <w:rsid w:val="00181BF7"/>
    <w:rsid w:val="00191376"/>
    <w:rsid w:val="00194C4C"/>
    <w:rsid w:val="001A6AD6"/>
    <w:rsid w:val="001B2388"/>
    <w:rsid w:val="001B5451"/>
    <w:rsid w:val="001B78B8"/>
    <w:rsid w:val="001E6510"/>
    <w:rsid w:val="00200437"/>
    <w:rsid w:val="002023A4"/>
    <w:rsid w:val="00221774"/>
    <w:rsid w:val="00224BF2"/>
    <w:rsid w:val="0022783C"/>
    <w:rsid w:val="00254C99"/>
    <w:rsid w:val="0027045E"/>
    <w:rsid w:val="0027452E"/>
    <w:rsid w:val="00275320"/>
    <w:rsid w:val="00282E2B"/>
    <w:rsid w:val="00293D56"/>
    <w:rsid w:val="002A287C"/>
    <w:rsid w:val="002B531B"/>
    <w:rsid w:val="002B7AA8"/>
    <w:rsid w:val="002C654F"/>
    <w:rsid w:val="002D5237"/>
    <w:rsid w:val="002E0351"/>
    <w:rsid w:val="002F24E8"/>
    <w:rsid w:val="002F3841"/>
    <w:rsid w:val="002F3E94"/>
    <w:rsid w:val="002F697A"/>
    <w:rsid w:val="00302F75"/>
    <w:rsid w:val="00303717"/>
    <w:rsid w:val="003060F0"/>
    <w:rsid w:val="003062C2"/>
    <w:rsid w:val="00310EFC"/>
    <w:rsid w:val="00311D90"/>
    <w:rsid w:val="003137DF"/>
    <w:rsid w:val="003149BC"/>
    <w:rsid w:val="00330D48"/>
    <w:rsid w:val="003321DB"/>
    <w:rsid w:val="00334F14"/>
    <w:rsid w:val="00337BA7"/>
    <w:rsid w:val="0034195C"/>
    <w:rsid w:val="00343A03"/>
    <w:rsid w:val="00347056"/>
    <w:rsid w:val="00361371"/>
    <w:rsid w:val="00363638"/>
    <w:rsid w:val="00363F79"/>
    <w:rsid w:val="00364234"/>
    <w:rsid w:val="00364E10"/>
    <w:rsid w:val="003673EC"/>
    <w:rsid w:val="00376525"/>
    <w:rsid w:val="003770B4"/>
    <w:rsid w:val="0038431F"/>
    <w:rsid w:val="003960E0"/>
    <w:rsid w:val="003A1A72"/>
    <w:rsid w:val="003A3189"/>
    <w:rsid w:val="003C3E7A"/>
    <w:rsid w:val="003C5CBE"/>
    <w:rsid w:val="003C7BC3"/>
    <w:rsid w:val="003E44AD"/>
    <w:rsid w:val="003F5968"/>
    <w:rsid w:val="00406999"/>
    <w:rsid w:val="0040718A"/>
    <w:rsid w:val="00425DA2"/>
    <w:rsid w:val="00426898"/>
    <w:rsid w:val="00443282"/>
    <w:rsid w:val="0044338D"/>
    <w:rsid w:val="0045734B"/>
    <w:rsid w:val="004609EE"/>
    <w:rsid w:val="004759C4"/>
    <w:rsid w:val="00485A51"/>
    <w:rsid w:val="004879AA"/>
    <w:rsid w:val="0049480F"/>
    <w:rsid w:val="004B7B57"/>
    <w:rsid w:val="004C70C8"/>
    <w:rsid w:val="004C77EF"/>
    <w:rsid w:val="004D27A2"/>
    <w:rsid w:val="004E4EAD"/>
    <w:rsid w:val="004F26DA"/>
    <w:rsid w:val="005135EF"/>
    <w:rsid w:val="00513DA8"/>
    <w:rsid w:val="00514B50"/>
    <w:rsid w:val="00516493"/>
    <w:rsid w:val="0054073B"/>
    <w:rsid w:val="0054746C"/>
    <w:rsid w:val="005550C5"/>
    <w:rsid w:val="005648E2"/>
    <w:rsid w:val="00566C57"/>
    <w:rsid w:val="0058081B"/>
    <w:rsid w:val="00585F73"/>
    <w:rsid w:val="005A0148"/>
    <w:rsid w:val="005A2F24"/>
    <w:rsid w:val="005A3F56"/>
    <w:rsid w:val="005A7903"/>
    <w:rsid w:val="005A7C58"/>
    <w:rsid w:val="005B4DA4"/>
    <w:rsid w:val="005C0D16"/>
    <w:rsid w:val="005C698C"/>
    <w:rsid w:val="005C6D4E"/>
    <w:rsid w:val="005D16A1"/>
    <w:rsid w:val="005E6D8A"/>
    <w:rsid w:val="005F2C47"/>
    <w:rsid w:val="005F3DAA"/>
    <w:rsid w:val="005F726F"/>
    <w:rsid w:val="005F729D"/>
    <w:rsid w:val="006050BA"/>
    <w:rsid w:val="006128A5"/>
    <w:rsid w:val="006144F3"/>
    <w:rsid w:val="0062085E"/>
    <w:rsid w:val="00634374"/>
    <w:rsid w:val="0063716C"/>
    <w:rsid w:val="006374BA"/>
    <w:rsid w:val="00637ECC"/>
    <w:rsid w:val="00637F43"/>
    <w:rsid w:val="00642602"/>
    <w:rsid w:val="00644A1B"/>
    <w:rsid w:val="00650FA1"/>
    <w:rsid w:val="006536D8"/>
    <w:rsid w:val="00654BA4"/>
    <w:rsid w:val="0066188C"/>
    <w:rsid w:val="00665453"/>
    <w:rsid w:val="00666A01"/>
    <w:rsid w:val="00680D78"/>
    <w:rsid w:val="00692352"/>
    <w:rsid w:val="00695E65"/>
    <w:rsid w:val="006963BC"/>
    <w:rsid w:val="006A34AE"/>
    <w:rsid w:val="006A423E"/>
    <w:rsid w:val="006B6D4E"/>
    <w:rsid w:val="006C261E"/>
    <w:rsid w:val="006C6B0C"/>
    <w:rsid w:val="006D2891"/>
    <w:rsid w:val="006D552E"/>
    <w:rsid w:val="006E10F4"/>
    <w:rsid w:val="006E75AA"/>
    <w:rsid w:val="006E7CBB"/>
    <w:rsid w:val="006F1498"/>
    <w:rsid w:val="006F3647"/>
    <w:rsid w:val="00710170"/>
    <w:rsid w:val="00714F57"/>
    <w:rsid w:val="00727594"/>
    <w:rsid w:val="00727C5E"/>
    <w:rsid w:val="00732110"/>
    <w:rsid w:val="007349A2"/>
    <w:rsid w:val="007356B8"/>
    <w:rsid w:val="00741C80"/>
    <w:rsid w:val="0074219E"/>
    <w:rsid w:val="0075009F"/>
    <w:rsid w:val="00754526"/>
    <w:rsid w:val="00777183"/>
    <w:rsid w:val="0078033F"/>
    <w:rsid w:val="00782ACA"/>
    <w:rsid w:val="00787461"/>
    <w:rsid w:val="007A7330"/>
    <w:rsid w:val="007B588C"/>
    <w:rsid w:val="007C1916"/>
    <w:rsid w:val="007C6AC2"/>
    <w:rsid w:val="007C729C"/>
    <w:rsid w:val="007D3493"/>
    <w:rsid w:val="007E2F40"/>
    <w:rsid w:val="007F64F2"/>
    <w:rsid w:val="0080267E"/>
    <w:rsid w:val="00803CA2"/>
    <w:rsid w:val="00807CAC"/>
    <w:rsid w:val="00810D18"/>
    <w:rsid w:val="008115BF"/>
    <w:rsid w:val="00812B30"/>
    <w:rsid w:val="00821DAB"/>
    <w:rsid w:val="00824D81"/>
    <w:rsid w:val="00836DF9"/>
    <w:rsid w:val="00837AAB"/>
    <w:rsid w:val="0084158A"/>
    <w:rsid w:val="00847229"/>
    <w:rsid w:val="00852164"/>
    <w:rsid w:val="00853ABC"/>
    <w:rsid w:val="0085755E"/>
    <w:rsid w:val="00872AB9"/>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123"/>
    <w:rsid w:val="008E7400"/>
    <w:rsid w:val="008F3397"/>
    <w:rsid w:val="00901C05"/>
    <w:rsid w:val="0090337D"/>
    <w:rsid w:val="009179E9"/>
    <w:rsid w:val="00937284"/>
    <w:rsid w:val="00940C0F"/>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1585A"/>
    <w:rsid w:val="00A2534D"/>
    <w:rsid w:val="00A2604E"/>
    <w:rsid w:val="00A311A8"/>
    <w:rsid w:val="00A43A4A"/>
    <w:rsid w:val="00A507F0"/>
    <w:rsid w:val="00A664DF"/>
    <w:rsid w:val="00A713D0"/>
    <w:rsid w:val="00A72814"/>
    <w:rsid w:val="00A759B3"/>
    <w:rsid w:val="00A82A29"/>
    <w:rsid w:val="00A8344E"/>
    <w:rsid w:val="00A8690F"/>
    <w:rsid w:val="00A86D9E"/>
    <w:rsid w:val="00AA4050"/>
    <w:rsid w:val="00AA516A"/>
    <w:rsid w:val="00AA5B0E"/>
    <w:rsid w:val="00AB1D59"/>
    <w:rsid w:val="00AC750B"/>
    <w:rsid w:val="00AC77B8"/>
    <w:rsid w:val="00AD4128"/>
    <w:rsid w:val="00AE1F12"/>
    <w:rsid w:val="00AE3783"/>
    <w:rsid w:val="00AE3A78"/>
    <w:rsid w:val="00AE4155"/>
    <w:rsid w:val="00AE4B7C"/>
    <w:rsid w:val="00AE6F5C"/>
    <w:rsid w:val="00AF349B"/>
    <w:rsid w:val="00B01B16"/>
    <w:rsid w:val="00B13EE3"/>
    <w:rsid w:val="00B22DCB"/>
    <w:rsid w:val="00B2382E"/>
    <w:rsid w:val="00B34A0B"/>
    <w:rsid w:val="00B4161E"/>
    <w:rsid w:val="00B447D7"/>
    <w:rsid w:val="00B46E93"/>
    <w:rsid w:val="00B46F03"/>
    <w:rsid w:val="00B5066A"/>
    <w:rsid w:val="00B55B8C"/>
    <w:rsid w:val="00B56882"/>
    <w:rsid w:val="00B65A09"/>
    <w:rsid w:val="00B76A1F"/>
    <w:rsid w:val="00B82F8C"/>
    <w:rsid w:val="00B961C3"/>
    <w:rsid w:val="00BA0FBC"/>
    <w:rsid w:val="00BA218C"/>
    <w:rsid w:val="00BA5479"/>
    <w:rsid w:val="00BB179A"/>
    <w:rsid w:val="00BB207A"/>
    <w:rsid w:val="00BB7D82"/>
    <w:rsid w:val="00BC200B"/>
    <w:rsid w:val="00BD74AE"/>
    <w:rsid w:val="00BE3392"/>
    <w:rsid w:val="00BE3FE7"/>
    <w:rsid w:val="00BF29D8"/>
    <w:rsid w:val="00BF2D74"/>
    <w:rsid w:val="00BF38BC"/>
    <w:rsid w:val="00BF4CC8"/>
    <w:rsid w:val="00BF7AC7"/>
    <w:rsid w:val="00C1124F"/>
    <w:rsid w:val="00C237F7"/>
    <w:rsid w:val="00C341D4"/>
    <w:rsid w:val="00C37BFF"/>
    <w:rsid w:val="00C44372"/>
    <w:rsid w:val="00C51458"/>
    <w:rsid w:val="00C53580"/>
    <w:rsid w:val="00C55838"/>
    <w:rsid w:val="00C55F30"/>
    <w:rsid w:val="00C71E55"/>
    <w:rsid w:val="00C728C5"/>
    <w:rsid w:val="00C77EF7"/>
    <w:rsid w:val="00C80A6C"/>
    <w:rsid w:val="00C81A97"/>
    <w:rsid w:val="00C820F1"/>
    <w:rsid w:val="00C91512"/>
    <w:rsid w:val="00CA6636"/>
    <w:rsid w:val="00CA6D76"/>
    <w:rsid w:val="00CB7448"/>
    <w:rsid w:val="00CB769C"/>
    <w:rsid w:val="00CC431F"/>
    <w:rsid w:val="00CD37C7"/>
    <w:rsid w:val="00CD57EB"/>
    <w:rsid w:val="00CD5C97"/>
    <w:rsid w:val="00CD786C"/>
    <w:rsid w:val="00CE02ED"/>
    <w:rsid w:val="00CE3598"/>
    <w:rsid w:val="00CF4753"/>
    <w:rsid w:val="00CF71E0"/>
    <w:rsid w:val="00D0083B"/>
    <w:rsid w:val="00D42209"/>
    <w:rsid w:val="00D43B63"/>
    <w:rsid w:val="00D44183"/>
    <w:rsid w:val="00D50830"/>
    <w:rsid w:val="00D65D56"/>
    <w:rsid w:val="00D932E2"/>
    <w:rsid w:val="00D9761F"/>
    <w:rsid w:val="00DA529F"/>
    <w:rsid w:val="00DC5017"/>
    <w:rsid w:val="00DD18FF"/>
    <w:rsid w:val="00DD2ED3"/>
    <w:rsid w:val="00DD7F1B"/>
    <w:rsid w:val="00DE09FF"/>
    <w:rsid w:val="00E024B6"/>
    <w:rsid w:val="00E13A02"/>
    <w:rsid w:val="00E31680"/>
    <w:rsid w:val="00E34382"/>
    <w:rsid w:val="00E3662E"/>
    <w:rsid w:val="00E41DB9"/>
    <w:rsid w:val="00E655BE"/>
    <w:rsid w:val="00E74266"/>
    <w:rsid w:val="00E75CE9"/>
    <w:rsid w:val="00E762BB"/>
    <w:rsid w:val="00E77B33"/>
    <w:rsid w:val="00E808B6"/>
    <w:rsid w:val="00E8661B"/>
    <w:rsid w:val="00E91FD5"/>
    <w:rsid w:val="00E92E09"/>
    <w:rsid w:val="00EA38EF"/>
    <w:rsid w:val="00EA6337"/>
    <w:rsid w:val="00EA689F"/>
    <w:rsid w:val="00EB119D"/>
    <w:rsid w:val="00EB686B"/>
    <w:rsid w:val="00EB749E"/>
    <w:rsid w:val="00EF1D00"/>
    <w:rsid w:val="00EF2866"/>
    <w:rsid w:val="00EF33BE"/>
    <w:rsid w:val="00F0383C"/>
    <w:rsid w:val="00F0669A"/>
    <w:rsid w:val="00F11631"/>
    <w:rsid w:val="00F12A43"/>
    <w:rsid w:val="00F24AB0"/>
    <w:rsid w:val="00F309CB"/>
    <w:rsid w:val="00F30C2D"/>
    <w:rsid w:val="00F3319C"/>
    <w:rsid w:val="00F33E2E"/>
    <w:rsid w:val="00F44A0E"/>
    <w:rsid w:val="00F60C79"/>
    <w:rsid w:val="00F62A51"/>
    <w:rsid w:val="00F77D5B"/>
    <w:rsid w:val="00F8646E"/>
    <w:rsid w:val="00F9675E"/>
    <w:rsid w:val="00FC3F00"/>
    <w:rsid w:val="00FD4F1F"/>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PRAMa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eginfo.gov/public/do/PRAMain"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2021-11-26T05:00:00.000Z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IC21-39</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9E56C1EF-A685-475E-BE6F-0EFC41A6B334}">
  <ds:schemaRefs>
    <ds:schemaRef ds:uri="http://schemas.openxmlformats.org/officeDocument/2006/bibliography"/>
  </ds:schemaRefs>
</ds:datastoreItem>
</file>

<file path=customXml/itemProps2.xml><?xml version="1.0" encoding="utf-8"?>
<ds:datastoreItem xmlns:ds="http://schemas.openxmlformats.org/officeDocument/2006/customXml" ds:itemID="{5BBB1DD4-8130-4FE7-964C-24C804F058D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966F4D67-331A-42EA-8C0B-97B97406AD33}">
  <ds:schemaRefs>
    <ds:schemaRef ds:uri="Microsoft.SharePoint.Taxonomy.ContentTypeSync"/>
  </ds:schemaRefs>
</ds:datastoreItem>
</file>

<file path=customXml/itemProps5.xml><?xml version="1.0" encoding="utf-8"?>
<ds:datastoreItem xmlns:ds="http://schemas.openxmlformats.org/officeDocument/2006/customXml" ds:itemID="{EFB833A0-BB46-4187-A68E-48E16794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5EEFD0-B5CE-42AE-97F5-FFC02B54644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cp:lastPrinted>2016-12-20T13:40:00Z</cp:lastPrinted>
  <dcterms:created xsi:type="dcterms:W3CDTF">2021-11-26T18:24:00Z</dcterms:created>
  <dcterms:modified xsi:type="dcterms:W3CDTF">2021-11-26T18:25:00Z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2021-11-26T18:24:25Z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43174e19-7384-4d6c-aea8-bd79be50254d</vt:lpwstr>
  </property>
  <property fmtid="{D5CDD505-2E9C-101B-9397-08002B2CF9AE}" pid="8" name="MSIP_Label_6155a89b-0f08-4a93-8ea2-8a916d6643b5_ContentBits">
    <vt:lpwstr>0</vt:lpwstr>
  </property>
  <property fmtid="{D5CDD505-2E9C-101B-9397-08002B2CF9AE}" pid="9" name="ContentTypeId">
    <vt:lpwstr>0x0101001EA51C0686BDB848B772F285AB6866B0</vt:lpwstr>
  </property>
</Properties>
</file>