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7EA6" w:rsidR="008A0DF5" w:rsidP="003846B9" w:rsidRDefault="00F5644F" w14:paraId="3660635E" w14:textId="56C1F38B">
      <w:pPr>
        <w:jc w:val="center"/>
        <w:rPr>
          <w:b/>
          <w:bCs/>
        </w:rPr>
      </w:pPr>
      <w:r>
        <w:rPr>
          <w:b/>
          <w:bCs/>
        </w:rPr>
        <w:t>S</w:t>
      </w:r>
      <w:r w:rsidRPr="00147EA6" w:rsidR="008A0DF5">
        <w:rPr>
          <w:b/>
          <w:bCs/>
        </w:rPr>
        <w:t>UPPORTING STATEMENT</w:t>
      </w:r>
      <w:r w:rsidRPr="00147EA6" w:rsidR="008A0DF5">
        <w:rPr>
          <w:b/>
          <w:bCs/>
        </w:rPr>
        <w:br/>
        <w:t>ENVIRONMENTAL PROTECTION AGENCY</w:t>
      </w:r>
    </w:p>
    <w:p w:rsidRPr="00147EA6" w:rsidR="008A0DF5" w:rsidP="003846B9" w:rsidRDefault="008A0DF5" w14:paraId="2AD0E8B6" w14:textId="77777777">
      <w:pPr>
        <w:jc w:val="center"/>
        <w:rPr>
          <w:b/>
          <w:bCs/>
        </w:rPr>
      </w:pPr>
    </w:p>
    <w:p w:rsidR="008A0DF5" w:rsidP="003846B9" w:rsidRDefault="008A0DF5" w14:paraId="2B7C669C" w14:textId="13E9ABC3">
      <w:pPr>
        <w:jc w:val="center"/>
        <w:rPr>
          <w:b/>
        </w:rPr>
      </w:pPr>
      <w:r>
        <w:rPr>
          <w:b/>
        </w:rPr>
        <w:t>NESHAP for Flexible Polyurethane Foam Fabrication</w:t>
      </w:r>
      <w:r>
        <w:rPr>
          <w:b/>
        </w:rPr>
        <w:br/>
        <w:t>(40 CFR Part</w:t>
      </w:r>
      <w:r w:rsidR="0018669F">
        <w:rPr>
          <w:b/>
        </w:rPr>
        <w:t> </w:t>
      </w:r>
      <w:r>
        <w:rPr>
          <w:b/>
        </w:rPr>
        <w:t>63, Subpart</w:t>
      </w:r>
      <w:r w:rsidR="0018669F">
        <w:rPr>
          <w:b/>
        </w:rPr>
        <w:t> </w:t>
      </w:r>
      <w:r>
        <w:rPr>
          <w:b/>
        </w:rPr>
        <w:t>MMMMM)</w:t>
      </w:r>
      <w:r>
        <w:rPr>
          <w:b/>
        </w:rPr>
        <w:br/>
        <w:t>Residual Risk and Technology Review</w:t>
      </w:r>
    </w:p>
    <w:p w:rsidR="008A0DF5" w:rsidP="003846B9" w:rsidRDefault="008A0DF5" w14:paraId="0AF3646D" w14:textId="77777777">
      <w:pPr>
        <w:jc w:val="center"/>
      </w:pPr>
    </w:p>
    <w:p w:rsidR="008A0DF5" w:rsidP="00694400" w:rsidRDefault="008A0DF5" w14:paraId="076E9BA7" w14:textId="3BD8E5C4">
      <w:pPr>
        <w:pStyle w:val="Heading1"/>
        <w:rPr>
          <w:spacing w:val="-3"/>
        </w:rPr>
      </w:pPr>
      <w:r>
        <w:t>1.</w:t>
      </w:r>
      <w:r>
        <w:tab/>
        <w:t xml:space="preserve">Identification of the Information </w:t>
      </w:r>
      <w:r>
        <w:rPr>
          <w:spacing w:val="-3"/>
        </w:rPr>
        <w:t>Collection</w:t>
      </w:r>
    </w:p>
    <w:p w:rsidR="008A0DF5" w:rsidP="00CF7846" w:rsidRDefault="008A0DF5" w14:paraId="34958305" w14:textId="7B2658C6">
      <w:pPr>
        <w:pStyle w:val="Heading2"/>
        <w:tabs>
          <w:tab w:val="right" w:pos="9360"/>
        </w:tabs>
      </w:pPr>
      <w:r>
        <w:t>1(a) Title of the Information</w:t>
      </w:r>
      <w:r>
        <w:rPr>
          <w:spacing w:val="-10"/>
        </w:rPr>
        <w:t xml:space="preserve"> </w:t>
      </w:r>
      <w:r>
        <w:t>Collection</w:t>
      </w:r>
      <w:r w:rsidR="00CF7846">
        <w:tab/>
      </w:r>
    </w:p>
    <w:p w:rsidR="008A0DF5" w:rsidP="00147EA6" w:rsidRDefault="008A0DF5" w14:paraId="3B36CBBE" w14:textId="5C1A61CA">
      <w:pPr>
        <w:pStyle w:val="BodyText"/>
        <w:ind w:firstLine="0"/>
      </w:pPr>
      <w:r>
        <w:t>NESHAP for Flexible Polyurethane Foam Fabrication (40 CFR Part</w:t>
      </w:r>
      <w:r w:rsidR="0018669F">
        <w:t> </w:t>
      </w:r>
      <w:r>
        <w:t>63, Subpart</w:t>
      </w:r>
      <w:r w:rsidR="001366C7">
        <w:t> </w:t>
      </w:r>
      <w:r>
        <w:t>MMMMM) Residual Risk and Technology Review, EPA ICR Number</w:t>
      </w:r>
      <w:r w:rsidR="0018669F">
        <w:t> </w:t>
      </w:r>
      <w:r>
        <w:t>2027.</w:t>
      </w:r>
      <w:r w:rsidR="00CF7846">
        <w:t>10</w:t>
      </w:r>
      <w:r>
        <w:t>, OMB Control Number</w:t>
      </w:r>
      <w:r w:rsidR="001366C7">
        <w:t> </w:t>
      </w:r>
      <w:r>
        <w:t>2060-0516.</w:t>
      </w:r>
    </w:p>
    <w:p w:rsidR="008A0DF5" w:rsidP="00147EA6" w:rsidRDefault="008A0DF5" w14:paraId="02695B27" w14:textId="77777777">
      <w:pPr>
        <w:pStyle w:val="Heading2"/>
      </w:pPr>
      <w:r>
        <w:t>1(b) Short Characterization/Abstract</w:t>
      </w:r>
    </w:p>
    <w:p w:rsidR="008A0DF5" w:rsidP="00147EA6" w:rsidRDefault="00794B4E" w14:paraId="40749FC2" w14:textId="2B392750">
      <w:pPr>
        <w:pStyle w:val="BodyText"/>
      </w:pPr>
      <w:r>
        <w:t>This supporting statement addresses information collection activities that will be imposed by amendments to t</w:t>
      </w:r>
      <w:r w:rsidR="008A0DF5">
        <w:t xml:space="preserve">he National Emission Standards for Hazardous Air Pollutants (NESHAP) for </w:t>
      </w:r>
      <w:r>
        <w:t xml:space="preserve">the </w:t>
      </w:r>
      <w:r w:rsidR="008A0DF5">
        <w:t>Flexible Polyurethane Foam Fabrication</w:t>
      </w:r>
      <w:r w:rsidR="00706DEE">
        <w:t xml:space="preserve"> Operations</w:t>
      </w:r>
      <w:r w:rsidR="008A0DF5">
        <w:t xml:space="preserve"> </w:t>
      </w:r>
      <w:r>
        <w:t xml:space="preserve">source category, </w:t>
      </w:r>
      <w:r w:rsidR="008A0DF5">
        <w:t xml:space="preserve">40 CFR </w:t>
      </w:r>
      <w:r>
        <w:t>p</w:t>
      </w:r>
      <w:r w:rsidR="008A0DF5">
        <w:t>art</w:t>
      </w:r>
      <w:r w:rsidR="0018669F">
        <w:t> </w:t>
      </w:r>
      <w:r w:rsidR="008A0DF5">
        <w:t xml:space="preserve">63, </w:t>
      </w:r>
      <w:r>
        <w:t>s</w:t>
      </w:r>
      <w:r w:rsidR="008A0DF5">
        <w:t>ubpart MMMMM</w:t>
      </w:r>
      <w:r>
        <w:t xml:space="preserve">, referred to as the Flexible Foam Fabrication </w:t>
      </w:r>
      <w:r w:rsidR="00706DEE">
        <w:t>Operations NESHAP</w:t>
      </w:r>
      <w:r>
        <w:t xml:space="preserve">. </w:t>
      </w:r>
      <w:r w:rsidR="00F06D34">
        <w:t xml:space="preserve">These amendments were proposed by notice published in the </w:t>
      </w:r>
      <w:r w:rsidRPr="00BF658F" w:rsidR="00F06D34">
        <w:rPr>
          <w:i/>
          <w:iCs/>
        </w:rPr>
        <w:t>Federal Register</w:t>
      </w:r>
      <w:r w:rsidR="00F06D34">
        <w:t xml:space="preserve"> on January 11, 2021 (86 FR 1868).</w:t>
      </w:r>
      <w:r>
        <w:t xml:space="preserve">The </w:t>
      </w:r>
      <w:r w:rsidR="00F06D34">
        <w:t xml:space="preserve">original </w:t>
      </w:r>
      <w:r>
        <w:t xml:space="preserve">Flexible Foam Fabrication </w:t>
      </w:r>
      <w:r w:rsidR="00706DEE">
        <w:t>NESHAP</w:t>
      </w:r>
      <w:r>
        <w:t xml:space="preserve"> standards </w:t>
      </w:r>
      <w:r w:rsidR="008A0DF5">
        <w:t>were proposed on August</w:t>
      </w:r>
      <w:r w:rsidR="00B9431F">
        <w:t> </w:t>
      </w:r>
      <w:r w:rsidR="008A0DF5">
        <w:t>8, 2001 (66 FR</w:t>
      </w:r>
      <w:r w:rsidR="0018669F">
        <w:t> </w:t>
      </w:r>
      <w:r w:rsidR="008A0DF5">
        <w:t>41729), promulgated on April</w:t>
      </w:r>
      <w:r w:rsidR="0018669F">
        <w:t> </w:t>
      </w:r>
      <w:r w:rsidR="008A0DF5">
        <w:t>14, 2003 (68 FR</w:t>
      </w:r>
      <w:r w:rsidR="0018669F">
        <w:t> </w:t>
      </w:r>
      <w:r w:rsidR="008A0DF5">
        <w:t>18062), and amended on April</w:t>
      </w:r>
      <w:r w:rsidR="0018669F">
        <w:t> </w:t>
      </w:r>
      <w:r w:rsidR="008A0DF5">
        <w:t>20, 2006 (71 FR</w:t>
      </w:r>
      <w:r w:rsidR="0018669F">
        <w:t> </w:t>
      </w:r>
      <w:r w:rsidR="008A0DF5">
        <w:t xml:space="preserve">20470). This subpart applies to each existing, new, or reconstructed affected source at facilities engaged in flexible polyurethane foam fabrication. For the purpose of the rule, flexible polyurethane foam fabrication is further divided into the following two </w:t>
      </w:r>
      <w:r w:rsidR="00AF5BFA">
        <w:t>types of affected sources</w:t>
      </w:r>
      <w:r w:rsidR="008A0DF5">
        <w:t>: 1)</w:t>
      </w:r>
      <w:r w:rsidR="0018669F">
        <w:t> </w:t>
      </w:r>
      <w:r w:rsidR="008A0DF5">
        <w:t>loop slitter adhesive use; and 2)</w:t>
      </w:r>
      <w:r w:rsidR="0018669F">
        <w:t> </w:t>
      </w:r>
      <w:r w:rsidR="008A0DF5">
        <w:t>flame lamination. New facilities include those that commenced construction, modification, or reconstruction after August</w:t>
      </w:r>
      <w:r w:rsidR="0018669F">
        <w:t> </w:t>
      </w:r>
      <w:r w:rsidR="008A0DF5">
        <w:t>8, 2001. This information is being collected to assure compliance with 40 CFR Part</w:t>
      </w:r>
      <w:r w:rsidR="0018669F">
        <w:t> </w:t>
      </w:r>
      <w:r w:rsidR="008A0DF5">
        <w:t>63, Subpart</w:t>
      </w:r>
      <w:r w:rsidR="00955285">
        <w:rPr>
          <w:spacing w:val="-9"/>
        </w:rPr>
        <w:t> </w:t>
      </w:r>
      <w:r w:rsidR="008A0DF5">
        <w:t>MMMMM.</w:t>
      </w:r>
    </w:p>
    <w:p w:rsidRPr="00794B4E" w:rsidR="00794B4E" w:rsidP="00794B4E" w:rsidRDefault="00794B4E" w14:paraId="53E568DC" w14:textId="1848A6EB">
      <w:pPr>
        <w:pStyle w:val="BodyText"/>
      </w:pPr>
      <w:r>
        <w:t xml:space="preserve">As </w:t>
      </w:r>
      <w:r w:rsidRPr="00794B4E">
        <w:t xml:space="preserve">part of the residual risk and technology reviews (RTR) for the NESHAP, the Environmental Protection Agency (EPA) </w:t>
      </w:r>
      <w:r w:rsidR="00984B81">
        <w:t xml:space="preserve">is amending the rule </w:t>
      </w:r>
      <w:r w:rsidRPr="00794B4E">
        <w:t>to</w:t>
      </w:r>
      <w:r w:rsidR="00CF701B">
        <w:t>:</w:t>
      </w:r>
      <w:r w:rsidRPr="00794B4E">
        <w:t xml:space="preserve"> </w:t>
      </w:r>
      <w:bookmarkStart w:name="_Hlk76044307" w:id="0"/>
      <w:r w:rsidRPr="00794B4E">
        <w:t>correct and clarify regulatory provisions related to emissions during periods of startup, shutdown, and malfunction</w:t>
      </w:r>
      <w:r w:rsidR="00FB2F55">
        <w:t xml:space="preserve"> (SSM)</w:t>
      </w:r>
      <w:r w:rsidRPr="00794B4E">
        <w:t xml:space="preserve">; add requirements for electronic reporting of performance test results and other compliance-related reports; include additional requirements for applicability/compliance performance testing; and add </w:t>
      </w:r>
      <w:r>
        <w:t xml:space="preserve">an emission limitation </w:t>
      </w:r>
      <w:r w:rsidRPr="00794B4E">
        <w:t xml:space="preserve">for specified affected sources. </w:t>
      </w:r>
      <w:bookmarkEnd w:id="0"/>
      <w:r w:rsidRPr="00794B4E">
        <w:t>This information collection request documents the recordkeeping and reporting requirements and burden imposed by these amendments.</w:t>
      </w:r>
    </w:p>
    <w:p w:rsidR="0026086F" w:rsidP="0026086F" w:rsidRDefault="008A0DF5" w14:paraId="76FC3305" w14:textId="77777777">
      <w:pPr>
        <w:pStyle w:val="BodyText"/>
      </w:pPr>
      <w:r>
        <w:t>In general, all NESHAP standards require initial notification reports, performance tests, and periodic reports by the owners/operators of the affected facilities. These notifications, reports, and records are essential in determining compliance and are required of all affected facilities subject to the NESHAP</w:t>
      </w:r>
      <w:r w:rsidR="0026086F">
        <w:t>.</w:t>
      </w:r>
    </w:p>
    <w:p w:rsidRPr="0026086F" w:rsidR="00D036D7" w:rsidP="0026086F" w:rsidRDefault="00D036D7" w14:paraId="092B6DDB" w14:textId="0B8A52C5">
      <w:pPr>
        <w:pStyle w:val="BodyText"/>
      </w:pPr>
      <w:r w:rsidRPr="0026086F">
        <w:rPr>
          <w:shd w:val="clear" w:color="auto" w:fill="FFFFFF"/>
        </w:rPr>
        <w:lastRenderedPageBreak/>
        <w:t>Any owner/operator subject to the provisions of this part shall maintain a file of these measurements and retain the file for at least </w:t>
      </w:r>
      <w:r w:rsidRPr="0026086F">
        <w:t>5 years following the date of such measurements, maintenance reports, and records.</w:t>
      </w:r>
      <w:r w:rsidR="0026086F">
        <w:t xml:space="preserve"> </w:t>
      </w:r>
      <w:r w:rsidRPr="0026086F">
        <w:t>All reports required to be submitted electronically are s</w:t>
      </w:r>
      <w:r w:rsidRPr="0026086F">
        <w:rPr>
          <w:shd w:val="clear" w:color="auto" w:fill="FFFFFF"/>
        </w:rPr>
        <w:t>ubmitted</w:t>
      </w:r>
      <w:r w:rsidR="0026086F">
        <w:rPr>
          <w:shd w:val="clear" w:color="auto" w:fill="FFFFFF"/>
        </w:rPr>
        <w:t xml:space="preserve"> </w:t>
      </w:r>
      <w:r w:rsidRPr="0026086F">
        <w:rPr>
          <w:shd w:val="clear" w:color="auto" w:fill="FFFFFF"/>
        </w:rPr>
        <w:t>through the EPA's Central Data Exchange (CDX), using the Compliance and Emissions Data Reporting Interface (CEDRI), where</w:t>
      </w:r>
      <w:r w:rsidR="0026086F">
        <w:rPr>
          <w:shd w:val="clear" w:color="auto" w:fill="FFFFFF"/>
        </w:rPr>
        <w:t xml:space="preserve"> </w:t>
      </w:r>
      <w:r w:rsidRPr="0026086F">
        <w:rPr>
          <w:shd w:val="clear" w:color="auto" w:fill="FFFFFF"/>
        </w:rPr>
        <w:t>the delegated state or</w:t>
      </w:r>
      <w:r w:rsidR="0026086F">
        <w:rPr>
          <w:shd w:val="clear" w:color="auto" w:fill="FFFFFF"/>
        </w:rPr>
        <w:t xml:space="preserve"> </w:t>
      </w:r>
      <w:r w:rsidRPr="0026086F">
        <w:rPr>
          <w:shd w:val="clear" w:color="auto" w:fill="FFFFFF"/>
        </w:rPr>
        <w:t>local</w:t>
      </w:r>
      <w:r w:rsidR="0026086F">
        <w:rPr>
          <w:shd w:val="clear" w:color="auto" w:fill="FFFFFF"/>
        </w:rPr>
        <w:t xml:space="preserve"> </w:t>
      </w:r>
      <w:r w:rsidRPr="0026086F">
        <w:rPr>
          <w:shd w:val="clear" w:color="auto" w:fill="FFFFFF"/>
        </w:rPr>
        <w:t>authority</w:t>
      </w:r>
      <w:r w:rsidR="0026086F">
        <w:rPr>
          <w:shd w:val="clear" w:color="auto" w:fill="FFFFFF"/>
        </w:rPr>
        <w:t xml:space="preserve"> </w:t>
      </w:r>
      <w:r w:rsidRPr="0026086F">
        <w:rPr>
          <w:shd w:val="clear" w:color="auto" w:fill="FFFFFF"/>
        </w:rPr>
        <w:t>can review them.</w:t>
      </w:r>
      <w:r w:rsidR="0026086F">
        <w:rPr>
          <w:shd w:val="clear" w:color="auto" w:fill="FFFFFF"/>
        </w:rPr>
        <w:t xml:space="preserve"> </w:t>
      </w:r>
      <w:r w:rsidRPr="0026086F">
        <w:rPr>
          <w:shd w:val="clear" w:color="auto" w:fill="FFFFFF"/>
        </w:rPr>
        <w:t>In the event that there is no such delegated authority, the</w:t>
      </w:r>
      <w:r w:rsidR="0026086F">
        <w:rPr>
          <w:shd w:val="clear" w:color="auto" w:fill="FFFFFF"/>
        </w:rPr>
        <w:t xml:space="preserve"> </w:t>
      </w:r>
      <w:r w:rsidRPr="0026086F">
        <w:rPr>
          <w:shd w:val="clear" w:color="auto" w:fill="FFFFFF"/>
        </w:rPr>
        <w:t>EPA regional</w:t>
      </w:r>
      <w:r w:rsidR="0026086F">
        <w:rPr>
          <w:shd w:val="clear" w:color="auto" w:fill="FFFFFF"/>
        </w:rPr>
        <w:t xml:space="preserve"> </w:t>
      </w:r>
      <w:r w:rsidRPr="0026086F">
        <w:rPr>
          <w:shd w:val="clear" w:color="auto" w:fill="FFFFFF"/>
        </w:rPr>
        <w:t>office</w:t>
      </w:r>
      <w:r w:rsidR="0026086F">
        <w:rPr>
          <w:shd w:val="clear" w:color="auto" w:fill="FFFFFF"/>
        </w:rPr>
        <w:t xml:space="preserve"> </w:t>
      </w:r>
      <w:r w:rsidRPr="0026086F">
        <w:rPr>
          <w:shd w:val="clear" w:color="auto" w:fill="FFFFFF"/>
        </w:rPr>
        <w:t xml:space="preserve">can review them. </w:t>
      </w:r>
      <w:r w:rsidRPr="0026086F">
        <w:t>All other reports are s</w:t>
      </w:r>
      <w:r w:rsidRPr="0026086F">
        <w:rPr>
          <w:shd w:val="clear" w:color="auto" w:fill="FFFFFF"/>
        </w:rPr>
        <w:t>ent to</w:t>
      </w:r>
      <w:r w:rsidR="0026086F">
        <w:rPr>
          <w:shd w:val="clear" w:color="auto" w:fill="FFFFFF"/>
        </w:rPr>
        <w:t xml:space="preserve"> </w:t>
      </w:r>
      <w:r w:rsidRPr="0026086F">
        <w:rPr>
          <w:shd w:val="clear" w:color="auto" w:fill="FFFFFF"/>
        </w:rPr>
        <w:t>the delegated state or</w:t>
      </w:r>
      <w:r w:rsidR="0026086F">
        <w:rPr>
          <w:shd w:val="clear" w:color="auto" w:fill="FFFFFF"/>
        </w:rPr>
        <w:t xml:space="preserve"> </w:t>
      </w:r>
      <w:r w:rsidRPr="0026086F">
        <w:rPr>
          <w:shd w:val="clear" w:color="auto" w:fill="FFFFFF"/>
        </w:rPr>
        <w:t>local</w:t>
      </w:r>
      <w:r w:rsidR="0026086F">
        <w:rPr>
          <w:shd w:val="clear" w:color="auto" w:fill="FFFFFF"/>
        </w:rPr>
        <w:t xml:space="preserve"> </w:t>
      </w:r>
      <w:r w:rsidRPr="0026086F">
        <w:rPr>
          <w:shd w:val="clear" w:color="auto" w:fill="FFFFFF"/>
        </w:rPr>
        <w:t>authority.</w:t>
      </w:r>
      <w:r w:rsidR="0026086F">
        <w:rPr>
          <w:shd w:val="clear" w:color="auto" w:fill="FFFFFF"/>
        </w:rPr>
        <w:t xml:space="preserve"> </w:t>
      </w:r>
      <w:r w:rsidRPr="0026086F">
        <w:rPr>
          <w:shd w:val="clear" w:color="auto" w:fill="FFFFFF"/>
        </w:rPr>
        <w:t>In the event that there is no such delegated authority, the</w:t>
      </w:r>
      <w:r w:rsidR="0026086F">
        <w:rPr>
          <w:shd w:val="clear" w:color="auto" w:fill="FFFFFF"/>
        </w:rPr>
        <w:t xml:space="preserve"> </w:t>
      </w:r>
      <w:r w:rsidRPr="0026086F">
        <w:rPr>
          <w:shd w:val="clear" w:color="auto" w:fill="FFFFFF"/>
        </w:rPr>
        <w:t>reports are sent directly to the</w:t>
      </w:r>
      <w:r w:rsidR="0026086F">
        <w:rPr>
          <w:shd w:val="clear" w:color="auto" w:fill="FFFFFF"/>
        </w:rPr>
        <w:t xml:space="preserve"> </w:t>
      </w:r>
      <w:r w:rsidR="0059594F">
        <w:rPr>
          <w:shd w:val="clear" w:color="auto" w:fill="FFFFFF"/>
        </w:rPr>
        <w:t xml:space="preserve">appropriate </w:t>
      </w:r>
      <w:r w:rsidRPr="0026086F">
        <w:rPr>
          <w:shd w:val="clear" w:color="auto" w:fill="FFFFFF"/>
        </w:rPr>
        <w:t>EPA regional office.</w:t>
      </w:r>
      <w:r w:rsidR="0026086F">
        <w:rPr>
          <w:shd w:val="clear" w:color="auto" w:fill="FFFFFF"/>
        </w:rPr>
        <w:t xml:space="preserve"> </w:t>
      </w:r>
      <w:r w:rsidRPr="0026086F">
        <w:rPr>
          <w:shd w:val="clear" w:color="auto" w:fill="FFFFFF"/>
        </w:rPr>
        <w:t>The use of the term "Designated Administrator" throughout this document refers to the U.S. EPA or a delegated authority such as a state agency. The term "Administrator" alone refers to the U.S. EPA Administrator.</w:t>
      </w:r>
    </w:p>
    <w:p w:rsidR="008041F8" w:rsidP="00147EA6" w:rsidRDefault="00A46B57" w14:paraId="43E4C277" w14:textId="2E1645C7">
      <w:pPr>
        <w:pStyle w:val="BodyText"/>
      </w:pPr>
      <w:r>
        <w:t>Based on our consultations with the Polyurethane Foam Association (PFA), our search of the Nation</w:t>
      </w:r>
      <w:r w:rsidR="0018669F">
        <w:t>al</w:t>
      </w:r>
      <w:r>
        <w:t xml:space="preserve"> Emissions Inventory (NEI), and a review of active air emissions permits, we estimate that there are </w:t>
      </w:r>
      <w:r w:rsidR="0018669F">
        <w:t>three</w:t>
      </w:r>
      <w:r>
        <w:t xml:space="preserve"> flexible polyurethane foam fabrication facilities operating in the U.S. subject to the requirements of the Flexible Polyurethane Foam Fabrication Operations NESHAP. </w:t>
      </w:r>
      <w:r w:rsidR="00706DEE">
        <w:t xml:space="preserve">All existing respondents </w:t>
      </w:r>
      <w:r w:rsidR="00AF5BFA">
        <w:t>have</w:t>
      </w:r>
      <w:r w:rsidR="00706DEE">
        <w:t xml:space="preserve"> loop slitting </w:t>
      </w:r>
      <w:r w:rsidR="00AF5BFA">
        <w:t xml:space="preserve">affected </w:t>
      </w:r>
      <w:r w:rsidR="00706DEE">
        <w:t>sources with two of three respondents also having flame lamination operations</w:t>
      </w:r>
      <w:r w:rsidR="00AF5BFA">
        <w:t xml:space="preserve"> affected sources</w:t>
      </w:r>
      <w:r w:rsidR="00706DEE">
        <w:t xml:space="preserve">. </w:t>
      </w:r>
      <w:r>
        <w:t>A complete list of facilities subject to the Flexible Polyurethane Foam Fabrication Operations NESHAP is available in the risk assessment modeling file, available for review in the docket (Docket ID No.</w:t>
      </w:r>
      <w:r w:rsidR="0018669F">
        <w:t> </w:t>
      </w:r>
      <w:r>
        <w:t xml:space="preserve">EPA-HQ-OAR-2020-0572). </w:t>
      </w:r>
      <w:r w:rsidR="00706DEE">
        <w:t>We expect that no facilities would be constructed or modified within 3 years after promulgation of the rule. Therefore, o</w:t>
      </w:r>
      <w:r>
        <w:t xml:space="preserve">ver the next </w:t>
      </w:r>
      <w:r w:rsidR="00706DEE">
        <w:t>3 </w:t>
      </w:r>
      <w:r>
        <w:t xml:space="preserve">years, </w:t>
      </w:r>
      <w:r w:rsidR="005B1A5A">
        <w:t xml:space="preserve">we estimate that </w:t>
      </w:r>
      <w:r w:rsidR="0018669F">
        <w:t xml:space="preserve">three </w:t>
      </w:r>
      <w:r>
        <w:t xml:space="preserve">respondents per year will be subject to these standards, and </w:t>
      </w:r>
      <w:r w:rsidR="00972505">
        <w:t xml:space="preserve">the total labor, capital, and operations and maintenance costs imposed by the amendments will </w:t>
      </w:r>
      <w:r w:rsidR="005B1A5A">
        <w:t xml:space="preserve">average to </w:t>
      </w:r>
      <w:r w:rsidR="00972505">
        <w:t>approximately $</w:t>
      </w:r>
      <w:r w:rsidR="003D4FEE">
        <w:t>21,600</w:t>
      </w:r>
      <w:r w:rsidR="00972505">
        <w:t xml:space="preserve"> per year for the first 3 years after the amendments are finalized, with most costs being incurred in the first year (an estimated $</w:t>
      </w:r>
      <w:r w:rsidR="003D4FEE">
        <w:t>49,400</w:t>
      </w:r>
      <w:r w:rsidR="00972505">
        <w:t xml:space="preserve">). The burden to the respondents from each facility is shown in Tables 1 through 4 </w:t>
      </w:r>
      <w:r w:rsidR="005B1A5A">
        <w:t xml:space="preserve">and Table 9 </w:t>
      </w:r>
      <w:r w:rsidR="00972505">
        <w:t xml:space="preserve">of </w:t>
      </w:r>
      <w:r w:rsidR="00B4564F">
        <w:t xml:space="preserve">Attachment 1, which is available as an Excel </w:t>
      </w:r>
      <w:bookmarkStart w:name="_Hlk76048501" w:id="1"/>
      <w:r w:rsidR="00712AD2">
        <w:t>workbook</w:t>
      </w:r>
      <w:r>
        <w:t xml:space="preserve"> in the docket for this action (Docket ID No.</w:t>
      </w:r>
      <w:r w:rsidR="0018669F">
        <w:t> </w:t>
      </w:r>
      <w:r>
        <w:t>EPA-HQ-OAR-2020-0572)</w:t>
      </w:r>
      <w:bookmarkEnd w:id="1"/>
      <w:r>
        <w:t>.</w:t>
      </w:r>
    </w:p>
    <w:p w:rsidR="00147EA6" w:rsidP="00147EA6" w:rsidRDefault="00A46B57" w14:paraId="4B705D0E" w14:textId="36717966">
      <w:pPr>
        <w:pStyle w:val="BodyText"/>
      </w:pPr>
      <w:r>
        <w:t xml:space="preserve">The </w:t>
      </w:r>
      <w:r w:rsidR="008041F8">
        <w:t xml:space="preserve">total cost to the Designated Administrator during the 3 years of the ICR is estimated to </w:t>
      </w:r>
      <w:r w:rsidR="005B1A5A">
        <w:t xml:space="preserve">average to </w:t>
      </w:r>
      <w:r w:rsidR="008041F8">
        <w:t>$</w:t>
      </w:r>
      <w:r w:rsidR="005B1A5A">
        <w:t xml:space="preserve">2,480 </w:t>
      </w:r>
      <w:r w:rsidR="008041F8">
        <w:t xml:space="preserve">per year </w:t>
      </w:r>
      <w:r w:rsidR="00984B81">
        <w:t>as a result of the subject rule amendments</w:t>
      </w:r>
      <w:r w:rsidR="008041F8">
        <w:t>, with most costs being incurred in the first year (an estimated $</w:t>
      </w:r>
      <w:r w:rsidR="005B1A5A">
        <w:t>2,770</w:t>
      </w:r>
      <w:r w:rsidR="008041F8">
        <w:t xml:space="preserve">). This </w:t>
      </w:r>
      <w:r>
        <w:t>burden</w:t>
      </w:r>
      <w:r w:rsidR="005B1A5A">
        <w:t xml:space="preserve"> </w:t>
      </w:r>
      <w:r w:rsidR="008041F8">
        <w:t xml:space="preserve">includes labor costs for the </w:t>
      </w:r>
      <w:r w:rsidR="009E37C1">
        <w:t xml:space="preserve">EPA and state and local authorities to implement the requirements in the NESHAP </w:t>
      </w:r>
      <w:r w:rsidR="00984B81">
        <w:t>resulting from the subject rule amendments</w:t>
      </w:r>
      <w:r w:rsidR="009E37C1">
        <w:t xml:space="preserve">. This burden is shown in </w:t>
      </w:r>
      <w:r>
        <w:t>Tables</w:t>
      </w:r>
      <w:r w:rsidR="009A40B2">
        <w:t> </w:t>
      </w:r>
      <w:r>
        <w:t xml:space="preserve">5 through 8 of </w:t>
      </w:r>
      <w:r w:rsidR="00712AD2">
        <w:t>Attachment 1</w:t>
      </w:r>
      <w:r w:rsidR="00FA11BF">
        <w:t>.</w:t>
      </w:r>
    </w:p>
    <w:p w:rsidR="002337C1" w:rsidP="00147EA6" w:rsidRDefault="0096357F" w14:paraId="621DC3F0" w14:textId="1722B59D">
      <w:pPr>
        <w:pStyle w:val="Heading1"/>
      </w:pPr>
      <w:r>
        <w:t>2.</w:t>
      </w:r>
      <w:r>
        <w:tab/>
      </w:r>
      <w:r w:rsidR="00A46B57">
        <w:t>Need for and Use of the</w:t>
      </w:r>
      <w:r w:rsidR="00A46B57">
        <w:rPr>
          <w:spacing w:val="-3"/>
        </w:rPr>
        <w:t xml:space="preserve"> </w:t>
      </w:r>
      <w:r w:rsidR="00A46B57">
        <w:t>Collection</w:t>
      </w:r>
    </w:p>
    <w:p w:rsidR="002337C1" w:rsidP="00147EA6" w:rsidRDefault="00A46B57" w14:paraId="3D80768D" w14:textId="77777777">
      <w:pPr>
        <w:pStyle w:val="Heading2"/>
      </w:pPr>
      <w:r>
        <w:t>2(a) Need/Authority for the Collection</w:t>
      </w:r>
    </w:p>
    <w:p w:rsidR="002337C1" w:rsidP="00694400" w:rsidRDefault="00A46B57" w14:paraId="2A87A4CD" w14:textId="189AD959">
      <w:pPr>
        <w:pStyle w:val="BodyText"/>
        <w:keepNext/>
      </w:pPr>
      <w:r>
        <w:t>The EPA is charged under Section</w:t>
      </w:r>
      <w:r w:rsidR="00E639E1">
        <w:t> </w:t>
      </w:r>
      <w:r>
        <w:t xml:space="preserve">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w:t>
      </w:r>
      <w:r>
        <w:lastRenderedPageBreak/>
        <w:t>Section</w:t>
      </w:r>
      <w:r w:rsidR="00147EA6">
        <w:t> </w:t>
      </w:r>
      <w:r>
        <w:t>114(a) states that the Administrator may require any owner/operator subject to any requirement of this Act to:</w:t>
      </w:r>
    </w:p>
    <w:p w:rsidR="002337C1" w:rsidP="00694400" w:rsidRDefault="00915850" w14:paraId="517B12CB" w14:textId="06E1D3AA">
      <w:pPr>
        <w:keepNext/>
        <w:ind w:left="1440"/>
      </w:pPr>
      <w:r>
        <w:t>(A)</w:t>
      </w:r>
      <w:r w:rsidR="00E639E1">
        <w:t> </w:t>
      </w:r>
      <w:r w:rsidR="00A46B57">
        <w:t>Establish and maintain such records; (B)</w:t>
      </w:r>
      <w:r w:rsidR="00E639E1">
        <w:t> </w:t>
      </w:r>
      <w:r w:rsidR="00A46B57">
        <w:t>make such reports; (C)</w:t>
      </w:r>
      <w:r w:rsidR="00E639E1">
        <w:t> </w:t>
      </w:r>
      <w:r w:rsidR="00A46B57">
        <w:t>install, use, and maintain such monitoring equipment, and use such audit procedures, or methods; (D)</w:t>
      </w:r>
      <w:r w:rsidR="00E639E1">
        <w:t> </w:t>
      </w:r>
      <w:r w:rsidR="00A46B57">
        <w:t>sample such emissions (in accordance with such procedures or methods, at such locations, at such intervals, during such periods, and in such manner as the Administrator shall prescribe); (E)</w:t>
      </w:r>
      <w:r w:rsidR="00E639E1">
        <w:t> </w:t>
      </w:r>
      <w:r w:rsidR="00A46B57">
        <w:t>keep records on control equipment parameters, production variables or other indirect data when direct monitoring of emissions is impractical; (F)</w:t>
      </w:r>
      <w:r w:rsidR="00E639E1">
        <w:t> </w:t>
      </w:r>
      <w:r w:rsidR="00A46B57">
        <w:t>submit compliance certifications in accordance with Section</w:t>
      </w:r>
      <w:r w:rsidR="00E639E1">
        <w:t> </w:t>
      </w:r>
      <w:r w:rsidR="00A46B57">
        <w:t>114(a)(3); and (G)</w:t>
      </w:r>
      <w:r w:rsidR="00E639E1">
        <w:t> </w:t>
      </w:r>
      <w:r w:rsidR="00A46B57">
        <w:t>provide such other information as the Administrator may reasonably</w:t>
      </w:r>
      <w:r w:rsidR="00A46B57">
        <w:rPr>
          <w:spacing w:val="-9"/>
        </w:rPr>
        <w:t xml:space="preserve"> </w:t>
      </w:r>
      <w:r w:rsidR="00A46B57">
        <w:t>require.</w:t>
      </w:r>
    </w:p>
    <w:p w:rsidR="002337C1" w:rsidP="00147EA6" w:rsidRDefault="00A46B57" w14:paraId="29638668" w14:textId="3DE20C0D">
      <w:pPr>
        <w:pStyle w:val="BodyText"/>
      </w:pPr>
      <w:r>
        <w:t>In the Administrator's judgment, hazardous air pollutant emissions from flexible polyurethane foam fabrication facilities cause or contribute to air pollution that may reasonably be anticipated to endanger public health or welfare. Therefore, the NESHAP were promulgated for this source category at 40 CFR Part</w:t>
      </w:r>
      <w:r w:rsidR="00E639E1">
        <w:t> </w:t>
      </w:r>
      <w:r>
        <w:t>63, Subpart</w:t>
      </w:r>
      <w:r w:rsidR="00E639E1">
        <w:t> </w:t>
      </w:r>
      <w:r>
        <w:t>MMMMM.</w:t>
      </w:r>
    </w:p>
    <w:p w:rsidR="00F75E1E" w:rsidP="000B0A5B" w:rsidRDefault="000B0A5B" w14:paraId="28588C39" w14:textId="6EA3F511">
      <w:pPr>
        <w:pStyle w:val="BodyText"/>
      </w:pPr>
      <w:r w:rsidRPr="000B0A5B">
        <w:t>Section</w:t>
      </w:r>
      <w:r w:rsidR="00984B81">
        <w:t> </w:t>
      </w:r>
      <w:r w:rsidRPr="000B0A5B">
        <w:t>112 of the CAA establishes a two-stage regulatory process to develop standards for emissions of HAP from stationary sources. Generally, the first stage involves establishing technology-based standards and the second stage involves evaluating those standards that are based on</w:t>
      </w:r>
      <w:r w:rsidR="009E37C1">
        <w:t xml:space="preserve"> Maximum Achievable Control Technology (</w:t>
      </w:r>
      <w:r w:rsidRPr="000B0A5B">
        <w:t>MACT</w:t>
      </w:r>
      <w:r w:rsidR="009E37C1">
        <w:t>)</w:t>
      </w:r>
      <w:r w:rsidRPr="000B0A5B">
        <w:t xml:space="preserve"> to determine whether additional standards are needed to address any remaining risk associated with HAP emissions. This second stage is commonly referred to as the “residual risk review.” In addition to the residual risk review, the CAA also requires the EPA to review standards set under CAA section</w:t>
      </w:r>
      <w:r w:rsidR="009E37C1">
        <w:t> </w:t>
      </w:r>
      <w:r w:rsidRPr="000B0A5B">
        <w:t>112 every 8</w:t>
      </w:r>
      <w:r w:rsidR="009E37C1">
        <w:t> </w:t>
      </w:r>
      <w:r w:rsidRPr="000B0A5B">
        <w:t>years and revise the standards as necessary taking into account any “developments in practices, processes, or control technologies.” This review is commonly referred to as the “technology review.” When the two reviews are combined into a single rulemaking, it is commonly referred to as the “risk and technology review.”</w:t>
      </w:r>
    </w:p>
    <w:p w:rsidR="00F75E1E" w:rsidP="00FB2F55" w:rsidRDefault="000B0A5B" w14:paraId="2588021F" w14:textId="69ED7278">
      <w:pPr>
        <w:pStyle w:val="BodyText"/>
      </w:pPr>
      <w:r w:rsidRPr="000B0A5B">
        <w:t xml:space="preserve">As part of the RTR for the NESHAP, </w:t>
      </w:r>
      <w:r w:rsidR="00FB2F55">
        <w:t>EP</w:t>
      </w:r>
      <w:r w:rsidR="00F75E1E">
        <w:t>A</w:t>
      </w:r>
      <w:r w:rsidR="00984B81">
        <w:t xml:space="preserve"> is requiring</w:t>
      </w:r>
      <w:r w:rsidR="00F75E1E">
        <w:t xml:space="preserve"> that owners or operators of affected sources submit electronic copies of initial notifications required in 40 CFR 63.9(b), notifications of compliance status required in 40 CFR 63.9(h), performance test reports, and semiannual reports through the EPA's CDX, using CEDRI. For semiannual reports, EPA has developed a template for the reporting form in CEDRI specifically for 40 CFR part 63, subpart MMMMM.</w:t>
      </w:r>
      <w:r w:rsidR="00FB2F55">
        <w:t xml:space="preserve"> </w:t>
      </w:r>
      <w:r w:rsidR="00F75E1E">
        <w:t xml:space="preserve">CEDRI includes the Electronic Reporting Tool (ERT) software, which is used by facilities to generate electronic reports of performance tests. </w:t>
      </w:r>
      <w:r w:rsidR="00984B81">
        <w:t xml:space="preserve">The </w:t>
      </w:r>
      <w:r w:rsidR="00F75E1E">
        <w:t xml:space="preserve">EPA </w:t>
      </w:r>
      <w:r w:rsidR="00984B81">
        <w:t xml:space="preserve">is requiring </w:t>
      </w:r>
      <w:r w:rsidR="00F75E1E">
        <w:t>that 40 CFR part 63, subpart MMMMM performance test reports be submitted through the EPA’s ERT.</w:t>
      </w:r>
      <w:r w:rsidR="00FB2F55">
        <w:t xml:space="preserve"> </w:t>
      </w:r>
      <w:r w:rsidR="00F75E1E">
        <w:t xml:space="preserve">The EPA </w:t>
      </w:r>
      <w:r w:rsidR="00984B81">
        <w:t xml:space="preserve">is also amending </w:t>
      </w:r>
      <w:r w:rsidR="00F75E1E">
        <w:t>40 CFR part 63, subpart MMMMM</w:t>
      </w:r>
      <w:r w:rsidR="00984B81">
        <w:t>,</w:t>
      </w:r>
      <w:r w:rsidR="00F75E1E">
        <w:t xml:space="preserve"> to add emission limits for existing sources of flame lamination, to remove an exemption from the emission limitations for new sources of flame lamination during periods of SSM and to revise the monitoring, recordkeeping, and reporting requirements that are affected by the amendments to the SSM provisions.</w:t>
      </w:r>
    </w:p>
    <w:p w:rsidR="002337C1" w:rsidP="00147EA6" w:rsidRDefault="00A46B57" w14:paraId="2010ADEB" w14:textId="77777777">
      <w:pPr>
        <w:pStyle w:val="Heading2"/>
      </w:pPr>
      <w:r>
        <w:lastRenderedPageBreak/>
        <w:t>2(b) Practical Utility/Users of the Data</w:t>
      </w:r>
    </w:p>
    <w:p w:rsidR="002337C1" w:rsidP="00147EA6" w:rsidRDefault="00A46B57" w14:paraId="2B584885" w14:textId="77777777">
      <w:pPr>
        <w:pStyle w:val="BodyText"/>
      </w:pPr>
      <w: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915850" w:rsidP="00147EA6" w:rsidRDefault="00A46B57" w14:paraId="562B77E5" w14:textId="67C3008C">
      <w:pPr>
        <w:pStyle w:val="BodyText"/>
      </w:pPr>
      <w:r>
        <w:t>Performance tests are required in order to determine an affected facility’s initial</w:t>
      </w:r>
      <w:r w:rsidR="00D30992">
        <w:t xml:space="preserve"> and ongoing</w:t>
      </w:r>
      <w:r>
        <w:t xml:space="preserve"> capability to comply with the emission standard. During the performance test, a record of the operating parameters under which compliance was achieved may be recorded and used in place of a continuous emission monitor</w:t>
      </w:r>
      <w:r w:rsidR="00D30992">
        <w:t xml:space="preserve"> to determine compliance</w:t>
      </w:r>
      <w:r>
        <w:t>.</w:t>
      </w:r>
    </w:p>
    <w:p w:rsidR="002337C1" w:rsidP="00147EA6" w:rsidRDefault="00A46B57" w14:paraId="64AC70D0" w14:textId="050B208A">
      <w:pPr>
        <w:pStyle w:val="BodyText"/>
      </w:pPr>
      <w:r>
        <w:t xml:space="preserve">The notifications required in the standards are used to inform the Agency or </w:t>
      </w:r>
      <w:r w:rsidR="00D30992">
        <w:t>Designated Administrator</w:t>
      </w:r>
      <w:r>
        <w:t xml:space="preserve"> </w:t>
      </w:r>
      <w:r w:rsidR="00D30992">
        <w:t xml:space="preserve">when a source is conducting performance tests and </w:t>
      </w:r>
      <w:r>
        <w:t xml:space="preserve">when a source becomes subject to the requirements of the regulations. </w:t>
      </w:r>
      <w:r w:rsidR="00D30992">
        <w:t xml:space="preserve">In some cases, the Designated Administrator may choose to observe performance tests. The Designated Administrator may also use information to inform an inspection of </w:t>
      </w:r>
      <w:r>
        <w:t>the source to check if the pollution control devices are properly installed and operated, that leaks are being detected and repaired, and that the standards are being met.</w:t>
      </w:r>
    </w:p>
    <w:p w:rsidR="002337C1" w:rsidP="005B1A5A" w:rsidRDefault="00A46B57" w14:paraId="42885F4D" w14:textId="791497AD">
      <w:pPr>
        <w:pStyle w:val="BodyText"/>
      </w:pPr>
      <w:r>
        <w:t xml:space="preserve">The required semiannual </w:t>
      </w:r>
      <w:r w:rsidR="00F75E1E">
        <w:t xml:space="preserve">(periodic) </w:t>
      </w:r>
      <w:r>
        <w:t xml:space="preserve">reports are used to determine periods of excess emissions, identify problems at the facility, verify operation/maintenance procedures, and </w:t>
      </w:r>
      <w:r w:rsidR="007F2097">
        <w:t xml:space="preserve">demonstrate </w:t>
      </w:r>
      <w:r w:rsidR="00F75E1E">
        <w:t>ongoing compliance with standards</w:t>
      </w:r>
      <w:r>
        <w:t>.</w:t>
      </w:r>
    </w:p>
    <w:p w:rsidRPr="00147EA6" w:rsidR="002337C1" w:rsidP="00147EA6" w:rsidRDefault="00915850" w14:paraId="35BE3AF9" w14:textId="2DB12D67">
      <w:pPr>
        <w:pStyle w:val="Heading1"/>
      </w:pPr>
      <w:r w:rsidRPr="00147EA6">
        <w:t>3.</w:t>
      </w:r>
      <w:r w:rsidRPr="00147EA6">
        <w:tab/>
      </w:r>
      <w:r w:rsidRPr="00147EA6" w:rsidR="00A46B57">
        <w:t>Non-duplication, Consultations, and Other Collection Criteria</w:t>
      </w:r>
    </w:p>
    <w:p w:rsidR="002337C1" w:rsidP="00147EA6" w:rsidRDefault="00A46B57" w14:paraId="57760462" w14:textId="629D1894">
      <w:pPr>
        <w:pStyle w:val="BodyText"/>
      </w:pPr>
      <w:r>
        <w:t xml:space="preserve">The requested recordkeeping and reporting </w:t>
      </w:r>
      <w:r w:rsidR="00FB2F55">
        <w:t xml:space="preserve">will be </w:t>
      </w:r>
      <w:r>
        <w:t>required under 40 CFR Part</w:t>
      </w:r>
      <w:r w:rsidR="00E639E1">
        <w:t> </w:t>
      </w:r>
      <w:r>
        <w:t>63, Subpart</w:t>
      </w:r>
      <w:r w:rsidR="00E639E1">
        <w:t> </w:t>
      </w:r>
      <w:r>
        <w:t>MMMMM.</w:t>
      </w:r>
    </w:p>
    <w:p w:rsidR="002337C1" w:rsidP="00147EA6" w:rsidRDefault="00A46B57" w14:paraId="14A2519D" w14:textId="6D4D9219">
      <w:pPr>
        <w:pStyle w:val="Heading2"/>
      </w:pPr>
      <w:r>
        <w:t>3(a) Non-duplication</w:t>
      </w:r>
    </w:p>
    <w:p w:rsidR="0026086F" w:rsidP="0026086F" w:rsidRDefault="00034544" w14:paraId="1937FECA" w14:textId="77777777">
      <w:pPr>
        <w:pStyle w:val="BodyText"/>
        <w:rPr>
          <w:shd w:val="clear" w:color="auto" w:fill="FFFFFF"/>
        </w:rPr>
      </w:pPr>
      <w:r w:rsidRPr="00C2600C">
        <w:t>For reports required to be submitted electronically</w:t>
      </w:r>
      <w:r w:rsidRPr="00C2600C">
        <w:rPr>
          <w:shd w:val="clear" w:color="auto" w:fill="FFFFFF"/>
        </w:rPr>
        <w:t>, the information is sent through the EPA's</w:t>
      </w:r>
      <w:r w:rsidR="0026086F">
        <w:rPr>
          <w:shd w:val="clear" w:color="auto" w:fill="FFFFFF"/>
        </w:rPr>
        <w:t xml:space="preserve"> </w:t>
      </w:r>
      <w:r w:rsidRPr="00C2600C">
        <w:rPr>
          <w:shd w:val="clear" w:color="auto" w:fill="FFFFFF"/>
        </w:rPr>
        <w:t>CDX, using CEDRI, where</w:t>
      </w:r>
      <w:r w:rsidR="0026086F">
        <w:rPr>
          <w:shd w:val="clear" w:color="auto" w:fill="FFFFFF"/>
        </w:rPr>
        <w:t xml:space="preserve"> </w:t>
      </w:r>
      <w:r w:rsidRPr="00C2600C">
        <w:rPr>
          <w:shd w:val="clear" w:color="auto" w:fill="FFFFFF"/>
        </w:rPr>
        <w:t>the appropriate EPA regional office</w:t>
      </w:r>
      <w:r w:rsidR="0026086F">
        <w:rPr>
          <w:shd w:val="clear" w:color="auto" w:fill="FFFFFF"/>
        </w:rPr>
        <w:t xml:space="preserve"> </w:t>
      </w:r>
      <w:r w:rsidRPr="00C2600C">
        <w:rPr>
          <w:shd w:val="clear" w:color="auto" w:fill="FFFFFF"/>
        </w:rPr>
        <w:t>can review it, as well as state and local agencies that have been delegated authority.</w:t>
      </w:r>
      <w:r w:rsidR="0026086F">
        <w:rPr>
          <w:shd w:val="clear" w:color="auto" w:fill="FFFFFF"/>
        </w:rPr>
        <w:t xml:space="preserve"> </w:t>
      </w:r>
      <w:r w:rsidRPr="00C2600C">
        <w:rPr>
          <w:shd w:val="clear" w:color="auto" w:fill="FFFFFF"/>
        </w:rPr>
        <w:t>If a state or local agency has adopted</w:t>
      </w:r>
      <w:r w:rsidR="0026086F">
        <w:rPr>
          <w:shd w:val="clear" w:color="auto" w:fill="FFFFFF"/>
        </w:rPr>
        <w:t xml:space="preserve"> </w:t>
      </w:r>
      <w:r w:rsidRPr="00C2600C">
        <w:rPr>
          <w:shd w:val="clear" w:color="auto" w:fill="FFFFFF"/>
        </w:rPr>
        <w:t>under its own authority</w:t>
      </w:r>
      <w:r w:rsidR="0026086F">
        <w:rPr>
          <w:shd w:val="clear" w:color="auto" w:fill="FFFFFF"/>
        </w:rPr>
        <w:t xml:space="preserve"> </w:t>
      </w:r>
      <w:r w:rsidRPr="00C2600C">
        <w:rPr>
          <w:shd w:val="clear" w:color="auto" w:fill="FFFFFF"/>
        </w:rPr>
        <w:t>its own</w:t>
      </w:r>
      <w:r w:rsidR="0026086F">
        <w:rPr>
          <w:shd w:val="clear" w:color="auto" w:fill="FFFFFF"/>
        </w:rPr>
        <w:t xml:space="preserve"> </w:t>
      </w:r>
      <w:r w:rsidRPr="00C2600C">
        <w:rPr>
          <w:shd w:val="clear" w:color="auto" w:fill="FFFFFF"/>
        </w:rPr>
        <w:t>standards</w:t>
      </w:r>
      <w:r w:rsidR="0026086F">
        <w:rPr>
          <w:shd w:val="clear" w:color="auto" w:fill="FFFFFF"/>
        </w:rPr>
        <w:t xml:space="preserve"> </w:t>
      </w:r>
      <w:r w:rsidRPr="00C2600C">
        <w:rPr>
          <w:shd w:val="clear" w:color="auto" w:fill="FFFFFF"/>
        </w:rPr>
        <w:t>for reporting or data collection,</w:t>
      </w:r>
      <w:r w:rsidR="0026086F">
        <w:rPr>
          <w:shd w:val="clear" w:color="auto" w:fill="FFFFFF"/>
        </w:rPr>
        <w:t xml:space="preserve"> </w:t>
      </w:r>
      <w:r w:rsidRPr="00C2600C">
        <w:rPr>
          <w:shd w:val="clear" w:color="auto" w:fill="FFFFFF"/>
        </w:rPr>
        <w:t>adherence to those non-Federal requirements does not constitute duplication.</w:t>
      </w:r>
    </w:p>
    <w:p w:rsidRPr="0026086F" w:rsidR="00034544" w:rsidP="0026086F" w:rsidRDefault="00034544" w14:paraId="649C7B06" w14:textId="349343C5">
      <w:pPr>
        <w:pStyle w:val="BodyText"/>
        <w:rPr>
          <w:shd w:val="clear" w:color="auto" w:fill="FFFFFF"/>
        </w:rPr>
      </w:pPr>
      <w:r w:rsidRPr="00C2600C">
        <w:rPr>
          <w:shd w:val="clear" w:color="auto" w:fill="FFFFFF"/>
        </w:rPr>
        <w:t>For all other reports, if the subject standards have not been delegated, the information is sent directly to</w:t>
      </w:r>
      <w:r w:rsidR="0059594F">
        <w:rPr>
          <w:shd w:val="clear" w:color="auto" w:fill="FFFFFF"/>
        </w:rPr>
        <w:t xml:space="preserve"> </w:t>
      </w:r>
      <w:r w:rsidRPr="00C2600C">
        <w:rPr>
          <w:shd w:val="clear" w:color="auto" w:fill="FFFFFF"/>
        </w:rPr>
        <w:t>the appropriate EPA regional office.</w:t>
      </w:r>
      <w:r w:rsidR="0059594F">
        <w:rPr>
          <w:shd w:val="clear" w:color="auto" w:fill="FFFFFF"/>
        </w:rPr>
        <w:t xml:space="preserve"> </w:t>
      </w:r>
      <w:r w:rsidRPr="00C2600C">
        <w:rPr>
          <w:shd w:val="clear" w:color="auto" w:fill="FFFFFF"/>
        </w:rPr>
        <w:t>Otherwise, the information is sent directly to the delegated state or local agency.</w:t>
      </w:r>
      <w:r w:rsidR="0059594F">
        <w:rPr>
          <w:shd w:val="clear" w:color="auto" w:fill="FFFFFF"/>
        </w:rPr>
        <w:t xml:space="preserve"> </w:t>
      </w:r>
      <w:r w:rsidRPr="00C2600C">
        <w:rPr>
          <w:shd w:val="clear" w:color="auto" w:fill="FFFFFF"/>
        </w:rPr>
        <w:t>If a state or local agency has adopted</w:t>
      </w:r>
      <w:r w:rsidR="0059594F">
        <w:rPr>
          <w:shd w:val="clear" w:color="auto" w:fill="FFFFFF"/>
        </w:rPr>
        <w:t xml:space="preserve"> </w:t>
      </w:r>
      <w:r w:rsidRPr="00C2600C">
        <w:rPr>
          <w:shd w:val="clear" w:color="auto" w:fill="FFFFFF"/>
        </w:rPr>
        <w:t>its own</w:t>
      </w:r>
      <w:r w:rsidR="0059594F">
        <w:rPr>
          <w:shd w:val="clear" w:color="auto" w:fill="FFFFFF"/>
        </w:rPr>
        <w:t xml:space="preserve"> </w:t>
      </w:r>
      <w:r w:rsidRPr="00C2600C">
        <w:rPr>
          <w:shd w:val="clear" w:color="auto" w:fill="FFFFFF"/>
        </w:rPr>
        <w:t>standards</w:t>
      </w:r>
      <w:r w:rsidR="0059594F">
        <w:rPr>
          <w:shd w:val="clear" w:color="auto" w:fill="FFFFFF"/>
        </w:rPr>
        <w:t xml:space="preserve"> </w:t>
      </w:r>
      <w:r w:rsidRPr="00C2600C">
        <w:rPr>
          <w:shd w:val="clear" w:color="auto" w:fill="FFFFFF"/>
        </w:rPr>
        <w:t>to implement the Federal standards, a copy of the report submitted to the state or local agency can be sent to the Administrator in lieu of the report required by the Federal standards. Therefore, duplication does</w:t>
      </w:r>
      <w:r w:rsidR="0059594F">
        <w:rPr>
          <w:shd w:val="clear" w:color="auto" w:fill="FFFFFF"/>
        </w:rPr>
        <w:t xml:space="preserve"> </w:t>
      </w:r>
      <w:r w:rsidRPr="00C2600C">
        <w:rPr>
          <w:shd w:val="clear" w:color="auto" w:fill="FFFFFF"/>
        </w:rPr>
        <w:t>not exist.</w:t>
      </w:r>
    </w:p>
    <w:p w:rsidR="002337C1" w:rsidP="00147EA6" w:rsidRDefault="00A46B57" w14:paraId="39D8D1DD" w14:textId="77777777">
      <w:pPr>
        <w:pStyle w:val="Heading2"/>
      </w:pPr>
      <w:r>
        <w:t>3(b) Public Notice Required Prior to ICR Submission to OMB</w:t>
      </w:r>
    </w:p>
    <w:p w:rsidR="005B1A5A" w:rsidP="00FB2F55" w:rsidRDefault="00C867FF" w14:paraId="75F1F645" w14:textId="0B5F3BBA">
      <w:pPr>
        <w:pStyle w:val="BodyText"/>
      </w:pPr>
      <w:r>
        <w:t xml:space="preserve">The EPA solicited public comment on the subject rule’s information collection activities as part of the same notice in which the EPA proposed to revise the subject rule. That notice, “National Emission Standards for Hazardous Air Pollutants: Flexible Polyurethane Foam </w:t>
      </w:r>
      <w:r>
        <w:lastRenderedPageBreak/>
        <w:t xml:space="preserve">Fabrication Operations Residual Risk and Technology Review and Flexible Polyurethane Foam Production and Fabrication Area Source Technology Review, Proposed Rule,” was published in the </w:t>
      </w:r>
      <w:r w:rsidRPr="00BF658F">
        <w:rPr>
          <w:i/>
          <w:iCs/>
        </w:rPr>
        <w:t>Federal Register</w:t>
      </w:r>
      <w:r>
        <w:t xml:space="preserve"> on January 11, 2021 (86 FR 1868). The comment period closed on March 29, 2021, by which time the EPA received </w:t>
      </w:r>
      <w:r w:rsidR="009877CF">
        <w:t>four</w:t>
      </w:r>
      <w:r>
        <w:t xml:space="preserve"> comment submissions. </w:t>
      </w:r>
      <w:r w:rsidR="0045411C">
        <w:t>N</w:t>
      </w:r>
      <w:r>
        <w:t>one of the comments concerned the proposed information collection</w:t>
      </w:r>
      <w:r w:rsidR="007F2097">
        <w:t xml:space="preserve"> requirements</w:t>
      </w:r>
      <w:r>
        <w:t>.</w:t>
      </w:r>
    </w:p>
    <w:p w:rsidR="002337C1" w:rsidP="00FB2F55" w:rsidRDefault="00C867FF" w14:paraId="36C254F7" w14:textId="167758D8">
      <w:pPr>
        <w:pStyle w:val="BodyText"/>
      </w:pPr>
      <w:r>
        <w:t xml:space="preserve">Accordingly, </w:t>
      </w:r>
      <w:r w:rsidR="006A5A3A">
        <w:t xml:space="preserve">most of </w:t>
      </w:r>
      <w:r>
        <w:t xml:space="preserve">the information requirements in the final rule are unchanged from those of the proposed rule. </w:t>
      </w:r>
      <w:r w:rsidR="005B1A5A">
        <w:t>However, s</w:t>
      </w:r>
      <w:r w:rsidR="00330892">
        <w:t xml:space="preserve">ubsequent to proposing this information collection, </w:t>
      </w:r>
      <w:r w:rsidR="007F2097">
        <w:t xml:space="preserve">the </w:t>
      </w:r>
      <w:r w:rsidR="006A5A3A">
        <w:t>EPA</w:t>
      </w:r>
      <w:r w:rsidR="00FF32F2">
        <w:t xml:space="preserve"> </w:t>
      </w:r>
      <w:r w:rsidR="006A5A3A">
        <w:t>revise</w:t>
      </w:r>
      <w:r w:rsidR="00FF32F2">
        <w:t>d</w:t>
      </w:r>
      <w:r w:rsidR="006A5A3A">
        <w:t xml:space="preserve"> </w:t>
      </w:r>
      <w:r w:rsidR="005D6E9E">
        <w:t>its cost estimate for</w:t>
      </w:r>
      <w:r w:rsidR="00330892">
        <w:t xml:space="preserve"> respondent reporting requirements to </w:t>
      </w:r>
      <w:r w:rsidR="002809C3">
        <w:t>incorporate</w:t>
      </w:r>
      <w:r w:rsidR="00330892">
        <w:t xml:space="preserve"> updated information about the conduct </w:t>
      </w:r>
      <w:r w:rsidR="002809C3">
        <w:t xml:space="preserve">of, </w:t>
      </w:r>
      <w:r w:rsidR="00330892">
        <w:t>and cost associated with</w:t>
      </w:r>
      <w:r w:rsidR="002809C3">
        <w:t>,</w:t>
      </w:r>
      <w:r w:rsidR="00330892">
        <w:t xml:space="preserve"> performance testing for </w:t>
      </w:r>
      <w:r w:rsidR="00AF5BFA">
        <w:t xml:space="preserve">facilities with </w:t>
      </w:r>
      <w:r w:rsidR="005D6E9E">
        <w:t xml:space="preserve">flame lamination </w:t>
      </w:r>
      <w:r w:rsidR="00AF5BFA">
        <w:t>affected sources</w:t>
      </w:r>
      <w:r w:rsidR="00330892">
        <w:t xml:space="preserve">. </w:t>
      </w:r>
      <w:r w:rsidR="0062001F">
        <w:t xml:space="preserve">The revised cost estimate assumes that respondents will </w:t>
      </w:r>
      <w:r w:rsidR="002809C3">
        <w:t xml:space="preserve">use off-site contractors for </w:t>
      </w:r>
      <w:r w:rsidR="0062001F">
        <w:t xml:space="preserve">the </w:t>
      </w:r>
      <w:r w:rsidR="002809C3">
        <w:t xml:space="preserve">required </w:t>
      </w:r>
      <w:r w:rsidR="0062001F">
        <w:t xml:space="preserve">performance testing, which affects the cost estimate by decreasing </w:t>
      </w:r>
      <w:r w:rsidR="002809C3">
        <w:t xml:space="preserve">respondent </w:t>
      </w:r>
      <w:r w:rsidR="0062001F">
        <w:t xml:space="preserve">labor hours </w:t>
      </w:r>
      <w:r w:rsidR="002809C3">
        <w:t>but</w:t>
      </w:r>
      <w:r w:rsidR="0062001F">
        <w:t xml:space="preserve"> adding </w:t>
      </w:r>
      <w:r w:rsidR="00C949F2">
        <w:t xml:space="preserve">non-labor </w:t>
      </w:r>
      <w:r w:rsidR="007F2097">
        <w:t>costs</w:t>
      </w:r>
      <w:r w:rsidR="00C949F2">
        <w:t xml:space="preserve">. </w:t>
      </w:r>
      <w:r w:rsidR="00FF32F2">
        <w:t xml:space="preserve">The revised cost estimate also reflects that a performance test is required for each flame lamination line at a facility. </w:t>
      </w:r>
      <w:r w:rsidR="00050559">
        <w:t xml:space="preserve">As </w:t>
      </w:r>
      <w:r w:rsidR="007F2097">
        <w:t>shown</w:t>
      </w:r>
      <w:r w:rsidR="00330892">
        <w:t xml:space="preserve"> in Table 4 of Attachment 1, the </w:t>
      </w:r>
      <w:r w:rsidR="00B258F7">
        <w:t xml:space="preserve">estimate of </w:t>
      </w:r>
      <w:r w:rsidR="00330892">
        <w:t xml:space="preserve">respondents’ </w:t>
      </w:r>
      <w:r w:rsidR="002809C3">
        <w:t xml:space="preserve">average annual cost </w:t>
      </w:r>
      <w:r w:rsidR="00330892">
        <w:t>increased from $15,000 to $21,600.</w:t>
      </w:r>
    </w:p>
    <w:p w:rsidR="002337C1" w:rsidP="00147EA6" w:rsidRDefault="00A46B57" w14:paraId="0644089A" w14:textId="77777777">
      <w:pPr>
        <w:pStyle w:val="Heading2"/>
      </w:pPr>
      <w:r>
        <w:t>3(c) Consultations</w:t>
      </w:r>
    </w:p>
    <w:p w:rsidR="002337C1" w:rsidP="00147EA6" w:rsidRDefault="00A46B57" w14:paraId="646E6E9A" w14:textId="7B98218B">
      <w:pPr>
        <w:pStyle w:val="BodyText"/>
      </w:pPr>
      <w:r>
        <w:t xml:space="preserve">The Agency has consulted industry experts and internal data sources to project the number of affected facilities and industry growth over the next </w:t>
      </w:r>
      <w:r w:rsidR="00A16790">
        <w:t>3 </w:t>
      </w:r>
      <w:r>
        <w:t>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w:t>
      </w:r>
      <w:r w:rsidR="00694400">
        <w:t>v</w:t>
      </w:r>
      <w:r>
        <w:t>ernment-owned</w:t>
      </w:r>
      <w:r>
        <w:rPr>
          <w:spacing w:val="-16"/>
        </w:rPr>
        <w:t xml:space="preserve"> </w:t>
      </w:r>
      <w:r>
        <w:t>facilities.</w:t>
      </w:r>
    </w:p>
    <w:p w:rsidR="002337C1" w:rsidP="00147EA6" w:rsidRDefault="00A46B57" w14:paraId="43AEC0E5" w14:textId="30E43665">
      <w:pPr>
        <w:pStyle w:val="BodyText"/>
      </w:pPr>
      <w:r>
        <w:t>Industry trade associations and other interested parties were provided with an opportunity to comment on the burden associated with the</w:t>
      </w:r>
      <w:r w:rsidR="00FB2F55">
        <w:t>se</w:t>
      </w:r>
      <w:r>
        <w:t xml:space="preserve"> standard</w:t>
      </w:r>
      <w:r w:rsidR="00FB2F55">
        <w:t>s as they were being developed, and the existing standards have</w:t>
      </w:r>
      <w:r>
        <w:t xml:space="preserve"> been previously reviewed to determine the minimum information needed for compliance purposes. </w:t>
      </w:r>
      <w:r w:rsidR="00796D59">
        <w:t xml:space="preserve">In developing this ICR, we consulted with internal experts at EPA’s Office of Air Quality and Planning Standards (OAQPS) and </w:t>
      </w:r>
      <w:r>
        <w:t>the Polyurethane Foam Association.</w:t>
      </w:r>
    </w:p>
    <w:p w:rsidR="002337C1" w:rsidP="00147EA6" w:rsidRDefault="00A46B57" w14:paraId="14747A6D" w14:textId="77777777">
      <w:pPr>
        <w:pStyle w:val="Heading2"/>
      </w:pPr>
      <w:r>
        <w:t>3(d) Effects of Less Frequent Collection</w:t>
      </w:r>
    </w:p>
    <w:p w:rsidR="002337C1" w:rsidP="00FC114A" w:rsidRDefault="00A46B57" w14:paraId="2A68697E" w14:textId="42895CC0">
      <w:pPr>
        <w:pStyle w:val="BodyText"/>
      </w:pPr>
      <w:r>
        <w:t>Less frequent information collection would decrease the margin of assurance that facilities are continuing to meet the standards.</w:t>
      </w:r>
      <w:r w:rsidR="00915850">
        <w:t xml:space="preserve"> </w:t>
      </w:r>
      <w:r>
        <w:t>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2337C1" w:rsidP="00147EA6" w:rsidRDefault="00A46B57" w14:paraId="07963DBC" w14:textId="77777777">
      <w:pPr>
        <w:pStyle w:val="Heading2"/>
      </w:pPr>
      <w:r>
        <w:t>3(e) General Guidelines</w:t>
      </w:r>
    </w:p>
    <w:p w:rsidR="002337C1" w:rsidP="00147EA6" w:rsidRDefault="00A46B57" w14:paraId="6EE58808" w14:textId="724C17AB">
      <w:pPr>
        <w:pStyle w:val="BodyText"/>
      </w:pPr>
      <w:r>
        <w:t xml:space="preserve">These reporting or recordkeeping requirements do not violate any of the regulations promulgated by OMB under 5 CFR </w:t>
      </w:r>
      <w:r w:rsidR="007E19B8">
        <w:t>p</w:t>
      </w:r>
      <w:r>
        <w:t>art</w:t>
      </w:r>
      <w:r w:rsidR="007F68C8">
        <w:t> </w:t>
      </w:r>
      <w:r>
        <w:t xml:space="preserve">1320, </w:t>
      </w:r>
      <w:r w:rsidR="007E19B8">
        <w:t>s</w:t>
      </w:r>
      <w:r>
        <w:t>ection</w:t>
      </w:r>
      <w:r w:rsidR="007F68C8">
        <w:t> </w:t>
      </w:r>
      <w:r>
        <w:t>1320.5.</w:t>
      </w:r>
    </w:p>
    <w:p w:rsidR="002337C1" w:rsidP="00147EA6" w:rsidRDefault="00A46B57" w14:paraId="063F72EE" w14:textId="7F2F4BC1">
      <w:pPr>
        <w:pStyle w:val="BodyText"/>
      </w:pPr>
      <w:r>
        <w:lastRenderedPageBreak/>
        <w:t xml:space="preserve">These </w:t>
      </w:r>
      <w:r w:rsidR="007E19B8">
        <w:t xml:space="preserve">Flexible Polyurethane Foam Fabrication Operations NESHAP </w:t>
      </w:r>
      <w:r>
        <w:t xml:space="preserve">standards require the respondents to maintain all records, including reports and notifications for at least </w:t>
      </w:r>
      <w:r w:rsidR="00A16790">
        <w:t>5 </w:t>
      </w:r>
      <w:r>
        <w:t xml:space="preserve">years. This is consistent with the General Provisions as applied to the standards. EPA believes that the </w:t>
      </w:r>
      <w:r w:rsidR="00A16790">
        <w:t>5</w:t>
      </w:r>
      <w:r>
        <w:t xml:space="preserve">-year records retention requirement is consistent with the </w:t>
      </w:r>
      <w:r w:rsidR="00C73D6B">
        <w:t>P</w:t>
      </w:r>
      <w:r>
        <w:t>art</w:t>
      </w:r>
      <w:r w:rsidR="007F68C8">
        <w:t> </w:t>
      </w:r>
      <w:r>
        <w:t xml:space="preserve">70 </w:t>
      </w:r>
      <w:r w:rsidR="007F68C8">
        <w:t xml:space="preserve">operating </w:t>
      </w:r>
      <w:r>
        <w:t>permit</w:t>
      </w:r>
      <w:r w:rsidR="007F68C8">
        <w:t>s</w:t>
      </w:r>
      <w:r>
        <w:t xml:space="preserve"> program and the </w:t>
      </w:r>
      <w:r w:rsidR="00A16790">
        <w:t>5</w:t>
      </w:r>
      <w:r>
        <w:t xml:space="preserve">-year statute of limitations on which the permit program is based. The retention of records for </w:t>
      </w:r>
      <w:r w:rsidR="00A16790">
        <w:t>5 </w:t>
      </w:r>
      <w:r>
        <w:t xml:space="preserve">years allows EPA to establish the compliance history of a source, </w:t>
      </w:r>
      <w:r w:rsidR="007F68C8">
        <w:t xml:space="preserve">to establish </w:t>
      </w:r>
      <w:r>
        <w:t xml:space="preserve">any pattern of noncompliance, and to determine the appropriate level of enforcement action. EPA has found that the most flagrant violators have violations extending beyond </w:t>
      </w:r>
      <w:r w:rsidR="00A16790">
        <w:t>5 </w:t>
      </w:r>
      <w:r>
        <w:t>years. In addition, EPA would be prevented from pursuing the violators due to the destruction or nonexistence of essential</w:t>
      </w:r>
      <w:r>
        <w:rPr>
          <w:spacing w:val="-19"/>
        </w:rPr>
        <w:t xml:space="preserve"> </w:t>
      </w:r>
      <w:r>
        <w:t>records.</w:t>
      </w:r>
    </w:p>
    <w:p w:rsidR="002337C1" w:rsidP="00147EA6" w:rsidRDefault="00A46B57" w14:paraId="7679D4A2" w14:textId="77777777">
      <w:pPr>
        <w:pStyle w:val="Heading2"/>
      </w:pPr>
      <w:r>
        <w:t>3(f) Confidentiality</w:t>
      </w:r>
    </w:p>
    <w:p w:rsidR="002337C1" w:rsidP="00147EA6" w:rsidRDefault="00A46B57" w14:paraId="334EED4B" w14:textId="547A20D3">
      <w:pPr>
        <w:pStyle w:val="BodyText"/>
      </w:pPr>
      <w:r>
        <w:t>Any information submitted to the Agency for which a claim of confidentiality is made will be safeguarded according to the Agency policies set forth in Title</w:t>
      </w:r>
      <w:r w:rsidR="008B7BBB">
        <w:t> </w:t>
      </w:r>
      <w:r>
        <w:t>40, Chapter</w:t>
      </w:r>
      <w:r w:rsidR="008B7BBB">
        <w:t> </w:t>
      </w:r>
      <w:r>
        <w:t>1, Part</w:t>
      </w:r>
      <w:r w:rsidR="008B7BBB">
        <w:t> </w:t>
      </w:r>
      <w:r>
        <w:t>2, Subpart</w:t>
      </w:r>
      <w:r w:rsidR="008B7BBB">
        <w:t> </w:t>
      </w:r>
      <w:r>
        <w:t>B</w:t>
      </w:r>
      <w:r w:rsidR="008B7BBB">
        <w:t> </w:t>
      </w:r>
      <w:r w:rsidR="004D33CF">
        <w:t>–</w:t>
      </w:r>
      <w:r>
        <w:t xml:space="preserve"> Confidentiality of Business Information (CBI) (see 40 CFR</w:t>
      </w:r>
      <w:r w:rsidR="008B7BBB">
        <w:t> </w:t>
      </w:r>
      <w:r>
        <w:t>2; 41 FR</w:t>
      </w:r>
      <w:r w:rsidR="008B7BBB">
        <w:t> </w:t>
      </w:r>
      <w:r>
        <w:t>36902, September</w:t>
      </w:r>
      <w:r w:rsidR="008B7BBB">
        <w:t> </w:t>
      </w:r>
      <w:r>
        <w:t>1, 1976; amended by 43 FR</w:t>
      </w:r>
      <w:r w:rsidR="00EE5EE7">
        <w:t> </w:t>
      </w:r>
      <w:r>
        <w:t>40000, September</w:t>
      </w:r>
      <w:r w:rsidR="00EE5EE7">
        <w:t> </w:t>
      </w:r>
      <w:r>
        <w:t>8, 1978; 43 FR</w:t>
      </w:r>
      <w:r w:rsidR="00EE5EE7">
        <w:t> </w:t>
      </w:r>
      <w:r>
        <w:t>42251, September</w:t>
      </w:r>
      <w:r w:rsidR="009B4A3D">
        <w:t> </w:t>
      </w:r>
      <w:r>
        <w:t>20, 1978; 44 FR</w:t>
      </w:r>
      <w:r w:rsidR="00EE5EE7">
        <w:t> </w:t>
      </w:r>
      <w:r>
        <w:t>17674, March</w:t>
      </w:r>
      <w:r w:rsidR="00915850">
        <w:t> </w:t>
      </w:r>
      <w:r>
        <w:t>23, 1979).</w:t>
      </w:r>
    </w:p>
    <w:p w:rsidR="002337C1" w:rsidP="00147EA6" w:rsidRDefault="00A46B57" w14:paraId="65C15DF5" w14:textId="77777777">
      <w:pPr>
        <w:pStyle w:val="Heading2"/>
      </w:pPr>
      <w:r>
        <w:t>3(g) Sensitive Questions</w:t>
      </w:r>
    </w:p>
    <w:p w:rsidR="00915850" w:rsidP="00C62BFD" w:rsidRDefault="00A46B57" w14:paraId="799AAABA" w14:textId="6C4A2647">
      <w:pPr>
        <w:pStyle w:val="BodyText"/>
      </w:pPr>
      <w:r>
        <w:t xml:space="preserve">The reporting </w:t>
      </w:r>
      <w:r w:rsidR="008E4008">
        <w:t>and</w:t>
      </w:r>
      <w:r>
        <w:t xml:space="preserve"> recordkeeping requirements in the standard</w:t>
      </w:r>
      <w:r w:rsidR="008E4008">
        <w:t>s</w:t>
      </w:r>
      <w:r>
        <w:t xml:space="preserve"> do not include sensitive questions.</w:t>
      </w:r>
    </w:p>
    <w:p w:rsidR="00915850" w:rsidP="00147EA6" w:rsidRDefault="00915850" w14:paraId="16B74363" w14:textId="2461C642">
      <w:pPr>
        <w:pStyle w:val="Heading1"/>
      </w:pPr>
      <w:r>
        <w:t>4.</w:t>
      </w:r>
      <w:r>
        <w:tab/>
      </w:r>
      <w:r w:rsidR="00A46B57">
        <w:t>The Respondents and the Information</w:t>
      </w:r>
      <w:r w:rsidR="00A46B57">
        <w:rPr>
          <w:spacing w:val="-29"/>
        </w:rPr>
        <w:t xml:space="preserve"> </w:t>
      </w:r>
      <w:r w:rsidR="00A46B57">
        <w:t xml:space="preserve">Requested </w:t>
      </w:r>
    </w:p>
    <w:p w:rsidR="002337C1" w:rsidP="00147EA6" w:rsidRDefault="00A46B57" w14:paraId="62EDCCE6" w14:textId="73AB53A6">
      <w:pPr>
        <w:pStyle w:val="Heading2"/>
      </w:pPr>
      <w:r>
        <w:t>4(a) Respondents/</w:t>
      </w:r>
      <w:r w:rsidR="007E19B8">
        <w:rPr>
          <w:spacing w:val="-4"/>
        </w:rPr>
        <w:t xml:space="preserve">NAICS </w:t>
      </w:r>
      <w:r>
        <w:t>Codes</w:t>
      </w:r>
    </w:p>
    <w:p w:rsidR="002337C1" w:rsidP="00147EA6" w:rsidRDefault="00A46B57" w14:paraId="57DA77BC" w14:textId="4D7B8B30">
      <w:pPr>
        <w:pStyle w:val="BodyText"/>
      </w:pPr>
      <w:r>
        <w:t xml:space="preserve">The respondents to the recordkeeping and reporting requirements are flexible polyurethane foam fabrication facilities. </w:t>
      </w:r>
      <w:r w:rsidR="007A03B4">
        <w:t xml:space="preserve">Corresponding to these establishments is </w:t>
      </w:r>
      <w:r>
        <w:t>the North American Industry Classification System (NAICS) code</w:t>
      </w:r>
      <w:r w:rsidR="00EE5EE7">
        <w:t> </w:t>
      </w:r>
      <w:r>
        <w:t>326150 for “Urethane and Other Foam Products (except Polystyrene) Manufacturing.”</w:t>
      </w:r>
    </w:p>
    <w:p w:rsidR="002337C1" w:rsidP="00147EA6" w:rsidRDefault="00A46B57" w14:paraId="1C681717" w14:textId="77777777">
      <w:pPr>
        <w:pStyle w:val="Heading2"/>
      </w:pPr>
      <w:r>
        <w:t>4(b) Information Requested</w:t>
      </w:r>
    </w:p>
    <w:p w:rsidR="002337C1" w:rsidP="00147EA6" w:rsidRDefault="00915850" w14:paraId="258239F3" w14:textId="7D6A95F9">
      <w:pPr>
        <w:pStyle w:val="Heading3"/>
      </w:pPr>
      <w:r>
        <w:t>(</w:t>
      </w:r>
      <w:proofErr w:type="spellStart"/>
      <w:r>
        <w:t>i</w:t>
      </w:r>
      <w:proofErr w:type="spellEnd"/>
      <w:r>
        <w:t xml:space="preserve">) </w:t>
      </w:r>
      <w:r w:rsidR="00A46B57">
        <w:t>Data</w:t>
      </w:r>
      <w:r w:rsidR="00A46B57">
        <w:rPr>
          <w:spacing w:val="-1"/>
        </w:rPr>
        <w:t xml:space="preserve"> </w:t>
      </w:r>
      <w:r w:rsidR="00A46B57">
        <w:t>Items</w:t>
      </w:r>
    </w:p>
    <w:p w:rsidR="002337C1" w:rsidP="00147EA6" w:rsidRDefault="00A46B57" w14:paraId="66FEACA0" w14:textId="76E9F3B6">
      <w:pPr>
        <w:pStyle w:val="BodyText"/>
      </w:pPr>
      <w:r>
        <w:t xml:space="preserve">In this ICR, all the data that is recorded or reported is required by the NESHAP for Flexible Polyurethane Foam Fabrication (40 CFR </w:t>
      </w:r>
      <w:r w:rsidR="000C69D6">
        <w:t>p</w:t>
      </w:r>
      <w:r>
        <w:t>art</w:t>
      </w:r>
      <w:r w:rsidR="00EE5EE7">
        <w:t> </w:t>
      </w:r>
      <w:r>
        <w:t xml:space="preserve">63, </w:t>
      </w:r>
      <w:r w:rsidR="000C69D6">
        <w:t>s</w:t>
      </w:r>
      <w:r>
        <w:t>ubpart</w:t>
      </w:r>
      <w:r w:rsidR="00EE5EE7">
        <w:t> </w:t>
      </w:r>
      <w:r>
        <w:t>MMMMM).</w:t>
      </w:r>
    </w:p>
    <w:p w:rsidR="002337C1" w:rsidP="001E00F6" w:rsidRDefault="00A46B57" w14:paraId="284DEBF4" w14:textId="65E91971">
      <w:pPr>
        <w:pStyle w:val="BodyText"/>
        <w:keepNext/>
      </w:pPr>
      <w:r>
        <w:lastRenderedPageBreak/>
        <w:t>A source must make the following notifications:</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6920"/>
        <w:gridCol w:w="2430"/>
        <w:gridCol w:w="10"/>
      </w:tblGrid>
      <w:tr w:rsidR="002337C1" w:rsidTr="001E00F6" w14:paraId="375C0D88" w14:textId="77777777">
        <w:trPr>
          <w:gridAfter w:val="1"/>
          <w:wAfter w:w="10" w:type="dxa"/>
          <w:cantSplit/>
          <w:trHeight w:val="288"/>
          <w:tblHeader/>
        </w:trPr>
        <w:tc>
          <w:tcPr>
            <w:tcW w:w="9350" w:type="dxa"/>
            <w:gridSpan w:val="2"/>
            <w:tcMar>
              <w:top w:w="86" w:type="dxa"/>
              <w:left w:w="86" w:type="dxa"/>
              <w:bottom w:w="29" w:type="dxa"/>
              <w:right w:w="86" w:type="dxa"/>
            </w:tcMar>
            <w:vAlign w:val="center"/>
          </w:tcPr>
          <w:p w:rsidRPr="00E37BFB" w:rsidR="002337C1" w:rsidP="001E00F6" w:rsidRDefault="00A46B57" w14:paraId="4EC6B008" w14:textId="77777777">
            <w:pPr>
              <w:keepNext/>
              <w:ind w:left="-2020"/>
              <w:jc w:val="center"/>
              <w:rPr>
                <w:b/>
                <w:bCs/>
              </w:rPr>
            </w:pPr>
            <w:r w:rsidRPr="00E37BFB">
              <w:rPr>
                <w:b/>
                <w:bCs/>
              </w:rPr>
              <w:t>Notifications</w:t>
            </w:r>
          </w:p>
        </w:tc>
      </w:tr>
      <w:tr w:rsidR="002337C1" w:rsidTr="001E00F6" w14:paraId="013AF24B" w14:textId="77777777">
        <w:trPr>
          <w:cantSplit/>
          <w:trHeight w:val="288"/>
        </w:trPr>
        <w:tc>
          <w:tcPr>
            <w:tcW w:w="6920" w:type="dxa"/>
            <w:tcMar>
              <w:top w:w="86" w:type="dxa"/>
              <w:left w:w="86" w:type="dxa"/>
              <w:bottom w:w="29" w:type="dxa"/>
              <w:right w:w="86" w:type="dxa"/>
            </w:tcMar>
            <w:vAlign w:val="bottom"/>
          </w:tcPr>
          <w:p w:rsidR="002337C1" w:rsidP="001E00F6" w:rsidRDefault="00A46B57" w14:paraId="617FE016" w14:textId="77777777">
            <w:pPr>
              <w:keepNext/>
            </w:pPr>
            <w:r>
              <w:t>Initial notifications</w:t>
            </w:r>
          </w:p>
        </w:tc>
        <w:tc>
          <w:tcPr>
            <w:tcW w:w="2440" w:type="dxa"/>
            <w:gridSpan w:val="2"/>
            <w:tcMar>
              <w:top w:w="86" w:type="dxa"/>
              <w:left w:w="86" w:type="dxa"/>
              <w:bottom w:w="29" w:type="dxa"/>
              <w:right w:w="86" w:type="dxa"/>
            </w:tcMar>
            <w:vAlign w:val="bottom"/>
          </w:tcPr>
          <w:p w:rsidR="002337C1" w:rsidP="001E00F6" w:rsidRDefault="00A852B5" w14:paraId="01C4A95A" w14:textId="17977F1D">
            <w:pPr>
              <w:keepNext/>
            </w:pPr>
            <w:r>
              <w:t xml:space="preserve">40 CFR </w:t>
            </w:r>
            <w:r w:rsidR="00A46B57">
              <w:t>63.8816(</w:t>
            </w:r>
            <w:r w:rsidR="00AF5BFA">
              <w:t>b</w:t>
            </w:r>
            <w:r w:rsidR="00A46B57">
              <w:t>),</w:t>
            </w:r>
          </w:p>
          <w:p w:rsidR="002337C1" w:rsidP="001E00F6" w:rsidRDefault="00A46B57" w14:paraId="70A190BF" w14:textId="77777777">
            <w:pPr>
              <w:keepNext/>
            </w:pPr>
            <w:r>
              <w:t>63.9(b)</w:t>
            </w:r>
          </w:p>
        </w:tc>
      </w:tr>
      <w:tr w:rsidR="002337C1" w:rsidTr="001E00F6" w14:paraId="2311EDB9" w14:textId="77777777">
        <w:trPr>
          <w:cantSplit/>
          <w:trHeight w:val="288"/>
        </w:trPr>
        <w:tc>
          <w:tcPr>
            <w:tcW w:w="6920" w:type="dxa"/>
            <w:tcMar>
              <w:top w:w="86" w:type="dxa"/>
              <w:left w:w="86" w:type="dxa"/>
              <w:bottom w:w="29" w:type="dxa"/>
              <w:right w:w="86" w:type="dxa"/>
            </w:tcMar>
            <w:vAlign w:val="bottom"/>
          </w:tcPr>
          <w:p w:rsidR="002337C1" w:rsidP="00E37BFB" w:rsidRDefault="00A46B57" w14:paraId="4D6DD7E0" w14:textId="77777777">
            <w:r>
              <w:t>Application for construction/reconstruction (note: new or reconstructed sources must instead submit this application in lieu of initial notifications)</w:t>
            </w:r>
          </w:p>
        </w:tc>
        <w:tc>
          <w:tcPr>
            <w:tcW w:w="2440" w:type="dxa"/>
            <w:gridSpan w:val="2"/>
            <w:tcMar>
              <w:top w:w="86" w:type="dxa"/>
              <w:left w:w="86" w:type="dxa"/>
              <w:bottom w:w="29" w:type="dxa"/>
              <w:right w:w="86" w:type="dxa"/>
            </w:tcMar>
            <w:vAlign w:val="bottom"/>
          </w:tcPr>
          <w:p w:rsidR="002337C1" w:rsidP="00E37BFB" w:rsidRDefault="000C69D6" w14:paraId="09FF81CC" w14:textId="09FA2B8B">
            <w:r>
              <w:t xml:space="preserve">40 CFR </w:t>
            </w:r>
            <w:r w:rsidR="00A46B57">
              <w:t>63.8816(c),</w:t>
            </w:r>
          </w:p>
          <w:p w:rsidR="002337C1" w:rsidP="00E37BFB" w:rsidRDefault="00A46B57" w14:paraId="2A2330C0" w14:textId="77777777">
            <w:r>
              <w:t>63.9(b)(1)(iii)</w:t>
            </w:r>
          </w:p>
        </w:tc>
      </w:tr>
      <w:tr w:rsidR="002337C1" w:rsidTr="001E00F6" w14:paraId="38BC9E31" w14:textId="77777777">
        <w:trPr>
          <w:cantSplit/>
          <w:trHeight w:val="288"/>
        </w:trPr>
        <w:tc>
          <w:tcPr>
            <w:tcW w:w="6920" w:type="dxa"/>
            <w:tcMar>
              <w:top w:w="86" w:type="dxa"/>
              <w:left w:w="86" w:type="dxa"/>
              <w:bottom w:w="29" w:type="dxa"/>
              <w:right w:w="86" w:type="dxa"/>
            </w:tcMar>
            <w:vAlign w:val="bottom"/>
          </w:tcPr>
          <w:p w:rsidR="002337C1" w:rsidP="00E37BFB" w:rsidRDefault="00A46B57" w14:paraId="01D99FFD" w14:textId="77777777">
            <w:r>
              <w:t>Notification of performance test</w:t>
            </w:r>
          </w:p>
        </w:tc>
        <w:tc>
          <w:tcPr>
            <w:tcW w:w="2440" w:type="dxa"/>
            <w:gridSpan w:val="2"/>
            <w:tcMar>
              <w:top w:w="86" w:type="dxa"/>
              <w:left w:w="86" w:type="dxa"/>
              <w:bottom w:w="29" w:type="dxa"/>
              <w:right w:w="86" w:type="dxa"/>
            </w:tcMar>
            <w:vAlign w:val="bottom"/>
          </w:tcPr>
          <w:p w:rsidR="002337C1" w:rsidP="00E37BFB" w:rsidRDefault="000C69D6" w14:paraId="14DB4EDB" w14:textId="738CFBD4">
            <w:r>
              <w:t xml:space="preserve">40 CFR </w:t>
            </w:r>
            <w:r w:rsidR="00A46B57">
              <w:t>63.8816(d),</w:t>
            </w:r>
          </w:p>
          <w:p w:rsidR="002337C1" w:rsidP="00E37BFB" w:rsidRDefault="00A46B57" w14:paraId="3C6CE5E7" w14:textId="77777777">
            <w:r>
              <w:t>63.7(b), 63.9(e)</w:t>
            </w:r>
          </w:p>
        </w:tc>
      </w:tr>
      <w:tr w:rsidR="002337C1" w:rsidTr="001E00F6" w14:paraId="5CE9840D" w14:textId="77777777">
        <w:trPr>
          <w:cantSplit/>
          <w:trHeight w:val="288"/>
        </w:trPr>
        <w:tc>
          <w:tcPr>
            <w:tcW w:w="6920" w:type="dxa"/>
            <w:tcMar>
              <w:top w:w="86" w:type="dxa"/>
              <w:left w:w="86" w:type="dxa"/>
              <w:bottom w:w="29" w:type="dxa"/>
              <w:right w:w="86" w:type="dxa"/>
            </w:tcMar>
            <w:vAlign w:val="bottom"/>
          </w:tcPr>
          <w:p w:rsidR="002337C1" w:rsidP="00E37BFB" w:rsidRDefault="00A46B57" w14:paraId="370D9E62" w14:textId="77777777">
            <w:r>
              <w:t>Notification of compliance status</w:t>
            </w:r>
          </w:p>
        </w:tc>
        <w:tc>
          <w:tcPr>
            <w:tcW w:w="2440" w:type="dxa"/>
            <w:gridSpan w:val="2"/>
            <w:tcMar>
              <w:top w:w="86" w:type="dxa"/>
              <w:left w:w="86" w:type="dxa"/>
              <w:bottom w:w="29" w:type="dxa"/>
              <w:right w:w="86" w:type="dxa"/>
            </w:tcMar>
            <w:vAlign w:val="bottom"/>
          </w:tcPr>
          <w:p w:rsidR="002337C1" w:rsidP="00E37BFB" w:rsidRDefault="000C69D6" w14:paraId="2081F49D" w14:textId="1DA412E6">
            <w:r>
              <w:t xml:space="preserve">40 CFR </w:t>
            </w:r>
            <w:r w:rsidR="00A46B57">
              <w:t>63.8816(e-h),</w:t>
            </w:r>
          </w:p>
          <w:p w:rsidR="002337C1" w:rsidP="00E37BFB" w:rsidRDefault="00A46B57" w14:paraId="3491EACD" w14:textId="77777777">
            <w:r>
              <w:t>63.9(h)(2)(ii)</w:t>
            </w:r>
          </w:p>
        </w:tc>
      </w:tr>
      <w:tr w:rsidR="0013572A" w:rsidTr="001E00F6" w14:paraId="24A04FF9" w14:textId="77777777">
        <w:trPr>
          <w:cantSplit/>
          <w:trHeight w:val="288"/>
        </w:trPr>
        <w:tc>
          <w:tcPr>
            <w:tcW w:w="6920" w:type="dxa"/>
            <w:tcMar>
              <w:top w:w="86" w:type="dxa"/>
              <w:left w:w="86" w:type="dxa"/>
              <w:bottom w:w="29" w:type="dxa"/>
              <w:right w:w="86" w:type="dxa"/>
            </w:tcMar>
            <w:vAlign w:val="bottom"/>
          </w:tcPr>
          <w:p w:rsidR="0013572A" w:rsidP="00E37BFB" w:rsidRDefault="0013572A" w14:paraId="027CDCF7" w14:textId="681A40A8">
            <w:r>
              <w:t>Notification of delay in electronic reporting due to an EPA system outage</w:t>
            </w:r>
          </w:p>
        </w:tc>
        <w:tc>
          <w:tcPr>
            <w:tcW w:w="2440" w:type="dxa"/>
            <w:gridSpan w:val="2"/>
            <w:tcMar>
              <w:top w:w="86" w:type="dxa"/>
              <w:left w:w="86" w:type="dxa"/>
              <w:bottom w:w="29" w:type="dxa"/>
              <w:right w:w="86" w:type="dxa"/>
            </w:tcMar>
            <w:vAlign w:val="bottom"/>
          </w:tcPr>
          <w:p w:rsidR="0013572A" w:rsidP="00E37BFB" w:rsidRDefault="0013572A" w14:paraId="0B35A8FB" w14:textId="0BEFAF7A">
            <w:r>
              <w:t>40 CFR 63.8818(l)(4)</w:t>
            </w:r>
          </w:p>
        </w:tc>
      </w:tr>
      <w:tr w:rsidR="00317674" w:rsidTr="001E00F6" w14:paraId="7A0B18D3" w14:textId="77777777">
        <w:trPr>
          <w:cantSplit/>
          <w:trHeight w:val="288"/>
        </w:trPr>
        <w:tc>
          <w:tcPr>
            <w:tcW w:w="6920" w:type="dxa"/>
            <w:tcMar>
              <w:top w:w="86" w:type="dxa"/>
              <w:left w:w="86" w:type="dxa"/>
              <w:bottom w:w="29" w:type="dxa"/>
              <w:right w:w="86" w:type="dxa"/>
            </w:tcMar>
            <w:vAlign w:val="bottom"/>
          </w:tcPr>
          <w:p w:rsidR="00317674" w:rsidP="00E37BFB" w:rsidRDefault="00317674" w14:paraId="5D14A1FE" w14:textId="4B47D824">
            <w:r>
              <w:t>Notification of CMS performance evaluation</w:t>
            </w:r>
          </w:p>
        </w:tc>
        <w:tc>
          <w:tcPr>
            <w:tcW w:w="2440" w:type="dxa"/>
            <w:gridSpan w:val="2"/>
            <w:tcMar>
              <w:top w:w="86" w:type="dxa"/>
              <w:left w:w="86" w:type="dxa"/>
              <w:bottom w:w="29" w:type="dxa"/>
              <w:right w:w="86" w:type="dxa"/>
            </w:tcMar>
            <w:vAlign w:val="bottom"/>
          </w:tcPr>
          <w:p w:rsidR="00317674" w:rsidP="00E37BFB" w:rsidRDefault="00317674" w14:paraId="7B976503" w14:textId="24ED21C3">
            <w:r>
              <w:t>40 CFR 63.9(g)(1)</w:t>
            </w:r>
          </w:p>
        </w:tc>
      </w:tr>
    </w:tbl>
    <w:p w:rsidR="002337C1" w:rsidP="001E00F6" w:rsidRDefault="00A46B57" w14:paraId="79B94D69" w14:textId="415AE471">
      <w:pPr>
        <w:pStyle w:val="BodyText"/>
        <w:keepNext/>
      </w:pPr>
      <w:r>
        <w:t>A source must make the following reports:</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29" w:type="dxa"/>
          <w:left w:w="86" w:type="dxa"/>
          <w:bottom w:w="29" w:type="dxa"/>
          <w:right w:w="86" w:type="dxa"/>
        </w:tblCellMar>
        <w:tblLook w:val="01E0" w:firstRow="1" w:lastRow="1" w:firstColumn="1" w:lastColumn="1" w:noHBand="0" w:noVBand="0"/>
      </w:tblPr>
      <w:tblGrid>
        <w:gridCol w:w="6920"/>
        <w:gridCol w:w="2440"/>
      </w:tblGrid>
      <w:tr w:rsidR="002337C1" w:rsidTr="001E00F6" w14:paraId="68E0C3DB" w14:textId="77777777">
        <w:trPr>
          <w:cantSplit/>
          <w:trHeight w:val="288"/>
          <w:tblHeader/>
        </w:trPr>
        <w:tc>
          <w:tcPr>
            <w:tcW w:w="9360" w:type="dxa"/>
            <w:gridSpan w:val="2"/>
            <w:tcMar>
              <w:top w:w="86" w:type="dxa"/>
            </w:tcMar>
            <w:vAlign w:val="center"/>
          </w:tcPr>
          <w:p w:rsidRPr="0039009B" w:rsidR="002337C1" w:rsidP="001E00F6" w:rsidRDefault="00A46B57" w14:paraId="6E630C6E" w14:textId="77777777">
            <w:pPr>
              <w:keepNext/>
              <w:jc w:val="center"/>
              <w:rPr>
                <w:b/>
                <w:bCs/>
              </w:rPr>
            </w:pPr>
            <w:r w:rsidRPr="0039009B">
              <w:rPr>
                <w:b/>
                <w:bCs/>
              </w:rPr>
              <w:t>Reports</w:t>
            </w:r>
          </w:p>
        </w:tc>
      </w:tr>
      <w:tr w:rsidR="002337C1" w:rsidTr="001E00F6" w14:paraId="30475D79" w14:textId="77777777">
        <w:trPr>
          <w:cantSplit/>
          <w:trHeight w:val="288"/>
        </w:trPr>
        <w:tc>
          <w:tcPr>
            <w:tcW w:w="6920" w:type="dxa"/>
            <w:tcMar>
              <w:top w:w="86" w:type="dxa"/>
            </w:tcMar>
            <w:vAlign w:val="bottom"/>
          </w:tcPr>
          <w:p w:rsidR="002337C1" w:rsidP="001E00F6" w:rsidRDefault="00A46B57" w14:paraId="11C697FB" w14:textId="77777777">
            <w:pPr>
              <w:keepNext/>
            </w:pPr>
            <w:r>
              <w:t>Initial and subsequent semiannual compliance reports (flame lamination sources only)</w:t>
            </w:r>
          </w:p>
        </w:tc>
        <w:tc>
          <w:tcPr>
            <w:tcW w:w="2440" w:type="dxa"/>
            <w:tcMar>
              <w:top w:w="86" w:type="dxa"/>
            </w:tcMar>
            <w:vAlign w:val="bottom"/>
          </w:tcPr>
          <w:p w:rsidR="002337C1" w:rsidP="001E00F6" w:rsidRDefault="00A852B5" w14:paraId="0AC12F7C" w14:textId="18625E11">
            <w:pPr>
              <w:keepNext/>
            </w:pPr>
            <w:r>
              <w:t xml:space="preserve">40 CFR </w:t>
            </w:r>
            <w:r w:rsidR="00A46B57">
              <w:t>63.8818(b)</w:t>
            </w:r>
          </w:p>
        </w:tc>
      </w:tr>
      <w:tr w:rsidR="002337C1" w:rsidTr="001E00F6" w14:paraId="307ED0B1" w14:textId="77777777">
        <w:trPr>
          <w:cantSplit/>
          <w:trHeight w:val="288"/>
        </w:trPr>
        <w:tc>
          <w:tcPr>
            <w:tcW w:w="6920" w:type="dxa"/>
            <w:tcMar>
              <w:top w:w="86" w:type="dxa"/>
            </w:tcMar>
            <w:vAlign w:val="bottom"/>
          </w:tcPr>
          <w:p w:rsidR="002337C1" w:rsidP="001E00F6" w:rsidRDefault="00A46B57" w14:paraId="3CD9B1FD" w14:textId="77777777">
            <w:pPr>
              <w:keepNext/>
            </w:pPr>
            <w:r>
              <w:t>Initial and subsequent annual compliance reports (loop slitter sources</w:t>
            </w:r>
          </w:p>
          <w:p w:rsidR="002337C1" w:rsidP="001E00F6" w:rsidRDefault="00A46B57" w14:paraId="068E183F" w14:textId="77777777">
            <w:pPr>
              <w:keepNext/>
            </w:pPr>
            <w:r>
              <w:t>only)</w:t>
            </w:r>
          </w:p>
        </w:tc>
        <w:tc>
          <w:tcPr>
            <w:tcW w:w="2440" w:type="dxa"/>
            <w:tcMar>
              <w:top w:w="86" w:type="dxa"/>
            </w:tcMar>
            <w:vAlign w:val="bottom"/>
          </w:tcPr>
          <w:p w:rsidR="002337C1" w:rsidP="001E00F6" w:rsidRDefault="000C69D6" w14:paraId="1444DA7E" w14:textId="61AE852C">
            <w:pPr>
              <w:keepNext/>
            </w:pPr>
            <w:r>
              <w:t xml:space="preserve">40 CFR </w:t>
            </w:r>
            <w:r w:rsidR="00A46B57">
              <w:t>63.8818(c)</w:t>
            </w:r>
          </w:p>
        </w:tc>
      </w:tr>
    </w:tbl>
    <w:p w:rsidR="002337C1" w:rsidP="001E00F6" w:rsidRDefault="00A46B57" w14:paraId="31E15C59" w14:textId="76C76C2F">
      <w:pPr>
        <w:pStyle w:val="BodyText"/>
        <w:keepNext/>
      </w:pPr>
      <w:r>
        <w:t>A source must keep the following records:</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29" w:type="dxa"/>
          <w:left w:w="86" w:type="dxa"/>
          <w:bottom w:w="29" w:type="dxa"/>
          <w:right w:w="86" w:type="dxa"/>
        </w:tblCellMar>
        <w:tblLook w:val="01E0" w:firstRow="1" w:lastRow="1" w:firstColumn="1" w:lastColumn="1" w:noHBand="0" w:noVBand="0"/>
      </w:tblPr>
      <w:tblGrid>
        <w:gridCol w:w="6920"/>
        <w:gridCol w:w="2440"/>
      </w:tblGrid>
      <w:tr w:rsidR="002337C1" w:rsidTr="001E00F6" w14:paraId="2CE25978" w14:textId="77777777">
        <w:trPr>
          <w:cantSplit/>
          <w:trHeight w:val="288"/>
          <w:tblHeader/>
        </w:trPr>
        <w:tc>
          <w:tcPr>
            <w:tcW w:w="9360" w:type="dxa"/>
            <w:gridSpan w:val="2"/>
            <w:tcMar>
              <w:top w:w="86" w:type="dxa"/>
            </w:tcMar>
            <w:vAlign w:val="center"/>
          </w:tcPr>
          <w:p w:rsidRPr="0039009B" w:rsidR="002337C1" w:rsidP="001E00F6" w:rsidRDefault="00A46B57" w14:paraId="0529BA72" w14:textId="77777777">
            <w:pPr>
              <w:keepNext/>
              <w:jc w:val="center"/>
              <w:rPr>
                <w:b/>
                <w:bCs/>
              </w:rPr>
            </w:pPr>
            <w:r w:rsidRPr="0039009B">
              <w:rPr>
                <w:b/>
                <w:bCs/>
              </w:rPr>
              <w:t>Recordkeeping</w:t>
            </w:r>
          </w:p>
        </w:tc>
      </w:tr>
      <w:tr w:rsidR="002337C1" w:rsidTr="001E00F6" w14:paraId="68DD2E33" w14:textId="77777777">
        <w:trPr>
          <w:cantSplit/>
          <w:trHeight w:val="288"/>
        </w:trPr>
        <w:tc>
          <w:tcPr>
            <w:tcW w:w="6920" w:type="dxa"/>
            <w:tcMar>
              <w:top w:w="86" w:type="dxa"/>
            </w:tcMar>
            <w:vAlign w:val="bottom"/>
          </w:tcPr>
          <w:p w:rsidR="002337C1" w:rsidP="001E00F6" w:rsidRDefault="00A46B57" w14:paraId="028F10F6" w14:textId="77777777">
            <w:pPr>
              <w:keepNext/>
            </w:pPr>
            <w:r>
              <w:t>Record of all notifications and reports</w:t>
            </w:r>
          </w:p>
        </w:tc>
        <w:tc>
          <w:tcPr>
            <w:tcW w:w="2440" w:type="dxa"/>
            <w:tcMar>
              <w:top w:w="86" w:type="dxa"/>
            </w:tcMar>
            <w:vAlign w:val="bottom"/>
          </w:tcPr>
          <w:p w:rsidR="002337C1" w:rsidP="001E00F6" w:rsidRDefault="00A852B5" w14:paraId="458A61F8" w14:textId="2244CE55">
            <w:pPr>
              <w:keepNext/>
            </w:pPr>
            <w:r>
              <w:t xml:space="preserve">40 CFR </w:t>
            </w:r>
            <w:r w:rsidR="00A46B57">
              <w:t>63.8820(a)</w:t>
            </w:r>
          </w:p>
        </w:tc>
      </w:tr>
      <w:tr w:rsidR="002337C1" w:rsidTr="001E00F6" w14:paraId="7C21E202" w14:textId="77777777">
        <w:trPr>
          <w:cantSplit/>
          <w:trHeight w:val="288"/>
        </w:trPr>
        <w:tc>
          <w:tcPr>
            <w:tcW w:w="6920" w:type="dxa"/>
            <w:tcMar>
              <w:top w:w="86" w:type="dxa"/>
            </w:tcMar>
            <w:vAlign w:val="bottom"/>
          </w:tcPr>
          <w:p w:rsidR="002337C1" w:rsidP="0039009B" w:rsidRDefault="00A46B57" w14:paraId="084259D6" w14:textId="77777777">
            <w:r>
              <w:t>Record of performance tests, operating parameters, and emissions deviations (flame lamination sources only)</w:t>
            </w:r>
          </w:p>
        </w:tc>
        <w:tc>
          <w:tcPr>
            <w:tcW w:w="2440" w:type="dxa"/>
            <w:tcMar>
              <w:top w:w="86" w:type="dxa"/>
            </w:tcMar>
            <w:vAlign w:val="bottom"/>
          </w:tcPr>
          <w:p w:rsidR="002337C1" w:rsidP="0039009B" w:rsidRDefault="000C69D6" w14:paraId="747D0B28" w14:textId="62CE49A7">
            <w:r>
              <w:t xml:space="preserve">40 CFR </w:t>
            </w:r>
            <w:r w:rsidR="00A46B57">
              <w:t>63.8820(b)</w:t>
            </w:r>
          </w:p>
        </w:tc>
      </w:tr>
      <w:tr w:rsidR="002337C1" w:rsidTr="001E00F6" w14:paraId="6D036F02" w14:textId="77777777">
        <w:trPr>
          <w:cantSplit/>
          <w:trHeight w:val="288"/>
        </w:trPr>
        <w:tc>
          <w:tcPr>
            <w:tcW w:w="6920" w:type="dxa"/>
            <w:tcMar>
              <w:top w:w="86" w:type="dxa"/>
            </w:tcMar>
            <w:vAlign w:val="bottom"/>
          </w:tcPr>
          <w:p w:rsidR="002337C1" w:rsidP="0039009B" w:rsidRDefault="00A46B57" w14:paraId="3AE856E5" w14:textId="7A9F3FB8">
            <w:r>
              <w:t>Record of adhesives used, adhesives suppliers, and Method</w:t>
            </w:r>
            <w:r w:rsidR="00EE5EE7">
              <w:t> </w:t>
            </w:r>
            <w:r>
              <w:t>311 tests (loop slitter sources only)</w:t>
            </w:r>
          </w:p>
        </w:tc>
        <w:tc>
          <w:tcPr>
            <w:tcW w:w="2440" w:type="dxa"/>
            <w:tcMar>
              <w:top w:w="86" w:type="dxa"/>
            </w:tcMar>
            <w:vAlign w:val="bottom"/>
          </w:tcPr>
          <w:p w:rsidR="002337C1" w:rsidP="0039009B" w:rsidRDefault="000C69D6" w14:paraId="7E5A65E1" w14:textId="58F1F818">
            <w:r>
              <w:t xml:space="preserve">40 CFR </w:t>
            </w:r>
            <w:r w:rsidR="00A46B57">
              <w:t>63.8820(c)</w:t>
            </w:r>
          </w:p>
        </w:tc>
      </w:tr>
      <w:tr w:rsidR="002337C1" w:rsidTr="001E00F6" w14:paraId="3520813B" w14:textId="77777777">
        <w:trPr>
          <w:cantSplit/>
          <w:trHeight w:val="288"/>
        </w:trPr>
        <w:tc>
          <w:tcPr>
            <w:tcW w:w="6920" w:type="dxa"/>
            <w:tcMar>
              <w:top w:w="86" w:type="dxa"/>
            </w:tcMar>
            <w:vAlign w:val="bottom"/>
          </w:tcPr>
          <w:p w:rsidR="002337C1" w:rsidP="0039009B" w:rsidRDefault="00A46B57" w14:paraId="37C68CC0" w14:textId="77777777">
            <w:r>
              <w:t>Five-year records retention</w:t>
            </w:r>
          </w:p>
        </w:tc>
        <w:tc>
          <w:tcPr>
            <w:tcW w:w="2440" w:type="dxa"/>
            <w:tcMar>
              <w:top w:w="86" w:type="dxa"/>
            </w:tcMar>
            <w:vAlign w:val="bottom"/>
          </w:tcPr>
          <w:p w:rsidR="002337C1" w:rsidP="0039009B" w:rsidRDefault="000C69D6" w14:paraId="57126050" w14:textId="3115A77F">
            <w:r>
              <w:t xml:space="preserve">40 CFR </w:t>
            </w:r>
            <w:r w:rsidR="00A46B57">
              <w:t>63.8822(b),</w:t>
            </w:r>
          </w:p>
          <w:p w:rsidR="002337C1" w:rsidP="0039009B" w:rsidRDefault="00A46B57" w14:paraId="7705D099" w14:textId="77777777">
            <w:r>
              <w:t>63.10(b)(1)</w:t>
            </w:r>
          </w:p>
        </w:tc>
      </w:tr>
    </w:tbl>
    <w:p w:rsidR="000C69D6" w:rsidP="00DC5082" w:rsidRDefault="000C69D6" w14:paraId="146B039A" w14:textId="77777777"/>
    <w:p w:rsidRPr="00DC5082" w:rsidR="000C69D6" w:rsidP="000C69D6" w:rsidRDefault="000C69D6" w14:paraId="010E12B1" w14:textId="27C66800">
      <w:pPr>
        <w:rPr>
          <w:szCs w:val="24"/>
          <w:u w:val="single"/>
        </w:rPr>
      </w:pPr>
      <w:r w:rsidRPr="00DC5082">
        <w:rPr>
          <w:szCs w:val="24"/>
          <w:u w:val="single"/>
        </w:rPr>
        <w:t>Subsequent Performance Test Requirements (Every 5 Years)</w:t>
      </w:r>
    </w:p>
    <w:p w:rsidRPr="00DC5082" w:rsidR="000C69D6" w:rsidRDefault="000C69D6" w14:paraId="13EFCFB1" w14:textId="09838EA6">
      <w:pPr>
        <w:pStyle w:val="BodyText"/>
      </w:pPr>
      <w:r w:rsidRPr="00DC5082">
        <w:t xml:space="preserve">The </w:t>
      </w:r>
      <w:r w:rsidR="008E4008">
        <w:t xml:space="preserve">subject </w:t>
      </w:r>
      <w:r w:rsidRPr="00DC5082">
        <w:t>RTR amendments add the requirement to conduct performance tes</w:t>
      </w:r>
      <w:r w:rsidR="00C73D6B">
        <w:t>t</w:t>
      </w:r>
      <w:r w:rsidRPr="00DC5082">
        <w:t xml:space="preserve">s </w:t>
      </w:r>
      <w:r>
        <w:t xml:space="preserve">no less frequently than </w:t>
      </w:r>
      <w:r w:rsidRPr="00DC5082">
        <w:t>every 5</w:t>
      </w:r>
      <w:r>
        <w:t> </w:t>
      </w:r>
      <w:r w:rsidRPr="00DC5082">
        <w:t xml:space="preserve">years </w:t>
      </w:r>
      <w:r w:rsidR="0065257B">
        <w:t xml:space="preserve">(60 months) </w:t>
      </w:r>
      <w:r w:rsidRPr="00DC5082">
        <w:t xml:space="preserve">after the conduct of the initial performance test (or last </w:t>
      </w:r>
      <w:r w:rsidRPr="00DC5082">
        <w:lastRenderedPageBreak/>
        <w:t xml:space="preserve">performance test conducted to demonstrate compliance with the </w:t>
      </w:r>
      <w:r>
        <w:t>Flexible Polyurethane Foam Fabrication Operations NESHAP</w:t>
      </w:r>
      <w:r w:rsidR="00C73D6B">
        <w:t>)</w:t>
      </w:r>
      <w:r>
        <w:t xml:space="preserve">, </w:t>
      </w:r>
      <w:r w:rsidRPr="00DC5082">
        <w:t>to ensure continued/ongoing compliance with the standards.</w:t>
      </w:r>
    </w:p>
    <w:p w:rsidRPr="00DC5082" w:rsidR="002337C1" w:rsidP="000C69D6" w:rsidRDefault="00A46B57" w14:paraId="1FD59B89" w14:textId="77777777">
      <w:pPr>
        <w:rPr>
          <w:u w:val="single"/>
        </w:rPr>
      </w:pPr>
      <w:r w:rsidRPr="00DC5082">
        <w:rPr>
          <w:u w:val="single"/>
        </w:rPr>
        <w:t>Electronic Reporting</w:t>
      </w:r>
    </w:p>
    <w:p w:rsidR="002D3875" w:rsidP="00147EA6" w:rsidRDefault="002D3875" w14:paraId="2DC06AE3" w14:textId="4395FE82">
      <w:pPr>
        <w:pStyle w:val="BodyText"/>
      </w:pPr>
      <w:r>
        <w:rPr>
          <w:rStyle w:val="normaltextrun"/>
          <w:color w:val="000000"/>
          <w:shd w:val="clear" w:color="auto" w:fill="FFFFFF"/>
        </w:rPr>
        <w:t>As part of the proposed RTR amendments, respondents are required to use the EPA’s Electronic Reporting Tool (ERT) to develop performance test reports and submit them through the EPA’s Compliance and Emissions Data Reporting Interface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In this proposal, respondents would also be required to submit notifications and semiannual reports through the EPA’s CEDRI. The notification is an upload of their currently required notification in portable document format (PDF) file. The semiannual reports are to be created using</w:t>
      </w:r>
      <w:r w:rsidR="00DE054A">
        <w:rPr>
          <w:rStyle w:val="normaltextrun"/>
          <w:color w:val="000000"/>
          <w:shd w:val="clear" w:color="auto" w:fill="FFFFFF"/>
        </w:rPr>
        <w:t xml:space="preserve"> </w:t>
      </w:r>
      <w:r>
        <w:rPr>
          <w:rStyle w:val="normaltextrun"/>
          <w:color w:val="000000"/>
          <w:shd w:val="clear" w:color="auto" w:fill="FFFFFF"/>
        </w:rPr>
        <w:t>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For purposes of this ICR, it is assumed that there will be no additional burden associated with the proposed</w:t>
      </w:r>
      <w:r w:rsidR="006E0EBE">
        <w:rPr>
          <w:rStyle w:val="normaltextrun"/>
          <w:color w:val="000000"/>
          <w:shd w:val="clear" w:color="auto" w:fill="FFFFFF"/>
        </w:rPr>
        <w:t xml:space="preserve"> </w:t>
      </w:r>
      <w:r>
        <w:rPr>
          <w:rStyle w:val="normaltextrun"/>
          <w:color w:val="000000"/>
          <w:shd w:val="clear" w:color="auto" w:fill="FFFFFF"/>
        </w:rPr>
        <w:t>requirement for respondents to submit the notifications and reports electronically.</w:t>
      </w:r>
    </w:p>
    <w:p w:rsidR="002337C1" w:rsidP="00147EA6" w:rsidRDefault="00984243" w14:paraId="7F3D6F74" w14:textId="0196DBFE">
      <w:pPr>
        <w:pStyle w:val="Heading3"/>
      </w:pPr>
      <w:r>
        <w:rPr>
          <w:noProof/>
        </w:rPr>
        <mc:AlternateContent>
          <mc:Choice Requires="wps">
            <w:drawing>
              <wp:anchor distT="0" distB="0" distL="114300" distR="114300" simplePos="0" relativeHeight="251656192" behindDoc="0" locked="0" layoutInCell="1" allowOverlap="1" wp14:editId="293CC6C0" wp14:anchorId="35E2F027">
                <wp:simplePos x="0" y="0"/>
                <wp:positionH relativeFrom="page">
                  <wp:posOffset>2080260</wp:posOffset>
                </wp:positionH>
                <wp:positionV relativeFrom="paragraph">
                  <wp:posOffset>676910</wp:posOffset>
                </wp:positionV>
                <wp:extent cx="10795" cy="768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 cy="76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63.8pt;margin-top:53.3pt;width:.85pt;height: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B201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">
                <w10:wrap anchorx="page"/>
              </v:rect>
            </w:pict>
          </mc:Fallback>
        </mc:AlternateContent>
      </w:r>
      <w:r>
        <w:rPr>
          <w:noProof/>
        </w:rPr>
        <mc:AlternateContent>
          <mc:Choice Requires="wps">
            <w:drawing>
              <wp:anchor distT="0" distB="0" distL="114300" distR="114300" simplePos="0" relativeHeight="251664384" behindDoc="0" locked="0" layoutInCell="1" allowOverlap="1" wp14:editId="347F0DC4" wp14:anchorId="5E23CFCC">
                <wp:simplePos x="0" y="0"/>
                <wp:positionH relativeFrom="page">
                  <wp:posOffset>8023860</wp:posOffset>
                </wp:positionH>
                <wp:positionV relativeFrom="paragraph">
                  <wp:posOffset>676910</wp:posOffset>
                </wp:positionV>
                <wp:extent cx="10795" cy="768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 cy="76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631.8pt;margin-top:53.3pt;width:.85pt;height:6.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FB4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">
                <w10:wrap anchorx="page"/>
              </v:rect>
            </w:pict>
          </mc:Fallback>
        </mc:AlternateContent>
      </w:r>
      <w:r w:rsidR="00D57383">
        <w:t xml:space="preserve">(ii) </w:t>
      </w:r>
      <w:r w:rsidR="00A46B57">
        <w:t>Respondent</w:t>
      </w:r>
      <w:r w:rsidR="00A46B57">
        <w:rPr>
          <w:spacing w:val="-2"/>
        </w:rPr>
        <w:t xml:space="preserve"> </w:t>
      </w:r>
      <w:r w:rsidR="00A46B57">
        <w:t>Activities</w:t>
      </w:r>
    </w:p>
    <w:tbl>
      <w:tblPr>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9" w:type="dxa"/>
          <w:left w:w="86" w:type="dxa"/>
          <w:bottom w:w="29" w:type="dxa"/>
          <w:right w:w="86" w:type="dxa"/>
        </w:tblCellMar>
        <w:tblLook w:val="01E0" w:firstRow="1" w:lastRow="1" w:firstColumn="1" w:lastColumn="1" w:noHBand="0" w:noVBand="0"/>
      </w:tblPr>
      <w:tblGrid>
        <w:gridCol w:w="9360"/>
      </w:tblGrid>
      <w:tr w:rsidR="002337C1" w:rsidTr="001E00F6" w14:paraId="78929C60" w14:textId="77777777">
        <w:trPr>
          <w:cantSplit/>
          <w:trHeight w:val="288"/>
          <w:tblHeader/>
        </w:trPr>
        <w:tc>
          <w:tcPr>
            <w:tcW w:w="9360" w:type="dxa"/>
            <w:tcMar>
              <w:top w:w="86" w:type="dxa"/>
            </w:tcMar>
            <w:vAlign w:val="center"/>
          </w:tcPr>
          <w:p w:rsidRPr="00A7734C" w:rsidR="002337C1" w:rsidP="00A7734C" w:rsidRDefault="00A46B57" w14:paraId="5A61E4C7" w14:textId="77777777">
            <w:pPr>
              <w:jc w:val="center"/>
              <w:rPr>
                <w:b/>
                <w:bCs/>
              </w:rPr>
            </w:pPr>
            <w:r w:rsidRPr="00A7734C">
              <w:rPr>
                <w:b/>
                <w:bCs/>
              </w:rPr>
              <w:t>Respondent Activities</w:t>
            </w:r>
          </w:p>
        </w:tc>
      </w:tr>
      <w:tr w:rsidR="002337C1" w:rsidTr="001E00F6" w14:paraId="5284326C" w14:textId="77777777">
        <w:trPr>
          <w:cantSplit/>
          <w:trHeight w:val="288"/>
        </w:trPr>
        <w:tc>
          <w:tcPr>
            <w:tcW w:w="9360" w:type="dxa"/>
            <w:tcBorders>
              <w:left w:val="single" w:color="000000" w:sz="8" w:space="0"/>
              <w:bottom w:val="single" w:color="000000" w:sz="8" w:space="0"/>
              <w:right w:val="single" w:color="000000" w:sz="8" w:space="0"/>
            </w:tcBorders>
            <w:tcMar>
              <w:top w:w="86" w:type="dxa"/>
            </w:tcMar>
            <w:vAlign w:val="bottom"/>
          </w:tcPr>
          <w:p w:rsidR="002337C1" w:rsidP="00A7734C" w:rsidRDefault="00A46B57" w14:paraId="2B861945" w14:textId="77777777">
            <w:r>
              <w:t>Familiarization with the regulatory requirements.</w:t>
            </w:r>
          </w:p>
        </w:tc>
      </w:tr>
      <w:tr w:rsidR="002337C1" w:rsidTr="001E00F6" w14:paraId="77E02C74" w14:textId="77777777">
        <w:trPr>
          <w:cantSplit/>
          <w:trHeight w:val="288"/>
        </w:trPr>
        <w:tc>
          <w:tcPr>
            <w:tcW w:w="9360" w:type="dxa"/>
            <w:tcBorders>
              <w:top w:val="single" w:color="000000" w:sz="8" w:space="0"/>
              <w:left w:val="single" w:color="000000" w:sz="8" w:space="0"/>
              <w:bottom w:val="single" w:color="000000" w:sz="8" w:space="0"/>
              <w:right w:val="single" w:color="000000" w:sz="8" w:space="0"/>
            </w:tcBorders>
            <w:tcMar>
              <w:top w:w="86" w:type="dxa"/>
            </w:tcMar>
            <w:vAlign w:val="bottom"/>
          </w:tcPr>
          <w:p w:rsidR="002337C1" w:rsidP="00A7734C" w:rsidRDefault="00A46B57" w14:paraId="348F4894" w14:textId="56B98CA9">
            <w:r>
              <w:t>Perform initial performance test, Reference Method</w:t>
            </w:r>
            <w:r w:rsidR="00EE5EE7">
              <w:t> </w:t>
            </w:r>
            <w:r>
              <w:t>311 test, and repeat performance tests if necessary.</w:t>
            </w:r>
          </w:p>
        </w:tc>
      </w:tr>
      <w:tr w:rsidR="002337C1" w:rsidTr="001E00F6" w14:paraId="6C16FD2A" w14:textId="77777777">
        <w:trPr>
          <w:cantSplit/>
          <w:trHeight w:val="288"/>
        </w:trPr>
        <w:tc>
          <w:tcPr>
            <w:tcW w:w="9360" w:type="dxa"/>
            <w:tcBorders>
              <w:top w:val="single" w:color="000000" w:sz="8" w:space="0"/>
              <w:left w:val="single" w:color="000000" w:sz="8" w:space="0"/>
              <w:bottom w:val="single" w:color="000000" w:sz="8" w:space="0"/>
              <w:right w:val="single" w:color="000000" w:sz="8" w:space="0"/>
            </w:tcBorders>
            <w:tcMar>
              <w:top w:w="86" w:type="dxa"/>
            </w:tcMar>
            <w:vAlign w:val="bottom"/>
          </w:tcPr>
          <w:p w:rsidR="002337C1" w:rsidP="00A7734C" w:rsidRDefault="00A46B57" w14:paraId="6E166469" w14:textId="77777777">
            <w:r>
              <w:t>Write the notifications and reports listed above.</w:t>
            </w:r>
          </w:p>
        </w:tc>
      </w:tr>
      <w:tr w:rsidR="002337C1" w:rsidTr="001E00F6" w14:paraId="640213B0" w14:textId="77777777">
        <w:trPr>
          <w:cantSplit/>
          <w:trHeight w:val="288"/>
        </w:trPr>
        <w:tc>
          <w:tcPr>
            <w:tcW w:w="9360" w:type="dxa"/>
            <w:tcBorders>
              <w:top w:val="single" w:color="000000" w:sz="8" w:space="0"/>
              <w:left w:val="single" w:color="000000" w:sz="8" w:space="0"/>
              <w:bottom w:val="single" w:color="000000" w:sz="8" w:space="0"/>
              <w:right w:val="single" w:color="000000" w:sz="8" w:space="0"/>
            </w:tcBorders>
            <w:tcMar>
              <w:top w:w="86" w:type="dxa"/>
            </w:tcMar>
            <w:vAlign w:val="bottom"/>
          </w:tcPr>
          <w:p w:rsidR="002337C1" w:rsidP="00A7734C" w:rsidRDefault="00A46B57" w14:paraId="48FB1930" w14:textId="77777777">
            <w:r>
              <w:t>Enter information required to be recorded above.</w:t>
            </w:r>
          </w:p>
        </w:tc>
      </w:tr>
      <w:tr w:rsidR="002337C1" w:rsidTr="001E00F6" w14:paraId="0717D1FE" w14:textId="77777777">
        <w:trPr>
          <w:cantSplit/>
          <w:trHeight w:val="288"/>
        </w:trPr>
        <w:tc>
          <w:tcPr>
            <w:tcW w:w="9360" w:type="dxa"/>
            <w:tcBorders>
              <w:top w:val="single" w:color="000000" w:sz="8" w:space="0"/>
              <w:left w:val="single" w:color="000000" w:sz="8" w:space="0"/>
              <w:right w:val="single" w:color="000000" w:sz="8" w:space="0"/>
            </w:tcBorders>
            <w:tcMar>
              <w:top w:w="86" w:type="dxa"/>
            </w:tcMar>
            <w:vAlign w:val="bottom"/>
          </w:tcPr>
          <w:p w:rsidR="002337C1" w:rsidP="00A7734C" w:rsidRDefault="00A46B57" w14:paraId="3EBA2B31" w14:textId="77777777">
            <w:r>
              <w:t>Submit the required reports developing, acquiring, installing, and utilizing technology and systems for the purpose of collecting, validating, and verifying information.</w:t>
            </w:r>
          </w:p>
        </w:tc>
      </w:tr>
      <w:tr w:rsidR="002337C1" w:rsidTr="001E00F6" w14:paraId="1BDFE3AD" w14:textId="77777777">
        <w:trPr>
          <w:cantSplit/>
          <w:trHeight w:val="288"/>
        </w:trPr>
        <w:tc>
          <w:tcPr>
            <w:tcW w:w="9360" w:type="dxa"/>
            <w:tcMar>
              <w:top w:w="86" w:type="dxa"/>
            </w:tcMar>
            <w:vAlign w:val="bottom"/>
          </w:tcPr>
          <w:p w:rsidR="002337C1" w:rsidP="00A7734C" w:rsidRDefault="00A46B57" w14:paraId="37DFB2EC" w14:textId="77777777">
            <w:r>
              <w:t>Develop, acquire, install, and utilize technology and systems for the purpose of processing and maintaining information.</w:t>
            </w:r>
          </w:p>
        </w:tc>
      </w:tr>
      <w:tr w:rsidR="002337C1" w:rsidTr="001E00F6" w14:paraId="3D86C53B" w14:textId="77777777">
        <w:trPr>
          <w:cantSplit/>
          <w:trHeight w:val="288"/>
        </w:trPr>
        <w:tc>
          <w:tcPr>
            <w:tcW w:w="9360" w:type="dxa"/>
            <w:tcBorders>
              <w:left w:val="single" w:color="000000" w:sz="8" w:space="0"/>
              <w:bottom w:val="single" w:color="000000" w:sz="8" w:space="0"/>
              <w:right w:val="single" w:color="000000" w:sz="8" w:space="0"/>
            </w:tcBorders>
            <w:tcMar>
              <w:top w:w="86" w:type="dxa"/>
            </w:tcMar>
            <w:vAlign w:val="bottom"/>
          </w:tcPr>
          <w:p w:rsidR="002337C1" w:rsidP="00A7734C" w:rsidRDefault="00A46B57" w14:paraId="772E1273" w14:textId="77777777">
            <w:r>
              <w:t>Develop, acquire, install, and utilize technology and systems for the purpose of disclosing and providing information.</w:t>
            </w:r>
          </w:p>
        </w:tc>
      </w:tr>
      <w:tr w:rsidR="002337C1" w:rsidTr="001E00F6" w14:paraId="73580AE9" w14:textId="77777777">
        <w:trPr>
          <w:cantSplit/>
          <w:trHeight w:val="288"/>
        </w:trPr>
        <w:tc>
          <w:tcPr>
            <w:tcW w:w="9360" w:type="dxa"/>
            <w:tcBorders>
              <w:top w:val="single" w:color="000000" w:sz="8" w:space="0"/>
              <w:left w:val="single" w:color="000000" w:sz="8" w:space="0"/>
              <w:bottom w:val="single" w:color="000000" w:sz="8" w:space="0"/>
              <w:right w:val="single" w:color="000000" w:sz="8" w:space="0"/>
            </w:tcBorders>
            <w:tcMar>
              <w:top w:w="86" w:type="dxa"/>
            </w:tcMar>
            <w:vAlign w:val="bottom"/>
          </w:tcPr>
          <w:p w:rsidR="002337C1" w:rsidP="00A7734C" w:rsidRDefault="00A46B57" w14:paraId="76494138" w14:textId="77777777">
            <w:r>
              <w:t>Train personnel to be able to respond to a collection of information.</w:t>
            </w:r>
          </w:p>
        </w:tc>
      </w:tr>
      <w:tr w:rsidR="002337C1" w:rsidTr="001E00F6" w14:paraId="1AE7D435" w14:textId="77777777">
        <w:trPr>
          <w:cantSplit/>
          <w:trHeight w:val="288"/>
        </w:trPr>
        <w:tc>
          <w:tcPr>
            <w:tcW w:w="9360" w:type="dxa"/>
            <w:tcBorders>
              <w:top w:val="single" w:color="000000" w:sz="8" w:space="0"/>
              <w:left w:val="single" w:color="000000" w:sz="8" w:space="0"/>
              <w:bottom w:val="single" w:color="000000" w:sz="8" w:space="0"/>
              <w:right w:val="single" w:color="000000" w:sz="8" w:space="0"/>
            </w:tcBorders>
            <w:tcMar>
              <w:top w:w="86" w:type="dxa"/>
            </w:tcMar>
            <w:vAlign w:val="bottom"/>
          </w:tcPr>
          <w:p w:rsidR="002337C1" w:rsidP="00A7734C" w:rsidRDefault="00A46B57" w14:paraId="13A7795E" w14:textId="77777777">
            <w:r>
              <w:t>Transmit, or otherwise disclose the information.</w:t>
            </w:r>
          </w:p>
        </w:tc>
      </w:tr>
    </w:tbl>
    <w:p w:rsidR="00D57383" w:rsidP="00147EA6" w:rsidRDefault="00D57383" w14:paraId="04E7C56C" w14:textId="64EB2FC7">
      <w:pPr>
        <w:pStyle w:val="Heading1"/>
      </w:pPr>
      <w:r>
        <w:lastRenderedPageBreak/>
        <w:t>5.</w:t>
      </w:r>
      <w:r>
        <w:tab/>
      </w:r>
      <w:r w:rsidR="00A46B57">
        <w:t>The</w:t>
      </w:r>
      <w:r w:rsidR="00A46B57">
        <w:rPr>
          <w:spacing w:val="-6"/>
        </w:rPr>
        <w:t xml:space="preserve"> </w:t>
      </w:r>
      <w:r w:rsidR="00A46B57">
        <w:t>Information</w:t>
      </w:r>
      <w:r w:rsidR="00A46B57">
        <w:rPr>
          <w:spacing w:val="-6"/>
        </w:rPr>
        <w:t xml:space="preserve"> </w:t>
      </w:r>
      <w:r w:rsidR="00A46B57">
        <w:t>Collected:</w:t>
      </w:r>
      <w:r w:rsidR="00A46B57">
        <w:rPr>
          <w:spacing w:val="-7"/>
        </w:rPr>
        <w:t xml:space="preserve"> </w:t>
      </w:r>
      <w:r w:rsidR="00A46B57">
        <w:t>Agency</w:t>
      </w:r>
      <w:r w:rsidR="00A46B57">
        <w:rPr>
          <w:spacing w:val="-6"/>
        </w:rPr>
        <w:t xml:space="preserve"> </w:t>
      </w:r>
      <w:r w:rsidR="00A46B57">
        <w:t>Activities,</w:t>
      </w:r>
      <w:r w:rsidR="00A46B57">
        <w:rPr>
          <w:spacing w:val="-4"/>
        </w:rPr>
        <w:t xml:space="preserve"> </w:t>
      </w:r>
      <w:r w:rsidR="00A46B57">
        <w:t>Collection</w:t>
      </w:r>
      <w:r w:rsidR="00A46B57">
        <w:rPr>
          <w:spacing w:val="-7"/>
        </w:rPr>
        <w:t xml:space="preserve"> </w:t>
      </w:r>
      <w:r w:rsidR="00A46B57">
        <w:t>Methodology,</w:t>
      </w:r>
      <w:r w:rsidR="00A46B57">
        <w:rPr>
          <w:spacing w:val="-5"/>
        </w:rPr>
        <w:t xml:space="preserve"> </w:t>
      </w:r>
      <w:r w:rsidR="00A46B57">
        <w:t>and</w:t>
      </w:r>
      <w:r w:rsidR="00A46B57">
        <w:rPr>
          <w:spacing w:val="-6"/>
        </w:rPr>
        <w:t xml:space="preserve"> </w:t>
      </w:r>
      <w:r w:rsidR="00A46B57">
        <w:t>Information</w:t>
      </w:r>
      <w:r w:rsidR="00A46B57">
        <w:rPr>
          <w:spacing w:val="-7"/>
        </w:rPr>
        <w:t xml:space="preserve"> </w:t>
      </w:r>
      <w:r w:rsidR="00A46B57">
        <w:t xml:space="preserve">Management </w:t>
      </w:r>
    </w:p>
    <w:p w:rsidR="002337C1" w:rsidP="00147EA6" w:rsidRDefault="00A46B57" w14:paraId="6E2B9997" w14:textId="2D4681A1">
      <w:pPr>
        <w:pStyle w:val="Heading2"/>
      </w:pPr>
      <w:r>
        <w:t>5(a) Agency</w:t>
      </w:r>
      <w:r>
        <w:rPr>
          <w:spacing w:val="-2"/>
        </w:rPr>
        <w:t xml:space="preserve"> </w:t>
      </w:r>
      <w:r>
        <w:t>Activities</w:t>
      </w:r>
    </w:p>
    <w:p w:rsidR="002337C1" w:rsidP="00147EA6" w:rsidRDefault="00A46B57" w14:paraId="19B03430" w14:textId="5CD22997">
      <w:pPr>
        <w:pStyle w:val="BodyText"/>
      </w:pPr>
      <w:r>
        <w:t>EPA conducts the following activities in connection with the acquisition, analysis, storage, and distribution of the required information:</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29" w:type="dxa"/>
          <w:left w:w="86" w:type="dxa"/>
          <w:bottom w:w="29" w:type="dxa"/>
          <w:right w:w="86" w:type="dxa"/>
        </w:tblCellMar>
        <w:tblLook w:val="01E0" w:firstRow="1" w:lastRow="1" w:firstColumn="1" w:lastColumn="1" w:noHBand="0" w:noVBand="0"/>
      </w:tblPr>
      <w:tblGrid>
        <w:gridCol w:w="9360"/>
      </w:tblGrid>
      <w:tr w:rsidR="002337C1" w:rsidTr="001E00F6" w14:paraId="69812B11" w14:textId="77777777">
        <w:trPr>
          <w:cantSplit/>
          <w:trHeight w:val="288"/>
          <w:tblHeader/>
        </w:trPr>
        <w:tc>
          <w:tcPr>
            <w:tcW w:w="9360" w:type="dxa"/>
            <w:tcMar>
              <w:top w:w="86" w:type="dxa"/>
            </w:tcMar>
            <w:vAlign w:val="center"/>
          </w:tcPr>
          <w:p w:rsidRPr="005C6948" w:rsidR="002337C1" w:rsidP="005C6948" w:rsidRDefault="00A46B57" w14:paraId="5DCBAB8D" w14:textId="77777777">
            <w:pPr>
              <w:jc w:val="center"/>
              <w:rPr>
                <w:b/>
                <w:bCs/>
              </w:rPr>
            </w:pPr>
            <w:r w:rsidRPr="005C6948">
              <w:rPr>
                <w:b/>
                <w:bCs/>
              </w:rPr>
              <w:t>Agency Activities</w:t>
            </w:r>
          </w:p>
        </w:tc>
      </w:tr>
      <w:tr w:rsidR="002337C1" w:rsidTr="001E00F6" w14:paraId="06CFB89F" w14:textId="77777777">
        <w:trPr>
          <w:cantSplit/>
          <w:trHeight w:val="288"/>
        </w:trPr>
        <w:tc>
          <w:tcPr>
            <w:tcW w:w="9360" w:type="dxa"/>
            <w:tcMar>
              <w:top w:w="86" w:type="dxa"/>
            </w:tcMar>
            <w:vAlign w:val="bottom"/>
          </w:tcPr>
          <w:p w:rsidR="002337C1" w:rsidP="005C6948" w:rsidRDefault="00A46B57" w14:paraId="1B5E2C21" w14:textId="77777777">
            <w:r>
              <w:t>Observe initial performance tests and repeat performance tests if necessary.</w:t>
            </w:r>
          </w:p>
        </w:tc>
      </w:tr>
      <w:tr w:rsidR="002337C1" w:rsidTr="001E00F6" w14:paraId="5ED5FE85" w14:textId="77777777">
        <w:trPr>
          <w:cantSplit/>
          <w:trHeight w:val="288"/>
        </w:trPr>
        <w:tc>
          <w:tcPr>
            <w:tcW w:w="9360" w:type="dxa"/>
            <w:tcMar>
              <w:top w:w="86" w:type="dxa"/>
            </w:tcMar>
            <w:vAlign w:val="bottom"/>
          </w:tcPr>
          <w:p w:rsidR="002337C1" w:rsidP="005C6948" w:rsidRDefault="00A46B57" w14:paraId="69EA5BF0" w14:textId="77777777">
            <w:r>
              <w:t>Review notifications and reports, including performance test reports and excess emissions reports, required to be submitted by industry.</w:t>
            </w:r>
          </w:p>
        </w:tc>
      </w:tr>
      <w:tr w:rsidR="002337C1" w:rsidTr="001E00F6" w14:paraId="4C51F6DF" w14:textId="77777777">
        <w:trPr>
          <w:cantSplit/>
          <w:trHeight w:val="288"/>
        </w:trPr>
        <w:tc>
          <w:tcPr>
            <w:tcW w:w="9360" w:type="dxa"/>
            <w:tcMar>
              <w:top w:w="86" w:type="dxa"/>
            </w:tcMar>
            <w:vAlign w:val="bottom"/>
          </w:tcPr>
          <w:p w:rsidR="002337C1" w:rsidP="005C6948" w:rsidRDefault="00A46B57" w14:paraId="52922994" w14:textId="77777777">
            <w:r>
              <w:t>Audit facility records.</w:t>
            </w:r>
          </w:p>
        </w:tc>
      </w:tr>
      <w:tr w:rsidR="002337C1" w:rsidTr="001E00F6" w14:paraId="50296C98" w14:textId="77777777">
        <w:trPr>
          <w:cantSplit/>
          <w:trHeight w:val="288"/>
        </w:trPr>
        <w:tc>
          <w:tcPr>
            <w:tcW w:w="9360" w:type="dxa"/>
            <w:tcMar>
              <w:top w:w="86" w:type="dxa"/>
            </w:tcMar>
            <w:vAlign w:val="bottom"/>
          </w:tcPr>
          <w:p w:rsidR="002337C1" w:rsidP="005C6948" w:rsidRDefault="00A46B57" w14:paraId="7F789642" w14:textId="77777777">
            <w:r>
              <w:t>Input, analyze, and maintain data in Integrated Compliance Information System (ICIS) and ECHO.</w:t>
            </w:r>
          </w:p>
        </w:tc>
      </w:tr>
    </w:tbl>
    <w:p w:rsidR="002337C1" w:rsidP="00147EA6" w:rsidRDefault="00A46B57" w14:paraId="5A61D789" w14:textId="56D9FDEF">
      <w:pPr>
        <w:pStyle w:val="Heading2"/>
      </w:pPr>
      <w:r>
        <w:t>5(b) Collection Methodology and Management</w:t>
      </w:r>
    </w:p>
    <w:p w:rsidR="002337C1" w:rsidP="00147EA6" w:rsidRDefault="009A39C6" w14:paraId="054B88F4" w14:textId="29DA418C">
      <w:pPr>
        <w:pStyle w:val="BodyText"/>
      </w:pPr>
      <w:r>
        <w:t>Documentation from initial</w:t>
      </w:r>
      <w:r w:rsidR="00DD6E6A">
        <w:t xml:space="preserve"> </w:t>
      </w:r>
      <w:r>
        <w:t>p</w:t>
      </w:r>
      <w:r w:rsidR="00A46B57">
        <w:t>erformance test</w:t>
      </w:r>
      <w:r>
        <w:t>s</w:t>
      </w:r>
      <w:r w:rsidR="00DD6E6A">
        <w:t xml:space="preserve"> is</w:t>
      </w:r>
      <w:r w:rsidR="00A46B57">
        <w:t xml:space="preserve"> used by the Agency to discern a source’s </w:t>
      </w:r>
      <w:r>
        <w:t xml:space="preserve">compliance with </w:t>
      </w:r>
      <w:r w:rsidR="00A46B57">
        <w:t>the emission standard</w:t>
      </w:r>
      <w:r>
        <w:t>s</w:t>
      </w:r>
      <w:r w:rsidR="00A46B57">
        <w:t xml:space="preserve">. Data and records maintained by the respondents are tabulated and published for use in compliance and enforcement programs. The semiannual </w:t>
      </w:r>
      <w:r>
        <w:t xml:space="preserve">(periodic) </w:t>
      </w:r>
      <w:r w:rsidR="00A46B57">
        <w:t>reports are used for problem identification, as a check on source operation and maintenance, and for compliance determinations.</w:t>
      </w:r>
    </w:p>
    <w:p w:rsidR="002337C1" w:rsidP="00147EA6" w:rsidRDefault="00A46B57" w14:paraId="2E99DA06" w14:textId="5DFBBD75">
      <w:pPr>
        <w:pStyle w:val="BodyText"/>
      </w:pPr>
      <w:r>
        <w:t xml:space="preserve">Information contained in the reports is reported by state and local governments in the ICIS Air database, which is operated and maintained by EPA's Office of </w:t>
      </w:r>
      <w:r w:rsidR="00EE5EE7">
        <w:t xml:space="preserve">Enforcement and </w:t>
      </w:r>
      <w:r>
        <w:t>Compliance</w:t>
      </w:r>
      <w:r w:rsidR="00EE5EE7">
        <w:t xml:space="preserve"> Assurance</w:t>
      </w:r>
      <w:r>
        <w:t>.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2337C1" w:rsidP="00694400" w:rsidRDefault="00A46B57" w14:paraId="262A66D1" w14:textId="790194AC">
      <w:pPr>
        <w:pStyle w:val="BodyText"/>
      </w:pPr>
      <w:r>
        <w:t>The records required by this regulation must be retained by the</w:t>
      </w:r>
      <w:r>
        <w:rPr>
          <w:spacing w:val="-12"/>
        </w:rPr>
        <w:t xml:space="preserve"> </w:t>
      </w:r>
      <w:r>
        <w:t>owner/operator</w:t>
      </w:r>
      <w:r>
        <w:rPr>
          <w:spacing w:val="-1"/>
        </w:rPr>
        <w:t xml:space="preserve"> </w:t>
      </w:r>
      <w:r>
        <w:t>for</w:t>
      </w:r>
      <w:r w:rsidR="00A16790">
        <w:t xml:space="preserve"> 5 </w:t>
      </w:r>
      <w:r>
        <w:t>years.</w:t>
      </w:r>
    </w:p>
    <w:p w:rsidR="002337C1" w:rsidP="00147EA6" w:rsidRDefault="00A46B57" w14:paraId="43B72682" w14:textId="77777777">
      <w:pPr>
        <w:pStyle w:val="Heading2"/>
      </w:pPr>
      <w:r>
        <w:t>5(c) Small Entity Flexibility</w:t>
      </w:r>
    </w:p>
    <w:p w:rsidR="002337C1" w:rsidP="00147EA6" w:rsidRDefault="00FA797C" w14:paraId="74301DF4" w14:textId="4F061795">
      <w:pPr>
        <w:pStyle w:val="BodyText"/>
      </w:pPr>
      <w:r>
        <w:t>Currently, all</w:t>
      </w:r>
      <w:r w:rsidR="00A46B57">
        <w:t xml:space="preserve"> of the respondents are large entities (i.e., large businesses). However, the </w:t>
      </w:r>
      <w:r>
        <w:t xml:space="preserve">potential </w:t>
      </w:r>
      <w:r w:rsidR="00A46B57">
        <w:t>impact on</w:t>
      </w:r>
      <w:r>
        <w:t xml:space="preserve"> any new</w:t>
      </w:r>
      <w:r w:rsidR="00A46B57">
        <w:t xml:space="preserve"> small entities (i.e., small businesses) </w:t>
      </w:r>
      <w:r>
        <w:t xml:space="preserve">that may become subject to the rule </w:t>
      </w:r>
      <w:r w:rsidR="00A46B57">
        <w:t xml:space="preserve">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w:t>
      </w:r>
    </w:p>
    <w:p w:rsidR="002337C1" w:rsidP="00147EA6" w:rsidRDefault="00A46B57" w14:paraId="38EC6EBB" w14:textId="77777777">
      <w:pPr>
        <w:pStyle w:val="Heading2"/>
      </w:pPr>
      <w:r>
        <w:lastRenderedPageBreak/>
        <w:t>5(d) Collection Schedule</w:t>
      </w:r>
    </w:p>
    <w:p w:rsidRPr="00154036" w:rsidR="002337C1" w:rsidP="00154036" w:rsidRDefault="00343956" w14:paraId="38EAF067" w14:textId="1AA12E77">
      <w:pPr>
        <w:pStyle w:val="BodyText"/>
      </w:pPr>
      <w:r w:rsidRPr="00343956">
        <w:t xml:space="preserve">Upon promulgation of the amendments, owners or operators of </w:t>
      </w:r>
      <w:r>
        <w:t xml:space="preserve">flexible polyurethane foam fabrication operations </w:t>
      </w:r>
      <w:r w:rsidRPr="00343956">
        <w:t xml:space="preserve">have </w:t>
      </w:r>
      <w:r w:rsidR="00B509BF">
        <w:t xml:space="preserve">180 days after the effective date of the final rule, or upon startup, whichever is later, by which to </w:t>
      </w:r>
      <w:r w:rsidRPr="00343956">
        <w:t>comply with most of the compliance testing, reporting and recordkeeping requirements associated with the amendments. For purposes of burden estimates, it is assumed that facilities will read the rule and perform the required compliance testing in year</w:t>
      </w:r>
      <w:r w:rsidR="00B509BF">
        <w:t> </w:t>
      </w:r>
      <w:r w:rsidRPr="00343956">
        <w:t>1. For subsequent performance testing requirements (requirement to conduct every 5</w:t>
      </w:r>
      <w:r w:rsidR="00B509BF">
        <w:t> </w:t>
      </w:r>
      <w:r w:rsidRPr="00343956">
        <w:t>years (60</w:t>
      </w:r>
      <w:r w:rsidR="00B509BF">
        <w:t> </w:t>
      </w:r>
      <w:r w:rsidRPr="00343956">
        <w:t>months</w:t>
      </w:r>
      <w:r w:rsidR="00FA797C">
        <w:t>)</w:t>
      </w:r>
      <w:r w:rsidRPr="00343956">
        <w:t xml:space="preserve">), it is assumed that </w:t>
      </w:r>
      <w:r w:rsidR="00B509BF">
        <w:t xml:space="preserve">none of the three existing </w:t>
      </w:r>
      <w:r w:rsidRPr="00343956">
        <w:t xml:space="preserve">facilities will conduct performance tests in the first </w:t>
      </w:r>
      <w:r w:rsidR="00A16790">
        <w:t>3 </w:t>
      </w:r>
      <w:r w:rsidRPr="00343956">
        <w:t xml:space="preserve">years </w:t>
      </w:r>
      <w:r w:rsidR="00B509BF">
        <w:t xml:space="preserve">of this ICR. </w:t>
      </w:r>
      <w:r w:rsidRPr="00343956">
        <w:t>The specific frequency for each information collection activity within this request is shown in Tables</w:t>
      </w:r>
      <w:r w:rsidR="00B509BF">
        <w:t> </w:t>
      </w:r>
      <w:r w:rsidRPr="00343956">
        <w:t xml:space="preserve">1 through 3 of </w:t>
      </w:r>
      <w:r w:rsidR="00712AD2">
        <w:t>Attachment 1, which is available as an Excel workbook in</w:t>
      </w:r>
      <w:r w:rsidR="00B509BF">
        <w:t xml:space="preserve"> the docket for this action (Docket ID No. EPA- HQ-OAR-2020-0572)</w:t>
      </w:r>
      <w:r w:rsidRPr="00343956">
        <w:t>.</w:t>
      </w:r>
    </w:p>
    <w:p w:rsidR="002337C1" w:rsidP="00694400" w:rsidRDefault="00D57383" w14:paraId="28156CBF" w14:textId="38A45F2F">
      <w:pPr>
        <w:pStyle w:val="Heading1"/>
      </w:pPr>
      <w:r>
        <w:t>6.</w:t>
      </w:r>
      <w:r>
        <w:tab/>
      </w:r>
      <w:r w:rsidR="00A46B57">
        <w:t>Estimating the Burden and Cost of the</w:t>
      </w:r>
      <w:r w:rsidR="00A46B57">
        <w:rPr>
          <w:spacing w:val="-2"/>
        </w:rPr>
        <w:t xml:space="preserve"> </w:t>
      </w:r>
      <w:r w:rsidR="00A46B57">
        <w:t>Collection</w:t>
      </w:r>
    </w:p>
    <w:p w:rsidR="00CF723E" w:rsidP="00147EA6" w:rsidRDefault="00A46B57" w14:paraId="41210045" w14:textId="34804274">
      <w:pPr>
        <w:pStyle w:val="BodyText"/>
      </w:pPr>
      <w:r>
        <w:t>Table</w:t>
      </w:r>
      <w:r w:rsidR="00B509BF">
        <w:t>s</w:t>
      </w:r>
      <w:r w:rsidR="004D33CF">
        <w:t> </w:t>
      </w:r>
      <w:r>
        <w:t>1</w:t>
      </w:r>
      <w:r w:rsidR="00B509BF">
        <w:t xml:space="preserve"> through 4 and Table 9 of </w:t>
      </w:r>
      <w:r w:rsidR="00712AD2">
        <w:t>Attachment 1</w:t>
      </w:r>
      <w:r w:rsidR="00B509BF">
        <w:t xml:space="preserve"> present an itemization </w:t>
      </w:r>
      <w:r w:rsidR="00C949F2">
        <w:t xml:space="preserve">and summary </w:t>
      </w:r>
      <w:r w:rsidR="00B509BF">
        <w:t xml:space="preserve">of the burden on the respondents </w:t>
      </w:r>
      <w:r w:rsidR="008E4008">
        <w:t>to result from the subject RTR amendments</w:t>
      </w:r>
      <w:r w:rsidR="00B509BF">
        <w:t xml:space="preserve"> for the recordkeeping and reporting requirements in the first 3 years following promulgation of the amendments to the Flexible Polyurethane Foam Fabrication Operations NESHAP. Tables 5 through 8</w:t>
      </w:r>
      <w:r w:rsidR="00CF723E">
        <w:t xml:space="preserve"> of </w:t>
      </w:r>
      <w:r w:rsidR="00C949F2">
        <w:t>Attachment 1</w:t>
      </w:r>
      <w:r w:rsidR="00CF723E">
        <w:t xml:space="preserve"> present a</w:t>
      </w:r>
      <w:r w:rsidR="00C949F2">
        <w:t xml:space="preserve">n itemization and summary </w:t>
      </w:r>
      <w:r w:rsidR="00CF723E">
        <w:t>of the burden on the EPA and state and local authorities in the first 3 years following promulgation of the amendments to the Flexible Polyurethane Foam Fabrication Operations NESHAP.</w:t>
      </w:r>
    </w:p>
    <w:p w:rsidR="002337C1" w:rsidP="00147EA6" w:rsidRDefault="00A46B57" w14:paraId="7B8567F3" w14:textId="1C5FC585">
      <w:pPr>
        <w:pStyle w:val="BodyText"/>
      </w:pPr>
      <w: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2337C1" w:rsidP="00147EA6" w:rsidRDefault="00CF723E" w14:paraId="23F95D09" w14:textId="378230F6">
      <w:pPr>
        <w:pStyle w:val="BodyText"/>
      </w:pPr>
      <w:r>
        <w:t>An a</w:t>
      </w:r>
      <w:r w:rsidR="00A46B57">
        <w:t>gency may not conduct or sponsor, and a person is not required to respond to, a collection of information unless it displays a currently valid OMB Control Number.</w:t>
      </w:r>
    </w:p>
    <w:p w:rsidR="002337C1" w:rsidP="00147EA6" w:rsidRDefault="00A46B57" w14:paraId="43788FCA" w14:textId="58407F73">
      <w:pPr>
        <w:pStyle w:val="Heading2"/>
      </w:pPr>
      <w:r>
        <w:t>6(a) Estimating Respondent Burden</w:t>
      </w:r>
    </w:p>
    <w:p w:rsidR="002337C1" w:rsidP="00147EA6" w:rsidRDefault="00A46B57" w14:paraId="09D4A611" w14:textId="3C5EF369">
      <w:pPr>
        <w:pStyle w:val="BodyText"/>
      </w:pPr>
      <w:r>
        <w:t xml:space="preserve">The </w:t>
      </w:r>
      <w:r w:rsidR="008612C1">
        <w:t>total</w:t>
      </w:r>
      <w:r>
        <w:t xml:space="preserve"> burden to industry over the next </w:t>
      </w:r>
      <w:r w:rsidR="004D33CF">
        <w:t>3 </w:t>
      </w:r>
      <w:r>
        <w:t xml:space="preserve">years from these recordkeeping and reporting requirements is estimated to be </w:t>
      </w:r>
      <w:r w:rsidR="008612C1">
        <w:t>338</w:t>
      </w:r>
      <w:r w:rsidR="004D33CF">
        <w:t> </w:t>
      </w:r>
      <w:r>
        <w:t>hours</w:t>
      </w:r>
      <w:r w:rsidR="00154036">
        <w:t>, with an average annual burden of 113 hours</w:t>
      </w:r>
      <w:r w:rsidR="00B1398E">
        <w:t>. The average annual re</w:t>
      </w:r>
      <w:r w:rsidR="00154036">
        <w:t>porting hours are estimated at 87 hours and the average annual re</w:t>
      </w:r>
      <w:r w:rsidR="00B1398E">
        <w:t xml:space="preserve">cordkeeping hours are estimated at </w:t>
      </w:r>
      <w:r w:rsidR="00154036">
        <w:t>25</w:t>
      </w:r>
      <w:r w:rsidR="00B1398E">
        <w:t xml:space="preserve"> hours, as shown in Table 4 of Attachment 1. </w:t>
      </w:r>
      <w:r>
        <w:t>These hours are based on Agency studies and background documents from the development of the regulation, Agency knowledge and experience with the NESHAP program, the previously approved ICR, and any comments received.</w:t>
      </w:r>
    </w:p>
    <w:p w:rsidR="002337C1" w:rsidP="00147EA6" w:rsidRDefault="00A46B57" w14:paraId="45517407" w14:textId="2EEBDAC9">
      <w:pPr>
        <w:pStyle w:val="Heading2"/>
      </w:pPr>
      <w:r>
        <w:t>6(b) Estimating Respondent Costs</w:t>
      </w:r>
    </w:p>
    <w:p w:rsidR="002550F8" w:rsidP="002550F8" w:rsidRDefault="00885A39" w14:paraId="29352624" w14:textId="2DC6B907">
      <w:pPr>
        <w:pStyle w:val="BodyText"/>
      </w:pPr>
      <w:r>
        <w:t xml:space="preserve">The information collection activities for sources subject to these requirements are presented in Tables 1 through 4 and Table 9 of </w:t>
      </w:r>
      <w:r w:rsidR="00712AD2">
        <w:t>Attachment 1.</w:t>
      </w:r>
      <w:r>
        <w:t xml:space="preserve"> The total cost for each respondent </w:t>
      </w:r>
      <w:r>
        <w:lastRenderedPageBreak/>
        <w:t>activity includes non</w:t>
      </w:r>
      <w:r w:rsidR="005408BE">
        <w:t>-</w:t>
      </w:r>
      <w:r>
        <w:t>labor costs, capital/startup costs, and operation and maintenance (O&amp;M) costs.</w:t>
      </w:r>
    </w:p>
    <w:p w:rsidR="002337C1" w:rsidP="00147EA6" w:rsidRDefault="00D57383" w14:paraId="4A49891B" w14:textId="6DBED5D0">
      <w:pPr>
        <w:pStyle w:val="Heading3"/>
      </w:pPr>
      <w:r>
        <w:t>(</w:t>
      </w:r>
      <w:proofErr w:type="spellStart"/>
      <w:r>
        <w:t>i</w:t>
      </w:r>
      <w:proofErr w:type="spellEnd"/>
      <w:r>
        <w:t xml:space="preserve">) </w:t>
      </w:r>
      <w:r w:rsidR="00A46B57">
        <w:t>Estimating Labor</w:t>
      </w:r>
      <w:r w:rsidR="00A46B57">
        <w:rPr>
          <w:spacing w:val="-1"/>
        </w:rPr>
        <w:t xml:space="preserve"> </w:t>
      </w:r>
      <w:r w:rsidR="00A46B57">
        <w:t>Costs</w:t>
      </w:r>
    </w:p>
    <w:p w:rsidR="002337C1" w:rsidP="00147EA6" w:rsidRDefault="00A46B57" w14:paraId="45932636" w14:textId="77777777">
      <w:pPr>
        <w:pStyle w:val="BodyText"/>
      </w:pPr>
      <w:r>
        <w:t>This ICR uses the following labor rates:</w:t>
      </w:r>
    </w:p>
    <w:tbl>
      <w:tblPr>
        <w:tblW w:w="0" w:type="auto"/>
        <w:tblInd w:w="1440" w:type="dxa"/>
        <w:tblLayout w:type="fixed"/>
        <w:tblCellMar>
          <w:top w:w="29" w:type="dxa"/>
          <w:left w:w="86" w:type="dxa"/>
          <w:bottom w:w="29" w:type="dxa"/>
          <w:right w:w="86" w:type="dxa"/>
        </w:tblCellMar>
        <w:tblLook w:val="01E0" w:firstRow="1" w:lastRow="1" w:firstColumn="1" w:lastColumn="1" w:noHBand="0" w:noVBand="0"/>
      </w:tblPr>
      <w:tblGrid>
        <w:gridCol w:w="1440"/>
        <w:gridCol w:w="2790"/>
      </w:tblGrid>
      <w:tr w:rsidR="002337C1" w:rsidTr="00F26528" w14:paraId="1D16FB50" w14:textId="77777777">
        <w:trPr>
          <w:cantSplit/>
          <w:trHeight w:val="288"/>
        </w:trPr>
        <w:tc>
          <w:tcPr>
            <w:tcW w:w="1440" w:type="dxa"/>
          </w:tcPr>
          <w:p w:rsidR="002337C1" w:rsidP="0002420B" w:rsidRDefault="00A46B57" w14:paraId="2BDD2B42" w14:textId="77777777">
            <w:r>
              <w:t>Managerial</w:t>
            </w:r>
          </w:p>
        </w:tc>
        <w:tc>
          <w:tcPr>
            <w:tcW w:w="2790" w:type="dxa"/>
          </w:tcPr>
          <w:p w:rsidR="002337C1" w:rsidP="0002420B" w:rsidRDefault="00A46B57" w14:paraId="5ED1437D" w14:textId="77777777">
            <w:r>
              <w:t>$137.72 ($65.58 + 110%)</w:t>
            </w:r>
          </w:p>
        </w:tc>
      </w:tr>
      <w:tr w:rsidR="002337C1" w:rsidTr="00F26528" w14:paraId="1FDCD19C" w14:textId="77777777">
        <w:trPr>
          <w:cantSplit/>
          <w:trHeight w:val="288"/>
        </w:trPr>
        <w:tc>
          <w:tcPr>
            <w:tcW w:w="1440" w:type="dxa"/>
          </w:tcPr>
          <w:p w:rsidR="002337C1" w:rsidP="0002420B" w:rsidRDefault="00A46B57" w14:paraId="15B3EAEE" w14:textId="77777777">
            <w:r>
              <w:t>Technical</w:t>
            </w:r>
          </w:p>
        </w:tc>
        <w:tc>
          <w:tcPr>
            <w:tcW w:w="2790" w:type="dxa"/>
          </w:tcPr>
          <w:p w:rsidR="002337C1" w:rsidP="0002420B" w:rsidRDefault="00A46B57" w14:paraId="32486F26" w14:textId="77777777">
            <w:r>
              <w:t>$106.35 ($50.64 + 110%)</w:t>
            </w:r>
          </w:p>
        </w:tc>
      </w:tr>
      <w:tr w:rsidR="002337C1" w:rsidTr="00F26528" w14:paraId="038EF99F" w14:textId="77777777">
        <w:trPr>
          <w:cantSplit/>
          <w:trHeight w:val="288"/>
        </w:trPr>
        <w:tc>
          <w:tcPr>
            <w:tcW w:w="1440" w:type="dxa"/>
          </w:tcPr>
          <w:p w:rsidR="002337C1" w:rsidP="0002420B" w:rsidRDefault="00A46B57" w14:paraId="7562081D" w14:textId="77777777">
            <w:r>
              <w:t>Clerical</w:t>
            </w:r>
          </w:p>
        </w:tc>
        <w:tc>
          <w:tcPr>
            <w:tcW w:w="2790" w:type="dxa"/>
          </w:tcPr>
          <w:p w:rsidR="002337C1" w:rsidP="0002420B" w:rsidRDefault="00A46B57" w14:paraId="4CDE3473" w14:textId="77777777">
            <w:r>
              <w:t>$42.95 ($20.45 + 110%)</w:t>
            </w:r>
          </w:p>
        </w:tc>
      </w:tr>
    </w:tbl>
    <w:p w:rsidR="002337C1" w:rsidP="0002420B" w:rsidRDefault="00A46B57" w14:paraId="02422FEF" w14:textId="56C11924">
      <w:pPr>
        <w:pStyle w:val="BodyText"/>
        <w:ind w:firstLine="0"/>
      </w:pPr>
      <w:r>
        <w:t>These rates are from the United States Department of Labor, Bureau of Labor Statistics, May 2019 “Table</w:t>
      </w:r>
      <w:r w:rsidR="004D33CF">
        <w:t> </w:t>
      </w:r>
      <w:r>
        <w:t>2. Civilian Workers, by occupational and industry group.” The rates have been increased by 110</w:t>
      </w:r>
      <w:r w:rsidR="004D33CF">
        <w:t> </w:t>
      </w:r>
      <w:r>
        <w:t>percent to account for the benefit packages available to those employed by private industry.</w:t>
      </w:r>
    </w:p>
    <w:p w:rsidR="002337C1" w:rsidP="00147EA6" w:rsidRDefault="00D57383" w14:paraId="613CAAB1" w14:textId="03B0000F">
      <w:pPr>
        <w:pStyle w:val="Heading3"/>
      </w:pPr>
      <w:r>
        <w:t xml:space="preserve">(ii) </w:t>
      </w:r>
      <w:r w:rsidR="00A46B57">
        <w:t>Estimating Capital/Startup and Operation and Maintenance</w:t>
      </w:r>
      <w:r w:rsidR="00A46B57">
        <w:rPr>
          <w:spacing w:val="-3"/>
        </w:rPr>
        <w:t xml:space="preserve"> </w:t>
      </w:r>
      <w:r w:rsidR="00A46B57">
        <w:t>Costs</w:t>
      </w:r>
    </w:p>
    <w:p w:rsidR="002337C1" w:rsidP="00147EA6" w:rsidRDefault="000E5F9F" w14:paraId="4A2240F9" w14:textId="66E6247B">
      <w:pPr>
        <w:pStyle w:val="BodyText"/>
      </w:pPr>
      <w:r>
        <w:t xml:space="preserve">In addition to the </w:t>
      </w:r>
      <w:r w:rsidR="00A46B57">
        <w:t xml:space="preserve">labor costs, which are addressed elsewhere in this ICR, </w:t>
      </w:r>
      <w:r>
        <w:t xml:space="preserve">industry </w:t>
      </w:r>
      <w:r w:rsidR="00A46B57">
        <w:t xml:space="preserve">costs associated with </w:t>
      </w:r>
      <w:r>
        <w:t xml:space="preserve">the information collection activities </w:t>
      </w:r>
      <w:r w:rsidR="008E4008">
        <w:t xml:space="preserve">resulting from </w:t>
      </w:r>
      <w:r>
        <w:t xml:space="preserve">the </w:t>
      </w:r>
      <w:r w:rsidR="008E4008">
        <w:t xml:space="preserve">subject amendments </w:t>
      </w:r>
      <w:r>
        <w:t>to the Flexible Polyurethane Foam Fabrication Operations NESHAP include capital/startup costs and operation and maintenance costs associated with the cost to conduct performance testing. For purposes of burden estimates, these tests are assumed to be conducted by off-site contractors and are thus reflected as non-labor (capital/startup and O&amp;M) costs</w:t>
      </w:r>
      <w:r w:rsidR="00B20FD9">
        <w:t xml:space="preserve"> in Table 9 of Attachment 1</w:t>
      </w:r>
      <w:r>
        <w:t>.</w:t>
      </w:r>
    </w:p>
    <w:p w:rsidR="002337C1" w:rsidP="00147EA6" w:rsidRDefault="00A46B57" w14:paraId="2C053F0B" w14:textId="77777777">
      <w:pPr>
        <w:pStyle w:val="Heading2"/>
      </w:pPr>
      <w:r>
        <w:t>6(c) Estimating Agency Burden and Cost</w:t>
      </w:r>
    </w:p>
    <w:p w:rsidR="002337C1" w:rsidP="00147EA6" w:rsidRDefault="00A46B57" w14:paraId="03AAE2EC" w14:textId="77777777">
      <w:pPr>
        <w:pStyle w:val="BodyText"/>
      </w:pPr>
      <w: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2337C1" w:rsidP="0002420B" w:rsidRDefault="00A46B57" w14:paraId="46E57EFA" w14:textId="2E6DB910">
      <w:pPr>
        <w:pStyle w:val="BodyText"/>
        <w:keepNext/>
      </w:pPr>
      <w:r>
        <w:t xml:space="preserve">The average annual Agency cost during the </w:t>
      </w:r>
      <w:r w:rsidR="00110C84">
        <w:t>3 </w:t>
      </w:r>
      <w:r>
        <w:t xml:space="preserve">years of the ICR </w:t>
      </w:r>
      <w:r w:rsidR="00110C84">
        <w:t xml:space="preserve">attributable to the </w:t>
      </w:r>
      <w:r w:rsidR="008E4008">
        <w:t>subject</w:t>
      </w:r>
      <w:r w:rsidR="00110C84">
        <w:t xml:space="preserve"> amendments to the Flexible Polyurethane Foam Fabrication Operations NESHAP is </w:t>
      </w:r>
      <w:r>
        <w:t xml:space="preserve">estimated to be </w:t>
      </w:r>
      <w:r w:rsidR="004D33CF">
        <w:t>$2,480</w:t>
      </w:r>
      <w:r>
        <w:t>. This cost is based on the average hourly labor rate as follows:</w:t>
      </w:r>
    </w:p>
    <w:tbl>
      <w:tblPr>
        <w:tblW w:w="0" w:type="auto"/>
        <w:tblInd w:w="1440" w:type="dxa"/>
        <w:tblCellMar>
          <w:top w:w="29" w:type="dxa"/>
          <w:left w:w="86" w:type="dxa"/>
          <w:bottom w:w="29" w:type="dxa"/>
          <w:right w:w="86" w:type="dxa"/>
        </w:tblCellMar>
        <w:tblLook w:val="0000" w:firstRow="0" w:lastRow="0" w:firstColumn="0" w:lastColumn="0" w:noHBand="0" w:noVBand="0"/>
      </w:tblPr>
      <w:tblGrid>
        <w:gridCol w:w="1620"/>
        <w:gridCol w:w="4680"/>
      </w:tblGrid>
      <w:tr w:rsidR="0002420B" w:rsidTr="00694400" w14:paraId="2DC79D6A" w14:textId="77777777">
        <w:trPr>
          <w:cantSplit/>
          <w:trHeight w:val="288"/>
        </w:trPr>
        <w:tc>
          <w:tcPr>
            <w:tcW w:w="1620" w:type="dxa"/>
          </w:tcPr>
          <w:p w:rsidR="0002420B" w:rsidP="00694400" w:rsidRDefault="0002420B" w14:paraId="665FADE9" w14:textId="226DAC21">
            <w:r>
              <w:t>Managerial</w:t>
            </w:r>
          </w:p>
        </w:tc>
        <w:tc>
          <w:tcPr>
            <w:tcW w:w="4680" w:type="dxa"/>
          </w:tcPr>
          <w:p w:rsidR="0002420B" w:rsidP="00694400" w:rsidRDefault="0002420B" w14:paraId="7F9FBAA1" w14:textId="68C1A14C">
            <w:r>
              <w:t>$66.63 (GS-13, Step</w:t>
            </w:r>
            <w:r w:rsidR="004D33CF">
              <w:t> </w:t>
            </w:r>
            <w:r>
              <w:t xml:space="preserve">5, $41.64 + </w:t>
            </w:r>
            <w:r>
              <w:rPr>
                <w:spacing w:val="-3"/>
              </w:rPr>
              <w:t>60%)</w:t>
            </w:r>
          </w:p>
        </w:tc>
      </w:tr>
      <w:tr w:rsidR="0002420B" w:rsidTr="00694400" w14:paraId="182E715D" w14:textId="77777777">
        <w:trPr>
          <w:cantSplit/>
          <w:trHeight w:val="288"/>
        </w:trPr>
        <w:tc>
          <w:tcPr>
            <w:tcW w:w="1620" w:type="dxa"/>
          </w:tcPr>
          <w:p w:rsidR="0002420B" w:rsidP="00694400" w:rsidRDefault="0002420B" w14:paraId="5DEEA6C6" w14:textId="73DD289B">
            <w:r>
              <w:t>Technical</w:t>
            </w:r>
            <w:r w:rsidR="00C83AC9">
              <w:tab/>
            </w:r>
          </w:p>
        </w:tc>
        <w:tc>
          <w:tcPr>
            <w:tcW w:w="4680" w:type="dxa"/>
          </w:tcPr>
          <w:p w:rsidR="0002420B" w:rsidP="00694400" w:rsidRDefault="0002420B" w14:paraId="2780EDC5" w14:textId="6755D2A7">
            <w:r>
              <w:t>$49.44 (GS-12, Step</w:t>
            </w:r>
            <w:r w:rsidR="004D33CF">
              <w:t> </w:t>
            </w:r>
            <w:r>
              <w:t>1, $30.90 + 60%)</w:t>
            </w:r>
          </w:p>
        </w:tc>
      </w:tr>
      <w:tr w:rsidR="0002420B" w:rsidTr="00694400" w14:paraId="04D96293" w14:textId="77777777">
        <w:trPr>
          <w:cantSplit/>
          <w:trHeight w:val="288"/>
        </w:trPr>
        <w:tc>
          <w:tcPr>
            <w:tcW w:w="1620" w:type="dxa"/>
          </w:tcPr>
          <w:p w:rsidR="0002420B" w:rsidP="00694400" w:rsidRDefault="0002420B" w14:paraId="48BFCB9C" w14:textId="442509E5">
            <w:r>
              <w:t>Clerical</w:t>
            </w:r>
          </w:p>
        </w:tc>
        <w:tc>
          <w:tcPr>
            <w:tcW w:w="4680" w:type="dxa"/>
          </w:tcPr>
          <w:p w:rsidR="0002420B" w:rsidP="00694400" w:rsidRDefault="0002420B" w14:paraId="00F2FCD0" w14:textId="627F2CAE">
            <w:r>
              <w:t>$26.76 (GS-6, Step</w:t>
            </w:r>
            <w:r w:rsidR="004D33CF">
              <w:t> </w:t>
            </w:r>
            <w:r>
              <w:t>3, $16.72 +</w:t>
            </w:r>
            <w:r>
              <w:rPr>
                <w:spacing w:val="-4"/>
              </w:rPr>
              <w:t xml:space="preserve"> </w:t>
            </w:r>
            <w:r>
              <w:t>60%)</w:t>
            </w:r>
          </w:p>
        </w:tc>
      </w:tr>
    </w:tbl>
    <w:p w:rsidR="002337C1" w:rsidP="0002420B" w:rsidRDefault="00A46B57" w14:paraId="56C2054C" w14:textId="42615DA6">
      <w:pPr>
        <w:pStyle w:val="BodyText"/>
        <w:ind w:firstLine="0"/>
      </w:pPr>
      <w:r>
        <w:t>These rates are from the Office of Personnel Management (OPM), 2019 General Schedule, which excludes locality rates of pay. The rates have been increased by 60</w:t>
      </w:r>
      <w:r w:rsidR="004D33CF">
        <w:t> </w:t>
      </w:r>
      <w:r>
        <w:t>percent to account for the benefit packages available to government employees. Details upon which this estimate is based</w:t>
      </w:r>
      <w:r w:rsidR="00110C84">
        <w:t xml:space="preserve"> are shown in Tables 5 through 8 of Attachment 1.</w:t>
      </w:r>
    </w:p>
    <w:p w:rsidR="002337C1" w:rsidP="00147EA6" w:rsidRDefault="00A46B57" w14:paraId="260F0BBD" w14:textId="77777777">
      <w:pPr>
        <w:pStyle w:val="Heading2"/>
      </w:pPr>
      <w:r>
        <w:lastRenderedPageBreak/>
        <w:t>6(d) Estimating the Respondent Universe and Total Burden and Costs</w:t>
      </w:r>
    </w:p>
    <w:p w:rsidRPr="00E56B7C" w:rsidR="00E56B7C" w:rsidP="00E56B7C" w:rsidRDefault="00E56B7C" w14:paraId="584D82B5" w14:textId="7B28CB6F">
      <w:pPr>
        <w:pStyle w:val="BodyText"/>
      </w:pPr>
      <w:r w:rsidRPr="00E56B7C">
        <w:t xml:space="preserve">The total number of respondents is also referred to as the respondent universe. Based on research conducted for the </w:t>
      </w:r>
      <w:r w:rsidR="008E4008">
        <w:t>subject</w:t>
      </w:r>
      <w:r>
        <w:t xml:space="preserve"> amendments to the Flexible Polyurethane Foam Fabrication Operations NESHAP, three </w:t>
      </w:r>
      <w:r w:rsidRPr="00E56B7C">
        <w:t>facilities are currently operating and subject to the standards</w:t>
      </w:r>
      <w:r>
        <w:t>,</w:t>
      </w:r>
      <w:r w:rsidRPr="00E56B7C">
        <w:t xml:space="preserve"> and no new sources are assumed in the first </w:t>
      </w:r>
      <w:r>
        <w:t>3 </w:t>
      </w:r>
      <w:r w:rsidRPr="00E56B7C">
        <w:t xml:space="preserve">years after promulgation of the </w:t>
      </w:r>
      <w:r w:rsidR="008E4008">
        <w:t>subject</w:t>
      </w:r>
      <w:r w:rsidRPr="00E56B7C">
        <w:t xml:space="preserve"> amendments. It is assumed that all of the facilities will begin complying within one year of promulgation of the </w:t>
      </w:r>
      <w:r w:rsidR="008E4008">
        <w:t xml:space="preserve">subject </w:t>
      </w:r>
      <w:r w:rsidRPr="00E56B7C">
        <w:t xml:space="preserve">amendments and will be subject to recordkeeping and reporting requirements in each of the </w:t>
      </w:r>
      <w:r>
        <w:t>3 </w:t>
      </w:r>
      <w:r w:rsidRPr="00E56B7C">
        <w:t xml:space="preserve">years covered by this ICR. </w:t>
      </w:r>
    </w:p>
    <w:p w:rsidR="002337C1" w:rsidP="00694400" w:rsidRDefault="00A46B57" w14:paraId="532DE7AE" w14:textId="70EE38EA">
      <w:pPr>
        <w:pStyle w:val="BodyText"/>
        <w:keepNext/>
      </w:pPr>
      <w:r>
        <w:t xml:space="preserve">The number of respondents is calculated using the following table that addresses the </w:t>
      </w:r>
      <w:r w:rsidR="00A16790">
        <w:t>3 </w:t>
      </w:r>
      <w:r>
        <w:t>years covered by this ICR:</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29" w:type="dxa"/>
          <w:left w:w="86" w:type="dxa"/>
          <w:bottom w:w="29" w:type="dxa"/>
          <w:right w:w="86" w:type="dxa"/>
        </w:tblCellMar>
        <w:tblLook w:val="01E0" w:firstRow="1" w:lastRow="1" w:firstColumn="1" w:lastColumn="1" w:noHBand="0" w:noVBand="0"/>
      </w:tblPr>
      <w:tblGrid>
        <w:gridCol w:w="901"/>
        <w:gridCol w:w="1598"/>
        <w:gridCol w:w="1282"/>
        <w:gridCol w:w="2069"/>
        <w:gridCol w:w="1800"/>
        <w:gridCol w:w="1710"/>
      </w:tblGrid>
      <w:tr w:rsidRPr="0002420B" w:rsidR="002337C1" w:rsidTr="00694400" w14:paraId="76F92525" w14:textId="77777777">
        <w:trPr>
          <w:cantSplit/>
          <w:trHeight w:val="475"/>
          <w:tblHeader/>
        </w:trPr>
        <w:tc>
          <w:tcPr>
            <w:tcW w:w="9360" w:type="dxa"/>
            <w:gridSpan w:val="6"/>
            <w:tcMar>
              <w:top w:w="29" w:type="dxa"/>
              <w:left w:w="86" w:type="dxa"/>
              <w:bottom w:w="29" w:type="dxa"/>
              <w:right w:w="86" w:type="dxa"/>
            </w:tcMar>
            <w:vAlign w:val="center"/>
          </w:tcPr>
          <w:p w:rsidRPr="00D05A22" w:rsidR="002337C1" w:rsidP="00694400" w:rsidRDefault="00A46B57" w14:paraId="4C15AF76" w14:textId="77777777">
            <w:pPr>
              <w:keepNext/>
              <w:jc w:val="center"/>
              <w:rPr>
                <w:b/>
                <w:bCs/>
                <w:szCs w:val="24"/>
              </w:rPr>
            </w:pPr>
            <w:r w:rsidRPr="00D05A22">
              <w:rPr>
                <w:b/>
                <w:bCs/>
                <w:szCs w:val="24"/>
              </w:rPr>
              <w:t>Number of Respondents</w:t>
            </w:r>
          </w:p>
        </w:tc>
      </w:tr>
      <w:tr w:rsidRPr="0002420B" w:rsidR="002337C1" w:rsidTr="00694400" w14:paraId="5EAE75C8" w14:textId="77777777">
        <w:trPr>
          <w:cantSplit/>
          <w:trHeight w:val="612"/>
          <w:tblHeader/>
        </w:trPr>
        <w:tc>
          <w:tcPr>
            <w:tcW w:w="901" w:type="dxa"/>
            <w:tcMar>
              <w:top w:w="29" w:type="dxa"/>
              <w:left w:w="86" w:type="dxa"/>
              <w:bottom w:w="29" w:type="dxa"/>
              <w:right w:w="86" w:type="dxa"/>
            </w:tcMar>
          </w:tcPr>
          <w:p w:rsidRPr="0002420B" w:rsidR="002337C1" w:rsidP="00694400" w:rsidRDefault="002337C1" w14:paraId="4F12F021" w14:textId="77777777">
            <w:pPr>
              <w:keepNext/>
              <w:rPr>
                <w:sz w:val="20"/>
                <w:szCs w:val="20"/>
              </w:rPr>
            </w:pPr>
          </w:p>
        </w:tc>
        <w:tc>
          <w:tcPr>
            <w:tcW w:w="2880" w:type="dxa"/>
            <w:gridSpan w:val="2"/>
            <w:tcMar>
              <w:top w:w="29" w:type="dxa"/>
              <w:left w:w="86" w:type="dxa"/>
              <w:bottom w:w="29" w:type="dxa"/>
              <w:right w:w="86" w:type="dxa"/>
            </w:tcMar>
          </w:tcPr>
          <w:p w:rsidRPr="0002420B" w:rsidR="002337C1" w:rsidP="00694400" w:rsidRDefault="00A46B57" w14:paraId="24930D36" w14:textId="77777777">
            <w:pPr>
              <w:keepNext/>
              <w:rPr>
                <w:sz w:val="20"/>
                <w:szCs w:val="20"/>
              </w:rPr>
            </w:pPr>
            <w:r w:rsidRPr="0002420B">
              <w:rPr>
                <w:sz w:val="20"/>
                <w:szCs w:val="20"/>
              </w:rPr>
              <w:t>Respondents That Submit Reports</w:t>
            </w:r>
          </w:p>
        </w:tc>
        <w:tc>
          <w:tcPr>
            <w:tcW w:w="2069" w:type="dxa"/>
            <w:tcMar>
              <w:top w:w="29" w:type="dxa"/>
              <w:left w:w="86" w:type="dxa"/>
              <w:bottom w:w="29" w:type="dxa"/>
              <w:right w:w="86" w:type="dxa"/>
            </w:tcMar>
          </w:tcPr>
          <w:p w:rsidRPr="0002420B" w:rsidR="002337C1" w:rsidP="00694400" w:rsidRDefault="00A46B57" w14:paraId="386EA7AF" w14:textId="77777777">
            <w:pPr>
              <w:keepNext/>
              <w:rPr>
                <w:sz w:val="20"/>
                <w:szCs w:val="20"/>
              </w:rPr>
            </w:pPr>
            <w:r w:rsidRPr="0002420B">
              <w:rPr>
                <w:sz w:val="20"/>
                <w:szCs w:val="20"/>
              </w:rPr>
              <w:t>Respondents That Do Not Submit Any Reports</w:t>
            </w:r>
          </w:p>
        </w:tc>
        <w:tc>
          <w:tcPr>
            <w:tcW w:w="3510" w:type="dxa"/>
            <w:gridSpan w:val="2"/>
            <w:tcMar>
              <w:top w:w="29" w:type="dxa"/>
              <w:left w:w="86" w:type="dxa"/>
              <w:bottom w:w="29" w:type="dxa"/>
              <w:right w:w="86" w:type="dxa"/>
            </w:tcMar>
          </w:tcPr>
          <w:p w:rsidRPr="0002420B" w:rsidR="002337C1" w:rsidP="00694400" w:rsidRDefault="002337C1" w14:paraId="0823C0F7" w14:textId="77777777">
            <w:pPr>
              <w:keepNext/>
              <w:rPr>
                <w:sz w:val="20"/>
                <w:szCs w:val="20"/>
              </w:rPr>
            </w:pPr>
          </w:p>
        </w:tc>
      </w:tr>
      <w:tr w:rsidRPr="0002420B" w:rsidR="002337C1" w:rsidTr="00694400" w14:paraId="2F62E771" w14:textId="77777777">
        <w:trPr>
          <w:cantSplit/>
          <w:tblHeader/>
        </w:trPr>
        <w:tc>
          <w:tcPr>
            <w:tcW w:w="901" w:type="dxa"/>
            <w:tcMar>
              <w:top w:w="29" w:type="dxa"/>
              <w:left w:w="86" w:type="dxa"/>
              <w:bottom w:w="29" w:type="dxa"/>
              <w:right w:w="86" w:type="dxa"/>
            </w:tcMar>
          </w:tcPr>
          <w:p w:rsidRPr="0002420B" w:rsidR="002337C1" w:rsidP="006F5257" w:rsidRDefault="002337C1" w14:paraId="65E96062" w14:textId="77777777">
            <w:pPr>
              <w:jc w:val="center"/>
              <w:rPr>
                <w:sz w:val="20"/>
                <w:szCs w:val="20"/>
              </w:rPr>
            </w:pPr>
          </w:p>
          <w:p w:rsidRPr="0002420B" w:rsidR="002337C1" w:rsidP="006F5257" w:rsidRDefault="00A46B57" w14:paraId="45236A91" w14:textId="77777777">
            <w:pPr>
              <w:jc w:val="center"/>
              <w:rPr>
                <w:sz w:val="20"/>
                <w:szCs w:val="20"/>
              </w:rPr>
            </w:pPr>
            <w:r w:rsidRPr="0002420B">
              <w:rPr>
                <w:sz w:val="20"/>
                <w:szCs w:val="20"/>
              </w:rPr>
              <w:t>Year</w:t>
            </w:r>
          </w:p>
        </w:tc>
        <w:tc>
          <w:tcPr>
            <w:tcW w:w="1598" w:type="dxa"/>
            <w:tcMar>
              <w:top w:w="29" w:type="dxa"/>
              <w:left w:w="86" w:type="dxa"/>
              <w:bottom w:w="29" w:type="dxa"/>
              <w:right w:w="86" w:type="dxa"/>
            </w:tcMar>
          </w:tcPr>
          <w:p w:rsidRPr="0002420B" w:rsidR="002337C1" w:rsidP="006F5257" w:rsidRDefault="00A46B57" w14:paraId="7ABC03C8" w14:textId="77777777">
            <w:pPr>
              <w:jc w:val="center"/>
              <w:rPr>
                <w:sz w:val="20"/>
                <w:szCs w:val="20"/>
              </w:rPr>
            </w:pPr>
            <w:r w:rsidRPr="0002420B">
              <w:rPr>
                <w:sz w:val="20"/>
                <w:szCs w:val="20"/>
              </w:rPr>
              <w:t>(A)</w:t>
            </w:r>
          </w:p>
          <w:p w:rsidRPr="0002420B" w:rsidR="002337C1" w:rsidP="006F5257" w:rsidRDefault="00A46B57" w14:paraId="19E9F7F6" w14:textId="77777777">
            <w:pPr>
              <w:jc w:val="center"/>
              <w:rPr>
                <w:sz w:val="20"/>
                <w:szCs w:val="20"/>
              </w:rPr>
            </w:pPr>
            <w:r w:rsidRPr="0002420B">
              <w:rPr>
                <w:sz w:val="20"/>
                <w:szCs w:val="20"/>
              </w:rPr>
              <w:t xml:space="preserve">Number of New Respondents </w:t>
            </w:r>
            <w:r w:rsidRPr="0002420B">
              <w:rPr>
                <w:sz w:val="20"/>
                <w:szCs w:val="20"/>
                <w:vertAlign w:val="superscript"/>
              </w:rPr>
              <w:t>1</w:t>
            </w:r>
          </w:p>
        </w:tc>
        <w:tc>
          <w:tcPr>
            <w:tcW w:w="1282" w:type="dxa"/>
            <w:tcMar>
              <w:top w:w="29" w:type="dxa"/>
              <w:left w:w="86" w:type="dxa"/>
              <w:bottom w:w="29" w:type="dxa"/>
              <w:right w:w="86" w:type="dxa"/>
            </w:tcMar>
          </w:tcPr>
          <w:p w:rsidRPr="0002420B" w:rsidR="002337C1" w:rsidP="006F5257" w:rsidRDefault="00A46B57" w14:paraId="3FDA45D9" w14:textId="77777777">
            <w:pPr>
              <w:jc w:val="center"/>
              <w:rPr>
                <w:sz w:val="20"/>
                <w:szCs w:val="20"/>
              </w:rPr>
            </w:pPr>
            <w:r w:rsidRPr="0002420B">
              <w:rPr>
                <w:sz w:val="20"/>
                <w:szCs w:val="20"/>
              </w:rPr>
              <w:t>(B)</w:t>
            </w:r>
          </w:p>
          <w:p w:rsidRPr="0002420B" w:rsidR="002337C1" w:rsidP="006F5257" w:rsidRDefault="00A46B57" w14:paraId="33B6797D" w14:textId="77777777">
            <w:pPr>
              <w:jc w:val="center"/>
              <w:rPr>
                <w:sz w:val="20"/>
                <w:szCs w:val="20"/>
              </w:rPr>
            </w:pPr>
            <w:r w:rsidRPr="0002420B">
              <w:rPr>
                <w:sz w:val="20"/>
                <w:szCs w:val="20"/>
              </w:rPr>
              <w:t>Number of Existing Respondents</w:t>
            </w:r>
          </w:p>
        </w:tc>
        <w:tc>
          <w:tcPr>
            <w:tcW w:w="2069" w:type="dxa"/>
            <w:tcMar>
              <w:top w:w="29" w:type="dxa"/>
              <w:left w:w="86" w:type="dxa"/>
              <w:bottom w:w="29" w:type="dxa"/>
              <w:right w:w="86" w:type="dxa"/>
            </w:tcMar>
          </w:tcPr>
          <w:p w:rsidRPr="0002420B" w:rsidR="002337C1" w:rsidP="006F5257" w:rsidRDefault="00A46B57" w14:paraId="7A5F7A36" w14:textId="77777777">
            <w:pPr>
              <w:jc w:val="center"/>
              <w:rPr>
                <w:sz w:val="20"/>
                <w:szCs w:val="20"/>
              </w:rPr>
            </w:pPr>
            <w:r w:rsidRPr="0002420B">
              <w:rPr>
                <w:sz w:val="20"/>
                <w:szCs w:val="20"/>
              </w:rPr>
              <w:t>(C)</w:t>
            </w:r>
          </w:p>
          <w:p w:rsidRPr="0002420B" w:rsidR="002337C1" w:rsidP="006F5257" w:rsidRDefault="00A46B57" w14:paraId="3BE06699" w14:textId="77777777">
            <w:pPr>
              <w:jc w:val="center"/>
              <w:rPr>
                <w:sz w:val="20"/>
                <w:szCs w:val="20"/>
              </w:rPr>
            </w:pPr>
            <w:r w:rsidRPr="0002420B">
              <w:rPr>
                <w:sz w:val="20"/>
                <w:szCs w:val="20"/>
              </w:rPr>
              <w:t>Number of Existing Respondents that keep records but do not submit</w:t>
            </w:r>
            <w:r w:rsidRPr="0002420B">
              <w:rPr>
                <w:spacing w:val="-1"/>
                <w:sz w:val="20"/>
                <w:szCs w:val="20"/>
              </w:rPr>
              <w:t xml:space="preserve"> </w:t>
            </w:r>
            <w:r w:rsidRPr="0002420B">
              <w:rPr>
                <w:sz w:val="20"/>
                <w:szCs w:val="20"/>
              </w:rPr>
              <w:t>reports</w:t>
            </w:r>
          </w:p>
        </w:tc>
        <w:tc>
          <w:tcPr>
            <w:tcW w:w="1800" w:type="dxa"/>
            <w:tcBorders>
              <w:right w:val="single" w:color="000000" w:sz="4" w:space="0"/>
            </w:tcBorders>
            <w:tcMar>
              <w:top w:w="29" w:type="dxa"/>
              <w:left w:w="86" w:type="dxa"/>
              <w:bottom w:w="29" w:type="dxa"/>
              <w:right w:w="86" w:type="dxa"/>
            </w:tcMar>
          </w:tcPr>
          <w:p w:rsidRPr="0002420B" w:rsidR="002337C1" w:rsidP="006F5257" w:rsidRDefault="00A46B57" w14:paraId="2ACCD486" w14:textId="77777777">
            <w:pPr>
              <w:jc w:val="center"/>
              <w:rPr>
                <w:sz w:val="20"/>
                <w:szCs w:val="20"/>
              </w:rPr>
            </w:pPr>
            <w:r w:rsidRPr="0002420B">
              <w:rPr>
                <w:sz w:val="20"/>
                <w:szCs w:val="20"/>
              </w:rPr>
              <w:t>(D)</w:t>
            </w:r>
          </w:p>
          <w:p w:rsidRPr="0002420B" w:rsidR="002337C1" w:rsidP="006F5257" w:rsidRDefault="00A46B57" w14:paraId="0F01E376" w14:textId="77777777">
            <w:pPr>
              <w:jc w:val="center"/>
              <w:rPr>
                <w:sz w:val="20"/>
                <w:szCs w:val="20"/>
              </w:rPr>
            </w:pPr>
            <w:r w:rsidRPr="0002420B">
              <w:rPr>
                <w:sz w:val="20"/>
                <w:szCs w:val="20"/>
              </w:rPr>
              <w:t>Number of Existing Respondents That Are Also New Respondents</w:t>
            </w:r>
          </w:p>
        </w:tc>
        <w:tc>
          <w:tcPr>
            <w:tcW w:w="1710" w:type="dxa"/>
            <w:tcBorders>
              <w:left w:val="single" w:color="000000" w:sz="4" w:space="0"/>
            </w:tcBorders>
            <w:tcMar>
              <w:top w:w="29" w:type="dxa"/>
              <w:left w:w="86" w:type="dxa"/>
              <w:bottom w:w="29" w:type="dxa"/>
              <w:right w:w="86" w:type="dxa"/>
            </w:tcMar>
          </w:tcPr>
          <w:p w:rsidRPr="0002420B" w:rsidR="002337C1" w:rsidP="006F5257" w:rsidRDefault="00A46B57" w14:paraId="567FE3FB" w14:textId="77777777">
            <w:pPr>
              <w:jc w:val="center"/>
              <w:rPr>
                <w:sz w:val="20"/>
                <w:szCs w:val="20"/>
              </w:rPr>
            </w:pPr>
            <w:r w:rsidRPr="0002420B">
              <w:rPr>
                <w:sz w:val="20"/>
                <w:szCs w:val="20"/>
              </w:rPr>
              <w:t>(E)</w:t>
            </w:r>
          </w:p>
          <w:p w:rsidRPr="0002420B" w:rsidR="002337C1" w:rsidP="006F5257" w:rsidRDefault="00A46B57" w14:paraId="035A0448" w14:textId="77777777">
            <w:pPr>
              <w:jc w:val="center"/>
              <w:rPr>
                <w:sz w:val="20"/>
                <w:szCs w:val="20"/>
              </w:rPr>
            </w:pPr>
            <w:r w:rsidRPr="0002420B">
              <w:rPr>
                <w:sz w:val="20"/>
                <w:szCs w:val="20"/>
              </w:rPr>
              <w:t>Number of Respondents (E=A+B+C-D)</w:t>
            </w:r>
          </w:p>
        </w:tc>
      </w:tr>
      <w:tr w:rsidRPr="0002420B" w:rsidR="002337C1" w:rsidTr="00694400" w14:paraId="21874716" w14:textId="77777777">
        <w:trPr>
          <w:cantSplit/>
          <w:trHeight w:val="409"/>
        </w:trPr>
        <w:tc>
          <w:tcPr>
            <w:tcW w:w="901" w:type="dxa"/>
            <w:tcBorders>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0055B71E" w14:textId="77777777">
            <w:pPr>
              <w:jc w:val="center"/>
              <w:rPr>
                <w:sz w:val="20"/>
                <w:szCs w:val="20"/>
              </w:rPr>
            </w:pPr>
            <w:r w:rsidRPr="0002420B">
              <w:rPr>
                <w:sz w:val="20"/>
                <w:szCs w:val="20"/>
              </w:rPr>
              <w:t>1</w:t>
            </w:r>
          </w:p>
        </w:tc>
        <w:tc>
          <w:tcPr>
            <w:tcW w:w="1598" w:type="dxa"/>
            <w:tcBorders>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735E9DF0" w14:textId="77777777">
            <w:pPr>
              <w:jc w:val="center"/>
              <w:rPr>
                <w:sz w:val="20"/>
                <w:szCs w:val="20"/>
              </w:rPr>
            </w:pPr>
            <w:r w:rsidRPr="0002420B">
              <w:rPr>
                <w:sz w:val="20"/>
                <w:szCs w:val="20"/>
              </w:rPr>
              <w:t>0</w:t>
            </w:r>
          </w:p>
        </w:tc>
        <w:tc>
          <w:tcPr>
            <w:tcW w:w="1282" w:type="dxa"/>
            <w:tcBorders>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0FDDE831" w14:textId="77777777">
            <w:pPr>
              <w:jc w:val="center"/>
              <w:rPr>
                <w:sz w:val="20"/>
                <w:szCs w:val="20"/>
              </w:rPr>
            </w:pPr>
            <w:r w:rsidRPr="0002420B">
              <w:rPr>
                <w:sz w:val="20"/>
                <w:szCs w:val="20"/>
              </w:rPr>
              <w:t>3</w:t>
            </w:r>
          </w:p>
        </w:tc>
        <w:tc>
          <w:tcPr>
            <w:tcW w:w="2069" w:type="dxa"/>
            <w:tcBorders>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4F216628" w14:textId="77777777">
            <w:pPr>
              <w:jc w:val="center"/>
              <w:rPr>
                <w:sz w:val="20"/>
                <w:szCs w:val="20"/>
              </w:rPr>
            </w:pPr>
            <w:r w:rsidRPr="0002420B">
              <w:rPr>
                <w:sz w:val="20"/>
                <w:szCs w:val="20"/>
              </w:rPr>
              <w:t>0</w:t>
            </w:r>
          </w:p>
        </w:tc>
        <w:tc>
          <w:tcPr>
            <w:tcW w:w="1800" w:type="dxa"/>
            <w:tcBorders>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4F58FBE0" w14:textId="77777777">
            <w:pPr>
              <w:jc w:val="center"/>
              <w:rPr>
                <w:sz w:val="20"/>
                <w:szCs w:val="20"/>
              </w:rPr>
            </w:pPr>
            <w:r w:rsidRPr="0002420B">
              <w:rPr>
                <w:sz w:val="20"/>
                <w:szCs w:val="20"/>
              </w:rPr>
              <w:t>0</w:t>
            </w:r>
          </w:p>
        </w:tc>
        <w:tc>
          <w:tcPr>
            <w:tcW w:w="1710" w:type="dxa"/>
            <w:tcBorders>
              <w:left w:val="single" w:color="000000" w:sz="6" w:space="0"/>
              <w:bottom w:val="single" w:color="000000" w:sz="6" w:space="0"/>
            </w:tcBorders>
            <w:tcMar>
              <w:top w:w="29" w:type="dxa"/>
              <w:left w:w="86" w:type="dxa"/>
              <w:bottom w:w="29" w:type="dxa"/>
              <w:right w:w="86" w:type="dxa"/>
            </w:tcMar>
            <w:vAlign w:val="center"/>
          </w:tcPr>
          <w:p w:rsidRPr="0002420B" w:rsidR="002337C1" w:rsidP="007D2161" w:rsidRDefault="00A46B57" w14:paraId="23C39712" w14:textId="77777777">
            <w:pPr>
              <w:jc w:val="center"/>
              <w:rPr>
                <w:sz w:val="20"/>
                <w:szCs w:val="20"/>
              </w:rPr>
            </w:pPr>
            <w:r w:rsidRPr="0002420B">
              <w:rPr>
                <w:sz w:val="20"/>
                <w:szCs w:val="20"/>
              </w:rPr>
              <w:t>3</w:t>
            </w:r>
          </w:p>
        </w:tc>
      </w:tr>
      <w:tr w:rsidRPr="0002420B" w:rsidR="002337C1" w:rsidTr="00694400" w14:paraId="2EA12F9A" w14:textId="77777777">
        <w:trPr>
          <w:cantSplit/>
          <w:trHeight w:val="408"/>
        </w:trPr>
        <w:tc>
          <w:tcPr>
            <w:tcW w:w="901" w:type="dxa"/>
            <w:tcBorders>
              <w:top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5DBEDDA6" w14:textId="77777777">
            <w:pPr>
              <w:jc w:val="center"/>
              <w:rPr>
                <w:sz w:val="20"/>
                <w:szCs w:val="20"/>
              </w:rPr>
            </w:pPr>
            <w:r w:rsidRPr="0002420B">
              <w:rPr>
                <w:sz w:val="20"/>
                <w:szCs w:val="20"/>
              </w:rPr>
              <w:t>2</w:t>
            </w:r>
          </w:p>
        </w:tc>
        <w:tc>
          <w:tcPr>
            <w:tcW w:w="1598"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7E4A0E28" w14:textId="77777777">
            <w:pPr>
              <w:jc w:val="center"/>
              <w:rPr>
                <w:sz w:val="20"/>
                <w:szCs w:val="20"/>
              </w:rPr>
            </w:pPr>
            <w:r w:rsidRPr="0002420B">
              <w:rPr>
                <w:sz w:val="20"/>
                <w:szCs w:val="20"/>
              </w:rPr>
              <w:t>0</w:t>
            </w:r>
          </w:p>
        </w:tc>
        <w:tc>
          <w:tcPr>
            <w:tcW w:w="1282"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7A0E0119" w14:textId="77777777">
            <w:pPr>
              <w:jc w:val="center"/>
              <w:rPr>
                <w:sz w:val="20"/>
                <w:szCs w:val="20"/>
              </w:rPr>
            </w:pPr>
            <w:r w:rsidRPr="0002420B">
              <w:rPr>
                <w:sz w:val="20"/>
                <w:szCs w:val="20"/>
              </w:rPr>
              <w:t>3</w:t>
            </w:r>
          </w:p>
        </w:tc>
        <w:tc>
          <w:tcPr>
            <w:tcW w:w="2069"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064D23EE" w14:textId="77777777">
            <w:pPr>
              <w:jc w:val="center"/>
              <w:rPr>
                <w:sz w:val="20"/>
                <w:szCs w:val="20"/>
              </w:rPr>
            </w:pPr>
            <w:r w:rsidRPr="0002420B">
              <w:rPr>
                <w:sz w:val="20"/>
                <w:szCs w:val="20"/>
              </w:rPr>
              <w:t>0</w:t>
            </w:r>
          </w:p>
        </w:tc>
        <w:tc>
          <w:tcPr>
            <w:tcW w:w="1800"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7D2161" w:rsidRDefault="00A46B57" w14:paraId="58682113" w14:textId="77777777">
            <w:pPr>
              <w:jc w:val="center"/>
              <w:rPr>
                <w:sz w:val="20"/>
                <w:szCs w:val="20"/>
              </w:rPr>
            </w:pPr>
            <w:r w:rsidRPr="0002420B">
              <w:rPr>
                <w:sz w:val="20"/>
                <w:szCs w:val="20"/>
              </w:rPr>
              <w:t>0</w:t>
            </w:r>
          </w:p>
        </w:tc>
        <w:tc>
          <w:tcPr>
            <w:tcW w:w="1710" w:type="dxa"/>
            <w:tcBorders>
              <w:top w:val="single" w:color="000000" w:sz="6" w:space="0"/>
              <w:left w:val="single" w:color="000000" w:sz="6" w:space="0"/>
              <w:bottom w:val="single" w:color="000000" w:sz="6" w:space="0"/>
            </w:tcBorders>
            <w:tcMar>
              <w:top w:w="29" w:type="dxa"/>
              <w:left w:w="86" w:type="dxa"/>
              <w:bottom w:w="29" w:type="dxa"/>
              <w:right w:w="86" w:type="dxa"/>
            </w:tcMar>
            <w:vAlign w:val="center"/>
          </w:tcPr>
          <w:p w:rsidRPr="0002420B" w:rsidR="002337C1" w:rsidP="007D2161" w:rsidRDefault="00A46B57" w14:paraId="2DC9B7E9" w14:textId="77777777">
            <w:pPr>
              <w:jc w:val="center"/>
              <w:rPr>
                <w:sz w:val="20"/>
                <w:szCs w:val="20"/>
              </w:rPr>
            </w:pPr>
            <w:r w:rsidRPr="0002420B">
              <w:rPr>
                <w:sz w:val="20"/>
                <w:szCs w:val="20"/>
              </w:rPr>
              <w:t>3</w:t>
            </w:r>
          </w:p>
        </w:tc>
      </w:tr>
      <w:tr w:rsidRPr="0002420B" w:rsidR="002337C1" w:rsidTr="00694400" w14:paraId="6AB39A73" w14:textId="77777777">
        <w:trPr>
          <w:cantSplit/>
          <w:trHeight w:val="310"/>
        </w:trPr>
        <w:tc>
          <w:tcPr>
            <w:tcW w:w="901" w:type="dxa"/>
            <w:tcBorders>
              <w:top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212E49" w:rsidRDefault="006F5257" w14:paraId="78ABE522" w14:textId="5A5B9EE4">
            <w:pPr>
              <w:keepNext/>
              <w:jc w:val="center"/>
              <w:rPr>
                <w:sz w:val="20"/>
                <w:szCs w:val="20"/>
              </w:rPr>
            </w:pPr>
            <w:r>
              <w:rPr>
                <w:sz w:val="20"/>
                <w:szCs w:val="20"/>
              </w:rPr>
              <w:t>3</w:t>
            </w:r>
          </w:p>
        </w:tc>
        <w:tc>
          <w:tcPr>
            <w:tcW w:w="1598"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212E49" w:rsidRDefault="00A46B57" w14:paraId="75824069" w14:textId="77777777">
            <w:pPr>
              <w:keepNext/>
              <w:jc w:val="center"/>
              <w:rPr>
                <w:sz w:val="20"/>
                <w:szCs w:val="20"/>
              </w:rPr>
            </w:pPr>
            <w:r w:rsidRPr="0002420B">
              <w:rPr>
                <w:sz w:val="20"/>
                <w:szCs w:val="20"/>
              </w:rPr>
              <w:t>0</w:t>
            </w:r>
          </w:p>
        </w:tc>
        <w:tc>
          <w:tcPr>
            <w:tcW w:w="1282"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212E49" w:rsidRDefault="00A46B57" w14:paraId="20EDEE1D" w14:textId="77777777">
            <w:pPr>
              <w:keepNext/>
              <w:jc w:val="center"/>
              <w:rPr>
                <w:sz w:val="20"/>
                <w:szCs w:val="20"/>
              </w:rPr>
            </w:pPr>
            <w:r w:rsidRPr="0002420B">
              <w:rPr>
                <w:sz w:val="20"/>
                <w:szCs w:val="20"/>
              </w:rPr>
              <w:t>3</w:t>
            </w:r>
          </w:p>
        </w:tc>
        <w:tc>
          <w:tcPr>
            <w:tcW w:w="2069"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212E49" w:rsidRDefault="006F5257" w14:paraId="62D48CA6" w14:textId="07EB7037">
            <w:pPr>
              <w:keepNext/>
              <w:jc w:val="center"/>
              <w:rPr>
                <w:sz w:val="20"/>
                <w:szCs w:val="20"/>
              </w:rPr>
            </w:pPr>
            <w:r>
              <w:rPr>
                <w:sz w:val="20"/>
                <w:szCs w:val="20"/>
              </w:rPr>
              <w:t>0</w:t>
            </w:r>
          </w:p>
        </w:tc>
        <w:tc>
          <w:tcPr>
            <w:tcW w:w="1800"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2337C1" w:rsidP="00212E49" w:rsidRDefault="006F5257" w14:paraId="0F24AC67" w14:textId="6E3CAA38">
            <w:pPr>
              <w:keepNext/>
              <w:jc w:val="center"/>
              <w:rPr>
                <w:sz w:val="20"/>
                <w:szCs w:val="20"/>
              </w:rPr>
            </w:pPr>
            <w:r>
              <w:rPr>
                <w:sz w:val="20"/>
                <w:szCs w:val="20"/>
              </w:rPr>
              <w:t>0</w:t>
            </w:r>
          </w:p>
        </w:tc>
        <w:tc>
          <w:tcPr>
            <w:tcW w:w="1710" w:type="dxa"/>
            <w:tcBorders>
              <w:top w:val="single" w:color="000000" w:sz="6" w:space="0"/>
              <w:left w:val="single" w:color="000000" w:sz="6" w:space="0"/>
              <w:bottom w:val="single" w:color="000000" w:sz="6" w:space="0"/>
            </w:tcBorders>
            <w:tcMar>
              <w:top w:w="29" w:type="dxa"/>
              <w:left w:w="86" w:type="dxa"/>
              <w:bottom w:w="29" w:type="dxa"/>
              <w:right w:w="86" w:type="dxa"/>
            </w:tcMar>
            <w:vAlign w:val="center"/>
          </w:tcPr>
          <w:p w:rsidRPr="0002420B" w:rsidR="002337C1" w:rsidP="00212E49" w:rsidRDefault="00A46B57" w14:paraId="0CF694B5" w14:textId="77777777">
            <w:pPr>
              <w:keepNext/>
              <w:jc w:val="center"/>
              <w:rPr>
                <w:sz w:val="20"/>
                <w:szCs w:val="20"/>
              </w:rPr>
            </w:pPr>
            <w:r w:rsidRPr="0002420B">
              <w:rPr>
                <w:sz w:val="20"/>
                <w:szCs w:val="20"/>
              </w:rPr>
              <w:t>3</w:t>
            </w:r>
          </w:p>
        </w:tc>
      </w:tr>
      <w:tr w:rsidRPr="0002420B" w:rsidR="006F5257" w:rsidTr="00694400" w14:paraId="7DBDD97A" w14:textId="77777777">
        <w:trPr>
          <w:cantSplit/>
          <w:trHeight w:val="310"/>
        </w:trPr>
        <w:tc>
          <w:tcPr>
            <w:tcW w:w="901" w:type="dxa"/>
            <w:tcBorders>
              <w:top w:val="single" w:color="000000" w:sz="6" w:space="0"/>
              <w:bottom w:val="single" w:color="000000" w:sz="6" w:space="0"/>
              <w:right w:val="single" w:color="000000" w:sz="6" w:space="0"/>
            </w:tcBorders>
            <w:tcMar>
              <w:top w:w="29" w:type="dxa"/>
              <w:left w:w="86" w:type="dxa"/>
              <w:bottom w:w="29" w:type="dxa"/>
              <w:right w:w="86" w:type="dxa"/>
            </w:tcMar>
            <w:vAlign w:val="center"/>
          </w:tcPr>
          <w:p w:rsidR="006F5257" w:rsidP="00212E49" w:rsidRDefault="006F5257" w14:paraId="17133BCE" w14:textId="04A443B5">
            <w:pPr>
              <w:keepNext/>
              <w:jc w:val="center"/>
              <w:rPr>
                <w:sz w:val="20"/>
                <w:szCs w:val="20"/>
              </w:rPr>
            </w:pPr>
            <w:r>
              <w:rPr>
                <w:sz w:val="20"/>
                <w:szCs w:val="20"/>
              </w:rPr>
              <w:t>Average</w:t>
            </w:r>
          </w:p>
        </w:tc>
        <w:tc>
          <w:tcPr>
            <w:tcW w:w="1598"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6F5257" w:rsidP="00212E49" w:rsidRDefault="006F5257" w14:paraId="57EA1DB5" w14:textId="2CC628A8">
            <w:pPr>
              <w:keepNext/>
              <w:jc w:val="center"/>
              <w:rPr>
                <w:sz w:val="20"/>
                <w:szCs w:val="20"/>
              </w:rPr>
            </w:pPr>
            <w:r>
              <w:rPr>
                <w:sz w:val="20"/>
                <w:szCs w:val="20"/>
              </w:rPr>
              <w:t>0</w:t>
            </w:r>
          </w:p>
        </w:tc>
        <w:tc>
          <w:tcPr>
            <w:tcW w:w="1282"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Pr="0002420B" w:rsidR="006F5257" w:rsidP="00212E49" w:rsidRDefault="006F5257" w14:paraId="4B829AB8" w14:textId="49128DD2">
            <w:pPr>
              <w:keepNext/>
              <w:jc w:val="center"/>
              <w:rPr>
                <w:sz w:val="20"/>
                <w:szCs w:val="20"/>
              </w:rPr>
            </w:pPr>
            <w:r>
              <w:rPr>
                <w:sz w:val="20"/>
                <w:szCs w:val="20"/>
              </w:rPr>
              <w:t>3</w:t>
            </w:r>
          </w:p>
        </w:tc>
        <w:tc>
          <w:tcPr>
            <w:tcW w:w="2069"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006F5257" w:rsidP="00212E49" w:rsidRDefault="006F5257" w14:paraId="6C76693F" w14:textId="67D7947E">
            <w:pPr>
              <w:keepNext/>
              <w:jc w:val="center"/>
              <w:rPr>
                <w:sz w:val="20"/>
                <w:szCs w:val="20"/>
              </w:rPr>
            </w:pPr>
            <w:r>
              <w:rPr>
                <w:sz w:val="20"/>
                <w:szCs w:val="20"/>
              </w:rPr>
              <w:t>0</w:t>
            </w:r>
          </w:p>
        </w:tc>
        <w:tc>
          <w:tcPr>
            <w:tcW w:w="1800" w:type="dxa"/>
            <w:tcBorders>
              <w:top w:val="single" w:color="000000" w:sz="6" w:space="0"/>
              <w:left w:val="single" w:color="000000" w:sz="6" w:space="0"/>
              <w:bottom w:val="single" w:color="000000" w:sz="6" w:space="0"/>
              <w:right w:val="single" w:color="000000" w:sz="6" w:space="0"/>
            </w:tcBorders>
            <w:tcMar>
              <w:top w:w="29" w:type="dxa"/>
              <w:left w:w="86" w:type="dxa"/>
              <w:bottom w:w="29" w:type="dxa"/>
              <w:right w:w="86" w:type="dxa"/>
            </w:tcMar>
            <w:vAlign w:val="center"/>
          </w:tcPr>
          <w:p w:rsidR="006F5257" w:rsidP="00212E49" w:rsidRDefault="006F5257" w14:paraId="15B07F04" w14:textId="5468927E">
            <w:pPr>
              <w:keepNext/>
              <w:jc w:val="center"/>
              <w:rPr>
                <w:sz w:val="20"/>
                <w:szCs w:val="20"/>
              </w:rPr>
            </w:pPr>
            <w:r>
              <w:rPr>
                <w:sz w:val="20"/>
                <w:szCs w:val="20"/>
              </w:rPr>
              <w:t>0</w:t>
            </w:r>
          </w:p>
        </w:tc>
        <w:tc>
          <w:tcPr>
            <w:tcW w:w="1710" w:type="dxa"/>
            <w:tcBorders>
              <w:top w:val="single" w:color="000000" w:sz="6" w:space="0"/>
              <w:left w:val="single" w:color="000000" w:sz="6" w:space="0"/>
              <w:bottom w:val="single" w:color="000000" w:sz="6" w:space="0"/>
            </w:tcBorders>
            <w:tcMar>
              <w:top w:w="29" w:type="dxa"/>
              <w:left w:w="86" w:type="dxa"/>
              <w:bottom w:w="29" w:type="dxa"/>
              <w:right w:w="86" w:type="dxa"/>
            </w:tcMar>
            <w:vAlign w:val="center"/>
          </w:tcPr>
          <w:p w:rsidRPr="0002420B" w:rsidR="006F5257" w:rsidP="00212E49" w:rsidRDefault="006F5257" w14:paraId="2F0569F0" w14:textId="4AC8DB1E">
            <w:pPr>
              <w:keepNext/>
              <w:jc w:val="center"/>
              <w:rPr>
                <w:sz w:val="20"/>
                <w:szCs w:val="20"/>
              </w:rPr>
            </w:pPr>
            <w:r>
              <w:rPr>
                <w:sz w:val="20"/>
                <w:szCs w:val="20"/>
              </w:rPr>
              <w:t>3</w:t>
            </w:r>
          </w:p>
        </w:tc>
      </w:tr>
    </w:tbl>
    <w:p w:rsidRPr="006F5257" w:rsidR="002337C1" w:rsidP="00212E49" w:rsidRDefault="00A46B57" w14:paraId="5DF5AA78" w14:textId="2A81D283">
      <w:pPr>
        <w:keepNext/>
        <w:rPr>
          <w:sz w:val="20"/>
          <w:szCs w:val="20"/>
        </w:rPr>
      </w:pPr>
      <w:r w:rsidRPr="006F5257">
        <w:rPr>
          <w:position w:val="9"/>
          <w:sz w:val="20"/>
          <w:szCs w:val="20"/>
        </w:rPr>
        <w:t xml:space="preserve">1 </w:t>
      </w:r>
      <w:r w:rsidRPr="006F5257">
        <w:rPr>
          <w:sz w:val="20"/>
          <w:szCs w:val="20"/>
        </w:rPr>
        <w:t>New respondents include sources with constructed, reconstructed, and modified affected facilities.</w:t>
      </w:r>
    </w:p>
    <w:p w:rsidR="002337C1" w:rsidP="00147EA6" w:rsidRDefault="00A46B57" w14:paraId="03FA0780" w14:textId="6C347F3F">
      <w:pPr>
        <w:pStyle w:val="BodyText"/>
      </w:pPr>
      <w:r>
        <w:t>Column</w:t>
      </w:r>
      <w:r w:rsidR="006C4810">
        <w:t> </w:t>
      </w:r>
      <w:r>
        <w:t xml:space="preserve">D is subtracted to avoid double-counting respondents. As shown above, the average Number of Respondents over the </w:t>
      </w:r>
      <w:r w:rsidR="00E56B7C">
        <w:t>3</w:t>
      </w:r>
      <w:r>
        <w:t xml:space="preserve">-year period of this ICR is </w:t>
      </w:r>
      <w:r w:rsidR="00E56B7C">
        <w:t>three</w:t>
      </w:r>
      <w:r>
        <w:t>.</w:t>
      </w:r>
    </w:p>
    <w:p w:rsidR="002337C1" w:rsidP="00147EA6" w:rsidRDefault="00A46B57" w14:paraId="5891BD1A" w14:textId="77777777">
      <w:pPr>
        <w:pStyle w:val="Heading2"/>
      </w:pPr>
      <w:r>
        <w:t>6(e) Bottom Line Burden Hours and Cost Tables</w:t>
      </w:r>
    </w:p>
    <w:p w:rsidR="002337C1" w:rsidP="00147EA6" w:rsidRDefault="00A46B57" w14:paraId="1488B2A8" w14:textId="62F6B6D4">
      <w:pPr>
        <w:pStyle w:val="BodyText"/>
      </w:pPr>
      <w:r>
        <w:t xml:space="preserve">The detailed bottom line burden hours and cost calculations for the respondents and the Agency are shown in </w:t>
      </w:r>
      <w:r w:rsidR="00712AD2">
        <w:t>Attachment 1, which is available as an Excel workbook</w:t>
      </w:r>
      <w:r>
        <w:t xml:space="preserve"> in the docket for this action (Docket ID No.</w:t>
      </w:r>
      <w:r w:rsidR="009E142D">
        <w:t> </w:t>
      </w:r>
      <w:r>
        <w:t xml:space="preserve">EPA-HQ-OAR-2020-0572), and </w:t>
      </w:r>
      <w:r w:rsidR="0037537B">
        <w:t xml:space="preserve">they </w:t>
      </w:r>
      <w:r w:rsidR="006D51AE">
        <w:t xml:space="preserve">are </w:t>
      </w:r>
      <w:r>
        <w:t>summarized below.</w:t>
      </w:r>
    </w:p>
    <w:p w:rsidRPr="00147EA6" w:rsidR="002337C1" w:rsidP="00147EA6" w:rsidRDefault="00984437" w14:paraId="726451ED" w14:textId="4C7E66B3">
      <w:pPr>
        <w:pStyle w:val="Heading3"/>
      </w:pPr>
      <w:r>
        <w:rPr>
          <w:rStyle w:val="Heading3Char"/>
          <w:b/>
        </w:rPr>
        <w:t>(</w:t>
      </w:r>
      <w:proofErr w:type="spellStart"/>
      <w:r>
        <w:rPr>
          <w:rStyle w:val="Heading3Char"/>
          <w:b/>
        </w:rPr>
        <w:t>i</w:t>
      </w:r>
      <w:proofErr w:type="spellEnd"/>
      <w:r>
        <w:rPr>
          <w:rStyle w:val="Heading3Char"/>
          <w:b/>
        </w:rPr>
        <w:t xml:space="preserve">) </w:t>
      </w:r>
      <w:r w:rsidRPr="00147EA6" w:rsidR="00A46B57">
        <w:rPr>
          <w:rStyle w:val="Heading3Char"/>
          <w:b/>
        </w:rPr>
        <w:t>Respondent</w:t>
      </w:r>
      <w:r w:rsidRPr="00147EA6" w:rsidR="00A46B57">
        <w:t xml:space="preserve"> Tally</w:t>
      </w:r>
    </w:p>
    <w:p w:rsidR="002337C1" w:rsidP="00147EA6" w:rsidRDefault="00144F8A" w14:paraId="7E73ADA1" w14:textId="149A9A7E">
      <w:pPr>
        <w:pStyle w:val="BodyText"/>
      </w:pPr>
      <w:r>
        <w:t xml:space="preserve">Over the first </w:t>
      </w:r>
      <w:r w:rsidR="00A16790">
        <w:t>3 </w:t>
      </w:r>
      <w:r>
        <w:t>years after finalizing the amendments, t</w:t>
      </w:r>
      <w:r w:rsidR="00A46B57">
        <w:t xml:space="preserve">he total labor hours are </w:t>
      </w:r>
      <w:r>
        <w:t xml:space="preserve">estimated to be </w:t>
      </w:r>
      <w:r w:rsidR="00CF34D0">
        <w:t>338 </w:t>
      </w:r>
      <w:r>
        <w:t>hours at a cost of approximately $</w:t>
      </w:r>
      <w:r w:rsidR="00CF34D0">
        <w:t>34,600</w:t>
      </w:r>
      <w:r>
        <w:t xml:space="preserve">. The average annual labor hours over those </w:t>
      </w:r>
      <w:r w:rsidR="00A16790">
        <w:t>3 </w:t>
      </w:r>
      <w:r>
        <w:t xml:space="preserve">years is estimated to be </w:t>
      </w:r>
      <w:r w:rsidR="005D3546">
        <w:t>113</w:t>
      </w:r>
      <w:r w:rsidR="008612C1">
        <w:t> </w:t>
      </w:r>
      <w:r w:rsidR="00A46B57">
        <w:t xml:space="preserve">hours at a cost of </w:t>
      </w:r>
      <w:r w:rsidR="005D3546">
        <w:t>$11,500</w:t>
      </w:r>
      <w:r>
        <w:t xml:space="preserve"> per year. Furthermore, the total reporting and recordkeeping burden for this collection of information is estimated to average </w:t>
      </w:r>
      <w:r w:rsidR="006D51AE">
        <w:lastRenderedPageBreak/>
        <w:t>8</w:t>
      </w:r>
      <w:r>
        <w:t> hours per response</w:t>
      </w:r>
      <w:r w:rsidR="00A46B57">
        <w:t>. Details regarding these estimates may be found in Table</w:t>
      </w:r>
      <w:r w:rsidR="006D51AE">
        <w:t>s</w:t>
      </w:r>
      <w:r w:rsidR="005D3546">
        <w:t> </w:t>
      </w:r>
      <w:r w:rsidR="006D51AE">
        <w:t xml:space="preserve">1 through </w:t>
      </w:r>
      <w:r w:rsidR="00A46B57">
        <w:t xml:space="preserve">4 of </w:t>
      </w:r>
      <w:r w:rsidR="00B4564F">
        <w:t>Attachment 1.</w:t>
      </w:r>
    </w:p>
    <w:p w:rsidR="002337C1" w:rsidP="00147EA6" w:rsidRDefault="00A46B57" w14:paraId="2DD3CE37" w14:textId="606E69A1">
      <w:pPr>
        <w:pStyle w:val="BodyText"/>
      </w:pPr>
      <w:r>
        <w:t>We assume that burdens for managerial tasks take 5</w:t>
      </w:r>
      <w:r w:rsidR="00B8094C">
        <w:t> percent</w:t>
      </w:r>
      <w:r>
        <w:t xml:space="preserve"> of the time required for technical tasks because the typical tasks for managers are to review and approve reports. Clerical burdens are assumed to take 10</w:t>
      </w:r>
      <w:r w:rsidR="00B8094C">
        <w:t> percent</w:t>
      </w:r>
      <w:r>
        <w:t xml:space="preserve"> of the time required for technical tasks because the typical duties of clerical staff are to proofread the reports, make copies and maintain records.</w:t>
      </w:r>
    </w:p>
    <w:p w:rsidR="002337C1" w:rsidP="005F202B" w:rsidRDefault="00A46B57" w14:paraId="0385F0AA" w14:textId="090A11BA">
      <w:pPr>
        <w:pStyle w:val="BodyText"/>
      </w:pPr>
      <w:r>
        <w:t>T</w:t>
      </w:r>
      <w:r w:rsidR="0060199E">
        <w:t xml:space="preserve">he total operation and maintenance costs associated with </w:t>
      </w:r>
      <w:r w:rsidR="008E4008">
        <w:t xml:space="preserve">the </w:t>
      </w:r>
      <w:r w:rsidR="000D77B8">
        <w:t xml:space="preserve">RTR’s </w:t>
      </w:r>
      <w:r w:rsidR="0060199E">
        <w:t xml:space="preserve">additional performance test requirements assume that an off-site contractor will perform </w:t>
      </w:r>
      <w:r w:rsidR="00107248">
        <w:t xml:space="preserve">the testing and </w:t>
      </w:r>
      <w:r w:rsidR="0060199E">
        <w:t xml:space="preserve">prepare </w:t>
      </w:r>
      <w:r w:rsidR="00107248">
        <w:t xml:space="preserve">the </w:t>
      </w:r>
      <w:r w:rsidR="0060199E">
        <w:t xml:space="preserve">report of </w:t>
      </w:r>
      <w:r w:rsidR="00107248">
        <w:t>results of each test</w:t>
      </w:r>
      <w:r w:rsidR="0060199E">
        <w:t xml:space="preserve">. These </w:t>
      </w:r>
      <w:r w:rsidR="00B20FD9">
        <w:t xml:space="preserve">non-labor </w:t>
      </w:r>
      <w:r w:rsidR="0060199E">
        <w:t>costs are estimated to total approximately $</w:t>
      </w:r>
      <w:r w:rsidR="00B20FD9">
        <w:t>30,400</w:t>
      </w:r>
      <w:r w:rsidR="0060199E">
        <w:t xml:space="preserve"> over the </w:t>
      </w:r>
      <w:r w:rsidR="00A16790">
        <w:t>3</w:t>
      </w:r>
      <w:r w:rsidR="0060199E">
        <w:t xml:space="preserve">-year period, at an estimated average </w:t>
      </w:r>
      <w:r w:rsidR="00B20FD9">
        <w:t xml:space="preserve">annual </w:t>
      </w:r>
      <w:r w:rsidR="0060199E">
        <w:t>cost of $</w:t>
      </w:r>
      <w:r w:rsidR="00B20FD9">
        <w:t>10,100</w:t>
      </w:r>
      <w:r w:rsidR="0060199E">
        <w:t xml:space="preserve"> per year.</w:t>
      </w:r>
    </w:p>
    <w:p w:rsidR="002337C1" w:rsidP="00147EA6" w:rsidRDefault="00984437" w14:paraId="599C913A" w14:textId="798573C4">
      <w:pPr>
        <w:pStyle w:val="Heading3"/>
      </w:pPr>
      <w:r>
        <w:t xml:space="preserve">(iii) </w:t>
      </w:r>
      <w:r w:rsidR="00A46B57">
        <w:t>The Agency Tally</w:t>
      </w:r>
    </w:p>
    <w:p w:rsidR="002337C1" w:rsidP="00147EA6" w:rsidRDefault="00A46B57" w14:paraId="46517920" w14:textId="599FED58">
      <w:pPr>
        <w:pStyle w:val="BodyText"/>
      </w:pPr>
      <w:r>
        <w:t xml:space="preserve">The average annual Agency </w:t>
      </w:r>
      <w:r w:rsidR="0037537B">
        <w:t xml:space="preserve">(Designated Administrator) </w:t>
      </w:r>
      <w:r>
        <w:t xml:space="preserve">burden and cost over the next </w:t>
      </w:r>
      <w:r w:rsidR="00A16790">
        <w:t>3 </w:t>
      </w:r>
      <w:r>
        <w:t>years is estimated to be 51</w:t>
      </w:r>
      <w:r w:rsidR="0037537B">
        <w:t> </w:t>
      </w:r>
      <w:r>
        <w:t xml:space="preserve">labor hours at a cost of </w:t>
      </w:r>
      <w:r w:rsidR="005F08A7">
        <w:t>$2,480</w:t>
      </w:r>
      <w:r w:rsidR="0037537B">
        <w:t xml:space="preserve">, as shown in </w:t>
      </w:r>
      <w:r w:rsidR="004971BE">
        <w:t xml:space="preserve">Tables 5 through </w:t>
      </w:r>
      <w:r>
        <w:t xml:space="preserve">8 of </w:t>
      </w:r>
      <w:r w:rsidR="00B4564F">
        <w:t>Attachment 1.</w:t>
      </w:r>
    </w:p>
    <w:p w:rsidRPr="004441CD" w:rsidR="002337C1" w:rsidP="004441CD" w:rsidRDefault="00A46B57" w14:paraId="3526F850" w14:textId="14A68F31">
      <w:pPr>
        <w:pStyle w:val="BodyText"/>
      </w:pPr>
      <w:r w:rsidRPr="004441CD">
        <w:t>We assume that burdens for managerial tasks take 5</w:t>
      </w:r>
      <w:r w:rsidR="00B8094C">
        <w:t> percent</w:t>
      </w:r>
      <w:r w:rsidRPr="004441CD">
        <w:t xml:space="preserve"> of the time required for technical tasks because the typical tasks for managers are to review and approve reports. Clerical burdens are assumed to take 10</w:t>
      </w:r>
      <w:r w:rsidR="00B8094C">
        <w:t> percent</w:t>
      </w:r>
      <w:r w:rsidRPr="004441CD">
        <w:t xml:space="preserve"> of the time required for technical tasks because the typical duties of clerical staff are to proofread the reports, make copies and maintain records.</w:t>
      </w:r>
    </w:p>
    <w:p w:rsidRPr="004441CD" w:rsidR="002337C1" w:rsidP="004441CD" w:rsidRDefault="00A46B57" w14:paraId="42063599" w14:textId="77777777">
      <w:pPr>
        <w:pStyle w:val="Heading2"/>
      </w:pPr>
      <w:r w:rsidRPr="004441CD">
        <w:t>6(f) Reasons for Change in Burden</w:t>
      </w:r>
    </w:p>
    <w:p w:rsidR="002337C1" w:rsidP="00147EA6" w:rsidRDefault="00A46B57" w14:paraId="7F24052D" w14:textId="26306A37">
      <w:pPr>
        <w:pStyle w:val="BodyText"/>
      </w:pPr>
      <w:r>
        <w:t xml:space="preserve">There is a decrease in the total estimated respondent burden as currently identified in the OMB Inventory of Approved Burdens. This burden </w:t>
      </w:r>
      <w:r w:rsidR="000C6888">
        <w:t>dec</w:t>
      </w:r>
      <w:r>
        <w:t xml:space="preserve">rease is due to adjustments EPA has made to account for industry consolidation that has occurred since the ICR was last approved. EPA has also updated corresponding labor costs to reflect current rates referenced from the Bureau of Labor Statistics. </w:t>
      </w:r>
      <w:r w:rsidR="006A726A">
        <w:t xml:space="preserve">The </w:t>
      </w:r>
      <w:r>
        <w:t xml:space="preserve">EPA has similarly adjusted the Agency labor burden to reflect industry consolidation over the past </w:t>
      </w:r>
      <w:r w:rsidR="000C6888">
        <w:t>3 </w:t>
      </w:r>
      <w:r>
        <w:t>years and has updated labor costs to reflect rates referenced from the Office of Personnel Management.</w:t>
      </w:r>
    </w:p>
    <w:p w:rsidRPr="004441CD" w:rsidR="00EC1E24" w:rsidP="00C50731" w:rsidRDefault="00EC1E24" w14:paraId="770B36E1" w14:textId="6319F095">
      <w:pPr>
        <w:pStyle w:val="BodyText"/>
      </w:pPr>
      <w:r w:rsidRPr="004441CD">
        <w:t xml:space="preserve">The amendments to the </w:t>
      </w:r>
      <w:r w:rsidRPr="004441CD" w:rsidR="008A2C6E">
        <w:t xml:space="preserve">Flexible Polyurethane Fabrication Operations </w:t>
      </w:r>
      <w:r w:rsidRPr="004441CD">
        <w:t>NESHAP</w:t>
      </w:r>
      <w:r w:rsidRPr="004441CD" w:rsidR="008A2C6E">
        <w:t xml:space="preserve"> </w:t>
      </w:r>
      <w:r w:rsidRPr="004441CD">
        <w:t xml:space="preserve">(40 CFR </w:t>
      </w:r>
      <w:r w:rsidRPr="004441CD" w:rsidR="008A2C6E">
        <w:t>part </w:t>
      </w:r>
      <w:r w:rsidRPr="004441CD">
        <w:t xml:space="preserve">63, </w:t>
      </w:r>
      <w:r w:rsidRPr="004441CD" w:rsidR="008A2C6E">
        <w:t>s</w:t>
      </w:r>
      <w:r w:rsidRPr="004441CD">
        <w:t>ubpart </w:t>
      </w:r>
      <w:r w:rsidRPr="004441CD" w:rsidR="008A2C6E">
        <w:t>MMMMM</w:t>
      </w:r>
      <w:r w:rsidRPr="004441CD">
        <w:t>) addressed in this ICR</w:t>
      </w:r>
      <w:r w:rsidRPr="004441CD" w:rsidR="008A2C6E">
        <w:t>:</w:t>
      </w:r>
      <w:r w:rsidRPr="004441CD">
        <w:t xml:space="preserve"> </w:t>
      </w:r>
      <w:r w:rsidRPr="00794B4E" w:rsidR="00E07CB8">
        <w:t>correct and clarify regulatory provisions related to emissions during periods of startup, shutdown, and malfunction</w:t>
      </w:r>
      <w:r w:rsidR="00E07CB8">
        <w:t xml:space="preserve"> (SSM)</w:t>
      </w:r>
      <w:r w:rsidRPr="00794B4E" w:rsidR="00E07CB8">
        <w:t xml:space="preserve">; add requirements for electronic reporting of performance test results and other compliance-related reports; include additional requirements for compliance performance testing; and add </w:t>
      </w:r>
      <w:r w:rsidR="00E07CB8">
        <w:t xml:space="preserve">an emission limitation </w:t>
      </w:r>
      <w:r w:rsidRPr="00794B4E" w:rsidR="00E07CB8">
        <w:t>for specified affected sources.</w:t>
      </w:r>
      <w:r w:rsidR="00E07CB8">
        <w:t xml:space="preserve"> </w:t>
      </w:r>
      <w:r w:rsidRPr="004441CD">
        <w:t xml:space="preserve">In </w:t>
      </w:r>
      <w:r w:rsidR="00E07CB8">
        <w:t>the subject rule</w:t>
      </w:r>
      <w:r w:rsidRPr="004441CD">
        <w:t>, pursuant to CAA section</w:t>
      </w:r>
      <w:r w:rsidR="00B727AB">
        <w:t> </w:t>
      </w:r>
      <w:r w:rsidRPr="004441CD">
        <w:t>112(d)(2) and (3),</w:t>
      </w:r>
      <w:r w:rsidRPr="00E07CB8">
        <w:rPr>
          <w:vertAlign w:val="superscript"/>
        </w:rPr>
        <w:footnoteReference w:id="1"/>
      </w:r>
      <w:r w:rsidRPr="004441CD">
        <w:t xml:space="preserve"> EPA </w:t>
      </w:r>
      <w:r w:rsidR="000D77B8">
        <w:t xml:space="preserve">is adding </w:t>
      </w:r>
      <w:r w:rsidR="00B727AB">
        <w:t xml:space="preserve">an </w:t>
      </w:r>
      <w:r w:rsidR="00E07CB8">
        <w:t xml:space="preserve">emission limitation for existing flame lamination </w:t>
      </w:r>
      <w:r w:rsidR="00E07CB8">
        <w:lastRenderedPageBreak/>
        <w:t>lines.</w:t>
      </w:r>
      <w:r w:rsidR="00CF7882">
        <w:t xml:space="preserve"> </w:t>
      </w:r>
      <w:r w:rsidRPr="004441CD">
        <w:t>Th</w:t>
      </w:r>
      <w:r w:rsidR="00CF7882">
        <w:t xml:space="preserve">e EPA </w:t>
      </w:r>
      <w:r w:rsidR="000D77B8">
        <w:t xml:space="preserve">also requires </w:t>
      </w:r>
      <w:r w:rsidR="00CF7882">
        <w:t xml:space="preserve">that </w:t>
      </w:r>
      <w:r w:rsidRPr="004441CD">
        <w:t xml:space="preserve">owners or operators of </w:t>
      </w:r>
      <w:r w:rsidR="00CF7882">
        <w:t xml:space="preserve">all facilities that perform flame lamination </w:t>
      </w:r>
      <w:r w:rsidRPr="004441CD">
        <w:t>subject to the rule conduct performance tests every 5</w:t>
      </w:r>
      <w:r w:rsidR="00CF7882">
        <w:t> </w:t>
      </w:r>
      <w:r w:rsidRPr="004441CD">
        <w:t xml:space="preserve">years to demonstrate continued compliance with the NESHAP. The respondent burden estimates for the </w:t>
      </w:r>
      <w:r w:rsidR="000D77B8">
        <w:t xml:space="preserve">subject rule </w:t>
      </w:r>
      <w:r w:rsidRPr="004441CD">
        <w:t>requirements include</w:t>
      </w:r>
      <w:r w:rsidR="00B727AB">
        <w:t>:</w:t>
      </w:r>
      <w:r w:rsidRPr="004441CD">
        <w:t xml:space="preserve"> becoming familiar with the </w:t>
      </w:r>
      <w:r w:rsidR="00B727AB">
        <w:t xml:space="preserve">new </w:t>
      </w:r>
      <w:r w:rsidR="009811FC">
        <w:t xml:space="preserve">reporting and recordkeeping </w:t>
      </w:r>
      <w:r w:rsidRPr="004441CD">
        <w:t>requirements</w:t>
      </w:r>
      <w:r w:rsidR="00B727AB">
        <w:t xml:space="preserve">; </w:t>
      </w:r>
      <w:r w:rsidR="009811FC">
        <w:t xml:space="preserve">providing notification of compliance status and performance tests; </w:t>
      </w:r>
      <w:r w:rsidR="00B727AB">
        <w:t>conducting</w:t>
      </w:r>
      <w:r w:rsidR="009811FC">
        <w:t xml:space="preserve"> performance tests for flame lamination lines; recording information; and submitting compliance reports for all sources.</w:t>
      </w:r>
      <w:r w:rsidRPr="004441CD">
        <w:t xml:space="preserve"> The Delegated Administrator/Agency burden estimates for the requirements include</w:t>
      </w:r>
      <w:r w:rsidR="00B727AB">
        <w:t>:</w:t>
      </w:r>
      <w:r w:rsidRPr="004441CD">
        <w:t xml:space="preserve"> reviewing the </w:t>
      </w:r>
      <w:r w:rsidR="00B727AB">
        <w:t>initial performance test report, reviewing entering and updating information into the appropriate recordkeeping system; and reviewing compliance status and reports for all sources.</w:t>
      </w:r>
      <w:r w:rsidR="00C50731">
        <w:t xml:space="preserve"> A</w:t>
      </w:r>
      <w:r w:rsidRPr="004441CD" w:rsidR="00C50731">
        <w:t xml:space="preserve">djustments for these amendments are reflected in </w:t>
      </w:r>
      <w:r w:rsidR="00C50731">
        <w:t xml:space="preserve">Attachment 1 to </w:t>
      </w:r>
      <w:r w:rsidRPr="004441CD" w:rsidR="00C50731">
        <w:t>this ICR</w:t>
      </w:r>
      <w:r w:rsidR="00C50731">
        <w:t xml:space="preserve"> Supporting Statement</w:t>
      </w:r>
      <w:r w:rsidRPr="004441CD" w:rsidR="00C50731">
        <w:t>.</w:t>
      </w:r>
    </w:p>
    <w:p w:rsidR="002337C1" w:rsidP="00147EA6" w:rsidRDefault="00A46B57" w14:paraId="4FE08A77" w14:textId="77777777">
      <w:pPr>
        <w:pStyle w:val="Heading2"/>
      </w:pPr>
      <w:r>
        <w:t>6(g) Burden Statement</w:t>
      </w:r>
    </w:p>
    <w:p w:rsidRPr="004441CD" w:rsidR="002337C1" w:rsidP="004441CD" w:rsidRDefault="00A46B57" w14:paraId="7BD2FF40" w14:textId="582429B3">
      <w:pPr>
        <w:pStyle w:val="BodyText"/>
      </w:pPr>
      <w:r w:rsidRPr="004441CD">
        <w:t>An agency may not conduct or sponsor, and a person is not required to respond to, a collection of information unless it displays a valid OMB Control Number. The OMB Control Numbers for EPA regulations are listed at 40 CFR Part</w:t>
      </w:r>
      <w:r w:rsidRPr="004441CD" w:rsidR="005F08A7">
        <w:t> </w:t>
      </w:r>
      <w:r w:rsidRPr="004441CD">
        <w:t>9 and 48 CFR Chapter</w:t>
      </w:r>
      <w:r w:rsidRPr="004441CD" w:rsidR="005F08A7">
        <w:t> </w:t>
      </w:r>
      <w:r w:rsidRPr="004441CD">
        <w:t>15.</w:t>
      </w:r>
    </w:p>
    <w:p w:rsidR="002337C1" w:rsidP="00147EA6" w:rsidRDefault="00A46B57" w14:paraId="4E13607A" w14:textId="3BDF2B30">
      <w:pPr>
        <w:pStyle w:val="BodyText"/>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5F08A7">
        <w:t> </w:t>
      </w:r>
      <w:r>
        <w:t xml:space="preserve">EPA-HQ-OAR-2020-0572. An electronic version of the public docket is available at </w:t>
      </w:r>
      <w:hyperlink r:id="rId12">
        <w:r>
          <w:rPr>
            <w:u w:val="single"/>
          </w:rPr>
          <w:t>http://www.regulations.gov,</w:t>
        </w:r>
      </w:hyperlink>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EPA Docket Center</w:t>
      </w:r>
      <w:r w:rsidR="00243302">
        <w:t>,</w:t>
      </w:r>
      <w:r>
        <w:t xml:space="preserve"> Room</w:t>
      </w:r>
      <w:r w:rsidR="005F08A7">
        <w:t> </w:t>
      </w:r>
      <w:r>
        <w:t xml:space="preserve">3334, </w:t>
      </w:r>
      <w:r w:rsidR="00243302">
        <w:t xml:space="preserve">WJC West Building, </w:t>
      </w:r>
      <w:r>
        <w:t>1301</w:t>
      </w:r>
      <w:r w:rsidR="005F08A7">
        <w:t> </w:t>
      </w:r>
      <w:r>
        <w:t>Constitution Ave</w:t>
      </w:r>
      <w:r w:rsidR="00243302">
        <w:t>nue,</w:t>
      </w:r>
      <w:r>
        <w:t xml:space="preserve"> NW, Washington, DC. The EPA Docket Center Public Reading Room is open from 8:30</w:t>
      </w:r>
      <w:r w:rsidR="005F08A7">
        <w:t> </w:t>
      </w:r>
      <w:r>
        <w:t>a.m. to 4:30</w:t>
      </w:r>
      <w:r w:rsidR="005F08A7">
        <w:t> </w:t>
      </w:r>
      <w:r>
        <w:t xml:space="preserve">p.m., Monday through Friday, excluding legal holidays. The telephone number for the </w:t>
      </w:r>
      <w:r w:rsidR="00243302">
        <w:t xml:space="preserve">Public </w:t>
      </w:r>
      <w:r>
        <w:t>Reading Room is</w:t>
      </w:r>
      <w:r w:rsidR="00C861F8">
        <w:t xml:space="preserve"> </w:t>
      </w:r>
      <w:r>
        <w:t xml:space="preserve">(202) 566-1744, and the telephone number for the </w:t>
      </w:r>
      <w:r w:rsidR="00243302">
        <w:t>EPA D</w:t>
      </w:r>
      <w:r>
        <w:t xml:space="preserve">ocket </w:t>
      </w:r>
      <w:r w:rsidR="00243302">
        <w:t>C</w:t>
      </w:r>
      <w:r>
        <w:t>enter is (202) 566-17</w:t>
      </w:r>
      <w:r w:rsidR="00243302">
        <w:t>4</w:t>
      </w:r>
      <w:r>
        <w:t>2. Also, you can send comments to the Office of Information and Regulatory Affairs, Office of Management and Budget, 725</w:t>
      </w:r>
      <w:r w:rsidR="005F08A7">
        <w:t xml:space="preserve"> </w:t>
      </w:r>
      <w:r>
        <w:t>17th</w:t>
      </w:r>
      <w:r w:rsidR="005F08A7">
        <w:t> </w:t>
      </w:r>
      <w:r>
        <w:t>Street, NW, Washington, DC 20503, Attention: Desk</w:t>
      </w:r>
      <w:r w:rsidR="00B279A3">
        <w:t xml:space="preserve"> </w:t>
      </w:r>
      <w:r>
        <w:t>Officer for EPA. Please include the EPA Docket ID Number</w:t>
      </w:r>
      <w:r w:rsidR="005F08A7">
        <w:t> </w:t>
      </w:r>
      <w:r>
        <w:t>EPA-HQ-OAR-2020-0572 and OMB Control Number</w:t>
      </w:r>
      <w:r w:rsidR="005F08A7">
        <w:t> </w:t>
      </w:r>
      <w:r>
        <w:t>2060-0516 in any correspondence.</w:t>
      </w:r>
    </w:p>
    <w:p w:rsidR="002337C1" w:rsidP="00147EA6" w:rsidRDefault="00A46B57" w14:paraId="51FA343E" w14:textId="77777777">
      <w:pPr>
        <w:pStyle w:val="Heading1"/>
      </w:pPr>
      <w:r>
        <w:lastRenderedPageBreak/>
        <w:t>Part B of the Supporting Statement</w:t>
      </w:r>
    </w:p>
    <w:p w:rsidR="0006760D" w:rsidP="00147EA6" w:rsidRDefault="00A46B57" w14:paraId="3FF08C69" w14:textId="7090E2C3">
      <w:pPr>
        <w:pStyle w:val="BodyText"/>
      </w:pPr>
      <w:r>
        <w:t>This part is not applicable because no statistical methods were used in collecting this information.</w:t>
      </w:r>
    </w:p>
    <w:p w:rsidR="00694400" w:rsidP="00147EA6" w:rsidRDefault="00694400" w14:paraId="0158396C" w14:textId="77777777">
      <w:pPr>
        <w:pStyle w:val="BodyText"/>
      </w:pPr>
    </w:p>
    <w:p w:rsidR="00FA11BF" w:rsidP="005E2897" w:rsidRDefault="003E66B3" w14:paraId="423A0497" w14:textId="77777777">
      <w:pPr>
        <w:pStyle w:val="BodyText"/>
        <w:ind w:firstLine="0"/>
        <w:sectPr w:rsidR="00FA11BF" w:rsidSect="00147EA6">
          <w:headerReference w:type="default" r:id="rId13"/>
          <w:pgSz w:w="12240" w:h="15840" w:code="1"/>
          <w:pgMar w:top="1440" w:right="1440" w:bottom="1440" w:left="1440" w:header="1152" w:footer="720" w:gutter="0"/>
          <w:cols w:space="720"/>
          <w:docGrid w:linePitch="299"/>
        </w:sectPr>
      </w:pPr>
      <w:r>
        <w:rPr>
          <w:b/>
          <w:bCs/>
        </w:rPr>
        <w:t>Appendix</w:t>
      </w:r>
      <w:r w:rsidR="005F08A7">
        <w:rPr>
          <w:b/>
          <w:bCs/>
        </w:rPr>
        <w:t> </w:t>
      </w:r>
      <w:r>
        <w:rPr>
          <w:b/>
          <w:bCs/>
        </w:rPr>
        <w:t>A</w:t>
      </w:r>
      <w:r w:rsidR="005E2897">
        <w:rPr>
          <w:b/>
          <w:bCs/>
        </w:rPr>
        <w:t> –</w:t>
      </w:r>
      <w:r>
        <w:t xml:space="preserve"> Draft Electronic Reporting Template (see Docket </w:t>
      </w:r>
      <w:r w:rsidR="005E2897">
        <w:t>ID Number </w:t>
      </w:r>
      <w:r>
        <w:t>EPA-HQ-OAR-2020-0</w:t>
      </w:r>
      <w:r w:rsidR="005E2897">
        <w:t>572</w:t>
      </w:r>
      <w:r>
        <w:t>)</w:t>
      </w:r>
      <w:r w:rsidR="00182F9A">
        <w:t>.</w:t>
      </w:r>
    </w:p>
    <w:p w:rsidR="00FA11BF" w:rsidRDefault="00FA11BF" w14:paraId="4BDCEAE8" w14:textId="3D96DA85">
      <w:pPr>
        <w:widowControl w:val="0"/>
        <w:rPr>
          <w:szCs w:val="24"/>
        </w:rPr>
      </w:pPr>
    </w:p>
    <w:p w:rsidRPr="00DC5082" w:rsidR="00FA11BF" w:rsidP="0072444F" w:rsidRDefault="00FA11BF" w14:paraId="0AD4F0A3" w14:textId="395B409C">
      <w:pPr>
        <w:pStyle w:val="BodyText"/>
        <w:jc w:val="center"/>
        <w:rPr>
          <w:b/>
          <w:bCs/>
        </w:rPr>
      </w:pPr>
      <w:r w:rsidRPr="00DC5082">
        <w:rPr>
          <w:b/>
          <w:bCs/>
        </w:rPr>
        <w:t>Attachment 1:</w:t>
      </w:r>
    </w:p>
    <w:p w:rsidR="0072444F" w:rsidP="0072444F" w:rsidRDefault="00FA11BF" w14:paraId="10E68A23" w14:textId="3AC8274C">
      <w:pPr>
        <w:pStyle w:val="BodyText"/>
        <w:jc w:val="center"/>
      </w:pPr>
      <w:r>
        <w:t>Information Collection Request (ICR) Workbook for</w:t>
      </w:r>
    </w:p>
    <w:p w:rsidR="00FA11BF" w:rsidP="0072444F" w:rsidRDefault="00FA11BF" w14:paraId="6DD58B9D" w14:textId="2063F43C">
      <w:pPr>
        <w:pStyle w:val="BodyText"/>
        <w:jc w:val="center"/>
      </w:pPr>
      <w:r>
        <w:t>National Emission Standards for Hazardous Air Pollutants for Flexible Poly</w:t>
      </w:r>
      <w:r w:rsidR="0072444F">
        <w:t>u</w:t>
      </w:r>
      <w:r>
        <w:t>rethane Foam Fabrication Operations (40 CFR Part 63, Subpart MMMMM).</w:t>
      </w:r>
    </w:p>
    <w:p w:rsidRPr="00D965AD" w:rsidR="003E66B3" w:rsidP="00D965AD" w:rsidRDefault="0006760D" w14:paraId="7A65487F" w14:textId="6479D568">
      <w:pPr>
        <w:pStyle w:val="BodyText"/>
        <w:jc w:val="center"/>
        <w:rPr>
          <w:i/>
          <w:iCs/>
        </w:rPr>
      </w:pPr>
      <w:r>
        <w:t xml:space="preserve">Excel workbook: </w:t>
      </w:r>
      <w:r w:rsidRPr="005141CE">
        <w:rPr>
          <w:i/>
          <w:iCs/>
        </w:rPr>
        <w:t>Flex Foam Fabrication RTR</w:t>
      </w:r>
      <w:r w:rsidR="005141CE">
        <w:rPr>
          <w:i/>
          <w:iCs/>
        </w:rPr>
        <w:t>_</w:t>
      </w:r>
      <w:r w:rsidRPr="005141CE">
        <w:rPr>
          <w:i/>
          <w:iCs/>
        </w:rPr>
        <w:t>ICR</w:t>
      </w:r>
      <w:r w:rsidR="005141CE">
        <w:rPr>
          <w:i/>
          <w:iCs/>
        </w:rPr>
        <w:t xml:space="preserve"> Workbook</w:t>
      </w:r>
      <w:r w:rsidRPr="005141CE">
        <w:rPr>
          <w:i/>
          <w:iCs/>
        </w:rPr>
        <w:t>_2027.</w:t>
      </w:r>
      <w:r w:rsidR="00CF7846">
        <w:rPr>
          <w:i/>
          <w:iCs/>
        </w:rPr>
        <w:t>10</w:t>
      </w:r>
      <w:r w:rsidRPr="005141CE">
        <w:rPr>
          <w:i/>
          <w:iCs/>
        </w:rPr>
        <w:t>.</w:t>
      </w:r>
      <w:r w:rsidRPr="005141CE" w:rsidR="005141CE">
        <w:rPr>
          <w:i/>
          <w:iCs/>
        </w:rPr>
        <w:t>xlsx</w:t>
      </w:r>
    </w:p>
    <w:sectPr w:rsidRPr="00D965AD" w:rsidR="003E66B3" w:rsidSect="00147EA6">
      <w:pgSz w:w="12240" w:h="15840" w:code="1"/>
      <w:pgMar w:top="1440" w:right="1440" w:bottom="1440" w:left="1440" w:header="115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06E0C" w14:textId="77777777" w:rsidR="00183C98" w:rsidRDefault="00183C98">
      <w:r>
        <w:separator/>
      </w:r>
    </w:p>
  </w:endnote>
  <w:endnote w:type="continuationSeparator" w:id="0">
    <w:p w14:paraId="6D3F095E" w14:textId="77777777" w:rsidR="00183C98" w:rsidRDefault="0018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38CDB" w14:textId="77777777" w:rsidR="00183C98" w:rsidRDefault="00183C98">
      <w:r>
        <w:separator/>
      </w:r>
    </w:p>
  </w:footnote>
  <w:footnote w:type="continuationSeparator" w:id="0">
    <w:p w14:paraId="173ABD11" w14:textId="77777777" w:rsidR="00183C98" w:rsidRDefault="00183C98">
      <w:r>
        <w:continuationSeparator/>
      </w:r>
    </w:p>
  </w:footnote>
  <w:footnote w:id="1">
    <w:p w14:paraId="04454ADB" w14:textId="10A3D292" w:rsidR="00183C98" w:rsidRPr="0027490E" w:rsidRDefault="00183C98" w:rsidP="00EC1E24">
      <w:pPr>
        <w:pStyle w:val="FootnoteText"/>
        <w:rPr>
          <w:sz w:val="24"/>
          <w:szCs w:val="24"/>
        </w:rPr>
      </w:pPr>
      <w:r w:rsidRPr="0027490E">
        <w:rPr>
          <w:rStyle w:val="FootnoteReference"/>
          <w:vertAlign w:val="superscript"/>
        </w:rPr>
        <w:footnoteRef/>
      </w:r>
      <w:r w:rsidRPr="0027490E">
        <w:rPr>
          <w:sz w:val="24"/>
          <w:szCs w:val="24"/>
        </w:rPr>
        <w:t xml:space="preserve"> </w:t>
      </w:r>
      <w:bookmarkStart w:id="2" w:name="_Hlk46921834"/>
      <w:bookmarkStart w:id="3" w:name="_Hlk46921897"/>
      <w:r w:rsidRPr="0027490E">
        <w:rPr>
          <w:sz w:val="24"/>
          <w:szCs w:val="24"/>
        </w:rPr>
        <w:t>The EPA</w:t>
      </w:r>
      <w:r w:rsidRPr="0027490E">
        <w:rPr>
          <w:rFonts w:eastAsia="Courier New"/>
          <w:sz w:val="24"/>
          <w:szCs w:val="24"/>
        </w:rPr>
        <w:t xml:space="preserve"> has authority under CAA section</w:t>
      </w:r>
      <w:r w:rsidR="000D77B8">
        <w:rPr>
          <w:rFonts w:eastAsia="Courier New"/>
          <w:sz w:val="24"/>
          <w:szCs w:val="24"/>
        </w:rPr>
        <w:t> </w:t>
      </w:r>
      <w:r w:rsidRPr="0027490E">
        <w:rPr>
          <w:rFonts w:eastAsia="Courier New"/>
          <w:sz w:val="24"/>
          <w:szCs w:val="24"/>
        </w:rPr>
        <w:t>112(d)(2) and (3) to set MACT standards for previously unregulated HAP emissions.</w:t>
      </w:r>
      <w:r w:rsidRPr="0027490E">
        <w:rPr>
          <w:sz w:val="24"/>
          <w:szCs w:val="24"/>
        </w:rPr>
        <w:t xml:space="preserve"> Moreover, the D.C. Circuit has held that the EPA has the obligation to address any previously unregulated HAP emissions as part of the 8-year review under CAA section</w:t>
      </w:r>
      <w:r w:rsidR="000D77B8">
        <w:rPr>
          <w:sz w:val="24"/>
          <w:szCs w:val="24"/>
        </w:rPr>
        <w:t> </w:t>
      </w:r>
      <w:r w:rsidRPr="0027490E">
        <w:rPr>
          <w:sz w:val="24"/>
          <w:szCs w:val="24"/>
        </w:rPr>
        <w:t xml:space="preserve">112(d)(6). </w:t>
      </w:r>
      <w:r w:rsidRPr="006A726A">
        <w:rPr>
          <w:i/>
          <w:iCs/>
          <w:sz w:val="24"/>
          <w:szCs w:val="24"/>
        </w:rPr>
        <w:t xml:space="preserve">See </w:t>
      </w:r>
      <w:r w:rsidRPr="0027490E">
        <w:rPr>
          <w:i/>
          <w:iCs/>
          <w:sz w:val="24"/>
          <w:szCs w:val="24"/>
        </w:rPr>
        <w:t>LEAN v.</w:t>
      </w:r>
      <w:r w:rsidR="000D77B8">
        <w:rPr>
          <w:i/>
          <w:iCs/>
          <w:sz w:val="24"/>
          <w:szCs w:val="24"/>
        </w:rPr>
        <w:t> </w:t>
      </w:r>
      <w:r w:rsidRPr="0027490E">
        <w:rPr>
          <w:i/>
          <w:iCs/>
          <w:sz w:val="24"/>
          <w:szCs w:val="24"/>
        </w:rPr>
        <w:t>EPA</w:t>
      </w:r>
      <w:r w:rsidRPr="0027490E">
        <w:rPr>
          <w:sz w:val="24"/>
          <w:szCs w:val="24"/>
        </w:rPr>
        <w:t>, 955 F</w:t>
      </w:r>
      <w:r w:rsidR="000D77B8">
        <w:rPr>
          <w:sz w:val="24"/>
          <w:szCs w:val="24"/>
        </w:rPr>
        <w:t>.</w:t>
      </w:r>
      <w:r w:rsidRPr="0027490E">
        <w:rPr>
          <w:sz w:val="24"/>
          <w:szCs w:val="24"/>
        </w:rPr>
        <w:t>3d</w:t>
      </w:r>
      <w:r w:rsidR="000D77B8">
        <w:rPr>
          <w:sz w:val="24"/>
          <w:szCs w:val="24"/>
        </w:rPr>
        <w:t> </w:t>
      </w:r>
      <w:r w:rsidRPr="0027490E">
        <w:rPr>
          <w:sz w:val="24"/>
          <w:szCs w:val="24"/>
        </w:rPr>
        <w:t>1088, 1091 (D.C. Cir. 2020)</w:t>
      </w:r>
      <w:bookmarkEnd w:id="2"/>
      <w:r w:rsidRPr="0027490E">
        <w:rPr>
          <w:rFonts w:eastAsia="Courier New"/>
          <w:sz w:val="24"/>
          <w:szCs w:val="24"/>
        </w:rPr>
        <w:t>. The EPA also retains the discretion to revise a MACT standard under the authority of CAA section</w:t>
      </w:r>
      <w:r w:rsidR="000D77B8">
        <w:rPr>
          <w:rFonts w:eastAsia="Courier New"/>
          <w:sz w:val="24"/>
          <w:szCs w:val="24"/>
        </w:rPr>
        <w:t> </w:t>
      </w:r>
      <w:r w:rsidRPr="0027490E">
        <w:rPr>
          <w:rFonts w:eastAsia="Courier New"/>
          <w:sz w:val="24"/>
          <w:szCs w:val="24"/>
        </w:rPr>
        <w:t>112(d)(2) and (3) (</w:t>
      </w:r>
      <w:r w:rsidRPr="006A726A">
        <w:rPr>
          <w:rFonts w:eastAsia="Courier New"/>
          <w:i/>
          <w:iCs/>
          <w:sz w:val="24"/>
          <w:szCs w:val="24"/>
        </w:rPr>
        <w:t xml:space="preserve">see </w:t>
      </w:r>
      <w:r w:rsidRPr="0027490E">
        <w:rPr>
          <w:rFonts w:eastAsia="Courier New"/>
          <w:i/>
          <w:iCs/>
          <w:sz w:val="24"/>
          <w:szCs w:val="24"/>
        </w:rPr>
        <w:t xml:space="preserve">Portland Cement </w:t>
      </w:r>
      <w:proofErr w:type="spellStart"/>
      <w:r w:rsidRPr="0027490E">
        <w:rPr>
          <w:rFonts w:eastAsia="Courier New"/>
          <w:i/>
          <w:iCs/>
          <w:sz w:val="24"/>
          <w:szCs w:val="24"/>
        </w:rPr>
        <w:t>Ass’n</w:t>
      </w:r>
      <w:proofErr w:type="spellEnd"/>
      <w:r w:rsidRPr="0027490E">
        <w:rPr>
          <w:rFonts w:eastAsia="Courier New"/>
          <w:i/>
          <w:iCs/>
          <w:sz w:val="24"/>
          <w:szCs w:val="24"/>
        </w:rPr>
        <w:t xml:space="preserve"> v.</w:t>
      </w:r>
      <w:r w:rsidR="000D77B8">
        <w:rPr>
          <w:rFonts w:eastAsia="Courier New"/>
          <w:i/>
          <w:iCs/>
          <w:sz w:val="24"/>
          <w:szCs w:val="24"/>
        </w:rPr>
        <w:t> </w:t>
      </w:r>
      <w:r w:rsidRPr="0027490E">
        <w:rPr>
          <w:rFonts w:eastAsia="Courier New"/>
          <w:i/>
          <w:iCs/>
          <w:sz w:val="24"/>
          <w:szCs w:val="24"/>
        </w:rPr>
        <w:t>EPA</w:t>
      </w:r>
      <w:r w:rsidRPr="0027490E">
        <w:rPr>
          <w:rFonts w:eastAsia="Courier New"/>
          <w:sz w:val="24"/>
          <w:szCs w:val="24"/>
        </w:rPr>
        <w:t>, 665 F.3d</w:t>
      </w:r>
      <w:r w:rsidR="000D77B8">
        <w:rPr>
          <w:rFonts w:eastAsia="Courier New"/>
          <w:sz w:val="24"/>
          <w:szCs w:val="24"/>
        </w:rPr>
        <w:t> </w:t>
      </w:r>
      <w:r w:rsidRPr="0027490E">
        <w:rPr>
          <w:rFonts w:eastAsia="Courier New"/>
          <w:sz w:val="24"/>
          <w:szCs w:val="24"/>
        </w:rPr>
        <w:t xml:space="preserve">177, 189 (D.C. Cir. 2011), such as when it identifies an error in the original standard. </w:t>
      </w:r>
      <w:r w:rsidRPr="006A726A">
        <w:rPr>
          <w:rFonts w:eastAsia="Courier New"/>
          <w:i/>
          <w:iCs/>
          <w:sz w:val="24"/>
          <w:szCs w:val="24"/>
        </w:rPr>
        <w:t>See also</w:t>
      </w:r>
      <w:r w:rsidR="000D77B8">
        <w:rPr>
          <w:rFonts w:eastAsia="Courier New"/>
          <w:i/>
          <w:iCs/>
          <w:sz w:val="24"/>
          <w:szCs w:val="24"/>
        </w:rPr>
        <w:t>,</w:t>
      </w:r>
      <w:r w:rsidRPr="006A726A">
        <w:rPr>
          <w:rFonts w:eastAsia="Courier New"/>
          <w:i/>
          <w:iCs/>
          <w:sz w:val="24"/>
          <w:szCs w:val="24"/>
        </w:rPr>
        <w:t xml:space="preserve"> </w:t>
      </w:r>
      <w:r w:rsidRPr="0027490E">
        <w:rPr>
          <w:i/>
          <w:iCs/>
          <w:sz w:val="24"/>
          <w:szCs w:val="24"/>
        </w:rPr>
        <w:t>Medical Waste Institute v.</w:t>
      </w:r>
      <w:r w:rsidR="000D77B8">
        <w:rPr>
          <w:i/>
          <w:iCs/>
          <w:sz w:val="24"/>
          <w:szCs w:val="24"/>
        </w:rPr>
        <w:t> </w:t>
      </w:r>
      <w:r w:rsidRPr="0027490E">
        <w:rPr>
          <w:i/>
          <w:iCs/>
          <w:sz w:val="24"/>
          <w:szCs w:val="24"/>
        </w:rPr>
        <w:t>EPA</w:t>
      </w:r>
      <w:r w:rsidRPr="0027490E">
        <w:rPr>
          <w:rFonts w:eastAsia="Courier New"/>
          <w:sz w:val="24"/>
          <w:szCs w:val="24"/>
        </w:rPr>
        <w:t>, 645 F.3d</w:t>
      </w:r>
      <w:r w:rsidR="000D77B8">
        <w:rPr>
          <w:rFonts w:eastAsia="Courier New"/>
          <w:sz w:val="24"/>
          <w:szCs w:val="24"/>
        </w:rPr>
        <w:t> </w:t>
      </w:r>
      <w:r w:rsidRPr="0027490E">
        <w:rPr>
          <w:sz w:val="24"/>
        </w:rPr>
        <w:t>420, 426 (D.C. Cir. 2011)</w:t>
      </w:r>
      <w:r w:rsidRPr="0027490E">
        <w:rPr>
          <w:rFonts w:eastAsia="Courier New"/>
          <w:sz w:val="24"/>
          <w:szCs w:val="24"/>
        </w:rPr>
        <w:t xml:space="preserve"> (upholding the EPA action establishing MACT floors, based on post-compliance data, when originally established floors were improperly established)).</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4"/>
      </w:rPr>
      <w:id w:val="-2079662743"/>
      <w:docPartObj>
        <w:docPartGallery w:val="Page Numbers (Top of Page)"/>
        <w:docPartUnique/>
      </w:docPartObj>
    </w:sdtPr>
    <w:sdtEndPr>
      <w:rPr>
        <w:noProof/>
      </w:rPr>
    </w:sdtEndPr>
    <w:sdtContent>
      <w:p w14:paraId="09147CFA" w14:textId="3300D55A" w:rsidR="00183C98" w:rsidRPr="00147EA6" w:rsidRDefault="00183C98" w:rsidP="00147EA6">
        <w:pPr>
          <w:pStyle w:val="Header"/>
          <w:jc w:val="center"/>
          <w:rPr>
            <w:szCs w:val="24"/>
          </w:rPr>
        </w:pPr>
        <w:r w:rsidRPr="00147EA6">
          <w:rPr>
            <w:szCs w:val="24"/>
          </w:rPr>
          <w:fldChar w:fldCharType="begin"/>
        </w:r>
        <w:r w:rsidRPr="00147EA6">
          <w:rPr>
            <w:szCs w:val="24"/>
          </w:rPr>
          <w:instrText xml:space="preserve"> PAGE   \* MERGEFORMAT </w:instrText>
        </w:r>
        <w:r w:rsidRPr="00147EA6">
          <w:rPr>
            <w:szCs w:val="24"/>
          </w:rPr>
          <w:fldChar w:fldCharType="separate"/>
        </w:r>
        <w:r w:rsidRPr="00147EA6">
          <w:rPr>
            <w:noProof/>
            <w:szCs w:val="24"/>
          </w:rPr>
          <w:t>2</w:t>
        </w:r>
        <w:r w:rsidRPr="00147EA6">
          <w:rPr>
            <w:noProof/>
            <w:szCs w:val="24"/>
          </w:rPr>
          <w:fldChar w:fldCharType="end"/>
        </w:r>
      </w:p>
    </w:sdtContent>
  </w:sdt>
  <w:p w14:paraId="21A72A8B" w14:textId="77777777" w:rsidR="00183C98" w:rsidRDefault="00183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F177C"/>
    <w:multiLevelType w:val="hybridMultilevel"/>
    <w:tmpl w:val="8DC68892"/>
    <w:lvl w:ilvl="0" w:tplc="485C82F6">
      <w:start w:val="1"/>
      <w:numFmt w:val="decimal"/>
      <w:lvlText w:val="%1."/>
      <w:lvlJc w:val="left"/>
      <w:pPr>
        <w:ind w:left="880" w:hanging="301"/>
      </w:pPr>
      <w:rPr>
        <w:rFonts w:ascii="Times New Roman" w:eastAsia="Times New Roman" w:hAnsi="Times New Roman" w:cs="Times New Roman" w:hint="default"/>
        <w:b/>
        <w:bCs/>
        <w:w w:val="100"/>
        <w:sz w:val="24"/>
        <w:szCs w:val="24"/>
      </w:rPr>
    </w:lvl>
    <w:lvl w:ilvl="1" w:tplc="A740B542">
      <w:start w:val="1"/>
      <w:numFmt w:val="upperLetter"/>
      <w:lvlText w:val="(%2)"/>
      <w:lvlJc w:val="left"/>
      <w:pPr>
        <w:ind w:left="1600" w:hanging="394"/>
      </w:pPr>
      <w:rPr>
        <w:rFonts w:ascii="Times New Roman" w:eastAsia="Times New Roman" w:hAnsi="Times New Roman" w:cs="Times New Roman" w:hint="default"/>
        <w:w w:val="100"/>
        <w:sz w:val="24"/>
        <w:szCs w:val="24"/>
      </w:rPr>
    </w:lvl>
    <w:lvl w:ilvl="2" w:tplc="2638B9FE">
      <w:numFmt w:val="bullet"/>
      <w:lvlText w:val="•"/>
      <w:lvlJc w:val="left"/>
      <w:pPr>
        <w:ind w:left="2906" w:hanging="394"/>
      </w:pPr>
      <w:rPr>
        <w:rFonts w:hint="default"/>
      </w:rPr>
    </w:lvl>
    <w:lvl w:ilvl="3" w:tplc="B73E4E3E">
      <w:numFmt w:val="bullet"/>
      <w:lvlText w:val="•"/>
      <w:lvlJc w:val="left"/>
      <w:pPr>
        <w:ind w:left="4213" w:hanging="394"/>
      </w:pPr>
      <w:rPr>
        <w:rFonts w:hint="default"/>
      </w:rPr>
    </w:lvl>
    <w:lvl w:ilvl="4" w:tplc="161695F0">
      <w:numFmt w:val="bullet"/>
      <w:lvlText w:val="•"/>
      <w:lvlJc w:val="left"/>
      <w:pPr>
        <w:ind w:left="5520" w:hanging="394"/>
      </w:pPr>
      <w:rPr>
        <w:rFonts w:hint="default"/>
      </w:rPr>
    </w:lvl>
    <w:lvl w:ilvl="5" w:tplc="99F60A7C">
      <w:numFmt w:val="bullet"/>
      <w:lvlText w:val="•"/>
      <w:lvlJc w:val="left"/>
      <w:pPr>
        <w:ind w:left="6826" w:hanging="394"/>
      </w:pPr>
      <w:rPr>
        <w:rFonts w:hint="default"/>
      </w:rPr>
    </w:lvl>
    <w:lvl w:ilvl="6" w:tplc="8392E94C">
      <w:numFmt w:val="bullet"/>
      <w:lvlText w:val="•"/>
      <w:lvlJc w:val="left"/>
      <w:pPr>
        <w:ind w:left="8133" w:hanging="394"/>
      </w:pPr>
      <w:rPr>
        <w:rFonts w:hint="default"/>
      </w:rPr>
    </w:lvl>
    <w:lvl w:ilvl="7" w:tplc="A27A9C14">
      <w:numFmt w:val="bullet"/>
      <w:lvlText w:val="•"/>
      <w:lvlJc w:val="left"/>
      <w:pPr>
        <w:ind w:left="9440" w:hanging="394"/>
      </w:pPr>
      <w:rPr>
        <w:rFonts w:hint="default"/>
      </w:rPr>
    </w:lvl>
    <w:lvl w:ilvl="8" w:tplc="54E069C6">
      <w:numFmt w:val="bullet"/>
      <w:lvlText w:val="•"/>
      <w:lvlJc w:val="left"/>
      <w:pPr>
        <w:ind w:left="10746" w:hanging="394"/>
      </w:pPr>
      <w:rPr>
        <w:rFonts w:hint="default"/>
      </w:rPr>
    </w:lvl>
  </w:abstractNum>
  <w:abstractNum w:abstractNumId="1" w15:restartNumberingAfterBreak="0">
    <w:nsid w:val="3B81728D"/>
    <w:multiLevelType w:val="hybridMultilevel"/>
    <w:tmpl w:val="D60E8552"/>
    <w:lvl w:ilvl="0" w:tplc="3D9AAF78">
      <w:start w:val="1"/>
      <w:numFmt w:val="lowerRoman"/>
      <w:lvlText w:val="(%1)"/>
      <w:lvlJc w:val="left"/>
      <w:pPr>
        <w:ind w:left="1886" w:hanging="287"/>
      </w:pPr>
      <w:rPr>
        <w:rFonts w:ascii="Times New Roman" w:eastAsia="Times New Roman" w:hAnsi="Times New Roman" w:cs="Times New Roman" w:hint="default"/>
        <w:b/>
        <w:bCs/>
        <w:w w:val="100"/>
        <w:sz w:val="24"/>
        <w:szCs w:val="24"/>
      </w:rPr>
    </w:lvl>
    <w:lvl w:ilvl="1" w:tplc="00703BDC">
      <w:numFmt w:val="bullet"/>
      <w:lvlText w:val="•"/>
      <w:lvlJc w:val="left"/>
      <w:pPr>
        <w:ind w:left="3028" w:hanging="287"/>
      </w:pPr>
      <w:rPr>
        <w:rFonts w:hint="default"/>
      </w:rPr>
    </w:lvl>
    <w:lvl w:ilvl="2" w:tplc="EDC8D30C">
      <w:numFmt w:val="bullet"/>
      <w:lvlText w:val="•"/>
      <w:lvlJc w:val="left"/>
      <w:pPr>
        <w:ind w:left="4176" w:hanging="287"/>
      </w:pPr>
      <w:rPr>
        <w:rFonts w:hint="default"/>
      </w:rPr>
    </w:lvl>
    <w:lvl w:ilvl="3" w:tplc="0360E544">
      <w:numFmt w:val="bullet"/>
      <w:lvlText w:val="•"/>
      <w:lvlJc w:val="left"/>
      <w:pPr>
        <w:ind w:left="5324" w:hanging="287"/>
      </w:pPr>
      <w:rPr>
        <w:rFonts w:hint="default"/>
      </w:rPr>
    </w:lvl>
    <w:lvl w:ilvl="4" w:tplc="DF72CA30">
      <w:numFmt w:val="bullet"/>
      <w:lvlText w:val="•"/>
      <w:lvlJc w:val="left"/>
      <w:pPr>
        <w:ind w:left="6472" w:hanging="287"/>
      </w:pPr>
      <w:rPr>
        <w:rFonts w:hint="default"/>
      </w:rPr>
    </w:lvl>
    <w:lvl w:ilvl="5" w:tplc="2CC62126">
      <w:numFmt w:val="bullet"/>
      <w:lvlText w:val="•"/>
      <w:lvlJc w:val="left"/>
      <w:pPr>
        <w:ind w:left="7620" w:hanging="287"/>
      </w:pPr>
      <w:rPr>
        <w:rFonts w:hint="default"/>
      </w:rPr>
    </w:lvl>
    <w:lvl w:ilvl="6" w:tplc="326CD99E">
      <w:numFmt w:val="bullet"/>
      <w:lvlText w:val="•"/>
      <w:lvlJc w:val="left"/>
      <w:pPr>
        <w:ind w:left="8768" w:hanging="287"/>
      </w:pPr>
      <w:rPr>
        <w:rFonts w:hint="default"/>
      </w:rPr>
    </w:lvl>
    <w:lvl w:ilvl="7" w:tplc="FAF4F70E">
      <w:numFmt w:val="bullet"/>
      <w:lvlText w:val="•"/>
      <w:lvlJc w:val="left"/>
      <w:pPr>
        <w:ind w:left="9916" w:hanging="287"/>
      </w:pPr>
      <w:rPr>
        <w:rFonts w:hint="default"/>
      </w:rPr>
    </w:lvl>
    <w:lvl w:ilvl="8" w:tplc="645A497E">
      <w:numFmt w:val="bullet"/>
      <w:lvlText w:val="•"/>
      <w:lvlJc w:val="left"/>
      <w:pPr>
        <w:ind w:left="11064" w:hanging="287"/>
      </w:pPr>
      <w:rPr>
        <w:rFonts w:hint="default"/>
      </w:rPr>
    </w:lvl>
  </w:abstractNum>
  <w:abstractNum w:abstractNumId="2" w15:restartNumberingAfterBreak="0">
    <w:nsid w:val="53B22287"/>
    <w:multiLevelType w:val="hybridMultilevel"/>
    <w:tmpl w:val="844E2CCA"/>
    <w:lvl w:ilvl="0" w:tplc="9C9C7766">
      <w:start w:val="1"/>
      <w:numFmt w:val="lowerRoman"/>
      <w:lvlText w:val="(%1)"/>
      <w:lvlJc w:val="left"/>
      <w:pPr>
        <w:ind w:left="1947" w:hanging="348"/>
      </w:pPr>
      <w:rPr>
        <w:rFonts w:ascii="Times New Roman" w:eastAsia="Times New Roman" w:hAnsi="Times New Roman" w:cs="Times New Roman" w:hint="default"/>
        <w:b/>
        <w:bCs/>
        <w:w w:val="100"/>
        <w:sz w:val="24"/>
        <w:szCs w:val="24"/>
      </w:rPr>
    </w:lvl>
    <w:lvl w:ilvl="1" w:tplc="19FE83D6">
      <w:numFmt w:val="bullet"/>
      <w:lvlText w:val="•"/>
      <w:lvlJc w:val="left"/>
      <w:pPr>
        <w:ind w:left="3082" w:hanging="348"/>
      </w:pPr>
      <w:rPr>
        <w:rFonts w:hint="default"/>
      </w:rPr>
    </w:lvl>
    <w:lvl w:ilvl="2" w:tplc="4BA2D7A0">
      <w:numFmt w:val="bullet"/>
      <w:lvlText w:val="•"/>
      <w:lvlJc w:val="left"/>
      <w:pPr>
        <w:ind w:left="4224" w:hanging="348"/>
      </w:pPr>
      <w:rPr>
        <w:rFonts w:hint="default"/>
      </w:rPr>
    </w:lvl>
    <w:lvl w:ilvl="3" w:tplc="D1E6E60E">
      <w:numFmt w:val="bullet"/>
      <w:lvlText w:val="•"/>
      <w:lvlJc w:val="left"/>
      <w:pPr>
        <w:ind w:left="5366" w:hanging="348"/>
      </w:pPr>
      <w:rPr>
        <w:rFonts w:hint="default"/>
      </w:rPr>
    </w:lvl>
    <w:lvl w:ilvl="4" w:tplc="39FE1D76">
      <w:numFmt w:val="bullet"/>
      <w:lvlText w:val="•"/>
      <w:lvlJc w:val="left"/>
      <w:pPr>
        <w:ind w:left="6508" w:hanging="348"/>
      </w:pPr>
      <w:rPr>
        <w:rFonts w:hint="default"/>
      </w:rPr>
    </w:lvl>
    <w:lvl w:ilvl="5" w:tplc="B0F43098">
      <w:numFmt w:val="bullet"/>
      <w:lvlText w:val="•"/>
      <w:lvlJc w:val="left"/>
      <w:pPr>
        <w:ind w:left="7650" w:hanging="348"/>
      </w:pPr>
      <w:rPr>
        <w:rFonts w:hint="default"/>
      </w:rPr>
    </w:lvl>
    <w:lvl w:ilvl="6" w:tplc="ABAC9730">
      <w:numFmt w:val="bullet"/>
      <w:lvlText w:val="•"/>
      <w:lvlJc w:val="left"/>
      <w:pPr>
        <w:ind w:left="8792" w:hanging="348"/>
      </w:pPr>
      <w:rPr>
        <w:rFonts w:hint="default"/>
      </w:rPr>
    </w:lvl>
    <w:lvl w:ilvl="7" w:tplc="92380BE4">
      <w:numFmt w:val="bullet"/>
      <w:lvlText w:val="•"/>
      <w:lvlJc w:val="left"/>
      <w:pPr>
        <w:ind w:left="9934" w:hanging="348"/>
      </w:pPr>
      <w:rPr>
        <w:rFonts w:hint="default"/>
      </w:rPr>
    </w:lvl>
    <w:lvl w:ilvl="8" w:tplc="AB7417E6">
      <w:numFmt w:val="bullet"/>
      <w:lvlText w:val="•"/>
      <w:lvlJc w:val="left"/>
      <w:pPr>
        <w:ind w:left="11076" w:hanging="348"/>
      </w:pPr>
      <w:rPr>
        <w:rFonts w:hint="default"/>
      </w:rPr>
    </w:lvl>
  </w:abstractNum>
  <w:abstractNum w:abstractNumId="3" w15:restartNumberingAfterBreak="0">
    <w:nsid w:val="5DCF2697"/>
    <w:multiLevelType w:val="hybridMultilevel"/>
    <w:tmpl w:val="6ED66506"/>
    <w:lvl w:ilvl="0" w:tplc="1CAEBEF8">
      <w:start w:val="1"/>
      <w:numFmt w:val="lowerRoman"/>
      <w:lvlText w:val="(%1)"/>
      <w:lvlJc w:val="left"/>
      <w:pPr>
        <w:ind w:left="1946" w:hanging="347"/>
      </w:pPr>
      <w:rPr>
        <w:rFonts w:ascii="Times New Roman" w:eastAsia="Times New Roman" w:hAnsi="Times New Roman" w:cs="Times New Roman" w:hint="default"/>
        <w:b/>
        <w:bCs/>
        <w:w w:val="100"/>
        <w:sz w:val="24"/>
        <w:szCs w:val="24"/>
      </w:rPr>
    </w:lvl>
    <w:lvl w:ilvl="1" w:tplc="C930DBEE">
      <w:numFmt w:val="bullet"/>
      <w:lvlText w:val="•"/>
      <w:lvlJc w:val="left"/>
      <w:pPr>
        <w:ind w:left="3082" w:hanging="347"/>
      </w:pPr>
      <w:rPr>
        <w:rFonts w:hint="default"/>
      </w:rPr>
    </w:lvl>
    <w:lvl w:ilvl="2" w:tplc="DA9AEC54">
      <w:numFmt w:val="bullet"/>
      <w:lvlText w:val="•"/>
      <w:lvlJc w:val="left"/>
      <w:pPr>
        <w:ind w:left="4224" w:hanging="347"/>
      </w:pPr>
      <w:rPr>
        <w:rFonts w:hint="default"/>
      </w:rPr>
    </w:lvl>
    <w:lvl w:ilvl="3" w:tplc="F03CC5E6">
      <w:numFmt w:val="bullet"/>
      <w:lvlText w:val="•"/>
      <w:lvlJc w:val="left"/>
      <w:pPr>
        <w:ind w:left="5366" w:hanging="347"/>
      </w:pPr>
      <w:rPr>
        <w:rFonts w:hint="default"/>
      </w:rPr>
    </w:lvl>
    <w:lvl w:ilvl="4" w:tplc="8DE04908">
      <w:numFmt w:val="bullet"/>
      <w:lvlText w:val="•"/>
      <w:lvlJc w:val="left"/>
      <w:pPr>
        <w:ind w:left="6508" w:hanging="347"/>
      </w:pPr>
      <w:rPr>
        <w:rFonts w:hint="default"/>
      </w:rPr>
    </w:lvl>
    <w:lvl w:ilvl="5" w:tplc="32240932">
      <w:numFmt w:val="bullet"/>
      <w:lvlText w:val="•"/>
      <w:lvlJc w:val="left"/>
      <w:pPr>
        <w:ind w:left="7650" w:hanging="347"/>
      </w:pPr>
      <w:rPr>
        <w:rFonts w:hint="default"/>
      </w:rPr>
    </w:lvl>
    <w:lvl w:ilvl="6" w:tplc="406E0E94">
      <w:numFmt w:val="bullet"/>
      <w:lvlText w:val="•"/>
      <w:lvlJc w:val="left"/>
      <w:pPr>
        <w:ind w:left="8792" w:hanging="347"/>
      </w:pPr>
      <w:rPr>
        <w:rFonts w:hint="default"/>
      </w:rPr>
    </w:lvl>
    <w:lvl w:ilvl="7" w:tplc="BD608222">
      <w:numFmt w:val="bullet"/>
      <w:lvlText w:val="•"/>
      <w:lvlJc w:val="left"/>
      <w:pPr>
        <w:ind w:left="9934" w:hanging="347"/>
      </w:pPr>
      <w:rPr>
        <w:rFonts w:hint="default"/>
      </w:rPr>
    </w:lvl>
    <w:lvl w:ilvl="8" w:tplc="B6068DD4">
      <w:numFmt w:val="bullet"/>
      <w:lvlText w:val="•"/>
      <w:lvlJc w:val="left"/>
      <w:pPr>
        <w:ind w:left="11076" w:hanging="347"/>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C1"/>
    <w:rsid w:val="0002420B"/>
    <w:rsid w:val="00032F3B"/>
    <w:rsid w:val="00034544"/>
    <w:rsid w:val="00050559"/>
    <w:rsid w:val="0006760D"/>
    <w:rsid w:val="0008284A"/>
    <w:rsid w:val="00091278"/>
    <w:rsid w:val="00096EE5"/>
    <w:rsid w:val="000B0A5B"/>
    <w:rsid w:val="000C1882"/>
    <w:rsid w:val="000C6888"/>
    <w:rsid w:val="000C69D6"/>
    <w:rsid w:val="000D77B8"/>
    <w:rsid w:val="000E5F9F"/>
    <w:rsid w:val="00107248"/>
    <w:rsid w:val="00110C84"/>
    <w:rsid w:val="0013572A"/>
    <w:rsid w:val="001366C7"/>
    <w:rsid w:val="00144F8A"/>
    <w:rsid w:val="00147EA6"/>
    <w:rsid w:val="00154036"/>
    <w:rsid w:val="001664E6"/>
    <w:rsid w:val="00181EE3"/>
    <w:rsid w:val="00182F9A"/>
    <w:rsid w:val="00183C98"/>
    <w:rsid w:val="0018669F"/>
    <w:rsid w:val="001E00F6"/>
    <w:rsid w:val="0021214E"/>
    <w:rsid w:val="00212E49"/>
    <w:rsid w:val="002337C1"/>
    <w:rsid w:val="00243302"/>
    <w:rsid w:val="002550F8"/>
    <w:rsid w:val="0026086F"/>
    <w:rsid w:val="002809C3"/>
    <w:rsid w:val="002D3875"/>
    <w:rsid w:val="00317674"/>
    <w:rsid w:val="00330892"/>
    <w:rsid w:val="00343956"/>
    <w:rsid w:val="0037537B"/>
    <w:rsid w:val="003846B9"/>
    <w:rsid w:val="0039009B"/>
    <w:rsid w:val="00394139"/>
    <w:rsid w:val="003D4FEE"/>
    <w:rsid w:val="003E66B3"/>
    <w:rsid w:val="00427599"/>
    <w:rsid w:val="00440E3D"/>
    <w:rsid w:val="004441CD"/>
    <w:rsid w:val="0045135A"/>
    <w:rsid w:val="0045411C"/>
    <w:rsid w:val="004971BE"/>
    <w:rsid w:val="004D33CF"/>
    <w:rsid w:val="004F4179"/>
    <w:rsid w:val="005141CE"/>
    <w:rsid w:val="00537540"/>
    <w:rsid w:val="005408BE"/>
    <w:rsid w:val="00543656"/>
    <w:rsid w:val="0059594F"/>
    <w:rsid w:val="005976AA"/>
    <w:rsid w:val="005B1A5A"/>
    <w:rsid w:val="005C21C5"/>
    <w:rsid w:val="005C6948"/>
    <w:rsid w:val="005D3546"/>
    <w:rsid w:val="005D3D54"/>
    <w:rsid w:val="005D6E9E"/>
    <w:rsid w:val="005E2897"/>
    <w:rsid w:val="005F08A7"/>
    <w:rsid w:val="005F202B"/>
    <w:rsid w:val="0060199E"/>
    <w:rsid w:val="00613C49"/>
    <w:rsid w:val="0062001F"/>
    <w:rsid w:val="0064153D"/>
    <w:rsid w:val="0065257B"/>
    <w:rsid w:val="00661BB1"/>
    <w:rsid w:val="00694400"/>
    <w:rsid w:val="006A5A3A"/>
    <w:rsid w:val="006A726A"/>
    <w:rsid w:val="006C4810"/>
    <w:rsid w:val="006D1625"/>
    <w:rsid w:val="006D51AE"/>
    <w:rsid w:val="006E0EBE"/>
    <w:rsid w:val="006F22D5"/>
    <w:rsid w:val="006F5257"/>
    <w:rsid w:val="00706DEE"/>
    <w:rsid w:val="00712AD2"/>
    <w:rsid w:val="0072444F"/>
    <w:rsid w:val="0078013E"/>
    <w:rsid w:val="0078749E"/>
    <w:rsid w:val="00794746"/>
    <w:rsid w:val="00794B4E"/>
    <w:rsid w:val="00796D59"/>
    <w:rsid w:val="007A03B4"/>
    <w:rsid w:val="007A194B"/>
    <w:rsid w:val="007D2161"/>
    <w:rsid w:val="007E19B8"/>
    <w:rsid w:val="007F2097"/>
    <w:rsid w:val="007F68C8"/>
    <w:rsid w:val="008041F8"/>
    <w:rsid w:val="008612C1"/>
    <w:rsid w:val="00862C6A"/>
    <w:rsid w:val="00885A39"/>
    <w:rsid w:val="008A0DF5"/>
    <w:rsid w:val="008A2C6E"/>
    <w:rsid w:val="008A688C"/>
    <w:rsid w:val="008B17CE"/>
    <w:rsid w:val="008B7BBB"/>
    <w:rsid w:val="008E4008"/>
    <w:rsid w:val="008F7595"/>
    <w:rsid w:val="00905E91"/>
    <w:rsid w:val="00912C2D"/>
    <w:rsid w:val="00915850"/>
    <w:rsid w:val="00916241"/>
    <w:rsid w:val="009535F2"/>
    <w:rsid w:val="00955285"/>
    <w:rsid w:val="0096357F"/>
    <w:rsid w:val="00972505"/>
    <w:rsid w:val="009811FC"/>
    <w:rsid w:val="00984243"/>
    <w:rsid w:val="00984437"/>
    <w:rsid w:val="00984B81"/>
    <w:rsid w:val="009877CF"/>
    <w:rsid w:val="009A39C6"/>
    <w:rsid w:val="009A40B2"/>
    <w:rsid w:val="009B4A3D"/>
    <w:rsid w:val="009D3BAA"/>
    <w:rsid w:val="009E140E"/>
    <w:rsid w:val="009E142D"/>
    <w:rsid w:val="009E37C1"/>
    <w:rsid w:val="009F05BE"/>
    <w:rsid w:val="00A16790"/>
    <w:rsid w:val="00A46B57"/>
    <w:rsid w:val="00A7734C"/>
    <w:rsid w:val="00A8052D"/>
    <w:rsid w:val="00A852B5"/>
    <w:rsid w:val="00AF5BFA"/>
    <w:rsid w:val="00B1398E"/>
    <w:rsid w:val="00B20FD9"/>
    <w:rsid w:val="00B258F7"/>
    <w:rsid w:val="00B279A3"/>
    <w:rsid w:val="00B4564F"/>
    <w:rsid w:val="00B509BF"/>
    <w:rsid w:val="00B727AB"/>
    <w:rsid w:val="00B8094C"/>
    <w:rsid w:val="00B9431F"/>
    <w:rsid w:val="00BA0AAC"/>
    <w:rsid w:val="00BA532D"/>
    <w:rsid w:val="00BA5F2A"/>
    <w:rsid w:val="00BB4F71"/>
    <w:rsid w:val="00C05FA7"/>
    <w:rsid w:val="00C0782A"/>
    <w:rsid w:val="00C50731"/>
    <w:rsid w:val="00C62BFD"/>
    <w:rsid w:val="00C670F4"/>
    <w:rsid w:val="00C7026E"/>
    <w:rsid w:val="00C73D6B"/>
    <w:rsid w:val="00C83AC9"/>
    <w:rsid w:val="00C861F8"/>
    <w:rsid w:val="00C867FF"/>
    <w:rsid w:val="00C949F2"/>
    <w:rsid w:val="00CC17B0"/>
    <w:rsid w:val="00CF34D0"/>
    <w:rsid w:val="00CF5450"/>
    <w:rsid w:val="00CF701B"/>
    <w:rsid w:val="00CF723E"/>
    <w:rsid w:val="00CF7846"/>
    <w:rsid w:val="00CF7882"/>
    <w:rsid w:val="00D036D7"/>
    <w:rsid w:val="00D05A22"/>
    <w:rsid w:val="00D06CA2"/>
    <w:rsid w:val="00D30992"/>
    <w:rsid w:val="00D35C25"/>
    <w:rsid w:val="00D57383"/>
    <w:rsid w:val="00D965AD"/>
    <w:rsid w:val="00DC2BF7"/>
    <w:rsid w:val="00DC5082"/>
    <w:rsid w:val="00DD6E6A"/>
    <w:rsid w:val="00DE054A"/>
    <w:rsid w:val="00E07CB8"/>
    <w:rsid w:val="00E37BFB"/>
    <w:rsid w:val="00E56B7C"/>
    <w:rsid w:val="00E575FA"/>
    <w:rsid w:val="00E639E1"/>
    <w:rsid w:val="00E70C95"/>
    <w:rsid w:val="00E86EB1"/>
    <w:rsid w:val="00EC1E24"/>
    <w:rsid w:val="00EC333B"/>
    <w:rsid w:val="00EE5EE7"/>
    <w:rsid w:val="00F06D34"/>
    <w:rsid w:val="00F2171C"/>
    <w:rsid w:val="00F26528"/>
    <w:rsid w:val="00F5644F"/>
    <w:rsid w:val="00F728A1"/>
    <w:rsid w:val="00F75E1E"/>
    <w:rsid w:val="00F861DD"/>
    <w:rsid w:val="00FA11BF"/>
    <w:rsid w:val="00FA797C"/>
    <w:rsid w:val="00FB27BC"/>
    <w:rsid w:val="00FB2F55"/>
    <w:rsid w:val="00FC114A"/>
    <w:rsid w:val="00FF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B0115B"/>
  <w15:docId w15:val="{F6137D06-1886-4B90-A428-80C1BEA7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A6"/>
    <w:pPr>
      <w:widowControl/>
    </w:pPr>
    <w:rPr>
      <w:rFonts w:ascii="Times New Roman" w:eastAsia="Times New Roman" w:hAnsi="Times New Roman" w:cs="Times New Roman"/>
      <w:sz w:val="24"/>
    </w:rPr>
  </w:style>
  <w:style w:type="paragraph" w:styleId="Heading1">
    <w:name w:val="heading 1"/>
    <w:basedOn w:val="Normal"/>
    <w:next w:val="Heading2"/>
    <w:uiPriority w:val="9"/>
    <w:qFormat/>
    <w:rsid w:val="00694400"/>
    <w:pPr>
      <w:keepNext/>
      <w:tabs>
        <w:tab w:val="left" w:pos="288"/>
      </w:tabs>
      <w:spacing w:before="360" w:after="240"/>
      <w:ind w:left="720" w:hanging="720"/>
      <w:outlineLvl w:val="0"/>
    </w:pPr>
    <w:rPr>
      <w:b/>
      <w:bCs/>
      <w:szCs w:val="24"/>
    </w:rPr>
  </w:style>
  <w:style w:type="paragraph" w:styleId="Heading2">
    <w:name w:val="heading 2"/>
    <w:basedOn w:val="Normal"/>
    <w:next w:val="BodyText"/>
    <w:link w:val="Heading2Char"/>
    <w:uiPriority w:val="9"/>
    <w:unhideWhenUsed/>
    <w:qFormat/>
    <w:rsid w:val="00694400"/>
    <w:pPr>
      <w:keepNext/>
      <w:spacing w:before="240" w:after="240"/>
      <w:ind w:left="2160" w:hanging="1440"/>
      <w:outlineLvl w:val="1"/>
    </w:pPr>
    <w:rPr>
      <w:rFonts w:eastAsiaTheme="majorEastAsia" w:cstheme="majorBidi"/>
      <w:b/>
      <w:szCs w:val="26"/>
    </w:rPr>
  </w:style>
  <w:style w:type="paragraph" w:styleId="Heading3">
    <w:name w:val="heading 3"/>
    <w:basedOn w:val="Normal"/>
    <w:next w:val="BodyText"/>
    <w:link w:val="Heading3Char"/>
    <w:uiPriority w:val="9"/>
    <w:unhideWhenUsed/>
    <w:qFormat/>
    <w:rsid w:val="00694400"/>
    <w:pPr>
      <w:keepNext/>
      <w:spacing w:before="240" w:after="240"/>
      <w:ind w:left="2160" w:hanging="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573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4400"/>
    <w:pPr>
      <w:spacing w:before="240" w:after="240"/>
      <w:ind w:firstLine="720"/>
    </w:pPr>
    <w:rPr>
      <w:szCs w:val="24"/>
    </w:rPr>
  </w:style>
  <w:style w:type="paragraph" w:styleId="ListParagraph">
    <w:name w:val="List Paragraph"/>
    <w:basedOn w:val="Normal"/>
    <w:uiPriority w:val="1"/>
    <w:qFormat/>
    <w:pPr>
      <w:ind w:left="46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D3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875"/>
    <w:rPr>
      <w:rFonts w:ascii="Segoe UI" w:eastAsia="Times New Roman" w:hAnsi="Segoe UI" w:cs="Segoe UI"/>
      <w:sz w:val="18"/>
      <w:szCs w:val="18"/>
    </w:rPr>
  </w:style>
  <w:style w:type="character" w:customStyle="1" w:styleId="normaltextrun">
    <w:name w:val="normaltextrun"/>
    <w:basedOn w:val="DefaultParagraphFont"/>
    <w:rsid w:val="002D3875"/>
  </w:style>
  <w:style w:type="character" w:customStyle="1" w:styleId="eop">
    <w:name w:val="eop"/>
    <w:basedOn w:val="DefaultParagraphFont"/>
    <w:rsid w:val="002D3875"/>
  </w:style>
  <w:style w:type="character" w:styleId="CommentReference">
    <w:name w:val="annotation reference"/>
    <w:basedOn w:val="DefaultParagraphFont"/>
    <w:uiPriority w:val="99"/>
    <w:semiHidden/>
    <w:unhideWhenUsed/>
    <w:rsid w:val="002D3875"/>
    <w:rPr>
      <w:sz w:val="16"/>
      <w:szCs w:val="16"/>
    </w:rPr>
  </w:style>
  <w:style w:type="paragraph" w:styleId="CommentText">
    <w:name w:val="annotation text"/>
    <w:basedOn w:val="Normal"/>
    <w:link w:val="CommentTextChar"/>
    <w:uiPriority w:val="99"/>
    <w:semiHidden/>
    <w:unhideWhenUsed/>
    <w:rsid w:val="002D3875"/>
    <w:rPr>
      <w:sz w:val="20"/>
      <w:szCs w:val="20"/>
    </w:rPr>
  </w:style>
  <w:style w:type="character" w:customStyle="1" w:styleId="CommentTextChar">
    <w:name w:val="Comment Text Char"/>
    <w:basedOn w:val="DefaultParagraphFont"/>
    <w:link w:val="CommentText"/>
    <w:uiPriority w:val="99"/>
    <w:semiHidden/>
    <w:rsid w:val="002D38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3875"/>
    <w:rPr>
      <w:b/>
      <w:bCs/>
    </w:rPr>
  </w:style>
  <w:style w:type="character" w:customStyle="1" w:styleId="CommentSubjectChar">
    <w:name w:val="Comment Subject Char"/>
    <w:basedOn w:val="CommentTextChar"/>
    <w:link w:val="CommentSubject"/>
    <w:uiPriority w:val="99"/>
    <w:semiHidden/>
    <w:rsid w:val="002D387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A0DF5"/>
    <w:pPr>
      <w:tabs>
        <w:tab w:val="center" w:pos="4680"/>
        <w:tab w:val="right" w:pos="9360"/>
      </w:tabs>
    </w:pPr>
  </w:style>
  <w:style w:type="character" w:customStyle="1" w:styleId="HeaderChar">
    <w:name w:val="Header Char"/>
    <w:basedOn w:val="DefaultParagraphFont"/>
    <w:link w:val="Header"/>
    <w:uiPriority w:val="99"/>
    <w:rsid w:val="008A0DF5"/>
    <w:rPr>
      <w:rFonts w:ascii="Times New Roman" w:eastAsia="Times New Roman" w:hAnsi="Times New Roman" w:cs="Times New Roman"/>
    </w:rPr>
  </w:style>
  <w:style w:type="paragraph" w:styleId="Footer">
    <w:name w:val="footer"/>
    <w:basedOn w:val="Normal"/>
    <w:link w:val="FooterChar"/>
    <w:uiPriority w:val="99"/>
    <w:unhideWhenUsed/>
    <w:rsid w:val="008A0DF5"/>
    <w:pPr>
      <w:tabs>
        <w:tab w:val="center" w:pos="4680"/>
        <w:tab w:val="right" w:pos="9360"/>
      </w:tabs>
    </w:pPr>
  </w:style>
  <w:style w:type="character" w:customStyle="1" w:styleId="FooterChar">
    <w:name w:val="Footer Char"/>
    <w:basedOn w:val="DefaultParagraphFont"/>
    <w:link w:val="Footer"/>
    <w:uiPriority w:val="99"/>
    <w:rsid w:val="008A0DF5"/>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9440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9440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D57383"/>
    <w:rPr>
      <w:rFonts w:asciiTheme="majorHAnsi" w:eastAsiaTheme="majorEastAsia" w:hAnsiTheme="majorHAnsi" w:cstheme="majorBidi"/>
      <w:i/>
      <w:iCs/>
      <w:color w:val="365F91" w:themeColor="accent1" w:themeShade="BF"/>
      <w:sz w:val="24"/>
    </w:rPr>
  </w:style>
  <w:style w:type="paragraph" w:customStyle="1" w:styleId="NormalPar">
    <w:name w:val="Normal Par"/>
    <w:basedOn w:val="Normal"/>
    <w:link w:val="NormalParChar"/>
    <w:qFormat/>
    <w:rsid w:val="00C867FF"/>
    <w:pPr>
      <w:autoSpaceDE/>
      <w:autoSpaceDN/>
      <w:spacing w:after="240"/>
    </w:pPr>
    <w:rPr>
      <w:rFonts w:eastAsiaTheme="minorHAnsi"/>
      <w:szCs w:val="16"/>
    </w:rPr>
  </w:style>
  <w:style w:type="character" w:customStyle="1" w:styleId="NormalParChar">
    <w:name w:val="Normal Par Char"/>
    <w:basedOn w:val="DefaultParagraphFont"/>
    <w:link w:val="NormalPar"/>
    <w:rsid w:val="00C867FF"/>
    <w:rPr>
      <w:rFonts w:ascii="Times New Roman" w:hAnsi="Times New Roman" w:cs="Times New Roman"/>
      <w:sz w:val="24"/>
      <w:szCs w:val="16"/>
    </w:rPr>
  </w:style>
  <w:style w:type="paragraph" w:styleId="FootnoteText">
    <w:name w:val="footnote text"/>
    <w:basedOn w:val="Normal"/>
    <w:link w:val="FootnoteTextChar"/>
    <w:uiPriority w:val="99"/>
    <w:semiHidden/>
    <w:unhideWhenUsed/>
    <w:rsid w:val="00EC1E24"/>
    <w:rPr>
      <w:sz w:val="20"/>
      <w:szCs w:val="20"/>
    </w:rPr>
  </w:style>
  <w:style w:type="character" w:customStyle="1" w:styleId="FootnoteTextChar">
    <w:name w:val="Footnote Text Char"/>
    <w:basedOn w:val="DefaultParagraphFont"/>
    <w:link w:val="FootnoteText"/>
    <w:uiPriority w:val="99"/>
    <w:semiHidden/>
    <w:rsid w:val="00EC1E24"/>
    <w:rPr>
      <w:rFonts w:ascii="Times New Roman" w:eastAsia="Times New Roman" w:hAnsi="Times New Roman" w:cs="Times New Roman"/>
      <w:sz w:val="20"/>
      <w:szCs w:val="20"/>
    </w:rPr>
  </w:style>
  <w:style w:type="character" w:styleId="FootnoteReference">
    <w:name w:val="footnote reference"/>
    <w:uiPriority w:val="99"/>
    <w:rsid w:val="00EC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E96D9DE07A42AC9EAAE9E166EA10" ma:contentTypeVersion="4" ma:contentTypeDescription="Create a new document." ma:contentTypeScope="" ma:versionID="3193d8adcf6680a543a2f85c080bfb2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f6d6a11-b0c7-4043-baf9-009db30d7fcf" xmlns:ns6="de7a1f45-e857-4450-ad3d-433ed914769b" targetNamespace="http://schemas.microsoft.com/office/2006/metadata/properties" ma:root="true" ma:fieldsID="1488feaeb9ce1962c3ca86dfee3e9c4f" ns1:_="" ns2:_="" ns3:_="" ns4:_="" ns5:_="" ns6:_="">
    <xsd:import namespace="http://schemas.microsoft.com/sharepoint/v3"/>
    <xsd:import namespace="4ffa91fb-a0ff-4ac5-b2db-65c790d184a4"/>
    <xsd:import namespace="http://schemas.microsoft.com/sharepoint.v3"/>
    <xsd:import namespace="http://schemas.microsoft.com/sharepoint/v3/fields"/>
    <xsd:import namespace="2f6d6a11-b0c7-4043-baf9-009db30d7fcf"/>
    <xsd:import namespace="de7a1f45-e857-4450-ad3d-433ed914769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7e3e22f-5f58-45a8-8d71-ca3b68c8f087}" ma:internalName="TaxCatchAllLabel" ma:readOnly="true" ma:showField="CatchAllDataLabel" ma:web="de7a1f45-e857-4450-ad3d-433ed914769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7e3e22f-5f58-45a8-8d71-ca3b68c8f087}" ma:internalName="TaxCatchAll" ma:showField="CatchAllData" ma:web="de7a1f45-e857-4450-ad3d-433ed91476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d6a11-b0c7-4043-baf9-009db30d7fc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a1f45-e857-4450-ad3d-433ed914769b"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2020-12-17T20:00:14+00:00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4C3A0-D236-4F80-A856-FF4514F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f6d6a11-b0c7-4043-baf9-009db30d7fcf"/>
    <ds:schemaRef ds:uri="de7a1f45-e857-4450-ad3d-433ed9147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E5192-7A3F-49A7-924E-D8BCAC60FFB0}">
  <ds:schemaRefs>
    <ds:schemaRef ds:uri="http://schemas.openxmlformats.org/officeDocument/2006/bibliography"/>
  </ds:schemaRefs>
</ds:datastoreItem>
</file>

<file path=customXml/itemProps3.xml><?xml version="1.0" encoding="utf-8"?>
<ds:datastoreItem xmlns:ds="http://schemas.openxmlformats.org/officeDocument/2006/customXml" ds:itemID="{7F70D17A-4163-49E3-B982-4C0C37A62C51}">
  <ds:schemaRefs>
    <ds:schemaRef ds:uri="Microsoft.SharePoint.Taxonomy.ContentTypeSync"/>
  </ds:schemaRefs>
</ds:datastoreItem>
</file>

<file path=customXml/itemProps4.xml><?xml version="1.0" encoding="utf-8"?>
<ds:datastoreItem xmlns:ds="http://schemas.openxmlformats.org/officeDocument/2006/customXml" ds:itemID="{D11847DA-257B-42A7-A01E-BB6E13819C69}">
  <ds:schemaRefs>
    <ds:schemaRef ds:uri="http://schemas.openxmlformats.org/package/2006/metadata/core-properties"/>
    <ds:schemaRef ds:uri="http://schemas.microsoft.com/office/2006/documentManagement/types"/>
    <ds:schemaRef ds:uri="http://schemas.microsoft.com/office/infopath/2007/PartnerControls"/>
    <ds:schemaRef ds:uri="de7a1f45-e857-4450-ad3d-433ed914769b"/>
    <ds:schemaRef ds:uri="http://purl.org/dc/elements/1.1/"/>
    <ds:schemaRef ds:uri="http://schemas.microsoft.com/office/2006/metadata/properties"/>
    <ds:schemaRef ds:uri="2f6d6a11-b0c7-4043-baf9-009db30d7fcf"/>
    <ds:schemaRef ds:uri="http://schemas.microsoft.com/sharepoint/v3/fields"/>
    <ds:schemaRef ds:uri="http://schemas.microsoft.com/sharepoint.v3"/>
    <ds:schemaRef ds:uri="http://schemas.microsoft.com/sharepoint/v3"/>
    <ds:schemaRef ds:uri="http://purl.org/dc/terms/"/>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7FBB3222-6ADC-4B37-A0BD-81DF9F8D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5445</Words>
  <Characters>31042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Microsoft Word - Flex Foam Fabrication RTR Supporting Statement ICR 2027.08_plus L 2020-12-07</vt:lpstr>
    </vt:vector>
  </TitlesOfParts>
  <Company/>
  <LinksUpToDate>false</LinksUpToDate>
  <CharactersWithSpaces>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Flex Foam Fabrication RTR Supporting Statement ICR 2027.08_plus L 2020-12-07</dc:title>
  <dc:creator>LSUTTO01</dc:creator>
  <cp:lastModifiedBy>Salahuddin, Diane</cp:lastModifiedBy>
  <cp:revision>3</cp:revision>
  <dcterms:created xsi:type="dcterms:W3CDTF">2021-11-18T15:22:00Z</dcterms:created>
  <dcterms:modified xsi:type="dcterms:W3CDTF">2021-11-18T15:24:00Z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PScript5.dll Version 5.2.2</vt:lpwstr>
  </property>
  <property fmtid="{D5CDD505-2E9C-101B-9397-08002B2CF9AE}" pid="4" name="LastSaved">
    <vt:filetime>2020-12-17T00:00:00Z</vt:filetime>
  </property>
  <property fmtid="{D5CDD505-2E9C-101B-9397-08002B2CF9AE}" pid="5" name="ContentTypeId">
    <vt:lpwstr>0x0101001876E96D9DE07A42AC9EAAE9E166EA10</vt:lpwstr>
  </property>
  <property fmtid="{D5CDD505-2E9C-101B-9397-08002B2CF9AE}" pid="6" name="TaxKeyword">
    <vt:lpwstr/>
  </property>
  <property fmtid="{D5CDD505-2E9C-101B-9397-08002B2CF9AE}" pid="7" name="Document Type">
    <vt:lpwstr/>
  </property>
  <property fmtid="{D5CDD505-2E9C-101B-9397-08002B2CF9AE}" pid="8" name="e3f09c3df709400db2417a7161762d62">
    <vt:lpwstr/>
  </property>
  <property fmtid="{D5CDD505-2E9C-101B-9397-08002B2CF9AE}" pid="9" name="EPA_x0020_Subject">
    <vt:lpwstr/>
  </property>
  <property fmtid="{D5CDD505-2E9C-101B-9397-08002B2CF9AE}" pid="10" name="EPA Subject">
    <vt:lpwstr/>
  </property>
</Properties>
</file>