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525A" w:rsidR="00376728" w:rsidP="00376728" w:rsidRDefault="00376728" w14:paraId="2C17C9D0" w14:textId="77777777">
      <w:pPr>
        <w:jc w:val="center"/>
        <w:rPr>
          <w:b/>
          <w:bCs/>
        </w:rPr>
      </w:pPr>
      <w:r w:rsidRPr="0096525A">
        <w:rPr>
          <w:b/>
          <w:bCs/>
        </w:rPr>
        <w:t xml:space="preserve">Department </w:t>
      </w:r>
      <w:r w:rsidRPr="0096525A">
        <w:rPr>
          <w:b/>
          <w:bCs/>
        </w:rPr>
        <w:tab/>
        <w:t>of Transportation</w:t>
      </w:r>
    </w:p>
    <w:p w:rsidRPr="0096525A" w:rsidR="00376728" w:rsidP="00376728" w:rsidRDefault="00376728" w14:paraId="27A5FD24" w14:textId="77777777">
      <w:pPr>
        <w:jc w:val="center"/>
        <w:rPr>
          <w:b/>
          <w:bCs/>
        </w:rPr>
      </w:pPr>
      <w:r w:rsidRPr="0096525A">
        <w:rPr>
          <w:b/>
          <w:bCs/>
        </w:rPr>
        <w:t>Office of the Chief Information Officer</w:t>
      </w:r>
    </w:p>
    <w:p w:rsidR="00376728" w:rsidP="00376728" w:rsidRDefault="00376728" w14:paraId="25ED19FB" w14:textId="77777777">
      <w:pPr>
        <w:jc w:val="center"/>
        <w:rPr>
          <w:bCs/>
        </w:rPr>
      </w:pPr>
    </w:p>
    <w:p w:rsidR="00376728" w:rsidP="00376728" w:rsidRDefault="00376728" w14:paraId="140A8C1A" w14:textId="77777777">
      <w:pPr>
        <w:jc w:val="center"/>
        <w:rPr>
          <w:b/>
          <w:bCs/>
        </w:rPr>
      </w:pPr>
      <w:r w:rsidRPr="0096525A">
        <w:rPr>
          <w:b/>
          <w:bCs/>
        </w:rPr>
        <w:t>Supporting Statement</w:t>
      </w:r>
      <w:r w:rsidRPr="0096525A" w:rsidDel="0096525A">
        <w:rPr>
          <w:b/>
          <w:bCs/>
        </w:rPr>
        <w:t xml:space="preserve"> </w:t>
      </w:r>
    </w:p>
    <w:p w:rsidR="00376728" w:rsidP="00376728" w:rsidRDefault="00376728" w14:paraId="73AD73B8" w14:textId="2005A6D1">
      <w:pPr>
        <w:jc w:val="center"/>
        <w:rPr>
          <w:b/>
          <w:bCs/>
        </w:rPr>
      </w:pPr>
      <w:r>
        <w:rPr>
          <w:b/>
          <w:bCs/>
        </w:rPr>
        <w:t>“</w:t>
      </w:r>
      <w:bookmarkStart w:name="_Hlk86670808" w:id="0"/>
      <w:r w:rsidRPr="002D368B">
        <w:rPr>
          <w:b/>
          <w:bCs/>
        </w:rPr>
        <w:t>Annual</w:t>
      </w:r>
      <w:r w:rsidRPr="00BB19F5" w:rsidR="00BB19F5">
        <w:rPr>
          <w:b/>
          <w:bCs/>
        </w:rPr>
        <w:t xml:space="preserve"> </w:t>
      </w:r>
      <w:r w:rsidR="00BB19F5">
        <w:rPr>
          <w:b/>
          <w:bCs/>
        </w:rPr>
        <w:t>and</w:t>
      </w:r>
      <w:r w:rsidRPr="002D368B">
        <w:rPr>
          <w:b/>
          <w:bCs/>
        </w:rPr>
        <w:t xml:space="preserve"> </w:t>
      </w:r>
      <w:r w:rsidR="00BB19F5">
        <w:rPr>
          <w:b/>
          <w:bCs/>
        </w:rPr>
        <w:t>Incident</w:t>
      </w:r>
      <w:r w:rsidRPr="002D368B" w:rsidR="00BB19F5">
        <w:rPr>
          <w:b/>
          <w:bCs/>
        </w:rPr>
        <w:t xml:space="preserve"> </w:t>
      </w:r>
      <w:r w:rsidRPr="002D368B">
        <w:rPr>
          <w:b/>
          <w:bCs/>
        </w:rPr>
        <w:t>Reports for Gas Pipeline Operators</w:t>
      </w:r>
      <w:bookmarkEnd w:id="0"/>
      <w:r>
        <w:rPr>
          <w:b/>
          <w:bCs/>
        </w:rPr>
        <w:t>”</w:t>
      </w:r>
    </w:p>
    <w:p w:rsidR="00376728" w:rsidP="00376728" w:rsidRDefault="00376728" w14:paraId="603D5579" w14:textId="77777777">
      <w:pPr>
        <w:jc w:val="center"/>
        <w:rPr>
          <w:b/>
          <w:bCs/>
        </w:rPr>
      </w:pPr>
      <w:r>
        <w:rPr>
          <w:b/>
          <w:bCs/>
        </w:rPr>
        <w:t>OMB Control No. 2137-0522</w:t>
      </w:r>
    </w:p>
    <w:p w:rsidRPr="00801394" w:rsidR="00801394" w:rsidP="00801394" w:rsidRDefault="00801394" w14:paraId="108646F2" w14:textId="77777777">
      <w:pPr>
        <w:autoSpaceDE w:val="0"/>
        <w:autoSpaceDN w:val="0"/>
        <w:adjustRightInd w:val="0"/>
        <w:jc w:val="center"/>
        <w:rPr>
          <w:b/>
        </w:rPr>
      </w:pPr>
      <w:r w:rsidRPr="00801394">
        <w:rPr>
          <w:b/>
        </w:rPr>
        <w:t>Docket No. PHMSA-2011-0023</w:t>
      </w:r>
    </w:p>
    <w:p w:rsidRPr="00801394" w:rsidR="00801394" w:rsidP="00801394" w:rsidRDefault="00801394" w14:paraId="0A5C59B4" w14:textId="77777777">
      <w:pPr>
        <w:autoSpaceDE w:val="0"/>
        <w:autoSpaceDN w:val="0"/>
        <w:adjustRightInd w:val="0"/>
        <w:jc w:val="center"/>
        <w:rPr>
          <w:b/>
        </w:rPr>
      </w:pPr>
      <w:r w:rsidRPr="00801394">
        <w:rPr>
          <w:b/>
        </w:rPr>
        <w:t>RIN 2137-AF38</w:t>
      </w:r>
    </w:p>
    <w:p w:rsidR="00376728" w:rsidP="00376728" w:rsidRDefault="00376728" w14:paraId="00FB1540" w14:textId="77777777">
      <w:pPr>
        <w:rPr>
          <w:bCs/>
        </w:rPr>
      </w:pPr>
    </w:p>
    <w:p w:rsidRPr="007F2B6B" w:rsidR="00376728" w:rsidP="00376728" w:rsidRDefault="00376728" w14:paraId="3B6AF564" w14:textId="77777777">
      <w:pPr>
        <w:rPr>
          <w:b/>
          <w:bCs/>
          <w:u w:val="single"/>
        </w:rPr>
      </w:pPr>
      <w:r w:rsidRPr="007F2B6B">
        <w:rPr>
          <w:b/>
          <w:bCs/>
          <w:u w:val="single"/>
        </w:rPr>
        <w:t>INTRODUCTION</w:t>
      </w:r>
    </w:p>
    <w:p w:rsidR="00DE7CC5" w:rsidP="00A72CE8" w:rsidRDefault="00DE7CC5" w14:paraId="1154DF90" w14:textId="77777777"/>
    <w:p w:rsidR="00D81A16" w:rsidP="00A72CE8" w:rsidRDefault="003566F3" w14:paraId="00115B47" w14:textId="2C4FFBEF">
      <w:r w:rsidRPr="002A2BA0">
        <w:t xml:space="preserve">The Pipeline and Hazardous Materials Safety Administration (PHMSA) requests approval from the Office of Management and Budget (OMB) for </w:t>
      </w:r>
      <w:r w:rsidR="00AB45A2">
        <w:t>a</w:t>
      </w:r>
      <w:r w:rsidR="00801394">
        <w:t xml:space="preserve"> revision </w:t>
      </w:r>
      <w:r w:rsidRPr="002A2BA0">
        <w:t xml:space="preserve">of a currently approved collection entitled </w:t>
      </w:r>
      <w:r w:rsidRPr="002B7DAA" w:rsidR="00A72CE8">
        <w:rPr>
          <w:bCs/>
        </w:rPr>
        <w:t>“</w:t>
      </w:r>
      <w:r w:rsidRPr="00801394" w:rsidR="00801394">
        <w:t>Annual and Incident Reports for Gas Pipeline Operators</w:t>
      </w:r>
      <w:r w:rsidR="00A72CE8">
        <w:rPr>
          <w:bCs/>
        </w:rPr>
        <w:t xml:space="preserve">” (OMB Control No. 2137-0522).  </w:t>
      </w:r>
      <w:r w:rsidR="00A72CE8">
        <w:t xml:space="preserve">The current expiration date for this information collection is </w:t>
      </w:r>
      <w:r w:rsidR="00801394">
        <w:t>October</w:t>
      </w:r>
      <w:r w:rsidR="005F3DB4">
        <w:t xml:space="preserve"> 31, 2024</w:t>
      </w:r>
      <w:r w:rsidR="00A72CE8">
        <w:t xml:space="preserve">.  </w:t>
      </w:r>
    </w:p>
    <w:p w:rsidR="00D81A16" w:rsidP="00A72CE8" w:rsidRDefault="00D81A16" w14:paraId="34E75C9B" w14:textId="77777777"/>
    <w:p w:rsidRPr="00801394" w:rsidR="00801394" w:rsidP="00801394" w:rsidRDefault="00801394" w14:paraId="7231336A" w14:textId="656672A9">
      <w:pPr>
        <w:widowControl w:val="0"/>
        <w:autoSpaceDE w:val="0"/>
        <w:autoSpaceDN w:val="0"/>
        <w:adjustRightInd w:val="0"/>
        <w:rPr>
          <w:bCs/>
        </w:rPr>
      </w:pPr>
      <w:r w:rsidRPr="00801394">
        <w:rPr>
          <w:bCs/>
        </w:rPr>
        <w:t xml:space="preserve">The </w:t>
      </w:r>
      <w:r>
        <w:rPr>
          <w:bCs/>
        </w:rPr>
        <w:t>revision</w:t>
      </w:r>
      <w:r w:rsidRPr="00801394">
        <w:rPr>
          <w:bCs/>
        </w:rPr>
        <w:t xml:space="preserve"> of this information collection is necessary due to the following PHMSA action that will affect the current collection of information:</w:t>
      </w:r>
    </w:p>
    <w:p w:rsidRPr="00801394" w:rsidR="00801394" w:rsidP="00801394" w:rsidRDefault="00801394" w14:paraId="648E6F41" w14:textId="77777777">
      <w:pPr>
        <w:widowControl w:val="0"/>
        <w:autoSpaceDE w:val="0"/>
        <w:autoSpaceDN w:val="0"/>
        <w:adjustRightInd w:val="0"/>
        <w:rPr>
          <w:bCs/>
        </w:rPr>
      </w:pPr>
    </w:p>
    <w:p w:rsidRPr="00801394" w:rsidR="00801394" w:rsidP="00801394" w:rsidRDefault="00801394" w14:paraId="474EF34B" w14:textId="77777777">
      <w:pPr>
        <w:rPr>
          <w:b/>
        </w:rPr>
      </w:pPr>
      <w:r w:rsidRPr="00801394">
        <w:rPr>
          <w:b/>
        </w:rPr>
        <w:t>Docket No. PHMSA-2011-0023 Pipeline Safety:  Safety of Gas Gathering Pipelines:  Extension of Reporting Requirements, Regulation of Large, High-Pressure Lines, and Other Related Amendments</w:t>
      </w:r>
    </w:p>
    <w:p w:rsidRPr="00801394" w:rsidR="00801394" w:rsidP="00801394" w:rsidRDefault="00801394" w14:paraId="3AD8668D" w14:textId="77777777">
      <w:pPr>
        <w:rPr>
          <w:b/>
        </w:rPr>
      </w:pPr>
    </w:p>
    <w:p w:rsidRPr="00801394" w:rsidR="00801394" w:rsidP="00801394" w:rsidRDefault="00801394" w14:paraId="1AE3150E" w14:textId="0E1DD2FD">
      <w:pPr>
        <w:widowControl w:val="0"/>
        <w:numPr>
          <w:ilvl w:val="0"/>
          <w:numId w:val="2"/>
        </w:numPr>
        <w:autoSpaceDE w:val="0"/>
        <w:autoSpaceDN w:val="0"/>
        <w:adjustRightInd w:val="0"/>
        <w:ind w:left="1080"/>
        <w:rPr>
          <w:bCs/>
        </w:rPr>
      </w:pPr>
      <w:r w:rsidRPr="00801394">
        <w:rPr>
          <w:bCs/>
        </w:rPr>
        <w:t xml:space="preserve">Requires </w:t>
      </w:r>
      <w:r w:rsidR="0093431D">
        <w:rPr>
          <w:bCs/>
        </w:rPr>
        <w:t xml:space="preserve">previously unregulated </w:t>
      </w:r>
      <w:r w:rsidRPr="00801394">
        <w:rPr>
          <w:bCs/>
        </w:rPr>
        <w:t xml:space="preserve">new Type C </w:t>
      </w:r>
      <w:r w:rsidR="00523859">
        <w:rPr>
          <w:bCs/>
        </w:rPr>
        <w:t xml:space="preserve">and Type R </w:t>
      </w:r>
      <w:r w:rsidRPr="00801394">
        <w:rPr>
          <w:bCs/>
        </w:rPr>
        <w:t xml:space="preserve">gas gathering pipeline operators to </w:t>
      </w:r>
      <w:r w:rsidR="0093431D">
        <w:rPr>
          <w:bCs/>
        </w:rPr>
        <w:t>submit</w:t>
      </w:r>
      <w:r w:rsidRPr="00801394">
        <w:rPr>
          <w:bCs/>
        </w:rPr>
        <w:t xml:space="preserve"> </w:t>
      </w:r>
      <w:r w:rsidR="00523859">
        <w:rPr>
          <w:bCs/>
        </w:rPr>
        <w:t>annual and incident report</w:t>
      </w:r>
      <w:r w:rsidR="0093431D">
        <w:rPr>
          <w:bCs/>
        </w:rPr>
        <w:t xml:space="preserve">s </w:t>
      </w:r>
    </w:p>
    <w:p w:rsidRPr="00801394" w:rsidR="00801394" w:rsidP="00801394" w:rsidRDefault="00801394" w14:paraId="14AB67CC" w14:textId="65B34D6A">
      <w:pPr>
        <w:widowControl w:val="0"/>
        <w:numPr>
          <w:ilvl w:val="0"/>
          <w:numId w:val="2"/>
        </w:numPr>
        <w:autoSpaceDE w:val="0"/>
        <w:autoSpaceDN w:val="0"/>
        <w:adjustRightInd w:val="0"/>
        <w:ind w:left="1080"/>
        <w:rPr>
          <w:bCs/>
        </w:rPr>
      </w:pPr>
      <w:r w:rsidRPr="00801394">
        <w:rPr>
          <w:bCs/>
        </w:rPr>
        <w:t xml:space="preserve">Adds </w:t>
      </w:r>
      <w:r w:rsidRPr="00523859" w:rsidR="0093431D">
        <w:t xml:space="preserve">585 new responses and </w:t>
      </w:r>
      <w:r w:rsidR="0097287B">
        <w:t>20,163</w:t>
      </w:r>
      <w:r w:rsidRPr="00523859" w:rsidR="0093431D">
        <w:t xml:space="preserve"> burden hours</w:t>
      </w:r>
      <w:r w:rsidRPr="00801394" w:rsidR="0093431D">
        <w:rPr>
          <w:bCs/>
        </w:rPr>
        <w:t xml:space="preserve"> </w:t>
      </w:r>
      <w:r w:rsidRPr="00801394">
        <w:rPr>
          <w:bCs/>
        </w:rPr>
        <w:t>to this information collection</w:t>
      </w:r>
      <w:r w:rsidR="0093431D">
        <w:rPr>
          <w:bCs/>
        </w:rPr>
        <w:t xml:space="preserve"> </w:t>
      </w:r>
      <w:r w:rsidRPr="00801394">
        <w:rPr>
          <w:bCs/>
        </w:rPr>
        <w:t xml:space="preserve">for </w:t>
      </w:r>
      <w:r w:rsidR="0093431D">
        <w:rPr>
          <w:bCs/>
        </w:rPr>
        <w:t>annual and incident reporting.</w:t>
      </w:r>
    </w:p>
    <w:p w:rsidR="00801394" w:rsidP="00376728" w:rsidRDefault="00801394" w14:paraId="75F2C8A4" w14:textId="77777777">
      <w:pPr>
        <w:rPr>
          <w:b/>
          <w:bCs/>
          <w:u w:val="single"/>
        </w:rPr>
      </w:pPr>
    </w:p>
    <w:p w:rsidRPr="007F2B6B" w:rsidR="00376728" w:rsidP="00376728" w:rsidRDefault="00376728" w14:paraId="28EE230C" w14:textId="2649BD60">
      <w:pPr>
        <w:rPr>
          <w:b/>
          <w:bCs/>
          <w:u w:val="single"/>
        </w:rPr>
      </w:pPr>
      <w:r w:rsidRPr="007F2B6B">
        <w:rPr>
          <w:b/>
          <w:bCs/>
          <w:u w:val="single"/>
        </w:rPr>
        <w:t>Part A. Justification</w:t>
      </w:r>
    </w:p>
    <w:p w:rsidR="00376728" w:rsidP="00376728" w:rsidRDefault="00376728" w14:paraId="52C3418D" w14:textId="77777777">
      <w:pPr>
        <w:rPr>
          <w:bCs/>
        </w:rPr>
      </w:pPr>
    </w:p>
    <w:p w:rsidRPr="004B4409" w:rsidR="00376728" w:rsidP="00376728" w:rsidRDefault="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rsidRDefault="00376728" w14:paraId="2195BF44" w14:textId="77777777">
      <w:pPr>
        <w:rPr>
          <w:i/>
        </w:rPr>
      </w:pPr>
    </w:p>
    <w:p w:rsidR="00376728" w:rsidP="00376728" w:rsidRDefault="00481952" w14:paraId="08D74AC7" w14:textId="77777777">
      <w:r>
        <w:t xml:space="preserve">The reports contained within this information collection support the Department of Transportation’s strategic goal of safety.  </w:t>
      </w:r>
      <w:r w:rsidR="00024697">
        <w:t>A</w:t>
      </w:r>
      <w:r w:rsidR="00376728">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rsidR="00FF7653" w:rsidP="00376728" w:rsidRDefault="00FF7653" w14:paraId="465C7B2D" w14:textId="77777777"/>
    <w:p w:rsidR="005A4737" w:rsidP="00376728" w:rsidRDefault="00376728" w14:paraId="64EE40BE" w14:textId="298582E8">
      <w:r>
        <w:t>The requirements for</w:t>
      </w:r>
      <w:r w:rsidR="005A4737">
        <w:t xml:space="preserve"> annual</w:t>
      </w:r>
      <w:r>
        <w:t xml:space="preserve"> reporting </w:t>
      </w:r>
      <w:r w:rsidR="003D6686">
        <w:t xml:space="preserve">and telephonic notification of incidents </w:t>
      </w:r>
      <w:r>
        <w:t xml:space="preserve">are in 49 CFR Part 191.  </w:t>
      </w:r>
      <w:r w:rsidR="005A4737">
        <w:t xml:space="preserve"> The PHMSA delegation of authority is found in 49 CFR 1.97 which allows for PHMSA to exercise the authority vested in the Secretary in under Chapter 601 of title 49, U.S.C.</w:t>
      </w:r>
    </w:p>
    <w:p w:rsidR="00376728" w:rsidP="00376728" w:rsidRDefault="00376728" w14:paraId="2336993C" w14:textId="77777777">
      <w:r>
        <w:lastRenderedPageBreak/>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P="00376728" w:rsidRDefault="00376728" w14:paraId="00A14EF8" w14:textId="77777777"/>
    <w:p w:rsidRPr="004B4409" w:rsidR="00376728" w:rsidP="00376728" w:rsidRDefault="00376728" w14:paraId="475F2E19" w14:textId="77777777">
      <w:r w:rsidRPr="004B4409">
        <w:rPr>
          <w:bCs/>
        </w:rPr>
        <w:t>2.</w:t>
      </w:r>
      <w:r w:rsidRPr="004B4409">
        <w:rPr>
          <w:bCs/>
        </w:rPr>
        <w:tab/>
      </w:r>
      <w:r w:rsidRPr="004B4409">
        <w:rPr>
          <w:bCs/>
          <w:u w:val="single"/>
        </w:rPr>
        <w:t>How, by whom, and for what purpose is the information used.</w:t>
      </w:r>
      <w:r w:rsidRPr="004B4409">
        <w:t xml:space="preserve"> </w:t>
      </w:r>
    </w:p>
    <w:p w:rsidR="00376728" w:rsidP="00376728" w:rsidRDefault="00376728" w14:paraId="29786328" w14:textId="77777777">
      <w:pPr>
        <w:rPr>
          <w:i/>
        </w:rPr>
      </w:pPr>
    </w:p>
    <w:p w:rsidR="00F3387A" w:rsidP="00376728" w:rsidRDefault="00F3387A" w14:paraId="0A80ADF5" w14:textId="77777777">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P="00376728" w:rsidRDefault="00F3387A" w14:paraId="059E3ADE" w14:textId="77777777"/>
    <w:p w:rsidR="00EE1FBD" w:rsidRDefault="00D32396" w14:paraId="4D0CC605" w14:textId="77777777">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rsidR="001B4315" w:rsidP="001B4315" w:rsidRDefault="00D13582" w14:paraId="7E159DAE" w14:textId="77777777">
      <w:pPr>
        <w:pStyle w:val="ListParagraph"/>
        <w:numPr>
          <w:ilvl w:val="0"/>
          <w:numId w:val="1"/>
        </w:numPr>
      </w:pPr>
      <w:r>
        <w:t>Underground Natural Gas Storage</w:t>
      </w:r>
      <w:r w:rsidRPr="001B4315" w:rsidR="00673951">
        <w:t xml:space="preserve"> Annual Report</w:t>
      </w:r>
      <w:r w:rsidR="00980327">
        <w:t xml:space="preserve"> </w:t>
      </w:r>
    </w:p>
    <w:p w:rsidR="00EE1FBD" w:rsidP="001B4315" w:rsidRDefault="00A076D6" w14:paraId="1E4F23AF" w14:textId="77777777">
      <w:pPr>
        <w:pStyle w:val="ListParagraph"/>
        <w:numPr>
          <w:ilvl w:val="0"/>
          <w:numId w:val="1"/>
        </w:numPr>
      </w:pPr>
      <w:r>
        <w:t>Gas Transmission Annual Report</w:t>
      </w:r>
    </w:p>
    <w:p w:rsidR="00EE1FBD" w:rsidRDefault="00782D87" w14:paraId="5D18B3A2" w14:textId="046A0687">
      <w:pPr>
        <w:pStyle w:val="ListParagraph"/>
        <w:numPr>
          <w:ilvl w:val="0"/>
          <w:numId w:val="1"/>
        </w:numPr>
      </w:pPr>
      <w:r>
        <w:t>LNG Annual</w:t>
      </w:r>
      <w:r w:rsidR="00A076D6">
        <w:t xml:space="preserve"> Report</w:t>
      </w:r>
    </w:p>
    <w:p w:rsidR="00F4085F" w:rsidRDefault="00F4085F" w14:paraId="72891938" w14:textId="69C327AC">
      <w:pPr>
        <w:pStyle w:val="ListParagraph"/>
        <w:numPr>
          <w:ilvl w:val="0"/>
          <w:numId w:val="1"/>
        </w:numPr>
      </w:pPr>
      <w:r>
        <w:t>Type R Reporting-Regulated Annual Report</w:t>
      </w:r>
    </w:p>
    <w:p w:rsidR="00EE1FBD" w:rsidRDefault="00EE1FBD" w14:paraId="17B03D7F" w14:textId="77777777">
      <w:pPr>
        <w:pStyle w:val="ListParagraph"/>
      </w:pPr>
    </w:p>
    <w:p w:rsidR="00376728" w:rsidP="00376728" w:rsidRDefault="001263CB" w14:paraId="4691BD94" w14:textId="77777777">
      <w:r>
        <w:t xml:space="preserve">The information from annual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P="00376728" w:rsidRDefault="00FF7653" w14:paraId="6022BDA4" w14:textId="77777777"/>
    <w:p w:rsidR="00376728" w:rsidP="00376728" w:rsidRDefault="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rsidRDefault="00376728" w14:paraId="2BF49E8D" w14:textId="77777777"/>
    <w:p w:rsidR="00376728" w:rsidP="00376728" w:rsidRDefault="00E3677C"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annual reports on-line</w:t>
      </w:r>
      <w:r w:rsidR="00C578CE">
        <w:t xml:space="preserve"> at www.opsweb.phmsa.dot.gov</w:t>
      </w:r>
      <w:r w:rsidR="00376728">
        <w:t xml:space="preserve">.  </w:t>
      </w:r>
    </w:p>
    <w:p w:rsidR="00376728" w:rsidP="00376728" w:rsidRDefault="00376728" w14:paraId="7BE73C71" w14:textId="77777777"/>
    <w:p w:rsidR="00376728" w:rsidP="00376728" w:rsidRDefault="00376728" w14:paraId="7106C238" w14:textId="77777777">
      <w:r w:rsidRPr="004B4409">
        <w:rPr>
          <w:bCs/>
        </w:rPr>
        <w:t xml:space="preserve">4.  </w:t>
      </w:r>
      <w:r w:rsidRPr="004B4409">
        <w:rPr>
          <w:bCs/>
        </w:rPr>
        <w:tab/>
      </w:r>
      <w:r w:rsidRPr="004B4409">
        <w:rPr>
          <w:bCs/>
          <w:u w:val="single"/>
        </w:rPr>
        <w:t>Efforts to identify duplication.</w:t>
      </w:r>
    </w:p>
    <w:p w:rsidR="009F13DF" w:rsidP="00376728" w:rsidRDefault="009F13DF" w14:paraId="2B55D242" w14:textId="77777777"/>
    <w:p w:rsidR="00376728" w:rsidP="00376728" w:rsidRDefault="00376728" w14:paraId="167007D2" w14:textId="77777777">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P="00376728" w:rsidRDefault="00376728" w14:paraId="62E8AE99" w14:textId="77777777"/>
    <w:p w:rsidR="00376728" w:rsidP="00376728" w:rsidRDefault="00376728" w14:paraId="137EFCF9" w14:textId="77777777">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P="00376728" w:rsidRDefault="00376728" w14:paraId="09BBAAB0" w14:textId="77777777"/>
    <w:p w:rsidR="00376728" w:rsidP="00376728" w:rsidRDefault="00376728" w14:paraId="7F8FC753" w14:textId="77777777">
      <w:r>
        <w:rPr>
          <w:bCs/>
        </w:rPr>
        <w:lastRenderedPageBreak/>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rsidRDefault="00376728" w14:paraId="49DEAD7E" w14:textId="77777777">
      <w:pPr>
        <w:rPr>
          <w:i/>
        </w:rPr>
      </w:pPr>
    </w:p>
    <w:p w:rsidR="00376728" w:rsidP="00376728" w:rsidRDefault="00376728" w14:paraId="7EB29BCD" w14:textId="77777777">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rsidR="00376728" w:rsidP="00376728" w:rsidRDefault="00376728" w14:paraId="2510104B" w14:textId="77777777"/>
    <w:p w:rsidRPr="004B4409" w:rsidR="00376728" w:rsidP="00376728" w:rsidRDefault="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rsidRDefault="00376728" w14:paraId="69CF9DDF" w14:textId="77777777">
      <w:pPr>
        <w:rPr>
          <w:i/>
        </w:rPr>
      </w:pPr>
    </w:p>
    <w:p w:rsidR="00376728" w:rsidP="00376728" w:rsidRDefault="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rsidRDefault="00376728" w14:paraId="5A804D84" w14:textId="77777777">
      <w:pPr>
        <w:rPr>
          <w:bCs/>
        </w:rPr>
      </w:pPr>
    </w:p>
    <w:p w:rsidRPr="004B4409" w:rsidR="00376728" w:rsidP="00376728" w:rsidRDefault="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rsidRDefault="00376728" w14:paraId="0B38D020" w14:textId="77777777">
      <w:pPr>
        <w:rPr>
          <w:i/>
        </w:rPr>
      </w:pPr>
    </w:p>
    <w:p w:rsidR="00376728" w:rsidP="00376728" w:rsidRDefault="00376728" w14:paraId="1D950ECE" w14:textId="77777777">
      <w:r>
        <w:t xml:space="preserve">There </w:t>
      </w:r>
      <w:r w:rsidR="00D34FE9">
        <w:t>are no special circumstances within this request.</w:t>
      </w:r>
    </w:p>
    <w:p w:rsidR="00376728" w:rsidP="00376728" w:rsidRDefault="00376728" w14:paraId="7A65AAA2" w14:textId="77777777">
      <w:pPr>
        <w:rPr>
          <w:bCs/>
        </w:rPr>
      </w:pPr>
    </w:p>
    <w:p w:rsidRPr="00390EAD" w:rsidR="00376728" w:rsidP="00376728" w:rsidRDefault="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Pr="00390EAD" w:rsidR="00CE3167" w:rsidP="00376728" w:rsidRDefault="00CE3167" w14:paraId="7B1F965E" w14:textId="77777777">
      <w:pPr>
        <w:rPr>
          <w:bCs/>
        </w:rPr>
      </w:pPr>
    </w:p>
    <w:p w:rsidRPr="0093431D" w:rsidR="0093431D" w:rsidP="0093431D" w:rsidRDefault="0093431D" w14:paraId="76BB4D7D" w14:textId="51B4E76E">
      <w:pPr>
        <w:widowControl w:val="0"/>
        <w:autoSpaceDE w:val="0"/>
        <w:autoSpaceDN w:val="0"/>
        <w:adjustRightInd w:val="0"/>
        <w:spacing w:after="240"/>
        <w:jc w:val="both"/>
        <w:rPr>
          <w:bCs/>
        </w:rPr>
      </w:pPr>
      <w:r w:rsidRPr="0093431D">
        <w:rPr>
          <w:bCs/>
        </w:rPr>
        <w:t xml:space="preserve">On April 8, 2016, PHMSA published a Noticed of Proposed Rulemaking (NPRM) to seek public comments on the gas transmission pipeline safety regulations (81 FR 20721). During the comment period, PHMSA received 2 comments from trade associations regarding the </w:t>
      </w:r>
      <w:r>
        <w:rPr>
          <w:bCs/>
        </w:rPr>
        <w:t>reporting</w:t>
      </w:r>
      <w:r w:rsidRPr="0093431D">
        <w:rPr>
          <w:bCs/>
        </w:rPr>
        <w:t xml:space="preserve"> requirements of the rule. See the preamble of the final rule for a summary of the comments and PHMSA’s response.</w:t>
      </w:r>
    </w:p>
    <w:p w:rsidRPr="0093431D" w:rsidR="0093431D" w:rsidP="0093431D" w:rsidRDefault="0093431D" w14:paraId="0A989E10" w14:textId="39B613B3">
      <w:pPr>
        <w:widowControl w:val="0"/>
        <w:autoSpaceDE w:val="0"/>
        <w:autoSpaceDN w:val="0"/>
        <w:adjustRightInd w:val="0"/>
        <w:spacing w:after="240"/>
        <w:jc w:val="both"/>
        <w:rPr>
          <w:bCs/>
        </w:rPr>
      </w:pPr>
      <w:r w:rsidRPr="0093431D">
        <w:rPr>
          <w:bCs/>
        </w:rPr>
        <w:t xml:space="preserve">PHMSA continued to engage its stakeholders around the issues in this information collection in conjunction with the rulemaking process. </w:t>
      </w:r>
      <w:r w:rsidRPr="0093431D">
        <w:rPr>
          <w:rFonts w:cs="Arial"/>
        </w:rPr>
        <w:t>Pursuant to 49 U.S.C. 60115(c), PHMSA shared the proposed standards on gathering lines with the Gas Pipeline Advisory Committee (GPAC) after initially considering the comments to the NPRM.</w:t>
      </w:r>
      <w:r w:rsidRPr="0093431D">
        <w:rPr>
          <w:rFonts w:cs="Arial"/>
          <w:vertAlign w:val="superscript"/>
        </w:rPr>
        <w:footnoteReference w:id="1"/>
      </w:r>
      <w:r w:rsidRPr="0093431D">
        <w:rPr>
          <w:rFonts w:cs="Arial"/>
        </w:rPr>
        <w:t xml:space="preserve"> The GPAC met on June 25-26, 2019, to consider the proposed standards regarding gathering lines.  Subsequently, PHMSA posted the meeting slides that were used for the GPAC votes as well as the transcript, which constitute the statutorily required report </w:t>
      </w:r>
      <w:r w:rsidRPr="0093431D">
        <w:rPr>
          <w:rFonts w:cs="Arial"/>
          <w:sz w:val="16"/>
          <w:szCs w:val="16"/>
        </w:rPr>
        <w:t>of</w:t>
      </w:r>
      <w:r w:rsidRPr="0093431D">
        <w:rPr>
          <w:rFonts w:cs="Arial"/>
        </w:rPr>
        <w:t xml:space="preserve"> the GPAC’s recommendations, including minority views</w:t>
      </w:r>
      <w:r w:rsidR="00E26BD1">
        <w:rPr>
          <w:rFonts w:cs="Arial"/>
        </w:rPr>
        <w:t>.</w:t>
      </w:r>
    </w:p>
    <w:p w:rsidRPr="009F7E59" w:rsidR="00983655" w:rsidP="009F7E59" w:rsidRDefault="00983655" w14:paraId="7D59A9CA" w14:textId="660C2AAF">
      <w:pPr>
        <w:autoSpaceDE w:val="0"/>
        <w:autoSpaceDN w:val="0"/>
        <w:adjustRightInd w:val="0"/>
        <w:rPr>
          <w:rFonts w:eastAsia="Arial Unicode MS"/>
          <w:color w:val="000000"/>
        </w:rPr>
      </w:pPr>
      <w:bookmarkStart w:name="_Hlk78293520" w:id="1"/>
      <w:r>
        <w:rPr>
          <w:rFonts w:eastAsia="Arial Unicode MS"/>
          <w:color w:val="000000"/>
        </w:rPr>
        <w:t>Additionally, PHMSA maintains an “open-door” policy with its stakeholders where continual engagement on ways to improve pipeline safety are routine.  In this vein, PHMSA has participated in various discussions where updates on thi</w:t>
      </w:r>
      <w:r w:rsidR="00AF50F9">
        <w:rPr>
          <w:rFonts w:eastAsia="Arial Unicode MS"/>
          <w:color w:val="000000"/>
        </w:rPr>
        <w:t xml:space="preserve">s </w:t>
      </w:r>
      <w:r>
        <w:rPr>
          <w:rFonts w:eastAsia="Arial Unicode MS"/>
          <w:color w:val="000000"/>
        </w:rPr>
        <w:t xml:space="preserve">information collection were provided. </w:t>
      </w:r>
      <w:r w:rsidR="00AF50F9">
        <w:rPr>
          <w:rFonts w:eastAsia="Arial Unicode MS"/>
          <w:color w:val="000000"/>
        </w:rPr>
        <w:t xml:space="preserve">PHMSA included updates on this information collection in </w:t>
      </w:r>
      <w:r w:rsidR="00BF1307">
        <w:rPr>
          <w:rFonts w:eastAsia="Arial Unicode MS"/>
          <w:color w:val="000000"/>
        </w:rPr>
        <w:t>its</w:t>
      </w:r>
      <w:r w:rsidR="00AF50F9">
        <w:rPr>
          <w:rFonts w:eastAsia="Arial Unicode MS"/>
          <w:color w:val="000000"/>
        </w:rPr>
        <w:t xml:space="preserve"> regulatory updates presentation that is used to update stakeholders on the status of </w:t>
      </w:r>
      <w:r w:rsidR="00AF50F9">
        <w:rPr>
          <w:rFonts w:eastAsia="Arial Unicode MS"/>
          <w:color w:val="000000"/>
        </w:rPr>
        <w:lastRenderedPageBreak/>
        <w:t xml:space="preserve">pending actions. </w:t>
      </w:r>
      <w:r>
        <w:rPr>
          <w:rFonts w:eastAsia="Arial Unicode MS"/>
          <w:color w:val="000000"/>
        </w:rPr>
        <w:t xml:space="preserve">PHMSA has taken </w:t>
      </w:r>
      <w:r w:rsidR="00AF50F9">
        <w:rPr>
          <w:rFonts w:eastAsia="Arial Unicode MS"/>
          <w:color w:val="000000"/>
        </w:rPr>
        <w:t>all</w:t>
      </w:r>
      <w:r>
        <w:rPr>
          <w:rFonts w:eastAsia="Arial Unicode MS"/>
          <w:color w:val="000000"/>
        </w:rPr>
        <w:t xml:space="preserve"> feedback received into consideration in the proposed adjustments.</w:t>
      </w:r>
    </w:p>
    <w:bookmarkEnd w:id="1"/>
    <w:p w:rsidR="00535554" w:rsidP="00C15AF6" w:rsidRDefault="00C61500" w14:paraId="5A0FA02F" w14:textId="40BF2C15">
      <w:pPr>
        <w:rPr>
          <w:rFonts w:cstheme="minorHAnsi"/>
        </w:rPr>
      </w:pPr>
      <w:r w:rsidDel="00C61500">
        <w:t xml:space="preserve"> </w:t>
      </w:r>
    </w:p>
    <w:p w:rsidR="00535554" w:rsidP="00865A0B" w:rsidRDefault="00535554" w14:paraId="74ACF97B" w14:textId="77777777">
      <w:pPr>
        <w:jc w:val="both"/>
      </w:pPr>
    </w:p>
    <w:p w:rsidR="00376728" w:rsidP="00376728" w:rsidRDefault="00376728" w14:paraId="58359437" w14:textId="77777777">
      <w:pPr>
        <w:rPr>
          <w:bCs/>
          <w:u w:val="single"/>
        </w:rPr>
      </w:pPr>
      <w:r w:rsidRPr="004B4409">
        <w:rPr>
          <w:bCs/>
        </w:rPr>
        <w:t xml:space="preserve">9.  </w:t>
      </w:r>
      <w:r w:rsidRPr="004B4409">
        <w:rPr>
          <w:bCs/>
        </w:rPr>
        <w:tab/>
      </w:r>
      <w:r w:rsidRPr="004B4409">
        <w:rPr>
          <w:bCs/>
          <w:u w:val="single"/>
        </w:rPr>
        <w:t>Payments or gifts to respondents.</w:t>
      </w:r>
    </w:p>
    <w:p w:rsidR="00376728" w:rsidP="00376728" w:rsidRDefault="00376728" w14:paraId="1A83DF7E" w14:textId="77777777"/>
    <w:p w:rsidRPr="0032069D" w:rsidR="00376728" w:rsidP="00376728" w:rsidRDefault="00376728" w14:paraId="5021B2A0" w14:textId="77777777">
      <w:pPr>
        <w:jc w:val="both"/>
      </w:pPr>
      <w:r w:rsidRPr="0032069D">
        <w:t>There is no payment or gift provided to respondents associated with this collection of information.</w:t>
      </w:r>
    </w:p>
    <w:p w:rsidR="00376728" w:rsidP="00376728" w:rsidRDefault="00376728" w14:paraId="37CE7366" w14:textId="77777777"/>
    <w:p w:rsidRPr="004B4409" w:rsidR="00376728" w:rsidP="00376728" w:rsidRDefault="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rsidRDefault="00376728" w14:paraId="2B757C3A" w14:textId="77777777">
      <w:pPr>
        <w:rPr>
          <w:i/>
        </w:rPr>
      </w:pPr>
    </w:p>
    <w:p w:rsidR="00376728" w:rsidP="00376728" w:rsidRDefault="00EA698A" w14:paraId="552B7CD5" w14:textId="77777777">
      <w:pPr>
        <w:rPr>
          <w:bCs/>
        </w:rPr>
      </w:pPr>
      <w:r>
        <w:rPr>
          <w:bCs/>
        </w:rPr>
        <w:t>PHMSA does not have the authority to guarantee confidentiality, however, 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rsidR="00C92A17" w:rsidP="00376728" w:rsidRDefault="00C92A17" w14:paraId="0060E753" w14:textId="77777777">
      <w:pPr>
        <w:rPr>
          <w:bCs/>
        </w:rPr>
      </w:pPr>
    </w:p>
    <w:p w:rsidR="00376728" w:rsidP="00376728" w:rsidRDefault="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rsidRDefault="00376728" w14:paraId="603B2F97" w14:textId="77777777">
      <w:pPr>
        <w:rPr>
          <w:i/>
        </w:rPr>
      </w:pPr>
    </w:p>
    <w:p w:rsidR="00376728" w:rsidP="00376728" w:rsidRDefault="00F63DF5" w14:paraId="599D8BE5" w14:textId="77777777">
      <w:pPr>
        <w:jc w:val="both"/>
      </w:pPr>
      <w:r>
        <w:t>T</w:t>
      </w:r>
      <w:r w:rsidR="00376728">
        <w:t>his information collection do</w:t>
      </w:r>
      <w:r>
        <w:t>es</w:t>
      </w:r>
      <w:r w:rsidR="00376728">
        <w:t xml:space="preserve"> not involve questions of a sensitive nature.</w:t>
      </w:r>
    </w:p>
    <w:p w:rsidR="00376728" w:rsidP="00376728" w:rsidRDefault="00376728" w14:paraId="0C0CBA71" w14:textId="77777777"/>
    <w:p w:rsidR="005959AF" w:rsidP="00376728" w:rsidRDefault="00376728" w14:paraId="696CCFB8" w14:textId="77777777">
      <w:pPr>
        <w:rPr>
          <w:bCs/>
        </w:rPr>
      </w:pPr>
      <w:r>
        <w:rPr>
          <w:bCs/>
        </w:rPr>
        <w:t>12.</w:t>
      </w:r>
      <w:r w:rsidRPr="004B4409">
        <w:rPr>
          <w:bCs/>
        </w:rPr>
        <w:t xml:space="preserve"> </w:t>
      </w:r>
      <w:r w:rsidRPr="004B4409">
        <w:rPr>
          <w:bCs/>
        </w:rPr>
        <w:tab/>
      </w:r>
    </w:p>
    <w:p w:rsidR="005959AF" w:rsidP="00376728" w:rsidRDefault="005959AF" w14:paraId="21E4EE84" w14:textId="77777777">
      <w:pPr>
        <w:rPr>
          <w:bCs/>
        </w:rPr>
      </w:pPr>
    </w:p>
    <w:p w:rsidRPr="006077EB" w:rsidR="00376728" w:rsidP="00376728" w:rsidRDefault="00376728" w14:paraId="5F594A41" w14:textId="78E26FB8">
      <w:r w:rsidRPr="006077EB">
        <w:rPr>
          <w:bCs/>
          <w:u w:val="single"/>
        </w:rPr>
        <w:t>Estimate of burden hours for information requested.</w:t>
      </w:r>
      <w:r w:rsidRPr="006077EB">
        <w:t xml:space="preserve"> </w:t>
      </w:r>
    </w:p>
    <w:p w:rsidR="00C92A17" w:rsidP="00FE63A5" w:rsidRDefault="00C92A17" w14:paraId="7F828B35" w14:textId="77777777">
      <w:pPr>
        <w:rPr>
          <w:bCs/>
        </w:rPr>
      </w:pPr>
    </w:p>
    <w:tbl>
      <w:tblPr>
        <w:tblStyle w:val="TableGrid1"/>
        <w:tblW w:w="0" w:type="auto"/>
        <w:tblLook w:val="04A0" w:firstRow="1" w:lastRow="0" w:firstColumn="1" w:lastColumn="0" w:noHBand="0" w:noVBand="1"/>
      </w:tblPr>
      <w:tblGrid>
        <w:gridCol w:w="4320"/>
        <w:gridCol w:w="4310"/>
      </w:tblGrid>
      <w:tr w:rsidRPr="00C92A17" w:rsidR="00C92A17" w:rsidTr="0007000D" w14:paraId="5AE15ACA" w14:textId="77777777">
        <w:tc>
          <w:tcPr>
            <w:tcW w:w="4675" w:type="dxa"/>
          </w:tcPr>
          <w:p w:rsidRPr="00C92A17" w:rsidR="00C92A17" w:rsidP="00C92A17" w:rsidRDefault="00C92A17" w14:paraId="4E236A29" w14:textId="569A0EE5">
            <w:pPr>
              <w:autoSpaceDE w:val="0"/>
              <w:autoSpaceDN w:val="0"/>
              <w:adjustRightInd w:val="0"/>
            </w:pPr>
            <w:r w:rsidRPr="00C92A17">
              <w:t xml:space="preserve">Current Number of Responses: </w:t>
            </w:r>
            <w:r w:rsidR="001175E4">
              <w:t>2,247</w:t>
            </w:r>
          </w:p>
        </w:tc>
        <w:tc>
          <w:tcPr>
            <w:tcW w:w="4675" w:type="dxa"/>
          </w:tcPr>
          <w:p w:rsidRPr="00C92A17" w:rsidR="00C92A17" w:rsidP="00AE4DA5" w:rsidRDefault="00C92A17" w14:paraId="3FAC951D" w14:textId="300B394E">
            <w:pPr>
              <w:autoSpaceDE w:val="0"/>
              <w:autoSpaceDN w:val="0"/>
              <w:adjustRightInd w:val="0"/>
            </w:pPr>
            <w:r w:rsidRPr="00C92A17">
              <w:t xml:space="preserve">Proposed Number of Reponses: </w:t>
            </w:r>
            <w:r w:rsidR="00A73B2D">
              <w:t>2,</w:t>
            </w:r>
            <w:r w:rsidR="00523859">
              <w:t>832</w:t>
            </w:r>
          </w:p>
        </w:tc>
      </w:tr>
      <w:tr w:rsidRPr="00C92A17" w:rsidR="00C92A17" w:rsidTr="0007000D" w14:paraId="2459E08D" w14:textId="77777777">
        <w:tc>
          <w:tcPr>
            <w:tcW w:w="4675" w:type="dxa"/>
          </w:tcPr>
          <w:p w:rsidRPr="00C92A17" w:rsidR="00C92A17" w:rsidP="00C92A17" w:rsidRDefault="00C92A17" w14:paraId="1264EEBF" w14:textId="3B99707A">
            <w:pPr>
              <w:autoSpaceDE w:val="0"/>
              <w:autoSpaceDN w:val="0"/>
              <w:adjustRightInd w:val="0"/>
            </w:pPr>
            <w:r w:rsidRPr="00C92A17">
              <w:t xml:space="preserve">Current Burden Estimate: </w:t>
            </w:r>
            <w:r w:rsidR="001175E4">
              <w:t>71,801</w:t>
            </w:r>
            <w:r w:rsidRPr="00C92A17" w:rsidR="006B1E38">
              <w:t xml:space="preserve"> hours</w:t>
            </w:r>
          </w:p>
        </w:tc>
        <w:tc>
          <w:tcPr>
            <w:tcW w:w="4675" w:type="dxa"/>
          </w:tcPr>
          <w:p w:rsidRPr="00C92A17" w:rsidR="00C92A17" w:rsidP="00964E71" w:rsidRDefault="00C92A17" w14:paraId="4527D66D" w14:textId="642BD40F">
            <w:pPr>
              <w:autoSpaceDE w:val="0"/>
              <w:autoSpaceDN w:val="0"/>
              <w:adjustRightInd w:val="0"/>
            </w:pPr>
            <w:r w:rsidRPr="00C92A17">
              <w:t xml:space="preserve">Proposed Burden Estimate: </w:t>
            </w:r>
            <w:r w:rsidR="0097287B">
              <w:t>91,964</w:t>
            </w:r>
            <w:r w:rsidR="006B1E38">
              <w:t xml:space="preserve"> hours</w:t>
            </w:r>
          </w:p>
        </w:tc>
      </w:tr>
    </w:tbl>
    <w:p w:rsidR="00C92A17" w:rsidP="00FE63A5" w:rsidRDefault="00C92A17" w14:paraId="2708499B" w14:textId="77777777">
      <w:pPr>
        <w:rPr>
          <w:bCs/>
        </w:rPr>
      </w:pPr>
    </w:p>
    <w:p w:rsidR="00523859" w:rsidP="00FD16E7" w:rsidRDefault="00523859" w14:paraId="6208D9DD" w14:textId="77777777">
      <w:pPr>
        <w:ind w:firstLine="720"/>
      </w:pPr>
      <w:r w:rsidRPr="00523859">
        <w:t xml:space="preserve">As a result of the Safety of Gas Gathering Pipelines: Extension of Reporting Requirements, Regulation of Large, High-Pressure Lines, and Other Related Amendments final rule, all gas gathering operators will become subject to incident and annual reporting requirements.  </w:t>
      </w:r>
    </w:p>
    <w:p w:rsidR="00523859" w:rsidP="00523859" w:rsidRDefault="00523859" w14:paraId="089ACFC0" w14:textId="77777777"/>
    <w:p w:rsidR="00FD16E7" w:rsidP="00523859" w:rsidRDefault="00FD16E7" w14:paraId="411B0728" w14:textId="51DD23E6">
      <w:pPr>
        <w:ind w:firstLine="720"/>
      </w:pPr>
      <w:r>
        <w:t>In the final rule, operators of previously unregulated gas gathering lines must begin submitting annual reports beginning with the first annual report cycle occurring after the endpoints of Type C or Type R gathering lines have been determined one year after the publication date of the final rule.  As a result, operators of Type R and Type C gathering lines must submit a 2022 annual report no later than March 15, 2023.  March 15 is the existing deadline for submitting annual reports for other gas pipeline facilities, consistent reporting deadlines reduces confusion and administrative burdens on PHMSA and operators with both Type R and regulated gas pipeline facilities.</w:t>
      </w:r>
    </w:p>
    <w:p w:rsidR="00FD16E7" w:rsidP="00523859" w:rsidRDefault="00FD16E7" w14:paraId="2BB71A74" w14:textId="2A7E9D33">
      <w:pPr>
        <w:ind w:firstLine="720"/>
      </w:pPr>
    </w:p>
    <w:p w:rsidR="00FD16E7" w:rsidP="00FD16E7" w:rsidRDefault="00FD16E7" w14:paraId="41E3E2F6" w14:textId="77777777">
      <w:pPr>
        <w:ind w:firstLine="720"/>
        <w:rPr>
          <w:iCs/>
        </w:rPr>
      </w:pPr>
      <w:r w:rsidRPr="00523859">
        <w:t xml:space="preserve">PHMSA is revising this information collection to account for the new addition to the reporting community.  PHMSA will require 500 currently unregulated gas gathering line operators (370 Type C operators and 130 Type R operators) to complete and submit annual reports each year.  </w:t>
      </w:r>
      <w:r>
        <w:rPr>
          <w:iCs/>
        </w:rPr>
        <w:t xml:space="preserve">Type C operators will submit annual report data on DOT Form PHMS F7 100.2-1.  The estimated burden for submitting this form is 47 hours per report. Type R operators will submit annual report data on the new DOT Form PHMSA F7 </w:t>
      </w:r>
      <w:r>
        <w:rPr>
          <w:iCs/>
        </w:rPr>
        <w:lastRenderedPageBreak/>
        <w:t xml:space="preserve">100.2-3.  The estimated burden for submitting this form is 21 hours per report. These changes will result in an overall annual burden increase of 20,120 hours (17, 390 hours annually for Type C operators and 2,730 hours annually for Type R operators) for this information collection. </w:t>
      </w:r>
    </w:p>
    <w:p w:rsidR="00FD16E7" w:rsidP="00523859" w:rsidRDefault="00FD16E7" w14:paraId="566164D3" w14:textId="77777777">
      <w:pPr>
        <w:ind w:firstLine="720"/>
      </w:pPr>
    </w:p>
    <w:p w:rsidRPr="00523859" w:rsidR="00523859" w:rsidP="00523859" w:rsidRDefault="00FD16E7" w14:paraId="76433452" w14:textId="0C0D95BA">
      <w:pPr>
        <w:ind w:firstLine="720"/>
      </w:pPr>
      <w:r>
        <w:t>Type C and Type R g</w:t>
      </w:r>
      <w:r w:rsidRPr="00523859" w:rsidR="00523859">
        <w:t xml:space="preserve">as </w:t>
      </w:r>
      <w:r>
        <w:t>g</w:t>
      </w:r>
      <w:r w:rsidRPr="00523859" w:rsidR="00523859">
        <w:t>athering operators will also be required to make immediate telephonic notification of incidents, should they occur.  PHMSA expects that these previously unregulated operators will make approximately 85 telephonic notifications of incidents per year.  PHMSA estimates that it takes 30 minutes to complete a telephonic notification.  As such, the estimated burden for gas gathering operators to make immediate notification of incidents is approximately 43 hours.</w:t>
      </w:r>
    </w:p>
    <w:p w:rsidR="00523859" w:rsidP="00523859" w:rsidRDefault="00523859" w14:paraId="0B3B17BE" w14:textId="77777777">
      <w:pPr>
        <w:pStyle w:val="NormalWeb"/>
        <w:shd w:val="clear" w:color="auto" w:fill="FFFFFF"/>
        <w:spacing w:line="240" w:lineRule="auto"/>
        <w:rPr>
          <w:rFonts w:eastAsia="Times New Roman"/>
        </w:rPr>
      </w:pPr>
    </w:p>
    <w:p w:rsidRPr="00523859" w:rsidR="00523859" w:rsidP="00523859" w:rsidRDefault="00523859" w14:paraId="750A8181" w14:textId="18CF9B25">
      <w:pPr>
        <w:pStyle w:val="NormalWeb"/>
        <w:shd w:val="clear" w:color="auto" w:fill="FFFFFF"/>
        <w:spacing w:line="240" w:lineRule="auto"/>
        <w:rPr>
          <w:rFonts w:eastAsia="Times New Roman"/>
        </w:rPr>
      </w:pPr>
      <w:r w:rsidRPr="00523859">
        <w:rPr>
          <w:rFonts w:eastAsia="Times New Roman"/>
        </w:rPr>
        <w:t xml:space="preserve">As a result of the provisions mentioned above, the burden for this information collection will increase by </w:t>
      </w:r>
      <w:bookmarkStart w:name="_Hlk86672678" w:id="2"/>
      <w:r w:rsidRPr="00523859">
        <w:rPr>
          <w:rFonts w:eastAsia="Times New Roman"/>
        </w:rPr>
        <w:t xml:space="preserve">585 new responses and </w:t>
      </w:r>
      <w:r w:rsidR="006A03A1">
        <w:rPr>
          <w:rFonts w:eastAsia="Times New Roman"/>
        </w:rPr>
        <w:t>20,163</w:t>
      </w:r>
      <w:r w:rsidRPr="00523859">
        <w:rPr>
          <w:rFonts w:eastAsia="Times New Roman"/>
        </w:rPr>
        <w:t xml:space="preserve"> burden hours</w:t>
      </w:r>
      <w:bookmarkEnd w:id="2"/>
      <w:r w:rsidRPr="00523859">
        <w:rPr>
          <w:rFonts w:eastAsia="Times New Roman"/>
        </w:rPr>
        <w:t xml:space="preserve">. </w:t>
      </w:r>
    </w:p>
    <w:p w:rsidR="00523859" w:rsidP="00523859" w:rsidRDefault="00523859" w14:paraId="2F171585" w14:textId="77777777">
      <w:pPr>
        <w:rPr>
          <w:bCs/>
        </w:rPr>
      </w:pPr>
    </w:p>
    <w:p w:rsidRPr="006077EB" w:rsidR="00A23D30" w:rsidP="00A23D30" w:rsidRDefault="00A23D30" w14:paraId="43DEFE5D" w14:textId="2C3F4EBC">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p w:rsidR="00667FA1" w:rsidP="00376728" w:rsidRDefault="00667FA1" w14:paraId="4F13C88F" w14:textId="0811362A"/>
    <w:tbl>
      <w:tblPr>
        <w:tblStyle w:val="TableGrid"/>
        <w:tblW w:w="9715" w:type="dxa"/>
        <w:tblLook w:val="04A0" w:firstRow="1" w:lastRow="0" w:firstColumn="1" w:lastColumn="0" w:noHBand="0" w:noVBand="1"/>
      </w:tblPr>
      <w:tblGrid>
        <w:gridCol w:w="2157"/>
        <w:gridCol w:w="2157"/>
        <w:gridCol w:w="2158"/>
        <w:gridCol w:w="3243"/>
      </w:tblGrid>
      <w:tr w:rsidR="00D67B5C" w:rsidTr="00B2010F" w14:paraId="76DE4FA1" w14:textId="77777777">
        <w:tc>
          <w:tcPr>
            <w:tcW w:w="2157" w:type="dxa"/>
            <w:shd w:val="clear" w:color="auto" w:fill="DAEEF3" w:themeFill="accent5" w:themeFillTint="33"/>
          </w:tcPr>
          <w:p w:rsidRPr="00B2010F" w:rsidR="00D67B5C" w:rsidP="00B2010F" w:rsidRDefault="00D67B5C" w14:paraId="09269EE3" w14:textId="703F9CDB">
            <w:pPr>
              <w:jc w:val="center"/>
              <w:rPr>
                <w:b/>
              </w:rPr>
            </w:pPr>
            <w:r w:rsidRPr="00B2010F">
              <w:rPr>
                <w:b/>
              </w:rPr>
              <w:t>IC</w:t>
            </w:r>
          </w:p>
        </w:tc>
        <w:tc>
          <w:tcPr>
            <w:tcW w:w="2157" w:type="dxa"/>
            <w:shd w:val="clear" w:color="auto" w:fill="DAEEF3" w:themeFill="accent5" w:themeFillTint="33"/>
          </w:tcPr>
          <w:p w:rsidRPr="00B2010F" w:rsidR="00D67B5C" w:rsidP="00B2010F" w:rsidRDefault="00D67B5C" w14:paraId="29AA2C1B" w14:textId="2741D2F4">
            <w:pPr>
              <w:jc w:val="center"/>
              <w:rPr>
                <w:b/>
              </w:rPr>
            </w:pPr>
            <w:r w:rsidRPr="00B2010F">
              <w:rPr>
                <w:b/>
              </w:rPr>
              <w:t>Responses</w:t>
            </w:r>
          </w:p>
        </w:tc>
        <w:tc>
          <w:tcPr>
            <w:tcW w:w="2158" w:type="dxa"/>
            <w:shd w:val="clear" w:color="auto" w:fill="DAEEF3" w:themeFill="accent5" w:themeFillTint="33"/>
          </w:tcPr>
          <w:p w:rsidRPr="00B2010F" w:rsidR="00D67B5C" w:rsidP="00B2010F" w:rsidRDefault="00D67B5C" w14:paraId="006ABFC9" w14:textId="62242137">
            <w:pPr>
              <w:jc w:val="center"/>
              <w:rPr>
                <w:b/>
              </w:rPr>
            </w:pPr>
            <w:r w:rsidRPr="00B2010F">
              <w:rPr>
                <w:b/>
              </w:rPr>
              <w:t>Burden Per Response</w:t>
            </w:r>
          </w:p>
        </w:tc>
        <w:tc>
          <w:tcPr>
            <w:tcW w:w="3243" w:type="dxa"/>
            <w:shd w:val="clear" w:color="auto" w:fill="DAEEF3" w:themeFill="accent5" w:themeFillTint="33"/>
          </w:tcPr>
          <w:p w:rsidRPr="00B2010F" w:rsidR="00D67B5C" w:rsidP="00B2010F" w:rsidRDefault="00D67B5C" w14:paraId="1A4C296F" w14:textId="0E2DE429">
            <w:pPr>
              <w:jc w:val="center"/>
              <w:rPr>
                <w:b/>
              </w:rPr>
            </w:pPr>
            <w:r w:rsidRPr="00B2010F">
              <w:rPr>
                <w:b/>
              </w:rPr>
              <w:t>Total Burden</w:t>
            </w:r>
          </w:p>
        </w:tc>
      </w:tr>
      <w:tr w:rsidR="00D67B5C" w:rsidTr="00B2010F" w14:paraId="7AC0E405" w14:textId="77777777">
        <w:tc>
          <w:tcPr>
            <w:tcW w:w="2157" w:type="dxa"/>
          </w:tcPr>
          <w:p w:rsidR="00D67B5C" w:rsidP="00376728" w:rsidRDefault="00D67B5C" w14:paraId="49A1C3B1" w14:textId="4D9869BA">
            <w:r>
              <w:t>Gas Transmission and Gathering Annual Report</w:t>
            </w:r>
          </w:p>
        </w:tc>
        <w:tc>
          <w:tcPr>
            <w:tcW w:w="2157" w:type="dxa"/>
          </w:tcPr>
          <w:p w:rsidR="00D67B5C" w:rsidP="00376728" w:rsidRDefault="00F4085F" w14:paraId="5DDD4A9F" w14:textId="71D9E41B">
            <w:r>
              <w:t>1,810</w:t>
            </w:r>
          </w:p>
        </w:tc>
        <w:tc>
          <w:tcPr>
            <w:tcW w:w="2158" w:type="dxa"/>
          </w:tcPr>
          <w:p w:rsidR="00D67B5C" w:rsidP="00376728" w:rsidRDefault="00D67B5C" w14:paraId="0D849021" w14:textId="0EBECFAA">
            <w:r>
              <w:t>47 hours per report</w:t>
            </w:r>
          </w:p>
        </w:tc>
        <w:tc>
          <w:tcPr>
            <w:tcW w:w="3243" w:type="dxa"/>
          </w:tcPr>
          <w:p w:rsidR="00D67B5C" w:rsidP="00376728" w:rsidRDefault="00F4085F" w14:paraId="3199F7B7" w14:textId="5470B898">
            <w:r>
              <w:t>85,070</w:t>
            </w:r>
            <w:r w:rsidR="00D67B5C">
              <w:t xml:space="preserve"> hours</w:t>
            </w:r>
          </w:p>
        </w:tc>
      </w:tr>
      <w:tr w:rsidR="00D67B5C" w:rsidTr="00B2010F" w14:paraId="65DA85B3" w14:textId="77777777">
        <w:tc>
          <w:tcPr>
            <w:tcW w:w="2157" w:type="dxa"/>
          </w:tcPr>
          <w:p w:rsidR="00D67B5C" w:rsidP="00376728" w:rsidRDefault="00D67B5C" w14:paraId="54F88B07" w14:textId="4D09D7B4">
            <w:r>
              <w:t>LNG Annual Report</w:t>
            </w:r>
          </w:p>
        </w:tc>
        <w:tc>
          <w:tcPr>
            <w:tcW w:w="2157" w:type="dxa"/>
          </w:tcPr>
          <w:p w:rsidR="00D67B5C" w:rsidP="00376728" w:rsidRDefault="00D67B5C" w14:paraId="5DFA6515" w14:textId="782D4957">
            <w:r>
              <w:t>113</w:t>
            </w:r>
          </w:p>
        </w:tc>
        <w:tc>
          <w:tcPr>
            <w:tcW w:w="2158" w:type="dxa"/>
          </w:tcPr>
          <w:p w:rsidR="00D67B5C" w:rsidP="00376728" w:rsidRDefault="00D67B5C" w14:paraId="6A04B2CA" w14:textId="36CCEEB4">
            <w:r>
              <w:t>12 hours per report</w:t>
            </w:r>
          </w:p>
        </w:tc>
        <w:tc>
          <w:tcPr>
            <w:tcW w:w="3243" w:type="dxa"/>
          </w:tcPr>
          <w:p w:rsidR="00D67B5C" w:rsidP="00376728" w:rsidRDefault="00D67B5C" w14:paraId="514BD941" w14:textId="4F10E10F">
            <w:r>
              <w:t>1</w:t>
            </w:r>
            <w:r w:rsidR="006A03A1">
              <w:t>,</w:t>
            </w:r>
            <w:r>
              <w:t>356 hours</w:t>
            </w:r>
          </w:p>
        </w:tc>
      </w:tr>
      <w:tr w:rsidR="00D67B5C" w:rsidTr="00B2010F" w14:paraId="09AD9FDF" w14:textId="77777777">
        <w:tc>
          <w:tcPr>
            <w:tcW w:w="2157" w:type="dxa"/>
          </w:tcPr>
          <w:p w:rsidR="00D67B5C" w:rsidP="00376728" w:rsidRDefault="00D67B5C" w14:paraId="0B48243C" w14:textId="1394A4B7">
            <w:r>
              <w:t>Underground Storage Annual Report</w:t>
            </w:r>
          </w:p>
        </w:tc>
        <w:tc>
          <w:tcPr>
            <w:tcW w:w="2157" w:type="dxa"/>
          </w:tcPr>
          <w:p w:rsidR="00D67B5C" w:rsidP="00376728" w:rsidRDefault="00D67B5C" w14:paraId="69A2BD1A" w14:textId="64FF8D54">
            <w:r>
              <w:t>124</w:t>
            </w:r>
          </w:p>
        </w:tc>
        <w:tc>
          <w:tcPr>
            <w:tcW w:w="2158" w:type="dxa"/>
          </w:tcPr>
          <w:p w:rsidR="00D67B5C" w:rsidP="00376728" w:rsidRDefault="00D67B5C" w14:paraId="233D8E33" w14:textId="24890205">
            <w:r>
              <w:t>20 hours per report</w:t>
            </w:r>
          </w:p>
        </w:tc>
        <w:tc>
          <w:tcPr>
            <w:tcW w:w="3243" w:type="dxa"/>
          </w:tcPr>
          <w:p w:rsidR="00D67B5C" w:rsidP="00376728" w:rsidRDefault="00D67B5C" w14:paraId="0B8508C2" w14:textId="6C14B7BB">
            <w:r>
              <w:t>2,480 hours</w:t>
            </w:r>
          </w:p>
        </w:tc>
      </w:tr>
      <w:tr w:rsidR="00F4085F" w:rsidTr="00B2010F" w14:paraId="75CED95D" w14:textId="77777777">
        <w:tc>
          <w:tcPr>
            <w:tcW w:w="2157" w:type="dxa"/>
          </w:tcPr>
          <w:p w:rsidR="00F4085F" w:rsidP="00376728" w:rsidRDefault="00F4085F" w14:paraId="51E666A9" w14:textId="54877D37">
            <w:r>
              <w:t xml:space="preserve">Type R Reporting-Regulated Annual Report </w:t>
            </w:r>
          </w:p>
        </w:tc>
        <w:tc>
          <w:tcPr>
            <w:tcW w:w="2157" w:type="dxa"/>
          </w:tcPr>
          <w:p w:rsidR="00F4085F" w:rsidP="00376728" w:rsidRDefault="00F4085F" w14:paraId="0EFD4A73" w14:textId="1C1AD8D5">
            <w:r>
              <w:t>130</w:t>
            </w:r>
          </w:p>
        </w:tc>
        <w:tc>
          <w:tcPr>
            <w:tcW w:w="2158" w:type="dxa"/>
          </w:tcPr>
          <w:p w:rsidR="00F4085F" w:rsidP="00376728" w:rsidRDefault="00F4085F" w14:paraId="261DDB38" w14:textId="0F8DBB96">
            <w:r>
              <w:t>21</w:t>
            </w:r>
          </w:p>
        </w:tc>
        <w:tc>
          <w:tcPr>
            <w:tcW w:w="3243" w:type="dxa"/>
          </w:tcPr>
          <w:p w:rsidR="00F4085F" w:rsidP="00376728" w:rsidRDefault="00F4085F" w14:paraId="626FCB15" w14:textId="0D576BE8">
            <w:r>
              <w:t>2,730</w:t>
            </w:r>
          </w:p>
        </w:tc>
      </w:tr>
      <w:tr w:rsidR="00D67B5C" w:rsidTr="00B2010F" w14:paraId="1C28E2C3" w14:textId="77777777">
        <w:tc>
          <w:tcPr>
            <w:tcW w:w="2157" w:type="dxa"/>
          </w:tcPr>
          <w:p w:rsidR="00D67B5C" w:rsidP="00376728" w:rsidRDefault="00D67B5C" w14:paraId="27A6280A" w14:textId="3C484795">
            <w:r>
              <w:t>Immediate Notice of Incidents</w:t>
            </w:r>
          </w:p>
        </w:tc>
        <w:tc>
          <w:tcPr>
            <w:tcW w:w="2157" w:type="dxa"/>
          </w:tcPr>
          <w:p w:rsidR="00D67B5C" w:rsidP="00376728" w:rsidRDefault="006A03A1" w14:paraId="2C5AC0E1" w14:textId="63B961E7">
            <w:r>
              <w:t>655</w:t>
            </w:r>
          </w:p>
        </w:tc>
        <w:tc>
          <w:tcPr>
            <w:tcW w:w="2158" w:type="dxa"/>
          </w:tcPr>
          <w:p w:rsidR="00D67B5C" w:rsidP="00376728" w:rsidRDefault="00D67B5C" w14:paraId="30A648E3" w14:textId="1DBB4D40">
            <w:r>
              <w:t>0.5 hours per report</w:t>
            </w:r>
          </w:p>
        </w:tc>
        <w:tc>
          <w:tcPr>
            <w:tcW w:w="3243" w:type="dxa"/>
          </w:tcPr>
          <w:p w:rsidR="00D67B5C" w:rsidP="00376728" w:rsidRDefault="00F4085F" w14:paraId="7646FB70" w14:textId="62048A8A">
            <w:r>
              <w:t>32</w:t>
            </w:r>
            <w:r w:rsidR="006A03A1">
              <w:t>8</w:t>
            </w:r>
            <w:r w:rsidR="00D67B5C">
              <w:t xml:space="preserve"> hours </w:t>
            </w:r>
          </w:p>
        </w:tc>
      </w:tr>
      <w:tr w:rsidR="00D67B5C" w:rsidTr="00B2010F" w14:paraId="2C4806D6" w14:textId="77777777">
        <w:tc>
          <w:tcPr>
            <w:tcW w:w="2157" w:type="dxa"/>
            <w:shd w:val="clear" w:color="auto" w:fill="DAEEF3" w:themeFill="accent5" w:themeFillTint="33"/>
          </w:tcPr>
          <w:p w:rsidRPr="00B2010F" w:rsidR="00D67B5C" w:rsidP="00376728" w:rsidRDefault="00D67B5C" w14:paraId="67901C0B" w14:textId="444A6D7D">
            <w:pPr>
              <w:rPr>
                <w:b/>
              </w:rPr>
            </w:pPr>
            <w:r w:rsidRPr="00B2010F">
              <w:rPr>
                <w:b/>
              </w:rPr>
              <w:t xml:space="preserve">Total </w:t>
            </w:r>
          </w:p>
        </w:tc>
        <w:tc>
          <w:tcPr>
            <w:tcW w:w="2157" w:type="dxa"/>
            <w:shd w:val="clear" w:color="auto" w:fill="DAEEF3" w:themeFill="accent5" w:themeFillTint="33"/>
          </w:tcPr>
          <w:p w:rsidRPr="00B2010F" w:rsidR="00D67B5C" w:rsidP="00376728" w:rsidRDefault="000039E9" w14:paraId="1E90BD98" w14:textId="3D0D8E0B">
            <w:pPr>
              <w:rPr>
                <w:b/>
              </w:rPr>
            </w:pPr>
            <w:r>
              <w:rPr>
                <w:b/>
              </w:rPr>
              <w:t>2,</w:t>
            </w:r>
            <w:r w:rsidR="00F4085F">
              <w:rPr>
                <w:b/>
              </w:rPr>
              <w:t>832</w:t>
            </w:r>
            <w:r w:rsidRPr="00B2010F" w:rsidR="00B2010F">
              <w:rPr>
                <w:b/>
              </w:rPr>
              <w:t xml:space="preserve"> </w:t>
            </w:r>
            <w:r w:rsidR="00B2010F">
              <w:rPr>
                <w:b/>
              </w:rPr>
              <w:t>Annual Resp</w:t>
            </w:r>
            <w:r w:rsidRPr="00B2010F" w:rsidR="00D67B5C">
              <w:rPr>
                <w:b/>
              </w:rPr>
              <w:t>onses</w:t>
            </w:r>
          </w:p>
        </w:tc>
        <w:tc>
          <w:tcPr>
            <w:tcW w:w="2158" w:type="dxa"/>
            <w:shd w:val="clear" w:color="auto" w:fill="DAEEF3" w:themeFill="accent5" w:themeFillTint="33"/>
          </w:tcPr>
          <w:p w:rsidRPr="00B2010F" w:rsidR="00D67B5C" w:rsidP="00376728" w:rsidRDefault="00D67B5C" w14:paraId="31C643C4" w14:textId="5C508686">
            <w:pPr>
              <w:rPr>
                <w:b/>
              </w:rPr>
            </w:pPr>
          </w:p>
        </w:tc>
        <w:tc>
          <w:tcPr>
            <w:tcW w:w="3243" w:type="dxa"/>
            <w:shd w:val="clear" w:color="auto" w:fill="DAEEF3" w:themeFill="accent5" w:themeFillTint="33"/>
          </w:tcPr>
          <w:p w:rsidRPr="00B2010F" w:rsidR="00D67B5C" w:rsidP="00376728" w:rsidRDefault="006A03A1" w14:paraId="1E227DFD" w14:textId="13EF1544">
            <w:pPr>
              <w:rPr>
                <w:b/>
              </w:rPr>
            </w:pPr>
            <w:r>
              <w:rPr>
                <w:b/>
              </w:rPr>
              <w:t>91,964</w:t>
            </w:r>
            <w:r w:rsidR="00B2010F">
              <w:rPr>
                <w:b/>
              </w:rPr>
              <w:t xml:space="preserve"> Annual Burden Hours</w:t>
            </w:r>
          </w:p>
        </w:tc>
      </w:tr>
    </w:tbl>
    <w:p w:rsidR="00871BE4" w:rsidP="00376728" w:rsidRDefault="00871BE4" w14:paraId="1757AB6C" w14:textId="757FC6DA"/>
    <w:p w:rsidRPr="006077EB" w:rsidR="00871BE4" w:rsidP="00376728" w:rsidRDefault="00871BE4" w14:paraId="6859F679" w14:textId="77777777"/>
    <w:p w:rsidR="004602FF" w:rsidP="004602FF" w:rsidRDefault="004602FF" w14:paraId="4FB12602" w14:textId="6A8A7E9E">
      <w:pPr>
        <w:rPr>
          <w:i/>
        </w:rPr>
      </w:pPr>
      <w:r>
        <w:rPr>
          <w:i/>
        </w:rPr>
        <w:t>(a) Annual Reports for gas transmission and gas gathering systems, LNG Facilities, and underground natural gas storage facilities (Section 191.17) w</w:t>
      </w:r>
      <w:r>
        <w:rPr>
          <w:b/>
          <w:i/>
        </w:rPr>
        <w:t>/</w:t>
      </w:r>
      <w:r w:rsidR="006A03A1">
        <w:rPr>
          <w:b/>
          <w:i/>
        </w:rPr>
        <w:t xml:space="preserve"> </w:t>
      </w:r>
      <w:r w:rsidR="006A03A1">
        <w:rPr>
          <w:i/>
        </w:rPr>
        <w:t>2,1</w:t>
      </w:r>
      <w:r>
        <w:rPr>
          <w:i/>
        </w:rPr>
        <w:t>77 responses</w:t>
      </w:r>
    </w:p>
    <w:p w:rsidR="004602FF" w:rsidP="004602FF" w:rsidRDefault="004602FF" w14:paraId="5742504B" w14:textId="64B43A8C">
      <w:pPr>
        <w:rPr>
          <w:i/>
        </w:rPr>
      </w:pPr>
    </w:p>
    <w:p w:rsidRPr="006077EB" w:rsidR="00376728" w:rsidP="00376728" w:rsidRDefault="00376728" w14:paraId="79BD02FF" w14:textId="77777777"/>
    <w:p w:rsidRPr="006077EB" w:rsidR="00376728" w:rsidP="00376728" w:rsidRDefault="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Pr="006077EB" w:rsidR="00376728" w:rsidP="00376728" w:rsidRDefault="00376728" w14:paraId="321157DB" w14:textId="77777777"/>
    <w:p w:rsidRPr="006077EB" w:rsidR="00C06182" w:rsidP="00376728" w:rsidRDefault="00C06182" w14:paraId="5E6449EB" w14:textId="77777777"/>
    <w:p w:rsidRPr="006077EB" w:rsidR="00376728" w:rsidP="00160A14" w:rsidRDefault="00A66F27" w14:paraId="4874A2A6" w14:textId="67ABE260">
      <w:pPr>
        <w:ind w:firstLine="720"/>
        <w:rPr>
          <w:b/>
          <w:u w:val="single"/>
        </w:rPr>
      </w:pPr>
      <w:r>
        <w:t>1</w:t>
      </w:r>
      <w:r w:rsidRPr="006077EB" w:rsidR="00376728">
        <w:t>. Transmission Systems Annual Report</w:t>
      </w:r>
      <w:r w:rsidRPr="006077EB" w:rsidR="00864F8D">
        <w:t xml:space="preserve"> </w:t>
      </w:r>
      <w:r w:rsidRPr="00FC781F" w:rsidR="00864F8D">
        <w:rPr>
          <w:u w:val="single"/>
        </w:rPr>
        <w:t>(</w:t>
      </w:r>
      <w:r w:rsidR="009A2DC3">
        <w:rPr>
          <w:b/>
          <w:u w:val="single"/>
        </w:rPr>
        <w:t>85,070</w:t>
      </w:r>
      <w:r w:rsidRPr="00FC781F" w:rsidR="00864F8D">
        <w:rPr>
          <w:b/>
          <w:u w:val="single"/>
        </w:rPr>
        <w:t xml:space="preserve"> hours)</w:t>
      </w:r>
    </w:p>
    <w:p w:rsidR="001376BC" w:rsidP="001376BC" w:rsidRDefault="009B251B" w14:paraId="4F2846C5" w14:textId="62C412BA">
      <w:pPr>
        <w:contextualSpacing/>
      </w:pPr>
      <w:r w:rsidRPr="006077EB">
        <w:lastRenderedPageBreak/>
        <w:t xml:space="preserve">PHMSA </w:t>
      </w:r>
      <w:r w:rsidR="00C906B8">
        <w:t>estimates that it receives</w:t>
      </w:r>
      <w:r w:rsidRPr="006077EB" w:rsidR="00C906B8">
        <w:t xml:space="preserve"> </w:t>
      </w:r>
      <w:r w:rsidRPr="006077EB">
        <w:t xml:space="preserve">approximately 1,440 gas transmission annual reports each year.  </w:t>
      </w:r>
      <w:r w:rsidR="006A03A1">
        <w:t xml:space="preserve">PHMSA is adding 370 new responses to this information collection to account for </w:t>
      </w:r>
      <w:r w:rsidR="009A2DC3">
        <w:t>newly regulated</w:t>
      </w:r>
      <w:r w:rsidR="006A03A1">
        <w:t xml:space="preserve"> Type C gathering operators</w:t>
      </w:r>
      <w:r w:rsidR="009A2DC3">
        <w:t xml:space="preserve">.  This addition results in a total of </w:t>
      </w:r>
      <w:r w:rsidRPr="009A2DC3" w:rsidR="009A2DC3">
        <w:rPr>
          <w:b/>
          <w:bCs/>
        </w:rPr>
        <w:t>1,810 responses</w:t>
      </w:r>
      <w:r w:rsidR="009A2DC3">
        <w:t xml:space="preserve">. </w:t>
      </w:r>
      <w:r w:rsidR="00C906B8">
        <w:t xml:space="preserve">PHMSA </w:t>
      </w:r>
      <w:r w:rsidR="001175E4">
        <w:t xml:space="preserve">estimates that it will take </w:t>
      </w:r>
      <w:r w:rsidR="001E6BBE">
        <w:rPr>
          <w:iCs/>
        </w:rPr>
        <w:t xml:space="preserve">operators approximately </w:t>
      </w:r>
      <w:r w:rsidR="00DE640B">
        <w:rPr>
          <w:iCs/>
        </w:rPr>
        <w:t xml:space="preserve">47 hours </w:t>
      </w:r>
      <w:r w:rsidR="001E6BBE">
        <w:rPr>
          <w:iCs/>
        </w:rPr>
        <w:t xml:space="preserve">to compile and submit the data required to comply with this annual reporting requirement. </w:t>
      </w:r>
      <w:r w:rsidR="001E6BBE">
        <w:t xml:space="preserve">This includes the time it will take to review instructions, gathering the data needed, completing, reviewing and submitting the requested data. </w:t>
      </w:r>
    </w:p>
    <w:p w:rsidR="001376BC" w:rsidP="001376BC" w:rsidRDefault="001376BC" w14:paraId="60E7B4F1" w14:textId="77777777">
      <w:pPr>
        <w:contextualSpacing/>
      </w:pPr>
    </w:p>
    <w:p w:rsidR="001376BC" w:rsidP="00376728" w:rsidRDefault="001376BC" w14:paraId="05E498C2" w14:textId="2B16CDEF"/>
    <w:p w:rsidR="007C389F" w:rsidP="00376728" w:rsidRDefault="00C906B8" w14:paraId="3D9091D2" w14:textId="2715EED9">
      <w:r>
        <w:t xml:space="preserve">Accordingly, PHMSA estimates the burden associated with collecting Gas Transmission and Gathering Systems annual data to be </w:t>
      </w:r>
      <w:r w:rsidRPr="00CC56C1" w:rsidR="009A2DC3">
        <w:t>85,070</w:t>
      </w:r>
      <w:r w:rsidRPr="00CC56C1">
        <w:t xml:space="preserve"> hours</w:t>
      </w:r>
      <w:r>
        <w:t xml:space="preserve"> (1,</w:t>
      </w:r>
      <w:r w:rsidR="009A2DC3">
        <w:t>810</w:t>
      </w:r>
      <w:r>
        <w:t xml:space="preserve"> reports *</w:t>
      </w:r>
      <w:r w:rsidR="00DE640B">
        <w:t xml:space="preserve">47 </w:t>
      </w:r>
      <w:r>
        <w:t>hours per report)</w:t>
      </w:r>
      <w:r w:rsidR="00F418DE">
        <w:t xml:space="preserve"> each year.</w:t>
      </w:r>
    </w:p>
    <w:p w:rsidRPr="006077EB" w:rsidR="00C906B8" w:rsidP="00376728" w:rsidRDefault="00C906B8" w14:paraId="6E37051F" w14:textId="77777777"/>
    <w:p w:rsidRPr="006077EB" w:rsidR="00DA38F0" w:rsidP="00160A14" w:rsidRDefault="00C906B8" w14:paraId="4FCC5C50" w14:textId="77777777">
      <w:pPr>
        <w:ind w:firstLine="720"/>
      </w:pPr>
      <w:r>
        <w:t>2</w:t>
      </w:r>
      <w:r w:rsidRPr="006077EB" w:rsidR="00DA38F0">
        <w:t xml:space="preserve">. LNG Annual Report </w:t>
      </w:r>
      <w:r w:rsidRPr="006077EB" w:rsidR="00DA38F0">
        <w:rPr>
          <w:u w:val="single"/>
        </w:rPr>
        <w:t>(</w:t>
      </w:r>
      <w:r w:rsidRPr="007A51FB" w:rsidR="00CE1FF7">
        <w:rPr>
          <w:b/>
          <w:u w:val="single"/>
        </w:rPr>
        <w:t>1,356 hours</w:t>
      </w:r>
      <w:r w:rsidRPr="006077EB" w:rsidR="00DA38F0">
        <w:rPr>
          <w:u w:val="single"/>
        </w:rPr>
        <w:t>)</w:t>
      </w:r>
    </w:p>
    <w:p w:rsidR="00376728" w:rsidP="00376728" w:rsidRDefault="007671AC" w14:paraId="6DFE522F" w14:textId="77777777">
      <w:r w:rsidRPr="006077EB">
        <w:t>PHMSA estimates that there are 82 LNG pipeline operators for 113 LNG facilities.</w:t>
      </w:r>
      <w:r w:rsidRPr="006077EB" w:rsidR="00376728">
        <w:t xml:space="preserve">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rsidRDefault="00D93F00" w14:paraId="50A3CF35" w14:textId="77777777"/>
    <w:p w:rsidR="00D93F00" w:rsidP="00C35A6E" w:rsidRDefault="00DC418F"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rsidRDefault="00C35A6E" w14:paraId="39A3AB38" w14:textId="77777777"/>
    <w:p w:rsidR="00C35A6E" w:rsidP="00C35A6E" w:rsidRDefault="00352F4B" w14:paraId="56EC5158" w14:textId="574EE5CC">
      <w:pPr>
        <w:rPr>
          <w:iCs/>
        </w:rPr>
      </w:pPr>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Pr="00E5701A" w:rsidR="00C35A6E">
        <w:rPr>
          <w:iCs/>
        </w:rPr>
        <w:t xml:space="preserve"> </w:t>
      </w:r>
      <w:r w:rsidR="00DC418F">
        <w:rPr>
          <w:iCs/>
        </w:rPr>
        <w:t xml:space="preserve">to prepare annual report submissions.  This includes </w:t>
      </w:r>
      <w:r w:rsidRPr="00E5701A" w:rsidR="00C35A6E">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rsidR="00F23FAC" w:rsidP="00C35A6E" w:rsidRDefault="00F23FAC" w14:paraId="08D2B89A" w14:textId="1700983B">
      <w:pPr>
        <w:rPr>
          <w:iCs/>
        </w:rPr>
      </w:pPr>
    </w:p>
    <w:p w:rsidR="00F23FAC" w:rsidP="00C35A6E" w:rsidRDefault="00F23FAC" w14:paraId="0CDCD053" w14:textId="7041436E">
      <w:pPr>
        <w:rPr>
          <w:iCs/>
        </w:rPr>
      </w:pPr>
      <w:r>
        <w:rPr>
          <w:iCs/>
        </w:rPr>
        <w:tab/>
        <w:t>4. Type R Reporting Regulated Gas Gathering Annual Report (</w:t>
      </w:r>
      <w:r w:rsidRPr="00F23FAC">
        <w:rPr>
          <w:b/>
          <w:bCs/>
          <w:iCs/>
          <w:u w:val="single"/>
        </w:rPr>
        <w:t>2,730 hours</w:t>
      </w:r>
      <w:r>
        <w:rPr>
          <w:iCs/>
        </w:rPr>
        <w:t>)</w:t>
      </w:r>
    </w:p>
    <w:p w:rsidR="00F23FAC" w:rsidP="00C35A6E" w:rsidRDefault="00F23FAC" w14:paraId="55ED04D0" w14:textId="77777777">
      <w:pPr>
        <w:rPr>
          <w:iCs/>
        </w:rPr>
      </w:pPr>
    </w:p>
    <w:p w:rsidRPr="006077EB" w:rsidR="00F23FAC" w:rsidP="00717F03" w:rsidRDefault="00717F03" w14:paraId="12C4BBF0" w14:textId="1A2E760D">
      <w:pPr>
        <w:autoSpaceDE w:val="0"/>
        <w:autoSpaceDN w:val="0"/>
        <w:adjustRightInd w:val="0"/>
        <w:ind w:firstLine="720"/>
      </w:pPr>
      <w:r>
        <w:t xml:space="preserve">49 CFR§ 192.8 designates </w:t>
      </w:r>
      <w:r w:rsidR="006A04D6">
        <w:t xml:space="preserve">“Type R” gathering lines </w:t>
      </w:r>
      <w:r>
        <w:t xml:space="preserve">as lines that are not regulated gathering lines under </w:t>
      </w:r>
      <w:r w:rsidR="00637338">
        <w:t>49 CFR P</w:t>
      </w:r>
      <w:r>
        <w:t xml:space="preserve">art 192 but are subject to incident and annual reporting requirements in </w:t>
      </w:r>
      <w:r w:rsidR="00637338">
        <w:t>49 CFR P</w:t>
      </w:r>
      <w:r>
        <w:t xml:space="preserve">art 191. </w:t>
      </w:r>
      <w:r w:rsidR="006A04D6">
        <w:t xml:space="preserve">PHMSA created new </w:t>
      </w:r>
      <w:r w:rsidR="006A04D6">
        <w:rPr>
          <w:iCs/>
        </w:rPr>
        <w:t>DOT Form PHMSA F7 100.2-3</w:t>
      </w:r>
      <w:r w:rsidR="006A04D6">
        <w:t xml:space="preserve"> for Type R gas gathering systems that are not subject to the safety requirements in 49 CFR Part 192. Type R operators are required to submit </w:t>
      </w:r>
      <w:r w:rsidR="00CC56C1">
        <w:t xml:space="preserve">DOT </w:t>
      </w:r>
      <w:r w:rsidR="006A04D6">
        <w:t>Form PHMSA F7 100.2-3</w:t>
      </w:r>
      <w:r w:rsidRPr="00C4399F" w:rsidR="006A04D6">
        <w:t xml:space="preserve"> by March 15, </w:t>
      </w:r>
      <w:r w:rsidR="006A04D6">
        <w:t>for</w:t>
      </w:r>
      <w:r w:rsidRPr="00C4399F" w:rsidR="006A04D6">
        <w:t xml:space="preserve"> the preceding calendar year</w:t>
      </w:r>
      <w:r w:rsidR="006A04D6">
        <w:t>.</w:t>
      </w:r>
      <w:r w:rsidRPr="00B46111" w:rsidR="006A04D6">
        <w:t xml:space="preserve"> </w:t>
      </w:r>
      <w:r w:rsidR="006A04D6">
        <w:rPr>
          <w:iCs/>
        </w:rPr>
        <w:t xml:space="preserve">PHMSA estimates that there are 130 Type R operators who are subject to this requirement.  PHMSA estimates that it will take operators approximately 21 hours annually to complete this report. This includes </w:t>
      </w:r>
      <w:r w:rsidRPr="00E5701A" w:rsidR="006A04D6">
        <w:rPr>
          <w:iCs/>
        </w:rPr>
        <w:t>time for reviewing instructions, gathering the data needed, reviewing</w:t>
      </w:r>
      <w:r w:rsidR="006A04D6">
        <w:rPr>
          <w:iCs/>
        </w:rPr>
        <w:t xml:space="preserve"> the required data, and </w:t>
      </w:r>
      <w:r w:rsidR="006A04D6">
        <w:rPr>
          <w:iCs/>
        </w:rPr>
        <w:lastRenderedPageBreak/>
        <w:t xml:space="preserve">completing and submitting the </w:t>
      </w:r>
      <w:r w:rsidR="00CC56C1">
        <w:rPr>
          <w:iCs/>
        </w:rPr>
        <w:t>mandatory</w:t>
      </w:r>
      <w:r w:rsidR="006A04D6">
        <w:rPr>
          <w:iCs/>
        </w:rPr>
        <w:t xml:space="preserve"> report.</w:t>
      </w:r>
      <w:r w:rsidR="00CC56C1">
        <w:rPr>
          <w:iCs/>
        </w:rPr>
        <w:t xml:space="preserve">  This will result in an overall annual burden of </w:t>
      </w:r>
      <w:r w:rsidRPr="00CC56C1" w:rsidR="00CC56C1">
        <w:rPr>
          <w:iCs/>
        </w:rPr>
        <w:t xml:space="preserve">130 responses and 2,730 </w:t>
      </w:r>
      <w:r w:rsidR="00CC56C1">
        <w:rPr>
          <w:iCs/>
        </w:rPr>
        <w:t xml:space="preserve">(130 reports *21 hours per report) </w:t>
      </w:r>
      <w:r w:rsidRPr="00CC56C1" w:rsidR="00CC56C1">
        <w:rPr>
          <w:iCs/>
        </w:rPr>
        <w:t>hours.</w:t>
      </w:r>
    </w:p>
    <w:p w:rsidRPr="006077EB" w:rsidR="00DA38F0" w:rsidP="00376728" w:rsidRDefault="00DA38F0" w14:paraId="42F97A2E" w14:textId="77777777"/>
    <w:p w:rsidR="00936673" w:rsidP="00936673" w:rsidRDefault="000039E9" w14:paraId="5720735E" w14:textId="648B258F">
      <w:pPr>
        <w:rPr>
          <w:i/>
        </w:rPr>
      </w:pPr>
      <w:r>
        <w:rPr>
          <w:i/>
        </w:rPr>
        <w:t xml:space="preserve"> </w:t>
      </w:r>
      <w:r w:rsidR="004602FF">
        <w:rPr>
          <w:i/>
        </w:rPr>
        <w:t>(</w:t>
      </w:r>
      <w:r>
        <w:rPr>
          <w:i/>
        </w:rPr>
        <w:t>b</w:t>
      </w:r>
      <w:r w:rsidR="004602FF">
        <w:rPr>
          <w:i/>
        </w:rPr>
        <w:t xml:space="preserve">) </w:t>
      </w:r>
      <w:r w:rsidR="00936673">
        <w:rPr>
          <w:i/>
        </w:rPr>
        <w:t>Immediate Notice of Incidents (Section 191.5) w/</w:t>
      </w:r>
      <w:r w:rsidR="00F23FAC">
        <w:rPr>
          <w:i/>
        </w:rPr>
        <w:t xml:space="preserve"> 655</w:t>
      </w:r>
      <w:r w:rsidR="00936673">
        <w:rPr>
          <w:i/>
        </w:rPr>
        <w:t xml:space="preserve"> Responses</w:t>
      </w:r>
      <w:r w:rsidR="00F23FAC">
        <w:rPr>
          <w:i/>
        </w:rPr>
        <w:t xml:space="preserve"> </w:t>
      </w:r>
      <w:r w:rsidRPr="00F23FAC" w:rsidR="00F23FAC">
        <w:rPr>
          <w:iCs/>
        </w:rPr>
        <w:t>(</w:t>
      </w:r>
      <w:r w:rsidRPr="00F23FAC" w:rsidR="00F23FAC">
        <w:rPr>
          <w:b/>
          <w:bCs/>
          <w:iCs/>
          <w:u w:val="single"/>
        </w:rPr>
        <w:t>328 hours</w:t>
      </w:r>
      <w:r w:rsidRPr="00F23FAC" w:rsidR="00F23FAC">
        <w:rPr>
          <w:iCs/>
        </w:rPr>
        <w:t>)</w:t>
      </w:r>
    </w:p>
    <w:p w:rsidR="00936673" w:rsidP="00936673" w:rsidRDefault="00936673" w14:paraId="12F6B950" w14:textId="77777777">
      <w:pPr>
        <w:rPr>
          <w:i/>
        </w:rPr>
      </w:pPr>
    </w:p>
    <w:p w:rsidR="00936673" w:rsidP="00936673" w:rsidRDefault="00936673" w14:paraId="1E2FF593" w14:textId="74139ED4">
      <w:r>
        <w:t>Gas Pipeline operators are required to provide immediate notification of incidents as detailed in § 191.5.  Based on</w:t>
      </w:r>
      <w:r w:rsidR="001E6BBE">
        <w:t xml:space="preserve"> previous years’ reporting trends, </w:t>
      </w:r>
      <w:r>
        <w:t xml:space="preserve">there was an annual average of 570 immediate notifications.  </w:t>
      </w:r>
      <w:r w:rsidRPr="00523859" w:rsidR="00523859">
        <w:t xml:space="preserve">PHMSA expects that previously unregulated </w:t>
      </w:r>
      <w:r w:rsidR="00523859">
        <w:t xml:space="preserve">gathering </w:t>
      </w:r>
      <w:r w:rsidRPr="00523859" w:rsidR="00523859">
        <w:t>operators will make approximately 85 telephonic notifications of incidents per year</w:t>
      </w:r>
      <w:r w:rsidR="00523859">
        <w:t xml:space="preserve"> bring the number of responses to 655 (570+85)</w:t>
      </w:r>
      <w:r w:rsidRPr="00523859" w:rsidR="00523859">
        <w:t xml:space="preserve">. </w:t>
      </w:r>
      <w:r>
        <w:t xml:space="preserve">PHMSA estimates that </w:t>
      </w:r>
      <w:r w:rsidR="001E6BBE">
        <w:t xml:space="preserve">it will take operators approximately 30 minutes to complete </w:t>
      </w:r>
      <w:r>
        <w:t>these notifications</w:t>
      </w:r>
      <w:r w:rsidR="001E6BBE">
        <w:t>.</w:t>
      </w:r>
      <w:r>
        <w:t xml:space="preserve"> </w:t>
      </w:r>
      <w:r w:rsidR="001E6BBE">
        <w:t xml:space="preserve">As such, PHMSA estimates the </w:t>
      </w:r>
      <w:r>
        <w:t xml:space="preserve">total </w:t>
      </w:r>
      <w:r w:rsidR="001E6BBE">
        <w:t xml:space="preserve">burden associated with this information collection </w:t>
      </w:r>
      <w:r>
        <w:t xml:space="preserve">to be </w:t>
      </w:r>
      <w:r w:rsidR="00F23FAC">
        <w:t xml:space="preserve">approximately </w:t>
      </w:r>
      <w:r w:rsidR="00F23FAC">
        <w:rPr>
          <w:b/>
        </w:rPr>
        <w:t>328</w:t>
      </w:r>
      <w:r>
        <w:rPr>
          <w:b/>
        </w:rPr>
        <w:t xml:space="preserve"> hours</w:t>
      </w:r>
      <w:r>
        <w:t xml:space="preserve"> (= </w:t>
      </w:r>
      <w:r w:rsidR="00523859">
        <w:t>655</w:t>
      </w:r>
      <w:r>
        <w:t xml:space="preserve"> reports x 0.5 hours).  </w:t>
      </w:r>
    </w:p>
    <w:p w:rsidRPr="006077EB" w:rsidR="00936673" w:rsidP="007C389F" w:rsidRDefault="00936673" w14:paraId="22F4B73E" w14:textId="77777777"/>
    <w:p w:rsidRPr="006077EB" w:rsidR="007C389F" w:rsidP="00376728" w:rsidRDefault="007C389F" w14:paraId="77C78D36" w14:textId="77777777">
      <w:pPr>
        <w:rPr>
          <w:b/>
          <w:bCs/>
          <w:i/>
          <w:sz w:val="32"/>
        </w:rPr>
      </w:pPr>
    </w:p>
    <w:p w:rsidRPr="006077EB" w:rsidR="00376728" w:rsidP="00376728" w:rsidRDefault="00160A14" w14:paraId="3D8139D1" w14:textId="61A4567C">
      <w:pPr>
        <w:rPr>
          <w:b/>
          <w:bCs/>
          <w:i/>
        </w:rPr>
      </w:pPr>
      <w:r w:rsidRPr="006077EB">
        <w:rPr>
          <w:b/>
          <w:bCs/>
          <w:i/>
        </w:rPr>
        <w:t>(</w:t>
      </w:r>
      <w:r w:rsidR="000039E9">
        <w:rPr>
          <w:b/>
          <w:bCs/>
          <w:i/>
        </w:rPr>
        <w:t>c</w:t>
      </w:r>
      <w:r w:rsidRPr="006077EB">
        <w:rPr>
          <w:b/>
          <w:bCs/>
          <w:i/>
        </w:rPr>
        <w:t xml:space="preserve">) </w:t>
      </w:r>
      <w:r w:rsidRPr="006077EB" w:rsidR="00376728">
        <w:rPr>
          <w:b/>
          <w:bCs/>
          <w:i/>
        </w:rPr>
        <w:t>Total Hours:</w:t>
      </w:r>
    </w:p>
    <w:p w:rsidR="00B96791" w:rsidP="00376728" w:rsidRDefault="00B96791" w14:paraId="720E67C3" w14:textId="77777777">
      <w:pPr>
        <w:rPr>
          <w:bCs/>
        </w:rPr>
      </w:pPr>
    </w:p>
    <w:p w:rsidRPr="006077EB" w:rsidR="00376728" w:rsidP="00376728" w:rsidRDefault="00376728" w14:paraId="2193ED35" w14:textId="57FF23D4">
      <w:pPr>
        <w:rPr>
          <w:b/>
          <w:bCs/>
        </w:rPr>
      </w:pPr>
      <w:r w:rsidRPr="006077EB">
        <w:rPr>
          <w:bCs/>
        </w:rPr>
        <w:t>Telephonic Notification (</w:t>
      </w:r>
      <w:r w:rsidR="00F23FAC">
        <w:rPr>
          <w:bCs/>
        </w:rPr>
        <w:t>328</w:t>
      </w:r>
      <w:r w:rsidRPr="006077EB">
        <w:rPr>
          <w:bCs/>
        </w:rPr>
        <w:t xml:space="preserve"> hours) Annual Reports (</w:t>
      </w:r>
      <w:r w:rsidRPr="006077EB" w:rsidR="00544F07">
        <w:rPr>
          <w:bCs/>
        </w:rPr>
        <w:t>+</w:t>
      </w:r>
      <w:r w:rsidR="00CC56C1">
        <w:t>85,070</w:t>
      </w:r>
      <w:r w:rsidR="00DE640B">
        <w:t xml:space="preserve"> </w:t>
      </w:r>
      <w:r w:rsidRPr="006077EB" w:rsidR="00544F07">
        <w:rPr>
          <w:bCs/>
        </w:rPr>
        <w:t>+1,356</w:t>
      </w:r>
      <w:r w:rsidR="00183684">
        <w:rPr>
          <w:bCs/>
        </w:rPr>
        <w:t>+</w:t>
      </w:r>
      <w:r w:rsidR="00985A9F">
        <w:rPr>
          <w:bCs/>
        </w:rPr>
        <w:t>2,480</w:t>
      </w:r>
      <w:r w:rsidR="00CC56C1">
        <w:rPr>
          <w:bCs/>
        </w:rPr>
        <w:t>+2,730</w:t>
      </w:r>
      <w:r w:rsidRPr="006077EB">
        <w:rPr>
          <w:bCs/>
        </w:rPr>
        <w:t>)</w:t>
      </w:r>
      <w:r w:rsidRPr="006077EB" w:rsidR="00160A14">
        <w:rPr>
          <w:bCs/>
        </w:rPr>
        <w:t xml:space="preserve"> </w:t>
      </w:r>
      <w:r w:rsidRPr="006077EB">
        <w:rPr>
          <w:bCs/>
        </w:rPr>
        <w:t xml:space="preserve">= </w:t>
      </w:r>
      <w:r w:rsidR="00CC56C1">
        <w:rPr>
          <w:b/>
          <w:bCs/>
        </w:rPr>
        <w:t>91,964</w:t>
      </w:r>
      <w:r w:rsidR="00C60E56">
        <w:rPr>
          <w:b/>
          <w:bCs/>
        </w:rPr>
        <w:t xml:space="preserve"> </w:t>
      </w:r>
      <w:r w:rsidRPr="00183684" w:rsidR="00160A14">
        <w:rPr>
          <w:b/>
          <w:bCs/>
        </w:rPr>
        <w:t>hours</w:t>
      </w:r>
      <w:r w:rsidRPr="006077EB" w:rsidR="00160A14">
        <w:rPr>
          <w:bCs/>
        </w:rPr>
        <w:t>.</w:t>
      </w:r>
      <w:r w:rsidR="00DC0A08">
        <w:rPr>
          <w:bCs/>
        </w:rPr>
        <w:t xml:space="preserve">  </w:t>
      </w:r>
    </w:p>
    <w:p w:rsidRPr="006077EB" w:rsidR="009E6DCC" w:rsidP="009E6DCC" w:rsidRDefault="009E6DCC" w14:paraId="42FFBB68" w14:textId="77777777"/>
    <w:p w:rsidR="00376728" w:rsidP="00376728" w:rsidRDefault="00376728" w14:paraId="07DA5CEE" w14:textId="77777777">
      <w:pPr>
        <w:rPr>
          <w:bCs/>
        </w:rPr>
      </w:pPr>
    </w:p>
    <w:p w:rsidR="00376728" w:rsidP="00376728" w:rsidRDefault="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rsidRDefault="00376728" w14:paraId="2F983AB8" w14:textId="77777777"/>
    <w:p w:rsidRPr="005959AF" w:rsidR="005959AF" w:rsidP="005959AF" w:rsidRDefault="005959AF" w14:paraId="346CBF66" w14:textId="77777777">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2"/>
      </w:r>
      <w:r w:rsidRPr="005959AF">
        <w:rPr>
          <w:bCs/>
        </w:rPr>
        <w:t xml:space="preserve"> is estimated as $77.50. Using an estimated fringe benefit of approximately 35 percent, the recordkeeping requirements for the gas operators are prepared at the average rate of $104.63 per hour. </w:t>
      </w:r>
    </w:p>
    <w:p w:rsidR="005959AF" w:rsidP="005959AF" w:rsidRDefault="005959AF" w14:paraId="4AF78272" w14:textId="77777777"/>
    <w:p w:rsidR="005959AF" w:rsidP="005959AF" w:rsidRDefault="005959AF" w14:paraId="145439D1" w14:textId="797537C4">
      <w:r w:rsidRPr="006077EB">
        <w:t>The total annual estimated costs for this information collection with all of the incorporated proposals would be $</w:t>
      </w:r>
      <w:r w:rsidR="00D0425F">
        <w:t>9,622,193.32</w:t>
      </w:r>
      <w:r w:rsidRPr="006077EB">
        <w:t xml:space="preserve"> (= $</w:t>
      </w:r>
      <w:r>
        <w:t>104.63</w:t>
      </w:r>
      <w:r w:rsidRPr="006077EB">
        <w:t xml:space="preserve"> * </w:t>
      </w:r>
      <w:r w:rsidR="00D0425F">
        <w:t>91,964</w:t>
      </w:r>
      <w:r w:rsidRPr="006077EB">
        <w:t xml:space="preserve"> hours)</w:t>
      </w:r>
    </w:p>
    <w:p w:rsidR="00376728" w:rsidP="00376728" w:rsidRDefault="00376728" w14:paraId="00BA0B4D" w14:textId="77777777"/>
    <w:p w:rsidR="00B2010F" w:rsidP="00376728" w:rsidRDefault="00B2010F" w14:paraId="4CCC64F1" w14:textId="77777777">
      <w:pPr>
        <w:rPr>
          <w:bCs/>
        </w:rPr>
      </w:pPr>
    </w:p>
    <w:p w:rsidR="00376728" w:rsidP="00376728" w:rsidRDefault="00376728" w14:paraId="7C503E3E" w14:textId="6953BED2">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rsidRDefault="00376728" w14:paraId="2D70D659" w14:textId="77777777">
      <w:pPr>
        <w:rPr>
          <w:bCs/>
        </w:rPr>
      </w:pPr>
    </w:p>
    <w:p w:rsidR="00D0331D" w:rsidP="00D0331D" w:rsidRDefault="00D0331D" w14:paraId="5CDBE315" w14:textId="17C4E2FE">
      <w:r w:rsidRPr="00EF4BE6">
        <w:t>PHMSA spends an estimated cost of $</w:t>
      </w:r>
      <w:r w:rsidR="000039E9">
        <w:t>189,969</w:t>
      </w:r>
      <w:r w:rsidR="00936673">
        <w:t>.00</w:t>
      </w:r>
      <w:r w:rsidRPr="00EF4BE6" w:rsidR="00936673">
        <w:t xml:space="preserve"> </w:t>
      </w:r>
      <w:r w:rsidRPr="00EF4BE6">
        <w:t>to operate and maintain this information collection.  Operations and maintenance include PRA compliance, interface improvements, database management, planning, revisions, and customer service.</w:t>
      </w:r>
    </w:p>
    <w:p w:rsidR="00B2010F" w:rsidP="00D0331D" w:rsidRDefault="00B2010F" w14:paraId="727CAC5E" w14:textId="4E13C01E"/>
    <w:p w:rsidR="00D0425F" w:rsidP="00D0331D" w:rsidRDefault="00D0425F" w14:paraId="66BE216D" w14:textId="27154D55"/>
    <w:p w:rsidR="00D0425F" w:rsidP="00D0331D" w:rsidRDefault="00D0425F" w14:paraId="77447D95" w14:textId="1992B6D1"/>
    <w:p w:rsidR="00D0425F" w:rsidP="00D0331D" w:rsidRDefault="00D0425F" w14:paraId="2C7C22CE" w14:textId="314FF920"/>
    <w:p w:rsidR="00D0425F" w:rsidP="00D0331D" w:rsidRDefault="00D0425F" w14:paraId="6415149E" w14:textId="77777777"/>
    <w:tbl>
      <w:tblPr>
        <w:tblStyle w:val="TableGrid"/>
        <w:tblW w:w="0" w:type="auto"/>
        <w:tblLook w:val="04A0" w:firstRow="1" w:lastRow="0" w:firstColumn="1" w:lastColumn="0" w:noHBand="0" w:noVBand="1"/>
      </w:tblPr>
      <w:tblGrid>
        <w:gridCol w:w="2382"/>
        <w:gridCol w:w="1493"/>
        <w:gridCol w:w="1218"/>
        <w:gridCol w:w="1093"/>
        <w:gridCol w:w="1530"/>
      </w:tblGrid>
      <w:tr w:rsidRPr="00F66136" w:rsidR="00D0331D" w:rsidTr="006E1DC7" w14:paraId="0B9DE3DD" w14:textId="77777777">
        <w:tc>
          <w:tcPr>
            <w:tcW w:w="2382" w:type="dxa"/>
          </w:tcPr>
          <w:p w:rsidRPr="00F66136" w:rsidR="00D0331D" w:rsidP="006E1DC7" w:rsidRDefault="00D0331D" w14:paraId="6B77D19A" w14:textId="77777777">
            <w:pPr>
              <w:rPr>
                <w:sz w:val="22"/>
                <w:szCs w:val="22"/>
              </w:rPr>
            </w:pPr>
          </w:p>
        </w:tc>
        <w:tc>
          <w:tcPr>
            <w:tcW w:w="1493" w:type="dxa"/>
          </w:tcPr>
          <w:p w:rsidRPr="00F66136" w:rsidR="00D0331D" w:rsidP="006E1DC7" w:rsidRDefault="00D0331D" w14:paraId="6EB0E486" w14:textId="77777777">
            <w:pPr>
              <w:rPr>
                <w:sz w:val="22"/>
                <w:szCs w:val="22"/>
              </w:rPr>
            </w:pPr>
            <w:r w:rsidRPr="00F66136">
              <w:rPr>
                <w:sz w:val="22"/>
                <w:szCs w:val="22"/>
              </w:rPr>
              <w:t>Monthly Average (Hrs)</w:t>
            </w:r>
          </w:p>
        </w:tc>
        <w:tc>
          <w:tcPr>
            <w:tcW w:w="1218" w:type="dxa"/>
          </w:tcPr>
          <w:p w:rsidRPr="00F66136" w:rsidR="00D0331D" w:rsidP="006E1DC7" w:rsidRDefault="00D0331D" w14:paraId="133BD1F5" w14:textId="77777777">
            <w:pPr>
              <w:rPr>
                <w:sz w:val="22"/>
                <w:szCs w:val="22"/>
              </w:rPr>
            </w:pPr>
            <w:r w:rsidRPr="00F66136">
              <w:rPr>
                <w:sz w:val="22"/>
                <w:szCs w:val="22"/>
              </w:rPr>
              <w:t>Hourly Rate</w:t>
            </w:r>
          </w:p>
        </w:tc>
        <w:tc>
          <w:tcPr>
            <w:tcW w:w="1093" w:type="dxa"/>
          </w:tcPr>
          <w:p w:rsidRPr="00F66136" w:rsidR="00D0331D" w:rsidP="006E1DC7" w:rsidRDefault="00D0331D" w14:paraId="78F25F6B" w14:textId="77777777">
            <w:pPr>
              <w:rPr>
                <w:sz w:val="22"/>
                <w:szCs w:val="22"/>
              </w:rPr>
            </w:pPr>
            <w:r w:rsidRPr="00F66136">
              <w:rPr>
                <w:sz w:val="22"/>
                <w:szCs w:val="22"/>
              </w:rPr>
              <w:t>Annual Hours</w:t>
            </w:r>
          </w:p>
        </w:tc>
        <w:tc>
          <w:tcPr>
            <w:tcW w:w="1530" w:type="dxa"/>
          </w:tcPr>
          <w:p w:rsidRPr="00F66136" w:rsidR="00D0331D" w:rsidP="006E1DC7" w:rsidRDefault="00D0331D" w14:paraId="05438DA7" w14:textId="77777777">
            <w:pPr>
              <w:rPr>
                <w:sz w:val="22"/>
                <w:szCs w:val="22"/>
              </w:rPr>
            </w:pPr>
            <w:r w:rsidRPr="00F66136">
              <w:rPr>
                <w:sz w:val="22"/>
                <w:szCs w:val="22"/>
              </w:rPr>
              <w:t>Total Costs</w:t>
            </w:r>
          </w:p>
        </w:tc>
      </w:tr>
      <w:tr w:rsidRPr="00F66136" w:rsidR="00D0331D" w:rsidTr="006E1DC7" w14:paraId="5D809738" w14:textId="77777777">
        <w:tc>
          <w:tcPr>
            <w:tcW w:w="2382" w:type="dxa"/>
          </w:tcPr>
          <w:p w:rsidRPr="00F66136" w:rsidR="00D0331D" w:rsidP="006E1DC7" w:rsidRDefault="00D0331D" w14:paraId="433B3E7F" w14:textId="77777777">
            <w:pPr>
              <w:rPr>
                <w:sz w:val="22"/>
                <w:szCs w:val="22"/>
              </w:rPr>
            </w:pPr>
            <w:r w:rsidRPr="00F66136">
              <w:rPr>
                <w:sz w:val="22"/>
                <w:szCs w:val="22"/>
              </w:rPr>
              <w:t xml:space="preserve">Salary Costs* </w:t>
            </w:r>
          </w:p>
        </w:tc>
        <w:tc>
          <w:tcPr>
            <w:tcW w:w="1493" w:type="dxa"/>
          </w:tcPr>
          <w:p w:rsidRPr="00F66136" w:rsidR="00D0331D" w:rsidP="006E1DC7" w:rsidRDefault="00D0331D" w14:paraId="52D9643A" w14:textId="77777777">
            <w:pPr>
              <w:rPr>
                <w:sz w:val="22"/>
                <w:szCs w:val="22"/>
              </w:rPr>
            </w:pPr>
            <w:r w:rsidRPr="00F66136">
              <w:rPr>
                <w:sz w:val="22"/>
                <w:szCs w:val="22"/>
              </w:rPr>
              <w:t>7</w:t>
            </w:r>
          </w:p>
        </w:tc>
        <w:tc>
          <w:tcPr>
            <w:tcW w:w="1218" w:type="dxa"/>
          </w:tcPr>
          <w:p w:rsidRPr="00F66136" w:rsidR="00D0331D" w:rsidP="006E1DC7" w:rsidRDefault="00D0331D" w14:paraId="78E6F9F5" w14:textId="77777777">
            <w:pPr>
              <w:rPr>
                <w:sz w:val="22"/>
                <w:szCs w:val="22"/>
              </w:rPr>
            </w:pPr>
            <w:r w:rsidRPr="00F66136">
              <w:rPr>
                <w:sz w:val="22"/>
                <w:szCs w:val="22"/>
              </w:rPr>
              <w:t>$38.82/hr</w:t>
            </w:r>
          </w:p>
        </w:tc>
        <w:tc>
          <w:tcPr>
            <w:tcW w:w="1093" w:type="dxa"/>
          </w:tcPr>
          <w:p w:rsidRPr="00F66136" w:rsidR="00D0331D" w:rsidP="006E1DC7" w:rsidRDefault="00D0331D" w14:paraId="501013A1" w14:textId="77777777">
            <w:pPr>
              <w:rPr>
                <w:sz w:val="22"/>
                <w:szCs w:val="22"/>
              </w:rPr>
            </w:pPr>
            <w:r w:rsidRPr="00F66136">
              <w:rPr>
                <w:sz w:val="22"/>
                <w:szCs w:val="22"/>
              </w:rPr>
              <w:t>84</w:t>
            </w:r>
          </w:p>
        </w:tc>
        <w:tc>
          <w:tcPr>
            <w:tcW w:w="1530" w:type="dxa"/>
          </w:tcPr>
          <w:p w:rsidRPr="00F66136" w:rsidR="00D0331D" w:rsidP="006E1DC7" w:rsidRDefault="00D0331D" w14:paraId="13CDE96C" w14:textId="77777777">
            <w:pPr>
              <w:rPr>
                <w:sz w:val="22"/>
                <w:szCs w:val="22"/>
              </w:rPr>
            </w:pPr>
            <w:r w:rsidRPr="00F66136">
              <w:rPr>
                <w:sz w:val="22"/>
                <w:szCs w:val="22"/>
              </w:rPr>
              <w:t>$3,260</w:t>
            </w:r>
          </w:p>
        </w:tc>
      </w:tr>
      <w:tr w:rsidRPr="00F66136" w:rsidR="00D0331D" w:rsidTr="006E1DC7" w14:paraId="521F3772" w14:textId="77777777">
        <w:tc>
          <w:tcPr>
            <w:tcW w:w="2382" w:type="dxa"/>
          </w:tcPr>
          <w:p w:rsidRPr="00F66136" w:rsidR="00D0331D" w:rsidP="006E1DC7" w:rsidRDefault="00D0331D" w14:paraId="08C3911D" w14:textId="77777777">
            <w:pPr>
              <w:rPr>
                <w:sz w:val="22"/>
                <w:szCs w:val="22"/>
              </w:rPr>
            </w:pPr>
            <w:r w:rsidRPr="00F66136">
              <w:rPr>
                <w:sz w:val="22"/>
                <w:szCs w:val="22"/>
              </w:rPr>
              <w:t>Contracting Costs- Gas Annual Forms</w:t>
            </w:r>
          </w:p>
          <w:p w:rsidRPr="00F66136" w:rsidR="00D0331D" w:rsidP="00AE4DA5" w:rsidRDefault="00D0331D" w14:paraId="51A2C200" w14:textId="745A274A">
            <w:pPr>
              <w:rPr>
                <w:sz w:val="22"/>
                <w:szCs w:val="22"/>
              </w:rPr>
            </w:pPr>
            <w:r w:rsidRPr="00F66136">
              <w:rPr>
                <w:sz w:val="22"/>
                <w:szCs w:val="22"/>
              </w:rPr>
              <w:t xml:space="preserve"> (</w:t>
            </w:r>
            <w:r w:rsidRPr="00F66136" w:rsidR="004602FF">
              <w:rPr>
                <w:sz w:val="22"/>
                <w:szCs w:val="22"/>
              </w:rPr>
              <w:t>GT, LNG</w:t>
            </w:r>
            <w:r w:rsidR="00AE4DA5">
              <w:rPr>
                <w:sz w:val="22"/>
                <w:szCs w:val="22"/>
              </w:rPr>
              <w:t>, UNGS</w:t>
            </w:r>
            <w:r w:rsidRPr="00F66136">
              <w:rPr>
                <w:sz w:val="22"/>
                <w:szCs w:val="22"/>
              </w:rPr>
              <w:t>)</w:t>
            </w:r>
          </w:p>
        </w:tc>
        <w:tc>
          <w:tcPr>
            <w:tcW w:w="1493" w:type="dxa"/>
          </w:tcPr>
          <w:p w:rsidRPr="00F66136" w:rsidR="00D0331D" w:rsidP="006E1DC7" w:rsidRDefault="00D0331D" w14:paraId="6BF96A3D" w14:textId="77777777">
            <w:pPr>
              <w:rPr>
                <w:sz w:val="22"/>
                <w:szCs w:val="22"/>
              </w:rPr>
            </w:pPr>
            <w:r w:rsidRPr="00F66136">
              <w:rPr>
                <w:sz w:val="22"/>
                <w:szCs w:val="22"/>
              </w:rPr>
              <w:t>129.25</w:t>
            </w:r>
          </w:p>
        </w:tc>
        <w:tc>
          <w:tcPr>
            <w:tcW w:w="1218" w:type="dxa"/>
          </w:tcPr>
          <w:p w:rsidRPr="00F66136" w:rsidR="00D0331D" w:rsidP="006E1DC7" w:rsidRDefault="00D0331D" w14:paraId="5A6DAA1C" w14:textId="77777777">
            <w:pPr>
              <w:rPr>
                <w:sz w:val="22"/>
                <w:szCs w:val="22"/>
              </w:rPr>
            </w:pPr>
            <w:r w:rsidRPr="00F66136">
              <w:rPr>
                <w:sz w:val="22"/>
                <w:szCs w:val="22"/>
              </w:rPr>
              <w:t>$120.38/hr</w:t>
            </w:r>
          </w:p>
        </w:tc>
        <w:tc>
          <w:tcPr>
            <w:tcW w:w="1093" w:type="dxa"/>
          </w:tcPr>
          <w:p w:rsidRPr="00F66136" w:rsidR="00D0331D" w:rsidP="006E1DC7" w:rsidRDefault="00D0331D" w14:paraId="3C23C911" w14:textId="77777777">
            <w:pPr>
              <w:rPr>
                <w:sz w:val="22"/>
                <w:szCs w:val="22"/>
              </w:rPr>
            </w:pPr>
            <w:r w:rsidRPr="00F66136">
              <w:rPr>
                <w:sz w:val="22"/>
                <w:szCs w:val="22"/>
              </w:rPr>
              <w:t>1551</w:t>
            </w:r>
          </w:p>
        </w:tc>
        <w:tc>
          <w:tcPr>
            <w:tcW w:w="1530" w:type="dxa"/>
          </w:tcPr>
          <w:p w:rsidRPr="00F66136" w:rsidR="00D0331D" w:rsidP="006E1DC7" w:rsidRDefault="00D0331D" w14:paraId="43E5634C" w14:textId="77777777">
            <w:pPr>
              <w:rPr>
                <w:sz w:val="22"/>
                <w:szCs w:val="22"/>
              </w:rPr>
            </w:pPr>
            <w:r w:rsidRPr="00F66136">
              <w:rPr>
                <w:sz w:val="22"/>
                <w:szCs w:val="22"/>
              </w:rPr>
              <w:t>$186,709</w:t>
            </w:r>
          </w:p>
        </w:tc>
      </w:tr>
      <w:tr w:rsidRPr="00F66136" w:rsidR="00D0331D" w:rsidTr="006E1DC7" w14:paraId="2A7C7D87" w14:textId="77777777">
        <w:tc>
          <w:tcPr>
            <w:tcW w:w="2382" w:type="dxa"/>
          </w:tcPr>
          <w:p w:rsidRPr="00F66136" w:rsidR="00D0331D" w:rsidP="006E1DC7" w:rsidRDefault="00D0331D" w14:paraId="129EEC47" w14:textId="77777777">
            <w:pPr>
              <w:rPr>
                <w:sz w:val="22"/>
                <w:szCs w:val="22"/>
              </w:rPr>
            </w:pPr>
            <w:r w:rsidRPr="00F66136">
              <w:rPr>
                <w:sz w:val="22"/>
                <w:szCs w:val="22"/>
              </w:rPr>
              <w:t>TOTAL</w:t>
            </w:r>
          </w:p>
        </w:tc>
        <w:tc>
          <w:tcPr>
            <w:tcW w:w="1493" w:type="dxa"/>
          </w:tcPr>
          <w:p w:rsidRPr="00F66136" w:rsidR="00D0331D" w:rsidP="006E1DC7" w:rsidRDefault="00D0331D" w14:paraId="75DB2DCA" w14:textId="77777777">
            <w:pPr>
              <w:rPr>
                <w:sz w:val="22"/>
                <w:szCs w:val="22"/>
              </w:rPr>
            </w:pPr>
          </w:p>
        </w:tc>
        <w:tc>
          <w:tcPr>
            <w:tcW w:w="1218" w:type="dxa"/>
          </w:tcPr>
          <w:p w:rsidRPr="00F66136" w:rsidR="00D0331D" w:rsidP="006E1DC7" w:rsidRDefault="00D0331D" w14:paraId="7478A1F4" w14:textId="77777777">
            <w:pPr>
              <w:rPr>
                <w:sz w:val="22"/>
                <w:szCs w:val="22"/>
              </w:rPr>
            </w:pPr>
          </w:p>
        </w:tc>
        <w:tc>
          <w:tcPr>
            <w:tcW w:w="1093" w:type="dxa"/>
          </w:tcPr>
          <w:p w:rsidRPr="00F66136" w:rsidR="00D0331D" w:rsidP="006E1DC7" w:rsidRDefault="00D0331D" w14:paraId="52EA0C58" w14:textId="77777777">
            <w:pPr>
              <w:rPr>
                <w:sz w:val="22"/>
                <w:szCs w:val="22"/>
              </w:rPr>
            </w:pPr>
          </w:p>
        </w:tc>
        <w:tc>
          <w:tcPr>
            <w:tcW w:w="1530" w:type="dxa"/>
          </w:tcPr>
          <w:p w:rsidRPr="00F66136" w:rsidR="00D0331D" w:rsidP="006E1DC7" w:rsidRDefault="00D0331D" w14:paraId="77E86BCD" w14:textId="4FDB7685">
            <w:pPr>
              <w:rPr>
                <w:sz w:val="22"/>
                <w:szCs w:val="22"/>
              </w:rPr>
            </w:pPr>
            <w:r w:rsidRPr="00F66136">
              <w:rPr>
                <w:sz w:val="22"/>
                <w:szCs w:val="22"/>
              </w:rPr>
              <w:t>$</w:t>
            </w:r>
            <w:r w:rsidR="000039E9">
              <w:rPr>
                <w:sz w:val="22"/>
                <w:szCs w:val="22"/>
              </w:rPr>
              <w:t>189,969</w:t>
            </w:r>
            <w:r w:rsidR="00936673">
              <w:rPr>
                <w:sz w:val="22"/>
                <w:szCs w:val="22"/>
              </w:rPr>
              <w:t>.00</w:t>
            </w:r>
          </w:p>
        </w:tc>
      </w:tr>
    </w:tbl>
    <w:p w:rsidR="00D0331D" w:rsidP="00D0331D" w:rsidRDefault="00D0331D" w14:paraId="04E866CF" w14:textId="77777777"/>
    <w:p w:rsidRPr="00864F8D" w:rsidR="00376728" w:rsidP="00376728" w:rsidRDefault="00376728" w14:paraId="62BCC09B" w14:textId="77777777">
      <w:r w:rsidRPr="00864F8D">
        <w:rPr>
          <w:bCs/>
        </w:rPr>
        <w:t>15.</w:t>
      </w:r>
      <w:r w:rsidRPr="00864F8D">
        <w:rPr>
          <w:bCs/>
        </w:rPr>
        <w:tab/>
        <w:t xml:space="preserve"> </w:t>
      </w:r>
      <w:r w:rsidRPr="00864F8D">
        <w:rPr>
          <w:bCs/>
          <w:u w:val="single"/>
        </w:rPr>
        <w:t>Explanation of program changes or adjustments.</w:t>
      </w:r>
      <w:r w:rsidRPr="00864F8D">
        <w:t xml:space="preserve"> </w:t>
      </w:r>
    </w:p>
    <w:p w:rsidR="000039E9" w:rsidP="004602FF" w:rsidRDefault="000039E9" w14:paraId="411ECFAF" w14:textId="77777777">
      <w:pPr>
        <w:autoSpaceDE w:val="0"/>
        <w:autoSpaceDN w:val="0"/>
      </w:pPr>
    </w:p>
    <w:p w:rsidR="00523859" w:rsidP="00523859" w:rsidRDefault="00523859" w14:paraId="1C108750" w14:textId="2C653E31">
      <w:r w:rsidRPr="00523859">
        <w:t xml:space="preserve">As a result of the Safety of Gas Gathering Pipelines: Extension of Reporting Requirements, Regulation of Large, High-Pressure Lines, and Other Related Amendments final rule, </w:t>
      </w:r>
      <w:r w:rsidR="00B96791">
        <w:t>previously unregulated Type C and Type R gas gathering pipeline systems</w:t>
      </w:r>
      <w:r w:rsidRPr="00523859">
        <w:t xml:space="preserve"> will become subject to incident and annual reporting requirements.  </w:t>
      </w:r>
    </w:p>
    <w:p w:rsidR="00523859" w:rsidP="00523859" w:rsidRDefault="00523859" w14:paraId="16E66061" w14:textId="77777777"/>
    <w:p w:rsidRPr="00523859" w:rsidR="00523859" w:rsidP="00523859" w:rsidRDefault="00523859" w14:paraId="49A98819" w14:textId="5920BCFD">
      <w:r w:rsidRPr="00523859">
        <w:t xml:space="preserve">PHMSA is revising this information collection to account for the new addition to the reporting community.  PHMSA will require 500 </w:t>
      </w:r>
      <w:r w:rsidR="00B96791">
        <w:t xml:space="preserve">previously unregulated </w:t>
      </w:r>
      <w:r w:rsidRPr="00523859">
        <w:t>gas gathering line operators (370 Type C operators and 130 Type R operators) to complete and submit annual reports each year.  Type C operators will submit annual report data on DOT Form PHMS F7 100.2-1</w:t>
      </w:r>
      <w:r w:rsidR="00B96791">
        <w:t xml:space="preserve"> and </w:t>
      </w:r>
      <w:r w:rsidRPr="00523859">
        <w:t>Type R operators will submit annual report data on the new DOT Form PHMSA F7 100.2-3</w:t>
      </w:r>
      <w:r w:rsidR="00B96791">
        <w:t xml:space="preserve"> by March 15</w:t>
      </w:r>
      <w:r w:rsidRPr="00B96791" w:rsidR="00B96791">
        <w:rPr>
          <w:vertAlign w:val="superscript"/>
        </w:rPr>
        <w:t>th</w:t>
      </w:r>
      <w:r w:rsidR="00B96791">
        <w:t xml:space="preserve"> of each year for the preceding year.</w:t>
      </w:r>
    </w:p>
    <w:p w:rsidR="00523859" w:rsidP="00523859" w:rsidRDefault="00523859" w14:paraId="117BF02D" w14:textId="77777777">
      <w:pPr>
        <w:ind w:firstLine="720"/>
      </w:pPr>
    </w:p>
    <w:p w:rsidRPr="00523859" w:rsidR="00523859" w:rsidP="00523859" w:rsidRDefault="00523859" w14:paraId="07D70220" w14:textId="725DBF2C">
      <w:pPr>
        <w:ind w:firstLine="720"/>
      </w:pPr>
      <w:r w:rsidRPr="00523859">
        <w:t xml:space="preserve">Gas Gathering operators will also be required to make immediate telephonic notification of incidents, should they occur.  </w:t>
      </w:r>
      <w:bookmarkStart w:name="_Hlk86671722" w:id="3"/>
      <w:r w:rsidRPr="00523859">
        <w:t xml:space="preserve">PHMSA expects that these previously unregulated operators will make approximately 85 telephonic notifications of incidents per year. </w:t>
      </w:r>
      <w:bookmarkEnd w:id="3"/>
      <w:r w:rsidRPr="00523859">
        <w:t xml:space="preserve"> PHMSA estimates that it takes 30 minutes to complete a telephonic notification.  As such, the estimated burden for gas gathering operators to make immediate notification of incidents is approximately 43 hours.</w:t>
      </w:r>
    </w:p>
    <w:p w:rsidR="00523859" w:rsidP="00523859" w:rsidRDefault="00523859" w14:paraId="1F0067A3" w14:textId="77777777">
      <w:pPr>
        <w:pStyle w:val="NormalWeb"/>
        <w:shd w:val="clear" w:color="auto" w:fill="FFFFFF"/>
        <w:spacing w:line="240" w:lineRule="auto"/>
        <w:rPr>
          <w:rFonts w:eastAsia="Times New Roman"/>
        </w:rPr>
      </w:pPr>
    </w:p>
    <w:p w:rsidRPr="00523859" w:rsidR="00523859" w:rsidP="00523859" w:rsidRDefault="00523859" w14:paraId="5E792D56" w14:textId="6AB85FDE">
      <w:pPr>
        <w:pStyle w:val="NormalWeb"/>
        <w:shd w:val="clear" w:color="auto" w:fill="FFFFFF"/>
        <w:spacing w:line="240" w:lineRule="auto"/>
        <w:rPr>
          <w:rFonts w:eastAsia="Times New Roman"/>
        </w:rPr>
      </w:pPr>
      <w:r w:rsidRPr="00523859">
        <w:rPr>
          <w:rFonts w:eastAsia="Times New Roman"/>
        </w:rPr>
        <w:t xml:space="preserve">As a result of the provisions mentioned above, the burden for this information collection will increase by 585 new responses and </w:t>
      </w:r>
      <w:r w:rsidR="00D942E7">
        <w:rPr>
          <w:rFonts w:eastAsia="Times New Roman"/>
        </w:rPr>
        <w:t>20,163</w:t>
      </w:r>
      <w:r w:rsidRPr="00523859">
        <w:rPr>
          <w:rFonts w:eastAsia="Times New Roman"/>
        </w:rPr>
        <w:t xml:space="preserve"> burden hours. </w:t>
      </w:r>
    </w:p>
    <w:p w:rsidR="00523859" w:rsidP="00376728" w:rsidRDefault="00523859" w14:paraId="2D5FB9DD" w14:textId="77777777">
      <w:pPr>
        <w:rPr>
          <w:bCs/>
        </w:rPr>
      </w:pPr>
    </w:p>
    <w:p w:rsidRPr="004B4409" w:rsidR="00376728" w:rsidP="00376728" w:rsidRDefault="00376728" w14:paraId="7B9DF81E" w14:textId="55BF77B2">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rsidRDefault="00376728" w14:paraId="7644A39C" w14:textId="77777777"/>
    <w:p w:rsidR="00376728" w:rsidP="00376728" w:rsidRDefault="00376728" w14:paraId="42459CAB" w14:textId="77777777">
      <w:pPr>
        <w:rPr>
          <w:i/>
        </w:rPr>
      </w:pPr>
      <w:r>
        <w:t>PHMSA will summarize the incident and annual reports post the results on PHMSA’s website.</w:t>
      </w:r>
    </w:p>
    <w:p w:rsidR="00376728" w:rsidP="00376728" w:rsidRDefault="00376728" w14:paraId="039835D9" w14:textId="77777777"/>
    <w:p w:rsidRPr="004B4409" w:rsidR="00376728" w:rsidP="00376728" w:rsidRDefault="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rsidRDefault="00376728" w14:paraId="6F2AA9D7" w14:textId="77777777"/>
    <w:p w:rsidR="00376728" w:rsidP="00376728" w:rsidRDefault="00376728" w14:paraId="52C29464" w14:textId="77777777">
      <w:r>
        <w:t>PHMSA will display the expiration date.</w:t>
      </w:r>
    </w:p>
    <w:p w:rsidR="00376728" w:rsidP="00376728" w:rsidRDefault="00376728" w14:paraId="0DC3AC4E" w14:textId="77777777">
      <w:pPr>
        <w:rPr>
          <w:bCs/>
        </w:rPr>
      </w:pPr>
    </w:p>
    <w:p w:rsidRPr="004B4409" w:rsidR="00376728" w:rsidP="00376728" w:rsidRDefault="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rsidRDefault="00376728" w14:paraId="28DF712E" w14:textId="77777777">
      <w:pPr>
        <w:rPr>
          <w:u w:val="single"/>
        </w:rPr>
      </w:pPr>
    </w:p>
    <w:p w:rsidR="00376728" w:rsidP="00376728" w:rsidRDefault="00376728" w14:paraId="1F05A783" w14:textId="77777777">
      <w:pPr>
        <w:rPr>
          <w:bCs/>
        </w:rPr>
      </w:pPr>
      <w:r>
        <w:rPr>
          <w:bCs/>
        </w:rPr>
        <w:t>There are no exceptions to the certification statement.</w:t>
      </w:r>
    </w:p>
    <w:p w:rsidR="00376728" w:rsidP="00376728" w:rsidRDefault="00376728" w14:paraId="36F8101A" w14:textId="77777777">
      <w:pPr>
        <w:rPr>
          <w:bCs/>
        </w:rPr>
      </w:pPr>
    </w:p>
    <w:p w:rsidR="00AF32CB" w:rsidP="00A46EF4" w:rsidRDefault="00AF32CB"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name="OLE_LINK1" w:id="4"/>
      <w:bookmarkStart w:name="OLE_LINK2" w:id="5"/>
    </w:p>
    <w:bookmarkEnd w:id="4"/>
    <w:bookmarkEnd w:id="5"/>
    <w:p w:rsidRPr="00F81F83" w:rsidR="00AF32CB" w:rsidP="00A46EF4" w:rsidRDefault="00AF32CB"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Pr="00F81F83" w:rsidR="00AF32CB"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59D9" w14:textId="77777777" w:rsidR="0007000D" w:rsidRDefault="0007000D" w:rsidP="008063B7">
      <w:r>
        <w:separator/>
      </w:r>
    </w:p>
  </w:endnote>
  <w:endnote w:type="continuationSeparator" w:id="0">
    <w:p w14:paraId="41531019" w14:textId="77777777"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81365" w14:textId="4BF77A94"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C15AF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760F4" w14:textId="77777777" w:rsidR="0007000D" w:rsidRDefault="0007000D" w:rsidP="008063B7">
      <w:r>
        <w:separator/>
      </w:r>
    </w:p>
  </w:footnote>
  <w:footnote w:type="continuationSeparator" w:id="0">
    <w:p w14:paraId="7F69BFD7" w14:textId="77777777" w:rsidR="0007000D" w:rsidRDefault="0007000D" w:rsidP="008063B7">
      <w:r>
        <w:continuationSeparator/>
      </w:r>
    </w:p>
  </w:footnote>
  <w:footnote w:id="1">
    <w:p w14:paraId="1BF483C9" w14:textId="77777777" w:rsidR="0093431D" w:rsidRDefault="0093431D" w:rsidP="0093431D">
      <w:pPr>
        <w:pStyle w:val="FootnoteText"/>
      </w:pPr>
      <w:r>
        <w:rPr>
          <w:rStyle w:val="FootnoteReference"/>
        </w:rPr>
        <w:footnoteRef/>
      </w:r>
      <w:r>
        <w:t xml:space="preserve"> </w:t>
      </w:r>
      <w:r>
        <w:rPr>
          <w:color w:val="000000" w:themeColor="text1"/>
        </w:rPr>
        <w:t>The Technical Pipeline Safety Standards Committee, or GPAC, is an advisory committee, created pursuant to 49 U.S.C. 60115, that advises PHMSA on proposed safety standards, risk assessments, and safety policies for natural gas pipelines.  The GPAC was established under the Federal Advisory Committee Act (Pub. L. 92-463) and § 60115 of the Federal Pipeline Safety Law (49 U.S.C. 60101 et seq.).  The GPAC consists of 15 members, with membership divided among Federal and State agencies, the regulated industry, and the public.  The GPAC considers the “technical feasibility, reasonableness, cost-effectiveness, and practicability” of each proposed pipeline safety standard and provide PHMSA with recommended actions pertaining to those proposals.</w:t>
      </w:r>
    </w:p>
  </w:footnote>
  <w:footnote w:id="2">
    <w:p w14:paraId="7E3AB7B3" w14:textId="77777777" w:rsidR="005959AF" w:rsidRDefault="005959AF" w:rsidP="005959AF">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15:restartNumberingAfterBreak="0">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91927"/>
    <w:multiLevelType w:val="hybridMultilevel"/>
    <w:tmpl w:val="689E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1"/>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28"/>
    <w:rsid w:val="000039E9"/>
    <w:rsid w:val="000114ED"/>
    <w:rsid w:val="00022703"/>
    <w:rsid w:val="00024697"/>
    <w:rsid w:val="000273B3"/>
    <w:rsid w:val="00032140"/>
    <w:rsid w:val="000357B8"/>
    <w:rsid w:val="00043481"/>
    <w:rsid w:val="00054A49"/>
    <w:rsid w:val="00054B9D"/>
    <w:rsid w:val="00066868"/>
    <w:rsid w:val="0007000D"/>
    <w:rsid w:val="00070660"/>
    <w:rsid w:val="00073412"/>
    <w:rsid w:val="000B0275"/>
    <w:rsid w:val="000B2E17"/>
    <w:rsid w:val="000E3EA2"/>
    <w:rsid w:val="000F4CF4"/>
    <w:rsid w:val="00107392"/>
    <w:rsid w:val="001175E4"/>
    <w:rsid w:val="00122549"/>
    <w:rsid w:val="001263CB"/>
    <w:rsid w:val="001376BC"/>
    <w:rsid w:val="0014275C"/>
    <w:rsid w:val="00144F00"/>
    <w:rsid w:val="001457D4"/>
    <w:rsid w:val="00160A14"/>
    <w:rsid w:val="00165FB1"/>
    <w:rsid w:val="00173A6B"/>
    <w:rsid w:val="0017741A"/>
    <w:rsid w:val="001825EA"/>
    <w:rsid w:val="00183684"/>
    <w:rsid w:val="001A00B8"/>
    <w:rsid w:val="001B4315"/>
    <w:rsid w:val="001C3919"/>
    <w:rsid w:val="001D135F"/>
    <w:rsid w:val="001E6BBE"/>
    <w:rsid w:val="001F3CB9"/>
    <w:rsid w:val="001F3D85"/>
    <w:rsid w:val="001F6B64"/>
    <w:rsid w:val="002076A2"/>
    <w:rsid w:val="00227124"/>
    <w:rsid w:val="0025028B"/>
    <w:rsid w:val="0027529E"/>
    <w:rsid w:val="00287F94"/>
    <w:rsid w:val="0029541D"/>
    <w:rsid w:val="002A5A7C"/>
    <w:rsid w:val="002A7FBE"/>
    <w:rsid w:val="002B5544"/>
    <w:rsid w:val="002D0412"/>
    <w:rsid w:val="002F32B9"/>
    <w:rsid w:val="002F3D71"/>
    <w:rsid w:val="002F447C"/>
    <w:rsid w:val="00303DB1"/>
    <w:rsid w:val="003043E1"/>
    <w:rsid w:val="00313367"/>
    <w:rsid w:val="00352F4B"/>
    <w:rsid w:val="0035611E"/>
    <w:rsid w:val="003566F3"/>
    <w:rsid w:val="00357A52"/>
    <w:rsid w:val="00372063"/>
    <w:rsid w:val="00374DE0"/>
    <w:rsid w:val="00376728"/>
    <w:rsid w:val="00390EAD"/>
    <w:rsid w:val="0039172F"/>
    <w:rsid w:val="003C5D4A"/>
    <w:rsid w:val="003C61A2"/>
    <w:rsid w:val="003D4BF2"/>
    <w:rsid w:val="003D6686"/>
    <w:rsid w:val="00403669"/>
    <w:rsid w:val="004124FE"/>
    <w:rsid w:val="0041472A"/>
    <w:rsid w:val="00424026"/>
    <w:rsid w:val="00432088"/>
    <w:rsid w:val="00455CC4"/>
    <w:rsid w:val="004602FF"/>
    <w:rsid w:val="0047502B"/>
    <w:rsid w:val="00475741"/>
    <w:rsid w:val="00481952"/>
    <w:rsid w:val="00490540"/>
    <w:rsid w:val="00495772"/>
    <w:rsid w:val="004A2D46"/>
    <w:rsid w:val="004E5292"/>
    <w:rsid w:val="004E629F"/>
    <w:rsid w:val="004F153D"/>
    <w:rsid w:val="00500632"/>
    <w:rsid w:val="00505397"/>
    <w:rsid w:val="00515EA5"/>
    <w:rsid w:val="00520DF2"/>
    <w:rsid w:val="00523859"/>
    <w:rsid w:val="00534205"/>
    <w:rsid w:val="00535554"/>
    <w:rsid w:val="00542010"/>
    <w:rsid w:val="00544F07"/>
    <w:rsid w:val="00563569"/>
    <w:rsid w:val="0056456C"/>
    <w:rsid w:val="00587CEF"/>
    <w:rsid w:val="00593286"/>
    <w:rsid w:val="005959AF"/>
    <w:rsid w:val="005A36AB"/>
    <w:rsid w:val="005A4737"/>
    <w:rsid w:val="005C03FE"/>
    <w:rsid w:val="005C74D1"/>
    <w:rsid w:val="005E417B"/>
    <w:rsid w:val="005E64B4"/>
    <w:rsid w:val="005F2BE8"/>
    <w:rsid w:val="005F3DB4"/>
    <w:rsid w:val="005F416F"/>
    <w:rsid w:val="006077EB"/>
    <w:rsid w:val="00627F91"/>
    <w:rsid w:val="00632DBE"/>
    <w:rsid w:val="00637338"/>
    <w:rsid w:val="00640C62"/>
    <w:rsid w:val="0064392C"/>
    <w:rsid w:val="00667FA1"/>
    <w:rsid w:val="00673951"/>
    <w:rsid w:val="00685855"/>
    <w:rsid w:val="006978DC"/>
    <w:rsid w:val="006A03A1"/>
    <w:rsid w:val="006A04D6"/>
    <w:rsid w:val="006A2E1A"/>
    <w:rsid w:val="006B1E38"/>
    <w:rsid w:val="006B2792"/>
    <w:rsid w:val="006E1DC7"/>
    <w:rsid w:val="006F75A4"/>
    <w:rsid w:val="00706344"/>
    <w:rsid w:val="0071204F"/>
    <w:rsid w:val="0071571E"/>
    <w:rsid w:val="00716826"/>
    <w:rsid w:val="00717F03"/>
    <w:rsid w:val="00724380"/>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B2D48"/>
    <w:rsid w:val="007B3D50"/>
    <w:rsid w:val="007C33B8"/>
    <w:rsid w:val="007C3892"/>
    <w:rsid w:val="007C389F"/>
    <w:rsid w:val="007D5C2A"/>
    <w:rsid w:val="007E16CB"/>
    <w:rsid w:val="007E48BA"/>
    <w:rsid w:val="00801394"/>
    <w:rsid w:val="008031C7"/>
    <w:rsid w:val="008063B7"/>
    <w:rsid w:val="00833E10"/>
    <w:rsid w:val="008365E4"/>
    <w:rsid w:val="00861D96"/>
    <w:rsid w:val="00864F8D"/>
    <w:rsid w:val="00865A0B"/>
    <w:rsid w:val="00871BE4"/>
    <w:rsid w:val="00874E9C"/>
    <w:rsid w:val="00887DCF"/>
    <w:rsid w:val="008912EC"/>
    <w:rsid w:val="0089426E"/>
    <w:rsid w:val="008C1C10"/>
    <w:rsid w:val="008C5DF5"/>
    <w:rsid w:val="008D0146"/>
    <w:rsid w:val="008D6616"/>
    <w:rsid w:val="00910CE1"/>
    <w:rsid w:val="009111F0"/>
    <w:rsid w:val="009121DE"/>
    <w:rsid w:val="00931E3E"/>
    <w:rsid w:val="0093431D"/>
    <w:rsid w:val="00935CA7"/>
    <w:rsid w:val="00936673"/>
    <w:rsid w:val="00937119"/>
    <w:rsid w:val="00944529"/>
    <w:rsid w:val="00960D69"/>
    <w:rsid w:val="00960FC9"/>
    <w:rsid w:val="00964E71"/>
    <w:rsid w:val="0097287B"/>
    <w:rsid w:val="00980327"/>
    <w:rsid w:val="00983655"/>
    <w:rsid w:val="00985A9F"/>
    <w:rsid w:val="00987505"/>
    <w:rsid w:val="00993B83"/>
    <w:rsid w:val="009A2DC3"/>
    <w:rsid w:val="009A66B6"/>
    <w:rsid w:val="009B251B"/>
    <w:rsid w:val="009E1756"/>
    <w:rsid w:val="009E3397"/>
    <w:rsid w:val="009E6DCC"/>
    <w:rsid w:val="009F10B1"/>
    <w:rsid w:val="009F13DF"/>
    <w:rsid w:val="009F7E59"/>
    <w:rsid w:val="00A018AE"/>
    <w:rsid w:val="00A076D6"/>
    <w:rsid w:val="00A15E5C"/>
    <w:rsid w:val="00A23D30"/>
    <w:rsid w:val="00A36863"/>
    <w:rsid w:val="00A46EF4"/>
    <w:rsid w:val="00A61CE8"/>
    <w:rsid w:val="00A66F27"/>
    <w:rsid w:val="00A72CE8"/>
    <w:rsid w:val="00A73B2D"/>
    <w:rsid w:val="00A76880"/>
    <w:rsid w:val="00AA0F25"/>
    <w:rsid w:val="00AA41B1"/>
    <w:rsid w:val="00AA4B62"/>
    <w:rsid w:val="00AB1E64"/>
    <w:rsid w:val="00AB45A2"/>
    <w:rsid w:val="00AB5759"/>
    <w:rsid w:val="00AC0A57"/>
    <w:rsid w:val="00AC6E99"/>
    <w:rsid w:val="00AD60C1"/>
    <w:rsid w:val="00AE4DA5"/>
    <w:rsid w:val="00AF2B23"/>
    <w:rsid w:val="00AF32CB"/>
    <w:rsid w:val="00AF50F9"/>
    <w:rsid w:val="00AF67DF"/>
    <w:rsid w:val="00B12BBB"/>
    <w:rsid w:val="00B2010F"/>
    <w:rsid w:val="00B210DA"/>
    <w:rsid w:val="00B36D82"/>
    <w:rsid w:val="00B37988"/>
    <w:rsid w:val="00B47217"/>
    <w:rsid w:val="00B6625F"/>
    <w:rsid w:val="00B66E72"/>
    <w:rsid w:val="00B71696"/>
    <w:rsid w:val="00B809E8"/>
    <w:rsid w:val="00B96716"/>
    <w:rsid w:val="00B96791"/>
    <w:rsid w:val="00BA0D1B"/>
    <w:rsid w:val="00BA6E77"/>
    <w:rsid w:val="00BB19F5"/>
    <w:rsid w:val="00BD282A"/>
    <w:rsid w:val="00BF1307"/>
    <w:rsid w:val="00BF20D3"/>
    <w:rsid w:val="00C06182"/>
    <w:rsid w:val="00C15AF6"/>
    <w:rsid w:val="00C21471"/>
    <w:rsid w:val="00C341FE"/>
    <w:rsid w:val="00C34A58"/>
    <w:rsid w:val="00C35A6E"/>
    <w:rsid w:val="00C4648F"/>
    <w:rsid w:val="00C578CE"/>
    <w:rsid w:val="00C60E56"/>
    <w:rsid w:val="00C61500"/>
    <w:rsid w:val="00C66F47"/>
    <w:rsid w:val="00C766D1"/>
    <w:rsid w:val="00C906B8"/>
    <w:rsid w:val="00C92A17"/>
    <w:rsid w:val="00CA1D82"/>
    <w:rsid w:val="00CB7810"/>
    <w:rsid w:val="00CC2011"/>
    <w:rsid w:val="00CC56C1"/>
    <w:rsid w:val="00CE1FF7"/>
    <w:rsid w:val="00CE3167"/>
    <w:rsid w:val="00CE4CD3"/>
    <w:rsid w:val="00CF5CFB"/>
    <w:rsid w:val="00D0331D"/>
    <w:rsid w:val="00D0425F"/>
    <w:rsid w:val="00D053F7"/>
    <w:rsid w:val="00D05708"/>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42E7"/>
    <w:rsid w:val="00D967B1"/>
    <w:rsid w:val="00DA38F0"/>
    <w:rsid w:val="00DA57C4"/>
    <w:rsid w:val="00DB6BB6"/>
    <w:rsid w:val="00DB6D02"/>
    <w:rsid w:val="00DC0A08"/>
    <w:rsid w:val="00DC1282"/>
    <w:rsid w:val="00DC418F"/>
    <w:rsid w:val="00DD021A"/>
    <w:rsid w:val="00DE640B"/>
    <w:rsid w:val="00DE7CC5"/>
    <w:rsid w:val="00E0325D"/>
    <w:rsid w:val="00E036CB"/>
    <w:rsid w:val="00E03CFC"/>
    <w:rsid w:val="00E236CD"/>
    <w:rsid w:val="00E26BD1"/>
    <w:rsid w:val="00E27BB9"/>
    <w:rsid w:val="00E31867"/>
    <w:rsid w:val="00E3677C"/>
    <w:rsid w:val="00E545E5"/>
    <w:rsid w:val="00E56768"/>
    <w:rsid w:val="00E57603"/>
    <w:rsid w:val="00E71E86"/>
    <w:rsid w:val="00EA6572"/>
    <w:rsid w:val="00EA698A"/>
    <w:rsid w:val="00EB0AFA"/>
    <w:rsid w:val="00EC65B7"/>
    <w:rsid w:val="00EC7D79"/>
    <w:rsid w:val="00EE1FBD"/>
    <w:rsid w:val="00EE6A0A"/>
    <w:rsid w:val="00EF51DC"/>
    <w:rsid w:val="00F23FAC"/>
    <w:rsid w:val="00F24DC7"/>
    <w:rsid w:val="00F26AF1"/>
    <w:rsid w:val="00F3387A"/>
    <w:rsid w:val="00F3720E"/>
    <w:rsid w:val="00F4085F"/>
    <w:rsid w:val="00F418DE"/>
    <w:rsid w:val="00F50338"/>
    <w:rsid w:val="00F61815"/>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16E7"/>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 w:type="paragraph" w:styleId="NormalWeb">
    <w:name w:val="Normal (Web)"/>
    <w:basedOn w:val="Normal"/>
    <w:uiPriority w:val="99"/>
    <w:unhideWhenUsed/>
    <w:rsid w:val="00523859"/>
    <w:pPr>
      <w:spacing w:line="48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463813148">
      <w:bodyDiv w:val="1"/>
      <w:marLeft w:val="0"/>
      <w:marRight w:val="0"/>
      <w:marTop w:val="0"/>
      <w:marBottom w:val="0"/>
      <w:divBdr>
        <w:top w:val="none" w:sz="0" w:space="0" w:color="auto"/>
        <w:left w:val="none" w:sz="0" w:space="0" w:color="auto"/>
        <w:bottom w:val="none" w:sz="0" w:space="0" w:color="auto"/>
        <w:right w:val="none" w:sz="0" w:space="0" w:color="auto"/>
      </w:divBdr>
    </w:div>
    <w:div w:id="942222435">
      <w:bodyDiv w:val="1"/>
      <w:marLeft w:val="0"/>
      <w:marRight w:val="0"/>
      <w:marTop w:val="0"/>
      <w:marBottom w:val="0"/>
      <w:divBdr>
        <w:top w:val="none" w:sz="0" w:space="0" w:color="auto"/>
        <w:left w:val="none" w:sz="0" w:space="0" w:color="auto"/>
        <w:bottom w:val="none" w:sz="0" w:space="0" w:color="auto"/>
        <w:right w:val="none" w:sz="0" w:space="0" w:color="auto"/>
      </w:divBdr>
    </w:div>
    <w:div w:id="1023241416">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46854721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912BA-3457-4232-96CA-5FDB58C8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2021-11-01T19:26:00Z</dcterms:created>
  <dcterms:modified xsi:type="dcterms:W3CDTF">2021-12-02T17:01:00Z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