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B9D02" w14:textId="572816AB" w:rsidR="00B82E71" w:rsidRDefault="00C54DEB" w:rsidP="00C54DEB">
      <w:pPr>
        <w:spacing w:before="120"/>
        <w:rPr>
          <w:sz w:val="18"/>
          <w:szCs w:val="18"/>
        </w:rPr>
      </w:pPr>
      <w:bookmarkStart w:id="0" w:name="_GoBack"/>
      <w:bookmarkEnd w:id="0"/>
      <w:r w:rsidRPr="00BF2964">
        <w:rPr>
          <w:rFonts w:ascii="Calibri" w:hAnsi="Calibri" w:cs="Calibri"/>
          <w:noProof/>
          <w:sz w:val="20"/>
        </w:rPr>
        <mc:AlternateContent>
          <mc:Choice Requires="wps">
            <w:drawing>
              <wp:anchor distT="0" distB="0" distL="114300" distR="114300" simplePos="0" relativeHeight="251659264" behindDoc="0" locked="0" layoutInCell="1" allowOverlap="1" wp14:anchorId="36566A46" wp14:editId="37FA8021">
                <wp:simplePos x="0" y="0"/>
                <wp:positionH relativeFrom="margin">
                  <wp:align>left</wp:align>
                </wp:positionH>
                <wp:positionV relativeFrom="paragraph">
                  <wp:posOffset>32773</wp:posOffset>
                </wp:positionV>
                <wp:extent cx="5715000" cy="2219325"/>
                <wp:effectExtent l="0" t="0" r="19050" b="2159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19325"/>
                        </a:xfrm>
                        <a:prstGeom prst="rect">
                          <a:avLst/>
                        </a:prstGeom>
                        <a:solidFill>
                          <a:srgbClr val="FFFFFF"/>
                        </a:solidFill>
                        <a:ln w="9525">
                          <a:solidFill>
                            <a:srgbClr val="000000"/>
                          </a:solidFill>
                          <a:miter lim="800000"/>
                          <a:headEnd/>
                          <a:tailEnd/>
                        </a:ln>
                      </wps:spPr>
                      <wps:txbx>
                        <w:txbxContent>
                          <w:p w14:paraId="0F519C44" w14:textId="77777777" w:rsidR="00B82E71" w:rsidRPr="00300EED" w:rsidRDefault="00B82E71" w:rsidP="00C54DEB">
                            <w:pPr>
                              <w:spacing w:before="480" w:after="240"/>
                              <w:jc w:val="center"/>
                              <w:rPr>
                                <w:b/>
                                <w:szCs w:val="24"/>
                              </w:rPr>
                            </w:pPr>
                            <w:r w:rsidRPr="00300EED">
                              <w:rPr>
                                <w:b/>
                                <w:szCs w:val="24"/>
                              </w:rPr>
                              <w:t xml:space="preserve">U.S. Department </w:t>
                            </w:r>
                            <w:r>
                              <w:rPr>
                                <w:b/>
                                <w:szCs w:val="24"/>
                              </w:rPr>
                              <w:t>o</w:t>
                            </w:r>
                            <w:r w:rsidRPr="00300EED">
                              <w:rPr>
                                <w:b/>
                                <w:szCs w:val="24"/>
                              </w:rPr>
                              <w:t>f Housing and Urban Development</w:t>
                            </w:r>
                            <w:r w:rsidRPr="00300EED">
                              <w:rPr>
                                <w:b/>
                                <w:szCs w:val="24"/>
                              </w:rPr>
                              <w:br/>
                              <w:t>Office of Public and Indian Housing</w:t>
                            </w:r>
                          </w:p>
                          <w:p w14:paraId="48E48B75" w14:textId="3DAE00A9" w:rsidR="00B82E71" w:rsidRDefault="00B82E71" w:rsidP="00C54DEB">
                            <w:pPr>
                              <w:spacing w:before="240" w:after="480"/>
                              <w:jc w:val="center"/>
                              <w:rPr>
                                <w:b/>
                                <w:szCs w:val="24"/>
                              </w:rPr>
                            </w:pPr>
                            <w:r>
                              <w:rPr>
                                <w:b/>
                                <w:szCs w:val="24"/>
                              </w:rPr>
                              <w:t xml:space="preserve">ADDENDUM TO THE SECTION 8 </w:t>
                            </w:r>
                            <w:r w:rsidRPr="00300EED">
                              <w:rPr>
                                <w:b/>
                                <w:szCs w:val="24"/>
                              </w:rPr>
                              <w:t xml:space="preserve">PROJECT-BASED </w:t>
                            </w:r>
                            <w:r>
                              <w:rPr>
                                <w:b/>
                                <w:szCs w:val="24"/>
                              </w:rPr>
                              <w:t>VOUCHER PROGRAM</w:t>
                            </w:r>
                            <w:r w:rsidRPr="00300EED">
                              <w:rPr>
                                <w:b/>
                                <w:szCs w:val="24"/>
                              </w:rPr>
                              <w:br/>
                              <w:t>HOUSI</w:t>
                            </w:r>
                            <w:r>
                              <w:rPr>
                                <w:b/>
                                <w:szCs w:val="24"/>
                              </w:rPr>
                              <w:t xml:space="preserve">NG ASSISTANCE PAYMENTS CONTRACT </w:t>
                            </w:r>
                            <w:r w:rsidR="00C54DEB">
                              <w:rPr>
                                <w:b/>
                                <w:szCs w:val="24"/>
                              </w:rPr>
                              <w:t>–</w:t>
                            </w:r>
                            <w:r>
                              <w:rPr>
                                <w:b/>
                                <w:szCs w:val="24"/>
                              </w:rPr>
                              <w:t xml:space="preserve"> </w:t>
                            </w:r>
                            <w:r w:rsidR="00C54DEB">
                              <w:rPr>
                                <w:b/>
                                <w:szCs w:val="24"/>
                              </w:rPr>
                              <w:t>EXISTING HOUSING</w:t>
                            </w:r>
                          </w:p>
                          <w:p w14:paraId="02C6EE89" w14:textId="77777777" w:rsidR="00B82E71" w:rsidRDefault="00B82E71" w:rsidP="00C54DEB">
                            <w:pPr>
                              <w:spacing w:before="240" w:after="480"/>
                              <w:jc w:val="center"/>
                              <w:rPr>
                                <w:b/>
                                <w:szCs w:val="24"/>
                              </w:rPr>
                            </w:pPr>
                            <w:r>
                              <w:rPr>
                                <w:b/>
                                <w:szCs w:val="24"/>
                              </w:rPr>
                              <w:t>FOR PBC CONVERSIONS TO PBV</w:t>
                            </w:r>
                          </w:p>
                          <w:p w14:paraId="24B9A7E2" w14:textId="77777777" w:rsidR="00B82E71" w:rsidRDefault="00B82E71" w:rsidP="00C54DEB">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2.6pt;width:450pt;height:17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">
                <v:textbox style="mso-fit-shape-to-text:t">
                  <w:txbxContent>
                    <w:p w14:paraId="0F519C44" w14:textId="77777777" w:rsidR="00B82E71" w:rsidRPr="00300EED" w:rsidRDefault="00B82E71" w:rsidP="00C54DEB">
                      <w:pPr>
                        <w:spacing w:before="480" w:after="240"/>
                        <w:jc w:val="center"/>
                        <w:rPr>
                          <w:b/>
                          <w:szCs w:val="24"/>
                        </w:rPr>
                      </w:pPr>
                      <w:r w:rsidRPr="00300EED">
                        <w:rPr>
                          <w:b/>
                          <w:szCs w:val="24"/>
                        </w:rPr>
                        <w:t xml:space="preserve">U.S. Department </w:t>
                      </w:r>
                      <w:r>
                        <w:rPr>
                          <w:b/>
                          <w:szCs w:val="24"/>
                        </w:rPr>
                        <w:t>o</w:t>
                      </w:r>
                      <w:r w:rsidRPr="00300EED">
                        <w:rPr>
                          <w:b/>
                          <w:szCs w:val="24"/>
                        </w:rPr>
                        <w:t>f Housing and Urban Development</w:t>
                      </w:r>
                      <w:r w:rsidRPr="00300EED">
                        <w:rPr>
                          <w:b/>
                          <w:szCs w:val="24"/>
                        </w:rPr>
                        <w:br/>
                        <w:t>Office of Public and Indian Housing</w:t>
                      </w:r>
                    </w:p>
                    <w:p w14:paraId="48E48B75" w14:textId="3DAE00A9" w:rsidR="00B82E71" w:rsidRDefault="00B82E71" w:rsidP="00C54DEB">
                      <w:pPr>
                        <w:spacing w:before="240" w:after="480"/>
                        <w:jc w:val="center"/>
                        <w:rPr>
                          <w:b/>
                          <w:szCs w:val="24"/>
                        </w:rPr>
                      </w:pPr>
                      <w:r>
                        <w:rPr>
                          <w:b/>
                          <w:szCs w:val="24"/>
                        </w:rPr>
                        <w:t xml:space="preserve">ADDENDUM TO THE SECTION 8 </w:t>
                      </w:r>
                      <w:r w:rsidRPr="00300EED">
                        <w:rPr>
                          <w:b/>
                          <w:szCs w:val="24"/>
                        </w:rPr>
                        <w:t xml:space="preserve">PROJECT-BASED </w:t>
                      </w:r>
                      <w:r>
                        <w:rPr>
                          <w:b/>
                          <w:szCs w:val="24"/>
                        </w:rPr>
                        <w:t>VOUCHER PROGRAM</w:t>
                      </w:r>
                      <w:r w:rsidRPr="00300EED">
                        <w:rPr>
                          <w:b/>
                          <w:szCs w:val="24"/>
                        </w:rPr>
                        <w:br/>
                        <w:t>HOUSI</w:t>
                      </w:r>
                      <w:r>
                        <w:rPr>
                          <w:b/>
                          <w:szCs w:val="24"/>
                        </w:rPr>
                        <w:t xml:space="preserve">NG ASSISTANCE PAYMENTS CONTRACT </w:t>
                      </w:r>
                      <w:r w:rsidR="00C54DEB">
                        <w:rPr>
                          <w:b/>
                          <w:szCs w:val="24"/>
                        </w:rPr>
                        <w:t>–</w:t>
                      </w:r>
                      <w:r>
                        <w:rPr>
                          <w:b/>
                          <w:szCs w:val="24"/>
                        </w:rPr>
                        <w:t xml:space="preserve"> </w:t>
                      </w:r>
                      <w:r w:rsidR="00C54DEB">
                        <w:rPr>
                          <w:b/>
                          <w:szCs w:val="24"/>
                        </w:rPr>
                        <w:t>EXISTING HOUSING</w:t>
                      </w:r>
                    </w:p>
                    <w:p w14:paraId="02C6EE89" w14:textId="77777777" w:rsidR="00B82E71" w:rsidRDefault="00B82E71" w:rsidP="00C54DEB">
                      <w:pPr>
                        <w:spacing w:before="240" w:after="480"/>
                        <w:jc w:val="center"/>
                        <w:rPr>
                          <w:b/>
                          <w:szCs w:val="24"/>
                        </w:rPr>
                      </w:pPr>
                      <w:r>
                        <w:rPr>
                          <w:b/>
                          <w:szCs w:val="24"/>
                        </w:rPr>
                        <w:t>FOR PBC CONVERSIONS TO PBV</w:t>
                      </w:r>
                    </w:p>
                    <w:p w14:paraId="24B9A7E2" w14:textId="77777777" w:rsidR="00B82E71" w:rsidRDefault="00B82E71" w:rsidP="00C54DEB">
                      <w:pPr>
                        <w:jc w:val="center"/>
                      </w:pPr>
                    </w:p>
                  </w:txbxContent>
                </v:textbox>
                <w10:wrap type="square" anchorx="margin"/>
              </v:shape>
            </w:pict>
          </mc:Fallback>
        </mc:AlternateContent>
      </w:r>
      <w:r w:rsidR="00B82E71">
        <w:rPr>
          <w:sz w:val="18"/>
          <w:szCs w:val="18"/>
        </w:rPr>
        <w:t xml:space="preserve">Public reporting burden for this collection of information is estimated to average </w:t>
      </w:r>
      <w:r w:rsidR="00B82E71">
        <w:rPr>
          <w:bCs/>
          <w:sz w:val="18"/>
          <w:szCs w:val="18"/>
        </w:rPr>
        <w:t>.15</w:t>
      </w:r>
      <w:r w:rsidR="00B82E71">
        <w:rPr>
          <w:sz w:val="18"/>
          <w:szCs w:val="18"/>
        </w:rPr>
        <w:t xml:space="preserve"> hours.  This includes the time for collecting, reviewing and reporting the data.  The information is being collected as required by 24 CFR 983.10, which requires execution of a PBV HAP contract addendum for renewal of PBC assistance as PBV assistance.  </w:t>
      </w:r>
      <w:r w:rsidR="00B82E71" w:rsidRPr="00662086">
        <w:rPr>
          <w:sz w:val="18"/>
          <w:szCs w:val="18"/>
        </w:rPr>
        <w:t>This agency may not conduct or sponsor, and a person is not required to respond to, a collection of information unless that collection displays a valid OMB control number. Assurances of confidentiality are not provided under this collection.</w:t>
      </w:r>
    </w:p>
    <w:p w14:paraId="126338C9" w14:textId="77777777" w:rsidR="00B82E71" w:rsidRDefault="00B82E71" w:rsidP="00B82E71">
      <w:pPr>
        <w:rPr>
          <w:rFonts w:ascii="Calibri" w:hAnsi="Calibri" w:cs="Calibri"/>
          <w:sz w:val="20"/>
        </w:rPr>
      </w:pPr>
    </w:p>
    <w:p w14:paraId="03863AE9" w14:textId="77777777" w:rsidR="00B82E71" w:rsidRPr="00F51134" w:rsidRDefault="00B82E71" w:rsidP="00B82E71">
      <w:pPr>
        <w:rPr>
          <w:sz w:val="18"/>
          <w:szCs w:val="18"/>
        </w:rPr>
      </w:pPr>
      <w:r w:rsidRPr="00890EF9">
        <w:rPr>
          <w:sz w:val="18"/>
          <w:szCs w:val="18"/>
        </w:rPr>
        <w:t xml:space="preserve">Privacy Act Statement.  </w:t>
      </w:r>
      <w:r w:rsidRPr="00F51134">
        <w:rPr>
          <w:sz w:val="18"/>
          <w:szCs w:val="18"/>
        </w:rPr>
        <w:t>HUD is committed to protecting the privacy of individuals’ information stored electronically or in paper form, in accordance with federal privacy laws, guidance, and best practices. HUD expects</w:t>
      </w:r>
      <w:r>
        <w:rPr>
          <w:sz w:val="18"/>
          <w:szCs w:val="18"/>
        </w:rPr>
        <w:t xml:space="preserve"> i</w:t>
      </w:r>
      <w:r w:rsidRPr="00F51134">
        <w:rPr>
          <w:sz w:val="18"/>
          <w:szCs w:val="18"/>
        </w:rPr>
        <w:t>ts third-party</w:t>
      </w:r>
      <w:r>
        <w:rPr>
          <w:sz w:val="18"/>
          <w:szCs w:val="18"/>
        </w:rPr>
        <w:t xml:space="preserve"> </w:t>
      </w:r>
      <w:r w:rsidRPr="00F51134">
        <w:rPr>
          <w:sz w:val="18"/>
          <w:szCs w:val="18"/>
        </w:rPr>
        <w:t>business partners, including Public Housing Authorities, who collect, use maintain, or disseminate HUD information to protect the privacy of that information in</w:t>
      </w:r>
      <w:r>
        <w:rPr>
          <w:sz w:val="18"/>
          <w:szCs w:val="18"/>
        </w:rPr>
        <w:t xml:space="preserve"> </w:t>
      </w:r>
      <w:r w:rsidRPr="00F51134">
        <w:rPr>
          <w:sz w:val="18"/>
          <w:szCs w:val="18"/>
        </w:rPr>
        <w:t>Accordance with applicable law.</w:t>
      </w:r>
    </w:p>
    <w:p w14:paraId="4F8E9F7C" w14:textId="77777777" w:rsidR="00B82E71" w:rsidRDefault="00B82E71" w:rsidP="00B82E71">
      <w:pPr>
        <w:numPr>
          <w:ilvl w:val="0"/>
          <w:numId w:val="1"/>
        </w:numPr>
        <w:spacing w:before="548" w:line="273" w:lineRule="exact"/>
        <w:textAlignment w:val="baseline"/>
        <w:rPr>
          <w:rFonts w:eastAsia="Times New Roman"/>
          <w:b/>
          <w:color w:val="000000"/>
          <w:spacing w:val="1"/>
          <w:sz w:val="24"/>
        </w:rPr>
      </w:pPr>
      <w:r>
        <w:rPr>
          <w:rFonts w:eastAsia="Times New Roman"/>
          <w:b/>
          <w:color w:val="000000"/>
          <w:spacing w:val="1"/>
          <w:sz w:val="24"/>
        </w:rPr>
        <w:t>Purpose</w:t>
      </w:r>
    </w:p>
    <w:p w14:paraId="2D8943A5" w14:textId="627825C1" w:rsidR="00B82E71" w:rsidRDefault="00B82E71" w:rsidP="00B82E71">
      <w:pPr>
        <w:spacing w:before="276" w:line="277" w:lineRule="exact"/>
        <w:ind w:left="720" w:right="72"/>
        <w:textAlignment w:val="baseline"/>
        <w:rPr>
          <w:rFonts w:eastAsia="Times New Roman"/>
          <w:color w:val="000000"/>
          <w:sz w:val="24"/>
        </w:rPr>
      </w:pPr>
      <w:r>
        <w:rPr>
          <w:rFonts w:eastAsia="Times New Roman"/>
          <w:color w:val="000000"/>
          <w:sz w:val="24"/>
        </w:rPr>
        <w:t>This addendum is to be executed between the Public Housing Agency (PHA) and the owner when an expiring project-based certificate (PBC) HAP contract is renewed or extended (hereinafter, renewed) under the project-based voucher (PBV) program pursuant to section 6904 of the Troop Readiness, Veterans' Care, Katrina Recovery, and Iraq Accountability Appropriations Act, 2007, Pub. L. No. 110-28, as implemented in HUD regulations at 24 CFR §983.10.</w:t>
      </w:r>
    </w:p>
    <w:p w14:paraId="05F4E47E" w14:textId="77777777" w:rsidR="00B82E71" w:rsidRDefault="00B82E71" w:rsidP="00B82E71">
      <w:pPr>
        <w:numPr>
          <w:ilvl w:val="0"/>
          <w:numId w:val="1"/>
        </w:numPr>
        <w:spacing w:before="280" w:line="273" w:lineRule="exact"/>
        <w:textAlignment w:val="baseline"/>
        <w:rPr>
          <w:rFonts w:eastAsia="Times New Roman"/>
          <w:b/>
          <w:color w:val="000000"/>
          <w:sz w:val="24"/>
        </w:rPr>
      </w:pPr>
      <w:r>
        <w:rPr>
          <w:rFonts w:eastAsia="Times New Roman"/>
          <w:b/>
          <w:color w:val="000000"/>
          <w:sz w:val="24"/>
        </w:rPr>
        <w:t>Renewal Process</w:t>
      </w:r>
    </w:p>
    <w:p w14:paraId="1EEE5732" w14:textId="4E781098" w:rsidR="00B82E71" w:rsidRDefault="00B82E71" w:rsidP="00B82E71">
      <w:pPr>
        <w:spacing w:before="275" w:line="277" w:lineRule="exact"/>
        <w:ind w:left="720" w:right="72"/>
        <w:textAlignment w:val="baseline"/>
        <w:rPr>
          <w:rFonts w:eastAsia="Times New Roman"/>
          <w:color w:val="000000"/>
          <w:sz w:val="24"/>
        </w:rPr>
      </w:pPr>
      <w:r>
        <w:rPr>
          <w:rFonts w:eastAsia="Times New Roman"/>
          <w:color w:val="000000"/>
          <w:sz w:val="24"/>
        </w:rPr>
        <w:t>Upon the request of the owner, the PHA may</w:t>
      </w:r>
      <w:r w:rsidR="002A0F71">
        <w:rPr>
          <w:rFonts w:eastAsia="Times New Roman"/>
          <w:color w:val="000000"/>
          <w:sz w:val="24"/>
        </w:rPr>
        <w:t>, at its sole discretion,</w:t>
      </w:r>
      <w:r>
        <w:rPr>
          <w:rFonts w:eastAsia="Times New Roman"/>
          <w:color w:val="000000"/>
          <w:sz w:val="24"/>
        </w:rPr>
        <w:t xml:space="preserve"> renew an expiring PBC contract under the PBV program for an initial renewal term of not less than one year and not more than twenty years, subject to the availability of sufficient appropriated funding. The PHA must make a determination, within one year before expiration of the PBC contract, that renewal of the contract under the PBV program is appropriate to continue providing affordable housing for low-income families. The renewal is effectuated by executing this addendum along with the PBV Existing Housing HAP Contract.</w:t>
      </w:r>
    </w:p>
    <w:p w14:paraId="6F216E6F" w14:textId="77777777" w:rsidR="00FF77E8" w:rsidRDefault="00FF77E8" w:rsidP="00B82E71">
      <w:pPr>
        <w:spacing w:before="275" w:line="277" w:lineRule="exact"/>
        <w:ind w:left="720" w:right="72"/>
        <w:textAlignment w:val="baseline"/>
        <w:rPr>
          <w:rFonts w:eastAsia="Times New Roman"/>
          <w:color w:val="000000"/>
          <w:sz w:val="24"/>
        </w:rPr>
      </w:pPr>
    </w:p>
    <w:p w14:paraId="192FC07A" w14:textId="77777777" w:rsidR="00B82E71" w:rsidRDefault="00B82E71" w:rsidP="00B82E71">
      <w:pPr>
        <w:numPr>
          <w:ilvl w:val="0"/>
          <w:numId w:val="1"/>
        </w:numPr>
        <w:spacing w:before="271" w:line="273" w:lineRule="exact"/>
        <w:textAlignment w:val="baseline"/>
        <w:rPr>
          <w:rFonts w:eastAsia="Times New Roman"/>
          <w:b/>
          <w:color w:val="000000"/>
          <w:spacing w:val="-1"/>
          <w:sz w:val="24"/>
        </w:rPr>
      </w:pPr>
      <w:r>
        <w:rPr>
          <w:rFonts w:eastAsia="Times New Roman"/>
          <w:b/>
          <w:color w:val="000000"/>
          <w:spacing w:val="-1"/>
          <w:sz w:val="24"/>
        </w:rPr>
        <w:lastRenderedPageBreak/>
        <w:t>HUD Requirements</w:t>
      </w:r>
    </w:p>
    <w:p w14:paraId="57F7C8FB" w14:textId="6A9CB133" w:rsidR="00B82E71" w:rsidRDefault="00B82E71" w:rsidP="00B82E71">
      <w:pPr>
        <w:spacing w:before="268" w:line="277" w:lineRule="exact"/>
        <w:ind w:left="720"/>
        <w:textAlignment w:val="baseline"/>
        <w:rPr>
          <w:rFonts w:eastAsia="Times New Roman"/>
          <w:color w:val="000000"/>
          <w:sz w:val="24"/>
        </w:rPr>
      </w:pPr>
      <w:r>
        <w:rPr>
          <w:rFonts w:eastAsia="Times New Roman"/>
          <w:color w:val="000000"/>
          <w:sz w:val="24"/>
        </w:rPr>
        <w:t xml:space="preserve">The owner must comply with all HUD requirements, as </w:t>
      </w:r>
      <w:r w:rsidR="008F7068">
        <w:rPr>
          <w:rFonts w:eastAsia="Times New Roman"/>
          <w:color w:val="000000"/>
          <w:sz w:val="24"/>
        </w:rPr>
        <w:t>stated</w:t>
      </w:r>
      <w:r>
        <w:rPr>
          <w:rFonts w:eastAsia="Times New Roman"/>
          <w:color w:val="000000"/>
          <w:sz w:val="24"/>
        </w:rPr>
        <w:t xml:space="preserve"> in the PBV Existing Housing HAP Contract. This addendum must be interpreted and implemented in accordance with all statutory requirements, and with all HUD requirements, including any amendments or changes in HUD requirements.</w:t>
      </w:r>
    </w:p>
    <w:p w14:paraId="57E63C05" w14:textId="7901FB49" w:rsidR="00B82E71" w:rsidRDefault="00B82E71" w:rsidP="00B82E71">
      <w:pPr>
        <w:numPr>
          <w:ilvl w:val="0"/>
          <w:numId w:val="1"/>
        </w:numPr>
        <w:spacing w:before="285" w:line="273" w:lineRule="exact"/>
        <w:textAlignment w:val="baseline"/>
        <w:rPr>
          <w:rFonts w:eastAsia="Times New Roman"/>
          <w:b/>
          <w:color w:val="000000"/>
          <w:spacing w:val="-1"/>
          <w:sz w:val="24"/>
        </w:rPr>
      </w:pPr>
      <w:r>
        <w:rPr>
          <w:rFonts w:eastAsia="Times New Roman"/>
          <w:b/>
          <w:color w:val="000000"/>
          <w:spacing w:val="-1"/>
          <w:sz w:val="24"/>
        </w:rPr>
        <w:t>Renewal Rents</w:t>
      </w:r>
    </w:p>
    <w:p w14:paraId="2B358ECA" w14:textId="61970D4F" w:rsidR="00B82E71" w:rsidRDefault="00977B41" w:rsidP="00B82E71">
      <w:pPr>
        <w:pStyle w:val="ListParagraph"/>
        <w:rPr>
          <w:rFonts w:eastAsia="Times New Roman"/>
          <w:color w:val="000000"/>
          <w:sz w:val="24"/>
        </w:rPr>
      </w:pPr>
      <w:r>
        <w:rPr>
          <w:rFonts w:eastAsia="Times New Roman"/>
          <w:color w:val="000000"/>
          <w:sz w:val="24"/>
        </w:rPr>
        <w:t>I</w:t>
      </w:r>
      <w:r w:rsidR="00B82E71" w:rsidRPr="00B82E71">
        <w:rPr>
          <w:rFonts w:eastAsia="Times New Roman"/>
          <w:color w:val="000000"/>
          <w:sz w:val="24"/>
        </w:rPr>
        <w:t xml:space="preserve">nitial </w:t>
      </w:r>
      <w:r>
        <w:rPr>
          <w:rFonts w:eastAsia="Times New Roman"/>
          <w:color w:val="000000"/>
          <w:sz w:val="24"/>
        </w:rPr>
        <w:t>and re-determined rents</w:t>
      </w:r>
      <w:r w:rsidR="00B82E71" w:rsidRPr="00B82E71">
        <w:rPr>
          <w:rFonts w:eastAsia="Times New Roman"/>
          <w:color w:val="000000"/>
          <w:sz w:val="24"/>
        </w:rPr>
        <w:t xml:space="preserve"> for a PBC contract renewed under the PBV program shall be established in accordance </w:t>
      </w:r>
      <w:r w:rsidRPr="00B82E71">
        <w:rPr>
          <w:rFonts w:eastAsia="Times New Roman"/>
          <w:color w:val="000000"/>
          <w:sz w:val="24"/>
        </w:rPr>
        <w:t>with HUD requirements, including 24 CFR part 983, subpart G—Rent</w:t>
      </w:r>
      <w:r>
        <w:rPr>
          <w:rFonts w:eastAsia="Times New Roman"/>
          <w:color w:val="000000"/>
          <w:sz w:val="24"/>
        </w:rPr>
        <w:t xml:space="preserve"> to Owner. </w:t>
      </w:r>
    </w:p>
    <w:p w14:paraId="1EF3D75A" w14:textId="77777777" w:rsidR="00B82E71" w:rsidRPr="00B82E71" w:rsidRDefault="00B82E71" w:rsidP="00B82E71">
      <w:pPr>
        <w:pStyle w:val="ListParagraph"/>
        <w:rPr>
          <w:rFonts w:eastAsia="Times New Roman"/>
          <w:color w:val="000000"/>
          <w:sz w:val="24"/>
        </w:rPr>
      </w:pPr>
    </w:p>
    <w:p w14:paraId="6A64E501" w14:textId="6B915296" w:rsidR="00B82E71" w:rsidRPr="00B82E71" w:rsidRDefault="00B82E71" w:rsidP="00B82E71">
      <w:pPr>
        <w:pStyle w:val="ListParagraph"/>
        <w:numPr>
          <w:ilvl w:val="0"/>
          <w:numId w:val="1"/>
        </w:numPr>
        <w:ind w:left="0"/>
        <w:rPr>
          <w:rFonts w:eastAsia="Times New Roman"/>
          <w:color w:val="000000"/>
          <w:sz w:val="24"/>
        </w:rPr>
      </w:pPr>
      <w:r w:rsidRPr="00B82E71">
        <w:rPr>
          <w:rFonts w:eastAsia="Times New Roman"/>
          <w:b/>
          <w:color w:val="000000"/>
          <w:sz w:val="24"/>
        </w:rPr>
        <w:t>Provisions Not Applicable to PBC Contracts Renewed Under the PBV Program</w:t>
      </w:r>
    </w:p>
    <w:p w14:paraId="4110274B" w14:textId="77777777" w:rsidR="00B82E71" w:rsidRDefault="00B82E71" w:rsidP="00B82E71">
      <w:pPr>
        <w:pStyle w:val="ListParagraph"/>
        <w:ind w:left="0"/>
        <w:rPr>
          <w:rFonts w:eastAsia="Times New Roman"/>
          <w:color w:val="000000"/>
          <w:sz w:val="24"/>
        </w:rPr>
      </w:pPr>
    </w:p>
    <w:p w14:paraId="61663832" w14:textId="7E697347" w:rsidR="001300DE" w:rsidRDefault="00B82E71" w:rsidP="00B82E71">
      <w:pPr>
        <w:pStyle w:val="ListParagraph"/>
        <w:rPr>
          <w:rFonts w:eastAsia="Times New Roman"/>
          <w:color w:val="000000"/>
          <w:sz w:val="24"/>
        </w:rPr>
      </w:pPr>
      <w:r w:rsidRPr="00B82E71">
        <w:rPr>
          <w:rFonts w:eastAsia="Times New Roman"/>
          <w:color w:val="000000"/>
          <w:sz w:val="24"/>
        </w:rPr>
        <w:t xml:space="preserve">A. </w:t>
      </w:r>
      <w:r w:rsidR="001300DE">
        <w:rPr>
          <w:rFonts w:eastAsia="Times New Roman"/>
          <w:color w:val="000000"/>
          <w:sz w:val="24"/>
        </w:rPr>
        <w:t xml:space="preserve"> The following regulatory provisions do not apply to PBC contracts renewed under the PBV program: 24 CFR 983.51 concerning owner proposal selection procedures, 24 CFR 983.56, concerning income-mixing requirements, and 24 CFR 983.57</w:t>
      </w:r>
      <w:r w:rsidR="004605BF">
        <w:rPr>
          <w:rFonts w:eastAsia="Times New Roman"/>
          <w:color w:val="000000"/>
          <w:sz w:val="24"/>
        </w:rPr>
        <w:t>(b)(1)</w:t>
      </w:r>
      <w:r w:rsidR="001300DE">
        <w:rPr>
          <w:rFonts w:eastAsia="Times New Roman"/>
          <w:color w:val="000000"/>
          <w:sz w:val="24"/>
        </w:rPr>
        <w:t xml:space="preserve"> concerning site selection standards.  </w:t>
      </w:r>
    </w:p>
    <w:p w14:paraId="2F48E5F8" w14:textId="77777777" w:rsidR="001300DE" w:rsidRDefault="001300DE" w:rsidP="00B82E71">
      <w:pPr>
        <w:pStyle w:val="ListParagraph"/>
        <w:rPr>
          <w:rFonts w:eastAsia="Times New Roman"/>
          <w:color w:val="000000"/>
          <w:sz w:val="24"/>
        </w:rPr>
      </w:pPr>
    </w:p>
    <w:p w14:paraId="5D0C7676" w14:textId="3F882C2B" w:rsidR="00B82E71" w:rsidRDefault="001300DE" w:rsidP="00B82E71">
      <w:pPr>
        <w:pStyle w:val="ListParagraph"/>
        <w:rPr>
          <w:rFonts w:eastAsia="Times New Roman"/>
          <w:color w:val="000000"/>
          <w:sz w:val="24"/>
        </w:rPr>
      </w:pPr>
      <w:r>
        <w:rPr>
          <w:rFonts w:eastAsia="Times New Roman"/>
          <w:color w:val="000000"/>
          <w:sz w:val="24"/>
        </w:rPr>
        <w:t xml:space="preserve">B.  Additionally, </w:t>
      </w:r>
      <w:r w:rsidR="00B82E71" w:rsidRPr="00B82E71">
        <w:rPr>
          <w:rFonts w:eastAsia="Times New Roman"/>
          <w:color w:val="000000"/>
          <w:sz w:val="24"/>
        </w:rPr>
        <w:t>Section 8(o)(13)(C) of the 1937 Ac</w:t>
      </w:r>
      <w:r>
        <w:rPr>
          <w:rFonts w:eastAsia="Times New Roman"/>
          <w:color w:val="000000"/>
          <w:sz w:val="24"/>
        </w:rPr>
        <w:t xml:space="preserve">t - </w:t>
      </w:r>
      <w:r w:rsidR="00B82E71" w:rsidRPr="00B82E71">
        <w:rPr>
          <w:rFonts w:eastAsia="Times New Roman"/>
          <w:color w:val="000000"/>
          <w:sz w:val="24"/>
        </w:rPr>
        <w:t xml:space="preserve">Consistency </w:t>
      </w:r>
      <w:r>
        <w:rPr>
          <w:rFonts w:eastAsia="Times New Roman"/>
          <w:color w:val="000000"/>
          <w:sz w:val="24"/>
        </w:rPr>
        <w:t>w</w:t>
      </w:r>
      <w:r w:rsidR="00B82E71" w:rsidRPr="00B82E71">
        <w:rPr>
          <w:rFonts w:eastAsia="Times New Roman"/>
          <w:color w:val="000000"/>
          <w:sz w:val="24"/>
        </w:rPr>
        <w:t>ith PHA Plans and Other Goals</w:t>
      </w:r>
      <w:r>
        <w:rPr>
          <w:rFonts w:eastAsia="Times New Roman"/>
          <w:color w:val="000000"/>
          <w:sz w:val="24"/>
        </w:rPr>
        <w:t>, does not apply to PBC contracts renewed under the PBV program</w:t>
      </w:r>
      <w:r w:rsidR="00B82E71" w:rsidRPr="00B82E71">
        <w:rPr>
          <w:rFonts w:eastAsia="Times New Roman"/>
          <w:color w:val="000000"/>
          <w:sz w:val="24"/>
        </w:rPr>
        <w:t>.</w:t>
      </w:r>
    </w:p>
    <w:p w14:paraId="66133B9F" w14:textId="77777777" w:rsidR="00033264" w:rsidRPr="00B82E71" w:rsidRDefault="00033264" w:rsidP="00B82E71">
      <w:pPr>
        <w:pStyle w:val="ListParagraph"/>
        <w:rPr>
          <w:rFonts w:eastAsia="Times New Roman"/>
          <w:color w:val="000000"/>
          <w:sz w:val="24"/>
        </w:rPr>
      </w:pPr>
    </w:p>
    <w:p w14:paraId="297E875E" w14:textId="734C8450" w:rsidR="00896464" w:rsidRDefault="00896464" w:rsidP="00B82E71"/>
    <w:p w14:paraId="1B6F2708" w14:textId="77777777" w:rsidR="00033264" w:rsidRDefault="00033264" w:rsidP="00B82E71"/>
    <w:p w14:paraId="72605AA3" w14:textId="7582148D" w:rsidR="00896464" w:rsidRDefault="00896464" w:rsidP="00B82E71"/>
    <w:tbl>
      <w:tblPr>
        <w:tblW w:w="8762" w:type="dxa"/>
        <w:jc w:val="center"/>
        <w:tblLayout w:type="fixed"/>
        <w:tblCellMar>
          <w:left w:w="0" w:type="dxa"/>
          <w:right w:w="0" w:type="dxa"/>
        </w:tblCellMar>
        <w:tblLook w:val="0000" w:firstRow="0" w:lastRow="0" w:firstColumn="0" w:lastColumn="0" w:noHBand="0" w:noVBand="0"/>
      </w:tblPr>
      <w:tblGrid>
        <w:gridCol w:w="8762"/>
      </w:tblGrid>
      <w:tr w:rsidR="00896464" w:rsidRPr="00D505DD" w14:paraId="3BBF48E7" w14:textId="77777777" w:rsidTr="00033264">
        <w:trPr>
          <w:trHeight w:hRule="exact" w:val="1872"/>
          <w:jc w:val="center"/>
        </w:trPr>
        <w:tc>
          <w:tcPr>
            <w:tcW w:w="8762" w:type="dxa"/>
            <w:tcBorders>
              <w:top w:val="single" w:sz="4" w:space="0" w:color="auto"/>
              <w:left w:val="single" w:sz="4" w:space="0" w:color="auto"/>
              <w:bottom w:val="single" w:sz="4" w:space="0" w:color="auto"/>
              <w:right w:val="single" w:sz="4" w:space="0" w:color="auto"/>
            </w:tcBorders>
          </w:tcPr>
          <w:p w14:paraId="58B7ED1B" w14:textId="77777777" w:rsidR="00896464" w:rsidRPr="00625D74" w:rsidRDefault="00896464" w:rsidP="006E12D0">
            <w:pPr>
              <w:spacing w:before="120" w:after="120"/>
              <w:rPr>
                <w:b/>
              </w:rPr>
            </w:pPr>
            <w:r w:rsidRPr="00625D74">
              <w:rPr>
                <w:b/>
              </w:rPr>
              <w:t>PUBLIC HOUSING AGENCY (PHA)</w:t>
            </w:r>
          </w:p>
          <w:p w14:paraId="231019EC" w14:textId="77777777" w:rsidR="00896464" w:rsidRPr="00625D74" w:rsidRDefault="00896464" w:rsidP="006E12D0">
            <w:pPr>
              <w:spacing w:before="120" w:after="120"/>
              <w:rPr>
                <w:b/>
              </w:rPr>
            </w:pPr>
            <w:r w:rsidRPr="00625D74">
              <w:rPr>
                <w:b/>
              </w:rPr>
              <w:t>Name of PHA (Print)</w:t>
            </w:r>
          </w:p>
        </w:tc>
      </w:tr>
      <w:tr w:rsidR="00896464" w:rsidRPr="00D505DD" w14:paraId="5FC2EEA6"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vAlign w:val="center"/>
          </w:tcPr>
          <w:p w14:paraId="345C9B6A" w14:textId="77777777" w:rsidR="00896464" w:rsidRPr="00D505DD" w:rsidRDefault="00896464" w:rsidP="006E12D0">
            <w:pPr>
              <w:spacing w:before="120" w:after="120"/>
            </w:pPr>
            <w:r>
              <w:t>By:</w:t>
            </w:r>
          </w:p>
        </w:tc>
      </w:tr>
      <w:tr w:rsidR="00896464" w:rsidRPr="00D505DD" w14:paraId="3E67BEA1"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544A3889" w14:textId="77777777" w:rsidR="00896464" w:rsidRPr="00D505DD" w:rsidRDefault="00896464" w:rsidP="006E12D0">
            <w:pPr>
              <w:spacing w:after="120"/>
            </w:pPr>
            <w:r>
              <w:t>S</w:t>
            </w:r>
            <w:r w:rsidRPr="00D505DD">
              <w:t>ignature of authorized representative</w:t>
            </w:r>
          </w:p>
        </w:tc>
      </w:tr>
      <w:tr w:rsidR="00896464" w:rsidRPr="00D505DD" w14:paraId="4D1F2B08" w14:textId="77777777" w:rsidTr="00033264">
        <w:trPr>
          <w:trHeight w:hRule="exact" w:val="864"/>
          <w:jc w:val="center"/>
        </w:trPr>
        <w:tc>
          <w:tcPr>
            <w:tcW w:w="8762" w:type="dxa"/>
            <w:tcBorders>
              <w:top w:val="single" w:sz="4" w:space="0" w:color="auto"/>
              <w:left w:val="single" w:sz="4" w:space="0" w:color="auto"/>
              <w:bottom w:val="single" w:sz="4" w:space="0" w:color="auto"/>
              <w:right w:val="single" w:sz="4" w:space="0" w:color="auto"/>
            </w:tcBorders>
          </w:tcPr>
          <w:p w14:paraId="2D08FEAE" w14:textId="77777777" w:rsidR="00896464" w:rsidRPr="00D505DD" w:rsidRDefault="00896464" w:rsidP="006E12D0">
            <w:pPr>
              <w:spacing w:after="120"/>
            </w:pPr>
          </w:p>
        </w:tc>
      </w:tr>
      <w:tr w:rsidR="00896464" w:rsidRPr="00D505DD" w14:paraId="2C48F8C8"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3FC2B93C" w14:textId="77777777" w:rsidR="00896464" w:rsidRPr="00D505DD" w:rsidRDefault="00896464" w:rsidP="006E12D0">
            <w:pPr>
              <w:spacing w:after="120"/>
            </w:pPr>
            <w:r w:rsidRPr="00D505DD">
              <w:t>Name and official title (Print)</w:t>
            </w:r>
          </w:p>
        </w:tc>
      </w:tr>
      <w:tr w:rsidR="00896464" w:rsidRPr="00D505DD" w14:paraId="7F3D32D3"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067CDD29" w14:textId="77777777" w:rsidR="00896464" w:rsidRDefault="00896464" w:rsidP="006E12D0">
            <w:pPr>
              <w:spacing w:after="120"/>
            </w:pPr>
          </w:p>
        </w:tc>
      </w:tr>
      <w:tr w:rsidR="00896464" w:rsidRPr="00D505DD" w14:paraId="7D6E440F"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69D3CD0C" w14:textId="77777777" w:rsidR="00896464" w:rsidRDefault="00896464" w:rsidP="006E12D0">
            <w:pPr>
              <w:spacing w:after="120"/>
            </w:pPr>
            <w:r>
              <w:t>Date</w:t>
            </w:r>
          </w:p>
        </w:tc>
      </w:tr>
      <w:tr w:rsidR="00896464" w:rsidRPr="00D505DD" w14:paraId="436C9319" w14:textId="77777777" w:rsidTr="00033264">
        <w:trPr>
          <w:trHeight w:hRule="exact" w:val="1872"/>
          <w:jc w:val="center"/>
        </w:trPr>
        <w:tc>
          <w:tcPr>
            <w:tcW w:w="8762" w:type="dxa"/>
            <w:tcBorders>
              <w:top w:val="single" w:sz="4" w:space="0" w:color="auto"/>
              <w:left w:val="single" w:sz="4" w:space="0" w:color="auto"/>
              <w:bottom w:val="single" w:sz="4" w:space="0" w:color="auto"/>
              <w:right w:val="single" w:sz="4" w:space="0" w:color="auto"/>
            </w:tcBorders>
          </w:tcPr>
          <w:p w14:paraId="0A35F993" w14:textId="77777777" w:rsidR="00896464" w:rsidRPr="00625D74" w:rsidRDefault="00896464" w:rsidP="006E12D0">
            <w:pPr>
              <w:spacing w:before="120" w:after="120"/>
              <w:rPr>
                <w:b/>
              </w:rPr>
            </w:pPr>
            <w:r w:rsidRPr="00625D74">
              <w:rPr>
                <w:b/>
              </w:rPr>
              <w:t>OWNER</w:t>
            </w:r>
          </w:p>
          <w:p w14:paraId="53B43546" w14:textId="77777777" w:rsidR="00896464" w:rsidRPr="00D505DD" w:rsidRDefault="00896464" w:rsidP="006E12D0">
            <w:pPr>
              <w:spacing w:before="120" w:after="120"/>
            </w:pPr>
            <w:r w:rsidRPr="00625D74">
              <w:rPr>
                <w:b/>
              </w:rPr>
              <w:t xml:space="preserve">Name of </w:t>
            </w:r>
            <w:r w:rsidRPr="00393AA0">
              <w:rPr>
                <w:b/>
              </w:rPr>
              <w:t>Owner (Print)</w:t>
            </w:r>
          </w:p>
        </w:tc>
      </w:tr>
      <w:tr w:rsidR="00896464" w:rsidRPr="00D505DD" w14:paraId="2E038198"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vAlign w:val="center"/>
          </w:tcPr>
          <w:p w14:paraId="375409AA" w14:textId="77777777" w:rsidR="00896464" w:rsidRPr="00D505DD" w:rsidRDefault="00896464" w:rsidP="006E12D0">
            <w:pPr>
              <w:spacing w:before="120" w:after="120"/>
            </w:pPr>
            <w:r>
              <w:t>By:</w:t>
            </w:r>
          </w:p>
        </w:tc>
      </w:tr>
      <w:tr w:rsidR="00896464" w:rsidRPr="00D505DD" w14:paraId="37065592"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578F7EF5" w14:textId="77777777" w:rsidR="00896464" w:rsidRPr="00D505DD" w:rsidRDefault="00896464" w:rsidP="006E12D0">
            <w:pPr>
              <w:spacing w:after="120"/>
            </w:pPr>
            <w:r>
              <w:t>S</w:t>
            </w:r>
            <w:r w:rsidRPr="00D505DD">
              <w:t>ignature of authorized representative</w:t>
            </w:r>
          </w:p>
        </w:tc>
      </w:tr>
      <w:tr w:rsidR="00896464" w:rsidRPr="00D505DD" w14:paraId="68672C53" w14:textId="77777777" w:rsidTr="00033264">
        <w:trPr>
          <w:trHeight w:hRule="exact" w:val="864"/>
          <w:jc w:val="center"/>
        </w:trPr>
        <w:tc>
          <w:tcPr>
            <w:tcW w:w="8762" w:type="dxa"/>
            <w:tcBorders>
              <w:top w:val="single" w:sz="4" w:space="0" w:color="auto"/>
              <w:left w:val="single" w:sz="4" w:space="0" w:color="auto"/>
              <w:bottom w:val="single" w:sz="4" w:space="0" w:color="auto"/>
              <w:right w:val="single" w:sz="4" w:space="0" w:color="auto"/>
            </w:tcBorders>
          </w:tcPr>
          <w:p w14:paraId="090D9058" w14:textId="77777777" w:rsidR="00896464" w:rsidRPr="00D505DD" w:rsidRDefault="00896464" w:rsidP="006E12D0">
            <w:pPr>
              <w:spacing w:before="120" w:after="120"/>
            </w:pPr>
          </w:p>
        </w:tc>
      </w:tr>
      <w:tr w:rsidR="00896464" w:rsidRPr="00D505DD" w14:paraId="2FC3CFC5"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tcPr>
          <w:p w14:paraId="591C5A5F" w14:textId="77777777" w:rsidR="00896464" w:rsidRPr="00D505DD" w:rsidRDefault="00896464" w:rsidP="006E12D0">
            <w:pPr>
              <w:spacing w:after="120"/>
            </w:pPr>
            <w:r w:rsidRPr="00D505DD">
              <w:t xml:space="preserve">Name and </w:t>
            </w:r>
            <w:r>
              <w:t xml:space="preserve">official </w:t>
            </w:r>
            <w:r w:rsidRPr="00D505DD">
              <w:t>title (Print)</w:t>
            </w:r>
          </w:p>
        </w:tc>
      </w:tr>
      <w:tr w:rsidR="00896464" w:rsidRPr="00D505DD" w14:paraId="43D840B7"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vAlign w:val="center"/>
          </w:tcPr>
          <w:p w14:paraId="06068991" w14:textId="77777777" w:rsidR="00896464" w:rsidRPr="00D505DD" w:rsidRDefault="00896464" w:rsidP="006E12D0">
            <w:pPr>
              <w:spacing w:after="120"/>
            </w:pPr>
          </w:p>
        </w:tc>
      </w:tr>
      <w:tr w:rsidR="00896464" w:rsidRPr="00D505DD" w14:paraId="1D3A5FB5" w14:textId="77777777" w:rsidTr="00033264">
        <w:trPr>
          <w:trHeight w:hRule="exact" w:val="432"/>
          <w:jc w:val="center"/>
        </w:trPr>
        <w:tc>
          <w:tcPr>
            <w:tcW w:w="8762" w:type="dxa"/>
            <w:tcBorders>
              <w:top w:val="single" w:sz="4" w:space="0" w:color="auto"/>
              <w:left w:val="single" w:sz="4" w:space="0" w:color="auto"/>
              <w:bottom w:val="single" w:sz="4" w:space="0" w:color="auto"/>
              <w:right w:val="single" w:sz="4" w:space="0" w:color="auto"/>
            </w:tcBorders>
            <w:vAlign w:val="center"/>
          </w:tcPr>
          <w:p w14:paraId="5A37796E" w14:textId="77777777" w:rsidR="00896464" w:rsidRDefault="00896464" w:rsidP="006E12D0">
            <w:pPr>
              <w:spacing w:after="120"/>
            </w:pPr>
            <w:r>
              <w:t>Date</w:t>
            </w:r>
          </w:p>
        </w:tc>
      </w:tr>
    </w:tbl>
    <w:p w14:paraId="1A5B5073" w14:textId="77777777" w:rsidR="00896464" w:rsidRDefault="00896464" w:rsidP="00B82E71"/>
    <w:sectPr w:rsidR="00896464" w:rsidSect="00FF77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010E5" w14:textId="77777777" w:rsidR="00186F8D" w:rsidRDefault="00186F8D" w:rsidP="00186F8D">
      <w:r>
        <w:separator/>
      </w:r>
    </w:p>
  </w:endnote>
  <w:endnote w:type="continuationSeparator" w:id="0">
    <w:p w14:paraId="1E491024" w14:textId="77777777" w:rsidR="00186F8D" w:rsidRDefault="00186F8D" w:rsidP="0018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4D71F" w14:textId="77777777" w:rsidR="00FF77E8" w:rsidRPr="00FF77E8" w:rsidRDefault="00FF77E8" w:rsidP="00FF77E8">
    <w:pPr>
      <w:pStyle w:val="Footer"/>
      <w:jc w:val="right"/>
      <w:rPr>
        <w:b/>
        <w:sz w:val="20"/>
        <w:szCs w:val="20"/>
      </w:rPr>
    </w:pPr>
    <w:r w:rsidRPr="00FF77E8">
      <w:rPr>
        <w:b/>
        <w:sz w:val="20"/>
        <w:szCs w:val="20"/>
      </w:rPr>
      <w:t xml:space="preserve">Addendum to the PBV HAP Contract </w:t>
    </w:r>
  </w:p>
  <w:p w14:paraId="62CF7C53" w14:textId="34BF8E8C" w:rsidR="00FF77E8" w:rsidRDefault="00FF77E8" w:rsidP="00FF77E8">
    <w:pPr>
      <w:pStyle w:val="Footer"/>
      <w:jc w:val="right"/>
      <w:rPr>
        <w:b/>
        <w:sz w:val="20"/>
        <w:szCs w:val="20"/>
      </w:rPr>
    </w:pPr>
    <w:r w:rsidRPr="00FF77E8">
      <w:rPr>
        <w:b/>
        <w:sz w:val="20"/>
        <w:szCs w:val="20"/>
      </w:rPr>
      <w:t>for Existing Housing - PBC Conversions</w:t>
    </w:r>
  </w:p>
  <w:p w14:paraId="33CC5844" w14:textId="3ECEAEB5" w:rsidR="00FF77E8" w:rsidRPr="00FF77E8" w:rsidRDefault="00FF77E8" w:rsidP="00FF77E8">
    <w:pPr>
      <w:pStyle w:val="Footer"/>
      <w:rPr>
        <w:b/>
        <w:sz w:val="20"/>
        <w:szCs w:val="20"/>
      </w:rPr>
    </w:pPr>
    <w:r>
      <w:rPr>
        <w:b/>
        <w:sz w:val="20"/>
        <w:szCs w:val="20"/>
      </w:rPr>
      <w:t xml:space="preserve">         Previous editions are obsolete</w:t>
    </w:r>
  </w:p>
  <w:p w14:paraId="0CCEE315" w14:textId="42C66B1A" w:rsidR="00FF77E8" w:rsidRPr="00FF77E8" w:rsidRDefault="00FF77E8" w:rsidP="00FF77E8">
    <w:pPr>
      <w:pStyle w:val="Footer"/>
      <w:jc w:val="right"/>
      <w:rPr>
        <w:b/>
        <w:sz w:val="20"/>
        <w:szCs w:val="20"/>
      </w:rPr>
    </w:pPr>
    <w:r w:rsidRPr="00FF77E8">
      <w:rPr>
        <w:b/>
        <w:sz w:val="20"/>
        <w:szCs w:val="20"/>
      </w:rPr>
      <w:t>(xx/201</w:t>
    </w:r>
    <w:r w:rsidR="00354A3C">
      <w:rPr>
        <w:b/>
        <w:sz w:val="20"/>
        <w:szCs w:val="20"/>
      </w:rPr>
      <w:t>9</w:t>
    </w:r>
    <w:r w:rsidRPr="00FF77E8">
      <w:rPr>
        <w:b/>
        <w:sz w:val="20"/>
        <w:szCs w:val="20"/>
      </w:rPr>
      <w:t>)</w:t>
    </w:r>
  </w:p>
  <w:p w14:paraId="6002E436" w14:textId="639B3D6D" w:rsidR="00FF77E8" w:rsidRPr="00FF77E8" w:rsidRDefault="002C6072" w:rsidP="00FF77E8">
    <w:pPr>
      <w:pStyle w:val="Footer"/>
      <w:jc w:val="right"/>
      <w:rPr>
        <w:b/>
        <w:sz w:val="20"/>
        <w:szCs w:val="20"/>
      </w:rPr>
    </w:pPr>
    <w:sdt>
      <w:sdtPr>
        <w:rPr>
          <w:b/>
          <w:sz w:val="20"/>
          <w:szCs w:val="20"/>
        </w:rPr>
        <w:id w:val="611714791"/>
        <w:docPartObj>
          <w:docPartGallery w:val="Page Numbers (Bottom of Page)"/>
          <w:docPartUnique/>
        </w:docPartObj>
      </w:sdtPr>
      <w:sdtEndPr>
        <w:rPr>
          <w:noProof/>
        </w:rPr>
      </w:sdtEndPr>
      <w:sdtContent>
        <w:r w:rsidR="00FF77E8" w:rsidRPr="00FF77E8">
          <w:rPr>
            <w:b/>
            <w:sz w:val="20"/>
            <w:szCs w:val="20"/>
          </w:rPr>
          <w:t xml:space="preserve">Page | </w:t>
        </w:r>
        <w:r w:rsidR="00FF77E8" w:rsidRPr="00FF77E8">
          <w:rPr>
            <w:b/>
            <w:sz w:val="20"/>
            <w:szCs w:val="20"/>
          </w:rPr>
          <w:fldChar w:fldCharType="begin"/>
        </w:r>
        <w:r w:rsidR="00FF77E8" w:rsidRPr="00FF77E8">
          <w:rPr>
            <w:b/>
            <w:sz w:val="20"/>
            <w:szCs w:val="20"/>
          </w:rPr>
          <w:instrText xml:space="preserve"> PAGE   \* MERGEFORMAT </w:instrText>
        </w:r>
        <w:r w:rsidR="00FF77E8" w:rsidRPr="00FF77E8">
          <w:rPr>
            <w:b/>
            <w:sz w:val="20"/>
            <w:szCs w:val="20"/>
          </w:rPr>
          <w:fldChar w:fldCharType="separate"/>
        </w:r>
        <w:r>
          <w:rPr>
            <w:b/>
            <w:noProof/>
            <w:sz w:val="20"/>
            <w:szCs w:val="20"/>
          </w:rPr>
          <w:t>1</w:t>
        </w:r>
        <w:r w:rsidR="00FF77E8" w:rsidRPr="00FF77E8">
          <w:rPr>
            <w:b/>
            <w:noProof/>
            <w:sz w:val="20"/>
            <w:szCs w:val="20"/>
          </w:rPr>
          <w:fldChar w:fldCharType="end"/>
        </w:r>
      </w:sdtContent>
    </w:sdt>
  </w:p>
  <w:p w14:paraId="4A9CF5B5" w14:textId="77777777" w:rsidR="00186F8D" w:rsidRDefault="00186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B658A" w14:textId="77777777" w:rsidR="00186F8D" w:rsidRDefault="00186F8D" w:rsidP="00186F8D">
      <w:r>
        <w:separator/>
      </w:r>
    </w:p>
  </w:footnote>
  <w:footnote w:type="continuationSeparator" w:id="0">
    <w:p w14:paraId="2FB71DE0" w14:textId="77777777" w:rsidR="00186F8D" w:rsidRDefault="00186F8D" w:rsidP="00186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E72EA" w14:textId="3AB38DAD" w:rsidR="00186F8D" w:rsidRPr="00291641" w:rsidRDefault="00186F8D" w:rsidP="00186F8D">
    <w:pPr>
      <w:pStyle w:val="Header"/>
      <w:jc w:val="right"/>
      <w:rPr>
        <w:sz w:val="20"/>
      </w:rPr>
    </w:pPr>
    <w:r w:rsidRPr="00291641">
      <w:rPr>
        <w:sz w:val="20"/>
      </w:rPr>
      <w:t>OMB Approval No. 2577–0169</w:t>
    </w:r>
  </w:p>
  <w:p w14:paraId="19BB4590" w14:textId="77777777" w:rsidR="00186F8D" w:rsidRPr="00291641" w:rsidRDefault="00186F8D" w:rsidP="00186F8D">
    <w:pPr>
      <w:pStyle w:val="Header"/>
      <w:jc w:val="right"/>
      <w:rPr>
        <w:sz w:val="20"/>
      </w:rPr>
    </w:pPr>
    <w:r w:rsidRPr="00291641">
      <w:rPr>
        <w:sz w:val="20"/>
      </w:rPr>
      <w:t>(exp. xx/xx/xxxx)</w:t>
    </w:r>
  </w:p>
  <w:p w14:paraId="69F6C277" w14:textId="77C4245A" w:rsidR="00186F8D" w:rsidRDefault="00186F8D">
    <w:pPr>
      <w:pStyle w:val="Header"/>
    </w:pPr>
  </w:p>
  <w:p w14:paraId="4E7AD1FD" w14:textId="77777777" w:rsidR="00186F8D" w:rsidRDefault="00186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7C61"/>
    <w:multiLevelType w:val="multilevel"/>
    <w:tmpl w:val="BBF43768"/>
    <w:lvl w:ilvl="0">
      <w:start w:val="1"/>
      <w:numFmt w:val="decimal"/>
      <w:lvlText w:val="%1."/>
      <w:lvlJc w:val="left"/>
      <w:pPr>
        <w:tabs>
          <w:tab w:val="left" w:pos="720"/>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94464E"/>
    <w:multiLevelType w:val="hybridMultilevel"/>
    <w:tmpl w:val="ABC42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71"/>
    <w:rsid w:val="00033264"/>
    <w:rsid w:val="000B79C7"/>
    <w:rsid w:val="00120406"/>
    <w:rsid w:val="001300DE"/>
    <w:rsid w:val="00186F8D"/>
    <w:rsid w:val="002A0F71"/>
    <w:rsid w:val="002C6072"/>
    <w:rsid w:val="00354A3C"/>
    <w:rsid w:val="004605BF"/>
    <w:rsid w:val="00527F5F"/>
    <w:rsid w:val="005F566D"/>
    <w:rsid w:val="00603988"/>
    <w:rsid w:val="00896464"/>
    <w:rsid w:val="008F7068"/>
    <w:rsid w:val="00977B41"/>
    <w:rsid w:val="00B62FC0"/>
    <w:rsid w:val="00B82E71"/>
    <w:rsid w:val="00C077DB"/>
    <w:rsid w:val="00C54DEB"/>
    <w:rsid w:val="00DD1111"/>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7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71"/>
    <w:pPr>
      <w:ind w:left="720"/>
      <w:contextualSpacing/>
    </w:pPr>
  </w:style>
  <w:style w:type="paragraph" w:styleId="Header">
    <w:name w:val="header"/>
    <w:basedOn w:val="Normal"/>
    <w:link w:val="HeaderChar"/>
    <w:unhideWhenUsed/>
    <w:rsid w:val="00186F8D"/>
    <w:pPr>
      <w:tabs>
        <w:tab w:val="center" w:pos="4680"/>
        <w:tab w:val="right" w:pos="9360"/>
      </w:tabs>
    </w:pPr>
  </w:style>
  <w:style w:type="character" w:customStyle="1" w:styleId="HeaderChar">
    <w:name w:val="Header Char"/>
    <w:basedOn w:val="DefaultParagraphFont"/>
    <w:link w:val="Header"/>
    <w:uiPriority w:val="99"/>
    <w:rsid w:val="00186F8D"/>
    <w:rPr>
      <w:rFonts w:ascii="Times New Roman" w:eastAsia="PMingLiU" w:hAnsi="Times New Roman" w:cs="Times New Roman"/>
    </w:rPr>
  </w:style>
  <w:style w:type="paragraph" w:styleId="Footer">
    <w:name w:val="footer"/>
    <w:basedOn w:val="Normal"/>
    <w:link w:val="FooterChar"/>
    <w:uiPriority w:val="99"/>
    <w:unhideWhenUsed/>
    <w:rsid w:val="00186F8D"/>
    <w:pPr>
      <w:tabs>
        <w:tab w:val="center" w:pos="4680"/>
        <w:tab w:val="right" w:pos="9360"/>
      </w:tabs>
    </w:pPr>
  </w:style>
  <w:style w:type="character" w:customStyle="1" w:styleId="FooterChar">
    <w:name w:val="Footer Char"/>
    <w:basedOn w:val="DefaultParagraphFont"/>
    <w:link w:val="Footer"/>
    <w:uiPriority w:val="99"/>
    <w:rsid w:val="00186F8D"/>
    <w:rPr>
      <w:rFonts w:ascii="Times New Roman" w:eastAsia="P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7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71"/>
    <w:pPr>
      <w:ind w:left="720"/>
      <w:contextualSpacing/>
    </w:pPr>
  </w:style>
  <w:style w:type="paragraph" w:styleId="Header">
    <w:name w:val="header"/>
    <w:basedOn w:val="Normal"/>
    <w:link w:val="HeaderChar"/>
    <w:unhideWhenUsed/>
    <w:rsid w:val="00186F8D"/>
    <w:pPr>
      <w:tabs>
        <w:tab w:val="center" w:pos="4680"/>
        <w:tab w:val="right" w:pos="9360"/>
      </w:tabs>
    </w:pPr>
  </w:style>
  <w:style w:type="character" w:customStyle="1" w:styleId="HeaderChar">
    <w:name w:val="Header Char"/>
    <w:basedOn w:val="DefaultParagraphFont"/>
    <w:link w:val="Header"/>
    <w:uiPriority w:val="99"/>
    <w:rsid w:val="00186F8D"/>
    <w:rPr>
      <w:rFonts w:ascii="Times New Roman" w:eastAsia="PMingLiU" w:hAnsi="Times New Roman" w:cs="Times New Roman"/>
    </w:rPr>
  </w:style>
  <w:style w:type="paragraph" w:styleId="Footer">
    <w:name w:val="footer"/>
    <w:basedOn w:val="Normal"/>
    <w:link w:val="FooterChar"/>
    <w:uiPriority w:val="99"/>
    <w:unhideWhenUsed/>
    <w:rsid w:val="00186F8D"/>
    <w:pPr>
      <w:tabs>
        <w:tab w:val="center" w:pos="4680"/>
        <w:tab w:val="right" w:pos="9360"/>
      </w:tabs>
    </w:pPr>
  </w:style>
  <w:style w:type="character" w:customStyle="1" w:styleId="FooterChar">
    <w:name w:val="Footer Char"/>
    <w:basedOn w:val="DefaultParagraphFont"/>
    <w:link w:val="Footer"/>
    <w:uiPriority w:val="99"/>
    <w:rsid w:val="00186F8D"/>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Amaris</dc:creator>
  <cp:keywords/>
  <dc:description/>
  <cp:lastModifiedBy>SYSTEM</cp:lastModifiedBy>
  <cp:revision>2</cp:revision>
  <dcterms:created xsi:type="dcterms:W3CDTF">2018-12-12T21:10:00Z</dcterms:created>
  <dcterms:modified xsi:type="dcterms:W3CDTF">2018-12-12T21:10:00Z</dcterms:modified>
</cp:coreProperties>
</file>