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15B5" w:rsidR="00DD58EE" w:rsidP="006E26D6" w:rsidRDefault="00DD58EE" w14:paraId="40DC46AE" w14:textId="77777777">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D8400F" w:rsidP="006E26D6" w:rsidRDefault="00D8400F" w14:paraId="5D905A13" w14:textId="5A06F881">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Control No. </w:t>
      </w:r>
      <w:r w:rsidRPr="00A46C0A" w:rsidR="00240309">
        <w:rPr>
          <w:rFonts w:ascii="Arial" w:hAnsi="Arial" w:cs="Arial"/>
          <w:b/>
          <w:sz w:val="24"/>
        </w:rPr>
        <w:t>2900-0674</w:t>
      </w:r>
      <w:r w:rsidRPr="007315B5" w:rsidR="009B7931">
        <w:rPr>
          <w:rFonts w:ascii="Arial" w:hAnsi="Arial" w:cs="Arial"/>
          <w:b/>
          <w:sz w:val="24"/>
          <w:szCs w:val="24"/>
        </w:rPr>
        <w:t>]</w:t>
      </w:r>
    </w:p>
    <w:p w:rsidRPr="007315B5" w:rsidR="006E26D6" w:rsidP="006E26D6" w:rsidRDefault="006E26D6" w14:paraId="75844280" w14:textId="77777777">
      <w:pPr>
        <w:tabs>
          <w:tab w:val="left" w:pos="-720"/>
          <w:tab w:val="right" w:pos="9360"/>
        </w:tabs>
        <w:suppressAutoHyphens/>
        <w:ind w:right="270"/>
        <w:rPr>
          <w:rFonts w:ascii="Arial" w:hAnsi="Arial" w:cs="Arial"/>
          <w:b/>
          <w:sz w:val="24"/>
          <w:szCs w:val="24"/>
        </w:rPr>
      </w:pPr>
    </w:p>
    <w:p w:rsidRPr="005B4D59" w:rsidR="00AB2D96" w:rsidP="005B4D59" w:rsidRDefault="00AB2D96" w14:paraId="61C5EF96" w14:textId="34429854">
      <w:pPr>
        <w:tabs>
          <w:tab w:val="right" w:pos="9360"/>
        </w:tabs>
        <w:spacing w:line="480" w:lineRule="auto"/>
        <w:ind w:right="270"/>
        <w:rPr>
          <w:rFonts w:ascii="Arial" w:hAnsi="Arial" w:cs="Arial"/>
          <w:b/>
          <w:color w:val="C00000"/>
          <w:sz w:val="24"/>
          <w:szCs w:val="24"/>
        </w:rPr>
      </w:pPr>
      <w:r w:rsidRPr="007315B5">
        <w:rPr>
          <w:rFonts w:ascii="Arial" w:hAnsi="Arial" w:cs="Arial"/>
          <w:b/>
          <w:color w:val="000000"/>
          <w:sz w:val="24"/>
          <w:szCs w:val="24"/>
        </w:rPr>
        <w:t>Agency</w:t>
      </w:r>
      <w:r w:rsidRPr="007315B5" w:rsidR="00B76618">
        <w:rPr>
          <w:rFonts w:ascii="Arial" w:hAnsi="Arial" w:cs="Arial"/>
          <w:b/>
          <w:color w:val="000000"/>
          <w:sz w:val="24"/>
          <w:szCs w:val="24"/>
        </w:rPr>
        <w:t xml:space="preserve"> Information </w:t>
      </w:r>
      <w:r w:rsidRPr="00DC1530" w:rsidR="00B76618">
        <w:rPr>
          <w:rFonts w:ascii="Arial" w:hAnsi="Arial" w:cs="Arial"/>
          <w:b/>
          <w:sz w:val="24"/>
          <w:szCs w:val="24"/>
        </w:rPr>
        <w:t>Collection</w:t>
      </w:r>
      <w:r w:rsidRPr="007315B5" w:rsidR="00B76618">
        <w:rPr>
          <w:rFonts w:ascii="Arial" w:hAnsi="Arial" w:cs="Arial"/>
          <w:b/>
          <w:color w:val="000000"/>
          <w:sz w:val="24"/>
          <w:szCs w:val="24"/>
        </w:rPr>
        <w:t xml:space="preserve"> </w:t>
      </w:r>
      <w:r w:rsidRPr="007315B5" w:rsidR="00173766">
        <w:rPr>
          <w:rFonts w:ascii="Arial" w:hAnsi="Arial" w:cs="Arial"/>
          <w:b/>
          <w:color w:val="000000"/>
          <w:sz w:val="24"/>
          <w:szCs w:val="24"/>
        </w:rPr>
        <w:t xml:space="preserve">Activity under OMB Review: </w:t>
      </w:r>
      <w:r w:rsidR="006E26D6">
        <w:rPr>
          <w:rFonts w:ascii="Arial" w:hAnsi="Arial" w:cs="Arial"/>
          <w:b/>
          <w:color w:val="000000"/>
          <w:sz w:val="24"/>
          <w:szCs w:val="24"/>
        </w:rPr>
        <w:t xml:space="preserve"> </w:t>
      </w:r>
      <w:r w:rsidRPr="00A46C0A" w:rsidR="00B31CB4">
        <w:rPr>
          <w:rFonts w:ascii="Arial" w:hAnsi="Arial" w:cs="Arial"/>
          <w:b/>
          <w:sz w:val="24"/>
        </w:rPr>
        <w:t>Notice of Disagreement: Appeal to the Board of Veterans’ Appeals</w:t>
      </w:r>
    </w:p>
    <w:p w:rsidRPr="008613E4" w:rsidR="00AB2D96" w:rsidP="007315B5" w:rsidRDefault="00AB2D96" w14:paraId="01854635" w14:textId="541C085C">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AGENCY:</w:t>
      </w:r>
      <w:r w:rsidRPr="008613E4">
        <w:rPr>
          <w:rFonts w:ascii="Arial" w:hAnsi="Arial" w:cs="Arial"/>
          <w:color w:val="000000"/>
          <w:sz w:val="24"/>
          <w:szCs w:val="24"/>
        </w:rPr>
        <w:t xml:space="preserve">  </w:t>
      </w:r>
      <w:bookmarkStart w:name="_Hlk82587104" w:id="0"/>
      <w:r w:rsidRPr="00A46C0A" w:rsidR="00263FFE">
        <w:rPr>
          <w:rFonts w:ascii="Arial" w:hAnsi="Arial" w:cs="Arial"/>
          <w:sz w:val="24"/>
        </w:rPr>
        <w:t>Board of Veterans’ Appeals</w:t>
      </w:r>
      <w:bookmarkEnd w:id="0"/>
      <w:r w:rsidRPr="008613E4">
        <w:rPr>
          <w:rFonts w:ascii="Arial" w:hAnsi="Arial" w:cs="Arial"/>
          <w:color w:val="000000"/>
          <w:sz w:val="24"/>
          <w:szCs w:val="24"/>
        </w:rPr>
        <w:t>, Department of Veterans Affairs</w:t>
      </w:r>
      <w:r w:rsidR="001355F1">
        <w:rPr>
          <w:rFonts w:ascii="Arial" w:hAnsi="Arial" w:cs="Arial"/>
          <w:color w:val="000000"/>
          <w:sz w:val="24"/>
          <w:szCs w:val="24"/>
        </w:rPr>
        <w:t>.</w:t>
      </w:r>
    </w:p>
    <w:p w:rsidRPr="008613E4" w:rsidR="00AB2D96" w:rsidP="007315B5" w:rsidRDefault="00AB2D96"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P="007315B5" w:rsidRDefault="00AB2D96" w14:paraId="50279A91" w14:textId="66FA9C8B">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In compliance with the Paperwork Reduction Ac</w:t>
      </w:r>
      <w:r w:rsidR="00A07915">
        <w:rPr>
          <w:rFonts w:ascii="Arial" w:hAnsi="Arial" w:cs="Arial"/>
          <w:color w:val="000000"/>
          <w:sz w:val="24"/>
          <w:szCs w:val="24"/>
        </w:rPr>
        <w:t>t (PRA) of 1995</w:t>
      </w:r>
      <w:r w:rsidRPr="008613E4">
        <w:rPr>
          <w:rFonts w:ascii="Arial" w:hAnsi="Arial" w:cs="Arial"/>
          <w:color w:val="000000"/>
          <w:sz w:val="24"/>
          <w:szCs w:val="24"/>
        </w:rPr>
        <w:t xml:space="preserve">, this notice announces that the </w:t>
      </w:r>
      <w:r w:rsidRPr="00A46C0A" w:rsidR="00E939AA">
        <w:rPr>
          <w:rFonts w:ascii="Arial" w:hAnsi="Arial" w:cs="Arial"/>
          <w:sz w:val="24"/>
        </w:rPr>
        <w:t>Board of Veterans’ Appeals</w:t>
      </w:r>
      <w:r w:rsidRPr="00A46C0A" w:rsidR="003A7A71">
        <w:rPr>
          <w:rFonts w:ascii="Arial" w:hAnsi="Arial" w:cs="Arial"/>
          <w:sz w:val="24"/>
        </w:rPr>
        <w:t xml:space="preserve"> (BVA)</w:t>
      </w:r>
      <w:r w:rsidRPr="00A46C0A" w:rsidR="00130F3F">
        <w:rPr>
          <w:rFonts w:ascii="Arial" w:hAnsi="Arial" w:cs="Arial"/>
          <w:sz w:val="24"/>
          <w:szCs w:val="24"/>
        </w:rPr>
        <w:t>,</w:t>
      </w:r>
      <w:r w:rsidRPr="00A46C0A">
        <w:rPr>
          <w:rFonts w:ascii="Arial" w:hAnsi="Arial" w:cs="Arial"/>
          <w:sz w:val="24"/>
          <w:szCs w:val="24"/>
        </w:rPr>
        <w:t xml:space="preserve"> </w:t>
      </w:r>
      <w:r w:rsidRPr="008613E4">
        <w:rPr>
          <w:rFonts w:ascii="Arial" w:hAnsi="Arial" w:cs="Arial"/>
          <w:color w:val="000000"/>
          <w:sz w:val="24"/>
          <w:szCs w:val="24"/>
        </w:rPr>
        <w:t xml:space="preserve">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5C179D" w:rsidP="00362AB9" w:rsidRDefault="00C40883" w14:paraId="0B85B397" w14:textId="22F16AE7">
      <w:pPr>
        <w:spacing w:line="480" w:lineRule="auto"/>
        <w:rPr>
          <w:rFonts w:ascii="Arial" w:hAnsi="Arial" w:cs="Arial"/>
          <w:color w:val="000000"/>
          <w:sz w:val="24"/>
          <w:szCs w:val="24"/>
        </w:rPr>
      </w:pPr>
      <w:r w:rsidRPr="00C40883">
        <w:rPr>
          <w:rFonts w:ascii="Arial" w:hAnsi="Arial" w:cs="Arial"/>
          <w:b/>
          <w:bCs/>
          <w:color w:val="000000"/>
          <w:sz w:val="24"/>
          <w:szCs w:val="24"/>
        </w:rPr>
        <w:t xml:space="preserve">DATES:  </w:t>
      </w:r>
      <w:r w:rsidRPr="00C40883" w:rsidR="00527A4D">
        <w:rPr>
          <w:rFonts w:ascii="Arial" w:hAnsi="Arial" w:cs="Arial"/>
          <w:color w:val="000000"/>
          <w:sz w:val="24"/>
          <w:szCs w:val="24"/>
        </w:rPr>
        <w:t xml:space="preserve">Written comments and recommendations for the proposed information collection should be sent within 30 days of publication of this notice to </w:t>
      </w:r>
      <w:hyperlink w:history="1" r:id="rId10">
        <w:r w:rsidRPr="00C40883" w:rsidR="00527A4D">
          <w:rPr>
            <w:rStyle w:val="Hyperlink"/>
            <w:rFonts w:ascii="Arial" w:hAnsi="Arial" w:cs="Arial"/>
            <w:sz w:val="24"/>
            <w:szCs w:val="24"/>
          </w:rPr>
          <w:t>www.reginfo.gov/public/do/PRAMain</w:t>
        </w:r>
      </w:hyperlink>
      <w:r w:rsidRPr="00C40883" w:rsidR="00527A4D">
        <w:rPr>
          <w:rFonts w:ascii="Arial" w:hAnsi="Arial" w:cs="Arial"/>
          <w:color w:val="000000"/>
          <w:sz w:val="24"/>
          <w:szCs w:val="24"/>
        </w:rPr>
        <w:t xml:space="preserve">. Find this particular information collection by selecting </w:t>
      </w:r>
      <w:r w:rsidR="00BE1CD8">
        <w:rPr>
          <w:rFonts w:ascii="Arial" w:hAnsi="Arial" w:cs="Arial"/>
          <w:color w:val="000000"/>
          <w:sz w:val="24"/>
          <w:szCs w:val="24"/>
        </w:rPr>
        <w:t>“</w:t>
      </w:r>
      <w:r w:rsidRPr="00C40883" w:rsidR="00527A4D">
        <w:rPr>
          <w:rFonts w:ascii="Arial" w:hAnsi="Arial" w:cs="Arial"/>
          <w:color w:val="000000"/>
          <w:sz w:val="24"/>
          <w:szCs w:val="24"/>
        </w:rPr>
        <w:t xml:space="preserve">Currently under 30-day Review - Open for Public </w:t>
      </w:r>
      <w:bookmarkStart w:name="_Hlk86226625" w:id="1"/>
      <w:r w:rsidRPr="00C40883" w:rsidR="00527A4D">
        <w:rPr>
          <w:rFonts w:ascii="Arial" w:hAnsi="Arial" w:cs="Arial"/>
          <w:color w:val="000000"/>
          <w:sz w:val="24"/>
          <w:szCs w:val="24"/>
        </w:rPr>
        <w:t>Comments</w:t>
      </w:r>
      <w:bookmarkStart w:name="_Hlk86226590" w:id="2"/>
      <w:r w:rsidR="00417E3D">
        <w:rPr>
          <w:rFonts w:ascii="Arial" w:hAnsi="Arial" w:cs="Arial"/>
          <w:color w:val="000000"/>
          <w:sz w:val="24"/>
          <w:szCs w:val="24"/>
        </w:rPr>
        <w:t>”</w:t>
      </w:r>
      <w:r w:rsidRPr="00C40883" w:rsidR="00527A4D">
        <w:rPr>
          <w:rFonts w:ascii="Arial" w:hAnsi="Arial" w:cs="Arial"/>
          <w:color w:val="000000"/>
          <w:sz w:val="24"/>
          <w:szCs w:val="24"/>
        </w:rPr>
        <w:t xml:space="preserve"> </w:t>
      </w:r>
      <w:bookmarkEnd w:id="1"/>
      <w:bookmarkEnd w:id="2"/>
      <w:r w:rsidRPr="00C40883" w:rsidR="00527A4D">
        <w:rPr>
          <w:rFonts w:ascii="Arial" w:hAnsi="Arial" w:cs="Arial"/>
          <w:color w:val="000000"/>
          <w:sz w:val="24"/>
          <w:szCs w:val="24"/>
        </w:rPr>
        <w:t>or by using the search function.</w:t>
      </w:r>
      <w:r w:rsidR="00E52484">
        <w:rPr>
          <w:rFonts w:ascii="Arial" w:hAnsi="Arial" w:cs="Arial"/>
          <w:color w:val="000000"/>
          <w:sz w:val="24"/>
          <w:szCs w:val="24"/>
        </w:rPr>
        <w:t xml:space="preserve"> Refer to</w:t>
      </w:r>
      <w:r w:rsidRPr="001941FE" w:rsidR="001941FE">
        <w:t xml:space="preserve"> </w:t>
      </w:r>
      <w:r w:rsidR="001941FE">
        <w:t>“</w:t>
      </w:r>
      <w:bookmarkStart w:name="_Hlk86226518" w:id="3"/>
      <w:r w:rsidRPr="00C40883" w:rsidR="00527A4D">
        <w:rPr>
          <w:rFonts w:ascii="Arial" w:hAnsi="Arial" w:cs="Arial"/>
          <w:color w:val="000000"/>
          <w:sz w:val="24"/>
          <w:szCs w:val="24"/>
        </w:rPr>
        <w:t>OMB Control No. 2900–</w:t>
      </w:r>
      <w:r w:rsidR="00E86E52">
        <w:rPr>
          <w:rFonts w:ascii="Arial" w:hAnsi="Arial" w:cs="Arial"/>
          <w:color w:val="000000"/>
          <w:sz w:val="24"/>
          <w:szCs w:val="24"/>
        </w:rPr>
        <w:t>0674</w:t>
      </w:r>
      <w:bookmarkEnd w:id="3"/>
      <w:r w:rsidR="003C4021">
        <w:rPr>
          <w:rFonts w:ascii="Arial" w:hAnsi="Arial" w:cs="Arial"/>
          <w:color w:val="000000"/>
          <w:sz w:val="24"/>
          <w:szCs w:val="24"/>
        </w:rPr>
        <w:t>.”</w:t>
      </w:r>
    </w:p>
    <w:p w:rsidRPr="00A46C0A" w:rsidR="00E06F4B" w:rsidP="00E06F4B" w:rsidRDefault="00E06F4B" w14:paraId="0A2E0745" w14:textId="3038D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A46C0A">
        <w:rPr>
          <w:rFonts w:ascii="Arial" w:hAnsi="Arial" w:cs="Arial"/>
          <w:b/>
          <w:sz w:val="24"/>
          <w:szCs w:val="24"/>
        </w:rPr>
        <w:t>FOR FURTHER INFORMATION CONTACT:</w:t>
      </w:r>
      <w:r w:rsidRPr="00A46C0A">
        <w:rPr>
          <w:rFonts w:ascii="Arial" w:hAnsi="Arial" w:cs="Arial"/>
          <w:sz w:val="24"/>
          <w:szCs w:val="24"/>
        </w:rPr>
        <w:t xml:space="preserve">  Maribel Aponte, Office of Enterprise and Integration, Data Governance Analytics (008), 1717 H Street NW, Washington, DC 20006, (202) 266-4688 or email maribel.aponte@va.gov. Please refer to ‘‘OMB Control No. 2900–0674” in any correspondence.</w:t>
      </w:r>
    </w:p>
    <w:p w:rsidR="00D6581D" w:rsidP="006E26D6" w:rsidRDefault="00D6581D" w14:paraId="291C54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Pr="007315B5" w:rsidR="001273AD" w:rsidP="00096D31" w:rsidRDefault="001273AD" w14:paraId="3EF19016" w14:textId="59F4537D">
      <w:pPr>
        <w:pStyle w:val="BodyText"/>
        <w:tabs>
          <w:tab w:val="right" w:pos="9360"/>
        </w:tabs>
        <w:spacing w:line="480" w:lineRule="auto"/>
        <w:ind w:right="270"/>
        <w:rPr>
          <w:rFonts w:ascii="Arial" w:hAnsi="Arial" w:cs="Arial"/>
          <w:szCs w:val="24"/>
        </w:rPr>
      </w:pPr>
      <w:r w:rsidRPr="00992B2E">
        <w:rPr>
          <w:rFonts w:ascii="Arial" w:hAnsi="Arial" w:cs="Arial"/>
          <w:szCs w:val="24"/>
          <w:u w:val="single"/>
        </w:rPr>
        <w:lastRenderedPageBreak/>
        <w:t>Authority</w:t>
      </w:r>
      <w:r w:rsidRPr="00992B2E">
        <w:rPr>
          <w:rFonts w:ascii="Arial" w:hAnsi="Arial" w:cs="Arial"/>
          <w:szCs w:val="24"/>
        </w:rPr>
        <w:t>:</w:t>
      </w:r>
      <w:r>
        <w:rPr>
          <w:rFonts w:ascii="Arial" w:hAnsi="Arial" w:cs="Arial"/>
          <w:szCs w:val="24"/>
        </w:rPr>
        <w:t xml:space="preserve">  </w:t>
      </w:r>
      <w:r w:rsidRPr="003635C6" w:rsidR="00096D31">
        <w:rPr>
          <w:rFonts w:ascii="Arial" w:hAnsi="Arial" w:cs="Arial"/>
          <w:szCs w:val="24"/>
        </w:rPr>
        <w:t>P</w:t>
      </w:r>
      <w:r w:rsidRPr="00A46C0A" w:rsidR="00096D31">
        <w:rPr>
          <w:rFonts w:ascii="Arial" w:hAnsi="Arial" w:cs="Arial"/>
          <w:szCs w:val="24"/>
        </w:rPr>
        <w:t>ublic Law 115–55; 38 U.S.C.</w:t>
      </w:r>
      <w:r w:rsidRPr="00344E70" w:rsidR="00344E70">
        <w:t xml:space="preserve"> </w:t>
      </w:r>
      <w:r w:rsidRPr="00344E70" w:rsidR="00344E70">
        <w:rPr>
          <w:rFonts w:ascii="Arial" w:hAnsi="Arial" w:cs="Arial"/>
          <w:szCs w:val="24"/>
        </w:rPr>
        <w:t>§§</w:t>
      </w:r>
      <w:r w:rsidRPr="00A46C0A" w:rsidR="00096D31">
        <w:rPr>
          <w:rFonts w:ascii="Arial" w:hAnsi="Arial" w:cs="Arial"/>
          <w:szCs w:val="24"/>
        </w:rPr>
        <w:t xml:space="preserve"> 5104B, 5108, 5701, 5901, 7103, 7104, 7105, 7107.</w:t>
      </w:r>
    </w:p>
    <w:p w:rsidRPr="007465B2" w:rsidR="00DC1530" w:rsidP="007F2518" w:rsidRDefault="0031657C" w14:paraId="54316CFD" w14:textId="68634034">
      <w:pPr>
        <w:spacing w:line="480" w:lineRule="auto"/>
        <w:rPr>
          <w:rFonts w:ascii="Arial" w:hAnsi="Arial" w:cs="Arial"/>
          <w:color w:val="C00000"/>
          <w:sz w:val="24"/>
          <w:szCs w:val="24"/>
        </w:rPr>
      </w:pPr>
      <w:r w:rsidRPr="008613E4">
        <w:rPr>
          <w:rFonts w:ascii="Arial" w:hAnsi="Arial" w:cs="Arial"/>
          <w:color w:val="000000"/>
          <w:sz w:val="24"/>
          <w:szCs w:val="24"/>
          <w:u w:val="single"/>
        </w:rPr>
        <w:t>Title</w:t>
      </w:r>
      <w:r w:rsidRPr="008613E4">
        <w:rPr>
          <w:rFonts w:ascii="Arial" w:hAnsi="Arial" w:cs="Arial"/>
          <w:color w:val="000000"/>
          <w:sz w:val="24"/>
          <w:szCs w:val="24"/>
        </w:rPr>
        <w:t xml:space="preserve">:  </w:t>
      </w:r>
      <w:r w:rsidRPr="00C338C1" w:rsidR="007F2518">
        <w:rPr>
          <w:rFonts w:ascii="Arial" w:hAnsi="Arial" w:cs="Arial"/>
          <w:sz w:val="24"/>
        </w:rPr>
        <w:t>Decision Review Request: Board Appeal (Notice of Disagreement) and Appeal to the Board of Veterans’ Appeals, VA Form 10182 and VA Form 9</w:t>
      </w:r>
      <w:r w:rsidRPr="00C338C1" w:rsidR="00DC1530">
        <w:rPr>
          <w:rFonts w:ascii="Arial" w:hAnsi="Arial" w:cs="Arial"/>
          <w:sz w:val="24"/>
        </w:rPr>
        <w:t xml:space="preserve">. </w:t>
      </w:r>
      <w:r w:rsidRPr="00C338C1" w:rsidR="002447C4">
        <w:rPr>
          <w:rFonts w:ascii="Arial" w:hAnsi="Arial" w:cs="Arial"/>
          <w:sz w:val="24"/>
        </w:rPr>
        <w:t xml:space="preserve"> </w:t>
      </w:r>
    </w:p>
    <w:p w:rsidRPr="008613E4" w:rsidR="00481E16" w:rsidRDefault="00481E16" w14:paraId="072F0D51" w14:textId="461DA1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8613E4">
        <w:rPr>
          <w:rFonts w:ascii="Arial" w:hAnsi="Arial" w:cs="Arial"/>
          <w:sz w:val="24"/>
          <w:szCs w:val="24"/>
        </w:rPr>
        <w:t xml:space="preserve">:  </w:t>
      </w:r>
      <w:r w:rsidRPr="00C338C1" w:rsidR="00D74A41">
        <w:rPr>
          <w:rFonts w:ascii="Arial" w:hAnsi="Arial" w:cs="Arial"/>
          <w:sz w:val="24"/>
          <w:szCs w:val="24"/>
        </w:rPr>
        <w:t>2900-</w:t>
      </w:r>
      <w:r w:rsidRPr="00C338C1" w:rsidR="007F2518">
        <w:rPr>
          <w:rFonts w:ascii="Arial" w:hAnsi="Arial" w:cs="Arial"/>
          <w:sz w:val="24"/>
          <w:szCs w:val="24"/>
        </w:rPr>
        <w:t>0674</w:t>
      </w:r>
      <w:r w:rsidRPr="00C338C1" w:rsidR="009B7931">
        <w:rPr>
          <w:rFonts w:ascii="Arial" w:hAnsi="Arial" w:cs="Arial"/>
          <w:sz w:val="24"/>
          <w:szCs w:val="24"/>
        </w:rPr>
        <w:t>.</w:t>
      </w:r>
    </w:p>
    <w:p w:rsidRPr="008613E4" w:rsidR="00AD0A34" w:rsidRDefault="00AD0A34" w14:paraId="331E8304" w14:textId="702E8951">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Pr="00C338C1" w:rsidR="005A77C1">
        <w:rPr>
          <w:rFonts w:ascii="Arial" w:hAnsi="Arial"/>
          <w:sz w:val="24"/>
        </w:rPr>
        <w:t>Revision of a currently approved collection</w:t>
      </w:r>
      <w:r w:rsidRPr="00C338C1" w:rsidR="00E05658">
        <w:rPr>
          <w:rFonts w:ascii="Arial" w:hAnsi="Arial"/>
          <w:sz w:val="24"/>
        </w:rPr>
        <w:t>.</w:t>
      </w:r>
    </w:p>
    <w:p w:rsidRPr="00555284" w:rsidR="0036437D" w:rsidP="0036437D" w:rsidRDefault="0031657C" w14:paraId="5B1664F3" w14:textId="4F91EE22">
      <w:pPr>
        <w:tabs>
          <w:tab w:val="left" w:pos="270"/>
          <w:tab w:val="right" w:pos="9360"/>
        </w:tabs>
        <w:spacing w:line="480" w:lineRule="auto"/>
        <w:rPr>
          <w:rFonts w:ascii="Arial" w:hAnsi="Arial" w:cs="Arial"/>
          <w:sz w:val="24"/>
        </w:rPr>
      </w:pPr>
      <w:r w:rsidRPr="003635C6">
        <w:rPr>
          <w:rFonts w:ascii="Arial" w:hAnsi="Arial" w:cs="Arial"/>
          <w:color w:val="000000"/>
          <w:sz w:val="24"/>
          <w:szCs w:val="24"/>
          <w:u w:val="single"/>
        </w:rPr>
        <w:t>Abstract</w:t>
      </w:r>
      <w:r w:rsidRPr="003635C6">
        <w:rPr>
          <w:rFonts w:ascii="Arial" w:hAnsi="Arial" w:cs="Arial"/>
          <w:color w:val="000000"/>
          <w:sz w:val="24"/>
          <w:szCs w:val="24"/>
        </w:rPr>
        <w:t>:</w:t>
      </w:r>
      <w:r w:rsidRPr="008613E4">
        <w:rPr>
          <w:rFonts w:cs="Arial"/>
          <w:color w:val="000000"/>
          <w:szCs w:val="24"/>
        </w:rPr>
        <w:t xml:space="preserve">  </w:t>
      </w:r>
      <w:r w:rsidRPr="00555284" w:rsidR="0036437D">
        <w:rPr>
          <w:rFonts w:ascii="Arial" w:hAnsi="Arial" w:cs="Arial"/>
          <w:sz w:val="24"/>
        </w:rPr>
        <w:t xml:space="preserve">Appellate review of the denial of VA benefits may only be initiated by the filing of a Notice of Disagreement with the Board. 38 U.S.C. 7105(a). </w:t>
      </w:r>
      <w:r w:rsidRPr="00555284" w:rsidR="0036437D">
        <w:rPr>
          <w:rFonts w:ascii="Arial" w:hAnsi="Arial" w:cs="Arial"/>
          <w:i/>
          <w:iCs/>
          <w:sz w:val="24"/>
        </w:rPr>
        <w:t>VA Form 10182 Decision Review Request: Board Appeal (Notice of Disagreement)</w:t>
      </w:r>
      <w:r w:rsidRPr="00555284" w:rsidR="0036437D">
        <w:rPr>
          <w:rFonts w:ascii="Arial" w:hAnsi="Arial" w:cs="Arial"/>
          <w:sz w:val="24"/>
        </w:rPr>
        <w:t xml:space="preserve"> is required to initiate Board review of an appeal in the modernized review system as implemented by the</w:t>
      </w:r>
      <w:r w:rsidRPr="00555284" w:rsidR="0036437D">
        <w:rPr>
          <w:sz w:val="24"/>
          <w:szCs w:val="24"/>
        </w:rPr>
        <w:t xml:space="preserve"> </w:t>
      </w:r>
      <w:r w:rsidRPr="00555284" w:rsidR="0036437D">
        <w:rPr>
          <w:rFonts w:ascii="Arial" w:hAnsi="Arial" w:cs="Arial"/>
          <w:sz w:val="24"/>
        </w:rPr>
        <w:t xml:space="preserve">Veterans Appeals Improvement and Modernization Act of 2017 (AMA). The </w:t>
      </w:r>
      <w:r w:rsidRPr="003635C6" w:rsidR="0036437D">
        <w:rPr>
          <w:rFonts w:ascii="Arial" w:hAnsi="Arial" w:cs="Arial"/>
          <w:i/>
          <w:iCs/>
          <w:sz w:val="24"/>
        </w:rPr>
        <w:t>VA Form 9 Appeal to Board of Veterans’ Appeals</w:t>
      </w:r>
      <w:r w:rsidRPr="00555284" w:rsidR="0036437D">
        <w:rPr>
          <w:rFonts w:ascii="Arial" w:hAnsi="Arial" w:cs="Arial"/>
          <w:sz w:val="24"/>
        </w:rPr>
        <w:t xml:space="preserve"> </w:t>
      </w:r>
      <w:r w:rsidR="006B4258">
        <w:rPr>
          <w:rFonts w:ascii="Arial" w:hAnsi="Arial" w:cs="Arial"/>
          <w:sz w:val="24"/>
        </w:rPr>
        <w:t>may be used</w:t>
      </w:r>
      <w:r w:rsidRPr="00555284" w:rsidR="0036437D">
        <w:rPr>
          <w:rFonts w:ascii="Arial" w:hAnsi="Arial" w:cs="Arial"/>
          <w:sz w:val="24"/>
        </w:rPr>
        <w:t xml:space="preserve"> to complete a legacy appeal to the Board. The completed form becomes the “substantive appeal” (or “formal appeal”), which is required by </w:t>
      </w:r>
      <w:r w:rsidR="00A80438">
        <w:rPr>
          <w:rFonts w:ascii="Arial" w:hAnsi="Arial" w:cs="Arial"/>
          <w:sz w:val="24"/>
        </w:rPr>
        <w:t xml:space="preserve">the pre-AMA version of </w:t>
      </w:r>
      <w:r w:rsidRPr="00555284" w:rsidR="0036437D">
        <w:rPr>
          <w:rFonts w:ascii="Arial" w:hAnsi="Arial" w:cs="Arial"/>
          <w:sz w:val="24"/>
        </w:rPr>
        <w:t xml:space="preserve">38 U.S.C. 7105(a) and (d)(3) to complete an appeal to the Board. Additionally, the proposed information collections allow for withdrawal of services by a representative, requests for changes in hearing dates and methods under 38 U.S.C. 7107, and motions for reconsideration pursuant to 38 U.S.C. 7103(a). </w:t>
      </w:r>
    </w:p>
    <w:p w:rsidRPr="0036437D" w:rsidR="0036437D" w:rsidP="0036437D" w:rsidRDefault="0036437D" w14:paraId="052BA994" w14:textId="77777777">
      <w:pPr>
        <w:tabs>
          <w:tab w:val="left" w:pos="270"/>
          <w:tab w:val="right" w:pos="9360"/>
        </w:tabs>
        <w:spacing w:line="480" w:lineRule="auto"/>
        <w:rPr>
          <w:rFonts w:ascii="Arial" w:hAnsi="Arial" w:cs="Arial"/>
          <w:sz w:val="24"/>
        </w:rPr>
      </w:pPr>
    </w:p>
    <w:p w:rsidRPr="00555284" w:rsidR="00E26018" w:rsidP="05A039D7" w:rsidRDefault="00E26018" w14:paraId="0960D2E7" w14:textId="2604F006">
      <w:pPr>
        <w:tabs>
          <w:tab w:val="left" w:pos="270"/>
          <w:tab w:val="right" w:pos="9360"/>
        </w:tabs>
        <w:spacing w:line="480" w:lineRule="auto"/>
        <w:rPr>
          <w:rFonts w:ascii="Arial" w:hAnsi="Arial" w:cs="Arial"/>
          <w:sz w:val="24"/>
          <w:szCs w:val="24"/>
        </w:rPr>
      </w:pPr>
      <w:r w:rsidRPr="05A039D7">
        <w:rPr>
          <w:rFonts w:ascii="Arial" w:hAnsi="Arial" w:cs="Arial"/>
          <w:sz w:val="24"/>
          <w:szCs w:val="24"/>
        </w:rPr>
        <w:t xml:space="preserve">The Board is requesting to revise the currently approved OMB Control No. 2900-0674 to include an updated VA Form 10182 Notice of Disagreement. Proposed revisions to the VA Form 10182 Notice of Disagreement include: (1) removal of the requirement to provide a social security number; (2) inclusion of checkboxes to indicate a preferred method of hearing; (3) inclusion of a checkbox to indicate whether the decision for which </w:t>
      </w:r>
      <w:r w:rsidRPr="05A039D7">
        <w:rPr>
          <w:rFonts w:ascii="Arial" w:hAnsi="Arial" w:cs="Arial"/>
          <w:sz w:val="24"/>
          <w:szCs w:val="24"/>
        </w:rPr>
        <w:lastRenderedPageBreak/>
        <w:t xml:space="preserve">appeal is being sought was issued by the Veterans Health Administration (VHA); (4)  provision of a list of examples of common issues a claimant may disagree with including service connection, disability evaluation, or and effective date of award; (5) inclusion of a checkbox to request an extension of the deadline to file a Notice of Disagreement; (6) removal of the checkbox used to indicate whether the Notice of Disagreement has been filed in response to a Statement of the Case or Supplemental Statement of the Case issued under the legacy appeals process; (7) replacement of the checkbox for indicating the claimant </w:t>
      </w:r>
      <w:r w:rsidRPr="05A039D7" w:rsidR="005514F8">
        <w:rPr>
          <w:rFonts w:ascii="Arial" w:hAnsi="Arial" w:cs="Arial"/>
          <w:sz w:val="24"/>
          <w:szCs w:val="24"/>
        </w:rPr>
        <w:t>“</w:t>
      </w:r>
      <w:r w:rsidRPr="05A039D7">
        <w:rPr>
          <w:rFonts w:ascii="Arial" w:hAnsi="Arial" w:cs="Arial"/>
          <w:sz w:val="24"/>
          <w:szCs w:val="24"/>
        </w:rPr>
        <w:t>is homeless</w:t>
      </w:r>
      <w:r w:rsidRPr="05A039D7" w:rsidR="005514F8">
        <w:rPr>
          <w:rFonts w:ascii="Arial" w:hAnsi="Arial" w:cs="Arial"/>
          <w:sz w:val="24"/>
          <w:szCs w:val="24"/>
        </w:rPr>
        <w:t>”</w:t>
      </w:r>
      <w:r w:rsidRPr="05A039D7">
        <w:rPr>
          <w:rFonts w:ascii="Arial" w:hAnsi="Arial" w:cs="Arial"/>
          <w:sz w:val="24"/>
          <w:szCs w:val="24"/>
        </w:rPr>
        <w:t xml:space="preserve"> to indicate whether the claimant is “experiencing homelessness”; (8) a clarified description of the window of time within which to submit evidence on the Evidence Submission docket; and (9) adding a subpart to Part III for issues the appellant wishes to include in the VA Form 10182 that need to be listed on additional sheets. Proposed revisions also include updated instructions for completing the Notice of Disagreement.</w:t>
      </w:r>
    </w:p>
    <w:p w:rsidRPr="0036437D" w:rsidR="0036437D" w:rsidP="0036437D" w:rsidRDefault="0036437D" w14:paraId="283E0A87" w14:textId="77777777">
      <w:pPr>
        <w:tabs>
          <w:tab w:val="left" w:pos="270"/>
          <w:tab w:val="right" w:pos="9360"/>
        </w:tabs>
        <w:spacing w:line="480" w:lineRule="auto"/>
        <w:rPr>
          <w:rFonts w:ascii="Arial" w:hAnsi="Arial" w:cs="Arial"/>
          <w:sz w:val="24"/>
        </w:rPr>
      </w:pPr>
    </w:p>
    <w:p w:rsidRPr="0036437D" w:rsidR="0036437D" w:rsidP="0036437D" w:rsidRDefault="0036437D" w14:paraId="06D582F5" w14:textId="37E395D9">
      <w:pPr>
        <w:tabs>
          <w:tab w:val="left" w:pos="270"/>
          <w:tab w:val="right" w:pos="9360"/>
        </w:tabs>
        <w:spacing w:line="480" w:lineRule="auto"/>
        <w:rPr>
          <w:rFonts w:ascii="Arial" w:hAnsi="Arial" w:cs="Arial"/>
          <w:sz w:val="24"/>
        </w:rPr>
      </w:pPr>
      <w:r w:rsidRPr="0036437D">
        <w:rPr>
          <w:rFonts w:ascii="Arial" w:hAnsi="Arial" w:cs="Arial"/>
          <w:sz w:val="24"/>
        </w:rPr>
        <w:t xml:space="preserve">There is a decrease in the respondent burden because the associated control number originally included the nonstandard legacy Notice of Disagreement. Consistent with the wind-down of legacy appeals following implementation of </w:t>
      </w:r>
      <w:r w:rsidR="00E12DCC">
        <w:rPr>
          <w:rFonts w:ascii="Arial" w:hAnsi="Arial" w:cs="Arial"/>
          <w:sz w:val="24"/>
        </w:rPr>
        <w:t xml:space="preserve">the </w:t>
      </w:r>
      <w:r w:rsidRPr="0036437D">
        <w:rPr>
          <w:rFonts w:ascii="Arial" w:hAnsi="Arial" w:cs="Arial"/>
          <w:sz w:val="24"/>
        </w:rPr>
        <w:t xml:space="preserve">AMA, the Board is not seeking renewal of the nonstandard legacy Notice of Disagreement under this control number. </w:t>
      </w:r>
    </w:p>
    <w:p w:rsidRPr="007465B2" w:rsidR="00D670F5" w:rsidP="007315B5" w:rsidRDefault="00D670F5" w14:paraId="3494F8D6" w14:textId="480DA395">
      <w:pPr>
        <w:pStyle w:val="Heading1"/>
        <w:tabs>
          <w:tab w:val="right" w:pos="9360"/>
        </w:tabs>
        <w:ind w:right="270"/>
        <w:rPr>
          <w:rFonts w:cs="Arial"/>
          <w:color w:val="C00000"/>
          <w:szCs w:val="24"/>
        </w:rPr>
      </w:pPr>
    </w:p>
    <w:p w:rsidRPr="007465B2" w:rsidR="00876746" w:rsidP="003635C6" w:rsidRDefault="00D6581D" w14:paraId="521AEF0D" w14:textId="0CBBC0BE">
      <w:pPr>
        <w:tabs>
          <w:tab w:val="left" w:pos="360"/>
          <w:tab w:val="right" w:pos="9360"/>
        </w:tabs>
        <w:spacing w:line="480" w:lineRule="auto"/>
        <w:ind w:right="270"/>
        <w:rPr>
          <w:rFonts w:ascii="Arial" w:hAnsi="Arial" w:cs="Arial"/>
          <w:color w:val="C00000"/>
          <w:sz w:val="24"/>
          <w:szCs w:val="24"/>
        </w:rPr>
      </w:pPr>
      <w:r w:rsidRPr="00875723">
        <w:rPr>
          <w:rFonts w:ascii="Arial" w:hAnsi="Arial" w:cs="Arial"/>
          <w:sz w:val="24"/>
          <w:szCs w:val="24"/>
        </w:rPr>
        <w:t>An agency may not conduct or sponsor, and a person is not required to respond to a collection of information</w:t>
      </w:r>
      <w:r w:rsidR="00E12DCC">
        <w:rPr>
          <w:rFonts w:ascii="Arial" w:hAnsi="Arial" w:cs="Arial"/>
          <w:sz w:val="24"/>
          <w:szCs w:val="24"/>
        </w:rPr>
        <w:t>,</w:t>
      </w:r>
      <w:r w:rsidRPr="00875723">
        <w:rPr>
          <w:rFonts w:ascii="Arial" w:hAnsi="Arial" w:cs="Arial"/>
          <w:sz w:val="24"/>
          <w:szCs w:val="24"/>
        </w:rPr>
        <w:t xml:space="preserve"> unless it displays a currently valid OMB control number.  The </w:t>
      </w:r>
      <w:r w:rsidRPr="006E26D6">
        <w:rPr>
          <w:rFonts w:ascii="Arial" w:hAnsi="Arial" w:cs="Arial"/>
          <w:b/>
          <w:i/>
          <w:sz w:val="24"/>
          <w:szCs w:val="24"/>
        </w:rPr>
        <w:t>Federal Register</w:t>
      </w:r>
      <w:r w:rsidRPr="00875723">
        <w:rPr>
          <w:rFonts w:ascii="Arial" w:hAnsi="Arial" w:cs="Arial"/>
          <w:sz w:val="24"/>
          <w:szCs w:val="24"/>
        </w:rPr>
        <w:t xml:space="preserve"> Notice with a 60-day comment period soliciting comments on this </w:t>
      </w:r>
      <w:r w:rsidRPr="00875723">
        <w:rPr>
          <w:rFonts w:ascii="Arial" w:hAnsi="Arial" w:cs="Arial"/>
          <w:sz w:val="24"/>
          <w:szCs w:val="24"/>
        </w:rPr>
        <w:lastRenderedPageBreak/>
        <w:t>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Pr="00875723" w:rsidR="00D670F5">
        <w:rPr>
          <w:rFonts w:ascii="Arial" w:hAnsi="Arial" w:cs="Arial"/>
          <w:sz w:val="24"/>
          <w:szCs w:val="24"/>
        </w:rPr>
        <w:t xml:space="preserve"> </w:t>
      </w:r>
      <w:r w:rsidRPr="005145FC" w:rsidR="005145FC">
        <w:rPr>
          <w:rFonts w:ascii="Arial" w:hAnsi="Arial" w:cs="Arial"/>
          <w:sz w:val="24"/>
          <w:szCs w:val="24"/>
        </w:rPr>
        <w:t>86</w:t>
      </w:r>
      <w:r w:rsidRPr="005145FC" w:rsidR="00D670F5">
        <w:rPr>
          <w:rFonts w:ascii="Arial" w:hAnsi="Arial" w:cs="Arial"/>
          <w:sz w:val="24"/>
          <w:szCs w:val="24"/>
        </w:rPr>
        <w:t xml:space="preserve"> FR </w:t>
      </w:r>
      <w:r w:rsidRPr="005145FC" w:rsidR="005145FC">
        <w:rPr>
          <w:rFonts w:ascii="Arial" w:hAnsi="Arial" w:cs="Arial"/>
          <w:sz w:val="24"/>
          <w:szCs w:val="24"/>
        </w:rPr>
        <w:t>217</w:t>
      </w:r>
      <w:r w:rsidRPr="005145FC" w:rsidR="00875723">
        <w:rPr>
          <w:rFonts w:ascii="Arial" w:hAnsi="Arial" w:cs="Arial"/>
          <w:sz w:val="24"/>
          <w:szCs w:val="24"/>
        </w:rPr>
        <w:t xml:space="preserve"> on </w:t>
      </w:r>
      <w:r w:rsidRPr="005145FC" w:rsidR="005145FC">
        <w:rPr>
          <w:rFonts w:ascii="Arial" w:hAnsi="Arial" w:cs="Arial"/>
          <w:sz w:val="24"/>
          <w:szCs w:val="24"/>
        </w:rPr>
        <w:t>November</w:t>
      </w:r>
      <w:r w:rsidRPr="005145FC" w:rsidR="00875723">
        <w:rPr>
          <w:rFonts w:ascii="Arial" w:hAnsi="Arial" w:cs="Arial"/>
          <w:sz w:val="24"/>
          <w:szCs w:val="24"/>
        </w:rPr>
        <w:t xml:space="preserve"> 15, 20</w:t>
      </w:r>
      <w:r w:rsidRPr="005145FC" w:rsidR="005145FC">
        <w:rPr>
          <w:rFonts w:ascii="Arial" w:hAnsi="Arial" w:cs="Arial"/>
          <w:sz w:val="24"/>
          <w:szCs w:val="24"/>
        </w:rPr>
        <w:t>21</w:t>
      </w:r>
      <w:r w:rsidRPr="005145FC" w:rsidR="00D670F5">
        <w:rPr>
          <w:rFonts w:ascii="Arial" w:hAnsi="Arial" w:cs="Arial"/>
          <w:sz w:val="24"/>
          <w:szCs w:val="24"/>
        </w:rPr>
        <w:t xml:space="preserve">, pages </w:t>
      </w:r>
      <w:r w:rsidRPr="005145FC" w:rsidR="005145FC">
        <w:rPr>
          <w:rFonts w:ascii="Arial" w:hAnsi="Arial" w:cs="Arial"/>
          <w:sz w:val="24"/>
          <w:szCs w:val="24"/>
        </w:rPr>
        <w:t>63107 and 63108</w:t>
      </w:r>
      <w:r w:rsidRPr="00915F78" w:rsidR="00875723">
        <w:rPr>
          <w:rFonts w:ascii="Arial" w:hAnsi="Arial" w:cs="Arial"/>
          <w:color w:val="C00000"/>
          <w:sz w:val="24"/>
          <w:szCs w:val="24"/>
        </w:rPr>
        <w:t>.</w:t>
      </w:r>
    </w:p>
    <w:p w:rsidRPr="00C338C1" w:rsidR="0031657C" w:rsidRDefault="0031657C" w14:paraId="6E51A03C" w14:textId="1422B883">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Affected Public</w:t>
      </w:r>
      <w:r w:rsidRPr="008613E4" w:rsidR="00130F3F">
        <w:rPr>
          <w:rFonts w:ascii="Arial" w:hAnsi="Arial" w:cs="Arial"/>
          <w:color w:val="000000"/>
          <w:sz w:val="24"/>
          <w:szCs w:val="24"/>
        </w:rPr>
        <w:t xml:space="preserve">:  </w:t>
      </w:r>
      <w:r w:rsidRPr="00C338C1" w:rsidR="002927C4">
        <w:rPr>
          <w:rFonts w:ascii="Arial" w:hAnsi="Arial" w:cs="Arial"/>
          <w:sz w:val="24"/>
          <w:szCs w:val="24"/>
        </w:rPr>
        <w:t xml:space="preserve">Individuals </w:t>
      </w:r>
      <w:r w:rsidRPr="00C338C1" w:rsidR="007E45B0">
        <w:rPr>
          <w:rFonts w:ascii="Arial" w:hAnsi="Arial" w:cs="Arial"/>
          <w:sz w:val="24"/>
          <w:szCs w:val="24"/>
        </w:rPr>
        <w:t>and</w:t>
      </w:r>
      <w:r w:rsidRPr="00C338C1" w:rsidR="002927C4">
        <w:rPr>
          <w:rFonts w:ascii="Arial" w:hAnsi="Arial" w:cs="Arial"/>
          <w:sz w:val="24"/>
          <w:szCs w:val="24"/>
        </w:rPr>
        <w:t xml:space="preserve"> </w:t>
      </w:r>
      <w:r w:rsidRPr="00C338C1" w:rsidR="007E45B0">
        <w:rPr>
          <w:rFonts w:ascii="Arial" w:hAnsi="Arial" w:cs="Arial"/>
          <w:sz w:val="24"/>
          <w:szCs w:val="24"/>
        </w:rPr>
        <w:t>h</w:t>
      </w:r>
      <w:r w:rsidRPr="00C338C1" w:rsidR="002927C4">
        <w:rPr>
          <w:rFonts w:ascii="Arial" w:hAnsi="Arial" w:cs="Arial"/>
          <w:sz w:val="24"/>
          <w:szCs w:val="24"/>
        </w:rPr>
        <w:t>ouseholds</w:t>
      </w:r>
      <w:r w:rsidRPr="00C338C1">
        <w:rPr>
          <w:rFonts w:ascii="Arial" w:hAnsi="Arial" w:cs="Arial"/>
          <w:sz w:val="24"/>
          <w:szCs w:val="24"/>
        </w:rPr>
        <w:t>.</w:t>
      </w:r>
    </w:p>
    <w:p w:rsidRPr="007465B2" w:rsidR="0031657C" w:rsidRDefault="0031657C" w14:paraId="4C7D07D2" w14:textId="78365BDC">
      <w:pPr>
        <w:tabs>
          <w:tab w:val="left" w:pos="360"/>
          <w:tab w:val="decimal" w:pos="576"/>
          <w:tab w:val="decimal" w:pos="5616"/>
          <w:tab w:val="right" w:pos="9360"/>
          <w:tab w:val="decimal" w:pos="10944"/>
        </w:tabs>
        <w:spacing w:line="480" w:lineRule="auto"/>
        <w:ind w:right="270"/>
        <w:jc w:val="both"/>
        <w:rPr>
          <w:rFonts w:ascii="Arial" w:hAnsi="Arial" w:cs="Arial"/>
          <w:color w:val="C00000"/>
          <w:sz w:val="24"/>
          <w:szCs w:val="24"/>
        </w:rPr>
      </w:pPr>
      <w:r w:rsidRPr="008613E4">
        <w:rPr>
          <w:rFonts w:ascii="Arial" w:hAnsi="Arial" w:cs="Arial"/>
          <w:color w:val="000000"/>
          <w:sz w:val="24"/>
          <w:szCs w:val="24"/>
          <w:u w:val="single"/>
        </w:rPr>
        <w:t>Estimated Annual Burden</w:t>
      </w:r>
      <w:r w:rsidRPr="00870CE7" w:rsidR="00870CE7">
        <w:rPr>
          <w:rFonts w:ascii="Arial" w:hAnsi="Arial"/>
          <w:color w:val="000000"/>
          <w:sz w:val="24"/>
        </w:rPr>
        <w:t xml:space="preserve">:  </w:t>
      </w:r>
      <w:r w:rsidR="008B63B5">
        <w:rPr>
          <w:rFonts w:ascii="Arial" w:hAnsi="Arial"/>
          <w:sz w:val="24"/>
        </w:rPr>
        <w:t>64</w:t>
      </w:r>
      <w:r w:rsidRPr="00870CE7" w:rsidR="00870CE7">
        <w:rPr>
          <w:rFonts w:ascii="Arial" w:hAnsi="Arial"/>
          <w:sz w:val="24"/>
        </w:rPr>
        <w:t>,805 hours.</w:t>
      </w:r>
    </w:p>
    <w:p w:rsidRPr="0012155D" w:rsidR="0012155D" w:rsidRDefault="0031657C" w14:paraId="06D509AE" w14:textId="7C1181C4">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Estimated Average Burden Per Respondent</w:t>
      </w:r>
      <w:r w:rsidRPr="008613E4">
        <w:rPr>
          <w:rFonts w:ascii="Arial" w:hAnsi="Arial" w:cs="Arial"/>
          <w:color w:val="000000"/>
          <w:sz w:val="24"/>
          <w:szCs w:val="24"/>
        </w:rPr>
        <w:t xml:space="preserve">:  </w:t>
      </w:r>
      <w:r w:rsidRPr="0012155D" w:rsidR="004A023D">
        <w:rPr>
          <w:rFonts w:ascii="Arial" w:hAnsi="Arial" w:cs="Arial"/>
          <w:sz w:val="24"/>
          <w:szCs w:val="24"/>
        </w:rPr>
        <w:t>37</w:t>
      </w:r>
      <w:r w:rsidRPr="0012155D" w:rsidR="002927C4">
        <w:rPr>
          <w:rFonts w:ascii="Arial" w:hAnsi="Arial" w:cs="Arial"/>
          <w:sz w:val="24"/>
          <w:szCs w:val="24"/>
        </w:rPr>
        <w:t xml:space="preserve"> minutes</w:t>
      </w:r>
      <w:r w:rsidR="0012155D">
        <w:rPr>
          <w:rFonts w:ascii="Arial" w:hAnsi="Arial" w:cs="Arial"/>
          <w:sz w:val="24"/>
          <w:szCs w:val="24"/>
        </w:rPr>
        <w:t>.</w:t>
      </w:r>
    </w:p>
    <w:p w:rsidRPr="007465B2" w:rsidR="0031657C" w:rsidRDefault="0031657C" w14:paraId="23CF8B1C" w14:textId="21566748">
      <w:pPr>
        <w:tabs>
          <w:tab w:val="left" w:pos="360"/>
          <w:tab w:val="decimal" w:pos="576"/>
          <w:tab w:val="decimal" w:pos="5616"/>
          <w:tab w:val="right" w:pos="9360"/>
          <w:tab w:val="decimal" w:pos="10944"/>
        </w:tabs>
        <w:spacing w:line="480" w:lineRule="auto"/>
        <w:ind w:right="270"/>
        <w:jc w:val="both"/>
        <w:rPr>
          <w:rFonts w:ascii="Arial" w:hAnsi="Arial" w:cs="Arial"/>
          <w:color w:val="C00000"/>
          <w:sz w:val="24"/>
          <w:szCs w:val="24"/>
        </w:rPr>
      </w:pPr>
      <w:r w:rsidRPr="008613E4">
        <w:rPr>
          <w:rFonts w:ascii="Arial" w:hAnsi="Arial" w:cs="Arial"/>
          <w:color w:val="000000"/>
          <w:sz w:val="24"/>
          <w:szCs w:val="24"/>
          <w:u w:val="single"/>
        </w:rPr>
        <w:t>Frequency of Response</w:t>
      </w:r>
      <w:r w:rsidRPr="008613E4">
        <w:rPr>
          <w:rFonts w:ascii="Arial" w:hAnsi="Arial" w:cs="Arial"/>
          <w:color w:val="000000"/>
          <w:sz w:val="24"/>
          <w:szCs w:val="24"/>
        </w:rPr>
        <w:t xml:space="preserve">: </w:t>
      </w:r>
      <w:r w:rsidRPr="0012155D" w:rsidR="003419AA">
        <w:rPr>
          <w:rFonts w:ascii="Arial" w:hAnsi="Arial"/>
          <w:iCs/>
          <w:sz w:val="24"/>
        </w:rPr>
        <w:t>Once</w:t>
      </w:r>
      <w:r w:rsidRPr="0012155D">
        <w:rPr>
          <w:rFonts w:ascii="Arial" w:hAnsi="Arial" w:cs="Arial"/>
          <w:sz w:val="24"/>
          <w:szCs w:val="24"/>
        </w:rPr>
        <w:t>.</w:t>
      </w:r>
    </w:p>
    <w:p w:rsidR="003B042E" w:rsidP="43C8FAF0" w:rsidRDefault="0031657C" w14:paraId="6C187F9F" w14:textId="46A572C1">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43C8FAF0">
        <w:rPr>
          <w:rFonts w:ascii="Arial" w:hAnsi="Arial" w:cs="Arial"/>
          <w:color w:val="000000" w:themeColor="text1"/>
          <w:sz w:val="24"/>
          <w:szCs w:val="24"/>
          <w:u w:val="single"/>
        </w:rPr>
        <w:t>Estimated Number of Respondents</w:t>
      </w:r>
      <w:r w:rsidRPr="43C8FAF0">
        <w:rPr>
          <w:rFonts w:ascii="Arial" w:hAnsi="Arial" w:cs="Arial"/>
          <w:color w:val="000000" w:themeColor="text1"/>
          <w:sz w:val="24"/>
          <w:szCs w:val="24"/>
        </w:rPr>
        <w:t>:</w:t>
      </w:r>
      <w:r w:rsidRPr="43C8FAF0" w:rsidR="00870CE7">
        <w:rPr>
          <w:rFonts w:ascii="Arial" w:hAnsi="Arial" w:cs="Arial"/>
          <w:color w:val="000000" w:themeColor="text1"/>
          <w:sz w:val="24"/>
          <w:szCs w:val="24"/>
        </w:rPr>
        <w:t xml:space="preserve"> </w:t>
      </w:r>
      <w:r w:rsidRPr="43C8FAF0" w:rsidR="008D1659">
        <w:rPr>
          <w:rFonts w:ascii="Arial" w:hAnsi="Arial" w:cs="Arial"/>
          <w:color w:val="000000" w:themeColor="text1"/>
          <w:sz w:val="24"/>
          <w:szCs w:val="24"/>
        </w:rPr>
        <w:t>1</w:t>
      </w:r>
      <w:r w:rsidRPr="43C8FAF0" w:rsidR="004F3B88">
        <w:rPr>
          <w:rFonts w:ascii="Arial" w:hAnsi="Arial" w:cs="Arial"/>
          <w:color w:val="000000" w:themeColor="text1"/>
          <w:sz w:val="24"/>
          <w:szCs w:val="24"/>
        </w:rPr>
        <w:t>26</w:t>
      </w:r>
      <w:r w:rsidRPr="43C8FAF0" w:rsidR="008D1659">
        <w:rPr>
          <w:rFonts w:ascii="Arial" w:hAnsi="Arial" w:cs="Arial"/>
          <w:color w:val="000000" w:themeColor="text1"/>
          <w:sz w:val="24"/>
          <w:szCs w:val="24"/>
        </w:rPr>
        <w:t>,000.</w:t>
      </w:r>
    </w:p>
    <w:p w:rsidRPr="008613E4" w:rsidR="004B705E" w:rsidRDefault="004B705E"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E05658" w:rsidR="00E05658" w:rsidP="00E05658" w:rsidRDefault="00E05658" w14:paraId="20290A00" w14:textId="77777777">
      <w:pPr>
        <w:tabs>
          <w:tab w:val="left" w:pos="360"/>
          <w:tab w:val="decimal" w:pos="576"/>
          <w:tab w:val="decimal" w:pos="5616"/>
          <w:tab w:val="decimal" w:pos="10944"/>
        </w:tabs>
        <w:spacing w:after="120" w:line="480" w:lineRule="auto"/>
        <w:rPr>
          <w:rFonts w:ascii="Arial" w:hAnsi="Arial"/>
          <w:sz w:val="24"/>
          <w:szCs w:val="24"/>
        </w:rPr>
      </w:pPr>
      <w:r w:rsidRPr="00E05658">
        <w:rPr>
          <w:rFonts w:ascii="Arial" w:hAnsi="Arial"/>
          <w:sz w:val="24"/>
          <w:szCs w:val="24"/>
        </w:rPr>
        <w:t>By direction of the Secretary:</w:t>
      </w:r>
    </w:p>
    <w:p w:rsidRPr="005D79FA" w:rsidR="00E05658" w:rsidP="00E05658" w:rsidRDefault="00332BCC" w14:paraId="61716B95" w14:textId="6A29B33A">
      <w:pPr>
        <w:tabs>
          <w:tab w:val="left" w:pos="360"/>
          <w:tab w:val="decimal" w:pos="576"/>
          <w:tab w:val="decimal" w:pos="5616"/>
          <w:tab w:val="decimal" w:pos="10944"/>
        </w:tabs>
        <w:spacing w:after="120" w:line="480" w:lineRule="auto"/>
        <w:rPr>
          <w:rFonts w:ascii="Arial" w:hAnsi="Arial"/>
          <w:bCs/>
          <w:sz w:val="24"/>
          <w:szCs w:val="24"/>
        </w:rPr>
      </w:pPr>
      <w:r w:rsidRPr="005D79FA">
        <w:rPr>
          <w:rFonts w:ascii="Arial" w:hAnsi="Arial"/>
          <w:bCs/>
          <w:sz w:val="24"/>
          <w:szCs w:val="24"/>
        </w:rPr>
        <w:t>Maribel Aponte</w:t>
      </w:r>
      <w:r w:rsidRPr="005D79FA" w:rsidR="00A44363">
        <w:rPr>
          <w:rFonts w:ascii="Arial" w:hAnsi="Arial"/>
          <w:bCs/>
          <w:sz w:val="24"/>
          <w:szCs w:val="24"/>
        </w:rPr>
        <w:t>,</w:t>
      </w:r>
    </w:p>
    <w:p w:rsidRPr="005D79FA" w:rsidR="00E05658" w:rsidP="00E05658" w:rsidRDefault="000F5B3F" w14:paraId="57390BD8" w14:textId="359301BD">
      <w:pPr>
        <w:tabs>
          <w:tab w:val="left" w:pos="360"/>
          <w:tab w:val="decimal" w:pos="576"/>
          <w:tab w:val="decimal" w:pos="5616"/>
          <w:tab w:val="decimal" w:pos="10944"/>
        </w:tabs>
        <w:spacing w:after="120" w:line="480" w:lineRule="auto"/>
        <w:rPr>
          <w:rFonts w:ascii="Arial" w:hAnsi="Arial"/>
          <w:i/>
          <w:sz w:val="24"/>
          <w:szCs w:val="24"/>
        </w:rPr>
      </w:pPr>
      <w:r w:rsidRPr="005D79FA">
        <w:rPr>
          <w:rFonts w:ascii="Arial" w:hAnsi="Arial"/>
          <w:i/>
          <w:sz w:val="24"/>
          <w:szCs w:val="24"/>
        </w:rPr>
        <w:t xml:space="preserve">VA </w:t>
      </w:r>
      <w:r w:rsidRPr="005D79FA" w:rsidR="00C40883">
        <w:rPr>
          <w:rFonts w:ascii="Arial" w:hAnsi="Arial"/>
          <w:i/>
          <w:sz w:val="24"/>
          <w:szCs w:val="24"/>
        </w:rPr>
        <w:t>PRA</w:t>
      </w:r>
      <w:r w:rsidRPr="005D79FA" w:rsidR="00E05658">
        <w:rPr>
          <w:rFonts w:ascii="Arial" w:hAnsi="Arial"/>
          <w:i/>
          <w:sz w:val="24"/>
          <w:szCs w:val="24"/>
        </w:rPr>
        <w:t xml:space="preserve"> Clearance Officer,</w:t>
      </w:r>
    </w:p>
    <w:p w:rsidRPr="005D79FA" w:rsidR="00E05658" w:rsidP="00E05658" w:rsidRDefault="00E05658" w14:paraId="428839B5" w14:textId="423059B2">
      <w:pPr>
        <w:tabs>
          <w:tab w:val="left" w:pos="360"/>
          <w:tab w:val="decimal" w:pos="576"/>
          <w:tab w:val="decimal" w:pos="5616"/>
          <w:tab w:val="decimal" w:pos="10944"/>
        </w:tabs>
        <w:spacing w:after="120" w:line="480" w:lineRule="auto"/>
        <w:rPr>
          <w:rFonts w:ascii="Arial" w:hAnsi="Arial"/>
          <w:i/>
          <w:sz w:val="24"/>
          <w:szCs w:val="24"/>
        </w:rPr>
      </w:pPr>
      <w:r w:rsidRPr="005D79FA">
        <w:rPr>
          <w:rFonts w:ascii="Arial" w:hAnsi="Arial"/>
          <w:i/>
          <w:sz w:val="24"/>
          <w:szCs w:val="24"/>
        </w:rPr>
        <w:t xml:space="preserve">Office of </w:t>
      </w:r>
      <w:r w:rsidRPr="005D79FA" w:rsidR="00332BCC">
        <w:rPr>
          <w:rFonts w:ascii="Arial" w:hAnsi="Arial"/>
          <w:i/>
          <w:sz w:val="24"/>
          <w:szCs w:val="24"/>
        </w:rPr>
        <w:t>Enterprise and Integration, Data Governance Analytics</w:t>
      </w:r>
      <w:r w:rsidRPr="005D79FA">
        <w:rPr>
          <w:rFonts w:ascii="Arial" w:hAnsi="Arial"/>
          <w:i/>
          <w:sz w:val="24"/>
          <w:szCs w:val="24"/>
        </w:rPr>
        <w:t>,</w:t>
      </w:r>
    </w:p>
    <w:p w:rsidRPr="005D79FA" w:rsidR="00E05658" w:rsidP="00E05658" w:rsidRDefault="00E05658" w14:paraId="7F1A9F3B" w14:textId="77777777">
      <w:pPr>
        <w:tabs>
          <w:tab w:val="left" w:pos="360"/>
          <w:tab w:val="decimal" w:pos="576"/>
          <w:tab w:val="decimal" w:pos="5616"/>
          <w:tab w:val="decimal" w:pos="10944"/>
        </w:tabs>
        <w:spacing w:line="480" w:lineRule="auto"/>
        <w:rPr>
          <w:rFonts w:ascii="Arial" w:hAnsi="Arial"/>
          <w:sz w:val="24"/>
          <w:szCs w:val="24"/>
        </w:rPr>
      </w:pPr>
      <w:r w:rsidRPr="005D79FA">
        <w:rPr>
          <w:rFonts w:ascii="Arial" w:hAnsi="Arial"/>
          <w:i/>
          <w:sz w:val="24"/>
          <w:szCs w:val="24"/>
        </w:rPr>
        <w:t>Department of Veterans Affairs.</w:t>
      </w:r>
    </w:p>
    <w:p w:rsidRPr="00E05658" w:rsidR="00E05658" w:rsidP="00E05658" w:rsidRDefault="00E05658" w14:paraId="3B5B8967" w14:textId="77777777">
      <w:pPr>
        <w:tabs>
          <w:tab w:val="left" w:pos="360"/>
          <w:tab w:val="decimal" w:pos="576"/>
          <w:tab w:val="decimal" w:pos="5616"/>
          <w:tab w:val="decimal" w:pos="10944"/>
        </w:tabs>
        <w:spacing w:line="480" w:lineRule="auto"/>
        <w:rPr>
          <w:rFonts w:ascii="Arial" w:hAnsi="Arial"/>
          <w:sz w:val="24"/>
          <w:szCs w:val="24"/>
        </w:rPr>
      </w:pPr>
    </w:p>
    <w:p w:rsidRPr="00E05658" w:rsidR="00E05658" w:rsidP="00E05658" w:rsidRDefault="00E05658" w14:paraId="41B30EB5" w14:textId="77777777">
      <w:pPr>
        <w:spacing w:line="480" w:lineRule="auto"/>
        <w:rPr>
          <w:rFonts w:ascii="Arial" w:hAnsi="Arial"/>
          <w:i/>
          <w:sz w:val="24"/>
          <w:szCs w:val="24"/>
        </w:rPr>
      </w:pPr>
      <w:r w:rsidRPr="00E05658">
        <w:rPr>
          <w:rFonts w:ascii="Arial" w:hAnsi="Arial"/>
          <w:b/>
          <w:sz w:val="24"/>
          <w:szCs w:val="24"/>
        </w:rPr>
        <w:t>BILLING CODE 8320-01-P</w:t>
      </w:r>
    </w:p>
    <w:p w:rsidRPr="006E26D6" w:rsidR="006E26D6" w:rsidP="00E05658" w:rsidRDefault="006E26D6"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RPr="006E26D6" w:rsidR="006E26D6"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986A0" w14:textId="77777777" w:rsidR="00AC2F1D" w:rsidRDefault="00AC2F1D">
      <w:r>
        <w:separator/>
      </w:r>
    </w:p>
  </w:endnote>
  <w:endnote w:type="continuationSeparator" w:id="0">
    <w:p w14:paraId="349F51F5" w14:textId="77777777" w:rsidR="00AC2F1D" w:rsidRDefault="00AC2F1D">
      <w:r>
        <w:continuationSeparator/>
      </w:r>
    </w:p>
  </w:endnote>
  <w:endnote w:type="continuationNotice" w:id="1">
    <w:p w14:paraId="37974BF3" w14:textId="77777777" w:rsidR="00AC2F1D" w:rsidRDefault="00AC2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5094199"/>
      <w:docPartObj>
        <w:docPartGallery w:val="Page Numbers (Bottom of Page)"/>
        <w:docPartUnique/>
      </w:docPartObj>
    </w:sdtPr>
    <w:sdtEndPr>
      <w:rPr>
        <w:noProof/>
      </w:rPr>
    </w:sdtEndPr>
    <w:sdtContent>
      <w:p w14:paraId="0CAD8CBF" w14:textId="77777777" w:rsidR="00AF6C8C" w:rsidRDefault="00AF6C8C">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14:paraId="78FD2139"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D02E" w14:textId="77777777" w:rsidR="00AC2F1D" w:rsidRDefault="00AC2F1D">
      <w:r>
        <w:separator/>
      </w:r>
    </w:p>
  </w:footnote>
  <w:footnote w:type="continuationSeparator" w:id="0">
    <w:p w14:paraId="151ACF82" w14:textId="77777777" w:rsidR="00AC2F1D" w:rsidRDefault="00AC2F1D">
      <w:r>
        <w:continuationSeparator/>
      </w:r>
    </w:p>
  </w:footnote>
  <w:footnote w:type="continuationNotice" w:id="1">
    <w:p w14:paraId="0E3ADDA6" w14:textId="77777777" w:rsidR="00AC2F1D" w:rsidRDefault="00AC2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248ED"/>
    <w:rsid w:val="00031D37"/>
    <w:rsid w:val="00037D51"/>
    <w:rsid w:val="00050A6B"/>
    <w:rsid w:val="00072010"/>
    <w:rsid w:val="00096D31"/>
    <w:rsid w:val="000D0D7D"/>
    <w:rsid w:val="000D4C5C"/>
    <w:rsid w:val="000F5B3F"/>
    <w:rsid w:val="0010021F"/>
    <w:rsid w:val="0010303E"/>
    <w:rsid w:val="001108D2"/>
    <w:rsid w:val="0012155D"/>
    <w:rsid w:val="001273AD"/>
    <w:rsid w:val="00130224"/>
    <w:rsid w:val="00130F3F"/>
    <w:rsid w:val="001355F1"/>
    <w:rsid w:val="00173766"/>
    <w:rsid w:val="00180D16"/>
    <w:rsid w:val="001854CC"/>
    <w:rsid w:val="001941FE"/>
    <w:rsid w:val="001A10B1"/>
    <w:rsid w:val="001A16A5"/>
    <w:rsid w:val="001C1E2C"/>
    <w:rsid w:val="00216517"/>
    <w:rsid w:val="00222A84"/>
    <w:rsid w:val="0023006D"/>
    <w:rsid w:val="00234E56"/>
    <w:rsid w:val="00237330"/>
    <w:rsid w:val="00237EAB"/>
    <w:rsid w:val="00240309"/>
    <w:rsid w:val="00243AD5"/>
    <w:rsid w:val="002447C4"/>
    <w:rsid w:val="00246D33"/>
    <w:rsid w:val="00252C37"/>
    <w:rsid w:val="002600E6"/>
    <w:rsid w:val="00263FFE"/>
    <w:rsid w:val="002647BA"/>
    <w:rsid w:val="00264A78"/>
    <w:rsid w:val="002927C4"/>
    <w:rsid w:val="00296E0D"/>
    <w:rsid w:val="002A4B17"/>
    <w:rsid w:val="002A565F"/>
    <w:rsid w:val="002B299F"/>
    <w:rsid w:val="002C13DE"/>
    <w:rsid w:val="002C21BC"/>
    <w:rsid w:val="002C3E71"/>
    <w:rsid w:val="0031657C"/>
    <w:rsid w:val="003171DB"/>
    <w:rsid w:val="003258E9"/>
    <w:rsid w:val="00332BCC"/>
    <w:rsid w:val="003419AA"/>
    <w:rsid w:val="00344E70"/>
    <w:rsid w:val="00362AB9"/>
    <w:rsid w:val="003635C6"/>
    <w:rsid w:val="0036437D"/>
    <w:rsid w:val="00365FE5"/>
    <w:rsid w:val="00366230"/>
    <w:rsid w:val="00376335"/>
    <w:rsid w:val="00391D1D"/>
    <w:rsid w:val="0039352F"/>
    <w:rsid w:val="003A6B4A"/>
    <w:rsid w:val="003A7A71"/>
    <w:rsid w:val="003B042E"/>
    <w:rsid w:val="003C4021"/>
    <w:rsid w:val="003C5592"/>
    <w:rsid w:val="003D7660"/>
    <w:rsid w:val="003E66D1"/>
    <w:rsid w:val="004019D2"/>
    <w:rsid w:val="0040238A"/>
    <w:rsid w:val="00413421"/>
    <w:rsid w:val="00417E3D"/>
    <w:rsid w:val="00425100"/>
    <w:rsid w:val="00436C95"/>
    <w:rsid w:val="00441392"/>
    <w:rsid w:val="00444B37"/>
    <w:rsid w:val="00456748"/>
    <w:rsid w:val="00460627"/>
    <w:rsid w:val="00481E16"/>
    <w:rsid w:val="0049095A"/>
    <w:rsid w:val="004A023D"/>
    <w:rsid w:val="004A6C2A"/>
    <w:rsid w:val="004B4C08"/>
    <w:rsid w:val="004B705E"/>
    <w:rsid w:val="004F3B88"/>
    <w:rsid w:val="004F4438"/>
    <w:rsid w:val="005042BB"/>
    <w:rsid w:val="005145FC"/>
    <w:rsid w:val="005208DE"/>
    <w:rsid w:val="00527A4D"/>
    <w:rsid w:val="00536CAF"/>
    <w:rsid w:val="005514F8"/>
    <w:rsid w:val="00555284"/>
    <w:rsid w:val="0057063F"/>
    <w:rsid w:val="00577A9C"/>
    <w:rsid w:val="005A77C1"/>
    <w:rsid w:val="005B0B04"/>
    <w:rsid w:val="005B4D59"/>
    <w:rsid w:val="005B6F4F"/>
    <w:rsid w:val="005B7E23"/>
    <w:rsid w:val="005C179D"/>
    <w:rsid w:val="005D79FA"/>
    <w:rsid w:val="0063063A"/>
    <w:rsid w:val="00632008"/>
    <w:rsid w:val="00632B39"/>
    <w:rsid w:val="00652A30"/>
    <w:rsid w:val="00653A72"/>
    <w:rsid w:val="006547F7"/>
    <w:rsid w:val="006713B6"/>
    <w:rsid w:val="006952F6"/>
    <w:rsid w:val="006B17B3"/>
    <w:rsid w:val="006B4258"/>
    <w:rsid w:val="006B6E2B"/>
    <w:rsid w:val="006B7B43"/>
    <w:rsid w:val="006E26D6"/>
    <w:rsid w:val="006F31EA"/>
    <w:rsid w:val="006F6C61"/>
    <w:rsid w:val="00701E3F"/>
    <w:rsid w:val="00716C57"/>
    <w:rsid w:val="00723535"/>
    <w:rsid w:val="00724F47"/>
    <w:rsid w:val="007315B5"/>
    <w:rsid w:val="00737F7D"/>
    <w:rsid w:val="007465B2"/>
    <w:rsid w:val="007627DF"/>
    <w:rsid w:val="007659ED"/>
    <w:rsid w:val="00773DD6"/>
    <w:rsid w:val="00775131"/>
    <w:rsid w:val="00782FEF"/>
    <w:rsid w:val="007B3AD6"/>
    <w:rsid w:val="007C1A56"/>
    <w:rsid w:val="007E45B0"/>
    <w:rsid w:val="007E6151"/>
    <w:rsid w:val="007E6380"/>
    <w:rsid w:val="007F2518"/>
    <w:rsid w:val="00804E9E"/>
    <w:rsid w:val="00832AF7"/>
    <w:rsid w:val="0083786F"/>
    <w:rsid w:val="008613E4"/>
    <w:rsid w:val="00870CE7"/>
    <w:rsid w:val="00875723"/>
    <w:rsid w:val="00875FA3"/>
    <w:rsid w:val="00876746"/>
    <w:rsid w:val="008B4656"/>
    <w:rsid w:val="008B63B5"/>
    <w:rsid w:val="008C5FA4"/>
    <w:rsid w:val="008D02DE"/>
    <w:rsid w:val="008D1659"/>
    <w:rsid w:val="008D69AF"/>
    <w:rsid w:val="00915F78"/>
    <w:rsid w:val="00931258"/>
    <w:rsid w:val="009346F4"/>
    <w:rsid w:val="00966C65"/>
    <w:rsid w:val="009738B6"/>
    <w:rsid w:val="00992B2E"/>
    <w:rsid w:val="009B7931"/>
    <w:rsid w:val="009D0845"/>
    <w:rsid w:val="00A068E0"/>
    <w:rsid w:val="00A07915"/>
    <w:rsid w:val="00A16836"/>
    <w:rsid w:val="00A40792"/>
    <w:rsid w:val="00A44363"/>
    <w:rsid w:val="00A46C0A"/>
    <w:rsid w:val="00A50503"/>
    <w:rsid w:val="00A51482"/>
    <w:rsid w:val="00A53564"/>
    <w:rsid w:val="00A5740B"/>
    <w:rsid w:val="00A80438"/>
    <w:rsid w:val="00AA4CC5"/>
    <w:rsid w:val="00AA5C3F"/>
    <w:rsid w:val="00AB2D96"/>
    <w:rsid w:val="00AC2F1D"/>
    <w:rsid w:val="00AD0A34"/>
    <w:rsid w:val="00AF5161"/>
    <w:rsid w:val="00AF6C8C"/>
    <w:rsid w:val="00B24DD4"/>
    <w:rsid w:val="00B31CB4"/>
    <w:rsid w:val="00B420E5"/>
    <w:rsid w:val="00B465DC"/>
    <w:rsid w:val="00B519F5"/>
    <w:rsid w:val="00B576D9"/>
    <w:rsid w:val="00B626AB"/>
    <w:rsid w:val="00B64E15"/>
    <w:rsid w:val="00B76618"/>
    <w:rsid w:val="00BA72FE"/>
    <w:rsid w:val="00BC359E"/>
    <w:rsid w:val="00BD4B70"/>
    <w:rsid w:val="00BE0643"/>
    <w:rsid w:val="00BE1CD8"/>
    <w:rsid w:val="00BE1DE7"/>
    <w:rsid w:val="00BE47BA"/>
    <w:rsid w:val="00BF5F13"/>
    <w:rsid w:val="00C17238"/>
    <w:rsid w:val="00C338C1"/>
    <w:rsid w:val="00C353D2"/>
    <w:rsid w:val="00C376C7"/>
    <w:rsid w:val="00C40883"/>
    <w:rsid w:val="00C81543"/>
    <w:rsid w:val="00CB02A3"/>
    <w:rsid w:val="00CB1760"/>
    <w:rsid w:val="00CB6259"/>
    <w:rsid w:val="00CB7F03"/>
    <w:rsid w:val="00CC14D4"/>
    <w:rsid w:val="00CC6F96"/>
    <w:rsid w:val="00CC720C"/>
    <w:rsid w:val="00CC7909"/>
    <w:rsid w:val="00CD4471"/>
    <w:rsid w:val="00CF48BC"/>
    <w:rsid w:val="00D066C9"/>
    <w:rsid w:val="00D12530"/>
    <w:rsid w:val="00D15C8F"/>
    <w:rsid w:val="00D16411"/>
    <w:rsid w:val="00D20BF1"/>
    <w:rsid w:val="00D2459E"/>
    <w:rsid w:val="00D349F9"/>
    <w:rsid w:val="00D414CD"/>
    <w:rsid w:val="00D6581D"/>
    <w:rsid w:val="00D670F5"/>
    <w:rsid w:val="00D721FE"/>
    <w:rsid w:val="00D74A41"/>
    <w:rsid w:val="00D777FD"/>
    <w:rsid w:val="00D8400F"/>
    <w:rsid w:val="00DB417D"/>
    <w:rsid w:val="00DC1530"/>
    <w:rsid w:val="00DC6D31"/>
    <w:rsid w:val="00DD1F01"/>
    <w:rsid w:val="00DD58EE"/>
    <w:rsid w:val="00DF26D1"/>
    <w:rsid w:val="00E05658"/>
    <w:rsid w:val="00E06F4B"/>
    <w:rsid w:val="00E12DCC"/>
    <w:rsid w:val="00E26018"/>
    <w:rsid w:val="00E31025"/>
    <w:rsid w:val="00E41CDA"/>
    <w:rsid w:val="00E45D82"/>
    <w:rsid w:val="00E52484"/>
    <w:rsid w:val="00E54C31"/>
    <w:rsid w:val="00E62CBC"/>
    <w:rsid w:val="00E72140"/>
    <w:rsid w:val="00E86E52"/>
    <w:rsid w:val="00E9383C"/>
    <w:rsid w:val="00E939AA"/>
    <w:rsid w:val="00EC44AF"/>
    <w:rsid w:val="00EE74D4"/>
    <w:rsid w:val="00EF7931"/>
    <w:rsid w:val="00F22643"/>
    <w:rsid w:val="00F5006B"/>
    <w:rsid w:val="00F525D5"/>
    <w:rsid w:val="00FA63DB"/>
    <w:rsid w:val="00FC6AC9"/>
    <w:rsid w:val="00FE6E79"/>
    <w:rsid w:val="00FF3B0A"/>
    <w:rsid w:val="00FF6E11"/>
    <w:rsid w:val="05A039D7"/>
    <w:rsid w:val="43C8F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uiPriority w:val="99"/>
    <w:rsid w:val="00CF48BC"/>
    <w:rPr>
      <w:sz w:val="16"/>
      <w:szCs w:val="16"/>
    </w:rPr>
  </w:style>
  <w:style w:type="paragraph" w:styleId="CommentText">
    <w:name w:val="annotation text"/>
    <w:basedOn w:val="Normal"/>
    <w:link w:val="CommentTextChar"/>
    <w:uiPriority w:val="99"/>
    <w:rsid w:val="00CF48BC"/>
  </w:style>
  <w:style w:type="character" w:customStyle="1" w:styleId="CommentTextChar">
    <w:name w:val="Comment Text Char"/>
    <w:basedOn w:val="DefaultParagraphFont"/>
    <w:link w:val="CommentText"/>
    <w:uiPriority w:val="99"/>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1972125614">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965313CDACC41A3E31BE0CF3562A2" ma:contentTypeVersion="4" ma:contentTypeDescription="Create a new document." ma:contentTypeScope="" ma:versionID="199d2c74dcb3f1895b178e56f00d44c1">
  <xsd:schema xmlns:xsd="http://www.w3.org/2001/XMLSchema" xmlns:xs="http://www.w3.org/2001/XMLSchema" xmlns:p="http://schemas.microsoft.com/office/2006/metadata/properties" xmlns:ns2="0099ebf5-9a78-4b58-9465-2973c461f952" xmlns:ns3="4f7065b7-f2ab-4563-b60d-dfcf7440bddb" targetNamespace="http://schemas.microsoft.com/office/2006/metadata/properties" ma:root="true" ma:fieldsID="1dfd8dc3455ebeca6c67365c40d638e9" ns2:_="" ns3:_="">
    <xsd:import namespace="0099ebf5-9a78-4b58-9465-2973c461f952"/>
    <xsd:import namespace="4f7065b7-f2ab-4563-b60d-dfcf7440b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ebf5-9a78-4b58-9465-2973c461f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65b7-f2ab-4563-b60d-dfcf7440b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ABDFD623-B71A-459A-BEB3-5D6FDEE06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ebf5-9a78-4b58-9465-2973c461f952"/>
    <ds:schemaRef ds:uri="4f7065b7-f2ab-4563-b60d-dfcf7440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799</Words>
  <Characters>4515</Characters>
  <Application>Microsoft Office Word</Application>
  <DocSecurity>0</DocSecurity>
  <Lines>37</Lines>
  <Paragraphs>10</Paragraphs>
  <ScaleCrop>false</ScaleCrop>
  <Company>IMS</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Coyne, Marcella</cp:lastModifiedBy>
  <cp:revision>4</cp:revision>
  <cp:lastPrinted>2012-05-15T18:39:00Z</cp:lastPrinted>
  <dcterms:created xsi:type="dcterms:W3CDTF">2021-11-04T18:17:00Z</dcterms:created>
  <dcterms:modified xsi:type="dcterms:W3CDTF">2022-01-13T18:43:00Z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0x0101003DD965313CDACC41A3E31BE0CF3562A2</vt:lpwstr>
  </property>
</Properties>
</file>