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642B6A" w:rsidRDefault="00642B6A" w14:paraId="50F42292" w14:textId="671D9EBD">
      <w:pPr>
        <w:suppressAutoHyphens/>
        <w:jc w:val="center"/>
        <w:rPr>
          <w:rFonts w:eastAsia="Times New Roman" w:cs="Times New Roman"/>
          <w:b/>
          <w:szCs w:val="24"/>
        </w:rPr>
      </w:pPr>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0AA9B90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0070</w:t>
      </w:r>
    </w:p>
    <w:p w:rsidRPr="00642B6A" w:rsidR="00D12FEB" w:rsidP="00642B6A" w:rsidRDefault="00E54279" w14:paraId="50F42295" w14:textId="2FF02151">
      <w:pPr>
        <w:tabs>
          <w:tab w:val="center" w:pos="4680"/>
        </w:tabs>
        <w:suppressAutoHyphens/>
        <w:spacing w:after="240"/>
        <w:jc w:val="center"/>
        <w:rPr>
          <w:rFonts w:eastAsia="Times New Roman" w:cs="Times New Roman"/>
          <w:b/>
          <w:szCs w:val="24"/>
        </w:rPr>
      </w:pPr>
      <w:r>
        <w:rPr>
          <w:rFonts w:eastAsia="Times New Roman" w:cs="Times New Roman"/>
          <w:szCs w:val="24"/>
        </w:rPr>
        <w:t xml:space="preserve">Amendments to the Commission’s Regulations Related to </w:t>
      </w:r>
      <w:r w:rsidR="006F00A1">
        <w:rPr>
          <w:rFonts w:eastAsia="Times New Roman" w:cs="Times New Roman"/>
          <w:szCs w:val="24"/>
        </w:rPr>
        <w:t>Real-Time Public Reporting and Block Trades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Pr="00E54279" w:rsidR="00642B6A" w:rsidP="00E54279" w:rsidRDefault="00ED251F" w14:paraId="50F42298" w14:textId="7A315549">
      <w:pPr>
        <w:tabs>
          <w:tab w:val="left" w:pos="-720"/>
          <w:tab w:val="left" w:pos="0"/>
        </w:tabs>
        <w:spacing w:after="240"/>
        <w:ind w:firstLine="720"/>
        <w:rPr>
          <w:rFonts w:eastAsia="Times New Roman" w:cs="Times New Roman"/>
          <w:szCs w:val="20"/>
        </w:rPr>
      </w:pPr>
      <w:r>
        <w:rPr>
          <w:rFonts w:eastAsia="Times New Roman" w:cs="Times New Roman"/>
          <w:szCs w:val="20"/>
        </w:rPr>
        <w:t>Section 2(a</w:t>
      </w:r>
      <w:proofErr w:type="gramStart"/>
      <w:r>
        <w:rPr>
          <w:rFonts w:eastAsia="Times New Roman" w:cs="Times New Roman"/>
          <w:szCs w:val="20"/>
        </w:rPr>
        <w:t>)(</w:t>
      </w:r>
      <w:proofErr w:type="gramEnd"/>
      <w:r>
        <w:rPr>
          <w:rFonts w:eastAsia="Times New Roman" w:cs="Times New Roman"/>
          <w:szCs w:val="20"/>
        </w:rPr>
        <w:t xml:space="preserve">13) of the CEA </w:t>
      </w:r>
      <w:r w:rsidR="00BB57CB">
        <w:rPr>
          <w:rFonts w:eastAsia="Times New Roman" w:cs="Times New Roman"/>
          <w:szCs w:val="20"/>
        </w:rPr>
        <w:t>directs the Commission</w:t>
      </w:r>
      <w:r w:rsidRPr="007F5DBF" w:rsidR="00E54279">
        <w:rPr>
          <w:rFonts w:eastAsia="Times New Roman" w:cs="Times New Roman"/>
          <w:szCs w:val="20"/>
        </w:rPr>
        <w:t xml:space="preserve"> to establish certain standards</w:t>
      </w:r>
      <w:r w:rsidR="00E54279">
        <w:rPr>
          <w:rFonts w:eastAsia="Times New Roman" w:cs="Times New Roman"/>
          <w:szCs w:val="20"/>
        </w:rPr>
        <w:t xml:space="preserve"> for the real-time public reporting of swap transaction and pricing data. </w:t>
      </w:r>
      <w:r>
        <w:rPr>
          <w:rFonts w:eastAsia="Times New Roman" w:cs="Times New Roman"/>
          <w:szCs w:val="20"/>
        </w:rPr>
        <w:t xml:space="preserve">The Commission established these regulations in </w:t>
      </w:r>
      <w:r w:rsidR="00E54279">
        <w:rPr>
          <w:rFonts w:eastAsia="Times New Roman" w:cs="Times New Roman"/>
          <w:szCs w:val="20"/>
        </w:rPr>
        <w:t>Part 43 of the Commission’s regulations</w:t>
      </w:r>
      <w:r>
        <w:rPr>
          <w:rFonts w:eastAsia="Times New Roman" w:cs="Times New Roman"/>
          <w:szCs w:val="20"/>
        </w:rPr>
        <w:t>. The regulations govern topics including</w:t>
      </w:r>
      <w:r w:rsidR="00E54279">
        <w:rPr>
          <w:rFonts w:eastAsia="Times New Roman" w:cs="Times New Roman"/>
          <w:szCs w:val="20"/>
        </w:rPr>
        <w:t xml:space="preserve"> reporting, public dissemination, and timestamping requirements </w:t>
      </w:r>
      <w:r>
        <w:rPr>
          <w:rFonts w:eastAsia="Times New Roman" w:cs="Times New Roman"/>
          <w:szCs w:val="20"/>
        </w:rPr>
        <w:t xml:space="preserve">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 </w:t>
      </w:r>
    </w:p>
    <w:p w:rsidRPr="00921F90" w:rsidR="00921F90" w:rsidP="00921F90" w:rsidRDefault="00E54279" w14:paraId="46CB77FD" w14:textId="14A8442C">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is </w:t>
      </w:r>
      <w:r w:rsidR="004945FB">
        <w:rPr>
          <w:rFonts w:eastAsia="Times New Roman" w:cs="Times New Roman"/>
          <w:color w:val="000000"/>
          <w:szCs w:val="24"/>
        </w:rPr>
        <w:t xml:space="preserve">adopting </w:t>
      </w:r>
      <w:r w:rsidR="00ED251F">
        <w:rPr>
          <w:rFonts w:eastAsia="Times New Roman" w:cs="Times New Roman"/>
          <w:color w:val="000000"/>
          <w:szCs w:val="24"/>
        </w:rPr>
        <w:t>amendments to Part 43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8B3A19">
        <w:rPr>
          <w:rStyle w:val="FootnoteReference"/>
          <w:rFonts w:eastAsia="Times New Roman" w:cs="Times New Roman"/>
          <w:color w:val="000000"/>
          <w:szCs w:val="24"/>
        </w:rPr>
        <w:footnoteReference w:id="2"/>
      </w:r>
      <w:r w:rsidR="00A02F67">
        <w:rPr>
          <w:rFonts w:eastAsia="Calibri" w:cs="Times New Roman"/>
          <w:szCs w:val="24"/>
        </w:rPr>
        <w:t xml:space="preserve"> </w:t>
      </w:r>
      <w:r w:rsidR="00405AC8">
        <w:rPr>
          <w:rFonts w:eastAsia="Times New Roman" w:cs="Times New Roman"/>
          <w:color w:val="000000"/>
          <w:szCs w:val="24"/>
        </w:rPr>
        <w:t>Some</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3038-0070</w:t>
      </w:r>
      <w:r w:rsidRPr="00A02F67" w:rsidR="00A02F67">
        <w:rPr>
          <w:rFonts w:eastAsia="Times New Roman" w:cs="Times New Roman"/>
          <w:color w:val="000000"/>
          <w:szCs w:val="24"/>
        </w:rPr>
        <w:t xml:space="preserve"> </w:t>
      </w:r>
      <w:r w:rsidR="00497FD8">
        <w:rPr>
          <w:rFonts w:eastAsia="Times New Roman" w:cs="Times New Roman"/>
          <w:color w:val="000000"/>
          <w:szCs w:val="24"/>
        </w:rPr>
        <w:t>will</w:t>
      </w:r>
      <w:r w:rsidRPr="00A02F67" w:rsidR="00497FD8">
        <w:rPr>
          <w:rFonts w:eastAsia="Times New Roman" w:cs="Times New Roman"/>
          <w:color w:val="000000"/>
          <w:szCs w:val="24"/>
        </w:rPr>
        <w:t xml:space="preserve"> </w:t>
      </w:r>
      <w:r w:rsidRPr="00A02F67" w:rsidR="00A02F67">
        <w:rPr>
          <w:rFonts w:eastAsia="Times New Roman" w:cs="Times New Roman"/>
          <w:color w:val="000000"/>
          <w:szCs w:val="24"/>
        </w:rPr>
        <w:t xml:space="preserve">not be impacted by the revisions, and the Commission is not </w:t>
      </w:r>
      <w:r w:rsidR="004945FB">
        <w:rPr>
          <w:rFonts w:eastAsia="Times New Roman" w:cs="Times New Roman"/>
          <w:color w:val="000000"/>
          <w:szCs w:val="24"/>
        </w:rPr>
        <w:t>revising</w:t>
      </w:r>
      <w:r w:rsidRPr="00A02F67" w:rsidR="00A02F67">
        <w:rPr>
          <w:rFonts w:eastAsia="Times New Roman" w:cs="Times New Roman"/>
          <w:color w:val="000000"/>
          <w:szCs w:val="24"/>
        </w:rPr>
        <w:t xml:space="preserve"> the estimated burdens ass</w:t>
      </w:r>
      <w:r w:rsidR="009E356F">
        <w:rPr>
          <w:rFonts w:eastAsia="Times New Roman" w:cs="Times New Roman"/>
          <w:color w:val="000000"/>
          <w:szCs w:val="24"/>
        </w:rPr>
        <w:t>ociated with those collections.</w:t>
      </w:r>
      <w:r w:rsidR="00921F90">
        <w:rPr>
          <w:rFonts w:eastAsia="Times New Roman" w:cs="Times New Roman"/>
          <w:color w:val="000000"/>
          <w:szCs w:val="24"/>
        </w:rPr>
        <w:t xml:space="preserve"> </w:t>
      </w:r>
      <w:r w:rsidRPr="00921F90" w:rsidR="00921F90">
        <w:rPr>
          <w:rFonts w:eastAsia="Times New Roman" w:cs="Times New Roman"/>
          <w:color w:val="000000"/>
          <w:szCs w:val="24"/>
        </w:rPr>
        <w:t>The Commission does not believe the rule amendments as adopted impose any other new collections of information that require approval of OMB under the PRA.</w:t>
      </w:r>
    </w:p>
    <w:p w:rsidR="00A02F67" w:rsidP="00A02F67" w:rsidRDefault="00A02F67" w14:paraId="7CC1F1F7" w14:textId="3B1A4E1D">
      <w:pPr>
        <w:autoSpaceDE w:val="0"/>
        <w:autoSpaceDN w:val="0"/>
        <w:adjustRightInd w:val="0"/>
        <w:rPr>
          <w:rFonts w:eastAsia="Times New Roman" w:cs="Times New Roman"/>
          <w:color w:val="000000"/>
          <w:szCs w:val="24"/>
        </w:rPr>
      </w:pPr>
    </w:p>
    <w:p w:rsidR="004B45FF" w:rsidP="0066471D" w:rsidRDefault="0010288F" w14:paraId="2CE8AC63" w14:textId="7FF68CAA">
      <w:pPr>
        <w:rPr>
          <w:rFonts w:eastAsia="Times New Roman" w:cs="Times New Roman"/>
          <w:color w:val="000000"/>
          <w:szCs w:val="24"/>
        </w:rPr>
      </w:pPr>
      <w:r>
        <w:rPr>
          <w:rFonts w:eastAsia="Times New Roman" w:cs="Times New Roman"/>
          <w:color w:val="000000"/>
          <w:szCs w:val="24"/>
        </w:rPr>
        <w:tab/>
      </w:r>
      <w:r w:rsidRPr="00ED2CD6">
        <w:rPr>
          <w:rFonts w:eastAsia="Times New Roman" w:cs="Times New Roman"/>
          <w:color w:val="000000"/>
          <w:szCs w:val="24"/>
        </w:rPr>
        <w:t xml:space="preserve">The revised information collections </w:t>
      </w:r>
      <w:r w:rsidR="00497FD8">
        <w:rPr>
          <w:rFonts w:eastAsia="Times New Roman" w:cs="Times New Roman"/>
          <w:color w:val="000000"/>
          <w:szCs w:val="24"/>
        </w:rPr>
        <w:t>will</w:t>
      </w:r>
      <w:r w:rsidRPr="00ED2CD6" w:rsidR="00497FD8">
        <w:rPr>
          <w:rFonts w:eastAsia="Times New Roman" w:cs="Times New Roman"/>
          <w:color w:val="000000"/>
          <w:szCs w:val="24"/>
        </w:rPr>
        <w:t xml:space="preserve"> </w:t>
      </w:r>
      <w:r w:rsidRPr="00ED2CD6">
        <w:rPr>
          <w:rFonts w:eastAsia="Times New Roman" w:cs="Times New Roman"/>
          <w:color w:val="000000"/>
          <w:szCs w:val="24"/>
        </w:rPr>
        <w:t xml:space="preserve">affect SDRs, SEFs, DCMs, and reporting counterparties that report swap data </w:t>
      </w:r>
      <w:r>
        <w:rPr>
          <w:rFonts w:eastAsia="Times New Roman" w:cs="Times New Roman"/>
          <w:color w:val="000000"/>
          <w:szCs w:val="24"/>
        </w:rPr>
        <w:t>for SDRs to publicly disseminate to provide price transparency</w:t>
      </w:r>
      <w:r w:rsidR="004945FB">
        <w:rPr>
          <w:rFonts w:eastAsia="Times New Roman" w:cs="Times New Roman"/>
          <w:color w:val="000000"/>
          <w:szCs w:val="24"/>
        </w:rPr>
        <w:t xml:space="preserve"> </w:t>
      </w:r>
      <w:r w:rsidRPr="004945FB" w:rsidR="004945FB">
        <w:rPr>
          <w:rFonts w:eastAsia="Times New Roman" w:cs="Times New Roman"/>
          <w:color w:val="000000"/>
          <w:szCs w:val="24"/>
        </w:rPr>
        <w:t>as directed by Congress in the CEA</w:t>
      </w:r>
      <w:r w:rsidRPr="00ED2CD6">
        <w:rPr>
          <w:rFonts w:eastAsia="Times New Roman" w:cs="Times New Roman"/>
          <w:color w:val="000000"/>
          <w:szCs w:val="24"/>
        </w:rPr>
        <w:t xml:space="preserve">. </w:t>
      </w:r>
      <w:r w:rsidR="00BD4B19">
        <w:rPr>
          <w:rFonts w:eastAsia="Times New Roman" w:cs="Times New Roman"/>
          <w:color w:val="000000"/>
          <w:szCs w:val="24"/>
        </w:rPr>
        <w:t xml:space="preserve">Together, </w:t>
      </w:r>
      <w:r w:rsidRPr="00BD4B19" w:rsidR="00BD4B19">
        <w:rPr>
          <w:rFonts w:eastAsia="Calibri" w:cs="Times New Roman"/>
          <w:szCs w:val="24"/>
        </w:rPr>
        <w:t xml:space="preserve">these revisions and additions are intended to improve real-time public reporting for reporting counterparties, SEFs, DCMs, SDRs, and market participants that use real-time public data. </w:t>
      </w:r>
      <w:r w:rsidR="00A12480">
        <w:rPr>
          <w:rFonts w:eastAsia="Times New Roman" w:cs="Times New Roman"/>
          <w:color w:val="000000"/>
          <w:szCs w:val="24"/>
        </w:rPr>
        <w:t xml:space="preserve">All of the amendments described below are reflected in </w:t>
      </w:r>
      <w:r w:rsidR="008C11AF">
        <w:rPr>
          <w:rFonts w:eastAsia="Times New Roman" w:cs="Times New Roman"/>
          <w:color w:val="000000"/>
          <w:szCs w:val="24"/>
        </w:rPr>
        <w:t xml:space="preserve">Attachment </w:t>
      </w:r>
      <w:r w:rsidR="00A12480">
        <w:rPr>
          <w:rFonts w:eastAsia="Times New Roman" w:cs="Times New Roman"/>
          <w:color w:val="000000"/>
          <w:szCs w:val="24"/>
        </w:rPr>
        <w:t xml:space="preserve">A. </w:t>
      </w:r>
      <w:r w:rsidRPr="00ED2CD6">
        <w:rPr>
          <w:rFonts w:eastAsia="Times New Roman" w:cs="Times New Roman"/>
          <w:color w:val="000000"/>
          <w:szCs w:val="24"/>
        </w:rPr>
        <w:t>The Commission is add</w:t>
      </w:r>
      <w:r w:rsidR="004945FB">
        <w:rPr>
          <w:rFonts w:eastAsia="Times New Roman" w:cs="Times New Roman"/>
          <w:color w:val="000000"/>
          <w:szCs w:val="24"/>
        </w:rPr>
        <w:t>ing</w:t>
      </w:r>
      <w:r w:rsidRPr="00ED2CD6">
        <w:rPr>
          <w:rFonts w:eastAsia="Times New Roman" w:cs="Times New Roman"/>
          <w:color w:val="000000"/>
          <w:szCs w:val="24"/>
        </w:rPr>
        <w:t xml:space="preserve"> or modify</w:t>
      </w:r>
      <w:r w:rsidR="004945FB">
        <w:rPr>
          <w:rFonts w:eastAsia="Times New Roman" w:cs="Times New Roman"/>
          <w:color w:val="000000"/>
          <w:szCs w:val="24"/>
        </w:rPr>
        <w:t>ing</w:t>
      </w:r>
      <w:r w:rsidRPr="00ED2CD6">
        <w:rPr>
          <w:rFonts w:eastAsia="Times New Roman" w:cs="Times New Roman"/>
          <w:color w:val="000000"/>
          <w:szCs w:val="24"/>
        </w:rPr>
        <w:t xml:space="preserve"> information collections for the following regulations:</w:t>
      </w:r>
    </w:p>
    <w:p w:rsidR="001325C9" w:rsidP="0066471D" w:rsidRDefault="001325C9" w14:paraId="07176373" w14:textId="77777777">
      <w:pPr>
        <w:rPr>
          <w:rFonts w:eastAsia="Times New Roman" w:cs="Times New Roman"/>
          <w:color w:val="000000"/>
          <w:szCs w:val="24"/>
        </w:rPr>
      </w:pPr>
    </w:p>
    <w:p w:rsidR="001325C9" w:rsidP="00C97430" w:rsidRDefault="008D1A66" w14:paraId="2C0D295A" w14:textId="59FF5C21">
      <w:pPr>
        <w:pStyle w:val="ListParagraph"/>
        <w:numPr>
          <w:ilvl w:val="0"/>
          <w:numId w:val="13"/>
        </w:numPr>
        <w:rPr>
          <w:rFonts w:eastAsia="Times New Roman" w:cs="Times New Roman"/>
          <w:color w:val="000000"/>
          <w:szCs w:val="24"/>
        </w:rPr>
      </w:pPr>
      <w:r>
        <w:rPr>
          <w:rFonts w:eastAsia="Times New Roman" w:cs="Times New Roman"/>
          <w:color w:val="000000"/>
          <w:szCs w:val="24"/>
        </w:rPr>
        <w:t xml:space="preserve">Existing § 43.3 requires reporting counterparties to send swap reports to SDRs as soon as technologically practicable after execution. </w:t>
      </w:r>
      <w:r w:rsidR="002A6ACD">
        <w:t xml:space="preserve">The Commission is </w:t>
      </w:r>
      <w:r>
        <w:t>amend</w:t>
      </w:r>
      <w:r w:rsidR="007226E8">
        <w:t>ing</w:t>
      </w:r>
      <w:r>
        <w:t xml:space="preserve"> § 43.3 to establish new requirements for post-priced swaps in</w:t>
      </w:r>
      <w:r w:rsidRPr="00037E90">
        <w:rPr>
          <w:rFonts w:eastAsia="Times New Roman" w:cs="Times New Roman"/>
          <w:color w:val="000000"/>
          <w:szCs w:val="24"/>
        </w:rPr>
        <w:t xml:space="preserve"> </w:t>
      </w:r>
      <w:r w:rsidRPr="00037E90" w:rsidR="00037E90">
        <w:rPr>
          <w:rFonts w:eastAsia="Times New Roman" w:cs="Times New Roman"/>
          <w:color w:val="000000"/>
          <w:szCs w:val="24"/>
        </w:rPr>
        <w:t xml:space="preserve">§ 43.3(a)(4). </w:t>
      </w:r>
      <w:r>
        <w:rPr>
          <w:rFonts w:eastAsia="Times New Roman" w:cs="Times New Roman"/>
          <w:color w:val="000000"/>
          <w:szCs w:val="24"/>
        </w:rPr>
        <w:t xml:space="preserve">The amendments to § 43.3 </w:t>
      </w:r>
      <w:r w:rsidR="005568BA">
        <w:rPr>
          <w:rFonts w:eastAsia="Times New Roman" w:cs="Times New Roman"/>
          <w:color w:val="000000"/>
          <w:szCs w:val="24"/>
        </w:rPr>
        <w:t xml:space="preserve">will </w:t>
      </w:r>
      <w:r w:rsidR="007226E8">
        <w:rPr>
          <w:rFonts w:eastAsia="Times New Roman" w:cs="Times New Roman"/>
          <w:color w:val="000000"/>
          <w:szCs w:val="24"/>
        </w:rPr>
        <w:t xml:space="preserve">give </w:t>
      </w:r>
      <w:r>
        <w:rPr>
          <w:rFonts w:eastAsia="Times New Roman" w:cs="Times New Roman"/>
          <w:color w:val="000000"/>
          <w:szCs w:val="24"/>
        </w:rPr>
        <w:t xml:space="preserve">reporting counterparties more time to report post-priced swaps to SDRs. Currently, some entities report post-priced swaps using a placeholder price, and then send </w:t>
      </w:r>
      <w:r>
        <w:rPr>
          <w:rFonts w:eastAsia="Times New Roman" w:cs="Times New Roman"/>
          <w:color w:val="000000"/>
          <w:szCs w:val="24"/>
        </w:rPr>
        <w:lastRenderedPageBreak/>
        <w:t xml:space="preserve">a swap report later amending the price. Those entities </w:t>
      </w:r>
      <w:r w:rsidR="005568BA">
        <w:rPr>
          <w:rFonts w:eastAsia="Times New Roman" w:cs="Times New Roman"/>
          <w:color w:val="000000"/>
          <w:szCs w:val="24"/>
        </w:rPr>
        <w:t xml:space="preserve">are expected to </w:t>
      </w:r>
      <w:r>
        <w:rPr>
          <w:rFonts w:eastAsia="Times New Roman" w:cs="Times New Roman"/>
          <w:color w:val="000000"/>
          <w:szCs w:val="24"/>
        </w:rPr>
        <w:t xml:space="preserve">experience a reduction in the number of </w:t>
      </w:r>
      <w:proofErr w:type="gramStart"/>
      <w:r>
        <w:rPr>
          <w:rFonts w:eastAsia="Times New Roman" w:cs="Times New Roman"/>
          <w:color w:val="000000"/>
          <w:szCs w:val="24"/>
        </w:rPr>
        <w:t>swap</w:t>
      </w:r>
      <w:proofErr w:type="gramEnd"/>
      <w:r>
        <w:rPr>
          <w:rFonts w:eastAsia="Times New Roman" w:cs="Times New Roman"/>
          <w:color w:val="000000"/>
          <w:szCs w:val="24"/>
        </w:rPr>
        <w:t xml:space="preserve"> reports they are required to send pursuant to </w:t>
      </w:r>
      <w:r w:rsidR="007226E8">
        <w:rPr>
          <w:rFonts w:eastAsia="Times New Roman" w:cs="Times New Roman"/>
          <w:color w:val="000000"/>
          <w:szCs w:val="24"/>
        </w:rPr>
        <w:t xml:space="preserve">amended </w:t>
      </w:r>
      <w:r>
        <w:rPr>
          <w:rFonts w:eastAsia="Times New Roman" w:cs="Times New Roman"/>
          <w:color w:val="000000"/>
          <w:szCs w:val="24"/>
        </w:rPr>
        <w:t>§ 43.3.</w:t>
      </w:r>
    </w:p>
    <w:p w:rsidRPr="007A57DB" w:rsidR="00CD53D2" w:rsidP="007A57DB" w:rsidRDefault="00CD53D2" w14:paraId="6D7D6029" w14:textId="77777777">
      <w:pPr>
        <w:rPr>
          <w:rFonts w:eastAsia="Times New Roman" w:cs="Times New Roman"/>
          <w:color w:val="000000"/>
          <w:szCs w:val="24"/>
        </w:rPr>
      </w:pPr>
    </w:p>
    <w:p w:rsidRPr="006414FD" w:rsidR="00CD53D2" w:rsidP="006414FD" w:rsidRDefault="00CD53D2" w14:paraId="252FF8E9" w14:textId="13D8D600">
      <w:pPr>
        <w:pStyle w:val="ListParagraph"/>
        <w:numPr>
          <w:ilvl w:val="0"/>
          <w:numId w:val="13"/>
        </w:numPr>
        <w:rPr>
          <w:rFonts w:eastAsia="Times New Roman" w:cs="Times New Roman"/>
          <w:color w:val="000000"/>
          <w:szCs w:val="24"/>
        </w:rPr>
      </w:pPr>
      <w:r>
        <w:rPr>
          <w:rFonts w:eastAsia="Times New Roman" w:cs="Times New Roman"/>
          <w:color w:val="000000"/>
          <w:szCs w:val="24"/>
        </w:rPr>
        <w:t xml:space="preserve">Existing § 43.3 sets out the requirements for counterparties to report swap transaction and pricing data to SDRs for public dissemination. </w:t>
      </w:r>
      <w:r w:rsidR="00D37E39">
        <w:rPr>
          <w:rFonts w:eastAsia="Times New Roman" w:cs="Times New Roman"/>
          <w:color w:val="000000"/>
          <w:szCs w:val="24"/>
        </w:rPr>
        <w:t xml:space="preserve">Existing </w:t>
      </w:r>
      <w:r>
        <w:rPr>
          <w:rFonts w:eastAsia="Times New Roman" w:cs="Times New Roman"/>
          <w:color w:val="000000"/>
          <w:szCs w:val="24"/>
        </w:rPr>
        <w:t>§ 43.3 does not account for DCOs in the hierarchy of entities required to report to SDRs. The Commission is add</w:t>
      </w:r>
      <w:r w:rsidR="007226E8">
        <w:rPr>
          <w:rFonts w:eastAsia="Times New Roman" w:cs="Times New Roman"/>
          <w:color w:val="000000"/>
          <w:szCs w:val="24"/>
        </w:rPr>
        <w:t>ing</w:t>
      </w:r>
      <w:r>
        <w:rPr>
          <w:rFonts w:eastAsia="Times New Roman" w:cs="Times New Roman"/>
          <w:color w:val="000000"/>
          <w:szCs w:val="24"/>
        </w:rPr>
        <w:t xml:space="preserve"> DCOs to the hierarchy in § 43.3(a)(5). This </w:t>
      </w:r>
      <w:r w:rsidR="007226E8">
        <w:rPr>
          <w:rFonts w:eastAsia="Times New Roman" w:cs="Times New Roman"/>
          <w:color w:val="000000"/>
          <w:szCs w:val="24"/>
        </w:rPr>
        <w:t>is</w:t>
      </w:r>
      <w:r>
        <w:rPr>
          <w:rFonts w:eastAsia="Times New Roman" w:cs="Times New Roman"/>
          <w:color w:val="000000"/>
          <w:szCs w:val="24"/>
        </w:rPr>
        <w:t xml:space="preserve"> a new requirement for DCOs to send swap transaction and pricing data reports to SDRs, to the extent they are not currently required to do so.</w:t>
      </w:r>
      <w:r w:rsidR="006414FD">
        <w:rPr>
          <w:rFonts w:eastAsia="Times New Roman" w:cs="Times New Roman"/>
          <w:color w:val="000000"/>
          <w:szCs w:val="24"/>
        </w:rPr>
        <w:t xml:space="preserve"> </w:t>
      </w:r>
      <w:r w:rsidRPr="008B3A19" w:rsidR="008B3A19">
        <w:rPr>
          <w:rFonts w:eastAsia="Times New Roman" w:cs="Times New Roman"/>
          <w:color w:val="000000"/>
          <w:szCs w:val="24"/>
        </w:rPr>
        <w:t>However, recognizing considerations related to the importance of DCOs keeping swap reports confidential to manage the defaults of clearing members, the Commission ultimately finalized rules exempting these swaps from public reporting.</w:t>
      </w:r>
    </w:p>
    <w:p w:rsidR="001325C9" w:rsidP="00C97430" w:rsidRDefault="001325C9" w14:paraId="71F0293D" w14:textId="77777777">
      <w:pPr>
        <w:pStyle w:val="ListParagraph"/>
        <w:rPr>
          <w:rFonts w:eastAsia="Times New Roman" w:cs="Times New Roman"/>
          <w:color w:val="000000"/>
          <w:szCs w:val="24"/>
        </w:rPr>
      </w:pPr>
    </w:p>
    <w:p w:rsidR="001325C9" w:rsidP="00C97430" w:rsidRDefault="008D1A66" w14:paraId="074ECB4A" w14:textId="4FB0BF79">
      <w:pPr>
        <w:pStyle w:val="ListParagraph"/>
        <w:numPr>
          <w:ilvl w:val="0"/>
          <w:numId w:val="13"/>
        </w:numPr>
      </w:pPr>
      <w:r>
        <w:rPr>
          <w:rFonts w:eastAsia="Times New Roman" w:cs="Times New Roman"/>
          <w:color w:val="000000"/>
          <w:szCs w:val="24"/>
        </w:rPr>
        <w:t xml:space="preserve">Existing § 43.3 requires reporting counterparties to send swap reports to SDRs as soon as technologically practicable after execution. </w:t>
      </w:r>
      <w:r w:rsidRPr="001325C9" w:rsidR="00464286">
        <w:rPr>
          <w:rFonts w:eastAsia="Times New Roman" w:cs="Times New Roman"/>
          <w:color w:val="000000"/>
          <w:szCs w:val="24"/>
        </w:rPr>
        <w:t xml:space="preserve">The Commission is </w:t>
      </w:r>
      <w:r>
        <w:rPr>
          <w:rFonts w:eastAsia="Times New Roman" w:cs="Times New Roman"/>
          <w:color w:val="000000"/>
          <w:szCs w:val="24"/>
        </w:rPr>
        <w:t>amend</w:t>
      </w:r>
      <w:r w:rsidR="006414FD">
        <w:rPr>
          <w:rFonts w:eastAsia="Times New Roman" w:cs="Times New Roman"/>
          <w:color w:val="000000"/>
          <w:szCs w:val="24"/>
        </w:rPr>
        <w:t>ing</w:t>
      </w:r>
      <w:r>
        <w:rPr>
          <w:rFonts w:eastAsia="Times New Roman" w:cs="Times New Roman"/>
          <w:color w:val="000000"/>
          <w:szCs w:val="24"/>
        </w:rPr>
        <w:t xml:space="preserve"> § 43.3 to establish new requirements for reporting prime brokerage swaps in</w:t>
      </w:r>
      <w:r w:rsidRPr="001325C9">
        <w:rPr>
          <w:rFonts w:eastAsia="Times New Roman" w:cs="Times New Roman"/>
          <w:color w:val="000000"/>
          <w:szCs w:val="24"/>
        </w:rPr>
        <w:t xml:space="preserve"> </w:t>
      </w:r>
      <w:r w:rsidRPr="001325C9" w:rsidR="00037E90">
        <w:rPr>
          <w:rFonts w:eastAsia="Times New Roman" w:cs="Times New Roman"/>
          <w:color w:val="000000"/>
          <w:szCs w:val="24"/>
        </w:rPr>
        <w:t>§ 43.3(a)(6)</w:t>
      </w:r>
      <w:r w:rsidRPr="00034433" w:rsidR="00037E90">
        <w:rPr>
          <w:rFonts w:eastAsia="Times New Roman" w:cs="Times New Roman"/>
          <w:color w:val="000000"/>
          <w:szCs w:val="24"/>
        </w:rPr>
        <w:t xml:space="preserve">. </w:t>
      </w:r>
      <w:r w:rsidR="00464286">
        <w:t xml:space="preserve">The rules </w:t>
      </w:r>
      <w:r w:rsidR="005568BA">
        <w:t xml:space="preserve">will </w:t>
      </w:r>
      <w:r w:rsidR="00464286">
        <w:t>establish</w:t>
      </w:r>
      <w:r>
        <w:t xml:space="preserve"> that</w:t>
      </w:r>
      <w:r w:rsidR="00CF4155">
        <w:t xml:space="preserve"> </w:t>
      </w:r>
      <w:r>
        <w:t>“</w:t>
      </w:r>
      <w:r w:rsidR="00CF4155">
        <w:t>mirror swaps</w:t>
      </w:r>
      <w:r>
        <w:t>”</w:t>
      </w:r>
      <w:r w:rsidR="00CF4155">
        <w:t xml:space="preserve"> </w:t>
      </w:r>
      <w:r w:rsidR="005568BA">
        <w:t xml:space="preserve">will </w:t>
      </w:r>
      <w:r>
        <w:t>not need to be publicly disseminated by SDRs</w:t>
      </w:r>
      <w:r w:rsidR="00761BD2">
        <w:t>.</w:t>
      </w:r>
      <w:r>
        <w:t xml:space="preserve"> Reporting counterparties </w:t>
      </w:r>
      <w:r w:rsidR="005568BA">
        <w:t xml:space="preserve">will </w:t>
      </w:r>
      <w:r>
        <w:t xml:space="preserve">continue to report mirror swaps to SDRs pursuant to part 45, but the amendment to § 43.3 </w:t>
      </w:r>
      <w:r w:rsidR="006414FD">
        <w:t xml:space="preserve">will </w:t>
      </w:r>
      <w:r>
        <w:t xml:space="preserve">reduce the number of reports SDRs </w:t>
      </w:r>
      <w:r w:rsidR="005568BA">
        <w:t xml:space="preserve">will </w:t>
      </w:r>
      <w:r>
        <w:t>be required to publicly disseminate according to § 43.4.</w:t>
      </w:r>
      <w:r w:rsidR="00144764">
        <w:br/>
      </w:r>
    </w:p>
    <w:p w:rsidRPr="00144764" w:rsidR="00144764" w:rsidP="00144764" w:rsidRDefault="00144764" w14:paraId="54C770F5" w14:textId="7A91EBCD">
      <w:pPr>
        <w:pStyle w:val="ListParagraph"/>
        <w:numPr>
          <w:ilvl w:val="0"/>
          <w:numId w:val="13"/>
        </w:numPr>
      </w:pPr>
      <w:r>
        <w:t xml:space="preserve">Existing </w:t>
      </w:r>
      <w:r w:rsidRPr="00144764">
        <w:t>§ 43.3(h) requires timestamping by multiple entities. Existing § 43.4(h)(1) requires registered entities, SDs, and MSPs to timestamp real-time swap reports with the time they receive the data from counterparties, as applicable, and the time at which they transmit the report to an SDR. Existing § 43.3(h)(2) requires SDRs to timestamp the swap reports they receive from SEFs, DCMs, and reporting parties, and then timestamp the report with the time they publicly disseminate it. Existing § 43.3(h)(3) requires SDs and MSPs have to timestamp all off-facility swaps they report to SDRs. § 43.3(h)(4) requires all entities have recordkeeping requirements with respect to these timestamps. The Commission is eliminat</w:t>
      </w:r>
      <w:r w:rsidR="006414FD">
        <w:t>ing</w:t>
      </w:r>
      <w:r w:rsidRPr="00144764">
        <w:t xml:space="preserve"> these requirements. Removing § 43.3(h)(1) </w:t>
      </w:r>
      <w:r w:rsidR="005568BA">
        <w:t>will</w:t>
      </w:r>
      <w:r w:rsidRPr="00144764" w:rsidR="005568BA">
        <w:t xml:space="preserve"> </w:t>
      </w:r>
      <w:r w:rsidRPr="00144764">
        <w:t xml:space="preserve">reduce the amount of time SDs, MSPs, and registered entities spend reporting swap reports to SDRs, but </w:t>
      </w:r>
      <w:r w:rsidR="005568BA">
        <w:t>will</w:t>
      </w:r>
      <w:r w:rsidRPr="00144764" w:rsidR="005568BA">
        <w:t xml:space="preserve"> </w:t>
      </w:r>
      <w:r w:rsidRPr="00144764">
        <w:t xml:space="preserve">not amend the number of reports they send. Removing § 43.3(h)(2) </w:t>
      </w:r>
      <w:r w:rsidR="005568BA">
        <w:t>will</w:t>
      </w:r>
      <w:r w:rsidRPr="00144764" w:rsidR="005568BA">
        <w:t xml:space="preserve"> </w:t>
      </w:r>
      <w:r w:rsidRPr="00144764">
        <w:t xml:space="preserve">reduce the amount of time SDRs spend publicly disseminating swap reports, but </w:t>
      </w:r>
      <w:r w:rsidR="005568BA">
        <w:t>will</w:t>
      </w:r>
      <w:r w:rsidRPr="00144764" w:rsidR="005568BA">
        <w:t xml:space="preserve"> </w:t>
      </w:r>
      <w:r w:rsidRPr="00144764">
        <w:t xml:space="preserve">not amend the number of reports they send. Removing § 43.3(h)(3) </w:t>
      </w:r>
      <w:r w:rsidR="005568BA">
        <w:t>will</w:t>
      </w:r>
      <w:r w:rsidRPr="00144764" w:rsidR="005568BA">
        <w:t xml:space="preserve"> </w:t>
      </w:r>
      <w:r w:rsidRPr="00144764">
        <w:t xml:space="preserve">reduce the amount of time SDs and MSPs spend reporting off-facility swaps to SDRs, but </w:t>
      </w:r>
      <w:r w:rsidR="005568BA">
        <w:t>will</w:t>
      </w:r>
      <w:r w:rsidRPr="00144764" w:rsidR="005568BA">
        <w:t xml:space="preserve"> </w:t>
      </w:r>
      <w:r w:rsidRPr="00144764">
        <w:t xml:space="preserve">not reduce the amount of reports they send. Finally, removing § 43.3(h)(4) </w:t>
      </w:r>
      <w:r w:rsidR="005568BA">
        <w:t>will</w:t>
      </w:r>
      <w:r w:rsidRPr="00144764" w:rsidR="005568BA">
        <w:t xml:space="preserve"> </w:t>
      </w:r>
      <w:r w:rsidRPr="00144764">
        <w:t xml:space="preserve">remove the recordkeeping burden for these entities. </w:t>
      </w:r>
    </w:p>
    <w:p w:rsidRPr="00144764" w:rsidR="00921F90" w:rsidP="006457D3" w:rsidRDefault="00921F90" w14:paraId="4275205B" w14:textId="77777777"/>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4F964D44">
      <w:pPr>
        <w:rPr>
          <w:rFonts w:eastAsia="Times New Roman" w:cs="Times New Roman"/>
          <w:color w:val="000000"/>
          <w:szCs w:val="24"/>
        </w:rPr>
      </w:pPr>
      <w:r>
        <w:rPr>
          <w:rFonts w:eastAsia="Times New Roman" w:cs="Times New Roman"/>
          <w:color w:val="000000"/>
          <w:szCs w:val="24"/>
        </w:rPr>
        <w:tab/>
        <w:t xml:space="preserve">The Commission’s regulations in part 43 require SEFs, DCMs, and reporting counterparties to report swap transaction and pricing data to SDRs and require SDRs to disseminate the swap transaction and pricing data to the public. The SDRs do not provide this data to the Commission directly. The Commission may, however, use the swap transaction and </w:t>
      </w:r>
      <w:r>
        <w:rPr>
          <w:rFonts w:eastAsia="Times New Roman" w:cs="Times New Roman"/>
          <w:color w:val="000000"/>
          <w:szCs w:val="24"/>
        </w:rPr>
        <w:lastRenderedPageBreak/>
        <w:t xml:space="preserve">pricing data in connection with fulfilling any of its regulatory duties or for other purposes. This publicly-reported data is also available to all other regulators and to the </w:t>
      </w:r>
      <w:r w:rsidR="00B46731">
        <w:rPr>
          <w:rFonts w:eastAsia="Times New Roman" w:cs="Times New Roman"/>
          <w:color w:val="000000"/>
          <w:szCs w:val="24"/>
        </w:rPr>
        <w:t>public and they may use it for any purpose as they see fit. The swap transaction and pricing data is made public in order to increase the transparency of the swaps market for regulators and market participants.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28DDB733">
      <w:pPr>
        <w:tabs>
          <w:tab w:val="left" w:pos="-720"/>
          <w:tab w:val="left" w:pos="0"/>
        </w:tabs>
        <w:spacing w:after="240"/>
        <w:rPr>
          <w:rFonts w:eastAsia="Times New Roman" w:cs="Times New Roman"/>
          <w:szCs w:val="24"/>
        </w:rPr>
      </w:pPr>
      <w:r>
        <w:rPr>
          <w:rFonts w:eastAsia="Times New Roman" w:cs="Times New Roman"/>
          <w:szCs w:val="24"/>
        </w:rPr>
        <w:tab/>
      </w:r>
      <w:r w:rsidR="002F1E80">
        <w:rPr>
          <w:rFonts w:eastAsia="Times New Roman" w:cs="Times New Roman"/>
          <w:szCs w:val="24"/>
        </w:rPr>
        <w:t xml:space="preserve"> </w:t>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3038-0070</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32DFFE78">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collected pursuant to part 43</w:t>
      </w:r>
      <w:r w:rsidRPr="00AD0896" w:rsidR="00AD0896">
        <w:rPr>
          <w:rFonts w:eastAsia="Times New Roman" w:cs="Times New Roman"/>
          <w:szCs w:val="24"/>
        </w:rPr>
        <w:t xml:space="preserve"> 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The swap transaction and pricing data </w:t>
      </w:r>
      <w:r w:rsidRPr="00AD0896" w:rsidR="00AD0896">
        <w:rPr>
          <w:rFonts w:eastAsia="Times New Roman" w:cs="Times New Roman"/>
          <w:szCs w:val="24"/>
        </w:rPr>
        <w:t>is unique and no other similar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3B424F8E">
      <w:pPr>
        <w:tabs>
          <w:tab w:val="left" w:pos="-720"/>
        </w:tabs>
        <w:spacing w:after="240"/>
        <w:rPr>
          <w:rFonts w:eastAsia="Times New Roman" w:cs="Times New Roman"/>
          <w:szCs w:val="24"/>
        </w:rPr>
      </w:pPr>
      <w:r w:rsidRPr="00642B6A">
        <w:rPr>
          <w:rFonts w:eastAsia="Times New Roman" w:cs="Times New Roman"/>
          <w:szCs w:val="24"/>
        </w:rPr>
        <w:tab/>
      </w:r>
      <w:r w:rsidR="00AD0896">
        <w:rPr>
          <w:rFonts w:eastAsia="Times New Roman" w:cs="Times New Roman"/>
          <w:szCs w:val="24"/>
        </w:rPr>
        <w:t xml:space="preserve">The Commission has previously established that </w:t>
      </w:r>
      <w:r w:rsidRPr="00054FFC" w:rsidR="00054FFC">
        <w:rPr>
          <w:rFonts w:eastAsia="Times New Roman" w:cs="Times New Roman"/>
          <w:szCs w:val="24"/>
        </w:rPr>
        <w:t xml:space="preserve">DCMs, DCOs, MSPs, SDs, SDRs, and SEFs are not small entities. In addition, based on its review of publicly available data, </w:t>
      </w:r>
      <w:r w:rsidR="00AD0896">
        <w:rPr>
          <w:rFonts w:eastAsia="Times New Roman" w:cs="Times New Roman"/>
          <w:szCs w:val="24"/>
        </w:rPr>
        <w:t xml:space="preserve">the </w:t>
      </w:r>
      <w:r w:rsidRPr="00054FFC" w:rsidR="00054FFC">
        <w:rPr>
          <w:rFonts w:eastAsia="Times New Roman" w:cs="Times New Roman"/>
          <w:szCs w:val="24"/>
        </w:rPr>
        <w:t xml:space="preserve">Commission believes </w:t>
      </w:r>
      <w:r w:rsidR="00AD0896">
        <w:rPr>
          <w:rFonts w:eastAsia="Times New Roman" w:cs="Times New Roman"/>
          <w:szCs w:val="24"/>
        </w:rPr>
        <w:t xml:space="preserve">that </w:t>
      </w:r>
      <w:r w:rsidRPr="00054FFC" w:rsidR="00054FFC">
        <w:rPr>
          <w:rFonts w:eastAsia="Times New Roman" w:cs="Times New Roman"/>
          <w:szCs w:val="24"/>
        </w:rPr>
        <w:t>the overwhelming majority of non-SD/MSP/DCO reporting counterparties</w:t>
      </w:r>
      <w:r w:rsidR="00AD0896">
        <w:rPr>
          <w:rFonts w:eastAsia="Times New Roman" w:cs="Times New Roman"/>
          <w:szCs w:val="24"/>
        </w:rPr>
        <w:t xml:space="preserve"> affected by this </w:t>
      </w:r>
      <w:r w:rsidRPr="00054FFC" w:rsidR="00054FFC">
        <w:rPr>
          <w:rFonts w:eastAsia="Times New Roman" w:cs="Times New Roman"/>
          <w:szCs w:val="24"/>
        </w:rPr>
        <w:t xml:space="preserve">rulemaking are eligible contract participants (“ECPs”) that the Commission has previously determined are not small entities or do not otherwise meet the definition of “small entity.” Accordingly, the Commission does not believe that this collection of information </w:t>
      </w:r>
      <w:r w:rsidR="005568BA">
        <w:rPr>
          <w:rFonts w:eastAsia="Times New Roman" w:cs="Times New Roman"/>
          <w:szCs w:val="24"/>
        </w:rPr>
        <w:t>will</w:t>
      </w:r>
      <w:r w:rsidRPr="00054FFC" w:rsidR="005568BA">
        <w:rPr>
          <w:rFonts w:eastAsia="Times New Roman" w:cs="Times New Roman"/>
          <w:szCs w:val="24"/>
        </w:rPr>
        <w:t xml:space="preserve"> </w:t>
      </w:r>
      <w:r w:rsidRPr="00054FFC" w:rsidR="00054FFC">
        <w:rPr>
          <w:rFonts w:eastAsia="Times New Roman" w:cs="Times New Roman"/>
          <w:szCs w:val="24"/>
        </w:rPr>
        <w:t>affect a subst</w:t>
      </w:r>
      <w:r w:rsidR="00054FFC">
        <w:rPr>
          <w:rFonts w:eastAsia="Times New Roman" w:cs="Times New Roman"/>
          <w:szCs w:val="24"/>
        </w:rPr>
        <w:t xml:space="preserve">antial number of </w:t>
      </w:r>
      <w:r w:rsidR="00AD0896">
        <w:rPr>
          <w:rFonts w:eastAsia="Times New Roman" w:cs="Times New Roman"/>
          <w:szCs w:val="24"/>
        </w:rPr>
        <w:t>small entities.</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ED251F" w14:paraId="46B6C82E" w14:textId="703AE7C3">
      <w:pPr>
        <w:ind w:firstLine="720"/>
        <w:rPr>
          <w:rFonts w:eastAsia="Times New Roman" w:cs="Times New Roman"/>
          <w:color w:val="000000"/>
          <w:szCs w:val="24"/>
        </w:rPr>
      </w:pPr>
      <w:r>
        <w:rPr>
          <w:rFonts w:eastAsia="Times New Roman" w:cs="Times New Roman"/>
          <w:color w:val="000000"/>
          <w:szCs w:val="24"/>
        </w:rPr>
        <w:t>T</w:t>
      </w:r>
      <w:r w:rsidR="00AD0896">
        <w:rPr>
          <w:rFonts w:eastAsia="Times New Roman" w:cs="Times New Roman"/>
          <w:color w:val="000000"/>
          <w:szCs w:val="24"/>
        </w:rPr>
        <w:t>he public reporting requirements make swap transaction and pricing data available to the public in order to enhance price discovery and market transparency. Without the required frequency of reporting set forth in the Commission’s regulations, the general public would not receive swap transaction and pricing data in a timely manner that would allow for meaningful price discovery, which would frustrate the purpose of the statute.</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66DE8C6D">
      <w:pPr>
        <w:tabs>
          <w:tab w:val="left" w:pos="-720"/>
        </w:tabs>
        <w:spacing w:after="240"/>
        <w:rPr>
          <w:rFonts w:eastAsia="Times New Roman" w:cs="Times New Roman"/>
          <w:szCs w:val="24"/>
        </w:rPr>
      </w:pPr>
      <w:r w:rsidRPr="00642B6A">
        <w:rPr>
          <w:rFonts w:eastAsia="Times New Roman" w:cs="Times New Roman"/>
          <w:szCs w:val="24"/>
        </w:rPr>
        <w:tab/>
      </w:r>
      <w:r w:rsidR="009402E6">
        <w:rPr>
          <w:rFonts w:eastAsia="Times New Roman" w:cs="Times New Roman"/>
          <w:szCs w:val="24"/>
        </w:rPr>
        <w:t>Real-time swap transaction and pricing data is not required to be reported to the Commission.</w:t>
      </w:r>
    </w:p>
    <w:p w:rsidRPr="00642B6A" w:rsidR="00642B6A" w:rsidP="00FE503D" w:rsidRDefault="00642B6A" w14:paraId="50F422A7" w14:textId="77777777">
      <w:pPr>
        <w:numPr>
          <w:ilvl w:val="0"/>
          <w:numId w:val="1"/>
        </w:numPr>
        <w:tabs>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5388274D">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9548E9" w:rsidR="009548E9">
        <w:rPr>
          <w:rFonts w:eastAsia="Times New Roman" w:cs="Times New Roman"/>
          <w:szCs w:val="24"/>
        </w:rPr>
        <w:t xml:space="preserve">Currently § 43.3(h)(4) requires registered entities, </w:t>
      </w:r>
      <w:r w:rsidR="00C3289A">
        <w:rPr>
          <w:rFonts w:eastAsia="Times New Roman" w:cs="Times New Roman"/>
          <w:szCs w:val="24"/>
        </w:rPr>
        <w:t>SDs, and MSPs</w:t>
      </w:r>
      <w:r w:rsidRPr="009548E9" w:rsidR="009548E9">
        <w:rPr>
          <w:rFonts w:eastAsia="Times New Roman" w:cs="Times New Roman"/>
          <w:szCs w:val="24"/>
        </w:rPr>
        <w:t xml:space="preserve"> to maintain records with respect to timestamps for at least five years from the execution of the publicly reportable swap transaction. </w:t>
      </w:r>
      <w:r w:rsidRPr="00CE561C" w:rsidR="00BA10C3">
        <w:rPr>
          <w:rFonts w:eastAsia="Times New Roman" w:cs="Times New Roman"/>
          <w:szCs w:val="24"/>
        </w:rPr>
        <w:t xml:space="preserve">The amendments to part 43 </w:t>
      </w:r>
      <w:r w:rsidR="005568BA">
        <w:rPr>
          <w:rFonts w:eastAsia="Times New Roman" w:cs="Times New Roman"/>
          <w:szCs w:val="24"/>
        </w:rPr>
        <w:t>will</w:t>
      </w:r>
      <w:r w:rsidRPr="00CE561C" w:rsidR="005568BA">
        <w:rPr>
          <w:rFonts w:eastAsia="Times New Roman" w:cs="Times New Roman"/>
          <w:szCs w:val="24"/>
        </w:rPr>
        <w:t xml:space="preserve"> </w:t>
      </w:r>
      <w:r w:rsidRPr="00CE561C" w:rsidR="00BA10C3">
        <w:rPr>
          <w:rFonts w:eastAsia="Times New Roman" w:cs="Times New Roman"/>
          <w:szCs w:val="24"/>
        </w:rPr>
        <w:t xml:space="preserve">modify Information Collection 3038-0070 </w:t>
      </w:r>
      <w:r w:rsidR="009548E9">
        <w:rPr>
          <w:rFonts w:eastAsia="Times New Roman" w:cs="Times New Roman"/>
          <w:szCs w:val="24"/>
        </w:rPr>
        <w:t>by removing the</w:t>
      </w:r>
      <w:r w:rsidRPr="00CE561C" w:rsidR="00BA10C3">
        <w:rPr>
          <w:rFonts w:eastAsia="Times New Roman" w:cs="Times New Roman"/>
          <w:szCs w:val="24"/>
        </w:rPr>
        <w:t xml:space="preserve"> recordkeeping </w:t>
      </w:r>
      <w:r w:rsidR="009548E9">
        <w:rPr>
          <w:rFonts w:eastAsia="Times New Roman" w:cs="Times New Roman"/>
          <w:szCs w:val="24"/>
        </w:rPr>
        <w:t>burden for these entities</w:t>
      </w:r>
      <w:r w:rsidR="00666FBF">
        <w:rPr>
          <w:rFonts w:eastAsia="Times New Roman" w:cs="Times New Roman"/>
          <w:szCs w:val="24"/>
        </w:rPr>
        <w:t>.</w:t>
      </w:r>
      <w:r w:rsidR="00C3289A">
        <w:rPr>
          <w:rFonts w:eastAsia="Times New Roman" w:cs="Times New Roman"/>
          <w:szCs w:val="24"/>
        </w:rPr>
        <w:t xml:space="preserve"> </w:t>
      </w:r>
      <w:r w:rsidRPr="00C3289A" w:rsidR="00C3289A">
        <w:rPr>
          <w:rFonts w:eastAsia="Times New Roman" w:cs="Times New Roman"/>
          <w:szCs w:val="24"/>
        </w:rPr>
        <w:t>Other Commission regulations, including §§ 1.31, 45.2, and 49.12, would require records, including much of the information provided under Information Collection 3038-0070, to be kept for at least five years. Those recordkeeping requirements are discussed in the information collections for those other regulations.</w:t>
      </w:r>
    </w:p>
    <w:p w:rsidRPr="00642B6A" w:rsidR="00642B6A" w:rsidP="00FE503D" w:rsidRDefault="00642B6A" w14:paraId="50F422AD"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rsidRDefault="00AD0896" w14:paraId="50F422AE" w14:textId="2958A392">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 xml:space="preserve">Not applicable, </w:t>
      </w:r>
      <w:proofErr w:type="gramStart"/>
      <w:r w:rsidRPr="00AD0896">
        <w:rPr>
          <w:rFonts w:eastAsia="Times New Roman" w:cs="Times New Roman"/>
        </w:rPr>
        <w:t>the  collection</w:t>
      </w:r>
      <w:proofErr w:type="gramEnd"/>
      <w:r w:rsidRPr="00AD0896">
        <w:rPr>
          <w:rFonts w:eastAsia="Times New Roman" w:cs="Times New Roman"/>
        </w:rPr>
        <w:t xml:space="preserve">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4887CF69">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1D2CD1E7">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lastRenderedPageBreak/>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5B7D4DD4">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r>
        <w:rPr>
          <w:rFonts w:eastAsia="Times New Roman" w:cs="Times New Roman"/>
          <w:b/>
          <w:szCs w:val="24"/>
        </w:rPr>
        <w:t xml:space="preserve"> </w:t>
      </w:r>
      <w:r>
        <w:rPr>
          <w:rFonts w:eastAsia="Times New Roman" w:cs="Times New Roman"/>
          <w:szCs w:val="24"/>
        </w:rPr>
        <w:t>Most information required to be collected or reported under Information Collection 3038-0070 is made public.</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P="007A1013" w:rsidRDefault="00B86819" w14:paraId="50F422B4" w14:textId="772ADF7F">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0D5ECB" w:rsidR="000D5ECB">
        <w:rPr>
          <w:rFonts w:eastAsia="Times New Roman" w:cs="Times New Roman"/>
          <w:szCs w:val="24"/>
        </w:rPr>
        <w:t>As part of the rulemaking process, the amendments were published in the Federal Register at 85 FR 22690</w:t>
      </w:r>
      <w:r w:rsidR="00665414">
        <w:rPr>
          <w:rFonts w:eastAsia="Times New Roman" w:cs="Times New Roman"/>
          <w:szCs w:val="24"/>
        </w:rPr>
        <w:t xml:space="preserve"> (Apr. 17, 2020). </w:t>
      </w:r>
      <w:r w:rsidRPr="000D5ECB" w:rsidR="000D5ECB">
        <w:rPr>
          <w:rFonts w:eastAsia="Times New Roman" w:cs="Times New Roman"/>
          <w:szCs w:val="24"/>
        </w:rPr>
        <w:t>Thus, members of the public, including respondents, have been provided an opportunity to comment on the rule and related matters, including issue</w:t>
      </w:r>
      <w:r w:rsidR="007A46CB">
        <w:rPr>
          <w:rFonts w:eastAsia="Times New Roman" w:cs="Times New Roman"/>
          <w:szCs w:val="24"/>
        </w:rPr>
        <w:t xml:space="preserve">s and other paperwork burdens. </w:t>
      </w:r>
      <w:r w:rsidRPr="000D5ECB" w:rsidR="000D5ECB">
        <w:rPr>
          <w:rFonts w:eastAsia="Times New Roman" w:cs="Times New Roman"/>
          <w:szCs w:val="24"/>
        </w:rPr>
        <w:t>The Commission did not receive any comments on the information collection.</w:t>
      </w:r>
      <w:r w:rsidR="00CC215F">
        <w:rPr>
          <w:rStyle w:val="FootnoteReference"/>
          <w:rFonts w:eastAsia="Times New Roman" w:cs="Times New Roman"/>
          <w:szCs w:val="24"/>
        </w:rPr>
        <w:footnoteReference w:id="3"/>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E5486D" w14:paraId="50F422B8" w14:textId="4F193BB3">
      <w:pPr>
        <w:tabs>
          <w:tab w:val="left" w:pos="-720"/>
        </w:tabs>
        <w:spacing w:after="240"/>
        <w:ind w:firstLine="720"/>
        <w:rPr>
          <w:rFonts w:eastAsia="Times New Roman" w:cs="Times New Roman"/>
          <w:szCs w:val="24"/>
        </w:rPr>
      </w:pPr>
      <w:r w:rsidRPr="00E5486D">
        <w:rPr>
          <w:rFonts w:eastAsia="Times New Roman" w:cs="Times New Roman"/>
          <w:szCs w:val="24"/>
        </w:rPr>
        <w:t xml:space="preserve">The Commission does not provide respondents with an assurance of </w:t>
      </w:r>
      <w:proofErr w:type="gramStart"/>
      <w:r w:rsidRPr="00E5486D">
        <w:rPr>
          <w:rFonts w:eastAsia="Times New Roman" w:cs="Times New Roman"/>
          <w:szCs w:val="24"/>
        </w:rPr>
        <w:t>confidentiality  beyond</w:t>
      </w:r>
      <w:proofErr w:type="gramEnd"/>
      <w:r w:rsidRPr="00E5486D">
        <w:rPr>
          <w:rFonts w:eastAsia="Times New Roman" w:cs="Times New Roman"/>
          <w:szCs w:val="24"/>
        </w:rPr>
        <w:t xml:space="preserve"> that provided by applicable law. </w:t>
      </w:r>
      <w:r w:rsidRPr="007A1013" w:rsidR="007A1013">
        <w:rPr>
          <w:rFonts w:eastAsia="Times New Roman" w:cs="Times New Roman"/>
          <w:szCs w:val="24"/>
        </w:rPr>
        <w:t xml:space="preserve">All requirements </w:t>
      </w:r>
      <w:r w:rsidR="007A46CB">
        <w:rPr>
          <w:rFonts w:eastAsia="Times New Roman" w:cs="Times New Roman"/>
          <w:szCs w:val="24"/>
        </w:rPr>
        <w:t xml:space="preserve">in the collection </w:t>
      </w:r>
      <w:r w:rsidRPr="007A1013" w:rsidR="007A1013">
        <w:rPr>
          <w:rFonts w:eastAsia="Times New Roman" w:cs="Times New Roman"/>
          <w:szCs w:val="24"/>
        </w:rPr>
        <w:t xml:space="preserve">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r w:rsidR="007A1013">
        <w:rPr>
          <w:rFonts w:eastAsia="Times New Roman" w:cs="Times New Roman"/>
          <w:szCs w:val="24"/>
        </w:rPr>
        <w:t xml:space="preserve"> Most information required to be collected or reported under Information Collection 3038-0070 is made public.</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lastRenderedPageBreak/>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1D96D698">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5292C408">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Pr="008F41C5" w:rsidR="00525294" w:rsidP="00FB009C" w:rsidRDefault="008F41C5" w14:paraId="663DF587" w14:textId="1941D0C6">
      <w:pPr>
        <w:ind w:firstLine="720"/>
        <w:rPr>
          <w:rFonts w:eastAsia="Times New Roman" w:cs="Times New Roman"/>
          <w:color w:val="000000"/>
          <w:szCs w:val="24"/>
        </w:rPr>
      </w:pPr>
      <w:r w:rsidRPr="008F41C5">
        <w:rPr>
          <w:rFonts w:eastAsia="Times New Roman" w:cs="Times New Roman"/>
          <w:color w:val="000000"/>
          <w:szCs w:val="24"/>
        </w:rPr>
        <w:t xml:space="preserve">Please see </w:t>
      </w:r>
      <w:r w:rsidR="00663FBC">
        <w:rPr>
          <w:rFonts w:eastAsia="Times New Roman" w:cs="Times New Roman"/>
          <w:color w:val="000000"/>
          <w:szCs w:val="24"/>
        </w:rPr>
        <w:t>A</w:t>
      </w:r>
      <w:r w:rsidRPr="008F41C5" w:rsidR="00663FBC">
        <w:rPr>
          <w:rFonts w:eastAsia="Times New Roman" w:cs="Times New Roman"/>
          <w:color w:val="000000"/>
          <w:szCs w:val="24"/>
        </w:rPr>
        <w:t xml:space="preserve">ttachment </w:t>
      </w:r>
      <w:r w:rsidRPr="008F41C5">
        <w:rPr>
          <w:rFonts w:eastAsia="Times New Roman" w:cs="Times New Roman"/>
          <w:color w:val="000000"/>
          <w:szCs w:val="24"/>
        </w:rPr>
        <w:t>A for the estimated hour burden for the collections of information discussed in this supporting statement.</w:t>
      </w:r>
      <w:r w:rsidR="00FB009C">
        <w:rPr>
          <w:rFonts w:eastAsia="Times New Roman" w:cs="Times New Roman"/>
          <w:color w:val="000000"/>
          <w:szCs w:val="24"/>
        </w:rPr>
        <w:t xml:space="preserve"> </w:t>
      </w:r>
      <w:r w:rsidRPr="00BE232E" w:rsidR="00BE232E">
        <w:rPr>
          <w:rFonts w:eastAsia="Times New Roman" w:cs="Times New Roman"/>
          <w:color w:val="000000"/>
          <w:szCs w:val="24"/>
        </w:rPr>
        <w:t>As shown on Attachment A, the aggregate burden for all of the collections of information under OMB 3038-00</w:t>
      </w:r>
      <w:r w:rsidR="00BE232E">
        <w:rPr>
          <w:rFonts w:eastAsia="Times New Roman" w:cs="Times New Roman"/>
          <w:color w:val="000000"/>
          <w:szCs w:val="24"/>
        </w:rPr>
        <w:t>70</w:t>
      </w:r>
      <w:r w:rsidRPr="00BE232E" w:rsidR="00BE232E">
        <w:rPr>
          <w:rFonts w:eastAsia="Times New Roman" w:cs="Times New Roman"/>
          <w:color w:val="000000"/>
          <w:szCs w:val="24"/>
        </w:rPr>
        <w:t xml:space="preserve"> (whether or not affected by the </w:t>
      </w:r>
      <w:r w:rsidRPr="00042DDE" w:rsidR="00CA3CC7">
        <w:rPr>
          <w:rFonts w:eastAsia="Times New Roman" w:cs="Times New Roman"/>
          <w:color w:val="000000"/>
          <w:szCs w:val="24"/>
        </w:rPr>
        <w:t>amendments</w:t>
      </w:r>
      <w:r w:rsidRPr="00042DDE" w:rsidR="00BE232E">
        <w:rPr>
          <w:rFonts w:eastAsia="Times New Roman" w:cs="Times New Roman"/>
          <w:color w:val="000000"/>
          <w:szCs w:val="24"/>
        </w:rPr>
        <w:t xml:space="preserve">) is estimated to apply to 1,732 respondents, </w:t>
      </w:r>
      <w:r w:rsidRPr="00042DDE" w:rsidR="00FB009C">
        <w:rPr>
          <w:rFonts w:eastAsia="Times New Roman" w:cs="Times New Roman"/>
          <w:color w:val="000000"/>
          <w:szCs w:val="24"/>
        </w:rPr>
        <w:t xml:space="preserve">which </w:t>
      </w:r>
      <w:r w:rsidRPr="00042DDE" w:rsidR="005568BA">
        <w:rPr>
          <w:rFonts w:eastAsia="Times New Roman" w:cs="Times New Roman"/>
          <w:color w:val="000000"/>
          <w:szCs w:val="24"/>
        </w:rPr>
        <w:t xml:space="preserve">will </w:t>
      </w:r>
      <w:r w:rsidRPr="00042DDE" w:rsidR="00FB009C">
        <w:rPr>
          <w:rFonts w:eastAsia="Times New Roman" w:cs="Times New Roman"/>
          <w:color w:val="000000"/>
          <w:szCs w:val="24"/>
        </w:rPr>
        <w:t xml:space="preserve">file an </w:t>
      </w:r>
      <w:r w:rsidRPr="00042DDE" w:rsidR="00244AF4">
        <w:rPr>
          <w:rFonts w:eastAsia="Times New Roman" w:cs="Times New Roman"/>
          <w:color w:val="000000"/>
          <w:szCs w:val="24"/>
        </w:rPr>
        <w:t xml:space="preserve">estimated </w:t>
      </w:r>
      <w:r w:rsidRPr="00042DDE" w:rsidR="006C4FF4">
        <w:rPr>
          <w:rFonts w:eastAsia="Times New Roman" w:cs="Times New Roman"/>
          <w:color w:val="000000"/>
          <w:szCs w:val="24"/>
        </w:rPr>
        <w:t xml:space="preserve">10,020,842 </w:t>
      </w:r>
      <w:r w:rsidRPr="00042DDE" w:rsidR="00244AF4">
        <w:rPr>
          <w:rFonts w:eastAsia="Times New Roman" w:cs="Times New Roman"/>
          <w:color w:val="000000"/>
          <w:szCs w:val="24"/>
        </w:rPr>
        <w:t xml:space="preserve">reports annually, or an average </w:t>
      </w:r>
      <w:r w:rsidRPr="00042DDE" w:rsidR="006C4FF4">
        <w:rPr>
          <w:rFonts w:eastAsia="Times New Roman" w:cs="Times New Roman"/>
          <w:color w:val="000000"/>
          <w:szCs w:val="24"/>
        </w:rPr>
        <w:t>5,78</w:t>
      </w:r>
      <w:r w:rsidRPr="00042DDE" w:rsidR="00BE0F94">
        <w:rPr>
          <w:rFonts w:eastAsia="Times New Roman" w:cs="Times New Roman"/>
          <w:color w:val="000000"/>
          <w:szCs w:val="24"/>
        </w:rPr>
        <w:t>6</w:t>
      </w:r>
      <w:r w:rsidRPr="00042DDE" w:rsidR="00FB009C">
        <w:rPr>
          <w:rFonts w:eastAsia="Times New Roman" w:cs="Times New Roman"/>
          <w:color w:val="000000"/>
          <w:szCs w:val="24"/>
        </w:rPr>
        <w:t xml:space="preserve"> reports </w:t>
      </w:r>
      <w:r w:rsidRPr="00042DDE" w:rsidR="00733C9D">
        <w:rPr>
          <w:rFonts w:eastAsia="Times New Roman" w:cs="Times New Roman"/>
          <w:color w:val="000000"/>
          <w:szCs w:val="24"/>
        </w:rPr>
        <w:t>per respondent</w:t>
      </w:r>
      <w:r w:rsidRPr="00042DDE" w:rsidR="00D42CCD">
        <w:rPr>
          <w:rFonts w:eastAsia="Times New Roman" w:cs="Times New Roman"/>
          <w:color w:val="000000"/>
          <w:szCs w:val="24"/>
        </w:rPr>
        <w:t xml:space="preserve">. The </w:t>
      </w:r>
      <w:r w:rsidRPr="00042DDE" w:rsidR="00FB009C">
        <w:rPr>
          <w:rFonts w:eastAsia="Times New Roman" w:cs="Times New Roman"/>
          <w:color w:val="000000"/>
          <w:szCs w:val="24"/>
        </w:rPr>
        <w:t xml:space="preserve">estimated gross annual reporting burden </w:t>
      </w:r>
      <w:r w:rsidRPr="00042DDE" w:rsidR="00D42CCD">
        <w:rPr>
          <w:rFonts w:eastAsia="Times New Roman" w:cs="Times New Roman"/>
          <w:color w:val="000000"/>
          <w:szCs w:val="24"/>
        </w:rPr>
        <w:t xml:space="preserve">for information collection 3038-0070 </w:t>
      </w:r>
      <w:r w:rsidRPr="00042DDE" w:rsidR="005568BA">
        <w:rPr>
          <w:rFonts w:eastAsia="Times New Roman" w:cs="Times New Roman"/>
          <w:color w:val="000000"/>
          <w:szCs w:val="24"/>
        </w:rPr>
        <w:t xml:space="preserve">will </w:t>
      </w:r>
      <w:r w:rsidRPr="00042DDE" w:rsidR="00D42CCD">
        <w:rPr>
          <w:rFonts w:eastAsia="Times New Roman" w:cs="Times New Roman"/>
          <w:color w:val="000000"/>
          <w:szCs w:val="24"/>
        </w:rPr>
        <w:t xml:space="preserve">be </w:t>
      </w:r>
      <w:r w:rsidRPr="00042DDE" w:rsidR="006C4FF4">
        <w:rPr>
          <w:rFonts w:eastAsia="Times New Roman" w:cs="Times New Roman"/>
          <w:color w:val="000000"/>
          <w:szCs w:val="24"/>
        </w:rPr>
        <w:t>771,831</w:t>
      </w:r>
      <w:r w:rsidRPr="00042DDE" w:rsidR="00E562FC">
        <w:rPr>
          <w:rFonts w:eastAsia="Times New Roman" w:cs="Times New Roman"/>
          <w:color w:val="000000"/>
          <w:szCs w:val="24"/>
        </w:rPr>
        <w:t xml:space="preserve"> </w:t>
      </w:r>
      <w:r w:rsidRPr="00042DDE" w:rsidR="00733C9D">
        <w:rPr>
          <w:rFonts w:eastAsia="Times New Roman" w:cs="Times New Roman"/>
          <w:color w:val="000000"/>
          <w:szCs w:val="24"/>
        </w:rPr>
        <w:t xml:space="preserve">burden hours </w:t>
      </w:r>
      <w:r w:rsidRPr="00042DDE" w:rsidR="00BE232E">
        <w:rPr>
          <w:rFonts w:eastAsia="Times New Roman" w:cs="Times New Roman"/>
          <w:color w:val="000000"/>
          <w:szCs w:val="24"/>
        </w:rPr>
        <w:t>across all respondents.</w:t>
      </w:r>
      <w:r w:rsidRPr="00042DDE" w:rsidR="00562731">
        <w:rPr>
          <w:rStyle w:val="FootnoteReference"/>
          <w:rFonts w:eastAsia="Times New Roman" w:cs="Times New Roman"/>
          <w:color w:val="000000"/>
          <w:szCs w:val="24"/>
        </w:rPr>
        <w:footnoteReference w:id="4"/>
      </w:r>
    </w:p>
    <w:p w:rsidRPr="008F41C5" w:rsidR="008F41C5" w:rsidP="008F41C5" w:rsidRDefault="008F41C5" w14:paraId="1C35FCBF" w14:textId="77777777">
      <w:pPr>
        <w:ind w:firstLine="720"/>
        <w:jc w:val="both"/>
        <w:rPr>
          <w:rFonts w:eastAsia="Times New Roman" w:cs="Times New Roman"/>
          <w:color w:val="000000"/>
          <w:szCs w:val="24"/>
        </w:rPr>
      </w:pPr>
    </w:p>
    <w:p w:rsidR="00642B6A" w:rsidP="008F41C5" w:rsidRDefault="00BE232E" w14:paraId="50F422BF" w14:textId="1C75D530">
      <w:pPr>
        <w:ind w:firstLine="720"/>
        <w:rPr>
          <w:rFonts w:eastAsia="Times New Roman" w:cs="Times New Roman"/>
          <w:color w:val="000000"/>
          <w:szCs w:val="24"/>
        </w:rPr>
      </w:pPr>
      <w:r w:rsidRPr="00BE232E">
        <w:rPr>
          <w:rFonts w:eastAsia="Times New Roman" w:cs="Times New Roman"/>
          <w:color w:val="000000"/>
          <w:szCs w:val="24"/>
        </w:rPr>
        <w:t xml:space="preserve">The total annual burden hour cost of all responses across respondents is estimated to be </w:t>
      </w:r>
      <w:r w:rsidR="00E4535D">
        <w:rPr>
          <w:rFonts w:eastAsia="Times New Roman" w:cs="Times New Roman"/>
          <w:color w:val="000000"/>
          <w:szCs w:val="24"/>
        </w:rPr>
        <w:t>$</w:t>
      </w:r>
      <w:r w:rsidR="00042DDE">
        <w:rPr>
          <w:rFonts w:eastAsia="Times New Roman" w:cs="Times New Roman"/>
          <w:color w:val="000000"/>
          <w:szCs w:val="24"/>
        </w:rPr>
        <w:t>55,749,360</w:t>
      </w:r>
      <w:r w:rsidRPr="00BE232E">
        <w:rPr>
          <w:rFonts w:eastAsia="Times New Roman" w:cs="Times New Roman"/>
          <w:color w:val="000000"/>
          <w:szCs w:val="24"/>
        </w:rPr>
        <w:t xml:space="preserve">. </w:t>
      </w:r>
      <w:r w:rsidRPr="008F41C5" w:rsidR="008F41C5">
        <w:rPr>
          <w:rFonts w:eastAsia="Times New Roman" w:cs="Times New Roman"/>
          <w:color w:val="000000"/>
          <w:szCs w:val="24"/>
        </w:rPr>
        <w:t xml:space="preserve">In calculating </w:t>
      </w:r>
      <w:r w:rsidRPr="00715740" w:rsidR="00715740">
        <w:rPr>
          <w:rFonts w:eastAsia="Times New Roman" w:cs="Times New Roman"/>
          <w:color w:val="000000"/>
          <w:szCs w:val="24"/>
        </w:rPr>
        <w:t xml:space="preserve">the annualized cost to respondents for the hour burdens for the </w:t>
      </w:r>
      <w:r w:rsidRPr="00715740" w:rsidR="00715740">
        <w:rPr>
          <w:rFonts w:eastAsia="Times New Roman" w:cs="Times New Roman"/>
          <w:color w:val="000000"/>
          <w:szCs w:val="24"/>
        </w:rPr>
        <w:lastRenderedPageBreak/>
        <w:t>collections of information</w:t>
      </w:r>
      <w:r w:rsidRPr="008F41C5" w:rsidR="008F41C5">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sidR="00755F59">
        <w:rPr>
          <w:rFonts w:eastAsia="Times New Roman" w:cs="Times New Roman"/>
          <w:color w:val="000000"/>
          <w:szCs w:val="24"/>
        </w:rPr>
        <w:t xml:space="preserve">nt and Wages Report (May 2018) </w:t>
      </w:r>
      <w:r w:rsidRPr="008F41C5" w:rsid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715740" w:rsidP="008F41C5" w:rsidRDefault="00715740" w14:paraId="655FE88B" w14:textId="77777777">
      <w:pPr>
        <w:ind w:firstLine="720"/>
        <w:rPr>
          <w:rFonts w:eastAsia="Times New Roman" w:cs="Times New Roman"/>
          <w:color w:val="000000"/>
          <w:szCs w:val="24"/>
        </w:rPr>
      </w:pPr>
    </w:p>
    <w:p w:rsidR="00F03EAD" w:rsidP="00A57C96" w:rsidRDefault="00E43E66" w14:paraId="67C9D07D" w14:textId="644090D1">
      <w:pPr>
        <w:tabs>
          <w:tab w:val="left" w:pos="-720"/>
          <w:tab w:val="left" w:pos="0"/>
          <w:tab w:val="left" w:pos="720"/>
        </w:tabs>
        <w:spacing w:after="240"/>
        <w:ind w:firstLine="720"/>
      </w:pPr>
      <w:r>
        <w:rPr>
          <w:rFonts w:eastAsia="Times New Roman" w:cs="Times New Roman"/>
          <w:color w:val="000000"/>
          <w:szCs w:val="24"/>
        </w:rPr>
        <w:t>Additional</w:t>
      </w:r>
      <w:r w:rsidRPr="00715740" w:rsidR="00B71829">
        <w:rPr>
          <w:rFonts w:eastAsia="Times New Roman" w:cs="Times New Roman"/>
          <w:color w:val="000000"/>
          <w:szCs w:val="24"/>
        </w:rPr>
        <w:t xml:space="preserve"> detail regarding the burden estimates for each regulatory requirement affected by the </w:t>
      </w:r>
      <w:r w:rsidR="007340E1">
        <w:rPr>
          <w:rFonts w:eastAsia="Times New Roman" w:cs="Times New Roman"/>
          <w:color w:val="000000"/>
          <w:szCs w:val="24"/>
        </w:rPr>
        <w:t>final rule</w:t>
      </w:r>
      <w:r w:rsidRPr="00715740" w:rsidR="007340E1">
        <w:rPr>
          <w:rFonts w:eastAsia="Times New Roman" w:cs="Times New Roman"/>
          <w:color w:val="000000"/>
          <w:szCs w:val="24"/>
        </w:rPr>
        <w:t xml:space="preserve"> </w:t>
      </w:r>
      <w:r w:rsidRPr="00715740" w:rsidR="00B71829">
        <w:rPr>
          <w:rFonts w:eastAsia="Times New Roman" w:cs="Times New Roman"/>
          <w:color w:val="000000"/>
          <w:szCs w:val="24"/>
        </w:rPr>
        <w:t>is provided below.</w:t>
      </w:r>
      <w:r w:rsidR="00B71829">
        <w:rPr>
          <w:rFonts w:eastAsia="Times New Roman" w:cs="Times New Roman"/>
          <w:color w:val="000000"/>
          <w:szCs w:val="24"/>
        </w:rPr>
        <w:t xml:space="preserve"> </w:t>
      </w:r>
      <w:r w:rsidR="00B71829">
        <w:rPr>
          <w:rFonts w:cs="Times New Roman"/>
          <w:szCs w:val="24"/>
        </w:rPr>
        <w:t xml:space="preserve">As an initial matter, as described in note 1 to Attachment A, the Commission is correcting its current estimates for </w:t>
      </w:r>
      <w:r w:rsidRPr="00B71829" w:rsidR="00B71829">
        <w:rPr>
          <w:rFonts w:cs="Times New Roman"/>
          <w:szCs w:val="24"/>
        </w:rPr>
        <w:t>§ 43.3</w:t>
      </w:r>
      <w:r w:rsidR="00940300">
        <w:rPr>
          <w:rFonts w:cs="Times New Roman"/>
          <w:szCs w:val="24"/>
        </w:rPr>
        <w:t xml:space="preserve"> and </w:t>
      </w:r>
      <w:r w:rsidR="00940300">
        <w:t>§ 43.4</w:t>
      </w:r>
      <w:r w:rsidR="00F03EAD">
        <w:t xml:space="preserve"> (real-time public reporting)</w:t>
      </w:r>
      <w:r w:rsidR="00940300">
        <w:t xml:space="preserve">. </w:t>
      </w:r>
      <w:r w:rsidRPr="00940300" w:rsidR="00940300">
        <w:t xml:space="preserve">The Commission had previously estimated the total real-time public reporting burden </w:t>
      </w:r>
      <w:r w:rsidR="00743FF8">
        <w:t xml:space="preserve">as </w:t>
      </w:r>
      <w:r w:rsidRPr="00940300" w:rsidR="00940300">
        <w:t>521,644 hours across 872 respondents for a total estimated cost of $65,828,142.</w:t>
      </w:r>
    </w:p>
    <w:p w:rsidR="00F03EAD" w:rsidP="00A57C96" w:rsidRDefault="00940300" w14:paraId="261B172E" w14:textId="08C8ED55">
      <w:pPr>
        <w:tabs>
          <w:tab w:val="left" w:pos="-720"/>
          <w:tab w:val="left" w:pos="0"/>
          <w:tab w:val="left" w:pos="720"/>
        </w:tabs>
        <w:spacing w:after="240"/>
        <w:ind w:firstLine="720"/>
      </w:pPr>
      <w:r w:rsidRPr="00940300">
        <w:t xml:space="preserve">In coming to that estimate, the Commission over-estimated the number of SEFs, DCMs, and SDRs, but under-estimated the number of non-SD/MSP reporting counterparties. The Commission is revising those estimates based on there being 103 SDs/MSPs, 24 SEFs, 3 DCMs, and 1,585 non-SD/MSP reporting counterparties. The Commission also </w:t>
      </w:r>
      <w:r w:rsidR="00E43E66">
        <w:t xml:space="preserve">previously </w:t>
      </w:r>
      <w:r w:rsidRPr="00940300">
        <w:t>used $140 as the estimated average burden hour cost. The Commission is revising that estimate based on an average burden hour cost of $72.23.</w:t>
      </w:r>
    </w:p>
    <w:p w:rsidR="00F03EAD" w:rsidP="00A57C96" w:rsidRDefault="00813132" w14:paraId="4106DEB9" w14:textId="3EA4A7D4">
      <w:pPr>
        <w:tabs>
          <w:tab w:val="left" w:pos="-720"/>
          <w:tab w:val="left" w:pos="0"/>
          <w:tab w:val="left" w:pos="720"/>
        </w:tabs>
        <w:spacing w:after="240"/>
        <w:ind w:firstLine="720"/>
      </w:pPr>
      <w:r>
        <w:t xml:space="preserve">Prior to </w:t>
      </w:r>
      <w:proofErr w:type="gramStart"/>
      <w:r>
        <w:t>making adjustments to</w:t>
      </w:r>
      <w:proofErr w:type="gramEnd"/>
      <w:r>
        <w:t xml:space="preserve"> the burden estimates pursuant to the final rule, t</w:t>
      </w:r>
      <w:r w:rsidR="00F03EAD">
        <w:t>he Commission is revising the estimate for the number of responses per respondent for § 43.3 and § 43.4. The previous supporting statement did not estimate the number of respon</w:t>
      </w:r>
      <w:r w:rsidR="00EA501D">
        <w:t>s</w:t>
      </w:r>
      <w:r w:rsidR="00F03EAD">
        <w:t xml:space="preserve">es per </w:t>
      </w:r>
      <w:r w:rsidR="00BD4F7B">
        <w:t xml:space="preserve">respondent </w:t>
      </w:r>
      <w:r w:rsidR="00F03EAD">
        <w:t>for real-time public reporting. The Commission is updating the estimates for § 43.3 and § 43.4 to reflect that the Commission estimates that there are</w:t>
      </w:r>
      <w:r w:rsidR="00E15810">
        <w:t xml:space="preserve"> approximately</w:t>
      </w:r>
      <w:r w:rsidR="00F03EAD">
        <w:t xml:space="preserve"> </w:t>
      </w:r>
      <w:r w:rsidR="004C4F07">
        <w:t>4.</w:t>
      </w:r>
      <w:r w:rsidR="00F03EAD">
        <w:t xml:space="preserve">5 million reports sent to, and publicly disseminated by, SDRs. </w:t>
      </w:r>
      <w:r w:rsidR="00BD4F7B">
        <w:t>Additionally</w:t>
      </w:r>
      <w:r w:rsidRPr="00940300" w:rsidR="00940300">
        <w:t xml:space="preserve">, the Commission did not previously distinguish between the separate requirements in § 43.3 and § 43.4. The Commission has revised the estimate above to </w:t>
      </w:r>
      <w:r w:rsidR="00F03EAD">
        <w:t>separate</w:t>
      </w:r>
      <w:r w:rsidRPr="00940300" w:rsidR="00940300">
        <w:t xml:space="preserve"> the two requirements by regulation.</w:t>
      </w:r>
    </w:p>
    <w:p w:rsidRPr="00940300" w:rsidR="00940300" w:rsidP="00A57C96" w:rsidRDefault="00F03EAD" w14:paraId="4947FC71" w14:textId="18F2BA05">
      <w:pPr>
        <w:tabs>
          <w:tab w:val="left" w:pos="-720"/>
          <w:tab w:val="left" w:pos="0"/>
          <w:tab w:val="left" w:pos="720"/>
        </w:tabs>
        <w:spacing w:after="240"/>
        <w:ind w:firstLine="720"/>
      </w:pPr>
      <w:r>
        <w:t>The burden estimate</w:t>
      </w:r>
      <w:r w:rsidR="00562731">
        <w:t>s</w:t>
      </w:r>
      <w:r>
        <w:t xml:space="preserve"> for </w:t>
      </w:r>
      <w:r w:rsidRPr="00940300" w:rsidR="00940300">
        <w:t xml:space="preserve">§ 43.3 </w:t>
      </w:r>
      <w:r w:rsidR="00126127">
        <w:t>relate to</w:t>
      </w:r>
      <w:r w:rsidRPr="00940300" w:rsidR="00940300">
        <w:t xml:space="preserve"> the burden for the reports SEFs, DCMs, and reporting counterparties send to SDRs, and</w:t>
      </w:r>
      <w:r>
        <w:t xml:space="preserve"> the </w:t>
      </w:r>
      <w:r w:rsidRPr="00940300" w:rsidR="00940300">
        <w:t>§ 43.4 estimate</w:t>
      </w:r>
      <w:r w:rsidR="00126127">
        <w:t>s</w:t>
      </w:r>
      <w:r w:rsidRPr="00940300" w:rsidR="00940300">
        <w:t xml:space="preserve"> </w:t>
      </w:r>
      <w:r w:rsidR="00126127">
        <w:t xml:space="preserve">relate to </w:t>
      </w:r>
      <w:r w:rsidRPr="00940300" w:rsidR="00940300">
        <w:t xml:space="preserve">the burden for the reports SDRs publicly disseminate. </w:t>
      </w:r>
      <w:r w:rsidR="009C5D0D">
        <w:t xml:space="preserve">As revised </w:t>
      </w:r>
      <w:r w:rsidR="00E1090B">
        <w:t xml:space="preserve">to correct for </w:t>
      </w:r>
      <w:r w:rsidR="004C4F07">
        <w:t>previous</w:t>
      </w:r>
      <w:r w:rsidRPr="00940300" w:rsidR="00940300">
        <w:t xml:space="preserve"> </w:t>
      </w:r>
      <w:r w:rsidR="00E1090B">
        <w:t xml:space="preserve">errors </w:t>
      </w:r>
      <w:r w:rsidR="009C5D0D">
        <w:t xml:space="preserve">(and before applying the amendments made in the final rule), </w:t>
      </w:r>
      <w:r w:rsidRPr="00940300" w:rsidR="00940300">
        <w:t xml:space="preserve">the estimate for § 43.3 </w:t>
      </w:r>
      <w:r w:rsidR="009C5D0D">
        <w:t>would</w:t>
      </w:r>
      <w:r w:rsidR="00436CDB">
        <w:t xml:space="preserve"> be </w:t>
      </w:r>
      <w:r w:rsidRPr="00940300" w:rsidR="00940300">
        <w:t>1,715 respondents, with 3,000 reports per respondent, at .1</w:t>
      </w:r>
      <w:r w:rsidR="00E15810">
        <w:t>5</w:t>
      </w:r>
      <w:r w:rsidRPr="00940300" w:rsidR="00940300">
        <w:t xml:space="preserve"> hours per response </w:t>
      </w:r>
      <w:r w:rsidR="00AE0683">
        <w:t>for</w:t>
      </w:r>
      <w:r w:rsidRPr="00940300" w:rsidR="00940300">
        <w:t xml:space="preserve"> </w:t>
      </w:r>
      <w:r w:rsidR="00AE0683">
        <w:t>7</w:t>
      </w:r>
      <w:r w:rsidR="00E15810">
        <w:t>71,750</w:t>
      </w:r>
      <w:r w:rsidRPr="00940300" w:rsidR="00940300">
        <w:t xml:space="preserve"> total burden hours annually. </w:t>
      </w:r>
      <w:r w:rsidR="00E1090B">
        <w:t>Additionally, a</w:t>
      </w:r>
      <w:r w:rsidRPr="009C5D0D" w:rsidR="009C5D0D">
        <w:t xml:space="preserve">s revised </w:t>
      </w:r>
      <w:r w:rsidR="00E1090B">
        <w:t xml:space="preserve">to correct for previous errors </w:t>
      </w:r>
      <w:r w:rsidRPr="009C5D0D" w:rsidR="009C5D0D">
        <w:t>(and before applying the amendments made in the final rule)</w:t>
      </w:r>
      <w:r w:rsidR="009C5D0D">
        <w:t>, the estimate f</w:t>
      </w:r>
      <w:r>
        <w:t>or § 43.4</w:t>
      </w:r>
      <w:r w:rsidR="009C5D0D">
        <w:t xml:space="preserve"> </w:t>
      </w:r>
      <w:proofErr w:type="gramStart"/>
      <w:r w:rsidR="009C5D0D">
        <w:t xml:space="preserve">would </w:t>
      </w:r>
      <w:r w:rsidR="00645551">
        <w:t xml:space="preserve"> </w:t>
      </w:r>
      <w:r>
        <w:t>be</w:t>
      </w:r>
      <w:proofErr w:type="gramEnd"/>
      <w:r w:rsidR="00F777D0">
        <w:t xml:space="preserve"> 3 SDR respondents</w:t>
      </w:r>
      <w:r w:rsidR="00E15810">
        <w:t>, with 1.5 million reports per respondent, at .01 hours per report for 45,000 total burden hours annually.</w:t>
      </w:r>
      <w:r>
        <w:t xml:space="preserve"> </w:t>
      </w:r>
      <w:r w:rsidRPr="00940300" w:rsidR="00940300">
        <w:t xml:space="preserve">Further amendments to </w:t>
      </w:r>
      <w:r w:rsidRPr="00940300" w:rsidR="00E1090B">
        <w:t>th</w:t>
      </w:r>
      <w:r w:rsidR="00E1090B">
        <w:t>ese</w:t>
      </w:r>
      <w:r w:rsidRPr="00940300" w:rsidR="00E1090B">
        <w:t xml:space="preserve"> </w:t>
      </w:r>
      <w:r w:rsidRPr="00940300" w:rsidR="00940300">
        <w:t>estimate</w:t>
      </w:r>
      <w:r w:rsidR="00E1090B">
        <w:t>s</w:t>
      </w:r>
      <w:r w:rsidRPr="00940300" w:rsidR="00940300">
        <w:t xml:space="preserve"> based on the amendments </w:t>
      </w:r>
      <w:r w:rsidR="00940300">
        <w:t xml:space="preserve">to </w:t>
      </w:r>
      <w:bookmarkStart w:name="_Hlk55317448" w:id="1"/>
      <w:r w:rsidR="00940300">
        <w:t xml:space="preserve">§ 43.3 </w:t>
      </w:r>
      <w:bookmarkEnd w:id="1"/>
      <w:r w:rsidR="00E1090B">
        <w:t>and § 43.4 in the final rule</w:t>
      </w:r>
      <w:r w:rsidR="00940300">
        <w:t xml:space="preserve"> are discussed below</w:t>
      </w:r>
      <w:r w:rsidR="00655E67">
        <w:t>:</w:t>
      </w:r>
    </w:p>
    <w:p w:rsidR="00CD0B32" w:rsidP="002E405F" w:rsidRDefault="00B14A16" w14:paraId="79FE89F7" w14:textId="7F8D9ABA">
      <w:pPr>
        <w:numPr>
          <w:ilvl w:val="0"/>
          <w:numId w:val="1"/>
        </w:numPr>
        <w:tabs>
          <w:tab w:val="left" w:pos="-720"/>
          <w:tab w:val="left" w:pos="0"/>
          <w:tab w:val="left" w:pos="720"/>
        </w:tabs>
        <w:spacing w:after="240"/>
        <w:ind w:left="1080" w:hanging="360"/>
        <w:jc w:val="both"/>
        <w:rPr>
          <w:rFonts w:cs="Times New Roman"/>
          <w:szCs w:val="24"/>
        </w:rPr>
      </w:pPr>
      <w:r w:rsidRPr="00B14A16">
        <w:rPr>
          <w:rFonts w:cs="Times New Roman"/>
          <w:i/>
          <w:szCs w:val="24"/>
        </w:rPr>
        <w:lastRenderedPageBreak/>
        <w:t>§ 43.</w:t>
      </w:r>
      <w:r w:rsidRPr="002766F5">
        <w:rPr>
          <w:rFonts w:cs="Times New Roman"/>
          <w:szCs w:val="24"/>
        </w:rPr>
        <w:t>3</w:t>
      </w:r>
      <w:r>
        <w:rPr>
          <w:rFonts w:cs="Times New Roman"/>
          <w:szCs w:val="24"/>
        </w:rPr>
        <w:t xml:space="preserve"> </w:t>
      </w:r>
      <w:r w:rsidRPr="00E13228">
        <w:rPr>
          <w:rFonts w:eastAsia="Times New Roman" w:cs="Times New Roman"/>
          <w:i/>
          <w:color w:val="000000"/>
          <w:szCs w:val="24"/>
        </w:rPr>
        <w:t>–</w:t>
      </w:r>
      <w:r w:rsidRPr="00D702A7">
        <w:rPr>
          <w:rFonts w:eastAsia="Times New Roman" w:cs="Times New Roman"/>
          <w:i/>
          <w:color w:val="000000"/>
          <w:szCs w:val="24"/>
        </w:rPr>
        <w:t xml:space="preserve"> </w:t>
      </w:r>
      <w:r w:rsidRPr="00B14A16" w:rsidR="00010797">
        <w:rPr>
          <w:rFonts w:cs="Times New Roman"/>
          <w:szCs w:val="24"/>
        </w:rPr>
        <w:t>The</w:t>
      </w:r>
      <w:r w:rsidRPr="00925FFD" w:rsidR="00010797">
        <w:rPr>
          <w:rFonts w:cs="Times New Roman"/>
          <w:szCs w:val="24"/>
        </w:rPr>
        <w:t xml:space="preserve"> Commission is amend</w:t>
      </w:r>
      <w:r w:rsidR="002C5548">
        <w:rPr>
          <w:rFonts w:cs="Times New Roman"/>
          <w:szCs w:val="24"/>
        </w:rPr>
        <w:t>ing</w:t>
      </w:r>
      <w:r w:rsidRPr="00925FFD" w:rsidR="00010797">
        <w:rPr>
          <w:rFonts w:cs="Times New Roman"/>
          <w:szCs w:val="24"/>
        </w:rPr>
        <w:t xml:space="preserve"> § 43.3, which requires SEFs, DCMs, and reporting counterparties to report data to SDRs when entering into new swaps, or making certain changes to swaps, for SDRs to publicly disseminate</w:t>
      </w:r>
      <w:r w:rsidR="00CD0B32">
        <w:rPr>
          <w:rFonts w:cs="Times New Roman"/>
          <w:szCs w:val="24"/>
        </w:rPr>
        <w:t xml:space="preserve">, </w:t>
      </w:r>
      <w:r w:rsidR="005E7CA6">
        <w:rPr>
          <w:rFonts w:cs="Times New Roman"/>
          <w:szCs w:val="24"/>
        </w:rPr>
        <w:t>as summarized below</w:t>
      </w:r>
      <w:r w:rsidR="00CD0B32">
        <w:rPr>
          <w:rFonts w:cs="Times New Roman"/>
          <w:szCs w:val="24"/>
        </w:rPr>
        <w:t>:</w:t>
      </w:r>
    </w:p>
    <w:p w:rsidR="000903B0" w:rsidP="00A55460" w:rsidRDefault="003F26F0" w14:paraId="030F822D" w14:textId="17FD2BBC">
      <w:pPr>
        <w:numPr>
          <w:ilvl w:val="1"/>
          <w:numId w:val="1"/>
        </w:numPr>
        <w:tabs>
          <w:tab w:val="left" w:pos="-720"/>
          <w:tab w:val="left" w:pos="0"/>
          <w:tab w:val="left" w:pos="720"/>
        </w:tabs>
        <w:spacing w:after="240"/>
        <w:rPr>
          <w:rFonts w:cs="Times New Roman"/>
          <w:szCs w:val="24"/>
        </w:rPr>
      </w:pPr>
      <w:r>
        <w:rPr>
          <w:rFonts w:cs="Times New Roman"/>
          <w:szCs w:val="24"/>
        </w:rPr>
        <w:t>T</w:t>
      </w:r>
      <w:r w:rsidRPr="002A3BD8" w:rsidR="002A3BD8">
        <w:rPr>
          <w:rFonts w:cs="Times New Roman"/>
          <w:szCs w:val="24"/>
        </w:rPr>
        <w:t xml:space="preserve">he Commission’s </w:t>
      </w:r>
      <w:r w:rsidR="000435FB">
        <w:rPr>
          <w:rFonts w:cs="Times New Roman"/>
          <w:szCs w:val="24"/>
        </w:rPr>
        <w:t>previous</w:t>
      </w:r>
      <w:r w:rsidRPr="002A3BD8" w:rsidR="002A3BD8">
        <w:rPr>
          <w:rFonts w:cs="Times New Roman"/>
          <w:szCs w:val="24"/>
        </w:rPr>
        <w:t xml:space="preserve"> estimate for § 43.3 is that 1,715 respondents each report 3,000 swap reports </w:t>
      </w:r>
      <w:r w:rsidR="00B64F4C">
        <w:rPr>
          <w:rFonts w:cs="Times New Roman"/>
          <w:szCs w:val="24"/>
        </w:rPr>
        <w:t xml:space="preserve">annually </w:t>
      </w:r>
      <w:r w:rsidRPr="002A3BD8" w:rsidR="002A3BD8">
        <w:rPr>
          <w:rFonts w:cs="Times New Roman"/>
          <w:szCs w:val="24"/>
        </w:rPr>
        <w:t>to SDRs</w:t>
      </w:r>
      <w:r w:rsidR="00E15810">
        <w:rPr>
          <w:rFonts w:cs="Times New Roman"/>
          <w:szCs w:val="24"/>
        </w:rPr>
        <w:t>, for a total of 5,145,000 swap reports sent to SDRs</w:t>
      </w:r>
      <w:r w:rsidRPr="002A3BD8" w:rsidR="002A3BD8">
        <w:rPr>
          <w:rFonts w:cs="Times New Roman"/>
          <w:szCs w:val="24"/>
        </w:rPr>
        <w:t>.</w:t>
      </w:r>
      <w:r w:rsidR="00E15810">
        <w:rPr>
          <w:rStyle w:val="FootnoteReference"/>
          <w:rFonts w:cs="Times New Roman"/>
          <w:szCs w:val="24"/>
        </w:rPr>
        <w:footnoteReference w:id="5"/>
      </w:r>
      <w:r w:rsidRPr="002A3BD8" w:rsidR="002A3BD8">
        <w:rPr>
          <w:rFonts w:cs="Times New Roman"/>
          <w:szCs w:val="24"/>
        </w:rPr>
        <w:t xml:space="preserve"> </w:t>
      </w:r>
      <w:r w:rsidR="004C4F07">
        <w:rPr>
          <w:rFonts w:cs="Times New Roman"/>
          <w:szCs w:val="24"/>
        </w:rPr>
        <w:t>T</w:t>
      </w:r>
      <w:r w:rsidR="000C31BB">
        <w:rPr>
          <w:rFonts w:cs="Times New Roman"/>
          <w:szCs w:val="24"/>
        </w:rPr>
        <w:t xml:space="preserve">he Commission estimates that the new regulations </w:t>
      </w:r>
      <w:r w:rsidR="002C5548">
        <w:rPr>
          <w:rFonts w:cs="Times New Roman"/>
          <w:szCs w:val="24"/>
        </w:rPr>
        <w:t>adopted</w:t>
      </w:r>
      <w:r w:rsidR="000C31BB">
        <w:rPr>
          <w:rFonts w:cs="Times New Roman"/>
          <w:szCs w:val="24"/>
        </w:rPr>
        <w:t xml:space="preserve"> </w:t>
      </w:r>
      <w:r w:rsidRPr="000C31BB" w:rsidR="000C31BB">
        <w:rPr>
          <w:rFonts w:cs="Times New Roman"/>
          <w:szCs w:val="24"/>
        </w:rPr>
        <w:t xml:space="preserve">in § 43.3(a)(4) </w:t>
      </w:r>
      <w:r w:rsidR="00645551">
        <w:rPr>
          <w:rFonts w:cs="Times New Roman"/>
          <w:szCs w:val="24"/>
        </w:rPr>
        <w:t>will</w:t>
      </w:r>
      <w:r w:rsidRPr="000C31BB" w:rsidR="00645551">
        <w:rPr>
          <w:rFonts w:cs="Times New Roman"/>
          <w:szCs w:val="24"/>
        </w:rPr>
        <w:t xml:space="preserve"> </w:t>
      </w:r>
      <w:r w:rsidRPr="000C31BB" w:rsidR="000C31BB">
        <w:rPr>
          <w:rFonts w:cs="Times New Roman"/>
          <w:szCs w:val="24"/>
        </w:rPr>
        <w:t>reduce the number of responses for 50 respondents by 5,000 responses (100 responses each).</w:t>
      </w:r>
      <w:r w:rsidR="004051C2">
        <w:rPr>
          <w:rStyle w:val="FootnoteReference"/>
          <w:rFonts w:cs="Times New Roman"/>
          <w:szCs w:val="24"/>
        </w:rPr>
        <w:footnoteReference w:id="6"/>
      </w:r>
      <w:r w:rsidRPr="000C31BB" w:rsidR="000C31BB">
        <w:rPr>
          <w:rFonts w:cs="Times New Roman"/>
          <w:szCs w:val="24"/>
        </w:rPr>
        <w:t xml:space="preserve"> </w:t>
      </w:r>
      <w:r w:rsidR="004C4F07">
        <w:rPr>
          <w:rFonts w:cs="Times New Roman"/>
          <w:szCs w:val="24"/>
        </w:rPr>
        <w:t>T</w:t>
      </w:r>
      <w:r w:rsidRPr="00713F58" w:rsidR="00713F58">
        <w:rPr>
          <w:rFonts w:cs="Times New Roman"/>
          <w:szCs w:val="24"/>
        </w:rPr>
        <w:t xml:space="preserve">he reduction of approximately </w:t>
      </w:r>
      <w:r w:rsidR="004C4F07">
        <w:rPr>
          <w:rFonts w:cs="Times New Roman"/>
          <w:szCs w:val="24"/>
        </w:rPr>
        <w:t>5,000</w:t>
      </w:r>
      <w:r w:rsidRPr="00713F58" w:rsidR="00713F58">
        <w:rPr>
          <w:rFonts w:cs="Times New Roman"/>
          <w:szCs w:val="24"/>
        </w:rPr>
        <w:t xml:space="preserve"> responses across 1,7</w:t>
      </w:r>
      <w:r w:rsidR="008A0A47">
        <w:rPr>
          <w:rFonts w:cs="Times New Roman"/>
          <w:szCs w:val="24"/>
        </w:rPr>
        <w:t>29</w:t>
      </w:r>
      <w:r w:rsidR="008A0A47">
        <w:rPr>
          <w:rStyle w:val="FootnoteReference"/>
          <w:rFonts w:cs="Times New Roman"/>
          <w:szCs w:val="24"/>
        </w:rPr>
        <w:footnoteReference w:id="7"/>
      </w:r>
      <w:r w:rsidRPr="00713F58" w:rsidR="00713F58">
        <w:rPr>
          <w:rFonts w:cs="Times New Roman"/>
          <w:szCs w:val="24"/>
        </w:rPr>
        <w:t xml:space="preserve"> respondents </w:t>
      </w:r>
      <w:r w:rsidR="00645551">
        <w:rPr>
          <w:rFonts w:cs="Times New Roman"/>
          <w:szCs w:val="24"/>
        </w:rPr>
        <w:t>will</w:t>
      </w:r>
      <w:r w:rsidRPr="00713F58" w:rsidR="00645551">
        <w:rPr>
          <w:rFonts w:cs="Times New Roman"/>
          <w:szCs w:val="24"/>
        </w:rPr>
        <w:t xml:space="preserve"> </w:t>
      </w:r>
      <w:r w:rsidRPr="00713F58" w:rsidR="00713F58">
        <w:rPr>
          <w:rFonts w:cs="Times New Roman"/>
          <w:szCs w:val="24"/>
        </w:rPr>
        <w:t xml:space="preserve">reduce the current estimate of 3,000 reports by each respondent to </w:t>
      </w:r>
      <w:r w:rsidR="00D840B6">
        <w:rPr>
          <w:rFonts w:cs="Times New Roman"/>
          <w:szCs w:val="24"/>
        </w:rPr>
        <w:t>2,998</w:t>
      </w:r>
      <w:r w:rsidRPr="00713F58" w:rsidR="00713F58">
        <w:rPr>
          <w:rFonts w:cs="Times New Roman"/>
          <w:szCs w:val="24"/>
        </w:rPr>
        <w:t xml:space="preserve"> reports per respondent. The Commission has updated the rest of the estimate</w:t>
      </w:r>
      <w:r w:rsidR="004051C2">
        <w:rPr>
          <w:rFonts w:cs="Times New Roman"/>
          <w:szCs w:val="24"/>
        </w:rPr>
        <w:t>s</w:t>
      </w:r>
      <w:r w:rsidRPr="00713F58" w:rsidR="00713F58">
        <w:rPr>
          <w:rFonts w:cs="Times New Roman"/>
          <w:szCs w:val="24"/>
        </w:rPr>
        <w:t xml:space="preserve"> for § 43.3 based on this change</w:t>
      </w:r>
      <w:r w:rsidR="00713F58">
        <w:rPr>
          <w:rFonts w:cs="Times New Roman"/>
          <w:szCs w:val="24"/>
        </w:rPr>
        <w:t xml:space="preserve"> accordingly</w:t>
      </w:r>
      <w:r w:rsidR="00C61FE7">
        <w:rPr>
          <w:rFonts w:cs="Times New Roman"/>
          <w:szCs w:val="24"/>
        </w:rPr>
        <w:t>, resulting in a new aggregate hourly burden of 7</w:t>
      </w:r>
      <w:r w:rsidR="000435FB">
        <w:rPr>
          <w:rFonts w:cs="Times New Roman"/>
          <w:szCs w:val="24"/>
        </w:rPr>
        <w:t>25,696</w:t>
      </w:r>
      <w:r w:rsidR="00C61FE7">
        <w:rPr>
          <w:rFonts w:cs="Times New Roman"/>
          <w:szCs w:val="24"/>
        </w:rPr>
        <w:t xml:space="preserve"> from the current estimate of 771,750</w:t>
      </w:r>
      <w:r w:rsidR="00713F58">
        <w:rPr>
          <w:rFonts w:cs="Times New Roman"/>
          <w:szCs w:val="24"/>
        </w:rPr>
        <w:t>.</w:t>
      </w:r>
    </w:p>
    <w:p w:rsidR="00784687" w:rsidP="00A55460" w:rsidRDefault="00010797" w14:paraId="77746781" w14:textId="6E6CD287">
      <w:pPr>
        <w:numPr>
          <w:ilvl w:val="1"/>
          <w:numId w:val="1"/>
        </w:numPr>
        <w:tabs>
          <w:tab w:val="left" w:pos="-720"/>
          <w:tab w:val="left" w:pos="0"/>
          <w:tab w:val="left" w:pos="720"/>
        </w:tabs>
        <w:spacing w:after="240"/>
      </w:pPr>
      <w:r w:rsidRPr="009D40AD">
        <w:rPr>
          <w:rFonts w:cs="Times New Roman"/>
          <w:szCs w:val="24"/>
        </w:rPr>
        <w:t>The Commission is establish</w:t>
      </w:r>
      <w:r w:rsidR="002C5548">
        <w:rPr>
          <w:rFonts w:cs="Times New Roman"/>
          <w:szCs w:val="24"/>
        </w:rPr>
        <w:t>ing</w:t>
      </w:r>
      <w:r w:rsidRPr="009D40AD">
        <w:rPr>
          <w:rFonts w:cs="Times New Roman"/>
          <w:szCs w:val="24"/>
        </w:rPr>
        <w:t xml:space="preserve"> new requirements for</w:t>
      </w:r>
      <w:r w:rsidRPr="002E405F">
        <w:rPr>
          <w:rFonts w:eastAsia="Times New Roman" w:cs="Times New Roman"/>
          <w:color w:val="000000"/>
          <w:szCs w:val="24"/>
        </w:rPr>
        <w:t xml:space="preserve"> reporting prime brokerage swaps in § 43.3(a)(6). </w:t>
      </w:r>
      <w:r w:rsidRPr="00452C5A">
        <w:t xml:space="preserve">The </w:t>
      </w:r>
      <w:r w:rsidR="0027483A">
        <w:t>final</w:t>
      </w:r>
      <w:r w:rsidRPr="00452C5A" w:rsidR="0027483A">
        <w:t xml:space="preserve"> </w:t>
      </w:r>
      <w:r w:rsidRPr="00452C5A">
        <w:t>rule establish</w:t>
      </w:r>
      <w:r w:rsidR="0027483A">
        <w:t>es</w:t>
      </w:r>
      <w:r w:rsidRPr="00452C5A">
        <w:t xml:space="preserve"> that “mirror swaps” </w:t>
      </w:r>
      <w:r w:rsidR="00645551">
        <w:t>will</w:t>
      </w:r>
      <w:r w:rsidRPr="00452C5A" w:rsidR="00645551">
        <w:t xml:space="preserve"> </w:t>
      </w:r>
      <w:r w:rsidRPr="00452C5A">
        <w:t xml:space="preserve">not need to be publicly disseminated by SDRs. Reporting counterparties </w:t>
      </w:r>
      <w:r w:rsidR="00645551">
        <w:t>will</w:t>
      </w:r>
      <w:r w:rsidRPr="00452C5A" w:rsidR="00645551">
        <w:t xml:space="preserve"> </w:t>
      </w:r>
      <w:r w:rsidRPr="00452C5A">
        <w:t xml:space="preserve">continue to report mirror swaps to SDRs pursuant to part 45, but the amendment to § 43.3 </w:t>
      </w:r>
      <w:r w:rsidR="00645551">
        <w:t>will</w:t>
      </w:r>
      <w:r w:rsidRPr="00452C5A" w:rsidR="00645551">
        <w:t xml:space="preserve"> </w:t>
      </w:r>
      <w:r w:rsidRPr="00452C5A">
        <w:t xml:space="preserve">reduce the number of reports </w:t>
      </w:r>
      <w:r w:rsidR="00C14B3E">
        <w:t xml:space="preserve">that </w:t>
      </w:r>
      <w:r w:rsidRPr="00452C5A">
        <w:t xml:space="preserve">SDRs </w:t>
      </w:r>
      <w:r w:rsidR="00645551">
        <w:t>will</w:t>
      </w:r>
      <w:r w:rsidRPr="00452C5A" w:rsidR="00645551">
        <w:t xml:space="preserve"> </w:t>
      </w:r>
      <w:r w:rsidRPr="00452C5A">
        <w:t xml:space="preserve">be required to publicly disseminate according to § 43.4. </w:t>
      </w:r>
      <w:r w:rsidRPr="00925FFD" w:rsidR="00925FFD">
        <w:t xml:space="preserve">The Commission estimates that the amendments </w:t>
      </w:r>
      <w:r w:rsidR="00645551">
        <w:t>will</w:t>
      </w:r>
      <w:r w:rsidRPr="00925FFD" w:rsidR="00645551">
        <w:t xml:space="preserve"> </w:t>
      </w:r>
      <w:r w:rsidRPr="00925FFD" w:rsidR="00925FFD">
        <w:t xml:space="preserve">reduce the number of mirror swaps SDRs </w:t>
      </w:r>
      <w:r w:rsidR="00645551">
        <w:t>will</w:t>
      </w:r>
      <w:r w:rsidRPr="00925FFD" w:rsidR="00645551">
        <w:t xml:space="preserve"> </w:t>
      </w:r>
      <w:r w:rsidRPr="00925FFD" w:rsidR="00925FFD">
        <w:t>need to publicly disseminate</w:t>
      </w:r>
      <w:r w:rsidR="00C61FE7">
        <w:t xml:space="preserve"> pursuant to § 43.4</w:t>
      </w:r>
      <w:r w:rsidRPr="00925FFD" w:rsidR="00925FFD">
        <w:t xml:space="preserve"> by 100 reports per each SDR, or 300 reports in the aggregate</w:t>
      </w:r>
      <w:r w:rsidR="00C61FE7">
        <w:t>.</w:t>
      </w:r>
    </w:p>
    <w:p w:rsidR="00ED50C9" w:rsidP="002A40A2" w:rsidRDefault="002A40A2" w14:paraId="16D7F281" w14:textId="17DE19D7">
      <w:pPr>
        <w:numPr>
          <w:ilvl w:val="1"/>
          <w:numId w:val="1"/>
        </w:numPr>
        <w:tabs>
          <w:tab w:val="left" w:pos="-720"/>
          <w:tab w:val="left" w:pos="0"/>
          <w:tab w:val="left" w:pos="720"/>
        </w:tabs>
        <w:spacing w:after="240"/>
      </w:pPr>
      <w:r w:rsidRPr="002A40A2">
        <w:t xml:space="preserve">The Commission currently estimates the average number of burden hours per response for § 43.3 as .15 hours. The Commission estimates that the removal of the requirement for reporting entities to timestamp their swap reports </w:t>
      </w:r>
      <w:r>
        <w:t xml:space="preserve">under </w:t>
      </w:r>
      <w:r w:rsidRPr="002A40A2">
        <w:t xml:space="preserve">§ 43.3(h) </w:t>
      </w:r>
      <w:r w:rsidR="00645551">
        <w:t>will</w:t>
      </w:r>
      <w:r w:rsidRPr="002A40A2" w:rsidR="00645551">
        <w:t xml:space="preserve"> </w:t>
      </w:r>
      <w:r w:rsidRPr="002A40A2">
        <w:t>reduce the amount of time entities need to spend on each report by .01 hours per report, to .14 hours per report.</w:t>
      </w:r>
    </w:p>
    <w:p w:rsidRPr="002A40A2" w:rsidR="002A40A2" w:rsidP="002A40A2" w:rsidRDefault="00ED50C9" w14:paraId="524B2DF4" w14:textId="0B684E5C">
      <w:pPr>
        <w:numPr>
          <w:ilvl w:val="1"/>
          <w:numId w:val="1"/>
        </w:numPr>
        <w:tabs>
          <w:tab w:val="left" w:pos="-720"/>
          <w:tab w:val="left" w:pos="0"/>
          <w:tab w:val="left" w:pos="720"/>
        </w:tabs>
        <w:spacing w:after="240"/>
      </w:pPr>
      <w:r w:rsidRPr="00ED50C9">
        <w:t>The Commission estimates that SDRs currently spend .01 hours publicly disseminating each swap report. The amendments to § 43.</w:t>
      </w:r>
      <w:r w:rsidR="005F5E48">
        <w:t>3</w:t>
      </w:r>
      <w:r w:rsidRPr="00ED50C9">
        <w:t xml:space="preserve">(h)(2) </w:t>
      </w:r>
      <w:r w:rsidR="00645551">
        <w:t>will</w:t>
      </w:r>
      <w:r w:rsidRPr="00ED50C9" w:rsidR="00645551">
        <w:t xml:space="preserve"> </w:t>
      </w:r>
      <w:r w:rsidRPr="00ED50C9">
        <w:t>no longer require SDRs to publicly disseminate certain timestamps in each report</w:t>
      </w:r>
      <w:r w:rsidR="005F5E48">
        <w:t xml:space="preserve"> under </w:t>
      </w:r>
      <w:r w:rsidRPr="00ED50C9" w:rsidR="005F5E48">
        <w:t>§ 43.</w:t>
      </w:r>
      <w:r w:rsidR="005F5E48">
        <w:t>4</w:t>
      </w:r>
      <w:r w:rsidRPr="00ED50C9">
        <w:t xml:space="preserve">. The Commission estimates this </w:t>
      </w:r>
      <w:r w:rsidR="00645551">
        <w:t>will</w:t>
      </w:r>
      <w:r w:rsidRPr="00ED50C9" w:rsidR="00645551">
        <w:t xml:space="preserve"> </w:t>
      </w:r>
      <w:r w:rsidRPr="00ED50C9">
        <w:t xml:space="preserve">reduce the amount of time </w:t>
      </w:r>
      <w:r w:rsidRPr="00ED50C9">
        <w:lastRenderedPageBreak/>
        <w:t>SDRs spend on each report by .001 hours, resulting in a new estimate of .009 hours per report</w:t>
      </w:r>
      <w:r w:rsidR="005F5E48">
        <w:t xml:space="preserve"> for </w:t>
      </w:r>
      <w:r w:rsidRPr="00ED50C9" w:rsidR="005F5E48">
        <w:t>§ 43.</w:t>
      </w:r>
      <w:r w:rsidR="005F5E48">
        <w:t>4.</w:t>
      </w:r>
    </w:p>
    <w:p w:rsidR="002F1E5A" w:rsidP="00F20525" w:rsidRDefault="00AA44EB" w14:paraId="5C0BE24E" w14:textId="6198A1AF">
      <w:pPr>
        <w:numPr>
          <w:ilvl w:val="1"/>
          <w:numId w:val="1"/>
        </w:numPr>
        <w:tabs>
          <w:tab w:val="left" w:pos="-720"/>
          <w:tab w:val="left" w:pos="0"/>
          <w:tab w:val="left" w:pos="720"/>
        </w:tabs>
        <w:spacing w:after="240"/>
      </w:pPr>
      <w:r>
        <w:t xml:space="preserve">In </w:t>
      </w:r>
      <w:r w:rsidRPr="00AA44EB">
        <w:t xml:space="preserve">addition, removing § 43.3(h)(4) </w:t>
      </w:r>
      <w:r w:rsidR="00645551">
        <w:t>will</w:t>
      </w:r>
      <w:r w:rsidRPr="00AA44EB" w:rsidR="00645551">
        <w:t xml:space="preserve"> </w:t>
      </w:r>
      <w:r w:rsidRPr="00AA44EB">
        <w:t xml:space="preserve">remove the recordkeeping burden for these entities. As shown in Attachment A, this </w:t>
      </w:r>
      <w:r w:rsidR="00645551">
        <w:t>will</w:t>
      </w:r>
      <w:r w:rsidRPr="00AA44EB" w:rsidR="00645551">
        <w:t xml:space="preserve"> </w:t>
      </w:r>
      <w:r w:rsidRPr="00AA44EB">
        <w:t>remove the current recordkeeping burden of 5,854 aggregate hours from the collection</w:t>
      </w:r>
      <w:r w:rsidR="00CA0BEE">
        <w:t>.</w:t>
      </w:r>
    </w:p>
    <w:p w:rsidR="00395176" w:rsidP="00DC34A3" w:rsidRDefault="00395176" w14:paraId="5B81C0F9" w14:textId="6DC298A7">
      <w:pPr>
        <w:numPr>
          <w:ilvl w:val="1"/>
          <w:numId w:val="1"/>
        </w:numPr>
        <w:tabs>
          <w:tab w:val="left" w:pos="-720"/>
          <w:tab w:val="left" w:pos="0"/>
          <w:tab w:val="left" w:pos="720"/>
        </w:tabs>
        <w:spacing w:after="240"/>
      </w:pPr>
      <w:r>
        <w:t xml:space="preserve">Taking all of the changes to </w:t>
      </w:r>
      <w:r w:rsidRPr="00395176">
        <w:t>§ 43.3</w:t>
      </w:r>
      <w:r>
        <w:t xml:space="preserve"> into account, the Commission estimates that under </w:t>
      </w:r>
      <w:r w:rsidRPr="00395176">
        <w:t>§ 43.3</w:t>
      </w:r>
      <w:r>
        <w:t>, as amended, 1,7</w:t>
      </w:r>
      <w:r w:rsidR="000435FB">
        <w:t>29</w:t>
      </w:r>
      <w:r>
        <w:t xml:space="preserve"> respondents </w:t>
      </w:r>
      <w:r w:rsidR="00645551">
        <w:t xml:space="preserve">will </w:t>
      </w:r>
      <w:r>
        <w:t>file 2,99</w:t>
      </w:r>
      <w:r w:rsidR="00D2480B">
        <w:t>8</w:t>
      </w:r>
      <w:r>
        <w:t xml:space="preserve"> reports annually with an average of 0.14 burden hours per report, or an aggregate of </w:t>
      </w:r>
      <w:r w:rsidR="000435FB">
        <w:t>7</w:t>
      </w:r>
      <w:r w:rsidR="002F733E">
        <w:t xml:space="preserve">25,696 </w:t>
      </w:r>
      <w:r>
        <w:t>burden hours across all registrants.</w:t>
      </w:r>
    </w:p>
    <w:p w:rsidR="002F1E5A" w:rsidP="00DC34A3" w:rsidRDefault="002F1E5A" w14:paraId="19B7E13D" w14:textId="6C1F078B">
      <w:pPr>
        <w:pStyle w:val="ListParagraph"/>
        <w:numPr>
          <w:ilvl w:val="0"/>
          <w:numId w:val="1"/>
        </w:numPr>
      </w:pPr>
      <w:r w:rsidRPr="000903B0">
        <w:rPr>
          <w:i/>
        </w:rPr>
        <w:t>§ 43.4</w:t>
      </w:r>
      <w:r w:rsidRPr="002F1E5A">
        <w:t xml:space="preserve"> </w:t>
      </w:r>
      <w:r>
        <w:t>-</w:t>
      </w:r>
      <w:r w:rsidRPr="002F1E5A">
        <w:t xml:space="preserve"> As discussed </w:t>
      </w:r>
      <w:r>
        <w:t>above</w:t>
      </w:r>
      <w:r w:rsidRPr="002F1E5A">
        <w:t xml:space="preserve">, the Commission had not previously estimated the burden for each of the regulatory requirements in §§ 43.3 and 43.4 separately. Now, the Commission is </w:t>
      </w:r>
      <w:r w:rsidR="0027483A">
        <w:t xml:space="preserve">providing </w:t>
      </w:r>
      <w:r w:rsidR="00E44ABD">
        <w:t>a separate</w:t>
      </w:r>
      <w:r w:rsidRPr="002F1E5A">
        <w:t xml:space="preserve"> estimate for </w:t>
      </w:r>
      <w:r w:rsidR="00E44ABD">
        <w:t xml:space="preserve">the three SDRs that are required to publicly disseminate swap reports under </w:t>
      </w:r>
      <w:r w:rsidRPr="002F1E5A">
        <w:t>§ 43.4</w:t>
      </w:r>
      <w:r w:rsidR="00E44ABD">
        <w:t xml:space="preserve">, </w:t>
      </w:r>
      <w:r w:rsidRPr="002F1E5A">
        <w:t>in light of the amendments to § 43.4.</w:t>
      </w:r>
      <w:r w:rsidR="00BC364B">
        <w:t xml:space="preserve">  </w:t>
      </w:r>
      <w:r w:rsidR="000435FB">
        <w:t>T</w:t>
      </w:r>
      <w:r w:rsidR="00BC364B">
        <w:t xml:space="preserve">he </w:t>
      </w:r>
      <w:r w:rsidR="000435FB">
        <w:t>previous estimate was</w:t>
      </w:r>
      <w:r w:rsidR="00BC364B">
        <w:t xml:space="preserve"> that 3 SDRs </w:t>
      </w:r>
      <w:r w:rsidR="000903B0">
        <w:t>currently file 1,500,000 reports at an average of .01</w:t>
      </w:r>
      <w:r w:rsidRPr="000903B0" w:rsidR="000903B0">
        <w:t xml:space="preserve"> hours per</w:t>
      </w:r>
      <w:r w:rsidR="000903B0">
        <w:t xml:space="preserve"> report, or 45,000</w:t>
      </w:r>
      <w:r w:rsidRPr="000903B0" w:rsidR="000903B0">
        <w:t xml:space="preserve"> aggregate burden hours for all 3 respondents, under § 43.4.</w:t>
      </w:r>
      <w:r w:rsidR="000903B0">
        <w:t xml:space="preserve"> As amended, the Commission is estimating that 3 SDRs </w:t>
      </w:r>
      <w:r w:rsidR="00BF735B">
        <w:t xml:space="preserve">will </w:t>
      </w:r>
      <w:r w:rsidR="00BC364B">
        <w:t xml:space="preserve">file 1,499,900 reports </w:t>
      </w:r>
      <w:r w:rsidR="00065819">
        <w:t xml:space="preserve">per respondent </w:t>
      </w:r>
      <w:r w:rsidR="00BC364B">
        <w:t xml:space="preserve">at an average of .009 hours per report, or 40,497 aggregate burden hours for </w:t>
      </w:r>
      <w:r w:rsidR="00D2480B">
        <w:t>the</w:t>
      </w:r>
      <w:r w:rsidR="00BC364B">
        <w:t xml:space="preserve"> 3 respondents</w:t>
      </w:r>
      <w:r w:rsidR="000903B0">
        <w:t>.</w:t>
      </w:r>
    </w:p>
    <w:p w:rsidR="000903B0" w:rsidP="00DC34A3" w:rsidRDefault="000903B0" w14:paraId="101AF1DD" w14:textId="77777777">
      <w:pPr>
        <w:pStyle w:val="ListParagraph"/>
        <w:ind w:left="1296"/>
      </w:pPr>
    </w:p>
    <w:p w:rsidRPr="002F1E5A" w:rsidR="003F1C28" w:rsidP="00DC34A3" w:rsidRDefault="00E13228" w14:paraId="4500C823" w14:textId="2419CC27">
      <w:pPr>
        <w:pStyle w:val="ListParagraph"/>
        <w:numPr>
          <w:ilvl w:val="0"/>
          <w:numId w:val="1"/>
        </w:numPr>
      </w:pPr>
      <w:r w:rsidRPr="000903B0">
        <w:rPr>
          <w:i/>
        </w:rPr>
        <w:t>§ 43.6</w:t>
      </w:r>
      <w:r>
        <w:t xml:space="preserve"> - </w:t>
      </w:r>
      <w:r w:rsidRPr="00CF1450" w:rsidR="00CF1450">
        <w:t xml:space="preserve">The Commission is updating </w:t>
      </w:r>
      <w:r w:rsidR="00CC475D">
        <w:t xml:space="preserve">its estimate of </w:t>
      </w:r>
      <w:r w:rsidR="00654B6D">
        <w:t xml:space="preserve">the total burden </w:t>
      </w:r>
      <w:r w:rsidR="00D55155">
        <w:t>hours and burden hour costs related to block trading that was included in the estimates for the real-time public reporting rule</w:t>
      </w:r>
      <w:r w:rsidRPr="00CF1450" w:rsidR="00CF1450">
        <w:t>.</w:t>
      </w:r>
      <w:r w:rsidR="004B4A28">
        <w:t xml:space="preserve"> </w:t>
      </w:r>
      <w:r w:rsidRPr="00CF1450" w:rsidR="00CF1450">
        <w:t xml:space="preserve">The </w:t>
      </w:r>
      <w:r w:rsidR="00654B6D">
        <w:t>Commission’s</w:t>
      </w:r>
      <w:r w:rsidR="000903B0">
        <w:t xml:space="preserve"> current</w:t>
      </w:r>
      <w:r w:rsidR="00654B6D">
        <w:t xml:space="preserve"> </w:t>
      </w:r>
      <w:r w:rsidR="00CF1450">
        <w:t>PRA estimates</w:t>
      </w:r>
      <w:r w:rsidR="00895FDB">
        <w:t>, which</w:t>
      </w:r>
      <w:r w:rsidR="00AE4078">
        <w:t xml:space="preserve"> </w:t>
      </w:r>
      <w:r w:rsidR="00895FDB">
        <w:t>reflect</w:t>
      </w:r>
      <w:r w:rsidR="00CF1450">
        <w:t xml:space="preserve"> </w:t>
      </w:r>
      <w:r w:rsidR="00294ABA">
        <w:t xml:space="preserve">that </w:t>
      </w:r>
      <w:r w:rsidR="000903B0">
        <w:t>2,250</w:t>
      </w:r>
      <w:r w:rsidRPr="000903B0" w:rsidR="000903B0">
        <w:t xml:space="preserve"> reporting count</w:t>
      </w:r>
      <w:r w:rsidR="000903B0">
        <w:t>erparties file an average 110</w:t>
      </w:r>
      <w:r w:rsidRPr="000903B0" w:rsidR="000903B0">
        <w:t xml:space="preserve"> reports annually per respondent, with an estimated burden of 0.0167 hours </w:t>
      </w:r>
      <w:r w:rsidR="00C06C33">
        <w:t xml:space="preserve">per response, and an aggregate </w:t>
      </w:r>
      <w:r w:rsidR="00810A3C">
        <w:t>5,250</w:t>
      </w:r>
      <w:r w:rsidRPr="000903B0" w:rsidR="000903B0">
        <w:t xml:space="preserve"> burden hours</w:t>
      </w:r>
      <w:r w:rsidR="00895FDB">
        <w:t>, is being updated</w:t>
      </w:r>
      <w:r w:rsidRPr="000903B0" w:rsidR="000903B0">
        <w:t>. Applying the revised hourly cost estimate of $72.23</w:t>
      </w:r>
      <w:r w:rsidR="00C06C33">
        <w:t xml:space="preserve"> and adjusting the number of respondents</w:t>
      </w:r>
      <w:r w:rsidRPr="000903B0" w:rsidR="000903B0">
        <w:t xml:space="preserve">, </w:t>
      </w:r>
      <w:r w:rsidR="00645551">
        <w:t xml:space="preserve">the </w:t>
      </w:r>
      <w:r w:rsidR="00895FDB">
        <w:t xml:space="preserve">updated </w:t>
      </w:r>
      <w:r w:rsidR="00C06C33">
        <w:t xml:space="preserve">PRA </w:t>
      </w:r>
      <w:r w:rsidR="00895FDB">
        <w:t>burden estimates are</w:t>
      </w:r>
      <w:r w:rsidR="00C06C33">
        <w:t xml:space="preserve"> </w:t>
      </w:r>
      <w:r w:rsidR="00CF1450">
        <w:t>1,688 re</w:t>
      </w:r>
      <w:r w:rsidR="00C06C33">
        <w:t xml:space="preserve">spondents </w:t>
      </w:r>
      <w:r w:rsidR="00654B6D">
        <w:t>fil</w:t>
      </w:r>
      <w:r w:rsidR="00C06C33">
        <w:t>ing</w:t>
      </w:r>
      <w:r w:rsidR="00654B6D">
        <w:t xml:space="preserve"> an </w:t>
      </w:r>
      <w:r w:rsidR="00294ABA">
        <w:t>average</w:t>
      </w:r>
      <w:r w:rsidR="00654B6D">
        <w:t xml:space="preserve"> </w:t>
      </w:r>
      <w:r w:rsidR="00810A3C">
        <w:t>200</w:t>
      </w:r>
      <w:r w:rsidR="00654B6D">
        <w:t xml:space="preserve"> reports </w:t>
      </w:r>
      <w:r w:rsidR="00294ABA">
        <w:t xml:space="preserve">annually </w:t>
      </w:r>
      <w:r w:rsidR="00654B6D">
        <w:t xml:space="preserve">per respondent, with an estimated burden of 0.0167 hours per response, </w:t>
      </w:r>
      <w:r w:rsidR="00294ABA">
        <w:t>and</w:t>
      </w:r>
      <w:r w:rsidR="00654B6D">
        <w:t xml:space="preserve"> an aggregate </w:t>
      </w:r>
      <w:r w:rsidR="00810A3C">
        <w:t>5,</w:t>
      </w:r>
      <w:r w:rsidR="005F5E48">
        <w:t>638</w:t>
      </w:r>
      <w:r w:rsidR="00654B6D">
        <w:t xml:space="preserve"> burden hours.</w:t>
      </w:r>
      <w:r w:rsidR="00D55155">
        <w:rPr>
          <w:rStyle w:val="FootnoteReference"/>
        </w:rPr>
        <w:footnoteReference w:id="8"/>
      </w:r>
      <w:r w:rsidRPr="00CF1450" w:rsidR="00D55155">
        <w:t xml:space="preserve"> </w:t>
      </w:r>
      <w:r w:rsidR="00D55155">
        <w:t xml:space="preserve">  </w:t>
      </w:r>
    </w:p>
    <w:p w:rsidRPr="00642B6A" w:rsidR="00642B6A" w:rsidP="00A26504" w:rsidRDefault="00642B6A" w14:paraId="50F422C0" w14:textId="77777777">
      <w:pPr>
        <w:tabs>
          <w:tab w:val="left" w:pos="-720"/>
          <w:tab w:val="left" w:pos="0"/>
          <w:tab w:val="left" w:pos="720"/>
        </w:tabs>
        <w:rPr>
          <w:rFonts w:eastAsia="Times New Roman" w:cs="Times New Roman"/>
          <w:color w:val="000000"/>
          <w:szCs w:val="24"/>
        </w:rPr>
      </w:pPr>
    </w:p>
    <w:p w:rsidRPr="00642B6A" w:rsidR="00642B6A" w:rsidP="000E2691" w:rsidRDefault="00642B6A" w14:paraId="50F422C1" w14:textId="30A5880B">
      <w:pPr>
        <w:keepNext/>
        <w:tabs>
          <w:tab w:val="left" w:pos="-720"/>
          <w:tab w:val="left" w:pos="0"/>
        </w:tabs>
        <w:spacing w:after="12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642B6A" w:rsidP="00FE503D" w:rsidRDefault="00642B6A" w14:paraId="50F422C2" w14:textId="1F35A167">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 xml:space="preserve">Include descriptions of methods used to estimate major costs factors including system and technology acquisition, </w:t>
      </w:r>
      <w:r w:rsidRPr="00642B6A">
        <w:rPr>
          <w:rFonts w:eastAsia="Times New Roman" w:cs="Times New Roman"/>
          <w:b/>
          <w:szCs w:val="24"/>
        </w:rPr>
        <w:lastRenderedPageBreak/>
        <w:t>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0F422C3" w14:textId="5AA257E5">
      <w:pPr>
        <w:numPr>
          <w:ilvl w:val="0"/>
          <w:numId w:val="1"/>
        </w:numPr>
        <w:tabs>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C06C33" w:rsidR="00C06C33" w:rsidP="00DC34A3" w:rsidRDefault="00642B6A" w14:paraId="36D63B5C" w14:textId="2E106845">
      <w:pPr>
        <w:numPr>
          <w:ilvl w:val="0"/>
          <w:numId w:val="1"/>
        </w:numPr>
        <w:tabs>
          <w:tab w:val="left" w:pos="-720"/>
          <w:tab w:val="left" w:pos="0"/>
          <w:tab w:val="left" w:pos="720"/>
        </w:tabs>
        <w:spacing w:after="240"/>
        <w:ind w:left="1080" w:hanging="360"/>
        <w:jc w:val="both"/>
        <w:rPr>
          <w:rFonts w:eastAsia="Arial Unicode MS"/>
          <w:szCs w:val="24"/>
          <w:bdr w:val="nil"/>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F5E48" w:rsidP="005F5E48" w:rsidRDefault="005F5E48" w14:paraId="362FD2C8" w14:textId="77777777">
      <w:pPr>
        <w:autoSpaceDE w:val="0"/>
        <w:autoSpaceDN w:val="0"/>
        <w:adjustRightInd w:val="0"/>
        <w:ind w:firstLine="720"/>
        <w:rPr>
          <w:rFonts w:eastAsia="Times New Roman" w:cs="Times New Roman"/>
          <w:color w:val="000000"/>
          <w:szCs w:val="24"/>
        </w:rPr>
      </w:pPr>
      <w:r>
        <w:rPr>
          <w:rFonts w:eastAsia="Times New Roman" w:cs="Times New Roman"/>
          <w:color w:val="000000"/>
          <w:szCs w:val="24"/>
        </w:rPr>
        <w:t>For the proposal, the Commission did not expect that the changes to part 43 would result in any start-up or maintenance costs for respondents.</w:t>
      </w:r>
    </w:p>
    <w:p w:rsidR="005F5E48" w:rsidP="005F5E48" w:rsidRDefault="005F5E48" w14:paraId="63B625EF" w14:textId="77777777">
      <w:pPr>
        <w:autoSpaceDE w:val="0"/>
        <w:autoSpaceDN w:val="0"/>
        <w:adjustRightInd w:val="0"/>
        <w:ind w:firstLine="720"/>
        <w:rPr>
          <w:rFonts w:eastAsia="Times New Roman" w:cs="Times New Roman"/>
          <w:color w:val="000000"/>
          <w:szCs w:val="24"/>
        </w:rPr>
      </w:pPr>
    </w:p>
    <w:p w:rsidR="005F5E48" w:rsidP="005F5E48" w:rsidRDefault="005F5E48" w14:paraId="5DDA3583" w14:textId="2C05FD0B">
      <w:pPr>
        <w:autoSpaceDE w:val="0"/>
        <w:autoSpaceDN w:val="0"/>
        <w:adjustRightInd w:val="0"/>
        <w:ind w:firstLine="720"/>
        <w:rPr>
          <w:rFonts w:eastAsia="Times New Roman" w:cs="Times New Roman"/>
          <w:color w:val="000000"/>
          <w:szCs w:val="24"/>
        </w:rPr>
      </w:pPr>
      <w:r>
        <w:rPr>
          <w:rFonts w:eastAsia="Times New Roman" w:cs="Times New Roman"/>
          <w:color w:val="000000"/>
          <w:szCs w:val="24"/>
        </w:rPr>
        <w:t>However, for the final rule, the Commission recognized SEFs, DCMs, SDRs, and reporting counterparties would incur costs to modify their reporting systems and maintain them going forward to adopt the changes to § 43.3</w:t>
      </w:r>
      <w:r>
        <w:rPr>
          <w:rStyle w:val="FootnoteReference"/>
        </w:rPr>
        <w:footnoteReference w:id="9"/>
      </w:r>
      <w:r>
        <w:rPr>
          <w:rFonts w:eastAsia="Times New Roman" w:cs="Times New Roman"/>
          <w:color w:val="000000"/>
          <w:szCs w:val="24"/>
        </w:rPr>
        <w:t xml:space="preserve"> in the final rules.</w:t>
      </w:r>
    </w:p>
    <w:p w:rsidR="005F5E48" w:rsidP="005F5E48" w:rsidRDefault="005F5E48" w14:paraId="1743CDD1" w14:textId="77777777">
      <w:pPr>
        <w:autoSpaceDE w:val="0"/>
        <w:autoSpaceDN w:val="0"/>
        <w:adjustRightInd w:val="0"/>
        <w:ind w:firstLine="720"/>
        <w:rPr>
          <w:rFonts w:eastAsia="Times New Roman" w:cs="Times New Roman"/>
          <w:color w:val="000000"/>
          <w:szCs w:val="24"/>
        </w:rPr>
      </w:pPr>
    </w:p>
    <w:p w:rsidR="005F5E48" w:rsidP="005F5E48" w:rsidRDefault="005F5E48" w14:paraId="1F3B7BA2" w14:textId="68D9551D">
      <w:pPr>
        <w:rPr>
          <w:rFonts w:eastAsia="Times New Roman" w:cs="Times New Roman"/>
          <w:color w:val="000000"/>
          <w:szCs w:val="24"/>
        </w:rPr>
      </w:pPr>
      <w:r>
        <w:rPr>
          <w:rFonts w:eastAsia="Times New Roman" w:cs="Times New Roman"/>
          <w:color w:val="000000"/>
          <w:szCs w:val="24"/>
        </w:rPr>
        <w:tab/>
        <w:t xml:space="preserve">In the final rule, </w:t>
      </w:r>
      <w:r>
        <w:rPr>
          <w:rFonts w:eastAsia="Arial Unicode MS" w:cs="Times New Roman"/>
          <w:szCs w:val="24"/>
          <w:bdr w:val="none" w:color="auto" w:sz="0" w:space="0" w:frame="1"/>
        </w:rPr>
        <w:t>the Commission estimated the cost for a reporting entity, including DCMs, DCOs, MSPs, non-SD/MSPs, SDs, and SEFs, to modify their systems and maintain those modifications going forward to adopt the final rules could range from $24,000 to $74,000 per entity.</w:t>
      </w:r>
      <w:r w:rsidR="004A2EA8">
        <w:rPr>
          <w:rStyle w:val="FootnoteReference"/>
          <w:rFonts w:eastAsia="Arial Unicode MS" w:cs="Times New Roman"/>
          <w:szCs w:val="24"/>
          <w:bdr w:val="none" w:color="auto" w:sz="0" w:space="0" w:frame="1"/>
        </w:rPr>
        <w:footnoteReference w:id="10"/>
      </w:r>
      <w:r w:rsidRPr="00C867E9" w:rsidR="00C867E9">
        <w:rPr>
          <w:rFonts w:eastAsia="Arial Unicode MS" w:cs="Times New Roman"/>
          <w:szCs w:val="24"/>
          <w:bdr w:val="none" w:color="auto" w:sz="0" w:space="0" w:frame="1"/>
        </w:rPr>
        <w:t xml:space="preserve"> </w:t>
      </w:r>
      <w:r>
        <w:rPr>
          <w:rFonts w:eastAsia="Arial Unicode MS" w:cs="Times New Roman"/>
          <w:szCs w:val="24"/>
          <w:bdr w:val="none" w:color="auto" w:sz="0" w:space="0" w:frame="1"/>
        </w:rPr>
        <w:t xml:space="preserve"> </w:t>
      </w:r>
      <w:r>
        <w:rPr>
          <w:rFonts w:eastAsia="Times New Roman" w:cs="Times New Roman"/>
          <w:color w:val="000000"/>
          <w:szCs w:val="24"/>
        </w:rPr>
        <w:t>As described in the final rule, the estimated cost range is based on a number of assumptions that cover tasks required to design, test, and implement an updated data system based on the new swap data elements contained in part 43.</w:t>
      </w:r>
    </w:p>
    <w:p w:rsidR="00C4407B" w:rsidP="005F5E48" w:rsidRDefault="00C4407B" w14:paraId="74A31C83" w14:textId="315B19E9">
      <w:pPr>
        <w:rPr>
          <w:rFonts w:eastAsia="Times New Roman" w:cs="Times New Roman"/>
          <w:color w:val="000000"/>
          <w:szCs w:val="24"/>
        </w:rPr>
      </w:pPr>
    </w:p>
    <w:p w:rsidRPr="00C4407B" w:rsidR="001379EC" w:rsidP="00C4407B" w:rsidRDefault="00C4407B" w14:paraId="215197B5" w14:textId="5EC76542">
      <w:pPr>
        <w:rPr>
          <w:rFonts w:eastAsia="Times New Roman" w:cs="Times New Roman"/>
          <w:color w:val="000000"/>
          <w:szCs w:val="24"/>
        </w:rPr>
      </w:pPr>
      <w:r>
        <w:rPr>
          <w:rFonts w:eastAsia="Times New Roman" w:cs="Times New Roman"/>
          <w:color w:val="000000"/>
          <w:szCs w:val="24"/>
        </w:rPr>
        <w:tab/>
        <w:t xml:space="preserve">In the final rule, the Commission </w:t>
      </w:r>
      <w:r w:rsidR="001B531D">
        <w:rPr>
          <w:rFonts w:eastAsia="Times New Roman" w:cs="Times New Roman"/>
          <w:color w:val="000000"/>
          <w:szCs w:val="24"/>
        </w:rPr>
        <w:t xml:space="preserve">further </w:t>
      </w:r>
      <w:r>
        <w:rPr>
          <w:rFonts w:eastAsia="Times New Roman" w:cs="Times New Roman"/>
          <w:color w:val="000000"/>
          <w:szCs w:val="24"/>
        </w:rPr>
        <w:t xml:space="preserve">estimated </w:t>
      </w:r>
      <w:r w:rsidRPr="00C4407B">
        <w:rPr>
          <w:rFonts w:eastAsia="Times New Roman" w:cs="Times New Roman"/>
          <w:color w:val="000000"/>
          <w:szCs w:val="24"/>
        </w:rPr>
        <w:t>that the cost for an SDR to modify their systems, including their data reporting, ingestion, and validation systems, and maintain those modifications going forward may range from $144,000 to $510,000 per SDR.  There are currently three SDRs, for an estimated total cost of $981,000.</w:t>
      </w:r>
    </w:p>
    <w:p w:rsidR="00C4407B" w:rsidP="005F5E48" w:rsidRDefault="00C4407B" w14:paraId="0EFDD537" w14:textId="71A120E9">
      <w:pPr>
        <w:rPr>
          <w:rFonts w:eastAsia="Times New Roman" w:cs="Times New Roman"/>
          <w:color w:val="000000"/>
          <w:szCs w:val="24"/>
        </w:rPr>
      </w:pPr>
    </w:p>
    <w:p w:rsidR="005F5E48" w:rsidP="005F5E48" w:rsidRDefault="005F5E48" w14:paraId="4802ABE0" w14:textId="77777777">
      <w:pPr>
        <w:autoSpaceDE w:val="0"/>
        <w:autoSpaceDN w:val="0"/>
        <w:adjustRightInd w:val="0"/>
        <w:ind w:firstLine="720"/>
        <w:rPr>
          <w:rFonts w:eastAsia="Times New Roman" w:cs="Times New Roman"/>
          <w:color w:val="000000"/>
          <w:szCs w:val="24"/>
        </w:rPr>
      </w:pPr>
    </w:p>
    <w:p w:rsidR="005F5E48" w:rsidP="005F5E48" w:rsidRDefault="005F5E48" w14:paraId="298888CB" w14:textId="66056B29">
      <w:pPr>
        <w:ind w:firstLine="720"/>
        <w:rPr>
          <w:rFonts w:eastAsia="Times New Roman" w:cs="Times New Roman"/>
          <w:color w:val="000000"/>
          <w:szCs w:val="24"/>
        </w:rPr>
      </w:pPr>
      <w:r>
        <w:rPr>
          <w:rFonts w:eastAsia="Times New Roman" w:cs="Times New Roman"/>
          <w:color w:val="000000"/>
          <w:szCs w:val="24"/>
        </w:rPr>
        <w:t xml:space="preserve">The Commission is soliciting additional comments on the revised burden estimates for part 43, including the estimated costs related to the modification or maintenance of systems in order to </w:t>
      </w:r>
      <w:proofErr w:type="gramStart"/>
      <w:r>
        <w:rPr>
          <w:rFonts w:eastAsia="Times New Roman" w:cs="Times New Roman"/>
          <w:color w:val="000000"/>
          <w:szCs w:val="24"/>
        </w:rPr>
        <w:t>be in compliance with</w:t>
      </w:r>
      <w:proofErr w:type="gramEnd"/>
      <w:r>
        <w:rPr>
          <w:rFonts w:eastAsia="Times New Roman" w:cs="Times New Roman"/>
          <w:color w:val="000000"/>
          <w:szCs w:val="24"/>
        </w:rPr>
        <w:t xml:space="preserve"> the amendments to § 43.3 that are being adopted in the </w:t>
      </w:r>
      <w:r w:rsidR="007340E1">
        <w:rPr>
          <w:rFonts w:eastAsia="Times New Roman" w:cs="Times New Roman"/>
          <w:color w:val="000000"/>
          <w:szCs w:val="24"/>
        </w:rPr>
        <w:t>final rule</w:t>
      </w:r>
      <w:r>
        <w:rPr>
          <w:rFonts w:eastAsia="Times New Roman" w:cs="Times New Roman"/>
          <w:color w:val="000000"/>
          <w:szCs w:val="24"/>
        </w:rPr>
        <w:t xml:space="preserve">, </w:t>
      </w:r>
      <w:bookmarkStart w:name="_Hlk54947297" w:id="2"/>
      <w:r>
        <w:rPr>
          <w:rFonts w:eastAsia="Times New Roman" w:cs="Times New Roman"/>
          <w:color w:val="000000"/>
          <w:szCs w:val="24"/>
        </w:rPr>
        <w:t xml:space="preserve">in a separate </w:t>
      </w:r>
      <w:r w:rsidRPr="00595EAD">
        <w:rPr>
          <w:rFonts w:eastAsia="Calibri" w:cs="Times New Roman"/>
          <w:szCs w:val="24"/>
        </w:rPr>
        <w:t xml:space="preserve">60-day notice </w:t>
      </w:r>
      <w:r>
        <w:rPr>
          <w:rFonts w:eastAsia="Calibri" w:cs="Times New Roman"/>
          <w:szCs w:val="24"/>
        </w:rPr>
        <w:t xml:space="preserve">being published </w:t>
      </w:r>
      <w:r w:rsidRPr="00595EAD">
        <w:rPr>
          <w:rFonts w:eastAsia="Calibri" w:cs="Times New Roman"/>
          <w:szCs w:val="24"/>
        </w:rPr>
        <w:t>in the Federal Register</w:t>
      </w:r>
      <w:bookmarkEnd w:id="2"/>
      <w:r>
        <w:rPr>
          <w:rFonts w:eastAsia="Calibri" w:cs="Times New Roman"/>
          <w:szCs w:val="24"/>
        </w:rPr>
        <w:t>.</w:t>
      </w:r>
    </w:p>
    <w:p w:rsidR="005F5E48" w:rsidP="005F5E48" w:rsidRDefault="005F5E48" w14:paraId="75F4941B" w14:textId="77777777">
      <w:pPr>
        <w:autoSpaceDE w:val="0"/>
        <w:autoSpaceDN w:val="0"/>
        <w:adjustRightInd w:val="0"/>
        <w:ind w:firstLine="720"/>
        <w:rPr>
          <w:rFonts w:eastAsia="Times New Roman" w:cs="Times New Roman"/>
          <w:color w:val="000000"/>
          <w:szCs w:val="24"/>
        </w:rPr>
      </w:pPr>
    </w:p>
    <w:p w:rsidR="0010288F" w:rsidP="005F5E48" w:rsidRDefault="005F5E48" w14:paraId="3B00F3C2" w14:textId="04DF0A56">
      <w:pPr>
        <w:ind w:firstLine="720"/>
        <w:rPr>
          <w:rFonts w:eastAsia="Times New Roman" w:cs="Times New Roman"/>
          <w:color w:val="000000"/>
          <w:szCs w:val="24"/>
        </w:rPr>
      </w:pPr>
      <w:r>
        <w:rPr>
          <w:rFonts w:eastAsia="Times New Roman" w:cs="Times New Roman"/>
          <w:color w:val="000000"/>
          <w:szCs w:val="24"/>
        </w:rPr>
        <w:t>The total capital/start-up costs for § 43.3 are shown in the table in Attachment B.</w:t>
      </w:r>
    </w:p>
    <w:p w:rsidRPr="00ED2CD6" w:rsidR="005F5E48" w:rsidP="005F5E48" w:rsidRDefault="005F5E48" w14:paraId="7B9C2A7A" w14:textId="77777777">
      <w:pPr>
        <w:rPr>
          <w:rFonts w:eastAsia="Times New Roman" w:cs="Times New Roman"/>
          <w:color w:val="000000"/>
          <w:szCs w:val="24"/>
        </w:rPr>
      </w:pPr>
    </w:p>
    <w:p w:rsidRPr="00642B6A" w:rsidR="00642B6A" w:rsidP="00FE503D" w:rsidRDefault="00642B6A"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rsidRPr="00642B6A" w:rsidR="00642B6A" w:rsidP="007553BE" w:rsidRDefault="00642B6A" w14:paraId="50F422C8" w14:textId="4A62561E">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Pr="007553BE" w:rsidR="007553BE">
        <w:rPr>
          <w:rFonts w:eastAsia="Times New Roman" w:cs="Times New Roman"/>
          <w:szCs w:val="24"/>
        </w:rPr>
        <w:t xml:space="preserve"> anticipate that </w:t>
      </w:r>
      <w:r w:rsidR="007553BE">
        <w:rPr>
          <w:rFonts w:eastAsia="Times New Roman" w:cs="Times New Roman"/>
          <w:szCs w:val="24"/>
        </w:rPr>
        <w:t xml:space="preserve">the </w:t>
      </w:r>
      <w:r w:rsidRPr="007553BE" w:rsidR="007553BE">
        <w:rPr>
          <w:rFonts w:eastAsia="Times New Roman" w:cs="Times New Roman"/>
          <w:szCs w:val="24"/>
        </w:rPr>
        <w:t>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3038-0070</w:t>
      </w:r>
      <w:r w:rsidRPr="007553BE" w:rsidR="007553BE">
        <w:rPr>
          <w:rFonts w:eastAsia="Times New Roman" w:cs="Times New Roman"/>
          <w:szCs w:val="24"/>
        </w:rPr>
        <w:t>.</w:t>
      </w:r>
    </w:p>
    <w:p w:rsidRPr="00642B6A" w:rsidR="00642B6A" w:rsidP="00FE503D" w:rsidRDefault="00642B6A"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642B6A" w:rsidP="00BE76BF" w:rsidRDefault="00642B6A" w14:paraId="50F422CA" w14:textId="6F682E95">
      <w:pPr>
        <w:tabs>
          <w:tab w:val="left" w:pos="-720"/>
        </w:tabs>
        <w:spacing w:after="240"/>
        <w:rPr>
          <w:rFonts w:eastAsia="Times New Roman" w:cs="Times New Roman"/>
          <w:szCs w:val="24"/>
        </w:rPr>
      </w:pPr>
      <w:r w:rsidRPr="00642B6A">
        <w:rPr>
          <w:rFonts w:eastAsia="Times New Roman" w:cs="Times New Roman"/>
          <w:szCs w:val="24"/>
        </w:rPr>
        <w:tab/>
      </w:r>
      <w:r w:rsidRPr="00752AE8" w:rsidR="00752AE8">
        <w:rPr>
          <w:rFonts w:eastAsia="Times New Roman" w:cs="Times New Roman"/>
          <w:szCs w:val="24"/>
        </w:rPr>
        <w:t>As discussed above, the Commission is</w:t>
      </w:r>
      <w:r w:rsidR="00752AE8">
        <w:rPr>
          <w:rFonts w:eastAsia="Times New Roman" w:cs="Times New Roman"/>
          <w:szCs w:val="24"/>
        </w:rPr>
        <w:t xml:space="preserve"> </w:t>
      </w:r>
      <w:r w:rsidR="00D01DED">
        <w:rPr>
          <w:rFonts w:eastAsia="Times New Roman" w:cs="Times New Roman"/>
          <w:szCs w:val="24"/>
        </w:rPr>
        <w:t>amending</w:t>
      </w:r>
      <w:r w:rsidR="00752AE8">
        <w:rPr>
          <w:rFonts w:eastAsia="Times New Roman" w:cs="Times New Roman"/>
          <w:szCs w:val="24"/>
        </w:rPr>
        <w:t xml:space="preserve"> part 43</w:t>
      </w:r>
      <w:r w:rsidRPr="00752AE8" w:rsidR="00752AE8">
        <w:rPr>
          <w:rFonts w:eastAsia="Times New Roman" w:cs="Times New Roman"/>
          <w:szCs w:val="24"/>
        </w:rPr>
        <w:t xml:space="preserve"> of the Commission</w:t>
      </w:r>
      <w:r w:rsidR="00AA013C">
        <w:rPr>
          <w:rFonts w:eastAsia="Times New Roman" w:cs="Times New Roman"/>
          <w:szCs w:val="24"/>
        </w:rPr>
        <w:t>’s</w:t>
      </w:r>
      <w:r w:rsidRPr="00752AE8" w:rsidR="00752AE8">
        <w:rPr>
          <w:rFonts w:eastAsia="Times New Roman" w:cs="Times New Roman"/>
          <w:szCs w:val="24"/>
        </w:rPr>
        <w:t xml:space="preserve"> regulations in order to improve the quality of swaps transaction</w:t>
      </w:r>
      <w:r w:rsidR="00752AE8">
        <w:rPr>
          <w:rFonts w:eastAsia="Times New Roman" w:cs="Times New Roman"/>
          <w:szCs w:val="24"/>
        </w:rPr>
        <w:t xml:space="preserve"> and pricing data available</w:t>
      </w:r>
      <w:r w:rsidRPr="00752AE8" w:rsidR="00752AE8">
        <w:rPr>
          <w:rFonts w:eastAsia="Times New Roman" w:cs="Times New Roman"/>
          <w:szCs w:val="24"/>
        </w:rPr>
        <w:t xml:space="preserve"> to the public as well as to streamline regulatory requirements govern</w:t>
      </w:r>
      <w:r w:rsidR="00752AE8">
        <w:rPr>
          <w:rFonts w:eastAsia="Times New Roman" w:cs="Times New Roman"/>
          <w:szCs w:val="24"/>
        </w:rPr>
        <w:t>ing data reporting</w:t>
      </w:r>
      <w:r w:rsidRPr="00752AE8" w:rsid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3038-0070</w:t>
      </w:r>
      <w:r w:rsidRPr="00752AE8" w:rsidR="00752AE8">
        <w:rPr>
          <w:rFonts w:eastAsia="Times New Roman" w:cs="Times New Roman"/>
          <w:szCs w:val="24"/>
        </w:rPr>
        <w:t xml:space="preserve"> to account for modified and new burdens associated with the changes to t</w:t>
      </w:r>
      <w:r w:rsidR="00752AE8">
        <w:rPr>
          <w:rFonts w:eastAsia="Times New Roman" w:cs="Times New Roman"/>
          <w:szCs w:val="24"/>
        </w:rPr>
        <w:t xml:space="preserve">he regulation. The Commission </w:t>
      </w:r>
      <w:r w:rsidRPr="00752AE8" w:rsidR="00752AE8">
        <w:rPr>
          <w:rFonts w:eastAsia="Times New Roman" w:cs="Times New Roman"/>
          <w:szCs w:val="24"/>
        </w:rPr>
        <w:t xml:space="preserve">is also updating the overall burden hours, collection volumes, and costs related to </w:t>
      </w:r>
      <w:r w:rsidR="00752AE8">
        <w:rPr>
          <w:rFonts w:eastAsia="Times New Roman" w:cs="Times New Roman"/>
          <w:szCs w:val="24"/>
        </w:rPr>
        <w:t>Information Collection 3038-0070</w:t>
      </w:r>
      <w:r w:rsidRPr="006457D3" w:rsidR="00752AE8">
        <w:rPr>
          <w:rFonts w:eastAsia="Times New Roman" w:cs="Times New Roman"/>
          <w:szCs w:val="24"/>
        </w:rPr>
        <w:t xml:space="preserve">, based on updated information related to other collections within Information Collection 3038-0070 that are not being modified by </w:t>
      </w:r>
      <w:r w:rsidRPr="006457D3" w:rsidR="0027483A">
        <w:rPr>
          <w:rFonts w:eastAsia="Times New Roman" w:cs="Times New Roman"/>
          <w:szCs w:val="24"/>
        </w:rPr>
        <w:t>the final rule</w:t>
      </w:r>
      <w:r w:rsidRPr="006457D3" w:rsidR="00752AE8">
        <w:rPr>
          <w:rFonts w:eastAsia="Times New Roman" w:cs="Times New Roman"/>
          <w:szCs w:val="24"/>
        </w:rPr>
        <w:t>. For example, the Commission is updating the estimated numbers of each type of entity affected by this collection to accurately reflect the current number of each type of entity. This includes 24 SEFs (previously 25), 3 DCMs that allow execution of swaps (prev</w:t>
      </w:r>
      <w:r w:rsidRPr="006457D3" w:rsidR="007D7026">
        <w:rPr>
          <w:rFonts w:eastAsia="Times New Roman" w:cs="Times New Roman"/>
          <w:szCs w:val="24"/>
        </w:rPr>
        <w:t>iously 15), 3 SDRs (previously 4</w:t>
      </w:r>
      <w:r w:rsidRPr="006457D3" w:rsidR="00752AE8">
        <w:rPr>
          <w:rFonts w:eastAsia="Times New Roman" w:cs="Times New Roman"/>
          <w:szCs w:val="24"/>
        </w:rPr>
        <w:t xml:space="preserve">), </w:t>
      </w:r>
      <w:r w:rsidRPr="006457D3" w:rsidR="00A80B52">
        <w:rPr>
          <w:rFonts w:eastAsia="Times New Roman" w:cs="Times New Roman"/>
          <w:szCs w:val="24"/>
        </w:rPr>
        <w:t xml:space="preserve">14 DCOs that clear swaps (not previously included), </w:t>
      </w:r>
      <w:r w:rsidRPr="006457D3" w:rsidR="00752AE8">
        <w:rPr>
          <w:rFonts w:eastAsia="Times New Roman" w:cs="Times New Roman"/>
          <w:szCs w:val="24"/>
        </w:rPr>
        <w:t>103 SDs/MSPs (previously 125), and 1585 non-SD/non-MSP reporting counterparties (previously 703).</w:t>
      </w:r>
    </w:p>
    <w:p w:rsidRPr="00642B6A" w:rsidR="00642B6A" w:rsidP="00FE503D" w:rsidRDefault="00642B6A"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642B6A" w:rsidP="00642B6A" w:rsidRDefault="00642B6A"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 results of this collection of information are not planned to be published for statistical use.</w:t>
      </w:r>
    </w:p>
    <w:p w:rsidRPr="00642B6A" w:rsidR="00642B6A" w:rsidP="00FE503D" w:rsidRDefault="00642B6A"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642B6A" w:rsidP="00642B6A" w:rsidRDefault="00642B6A" w14:paraId="50F422CE" w14:textId="7D71A652">
      <w:pPr>
        <w:tabs>
          <w:tab w:val="left" w:pos="-720"/>
        </w:tabs>
        <w:spacing w:after="240"/>
        <w:rPr>
          <w:rFonts w:eastAsia="Times New Roman" w:cs="Times New Roman"/>
          <w:szCs w:val="24"/>
        </w:rPr>
      </w:pPr>
      <w:r w:rsidRPr="00642B6A">
        <w:rPr>
          <w:rFonts w:eastAsia="Times New Roman" w:cs="Times New Roman"/>
          <w:szCs w:val="24"/>
        </w:rPr>
        <w:lastRenderedPageBreak/>
        <w:tab/>
      </w:r>
      <w:r w:rsidRPr="00BE76BF" w:rsidR="00BE76BF">
        <w:rPr>
          <w:rFonts w:eastAsia="Times New Roman" w:cs="Times New Roman"/>
          <w:szCs w:val="24"/>
        </w:rPr>
        <w:t>Not applicable, the Commission is not seeking such approval for this publication.</w:t>
      </w:r>
    </w:p>
    <w:p w:rsidRPr="00642B6A" w:rsidR="00642B6A" w:rsidP="00FE503D" w:rsidRDefault="00642B6A"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P="009D00FB" w:rsidRDefault="00642B6A" w14:paraId="50F422D0" w14:textId="40F729D4">
      <w:pPr>
        <w:tabs>
          <w:tab w:val="left" w:pos="-720"/>
        </w:tabs>
        <w:spacing w:after="240"/>
        <w:rPr>
          <w:rFonts w:eastAsia="Times New Roman" w:cs="Times New Roman"/>
          <w:szCs w:val="24"/>
        </w:rPr>
      </w:pPr>
      <w:r w:rsidRPr="00642B6A">
        <w:rPr>
          <w:rFonts w:eastAsia="Times New Roman" w:cs="Times New Roman"/>
          <w:szCs w:val="24"/>
        </w:rPr>
        <w:tab/>
      </w:r>
      <w:r w:rsidRPr="00BE76BF" w:rsidR="00BE76BF">
        <w:rPr>
          <w:rFonts w:eastAsia="Times New Roman" w:cs="Times New Roman"/>
          <w:szCs w:val="24"/>
        </w:rPr>
        <w:t>Not applicable, there are no</w:t>
      </w:r>
      <w:r w:rsidR="00BE76BF">
        <w:rPr>
          <w:rFonts w:eastAsia="Times New Roman" w:cs="Times New Roman"/>
          <w:szCs w:val="24"/>
        </w:rPr>
        <w:t xml:space="preserve"> exceptions.</w:t>
      </w:r>
    </w:p>
    <w:p w:rsidR="009D00FB" w:rsidRDefault="00B74CE1" w14:paraId="50F422D2" w14:textId="71EB56D3">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50F422D3"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50F422D4" w14:textId="77777777">
      <w:pPr>
        <w:jc w:val="center"/>
        <w:rPr>
          <w:rFonts w:eastAsia="Times New Roman" w:cs="Times New Roman"/>
          <w:b/>
          <w:szCs w:val="24"/>
        </w:rPr>
      </w:pPr>
    </w:p>
    <w:p w:rsidR="00642B6A" w:rsidP="00642B6A" w:rsidRDefault="00F50EC6" w14:paraId="50F422D5" w14:textId="5C6C9D7B">
      <w:pPr>
        <w:jc w:val="center"/>
        <w:rPr>
          <w:rFonts w:eastAsia="Times New Roman" w:cs="Times New Roman"/>
          <w:b/>
          <w:szCs w:val="24"/>
        </w:rPr>
      </w:pPr>
      <w:r>
        <w:rPr>
          <w:rFonts w:eastAsia="Times New Roman" w:cs="Times New Roman"/>
          <w:b/>
          <w:szCs w:val="24"/>
        </w:rPr>
        <w:t xml:space="preserve">Amendments to </w:t>
      </w:r>
      <w:r w:rsidR="00357E35">
        <w:rPr>
          <w:rFonts w:eastAsia="Times New Roman" w:cs="Times New Roman"/>
          <w:b/>
          <w:szCs w:val="24"/>
        </w:rPr>
        <w:t>OMB Control Number 3038-0070</w:t>
      </w:r>
    </w:p>
    <w:p w:rsidR="00642B6A" w:rsidP="00357E35" w:rsidRDefault="00A80B52" w14:paraId="50F422D6" w14:textId="10433E72">
      <w:pPr>
        <w:jc w:val="center"/>
        <w:rPr>
          <w:rFonts w:eastAsia="Times New Roman" w:cs="Times New Roman"/>
          <w:szCs w:val="24"/>
        </w:rPr>
      </w:pPr>
      <w:r>
        <w:rPr>
          <w:rFonts w:eastAsia="Times New Roman" w:cs="Times New Roman"/>
          <w:szCs w:val="24"/>
        </w:rPr>
        <w:t xml:space="preserve">Real-Time Public Reporting and </w:t>
      </w:r>
      <w:proofErr w:type="spellStart"/>
      <w:r>
        <w:rPr>
          <w:rFonts w:eastAsia="Times New Roman" w:cs="Times New Roman"/>
          <w:szCs w:val="24"/>
        </w:rPr>
        <w:t>BlockTrades</w:t>
      </w:r>
      <w:proofErr w:type="spellEnd"/>
    </w:p>
    <w:p w:rsidRPr="00642B6A" w:rsidR="00A80B52" w:rsidP="00357E35" w:rsidRDefault="00A80B52" w14:paraId="15AE25DE" w14:textId="77777777">
      <w:pPr>
        <w:jc w:val="center"/>
        <w:rPr>
          <w:rFonts w:eastAsia="Times New Roman" w:cs="Times New Roman"/>
          <w:b/>
          <w:szCs w:val="24"/>
        </w:rPr>
      </w:pPr>
    </w:p>
    <w:p w:rsidRPr="008F6D4A" w:rsidR="008F6D4A" w:rsidP="008F6D4A" w:rsidRDefault="008F6D4A" w14:paraId="50F422D7" w14:textId="0FFD999F">
      <w:pPr>
        <w:jc w:val="center"/>
        <w:rPr>
          <w:rFonts w:eastAsia="Times New Roman" w:cs="Times New Roman"/>
          <w:szCs w:val="24"/>
        </w:rPr>
      </w:pPr>
      <w:r w:rsidRPr="008F6D4A">
        <w:rPr>
          <w:rFonts w:eastAsia="Times New Roman" w:cs="Times New Roman"/>
          <w:szCs w:val="24"/>
        </w:rPr>
        <w:t>Reporting Burden</w:t>
      </w:r>
      <w:r w:rsidR="0077482F">
        <w:rPr>
          <w:rFonts w:eastAsia="Times New Roman" w:cs="Times New Roman"/>
          <w:szCs w:val="24"/>
        </w:rPr>
        <w:t xml:space="preserve">  </w:t>
      </w:r>
    </w:p>
    <w:p w:rsidRPr="008F6D4A" w:rsidR="008F6D4A" w:rsidP="008F6D4A" w:rsidRDefault="008F6D4A" w14:paraId="50F422D8" w14:textId="77777777">
      <w:pPr>
        <w:jc w:val="center"/>
        <w:rPr>
          <w:rFonts w:eastAsia="Times New Roman" w:cs="Times New Roman"/>
          <w:szCs w:val="24"/>
        </w:rPr>
      </w:pPr>
    </w:p>
    <w:tbl>
      <w:tblPr>
        <w:tblW w:w="5968"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8"/>
        <w:gridCol w:w="1223"/>
        <w:gridCol w:w="1145"/>
        <w:gridCol w:w="1143"/>
        <w:gridCol w:w="1143"/>
        <w:gridCol w:w="969"/>
        <w:gridCol w:w="1143"/>
        <w:gridCol w:w="1056"/>
        <w:gridCol w:w="781"/>
        <w:gridCol w:w="1319"/>
      </w:tblGrid>
      <w:tr w:rsidRPr="008F6D4A" w:rsidR="007D22E3" w:rsidDel="009C6DB4" w:rsidTr="00996467" w14:paraId="50F422F6" w14:textId="77777777">
        <w:trPr>
          <w:trHeight w:val="1427"/>
        </w:trPr>
        <w:tc>
          <w:tcPr>
            <w:tcW w:w="554" w:type="pct"/>
          </w:tcPr>
          <w:p w:rsidRPr="00C97430" w:rsidR="007D22E3" w:rsidP="00C97430" w:rsidRDefault="007D22E3" w14:paraId="50F422D9" w14:textId="77777777">
            <w:pPr>
              <w:rPr>
                <w:rFonts w:cs="Times New Roman"/>
                <w:sz w:val="16"/>
                <w:szCs w:val="16"/>
              </w:rPr>
            </w:pPr>
            <w:r w:rsidRPr="00C97430">
              <w:rPr>
                <w:rFonts w:cs="Times New Roman"/>
                <w:sz w:val="16"/>
                <w:szCs w:val="16"/>
              </w:rPr>
              <w:t>1.</w:t>
            </w:r>
          </w:p>
          <w:p w:rsidRPr="00C97430" w:rsidR="007D22E3" w:rsidP="00C97430" w:rsidRDefault="007D22E3" w14:paraId="50F422DA" w14:textId="77777777">
            <w:pPr>
              <w:rPr>
                <w:rFonts w:cs="Times New Roman"/>
                <w:sz w:val="16"/>
                <w:szCs w:val="16"/>
              </w:rPr>
            </w:pPr>
            <w:r w:rsidRPr="00C97430">
              <w:rPr>
                <w:rFonts w:cs="Times New Roman"/>
                <w:sz w:val="16"/>
                <w:szCs w:val="16"/>
              </w:rPr>
              <w:t>Regulation(s)</w:t>
            </w:r>
          </w:p>
        </w:tc>
        <w:tc>
          <w:tcPr>
            <w:tcW w:w="548" w:type="pct"/>
          </w:tcPr>
          <w:p w:rsidRPr="00C97430" w:rsidR="007D22E3" w:rsidP="00C97430" w:rsidRDefault="007D22E3" w14:paraId="50F422DB" w14:textId="77777777">
            <w:pPr>
              <w:rPr>
                <w:rFonts w:cs="Times New Roman"/>
                <w:sz w:val="16"/>
                <w:szCs w:val="16"/>
              </w:rPr>
            </w:pPr>
            <w:r w:rsidRPr="00C97430">
              <w:rPr>
                <w:rFonts w:cs="Times New Roman"/>
                <w:sz w:val="16"/>
                <w:szCs w:val="16"/>
              </w:rPr>
              <w:t>2.</w:t>
            </w:r>
          </w:p>
          <w:p w:rsidRPr="00C97430" w:rsidR="007D22E3" w:rsidP="00C97430" w:rsidRDefault="007D22E3" w14:paraId="50F422DC" w14:textId="05D6444E">
            <w:pPr>
              <w:rPr>
                <w:rFonts w:cs="Times New Roman"/>
                <w:sz w:val="16"/>
                <w:szCs w:val="16"/>
              </w:rPr>
            </w:pPr>
            <w:r w:rsidRPr="00C97430">
              <w:rPr>
                <w:rFonts w:cs="Times New Roman"/>
                <w:sz w:val="16"/>
                <w:szCs w:val="16"/>
              </w:rPr>
              <w:t>Estimated Number of Respondents</w:t>
            </w:r>
          </w:p>
          <w:p w:rsidRPr="00C97430" w:rsidR="007D22E3" w:rsidP="00C97430" w:rsidRDefault="007D22E3" w14:paraId="50F422DD" w14:textId="77777777">
            <w:pPr>
              <w:rPr>
                <w:rFonts w:cs="Times New Roman"/>
                <w:sz w:val="16"/>
                <w:szCs w:val="16"/>
              </w:rPr>
            </w:pPr>
          </w:p>
        </w:tc>
        <w:tc>
          <w:tcPr>
            <w:tcW w:w="513" w:type="pct"/>
          </w:tcPr>
          <w:p w:rsidRPr="00C97430" w:rsidR="007D22E3" w:rsidP="00C97430" w:rsidRDefault="007D22E3" w14:paraId="50F422DE" w14:textId="77777777">
            <w:pPr>
              <w:rPr>
                <w:rFonts w:cs="Times New Roman"/>
                <w:sz w:val="16"/>
                <w:szCs w:val="16"/>
              </w:rPr>
            </w:pPr>
            <w:r w:rsidRPr="00C97430">
              <w:rPr>
                <w:rFonts w:cs="Times New Roman"/>
                <w:sz w:val="16"/>
                <w:szCs w:val="16"/>
              </w:rPr>
              <w:t>3.</w:t>
            </w:r>
          </w:p>
          <w:p w:rsidRPr="00C97430" w:rsidR="007D22E3" w:rsidP="00C97430" w:rsidRDefault="007D22E3" w14:paraId="50F422DF" w14:textId="77777777">
            <w:pPr>
              <w:rPr>
                <w:rFonts w:cs="Times New Roman"/>
                <w:sz w:val="16"/>
                <w:szCs w:val="16"/>
              </w:rPr>
            </w:pPr>
            <w:r w:rsidRPr="00C97430">
              <w:rPr>
                <w:rFonts w:cs="Times New Roman"/>
                <w:sz w:val="16"/>
                <w:szCs w:val="16"/>
              </w:rPr>
              <w:t>Estimated Number of Reports</w:t>
            </w:r>
          </w:p>
          <w:p w:rsidRPr="00C97430" w:rsidR="007D22E3" w:rsidP="00C97430" w:rsidRDefault="007D22E3" w14:paraId="50F422E0" w14:textId="77777777">
            <w:pPr>
              <w:rPr>
                <w:rFonts w:cs="Times New Roman"/>
                <w:sz w:val="16"/>
                <w:szCs w:val="16"/>
              </w:rPr>
            </w:pPr>
            <w:r w:rsidRPr="00C97430">
              <w:rPr>
                <w:rFonts w:cs="Times New Roman"/>
                <w:sz w:val="16"/>
                <w:szCs w:val="16"/>
              </w:rPr>
              <w:t>by Each Respondent</w:t>
            </w:r>
          </w:p>
        </w:tc>
        <w:tc>
          <w:tcPr>
            <w:tcW w:w="512" w:type="pct"/>
          </w:tcPr>
          <w:p w:rsidRPr="00C97430" w:rsidR="007D22E3" w:rsidP="00C97430" w:rsidRDefault="007D22E3" w14:paraId="50F422E1" w14:textId="77777777">
            <w:pPr>
              <w:rPr>
                <w:rFonts w:cs="Times New Roman"/>
                <w:sz w:val="16"/>
                <w:szCs w:val="16"/>
              </w:rPr>
            </w:pPr>
            <w:r w:rsidRPr="00C97430">
              <w:rPr>
                <w:rFonts w:cs="Times New Roman"/>
                <w:sz w:val="16"/>
                <w:szCs w:val="16"/>
              </w:rPr>
              <w:t>4.</w:t>
            </w:r>
          </w:p>
          <w:p w:rsidRPr="00C97430" w:rsidR="007D22E3" w:rsidP="00C97430" w:rsidRDefault="007D22E3" w14:paraId="50F422E2" w14:textId="77777777">
            <w:pPr>
              <w:rPr>
                <w:rFonts w:cs="Times New Roman"/>
                <w:sz w:val="16"/>
                <w:szCs w:val="16"/>
              </w:rPr>
            </w:pPr>
            <w:r w:rsidRPr="00C97430">
              <w:rPr>
                <w:rFonts w:cs="Times New Roman"/>
                <w:sz w:val="16"/>
                <w:szCs w:val="16"/>
              </w:rPr>
              <w:t>Estimated Average Number of Burden Hours per Response</w:t>
            </w:r>
          </w:p>
        </w:tc>
        <w:tc>
          <w:tcPr>
            <w:tcW w:w="512" w:type="pct"/>
          </w:tcPr>
          <w:p w:rsidRPr="00C97430" w:rsidR="007D22E3" w:rsidP="00C97430" w:rsidRDefault="007D22E3" w14:paraId="50F422E3" w14:textId="77777777">
            <w:pPr>
              <w:rPr>
                <w:rFonts w:cs="Times New Roman"/>
                <w:sz w:val="16"/>
                <w:szCs w:val="16"/>
              </w:rPr>
            </w:pPr>
            <w:r w:rsidRPr="00C97430">
              <w:rPr>
                <w:rFonts w:cs="Times New Roman"/>
                <w:sz w:val="16"/>
                <w:szCs w:val="16"/>
              </w:rPr>
              <w:t>5.</w:t>
            </w:r>
          </w:p>
          <w:p w:rsidRPr="00C97430" w:rsidR="007D22E3" w:rsidP="00C97430" w:rsidRDefault="00C83EDF" w14:paraId="50F422E4" w14:textId="22DD6C81">
            <w:pPr>
              <w:rPr>
                <w:rFonts w:cs="Times New Roman"/>
                <w:sz w:val="16"/>
                <w:szCs w:val="16"/>
              </w:rPr>
            </w:pPr>
            <w:r w:rsidRPr="00C97430">
              <w:rPr>
                <w:rFonts w:cs="Times New Roman"/>
                <w:sz w:val="16"/>
                <w:szCs w:val="16"/>
              </w:rPr>
              <w:t xml:space="preserve">Annual </w:t>
            </w:r>
            <w:r w:rsidRPr="00C97430" w:rsidR="007D22E3">
              <w:rPr>
                <w:rFonts w:cs="Times New Roman"/>
                <w:sz w:val="16"/>
                <w:szCs w:val="16"/>
              </w:rPr>
              <w:t>Number of Burden Hours per Respondent</w:t>
            </w:r>
          </w:p>
          <w:p w:rsidRPr="00C97430" w:rsidR="007D22E3" w:rsidP="00C97430" w:rsidRDefault="007D22E3" w14:paraId="50F422E5" w14:textId="77777777">
            <w:pPr>
              <w:rPr>
                <w:rFonts w:cs="Times New Roman"/>
                <w:sz w:val="16"/>
                <w:szCs w:val="16"/>
              </w:rPr>
            </w:pPr>
            <w:r w:rsidRPr="00C97430">
              <w:rPr>
                <w:rFonts w:cs="Times New Roman"/>
                <w:sz w:val="16"/>
                <w:szCs w:val="16"/>
              </w:rPr>
              <w:t>(3 x 4)</w:t>
            </w:r>
          </w:p>
        </w:tc>
        <w:tc>
          <w:tcPr>
            <w:tcW w:w="434" w:type="pct"/>
          </w:tcPr>
          <w:p w:rsidRPr="00C97430" w:rsidR="007D22E3" w:rsidP="00C97430" w:rsidRDefault="007D22E3" w14:paraId="50F422E6" w14:textId="77777777">
            <w:pPr>
              <w:rPr>
                <w:rFonts w:cs="Times New Roman"/>
                <w:sz w:val="16"/>
                <w:szCs w:val="16"/>
              </w:rPr>
            </w:pPr>
            <w:r w:rsidRPr="00C97430">
              <w:rPr>
                <w:rFonts w:cs="Times New Roman"/>
                <w:sz w:val="16"/>
                <w:szCs w:val="16"/>
              </w:rPr>
              <w:t xml:space="preserve">6. </w:t>
            </w:r>
          </w:p>
          <w:p w:rsidRPr="00C97430" w:rsidR="007D22E3" w:rsidP="00C97430" w:rsidRDefault="007D22E3" w14:paraId="50F422E7" w14:textId="73375D27">
            <w:pPr>
              <w:rPr>
                <w:rFonts w:cs="Times New Roman"/>
                <w:sz w:val="16"/>
                <w:szCs w:val="16"/>
              </w:rPr>
            </w:pPr>
            <w:r w:rsidRPr="00C97430">
              <w:rPr>
                <w:rFonts w:cs="Times New Roman"/>
                <w:sz w:val="16"/>
                <w:szCs w:val="16"/>
              </w:rPr>
              <w:t>Estimated Average Burden Hour Cost</w:t>
            </w:r>
          </w:p>
          <w:p w:rsidRPr="00C97430" w:rsidR="007D22E3" w:rsidP="00C97430" w:rsidRDefault="007D22E3" w14:paraId="50F422E8" w14:textId="77777777">
            <w:pPr>
              <w:rPr>
                <w:rFonts w:cs="Times New Roman"/>
                <w:sz w:val="16"/>
                <w:szCs w:val="16"/>
              </w:rPr>
            </w:pPr>
          </w:p>
        </w:tc>
        <w:tc>
          <w:tcPr>
            <w:tcW w:w="512" w:type="pct"/>
          </w:tcPr>
          <w:p w:rsidRPr="00C97430" w:rsidR="007D22E3" w:rsidP="00C97430" w:rsidRDefault="007D22E3" w14:paraId="50F422E9" w14:textId="77777777">
            <w:pPr>
              <w:rPr>
                <w:rFonts w:cs="Times New Roman"/>
                <w:sz w:val="16"/>
                <w:szCs w:val="16"/>
              </w:rPr>
            </w:pPr>
            <w:r w:rsidRPr="00C97430">
              <w:rPr>
                <w:rFonts w:cs="Times New Roman"/>
                <w:sz w:val="16"/>
                <w:szCs w:val="16"/>
              </w:rPr>
              <w:t>7.</w:t>
            </w:r>
          </w:p>
          <w:p w:rsidRPr="00C97430" w:rsidR="007D22E3" w:rsidP="00C97430" w:rsidRDefault="007D22E3" w14:paraId="50F422EA" w14:textId="77777777">
            <w:pPr>
              <w:rPr>
                <w:rFonts w:cs="Times New Roman"/>
                <w:sz w:val="16"/>
                <w:szCs w:val="16"/>
              </w:rPr>
            </w:pPr>
            <w:r w:rsidRPr="00C97430">
              <w:rPr>
                <w:rFonts w:cs="Times New Roman"/>
                <w:sz w:val="16"/>
                <w:szCs w:val="16"/>
              </w:rPr>
              <w:t>Total Average Hour Burden Cost Per Respondent</w:t>
            </w:r>
          </w:p>
          <w:p w:rsidRPr="00C97430" w:rsidR="007D22E3" w:rsidP="00C97430" w:rsidRDefault="007D22E3" w14:paraId="50F422EB" w14:textId="77777777">
            <w:pPr>
              <w:rPr>
                <w:rFonts w:cs="Times New Roman"/>
                <w:sz w:val="16"/>
                <w:szCs w:val="16"/>
              </w:rPr>
            </w:pPr>
            <w:r w:rsidRPr="00C97430">
              <w:rPr>
                <w:rFonts w:cs="Times New Roman"/>
                <w:sz w:val="16"/>
                <w:szCs w:val="16"/>
              </w:rPr>
              <w:t>(5 x 6)</w:t>
            </w:r>
          </w:p>
        </w:tc>
        <w:tc>
          <w:tcPr>
            <w:tcW w:w="473" w:type="pct"/>
          </w:tcPr>
          <w:p w:rsidRPr="00C97430" w:rsidR="007D22E3" w:rsidP="00C97430" w:rsidRDefault="007D22E3" w14:paraId="50F422EC" w14:textId="77777777">
            <w:pPr>
              <w:rPr>
                <w:rFonts w:cs="Times New Roman"/>
                <w:sz w:val="16"/>
                <w:szCs w:val="16"/>
              </w:rPr>
            </w:pPr>
            <w:r w:rsidRPr="00C97430">
              <w:rPr>
                <w:rFonts w:cs="Times New Roman"/>
                <w:sz w:val="16"/>
                <w:szCs w:val="16"/>
              </w:rPr>
              <w:t>8.</w:t>
            </w:r>
          </w:p>
          <w:p w:rsidRPr="00C97430" w:rsidR="007D22E3" w:rsidP="00C97430" w:rsidRDefault="007D22E3" w14:paraId="50F422ED" w14:textId="77777777">
            <w:pPr>
              <w:rPr>
                <w:rFonts w:cs="Times New Roman"/>
                <w:sz w:val="16"/>
                <w:szCs w:val="16"/>
              </w:rPr>
            </w:pPr>
            <w:r w:rsidRPr="00C97430">
              <w:rPr>
                <w:rFonts w:cs="Times New Roman"/>
                <w:sz w:val="16"/>
                <w:szCs w:val="16"/>
              </w:rPr>
              <w:t>Total Annual</w:t>
            </w:r>
          </w:p>
          <w:p w:rsidRPr="00C97430" w:rsidR="007D22E3" w:rsidP="00C97430" w:rsidRDefault="007D22E3" w14:paraId="50F422EE" w14:textId="77777777">
            <w:pPr>
              <w:rPr>
                <w:rFonts w:cs="Times New Roman"/>
                <w:sz w:val="16"/>
                <w:szCs w:val="16"/>
              </w:rPr>
            </w:pPr>
            <w:r w:rsidRPr="00C97430">
              <w:rPr>
                <w:rFonts w:cs="Times New Roman"/>
                <w:sz w:val="16"/>
                <w:szCs w:val="16"/>
              </w:rPr>
              <w:t>Responses</w:t>
            </w:r>
          </w:p>
          <w:p w:rsidRPr="00C97430" w:rsidR="007D22E3" w:rsidP="009F573C" w:rsidRDefault="007D22E3" w14:paraId="50F422EF" w14:textId="18A78CEF">
            <w:pPr>
              <w:rPr>
                <w:rFonts w:cs="Times New Roman"/>
                <w:sz w:val="16"/>
                <w:szCs w:val="16"/>
              </w:rPr>
            </w:pPr>
            <w:r w:rsidRPr="00C97430">
              <w:rPr>
                <w:rFonts w:cs="Times New Roman"/>
                <w:sz w:val="16"/>
                <w:szCs w:val="16"/>
              </w:rPr>
              <w:t>(2 x 3)</w:t>
            </w:r>
            <w:r w:rsidR="009F573C">
              <w:rPr>
                <w:rFonts w:cs="Times New Roman"/>
                <w:sz w:val="16"/>
                <w:szCs w:val="16"/>
              </w:rPr>
              <w:t xml:space="preserve"> </w:t>
            </w:r>
          </w:p>
        </w:tc>
        <w:tc>
          <w:tcPr>
            <w:tcW w:w="350" w:type="pct"/>
          </w:tcPr>
          <w:p w:rsidRPr="00C97430" w:rsidR="007D22E3" w:rsidP="00C97430" w:rsidRDefault="007D22E3" w14:paraId="50F422F0" w14:textId="77777777">
            <w:pPr>
              <w:rPr>
                <w:rFonts w:cs="Times New Roman"/>
                <w:sz w:val="16"/>
                <w:szCs w:val="16"/>
              </w:rPr>
            </w:pPr>
            <w:r w:rsidRPr="00C97430">
              <w:rPr>
                <w:rFonts w:cs="Times New Roman"/>
                <w:sz w:val="16"/>
                <w:szCs w:val="16"/>
              </w:rPr>
              <w:t>9.</w:t>
            </w:r>
          </w:p>
          <w:p w:rsidRPr="00C97430" w:rsidR="007D22E3" w:rsidP="00C97430" w:rsidRDefault="007D22E3" w14:paraId="50F422F1" w14:textId="284493F5">
            <w:pPr>
              <w:rPr>
                <w:rFonts w:cs="Times New Roman"/>
                <w:sz w:val="16"/>
                <w:szCs w:val="16"/>
              </w:rPr>
            </w:pPr>
            <w:r w:rsidRPr="00C97430">
              <w:rPr>
                <w:rFonts w:cs="Times New Roman"/>
                <w:sz w:val="16"/>
                <w:szCs w:val="16"/>
              </w:rPr>
              <w:t>Total Annual</w:t>
            </w:r>
            <w:r w:rsidRPr="00C97430" w:rsidR="00C83EDF">
              <w:rPr>
                <w:rFonts w:cs="Times New Roman"/>
                <w:sz w:val="16"/>
                <w:szCs w:val="16"/>
              </w:rPr>
              <w:t xml:space="preserve"> </w:t>
            </w:r>
            <w:r w:rsidRPr="00C97430">
              <w:rPr>
                <w:rFonts w:cs="Times New Roman"/>
                <w:sz w:val="16"/>
                <w:szCs w:val="16"/>
              </w:rPr>
              <w:t>Number of Burden Hours</w:t>
            </w:r>
          </w:p>
          <w:p w:rsidRPr="00C97430" w:rsidR="007D22E3" w:rsidP="00C97430" w:rsidRDefault="007D22E3" w14:paraId="50F422F2" w14:textId="77777777">
            <w:pPr>
              <w:rPr>
                <w:rFonts w:cs="Times New Roman"/>
                <w:sz w:val="16"/>
                <w:szCs w:val="16"/>
              </w:rPr>
            </w:pPr>
            <w:r w:rsidRPr="00C97430">
              <w:rPr>
                <w:rFonts w:cs="Times New Roman"/>
                <w:sz w:val="16"/>
                <w:szCs w:val="16"/>
              </w:rPr>
              <w:t>(2 x 5)</w:t>
            </w:r>
          </w:p>
        </w:tc>
        <w:tc>
          <w:tcPr>
            <w:tcW w:w="591" w:type="pct"/>
          </w:tcPr>
          <w:p w:rsidRPr="00C97430" w:rsidR="007D22E3" w:rsidP="00C97430" w:rsidRDefault="007D22E3" w14:paraId="50F422F3" w14:textId="77777777">
            <w:pPr>
              <w:rPr>
                <w:rFonts w:cs="Times New Roman"/>
                <w:sz w:val="16"/>
                <w:szCs w:val="16"/>
              </w:rPr>
            </w:pPr>
            <w:r w:rsidRPr="00C97430">
              <w:rPr>
                <w:rFonts w:cs="Times New Roman"/>
                <w:sz w:val="16"/>
                <w:szCs w:val="16"/>
              </w:rPr>
              <w:t>10.</w:t>
            </w:r>
          </w:p>
          <w:p w:rsidRPr="00C97430" w:rsidR="007D22E3" w:rsidP="00C97430" w:rsidRDefault="007D22E3" w14:paraId="50F422F4" w14:textId="77777777">
            <w:pPr>
              <w:rPr>
                <w:rFonts w:cs="Times New Roman"/>
                <w:sz w:val="16"/>
                <w:szCs w:val="16"/>
              </w:rPr>
            </w:pPr>
            <w:r w:rsidRPr="00C97430">
              <w:rPr>
                <w:rFonts w:cs="Times New Roman"/>
                <w:sz w:val="16"/>
                <w:szCs w:val="16"/>
              </w:rPr>
              <w:t>Total Annual Burden Hour Cost of All Responses</w:t>
            </w:r>
          </w:p>
          <w:p w:rsidRPr="00C97430" w:rsidR="007D22E3" w:rsidDel="009C6DB4" w:rsidP="00C97430" w:rsidRDefault="007D22E3" w14:paraId="50F422F5" w14:textId="77777777">
            <w:pPr>
              <w:rPr>
                <w:rFonts w:cs="Times New Roman"/>
                <w:sz w:val="16"/>
                <w:szCs w:val="16"/>
              </w:rPr>
            </w:pPr>
            <w:r w:rsidRPr="00C97430">
              <w:rPr>
                <w:rFonts w:cs="Times New Roman"/>
                <w:sz w:val="16"/>
                <w:szCs w:val="16"/>
              </w:rPr>
              <w:t>(2 x 7)</w:t>
            </w:r>
          </w:p>
        </w:tc>
      </w:tr>
      <w:tr w:rsidRPr="00D9545E" w:rsidR="00526E59" w:rsidTr="00996467" w14:paraId="2767A827"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D9545E" w:rsidP="00C97430" w:rsidRDefault="00D9545E" w14:paraId="7F340374" w14:textId="77777777">
            <w:pPr>
              <w:rPr>
                <w:rFonts w:cs="Times New Roman"/>
                <w:sz w:val="16"/>
                <w:szCs w:val="16"/>
              </w:rPr>
            </w:pPr>
          </w:p>
          <w:p w:rsidRPr="00C97430" w:rsidR="00526E59" w:rsidP="00C97430" w:rsidRDefault="00D9545E" w14:paraId="5578D5A3" w14:textId="29D8E6A2">
            <w:pPr>
              <w:rPr>
                <w:rFonts w:cs="Times New Roman"/>
                <w:sz w:val="16"/>
                <w:szCs w:val="16"/>
              </w:rPr>
            </w:pPr>
            <w:r w:rsidRPr="00C97430">
              <w:rPr>
                <w:rFonts w:cs="Times New Roman"/>
                <w:sz w:val="16"/>
                <w:szCs w:val="16"/>
              </w:rPr>
              <w:t>43.3</w:t>
            </w:r>
            <w:r w:rsidR="00526E59">
              <w:rPr>
                <w:rStyle w:val="EndnoteReference"/>
                <w:rFonts w:cs="Times New Roman"/>
                <w:sz w:val="16"/>
                <w:szCs w:val="16"/>
              </w:rPr>
              <w:endnoteReference w:id="2"/>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17A8AAAE" w14:textId="4DDAF66F">
            <w:pPr>
              <w:rPr>
                <w:rFonts w:cs="Times New Roman"/>
                <w:sz w:val="16"/>
                <w:szCs w:val="16"/>
              </w:rPr>
            </w:pPr>
            <w:r w:rsidRPr="00C97430">
              <w:rPr>
                <w:rFonts w:cs="Times New Roman"/>
                <w:sz w:val="16"/>
                <w:szCs w:val="16"/>
              </w:rPr>
              <w:t>1,7</w:t>
            </w:r>
            <w:r w:rsidR="00502323">
              <w:rPr>
                <w:rFonts w:cs="Times New Roman"/>
                <w:sz w:val="16"/>
                <w:szCs w:val="16"/>
              </w:rPr>
              <w:t>29</w:t>
            </w:r>
            <w:r w:rsidRPr="00C97430">
              <w:rPr>
                <w:rFonts w:cs="Times New Roman"/>
                <w:sz w:val="16"/>
                <w:szCs w:val="16"/>
              </w:rPr>
              <w:t xml:space="preserve"> SEFs, DCMs,</w:t>
            </w:r>
            <w:r w:rsidR="00502323">
              <w:rPr>
                <w:rFonts w:cs="Times New Roman"/>
                <w:sz w:val="16"/>
                <w:szCs w:val="16"/>
              </w:rPr>
              <w:t xml:space="preserve"> </w:t>
            </w:r>
            <w:r w:rsidRPr="00C97430">
              <w:rPr>
                <w:rFonts w:cs="Times New Roman"/>
                <w:sz w:val="16"/>
                <w:szCs w:val="16"/>
              </w:rPr>
              <w:t>and Reporting Counterparties</w:t>
            </w:r>
            <w:r w:rsidR="008A0A47">
              <w:rPr>
                <w:rStyle w:val="EndnoteReference"/>
                <w:rFonts w:cs="Times New Roman"/>
                <w:sz w:val="16"/>
                <w:szCs w:val="16"/>
              </w:rPr>
              <w:endnoteReference w:id="3"/>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2A13A1" w14:paraId="3CA88E3B" w14:textId="38D8EE31">
            <w:pPr>
              <w:rPr>
                <w:rFonts w:cs="Times New Roman"/>
                <w:sz w:val="16"/>
                <w:szCs w:val="16"/>
              </w:rPr>
            </w:pPr>
            <w:r>
              <w:rPr>
                <w:rFonts w:cs="Times New Roman"/>
                <w:sz w:val="16"/>
                <w:szCs w:val="16"/>
              </w:rPr>
              <w:t>2,998</w:t>
            </w:r>
            <w:r w:rsidR="00526E59">
              <w:rPr>
                <w:rStyle w:val="EndnoteReference"/>
                <w:rFonts w:cs="Times New Roman"/>
                <w:sz w:val="16"/>
                <w:szCs w:val="16"/>
              </w:rPr>
              <w:endnoteReference w:id="4"/>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2965500A" w14:textId="0714C9E2">
            <w:pPr>
              <w:rPr>
                <w:rFonts w:cs="Times New Roman"/>
                <w:sz w:val="16"/>
                <w:szCs w:val="16"/>
              </w:rPr>
            </w:pPr>
            <w:r w:rsidRPr="00C97430">
              <w:rPr>
                <w:rFonts w:cs="Times New Roman"/>
                <w:sz w:val="16"/>
                <w:szCs w:val="16"/>
              </w:rPr>
              <w:t>0.14</w:t>
            </w:r>
            <w:r>
              <w:rPr>
                <w:rStyle w:val="EndnoteReference"/>
                <w:rFonts w:cs="Times New Roman"/>
                <w:sz w:val="16"/>
                <w:szCs w:val="16"/>
              </w:rPr>
              <w:endnoteReference w:id="5"/>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474646" w14:paraId="2EBC6AF9" w14:textId="6AC910D5">
            <w:pPr>
              <w:rPr>
                <w:rFonts w:cs="Times New Roman"/>
                <w:sz w:val="16"/>
                <w:szCs w:val="16"/>
              </w:rPr>
            </w:pPr>
            <w:r>
              <w:rPr>
                <w:rFonts w:cs="Times New Roman"/>
                <w:sz w:val="16"/>
                <w:szCs w:val="16"/>
              </w:rPr>
              <w:t>419.72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0D60960C" w14:textId="6AFE7D9A">
            <w:pPr>
              <w:rPr>
                <w:rFonts w:cs="Times New Roman"/>
                <w:sz w:val="16"/>
                <w:szCs w:val="16"/>
              </w:rPr>
            </w:pPr>
            <w:r w:rsidRPr="00C97430">
              <w:rPr>
                <w:rFonts w:cs="Times New Roman"/>
                <w:sz w:val="16"/>
                <w:szCs w:val="16"/>
              </w:rPr>
              <w:t>$ 72.23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4D68F7B1" w14:textId="14E7C3B0">
            <w:pPr>
              <w:rPr>
                <w:rFonts w:cs="Times New Roman"/>
                <w:sz w:val="16"/>
                <w:szCs w:val="16"/>
              </w:rPr>
            </w:pPr>
            <w:r w:rsidRPr="00C97430">
              <w:rPr>
                <w:rFonts w:cs="Times New Roman"/>
                <w:sz w:val="16"/>
                <w:szCs w:val="16"/>
              </w:rPr>
              <w:t xml:space="preserve">$ </w:t>
            </w:r>
            <w:r w:rsidR="00474646">
              <w:rPr>
                <w:rFonts w:cs="Times New Roman"/>
                <w:sz w:val="16"/>
                <w:szCs w:val="16"/>
              </w:rPr>
              <w:t>30,316.38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474646" w14:paraId="4EF31705" w14:textId="6FE05FCF">
            <w:pPr>
              <w:rPr>
                <w:rFonts w:cs="Times New Roman"/>
                <w:sz w:val="16"/>
                <w:szCs w:val="16"/>
              </w:rPr>
            </w:pPr>
            <w:r>
              <w:rPr>
                <w:rFonts w:cs="Times New Roman"/>
                <w:sz w:val="16"/>
                <w:szCs w:val="16"/>
              </w:rPr>
              <w:t>5,183,542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2A13A1" w14:paraId="5EC6ECDD" w14:textId="0C8B258F">
            <w:pPr>
              <w:rPr>
                <w:rFonts w:cs="Times New Roman"/>
                <w:sz w:val="16"/>
                <w:szCs w:val="16"/>
              </w:rPr>
            </w:pPr>
            <w:r>
              <w:rPr>
                <w:rFonts w:cs="Times New Roman"/>
                <w:sz w:val="16"/>
                <w:szCs w:val="16"/>
              </w:rPr>
              <w:t>725,696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4713A3" w:rsidRDefault="006457D3" w14:paraId="1079B028" w14:textId="3300091C">
            <w:pPr>
              <w:rPr>
                <w:rFonts w:cs="Times New Roman"/>
                <w:sz w:val="16"/>
                <w:szCs w:val="16"/>
              </w:rPr>
            </w:pPr>
            <w:r w:rsidRPr="006457D3">
              <w:rPr>
                <w:rFonts w:cs="Times New Roman"/>
                <w:sz w:val="16"/>
                <w:szCs w:val="16"/>
              </w:rPr>
              <w:t>$</w:t>
            </w:r>
            <w:r w:rsidR="00502323">
              <w:rPr>
                <w:rFonts w:cs="Times New Roman"/>
                <w:sz w:val="16"/>
                <w:szCs w:val="16"/>
              </w:rPr>
              <w:t xml:space="preserve"> </w:t>
            </w:r>
            <w:r w:rsidR="00474646">
              <w:rPr>
                <w:rFonts w:cs="Times New Roman"/>
                <w:sz w:val="16"/>
                <w:szCs w:val="16"/>
              </w:rPr>
              <w:t>52,417,013</w:t>
            </w:r>
          </w:p>
        </w:tc>
      </w:tr>
      <w:tr w:rsidRPr="00D9545E" w:rsidR="00526E59" w:rsidTr="00996467" w14:paraId="6D619FCE"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526E59" w:rsidP="00C97430" w:rsidRDefault="00526E59" w14:paraId="09758689" w14:textId="77777777">
            <w:pPr>
              <w:rPr>
                <w:rFonts w:cs="Times New Roman"/>
                <w:sz w:val="16"/>
                <w:szCs w:val="16"/>
              </w:rPr>
            </w:pPr>
          </w:p>
          <w:p w:rsidRPr="00C97430" w:rsidR="00526E59" w:rsidP="00C97430" w:rsidRDefault="00526E59" w14:paraId="7B06D1D6" w14:textId="5C70C572">
            <w:pPr>
              <w:rPr>
                <w:rFonts w:cs="Times New Roman"/>
                <w:sz w:val="16"/>
                <w:szCs w:val="16"/>
              </w:rPr>
            </w:pPr>
            <w:r w:rsidRPr="00C97430">
              <w:rPr>
                <w:rFonts w:cs="Times New Roman"/>
                <w:sz w:val="16"/>
                <w:szCs w:val="16"/>
              </w:rPr>
              <w:t>43.4</w:t>
            </w:r>
            <w:r>
              <w:rPr>
                <w:rStyle w:val="EndnoteReference"/>
                <w:rFonts w:cs="Times New Roman"/>
                <w:sz w:val="16"/>
                <w:szCs w:val="16"/>
              </w:rPr>
              <w:endnoteReference w:id="6"/>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4FAD0131" w14:textId="08538004">
            <w:pPr>
              <w:rPr>
                <w:rFonts w:cs="Times New Roman"/>
                <w:sz w:val="16"/>
                <w:szCs w:val="16"/>
              </w:rPr>
            </w:pPr>
            <w:r w:rsidRPr="00C97430">
              <w:rPr>
                <w:rFonts w:cs="Times New Roman"/>
                <w:sz w:val="16"/>
                <w:szCs w:val="16"/>
              </w:rPr>
              <w:t>3 SDRs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3B1397C8" w14:textId="79B3B0A3">
            <w:pPr>
              <w:rPr>
                <w:rFonts w:cs="Times New Roman"/>
                <w:sz w:val="16"/>
                <w:szCs w:val="16"/>
              </w:rPr>
            </w:pPr>
            <w:r w:rsidRPr="00C97430">
              <w:rPr>
                <w:rFonts w:cs="Times New Roman"/>
                <w:sz w:val="16"/>
                <w:szCs w:val="16"/>
              </w:rPr>
              <w:t>1,499,900</w:t>
            </w:r>
            <w:r>
              <w:rPr>
                <w:rStyle w:val="EndnoteReference"/>
                <w:rFonts w:cs="Times New Roman"/>
                <w:sz w:val="16"/>
                <w:szCs w:val="16"/>
              </w:rPr>
              <w:endnoteReference w:id="7"/>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79B2AB78" w14:textId="5E5726F5">
            <w:pPr>
              <w:rPr>
                <w:rFonts w:cs="Times New Roman"/>
                <w:sz w:val="16"/>
                <w:szCs w:val="16"/>
              </w:rPr>
            </w:pPr>
            <w:r w:rsidRPr="00C97430">
              <w:rPr>
                <w:rFonts w:cs="Times New Roman"/>
                <w:sz w:val="16"/>
                <w:szCs w:val="16"/>
              </w:rPr>
              <w:t>0.009</w:t>
            </w:r>
            <w:r>
              <w:rPr>
                <w:rStyle w:val="EndnoteReference"/>
                <w:rFonts w:cs="Times New Roman"/>
                <w:sz w:val="16"/>
                <w:szCs w:val="16"/>
              </w:rPr>
              <w:endnoteReference w:id="8"/>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5669164D" w14:textId="70F295A1">
            <w:pPr>
              <w:rPr>
                <w:rFonts w:cs="Times New Roman"/>
                <w:sz w:val="16"/>
                <w:szCs w:val="16"/>
              </w:rPr>
            </w:pPr>
            <w:r w:rsidRPr="00C97430">
              <w:rPr>
                <w:rFonts w:cs="Times New Roman"/>
                <w:sz w:val="16"/>
                <w:szCs w:val="16"/>
              </w:rPr>
              <w:t>13</w:t>
            </w:r>
            <w:r w:rsidR="006457D3">
              <w:rPr>
                <w:rFonts w:cs="Times New Roman"/>
                <w:sz w:val="16"/>
                <w:szCs w:val="16"/>
              </w:rPr>
              <w:t>,</w:t>
            </w:r>
            <w:r w:rsidRPr="00C97430">
              <w:rPr>
                <w:rFonts w:cs="Times New Roman"/>
                <w:sz w:val="16"/>
                <w:szCs w:val="16"/>
              </w:rPr>
              <w:t xml:space="preserve">499.10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18895D9E" w14:textId="03DE0BE9">
            <w:pPr>
              <w:rPr>
                <w:rFonts w:cs="Times New Roman"/>
                <w:sz w:val="16"/>
                <w:szCs w:val="16"/>
              </w:rPr>
            </w:pPr>
            <w:r w:rsidRPr="00C97430">
              <w:rPr>
                <w:rFonts w:cs="Times New Roman"/>
                <w:sz w:val="16"/>
                <w:szCs w:val="16"/>
              </w:rPr>
              <w:t xml:space="preserve">$ 72.23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5D36F2" w:rsidRDefault="00526E59" w14:paraId="68D94179" w14:textId="22090903">
            <w:pPr>
              <w:rPr>
                <w:rFonts w:cs="Times New Roman"/>
                <w:sz w:val="16"/>
                <w:szCs w:val="16"/>
              </w:rPr>
            </w:pPr>
            <w:r w:rsidRPr="00C97430">
              <w:rPr>
                <w:rFonts w:cs="Times New Roman"/>
                <w:sz w:val="16"/>
                <w:szCs w:val="16"/>
              </w:rPr>
              <w:t xml:space="preserve">$ </w:t>
            </w:r>
            <w:r w:rsidR="005D36F2">
              <w:rPr>
                <w:rFonts w:cs="Times New Roman"/>
                <w:sz w:val="16"/>
                <w:szCs w:val="16"/>
              </w:rPr>
              <w:t>975,040</w:t>
            </w:r>
            <w:r w:rsidRPr="00C97430">
              <w:rPr>
                <w:rFonts w:cs="Times New Roman"/>
                <w:sz w:val="16"/>
                <w:szCs w:val="16"/>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71B1BF4E" w14:textId="3633A88E">
            <w:pPr>
              <w:rPr>
                <w:rFonts w:cs="Times New Roman"/>
                <w:sz w:val="16"/>
                <w:szCs w:val="16"/>
              </w:rPr>
            </w:pPr>
            <w:r w:rsidRPr="00C97430">
              <w:rPr>
                <w:rFonts w:cs="Times New Roman"/>
                <w:sz w:val="16"/>
                <w:szCs w:val="16"/>
              </w:rPr>
              <w:t xml:space="preserve">4,499,700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C97430" w:rsidRDefault="00526E59" w14:paraId="4B05194F" w14:textId="60259968">
            <w:pPr>
              <w:rPr>
                <w:rFonts w:cs="Times New Roman"/>
                <w:sz w:val="16"/>
                <w:szCs w:val="16"/>
              </w:rPr>
            </w:pPr>
            <w:r w:rsidRPr="00C97430">
              <w:rPr>
                <w:rFonts w:cs="Times New Roman"/>
                <w:sz w:val="16"/>
                <w:szCs w:val="16"/>
              </w:rPr>
              <w:t xml:space="preserve">40,497 </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526E59" w:rsidP="00193083" w:rsidRDefault="00526E59" w14:paraId="1DA8BCD9" w14:textId="4361A79C">
            <w:pPr>
              <w:rPr>
                <w:rFonts w:cs="Times New Roman"/>
                <w:sz w:val="16"/>
                <w:szCs w:val="16"/>
              </w:rPr>
            </w:pPr>
            <w:r w:rsidRPr="00C97430">
              <w:rPr>
                <w:rFonts w:cs="Times New Roman"/>
                <w:sz w:val="16"/>
                <w:szCs w:val="16"/>
              </w:rPr>
              <w:t>$</w:t>
            </w:r>
            <w:r w:rsidR="00502323">
              <w:rPr>
                <w:rFonts w:cs="Times New Roman"/>
                <w:sz w:val="16"/>
                <w:szCs w:val="16"/>
              </w:rPr>
              <w:t xml:space="preserve"> </w:t>
            </w:r>
            <w:r w:rsidR="00193083">
              <w:rPr>
                <w:rFonts w:cs="Times New Roman"/>
                <w:sz w:val="16"/>
                <w:szCs w:val="16"/>
              </w:rPr>
              <w:t>2,925,120</w:t>
            </w:r>
            <w:r w:rsidRPr="00C97430">
              <w:rPr>
                <w:rFonts w:cs="Times New Roman"/>
                <w:sz w:val="16"/>
                <w:szCs w:val="16"/>
              </w:rPr>
              <w:t xml:space="preserve"> </w:t>
            </w:r>
          </w:p>
        </w:tc>
      </w:tr>
      <w:tr w:rsidRPr="008303AB" w:rsidR="00526E59" w:rsidTr="00996467" w14:paraId="7C19F5A4"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00526E59" w:rsidRDefault="00526E59" w14:paraId="4DF2961E" w14:textId="77777777">
            <w:pPr>
              <w:rPr>
                <w:rFonts w:cs="Times New Roman"/>
                <w:sz w:val="16"/>
                <w:szCs w:val="16"/>
              </w:rPr>
            </w:pPr>
          </w:p>
          <w:p w:rsidRPr="008303AB" w:rsidR="00526E59" w:rsidRDefault="00526E59" w14:paraId="5DA210F8" w14:textId="03B80148">
            <w:pPr>
              <w:rPr>
                <w:rFonts w:cs="Times New Roman"/>
                <w:sz w:val="16"/>
                <w:szCs w:val="16"/>
              </w:rPr>
            </w:pPr>
            <w:r w:rsidRPr="008303AB">
              <w:rPr>
                <w:rFonts w:cs="Times New Roman"/>
                <w:sz w:val="16"/>
                <w:szCs w:val="16"/>
              </w:rPr>
              <w:t>43.6</w:t>
            </w:r>
            <w:r>
              <w:rPr>
                <w:rStyle w:val="EndnoteReference"/>
                <w:rFonts w:cs="Times New Roman"/>
                <w:sz w:val="16"/>
                <w:szCs w:val="16"/>
              </w:rPr>
              <w:endnoteReference w:id="9"/>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6E59" w14:paraId="2D71F20E" w14:textId="57115580">
            <w:pPr>
              <w:rPr>
                <w:rFonts w:cs="Times New Roman"/>
                <w:sz w:val="16"/>
                <w:szCs w:val="16"/>
              </w:rPr>
            </w:pPr>
            <w:r w:rsidRPr="008303AB">
              <w:rPr>
                <w:rFonts w:cs="Times New Roman"/>
                <w:sz w:val="16"/>
                <w:szCs w:val="16"/>
              </w:rPr>
              <w:t>1</w:t>
            </w:r>
            <w:r>
              <w:rPr>
                <w:rFonts w:cs="Times New Roman"/>
                <w:sz w:val="16"/>
                <w:szCs w:val="16"/>
              </w:rPr>
              <w:t>,</w:t>
            </w:r>
            <w:r w:rsidRPr="008303AB">
              <w:rPr>
                <w:rFonts w:cs="Times New Roman"/>
                <w:sz w:val="16"/>
                <w:szCs w:val="16"/>
              </w:rPr>
              <w:t xml:space="preserve">688 </w:t>
            </w:r>
            <w:r>
              <w:rPr>
                <w:rFonts w:cs="Times New Roman"/>
                <w:sz w:val="16"/>
                <w:szCs w:val="16"/>
              </w:rPr>
              <w:t>Reporting Counterparties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574E" w14:paraId="075FD583" w14:textId="3979627C">
            <w:pPr>
              <w:rPr>
                <w:rFonts w:cs="Times New Roman"/>
                <w:sz w:val="16"/>
                <w:szCs w:val="16"/>
              </w:rPr>
            </w:pPr>
            <w:r>
              <w:rPr>
                <w:rFonts w:cs="Times New Roman"/>
                <w:sz w:val="16"/>
                <w:szCs w:val="16"/>
              </w:rPr>
              <w:t>200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6E59" w14:paraId="028EAE94" w14:textId="77777777">
            <w:pPr>
              <w:rPr>
                <w:rFonts w:cs="Times New Roman"/>
                <w:sz w:val="16"/>
                <w:szCs w:val="16"/>
              </w:rPr>
            </w:pPr>
            <w:r w:rsidRPr="008303AB">
              <w:rPr>
                <w:rFonts w:cs="Times New Roman"/>
                <w:sz w:val="16"/>
                <w:szCs w:val="16"/>
              </w:rPr>
              <w:t>0.0167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E4535D" w14:paraId="36CC08C8" w14:textId="2AF22D82">
            <w:pPr>
              <w:rPr>
                <w:rFonts w:cs="Times New Roman"/>
                <w:sz w:val="16"/>
                <w:szCs w:val="16"/>
              </w:rPr>
            </w:pPr>
            <w:r>
              <w:rPr>
                <w:rFonts w:cs="Times New Roman"/>
                <w:sz w:val="16"/>
                <w:szCs w:val="16"/>
              </w:rPr>
              <w:t>3</w:t>
            </w:r>
            <w:r w:rsidR="0001531E">
              <w:rPr>
                <w:rFonts w:cs="Times New Roman"/>
                <w:sz w:val="16"/>
                <w:szCs w:val="16"/>
              </w:rPr>
              <w:t>.34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526E59" w14:paraId="4C79B028" w14:textId="0D0EC9FD">
            <w:pPr>
              <w:rPr>
                <w:rFonts w:cs="Times New Roman"/>
                <w:sz w:val="16"/>
                <w:szCs w:val="16"/>
              </w:rPr>
            </w:pPr>
            <w:r>
              <w:rPr>
                <w:rFonts w:cs="Times New Roman"/>
                <w:sz w:val="16"/>
                <w:szCs w:val="16"/>
              </w:rPr>
              <w:t xml:space="preserve">$ </w:t>
            </w:r>
            <w:r w:rsidRPr="008303AB">
              <w:rPr>
                <w:rFonts w:cs="Times New Roman"/>
                <w:sz w:val="16"/>
                <w:szCs w:val="16"/>
              </w:rPr>
              <w:t xml:space="preserve">72.23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4C6B28" w:rsidRDefault="00E4535D" w14:paraId="7367D4A8" w14:textId="1EA4792F">
            <w:pPr>
              <w:rPr>
                <w:rFonts w:cs="Times New Roman"/>
                <w:sz w:val="16"/>
                <w:szCs w:val="16"/>
              </w:rPr>
            </w:pPr>
            <w:r>
              <w:rPr>
                <w:rFonts w:cs="Times New Roman"/>
                <w:sz w:val="16"/>
                <w:szCs w:val="16"/>
              </w:rPr>
              <w:t>$</w:t>
            </w:r>
            <w:r w:rsidR="00502323">
              <w:rPr>
                <w:rFonts w:cs="Times New Roman"/>
                <w:sz w:val="16"/>
                <w:szCs w:val="16"/>
              </w:rPr>
              <w:t xml:space="preserve"> </w:t>
            </w:r>
            <w:r w:rsidR="0001531E">
              <w:rPr>
                <w:rFonts w:cs="Times New Roman"/>
                <w:sz w:val="16"/>
                <w:szCs w:val="16"/>
              </w:rPr>
              <w:t>241.25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54591C" w:rsidRDefault="0052574E" w14:paraId="715620F9" w14:textId="40CFA3FF">
            <w:pPr>
              <w:rPr>
                <w:rFonts w:cs="Times New Roman"/>
                <w:sz w:val="16"/>
                <w:szCs w:val="16"/>
              </w:rPr>
            </w:pPr>
            <w:r>
              <w:rPr>
                <w:rFonts w:cs="Times New Roman"/>
                <w:sz w:val="16"/>
                <w:szCs w:val="16"/>
              </w:rPr>
              <w:t>337,600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8303AB" w:rsidRDefault="00F01D6F" w14:paraId="103BD889" w14:textId="451A323D">
            <w:pPr>
              <w:rPr>
                <w:rFonts w:cs="Times New Roman"/>
                <w:sz w:val="16"/>
                <w:szCs w:val="16"/>
              </w:rPr>
            </w:pPr>
            <w:r>
              <w:rPr>
                <w:rFonts w:cs="Times New Roman"/>
                <w:sz w:val="16"/>
                <w:szCs w:val="16"/>
              </w:rPr>
              <w:t>5,638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8303AB" w:rsidR="00526E59" w:rsidP="006D4CE7" w:rsidRDefault="00F01D6F" w14:paraId="62EEBEC8" w14:textId="1467D840">
            <w:pPr>
              <w:rPr>
                <w:rFonts w:cs="Times New Roman"/>
                <w:sz w:val="16"/>
                <w:szCs w:val="16"/>
              </w:rPr>
            </w:pPr>
            <w:r>
              <w:rPr>
                <w:rFonts w:cs="Times New Roman"/>
                <w:sz w:val="16"/>
                <w:szCs w:val="16"/>
              </w:rPr>
              <w:t>$</w:t>
            </w:r>
            <w:r w:rsidR="00502323">
              <w:rPr>
                <w:rFonts w:cs="Times New Roman"/>
                <w:sz w:val="16"/>
                <w:szCs w:val="16"/>
              </w:rPr>
              <w:t xml:space="preserve"> </w:t>
            </w:r>
            <w:r>
              <w:rPr>
                <w:rFonts w:cs="Times New Roman"/>
                <w:sz w:val="16"/>
                <w:szCs w:val="16"/>
              </w:rPr>
              <w:t>407,227</w:t>
            </w:r>
          </w:p>
        </w:tc>
      </w:tr>
      <w:tr w:rsidRPr="00C97430" w:rsidR="000435FB" w:rsidTr="00996467" w14:paraId="5280C28D"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0435FB" w:rsidP="000435FB" w:rsidRDefault="000435FB" w14:paraId="5B43F360" w14:textId="23CFDB46">
            <w:pPr>
              <w:rPr>
                <w:rFonts w:cs="Times New Roman"/>
                <w:sz w:val="16"/>
                <w:szCs w:val="16"/>
              </w:rPr>
            </w:pPr>
            <w:bookmarkStart w:name="_Hlk55210403" w:id="6"/>
            <w:r w:rsidRPr="00C97430">
              <w:rPr>
                <w:rFonts w:cs="Times New Roman"/>
                <w:sz w:val="16"/>
                <w:szCs w:val="16"/>
              </w:rPr>
              <w:t>New Reporting Total</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58DC9F5D" w14:textId="74C72FEA">
            <w:pPr>
              <w:rPr>
                <w:rFonts w:cs="Times New Roman"/>
                <w:sz w:val="16"/>
                <w:szCs w:val="16"/>
              </w:rPr>
            </w:pPr>
            <w:r w:rsidRPr="00C97430">
              <w:rPr>
                <w:rFonts w:cs="Times New Roman"/>
                <w:sz w:val="16"/>
                <w:szCs w:val="16"/>
              </w:rPr>
              <w:t>1,732 SEFs, DCMs, SDRs, and Reporting Counterparties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22DA856F" w14:textId="25A04CB2">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343DB437"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3E3760FF" w14:textId="77777777">
            <w:pPr>
              <w:rPr>
                <w:rFonts w:cs="Times New Roman"/>
                <w:sz w:val="16"/>
                <w:szCs w:val="16"/>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6D90E742"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2574E" w:rsidR="000435FB" w:rsidP="000435FB" w:rsidRDefault="000435FB" w14:paraId="6B04B9E6" w14:textId="77777777">
            <w:pPr>
              <w:rPr>
                <w:rFonts w:ascii="Arial" w:hAnsi="Arial" w:cs="Arial"/>
                <w:sz w:val="16"/>
                <w:szCs w:val="16"/>
              </w:rPr>
            </w:pPr>
          </w:p>
        </w:tc>
        <w:tc>
          <w:tcPr>
            <w:tcW w:w="473" w:type="pct"/>
            <w:tcBorders>
              <w:top w:val="single" w:color="auto" w:sz="8" w:space="0"/>
              <w:left w:val="single" w:color="auto" w:sz="4" w:space="0"/>
              <w:bottom w:val="single" w:color="auto" w:sz="8" w:space="0"/>
              <w:right w:val="single" w:color="auto" w:sz="4" w:space="0"/>
            </w:tcBorders>
            <w:shd w:val="clear" w:color="auto" w:fill="auto"/>
            <w:vAlign w:val="bottom"/>
          </w:tcPr>
          <w:p w:rsidRPr="000435FB" w:rsidR="000435FB" w:rsidP="000435FB" w:rsidRDefault="000435FB" w14:paraId="2F5C8E30" w14:textId="36AA68CA">
            <w:pPr>
              <w:rPr>
                <w:rFonts w:cs="Times New Roman"/>
                <w:sz w:val="16"/>
                <w:szCs w:val="16"/>
              </w:rPr>
            </w:pPr>
            <w:r w:rsidRPr="000435FB">
              <w:rPr>
                <w:rFonts w:cs="Times New Roman"/>
                <w:sz w:val="16"/>
                <w:szCs w:val="16"/>
              </w:rPr>
              <w:t xml:space="preserve">10,020,842 </w:t>
            </w:r>
          </w:p>
        </w:tc>
        <w:tc>
          <w:tcPr>
            <w:tcW w:w="350" w:type="pct"/>
            <w:tcBorders>
              <w:top w:val="single" w:color="auto" w:sz="8" w:space="0"/>
              <w:left w:val="nil"/>
              <w:bottom w:val="single" w:color="auto" w:sz="8" w:space="0"/>
              <w:right w:val="single" w:color="auto" w:sz="4" w:space="0"/>
            </w:tcBorders>
            <w:shd w:val="clear" w:color="auto" w:fill="auto"/>
            <w:vAlign w:val="bottom"/>
          </w:tcPr>
          <w:p w:rsidRPr="000435FB" w:rsidR="000435FB" w:rsidP="000435FB" w:rsidRDefault="000435FB" w14:paraId="0CC794FE" w14:textId="42D05B3D">
            <w:pPr>
              <w:rPr>
                <w:rFonts w:cs="Times New Roman"/>
                <w:sz w:val="16"/>
                <w:szCs w:val="16"/>
              </w:rPr>
            </w:pPr>
            <w:r w:rsidRPr="000435FB">
              <w:rPr>
                <w:rFonts w:cs="Times New Roman"/>
                <w:sz w:val="16"/>
                <w:szCs w:val="16"/>
              </w:rPr>
              <w:t>771,831</w:t>
            </w:r>
          </w:p>
        </w:tc>
        <w:tc>
          <w:tcPr>
            <w:tcW w:w="591" w:type="pct"/>
            <w:tcBorders>
              <w:top w:val="single" w:color="auto" w:sz="8" w:space="0"/>
              <w:left w:val="nil"/>
              <w:bottom w:val="single" w:color="auto" w:sz="8" w:space="0"/>
              <w:right w:val="single" w:color="auto" w:sz="8" w:space="0"/>
            </w:tcBorders>
            <w:shd w:val="clear" w:color="auto" w:fill="auto"/>
            <w:vAlign w:val="bottom"/>
          </w:tcPr>
          <w:p w:rsidRPr="000435FB" w:rsidR="000435FB" w:rsidP="000435FB" w:rsidRDefault="000435FB" w14:paraId="5FAB87AC" w14:textId="5ACAF061">
            <w:pPr>
              <w:rPr>
                <w:rFonts w:cs="Times New Roman"/>
                <w:sz w:val="16"/>
                <w:szCs w:val="16"/>
              </w:rPr>
            </w:pPr>
            <w:r>
              <w:rPr>
                <w:rFonts w:cs="Times New Roman"/>
                <w:sz w:val="16"/>
                <w:szCs w:val="16"/>
              </w:rPr>
              <w:t xml:space="preserve">$ </w:t>
            </w:r>
            <w:r w:rsidRPr="000435FB">
              <w:rPr>
                <w:rFonts w:cs="Times New Roman"/>
                <w:sz w:val="16"/>
                <w:szCs w:val="16"/>
              </w:rPr>
              <w:t xml:space="preserve">55,749,360 </w:t>
            </w:r>
          </w:p>
        </w:tc>
      </w:tr>
      <w:bookmarkEnd w:id="6"/>
      <w:tr w:rsidRPr="00C97430" w:rsidR="000435FB" w:rsidTr="00996467" w14:paraId="1AA77A10" w14:textId="77777777">
        <w:trPr>
          <w:trHeight w:val="440"/>
        </w:trPr>
        <w:tc>
          <w:tcPr>
            <w:tcW w:w="554" w:type="pct"/>
            <w:tcBorders>
              <w:top w:val="single" w:color="000000" w:sz="4" w:space="0"/>
              <w:left w:val="single" w:color="000000" w:sz="4" w:space="0"/>
              <w:bottom w:val="single" w:color="000000" w:sz="4" w:space="0"/>
              <w:right w:val="single" w:color="000000" w:sz="4" w:space="0"/>
            </w:tcBorders>
            <w:shd w:val="clear" w:color="auto" w:fill="auto"/>
          </w:tcPr>
          <w:p w:rsidRPr="00C97430" w:rsidR="000435FB" w:rsidP="000435FB" w:rsidRDefault="000435FB" w14:paraId="231D93A0" w14:textId="6E2FB617">
            <w:pPr>
              <w:rPr>
                <w:rFonts w:cs="Times New Roman"/>
                <w:sz w:val="16"/>
                <w:szCs w:val="16"/>
              </w:rPr>
            </w:pPr>
            <w:r w:rsidRPr="00C97430">
              <w:rPr>
                <w:rFonts w:cs="Times New Roman"/>
                <w:sz w:val="16"/>
                <w:szCs w:val="16"/>
              </w:rPr>
              <w:t>New Recordkeeping</w:t>
            </w:r>
            <w:r>
              <w:rPr>
                <w:rStyle w:val="EndnoteReference"/>
                <w:rFonts w:cs="Times New Roman"/>
                <w:sz w:val="16"/>
                <w:szCs w:val="16"/>
              </w:rPr>
              <w:endnoteReference w:id="10"/>
            </w:r>
            <w:r w:rsidRPr="00C97430">
              <w:rPr>
                <w:rFonts w:cs="Times New Roman"/>
                <w:sz w:val="16"/>
                <w:szCs w:val="16"/>
              </w:rPr>
              <w:t xml:space="preserve"> and Reporting Total</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40B51A98" w14:textId="175C7137">
            <w:pPr>
              <w:rPr>
                <w:rFonts w:cs="Times New Roman"/>
                <w:sz w:val="16"/>
                <w:szCs w:val="16"/>
              </w:rPr>
            </w:pPr>
            <w:r w:rsidRPr="00C97430">
              <w:rPr>
                <w:rFonts w:cs="Times New Roman"/>
                <w:sz w:val="16"/>
                <w:szCs w:val="16"/>
              </w:rPr>
              <w:t>1,732 SEFs, DCMs, SDRs, and Reporting Counterparties</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7ECA1F44" w14:textId="4AF5D656">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2B1E830B"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4C9602E7" w14:textId="77777777">
            <w:pPr>
              <w:rPr>
                <w:rFonts w:cs="Times New Roman"/>
                <w:sz w:val="16"/>
                <w:szCs w:val="16"/>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C97430" w:rsidR="000435FB" w:rsidP="000435FB" w:rsidRDefault="000435FB" w14:paraId="31FA43D1" w14:textId="77777777">
            <w:pPr>
              <w:rPr>
                <w:rFonts w:cs="Times New Roman"/>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2574E" w:rsidR="000435FB" w:rsidP="000435FB" w:rsidRDefault="000435FB" w14:paraId="690871FB" w14:textId="77777777">
            <w:pPr>
              <w:rPr>
                <w:rFonts w:ascii="Arial" w:hAnsi="Arial" w:cs="Arial"/>
                <w:sz w:val="16"/>
                <w:szCs w:val="16"/>
              </w:rPr>
            </w:pPr>
          </w:p>
        </w:tc>
        <w:tc>
          <w:tcPr>
            <w:tcW w:w="473" w:type="pct"/>
            <w:tcBorders>
              <w:top w:val="single" w:color="auto" w:sz="8" w:space="0"/>
              <w:left w:val="single" w:color="auto" w:sz="4" w:space="0"/>
              <w:bottom w:val="single" w:color="auto" w:sz="8" w:space="0"/>
              <w:right w:val="single" w:color="auto" w:sz="4" w:space="0"/>
            </w:tcBorders>
            <w:shd w:val="clear" w:color="auto" w:fill="auto"/>
            <w:vAlign w:val="bottom"/>
          </w:tcPr>
          <w:p w:rsidRPr="0052574E" w:rsidR="000435FB" w:rsidP="000435FB" w:rsidRDefault="000435FB" w14:paraId="040987D9" w14:textId="0699530E">
            <w:pPr>
              <w:rPr>
                <w:rFonts w:cs="Times New Roman"/>
                <w:sz w:val="16"/>
                <w:szCs w:val="16"/>
              </w:rPr>
            </w:pPr>
            <w:r w:rsidRPr="000435FB">
              <w:rPr>
                <w:rFonts w:cs="Times New Roman"/>
                <w:sz w:val="16"/>
                <w:szCs w:val="16"/>
              </w:rPr>
              <w:t xml:space="preserve">10,020,842 </w:t>
            </w:r>
          </w:p>
        </w:tc>
        <w:tc>
          <w:tcPr>
            <w:tcW w:w="350" w:type="pct"/>
            <w:tcBorders>
              <w:top w:val="single" w:color="auto" w:sz="8" w:space="0"/>
              <w:left w:val="nil"/>
              <w:bottom w:val="single" w:color="auto" w:sz="8" w:space="0"/>
              <w:right w:val="single" w:color="auto" w:sz="4" w:space="0"/>
            </w:tcBorders>
            <w:shd w:val="clear" w:color="auto" w:fill="auto"/>
            <w:vAlign w:val="bottom"/>
          </w:tcPr>
          <w:p w:rsidRPr="0052574E" w:rsidR="000435FB" w:rsidP="000435FB" w:rsidRDefault="000435FB" w14:paraId="7CAD4541" w14:textId="4313ECAB">
            <w:pPr>
              <w:rPr>
                <w:rFonts w:cs="Times New Roman"/>
                <w:sz w:val="16"/>
                <w:szCs w:val="16"/>
              </w:rPr>
            </w:pPr>
            <w:r w:rsidRPr="000435FB">
              <w:rPr>
                <w:rFonts w:cs="Times New Roman"/>
                <w:sz w:val="16"/>
                <w:szCs w:val="16"/>
              </w:rPr>
              <w:t>771,831</w:t>
            </w:r>
          </w:p>
        </w:tc>
        <w:tc>
          <w:tcPr>
            <w:tcW w:w="591" w:type="pct"/>
            <w:tcBorders>
              <w:top w:val="single" w:color="auto" w:sz="8" w:space="0"/>
              <w:left w:val="nil"/>
              <w:bottom w:val="single" w:color="auto" w:sz="8" w:space="0"/>
              <w:right w:val="single" w:color="auto" w:sz="8" w:space="0"/>
            </w:tcBorders>
            <w:shd w:val="clear" w:color="auto" w:fill="auto"/>
            <w:vAlign w:val="bottom"/>
          </w:tcPr>
          <w:p w:rsidRPr="0052574E" w:rsidR="000435FB" w:rsidP="000435FB" w:rsidRDefault="000435FB" w14:paraId="1E46BC03" w14:textId="6E6B38E1">
            <w:pPr>
              <w:rPr>
                <w:rFonts w:cs="Times New Roman"/>
                <w:sz w:val="16"/>
                <w:szCs w:val="16"/>
              </w:rPr>
            </w:pPr>
            <w:r>
              <w:rPr>
                <w:rFonts w:cs="Times New Roman"/>
                <w:sz w:val="16"/>
                <w:szCs w:val="16"/>
              </w:rPr>
              <w:t xml:space="preserve">$ </w:t>
            </w:r>
            <w:r w:rsidRPr="000435FB">
              <w:rPr>
                <w:rFonts w:cs="Times New Roman"/>
                <w:sz w:val="16"/>
                <w:szCs w:val="16"/>
              </w:rPr>
              <w:t xml:space="preserve">55,749,360 </w:t>
            </w:r>
          </w:p>
        </w:tc>
      </w:tr>
    </w:tbl>
    <w:p w:rsidR="009B10DF" w:rsidP="00C97430" w:rsidRDefault="009B10DF" w14:paraId="3DDB511F" w14:textId="0AD00517">
      <w:pPr>
        <w:tabs>
          <w:tab w:val="left" w:pos="-720"/>
          <w:tab w:val="left" w:pos="0"/>
        </w:tabs>
        <w:suppressAutoHyphens/>
      </w:pPr>
    </w:p>
    <w:p w:rsidR="00D2480B" w:rsidP="006457D3" w:rsidRDefault="00D2480B" w14:paraId="0B363144" w14:textId="77777777">
      <w:pPr>
        <w:tabs>
          <w:tab w:val="left" w:pos="-720"/>
          <w:tab w:val="left" w:pos="0"/>
        </w:tabs>
        <w:suppressAutoHyphens/>
        <w:jc w:val="center"/>
        <w:rPr>
          <w:b/>
        </w:rPr>
      </w:pPr>
      <w:r>
        <w:rPr>
          <w:b/>
        </w:rPr>
        <w:br w:type="page"/>
      </w:r>
    </w:p>
    <w:p w:rsidR="006457D3" w:rsidP="006457D3" w:rsidRDefault="006457D3" w14:paraId="695FF9AD" w14:textId="13219AA4">
      <w:pPr>
        <w:tabs>
          <w:tab w:val="left" w:pos="-720"/>
          <w:tab w:val="left" w:pos="0"/>
        </w:tabs>
        <w:suppressAutoHyphens/>
        <w:jc w:val="center"/>
        <w:rPr>
          <w:b/>
        </w:rPr>
      </w:pPr>
      <w:r w:rsidRPr="006457D3">
        <w:rPr>
          <w:b/>
        </w:rPr>
        <w:lastRenderedPageBreak/>
        <w:t>Attachment B</w:t>
      </w:r>
    </w:p>
    <w:p w:rsidRPr="006457D3" w:rsidR="006457D3" w:rsidP="006457D3" w:rsidRDefault="006457D3" w14:paraId="1A27C869" w14:textId="77777777">
      <w:pPr>
        <w:tabs>
          <w:tab w:val="left" w:pos="-720"/>
          <w:tab w:val="left" w:pos="0"/>
        </w:tabs>
        <w:suppressAutoHyphens/>
        <w:jc w:val="center"/>
        <w:rPr>
          <w:b/>
        </w:rPr>
      </w:pPr>
    </w:p>
    <w:p w:rsidR="006457D3" w:rsidP="006457D3" w:rsidRDefault="006457D3" w14:paraId="03403718" w14:textId="6C6ED476">
      <w:pPr>
        <w:tabs>
          <w:tab w:val="left" w:pos="-720"/>
          <w:tab w:val="left" w:pos="0"/>
        </w:tabs>
        <w:suppressAutoHyphens/>
        <w:jc w:val="center"/>
      </w:pPr>
      <w:r w:rsidRPr="006457D3">
        <w:t>Capital/Start-Up Costs</w:t>
      </w:r>
    </w:p>
    <w:p w:rsidRPr="006457D3" w:rsidR="006457D3" w:rsidP="006457D3" w:rsidRDefault="006457D3" w14:paraId="72D99DC9" w14:textId="77777777">
      <w:pPr>
        <w:tabs>
          <w:tab w:val="left" w:pos="-720"/>
          <w:tab w:val="left" w:pos="0"/>
        </w:tabs>
        <w:suppressAutoHyphens/>
        <w:jc w:val="center"/>
      </w:pPr>
    </w:p>
    <w:tbl>
      <w:tblPr>
        <w:tblW w:w="0" w:type="auto"/>
        <w:tblInd w:w="1188" w:type="dxa"/>
        <w:tblLook w:val="04A0" w:firstRow="1" w:lastRow="0" w:firstColumn="1" w:lastColumn="0" w:noHBand="0" w:noVBand="1"/>
      </w:tblPr>
      <w:tblGrid>
        <w:gridCol w:w="3600"/>
        <w:gridCol w:w="3690"/>
      </w:tblGrid>
      <w:tr w:rsidRPr="006457D3" w:rsidR="006457D3" w:rsidTr="000A15A8" w14:paraId="4E2295DF" w14:textId="77777777">
        <w:tc>
          <w:tcPr>
            <w:tcW w:w="360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518E4A1E" w14:textId="77777777">
            <w:pPr>
              <w:tabs>
                <w:tab w:val="left" w:pos="-720"/>
                <w:tab w:val="left" w:pos="0"/>
              </w:tabs>
              <w:suppressAutoHyphens/>
              <w:jc w:val="center"/>
              <w:rPr>
                <w:sz w:val="16"/>
              </w:rPr>
            </w:pPr>
            <w:r w:rsidRPr="006457D3">
              <w:rPr>
                <w:sz w:val="16"/>
              </w:rPr>
              <w:t>Regulation</w:t>
            </w:r>
          </w:p>
        </w:tc>
        <w:tc>
          <w:tcPr>
            <w:tcW w:w="369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5ABE35CB" w14:textId="77777777">
            <w:pPr>
              <w:tabs>
                <w:tab w:val="left" w:pos="-720"/>
                <w:tab w:val="left" w:pos="0"/>
              </w:tabs>
              <w:suppressAutoHyphens/>
              <w:jc w:val="center"/>
              <w:rPr>
                <w:sz w:val="16"/>
              </w:rPr>
            </w:pPr>
            <w:r w:rsidRPr="006457D3">
              <w:rPr>
                <w:sz w:val="16"/>
              </w:rPr>
              <w:t>Capital/Start-Up Costs</w:t>
            </w:r>
          </w:p>
        </w:tc>
      </w:tr>
      <w:tr w:rsidRPr="006457D3" w:rsidR="006457D3" w:rsidTr="000A15A8" w14:paraId="6C70F5E4" w14:textId="77777777">
        <w:tc>
          <w:tcPr>
            <w:tcW w:w="360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1FDC5FC9" w14:textId="77777777">
            <w:pPr>
              <w:tabs>
                <w:tab w:val="left" w:pos="-720"/>
                <w:tab w:val="left" w:pos="0"/>
              </w:tabs>
              <w:suppressAutoHyphens/>
              <w:jc w:val="center"/>
              <w:rPr>
                <w:sz w:val="16"/>
              </w:rPr>
            </w:pPr>
            <w:r w:rsidRPr="006457D3">
              <w:rPr>
                <w:sz w:val="16"/>
              </w:rPr>
              <w:t>43.3</w:t>
            </w:r>
          </w:p>
        </w:tc>
        <w:tc>
          <w:tcPr>
            <w:tcW w:w="3690" w:type="dxa"/>
            <w:tcBorders>
              <w:top w:val="single" w:color="auto" w:sz="4" w:space="0"/>
              <w:left w:val="single" w:color="auto" w:sz="4" w:space="0"/>
              <w:bottom w:val="single" w:color="auto" w:sz="4" w:space="0"/>
              <w:right w:val="single" w:color="auto" w:sz="4" w:space="0"/>
            </w:tcBorders>
            <w:hideMark/>
          </w:tcPr>
          <w:p w:rsidRPr="006457D3" w:rsidR="006457D3" w:rsidP="006457D3" w:rsidRDefault="006457D3" w14:paraId="64535857" w14:textId="59190D85">
            <w:pPr>
              <w:tabs>
                <w:tab w:val="left" w:pos="-720"/>
                <w:tab w:val="left" w:pos="0"/>
              </w:tabs>
              <w:suppressAutoHyphens/>
              <w:jc w:val="center"/>
              <w:rPr>
                <w:sz w:val="16"/>
              </w:rPr>
            </w:pPr>
            <w:r w:rsidRPr="006457D3">
              <w:rPr>
                <w:sz w:val="16"/>
              </w:rPr>
              <w:t>$</w:t>
            </w:r>
            <w:r w:rsidR="00502323">
              <w:rPr>
                <w:sz w:val="16"/>
              </w:rPr>
              <w:t xml:space="preserve"> </w:t>
            </w:r>
            <w:bookmarkStart w:name="_Hlk55219950" w:id="7"/>
            <w:r w:rsidR="003D5F4F">
              <w:rPr>
                <w:sz w:val="16"/>
              </w:rPr>
              <w:t>85,849,000</w:t>
            </w:r>
            <w:bookmarkEnd w:id="7"/>
            <w:r w:rsidR="00D2480B">
              <w:rPr>
                <w:rStyle w:val="EndnoteReference"/>
                <w:sz w:val="16"/>
              </w:rPr>
              <w:endnoteReference w:id="11"/>
            </w:r>
          </w:p>
        </w:tc>
      </w:tr>
    </w:tbl>
    <w:p w:rsidRPr="006457D3" w:rsidR="006457D3" w:rsidP="006457D3" w:rsidRDefault="006457D3" w14:paraId="3BF7A901" w14:textId="77777777">
      <w:pPr>
        <w:tabs>
          <w:tab w:val="left" w:pos="-720"/>
          <w:tab w:val="left" w:pos="0"/>
        </w:tabs>
        <w:suppressAutoHyphens/>
        <w:jc w:val="center"/>
        <w:rPr>
          <w:b/>
        </w:rPr>
      </w:pPr>
    </w:p>
    <w:sectPr w:rsidRPr="006457D3" w:rsidR="006457D3" w:rsidSect="00667B5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42384" w14:textId="77777777" w:rsidR="00625CFC" w:rsidRDefault="00625CFC" w:rsidP="009C6DB4">
      <w:r>
        <w:separator/>
      </w:r>
    </w:p>
  </w:endnote>
  <w:endnote w:type="continuationSeparator" w:id="0">
    <w:p w14:paraId="50F42385" w14:textId="77777777" w:rsidR="00625CFC" w:rsidRDefault="00625CFC" w:rsidP="009C6DB4">
      <w:r>
        <w:continuationSeparator/>
      </w:r>
    </w:p>
  </w:endnote>
  <w:endnote w:type="continuationNotice" w:id="1">
    <w:p w14:paraId="07D2C4EB" w14:textId="77777777" w:rsidR="00625CFC" w:rsidRDefault="00625CFC"/>
  </w:endnote>
  <w:endnote w:id="2">
    <w:p w14:paraId="5743623C" w14:textId="52BD062B" w:rsidR="00526E59" w:rsidRDefault="00526E59" w:rsidP="00491A3D">
      <w:pPr>
        <w:pStyle w:val="EndnoteText"/>
        <w:spacing w:after="120"/>
      </w:pPr>
      <w:r>
        <w:rPr>
          <w:rStyle w:val="EndnoteReference"/>
        </w:rPr>
        <w:endnoteRef/>
      </w:r>
      <w:r>
        <w:t xml:space="preserve"> </w:t>
      </w:r>
      <w:bookmarkStart w:id="3" w:name="_Hlk55316734"/>
      <w:r>
        <w:t>The Commission had previously estimated the total real-time public reporting burden</w:t>
      </w:r>
      <w:r w:rsidR="006D4CE7">
        <w:t xml:space="preserve"> </w:t>
      </w:r>
      <w:r w:rsidR="00751E79">
        <w:t>for both § 43.3 and</w:t>
      </w:r>
      <w:r w:rsidR="00716618">
        <w:t xml:space="preserve"> </w:t>
      </w:r>
      <w:r w:rsidR="00751E79">
        <w:t xml:space="preserve">§ 43.4 </w:t>
      </w:r>
      <w:r w:rsidR="006D4CE7">
        <w:t>to be</w:t>
      </w:r>
      <w:r>
        <w:t xml:space="preserve"> 521,644 hours across 872 respondents for a total estimated cost of $65,828,142. In coming to that estimate, the Commission over-estimated the number of SEFs, DCMs, and SDRs, but under-estimated the number of non-SD/MSP reporting counterparties. The Commission is revising those estim</w:t>
      </w:r>
      <w:r w:rsidR="00C06C33">
        <w:t xml:space="preserve">ates based on there being </w:t>
      </w:r>
      <w:r>
        <w:t xml:space="preserve">103 SDs/MSPs, 24 SEFs, 3 DCMs, and 1,585 non-SD/MSP reporting counterparties. The Commission also </w:t>
      </w:r>
      <w:r w:rsidR="00E43E66">
        <w:t xml:space="preserve">previously </w:t>
      </w:r>
      <w:r>
        <w:t xml:space="preserve">used $140 as the estimated average burden hour cost. The Commission is revising that estimate based on an average burden hour cost of $72.23. Finally, the Commission did not previously distinguish between the separate requirements in § 43.3 and § 43.4. The Commission has revised the estimate above to break out the two separate requirements by regulation. </w:t>
      </w:r>
      <w:r w:rsidR="00110E21">
        <w:t xml:space="preserve">The PRA estimate for </w:t>
      </w:r>
      <w:r>
        <w:t xml:space="preserve">§ 43.3 would therefore estimate the burden for the reports SEFs, DCMs, and reporting counterparties send to SDRs, and </w:t>
      </w:r>
      <w:r w:rsidR="00110E21">
        <w:t xml:space="preserve">the PRA estimate for </w:t>
      </w:r>
      <w:r>
        <w:t xml:space="preserve">§ 43.4 would estimate the burden for the reports SDRs publicly disseminate. </w:t>
      </w:r>
      <w:r w:rsidR="00751E79">
        <w:t>As revised (and before applying the amendments made in the final rule)</w:t>
      </w:r>
      <w:r>
        <w:t xml:space="preserve">, the estimate for </w:t>
      </w:r>
      <w:bookmarkStart w:id="4" w:name="_Hlk55316262"/>
      <w:r>
        <w:t>§ 43.3</w:t>
      </w:r>
      <w:bookmarkEnd w:id="4"/>
      <w:r>
        <w:t xml:space="preserve"> would be </w:t>
      </w:r>
      <w:r w:rsidRPr="00CD53D2">
        <w:t>1</w:t>
      </w:r>
      <w:r>
        <w:t>,</w:t>
      </w:r>
      <w:r w:rsidRPr="00CD53D2">
        <w:t>715</w:t>
      </w:r>
      <w:r>
        <w:t xml:space="preserve"> respondents, with </w:t>
      </w:r>
      <w:r w:rsidRPr="00CD53D2">
        <w:t>3</w:t>
      </w:r>
      <w:r>
        <w:t>,</w:t>
      </w:r>
      <w:r w:rsidRPr="00CD53D2">
        <w:t>000</w:t>
      </w:r>
      <w:r>
        <w:t xml:space="preserve"> reports per respondent, at </w:t>
      </w:r>
      <w:r w:rsidRPr="00CD53D2">
        <w:t>.15</w:t>
      </w:r>
      <w:r>
        <w:t xml:space="preserve"> hours per response at </w:t>
      </w:r>
      <w:r w:rsidRPr="00CD53D2">
        <w:t>771,750</w:t>
      </w:r>
      <w:r>
        <w:t xml:space="preserve"> total burden hours annually. Further amendments to this estimate based on the amendments to § 43.3 </w:t>
      </w:r>
      <w:r w:rsidR="00110E21">
        <w:t xml:space="preserve">being adopted in the final rule </w:t>
      </w:r>
      <w:r>
        <w:t xml:space="preserve">are discussed in </w:t>
      </w:r>
      <w:r w:rsidR="005568BA">
        <w:t xml:space="preserve">Item 12 above and </w:t>
      </w:r>
      <w:r w:rsidR="00CE2A10">
        <w:t>are reflected in th</w:t>
      </w:r>
      <w:r w:rsidR="00D6720B">
        <w:t>e above table</w:t>
      </w:r>
      <w:r w:rsidR="00D2480B">
        <w:t xml:space="preserve"> and related footnotes</w:t>
      </w:r>
      <w:r>
        <w:t>.</w:t>
      </w:r>
      <w:bookmarkEnd w:id="3"/>
    </w:p>
  </w:endnote>
  <w:endnote w:id="3">
    <w:p w14:paraId="7B6E31CD" w14:textId="56F7DC5D" w:rsidR="008A0A47" w:rsidRDefault="008A0A47">
      <w:pPr>
        <w:pStyle w:val="EndnoteText"/>
      </w:pPr>
      <w:r>
        <w:rPr>
          <w:rStyle w:val="EndnoteReference"/>
        </w:rPr>
        <w:endnoteRef/>
      </w:r>
      <w:r>
        <w:t xml:space="preserve"> </w:t>
      </w:r>
      <w:r w:rsidRPr="008A0A47">
        <w:t>The Commission is increasing the number of respondents for § 43.3 from 1,715 to 1,729 to reflect the addition of 14 DCOs as reporting counterparties.  Since DCOs have been exempted from the reporting requirements, however, it will not add or reduce the number of swap reports or impact the amount of time spent per report.</w:t>
      </w:r>
      <w:r w:rsidR="00A4133A">
        <w:br/>
      </w:r>
    </w:p>
  </w:endnote>
  <w:endnote w:id="4">
    <w:p w14:paraId="46EFE8C2" w14:textId="14303B93" w:rsidR="00526E59" w:rsidRDefault="00526E59" w:rsidP="00491A3D">
      <w:pPr>
        <w:pStyle w:val="EndnoteText"/>
        <w:spacing w:after="120"/>
      </w:pPr>
      <w:r>
        <w:rPr>
          <w:rStyle w:val="EndnoteReference"/>
        </w:rPr>
        <w:endnoteRef/>
      </w:r>
      <w:r>
        <w:t xml:space="preserve"> The Commission estimates that there are </w:t>
      </w:r>
      <w:r w:rsidR="00497FD8">
        <w:t xml:space="preserve">4,500,000 </w:t>
      </w:r>
      <w:r>
        <w:t xml:space="preserve">publicly-reportable swap transactions reported to, and publicly disseminated by, SDRs annually. As a result, the Commission’s </w:t>
      </w:r>
      <w:r w:rsidR="0028681F">
        <w:t>previous</w:t>
      </w:r>
      <w:r>
        <w:t xml:space="preserve"> estimate for § 43.3 </w:t>
      </w:r>
      <w:r w:rsidR="0028681F">
        <w:t>was</w:t>
      </w:r>
      <w:r>
        <w:t xml:space="preserve"> that the 1,715 respondents each report 3,000 swap reports to SDRs. </w:t>
      </w:r>
      <w:r w:rsidR="006457D3">
        <w:t>T</w:t>
      </w:r>
      <w:r>
        <w:t xml:space="preserve">he Commission estimates that the new regulations in § 43.3(a)(4) </w:t>
      </w:r>
      <w:r w:rsidR="0027483A">
        <w:t xml:space="preserve">will </w:t>
      </w:r>
      <w:r>
        <w:t xml:space="preserve">reduce the number of responses for 50 respondents by 5,000 responses (100 responses each). </w:t>
      </w:r>
      <w:r w:rsidR="006457D3">
        <w:t>T</w:t>
      </w:r>
      <w:r>
        <w:t xml:space="preserve">he reduction of approximately </w:t>
      </w:r>
      <w:r w:rsidR="00D2480B">
        <w:t>5,000</w:t>
      </w:r>
      <w:r>
        <w:t xml:space="preserve"> responses across 1,7</w:t>
      </w:r>
      <w:r w:rsidR="006457D3">
        <w:t>15</w:t>
      </w:r>
      <w:r>
        <w:t xml:space="preserve"> respondents </w:t>
      </w:r>
      <w:r w:rsidR="00B1384B">
        <w:t xml:space="preserve">is estimated to </w:t>
      </w:r>
      <w:r>
        <w:t>reduce the current estimate of 3,000 reports by each respondent to 2,99</w:t>
      </w:r>
      <w:r w:rsidR="006457D3">
        <w:t>7.085</w:t>
      </w:r>
      <w:r>
        <w:t xml:space="preserve"> reports per respondent. The Commission has updated the rest of the estimate for § 43.3 based on this change accordingly.</w:t>
      </w:r>
    </w:p>
  </w:endnote>
  <w:endnote w:id="5">
    <w:p w14:paraId="473219B4" w14:textId="4464568B" w:rsidR="00526E59" w:rsidRDefault="00526E59" w:rsidP="00491A3D">
      <w:pPr>
        <w:pStyle w:val="EndnoteText"/>
        <w:spacing w:after="120"/>
      </w:pPr>
      <w:r>
        <w:rPr>
          <w:rStyle w:val="EndnoteReference"/>
        </w:rPr>
        <w:endnoteRef/>
      </w:r>
      <w:r>
        <w:t xml:space="preserve"> The Commission currently estimates the average number of burden hours per response for </w:t>
      </w:r>
      <w:bookmarkStart w:id="5" w:name="_Hlk54947139"/>
      <w:r>
        <w:t>§ 43.3 as .15 hours</w:t>
      </w:r>
      <w:bookmarkEnd w:id="5"/>
      <w:r>
        <w:t xml:space="preserve">. The Commission estimates that the removal of the requirement for reporting entities to timestamp their swap reports </w:t>
      </w:r>
      <w:r w:rsidR="00B1384B">
        <w:t xml:space="preserve">will </w:t>
      </w:r>
      <w:r>
        <w:t>reduce the amount of time entities need to spend on each report by .01 hours per report, to .14 hours per report. The Commission is updating the rest of the estimate accordingly.</w:t>
      </w:r>
      <w:r w:rsidR="0046413B">
        <w:t xml:space="preserve"> The PRA section in the adopting release incorrectly reported the burden hours per response for § 43.3 as .067 hours, but as this was a typographical error, the correct number is included above and will be included in a </w:t>
      </w:r>
      <w:r w:rsidR="0046413B" w:rsidRPr="0046413B">
        <w:t xml:space="preserve">separate 60-day notice </w:t>
      </w:r>
      <w:r w:rsidR="0046413B">
        <w:t xml:space="preserve">that is </w:t>
      </w:r>
      <w:r w:rsidR="0046413B" w:rsidRPr="0046413B">
        <w:t>being published in the Federal Register</w:t>
      </w:r>
      <w:r w:rsidR="0046413B">
        <w:t xml:space="preserve"> concurrently with publication of the </w:t>
      </w:r>
      <w:r w:rsidR="007340E1">
        <w:t>f</w:t>
      </w:r>
      <w:r w:rsidR="0046413B">
        <w:t xml:space="preserve">inal </w:t>
      </w:r>
      <w:r w:rsidR="007340E1">
        <w:t>r</w:t>
      </w:r>
      <w:r w:rsidR="0046413B">
        <w:t>ule.</w:t>
      </w:r>
    </w:p>
  </w:endnote>
  <w:endnote w:id="6">
    <w:p w14:paraId="6D5393E2" w14:textId="3797A86A" w:rsidR="00526E59" w:rsidRDefault="00526E59" w:rsidP="00491A3D">
      <w:pPr>
        <w:pStyle w:val="EndnoteText"/>
        <w:spacing w:after="120"/>
      </w:pPr>
      <w:r>
        <w:rPr>
          <w:rStyle w:val="EndnoteReference"/>
        </w:rPr>
        <w:endnoteRef/>
      </w:r>
      <w:r>
        <w:t xml:space="preserve"> As discussed in note 1, the Commission had not previously estimated the burden for each of the regulatory requirements in §§ 43.3 and 43.4 separately. Now, the Commission is </w:t>
      </w:r>
      <w:r w:rsidR="0027483A">
        <w:t xml:space="preserve">revising </w:t>
      </w:r>
      <w:r>
        <w:t>the estimate for § 43.4 separately. § 43.4 requires SDRs to publicly disseminate swap reports. The Commission is estimating the burden for the three SDRs separately, in light of the amendments to § 43.4.</w:t>
      </w:r>
    </w:p>
  </w:endnote>
  <w:endnote w:id="7">
    <w:p w14:paraId="7D8C52C6" w14:textId="5A5055DC" w:rsidR="00526E59" w:rsidRDefault="00526E59" w:rsidP="00491A3D">
      <w:pPr>
        <w:pStyle w:val="EndnoteText"/>
        <w:spacing w:after="120"/>
      </w:pPr>
      <w:r>
        <w:rPr>
          <w:rStyle w:val="EndnoteReference"/>
        </w:rPr>
        <w:endnoteRef/>
      </w:r>
      <w:r>
        <w:t xml:space="preserve"> The Commission estimates that SDRs publicly disseminate </w:t>
      </w:r>
      <w:r w:rsidR="00497FD8">
        <w:t xml:space="preserve">4,500,000 </w:t>
      </w:r>
      <w:r>
        <w:t xml:space="preserve">swap reports annually. However, the amendments to § 43.3(a)(6) </w:t>
      </w:r>
      <w:r w:rsidR="00A5220E">
        <w:t xml:space="preserve">will </w:t>
      </w:r>
      <w:r>
        <w:t xml:space="preserve">reduce the number of reports SDRs have to publicly disseminate by no longer requiring SDRs to publicly disseminate mirror swaps. The Commission estimates this </w:t>
      </w:r>
      <w:r w:rsidR="00A5220E">
        <w:t xml:space="preserve">will </w:t>
      </w:r>
      <w:r>
        <w:t xml:space="preserve">reduce the number of reports SDRs need to publicly disseminate by 100 swap reports per SDR, bringing the new estimate to 1,499,900 reports per SDR. </w:t>
      </w:r>
      <w:r w:rsidRPr="008303AB">
        <w:t>The Commission is revising the rest of the estimate accordingly.</w:t>
      </w:r>
    </w:p>
  </w:endnote>
  <w:endnote w:id="8">
    <w:p w14:paraId="2B5738CC" w14:textId="042BB18A" w:rsidR="00526E59" w:rsidRDefault="00526E59" w:rsidP="00491A3D">
      <w:pPr>
        <w:pStyle w:val="EndnoteText"/>
        <w:spacing w:after="120"/>
      </w:pPr>
      <w:r>
        <w:rPr>
          <w:rStyle w:val="EndnoteReference"/>
        </w:rPr>
        <w:endnoteRef/>
      </w:r>
      <w:r>
        <w:t xml:space="preserve"> The Commission estimates that SDRs currently spend .01 hours publicly disseminating each swap report. The amendments to § 43.4(h)(2) </w:t>
      </w:r>
      <w:r w:rsidR="00B1384B">
        <w:t xml:space="preserve">will </w:t>
      </w:r>
      <w:r>
        <w:t xml:space="preserve">no longer require SDRs to publicly disseminate certain timestamps in each report. The Commission estimates this </w:t>
      </w:r>
      <w:r w:rsidR="00B1384B">
        <w:t xml:space="preserve">will </w:t>
      </w:r>
      <w:r>
        <w:t>reduce the amount of time SDRs spend on each report by .001 hours, resulting in a new estimate of .009 hours per report. The Commission is revising the rest of the estimate accordingly.</w:t>
      </w:r>
    </w:p>
  </w:endnote>
  <w:endnote w:id="9">
    <w:p w14:paraId="4515E353" w14:textId="1EE0CAB3" w:rsidR="00526E59" w:rsidRDefault="00526E59" w:rsidP="00491A3D">
      <w:pPr>
        <w:pStyle w:val="EndnoteText"/>
        <w:spacing w:after="120"/>
      </w:pPr>
      <w:r>
        <w:rPr>
          <w:rStyle w:val="EndnoteReference"/>
        </w:rPr>
        <w:endnoteRef/>
      </w:r>
      <w:r>
        <w:t xml:space="preserve"> The Commission had previously separately estimated the burden for § 43.6</w:t>
      </w:r>
      <w:r w:rsidR="00BC2F06">
        <w:t xml:space="preserve"> to be</w:t>
      </w:r>
      <w:r w:rsidR="002C5B04">
        <w:t xml:space="preserve"> $739,883 for 2,250 SD, MSP, and non-SD/MSP reporting counterparties with a total of</w:t>
      </w:r>
      <w:r w:rsidR="00BC2F06">
        <w:t xml:space="preserve"> 247,500 annual responses</w:t>
      </w:r>
      <w:r w:rsidR="002C5B04">
        <w:t xml:space="preserve"> and </w:t>
      </w:r>
      <w:r w:rsidR="00BC2F06">
        <w:t>5,250 estimated annual burden hours</w:t>
      </w:r>
      <w:r>
        <w:t xml:space="preserve">. </w:t>
      </w:r>
      <w:r w:rsidR="005A19F0" w:rsidRPr="005A19F0">
        <w:t xml:space="preserve">The Commission is not </w:t>
      </w:r>
      <w:r w:rsidR="002C5548" w:rsidRPr="005A19F0">
        <w:t>revis</w:t>
      </w:r>
      <w:r w:rsidR="002C5548">
        <w:t>ing</w:t>
      </w:r>
      <w:r w:rsidR="002C5548" w:rsidRPr="005A19F0">
        <w:t xml:space="preserve"> </w:t>
      </w:r>
      <w:r w:rsidR="005A19F0" w:rsidRPr="005A19F0">
        <w:t>its burden hour estimates for its block trade regulation, but is updating its estimate of the total burden hour cost of all responses based on an hourly cost estimate of $72.23 instead of the previous estimate of $140.93</w:t>
      </w:r>
      <w:r w:rsidR="002C5B04">
        <w:t xml:space="preserve">, as well as 1,688 respondents (1,585 non-SD/MSP counterparties </w:t>
      </w:r>
      <w:r w:rsidR="006279B3">
        <w:t xml:space="preserve">plus </w:t>
      </w:r>
      <w:r w:rsidR="002C5B04">
        <w:t>103 SDs/MSPs) instead of 2,250</w:t>
      </w:r>
      <w:r>
        <w:t>. The Commission is updating the rest of the estimate accordingly.</w:t>
      </w:r>
      <w:r w:rsidR="00BC2F06">
        <w:t xml:space="preserve"> </w:t>
      </w:r>
      <w:r w:rsidR="002C5B04">
        <w:t xml:space="preserve">The result is </w:t>
      </w:r>
      <w:r w:rsidR="005A19F0">
        <w:t xml:space="preserve">an </w:t>
      </w:r>
      <w:r w:rsidR="002C5B04">
        <w:t xml:space="preserve">adjustment to the total number of annual </w:t>
      </w:r>
      <w:r w:rsidR="005A19F0">
        <w:t>responses to 337,600</w:t>
      </w:r>
      <w:r w:rsidR="002C5B04">
        <w:t xml:space="preserve"> from 247,500, with </w:t>
      </w:r>
      <w:r w:rsidR="00502323">
        <w:t>an adjustment</w:t>
      </w:r>
      <w:r w:rsidR="002C5B04">
        <w:t xml:space="preserve"> of </w:t>
      </w:r>
      <w:r w:rsidR="000D5639">
        <w:t>5,638 burden hours from the prior estimated annual burden of 5,250 hours, and</w:t>
      </w:r>
      <w:r w:rsidR="002C5B04">
        <w:t>, but a reduction in the total annual burden hour cost from $</w:t>
      </w:r>
      <w:r w:rsidR="00502323">
        <w:t xml:space="preserve"> </w:t>
      </w:r>
      <w:r w:rsidR="002C5B04">
        <w:t>739,883 to $</w:t>
      </w:r>
      <w:r w:rsidR="00502323">
        <w:t xml:space="preserve"> </w:t>
      </w:r>
      <w:r w:rsidR="007E1FF2">
        <w:t>407,227</w:t>
      </w:r>
      <w:r w:rsidR="002C5B04">
        <w:t>.</w:t>
      </w:r>
    </w:p>
  </w:endnote>
  <w:endnote w:id="10">
    <w:p w14:paraId="37697DAD" w14:textId="4C4FB02B" w:rsidR="000435FB" w:rsidRDefault="000435FB" w:rsidP="0052574E">
      <w:pPr>
        <w:pStyle w:val="EndnoteText"/>
        <w:spacing w:after="120"/>
      </w:pPr>
      <w:r>
        <w:rPr>
          <w:rStyle w:val="EndnoteReference"/>
        </w:rPr>
        <w:endnoteRef/>
      </w:r>
      <w:r>
        <w:t xml:space="preserve"> The Commission had previously estimated the recordkeeping total for § 43.4(h) to be </w:t>
      </w:r>
      <w:r w:rsidRPr="005025C1">
        <w:t>5,854</w:t>
      </w:r>
      <w:r>
        <w:t xml:space="preserve"> hours. The Commission is removing the requirement to keep records of timestamps in § 43.4(h). The Commission is accordingly removing the recordkeeping burden for § 43.4(h) from this information collection.</w:t>
      </w:r>
    </w:p>
  </w:endnote>
  <w:endnote w:id="11">
    <w:p w14:paraId="65C38BE7" w14:textId="716C6256" w:rsidR="00D2480B" w:rsidRDefault="00D2480B">
      <w:pPr>
        <w:pStyle w:val="EndnoteText"/>
      </w:pPr>
      <w:r>
        <w:rPr>
          <w:rStyle w:val="EndnoteReference"/>
        </w:rPr>
        <w:endnoteRef/>
      </w:r>
      <w:r>
        <w:t xml:space="preserve"> </w:t>
      </w:r>
      <w:r w:rsidRPr="00D2480B">
        <w:t>Since the Commission cannot enter a range of estimates, the Commission has averaged its estimates of (i) $24,000 to $74,000 as $49,000 for the 1,732 reporting entities, for a total of</w:t>
      </w:r>
      <w:r w:rsidR="0028681F">
        <w:t xml:space="preserve"> $</w:t>
      </w:r>
      <w:r w:rsidRPr="00D2480B">
        <w:t>84,868,000 ($49,000 * 1,732 reporting entities).</w:t>
      </w:r>
      <w:r w:rsidR="0028681F">
        <w:t xml:space="preserve">  As discussed abo</w:t>
      </w:r>
      <w:r w:rsidR="00EF5AB7">
        <w:t>v</w:t>
      </w:r>
      <w:r w:rsidR="0028681F">
        <w:t xml:space="preserve">e, </w:t>
      </w:r>
      <w:r w:rsidR="002A5C0B">
        <w:t>although the Commission used an arithmetic average to estimate the total cost</w:t>
      </w:r>
      <w:r w:rsidR="00976BCB">
        <w:t>s</w:t>
      </w:r>
      <w:r w:rsidR="00E9431A">
        <w:t xml:space="preserve"> for reporting entities</w:t>
      </w:r>
      <w:r w:rsidR="002A5C0B">
        <w:t xml:space="preserve">, based on its eight years of experience administering the existing real-time reporting regulation, </w:t>
      </w:r>
      <w:r w:rsidR="0028681F">
        <w:t>the Commission believes the costs will be at the low</w:t>
      </w:r>
      <w:r w:rsidR="002A5C0B">
        <w:t>er</w:t>
      </w:r>
      <w:r w:rsidR="0028681F">
        <w:t xml:space="preserve"> end of </w:t>
      </w:r>
      <w:r w:rsidR="002A5C0B">
        <w:t xml:space="preserve">the </w:t>
      </w:r>
      <w:r w:rsidR="0028681F">
        <w:t>estimate</w:t>
      </w:r>
      <w:r w:rsidR="002A5C0B">
        <w:t>d range</w:t>
      </w:r>
      <w:r w:rsidR="0028681F">
        <w:t>.</w:t>
      </w:r>
      <w:r w:rsidR="00E9431A">
        <w:t xml:space="preserve">  The total estimated costs of $</w:t>
      </w:r>
      <w:r w:rsidR="00E9431A" w:rsidRPr="00E9431A">
        <w:t>85,849,000</w:t>
      </w:r>
      <w:r w:rsidR="00E9431A">
        <w:t xml:space="preserve"> also include an estimated additional $981,000 for the three SDRs to modify and maintain their systems, including their data reporting, ingestion, and validation systems, based on a range from $144,000 to $510,000 per SDR (average estimate per SDR of $327,000 * 3 = $981,000).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42F9" w14:textId="77777777" w:rsidR="00625CFC" w:rsidRDefault="00625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575907"/>
      <w:docPartObj>
        <w:docPartGallery w:val="Page Numbers (Bottom of Page)"/>
        <w:docPartUnique/>
      </w:docPartObj>
    </w:sdtPr>
    <w:sdtEndPr>
      <w:rPr>
        <w:noProof/>
      </w:rPr>
    </w:sdtEndPr>
    <w:sdtContent>
      <w:p w14:paraId="291E0182" w14:textId="709B4923" w:rsidR="00502323" w:rsidRDefault="00502323" w:rsidP="005023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49EB" w14:textId="77777777" w:rsidR="00625CFC" w:rsidRDefault="0062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382" w14:textId="77777777" w:rsidR="00625CFC" w:rsidRDefault="00625CFC" w:rsidP="009C6DB4">
      <w:r>
        <w:separator/>
      </w:r>
    </w:p>
  </w:footnote>
  <w:footnote w:type="continuationSeparator" w:id="0">
    <w:p w14:paraId="50F42383" w14:textId="77777777" w:rsidR="00625CFC" w:rsidRDefault="00625CFC" w:rsidP="009C6DB4">
      <w:r>
        <w:continuationSeparator/>
      </w:r>
    </w:p>
  </w:footnote>
  <w:footnote w:type="continuationNotice" w:id="1">
    <w:p w14:paraId="7B6361B4" w14:textId="77777777" w:rsidR="00625CFC" w:rsidRDefault="00625CFC"/>
  </w:footnote>
  <w:footnote w:id="2">
    <w:p w14:paraId="4A64E149" w14:textId="676D2CCC" w:rsidR="008B3A19" w:rsidRDefault="008B3A19">
      <w:pPr>
        <w:pStyle w:val="FootnoteText"/>
      </w:pPr>
      <w:r>
        <w:rPr>
          <w:rStyle w:val="FootnoteReference"/>
        </w:rPr>
        <w:footnoteRef/>
      </w:r>
      <w:r>
        <w:t xml:space="preserve"> </w:t>
      </w:r>
      <w:r w:rsidRPr="008B3A19">
        <w:t xml:space="preserve">The Commission proposed the amendments to Part 43 in February 2020. See Real-Time Public Reporting Requirements, </w:t>
      </w:r>
      <w:r w:rsidR="00951883">
        <w:t>8</w:t>
      </w:r>
      <w:bookmarkStart w:id="0" w:name="_GoBack"/>
      <w:bookmarkEnd w:id="0"/>
      <w:r w:rsidRPr="008B3A19">
        <w:t>5 FR 21516 (Apr. 17, 2020).</w:t>
      </w:r>
      <w:r w:rsidR="00F1175E">
        <w:t xml:space="preserve">  </w:t>
      </w:r>
      <w:r w:rsidR="005570C8">
        <w:t>The Commission is amending the estimates provided in the supporting statement for the proposal in this supporting statement. We are requesting comments on estimates that were not included in the proposal in a separate 60-day notice.</w:t>
      </w:r>
    </w:p>
  </w:footnote>
  <w:footnote w:id="3">
    <w:p w14:paraId="0A361C94" w14:textId="3F53BD5C" w:rsidR="00CC215F" w:rsidRDefault="00CC215F">
      <w:pPr>
        <w:pStyle w:val="FootnoteText"/>
      </w:pPr>
      <w:r>
        <w:rPr>
          <w:rStyle w:val="FootnoteReference"/>
        </w:rPr>
        <w:footnoteRef/>
      </w:r>
      <w:r>
        <w:t xml:space="preserve"> </w:t>
      </w:r>
      <w:r w:rsidRPr="00CC215F">
        <w:t>The Commission is publishing a 60-day notice (“60-day Notice”) in the Federal Register at the same time as publication of this final rule in order to solicit comment on burden estimates for part 43 that were not included in the proposal</w:t>
      </w:r>
      <w:r>
        <w:t>.</w:t>
      </w:r>
    </w:p>
  </w:footnote>
  <w:footnote w:id="4">
    <w:p w14:paraId="685A6AE6" w14:textId="17EC0D01" w:rsidR="00562731" w:rsidRDefault="00562731">
      <w:pPr>
        <w:pStyle w:val="FootnoteText"/>
      </w:pPr>
      <w:r>
        <w:rPr>
          <w:rStyle w:val="FootnoteReference"/>
        </w:rPr>
        <w:footnoteRef/>
      </w:r>
      <w:r>
        <w:t xml:space="preserve"> </w:t>
      </w:r>
      <w:r w:rsidRPr="00562731">
        <w:t xml:space="preserve">Attachment A to the supporting statement for the proposed rule only showed the changes in the burden estimates for § 43.3 and § 43.4 </w:t>
      </w:r>
      <w:r w:rsidR="00D60B20">
        <w:t>for</w:t>
      </w:r>
      <w:r w:rsidRPr="00562731">
        <w:t xml:space="preserve"> the proposed rule. For the final rule, the Commission has revised Attachment A to this supporting statement to include aggregate burden estimates for all requirements in the collection.</w:t>
      </w:r>
    </w:p>
  </w:footnote>
  <w:footnote w:id="5">
    <w:p w14:paraId="1382D1A6" w14:textId="6ACE5F50" w:rsidR="00E15810" w:rsidRDefault="00E15810">
      <w:pPr>
        <w:pStyle w:val="FootnoteText"/>
      </w:pPr>
      <w:r>
        <w:rPr>
          <w:rStyle w:val="FootnoteReference"/>
        </w:rPr>
        <w:footnoteRef/>
      </w:r>
      <w:r>
        <w:t xml:space="preserve"> The number of swap reports being sent to SDRs is estimated to be higher than the number of reports publicly disseminated by SDRs to account for reports that are not publicly disseminated due to errors that require resubmission by the counterparties.</w:t>
      </w:r>
    </w:p>
  </w:footnote>
  <w:footnote w:id="6">
    <w:p w14:paraId="77880C7C" w14:textId="68823EB1" w:rsidR="004051C2" w:rsidRDefault="004051C2">
      <w:pPr>
        <w:pStyle w:val="FootnoteText"/>
      </w:pPr>
      <w:r>
        <w:rPr>
          <w:rStyle w:val="FootnoteReference"/>
        </w:rPr>
        <w:footnoteRef/>
      </w:r>
      <w:r>
        <w:t xml:space="preserve"> </w:t>
      </w:r>
      <w:r w:rsidR="001A23B4" w:rsidRPr="001A23B4">
        <w:t>The Commission is amend</w:t>
      </w:r>
      <w:r w:rsidR="0027483A">
        <w:t>ing</w:t>
      </w:r>
      <w:r w:rsidR="001A23B4" w:rsidRPr="001A23B4">
        <w:t xml:space="preserve"> § 43.3(a)(4) to allow reporting counterparties more time to report post-priced swaps to SDRs.</w:t>
      </w:r>
      <w:r w:rsidR="001A23B4">
        <w:t xml:space="preserve"> </w:t>
      </w:r>
      <w:r w:rsidR="001A23B4" w:rsidRPr="001A23B4">
        <w:t xml:space="preserve">Currently, some entities report post-priced swaps using a placeholder price, and then send a swap report later amending the price. Those entities </w:t>
      </w:r>
      <w:r w:rsidR="00B03C60">
        <w:t>will</w:t>
      </w:r>
      <w:r w:rsidR="00B03C60" w:rsidRPr="001A23B4">
        <w:t xml:space="preserve"> </w:t>
      </w:r>
      <w:r w:rsidR="001A23B4" w:rsidRPr="001A23B4">
        <w:t xml:space="preserve">experience a reduction in the number of </w:t>
      </w:r>
      <w:proofErr w:type="gramStart"/>
      <w:r w:rsidR="001A23B4" w:rsidRPr="001A23B4">
        <w:t>swap</w:t>
      </w:r>
      <w:proofErr w:type="gramEnd"/>
      <w:r w:rsidR="001A23B4" w:rsidRPr="001A23B4">
        <w:t xml:space="preserve"> reports they are required to send pursuant to § 43.3 under the </w:t>
      </w:r>
      <w:r w:rsidR="0027483A">
        <w:t>final rule</w:t>
      </w:r>
      <w:r w:rsidR="001A23B4" w:rsidRPr="001A23B4">
        <w:t xml:space="preserve">. The Commission estimates 50 SD/MSP reporting counterparties </w:t>
      </w:r>
      <w:r w:rsidR="00B03C60">
        <w:t>will</w:t>
      </w:r>
      <w:r w:rsidR="00B03C60" w:rsidRPr="001A23B4">
        <w:t xml:space="preserve"> </w:t>
      </w:r>
      <w:r w:rsidR="001A23B4" w:rsidRPr="001A23B4">
        <w:t xml:space="preserve">reduce the number of post-priced swaps reports they report to SDRs by 100 reports per respondent annually, or 5,000 reports in the aggregate, for aggregate burden hours of </w:t>
      </w:r>
      <w:r w:rsidR="000903B0" w:rsidRPr="00D2480B">
        <w:t>50 hours</w:t>
      </w:r>
      <w:r w:rsidR="000903B0">
        <w:t>.</w:t>
      </w:r>
      <w:r w:rsidR="001A23B4" w:rsidRPr="001A23B4">
        <w:t xml:space="preserve"> </w:t>
      </w:r>
    </w:p>
  </w:footnote>
  <w:footnote w:id="7">
    <w:p w14:paraId="4FA3E793" w14:textId="4662230C" w:rsidR="008A0A47" w:rsidRDefault="008A0A47">
      <w:pPr>
        <w:pStyle w:val="FootnoteText"/>
      </w:pPr>
      <w:r>
        <w:rPr>
          <w:rStyle w:val="FootnoteReference"/>
        </w:rPr>
        <w:footnoteRef/>
      </w:r>
      <w:r>
        <w:t xml:space="preserve"> The Commission is increasing the number of respondents for </w:t>
      </w:r>
      <w:r w:rsidRPr="001A23B4">
        <w:t>§ 43.3</w:t>
      </w:r>
      <w:r>
        <w:t xml:space="preserve"> from 1,715 to 1,729 to reflect the addition of 14 DCOs as reporting counterparties.  Since DCOs have been exempted from the reporting requirements, however, it will not add or reduce the number of swap reports or impact the amount of time spent per report.</w:t>
      </w:r>
    </w:p>
  </w:footnote>
  <w:footnote w:id="8">
    <w:p w14:paraId="3D85AF71" w14:textId="77777777" w:rsidR="00D55155" w:rsidRPr="00111F8C" w:rsidRDefault="00D55155" w:rsidP="00D55155">
      <w:pPr>
        <w:pStyle w:val="FootnoteText"/>
      </w:pPr>
      <w:r>
        <w:rPr>
          <w:rStyle w:val="FootnoteReference"/>
        </w:rPr>
        <w:footnoteRef/>
      </w:r>
      <w:r>
        <w:t xml:space="preserve"> </w:t>
      </w:r>
      <w:r w:rsidRPr="00D55155">
        <w:t>The Commission is not revising its burden hour estimates for its separate block trade regulation</w:t>
      </w:r>
      <w:r>
        <w:t xml:space="preserve">. </w:t>
      </w:r>
      <w:r w:rsidRPr="00D55155">
        <w:rPr>
          <w:i/>
        </w:rPr>
        <w:t>See</w:t>
      </w:r>
      <w:r>
        <w:t xml:space="preserve"> </w:t>
      </w:r>
      <w:r w:rsidRPr="00111F8C">
        <w:t xml:space="preserve">Procedures </w:t>
      </w:r>
      <w:proofErr w:type="gramStart"/>
      <w:r w:rsidRPr="00111F8C">
        <w:t>To</w:t>
      </w:r>
      <w:proofErr w:type="gramEnd"/>
      <w:r w:rsidRPr="00111F8C">
        <w:t xml:space="preserve"> Establish Appropriate Minimum Block Sizes for Large Notional Off-Facility Swaps and Block Trades</w:t>
      </w:r>
      <w:r>
        <w:t xml:space="preserve"> (</w:t>
      </w:r>
      <w:r w:rsidRPr="00111F8C">
        <w:t>May 31, 2013</w:t>
      </w:r>
      <w:r>
        <w:t>), 78 FR 32866, at nn.528 and 531</w:t>
      </w:r>
      <w:r w:rsidR="00895FDB">
        <w:t xml:space="preserve">.  </w:t>
      </w:r>
    </w:p>
    <w:p w14:paraId="4CA8681A" w14:textId="77777777" w:rsidR="00D55155" w:rsidRDefault="00D55155" w:rsidP="00D55155">
      <w:pPr>
        <w:pStyle w:val="FootnoteText"/>
      </w:pPr>
    </w:p>
  </w:footnote>
  <w:footnote w:id="9">
    <w:p w14:paraId="127DF2FA" w14:textId="77777777" w:rsidR="005F5E48" w:rsidRDefault="005F5E48" w:rsidP="005F5E48">
      <w:pPr>
        <w:pStyle w:val="FootnoteText"/>
      </w:pPr>
      <w:r>
        <w:rPr>
          <w:rStyle w:val="FootnoteReference"/>
        </w:rPr>
        <w:footnoteRef/>
      </w:r>
      <w:r>
        <w:t xml:space="preserve"> The Commission did not include any burden estimates in the final rule related to the modification or maintenance of systems in order to </w:t>
      </w:r>
      <w:proofErr w:type="gramStart"/>
      <w:r>
        <w:t>be in compliance with</w:t>
      </w:r>
      <w:proofErr w:type="gramEnd"/>
      <w:r>
        <w:t xml:space="preserve"> the amendments to § 43.4. To avoid double-counting, the Commission included the costs associated with updates to § 43.4 in the estimates for § 43.3, as they would be captured in the costs of updating systems based on the list of swap data elements in part 43. As noted below, the Commission is soliciting comments on the revised burden estimates for part 43 that are being adopted in the final rule.</w:t>
      </w:r>
    </w:p>
  </w:footnote>
  <w:footnote w:id="10">
    <w:p w14:paraId="53E18030" w14:textId="1FA3DDAE" w:rsidR="004A2EA8" w:rsidRDefault="004A2EA8">
      <w:pPr>
        <w:pStyle w:val="FootnoteText"/>
      </w:pPr>
      <w:r>
        <w:rPr>
          <w:rStyle w:val="FootnoteReference"/>
        </w:rPr>
        <w:footnoteRef/>
      </w:r>
      <w:r>
        <w:t xml:space="preserve"> </w:t>
      </w:r>
      <w:r w:rsidRPr="004A2EA8">
        <w:t xml:space="preserve">Based on the Commission’s eight years of experience in administering the existing-real time reporting regulation, the Commission believes that the costs to reporting entities to implement the </w:t>
      </w:r>
      <w:r w:rsidR="00A157DB">
        <w:t>final r</w:t>
      </w:r>
      <w:r w:rsidRPr="004A2EA8">
        <w:t xml:space="preserve">ule will be on the lower end of the range, closer to $24,000 than to $74,000.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742F" w14:textId="77777777" w:rsidR="00625CFC" w:rsidRDefault="00625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98C2" w14:textId="77777777" w:rsidR="00625CFC" w:rsidRDefault="00625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666C" w14:textId="77777777" w:rsidR="00625CFC" w:rsidRDefault="00625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1D20AAE"/>
    <w:multiLevelType w:val="hybridMultilevel"/>
    <w:tmpl w:val="1CBE2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FA4D79"/>
    <w:multiLevelType w:val="hybridMultilevel"/>
    <w:tmpl w:val="D9F0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A5B5161"/>
    <w:multiLevelType w:val="hybridMultilevel"/>
    <w:tmpl w:val="BF0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496C4A0E"/>
    <w:lvl w:ilvl="0" w:tplc="04090001">
      <w:start w:val="1"/>
      <w:numFmt w:val="bullet"/>
      <w:lvlText w:val=""/>
      <w:lvlJc w:val="left"/>
      <w:pPr>
        <w:tabs>
          <w:tab w:val="num" w:pos="1296"/>
        </w:tabs>
        <w:ind w:left="129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88411D"/>
    <w:multiLevelType w:val="hybridMultilevel"/>
    <w:tmpl w:val="9BA8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D537C"/>
    <w:multiLevelType w:val="hybridMultilevel"/>
    <w:tmpl w:val="8B944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
  </w:num>
  <w:num w:numId="3">
    <w:abstractNumId w:val="8"/>
  </w:num>
  <w:num w:numId="4">
    <w:abstractNumId w:val="3"/>
  </w:num>
  <w:num w:numId="5">
    <w:abstractNumId w:val="1"/>
  </w:num>
  <w:num w:numId="6">
    <w:abstractNumId w:val="0"/>
  </w:num>
  <w:num w:numId="7">
    <w:abstractNumId w:val="5"/>
  </w:num>
  <w:num w:numId="8">
    <w:abstractNumId w:val="10"/>
  </w:num>
  <w:num w:numId="9">
    <w:abstractNumId w:val="6"/>
  </w:num>
  <w:num w:numId="10">
    <w:abstractNumId w:val="15"/>
  </w:num>
  <w:num w:numId="11">
    <w:abstractNumId w:val="4"/>
  </w:num>
  <w:num w:numId="12">
    <w:abstractNumId w:val="11"/>
  </w:num>
  <w:num w:numId="13">
    <w:abstractNumId w:val="13"/>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characterSpacingControl w:val="doNotCompress"/>
  <w:hdrShapeDefaults>
    <o:shapedefaults v:ext="edit" spidmax="1187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3D3D"/>
    <w:rsid w:val="00010797"/>
    <w:rsid w:val="0001531E"/>
    <w:rsid w:val="0001583C"/>
    <w:rsid w:val="00016361"/>
    <w:rsid w:val="00024CEA"/>
    <w:rsid w:val="0002737C"/>
    <w:rsid w:val="00032BDD"/>
    <w:rsid w:val="00034433"/>
    <w:rsid w:val="00035120"/>
    <w:rsid w:val="00037E90"/>
    <w:rsid w:val="00042DDE"/>
    <w:rsid w:val="000435FB"/>
    <w:rsid w:val="00054FFC"/>
    <w:rsid w:val="000576BF"/>
    <w:rsid w:val="00061125"/>
    <w:rsid w:val="000643F2"/>
    <w:rsid w:val="0006499A"/>
    <w:rsid w:val="00065819"/>
    <w:rsid w:val="0007012C"/>
    <w:rsid w:val="00072761"/>
    <w:rsid w:val="000803D6"/>
    <w:rsid w:val="000809C0"/>
    <w:rsid w:val="000835FF"/>
    <w:rsid w:val="00083F72"/>
    <w:rsid w:val="00085CF8"/>
    <w:rsid w:val="000903B0"/>
    <w:rsid w:val="00090DE6"/>
    <w:rsid w:val="00096C99"/>
    <w:rsid w:val="00097ED7"/>
    <w:rsid w:val="000A27F3"/>
    <w:rsid w:val="000A303D"/>
    <w:rsid w:val="000A46B8"/>
    <w:rsid w:val="000A5DA6"/>
    <w:rsid w:val="000B44E5"/>
    <w:rsid w:val="000C2D0E"/>
    <w:rsid w:val="000C31BB"/>
    <w:rsid w:val="000C3307"/>
    <w:rsid w:val="000C39D3"/>
    <w:rsid w:val="000D05C6"/>
    <w:rsid w:val="000D23B0"/>
    <w:rsid w:val="000D3CAD"/>
    <w:rsid w:val="000D5639"/>
    <w:rsid w:val="000D5ECB"/>
    <w:rsid w:val="000E0987"/>
    <w:rsid w:val="000E2691"/>
    <w:rsid w:val="000F4A3A"/>
    <w:rsid w:val="00100945"/>
    <w:rsid w:val="00100988"/>
    <w:rsid w:val="0010288F"/>
    <w:rsid w:val="00107258"/>
    <w:rsid w:val="00110E21"/>
    <w:rsid w:val="00111F8C"/>
    <w:rsid w:val="00112277"/>
    <w:rsid w:val="00113CE0"/>
    <w:rsid w:val="00116517"/>
    <w:rsid w:val="00116FC7"/>
    <w:rsid w:val="0012080B"/>
    <w:rsid w:val="00123782"/>
    <w:rsid w:val="00125330"/>
    <w:rsid w:val="00126127"/>
    <w:rsid w:val="001312AE"/>
    <w:rsid w:val="001325C9"/>
    <w:rsid w:val="0013456F"/>
    <w:rsid w:val="001363EC"/>
    <w:rsid w:val="001379EC"/>
    <w:rsid w:val="00143D5D"/>
    <w:rsid w:val="00144764"/>
    <w:rsid w:val="00144F20"/>
    <w:rsid w:val="00146230"/>
    <w:rsid w:val="001532B0"/>
    <w:rsid w:val="00153901"/>
    <w:rsid w:val="001554BD"/>
    <w:rsid w:val="001554EC"/>
    <w:rsid w:val="00155C15"/>
    <w:rsid w:val="001577B2"/>
    <w:rsid w:val="00173A18"/>
    <w:rsid w:val="00175204"/>
    <w:rsid w:val="00176119"/>
    <w:rsid w:val="00176391"/>
    <w:rsid w:val="001766B6"/>
    <w:rsid w:val="00180692"/>
    <w:rsid w:val="00180982"/>
    <w:rsid w:val="001857AE"/>
    <w:rsid w:val="001906A2"/>
    <w:rsid w:val="00192AB8"/>
    <w:rsid w:val="00193083"/>
    <w:rsid w:val="00193DEB"/>
    <w:rsid w:val="00196B6E"/>
    <w:rsid w:val="001A23B4"/>
    <w:rsid w:val="001A531C"/>
    <w:rsid w:val="001B0C49"/>
    <w:rsid w:val="001B4973"/>
    <w:rsid w:val="001B531D"/>
    <w:rsid w:val="001B74C8"/>
    <w:rsid w:val="001D2CA5"/>
    <w:rsid w:val="001D4BB9"/>
    <w:rsid w:val="001D645A"/>
    <w:rsid w:val="001D7B90"/>
    <w:rsid w:val="001E15C2"/>
    <w:rsid w:val="001E3FA0"/>
    <w:rsid w:val="001E448E"/>
    <w:rsid w:val="001E5883"/>
    <w:rsid w:val="001E5E6B"/>
    <w:rsid w:val="001F0564"/>
    <w:rsid w:val="001F2C28"/>
    <w:rsid w:val="001F54C3"/>
    <w:rsid w:val="00200207"/>
    <w:rsid w:val="002054D0"/>
    <w:rsid w:val="00205A0E"/>
    <w:rsid w:val="002111A4"/>
    <w:rsid w:val="00214037"/>
    <w:rsid w:val="002142CB"/>
    <w:rsid w:val="00214F84"/>
    <w:rsid w:val="00221744"/>
    <w:rsid w:val="00224B01"/>
    <w:rsid w:val="00233D65"/>
    <w:rsid w:val="002344F9"/>
    <w:rsid w:val="00241E30"/>
    <w:rsid w:val="00243435"/>
    <w:rsid w:val="00244AF4"/>
    <w:rsid w:val="002501A5"/>
    <w:rsid w:val="00256A0D"/>
    <w:rsid w:val="002600FA"/>
    <w:rsid w:val="00260C07"/>
    <w:rsid w:val="002729CD"/>
    <w:rsid w:val="00274538"/>
    <w:rsid w:val="0027483A"/>
    <w:rsid w:val="002766F5"/>
    <w:rsid w:val="00276808"/>
    <w:rsid w:val="0027708A"/>
    <w:rsid w:val="0028681F"/>
    <w:rsid w:val="002879E8"/>
    <w:rsid w:val="002945F6"/>
    <w:rsid w:val="00294ABA"/>
    <w:rsid w:val="00297C84"/>
    <w:rsid w:val="002A12DE"/>
    <w:rsid w:val="002A13A1"/>
    <w:rsid w:val="002A3BD8"/>
    <w:rsid w:val="002A40A2"/>
    <w:rsid w:val="002A5C0B"/>
    <w:rsid w:val="002A6ACD"/>
    <w:rsid w:val="002A6B62"/>
    <w:rsid w:val="002B2EFB"/>
    <w:rsid w:val="002B4A1D"/>
    <w:rsid w:val="002B6FF7"/>
    <w:rsid w:val="002C5548"/>
    <w:rsid w:val="002C5B04"/>
    <w:rsid w:val="002C7E70"/>
    <w:rsid w:val="002D0489"/>
    <w:rsid w:val="002D0D6A"/>
    <w:rsid w:val="002D27EF"/>
    <w:rsid w:val="002E05BD"/>
    <w:rsid w:val="002E0DEB"/>
    <w:rsid w:val="002E405F"/>
    <w:rsid w:val="002E5F41"/>
    <w:rsid w:val="002F1E5A"/>
    <w:rsid w:val="002F1E80"/>
    <w:rsid w:val="002F4551"/>
    <w:rsid w:val="002F5B76"/>
    <w:rsid w:val="002F733E"/>
    <w:rsid w:val="0030368B"/>
    <w:rsid w:val="00307E70"/>
    <w:rsid w:val="00314369"/>
    <w:rsid w:val="00315E09"/>
    <w:rsid w:val="00317E32"/>
    <w:rsid w:val="00324FFD"/>
    <w:rsid w:val="00326128"/>
    <w:rsid w:val="00327ED8"/>
    <w:rsid w:val="00330DF8"/>
    <w:rsid w:val="00331502"/>
    <w:rsid w:val="0033561B"/>
    <w:rsid w:val="00337440"/>
    <w:rsid w:val="003441D1"/>
    <w:rsid w:val="00347613"/>
    <w:rsid w:val="00353A77"/>
    <w:rsid w:val="00353EA4"/>
    <w:rsid w:val="00357784"/>
    <w:rsid w:val="003578D6"/>
    <w:rsid w:val="00357E35"/>
    <w:rsid w:val="003607A6"/>
    <w:rsid w:val="00361683"/>
    <w:rsid w:val="003652DC"/>
    <w:rsid w:val="003677B4"/>
    <w:rsid w:val="00370522"/>
    <w:rsid w:val="00370E07"/>
    <w:rsid w:val="0037312F"/>
    <w:rsid w:val="003732C4"/>
    <w:rsid w:val="0037421B"/>
    <w:rsid w:val="003755F4"/>
    <w:rsid w:val="00386B29"/>
    <w:rsid w:val="00395176"/>
    <w:rsid w:val="003A6FFC"/>
    <w:rsid w:val="003A7631"/>
    <w:rsid w:val="003B3D01"/>
    <w:rsid w:val="003C1CFA"/>
    <w:rsid w:val="003C4EEE"/>
    <w:rsid w:val="003C61C6"/>
    <w:rsid w:val="003D1F45"/>
    <w:rsid w:val="003D5F4F"/>
    <w:rsid w:val="003D6F96"/>
    <w:rsid w:val="003E1141"/>
    <w:rsid w:val="003F1C28"/>
    <w:rsid w:val="003F26F0"/>
    <w:rsid w:val="003F43AF"/>
    <w:rsid w:val="004016F8"/>
    <w:rsid w:val="004051C2"/>
    <w:rsid w:val="0040567C"/>
    <w:rsid w:val="00405AC8"/>
    <w:rsid w:val="00412495"/>
    <w:rsid w:val="00414F95"/>
    <w:rsid w:val="00422FB0"/>
    <w:rsid w:val="00427958"/>
    <w:rsid w:val="00427BE5"/>
    <w:rsid w:val="00432BB6"/>
    <w:rsid w:val="0043589F"/>
    <w:rsid w:val="00436CDB"/>
    <w:rsid w:val="00443D7B"/>
    <w:rsid w:val="0044799F"/>
    <w:rsid w:val="004507B0"/>
    <w:rsid w:val="004618A5"/>
    <w:rsid w:val="004629D4"/>
    <w:rsid w:val="0046413B"/>
    <w:rsid w:val="00464286"/>
    <w:rsid w:val="004713A3"/>
    <w:rsid w:val="00474646"/>
    <w:rsid w:val="00476AB6"/>
    <w:rsid w:val="00477406"/>
    <w:rsid w:val="004876F6"/>
    <w:rsid w:val="004917AF"/>
    <w:rsid w:val="00491A3D"/>
    <w:rsid w:val="004945FB"/>
    <w:rsid w:val="0049654B"/>
    <w:rsid w:val="00497FD8"/>
    <w:rsid w:val="004A2EA8"/>
    <w:rsid w:val="004A5F11"/>
    <w:rsid w:val="004A7924"/>
    <w:rsid w:val="004B0520"/>
    <w:rsid w:val="004B45FF"/>
    <w:rsid w:val="004B4A28"/>
    <w:rsid w:val="004B4B32"/>
    <w:rsid w:val="004B6732"/>
    <w:rsid w:val="004C2276"/>
    <w:rsid w:val="004C3909"/>
    <w:rsid w:val="004C4F07"/>
    <w:rsid w:val="004C6B28"/>
    <w:rsid w:val="004C6CB6"/>
    <w:rsid w:val="004D4BEA"/>
    <w:rsid w:val="004E0A52"/>
    <w:rsid w:val="004E509B"/>
    <w:rsid w:val="004F41E4"/>
    <w:rsid w:val="004F4C42"/>
    <w:rsid w:val="004F551D"/>
    <w:rsid w:val="00502323"/>
    <w:rsid w:val="005025C1"/>
    <w:rsid w:val="005034C4"/>
    <w:rsid w:val="00505059"/>
    <w:rsid w:val="00505251"/>
    <w:rsid w:val="0050615F"/>
    <w:rsid w:val="00506FE2"/>
    <w:rsid w:val="00517E9A"/>
    <w:rsid w:val="00525294"/>
    <w:rsid w:val="00525395"/>
    <w:rsid w:val="0052574E"/>
    <w:rsid w:val="00526E59"/>
    <w:rsid w:val="0052742B"/>
    <w:rsid w:val="0053143E"/>
    <w:rsid w:val="00532BA8"/>
    <w:rsid w:val="00534247"/>
    <w:rsid w:val="0054591C"/>
    <w:rsid w:val="0054712A"/>
    <w:rsid w:val="005503C6"/>
    <w:rsid w:val="00554929"/>
    <w:rsid w:val="005568BA"/>
    <w:rsid w:val="005570C8"/>
    <w:rsid w:val="00557EF2"/>
    <w:rsid w:val="00560340"/>
    <w:rsid w:val="00561838"/>
    <w:rsid w:val="00562731"/>
    <w:rsid w:val="00567E33"/>
    <w:rsid w:val="00571FE5"/>
    <w:rsid w:val="00577F1F"/>
    <w:rsid w:val="0058070F"/>
    <w:rsid w:val="00583D7B"/>
    <w:rsid w:val="00585718"/>
    <w:rsid w:val="005937EF"/>
    <w:rsid w:val="005A1212"/>
    <w:rsid w:val="005A19F0"/>
    <w:rsid w:val="005A49BB"/>
    <w:rsid w:val="005A7AEA"/>
    <w:rsid w:val="005C0DC1"/>
    <w:rsid w:val="005C54BD"/>
    <w:rsid w:val="005D0F13"/>
    <w:rsid w:val="005D26DC"/>
    <w:rsid w:val="005D34A0"/>
    <w:rsid w:val="005D36F2"/>
    <w:rsid w:val="005E1DE2"/>
    <w:rsid w:val="005E41B2"/>
    <w:rsid w:val="005E4E5C"/>
    <w:rsid w:val="005E5E3C"/>
    <w:rsid w:val="005E7CA6"/>
    <w:rsid w:val="005F118A"/>
    <w:rsid w:val="005F2B91"/>
    <w:rsid w:val="005F2E36"/>
    <w:rsid w:val="005F316D"/>
    <w:rsid w:val="005F5E48"/>
    <w:rsid w:val="00606028"/>
    <w:rsid w:val="00607929"/>
    <w:rsid w:val="00607D38"/>
    <w:rsid w:val="006243BC"/>
    <w:rsid w:val="00625CFC"/>
    <w:rsid w:val="006271DD"/>
    <w:rsid w:val="006279B3"/>
    <w:rsid w:val="0063622E"/>
    <w:rsid w:val="00637711"/>
    <w:rsid w:val="00637DAA"/>
    <w:rsid w:val="00640784"/>
    <w:rsid w:val="006414FD"/>
    <w:rsid w:val="00641C42"/>
    <w:rsid w:val="00642B6A"/>
    <w:rsid w:val="00643925"/>
    <w:rsid w:val="00645551"/>
    <w:rsid w:val="006457D3"/>
    <w:rsid w:val="00652AAB"/>
    <w:rsid w:val="00653547"/>
    <w:rsid w:val="0065480A"/>
    <w:rsid w:val="00654B6D"/>
    <w:rsid w:val="00655E67"/>
    <w:rsid w:val="006579EF"/>
    <w:rsid w:val="00661D71"/>
    <w:rsid w:val="00663FBC"/>
    <w:rsid w:val="0066471D"/>
    <w:rsid w:val="00665414"/>
    <w:rsid w:val="00666FBF"/>
    <w:rsid w:val="00667B5E"/>
    <w:rsid w:val="00667CD6"/>
    <w:rsid w:val="00670A96"/>
    <w:rsid w:val="006712D9"/>
    <w:rsid w:val="006715C8"/>
    <w:rsid w:val="006913E4"/>
    <w:rsid w:val="006930E8"/>
    <w:rsid w:val="00693752"/>
    <w:rsid w:val="00697065"/>
    <w:rsid w:val="00697FEC"/>
    <w:rsid w:val="006B2A40"/>
    <w:rsid w:val="006B5336"/>
    <w:rsid w:val="006B6299"/>
    <w:rsid w:val="006C4A71"/>
    <w:rsid w:val="006C4FF4"/>
    <w:rsid w:val="006C75B2"/>
    <w:rsid w:val="006D055F"/>
    <w:rsid w:val="006D42D7"/>
    <w:rsid w:val="006D4CE7"/>
    <w:rsid w:val="006D6441"/>
    <w:rsid w:val="006E3162"/>
    <w:rsid w:val="006E49EB"/>
    <w:rsid w:val="006F00A1"/>
    <w:rsid w:val="006F326F"/>
    <w:rsid w:val="006F5F66"/>
    <w:rsid w:val="007029A9"/>
    <w:rsid w:val="00702F0F"/>
    <w:rsid w:val="0071165C"/>
    <w:rsid w:val="00713F58"/>
    <w:rsid w:val="00715740"/>
    <w:rsid w:val="00715F21"/>
    <w:rsid w:val="00716618"/>
    <w:rsid w:val="007226E8"/>
    <w:rsid w:val="0072353B"/>
    <w:rsid w:val="007320EE"/>
    <w:rsid w:val="00733C9D"/>
    <w:rsid w:val="007340E1"/>
    <w:rsid w:val="0074122B"/>
    <w:rsid w:val="007428A2"/>
    <w:rsid w:val="00743FF8"/>
    <w:rsid w:val="00747BF5"/>
    <w:rsid w:val="00751693"/>
    <w:rsid w:val="00751B4D"/>
    <w:rsid w:val="00751E79"/>
    <w:rsid w:val="00752AE8"/>
    <w:rsid w:val="007553BE"/>
    <w:rsid w:val="00755826"/>
    <w:rsid w:val="00755F59"/>
    <w:rsid w:val="00756CB6"/>
    <w:rsid w:val="00760311"/>
    <w:rsid w:val="00761BD2"/>
    <w:rsid w:val="0076443A"/>
    <w:rsid w:val="00771D97"/>
    <w:rsid w:val="00772237"/>
    <w:rsid w:val="007724B6"/>
    <w:rsid w:val="0077482F"/>
    <w:rsid w:val="007750AA"/>
    <w:rsid w:val="00776FE4"/>
    <w:rsid w:val="00777945"/>
    <w:rsid w:val="00783186"/>
    <w:rsid w:val="007838B5"/>
    <w:rsid w:val="00784687"/>
    <w:rsid w:val="0078471A"/>
    <w:rsid w:val="007948E0"/>
    <w:rsid w:val="0079706F"/>
    <w:rsid w:val="007A1013"/>
    <w:rsid w:val="007A108C"/>
    <w:rsid w:val="007A1A3A"/>
    <w:rsid w:val="007A46CB"/>
    <w:rsid w:val="007A57DB"/>
    <w:rsid w:val="007B1735"/>
    <w:rsid w:val="007B5F7F"/>
    <w:rsid w:val="007B7CE3"/>
    <w:rsid w:val="007C3C38"/>
    <w:rsid w:val="007C5B3F"/>
    <w:rsid w:val="007C7B1A"/>
    <w:rsid w:val="007D22C5"/>
    <w:rsid w:val="007D22E3"/>
    <w:rsid w:val="007D7026"/>
    <w:rsid w:val="007D74DD"/>
    <w:rsid w:val="007E10D4"/>
    <w:rsid w:val="007E1FF2"/>
    <w:rsid w:val="007E5046"/>
    <w:rsid w:val="007E5642"/>
    <w:rsid w:val="007E782D"/>
    <w:rsid w:val="007F27F5"/>
    <w:rsid w:val="007F3179"/>
    <w:rsid w:val="007F646A"/>
    <w:rsid w:val="008010AA"/>
    <w:rsid w:val="008011F8"/>
    <w:rsid w:val="0080655D"/>
    <w:rsid w:val="0080768F"/>
    <w:rsid w:val="00810A3C"/>
    <w:rsid w:val="00813132"/>
    <w:rsid w:val="00813ACF"/>
    <w:rsid w:val="00822A55"/>
    <w:rsid w:val="00825084"/>
    <w:rsid w:val="00826F27"/>
    <w:rsid w:val="008303AB"/>
    <w:rsid w:val="00833DC9"/>
    <w:rsid w:val="00836741"/>
    <w:rsid w:val="00840CBE"/>
    <w:rsid w:val="008435FA"/>
    <w:rsid w:val="00843603"/>
    <w:rsid w:val="0084672C"/>
    <w:rsid w:val="00861126"/>
    <w:rsid w:val="0086120B"/>
    <w:rsid w:val="00863E68"/>
    <w:rsid w:val="00864758"/>
    <w:rsid w:val="0088033C"/>
    <w:rsid w:val="00882745"/>
    <w:rsid w:val="00892320"/>
    <w:rsid w:val="008929E4"/>
    <w:rsid w:val="0089598C"/>
    <w:rsid w:val="00895FDB"/>
    <w:rsid w:val="008A0A47"/>
    <w:rsid w:val="008A59A9"/>
    <w:rsid w:val="008A61AD"/>
    <w:rsid w:val="008B3A19"/>
    <w:rsid w:val="008B6CBF"/>
    <w:rsid w:val="008B7AA8"/>
    <w:rsid w:val="008C11AF"/>
    <w:rsid w:val="008C2C1A"/>
    <w:rsid w:val="008D0D86"/>
    <w:rsid w:val="008D1A66"/>
    <w:rsid w:val="008D7F2C"/>
    <w:rsid w:val="008E7556"/>
    <w:rsid w:val="008F2F98"/>
    <w:rsid w:val="008F41C5"/>
    <w:rsid w:val="008F5784"/>
    <w:rsid w:val="008F6D4A"/>
    <w:rsid w:val="00902356"/>
    <w:rsid w:val="00902907"/>
    <w:rsid w:val="009069EA"/>
    <w:rsid w:val="00911CE1"/>
    <w:rsid w:val="009138D7"/>
    <w:rsid w:val="00914A78"/>
    <w:rsid w:val="00920F80"/>
    <w:rsid w:val="00921F90"/>
    <w:rsid w:val="00925FFD"/>
    <w:rsid w:val="009309EC"/>
    <w:rsid w:val="009402E6"/>
    <w:rsid w:val="00940300"/>
    <w:rsid w:val="0094207C"/>
    <w:rsid w:val="00951883"/>
    <w:rsid w:val="00952DDB"/>
    <w:rsid w:val="00954399"/>
    <w:rsid w:val="009548E9"/>
    <w:rsid w:val="00956CDF"/>
    <w:rsid w:val="00963975"/>
    <w:rsid w:val="009729E7"/>
    <w:rsid w:val="00976BCB"/>
    <w:rsid w:val="00981C2F"/>
    <w:rsid w:val="009821E0"/>
    <w:rsid w:val="00982BE7"/>
    <w:rsid w:val="0098663A"/>
    <w:rsid w:val="00986E91"/>
    <w:rsid w:val="00996467"/>
    <w:rsid w:val="0099690D"/>
    <w:rsid w:val="009B0047"/>
    <w:rsid w:val="009B10DF"/>
    <w:rsid w:val="009B1E93"/>
    <w:rsid w:val="009B2F52"/>
    <w:rsid w:val="009B4669"/>
    <w:rsid w:val="009C31BD"/>
    <w:rsid w:val="009C5D0D"/>
    <w:rsid w:val="009C6A57"/>
    <w:rsid w:val="009C6B43"/>
    <w:rsid w:val="009C6DB4"/>
    <w:rsid w:val="009D00FB"/>
    <w:rsid w:val="009D369A"/>
    <w:rsid w:val="009D40AD"/>
    <w:rsid w:val="009E356F"/>
    <w:rsid w:val="009E358A"/>
    <w:rsid w:val="009E5AF5"/>
    <w:rsid w:val="009F573C"/>
    <w:rsid w:val="00A014A3"/>
    <w:rsid w:val="00A02F67"/>
    <w:rsid w:val="00A0658F"/>
    <w:rsid w:val="00A12480"/>
    <w:rsid w:val="00A13E98"/>
    <w:rsid w:val="00A157DB"/>
    <w:rsid w:val="00A22D0E"/>
    <w:rsid w:val="00A257E3"/>
    <w:rsid w:val="00A25A8C"/>
    <w:rsid w:val="00A26504"/>
    <w:rsid w:val="00A342F3"/>
    <w:rsid w:val="00A34DE7"/>
    <w:rsid w:val="00A34FBC"/>
    <w:rsid w:val="00A4133A"/>
    <w:rsid w:val="00A4765C"/>
    <w:rsid w:val="00A47A13"/>
    <w:rsid w:val="00A5220E"/>
    <w:rsid w:val="00A52585"/>
    <w:rsid w:val="00A54471"/>
    <w:rsid w:val="00A55460"/>
    <w:rsid w:val="00A557D8"/>
    <w:rsid w:val="00A56531"/>
    <w:rsid w:val="00A57A4A"/>
    <w:rsid w:val="00A57C96"/>
    <w:rsid w:val="00A62F91"/>
    <w:rsid w:val="00A706C2"/>
    <w:rsid w:val="00A708B1"/>
    <w:rsid w:val="00A72024"/>
    <w:rsid w:val="00A74923"/>
    <w:rsid w:val="00A76EF9"/>
    <w:rsid w:val="00A7765B"/>
    <w:rsid w:val="00A80B52"/>
    <w:rsid w:val="00A943EA"/>
    <w:rsid w:val="00AA013C"/>
    <w:rsid w:val="00AA3183"/>
    <w:rsid w:val="00AA44EB"/>
    <w:rsid w:val="00AB00BD"/>
    <w:rsid w:val="00AC2529"/>
    <w:rsid w:val="00AC59BE"/>
    <w:rsid w:val="00AD0896"/>
    <w:rsid w:val="00AD0B9F"/>
    <w:rsid w:val="00AD0E26"/>
    <w:rsid w:val="00AD5FD4"/>
    <w:rsid w:val="00AE0408"/>
    <w:rsid w:val="00AE0683"/>
    <w:rsid w:val="00AE4078"/>
    <w:rsid w:val="00AF2C79"/>
    <w:rsid w:val="00AF47B8"/>
    <w:rsid w:val="00B03C60"/>
    <w:rsid w:val="00B07EA4"/>
    <w:rsid w:val="00B10151"/>
    <w:rsid w:val="00B1090B"/>
    <w:rsid w:val="00B12FBA"/>
    <w:rsid w:val="00B1384B"/>
    <w:rsid w:val="00B14A16"/>
    <w:rsid w:val="00B224BE"/>
    <w:rsid w:val="00B31A84"/>
    <w:rsid w:val="00B328FB"/>
    <w:rsid w:val="00B33652"/>
    <w:rsid w:val="00B41ABA"/>
    <w:rsid w:val="00B45DBC"/>
    <w:rsid w:val="00B46731"/>
    <w:rsid w:val="00B6090A"/>
    <w:rsid w:val="00B6236C"/>
    <w:rsid w:val="00B64F4C"/>
    <w:rsid w:val="00B661D4"/>
    <w:rsid w:val="00B6776C"/>
    <w:rsid w:val="00B7154A"/>
    <w:rsid w:val="00B71829"/>
    <w:rsid w:val="00B72AFE"/>
    <w:rsid w:val="00B74CE1"/>
    <w:rsid w:val="00B76642"/>
    <w:rsid w:val="00B80451"/>
    <w:rsid w:val="00B8132C"/>
    <w:rsid w:val="00B83ED3"/>
    <w:rsid w:val="00B86819"/>
    <w:rsid w:val="00B91704"/>
    <w:rsid w:val="00B95E16"/>
    <w:rsid w:val="00BA0A82"/>
    <w:rsid w:val="00BA10C3"/>
    <w:rsid w:val="00BA35F6"/>
    <w:rsid w:val="00BB2C6A"/>
    <w:rsid w:val="00BB57CB"/>
    <w:rsid w:val="00BC0B90"/>
    <w:rsid w:val="00BC2F06"/>
    <w:rsid w:val="00BC364B"/>
    <w:rsid w:val="00BC5488"/>
    <w:rsid w:val="00BD4B19"/>
    <w:rsid w:val="00BD4F7B"/>
    <w:rsid w:val="00BD6EB6"/>
    <w:rsid w:val="00BE0475"/>
    <w:rsid w:val="00BE0F94"/>
    <w:rsid w:val="00BE232E"/>
    <w:rsid w:val="00BE3923"/>
    <w:rsid w:val="00BE3FF2"/>
    <w:rsid w:val="00BE6AC8"/>
    <w:rsid w:val="00BE76BF"/>
    <w:rsid w:val="00BF02C5"/>
    <w:rsid w:val="00BF3442"/>
    <w:rsid w:val="00BF735B"/>
    <w:rsid w:val="00C0183D"/>
    <w:rsid w:val="00C01A1C"/>
    <w:rsid w:val="00C03120"/>
    <w:rsid w:val="00C032F4"/>
    <w:rsid w:val="00C03FBF"/>
    <w:rsid w:val="00C040AD"/>
    <w:rsid w:val="00C063D5"/>
    <w:rsid w:val="00C06C33"/>
    <w:rsid w:val="00C14B3E"/>
    <w:rsid w:val="00C16E83"/>
    <w:rsid w:val="00C173E1"/>
    <w:rsid w:val="00C2000F"/>
    <w:rsid w:val="00C20143"/>
    <w:rsid w:val="00C23129"/>
    <w:rsid w:val="00C2366F"/>
    <w:rsid w:val="00C23A3C"/>
    <w:rsid w:val="00C27ACC"/>
    <w:rsid w:val="00C302C9"/>
    <w:rsid w:val="00C3289A"/>
    <w:rsid w:val="00C34572"/>
    <w:rsid w:val="00C4216A"/>
    <w:rsid w:val="00C4407B"/>
    <w:rsid w:val="00C544A4"/>
    <w:rsid w:val="00C5494D"/>
    <w:rsid w:val="00C55C31"/>
    <w:rsid w:val="00C56FA5"/>
    <w:rsid w:val="00C61FE7"/>
    <w:rsid w:val="00C748B5"/>
    <w:rsid w:val="00C83EDF"/>
    <w:rsid w:val="00C867E9"/>
    <w:rsid w:val="00C87CE1"/>
    <w:rsid w:val="00C90C42"/>
    <w:rsid w:val="00C91CB5"/>
    <w:rsid w:val="00C9497A"/>
    <w:rsid w:val="00C96B7F"/>
    <w:rsid w:val="00C97430"/>
    <w:rsid w:val="00CA0B02"/>
    <w:rsid w:val="00CA0BEE"/>
    <w:rsid w:val="00CA272E"/>
    <w:rsid w:val="00CA38D9"/>
    <w:rsid w:val="00CA3CC7"/>
    <w:rsid w:val="00CA5461"/>
    <w:rsid w:val="00CB6289"/>
    <w:rsid w:val="00CB67C8"/>
    <w:rsid w:val="00CB6B89"/>
    <w:rsid w:val="00CB6DDA"/>
    <w:rsid w:val="00CC215F"/>
    <w:rsid w:val="00CC2ED4"/>
    <w:rsid w:val="00CC475D"/>
    <w:rsid w:val="00CC5AD6"/>
    <w:rsid w:val="00CC7A31"/>
    <w:rsid w:val="00CD0B32"/>
    <w:rsid w:val="00CD53D2"/>
    <w:rsid w:val="00CE121E"/>
    <w:rsid w:val="00CE2A10"/>
    <w:rsid w:val="00CE561C"/>
    <w:rsid w:val="00CF1450"/>
    <w:rsid w:val="00CF1C34"/>
    <w:rsid w:val="00CF316E"/>
    <w:rsid w:val="00CF40B2"/>
    <w:rsid w:val="00CF4155"/>
    <w:rsid w:val="00D01DED"/>
    <w:rsid w:val="00D0347F"/>
    <w:rsid w:val="00D04832"/>
    <w:rsid w:val="00D07B0A"/>
    <w:rsid w:val="00D10E69"/>
    <w:rsid w:val="00D12FEB"/>
    <w:rsid w:val="00D14C82"/>
    <w:rsid w:val="00D2199D"/>
    <w:rsid w:val="00D21DDE"/>
    <w:rsid w:val="00D22F1E"/>
    <w:rsid w:val="00D2480B"/>
    <w:rsid w:val="00D25BD2"/>
    <w:rsid w:val="00D27AE8"/>
    <w:rsid w:val="00D323F4"/>
    <w:rsid w:val="00D341E3"/>
    <w:rsid w:val="00D361B0"/>
    <w:rsid w:val="00D361E9"/>
    <w:rsid w:val="00D37E39"/>
    <w:rsid w:val="00D37F72"/>
    <w:rsid w:val="00D42CCD"/>
    <w:rsid w:val="00D44589"/>
    <w:rsid w:val="00D46559"/>
    <w:rsid w:val="00D5232E"/>
    <w:rsid w:val="00D5345A"/>
    <w:rsid w:val="00D55155"/>
    <w:rsid w:val="00D60B20"/>
    <w:rsid w:val="00D61556"/>
    <w:rsid w:val="00D64E14"/>
    <w:rsid w:val="00D66237"/>
    <w:rsid w:val="00D6720B"/>
    <w:rsid w:val="00D7001D"/>
    <w:rsid w:val="00D702A7"/>
    <w:rsid w:val="00D840B6"/>
    <w:rsid w:val="00D945B5"/>
    <w:rsid w:val="00D9545E"/>
    <w:rsid w:val="00D97A0D"/>
    <w:rsid w:val="00DA5113"/>
    <w:rsid w:val="00DA74D3"/>
    <w:rsid w:val="00DB00E1"/>
    <w:rsid w:val="00DB1AD1"/>
    <w:rsid w:val="00DB2E85"/>
    <w:rsid w:val="00DB495B"/>
    <w:rsid w:val="00DB7297"/>
    <w:rsid w:val="00DC178E"/>
    <w:rsid w:val="00DC34A3"/>
    <w:rsid w:val="00DC631B"/>
    <w:rsid w:val="00DC77C0"/>
    <w:rsid w:val="00DD1B95"/>
    <w:rsid w:val="00DD36CC"/>
    <w:rsid w:val="00DD4C69"/>
    <w:rsid w:val="00DD51EE"/>
    <w:rsid w:val="00DE5988"/>
    <w:rsid w:val="00DF12D4"/>
    <w:rsid w:val="00DF5ABE"/>
    <w:rsid w:val="00E02F7B"/>
    <w:rsid w:val="00E03B78"/>
    <w:rsid w:val="00E05352"/>
    <w:rsid w:val="00E1090B"/>
    <w:rsid w:val="00E12FD5"/>
    <w:rsid w:val="00E13228"/>
    <w:rsid w:val="00E15810"/>
    <w:rsid w:val="00E15E4F"/>
    <w:rsid w:val="00E2432F"/>
    <w:rsid w:val="00E317E0"/>
    <w:rsid w:val="00E41B41"/>
    <w:rsid w:val="00E42A80"/>
    <w:rsid w:val="00E43E66"/>
    <w:rsid w:val="00E446C6"/>
    <w:rsid w:val="00E44ABD"/>
    <w:rsid w:val="00E4535D"/>
    <w:rsid w:val="00E5190D"/>
    <w:rsid w:val="00E54279"/>
    <w:rsid w:val="00E5486D"/>
    <w:rsid w:val="00E5567C"/>
    <w:rsid w:val="00E562FC"/>
    <w:rsid w:val="00E627A0"/>
    <w:rsid w:val="00E73A61"/>
    <w:rsid w:val="00E81A42"/>
    <w:rsid w:val="00E81E1F"/>
    <w:rsid w:val="00E87088"/>
    <w:rsid w:val="00E87834"/>
    <w:rsid w:val="00E87F36"/>
    <w:rsid w:val="00E87F90"/>
    <w:rsid w:val="00E92EA0"/>
    <w:rsid w:val="00E935E5"/>
    <w:rsid w:val="00E9431A"/>
    <w:rsid w:val="00E95172"/>
    <w:rsid w:val="00EA4819"/>
    <w:rsid w:val="00EA501D"/>
    <w:rsid w:val="00EB0FA7"/>
    <w:rsid w:val="00EB2900"/>
    <w:rsid w:val="00EC238C"/>
    <w:rsid w:val="00ED251F"/>
    <w:rsid w:val="00ED2CD6"/>
    <w:rsid w:val="00ED50C9"/>
    <w:rsid w:val="00ED7AA2"/>
    <w:rsid w:val="00EF32C2"/>
    <w:rsid w:val="00EF5AB7"/>
    <w:rsid w:val="00EF5E7D"/>
    <w:rsid w:val="00EF7AAC"/>
    <w:rsid w:val="00F01D6F"/>
    <w:rsid w:val="00F02CC0"/>
    <w:rsid w:val="00F02FE5"/>
    <w:rsid w:val="00F03EAD"/>
    <w:rsid w:val="00F07B3F"/>
    <w:rsid w:val="00F1175E"/>
    <w:rsid w:val="00F20525"/>
    <w:rsid w:val="00F21958"/>
    <w:rsid w:val="00F22FCB"/>
    <w:rsid w:val="00F2369A"/>
    <w:rsid w:val="00F27130"/>
    <w:rsid w:val="00F336E8"/>
    <w:rsid w:val="00F3430A"/>
    <w:rsid w:val="00F36B6B"/>
    <w:rsid w:val="00F378A6"/>
    <w:rsid w:val="00F4588C"/>
    <w:rsid w:val="00F4707F"/>
    <w:rsid w:val="00F50EC6"/>
    <w:rsid w:val="00F529C0"/>
    <w:rsid w:val="00F5574B"/>
    <w:rsid w:val="00F568E5"/>
    <w:rsid w:val="00F70C0B"/>
    <w:rsid w:val="00F777D0"/>
    <w:rsid w:val="00F825B7"/>
    <w:rsid w:val="00F860C4"/>
    <w:rsid w:val="00F917A5"/>
    <w:rsid w:val="00F939AD"/>
    <w:rsid w:val="00F953A2"/>
    <w:rsid w:val="00F95D88"/>
    <w:rsid w:val="00FA28E9"/>
    <w:rsid w:val="00FA2EC3"/>
    <w:rsid w:val="00FA3B08"/>
    <w:rsid w:val="00FA7B73"/>
    <w:rsid w:val="00FB009C"/>
    <w:rsid w:val="00FB0145"/>
    <w:rsid w:val="00FB5F88"/>
    <w:rsid w:val="00FC0C9A"/>
    <w:rsid w:val="00FC194C"/>
    <w:rsid w:val="00FC4992"/>
    <w:rsid w:val="00FC54D4"/>
    <w:rsid w:val="00FD08E7"/>
    <w:rsid w:val="00FD24F7"/>
    <w:rsid w:val="00FD4A4F"/>
    <w:rsid w:val="00FD6D7D"/>
    <w:rsid w:val="00FE1133"/>
    <w:rsid w:val="00FE1F07"/>
    <w:rsid w:val="00FE4348"/>
    <w:rsid w:val="00FE4794"/>
    <w:rsid w:val="00FE503D"/>
    <w:rsid w:val="00FE6FE8"/>
    <w:rsid w:val="00FF0B1C"/>
    <w:rsid w:val="00FF1353"/>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0F42292"/>
  <w15:docId w15:val="{7D736DDE-2C62-4D1F-85D5-C0ED2931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paragraph" w:styleId="Revision">
    <w:name w:val="Revision"/>
    <w:hidden/>
    <w:uiPriority w:val="99"/>
    <w:semiHidden/>
    <w:rsid w:val="00274538"/>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667B5E"/>
    <w:rPr>
      <w:sz w:val="20"/>
      <w:szCs w:val="20"/>
    </w:rPr>
  </w:style>
  <w:style w:type="character" w:customStyle="1" w:styleId="EndnoteTextChar">
    <w:name w:val="Endnote Text Char"/>
    <w:basedOn w:val="DefaultParagraphFont"/>
    <w:link w:val="EndnoteText"/>
    <w:uiPriority w:val="99"/>
    <w:semiHidden/>
    <w:rsid w:val="00667B5E"/>
    <w:rPr>
      <w:rFonts w:ascii="Times New Roman" w:hAnsi="Times New Roman"/>
      <w:sz w:val="20"/>
      <w:szCs w:val="20"/>
    </w:rPr>
  </w:style>
  <w:style w:type="character" w:styleId="EndnoteReference">
    <w:name w:val="endnote reference"/>
    <w:basedOn w:val="DefaultParagraphFont"/>
    <w:uiPriority w:val="99"/>
    <w:semiHidden/>
    <w:unhideWhenUsed/>
    <w:rsid w:val="00667B5E"/>
    <w:rPr>
      <w:vertAlign w:val="superscript"/>
    </w:rPr>
  </w:style>
  <w:style w:type="character" w:styleId="Hyperlink">
    <w:name w:val="Hyperlink"/>
    <w:basedOn w:val="DefaultParagraphFont"/>
    <w:uiPriority w:val="99"/>
    <w:unhideWhenUsed/>
    <w:rsid w:val="008F5784"/>
    <w:rPr>
      <w:color w:val="0000FF"/>
      <w:u w:val="single"/>
    </w:rPr>
  </w:style>
  <w:style w:type="character" w:styleId="FollowedHyperlink">
    <w:name w:val="FollowedHyperlink"/>
    <w:basedOn w:val="DefaultParagraphFont"/>
    <w:uiPriority w:val="99"/>
    <w:semiHidden/>
    <w:unhideWhenUsed/>
    <w:rsid w:val="00CA0B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2822">
      <w:bodyDiv w:val="1"/>
      <w:marLeft w:val="0"/>
      <w:marRight w:val="0"/>
      <w:marTop w:val="0"/>
      <w:marBottom w:val="0"/>
      <w:divBdr>
        <w:top w:val="none" w:sz="0" w:space="0" w:color="auto"/>
        <w:left w:val="none" w:sz="0" w:space="0" w:color="auto"/>
        <w:bottom w:val="none" w:sz="0" w:space="0" w:color="auto"/>
        <w:right w:val="none" w:sz="0" w:space="0" w:color="auto"/>
      </w:divBdr>
    </w:div>
    <w:div w:id="181935906">
      <w:bodyDiv w:val="1"/>
      <w:marLeft w:val="0"/>
      <w:marRight w:val="0"/>
      <w:marTop w:val="0"/>
      <w:marBottom w:val="0"/>
      <w:divBdr>
        <w:top w:val="none" w:sz="0" w:space="0" w:color="auto"/>
        <w:left w:val="none" w:sz="0" w:space="0" w:color="auto"/>
        <w:bottom w:val="none" w:sz="0" w:space="0" w:color="auto"/>
        <w:right w:val="none" w:sz="0" w:space="0" w:color="auto"/>
      </w:divBdr>
    </w:div>
    <w:div w:id="236139038">
      <w:bodyDiv w:val="1"/>
      <w:marLeft w:val="0"/>
      <w:marRight w:val="0"/>
      <w:marTop w:val="0"/>
      <w:marBottom w:val="0"/>
      <w:divBdr>
        <w:top w:val="none" w:sz="0" w:space="0" w:color="auto"/>
        <w:left w:val="none" w:sz="0" w:space="0" w:color="auto"/>
        <w:bottom w:val="none" w:sz="0" w:space="0" w:color="auto"/>
        <w:right w:val="none" w:sz="0" w:space="0" w:color="auto"/>
      </w:divBdr>
    </w:div>
    <w:div w:id="660159350">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sChild>
        <w:div w:id="869563709">
          <w:marLeft w:val="0"/>
          <w:marRight w:val="0"/>
          <w:marTop w:val="240"/>
          <w:marBottom w:val="240"/>
          <w:divBdr>
            <w:top w:val="none" w:sz="0" w:space="0" w:color="auto"/>
            <w:left w:val="none" w:sz="0" w:space="0" w:color="auto"/>
            <w:bottom w:val="none" w:sz="0" w:space="0" w:color="auto"/>
            <w:right w:val="none" w:sz="0" w:space="0" w:color="auto"/>
          </w:divBdr>
        </w:div>
      </w:divsChild>
    </w:div>
    <w:div w:id="833060381">
      <w:bodyDiv w:val="1"/>
      <w:marLeft w:val="0"/>
      <w:marRight w:val="0"/>
      <w:marTop w:val="0"/>
      <w:marBottom w:val="0"/>
      <w:divBdr>
        <w:top w:val="none" w:sz="0" w:space="0" w:color="auto"/>
        <w:left w:val="none" w:sz="0" w:space="0" w:color="auto"/>
        <w:bottom w:val="none" w:sz="0" w:space="0" w:color="auto"/>
        <w:right w:val="none" w:sz="0" w:space="0" w:color="auto"/>
      </w:divBdr>
    </w:div>
    <w:div w:id="1319573673">
      <w:bodyDiv w:val="1"/>
      <w:marLeft w:val="0"/>
      <w:marRight w:val="0"/>
      <w:marTop w:val="0"/>
      <w:marBottom w:val="0"/>
      <w:divBdr>
        <w:top w:val="none" w:sz="0" w:space="0" w:color="auto"/>
        <w:left w:val="none" w:sz="0" w:space="0" w:color="auto"/>
        <w:bottom w:val="none" w:sz="0" w:space="0" w:color="auto"/>
        <w:right w:val="none" w:sz="0" w:space="0" w:color="auto"/>
      </w:divBdr>
    </w:div>
    <w:div w:id="1611277396">
      <w:bodyDiv w:val="1"/>
      <w:marLeft w:val="0"/>
      <w:marRight w:val="0"/>
      <w:marTop w:val="0"/>
      <w:marBottom w:val="0"/>
      <w:divBdr>
        <w:top w:val="none" w:sz="0" w:space="0" w:color="auto"/>
        <w:left w:val="none" w:sz="0" w:space="0" w:color="auto"/>
        <w:bottom w:val="none" w:sz="0" w:space="0" w:color="auto"/>
        <w:right w:val="none" w:sz="0" w:space="0" w:color="auto"/>
      </w:divBdr>
    </w:div>
    <w:div w:id="1631548929">
      <w:bodyDiv w:val="1"/>
      <w:marLeft w:val="0"/>
      <w:marRight w:val="0"/>
      <w:marTop w:val="0"/>
      <w:marBottom w:val="0"/>
      <w:divBdr>
        <w:top w:val="none" w:sz="0" w:space="0" w:color="auto"/>
        <w:left w:val="none" w:sz="0" w:space="0" w:color="auto"/>
        <w:bottom w:val="none" w:sz="0" w:space="0" w:color="auto"/>
        <w:right w:val="none" w:sz="0" w:space="0" w:color="auto"/>
      </w:divBdr>
    </w:div>
    <w:div w:id="1749184116">
      <w:bodyDiv w:val="1"/>
      <w:marLeft w:val="0"/>
      <w:marRight w:val="0"/>
      <w:marTop w:val="0"/>
      <w:marBottom w:val="0"/>
      <w:divBdr>
        <w:top w:val="none" w:sz="0" w:space="0" w:color="auto"/>
        <w:left w:val="none" w:sz="0" w:space="0" w:color="auto"/>
        <w:bottom w:val="none" w:sz="0" w:space="0" w:color="auto"/>
        <w:right w:val="none" w:sz="0" w:space="0" w:color="auto"/>
      </w:divBdr>
    </w:div>
    <w:div w:id="1754663240">
      <w:bodyDiv w:val="1"/>
      <w:marLeft w:val="0"/>
      <w:marRight w:val="0"/>
      <w:marTop w:val="0"/>
      <w:marBottom w:val="0"/>
      <w:divBdr>
        <w:top w:val="none" w:sz="0" w:space="0" w:color="auto"/>
        <w:left w:val="none" w:sz="0" w:space="0" w:color="auto"/>
        <w:bottom w:val="none" w:sz="0" w:space="0" w:color="auto"/>
        <w:right w:val="none" w:sz="0" w:space="0" w:color="auto"/>
      </w:divBdr>
    </w:div>
    <w:div w:id="20531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A0A38E9D-CE20-4FB3-8E70-01DE05F2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367CBB-B949-4A71-ACFE-8DD0396879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D4B441E-85F4-4912-B13C-F8490531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4782</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OGC-HC</cp:lastModifiedBy>
  <cp:revision>3</cp:revision>
  <cp:lastPrinted>2020-10-28T21:31:00Z</cp:lastPrinted>
  <dcterms:created xsi:type="dcterms:W3CDTF">2020-11-19T18:17:00Z</dcterms:created>
  <dcterms:modified xsi:type="dcterms:W3CDTF">2020-11-25T16:39:00Z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