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0880" w:rsidR="005C1BBF" w:rsidP="00A70880" w:rsidRDefault="00A70880" w14:paraId="4FE3B978" w14:textId="77777777">
      <w:pPr>
        <w:rPr>
          <w:b/>
          <w:szCs w:val="24"/>
        </w:rPr>
      </w:pPr>
      <w:r w:rsidRPr="00A70880">
        <w:rPr>
          <w:b/>
          <w:noProof/>
          <w:szCs w:val="24"/>
        </w:rPr>
        <w:t xml:space="preserve">Section 90.443, Content of Station Records      </w:t>
      </w:r>
      <w:r>
        <w:rPr>
          <w:b/>
          <w:noProof/>
          <w:szCs w:val="24"/>
        </w:rPr>
        <w:t xml:space="preserve">    </w:t>
      </w:r>
      <w:r w:rsidRPr="00A70880">
        <w:rPr>
          <w:b/>
          <w:noProof/>
          <w:szCs w:val="24"/>
        </w:rPr>
        <w:t xml:space="preserve">                              </w:t>
      </w:r>
      <w:r>
        <w:rPr>
          <w:b/>
          <w:noProof/>
          <w:szCs w:val="24"/>
        </w:rPr>
        <w:t xml:space="preserve">             </w:t>
      </w:r>
      <w:r w:rsidRPr="00A70880" w:rsidR="00BF51F1">
        <w:rPr>
          <w:b/>
          <w:szCs w:val="24"/>
        </w:rPr>
        <w:t>3060-0270</w:t>
      </w:r>
    </w:p>
    <w:p w:rsidRPr="00A70880" w:rsidR="005C1BBF" w:rsidRDefault="005C1BBF" w14:paraId="6E4F0F3A" w14:textId="77777777">
      <w:pPr>
        <w:jc w:val="right"/>
        <w:rPr>
          <w:b/>
          <w:szCs w:val="24"/>
        </w:rPr>
      </w:pPr>
      <w:r w:rsidRPr="00A70880">
        <w:rPr>
          <w:b/>
          <w:szCs w:val="24"/>
        </w:rPr>
        <w:tab/>
      </w:r>
      <w:r w:rsidRPr="00A70880">
        <w:rPr>
          <w:b/>
          <w:szCs w:val="24"/>
        </w:rPr>
        <w:tab/>
      </w:r>
      <w:r w:rsidRPr="00A70880">
        <w:rPr>
          <w:b/>
          <w:szCs w:val="24"/>
        </w:rPr>
        <w:tab/>
      </w:r>
      <w:r w:rsidRPr="00A70880">
        <w:rPr>
          <w:b/>
          <w:szCs w:val="24"/>
        </w:rPr>
        <w:tab/>
      </w:r>
      <w:r w:rsidRPr="00A70880">
        <w:rPr>
          <w:b/>
          <w:szCs w:val="24"/>
        </w:rPr>
        <w:tab/>
      </w:r>
      <w:r w:rsidRPr="00A70880">
        <w:rPr>
          <w:b/>
          <w:szCs w:val="24"/>
        </w:rPr>
        <w:tab/>
      </w:r>
      <w:r w:rsidRPr="00A70880">
        <w:rPr>
          <w:b/>
          <w:szCs w:val="24"/>
        </w:rPr>
        <w:tab/>
      </w:r>
      <w:r w:rsidRPr="00A70880">
        <w:rPr>
          <w:b/>
          <w:szCs w:val="24"/>
        </w:rPr>
        <w:tab/>
      </w:r>
      <w:r w:rsidRPr="00A70880">
        <w:rPr>
          <w:b/>
          <w:szCs w:val="24"/>
        </w:rPr>
        <w:tab/>
        <w:t xml:space="preserve">    </w:t>
      </w:r>
      <w:r w:rsidR="00CB7580">
        <w:rPr>
          <w:b/>
          <w:szCs w:val="24"/>
        </w:rPr>
        <w:t>November</w:t>
      </w:r>
      <w:r w:rsidR="008065B5">
        <w:rPr>
          <w:b/>
          <w:szCs w:val="24"/>
        </w:rPr>
        <w:t xml:space="preserve"> 2021</w:t>
      </w:r>
    </w:p>
    <w:p w:rsidRPr="00A70880" w:rsidR="00BF51F1" w:rsidRDefault="00BF51F1" w14:paraId="6A080DB8" w14:textId="77777777">
      <w:pPr>
        <w:jc w:val="right"/>
        <w:rPr>
          <w:b/>
          <w:szCs w:val="24"/>
        </w:rPr>
      </w:pPr>
    </w:p>
    <w:p w:rsidR="00A70880" w:rsidP="00BF51F1" w:rsidRDefault="00A70880" w14:paraId="52032A2D" w14:textId="77777777">
      <w:pPr>
        <w:jc w:val="center"/>
      </w:pPr>
    </w:p>
    <w:p w:rsidR="00BF51F1" w:rsidP="00BF51F1" w:rsidRDefault="00BF51F1" w14:paraId="5E75F47C" w14:textId="77777777">
      <w:pPr>
        <w:jc w:val="center"/>
        <w:rPr>
          <w:b/>
        </w:rPr>
      </w:pPr>
      <w:r>
        <w:t>SUPPORTING STATEMENT</w:t>
      </w:r>
    </w:p>
    <w:p w:rsidR="005C1BBF" w:rsidRDefault="005C1BBF" w14:paraId="6E3127B7" w14:textId="77777777">
      <w:pPr>
        <w:jc w:val="right"/>
        <w:rPr>
          <w:b/>
        </w:rPr>
      </w:pPr>
    </w:p>
    <w:p w:rsidRPr="00BF51F1" w:rsidR="005C1BBF" w:rsidRDefault="005C1BBF" w14:paraId="6ECD7C2E" w14:textId="77777777">
      <w:pPr>
        <w:numPr>
          <w:ilvl w:val="0"/>
          <w:numId w:val="1"/>
        </w:numPr>
        <w:rPr>
          <w:b/>
        </w:rPr>
      </w:pPr>
      <w:r w:rsidRPr="00BF51F1">
        <w:rPr>
          <w:b/>
          <w:u w:val="single"/>
        </w:rPr>
        <w:t>Justification</w:t>
      </w:r>
      <w:r w:rsidRPr="00BF51F1" w:rsidR="00BF51F1">
        <w:rPr>
          <w:b/>
          <w:u w:val="single"/>
        </w:rPr>
        <w:t>:</w:t>
      </w:r>
    </w:p>
    <w:p w:rsidR="005C1BBF" w:rsidRDefault="005C1BBF" w14:paraId="5C21F5B5" w14:textId="77777777"/>
    <w:p w:rsidR="004B6AAD" w:rsidRDefault="005C1BBF" w14:paraId="1DDC0A7B" w14:textId="77777777">
      <w:pPr>
        <w:numPr>
          <w:ilvl w:val="0"/>
          <w:numId w:val="2"/>
        </w:numPr>
        <w:rPr>
          <w:szCs w:val="24"/>
        </w:rPr>
      </w:pPr>
      <w:r>
        <w:t xml:space="preserve">Each licensee in the private land mobile radio service must comply with the recordkeeping requirements of this section pursuant to 47 C.F.R. § 90.443 of the Commissions rules.  </w:t>
      </w:r>
      <w:r w:rsidR="004B6AAD">
        <w:rPr>
          <w:szCs w:val="24"/>
        </w:rPr>
        <w:t xml:space="preserve">Specifically, Section 90.443(b) </w:t>
      </w:r>
      <w:r w:rsidRPr="003B52F7">
        <w:rPr>
          <w:szCs w:val="24"/>
        </w:rPr>
        <w:t>require</w:t>
      </w:r>
      <w:r>
        <w:rPr>
          <w:szCs w:val="24"/>
        </w:rPr>
        <w:t>s</w:t>
      </w:r>
      <w:r w:rsidRPr="003B52F7">
        <w:rPr>
          <w:szCs w:val="24"/>
        </w:rPr>
        <w:t xml:space="preserve"> that the dates and pertinent details of any maintenance performed on station equipment, and the name and address of the service technician who did the work be entered in the station records.   These records will reflect whether or not maintenance of the licensee’s equipment has been performed.  </w:t>
      </w:r>
    </w:p>
    <w:p w:rsidR="004B6AAD" w:rsidP="004B6AAD" w:rsidRDefault="004B6AAD" w14:paraId="1D8ACF7A" w14:textId="77777777">
      <w:pPr>
        <w:ind w:left="360"/>
        <w:rPr>
          <w:szCs w:val="24"/>
        </w:rPr>
      </w:pPr>
    </w:p>
    <w:p w:rsidRPr="00DE0D8F" w:rsidR="00391481" w:rsidP="00391481" w:rsidRDefault="004B6AAD" w14:paraId="71463709" w14:textId="77777777">
      <w:pPr>
        <w:ind w:left="360"/>
        <w:rPr>
          <w:szCs w:val="24"/>
        </w:rPr>
      </w:pPr>
      <w:r w:rsidRPr="004B6AAD">
        <w:rPr>
          <w:szCs w:val="24"/>
        </w:rPr>
        <w:t>Section 90.443(c) requires that at least one licensee participating in the cost arrangement must maintain cost sharing records.</w:t>
      </w:r>
    </w:p>
    <w:p w:rsidR="00BF51F1" w:rsidP="00BF51F1" w:rsidRDefault="00BF51F1" w14:paraId="2DBA4B8F" w14:textId="77777777">
      <w:pPr>
        <w:rPr>
          <w:szCs w:val="24"/>
        </w:rPr>
      </w:pPr>
    </w:p>
    <w:p w:rsidR="005C1BBF" w:rsidRDefault="005C1BBF" w14:paraId="5EF16704" w14:textId="77777777">
      <w:pPr>
        <w:ind w:left="360"/>
      </w:pPr>
      <w:r w:rsidRPr="007249D4">
        <w:t>Statutory authority fo</w:t>
      </w:r>
      <w:r>
        <w:t>r this collection of information is contained in 47 U.S.C. Section 303(j), as amended.</w:t>
      </w:r>
    </w:p>
    <w:p w:rsidR="00391481" w:rsidRDefault="00391481" w14:paraId="6E09FBE3" w14:textId="77777777">
      <w:pPr>
        <w:ind w:left="360"/>
      </w:pPr>
    </w:p>
    <w:p w:rsidR="00391481" w:rsidRDefault="00391481" w14:paraId="101121D6" w14:textId="77777777">
      <w:pPr>
        <w:ind w:left="360"/>
      </w:pPr>
      <w:r>
        <w:t>There are no impacts under the Privacy Act.</w:t>
      </w:r>
    </w:p>
    <w:p w:rsidR="00BF51F1" w:rsidRDefault="00BF51F1" w14:paraId="7C4BD7A5" w14:textId="77777777">
      <w:pPr>
        <w:ind w:left="360"/>
      </w:pPr>
    </w:p>
    <w:p w:rsidR="005C1BBF" w:rsidRDefault="004B6AAD" w14:paraId="049CCB08" w14:textId="77777777">
      <w:pPr>
        <w:numPr>
          <w:ilvl w:val="0"/>
          <w:numId w:val="2"/>
        </w:numPr>
      </w:pPr>
      <w:r>
        <w:t>The</w:t>
      </w:r>
      <w:r w:rsidR="005C1BBF">
        <w:t xml:space="preserve"> records may be used by the licensee or Commission field personnel to note any recurring equipment problems or conditions that may lead to degraded equipment performance and/or interference generation.  Tower lighting records required are to ensure that the licensee is aware of the tower light condition and proper operation, in order to prevent and/or correct any hazards to air navigation.</w:t>
      </w:r>
      <w:r>
        <w:t xml:space="preserve">  Cost distribution records must be maintained to ensure that the detailed description of how interconnection was accomplished.</w:t>
      </w:r>
    </w:p>
    <w:p w:rsidR="005C1BBF" w:rsidRDefault="005C1BBF" w14:paraId="0E25AF93" w14:textId="77777777"/>
    <w:p w:rsidR="005C1BBF" w:rsidRDefault="005C1BBF" w14:paraId="56CD60AF" w14:textId="77777777">
      <w:pPr>
        <w:numPr>
          <w:ilvl w:val="0"/>
          <w:numId w:val="2"/>
        </w:numPr>
      </w:pPr>
      <w:r>
        <w:t xml:space="preserve">Prior to finalizing rule makings the Wireless Telecommunications Bureau conducts an analysis to ensure that improved information technology may be used to reduce the burden on the public.  </w:t>
      </w:r>
      <w:r w:rsidRPr="00D57905">
        <w:t>This analysis considers the possibility of obtaining and/or computer-generating the required data from existing data bases in the Commission or other federal agencies.</w:t>
      </w:r>
    </w:p>
    <w:p w:rsidR="005C1BBF" w:rsidRDefault="005C1BBF" w14:paraId="200301F4" w14:textId="77777777"/>
    <w:p w:rsidR="005C1BBF" w:rsidRDefault="005C1BBF" w14:paraId="2E6EA218" w14:textId="77777777">
      <w:pPr>
        <w:numPr>
          <w:ilvl w:val="0"/>
          <w:numId w:val="2"/>
        </w:numPr>
      </w:pPr>
      <w:r>
        <w:t>This agency does not impose a similar collection on the respondent.  No similar information is available.</w:t>
      </w:r>
    </w:p>
    <w:p w:rsidR="005C1BBF" w:rsidRDefault="005C1BBF" w14:paraId="654D2BE3" w14:textId="77777777"/>
    <w:p w:rsidR="005C1BBF" w:rsidRDefault="005C1BBF" w14:paraId="5C999401" w14:textId="77777777">
      <w:pPr>
        <w:numPr>
          <w:ilvl w:val="0"/>
          <w:numId w:val="2"/>
        </w:numPr>
      </w:pPr>
      <w:r>
        <w:t>In conformance with the Paperwork Reduction Act of 1995, the Commission is making an effort to minimize the burden on all respondents, regardless of size.  The Commission has limited the information requirements to that absolutely necessary for evaluating and processing the application and to deter against possible abuses of the processes.</w:t>
      </w:r>
    </w:p>
    <w:p w:rsidR="005C1BBF" w:rsidRDefault="005C1BBF" w14:paraId="0ACFE3D3" w14:textId="77777777"/>
    <w:p w:rsidRPr="00957F3D" w:rsidR="005C1BBF" w:rsidP="00957F3D" w:rsidRDefault="005C1BBF" w14:paraId="6463D9FC" w14:textId="77777777">
      <w:pPr>
        <w:numPr>
          <w:ilvl w:val="0"/>
          <w:numId w:val="2"/>
        </w:numPr>
        <w:rPr>
          <w:shd w:val="clear" w:color="auto" w:fill="FFFF00"/>
        </w:rPr>
      </w:pPr>
      <w:r>
        <w:t xml:space="preserve">Licensees meeting these record-keeping requirements generate only documentation as circumstances warrant, and not on a regular schedule.  Accordingly, a reduction in the frequency of collection is not </w:t>
      </w:r>
      <w:r w:rsidR="00DE0D8F">
        <w:t>feasible.</w:t>
      </w:r>
    </w:p>
    <w:p w:rsidR="005C1BBF" w:rsidRDefault="005C1BBF" w14:paraId="65AE8B8F" w14:textId="77777777"/>
    <w:p w:rsidR="005C1BBF" w:rsidRDefault="00993419" w14:paraId="742CE62E" w14:textId="77777777">
      <w:pPr>
        <w:numPr>
          <w:ilvl w:val="0"/>
          <w:numId w:val="2"/>
        </w:numPr>
      </w:pPr>
      <w:r>
        <w:t>This collection is</w:t>
      </w:r>
      <w:r w:rsidR="00A70880">
        <w:t xml:space="preserve"> inconsistent with 5 CFR 1320.5 </w:t>
      </w:r>
      <w:r>
        <w:t>because licensees are required to maintain paper and electronic records for at least eleven years.</w:t>
      </w:r>
      <w:r w:rsidR="005C1BBF">
        <w:t xml:space="preserve">   </w:t>
      </w:r>
    </w:p>
    <w:p w:rsidR="005C1BBF" w:rsidRDefault="005C1BBF" w14:paraId="79876EDD" w14:textId="77777777"/>
    <w:p w:rsidR="005C1BBF" w:rsidRDefault="005C1BBF" w14:paraId="5BB513BD" w14:textId="60104179">
      <w:pPr>
        <w:numPr>
          <w:ilvl w:val="0"/>
          <w:numId w:val="2"/>
        </w:numPr>
      </w:pPr>
      <w:r>
        <w:t xml:space="preserve">Notice of the information collection appeared in </w:t>
      </w:r>
      <w:r>
        <w:rPr>
          <w:i/>
        </w:rPr>
        <w:t>Federal Register</w:t>
      </w:r>
      <w:r>
        <w:t xml:space="preserve"> on </w:t>
      </w:r>
      <w:r w:rsidR="002B4F0F">
        <w:t>September 8, 2021</w:t>
      </w:r>
      <w:r>
        <w:t xml:space="preserve"> (</w:t>
      </w:r>
      <w:r w:rsidR="002B4F0F">
        <w:t xml:space="preserve">86 </w:t>
      </w:r>
      <w:r>
        <w:t xml:space="preserve">FR </w:t>
      </w:r>
      <w:r w:rsidR="002B4F0F">
        <w:t>50352</w:t>
      </w:r>
      <w:r>
        <w:t xml:space="preserve">), in compliance with 5 C.F.R. Section 1320.8(d).  No comments </w:t>
      </w:r>
      <w:r w:rsidR="00F527C8">
        <w:t xml:space="preserve">were </w:t>
      </w:r>
      <w:r w:rsidR="004B6AAD">
        <w:t xml:space="preserve">received.  </w:t>
      </w:r>
    </w:p>
    <w:p w:rsidR="005C1BBF" w:rsidRDefault="005C1BBF" w14:paraId="4CC31273" w14:textId="77777777"/>
    <w:p w:rsidR="005C1BBF" w:rsidRDefault="005C1BBF" w14:paraId="72A7A8FB" w14:textId="77777777">
      <w:pPr>
        <w:numPr>
          <w:ilvl w:val="0"/>
          <w:numId w:val="2"/>
        </w:numPr>
      </w:pPr>
      <w:r>
        <w:t>There are no payments or gifts to respondents.</w:t>
      </w:r>
    </w:p>
    <w:p w:rsidR="005C1BBF" w:rsidRDefault="005C1BBF" w14:paraId="250A91E8" w14:textId="77777777"/>
    <w:p w:rsidRPr="00DE0D8F" w:rsidR="00391481" w:rsidP="00391481" w:rsidRDefault="00391481" w14:paraId="218C3A57" w14:textId="77777777">
      <w:pPr>
        <w:numPr>
          <w:ilvl w:val="0"/>
          <w:numId w:val="2"/>
        </w:numPr>
        <w:rPr>
          <w:szCs w:val="24"/>
        </w:rPr>
      </w:pPr>
      <w:r>
        <w:t xml:space="preserve">There is no </w:t>
      </w:r>
      <w:r w:rsidR="00FE04A6">
        <w:t xml:space="preserve">need for confidentiality with </w:t>
      </w:r>
      <w:r>
        <w:t xml:space="preserve">this collection of information.  </w:t>
      </w:r>
    </w:p>
    <w:p w:rsidR="00DE0D8F" w:rsidP="00DE0D8F" w:rsidRDefault="00DE0D8F" w14:paraId="1BA6D2E8" w14:textId="77777777">
      <w:pPr>
        <w:ind w:left="360"/>
        <w:rPr>
          <w:szCs w:val="24"/>
        </w:rPr>
      </w:pPr>
    </w:p>
    <w:p w:rsidRPr="00DE0D8F" w:rsidR="00DE0D8F" w:rsidP="00DE0D8F" w:rsidRDefault="00DE0D8F" w14:paraId="69F5C3B4" w14:textId="77777777">
      <w:pPr>
        <w:numPr>
          <w:ilvl w:val="0"/>
          <w:numId w:val="2"/>
        </w:numPr>
        <w:rPr>
          <w:szCs w:val="24"/>
        </w:rPr>
      </w:pPr>
      <w:r w:rsidRPr="00DE0D8F">
        <w:rPr>
          <w:szCs w:val="24"/>
        </w:rPr>
        <w:t xml:space="preserve">The Commission believes that this </w:t>
      </w:r>
      <w:r w:rsidR="00391481">
        <w:rPr>
          <w:szCs w:val="24"/>
        </w:rPr>
        <w:t xml:space="preserve">collection of </w:t>
      </w:r>
      <w:r w:rsidRPr="00DE0D8F">
        <w:rPr>
          <w:szCs w:val="24"/>
        </w:rPr>
        <w:t xml:space="preserve">information will not raise any questions or issues of a sensitive nature for respondents.   </w:t>
      </w:r>
    </w:p>
    <w:p w:rsidR="00DE0D8F" w:rsidP="00DE0D8F" w:rsidRDefault="00DE0D8F" w14:paraId="1461BDCA" w14:textId="77777777"/>
    <w:p w:rsidRPr="00B3070E" w:rsidR="00B3070E" w:rsidP="00B3070E" w:rsidRDefault="00B3070E" w14:paraId="04BAA95B" w14:textId="77777777">
      <w:pPr>
        <w:tabs>
          <w:tab w:val="num" w:pos="360"/>
        </w:tabs>
        <w:ind w:left="360" w:hanging="360"/>
        <w:rPr>
          <w:color w:val="0000FF"/>
          <w:szCs w:val="24"/>
        </w:rPr>
      </w:pPr>
      <w:r>
        <w:t xml:space="preserve">12. </w:t>
      </w:r>
      <w:r w:rsidR="005C1BBF">
        <w:t xml:space="preserve">The </w:t>
      </w:r>
      <w:r w:rsidR="00503D2A">
        <w:t xml:space="preserve">recordkeeping </w:t>
      </w:r>
      <w:r w:rsidR="00503D2A">
        <w:rPr>
          <w:color w:val="000000"/>
          <w:szCs w:val="24"/>
        </w:rPr>
        <w:t>requirements</w:t>
      </w:r>
      <w:r w:rsidRPr="00B3070E">
        <w:rPr>
          <w:color w:val="000000"/>
          <w:szCs w:val="24"/>
        </w:rPr>
        <w:t xml:space="preserve"> regarding equipment maintenance records </w:t>
      </w:r>
      <w:r w:rsidR="00503D2A">
        <w:rPr>
          <w:color w:val="000000"/>
          <w:szCs w:val="24"/>
        </w:rPr>
        <w:t xml:space="preserve">and cost distribution records </w:t>
      </w:r>
      <w:r w:rsidRPr="00B3070E">
        <w:rPr>
          <w:color w:val="000000"/>
          <w:szCs w:val="24"/>
        </w:rPr>
        <w:t>would be typically generated when equipment malfunctions and not on a regular basis.  The information required is likely maintained as part of a licensee's routine operating procedures or is otherwise readily available to the licensee, such as through a service company’s billing invoices, and thus it should take a licensee only a few minutes on average to meet the information collection requirement.</w:t>
      </w:r>
    </w:p>
    <w:p w:rsidRPr="00B3070E" w:rsidR="00B3070E" w:rsidP="00B3070E" w:rsidRDefault="00B3070E" w14:paraId="07FFB9AA" w14:textId="77777777">
      <w:pPr>
        <w:rPr>
          <w:color w:val="0000FF"/>
          <w:szCs w:val="24"/>
        </w:rPr>
      </w:pPr>
    </w:p>
    <w:p w:rsidRPr="00B3070E" w:rsidR="00B3070E" w:rsidP="00B3070E" w:rsidRDefault="000529E2" w14:paraId="78826BAC" w14:textId="77777777">
      <w:pPr>
        <w:ind w:left="360"/>
        <w:rPr>
          <w:color w:val="0000FF"/>
          <w:szCs w:val="24"/>
        </w:rPr>
      </w:pPr>
      <w:r>
        <w:rPr>
          <w:color w:val="000000"/>
          <w:szCs w:val="24"/>
        </w:rPr>
        <w:t xml:space="preserve">There are approximately </w:t>
      </w:r>
      <w:r w:rsidR="00711525">
        <w:rPr>
          <w:color w:val="000000"/>
          <w:szCs w:val="24"/>
        </w:rPr>
        <w:t>166,658</w:t>
      </w:r>
      <w:r w:rsidRPr="00B3070E" w:rsidR="00B3070E">
        <w:rPr>
          <w:color w:val="000000"/>
          <w:szCs w:val="24"/>
        </w:rPr>
        <w:t xml:space="preserve"> licensees subject to the</w:t>
      </w:r>
      <w:r w:rsidR="00503D2A">
        <w:rPr>
          <w:color w:val="000000"/>
          <w:szCs w:val="24"/>
        </w:rPr>
        <w:t>se</w:t>
      </w:r>
      <w:r w:rsidRPr="00B3070E" w:rsidR="00B3070E">
        <w:rPr>
          <w:color w:val="000000"/>
          <w:szCs w:val="24"/>
        </w:rPr>
        <w:t xml:space="preserve"> </w:t>
      </w:r>
      <w:r>
        <w:rPr>
          <w:color w:val="000000"/>
          <w:szCs w:val="24"/>
        </w:rPr>
        <w:t xml:space="preserve">recordkeeping </w:t>
      </w:r>
      <w:r w:rsidR="00503D2A">
        <w:rPr>
          <w:color w:val="000000"/>
          <w:szCs w:val="24"/>
        </w:rPr>
        <w:t>requirements</w:t>
      </w:r>
      <w:r w:rsidRPr="00B3070E" w:rsidR="00B3070E">
        <w:rPr>
          <w:color w:val="000000"/>
          <w:szCs w:val="24"/>
        </w:rPr>
        <w:t xml:space="preserve">.  </w:t>
      </w:r>
      <w:r>
        <w:rPr>
          <w:color w:val="000000"/>
          <w:szCs w:val="24"/>
        </w:rPr>
        <w:t xml:space="preserve">These licensees </w:t>
      </w:r>
      <w:r w:rsidRPr="00B3070E" w:rsidR="00B3070E">
        <w:rPr>
          <w:color w:val="000000"/>
          <w:szCs w:val="24"/>
        </w:rPr>
        <w:t xml:space="preserve">will be required to preserve equipment maintenance </w:t>
      </w:r>
      <w:r w:rsidR="00503D2A">
        <w:rPr>
          <w:color w:val="000000"/>
          <w:szCs w:val="24"/>
        </w:rPr>
        <w:t xml:space="preserve">and cost distribution </w:t>
      </w:r>
      <w:r w:rsidRPr="00B3070E" w:rsidR="00B3070E">
        <w:rPr>
          <w:color w:val="000000"/>
          <w:szCs w:val="24"/>
        </w:rPr>
        <w:t xml:space="preserve">records annually, with an average burden of </w:t>
      </w:r>
      <w:r w:rsidR="00B3070E">
        <w:rPr>
          <w:color w:val="000000"/>
          <w:szCs w:val="24"/>
        </w:rPr>
        <w:t xml:space="preserve">15 </w:t>
      </w:r>
      <w:r w:rsidRPr="00B3070E" w:rsidR="00B3070E">
        <w:rPr>
          <w:color w:val="000000"/>
          <w:szCs w:val="24"/>
        </w:rPr>
        <w:t xml:space="preserve">minutes. </w:t>
      </w:r>
    </w:p>
    <w:p w:rsidR="00B3070E" w:rsidRDefault="00B3070E" w14:paraId="3E69992D" w14:textId="77777777">
      <w:pPr>
        <w:ind w:left="360"/>
      </w:pPr>
    </w:p>
    <w:p w:rsidR="005C1BBF" w:rsidRDefault="005C1BBF" w14:paraId="74261834" w14:textId="77777777">
      <w:pPr>
        <w:ind w:left="360"/>
      </w:pPr>
    </w:p>
    <w:p w:rsidR="00B3070E" w:rsidP="008B1171" w:rsidRDefault="00711525" w14:paraId="747B8051" w14:textId="77777777">
      <w:pPr>
        <w:ind w:left="720"/>
      </w:pPr>
      <w:r>
        <w:t>166,658</w:t>
      </w:r>
      <w:r w:rsidR="005C1BBF">
        <w:t xml:space="preserve"> (licensees) x .</w:t>
      </w:r>
      <w:r w:rsidR="00B3070E">
        <w:t>25</w:t>
      </w:r>
      <w:r w:rsidR="005C1BBF">
        <w:t xml:space="preserve"> hours</w:t>
      </w:r>
      <w:r w:rsidR="00F527C8">
        <w:t xml:space="preserve"> (</w:t>
      </w:r>
      <w:r w:rsidR="00B3070E">
        <w:t>1</w:t>
      </w:r>
      <w:r w:rsidR="00F527C8">
        <w:t>5 mi</w:t>
      </w:r>
      <w:r w:rsidR="005C1BBF">
        <w:t xml:space="preserve">ns.) (recordkeeping) = </w:t>
      </w:r>
      <w:r>
        <w:t>41,665</w:t>
      </w:r>
      <w:r w:rsidR="00B3070E">
        <w:t xml:space="preserve"> hour</w:t>
      </w:r>
      <w:r w:rsidR="008B1171">
        <w:t>s</w:t>
      </w:r>
      <w:r w:rsidR="00FF4047">
        <w:t xml:space="preserve"> (rounded)</w:t>
      </w:r>
      <w:r w:rsidR="00B3070E">
        <w:t xml:space="preserve"> per annum.</w:t>
      </w:r>
    </w:p>
    <w:p w:rsidR="005C1BBF" w:rsidRDefault="005C1BBF" w14:paraId="40F6A653" w14:textId="77777777">
      <w:pPr>
        <w:ind w:left="360" w:firstLine="360"/>
      </w:pPr>
    </w:p>
    <w:p w:rsidR="005C1BBF" w:rsidRDefault="005C1BBF" w14:paraId="5157A494" w14:textId="77777777">
      <w:pPr>
        <w:ind w:left="360" w:firstLine="360"/>
        <w:rPr>
          <w:b/>
        </w:rPr>
      </w:pPr>
      <w:r w:rsidRPr="00DA0D3B">
        <w:rPr>
          <w:b/>
        </w:rPr>
        <w:t xml:space="preserve">Total Annual Hour Burden is:  </w:t>
      </w:r>
      <w:r w:rsidR="00711525">
        <w:rPr>
          <w:b/>
        </w:rPr>
        <w:t>41,665</w:t>
      </w:r>
      <w:r w:rsidRPr="00F527C8">
        <w:rPr>
          <w:b/>
        </w:rPr>
        <w:t xml:space="preserve"> hours</w:t>
      </w:r>
      <w:r w:rsidRPr="00F527C8" w:rsidR="00F527C8">
        <w:rPr>
          <w:b/>
        </w:rPr>
        <w:t>.</w:t>
      </w:r>
    </w:p>
    <w:p w:rsidR="000529E2" w:rsidRDefault="000529E2" w14:paraId="2A51A738" w14:textId="77777777">
      <w:pPr>
        <w:ind w:left="360" w:firstLine="360"/>
        <w:rPr>
          <w:b/>
        </w:rPr>
      </w:pPr>
    </w:p>
    <w:p w:rsidR="000529E2" w:rsidRDefault="000529E2" w14:paraId="1988E6F0" w14:textId="77777777">
      <w:pPr>
        <w:ind w:left="360" w:firstLine="360"/>
        <w:rPr>
          <w:b/>
        </w:rPr>
      </w:pPr>
      <w:r>
        <w:rPr>
          <w:b/>
        </w:rPr>
        <w:t xml:space="preserve">Total Number of Respondents:  </w:t>
      </w:r>
      <w:r w:rsidR="00711525">
        <w:rPr>
          <w:b/>
        </w:rPr>
        <w:t>166,658</w:t>
      </w:r>
      <w:r>
        <w:rPr>
          <w:b/>
        </w:rPr>
        <w:t xml:space="preserve"> licensees.</w:t>
      </w:r>
    </w:p>
    <w:p w:rsidR="000529E2" w:rsidRDefault="000529E2" w14:paraId="341045A0" w14:textId="77777777">
      <w:pPr>
        <w:ind w:left="360" w:firstLine="360"/>
        <w:rPr>
          <w:b/>
        </w:rPr>
      </w:pPr>
    </w:p>
    <w:p w:rsidR="000529E2" w:rsidRDefault="000529E2" w14:paraId="6F4BED0E" w14:textId="77777777">
      <w:pPr>
        <w:ind w:left="360" w:firstLine="360"/>
        <w:rPr>
          <w:b/>
        </w:rPr>
      </w:pPr>
      <w:r>
        <w:rPr>
          <w:b/>
        </w:rPr>
        <w:t xml:space="preserve">Total Number of Annual Responses:  </w:t>
      </w:r>
      <w:r w:rsidR="00711525">
        <w:rPr>
          <w:b/>
        </w:rPr>
        <w:t>166,658</w:t>
      </w:r>
    </w:p>
    <w:p w:rsidR="000529E2" w:rsidRDefault="000529E2" w14:paraId="4ED21B6F" w14:textId="77777777">
      <w:pPr>
        <w:ind w:left="360" w:firstLine="360"/>
        <w:rPr>
          <w:b/>
        </w:rPr>
      </w:pPr>
    </w:p>
    <w:p w:rsidRPr="000529E2" w:rsidR="00676BF4" w:rsidRDefault="000529E2" w14:paraId="6D735A25" w14:textId="77777777">
      <w:pPr>
        <w:ind w:left="360" w:firstLine="360"/>
        <w:rPr>
          <w:b/>
        </w:rPr>
      </w:pPr>
      <w:r w:rsidRPr="00C8343E">
        <w:rPr>
          <w:b/>
        </w:rPr>
        <w:t>In-house Cost</w:t>
      </w:r>
      <w:r>
        <w:t xml:space="preserve">:  The Commission </w:t>
      </w:r>
      <w:r w:rsidR="00676BF4">
        <w:t xml:space="preserve">presume that each licensee will use in-house </w:t>
      </w:r>
      <w:r>
        <w:t xml:space="preserve">     </w:t>
      </w:r>
      <w:r w:rsidR="00951661">
        <w:tab/>
      </w:r>
      <w:r w:rsidR="00676BF4">
        <w:t>clerical personnel at the GS-8 Step 5 level, earning (average $</w:t>
      </w:r>
      <w:r w:rsidR="00711525">
        <w:t>29.</w:t>
      </w:r>
      <w:r w:rsidR="00CB7580">
        <w:t>5</w:t>
      </w:r>
      <w:r w:rsidR="00711525">
        <w:t>6</w:t>
      </w:r>
      <w:r w:rsidR="00B566DA">
        <w:t xml:space="preserve"> </w:t>
      </w:r>
      <w:r w:rsidR="00676BF4">
        <w:t xml:space="preserve">per hour) to </w:t>
      </w:r>
      <w:r w:rsidR="00951661">
        <w:tab/>
      </w:r>
      <w:r w:rsidR="00676BF4">
        <w:t>file and maintain this information.</w:t>
      </w:r>
    </w:p>
    <w:p w:rsidR="00147E17" w:rsidRDefault="00147E17" w14:paraId="7D564210" w14:textId="77777777">
      <w:pPr>
        <w:ind w:left="360" w:firstLine="360"/>
      </w:pPr>
    </w:p>
    <w:p w:rsidRPr="00C8343E" w:rsidR="00147E17" w:rsidRDefault="00711525" w14:paraId="71314D21" w14:textId="77777777">
      <w:pPr>
        <w:ind w:left="360" w:firstLine="360"/>
        <w:rPr>
          <w:b/>
        </w:rPr>
      </w:pPr>
      <w:r>
        <w:t>41,665</w:t>
      </w:r>
      <w:r w:rsidR="00147E17">
        <w:t xml:space="preserve"> hours x $</w:t>
      </w:r>
      <w:r>
        <w:t>29.</w:t>
      </w:r>
      <w:r w:rsidR="00CB7580">
        <w:t>5</w:t>
      </w:r>
      <w:r>
        <w:t>6</w:t>
      </w:r>
      <w:r w:rsidR="00C8343E">
        <w:t>/hr. (clerical) =</w:t>
      </w:r>
      <w:r w:rsidR="00777E49">
        <w:t xml:space="preserve"> </w:t>
      </w:r>
      <w:r w:rsidRPr="00A05C65" w:rsidR="00A05C65">
        <w:rPr>
          <w:b/>
          <w:bCs/>
        </w:rPr>
        <w:t>$</w:t>
      </w:r>
      <w:r w:rsidRPr="00A05C65">
        <w:rPr>
          <w:b/>
          <w:bCs/>
        </w:rPr>
        <w:t>1,23</w:t>
      </w:r>
      <w:r w:rsidR="00CB7580">
        <w:rPr>
          <w:b/>
          <w:bCs/>
        </w:rPr>
        <w:t>1,617.40</w:t>
      </w:r>
    </w:p>
    <w:p w:rsidR="005C1BBF" w:rsidRDefault="005C1BBF" w14:paraId="0B68EBCB" w14:textId="77777777">
      <w:pPr>
        <w:ind w:left="360" w:firstLine="360"/>
      </w:pPr>
    </w:p>
    <w:p w:rsidR="00951661" w:rsidP="00951661" w:rsidRDefault="00676BF4" w14:paraId="532A8783" w14:textId="77777777">
      <w:pPr>
        <w:numPr>
          <w:ilvl w:val="0"/>
          <w:numId w:val="9"/>
        </w:numPr>
        <w:tabs>
          <w:tab w:val="clear" w:pos="720"/>
          <w:tab w:val="num" w:pos="360"/>
        </w:tabs>
        <w:spacing w:line="360" w:lineRule="auto"/>
        <w:ind w:left="360"/>
      </w:pPr>
      <w:r>
        <w:t xml:space="preserve">There are no Contracting/External cost for this information collection. </w:t>
      </w:r>
    </w:p>
    <w:p w:rsidR="00951661" w:rsidP="00951661" w:rsidRDefault="00951661" w14:paraId="219D9258" w14:textId="77777777">
      <w:pPr>
        <w:tabs>
          <w:tab w:val="left" w:pos="5205"/>
        </w:tabs>
      </w:pPr>
    </w:p>
    <w:p w:rsidR="005C1BBF" w:rsidP="00951661" w:rsidRDefault="00951661" w14:paraId="35040712" w14:textId="77777777">
      <w:pPr>
        <w:tabs>
          <w:tab w:val="num" w:pos="360"/>
          <w:tab w:val="left" w:pos="5205"/>
        </w:tabs>
      </w:pPr>
      <w:r>
        <w:t xml:space="preserve">14.  </w:t>
      </w:r>
      <w:r w:rsidR="005C1BBF">
        <w:t>The government rev</w:t>
      </w:r>
      <w:r w:rsidR="00C8343E">
        <w:t xml:space="preserve">iew time is estimated at 5 minutes per </w:t>
      </w:r>
      <w:r>
        <w:t xml:space="preserve">response with review being </w:t>
      </w:r>
      <w:r w:rsidR="005C1BBF">
        <w:t>performed by personnel at the GS-12</w:t>
      </w:r>
      <w:r w:rsidR="00147E17">
        <w:t xml:space="preserve"> Step 5</w:t>
      </w:r>
      <w:r w:rsidR="00C8343E">
        <w:t xml:space="preserve"> level.  The Commission is estimated to review only</w:t>
      </w:r>
      <w:r w:rsidR="005C1BBF">
        <w:t xml:space="preserve"> </w:t>
      </w:r>
      <w:r w:rsidR="00C8343E">
        <w:t>9,506 records annually.  These reviews will be done by field personnel.</w:t>
      </w:r>
    </w:p>
    <w:p w:rsidR="005C1BBF" w:rsidP="002A4B5F" w:rsidRDefault="005C1BBF" w14:paraId="769013DA" w14:textId="77777777"/>
    <w:p w:rsidRPr="00C8343E" w:rsidR="005C1BBF" w:rsidP="00C8343E" w:rsidRDefault="000C61A0" w14:paraId="10569BFE" w14:textId="77777777">
      <w:pPr>
        <w:ind w:left="1080"/>
        <w:rPr>
          <w:b/>
        </w:rPr>
      </w:pPr>
      <w:r>
        <w:t>9,</w:t>
      </w:r>
      <w:r w:rsidR="00147E17">
        <w:t>50</w:t>
      </w:r>
      <w:r w:rsidR="00281A8E">
        <w:t>6</w:t>
      </w:r>
      <w:r>
        <w:t xml:space="preserve"> x .084 (5 mins.) = </w:t>
      </w:r>
      <w:r w:rsidR="00281A8E">
        <w:t>799</w:t>
      </w:r>
      <w:r w:rsidR="005C1BBF">
        <w:t xml:space="preserve"> hours x $</w:t>
      </w:r>
      <w:r w:rsidR="00A05C65">
        <w:t>47.</w:t>
      </w:r>
      <w:r w:rsidR="00CB7580">
        <w:t>35</w:t>
      </w:r>
      <w:r w:rsidR="005C1BBF">
        <w:t>/</w:t>
      </w:r>
      <w:proofErr w:type="spellStart"/>
      <w:r w:rsidR="005C1BBF">
        <w:t>hr</w:t>
      </w:r>
      <w:proofErr w:type="spellEnd"/>
      <w:r w:rsidR="005C1BBF">
        <w:t xml:space="preserve"> (examiner) </w:t>
      </w:r>
      <w:r w:rsidR="00C8343E">
        <w:rPr>
          <w:b/>
        </w:rPr>
        <w:t>= $</w:t>
      </w:r>
      <w:r w:rsidR="00A05C65">
        <w:rPr>
          <w:b/>
        </w:rPr>
        <w:t>37,</w:t>
      </w:r>
      <w:r w:rsidR="00CB7580">
        <w:rPr>
          <w:b/>
        </w:rPr>
        <w:t>832.65</w:t>
      </w:r>
    </w:p>
    <w:p w:rsidR="005C1BBF" w:rsidP="00AF3B9D" w:rsidRDefault="00AF3B9D" w14:paraId="65AB143F" w14:textId="77777777">
      <w:pPr>
        <w:tabs>
          <w:tab w:val="left" w:pos="5205"/>
        </w:tabs>
      </w:pPr>
      <w:r>
        <w:tab/>
      </w:r>
    </w:p>
    <w:p w:rsidR="005C1BBF" w:rsidP="00951661" w:rsidRDefault="0009417C" w14:paraId="6F349ED5" w14:textId="77777777">
      <w:pPr>
        <w:tabs>
          <w:tab w:val="left" w:pos="5205"/>
        </w:tabs>
      </w:pPr>
      <w:r>
        <w:t xml:space="preserve">15.  </w:t>
      </w:r>
      <w:r w:rsidRPr="0009417C">
        <w:t>The Commission reporting adjustments/increase to this collection represents an accurate accounting of the active PLMR license</w:t>
      </w:r>
      <w:r>
        <w:t>e</w:t>
      </w:r>
      <w:r w:rsidRPr="0009417C">
        <w:t xml:space="preserve">s </w:t>
      </w:r>
      <w:r>
        <w:t>subject to the station record requirements</w:t>
      </w:r>
      <w:r w:rsidRPr="0009417C">
        <w:t xml:space="preserve"> in ULS.  It is assumed that the logic used to extract the prior data was faulty. The Commission is reporting more accurate estimates with this submission to OMB which is the reason behind the adjustments to this collection</w:t>
      </w:r>
      <w:r w:rsidR="00CB7580">
        <w:t xml:space="preserve"> of </w:t>
      </w:r>
      <w:r w:rsidR="002A6030">
        <w:t>+114,275 to the number of respondents, +114,275 to the annual number of responses and +28,569 to the annual burden hours.</w:t>
      </w:r>
    </w:p>
    <w:p w:rsidR="00951661" w:rsidP="00951661" w:rsidRDefault="00951661" w14:paraId="50BE4B70" w14:textId="77777777">
      <w:pPr>
        <w:tabs>
          <w:tab w:val="left" w:pos="5205"/>
        </w:tabs>
      </w:pPr>
    </w:p>
    <w:p w:rsidR="00951661" w:rsidP="00951661" w:rsidRDefault="00951661" w14:paraId="2F60DD7B" w14:textId="77777777">
      <w:pPr>
        <w:tabs>
          <w:tab w:val="left" w:pos="5205"/>
        </w:tabs>
      </w:pPr>
      <w:r>
        <w:t>16.  The data will not be published for statistical purposes.</w:t>
      </w:r>
    </w:p>
    <w:p w:rsidR="00951661" w:rsidP="00951661" w:rsidRDefault="00951661" w14:paraId="321D90B3" w14:textId="77777777">
      <w:pPr>
        <w:tabs>
          <w:tab w:val="left" w:pos="5205"/>
        </w:tabs>
      </w:pPr>
    </w:p>
    <w:p w:rsidR="00951661" w:rsidP="00951661" w:rsidRDefault="00951661" w14:paraId="3344F4C6" w14:textId="77777777">
      <w:pPr>
        <w:tabs>
          <w:tab w:val="left" w:pos="5205"/>
        </w:tabs>
      </w:pPr>
      <w:r>
        <w:t xml:space="preserve">17. </w:t>
      </w:r>
      <w:r w:rsidR="005C1BBF">
        <w:t>We do not seek approval to not display the expiration date for OMB approval of the information collection.</w:t>
      </w:r>
    </w:p>
    <w:p w:rsidR="00951661" w:rsidP="00951661" w:rsidRDefault="00951661" w14:paraId="776F3049" w14:textId="77777777">
      <w:pPr>
        <w:tabs>
          <w:tab w:val="left" w:pos="5205"/>
        </w:tabs>
      </w:pPr>
    </w:p>
    <w:p w:rsidR="005C1BBF" w:rsidP="00951661" w:rsidRDefault="00951661" w14:paraId="7F9C50FC" w14:textId="77777777">
      <w:pPr>
        <w:tabs>
          <w:tab w:val="left" w:pos="5205"/>
        </w:tabs>
      </w:pPr>
      <w:r>
        <w:t xml:space="preserve">18.  </w:t>
      </w:r>
      <w:r w:rsidR="005C1BBF">
        <w:t xml:space="preserve">There are no exceptions to </w:t>
      </w:r>
      <w:r w:rsidR="00147E17">
        <w:t>the certification statement</w:t>
      </w:r>
      <w:r w:rsidR="005C1BBF">
        <w:t>.</w:t>
      </w:r>
    </w:p>
    <w:p w:rsidR="005C1BBF" w:rsidRDefault="005C1BBF" w14:paraId="2ADBC61D" w14:textId="77777777"/>
    <w:p w:rsidR="005C1BBF" w:rsidRDefault="005C1BBF" w14:paraId="4C4C1609" w14:textId="77777777">
      <w:pPr>
        <w:numPr>
          <w:ilvl w:val="0"/>
          <w:numId w:val="1"/>
        </w:numPr>
      </w:pPr>
      <w:r w:rsidRPr="008F4753">
        <w:rPr>
          <w:b/>
          <w:u w:val="single"/>
        </w:rPr>
        <w:t>Collections of Information Employing Statistical Method</w:t>
      </w:r>
      <w:r w:rsidR="00EA3EA4">
        <w:rPr>
          <w:b/>
          <w:u w:val="single"/>
        </w:rPr>
        <w:t>s:</w:t>
      </w:r>
    </w:p>
    <w:p w:rsidR="005C1BBF" w:rsidRDefault="005C1BBF" w14:paraId="1DF62665" w14:textId="77777777"/>
    <w:p w:rsidR="005C1BBF" w:rsidRDefault="005C1BBF" w14:paraId="072BC357" w14:textId="77777777">
      <w:pPr>
        <w:ind w:left="360"/>
      </w:pPr>
      <w:r>
        <w:t>No statistical methods were employed.</w:t>
      </w:r>
    </w:p>
    <w:sectPr w:rsidR="005C1BBF" w:rsidSect="00FE04A6">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93DE5" w14:textId="77777777" w:rsidR="00F070E9" w:rsidRDefault="00F070E9">
      <w:r>
        <w:separator/>
      </w:r>
    </w:p>
  </w:endnote>
  <w:endnote w:type="continuationSeparator" w:id="0">
    <w:p w14:paraId="5A2CA9AF" w14:textId="77777777" w:rsidR="00F070E9" w:rsidRDefault="00F0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4EBDA" w14:textId="77777777" w:rsidR="00DA13E0" w:rsidRDefault="00DA13E0" w:rsidP="00FE0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98C2C4" w14:textId="77777777" w:rsidR="00DA13E0" w:rsidRDefault="00DA1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1957D" w14:textId="77777777" w:rsidR="00DA13E0" w:rsidRDefault="00DA13E0" w:rsidP="00FE0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2F4E">
      <w:rPr>
        <w:rStyle w:val="PageNumber"/>
        <w:noProof/>
      </w:rPr>
      <w:t>3</w:t>
    </w:r>
    <w:r>
      <w:rPr>
        <w:rStyle w:val="PageNumber"/>
      </w:rPr>
      <w:fldChar w:fldCharType="end"/>
    </w:r>
  </w:p>
  <w:p w14:paraId="67609DBF" w14:textId="77777777" w:rsidR="00DA13E0" w:rsidRDefault="00DA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1A17F" w14:textId="77777777" w:rsidR="00F070E9" w:rsidRDefault="00F070E9">
      <w:r>
        <w:separator/>
      </w:r>
    </w:p>
  </w:footnote>
  <w:footnote w:type="continuationSeparator" w:id="0">
    <w:p w14:paraId="41BC5CCB" w14:textId="77777777" w:rsidR="00F070E9" w:rsidRDefault="00F07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D3721"/>
    <w:multiLevelType w:val="hybridMultilevel"/>
    <w:tmpl w:val="32AECD90"/>
    <w:lvl w:ilvl="0" w:tplc="055CD650">
      <w:start w:val="1"/>
      <w:numFmt w:val="lowerLetter"/>
      <w:lvlText w:val="%1."/>
      <w:lvlJc w:val="left"/>
      <w:pPr>
        <w:tabs>
          <w:tab w:val="num" w:pos="1365"/>
        </w:tabs>
        <w:ind w:left="1365" w:hanging="6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2" w15:restartNumberingAfterBreak="0">
    <w:nsid w:val="2F2D0EA9"/>
    <w:multiLevelType w:val="hybridMultilevel"/>
    <w:tmpl w:val="B456DB06"/>
    <w:lvl w:ilvl="0" w:tplc="0409000F">
      <w:start w:val="1"/>
      <w:numFmt w:val="decimal"/>
      <w:lvlText w:val="%1."/>
      <w:lvlJc w:val="left"/>
      <w:pPr>
        <w:tabs>
          <w:tab w:val="num" w:pos="720"/>
        </w:tabs>
        <w:ind w:left="720" w:hanging="360"/>
      </w:pPr>
      <w:rPr>
        <w:rFonts w:hint="default"/>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FB4D1D"/>
    <w:multiLevelType w:val="hybridMultilevel"/>
    <w:tmpl w:val="CAFE196C"/>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823C08"/>
    <w:multiLevelType w:val="singleLevel"/>
    <w:tmpl w:val="67BC1880"/>
    <w:lvl w:ilvl="0">
      <w:start w:val="1"/>
      <w:numFmt w:val="decimal"/>
      <w:lvlText w:val="%1."/>
      <w:lvlJc w:val="left"/>
      <w:pPr>
        <w:tabs>
          <w:tab w:val="num" w:pos="360"/>
        </w:tabs>
        <w:ind w:left="360" w:hanging="360"/>
      </w:pPr>
      <w:rPr>
        <w:rFonts w:hint="default"/>
      </w:rPr>
    </w:lvl>
  </w:abstractNum>
  <w:abstractNum w:abstractNumId="5" w15:restartNumberingAfterBreak="0">
    <w:nsid w:val="41564A5A"/>
    <w:multiLevelType w:val="hybridMultilevel"/>
    <w:tmpl w:val="67CC7B4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5D787F"/>
    <w:multiLevelType w:val="hybridMultilevel"/>
    <w:tmpl w:val="51DCD826"/>
    <w:lvl w:ilvl="0" w:tplc="0472CDA2">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76176D"/>
    <w:multiLevelType w:val="singleLevel"/>
    <w:tmpl w:val="BB52E9E4"/>
    <w:lvl w:ilvl="0">
      <w:start w:val="1"/>
      <w:numFmt w:val="upperLetter"/>
      <w:lvlText w:val="%1."/>
      <w:lvlJc w:val="left"/>
      <w:pPr>
        <w:tabs>
          <w:tab w:val="num" w:pos="360"/>
        </w:tabs>
        <w:ind w:left="360" w:hanging="360"/>
      </w:pPr>
      <w:rPr>
        <w:b/>
      </w:rPr>
    </w:lvl>
  </w:abstractNum>
  <w:abstractNum w:abstractNumId="8" w15:restartNumberingAfterBreak="0">
    <w:nsid w:val="5B7C7F63"/>
    <w:multiLevelType w:val="hybridMultilevel"/>
    <w:tmpl w:val="87A41CAE"/>
    <w:lvl w:ilvl="0" w:tplc="04090019">
      <w:start w:val="1"/>
      <w:numFmt w:val="lowerLetter"/>
      <w:lvlText w:val="%1."/>
      <w:lvlJc w:val="left"/>
      <w:pPr>
        <w:tabs>
          <w:tab w:val="num" w:pos="720"/>
        </w:tabs>
        <w:ind w:left="720" w:hanging="360"/>
      </w:pPr>
      <w:rPr>
        <w:rFonts w:hint="default"/>
      </w:rPr>
    </w:lvl>
    <w:lvl w:ilvl="1" w:tplc="86028DFC">
      <w:start w:val="1"/>
      <w:numFmt w:val="lowerRoman"/>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C30605"/>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10B15AA"/>
    <w:multiLevelType w:val="singleLevel"/>
    <w:tmpl w:val="5D12FE40"/>
    <w:lvl w:ilvl="0">
      <w:start w:val="1"/>
      <w:numFmt w:val="decimal"/>
      <w:lvlText w:val="%1."/>
      <w:lvlJc w:val="left"/>
      <w:pPr>
        <w:tabs>
          <w:tab w:val="num" w:pos="360"/>
        </w:tabs>
        <w:ind w:left="360" w:hanging="360"/>
      </w:pPr>
      <w:rPr>
        <w:rFonts w:hint="default"/>
      </w:rPr>
    </w:lvl>
  </w:abstractNum>
  <w:num w:numId="1">
    <w:abstractNumId w:val="7"/>
  </w:num>
  <w:num w:numId="2">
    <w:abstractNumId w:val="9"/>
  </w:num>
  <w:num w:numId="3">
    <w:abstractNumId w:val="4"/>
  </w:num>
  <w:num w:numId="4">
    <w:abstractNumId w:val="1"/>
  </w:num>
  <w:num w:numId="5">
    <w:abstractNumId w:val="8"/>
  </w:num>
  <w:num w:numId="6">
    <w:abstractNumId w:val="0"/>
  </w:num>
  <w:num w:numId="7">
    <w:abstractNumId w:val="6"/>
  </w:num>
  <w:num w:numId="8">
    <w:abstractNumId w:val="2"/>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C9"/>
    <w:rsid w:val="000014DD"/>
    <w:rsid w:val="000529E2"/>
    <w:rsid w:val="000541F1"/>
    <w:rsid w:val="000816FA"/>
    <w:rsid w:val="00082A80"/>
    <w:rsid w:val="00082E25"/>
    <w:rsid w:val="0008650D"/>
    <w:rsid w:val="00091A7A"/>
    <w:rsid w:val="0009417C"/>
    <w:rsid w:val="000A38F5"/>
    <w:rsid w:val="000C05B3"/>
    <w:rsid w:val="000C61A0"/>
    <w:rsid w:val="000D00F7"/>
    <w:rsid w:val="000F4379"/>
    <w:rsid w:val="001235CA"/>
    <w:rsid w:val="00126CBA"/>
    <w:rsid w:val="00135A2E"/>
    <w:rsid w:val="00147E17"/>
    <w:rsid w:val="0017022E"/>
    <w:rsid w:val="00172F4E"/>
    <w:rsid w:val="0019533C"/>
    <w:rsid w:val="001B153C"/>
    <w:rsid w:val="00232D47"/>
    <w:rsid w:val="00252ACA"/>
    <w:rsid w:val="002632D7"/>
    <w:rsid w:val="00281A8E"/>
    <w:rsid w:val="002A4B5F"/>
    <w:rsid w:val="002A6030"/>
    <w:rsid w:val="002B4F0F"/>
    <w:rsid w:val="00351AB8"/>
    <w:rsid w:val="00391481"/>
    <w:rsid w:val="00392C25"/>
    <w:rsid w:val="003A4ABB"/>
    <w:rsid w:val="003B04FA"/>
    <w:rsid w:val="004540AD"/>
    <w:rsid w:val="00454DEA"/>
    <w:rsid w:val="00456077"/>
    <w:rsid w:val="004B6AAD"/>
    <w:rsid w:val="004C05A7"/>
    <w:rsid w:val="004E34B6"/>
    <w:rsid w:val="00503D2A"/>
    <w:rsid w:val="00561DC9"/>
    <w:rsid w:val="005C1BBF"/>
    <w:rsid w:val="00676BF4"/>
    <w:rsid w:val="006E157B"/>
    <w:rsid w:val="006F4EC8"/>
    <w:rsid w:val="00711525"/>
    <w:rsid w:val="0072387E"/>
    <w:rsid w:val="007249D4"/>
    <w:rsid w:val="00777E49"/>
    <w:rsid w:val="00784190"/>
    <w:rsid w:val="007A5B7F"/>
    <w:rsid w:val="007B015D"/>
    <w:rsid w:val="007D6D73"/>
    <w:rsid w:val="008065B5"/>
    <w:rsid w:val="00824187"/>
    <w:rsid w:val="00877247"/>
    <w:rsid w:val="00895A4B"/>
    <w:rsid w:val="008B1171"/>
    <w:rsid w:val="008F182B"/>
    <w:rsid w:val="008F4753"/>
    <w:rsid w:val="00951661"/>
    <w:rsid w:val="00957F3D"/>
    <w:rsid w:val="00991A46"/>
    <w:rsid w:val="00993419"/>
    <w:rsid w:val="00A05C65"/>
    <w:rsid w:val="00A70880"/>
    <w:rsid w:val="00AF3B9D"/>
    <w:rsid w:val="00B16010"/>
    <w:rsid w:val="00B3070E"/>
    <w:rsid w:val="00B566DA"/>
    <w:rsid w:val="00B91820"/>
    <w:rsid w:val="00BF51F1"/>
    <w:rsid w:val="00C6355A"/>
    <w:rsid w:val="00C8343E"/>
    <w:rsid w:val="00C87A2A"/>
    <w:rsid w:val="00CB7580"/>
    <w:rsid w:val="00D36ECD"/>
    <w:rsid w:val="00D41A88"/>
    <w:rsid w:val="00D54231"/>
    <w:rsid w:val="00D70C77"/>
    <w:rsid w:val="00D770A5"/>
    <w:rsid w:val="00DA13E0"/>
    <w:rsid w:val="00DA449A"/>
    <w:rsid w:val="00DE0D8F"/>
    <w:rsid w:val="00DE6D24"/>
    <w:rsid w:val="00E75D2E"/>
    <w:rsid w:val="00E81D4A"/>
    <w:rsid w:val="00EA3EA4"/>
    <w:rsid w:val="00EB7B75"/>
    <w:rsid w:val="00EE09FB"/>
    <w:rsid w:val="00F070E9"/>
    <w:rsid w:val="00F527C8"/>
    <w:rsid w:val="00FC1D48"/>
    <w:rsid w:val="00FE04A6"/>
    <w:rsid w:val="00FF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29CAC0"/>
  <w15:chartTrackingRefBased/>
  <w15:docId w15:val="{B24491F4-123A-4D06-959B-CF1E3A6F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rsid w:val="00FE04A6"/>
    <w:pPr>
      <w:keepNext/>
      <w:numPr>
        <w:numId w:val="4"/>
      </w:numPr>
      <w:outlineLvl w:val="1"/>
    </w:pPr>
    <w:rPr>
      <w:szCs w:val="24"/>
      <w:u w:val="single"/>
      <w:lang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u w:val="single"/>
    </w:rPr>
  </w:style>
  <w:style w:type="paragraph" w:styleId="FootnoteText">
    <w:name w:val="footnote text"/>
    <w:basedOn w:val="Normal"/>
    <w:semiHidden/>
    <w:rsid w:val="00FE04A6"/>
    <w:rPr>
      <w:sz w:val="20"/>
      <w:lang w:bidi="he-IL"/>
    </w:rPr>
  </w:style>
  <w:style w:type="character" w:styleId="FootnoteReference">
    <w:name w:val="footnote reference"/>
    <w:semiHidden/>
    <w:rsid w:val="00FE04A6"/>
    <w:rPr>
      <w:vertAlign w:val="superscript"/>
    </w:rPr>
  </w:style>
  <w:style w:type="paragraph" w:styleId="Footer">
    <w:name w:val="footer"/>
    <w:basedOn w:val="Normal"/>
    <w:rsid w:val="00FE04A6"/>
    <w:pPr>
      <w:tabs>
        <w:tab w:val="center" w:pos="4320"/>
        <w:tab w:val="right" w:pos="8640"/>
      </w:tabs>
    </w:pPr>
  </w:style>
  <w:style w:type="character" w:styleId="PageNumber">
    <w:name w:val="page number"/>
    <w:basedOn w:val="DefaultParagraphFont"/>
    <w:rsid w:val="00FE04A6"/>
  </w:style>
  <w:style w:type="character" w:styleId="Hyperlink">
    <w:name w:val="Hyperlink"/>
    <w:rsid w:val="00DE0D8F"/>
    <w:rPr>
      <w:rFonts w:ascii="Times New Roman" w:hAnsi="Times New Roman" w:hint="default"/>
      <w:strike w:val="0"/>
      <w:noProof/>
      <w:color w:val="0000FF"/>
      <w:spacing w:val="0"/>
      <w:sz w:val="20"/>
      <w:u w:val="single"/>
    </w:rPr>
  </w:style>
  <w:style w:type="character" w:styleId="Strong">
    <w:name w:val="Strong"/>
    <w:qFormat/>
    <w:rsid w:val="00B3070E"/>
    <w:rPr>
      <w:b/>
      <w:bCs/>
    </w:rPr>
  </w:style>
  <w:style w:type="character" w:styleId="CommentReference">
    <w:name w:val="annotation reference"/>
    <w:rsid w:val="00711525"/>
    <w:rPr>
      <w:sz w:val="16"/>
      <w:szCs w:val="16"/>
    </w:rPr>
  </w:style>
  <w:style w:type="paragraph" w:styleId="CommentText">
    <w:name w:val="annotation text"/>
    <w:basedOn w:val="Normal"/>
    <w:link w:val="CommentTextChar"/>
    <w:rsid w:val="00711525"/>
    <w:rPr>
      <w:sz w:val="20"/>
    </w:rPr>
  </w:style>
  <w:style w:type="character" w:customStyle="1" w:styleId="CommentTextChar">
    <w:name w:val="Comment Text Char"/>
    <w:basedOn w:val="DefaultParagraphFont"/>
    <w:link w:val="CommentText"/>
    <w:rsid w:val="00711525"/>
  </w:style>
  <w:style w:type="paragraph" w:styleId="CommentSubject">
    <w:name w:val="annotation subject"/>
    <w:basedOn w:val="CommentText"/>
    <w:next w:val="CommentText"/>
    <w:link w:val="CommentSubjectChar"/>
    <w:rsid w:val="00711525"/>
    <w:rPr>
      <w:b/>
      <w:bCs/>
    </w:rPr>
  </w:style>
  <w:style w:type="character" w:customStyle="1" w:styleId="CommentSubjectChar">
    <w:name w:val="Comment Subject Char"/>
    <w:link w:val="CommentSubject"/>
    <w:rsid w:val="00711525"/>
    <w:rPr>
      <w:b/>
      <w:bCs/>
    </w:rPr>
  </w:style>
  <w:style w:type="paragraph" w:styleId="BalloonText">
    <w:name w:val="Balloon Text"/>
    <w:basedOn w:val="Normal"/>
    <w:link w:val="BalloonTextChar"/>
    <w:rsid w:val="00CB7580"/>
    <w:rPr>
      <w:rFonts w:ascii="Segoe UI" w:hAnsi="Segoe UI" w:cs="Segoe UI"/>
      <w:sz w:val="18"/>
      <w:szCs w:val="18"/>
    </w:rPr>
  </w:style>
  <w:style w:type="character" w:customStyle="1" w:styleId="BalloonTextChar">
    <w:name w:val="Balloon Text Char"/>
    <w:link w:val="BalloonText"/>
    <w:rsid w:val="00CB7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69752">
      <w:bodyDiv w:val="1"/>
      <w:marLeft w:val="0"/>
      <w:marRight w:val="0"/>
      <w:marTop w:val="0"/>
      <w:marBottom w:val="0"/>
      <w:divBdr>
        <w:top w:val="none" w:sz="0" w:space="0" w:color="auto"/>
        <w:left w:val="none" w:sz="0" w:space="0" w:color="auto"/>
        <w:bottom w:val="none" w:sz="0" w:space="0" w:color="auto"/>
        <w:right w:val="none" w:sz="0" w:space="0" w:color="auto"/>
      </w:divBdr>
    </w:div>
    <w:div w:id="1190222364">
      <w:bodyDiv w:val="1"/>
      <w:marLeft w:val="0"/>
      <w:marRight w:val="0"/>
      <w:marTop w:val="0"/>
      <w:marBottom w:val="0"/>
      <w:divBdr>
        <w:top w:val="none" w:sz="0" w:space="0" w:color="auto"/>
        <w:left w:val="none" w:sz="0" w:space="0" w:color="auto"/>
        <w:bottom w:val="none" w:sz="0" w:space="0" w:color="auto"/>
        <w:right w:val="none" w:sz="0" w:space="0" w:color="auto"/>
      </w:divBdr>
    </w:div>
    <w:div w:id="120910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B073D-61DB-468D-B324-03434F18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2</cp:revision>
  <cp:lastPrinted>2009-08-27T16:25:00Z</cp:lastPrinted>
  <dcterms:created xsi:type="dcterms:W3CDTF">2021-11-19T23:38:00Z</dcterms:created>
  <dcterms:modified xsi:type="dcterms:W3CDTF">2021-11-19T23:38:00Z</dcterms:modified>
</cp:coreProperties>
</file>