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74B" w:rsidP="00E365F1" w:rsidRDefault="0069374B">
      <w:pPr>
        <w:widowControl/>
        <w:tabs>
          <w:tab w:val="center" w:pos="4752"/>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SUPPORTING STATEMENT  </w:t>
      </w:r>
    </w:p>
    <w:p w:rsidR="0069374B" w:rsidP="00E365F1" w:rsidRDefault="006937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69374B" w:rsidP="00E365F1" w:rsidRDefault="00B8689D">
      <w:pPr>
        <w:widowControl/>
        <w:tabs>
          <w:tab w:val="center" w:pos="4752"/>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PURCHASER ELIGIBILITY CERTIFICATION</w:t>
      </w:r>
    </w:p>
    <w:p w:rsidR="0069374B" w:rsidP="00E365F1" w:rsidRDefault="006937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rPr>
      </w:pPr>
    </w:p>
    <w:p w:rsidR="0069374B" w:rsidP="00E365F1" w:rsidRDefault="0069374B">
      <w:pPr>
        <w:widowControl/>
        <w:tabs>
          <w:tab w:val="center" w:pos="4752"/>
          <w:tab w:val="left" w:pos="5040"/>
          <w:tab w:val="left" w:pos="5760"/>
          <w:tab w:val="left" w:pos="6480"/>
          <w:tab w:val="left" w:pos="7200"/>
          <w:tab w:val="left" w:pos="7920"/>
          <w:tab w:val="left" w:pos="8640"/>
        </w:tabs>
        <w:jc w:val="center"/>
        <w:rPr>
          <w:rFonts w:ascii="Times New Roman" w:hAnsi="Times New Roman"/>
        </w:rPr>
      </w:pPr>
      <w:r>
        <w:rPr>
          <w:rFonts w:ascii="Times New Roman" w:hAnsi="Times New Roman"/>
        </w:rPr>
        <w:t xml:space="preserve">OMB </w:t>
      </w:r>
      <w:r w:rsidR="00E365F1">
        <w:rPr>
          <w:rFonts w:ascii="Times New Roman" w:hAnsi="Times New Roman"/>
        </w:rPr>
        <w:t>(</w:t>
      </w:r>
      <w:r>
        <w:rPr>
          <w:rFonts w:ascii="Times New Roman" w:hAnsi="Times New Roman"/>
        </w:rPr>
        <w:t>3064-01</w:t>
      </w:r>
      <w:r w:rsidR="00B8689D">
        <w:rPr>
          <w:rFonts w:ascii="Times New Roman" w:hAnsi="Times New Roman"/>
        </w:rPr>
        <w:t>35</w:t>
      </w:r>
      <w:r w:rsidR="00E365F1">
        <w:rPr>
          <w:rFonts w:ascii="Times New Roman" w:hAnsi="Times New Roman"/>
        </w:rPr>
        <w:t>)</w:t>
      </w:r>
    </w:p>
    <w:p w:rsidR="0069374B" w:rsidP="009B3EE8" w:rsidRDefault="006937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INTRODUCTION</w:t>
      </w:r>
    </w:p>
    <w:p w:rsidR="0069374B" w:rsidP="009B3EE8" w:rsidRDefault="006937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53515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35151">
        <w:rPr>
          <w:rFonts w:ascii="Times New Roman" w:hAnsi="Times New Roman"/>
          <w:bCs/>
        </w:rPr>
        <w:t>The FDIC is requesting approval from the OMB to extend, without change, a currently approved information collection (OMB Control No. 3064-0</w:t>
      </w:r>
      <w:r w:rsidR="00B8689D">
        <w:rPr>
          <w:rFonts w:ascii="Times New Roman" w:hAnsi="Times New Roman"/>
          <w:bCs/>
        </w:rPr>
        <w:t>135</w:t>
      </w:r>
      <w:r w:rsidRPr="00535151">
        <w:rPr>
          <w:rFonts w:ascii="Times New Roman" w:hAnsi="Times New Roman"/>
          <w:bCs/>
        </w:rPr>
        <w:t>)</w:t>
      </w:r>
      <w:r w:rsidR="00B8689D">
        <w:rPr>
          <w:rFonts w:ascii="Times New Roman" w:hAnsi="Times New Roman"/>
        </w:rPr>
        <w:t xml:space="preserve">.  The Purchaser Eligibility </w:t>
      </w:r>
      <w:r w:rsidRPr="0056705B" w:rsidR="00B8689D">
        <w:rPr>
          <w:rFonts w:ascii="Times New Roman" w:hAnsi="Times New Roman"/>
        </w:rPr>
        <w:t>Certification</w:t>
      </w:r>
      <w:r w:rsidR="00B8689D">
        <w:rPr>
          <w:rFonts w:ascii="Times New Roman" w:hAnsi="Times New Roman"/>
        </w:rPr>
        <w:t xml:space="preserve"> information collection implements the statutory requirement that assets held by the FDIC in the course of liquidating any federally insured </w:t>
      </w:r>
      <w:r w:rsidR="00FF304A">
        <w:rPr>
          <w:rFonts w:ascii="Times New Roman" w:hAnsi="Times New Roman"/>
        </w:rPr>
        <w:t xml:space="preserve">deposit </w:t>
      </w:r>
      <w:r w:rsidR="00B8689D">
        <w:rPr>
          <w:rFonts w:ascii="Times New Roman" w:hAnsi="Times New Roman"/>
        </w:rPr>
        <w:t>institution not be sold to persons who contributed to the demise of an insured</w:t>
      </w:r>
      <w:r w:rsidR="00CE1C7E">
        <w:rPr>
          <w:rFonts w:ascii="Times New Roman" w:hAnsi="Times New Roman"/>
        </w:rPr>
        <w:t xml:space="preserve"> deposit</w:t>
      </w:r>
      <w:r w:rsidR="00B8689D">
        <w:rPr>
          <w:rFonts w:ascii="Times New Roman" w:hAnsi="Times New Roman"/>
        </w:rPr>
        <w:t xml:space="preserve"> institution in specified ways.</w:t>
      </w:r>
      <w:r>
        <w:rPr>
          <w:rFonts w:ascii="Times New Roman" w:hAnsi="Times New Roman"/>
        </w:rPr>
        <w:t xml:space="preserve"> The information collection expires </w:t>
      </w:r>
      <w:r w:rsidR="00231477">
        <w:rPr>
          <w:rFonts w:ascii="Times New Roman" w:hAnsi="Times New Roman"/>
        </w:rPr>
        <w:t>on October</w:t>
      </w:r>
      <w:r w:rsidR="0016257A">
        <w:rPr>
          <w:rFonts w:ascii="Times New Roman" w:hAnsi="Times New Roman"/>
        </w:rPr>
        <w:t xml:space="preserve"> 31, </w:t>
      </w:r>
      <w:r w:rsidR="00CE1C7E">
        <w:rPr>
          <w:rFonts w:ascii="Times New Roman" w:hAnsi="Times New Roman"/>
        </w:rPr>
        <w:t>2021</w:t>
      </w:r>
      <w:r>
        <w:rPr>
          <w:rFonts w:ascii="Times New Roman" w:hAnsi="Times New Roman"/>
        </w:rPr>
        <w:t>.</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535151"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w:t>
      </w:r>
      <w:r>
        <w:rPr>
          <w:rFonts w:ascii="Times New Roman" w:hAnsi="Times New Roman"/>
        </w:rPr>
        <w:tab/>
      </w:r>
      <w:r w:rsidRPr="00471381" w:rsidR="00535151">
        <w:rPr>
          <w:rFonts w:ascii="Times New Roman" w:hAnsi="Times New Roman"/>
          <w:u w:val="single"/>
        </w:rPr>
        <w:t>Circumstances that make the collection necessary:</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535151" w:rsidRDefault="00B8689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8689D">
        <w:rPr>
          <w:rFonts w:ascii="Times New Roman" w:hAnsi="Times New Roman"/>
        </w:rPr>
        <w:t xml:space="preserve">The FDIC acquires assets as the result of being appointed conservator or receiver of failing financial institutions and generally sells these assets through competitive sales.  The FDIC is statutorily required to promulgate a regulation prohibiting the sale of assets held by insured depository institutions that have been placed under the conservatorship or receivership of the FDIC to certain individuals or entities that profited or engaged in wrongdoing at the expense of those failed institutions, or seriously mismanaged those failed institutions.  The statute specifies classes of persons prohibited from purchasing assets of failed institutions from the FDIC.  (FDI Act Section 11(p), 12 U.S.C. </w:t>
      </w:r>
      <w:r w:rsidR="002E4E94">
        <w:rPr>
          <w:rFonts w:ascii="Times New Roman" w:hAnsi="Times New Roman"/>
        </w:rPr>
        <w:t>§</w:t>
      </w:r>
      <w:r w:rsidRPr="00B8689D">
        <w:rPr>
          <w:rFonts w:ascii="Times New Roman" w:hAnsi="Times New Roman"/>
        </w:rPr>
        <w:t>1821(p)).  The statutory requirement is implemented by a regulation</w:t>
      </w:r>
      <w:r w:rsidR="00661052">
        <w:rPr>
          <w:rFonts w:ascii="Times New Roman" w:hAnsi="Times New Roman"/>
        </w:rPr>
        <w:t xml:space="preserve"> (12 C.F.R. Part 340)</w:t>
      </w:r>
      <w:r w:rsidRPr="00B8689D">
        <w:rPr>
          <w:rFonts w:ascii="Times New Roman" w:hAnsi="Times New Roman"/>
        </w:rPr>
        <w:t xml:space="preserve">, “Restrictions on </w:t>
      </w:r>
      <w:r w:rsidR="00B11E21">
        <w:rPr>
          <w:rFonts w:ascii="Times New Roman" w:hAnsi="Times New Roman"/>
        </w:rPr>
        <w:t xml:space="preserve">Sale </w:t>
      </w:r>
      <w:r w:rsidRPr="00B8689D" w:rsidR="00B11E21">
        <w:rPr>
          <w:rFonts w:ascii="Times New Roman" w:hAnsi="Times New Roman"/>
        </w:rPr>
        <w:t>of</w:t>
      </w:r>
      <w:r w:rsidRPr="00B8689D">
        <w:rPr>
          <w:rFonts w:ascii="Times New Roman" w:hAnsi="Times New Roman"/>
        </w:rPr>
        <w:t xml:space="preserve"> Assets </w:t>
      </w:r>
      <w:r w:rsidR="00661052">
        <w:rPr>
          <w:rFonts w:ascii="Times New Roman" w:hAnsi="Times New Roman"/>
        </w:rPr>
        <w:t xml:space="preserve">of a Failed </w:t>
      </w:r>
      <w:r w:rsidR="00B11E21">
        <w:rPr>
          <w:rFonts w:ascii="Times New Roman" w:hAnsi="Times New Roman"/>
        </w:rPr>
        <w:t xml:space="preserve">Institution </w:t>
      </w:r>
      <w:r w:rsidRPr="00B8689D" w:rsidR="00B11E21">
        <w:rPr>
          <w:rFonts w:ascii="Times New Roman" w:hAnsi="Times New Roman"/>
        </w:rPr>
        <w:t>by</w:t>
      </w:r>
      <w:r w:rsidR="00661052">
        <w:rPr>
          <w:rFonts w:ascii="Times New Roman" w:hAnsi="Times New Roman"/>
        </w:rPr>
        <w:t xml:space="preserve"> </w:t>
      </w:r>
      <w:r w:rsidRPr="00B8689D" w:rsidR="00B11E21">
        <w:rPr>
          <w:rFonts w:ascii="Times New Roman" w:hAnsi="Times New Roman"/>
        </w:rPr>
        <w:t xml:space="preserve">the </w:t>
      </w:r>
      <w:r w:rsidR="00B11E21">
        <w:rPr>
          <w:rFonts w:ascii="Times New Roman" w:hAnsi="Times New Roman"/>
        </w:rPr>
        <w:t>Federal</w:t>
      </w:r>
      <w:r w:rsidR="00661052">
        <w:rPr>
          <w:rFonts w:ascii="Times New Roman" w:hAnsi="Times New Roman"/>
        </w:rPr>
        <w:t xml:space="preserve"> Deposit Insurance Corporation</w:t>
      </w:r>
      <w:r w:rsidRPr="00B8689D">
        <w:rPr>
          <w:rFonts w:ascii="Times New Roman" w:hAnsi="Times New Roman"/>
        </w:rPr>
        <w:t>,” (</w:t>
      </w:r>
      <w:r w:rsidR="00661052">
        <w:rPr>
          <w:rFonts w:ascii="Times New Roman" w:hAnsi="Times New Roman"/>
        </w:rPr>
        <w:t xml:space="preserve">originally </w:t>
      </w:r>
      <w:r w:rsidRPr="00B8689D">
        <w:rPr>
          <w:rFonts w:ascii="Times New Roman" w:hAnsi="Times New Roman"/>
        </w:rPr>
        <w:t xml:space="preserve">published at </w:t>
      </w:r>
      <w:bookmarkStart w:name="OLE_LINK1" w:id="0"/>
      <w:bookmarkStart w:name="OLE_LINK2" w:id="1"/>
      <w:bookmarkStart w:name="OLE_LINK3" w:id="2"/>
      <w:r w:rsidRPr="00B8689D">
        <w:rPr>
          <w:rFonts w:ascii="Times New Roman" w:hAnsi="Times New Roman"/>
        </w:rPr>
        <w:t>65 Federal Register 14816, March 20, 2000</w:t>
      </w:r>
      <w:bookmarkEnd w:id="0"/>
      <w:bookmarkEnd w:id="1"/>
      <w:bookmarkEnd w:id="2"/>
      <w:r w:rsidR="00661052">
        <w:rPr>
          <w:rFonts w:ascii="Times New Roman" w:hAnsi="Times New Roman"/>
        </w:rPr>
        <w:t xml:space="preserve"> and revised at 80 Federal Register 22889, April 24, 2015</w:t>
      </w:r>
      <w:r w:rsidRPr="00B8689D">
        <w:rPr>
          <w:rFonts w:ascii="Times New Roman" w:hAnsi="Times New Roman"/>
        </w:rPr>
        <w:t>) and a Purchaser Eligibility Certification that the FDIC uses to determine a person’s eligibility to purchase assets.  The two forms used to facilitate this collection are: (1) the Contact Information Form and (2) the Pre-Qualification Request form.  The Contact Information form is designed to allow for the quick identification of the types of assets a prospective bidder is interested in and to facilitate communication with the appropriate bidder representative.  The Pre-Qualification Request form is intended to determine which prospective bidders are qualified to bid on particular assets offered by the FDIC (e.g., securities, mortgage servicing portfolios, shared national credits, interests in structured transactions, credit card receivables) for which no further qualification criteria must be met and to ensure that prospective bidders understand the terms and conditions of asset sales.</w:t>
      </w:r>
      <w:r w:rsidR="0069374B">
        <w:rPr>
          <w:rFonts w:ascii="Times New Roman" w:hAnsi="Times New Roman"/>
        </w:rPr>
        <w:t xml:space="preserve"> </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535151"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 xml:space="preserve">Use of the Information </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535151" w:rsidRDefault="00B8689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B8689D">
        <w:rPr>
          <w:rFonts w:ascii="Times New Roman" w:hAnsi="Times New Roman"/>
        </w:rPr>
        <w:t>The FDIC uses the information collected to ensure compliance with the statutory requirements before each sale of assets.</w:t>
      </w:r>
    </w:p>
    <w:p w:rsidR="00A30F74" w:rsidRDefault="00A30F74">
      <w:pPr>
        <w:widowControl/>
        <w:rPr>
          <w:rFonts w:ascii="Times New Roman" w:hAnsi="Times New Roman"/>
        </w:rPr>
      </w:pPr>
      <w:r>
        <w:rPr>
          <w:rFonts w:ascii="Times New Roman" w:hAnsi="Times New Roman"/>
        </w:rPr>
        <w:br w:type="page"/>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535151" w:rsidRDefault="0053515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535151">
        <w:rPr>
          <w:rFonts w:ascii="Times New Roman" w:hAnsi="Times New Roman"/>
        </w:rPr>
        <w:t>3.</w:t>
      </w:r>
      <w:r w:rsidRPr="00535151">
        <w:rPr>
          <w:rFonts w:ascii="Times New Roman" w:hAnsi="Times New Roman"/>
        </w:rPr>
        <w:tab/>
      </w:r>
      <w:r w:rsidRPr="00471381">
        <w:rPr>
          <w:rFonts w:ascii="Times New Roman" w:hAnsi="Times New Roman"/>
          <w:u w:val="single"/>
        </w:rPr>
        <w:t>Consideration of the use of improved information technology:</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535151"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In most cases, applicants are required to provide only their signature.  In some additional cases, they are required to attach information.  The need for the signatures makes electronic submissions impracticable.</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5"/>
        <w:jc w:val="both"/>
        <w:rPr>
          <w:rFonts w:ascii="Times New Roman" w:hAnsi="Times New Roman"/>
        </w:rPr>
      </w:pPr>
      <w:r>
        <w:rPr>
          <w:rFonts w:ascii="Times New Roman" w:hAnsi="Times New Roman"/>
        </w:rPr>
        <w:t xml:space="preserve"> </w:t>
      </w:r>
    </w:p>
    <w:p w:rsidR="0069374B" w:rsidP="00535151"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Effort to Identify Duplication</w:t>
      </w:r>
      <w:r w:rsidR="00535151">
        <w:rPr>
          <w:rFonts w:ascii="Times New Roman" w:hAnsi="Times New Roman"/>
          <w:u w:val="single"/>
        </w:rPr>
        <w:t>:</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AC4FEA" w:rsidRDefault="00AC4FEA">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There is no duplication.  The information is not available elsewhere.</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rPr>
      </w:pPr>
    </w:p>
    <w:p w:rsidR="0069374B" w:rsidP="00AC4FEA" w:rsidRDefault="00AC4F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r>
        <w:rPr>
          <w:rFonts w:ascii="Times New Roman" w:hAnsi="Times New Roman"/>
        </w:rPr>
        <w:t>5.</w:t>
      </w:r>
      <w:r>
        <w:rPr>
          <w:rFonts w:ascii="Times New Roman" w:hAnsi="Times New Roman"/>
        </w:rPr>
        <w:tab/>
      </w:r>
      <w:r w:rsidRPr="00471381">
        <w:rPr>
          <w:rFonts w:ascii="Times New Roman" w:hAnsi="Times New Roman"/>
          <w:u w:val="single"/>
        </w:rPr>
        <w:t xml:space="preserve">Methods used to minimize burden if the collection has a significant impact on </w:t>
      </w:r>
      <w:r>
        <w:rPr>
          <w:rFonts w:ascii="Times New Roman" w:hAnsi="Times New Roman"/>
          <w:u w:val="single"/>
        </w:rPr>
        <w:t xml:space="preserve">a </w:t>
      </w:r>
      <w:r w:rsidRPr="00471381">
        <w:rPr>
          <w:rFonts w:ascii="Times New Roman" w:hAnsi="Times New Roman"/>
          <w:u w:val="single"/>
        </w:rPr>
        <w:t>substantial number of small entities:</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0069374B" w:rsidP="00EF69B6" w:rsidRDefault="00B8689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I</w:t>
      </w:r>
      <w:r w:rsidR="0069374B">
        <w:rPr>
          <w:rFonts w:ascii="Times New Roman" w:hAnsi="Times New Roman"/>
        </w:rPr>
        <w:t>n most cases</w:t>
      </w:r>
      <w:r>
        <w:rPr>
          <w:rFonts w:ascii="Times New Roman" w:hAnsi="Times New Roman"/>
        </w:rPr>
        <w:t xml:space="preserve"> respondents</w:t>
      </w:r>
      <w:r w:rsidR="0069374B">
        <w:rPr>
          <w:rFonts w:ascii="Times New Roman" w:hAnsi="Times New Roman"/>
        </w:rPr>
        <w:t xml:space="preserve"> are required to provide only their signature.  In some cases, </w:t>
      </w:r>
      <w:r w:rsidR="00AC4FEA">
        <w:rPr>
          <w:rFonts w:ascii="Times New Roman" w:hAnsi="Times New Roman"/>
        </w:rPr>
        <w:t>respondents may be</w:t>
      </w:r>
      <w:r w:rsidR="0069374B">
        <w:rPr>
          <w:rFonts w:ascii="Times New Roman" w:hAnsi="Times New Roman"/>
        </w:rPr>
        <w:t xml:space="preserve"> required to attach information.  </w:t>
      </w:r>
      <w:r>
        <w:rPr>
          <w:rFonts w:ascii="Times New Roman" w:hAnsi="Times New Roman"/>
        </w:rPr>
        <w:t xml:space="preserve">Self-certification is the least </w:t>
      </w:r>
      <w:r w:rsidR="0069374B">
        <w:rPr>
          <w:rFonts w:ascii="Times New Roman" w:hAnsi="Times New Roman"/>
        </w:rPr>
        <w:t>burden</w:t>
      </w:r>
      <w:r>
        <w:rPr>
          <w:rFonts w:ascii="Times New Roman" w:hAnsi="Times New Roman"/>
        </w:rPr>
        <w:t>some</w:t>
      </w:r>
      <w:r w:rsidR="0069374B">
        <w:rPr>
          <w:rFonts w:ascii="Times New Roman" w:hAnsi="Times New Roman"/>
        </w:rPr>
        <w:t xml:space="preserve"> </w:t>
      </w:r>
      <w:r>
        <w:rPr>
          <w:rFonts w:ascii="Times New Roman" w:hAnsi="Times New Roman"/>
        </w:rPr>
        <w:t>way to meet</w:t>
      </w:r>
      <w:r w:rsidR="0069374B">
        <w:rPr>
          <w:rFonts w:ascii="Times New Roman" w:hAnsi="Times New Roman"/>
        </w:rPr>
        <w:t xml:space="preserve"> the statutory mandate.</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6.</w:t>
      </w:r>
      <w:r>
        <w:rPr>
          <w:rFonts w:ascii="Times New Roman" w:hAnsi="Times New Roman"/>
        </w:rPr>
        <w:tab/>
      </w:r>
      <w:r w:rsidRPr="00471381" w:rsidR="00EF69B6">
        <w:rPr>
          <w:rFonts w:ascii="Times New Roman" w:hAnsi="Times New Roman"/>
          <w:u w:val="single"/>
        </w:rPr>
        <w:t>Consequences to the Federal program if the collection were conducted less frequently:</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T</w:t>
      </w:r>
      <w:r w:rsidR="00EF69B6">
        <w:rPr>
          <w:rFonts w:ascii="Times New Roman" w:hAnsi="Times New Roman"/>
        </w:rPr>
        <w:t>hese are occasional collections</w:t>
      </w:r>
      <w:r>
        <w:rPr>
          <w:rFonts w:ascii="Times New Roman" w:hAnsi="Times New Roman"/>
        </w:rPr>
        <w:t>.</w:t>
      </w:r>
      <w:r w:rsidR="00B8689D">
        <w:rPr>
          <w:rFonts w:ascii="Times New Roman" w:hAnsi="Times New Roman"/>
        </w:rPr>
        <w:t xml:space="preserve"> </w:t>
      </w:r>
      <w:r w:rsidRPr="00B8689D" w:rsidR="00B8689D">
        <w:rPr>
          <w:rFonts w:ascii="Times New Roman" w:hAnsi="Times New Roman"/>
        </w:rPr>
        <w:t>As a result of the statute’s prohibition, each purchase of assets from the FDIC requires a determination that the prospective bidder is qualified.</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7.</w:t>
      </w:r>
      <w:r>
        <w:rPr>
          <w:rFonts w:ascii="Times New Roman" w:hAnsi="Times New Roman"/>
        </w:rPr>
        <w:tab/>
      </w:r>
      <w:r w:rsidRPr="00330725" w:rsidR="00EF69B6">
        <w:rPr>
          <w:rFonts w:ascii="Times New Roman" w:hAnsi="Times New Roman"/>
          <w:u w:val="single"/>
        </w:rPr>
        <w:t>Special circumstances necessitating collection inconsistent with 5 CFR 1320.5(d</w:t>
      </w:r>
      <w:proofErr w:type="gramStart"/>
      <w:r w:rsidRPr="00330725" w:rsidR="00EF69B6">
        <w:rPr>
          <w:rFonts w:ascii="Times New Roman" w:hAnsi="Times New Roman"/>
          <w:u w:val="single"/>
        </w:rPr>
        <w:t>)(</w:t>
      </w:r>
      <w:proofErr w:type="gramEnd"/>
      <w:r w:rsidRPr="00330725" w:rsidR="00EF69B6">
        <w:rPr>
          <w:rFonts w:ascii="Times New Roman" w:hAnsi="Times New Roman"/>
          <w:u w:val="single"/>
        </w:rPr>
        <w:t>2):</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EF69B6">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330725">
        <w:rPr>
          <w:rFonts w:ascii="Times New Roman" w:hAnsi="Times New Roman"/>
        </w:rPr>
        <w:t>There are no special circumstances. This information collection is conducted in accordance with the guidelines in 5 CFR 1320.5(d</w:t>
      </w:r>
      <w:proofErr w:type="gramStart"/>
      <w:r w:rsidRPr="00330725">
        <w:rPr>
          <w:rFonts w:ascii="Times New Roman" w:hAnsi="Times New Roman"/>
        </w:rPr>
        <w:t>)(</w:t>
      </w:r>
      <w:proofErr w:type="gramEnd"/>
      <w:r w:rsidRPr="00330725">
        <w:rPr>
          <w:rFonts w:ascii="Times New Roman" w:hAnsi="Times New Roman"/>
        </w:rPr>
        <w:t>2).</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8.</w:t>
      </w:r>
      <w:r>
        <w:rPr>
          <w:rFonts w:ascii="Times New Roman" w:hAnsi="Times New Roman"/>
        </w:rPr>
        <w:tab/>
      </w:r>
      <w:r w:rsidRPr="00471381" w:rsidR="00EF69B6">
        <w:rPr>
          <w:rFonts w:ascii="Times New Roman" w:hAnsi="Times New Roman"/>
          <w:u w:val="single"/>
        </w:rPr>
        <w:t>Efforts to consult with persons outside the agency:</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2B0ECD" w:rsidP="009B3EE8" w:rsidRDefault="00A30F74">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A30F74">
        <w:rPr>
          <w:rFonts w:ascii="Times New Roman" w:hAnsi="Times New Roman"/>
        </w:rPr>
        <w:t>FDIC published a notice in the Federal Register informing the public of its intent to renew this information collection and seeking public comment.  That notice was published on November 12 2021 (86 FR 62812).  No comments have been received.  On December 21, 2021 FDIC published a second notice in the Federal Register (86 FR 72234) informing the public that the agency is submitting a request to OMB for the renewal of this information collection.  That notice provides for an additional 30-day comment period and if any comments are received, FDIC will address them as instructed by OMB.</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Payment or Gift to Respondents</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EF69B6">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357BDC">
        <w:rPr>
          <w:rFonts w:ascii="Times New Roman" w:hAnsi="Times New Roman"/>
        </w:rPr>
        <w:t>No payments or gifts will be provided to respondents.</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10.</w:t>
      </w:r>
      <w:r>
        <w:rPr>
          <w:rFonts w:ascii="Times New Roman" w:hAnsi="Times New Roman"/>
        </w:rPr>
        <w:tab/>
      </w:r>
      <w:r w:rsidRPr="00471381" w:rsidR="00EF69B6">
        <w:rPr>
          <w:rFonts w:ascii="Times New Roman" w:hAnsi="Times New Roman"/>
          <w:u w:val="single"/>
        </w:rPr>
        <w:t>Any assurance of confidentiality:</w:t>
      </w:r>
      <w:r>
        <w:rPr>
          <w:rFonts w:ascii="Times New Roman" w:hAnsi="Times New Roman"/>
        </w:rPr>
        <w:tab/>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8E0712">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 xml:space="preserve">Information collected will be kept private to the extent allowed by law. </w:t>
      </w:r>
      <w:r w:rsidR="00B8689D">
        <w:rPr>
          <w:rFonts w:ascii="Times New Roman" w:hAnsi="Times New Roman"/>
        </w:rPr>
        <w:t>No assurance of confidentiality is made.</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EF69B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11.</w:t>
      </w:r>
      <w:r>
        <w:rPr>
          <w:rFonts w:ascii="Times New Roman" w:hAnsi="Times New Roman"/>
        </w:rPr>
        <w:tab/>
      </w:r>
      <w:r w:rsidRPr="00357BDC">
        <w:rPr>
          <w:rFonts w:ascii="Times New Roman" w:hAnsi="Times New Roman"/>
          <w:u w:val="single"/>
        </w:rPr>
        <w:t>Justification for questions of a sensitive nature:</w:t>
      </w:r>
    </w:p>
    <w:p w:rsidR="0069374B" w:rsidP="009B3EE8" w:rsidRDefault="0069374B">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0069374B" w:rsidP="00EF69B6" w:rsidRDefault="00B8689D">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The information collection does not request information of a sensitive nature.</w:t>
      </w:r>
    </w:p>
    <w:p w:rsidR="003D7D81" w:rsidP="003D7D81" w:rsidRDefault="003D7D81">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3D7D81" w:rsidRDefault="00EF69B6">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bookmarkStart w:name="_GoBack" w:id="3"/>
      <w:bookmarkEnd w:id="3"/>
      <w:r>
        <w:rPr>
          <w:rFonts w:ascii="Times New Roman" w:hAnsi="Times New Roman"/>
        </w:rPr>
        <w:t>12.</w:t>
      </w:r>
      <w:r>
        <w:rPr>
          <w:rFonts w:ascii="Times New Roman" w:hAnsi="Times New Roman"/>
        </w:rPr>
        <w:tab/>
      </w:r>
      <w:r w:rsidRPr="00B11E21">
        <w:rPr>
          <w:rFonts w:ascii="Times New Roman" w:hAnsi="Times New Roman"/>
          <w:u w:val="single"/>
        </w:rPr>
        <w:t>Estimate of Hour Burden Including Annualized Hourly Costs:</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Pr="00896F92" w:rsidR="003F4207" w:rsidP="003F4207" w:rsidRDefault="0069374B">
      <w:pPr>
        <w:jc w:val="both"/>
        <w:rPr>
          <w:color w:val="000000"/>
          <w:sz w:val="16"/>
          <w:szCs w:val="16"/>
        </w:rPr>
      </w:pPr>
      <w:r>
        <w:rPr>
          <w:rFonts w:ascii="Times New Roman" w:hAnsi="Times New Roman"/>
        </w:rPr>
        <w:tab/>
      </w:r>
      <w:r w:rsidRPr="00896F92" w:rsidR="003F4207">
        <w:rPr>
          <w:color w:val="000000"/>
          <w:sz w:val="16"/>
          <w:szCs w:val="16"/>
        </w:rPr>
        <w:t> </w:t>
      </w:r>
    </w:p>
    <w:tbl>
      <w:tblPr>
        <w:tblW w:w="7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56"/>
        <w:gridCol w:w="856"/>
        <w:gridCol w:w="1034"/>
        <w:gridCol w:w="990"/>
        <w:gridCol w:w="900"/>
        <w:gridCol w:w="990"/>
      </w:tblGrid>
      <w:tr w:rsidRPr="003F4207" w:rsidR="003F4207" w:rsidTr="00ED4AE6">
        <w:trPr>
          <w:jc w:val="center"/>
        </w:trPr>
        <w:tc>
          <w:tcPr>
            <w:tcW w:w="7626" w:type="dxa"/>
            <w:gridSpan w:val="6"/>
            <w:shd w:val="clear" w:color="auto" w:fill="D9D9D9"/>
            <w:noWrap/>
            <w:vAlign w:val="center"/>
          </w:tcPr>
          <w:p w:rsidRPr="003F4207" w:rsidR="003F4207" w:rsidP="003F4207" w:rsidRDefault="003F4207">
            <w:pPr>
              <w:widowControl/>
              <w:jc w:val="center"/>
              <w:rPr>
                <w:rFonts w:ascii="Times New Roman" w:hAnsi="Times New Roman"/>
                <w:b/>
                <w:snapToGrid/>
                <w:color w:val="000000"/>
                <w:sz w:val="20"/>
                <w:szCs w:val="16"/>
              </w:rPr>
            </w:pPr>
            <w:r w:rsidRPr="003F4207">
              <w:rPr>
                <w:rFonts w:ascii="Times New Roman" w:hAnsi="Times New Roman"/>
                <w:b/>
                <w:snapToGrid/>
                <w:color w:val="000000"/>
                <w:sz w:val="20"/>
                <w:szCs w:val="16"/>
              </w:rPr>
              <w:t>Summary of Annual Burden</w:t>
            </w:r>
          </w:p>
        </w:tc>
      </w:tr>
      <w:tr w:rsidRPr="003F4207" w:rsidR="003F4207" w:rsidTr="00ED4AE6">
        <w:trPr>
          <w:trHeight w:val="612"/>
          <w:jc w:val="center"/>
        </w:trPr>
        <w:tc>
          <w:tcPr>
            <w:tcW w:w="2856" w:type="dxa"/>
            <w:shd w:val="clear" w:color="auto" w:fill="D9D9D9"/>
            <w:noWrap/>
            <w:vAlign w:val="bottom"/>
            <w:hideMark/>
          </w:tcPr>
          <w:p w:rsidRPr="003F4207" w:rsidR="003F4207" w:rsidP="003F4207" w:rsidRDefault="003F4207">
            <w:pPr>
              <w:widowControl/>
              <w:rPr>
                <w:rFonts w:ascii="Times New Roman" w:hAnsi="Times New Roman"/>
                <w:snapToGrid/>
                <w:color w:val="000000"/>
                <w:sz w:val="16"/>
                <w:szCs w:val="16"/>
              </w:rPr>
            </w:pPr>
            <w:r w:rsidRPr="003F4207">
              <w:rPr>
                <w:rFonts w:ascii="Times New Roman" w:hAnsi="Times New Roman"/>
                <w:snapToGrid/>
                <w:color w:val="000000"/>
                <w:sz w:val="16"/>
                <w:szCs w:val="16"/>
              </w:rPr>
              <w:t> </w:t>
            </w:r>
          </w:p>
        </w:tc>
        <w:tc>
          <w:tcPr>
            <w:tcW w:w="856" w:type="dxa"/>
            <w:shd w:val="clear" w:color="auto" w:fill="D9D9D9"/>
            <w:vAlign w:val="center"/>
            <w:hideMark/>
          </w:tcPr>
          <w:p w:rsidRPr="003F4207" w:rsidR="003F4207" w:rsidP="003F4207" w:rsidRDefault="003F4207">
            <w:pPr>
              <w:widowControl/>
              <w:jc w:val="center"/>
              <w:rPr>
                <w:rFonts w:ascii="Times New Roman" w:hAnsi="Times New Roman"/>
                <w:snapToGrid/>
                <w:color w:val="000000"/>
                <w:sz w:val="16"/>
                <w:szCs w:val="16"/>
              </w:rPr>
            </w:pPr>
            <w:r w:rsidRPr="003F4207">
              <w:rPr>
                <w:rFonts w:ascii="Times New Roman" w:hAnsi="Times New Roman"/>
                <w:snapToGrid/>
                <w:color w:val="000000"/>
                <w:sz w:val="16"/>
                <w:szCs w:val="16"/>
              </w:rPr>
              <w:t>Type of Burden</w:t>
            </w:r>
          </w:p>
        </w:tc>
        <w:tc>
          <w:tcPr>
            <w:tcW w:w="1034" w:type="dxa"/>
            <w:shd w:val="clear" w:color="auto" w:fill="D9D9D9"/>
            <w:vAlign w:val="center"/>
            <w:hideMark/>
          </w:tcPr>
          <w:p w:rsidRPr="003F4207" w:rsidR="003F4207" w:rsidP="003F4207" w:rsidRDefault="003F4207">
            <w:pPr>
              <w:widowControl/>
              <w:jc w:val="center"/>
              <w:rPr>
                <w:rFonts w:ascii="Times New Roman" w:hAnsi="Times New Roman"/>
                <w:snapToGrid/>
                <w:color w:val="000000"/>
                <w:sz w:val="16"/>
                <w:szCs w:val="16"/>
              </w:rPr>
            </w:pPr>
            <w:r w:rsidRPr="003F4207">
              <w:rPr>
                <w:rFonts w:ascii="Times New Roman" w:hAnsi="Times New Roman"/>
                <w:snapToGrid/>
                <w:color w:val="000000"/>
                <w:sz w:val="16"/>
                <w:szCs w:val="16"/>
              </w:rPr>
              <w:t>Estimated Number of Respondents</w:t>
            </w:r>
          </w:p>
        </w:tc>
        <w:tc>
          <w:tcPr>
            <w:tcW w:w="990" w:type="dxa"/>
            <w:shd w:val="clear" w:color="auto" w:fill="D9D9D9"/>
            <w:vAlign w:val="center"/>
            <w:hideMark/>
          </w:tcPr>
          <w:p w:rsidRPr="003F4207" w:rsidR="003F4207" w:rsidP="003F4207" w:rsidRDefault="003F4207">
            <w:pPr>
              <w:widowControl/>
              <w:jc w:val="center"/>
              <w:rPr>
                <w:rFonts w:ascii="Times New Roman" w:hAnsi="Times New Roman"/>
                <w:snapToGrid/>
                <w:color w:val="000000"/>
                <w:sz w:val="16"/>
                <w:szCs w:val="16"/>
              </w:rPr>
            </w:pPr>
            <w:r w:rsidRPr="003F4207">
              <w:rPr>
                <w:rFonts w:ascii="Times New Roman" w:hAnsi="Times New Roman"/>
                <w:snapToGrid/>
                <w:color w:val="000000"/>
                <w:sz w:val="16"/>
                <w:szCs w:val="16"/>
              </w:rPr>
              <w:t>Estimated Time per Response</w:t>
            </w:r>
          </w:p>
        </w:tc>
        <w:tc>
          <w:tcPr>
            <w:tcW w:w="900" w:type="dxa"/>
            <w:shd w:val="clear" w:color="auto" w:fill="D9D9D9"/>
            <w:vAlign w:val="center"/>
            <w:hideMark/>
          </w:tcPr>
          <w:p w:rsidRPr="003F4207" w:rsidR="003F4207" w:rsidP="003F4207" w:rsidRDefault="003F4207">
            <w:pPr>
              <w:widowControl/>
              <w:jc w:val="center"/>
              <w:rPr>
                <w:rFonts w:ascii="Times New Roman" w:hAnsi="Times New Roman"/>
                <w:snapToGrid/>
                <w:color w:val="000000"/>
                <w:sz w:val="16"/>
                <w:szCs w:val="16"/>
              </w:rPr>
            </w:pPr>
            <w:r w:rsidRPr="003F4207">
              <w:rPr>
                <w:rFonts w:ascii="Times New Roman" w:hAnsi="Times New Roman"/>
                <w:snapToGrid/>
                <w:color w:val="000000"/>
                <w:sz w:val="16"/>
                <w:szCs w:val="16"/>
              </w:rPr>
              <w:t>Frequency of Response</w:t>
            </w:r>
          </w:p>
        </w:tc>
        <w:tc>
          <w:tcPr>
            <w:tcW w:w="990" w:type="dxa"/>
            <w:shd w:val="clear" w:color="auto" w:fill="D9D9D9"/>
            <w:vAlign w:val="center"/>
            <w:hideMark/>
          </w:tcPr>
          <w:p w:rsidR="00133AF9" w:rsidP="00133AF9" w:rsidRDefault="00133AF9">
            <w:pPr>
              <w:widowControl/>
              <w:jc w:val="center"/>
              <w:rPr>
                <w:rFonts w:ascii="Times New Roman" w:hAnsi="Times New Roman"/>
                <w:snapToGrid/>
                <w:color w:val="000000"/>
                <w:sz w:val="16"/>
                <w:szCs w:val="16"/>
              </w:rPr>
            </w:pPr>
            <w:r>
              <w:rPr>
                <w:rFonts w:ascii="Times New Roman" w:hAnsi="Times New Roman"/>
                <w:snapToGrid/>
                <w:color w:val="000000"/>
                <w:sz w:val="16"/>
                <w:szCs w:val="16"/>
              </w:rPr>
              <w:t>Total</w:t>
            </w:r>
            <w:r w:rsidRPr="003F4207" w:rsidR="003F4207">
              <w:rPr>
                <w:rFonts w:ascii="Times New Roman" w:hAnsi="Times New Roman"/>
                <w:snapToGrid/>
                <w:color w:val="000000"/>
                <w:sz w:val="16"/>
                <w:szCs w:val="16"/>
              </w:rPr>
              <w:t xml:space="preserve"> Estimated</w:t>
            </w:r>
          </w:p>
          <w:p w:rsidRPr="003F4207" w:rsidR="003F4207" w:rsidP="00133AF9" w:rsidRDefault="00133AF9">
            <w:pPr>
              <w:widowControl/>
              <w:jc w:val="center"/>
              <w:rPr>
                <w:rFonts w:ascii="Times New Roman" w:hAnsi="Times New Roman"/>
                <w:snapToGrid/>
                <w:color w:val="000000"/>
                <w:sz w:val="16"/>
                <w:szCs w:val="16"/>
              </w:rPr>
            </w:pPr>
            <w:r>
              <w:rPr>
                <w:rFonts w:ascii="Times New Roman" w:hAnsi="Times New Roman"/>
                <w:snapToGrid/>
                <w:color w:val="000000"/>
                <w:sz w:val="16"/>
                <w:szCs w:val="16"/>
              </w:rPr>
              <w:t>Annual</w:t>
            </w:r>
            <w:r w:rsidRPr="003F4207" w:rsidR="003F4207">
              <w:rPr>
                <w:rFonts w:ascii="Times New Roman" w:hAnsi="Times New Roman"/>
                <w:snapToGrid/>
                <w:color w:val="000000"/>
                <w:sz w:val="16"/>
                <w:szCs w:val="16"/>
              </w:rPr>
              <w:t xml:space="preserve"> Burden Hours</w:t>
            </w:r>
          </w:p>
        </w:tc>
      </w:tr>
      <w:tr w:rsidRPr="003F4207" w:rsidR="003F4207" w:rsidTr="00F96D6A">
        <w:trPr>
          <w:trHeight w:val="612"/>
          <w:jc w:val="center"/>
        </w:trPr>
        <w:tc>
          <w:tcPr>
            <w:tcW w:w="2856" w:type="dxa"/>
            <w:shd w:val="clear" w:color="auto" w:fill="auto"/>
            <w:vAlign w:val="center"/>
          </w:tcPr>
          <w:p w:rsidRPr="003F4207" w:rsidR="003F4207" w:rsidP="003F4207" w:rsidRDefault="005612A0">
            <w:pPr>
              <w:widowControl/>
              <w:rPr>
                <w:rFonts w:ascii="Times New Roman" w:hAnsi="Times New Roman"/>
                <w:b/>
                <w:bCs/>
                <w:snapToGrid/>
                <w:color w:val="000000"/>
                <w:sz w:val="16"/>
                <w:szCs w:val="16"/>
              </w:rPr>
            </w:pPr>
            <w:r>
              <w:rPr>
                <w:rFonts w:ascii="Times New Roman" w:hAnsi="Times New Roman"/>
                <w:b/>
                <w:bCs/>
                <w:snapToGrid/>
                <w:color w:val="000000"/>
                <w:sz w:val="16"/>
                <w:szCs w:val="16"/>
              </w:rPr>
              <w:t>Purchaser Eligibility Certification (Form No. 7300-06)</w:t>
            </w:r>
          </w:p>
        </w:tc>
        <w:tc>
          <w:tcPr>
            <w:tcW w:w="856" w:type="dxa"/>
            <w:shd w:val="clear" w:color="auto" w:fill="auto"/>
            <w:vAlign w:val="center"/>
          </w:tcPr>
          <w:p w:rsidRPr="003F4207" w:rsidR="003F4207" w:rsidP="003F4207" w:rsidRDefault="003F4207">
            <w:pPr>
              <w:widowControl/>
              <w:jc w:val="center"/>
              <w:rPr>
                <w:rFonts w:ascii="Times New Roman" w:hAnsi="Times New Roman"/>
                <w:snapToGrid/>
                <w:color w:val="000000"/>
                <w:sz w:val="16"/>
                <w:szCs w:val="16"/>
              </w:rPr>
            </w:pPr>
            <w:r w:rsidRPr="003F4207">
              <w:rPr>
                <w:rFonts w:ascii="Times New Roman" w:hAnsi="Times New Roman"/>
                <w:snapToGrid/>
                <w:color w:val="000000"/>
                <w:sz w:val="16"/>
                <w:szCs w:val="16"/>
              </w:rPr>
              <w:t>Reporting</w:t>
            </w:r>
          </w:p>
        </w:tc>
        <w:tc>
          <w:tcPr>
            <w:tcW w:w="1034" w:type="dxa"/>
            <w:shd w:val="clear" w:color="auto" w:fill="auto"/>
            <w:vAlign w:val="center"/>
          </w:tcPr>
          <w:p w:rsidRPr="003F4207" w:rsidR="003F4207" w:rsidP="003F4207" w:rsidRDefault="002B0ECD">
            <w:pPr>
              <w:widowControl/>
              <w:jc w:val="center"/>
              <w:rPr>
                <w:rFonts w:ascii="Times New Roman" w:hAnsi="Times New Roman"/>
                <w:snapToGrid/>
                <w:color w:val="000000"/>
                <w:sz w:val="16"/>
                <w:szCs w:val="16"/>
              </w:rPr>
            </w:pPr>
            <w:r>
              <w:rPr>
                <w:rFonts w:ascii="Times New Roman" w:hAnsi="Times New Roman"/>
                <w:snapToGrid/>
                <w:color w:val="000000"/>
                <w:sz w:val="16"/>
                <w:szCs w:val="16"/>
              </w:rPr>
              <w:t>380</w:t>
            </w:r>
          </w:p>
        </w:tc>
        <w:tc>
          <w:tcPr>
            <w:tcW w:w="990" w:type="dxa"/>
            <w:shd w:val="clear" w:color="auto" w:fill="auto"/>
            <w:vAlign w:val="center"/>
          </w:tcPr>
          <w:p w:rsidRPr="003F4207" w:rsidR="003F4207" w:rsidP="005612A0" w:rsidRDefault="005612A0">
            <w:pPr>
              <w:widowControl/>
              <w:jc w:val="center"/>
              <w:rPr>
                <w:rFonts w:ascii="Times New Roman" w:hAnsi="Times New Roman"/>
                <w:snapToGrid/>
                <w:color w:val="000000"/>
                <w:sz w:val="16"/>
                <w:szCs w:val="16"/>
              </w:rPr>
            </w:pPr>
            <w:r>
              <w:rPr>
                <w:rFonts w:ascii="Times New Roman" w:hAnsi="Times New Roman"/>
                <w:snapToGrid/>
                <w:color w:val="000000"/>
                <w:sz w:val="16"/>
                <w:szCs w:val="16"/>
              </w:rPr>
              <w:t>30</w:t>
            </w:r>
            <w:r w:rsidRPr="003F4207" w:rsidR="003F4207">
              <w:rPr>
                <w:rFonts w:ascii="Times New Roman" w:hAnsi="Times New Roman"/>
                <w:snapToGrid/>
                <w:color w:val="000000"/>
                <w:sz w:val="16"/>
                <w:szCs w:val="16"/>
              </w:rPr>
              <w:t xml:space="preserve"> minutes</w:t>
            </w:r>
          </w:p>
        </w:tc>
        <w:tc>
          <w:tcPr>
            <w:tcW w:w="900" w:type="dxa"/>
            <w:shd w:val="clear" w:color="auto" w:fill="auto"/>
            <w:vAlign w:val="center"/>
          </w:tcPr>
          <w:p w:rsidRPr="003F4207" w:rsidR="003F4207" w:rsidP="003F4207" w:rsidRDefault="003F4207">
            <w:pPr>
              <w:widowControl/>
              <w:jc w:val="center"/>
              <w:rPr>
                <w:rFonts w:ascii="Times New Roman" w:hAnsi="Times New Roman"/>
                <w:snapToGrid/>
                <w:color w:val="000000"/>
                <w:sz w:val="16"/>
                <w:szCs w:val="16"/>
              </w:rPr>
            </w:pPr>
            <w:r w:rsidRPr="003F4207">
              <w:rPr>
                <w:rFonts w:ascii="Times New Roman" w:hAnsi="Times New Roman"/>
                <w:snapToGrid/>
                <w:color w:val="000000"/>
                <w:sz w:val="16"/>
                <w:szCs w:val="16"/>
              </w:rPr>
              <w:t>On Occasion</w:t>
            </w:r>
          </w:p>
        </w:tc>
        <w:tc>
          <w:tcPr>
            <w:tcW w:w="990" w:type="dxa"/>
            <w:shd w:val="clear" w:color="auto" w:fill="auto"/>
            <w:vAlign w:val="center"/>
          </w:tcPr>
          <w:p w:rsidRPr="003F4207" w:rsidR="003F4207" w:rsidP="003F4207" w:rsidRDefault="002B0ECD">
            <w:pPr>
              <w:widowControl/>
              <w:jc w:val="center"/>
              <w:rPr>
                <w:rFonts w:ascii="Times New Roman" w:hAnsi="Times New Roman"/>
                <w:snapToGrid/>
                <w:color w:val="000000"/>
                <w:sz w:val="16"/>
                <w:szCs w:val="16"/>
              </w:rPr>
            </w:pPr>
            <w:r>
              <w:rPr>
                <w:rFonts w:ascii="Times New Roman" w:hAnsi="Times New Roman"/>
                <w:snapToGrid/>
                <w:color w:val="000000"/>
                <w:sz w:val="16"/>
                <w:szCs w:val="16"/>
              </w:rPr>
              <w:t>190</w:t>
            </w:r>
            <w:r w:rsidRPr="003F4207" w:rsidR="003F4207">
              <w:rPr>
                <w:rFonts w:ascii="Times New Roman" w:hAnsi="Times New Roman"/>
                <w:snapToGrid/>
                <w:color w:val="000000"/>
                <w:sz w:val="16"/>
                <w:szCs w:val="16"/>
              </w:rPr>
              <w:t xml:space="preserve"> hours</w:t>
            </w:r>
          </w:p>
        </w:tc>
      </w:tr>
    </w:tbl>
    <w:p w:rsidR="0069374B" w:rsidP="003F4207"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00D95C35" w:rsidP="00D95C35" w:rsidRDefault="00D95C35">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r w:rsidRPr="00D95C35">
        <w:rPr>
          <w:rFonts w:ascii="Times New Roman" w:hAnsi="Times New Roman"/>
        </w:rPr>
        <w:t xml:space="preserve">The </w:t>
      </w:r>
      <w:r>
        <w:rPr>
          <w:rFonts w:ascii="Times New Roman" w:hAnsi="Times New Roman"/>
        </w:rPr>
        <w:t>FDIC estimates</w:t>
      </w:r>
      <w:r w:rsidRPr="00D95C35">
        <w:rPr>
          <w:rFonts w:ascii="Times New Roman" w:hAnsi="Times New Roman"/>
        </w:rPr>
        <w:t xml:space="preserve"> that 90 percent of the labor allocation involved in submitting and preparing a P</w:t>
      </w:r>
      <w:r>
        <w:rPr>
          <w:rFonts w:ascii="Times New Roman" w:hAnsi="Times New Roman"/>
        </w:rPr>
        <w:t xml:space="preserve">urchaser </w:t>
      </w:r>
      <w:r w:rsidRPr="00D95C35">
        <w:rPr>
          <w:rFonts w:ascii="Times New Roman" w:hAnsi="Times New Roman"/>
        </w:rPr>
        <w:t>E</w:t>
      </w:r>
      <w:r>
        <w:rPr>
          <w:rFonts w:ascii="Times New Roman" w:hAnsi="Times New Roman"/>
        </w:rPr>
        <w:t xml:space="preserve">ligibility </w:t>
      </w:r>
      <w:r w:rsidRPr="00D95C35">
        <w:rPr>
          <w:rFonts w:ascii="Times New Roman" w:hAnsi="Times New Roman"/>
        </w:rPr>
        <w:t>C</w:t>
      </w:r>
      <w:r>
        <w:rPr>
          <w:rFonts w:ascii="Times New Roman" w:hAnsi="Times New Roman"/>
        </w:rPr>
        <w:t>ertification (PEC)</w:t>
      </w:r>
      <w:r w:rsidRPr="00D95C35">
        <w:rPr>
          <w:rFonts w:ascii="Times New Roman" w:hAnsi="Times New Roman"/>
        </w:rPr>
        <w:t xml:space="preserve"> can be classified as managerial and professional labor. The remaining 10 percent can be classified as executive labor. The </w:t>
      </w:r>
      <w:r>
        <w:rPr>
          <w:rFonts w:ascii="Times New Roman" w:hAnsi="Times New Roman"/>
        </w:rPr>
        <w:t>FDIC</w:t>
      </w:r>
      <w:r w:rsidRPr="00D95C35">
        <w:rPr>
          <w:rFonts w:ascii="Times New Roman" w:hAnsi="Times New Roman"/>
        </w:rPr>
        <w:t xml:space="preserve"> do</w:t>
      </w:r>
      <w:r>
        <w:rPr>
          <w:rFonts w:ascii="Times New Roman" w:hAnsi="Times New Roman"/>
        </w:rPr>
        <w:t>es</w:t>
      </w:r>
      <w:r w:rsidRPr="00D95C35">
        <w:rPr>
          <w:rFonts w:ascii="Times New Roman" w:hAnsi="Times New Roman"/>
        </w:rPr>
        <w:t xml:space="preserve"> not collect information regarding the division of labor among the respondents, and </w:t>
      </w:r>
      <w:r>
        <w:rPr>
          <w:rFonts w:ascii="Times New Roman" w:hAnsi="Times New Roman"/>
        </w:rPr>
        <w:t>is</w:t>
      </w:r>
      <w:r w:rsidRPr="00D95C35">
        <w:rPr>
          <w:rFonts w:ascii="Times New Roman" w:hAnsi="Times New Roman"/>
        </w:rPr>
        <w:t xml:space="preserve"> basing this estimate </w:t>
      </w:r>
      <w:r>
        <w:rPr>
          <w:rFonts w:ascii="Times New Roman" w:hAnsi="Times New Roman"/>
        </w:rPr>
        <w:t>on</w:t>
      </w:r>
      <w:r w:rsidRPr="00D95C35">
        <w:rPr>
          <w:rFonts w:ascii="Times New Roman" w:hAnsi="Times New Roman"/>
        </w:rPr>
        <w:t xml:space="preserve"> own observations and experiences answering questions about the PEC form.</w:t>
      </w:r>
      <w:r w:rsidR="002B0ECD">
        <w:rPr>
          <w:rFonts w:ascii="Times New Roman" w:hAnsi="Times New Roman"/>
        </w:rPr>
        <w:t xml:space="preserve"> </w:t>
      </w:r>
    </w:p>
    <w:p w:rsidR="002B0ECD" w:rsidP="00D95C35" w:rsidRDefault="002B0EC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Pr="002B0ECD" w:rsidR="002B0ECD" w:rsidP="002B0ECD" w:rsidRDefault="002B0EC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b/>
          <w:lang w:bidi="en-US"/>
        </w:rPr>
      </w:pPr>
      <w:r w:rsidRPr="002B0ECD">
        <w:rPr>
          <w:rFonts w:ascii="Times New Roman" w:hAnsi="Times New Roman"/>
          <w:b/>
          <w:lang w:bidi="en-US"/>
        </w:rPr>
        <w:t>Total Estimated Hourly Labor Compensation Rates</w:t>
      </w:r>
    </w:p>
    <w:p w:rsidRPr="002B0ECD" w:rsidR="002B0ECD" w:rsidP="002C0B5F" w:rsidRDefault="002B0EC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lang w:bidi="en-US"/>
        </w:rPr>
      </w:pPr>
      <w:r w:rsidRPr="002B0ECD">
        <w:rPr>
          <w:rFonts w:ascii="Times New Roman" w:hAnsi="Times New Roman"/>
          <w:lang w:bidi="en-US"/>
        </w:rPr>
        <w:t>To estimate the weighted average</w:t>
      </w:r>
      <w:r w:rsidR="002C0B5F">
        <w:rPr>
          <w:rFonts w:ascii="Times New Roman" w:hAnsi="Times New Roman"/>
          <w:lang w:bidi="en-US"/>
        </w:rPr>
        <w:t xml:space="preserve"> hourly cost of compensation, FDIC </w:t>
      </w:r>
      <w:r w:rsidRPr="002B0ECD">
        <w:rPr>
          <w:rFonts w:ascii="Times New Roman" w:hAnsi="Times New Roman"/>
          <w:lang w:bidi="en-US"/>
        </w:rPr>
        <w:t>use</w:t>
      </w:r>
      <w:r w:rsidR="002C0B5F">
        <w:rPr>
          <w:rFonts w:ascii="Times New Roman" w:hAnsi="Times New Roman"/>
          <w:lang w:bidi="en-US"/>
        </w:rPr>
        <w:t>s</w:t>
      </w:r>
      <w:r w:rsidRPr="002B0ECD">
        <w:rPr>
          <w:rFonts w:ascii="Times New Roman" w:hAnsi="Times New Roman"/>
          <w:lang w:bidi="en-US"/>
        </w:rPr>
        <w:t xml:space="preserve"> the 75</w:t>
      </w:r>
      <w:r w:rsidRPr="002B0ECD">
        <w:rPr>
          <w:rFonts w:ascii="Times New Roman" w:hAnsi="Times New Roman"/>
          <w:vertAlign w:val="superscript"/>
          <w:lang w:bidi="en-US"/>
        </w:rPr>
        <w:t>th</w:t>
      </w:r>
      <w:r w:rsidRPr="002B0ECD">
        <w:rPr>
          <w:rFonts w:ascii="Times New Roman" w:hAnsi="Times New Roman"/>
          <w:lang w:bidi="en-US"/>
        </w:rPr>
        <w:t xml:space="preserve"> percentile hourly wages reported by the Bureau of Labor Statistics (BLS) National Industry-Specific Occupational Employment and Wage Estimates for the relevant occupations in the Depository Credit Intermediation sector, as of May 2020. </w:t>
      </w:r>
      <w:r w:rsidR="002C0B5F">
        <w:rPr>
          <w:rFonts w:ascii="Times New Roman" w:hAnsi="Times New Roman"/>
          <w:lang w:bidi="en-US"/>
        </w:rPr>
        <w:t>FDIC</w:t>
      </w:r>
      <w:r w:rsidRPr="002B0ECD">
        <w:rPr>
          <w:rFonts w:ascii="Times New Roman" w:hAnsi="Times New Roman"/>
          <w:lang w:bidi="en-US"/>
        </w:rPr>
        <w:t xml:space="preserve"> adjust</w:t>
      </w:r>
      <w:r w:rsidR="002C0B5F">
        <w:rPr>
          <w:rFonts w:ascii="Times New Roman" w:hAnsi="Times New Roman"/>
          <w:lang w:bidi="en-US"/>
        </w:rPr>
        <w:t>s</w:t>
      </w:r>
      <w:r w:rsidRPr="002B0ECD">
        <w:rPr>
          <w:rFonts w:ascii="Times New Roman" w:hAnsi="Times New Roman"/>
          <w:lang w:bidi="en-US"/>
        </w:rPr>
        <w:t xml:space="preserve"> the hourly wage by 3.31 percent based on changes in the Consumer Price Index for Urban Consumers (CPI-U) from May 2020 to March 2021 to account for inflation.</w:t>
      </w:r>
      <w:r w:rsidR="002C0B5F">
        <w:rPr>
          <w:rFonts w:ascii="Times New Roman" w:hAnsi="Times New Roman"/>
          <w:lang w:bidi="en-US"/>
        </w:rPr>
        <w:t xml:space="preserve"> </w:t>
      </w:r>
      <w:r w:rsidRPr="002B0ECD">
        <w:rPr>
          <w:rFonts w:ascii="Times New Roman" w:hAnsi="Times New Roman"/>
          <w:lang w:bidi="en-US"/>
        </w:rPr>
        <w:t xml:space="preserve">The hourly wage rates reported do not include non-monetary compensation.  According to the March 2021 Employer Cost of Employee Compensation data, compensation rates for health and other benefits are 33.3 percent of total compensation. To account </w:t>
      </w:r>
      <w:r w:rsidR="002C0B5F">
        <w:rPr>
          <w:rFonts w:ascii="Times New Roman" w:hAnsi="Times New Roman"/>
          <w:lang w:bidi="en-US"/>
        </w:rPr>
        <w:t>for non-monetary compensation, FDIC</w:t>
      </w:r>
      <w:r w:rsidRPr="002B0ECD">
        <w:rPr>
          <w:rFonts w:ascii="Times New Roman" w:hAnsi="Times New Roman"/>
          <w:lang w:bidi="en-US"/>
        </w:rPr>
        <w:t xml:space="preserve"> divide</w:t>
      </w:r>
      <w:r w:rsidR="002C0B5F">
        <w:rPr>
          <w:rFonts w:ascii="Times New Roman" w:hAnsi="Times New Roman"/>
          <w:lang w:bidi="en-US"/>
        </w:rPr>
        <w:t>s</w:t>
      </w:r>
      <w:r w:rsidRPr="002B0ECD">
        <w:rPr>
          <w:rFonts w:ascii="Times New Roman" w:hAnsi="Times New Roman"/>
          <w:lang w:bidi="en-US"/>
        </w:rPr>
        <w:t xml:space="preserve"> the hourly wage rates reported by BLS by (1 – 0.333). </w:t>
      </w:r>
    </w:p>
    <w:p w:rsidRPr="002B0ECD" w:rsidR="002B0ECD" w:rsidP="002B0ECD" w:rsidRDefault="002B0EC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lang w:bidi="en-US"/>
        </w:rPr>
      </w:pPr>
    </w:p>
    <w:p w:rsidR="002B0ECD" w:rsidP="002B0ECD" w:rsidRDefault="002B0EC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lang w:bidi="en-US"/>
        </w:rPr>
      </w:pPr>
      <w:r w:rsidRPr="002B0ECD">
        <w:rPr>
          <w:rFonts w:ascii="Times New Roman" w:hAnsi="Times New Roman"/>
          <w:lang w:bidi="en-US"/>
        </w:rPr>
        <w:t xml:space="preserve">After </w:t>
      </w:r>
      <w:r w:rsidR="002C0B5F">
        <w:rPr>
          <w:rFonts w:ascii="Times New Roman" w:hAnsi="Times New Roman"/>
          <w:lang w:bidi="en-US"/>
        </w:rPr>
        <w:t>calculating these adjustments, FDIC</w:t>
      </w:r>
      <w:r w:rsidRPr="002B0ECD">
        <w:rPr>
          <w:rFonts w:ascii="Times New Roman" w:hAnsi="Times New Roman"/>
          <w:lang w:bidi="en-US"/>
        </w:rPr>
        <w:t xml:space="preserve"> weight</w:t>
      </w:r>
      <w:r w:rsidR="002C0B5F">
        <w:rPr>
          <w:rFonts w:ascii="Times New Roman" w:hAnsi="Times New Roman"/>
          <w:lang w:bidi="en-US"/>
        </w:rPr>
        <w:t>s</w:t>
      </w:r>
      <w:r w:rsidRPr="002B0ECD">
        <w:rPr>
          <w:rFonts w:ascii="Times New Roman" w:hAnsi="Times New Roman"/>
          <w:lang w:bidi="en-US"/>
        </w:rPr>
        <w:t xml:space="preserve"> the total hourly compensation for the occupations shown in the table, </w:t>
      </w:r>
      <w:r w:rsidR="002C0B5F">
        <w:rPr>
          <w:rFonts w:ascii="Times New Roman" w:hAnsi="Times New Roman"/>
          <w:lang w:bidi="en-US"/>
        </w:rPr>
        <w:t>FDIC</w:t>
      </w:r>
      <w:r w:rsidRPr="002B0ECD">
        <w:rPr>
          <w:rFonts w:ascii="Times New Roman" w:hAnsi="Times New Roman"/>
          <w:lang w:bidi="en-US"/>
        </w:rPr>
        <w:t xml:space="preserve"> estimate</w:t>
      </w:r>
      <w:r w:rsidR="002C0B5F">
        <w:rPr>
          <w:rFonts w:ascii="Times New Roman" w:hAnsi="Times New Roman"/>
          <w:lang w:bidi="en-US"/>
        </w:rPr>
        <w:t>s</w:t>
      </w:r>
      <w:r w:rsidRPr="002B0ECD">
        <w:rPr>
          <w:rFonts w:ascii="Times New Roman" w:hAnsi="Times New Roman"/>
          <w:lang w:bidi="en-US"/>
        </w:rPr>
        <w:t xml:space="preserve"> that 90 percent of the labor is performed by Purchasing Managers, and the remaining 10 percent is performed by Executives and Managers. </w:t>
      </w:r>
    </w:p>
    <w:p w:rsidR="00306C20" w:rsidP="002B0EC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lang w:bidi="en-US"/>
        </w:rPr>
      </w:pPr>
    </w:p>
    <w:p w:rsidRPr="00306C20" w:rsidR="00306C20" w:rsidP="00306C20"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center"/>
        <w:rPr>
          <w:rFonts w:ascii="Times New Roman" w:hAnsi="Times New Roman"/>
          <w:sz w:val="22"/>
          <w:szCs w:val="22"/>
          <w:lang w:bidi="en-US"/>
        </w:rPr>
      </w:pPr>
      <w:r w:rsidRPr="00306C20">
        <w:rPr>
          <w:rFonts w:ascii="Times New Roman" w:hAnsi="Times New Roman"/>
          <w:b/>
          <w:bCs/>
          <w:sz w:val="22"/>
          <w:szCs w:val="22"/>
        </w:rPr>
        <w:t xml:space="preserve">Summary of </w:t>
      </w:r>
      <w:r>
        <w:rPr>
          <w:rFonts w:ascii="Times New Roman" w:hAnsi="Times New Roman"/>
          <w:b/>
          <w:bCs/>
          <w:sz w:val="22"/>
          <w:szCs w:val="22"/>
        </w:rPr>
        <w:t xml:space="preserve">Estimated Labor </w:t>
      </w:r>
      <w:r w:rsidRPr="00306C20">
        <w:rPr>
          <w:rFonts w:ascii="Times New Roman" w:hAnsi="Times New Roman"/>
          <w:b/>
          <w:bCs/>
          <w:sz w:val="22"/>
          <w:szCs w:val="22"/>
        </w:rPr>
        <w:t>Cost</w:t>
      </w:r>
      <w:r>
        <w:rPr>
          <w:rFonts w:ascii="Times New Roman" w:hAnsi="Times New Roman"/>
          <w:b/>
          <w:bCs/>
          <w:sz w:val="22"/>
          <w:szCs w:val="22"/>
        </w:rPr>
        <w:t>s</w:t>
      </w:r>
      <w:r w:rsidRPr="00306C20">
        <w:rPr>
          <w:rFonts w:ascii="Times New Roman" w:hAnsi="Times New Roman"/>
          <w:b/>
          <w:bCs/>
          <w:sz w:val="22"/>
          <w:szCs w:val="22"/>
        </w:rPr>
        <w:t xml:space="preserve"> (OMB No. 3064-0135)</w:t>
      </w:r>
    </w:p>
    <w:tbl>
      <w:tblPr>
        <w:tblStyle w:val="TableGrid"/>
        <w:tblW w:w="0" w:type="auto"/>
        <w:tblInd w:w="627" w:type="dxa"/>
        <w:tblLayout w:type="fixed"/>
        <w:tblLook w:val="04A0" w:firstRow="1" w:lastRow="0" w:firstColumn="1" w:lastColumn="0" w:noHBand="0" w:noVBand="1"/>
      </w:tblPr>
      <w:tblGrid>
        <w:gridCol w:w="2785"/>
        <w:gridCol w:w="2070"/>
        <w:gridCol w:w="1530"/>
        <w:gridCol w:w="1710"/>
      </w:tblGrid>
      <w:tr w:rsidRPr="003356F6" w:rsidR="00306C20" w:rsidTr="00882A7D">
        <w:tc>
          <w:tcPr>
            <w:tcW w:w="2785" w:type="dxa"/>
            <w:vAlign w:val="center"/>
          </w:tcPr>
          <w:p w:rsidRPr="003356F6"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2"/>
                <w:szCs w:val="22"/>
              </w:rPr>
            </w:pPr>
            <w:r w:rsidRPr="003356F6">
              <w:rPr>
                <w:rFonts w:ascii="Times New Roman" w:hAnsi="Times New Roman"/>
                <w:sz w:val="22"/>
                <w:szCs w:val="22"/>
              </w:rPr>
              <w:t>Category</w:t>
            </w:r>
          </w:p>
        </w:tc>
        <w:tc>
          <w:tcPr>
            <w:tcW w:w="2070" w:type="dxa"/>
            <w:vAlign w:val="center"/>
          </w:tcPr>
          <w:p w:rsidRPr="003356F6"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sidRPr="003356F6">
              <w:rPr>
                <w:rFonts w:ascii="Times New Roman" w:hAnsi="Times New Roman"/>
                <w:sz w:val="22"/>
                <w:szCs w:val="22"/>
              </w:rPr>
              <w:t>Total Estimated Hourly Compensation</w:t>
            </w:r>
          </w:p>
        </w:tc>
        <w:tc>
          <w:tcPr>
            <w:tcW w:w="1530" w:type="dxa"/>
            <w:vAlign w:val="center"/>
          </w:tcPr>
          <w:p w:rsidRPr="003356F6"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Estimated Weights</w:t>
            </w:r>
          </w:p>
        </w:tc>
        <w:tc>
          <w:tcPr>
            <w:tcW w:w="1710" w:type="dxa"/>
            <w:vAlign w:val="center"/>
          </w:tcPr>
          <w:p w:rsidRPr="003356F6"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sz w:val="22"/>
                <w:szCs w:val="22"/>
              </w:rPr>
            </w:pPr>
            <w:r>
              <w:rPr>
                <w:rFonts w:ascii="Times New Roman" w:hAnsi="Times New Roman"/>
                <w:sz w:val="22"/>
                <w:szCs w:val="22"/>
              </w:rPr>
              <w:t>Weighted Average Compensation</w:t>
            </w:r>
          </w:p>
        </w:tc>
      </w:tr>
      <w:tr w:rsidRPr="000547C4" w:rsidR="00306C20" w:rsidTr="00882A7D">
        <w:tc>
          <w:tcPr>
            <w:tcW w:w="2785" w:type="dxa"/>
          </w:tcPr>
          <w:p w:rsidRPr="000547C4"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t>Executives and Managers</w:t>
            </w:r>
            <w:r w:rsidRPr="00306C20">
              <w:rPr>
                <w:rStyle w:val="FootnoteReference"/>
                <w:rFonts w:ascii="Times New Roman" w:hAnsi="Times New Roman"/>
                <w:sz w:val="22"/>
                <w:szCs w:val="22"/>
                <w:vertAlign w:val="superscript"/>
              </w:rPr>
              <w:footnoteReference w:id="1"/>
            </w:r>
          </w:p>
        </w:tc>
        <w:tc>
          <w:tcPr>
            <w:tcW w:w="2070" w:type="dxa"/>
            <w:vAlign w:val="center"/>
          </w:tcPr>
          <w:p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$127.80</w:t>
            </w:r>
          </w:p>
        </w:tc>
        <w:tc>
          <w:tcPr>
            <w:tcW w:w="1530" w:type="dxa"/>
            <w:vAlign w:val="center"/>
          </w:tcPr>
          <w:p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rPr>
              <w:t>10</w:t>
            </w:r>
            <w:r w:rsidRPr="003915FE">
              <w:rPr>
                <w:rFonts w:ascii="Times New Roman" w:hAnsi="Times New Roman"/>
              </w:rPr>
              <w:t>%</w:t>
            </w:r>
          </w:p>
        </w:tc>
        <w:tc>
          <w:tcPr>
            <w:tcW w:w="1710" w:type="dxa"/>
            <w:vAlign w:val="center"/>
          </w:tcPr>
          <w:p w:rsidRPr="000547C4"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$12.78</w:t>
            </w:r>
          </w:p>
        </w:tc>
      </w:tr>
      <w:tr w:rsidRPr="000547C4" w:rsidR="00306C20" w:rsidTr="00882A7D">
        <w:tc>
          <w:tcPr>
            <w:tcW w:w="2785" w:type="dxa"/>
          </w:tcPr>
          <w:p w:rsidRPr="000547C4"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Pr>
                <w:rFonts w:ascii="Times New Roman" w:hAnsi="Times New Roman"/>
                <w:sz w:val="22"/>
                <w:szCs w:val="22"/>
              </w:rPr>
              <w:lastRenderedPageBreak/>
              <w:t>Purchasing Managers</w:t>
            </w:r>
            <w:r w:rsidRPr="00306C20">
              <w:rPr>
                <w:rStyle w:val="FootnoteReference"/>
                <w:rFonts w:ascii="Times New Roman" w:hAnsi="Times New Roman"/>
                <w:sz w:val="22"/>
                <w:szCs w:val="22"/>
                <w:vertAlign w:val="superscript"/>
              </w:rPr>
              <w:footnoteReference w:id="2"/>
            </w:r>
          </w:p>
        </w:tc>
        <w:tc>
          <w:tcPr>
            <w:tcW w:w="2070" w:type="dxa"/>
            <w:vAlign w:val="center"/>
          </w:tcPr>
          <w:p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$135.08</w:t>
            </w:r>
          </w:p>
        </w:tc>
        <w:tc>
          <w:tcPr>
            <w:tcW w:w="1530" w:type="dxa"/>
            <w:vAlign w:val="center"/>
          </w:tcPr>
          <w:p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90%</w:t>
            </w:r>
          </w:p>
        </w:tc>
        <w:tc>
          <w:tcPr>
            <w:tcW w:w="1710" w:type="dxa"/>
            <w:vAlign w:val="center"/>
          </w:tcPr>
          <w:p w:rsidRPr="000547C4"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$121.57</w:t>
            </w:r>
          </w:p>
        </w:tc>
      </w:tr>
      <w:tr w:rsidRPr="000547C4" w:rsidR="00306C20" w:rsidTr="00882A7D">
        <w:tc>
          <w:tcPr>
            <w:tcW w:w="2785" w:type="dxa"/>
          </w:tcPr>
          <w:p w:rsidRPr="00230F96"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sz w:val="22"/>
                <w:szCs w:val="22"/>
              </w:rPr>
            </w:pPr>
            <w:r w:rsidRPr="00230F96">
              <w:rPr>
                <w:rFonts w:ascii="Times New Roman" w:hAnsi="Times New Roman"/>
                <w:b/>
                <w:sz w:val="22"/>
                <w:szCs w:val="22"/>
              </w:rPr>
              <w:t>Total</w:t>
            </w:r>
          </w:p>
        </w:tc>
        <w:tc>
          <w:tcPr>
            <w:tcW w:w="2070" w:type="dxa"/>
            <w:vAlign w:val="center"/>
          </w:tcPr>
          <w:p w:rsidRPr="00230F96"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p>
        </w:tc>
        <w:tc>
          <w:tcPr>
            <w:tcW w:w="1530" w:type="dxa"/>
            <w:vAlign w:val="center"/>
          </w:tcPr>
          <w:p w:rsidRPr="00230F96"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100%</w:t>
            </w:r>
          </w:p>
        </w:tc>
        <w:tc>
          <w:tcPr>
            <w:tcW w:w="1710" w:type="dxa"/>
            <w:vAlign w:val="center"/>
          </w:tcPr>
          <w:p w:rsidRPr="00230F96"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imes New Roman" w:hAnsi="Times New Roman"/>
                <w:sz w:val="22"/>
                <w:szCs w:val="22"/>
              </w:rPr>
            </w:pPr>
            <w:r>
              <w:rPr>
                <w:rFonts w:ascii="Times New Roman" w:hAnsi="Times New Roman"/>
                <w:sz w:val="22"/>
                <w:szCs w:val="22"/>
              </w:rPr>
              <w:t>$134.35</w:t>
            </w:r>
          </w:p>
        </w:tc>
      </w:tr>
    </w:tbl>
    <w:tbl>
      <w:tblPr>
        <w:tblW w:w="9350" w:type="dxa"/>
        <w:tblInd w:w="5" w:type="dxa"/>
        <w:tblLook w:val="04A0" w:firstRow="1" w:lastRow="0" w:firstColumn="1" w:lastColumn="0" w:noHBand="0" w:noVBand="1"/>
      </w:tblPr>
      <w:tblGrid>
        <w:gridCol w:w="9350"/>
      </w:tblGrid>
      <w:tr w:rsidRPr="002C0B5F" w:rsidR="00306C20" w:rsidTr="00306C20">
        <w:trPr>
          <w:trHeight w:val="288"/>
        </w:trPr>
        <w:tc>
          <w:tcPr>
            <w:tcW w:w="9350" w:type="dxa"/>
            <w:tcBorders>
              <w:top w:val="nil"/>
              <w:left w:val="nil"/>
              <w:bottom w:val="nil"/>
              <w:right w:val="nil"/>
            </w:tcBorders>
            <w:shd w:val="clear" w:color="auto" w:fill="auto"/>
            <w:hideMark/>
          </w:tcPr>
          <w:p w:rsidRPr="002C0B5F" w:rsidR="00306C20" w:rsidP="00306C20"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jc w:val="both"/>
              <w:rPr>
                <w:rFonts w:ascii="Times New Roman" w:hAnsi="Times New Roman"/>
                <w:sz w:val="18"/>
                <w:szCs w:val="18"/>
              </w:rPr>
            </w:pPr>
            <w:r w:rsidRPr="002C0B5F">
              <w:rPr>
                <w:rFonts w:ascii="Times New Roman" w:hAnsi="Times New Roman"/>
                <w:sz w:val="18"/>
                <w:szCs w:val="18"/>
              </w:rPr>
              <w:t>Source: Bureau of Labor Statistics: "National Industry-Specific Occupational Employment and Wage Estimates: Industry: Credit Intermediation and Related Activities (5221 And 5223 only)" (May 2020), Employer Cost of Employee Compensation (March 2021), Consumer Price Index (March 2021).</w:t>
            </w:r>
          </w:p>
        </w:tc>
      </w:tr>
      <w:tr w:rsidRPr="002C0B5F" w:rsidR="00306C20" w:rsidTr="00306C20">
        <w:trPr>
          <w:trHeight w:val="288"/>
        </w:trPr>
        <w:tc>
          <w:tcPr>
            <w:tcW w:w="9350" w:type="dxa"/>
            <w:tcBorders>
              <w:top w:val="nil"/>
              <w:left w:val="nil"/>
              <w:bottom w:val="nil"/>
              <w:right w:val="nil"/>
            </w:tcBorders>
            <w:shd w:val="clear" w:color="auto" w:fill="auto"/>
            <w:hideMark/>
          </w:tcPr>
          <w:p w:rsidRPr="002C0B5F" w:rsidR="00306C20" w:rsidP="00882A7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18"/>
                <w:szCs w:val="18"/>
              </w:rPr>
            </w:pPr>
            <w:r w:rsidRPr="002C0B5F">
              <w:rPr>
                <w:rFonts w:ascii="Times New Roman" w:hAnsi="Times New Roman"/>
                <w:sz w:val="18"/>
                <w:szCs w:val="18"/>
              </w:rPr>
              <w:t>Note: The 75th percentile wage information reported by the BLS in the Specific Occupational Employment and Wage Estimates does not include health benefits and other non-monetary benefits. According to the March 2021 Employer Cost of Employee Compensation data compensation rates for health and other benefits are 33.3 percent of total compensation. Additionally, the wage has been adjusted for inflation according BLS data on the Consumer Price Index for Urban Consumers (CPI-U) so that it is contemporaneous with the non-wage compensation statistic. The inflation rate was 3.31 percent between May 2020 and March 2021.</w:t>
            </w:r>
          </w:p>
        </w:tc>
      </w:tr>
      <w:tr w:rsidRPr="002C0B5F" w:rsidR="00306C20" w:rsidTr="00306C20">
        <w:trPr>
          <w:trHeight w:val="288"/>
        </w:trPr>
        <w:tc>
          <w:tcPr>
            <w:tcW w:w="9350" w:type="dxa"/>
            <w:tcBorders>
              <w:top w:val="nil"/>
              <w:left w:val="nil"/>
              <w:bottom w:val="nil"/>
              <w:right w:val="nil"/>
            </w:tcBorders>
            <w:shd w:val="clear" w:color="auto" w:fill="auto"/>
            <w:noWrap/>
            <w:vAlign w:val="bottom"/>
          </w:tcPr>
          <w:p w:rsidRPr="002C0B5F" w:rsidR="00306C20" w:rsidP="00306C20"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18"/>
                <w:szCs w:val="18"/>
              </w:rPr>
            </w:pPr>
          </w:p>
        </w:tc>
      </w:tr>
    </w:tbl>
    <w:p w:rsidR="002B0ECD" w:rsidP="002B0ECD" w:rsidRDefault="002B0EC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b/>
          <w:lang w:bidi="en-US"/>
        </w:rPr>
      </w:pPr>
      <w:r w:rsidRPr="002B0ECD">
        <w:rPr>
          <w:rFonts w:ascii="Times New Roman" w:hAnsi="Times New Roman"/>
          <w:lang w:bidi="en-US"/>
        </w:rPr>
        <w:fldChar w:fldCharType="begin"/>
      </w:r>
      <w:r w:rsidRPr="002B0ECD">
        <w:rPr>
          <w:rFonts w:ascii="Times New Roman" w:hAnsi="Times New Roman"/>
          <w:lang w:bidi="en-US"/>
        </w:rPr>
        <w:instrText xml:space="preserve"> LINK Excel.Sheet.12 "\\\\VASWRES004P\\EBreitenstein$\\U Projects\\Reg Analysis\\ICRs\\Notice of Branch Closure ICR\\2021\\Derek S. Burden Table.xlsx" "cost_table!R2C7:R18C10" \a \f 4 \h </w:instrText>
      </w:r>
      <w:r w:rsidRPr="002B0ECD">
        <w:rPr>
          <w:rFonts w:ascii="Times New Roman" w:hAnsi="Times New Roman"/>
        </w:rPr>
        <w:fldChar w:fldCharType="end"/>
      </w:r>
      <w:r w:rsidRPr="002B0ECD">
        <w:rPr>
          <w:rFonts w:ascii="Times New Roman" w:hAnsi="Times New Roman"/>
          <w:b/>
          <w:lang w:bidi="en-US"/>
        </w:rPr>
        <w:t>Total Estimated Compliance Cost</w:t>
      </w:r>
    </w:p>
    <w:p w:rsidRPr="002B0ECD" w:rsidR="00306C20" w:rsidP="002B0ECD" w:rsidRDefault="00306C2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b/>
          <w:lang w:bidi="en-US"/>
        </w:rPr>
      </w:pPr>
    </w:p>
    <w:p w:rsidR="00133AF9" w:rsidP="002B0ECD" w:rsidRDefault="002B0ECD">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r w:rsidRPr="002B0ECD">
        <w:rPr>
          <w:rFonts w:ascii="Times New Roman" w:hAnsi="Times New Roman"/>
          <w:lang w:bidi="en-US"/>
        </w:rPr>
        <w:t xml:space="preserve">The total annual cost burden for this </w:t>
      </w:r>
      <w:r w:rsidR="00306C20">
        <w:rPr>
          <w:rFonts w:ascii="Times New Roman" w:hAnsi="Times New Roman"/>
          <w:lang w:bidi="en-US"/>
        </w:rPr>
        <w:t xml:space="preserve">information collection </w:t>
      </w:r>
      <w:r w:rsidRPr="002B0ECD">
        <w:rPr>
          <w:rFonts w:ascii="Times New Roman" w:hAnsi="Times New Roman"/>
          <w:lang w:bidi="en-US"/>
        </w:rPr>
        <w:t xml:space="preserve">is estimated as: 190 hours </w:t>
      </w:r>
      <w:r w:rsidR="00306C20">
        <w:rPr>
          <w:rFonts w:ascii="Times New Roman" w:hAnsi="Times New Roman"/>
          <w:lang w:bidi="en-US"/>
        </w:rPr>
        <w:t xml:space="preserve">/ year multiplied by $134.35 / hour which results in an estimated annual labor cost </w:t>
      </w:r>
      <w:proofErr w:type="gramStart"/>
      <w:r w:rsidR="00306C20">
        <w:rPr>
          <w:rFonts w:ascii="Times New Roman" w:hAnsi="Times New Roman"/>
          <w:lang w:bidi="en-US"/>
        </w:rPr>
        <w:t xml:space="preserve">of </w:t>
      </w:r>
      <w:r w:rsidRPr="002B0ECD">
        <w:rPr>
          <w:rFonts w:ascii="Times New Roman" w:hAnsi="Times New Roman"/>
          <w:lang w:bidi="en-US"/>
        </w:rPr>
        <w:t xml:space="preserve"> </w:t>
      </w:r>
      <w:r w:rsidRPr="002B0ECD">
        <w:rPr>
          <w:rFonts w:ascii="Times New Roman" w:hAnsi="Times New Roman"/>
          <w:b/>
          <w:lang w:bidi="en-US"/>
        </w:rPr>
        <w:t>$</w:t>
      </w:r>
      <w:proofErr w:type="gramEnd"/>
      <w:r w:rsidRPr="002B0ECD">
        <w:rPr>
          <w:rFonts w:ascii="Times New Roman" w:hAnsi="Times New Roman"/>
          <w:lang w:bidi="en-US"/>
        </w:rPr>
        <w:t xml:space="preserve"> </w:t>
      </w:r>
      <w:r w:rsidRPr="002B0ECD">
        <w:rPr>
          <w:rFonts w:ascii="Times New Roman" w:hAnsi="Times New Roman"/>
          <w:b/>
          <w:lang w:bidi="en-US"/>
        </w:rPr>
        <w:t>25,526.50</w:t>
      </w:r>
      <w:r w:rsidRPr="002B0ECD">
        <w:rPr>
          <w:rFonts w:ascii="Times New Roman" w:hAnsi="Times New Roman"/>
          <w:lang w:bidi="en-US"/>
        </w:rPr>
        <w:t>.</w:t>
      </w:r>
    </w:p>
    <w:p w:rsidR="00E15526" w:rsidP="00D95C35" w:rsidRDefault="00E1552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Pr="00471381" w:rsidR="00EF69B6" w:rsidP="00EF69B6" w:rsidRDefault="00EF69B6">
      <w:pPr>
        <w:tabs>
          <w:tab w:val="left" w:pos="-1440"/>
        </w:tabs>
        <w:ind w:left="720" w:hanging="720"/>
        <w:rPr>
          <w:rFonts w:ascii="Times New Roman" w:hAnsi="Times New Roman"/>
        </w:rPr>
      </w:pPr>
      <w:r>
        <w:rPr>
          <w:rFonts w:ascii="Times New Roman" w:hAnsi="Times New Roman"/>
        </w:rPr>
        <w:t>13.</w:t>
      </w:r>
      <w:r>
        <w:rPr>
          <w:rFonts w:ascii="Times New Roman" w:hAnsi="Times New Roman"/>
        </w:rPr>
        <w:tab/>
      </w:r>
      <w:r w:rsidRPr="00471381">
        <w:rPr>
          <w:rFonts w:ascii="Times New Roman" w:hAnsi="Times New Roman"/>
          <w:u w:val="single"/>
        </w:rPr>
        <w:t xml:space="preserve">Estimate of </w:t>
      </w:r>
      <w:r>
        <w:rPr>
          <w:rFonts w:ascii="Times New Roman" w:hAnsi="Times New Roman"/>
          <w:u w:val="single"/>
        </w:rPr>
        <w:t>Start-up C</w:t>
      </w:r>
      <w:r w:rsidRPr="00471381">
        <w:rPr>
          <w:rFonts w:ascii="Times New Roman" w:hAnsi="Times New Roman"/>
          <w:u w:val="single"/>
        </w:rPr>
        <w:t xml:space="preserve">osts to </w:t>
      </w:r>
      <w:r>
        <w:rPr>
          <w:rFonts w:ascii="Times New Roman" w:hAnsi="Times New Roman"/>
          <w:u w:val="single"/>
        </w:rPr>
        <w:t>R</w:t>
      </w:r>
      <w:r w:rsidRPr="00471381">
        <w:rPr>
          <w:rFonts w:ascii="Times New Roman" w:hAnsi="Times New Roman"/>
          <w:u w:val="single"/>
        </w:rPr>
        <w:t>espondents:</w:t>
      </w:r>
    </w:p>
    <w:p w:rsidR="0069374B" w:rsidP="00EF69B6" w:rsidRDefault="006937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None.</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0069374B" w:rsidP="00EF69B6" w:rsidRDefault="00EF69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14.</w:t>
      </w:r>
      <w:r>
        <w:rPr>
          <w:rFonts w:ascii="Times New Roman" w:hAnsi="Times New Roman"/>
        </w:rPr>
        <w:tab/>
      </w:r>
      <w:r w:rsidRPr="00EF69B6">
        <w:rPr>
          <w:rFonts w:ascii="Times New Roman" w:hAnsi="Times New Roman"/>
          <w:snapToGrid/>
          <w:szCs w:val="24"/>
          <w:u w:val="single"/>
        </w:rPr>
        <w:t>Estimate of annualized costs to the government:</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rPr>
      </w:pPr>
    </w:p>
    <w:p w:rsidR="0069374B" w:rsidP="00EF69B6" w:rsidRDefault="00EF69B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None</w:t>
      </w:r>
      <w:r w:rsidR="0069374B">
        <w:rPr>
          <w:rFonts w:ascii="Times New Roman" w:hAnsi="Times New Roman"/>
        </w:rPr>
        <w:t>.</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EF69B6" w:rsidRDefault="00EF69B6">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15</w:t>
      </w:r>
      <w:r>
        <w:rPr>
          <w:rFonts w:ascii="Times New Roman" w:hAnsi="Times New Roman"/>
        </w:rPr>
        <w:tab/>
      </w:r>
      <w:r w:rsidRPr="00EF69B6">
        <w:rPr>
          <w:rFonts w:ascii="Times New Roman" w:hAnsi="Times New Roman"/>
          <w:snapToGrid/>
          <w:szCs w:val="24"/>
          <w:u w:val="single"/>
        </w:rPr>
        <w:t>Analysis of change in burden:</w:t>
      </w:r>
      <w:r w:rsidR="0069374B">
        <w:rPr>
          <w:rFonts w:ascii="Times New Roman" w:hAnsi="Times New Roman"/>
        </w:rPr>
        <w:tab/>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Pr="00EF69B6" w:rsidR="00EF69B6" w:rsidP="00EF69B6" w:rsidRDefault="00B845F7">
      <w:pPr>
        <w:autoSpaceDE w:val="0"/>
        <w:autoSpaceDN w:val="0"/>
        <w:adjustRightInd w:val="0"/>
        <w:rPr>
          <w:rFonts w:ascii="Times New Roman" w:hAnsi="Times New Roman"/>
          <w:snapToGrid/>
          <w:szCs w:val="24"/>
        </w:rPr>
      </w:pPr>
      <w:r w:rsidRPr="003F4207">
        <w:rPr>
          <w:rFonts w:ascii="Times New Roman" w:hAnsi="Times New Roman"/>
          <w:iCs/>
          <w:snapToGrid/>
          <w:szCs w:val="24"/>
        </w:rPr>
        <w:t>There has been no change in the method or substance of this information collection.  The change in estimates an</w:t>
      </w:r>
      <w:r>
        <w:rPr>
          <w:rFonts w:ascii="Times New Roman" w:hAnsi="Times New Roman"/>
          <w:iCs/>
          <w:snapToGrid/>
          <w:szCs w:val="24"/>
        </w:rPr>
        <w:t>nual burden is due to a decrease</w:t>
      </w:r>
      <w:r w:rsidRPr="003F4207">
        <w:rPr>
          <w:rFonts w:ascii="Times New Roman" w:hAnsi="Times New Roman"/>
          <w:iCs/>
          <w:snapToGrid/>
          <w:szCs w:val="24"/>
        </w:rPr>
        <w:t xml:space="preserve"> in </w:t>
      </w:r>
      <w:r>
        <w:rPr>
          <w:rFonts w:ascii="Times New Roman" w:hAnsi="Times New Roman"/>
          <w:iCs/>
          <w:snapToGrid/>
          <w:szCs w:val="24"/>
        </w:rPr>
        <w:t xml:space="preserve">the </w:t>
      </w:r>
      <w:r w:rsidRPr="003F4207">
        <w:rPr>
          <w:rFonts w:ascii="Times New Roman" w:hAnsi="Times New Roman"/>
          <w:iCs/>
          <w:snapToGrid/>
          <w:szCs w:val="24"/>
        </w:rPr>
        <w:t xml:space="preserve">estimated number of </w:t>
      </w:r>
      <w:r>
        <w:rPr>
          <w:rFonts w:ascii="Times New Roman" w:hAnsi="Times New Roman"/>
          <w:iCs/>
          <w:snapToGrid/>
          <w:szCs w:val="24"/>
        </w:rPr>
        <w:t>respondents from 600 in 2018</w:t>
      </w:r>
      <w:r w:rsidRPr="003F4207">
        <w:rPr>
          <w:rFonts w:ascii="Times New Roman" w:hAnsi="Times New Roman"/>
          <w:iCs/>
          <w:snapToGrid/>
          <w:szCs w:val="24"/>
        </w:rPr>
        <w:t xml:space="preserve"> to</w:t>
      </w:r>
      <w:r>
        <w:rPr>
          <w:rFonts w:ascii="Times New Roman" w:hAnsi="Times New Roman"/>
          <w:iCs/>
          <w:snapToGrid/>
          <w:szCs w:val="24"/>
        </w:rPr>
        <w:t xml:space="preserve"> 380 </w:t>
      </w:r>
      <w:r w:rsidRPr="003F4207">
        <w:rPr>
          <w:rFonts w:ascii="Times New Roman" w:hAnsi="Times New Roman"/>
          <w:iCs/>
          <w:snapToGrid/>
          <w:szCs w:val="24"/>
        </w:rPr>
        <w:t>currently</w:t>
      </w:r>
      <w:r w:rsidR="00D41B54">
        <w:rPr>
          <w:rFonts w:ascii="Times New Roman" w:hAnsi="Times New Roman"/>
          <w:iCs/>
          <w:snapToGrid/>
          <w:szCs w:val="24"/>
        </w:rPr>
        <w:t>.</w:t>
      </w:r>
    </w:p>
    <w:p w:rsidR="0069374B" w:rsidP="00EF69B6"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BB5A8C" w:rsidRDefault="0069374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rPr>
      </w:pPr>
      <w:r>
        <w:rPr>
          <w:rFonts w:ascii="Times New Roman" w:hAnsi="Times New Roman"/>
        </w:rPr>
        <w:t>16.</w:t>
      </w:r>
      <w:r>
        <w:rPr>
          <w:rFonts w:ascii="Times New Roman" w:hAnsi="Times New Roman"/>
        </w:rPr>
        <w:tab/>
      </w:r>
      <w:r w:rsidRPr="00471381" w:rsidR="00BB5A8C">
        <w:rPr>
          <w:rFonts w:ascii="Times New Roman" w:hAnsi="Times New Roman"/>
          <w:u w:val="single"/>
        </w:rPr>
        <w:t>Information regarding collections whose results are planned to be published for statistical use:</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BB5A8C" w:rsidRDefault="00BB5A8C">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sidRPr="00471381">
        <w:rPr>
          <w:rFonts w:ascii="Times New Roman" w:hAnsi="Times New Roman"/>
        </w:rPr>
        <w:t xml:space="preserve">The </w:t>
      </w:r>
      <w:r>
        <w:rPr>
          <w:rFonts w:ascii="Times New Roman" w:hAnsi="Times New Roman"/>
        </w:rPr>
        <w:t>results of this collection will not be</w:t>
      </w:r>
      <w:r w:rsidRPr="00471381">
        <w:rPr>
          <w:rFonts w:ascii="Times New Roman" w:hAnsi="Times New Roman"/>
        </w:rPr>
        <w:t xml:space="preserve"> publish</w:t>
      </w:r>
      <w:r>
        <w:rPr>
          <w:rFonts w:ascii="Times New Roman" w:hAnsi="Times New Roman"/>
        </w:rPr>
        <w:t>ed</w:t>
      </w:r>
      <w:r w:rsidRPr="00471381">
        <w:rPr>
          <w:rFonts w:ascii="Times New Roman" w:hAnsi="Times New Roman"/>
        </w:rPr>
        <w:t xml:space="preserve"> for statistical use.</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BB5A8C"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Display of Expiration Date</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BB5A8C" w:rsidRDefault="003445A5">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The expiration date will be displayed on the f</w:t>
      </w:r>
      <w:r w:rsidR="0069374B">
        <w:rPr>
          <w:rFonts w:ascii="Times New Roman" w:hAnsi="Times New Roman"/>
        </w:rPr>
        <w:t>orm.</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BB5A8C"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Certification</w:t>
      </w:r>
      <w:r w:rsidR="00BB5A8C">
        <w:rPr>
          <w:rFonts w:ascii="Times New Roman" w:hAnsi="Times New Roman"/>
          <w:u w:val="single"/>
        </w:rPr>
        <w:t xml:space="preserve"> Statement</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BB5A8C"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None.</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numPr>
          <w:ilvl w:val="0"/>
          <w:numId w:val="5"/>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u w:val="single"/>
        </w:rPr>
        <w:t>STATISTICAL METHODS</w:t>
      </w: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p w:rsidR="0069374B" w:rsidP="009B3EE8" w:rsidRDefault="0069374B">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r>
        <w:rPr>
          <w:rFonts w:ascii="Times New Roman" w:hAnsi="Times New Roman"/>
        </w:rPr>
        <w:tab/>
        <w:t>Not applicable.</w:t>
      </w:r>
    </w:p>
    <w:p w:rsidR="0069374B" w:rsidP="009B3EE8" w:rsidRDefault="0069374B">
      <w:pPr>
        <w:pStyle w:val="Foote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rPr>
      </w:pPr>
    </w:p>
    <w:sectPr w:rsidR="0069374B">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D73" w:rsidRDefault="00B65D73">
      <w:r>
        <w:separator/>
      </w:r>
    </w:p>
  </w:endnote>
  <w:endnote w:type="continuationSeparator" w:id="0">
    <w:p w:rsidR="00B65D73" w:rsidRDefault="00B6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B1" w:rsidRDefault="00A136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20B" w:rsidRDefault="00B8620B">
    <w:pPr>
      <w:spacing w:line="240" w:lineRule="exact"/>
    </w:pPr>
  </w:p>
  <w:p w:rsidR="00B8620B" w:rsidRDefault="00B8620B">
    <w:pPr>
      <w:framePr w:w="9505"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3D7D81">
      <w:rPr>
        <w:rFonts w:ascii="Times New Roman" w:hAnsi="Times New Roman"/>
        <w:noProof/>
      </w:rPr>
      <w:t>3</w:t>
    </w:r>
    <w:r>
      <w:rPr>
        <w:rFonts w:ascii="Times New Roman" w:hAnsi="Times New Roman"/>
      </w:rPr>
      <w:fldChar w:fldCharType="end"/>
    </w:r>
  </w:p>
  <w:p w:rsidR="00B8620B" w:rsidRDefault="00B8620B">
    <w:pPr>
      <w:ind w:left="576" w:right="-43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B1" w:rsidRDefault="00A13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D73" w:rsidRDefault="00B65D73">
      <w:r>
        <w:separator/>
      </w:r>
    </w:p>
  </w:footnote>
  <w:footnote w:type="continuationSeparator" w:id="0">
    <w:p w:rsidR="00B65D73" w:rsidRDefault="00B65D73">
      <w:r>
        <w:continuationSeparator/>
      </w:r>
    </w:p>
  </w:footnote>
  <w:footnote w:id="1">
    <w:p w:rsidR="00306C20" w:rsidRPr="00306C20" w:rsidRDefault="00306C20">
      <w:pPr>
        <w:pStyle w:val="FootnoteText"/>
        <w:rPr>
          <w:rFonts w:ascii="Times New Roman" w:hAnsi="Times New Roman"/>
          <w:vertAlign w:val="superscript"/>
        </w:rPr>
      </w:pPr>
      <w:r w:rsidRPr="00306C20">
        <w:rPr>
          <w:rStyle w:val="FootnoteReference"/>
          <w:rFonts w:ascii="Times New Roman" w:hAnsi="Times New Roman"/>
          <w:vertAlign w:val="superscript"/>
        </w:rPr>
        <w:footnoteRef/>
      </w:r>
      <w:r w:rsidRPr="00306C20">
        <w:rPr>
          <w:rFonts w:ascii="Times New Roman" w:hAnsi="Times New Roman"/>
          <w:vertAlign w:val="superscript"/>
        </w:rPr>
        <w:t xml:space="preserve"> </w:t>
      </w:r>
      <w:r w:rsidRPr="002C0B5F">
        <w:rPr>
          <w:rFonts w:ascii="Times New Roman" w:hAnsi="Times New Roman"/>
          <w:sz w:val="18"/>
          <w:szCs w:val="18"/>
        </w:rPr>
        <w:t>Occupation (SOC Code): Management Occupations (110000)</w:t>
      </w:r>
      <w:r>
        <w:rPr>
          <w:rFonts w:ascii="Times New Roman" w:hAnsi="Times New Roman"/>
          <w:sz w:val="18"/>
          <w:szCs w:val="18"/>
        </w:rPr>
        <w:t>.</w:t>
      </w:r>
    </w:p>
  </w:footnote>
  <w:footnote w:id="2">
    <w:p w:rsidR="00306C20" w:rsidRPr="00306C20" w:rsidRDefault="00306C20">
      <w:pPr>
        <w:pStyle w:val="FootnoteText"/>
        <w:rPr>
          <w:vertAlign w:val="superscript"/>
        </w:rPr>
      </w:pPr>
      <w:r w:rsidRPr="00306C20">
        <w:rPr>
          <w:rStyle w:val="FootnoteReference"/>
          <w:rFonts w:ascii="Times New Roman" w:hAnsi="Times New Roman"/>
          <w:vertAlign w:val="superscript"/>
        </w:rPr>
        <w:footnoteRef/>
      </w:r>
      <w:r w:rsidRPr="00306C20">
        <w:rPr>
          <w:vertAlign w:val="superscript"/>
        </w:rPr>
        <w:t xml:space="preserve"> </w:t>
      </w:r>
      <w:r w:rsidRPr="002C0B5F">
        <w:rPr>
          <w:rFonts w:ascii="Times New Roman" w:hAnsi="Times New Roman"/>
          <w:sz w:val="18"/>
          <w:szCs w:val="18"/>
        </w:rPr>
        <w:t>Occupation (SOC Code): Purchasing Managers (113060)</w:t>
      </w:r>
      <w:r>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B1" w:rsidRDefault="00A13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B1" w:rsidRDefault="00A136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B1" w:rsidRDefault="00A136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AD9"/>
    <w:multiLevelType w:val="singleLevel"/>
    <w:tmpl w:val="A7AE57F8"/>
    <w:lvl w:ilvl="0">
      <w:start w:val="11"/>
      <w:numFmt w:val="decimal"/>
      <w:lvlText w:val="%1."/>
      <w:lvlJc w:val="left"/>
      <w:pPr>
        <w:tabs>
          <w:tab w:val="num" w:pos="1155"/>
        </w:tabs>
        <w:ind w:left="1155" w:hanging="435"/>
      </w:pPr>
      <w:rPr>
        <w:rFonts w:hint="default"/>
      </w:rPr>
    </w:lvl>
  </w:abstractNum>
  <w:abstractNum w:abstractNumId="1" w15:restartNumberingAfterBreak="0">
    <w:nsid w:val="06953672"/>
    <w:multiLevelType w:val="singleLevel"/>
    <w:tmpl w:val="CAF8328A"/>
    <w:lvl w:ilvl="0">
      <w:start w:val="12"/>
      <w:numFmt w:val="decimal"/>
      <w:lvlText w:val="%1."/>
      <w:lvlJc w:val="left"/>
      <w:pPr>
        <w:tabs>
          <w:tab w:val="num" w:pos="1155"/>
        </w:tabs>
        <w:ind w:left="1155" w:hanging="435"/>
      </w:pPr>
      <w:rPr>
        <w:rFonts w:hint="default"/>
      </w:rPr>
    </w:lvl>
  </w:abstractNum>
  <w:abstractNum w:abstractNumId="2" w15:restartNumberingAfterBreak="0">
    <w:nsid w:val="0BF73246"/>
    <w:multiLevelType w:val="hybridMultilevel"/>
    <w:tmpl w:val="DEA4CB52"/>
    <w:lvl w:ilvl="0" w:tplc="51827368">
      <w:start w:val="1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3136C"/>
    <w:multiLevelType w:val="singleLevel"/>
    <w:tmpl w:val="8C484414"/>
    <w:lvl w:ilvl="0">
      <w:start w:val="2"/>
      <w:numFmt w:val="upperLetter"/>
      <w:lvlText w:val="%1."/>
      <w:lvlJc w:val="left"/>
      <w:pPr>
        <w:tabs>
          <w:tab w:val="num" w:pos="720"/>
        </w:tabs>
        <w:ind w:left="720" w:hanging="720"/>
      </w:pPr>
      <w:rPr>
        <w:rFonts w:hint="default"/>
      </w:rPr>
    </w:lvl>
  </w:abstractNum>
  <w:abstractNum w:abstractNumId="4" w15:restartNumberingAfterBreak="0">
    <w:nsid w:val="18AD578E"/>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C0802F1"/>
    <w:multiLevelType w:val="singleLevel"/>
    <w:tmpl w:val="1D2ED8B2"/>
    <w:lvl w:ilvl="0">
      <w:start w:val="3"/>
      <w:numFmt w:val="decimal"/>
      <w:lvlText w:val="%1."/>
      <w:lvlJc w:val="left"/>
      <w:pPr>
        <w:tabs>
          <w:tab w:val="num" w:pos="1155"/>
        </w:tabs>
        <w:ind w:left="1155" w:hanging="435"/>
      </w:pPr>
      <w:rPr>
        <w:rFonts w:hint="default"/>
      </w:rPr>
    </w:lvl>
  </w:abstractNum>
  <w:abstractNum w:abstractNumId="6" w15:restartNumberingAfterBreak="0">
    <w:nsid w:val="508C420A"/>
    <w:multiLevelType w:val="singleLevel"/>
    <w:tmpl w:val="548E6180"/>
    <w:lvl w:ilvl="0">
      <w:start w:val="5"/>
      <w:numFmt w:val="decimal"/>
      <w:lvlText w:val="%1."/>
      <w:lvlJc w:val="left"/>
      <w:pPr>
        <w:tabs>
          <w:tab w:val="num" w:pos="1080"/>
        </w:tabs>
        <w:ind w:left="1080" w:hanging="360"/>
      </w:pPr>
      <w:rPr>
        <w:rFonts w:hint="default"/>
      </w:rPr>
    </w:lvl>
  </w:abstractNum>
  <w:abstractNum w:abstractNumId="7" w15:restartNumberingAfterBreak="0">
    <w:nsid w:val="56070B0D"/>
    <w:multiLevelType w:val="hybridMultilevel"/>
    <w:tmpl w:val="A900D34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0"/>
  </w:num>
  <w:num w:numId="5">
    <w:abstractNumId w:val="3"/>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42"/>
    <w:rsid w:val="00096835"/>
    <w:rsid w:val="000C6626"/>
    <w:rsid w:val="000D4678"/>
    <w:rsid w:val="000F10F3"/>
    <w:rsid w:val="00122FA5"/>
    <w:rsid w:val="00133AF9"/>
    <w:rsid w:val="00141775"/>
    <w:rsid w:val="00160797"/>
    <w:rsid w:val="0016257A"/>
    <w:rsid w:val="001B71D3"/>
    <w:rsid w:val="00231477"/>
    <w:rsid w:val="00252D21"/>
    <w:rsid w:val="00266BA1"/>
    <w:rsid w:val="002B0ECD"/>
    <w:rsid w:val="002C0B5F"/>
    <w:rsid w:val="002E4E94"/>
    <w:rsid w:val="00303194"/>
    <w:rsid w:val="00306C20"/>
    <w:rsid w:val="003445A5"/>
    <w:rsid w:val="003D7D81"/>
    <w:rsid w:val="003F4207"/>
    <w:rsid w:val="00403E42"/>
    <w:rsid w:val="00436AA7"/>
    <w:rsid w:val="004A06DB"/>
    <w:rsid w:val="00535151"/>
    <w:rsid w:val="005612A0"/>
    <w:rsid w:val="005F3394"/>
    <w:rsid w:val="0061561A"/>
    <w:rsid w:val="00661052"/>
    <w:rsid w:val="0069374B"/>
    <w:rsid w:val="006C4149"/>
    <w:rsid w:val="00790D1D"/>
    <w:rsid w:val="008E0712"/>
    <w:rsid w:val="009A6854"/>
    <w:rsid w:val="009B3EE8"/>
    <w:rsid w:val="00A136B1"/>
    <w:rsid w:val="00A30F74"/>
    <w:rsid w:val="00A8312E"/>
    <w:rsid w:val="00AA38B3"/>
    <w:rsid w:val="00AC4FEA"/>
    <w:rsid w:val="00AF5024"/>
    <w:rsid w:val="00B11E21"/>
    <w:rsid w:val="00B65D73"/>
    <w:rsid w:val="00B845F7"/>
    <w:rsid w:val="00B8620B"/>
    <w:rsid w:val="00B8689D"/>
    <w:rsid w:val="00BA49BC"/>
    <w:rsid w:val="00BB5A8C"/>
    <w:rsid w:val="00BD01BB"/>
    <w:rsid w:val="00C24F77"/>
    <w:rsid w:val="00C9407C"/>
    <w:rsid w:val="00CB2EC3"/>
    <w:rsid w:val="00CE1C7E"/>
    <w:rsid w:val="00D41B54"/>
    <w:rsid w:val="00D501F5"/>
    <w:rsid w:val="00D95C35"/>
    <w:rsid w:val="00E15526"/>
    <w:rsid w:val="00E25282"/>
    <w:rsid w:val="00E30EAC"/>
    <w:rsid w:val="00E365D9"/>
    <w:rsid w:val="00E365F1"/>
    <w:rsid w:val="00E44BE5"/>
    <w:rsid w:val="00EA4AD4"/>
    <w:rsid w:val="00EB6709"/>
    <w:rsid w:val="00ED4AE6"/>
    <w:rsid w:val="00EF69B6"/>
    <w:rsid w:val="00F96D6A"/>
    <w:rsid w:val="00FF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9E9D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133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90D1D"/>
    <w:rPr>
      <w:sz w:val="20"/>
    </w:rPr>
  </w:style>
  <w:style w:type="character" w:customStyle="1" w:styleId="FootnoteTextChar">
    <w:name w:val="Footnote Text Char"/>
    <w:link w:val="FootnoteText"/>
    <w:rsid w:val="00790D1D"/>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BBF67-B91D-43D8-86C0-2BA98844A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1326</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2021-12-20T14:28:00Z</dcterms:created>
  <dcterms:modified xsi:type="dcterms:W3CDTF">2021-12-21T14:44:00Z</dcterms:modified>
</cp:coreProperties>
</file>