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8D8" w:rsidR="004E3E52" w:rsidP="004E3E52" w:rsidRDefault="004E3E52" w14:paraId="5471CD78" w14:textId="77777777">
      <w:pPr>
        <w:pStyle w:val="Header"/>
        <w:widowControl/>
        <w:tabs>
          <w:tab w:val="clear" w:pos="4320"/>
          <w:tab w:val="clear" w:pos="8640"/>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A658D8">
        <w:rPr>
          <w:rFonts w:ascii="Times New Roman" w:hAnsi="Times New Roman"/>
          <w:szCs w:val="24"/>
        </w:rPr>
        <w:t>SUPPORTING STATEMENT</w:t>
      </w:r>
    </w:p>
    <w:p w:rsidRPr="00A658D8" w:rsidR="004E3E52" w:rsidP="004E3E52" w:rsidRDefault="004E3E52" w14:paraId="2CE454F4" w14:textId="77777777">
      <w:pPr>
        <w:jc w:val="center"/>
        <w:rPr>
          <w:rFonts w:ascii="Times New Roman" w:hAnsi="Times New Roman"/>
          <w:szCs w:val="24"/>
        </w:rPr>
      </w:pPr>
      <w:r w:rsidRPr="00A658D8">
        <w:rPr>
          <w:rFonts w:ascii="Times New Roman" w:hAnsi="Times New Roman"/>
          <w:szCs w:val="24"/>
        </w:rPr>
        <w:t xml:space="preserve">RESOLUTION PLANS REQUIRED FOR INSURED DEPOSITORY </w:t>
      </w:r>
    </w:p>
    <w:p w:rsidRPr="00A658D8" w:rsidR="004E3E52" w:rsidP="004E3E52" w:rsidRDefault="004E3E52" w14:paraId="4E9BDEBF" w14:textId="77777777">
      <w:pPr>
        <w:jc w:val="center"/>
        <w:rPr>
          <w:rFonts w:ascii="Times New Roman" w:hAnsi="Times New Roman"/>
          <w:bCs/>
          <w:szCs w:val="24"/>
        </w:rPr>
      </w:pPr>
      <w:r w:rsidRPr="00A658D8">
        <w:rPr>
          <w:rFonts w:ascii="Times New Roman" w:hAnsi="Times New Roman"/>
          <w:szCs w:val="24"/>
        </w:rPr>
        <w:t>INSTITUTIONS WITH OVER $50 BILLION IN TOTAL ASSETS</w:t>
      </w:r>
      <w:r w:rsidRPr="00A658D8">
        <w:rPr>
          <w:rFonts w:ascii="Times New Roman" w:hAnsi="Times New Roman"/>
          <w:bCs/>
          <w:szCs w:val="24"/>
        </w:rPr>
        <w:t xml:space="preserve"> </w:t>
      </w:r>
    </w:p>
    <w:p w:rsidRPr="00A658D8" w:rsidR="004E3E52" w:rsidP="004E3E52" w:rsidRDefault="004E3E52" w14:paraId="4CBD1183" w14:textId="77777777">
      <w:pPr>
        <w:widowControl/>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A658D8">
        <w:rPr>
          <w:rFonts w:ascii="Times New Roman" w:hAnsi="Times New Roman"/>
          <w:szCs w:val="24"/>
        </w:rPr>
        <w:t xml:space="preserve"> (OMB CONTROL NO. 3064</w:t>
      </w:r>
      <w:r w:rsidRPr="00A658D8">
        <w:rPr>
          <w:rFonts w:ascii="Times New Roman" w:hAnsi="Times New Roman"/>
          <w:szCs w:val="24"/>
        </w:rPr>
        <w:noBreakHyphen/>
        <w:t>0185)</w:t>
      </w:r>
    </w:p>
    <w:p w:rsidRPr="00A658D8" w:rsidR="004E3E52" w:rsidP="004513D4" w:rsidRDefault="004E3E52" w14:paraId="0C55BD6A" w14:textId="77777777">
      <w:pPr>
        <w:jc w:val="center"/>
        <w:rPr>
          <w:rFonts w:ascii="Times New Roman" w:hAnsi="Times New Roman"/>
          <w:b/>
          <w:bCs/>
          <w:szCs w:val="24"/>
        </w:rPr>
      </w:pPr>
    </w:p>
    <w:p w:rsidRPr="00A658D8" w:rsidR="008D5DF3" w:rsidP="00850D6B" w:rsidRDefault="008D5DF3" w14:paraId="5050316C" w14:textId="77777777">
      <w:pPr>
        <w:jc w:val="center"/>
        <w:outlineLvl w:val="0"/>
        <w:rPr>
          <w:rFonts w:ascii="Times New Roman" w:hAnsi="Times New Roman"/>
          <w:b/>
          <w:bCs/>
          <w:szCs w:val="24"/>
        </w:rPr>
      </w:pPr>
    </w:p>
    <w:p w:rsidRPr="00A658D8" w:rsidR="004E3E52" w:rsidP="004E3E52" w:rsidRDefault="004E3E52" w14:paraId="2F84D2A1"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Pr="00A658D8" w:rsidR="004E3E52" w:rsidP="004E3E52" w:rsidRDefault="004E3E52" w14:paraId="15912E87"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A658D8" w:rsidR="00BF6EB1" w:rsidP="00BF6EB1" w:rsidRDefault="004E3E52" w14:paraId="7DB2A1D1" w14:textId="4C622752">
      <w:pPr>
        <w:rPr>
          <w:rFonts w:ascii="Times New Roman" w:hAnsi="Times New Roman"/>
          <w:szCs w:val="24"/>
        </w:rPr>
      </w:pPr>
      <w:r w:rsidRPr="00A658D8">
        <w:rPr>
          <w:rFonts w:ascii="Times New Roman" w:hAnsi="Times New Roman"/>
          <w:szCs w:val="24"/>
        </w:rPr>
        <w:t xml:space="preserve">The Federal Deposit Insurance Corporation (FDIC) is requesting a three-year renewal of the </w:t>
      </w:r>
      <w:r w:rsidRPr="00A658D8">
        <w:rPr>
          <w:rFonts w:ascii="Times New Roman" w:hAnsi="Times New Roman"/>
          <w:spacing w:val="-3"/>
          <w:szCs w:val="24"/>
        </w:rPr>
        <w:t xml:space="preserve">information collection </w:t>
      </w:r>
      <w:r w:rsidRPr="00A658D8" w:rsidR="00BF6EB1">
        <w:rPr>
          <w:rFonts w:ascii="Times New Roman" w:hAnsi="Times New Roman"/>
          <w:color w:val="000000"/>
          <w:szCs w:val="24"/>
        </w:rPr>
        <w:t>titled, “</w:t>
      </w:r>
      <w:r w:rsidRPr="00A658D8" w:rsidR="00BF6EB1">
        <w:rPr>
          <w:rFonts w:ascii="Times New Roman" w:hAnsi="Times New Roman"/>
          <w:szCs w:val="24"/>
        </w:rPr>
        <w:t xml:space="preserve">Resolution Plans Required for Insured Depository Institutions With Over $50 Billion In Total Assets” (3064-0185) </w:t>
      </w:r>
      <w:r w:rsidRPr="00A658D8">
        <w:rPr>
          <w:rFonts w:ascii="Times New Roman" w:hAnsi="Times New Roman"/>
          <w:szCs w:val="24"/>
        </w:rPr>
        <w:t xml:space="preserve">specified in 12 C.F.R. Part </w:t>
      </w:r>
      <w:r w:rsidRPr="00A658D8" w:rsidR="00BF6EB1">
        <w:rPr>
          <w:rFonts w:ascii="Times New Roman" w:hAnsi="Times New Roman"/>
          <w:szCs w:val="24"/>
        </w:rPr>
        <w:t>360.10 (the Rule)</w:t>
      </w:r>
      <w:r w:rsidRPr="00A658D8">
        <w:rPr>
          <w:rFonts w:ascii="Times New Roman" w:hAnsi="Times New Roman"/>
          <w:color w:val="000000"/>
          <w:szCs w:val="24"/>
        </w:rPr>
        <w:t xml:space="preserve">.  </w:t>
      </w:r>
      <w:r w:rsidRPr="00A658D8">
        <w:rPr>
          <w:rFonts w:ascii="Times New Roman" w:hAnsi="Times New Roman"/>
          <w:spacing w:val="-3"/>
          <w:szCs w:val="24"/>
        </w:rPr>
        <w:t xml:space="preserve">The current clearance for the collection expires on </w:t>
      </w:r>
      <w:r w:rsidR="00D31E49">
        <w:rPr>
          <w:rFonts w:ascii="Times New Roman" w:hAnsi="Times New Roman"/>
          <w:spacing w:val="-3"/>
          <w:szCs w:val="24"/>
        </w:rPr>
        <w:t xml:space="preserve">December </w:t>
      </w:r>
      <w:r w:rsidRPr="00A658D8" w:rsidR="00BF6EB1">
        <w:rPr>
          <w:rFonts w:ascii="Times New Roman" w:hAnsi="Times New Roman"/>
          <w:spacing w:val="-3"/>
          <w:szCs w:val="24"/>
        </w:rPr>
        <w:t>31</w:t>
      </w:r>
      <w:r w:rsidRPr="00A658D8">
        <w:rPr>
          <w:rFonts w:ascii="Times New Roman" w:hAnsi="Times New Roman"/>
          <w:spacing w:val="-3"/>
          <w:szCs w:val="24"/>
        </w:rPr>
        <w:t xml:space="preserve">, </w:t>
      </w:r>
      <w:r w:rsidR="00D31E49">
        <w:rPr>
          <w:rFonts w:ascii="Times New Roman" w:hAnsi="Times New Roman"/>
          <w:spacing w:val="-3"/>
          <w:szCs w:val="24"/>
        </w:rPr>
        <w:t>2021</w:t>
      </w:r>
      <w:r w:rsidRPr="00A658D8">
        <w:rPr>
          <w:rFonts w:ascii="Times New Roman" w:hAnsi="Times New Roman"/>
          <w:spacing w:val="-3"/>
          <w:szCs w:val="24"/>
        </w:rPr>
        <w:t xml:space="preserve">.  </w:t>
      </w:r>
      <w:r w:rsidR="00D31E49">
        <w:rPr>
          <w:rFonts w:ascii="Times New Roman" w:hAnsi="Times New Roman"/>
          <w:spacing w:val="-3"/>
          <w:szCs w:val="24"/>
        </w:rPr>
        <w:t xml:space="preserve">The </w:t>
      </w:r>
      <w:r w:rsidR="00224DA9">
        <w:rPr>
          <w:rFonts w:ascii="Times New Roman" w:hAnsi="Times New Roman"/>
          <w:spacing w:val="-3"/>
          <w:szCs w:val="24"/>
        </w:rPr>
        <w:t xml:space="preserve">FDIC’s </w:t>
      </w:r>
      <w:r w:rsidR="008D73BF">
        <w:rPr>
          <w:rFonts w:ascii="Times New Roman" w:hAnsi="Times New Roman"/>
          <w:spacing w:val="-3"/>
          <w:szCs w:val="24"/>
        </w:rPr>
        <w:t>implementation of</w:t>
      </w:r>
      <w:r w:rsidR="00224DA9">
        <w:rPr>
          <w:rFonts w:ascii="Times New Roman" w:hAnsi="Times New Roman"/>
          <w:spacing w:val="-3"/>
          <w:szCs w:val="24"/>
        </w:rPr>
        <w:t xml:space="preserve"> </w:t>
      </w:r>
      <w:r w:rsidR="00D31E49">
        <w:rPr>
          <w:rFonts w:ascii="Times New Roman" w:hAnsi="Times New Roman"/>
          <w:spacing w:val="-3"/>
          <w:szCs w:val="24"/>
        </w:rPr>
        <w:t>the collection has changed since the previous renewal.  Specifically, the FDIC anticipates that respondent institutions will submit Resolution Plans only once during the three-year renewal</w:t>
      </w:r>
      <w:r w:rsidR="00484606">
        <w:rPr>
          <w:rFonts w:ascii="Times New Roman" w:hAnsi="Times New Roman"/>
          <w:spacing w:val="-3"/>
          <w:szCs w:val="24"/>
        </w:rPr>
        <w:t xml:space="preserve"> period</w:t>
      </w:r>
      <w:r w:rsidR="00D31E49">
        <w:rPr>
          <w:rFonts w:ascii="Times New Roman" w:hAnsi="Times New Roman"/>
          <w:spacing w:val="-3"/>
          <w:szCs w:val="24"/>
        </w:rPr>
        <w:t xml:space="preserve"> rather than twice, as was the case with respect to the 2018 renewal.  In addition, </w:t>
      </w:r>
      <w:r w:rsidR="00EE574F">
        <w:rPr>
          <w:rFonts w:ascii="Times New Roman" w:hAnsi="Times New Roman"/>
          <w:spacing w:val="-3"/>
          <w:szCs w:val="24"/>
        </w:rPr>
        <w:t xml:space="preserve">as permitted by the Rule, </w:t>
      </w:r>
      <w:r w:rsidR="00D31E49">
        <w:rPr>
          <w:rFonts w:ascii="Times New Roman" w:hAnsi="Times New Roman"/>
          <w:spacing w:val="-3"/>
          <w:szCs w:val="24"/>
        </w:rPr>
        <w:t xml:space="preserve">the FDIC </w:t>
      </w:r>
      <w:r w:rsidR="008334D8">
        <w:rPr>
          <w:rFonts w:ascii="Times New Roman" w:hAnsi="Times New Roman"/>
          <w:spacing w:val="-3"/>
          <w:szCs w:val="24"/>
        </w:rPr>
        <w:t>may grant</w:t>
      </w:r>
      <w:r w:rsidR="00D31E49">
        <w:rPr>
          <w:rFonts w:ascii="Times New Roman" w:hAnsi="Times New Roman"/>
          <w:spacing w:val="-3"/>
          <w:szCs w:val="24"/>
        </w:rPr>
        <w:t xml:space="preserve"> exemptions from certain of the Rule’s information requirements, which </w:t>
      </w:r>
      <w:r w:rsidR="00224DA9">
        <w:rPr>
          <w:rFonts w:ascii="Times New Roman" w:hAnsi="Times New Roman"/>
          <w:spacing w:val="-3"/>
          <w:szCs w:val="24"/>
        </w:rPr>
        <w:t xml:space="preserve">should </w:t>
      </w:r>
      <w:r w:rsidR="00D31E49">
        <w:rPr>
          <w:rFonts w:ascii="Times New Roman" w:hAnsi="Times New Roman"/>
          <w:spacing w:val="-3"/>
          <w:szCs w:val="24"/>
        </w:rPr>
        <w:t>reduce the burden on respondent institutions in preparing their Resolution Plans.</w:t>
      </w:r>
    </w:p>
    <w:p w:rsidRPr="00A658D8" w:rsidR="004E3E52" w:rsidP="004E3E52" w:rsidRDefault="004E3E52" w14:paraId="48F6D8A5"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A658D8" w:rsidR="004E3E52" w:rsidP="004E3E52" w:rsidRDefault="004E3E52" w14:paraId="40E20663" w14:textId="77777777">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Pr="00A658D8" w:rsidR="008D5DF3" w:rsidP="00850D6B" w:rsidRDefault="008D5DF3" w14:paraId="3A1BD2A4" w14:textId="77777777">
      <w:pPr>
        <w:rPr>
          <w:rFonts w:ascii="Times New Roman" w:hAnsi="Times New Roman"/>
          <w:szCs w:val="24"/>
        </w:rPr>
      </w:pPr>
    </w:p>
    <w:p w:rsidRPr="00A658D8" w:rsidR="004E3E52" w:rsidP="004E3E52" w:rsidRDefault="004E3E52" w14:paraId="586CACC7" w14:textId="77777777">
      <w:pPr>
        <w:widowControl/>
        <w:numPr>
          <w:ilvl w:val="1"/>
          <w:numId w:val="18"/>
        </w:numPr>
        <w:rPr>
          <w:rFonts w:ascii="Times New Roman" w:hAnsi="Times New Roman"/>
          <w:szCs w:val="24"/>
        </w:rPr>
      </w:pPr>
      <w:r w:rsidRPr="00A658D8">
        <w:rPr>
          <w:rFonts w:ascii="Times New Roman" w:hAnsi="Times New Roman"/>
          <w:szCs w:val="24"/>
          <w:u w:val="single"/>
        </w:rPr>
        <w:t>Circumstances and Need</w:t>
      </w:r>
    </w:p>
    <w:p w:rsidRPr="00A658D8" w:rsidR="004E3E52" w:rsidP="00850D6B" w:rsidRDefault="004E3E52" w14:paraId="5C2D27E8" w14:textId="77777777">
      <w:pPr>
        <w:rPr>
          <w:rFonts w:ascii="Times New Roman" w:hAnsi="Times New Roman"/>
          <w:szCs w:val="24"/>
        </w:rPr>
      </w:pPr>
    </w:p>
    <w:p w:rsidRPr="00A658D8" w:rsidR="008D5DF3" w:rsidP="00BF6EB1" w:rsidRDefault="00BF6EB1" w14:paraId="4B60D269" w14:textId="3EBD0BB1">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The FDIC’</w:t>
      </w:r>
      <w:r w:rsidRPr="00A658D8" w:rsidR="008D5DF3">
        <w:rPr>
          <w:rFonts w:ascii="Times New Roman" w:hAnsi="Times New Roman" w:cs="Times New Roman"/>
          <w:sz w:val="24"/>
          <w:szCs w:val="24"/>
        </w:rPr>
        <w:t xml:space="preserve">s roles as insurer and receiver require a distinct focus on potential loss severities, default risks, complexities in structure and operations, and other factors that impact risk to the Deposit Insurance Fund and the ability of the FDIC to conduct an orderly resolution. The </w:t>
      </w:r>
      <w:r w:rsidRPr="00A658D8">
        <w:rPr>
          <w:rFonts w:ascii="Times New Roman" w:hAnsi="Times New Roman" w:cs="Times New Roman"/>
          <w:sz w:val="24"/>
          <w:szCs w:val="24"/>
        </w:rPr>
        <w:t>Federal Deposit Insurance Act (</w:t>
      </w:r>
      <w:r w:rsidRPr="00A658D8" w:rsidR="008D5DF3">
        <w:rPr>
          <w:rFonts w:ascii="Times New Roman" w:hAnsi="Times New Roman" w:cs="Times New Roman"/>
          <w:sz w:val="24"/>
          <w:szCs w:val="24"/>
        </w:rPr>
        <w:t>FDI Act</w:t>
      </w:r>
      <w:r w:rsidRPr="00A658D8">
        <w:rPr>
          <w:rFonts w:ascii="Times New Roman" w:hAnsi="Times New Roman" w:cs="Times New Roman"/>
          <w:sz w:val="24"/>
          <w:szCs w:val="24"/>
        </w:rPr>
        <w:t>)</w:t>
      </w:r>
      <w:r w:rsidRPr="00A658D8" w:rsidR="008D5DF3">
        <w:rPr>
          <w:rFonts w:ascii="Times New Roman" w:hAnsi="Times New Roman" w:cs="Times New Roman"/>
          <w:sz w:val="24"/>
          <w:szCs w:val="24"/>
        </w:rPr>
        <w:t xml:space="preserve"> gives the FDIC broad authority to carry out its statutory responsibilities, and to obtain the information required by the Rule.   The authority to issue the Rule is provided by Section 9(a) Tenth of the FDI Act, 12 U.S.C. 1819(a) Tenth, which authorizes the FDIC to prescribe, by its Board of Directors, such rules and regulations as it may deem necessary to carry out the provisions of the FDI Act or of any other law that the FDIC is responsible for administering or enforcing. </w:t>
      </w:r>
    </w:p>
    <w:p w:rsidRPr="00A658D8" w:rsidR="008D5DF3" w:rsidP="006915D9" w:rsidRDefault="008D5DF3" w14:paraId="5C74EBE5" w14:textId="77777777">
      <w:pPr>
        <w:pStyle w:val="HTMLPreformatted"/>
        <w:rPr>
          <w:rFonts w:ascii="Times New Roman" w:hAnsi="Times New Roman" w:cs="Times New Roman"/>
          <w:sz w:val="24"/>
          <w:szCs w:val="24"/>
        </w:rPr>
      </w:pPr>
    </w:p>
    <w:p w:rsidRPr="00A658D8" w:rsidR="008D5DF3" w:rsidP="00BF6EB1" w:rsidRDefault="008D5DF3" w14:paraId="0C8AA3A9" w14:textId="2EA9E6D3">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 xml:space="preserve">Since the </w:t>
      </w:r>
      <w:r w:rsidR="006846D8">
        <w:rPr>
          <w:rFonts w:ascii="Times New Roman" w:hAnsi="Times New Roman" w:cs="Times New Roman"/>
          <w:sz w:val="24"/>
          <w:szCs w:val="24"/>
        </w:rPr>
        <w:t xml:space="preserve">2008-2009 </w:t>
      </w:r>
      <w:r w:rsidRPr="00A658D8">
        <w:rPr>
          <w:rFonts w:ascii="Times New Roman" w:hAnsi="Times New Roman" w:cs="Times New Roman"/>
          <w:sz w:val="24"/>
          <w:szCs w:val="24"/>
        </w:rPr>
        <w:t xml:space="preserve">financial crisis, financial authorities throughout the world have recognized and agreed that advance planning for the resolution of large, complex financial institutions is critical to minimizing the disruption that a failure of such an institution may have as well as the costs of its resolution. </w:t>
      </w:r>
    </w:p>
    <w:p w:rsidRPr="00A658D8" w:rsidR="00BF6EB1" w:rsidRDefault="00BF6EB1" w14:paraId="3DB53A59" w14:textId="4E330710">
      <w:pPr>
        <w:widowControl/>
        <w:rPr>
          <w:rFonts w:ascii="Times New Roman" w:hAnsi="Times New Roman" w:eastAsia="Arial Unicode MS"/>
          <w:szCs w:val="24"/>
        </w:rPr>
      </w:pPr>
      <w:r w:rsidRPr="00A658D8">
        <w:rPr>
          <w:rFonts w:ascii="Times New Roman" w:hAnsi="Times New Roman" w:eastAsia="Arial Unicode MS"/>
          <w:szCs w:val="24"/>
        </w:rPr>
        <w:br w:type="page"/>
      </w:r>
    </w:p>
    <w:p w:rsidRPr="00A658D8" w:rsidR="008D5DF3" w:rsidP="00BF6EB1" w:rsidRDefault="00BF6EB1" w14:paraId="6C8C4BC2" w14:textId="77777777">
      <w:pPr>
        <w:pStyle w:val="ListParagraph"/>
        <w:numPr>
          <w:ilvl w:val="1"/>
          <w:numId w:val="18"/>
        </w:numPr>
        <w:spacing w:after="240"/>
        <w:rPr>
          <w:rFonts w:ascii="Times New Roman" w:hAnsi="Times New Roman"/>
          <w:sz w:val="24"/>
          <w:szCs w:val="24"/>
        </w:rPr>
      </w:pPr>
      <w:r w:rsidRPr="00A658D8">
        <w:rPr>
          <w:rFonts w:ascii="Times New Roman" w:hAnsi="Times New Roman"/>
          <w:sz w:val="24"/>
          <w:szCs w:val="24"/>
          <w:u w:val="single"/>
        </w:rPr>
        <w:lastRenderedPageBreak/>
        <w:t>Use of Information Collected</w:t>
      </w:r>
      <w:r w:rsidRPr="00A658D8" w:rsidR="008D5DF3">
        <w:rPr>
          <w:rFonts w:ascii="Times New Roman" w:hAnsi="Times New Roman"/>
          <w:sz w:val="24"/>
          <w:szCs w:val="24"/>
        </w:rPr>
        <w:tab/>
      </w:r>
    </w:p>
    <w:p w:rsidRPr="00D16271" w:rsidR="00D16271" w:rsidP="00D16271" w:rsidRDefault="00D16271" w14:paraId="5D43531A" w14:textId="77777777">
      <w:pPr>
        <w:ind w:left="1080"/>
        <w:jc w:val="both"/>
        <w:rPr>
          <w:rFonts w:ascii="Times New Roman" w:hAnsi="Times New Roman"/>
          <w:szCs w:val="24"/>
        </w:rPr>
      </w:pPr>
      <w:r w:rsidRPr="00D16271">
        <w:rPr>
          <w:rFonts w:ascii="Times New Roman" w:hAnsi="Times New Roman"/>
          <w:szCs w:val="24"/>
        </w:rPr>
        <w:t>The Rule requires covered insured depository institutions (CIDIs) to submit a Resolution Plan that should enable the FDIC, as receiver, to resolve the institution under Sections 11 and 13 of the Federal Deposit Insurance Act (FDI Act), 12 U.S.C. 1821 and 1823, in a manner that ensures that depositors receive access to their insured deposits within one business day of the institution’s failure (two business days if the failure occurs on a day other than Friday), maximizes the net present value return from the sale or disposition of its assets, and minimizes the amount of any loss to be realized by the institution’s creditors. An IDI with $50 billion or more in total assets (i.e., a CIDI) is required to submit periodically to the FDIC a contingent plan for the resolution of such institution in the event of its failure. The Rule established requirements for the timing and content of a Resolution Plan, but permits the FDIC to modify or exempt a CIDI from such requirements.</w:t>
      </w:r>
    </w:p>
    <w:p w:rsidRPr="00D16271" w:rsidR="00D16271" w:rsidP="00D16271" w:rsidRDefault="00D16271" w14:paraId="7AD7EF92" w14:textId="77777777">
      <w:pPr>
        <w:ind w:left="1080"/>
        <w:jc w:val="both"/>
        <w:rPr>
          <w:rFonts w:ascii="Times New Roman" w:hAnsi="Times New Roman"/>
          <w:szCs w:val="24"/>
        </w:rPr>
      </w:pPr>
    </w:p>
    <w:p w:rsidRPr="00D16271" w:rsidR="00D16271" w:rsidP="00D16271" w:rsidRDefault="00D16271" w14:paraId="490EC028" w14:textId="3B0AAFBB">
      <w:pPr>
        <w:ind w:left="1080"/>
        <w:jc w:val="both"/>
        <w:rPr>
          <w:rFonts w:ascii="Times New Roman" w:hAnsi="Times New Roman"/>
          <w:szCs w:val="24"/>
        </w:rPr>
      </w:pPr>
      <w:r w:rsidRPr="00D16271">
        <w:rPr>
          <w:rFonts w:ascii="Times New Roman" w:hAnsi="Times New Roman"/>
          <w:szCs w:val="24"/>
        </w:rPr>
        <w:t xml:space="preserve">On April 16, 2019, the FDIC suspended temporarily the Rule’s submission requirements for all CIDIs. Subsequently, on January 19, 2021, the FDIC lifted this moratorium with respect to CIDIs with total average assets of $100 billion or more (Specified CIDIs). In a </w:t>
      </w:r>
      <w:r w:rsidR="00EE574F">
        <w:rPr>
          <w:rFonts w:ascii="Times New Roman" w:hAnsi="Times New Roman"/>
          <w:szCs w:val="24"/>
        </w:rPr>
        <w:t>‘</w:t>
      </w:r>
      <w:r w:rsidRPr="00D16271">
        <w:rPr>
          <w:rFonts w:ascii="Times New Roman" w:hAnsi="Times New Roman"/>
          <w:szCs w:val="24"/>
        </w:rPr>
        <w:t>Statement on Resolution Plans for Insured Depository Institutions</w:t>
      </w:r>
      <w:r w:rsidR="00EE574F">
        <w:rPr>
          <w:rFonts w:ascii="Times New Roman" w:hAnsi="Times New Roman"/>
          <w:szCs w:val="24"/>
        </w:rPr>
        <w:t>’</w:t>
      </w:r>
      <w:r w:rsidRPr="00D16271">
        <w:rPr>
          <w:rFonts w:ascii="Times New Roman" w:hAnsi="Times New Roman"/>
          <w:szCs w:val="24"/>
        </w:rPr>
        <w:t xml:space="preserve"> issued on June 25, 2021 (Statement), the FDIC announced that it would reinstate the Rule’s requirements, in a modified form, for Specified CIDIs. Rule requirements for CIDIs with average total assets of less than $100 billion remain suspended.</w:t>
      </w:r>
    </w:p>
    <w:p w:rsidRPr="00D16271" w:rsidR="00D16271" w:rsidP="00D16271" w:rsidRDefault="00D16271" w14:paraId="55EE8BC8" w14:textId="77777777">
      <w:pPr>
        <w:ind w:left="1080"/>
        <w:jc w:val="both"/>
        <w:rPr>
          <w:rFonts w:ascii="Times New Roman" w:hAnsi="Times New Roman"/>
          <w:szCs w:val="24"/>
        </w:rPr>
      </w:pPr>
    </w:p>
    <w:p w:rsidRPr="00D16271" w:rsidR="00D16271" w:rsidP="00D16271" w:rsidRDefault="00D16271" w14:paraId="3B755BE9" w14:textId="63B67E96">
      <w:pPr>
        <w:ind w:left="1080"/>
        <w:jc w:val="both"/>
        <w:rPr>
          <w:rFonts w:ascii="Times New Roman" w:hAnsi="Times New Roman"/>
          <w:szCs w:val="24"/>
        </w:rPr>
      </w:pPr>
      <w:r w:rsidRPr="00D16271">
        <w:rPr>
          <w:rFonts w:ascii="Times New Roman" w:hAnsi="Times New Roman"/>
          <w:szCs w:val="24"/>
        </w:rPr>
        <w:t xml:space="preserve">Under the approach contemplated in the Statement, the Specified CIDIs are expected to submit a Resolution Plan once during the three-year renewal period for the Rule’s Information Collection.  In addition, the FDIC will exempt all Specified CIDIs from the obligation to include certain categories of content in </w:t>
      </w:r>
      <w:r w:rsidR="006846D8">
        <w:rPr>
          <w:rFonts w:ascii="Times New Roman" w:hAnsi="Times New Roman"/>
          <w:szCs w:val="24"/>
        </w:rPr>
        <w:t>future</w:t>
      </w:r>
      <w:r w:rsidRPr="00D16271">
        <w:rPr>
          <w:rFonts w:ascii="Times New Roman" w:hAnsi="Times New Roman"/>
          <w:szCs w:val="24"/>
        </w:rPr>
        <w:t xml:space="preserve"> Resolution Plan submissions. The FDIC </w:t>
      </w:r>
      <w:r w:rsidR="008334D8">
        <w:rPr>
          <w:rFonts w:ascii="Times New Roman" w:hAnsi="Times New Roman"/>
          <w:szCs w:val="24"/>
        </w:rPr>
        <w:t>may issue</w:t>
      </w:r>
      <w:r w:rsidRPr="00D16271">
        <w:rPr>
          <w:rFonts w:ascii="Times New Roman" w:hAnsi="Times New Roman"/>
          <w:szCs w:val="24"/>
        </w:rPr>
        <w:t xml:space="preserve"> letters to each Specified CIDI communicating the common exemptions as well as</w:t>
      </w:r>
      <w:r w:rsidR="006846D8">
        <w:rPr>
          <w:rFonts w:ascii="Times New Roman" w:hAnsi="Times New Roman"/>
          <w:szCs w:val="24"/>
        </w:rPr>
        <w:t>, in some cases,</w:t>
      </w:r>
      <w:r w:rsidRPr="00D16271">
        <w:rPr>
          <w:rFonts w:ascii="Times New Roman" w:hAnsi="Times New Roman"/>
          <w:szCs w:val="24"/>
        </w:rPr>
        <w:t xml:space="preserve"> certain additional exemptions specific to </w:t>
      </w:r>
      <w:r w:rsidR="006846D8">
        <w:rPr>
          <w:rFonts w:ascii="Times New Roman" w:hAnsi="Times New Roman"/>
          <w:szCs w:val="24"/>
        </w:rPr>
        <w:t>an</w:t>
      </w:r>
      <w:r w:rsidRPr="00D16271">
        <w:rPr>
          <w:rFonts w:ascii="Times New Roman" w:hAnsi="Times New Roman"/>
          <w:szCs w:val="24"/>
        </w:rPr>
        <w:t xml:space="preserve"> institution.</w:t>
      </w:r>
    </w:p>
    <w:p w:rsidRPr="00D16271" w:rsidR="00D16271" w:rsidP="00D16271" w:rsidRDefault="00D16271" w14:paraId="2053D4D6" w14:textId="77777777">
      <w:pPr>
        <w:ind w:left="1080"/>
        <w:jc w:val="both"/>
        <w:rPr>
          <w:rFonts w:ascii="Times New Roman" w:hAnsi="Times New Roman"/>
          <w:szCs w:val="24"/>
        </w:rPr>
      </w:pPr>
    </w:p>
    <w:p w:rsidRPr="002C53C5" w:rsidR="002C53C5" w:rsidP="002C53C5" w:rsidRDefault="00D16271" w14:paraId="03A9FF94" w14:textId="67537288">
      <w:pPr>
        <w:ind w:left="1080"/>
        <w:jc w:val="both"/>
        <w:rPr>
          <w:rFonts w:ascii="Times New Roman" w:hAnsi="Times New Roman"/>
          <w:szCs w:val="24"/>
        </w:rPr>
      </w:pPr>
      <w:r w:rsidRPr="00D16271">
        <w:rPr>
          <w:rFonts w:ascii="Times New Roman" w:hAnsi="Times New Roman"/>
          <w:szCs w:val="24"/>
        </w:rPr>
        <w:t>A Specified CIDI must notify the FDIC of any event, occurrence, change in conditions or circumstances or other change which results in, or reasonably could be foreseen to have, a material effect on the CIDI’s resolution plan. A Specified CIDI may also seek additional exemptions from the Rule’s content requirements beyond those described above.</w:t>
      </w:r>
    </w:p>
    <w:p w:rsidRPr="002C53C5" w:rsidR="002C53C5" w:rsidP="002C53C5" w:rsidRDefault="002C53C5" w14:paraId="2BBE831E" w14:textId="77777777">
      <w:pPr>
        <w:ind w:left="1080"/>
        <w:jc w:val="both"/>
        <w:rPr>
          <w:rFonts w:ascii="Times New Roman" w:hAnsi="Times New Roman"/>
        </w:rPr>
      </w:pPr>
      <w:r w:rsidRPr="002C53C5">
        <w:rPr>
          <w:rFonts w:ascii="Times New Roman" w:hAnsi="Times New Roman"/>
          <w:szCs w:val="24"/>
        </w:rPr>
        <w:t xml:space="preserve">The Rule is intended to address the continuing exposure of the banking industry to the risks of insolvency of large and complex IDIs that can be mitigated with proper resolution planning.  The Interim Final Rule, which preceded the Rule, became effective January 1, 2012, and remained in effect until it was superseded by the Rule on April 1, 2012.  </w:t>
      </w:r>
    </w:p>
    <w:p w:rsidR="00741B4D" w:rsidRDefault="00741B4D" w14:paraId="46B8F223" w14:textId="7C2A3BB3">
      <w:pPr>
        <w:widowControl/>
        <w:rPr>
          <w:rFonts w:ascii="Times New Roman" w:hAnsi="Times New Roman"/>
          <w:szCs w:val="24"/>
        </w:rPr>
      </w:pPr>
      <w:r>
        <w:rPr>
          <w:rFonts w:ascii="Times New Roman" w:hAnsi="Times New Roman"/>
          <w:szCs w:val="24"/>
        </w:rPr>
        <w:br w:type="page"/>
      </w:r>
    </w:p>
    <w:p w:rsidRPr="00A658D8" w:rsidR="008D5DF3" w:rsidP="00232C01" w:rsidRDefault="008D5DF3" w14:paraId="7B413C9B" w14:textId="77777777">
      <w:pPr>
        <w:ind w:left="720"/>
        <w:rPr>
          <w:rFonts w:ascii="Times New Roman" w:hAnsi="Times New Roman"/>
          <w:szCs w:val="24"/>
        </w:rPr>
      </w:pPr>
    </w:p>
    <w:p w:rsidRPr="00A658D8" w:rsidR="008D5DF3" w:rsidP="006D1B84" w:rsidRDefault="006D1B84" w14:paraId="402DF332"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Use of Technology to Reduce Burden</w:t>
      </w:r>
    </w:p>
    <w:p w:rsidRPr="00A658D8" w:rsidR="008D5DF3" w:rsidP="006D1B84" w:rsidRDefault="008D5DF3" w14:paraId="3DD78DC5" w14:textId="77777777">
      <w:pPr>
        <w:pStyle w:val="BodyText"/>
        <w:ind w:left="1080"/>
        <w:rPr>
          <w:i w:val="0"/>
          <w:iCs w:val="0"/>
          <w:szCs w:val="24"/>
        </w:rPr>
      </w:pPr>
      <w:r w:rsidRPr="00A658D8">
        <w:rPr>
          <w:i w:val="0"/>
          <w:iCs w:val="0"/>
          <w:szCs w:val="24"/>
        </w:rPr>
        <w:t>Respondents may use any information technology that permits review by FDIC examiners.</w:t>
      </w:r>
    </w:p>
    <w:p w:rsidRPr="00A658D8" w:rsidR="008D5DF3" w:rsidP="00850D6B" w:rsidRDefault="008D5DF3" w14:paraId="116698C9" w14:textId="77777777">
      <w:pPr>
        <w:tabs>
          <w:tab w:val="left" w:pos="-1440"/>
        </w:tabs>
        <w:ind w:left="720" w:hanging="720"/>
        <w:rPr>
          <w:rFonts w:ascii="Times New Roman" w:hAnsi="Times New Roman"/>
          <w:szCs w:val="24"/>
        </w:rPr>
      </w:pPr>
    </w:p>
    <w:p w:rsidRPr="00A658D8" w:rsidR="006D1B84" w:rsidP="006D1B84" w:rsidRDefault="006D1B84" w14:paraId="27FFFECF"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Efforts to Identify Duplication</w:t>
      </w:r>
    </w:p>
    <w:p w:rsidRPr="00A658D8" w:rsidR="008D5DF3" w:rsidP="006D1B84" w:rsidRDefault="00BD26F2" w14:paraId="22DF0FFC" w14:textId="075DC8C4">
      <w:pPr>
        <w:ind w:left="1080"/>
        <w:rPr>
          <w:rFonts w:ascii="Times New Roman" w:hAnsi="Times New Roman"/>
          <w:szCs w:val="24"/>
        </w:rPr>
      </w:pPr>
      <w:r>
        <w:rPr>
          <w:rFonts w:ascii="Times New Roman" w:hAnsi="Times New Roman"/>
          <w:szCs w:val="24"/>
        </w:rPr>
        <w:t>The collection required is unique and is structured to avoid duplication of other collections</w:t>
      </w:r>
      <w:r w:rsidRPr="00A658D8" w:rsidR="008D5DF3">
        <w:rPr>
          <w:rFonts w:ascii="Times New Roman" w:hAnsi="Times New Roman"/>
          <w:szCs w:val="24"/>
        </w:rPr>
        <w:t>.</w:t>
      </w:r>
    </w:p>
    <w:p w:rsidRPr="00A658D8" w:rsidR="00CF5845" w:rsidP="00CF5845" w:rsidRDefault="00CF5845" w14:paraId="627506A5" w14:textId="77777777">
      <w:pPr>
        <w:widowControl/>
        <w:rPr>
          <w:rFonts w:ascii="Times New Roman" w:hAnsi="Times New Roman"/>
          <w:szCs w:val="24"/>
        </w:rPr>
      </w:pPr>
    </w:p>
    <w:p w:rsidRPr="00A658D8" w:rsidR="00CF5845" w:rsidP="00CF5845" w:rsidRDefault="00CF5845" w14:paraId="3E8CC873"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Minimizing Burden on Small Entities</w:t>
      </w:r>
    </w:p>
    <w:p w:rsidRPr="00A658D8" w:rsidR="008D5DF3" w:rsidP="00CF5845" w:rsidRDefault="008D5DF3" w14:paraId="39F2BBD2" w14:textId="77777777">
      <w:pPr>
        <w:ind w:left="360" w:firstLine="720"/>
        <w:outlineLvl w:val="0"/>
        <w:rPr>
          <w:rFonts w:ascii="Times New Roman" w:hAnsi="Times New Roman"/>
          <w:szCs w:val="24"/>
        </w:rPr>
      </w:pPr>
      <w:r w:rsidRPr="00A658D8">
        <w:rPr>
          <w:rFonts w:ascii="Times New Roman" w:hAnsi="Times New Roman"/>
          <w:szCs w:val="24"/>
        </w:rPr>
        <w:t xml:space="preserve">Not applicable. </w:t>
      </w:r>
    </w:p>
    <w:p w:rsidRPr="00A658D8" w:rsidR="008D5DF3" w:rsidP="00850D6B" w:rsidRDefault="008D5DF3" w14:paraId="301C2B2D" w14:textId="77777777">
      <w:pPr>
        <w:tabs>
          <w:tab w:val="left" w:pos="-1440"/>
        </w:tabs>
        <w:ind w:left="720" w:hanging="720"/>
        <w:outlineLvl w:val="0"/>
        <w:rPr>
          <w:rFonts w:ascii="Times New Roman" w:hAnsi="Times New Roman"/>
          <w:szCs w:val="24"/>
        </w:rPr>
      </w:pPr>
    </w:p>
    <w:p w:rsidRPr="00A658D8" w:rsidR="008D5DF3" w:rsidP="00CF5845" w:rsidRDefault="008D5DF3" w14:paraId="43B1268D"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Consequences to </w:t>
      </w:r>
      <w:r w:rsidRPr="00A658D8" w:rsidR="00CF5845">
        <w:rPr>
          <w:rFonts w:ascii="Times New Roman" w:hAnsi="Times New Roman"/>
          <w:sz w:val="24"/>
          <w:szCs w:val="24"/>
          <w:u w:val="single"/>
        </w:rPr>
        <w:t>Less Frequent Collections</w:t>
      </w:r>
    </w:p>
    <w:p w:rsidR="00226BAF" w:rsidP="004D5F88" w:rsidRDefault="002C757A" w14:paraId="7C234298" w14:textId="08B24161">
      <w:pPr>
        <w:tabs>
          <w:tab w:val="left" w:pos="-1440"/>
        </w:tabs>
        <w:outlineLvl w:val="0"/>
        <w:rPr>
          <w:rFonts w:ascii="Times New Roman" w:hAnsi="Times New Roman"/>
          <w:szCs w:val="24"/>
        </w:rPr>
      </w:pPr>
      <w:r w:rsidRPr="002C757A">
        <w:rPr>
          <w:rFonts w:ascii="Times New Roman" w:hAnsi="Times New Roman"/>
          <w:szCs w:val="24"/>
        </w:rPr>
        <w:t xml:space="preserve">The failure of a large, complex IDI is likely to present operational challenges in resolution, particularly if operations must be initiated in a bridge </w:t>
      </w:r>
      <w:r w:rsidR="008334D8">
        <w:rPr>
          <w:rFonts w:ascii="Times New Roman" w:hAnsi="Times New Roman"/>
          <w:szCs w:val="24"/>
        </w:rPr>
        <w:t>depository institution</w:t>
      </w:r>
      <w:r w:rsidRPr="002C757A">
        <w:rPr>
          <w:rFonts w:ascii="Times New Roman" w:hAnsi="Times New Roman"/>
          <w:szCs w:val="24"/>
        </w:rPr>
        <w:t>. Through the FDIC’s experience in failed bank resolutions, particular in the 2008-2009 financial crisis, it has become apparent that planning commenced significantly in advance of failure, and using information provided by the IDI, has the potential to facilitate the resolution of a large, complex IDI in a way that best preserves value and minimizes disruption. Resolution Plans filed under the Rule assist the FDIC in conducting such advance planning. The resolution challenges presented by an IDI may change as markets and as the IDI’s activities, structure and risk profile evolve. As such, less frequent collection of information could impede the FDIC’s advance resolution planning.</w:t>
      </w:r>
    </w:p>
    <w:p w:rsidRPr="00A658D8" w:rsidR="00226BAF" w:rsidP="004D5F88" w:rsidRDefault="00226BAF" w14:paraId="6FBEC8D6" w14:textId="77777777">
      <w:pPr>
        <w:tabs>
          <w:tab w:val="left" w:pos="-1440"/>
        </w:tabs>
        <w:outlineLvl w:val="0"/>
        <w:rPr>
          <w:rFonts w:ascii="Times New Roman" w:hAnsi="Times New Roman"/>
          <w:szCs w:val="24"/>
        </w:rPr>
      </w:pPr>
    </w:p>
    <w:p w:rsidRPr="00A658D8" w:rsidR="008D5DF3" w:rsidP="00CF5845" w:rsidRDefault="008D5DF3" w14:paraId="052BB142"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Special </w:t>
      </w:r>
      <w:r w:rsidRPr="00A658D8" w:rsidR="00CF5845">
        <w:rPr>
          <w:rFonts w:ascii="Times New Roman" w:hAnsi="Times New Roman"/>
          <w:sz w:val="24"/>
          <w:szCs w:val="24"/>
          <w:u w:val="single"/>
        </w:rPr>
        <w:t>Circumstances</w:t>
      </w:r>
    </w:p>
    <w:p w:rsidRPr="00A658D8" w:rsidR="008D5DF3" w:rsidP="00CF5845" w:rsidRDefault="008D5DF3" w14:paraId="783BD9A9" w14:textId="77777777">
      <w:pPr>
        <w:ind w:left="1080"/>
        <w:rPr>
          <w:rFonts w:ascii="Times New Roman" w:hAnsi="Times New Roman"/>
          <w:szCs w:val="24"/>
        </w:rPr>
      </w:pPr>
      <w:r w:rsidRPr="00A658D8">
        <w:rPr>
          <w:rFonts w:ascii="Times New Roman" w:hAnsi="Times New Roman"/>
          <w:szCs w:val="24"/>
        </w:rPr>
        <w:t xml:space="preserve">None.  </w:t>
      </w:r>
    </w:p>
    <w:p w:rsidRPr="00A658D8" w:rsidR="008D5DF3" w:rsidP="00850D6B" w:rsidRDefault="008D5DF3" w14:paraId="2B1A1A70" w14:textId="77777777">
      <w:pPr>
        <w:rPr>
          <w:rFonts w:ascii="Times New Roman" w:hAnsi="Times New Roman"/>
          <w:szCs w:val="24"/>
        </w:rPr>
      </w:pPr>
    </w:p>
    <w:p w:rsidRPr="00A658D8" w:rsidR="00CF5845" w:rsidP="00CF5845" w:rsidRDefault="00CF5845" w14:paraId="2374FFD9" w14:textId="77777777">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Consultation with Persons Outside the FDIC</w:t>
      </w:r>
    </w:p>
    <w:p w:rsidR="00A658D8" w:rsidP="00A658D8" w:rsidRDefault="00741B4D" w14:paraId="2CB82C0C" w14:textId="6ADDCC21">
      <w:pPr>
        <w:ind w:left="1080"/>
        <w:outlineLvl w:val="0"/>
        <w:rPr>
          <w:rFonts w:ascii="Times New Roman" w:hAnsi="Times New Roman"/>
        </w:rPr>
      </w:pPr>
      <w:r>
        <w:rPr>
          <w:rFonts w:ascii="Times New Roman" w:hAnsi="Times New Roman"/>
        </w:rPr>
        <w:t>FDIC published a notice in the Federal Register</w:t>
      </w:r>
      <w:r w:rsidR="004A3BFA">
        <w:rPr>
          <w:rFonts w:ascii="Times New Roman" w:hAnsi="Times New Roman"/>
        </w:rPr>
        <w:t xml:space="preserve"> </w:t>
      </w:r>
      <w:r>
        <w:rPr>
          <w:rFonts w:ascii="Times New Roman" w:hAnsi="Times New Roman"/>
        </w:rPr>
        <w:t xml:space="preserve">informing the public of its intent to renew this information collection and </w:t>
      </w:r>
      <w:r w:rsidR="004A3BFA">
        <w:rPr>
          <w:rFonts w:ascii="Times New Roman" w:hAnsi="Times New Roman"/>
        </w:rPr>
        <w:t>seeking public comment</w:t>
      </w:r>
      <w:r>
        <w:rPr>
          <w:rFonts w:ascii="Times New Roman" w:hAnsi="Times New Roman"/>
        </w:rPr>
        <w:t>.  That notice was published on</w:t>
      </w:r>
      <w:r w:rsidRPr="00741B4D">
        <w:rPr>
          <w:rFonts w:ascii="Times New Roman" w:hAnsi="Times New Roman"/>
        </w:rPr>
        <w:t xml:space="preserve"> November 12 2021</w:t>
      </w:r>
      <w:r>
        <w:rPr>
          <w:rFonts w:ascii="Times New Roman" w:hAnsi="Times New Roman"/>
        </w:rPr>
        <w:t xml:space="preserve"> </w:t>
      </w:r>
      <w:r>
        <w:rPr>
          <w:rFonts w:ascii="Times New Roman" w:hAnsi="Times New Roman"/>
        </w:rPr>
        <w:t>(</w:t>
      </w:r>
      <w:r w:rsidRPr="00741B4D">
        <w:rPr>
          <w:rFonts w:ascii="Times New Roman" w:hAnsi="Times New Roman"/>
        </w:rPr>
        <w:t>86 FR 62812</w:t>
      </w:r>
      <w:r>
        <w:rPr>
          <w:rFonts w:ascii="Times New Roman" w:hAnsi="Times New Roman"/>
        </w:rPr>
        <w:t>)</w:t>
      </w:r>
      <w:r>
        <w:rPr>
          <w:rFonts w:ascii="Times New Roman" w:hAnsi="Times New Roman"/>
        </w:rPr>
        <w:t>.  No comments have been received.  On December 21, 2021 FDIC published a second notice in the Federal Register (</w:t>
      </w:r>
      <w:r w:rsidRPr="00741B4D">
        <w:rPr>
          <w:rFonts w:ascii="Times New Roman" w:hAnsi="Times New Roman"/>
        </w:rPr>
        <w:t>86 FR 72234)</w:t>
      </w:r>
      <w:r>
        <w:rPr>
          <w:rFonts w:ascii="Times New Roman" w:hAnsi="Times New Roman"/>
        </w:rPr>
        <w:t xml:space="preserve"> informing the public that the agency is submitting a request to OMB for the renewal of this information collection.  That notice provides for an additional 30-day comment period and if any comments are received, FDIC will address them as instructed by OMB.</w:t>
      </w:r>
      <w:bookmarkStart w:name="_GoBack" w:id="0"/>
      <w:bookmarkEnd w:id="0"/>
    </w:p>
    <w:p w:rsidRPr="00A658D8" w:rsidR="004A3BFA" w:rsidP="00A658D8" w:rsidRDefault="004A3BFA" w14:paraId="75340158" w14:textId="77777777">
      <w:pPr>
        <w:ind w:left="1080"/>
        <w:outlineLvl w:val="0"/>
        <w:rPr>
          <w:rFonts w:ascii="Times New Roman" w:hAnsi="Times New Roman"/>
          <w:szCs w:val="24"/>
        </w:rPr>
      </w:pPr>
    </w:p>
    <w:p w:rsidRPr="00A658D8" w:rsidR="008D5DF3" w:rsidP="00CF5845" w:rsidRDefault="008D5DF3" w14:paraId="307EA246"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Payment </w:t>
      </w:r>
      <w:r w:rsidRPr="00A658D8" w:rsidR="00CF5845">
        <w:rPr>
          <w:rFonts w:ascii="Times New Roman" w:hAnsi="Times New Roman"/>
          <w:sz w:val="24"/>
          <w:szCs w:val="24"/>
          <w:u w:val="single"/>
        </w:rPr>
        <w:t>or Gifts to R</w:t>
      </w:r>
      <w:r w:rsidRPr="00A658D8">
        <w:rPr>
          <w:rFonts w:ascii="Times New Roman" w:hAnsi="Times New Roman"/>
          <w:sz w:val="24"/>
          <w:szCs w:val="24"/>
          <w:u w:val="single"/>
        </w:rPr>
        <w:t>espondents</w:t>
      </w:r>
    </w:p>
    <w:p w:rsidR="008D5DF3" w:rsidP="00CF5845" w:rsidRDefault="008D5DF3" w14:paraId="05243013" w14:textId="77777777">
      <w:pPr>
        <w:ind w:left="360" w:firstLine="720"/>
        <w:outlineLvl w:val="0"/>
        <w:rPr>
          <w:rFonts w:ascii="Times New Roman" w:hAnsi="Times New Roman"/>
          <w:szCs w:val="24"/>
        </w:rPr>
      </w:pPr>
      <w:r w:rsidRPr="00A658D8">
        <w:rPr>
          <w:rFonts w:ascii="Times New Roman" w:hAnsi="Times New Roman"/>
          <w:szCs w:val="24"/>
        </w:rPr>
        <w:t>None.</w:t>
      </w:r>
    </w:p>
    <w:p w:rsidRPr="00A658D8" w:rsidR="008D5DF3" w:rsidP="00850D6B" w:rsidRDefault="008D5DF3" w14:paraId="5854F7CE" w14:textId="77777777">
      <w:pPr>
        <w:rPr>
          <w:rFonts w:ascii="Times New Roman" w:hAnsi="Times New Roman"/>
          <w:szCs w:val="24"/>
        </w:rPr>
      </w:pPr>
    </w:p>
    <w:p w:rsidR="00A658D8" w:rsidP="00A658D8" w:rsidRDefault="00CF5845" w14:paraId="4EB38ECC"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C</w:t>
      </w:r>
      <w:r w:rsidRPr="00A658D8" w:rsidR="008D5DF3">
        <w:rPr>
          <w:rFonts w:ascii="Times New Roman" w:hAnsi="Times New Roman"/>
          <w:sz w:val="24"/>
          <w:szCs w:val="24"/>
          <w:u w:val="single"/>
        </w:rPr>
        <w:t>onfidentialit</w:t>
      </w:r>
      <w:r w:rsidRPr="00A658D8">
        <w:rPr>
          <w:rFonts w:ascii="Times New Roman" w:hAnsi="Times New Roman"/>
          <w:sz w:val="24"/>
          <w:szCs w:val="24"/>
          <w:u w:val="single"/>
        </w:rPr>
        <w:t>y</w:t>
      </w:r>
    </w:p>
    <w:p w:rsidRPr="00A658D8" w:rsidR="008D5DF3" w:rsidP="00A658D8" w:rsidRDefault="004A3BFA" w14:paraId="597A16B4" w14:textId="2EB7EAD5">
      <w:pPr>
        <w:tabs>
          <w:tab w:val="left" w:pos="-1440"/>
        </w:tabs>
        <w:ind w:left="1080"/>
        <w:outlineLvl w:val="0"/>
        <w:rPr>
          <w:rFonts w:ascii="Times New Roman" w:hAnsi="Times New Roman"/>
          <w:szCs w:val="24"/>
          <w:u w:val="single"/>
        </w:rPr>
      </w:pPr>
      <w:r>
        <w:rPr>
          <w:rFonts w:ascii="Times New Roman" w:hAnsi="Times New Roman"/>
        </w:rPr>
        <w:t xml:space="preserve">Information will be kept confidential to the extent allowed by law.  </w:t>
      </w:r>
      <w:r w:rsidRPr="00A658D8" w:rsidR="00A658D8">
        <w:rPr>
          <w:rFonts w:ascii="Times New Roman" w:hAnsi="Times New Roman"/>
        </w:rPr>
        <w:t>Any information deemed to be of a confidential nature would be exempt from public disclosure in accordance with the provisions of the Freedom of Information Act (5 U.S.C. 552</w:t>
      </w:r>
      <w:r w:rsidRPr="00A658D8" w:rsidR="00A658D8">
        <w:rPr>
          <w:rFonts w:ascii="Times New Roman" w:hAnsi="Times New Roman"/>
          <w:szCs w:val="24"/>
        </w:rPr>
        <w:t xml:space="preserve">). </w:t>
      </w:r>
    </w:p>
    <w:p w:rsidR="00A658D8" w:rsidP="00CF5845" w:rsidRDefault="00A658D8" w14:paraId="3BC5D520" w14:textId="77777777">
      <w:pPr>
        <w:tabs>
          <w:tab w:val="left" w:pos="-1440"/>
        </w:tabs>
        <w:ind w:left="1800" w:hanging="720"/>
        <w:outlineLvl w:val="0"/>
        <w:rPr>
          <w:rFonts w:ascii="Times New Roman" w:hAnsi="Times New Roman"/>
          <w:szCs w:val="24"/>
        </w:rPr>
      </w:pPr>
    </w:p>
    <w:p w:rsidRPr="00A658D8" w:rsidR="008D5DF3" w:rsidP="00CF5845" w:rsidRDefault="00CF5845" w14:paraId="2F8E0F62" w14:textId="77777777">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Information of a Sensitive Nature</w:t>
      </w:r>
    </w:p>
    <w:p w:rsidRPr="00A658D8" w:rsidR="008D5DF3" w:rsidP="00CF5845" w:rsidRDefault="008D5DF3" w14:paraId="77F0E582" w14:textId="77777777">
      <w:pPr>
        <w:ind w:left="1080"/>
        <w:outlineLvl w:val="0"/>
        <w:rPr>
          <w:rFonts w:ascii="Times New Roman" w:hAnsi="Times New Roman"/>
          <w:szCs w:val="24"/>
        </w:rPr>
      </w:pPr>
      <w:r w:rsidRPr="00A658D8">
        <w:rPr>
          <w:rFonts w:ascii="Times New Roman" w:hAnsi="Times New Roman"/>
          <w:szCs w:val="24"/>
        </w:rPr>
        <w:t>There are no questions of a sensitive nature.</w:t>
      </w:r>
    </w:p>
    <w:p w:rsidRPr="00A658D8" w:rsidR="008D5DF3" w:rsidP="00850D6B" w:rsidRDefault="008D5DF3" w14:paraId="6FA1B44B" w14:textId="77777777">
      <w:pPr>
        <w:rPr>
          <w:rFonts w:ascii="Times New Roman" w:hAnsi="Times New Roman"/>
          <w:szCs w:val="24"/>
        </w:rPr>
      </w:pPr>
    </w:p>
    <w:p w:rsidRPr="00A658D8" w:rsidR="008D5DF3" w:rsidP="00CF5845" w:rsidRDefault="00CF5845" w14:paraId="298E9C0E" w14:textId="77777777">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pacing w:val="-3"/>
          <w:sz w:val="24"/>
          <w:szCs w:val="24"/>
          <w:u w:val="single"/>
        </w:rPr>
        <w:t>Estimates of Hour Burden and Annualized Cost</w:t>
      </w:r>
    </w:p>
    <w:p w:rsidRPr="00BB3596" w:rsidR="00BB3596" w:rsidP="002D0E60" w:rsidRDefault="00BB3596" w14:paraId="7108B4B0" w14:textId="3450491F">
      <w:pPr>
        <w:tabs>
          <w:tab w:val="left" w:pos="-1440"/>
        </w:tabs>
        <w:spacing w:after="120"/>
        <w:ind w:left="1080"/>
        <w:outlineLvl w:val="0"/>
        <w:rPr>
          <w:rFonts w:ascii="Times New Roman" w:hAnsi="Times New Roman"/>
          <w:szCs w:val="24"/>
          <w:lang w:bidi="en-US"/>
        </w:rPr>
      </w:pPr>
      <w:r w:rsidRPr="00BB3596">
        <w:rPr>
          <w:rFonts w:ascii="Times New Roman" w:hAnsi="Times New Roman"/>
          <w:szCs w:val="24"/>
          <w:lang w:bidi="en-US"/>
        </w:rPr>
        <w:t xml:space="preserve">Given the </w:t>
      </w:r>
      <w:r w:rsidRPr="00457F56">
        <w:rPr>
          <w:rFonts w:ascii="Times New Roman" w:hAnsi="Times New Roman"/>
        </w:rPr>
        <w:t>changes</w:t>
      </w:r>
      <w:r w:rsidRPr="00BB3596">
        <w:rPr>
          <w:rFonts w:ascii="Times New Roman" w:hAnsi="Times New Roman"/>
          <w:szCs w:val="24"/>
          <w:lang w:bidi="en-US"/>
        </w:rPr>
        <w:t xml:space="preserve"> to the PRA requirements of the Rule since the 2018 ICR, the FDIC has revised the delin</w:t>
      </w:r>
      <w:r>
        <w:rPr>
          <w:rFonts w:ascii="Times New Roman" w:hAnsi="Times New Roman"/>
          <w:szCs w:val="24"/>
          <w:lang w:bidi="en-US"/>
        </w:rPr>
        <w:t>eation of burdens.  As per these changes, the information collection (IC)</w:t>
      </w:r>
      <w:r w:rsidRPr="00BB3596">
        <w:rPr>
          <w:rFonts w:ascii="Times New Roman" w:hAnsi="Times New Roman"/>
          <w:szCs w:val="24"/>
          <w:lang w:bidi="en-US"/>
        </w:rPr>
        <w:t xml:space="preserve"> now comprises the following line items:</w:t>
      </w:r>
    </w:p>
    <w:p w:rsidRPr="00BB3596" w:rsidR="00BB3596" w:rsidP="002D0E60" w:rsidRDefault="00BB3596" w14:paraId="7608AC9C" w14:textId="77777777">
      <w:pPr>
        <w:widowControl/>
        <w:numPr>
          <w:ilvl w:val="1"/>
          <w:numId w:val="21"/>
        </w:numPr>
        <w:spacing w:after="120"/>
        <w:ind w:left="1440"/>
        <w:jc w:val="both"/>
        <w:rPr>
          <w:rFonts w:ascii="Times New Roman" w:hAnsi="Times New Roman"/>
          <w:szCs w:val="24"/>
          <w:lang w:bidi="en-US"/>
        </w:rPr>
      </w:pPr>
      <w:r w:rsidRPr="00BB3596">
        <w:rPr>
          <w:rFonts w:ascii="Times New Roman" w:hAnsi="Times New Roman"/>
          <w:szCs w:val="24"/>
          <w:lang w:bidi="en-US"/>
        </w:rPr>
        <w:t>Resolution Plan Updates by specified CIDIs whose top tier parent company is a U.S. global systemically important bank as defined in 12 CFR § 217.402 (GSIB specified CIDIs).</w:t>
      </w:r>
    </w:p>
    <w:p w:rsidRPr="00BB3596" w:rsidR="00BB3596" w:rsidP="002D0E60" w:rsidRDefault="00BB3596" w14:paraId="45D2D36F" w14:textId="77777777">
      <w:pPr>
        <w:widowControl/>
        <w:numPr>
          <w:ilvl w:val="1"/>
          <w:numId w:val="21"/>
        </w:numPr>
        <w:spacing w:after="120"/>
        <w:ind w:left="1440"/>
        <w:jc w:val="both"/>
        <w:rPr>
          <w:rFonts w:ascii="Times New Roman" w:hAnsi="Times New Roman"/>
          <w:szCs w:val="24"/>
          <w:lang w:bidi="en-US"/>
        </w:rPr>
      </w:pPr>
      <w:r w:rsidRPr="00BB3596">
        <w:rPr>
          <w:rFonts w:ascii="Times New Roman" w:hAnsi="Times New Roman"/>
          <w:szCs w:val="24"/>
          <w:lang w:bidi="en-US"/>
        </w:rPr>
        <w:t>Resolution Plan Updates by specified CIDIs whose top tier parent company is not a U.S. global systemically important bank (non-GSIB specified CIDIs).</w:t>
      </w:r>
    </w:p>
    <w:p w:rsidRPr="00BB3596" w:rsidR="00BB3596" w:rsidP="002D0E60" w:rsidRDefault="00BB3596" w14:paraId="44061F6B" w14:textId="77777777">
      <w:pPr>
        <w:widowControl/>
        <w:numPr>
          <w:ilvl w:val="1"/>
          <w:numId w:val="21"/>
        </w:numPr>
        <w:spacing w:after="120"/>
        <w:ind w:left="1440"/>
        <w:jc w:val="both"/>
        <w:rPr>
          <w:rFonts w:ascii="Times New Roman" w:hAnsi="Times New Roman"/>
          <w:szCs w:val="24"/>
          <w:lang w:bidi="en-US"/>
        </w:rPr>
      </w:pPr>
      <w:r w:rsidRPr="00BB3596">
        <w:rPr>
          <w:rFonts w:ascii="Times New Roman" w:hAnsi="Times New Roman"/>
          <w:szCs w:val="24"/>
          <w:lang w:bidi="en-US"/>
        </w:rPr>
        <w:t>Resolution Plans by New Filers.</w:t>
      </w:r>
    </w:p>
    <w:p w:rsidRPr="00BB3596" w:rsidR="00BB3596" w:rsidP="002D0E60" w:rsidRDefault="00BB3596" w14:paraId="39F01A66" w14:textId="77777777">
      <w:pPr>
        <w:widowControl/>
        <w:numPr>
          <w:ilvl w:val="1"/>
          <w:numId w:val="21"/>
        </w:numPr>
        <w:spacing w:after="120"/>
        <w:ind w:left="1440"/>
        <w:jc w:val="both"/>
        <w:rPr>
          <w:rFonts w:ascii="Times New Roman" w:hAnsi="Times New Roman"/>
          <w:szCs w:val="24"/>
          <w:lang w:bidi="en-US"/>
        </w:rPr>
      </w:pPr>
      <w:r w:rsidRPr="00BB3596">
        <w:rPr>
          <w:rFonts w:ascii="Times New Roman" w:hAnsi="Times New Roman"/>
          <w:szCs w:val="24"/>
          <w:lang w:bidi="en-US"/>
        </w:rPr>
        <w:t>Notices of Material Change.</w:t>
      </w:r>
    </w:p>
    <w:p w:rsidRPr="00BB3596" w:rsidR="00BB3596" w:rsidP="002D0E60" w:rsidRDefault="00BB3596" w14:paraId="38FDC493" w14:textId="6275A425">
      <w:pPr>
        <w:widowControl/>
        <w:numPr>
          <w:ilvl w:val="1"/>
          <w:numId w:val="21"/>
        </w:numPr>
        <w:spacing w:after="120"/>
        <w:ind w:left="1440"/>
        <w:jc w:val="both"/>
        <w:rPr>
          <w:rFonts w:ascii="Times New Roman" w:hAnsi="Times New Roman"/>
          <w:szCs w:val="24"/>
          <w:lang w:bidi="en-US"/>
        </w:rPr>
      </w:pPr>
      <w:r w:rsidRPr="00BB3596">
        <w:rPr>
          <w:rFonts w:ascii="Times New Roman" w:hAnsi="Times New Roman"/>
          <w:szCs w:val="24"/>
          <w:lang w:bidi="en-US"/>
        </w:rPr>
        <w:t>Exemption Requests.</w:t>
      </w:r>
    </w:p>
    <w:p w:rsidRPr="002E7426" w:rsidR="002E7426" w:rsidP="002D0E60" w:rsidRDefault="002E7426" w14:paraId="7845696E" w14:textId="425E5C0A">
      <w:pPr>
        <w:tabs>
          <w:tab w:val="left" w:pos="-1440"/>
        </w:tabs>
        <w:spacing w:after="120"/>
        <w:ind w:left="1080"/>
        <w:outlineLvl w:val="0"/>
        <w:rPr>
          <w:rFonts w:ascii="Times New Roman" w:hAnsi="Times New Roman"/>
          <w:iCs/>
          <w:szCs w:val="24"/>
        </w:rPr>
      </w:pPr>
      <w:r w:rsidRPr="00457F56">
        <w:rPr>
          <w:rFonts w:ascii="Times New Roman" w:hAnsi="Times New Roman"/>
        </w:rPr>
        <w:t>Potential</w:t>
      </w:r>
      <w:r w:rsidRPr="002E7426">
        <w:rPr>
          <w:rFonts w:ascii="Times New Roman" w:hAnsi="Times New Roman"/>
          <w:iCs/>
          <w:szCs w:val="24"/>
        </w:rPr>
        <w:t xml:space="preserve"> respondents to this IC, as defined by the Rule under the modified approach described in the Statement, are specified CIDIs, or IDIs with total assets greater than or equal to $100 billion, based upon the average of the IDI’s four most recent Call Reports. </w:t>
      </w:r>
      <w:r w:rsidRPr="002E7426" w:rsidDel="009E2812">
        <w:rPr>
          <w:rFonts w:ascii="Times New Roman" w:hAnsi="Times New Roman"/>
          <w:iCs/>
          <w:szCs w:val="24"/>
        </w:rPr>
        <w:t xml:space="preserve">As of </w:t>
      </w:r>
      <w:r w:rsidRPr="002E7426">
        <w:rPr>
          <w:rFonts w:ascii="Times New Roman" w:hAnsi="Times New Roman"/>
          <w:iCs/>
          <w:szCs w:val="24"/>
        </w:rPr>
        <w:t xml:space="preserve">March </w:t>
      </w:r>
      <w:r w:rsidRPr="002E7426" w:rsidDel="009E2812">
        <w:rPr>
          <w:rFonts w:ascii="Times New Roman" w:hAnsi="Times New Roman"/>
          <w:iCs/>
          <w:szCs w:val="24"/>
        </w:rPr>
        <w:t>31, 202</w:t>
      </w:r>
      <w:r w:rsidRPr="002E7426">
        <w:rPr>
          <w:rFonts w:ascii="Times New Roman" w:hAnsi="Times New Roman"/>
          <w:iCs/>
          <w:szCs w:val="24"/>
        </w:rPr>
        <w:t>1,</w:t>
      </w:r>
      <w:r w:rsidRPr="002E7426" w:rsidDel="009E2812">
        <w:rPr>
          <w:rFonts w:ascii="Times New Roman" w:hAnsi="Times New Roman"/>
          <w:iCs/>
          <w:szCs w:val="24"/>
        </w:rPr>
        <w:t xml:space="preserve"> there are</w:t>
      </w:r>
      <w:r w:rsidRPr="002E7426">
        <w:rPr>
          <w:rFonts w:ascii="Times New Roman" w:hAnsi="Times New Roman"/>
          <w:iCs/>
          <w:szCs w:val="24"/>
        </w:rPr>
        <w:t xml:space="preserve"> 33 IDIs meeting those requirements.</w:t>
      </w:r>
      <w:r w:rsidRPr="002E7426" w:rsidDel="009E2812">
        <w:rPr>
          <w:rFonts w:ascii="Times New Roman" w:hAnsi="Times New Roman"/>
          <w:iCs/>
          <w:szCs w:val="24"/>
          <w:vertAlign w:val="superscript"/>
        </w:rPr>
        <w:footnoteReference w:id="1"/>
      </w:r>
      <w:r w:rsidRPr="002E7426" w:rsidDel="009E2812">
        <w:rPr>
          <w:rFonts w:ascii="Times New Roman" w:hAnsi="Times New Roman"/>
          <w:iCs/>
          <w:szCs w:val="24"/>
        </w:rPr>
        <w:t xml:space="preserve"> </w:t>
      </w:r>
      <w:r w:rsidRPr="002E7426">
        <w:rPr>
          <w:rFonts w:ascii="Times New Roman" w:hAnsi="Times New Roman"/>
          <w:iCs/>
          <w:szCs w:val="24"/>
        </w:rPr>
        <w:t>The FDIC anticipates that one of these Specified CIDIs will cease to exist due to its pending merger with another specified CIDI.</w:t>
      </w:r>
      <w:r w:rsidRPr="002E7426">
        <w:rPr>
          <w:rFonts w:ascii="Times New Roman" w:hAnsi="Times New Roman"/>
          <w:iCs/>
          <w:szCs w:val="24"/>
          <w:vertAlign w:val="superscript"/>
        </w:rPr>
        <w:footnoteReference w:id="2"/>
      </w:r>
      <w:r w:rsidRPr="002E7426">
        <w:rPr>
          <w:rFonts w:ascii="Times New Roman" w:hAnsi="Times New Roman"/>
          <w:iCs/>
          <w:szCs w:val="24"/>
        </w:rPr>
        <w:t xml:space="preserve"> The FDIC also anticipates that a new specified CIDI will be created due to the pending merger of two IDIs with expected combined assets over $100 billion.</w:t>
      </w:r>
      <w:r w:rsidRPr="002E7426">
        <w:rPr>
          <w:rFonts w:ascii="Times New Roman" w:hAnsi="Times New Roman"/>
          <w:iCs/>
          <w:szCs w:val="24"/>
          <w:vertAlign w:val="superscript"/>
        </w:rPr>
        <w:footnoteReference w:id="3"/>
      </w:r>
      <w:r w:rsidRPr="002E7426">
        <w:rPr>
          <w:rFonts w:ascii="Times New Roman" w:hAnsi="Times New Roman"/>
          <w:iCs/>
          <w:szCs w:val="24"/>
        </w:rPr>
        <w:t xml:space="preserve"> Thus, on net, the FDIC anticipates that there will be 33 potential respondents to this IC. The estimated number of respondents will vary by line item.</w:t>
      </w:r>
    </w:p>
    <w:p w:rsidRPr="002E7426" w:rsidR="002E7426" w:rsidP="002D0E60" w:rsidRDefault="002E7426" w14:paraId="19EA8FC8" w14:textId="77777777">
      <w:pPr>
        <w:widowControl/>
        <w:spacing w:after="120"/>
        <w:ind w:left="360" w:firstLine="720"/>
        <w:rPr>
          <w:rFonts w:ascii="Times New Roman" w:hAnsi="Times New Roman"/>
          <w:b/>
          <w:iCs/>
          <w:szCs w:val="24"/>
        </w:rPr>
      </w:pPr>
      <w:r w:rsidRPr="002E7426">
        <w:rPr>
          <w:rFonts w:ascii="Times New Roman" w:hAnsi="Times New Roman"/>
          <w:b/>
          <w:iCs/>
          <w:szCs w:val="24"/>
        </w:rPr>
        <w:t>Resolution Plan Updates:</w:t>
      </w:r>
    </w:p>
    <w:p w:rsidRPr="002E7426" w:rsidR="002E7426" w:rsidP="00457F56" w:rsidRDefault="002E7426" w14:paraId="569AB802" w14:textId="77777777">
      <w:pPr>
        <w:tabs>
          <w:tab w:val="left" w:pos="-1440"/>
        </w:tabs>
        <w:ind w:left="1080"/>
        <w:outlineLvl w:val="0"/>
        <w:rPr>
          <w:rFonts w:ascii="Times New Roman" w:hAnsi="Times New Roman"/>
          <w:iCs/>
          <w:szCs w:val="24"/>
        </w:rPr>
      </w:pPr>
      <w:r w:rsidRPr="002E7426">
        <w:rPr>
          <w:rFonts w:ascii="Times New Roman" w:hAnsi="Times New Roman"/>
          <w:iCs/>
          <w:szCs w:val="24"/>
        </w:rPr>
        <w:lastRenderedPageBreak/>
        <w:t xml:space="preserve">Of the set of potential respondents, the FDIC estimates that 9 GSIB Specified CIDIs and 22 non-GSIB </w:t>
      </w:r>
      <w:r w:rsidRPr="00457F56">
        <w:rPr>
          <w:rFonts w:ascii="Times New Roman" w:hAnsi="Times New Roman"/>
        </w:rPr>
        <w:t>specified</w:t>
      </w:r>
      <w:r w:rsidRPr="002E7426">
        <w:rPr>
          <w:rFonts w:ascii="Times New Roman" w:hAnsi="Times New Roman"/>
          <w:iCs/>
          <w:szCs w:val="24"/>
        </w:rPr>
        <w:t xml:space="preserve"> CIDIs will submit Resolution Plan Updates.</w:t>
      </w:r>
      <w:r w:rsidRPr="002E7426">
        <w:rPr>
          <w:rFonts w:ascii="Times New Roman" w:hAnsi="Times New Roman"/>
          <w:iCs/>
          <w:szCs w:val="24"/>
          <w:vertAlign w:val="superscript"/>
        </w:rPr>
        <w:footnoteReference w:id="4"/>
      </w:r>
      <w:r w:rsidRPr="002E7426">
        <w:rPr>
          <w:rFonts w:ascii="Times New Roman" w:hAnsi="Times New Roman"/>
          <w:iCs/>
          <w:szCs w:val="24"/>
        </w:rPr>
        <w:t xml:space="preserve"> To estimate the burden imposed by the Rule under the modified approach described in the Statement, FDIC started with the methodology used in the 2018 ICR. That methodology relied on results from a survey of seven banks to estimate an average PRA burden per submission of 65 hours per billion dollars of assets. FDIC then made the following adjustments to the burden estimate to reflect the modified approach described in the Statement:</w:t>
      </w:r>
    </w:p>
    <w:p w:rsidRPr="002E7426" w:rsidR="002E7426" w:rsidP="002D0E60" w:rsidRDefault="002E7426" w14:paraId="08920217" w14:textId="77777777">
      <w:pPr>
        <w:widowControl/>
        <w:numPr>
          <w:ilvl w:val="1"/>
          <w:numId w:val="20"/>
        </w:numPr>
        <w:spacing w:after="120"/>
        <w:ind w:left="1440"/>
        <w:rPr>
          <w:rFonts w:ascii="Times New Roman" w:hAnsi="Times New Roman"/>
          <w:iCs/>
          <w:szCs w:val="24"/>
        </w:rPr>
      </w:pPr>
      <w:r w:rsidRPr="002E7426">
        <w:rPr>
          <w:rFonts w:ascii="Times New Roman" w:hAnsi="Times New Roman"/>
          <w:iCs/>
          <w:szCs w:val="24"/>
        </w:rPr>
        <w:t>Reduced the estimated average PRA burden by five hours per billion dollars of assets to reflect the exclusion of content the Statement announced the FDIC would exempt from the specified CIDIs’ resolution plans.</w:t>
      </w:r>
      <w:r w:rsidRPr="002E7426">
        <w:rPr>
          <w:rFonts w:ascii="Times New Roman" w:hAnsi="Times New Roman"/>
          <w:iCs/>
          <w:szCs w:val="24"/>
          <w:vertAlign w:val="superscript"/>
        </w:rPr>
        <w:footnoteReference w:id="5"/>
      </w:r>
    </w:p>
    <w:p w:rsidRPr="002E7426" w:rsidR="002E7426" w:rsidP="002D0E60" w:rsidRDefault="002E7426" w14:paraId="6466EC44" w14:textId="77777777">
      <w:pPr>
        <w:widowControl/>
        <w:numPr>
          <w:ilvl w:val="1"/>
          <w:numId w:val="20"/>
        </w:numPr>
        <w:spacing w:after="120"/>
        <w:ind w:left="1440"/>
        <w:rPr>
          <w:rFonts w:ascii="Times New Roman" w:hAnsi="Times New Roman"/>
          <w:iCs/>
          <w:szCs w:val="24"/>
        </w:rPr>
      </w:pPr>
      <w:r w:rsidRPr="002E7426">
        <w:rPr>
          <w:rFonts w:ascii="Times New Roman" w:hAnsi="Times New Roman"/>
          <w:iCs/>
          <w:szCs w:val="24"/>
        </w:rPr>
        <w:t>Reduced the estimated average PRA burden by two hours per billion dollars of assets to reflect the rescission of guidance that had requested that each CIDI provide information on how a failure scenario would impact its creditor stack.</w:t>
      </w:r>
      <w:r w:rsidRPr="002E7426">
        <w:rPr>
          <w:rFonts w:ascii="Times New Roman" w:hAnsi="Times New Roman"/>
          <w:iCs/>
          <w:szCs w:val="24"/>
          <w:vertAlign w:val="superscript"/>
        </w:rPr>
        <w:footnoteReference w:id="6"/>
      </w:r>
    </w:p>
    <w:p w:rsidRPr="002E7426" w:rsidR="002E7426" w:rsidP="002D0E60" w:rsidRDefault="002E7426" w14:paraId="5B82EA95" w14:textId="77777777">
      <w:pPr>
        <w:widowControl/>
        <w:numPr>
          <w:ilvl w:val="1"/>
          <w:numId w:val="20"/>
        </w:numPr>
        <w:spacing w:after="120"/>
        <w:ind w:left="1440"/>
        <w:rPr>
          <w:rFonts w:ascii="Times New Roman" w:hAnsi="Times New Roman"/>
          <w:iCs/>
          <w:szCs w:val="24"/>
        </w:rPr>
      </w:pPr>
      <w:r w:rsidRPr="002E7426">
        <w:rPr>
          <w:rFonts w:ascii="Times New Roman" w:hAnsi="Times New Roman"/>
          <w:iCs/>
          <w:szCs w:val="24"/>
        </w:rPr>
        <w:t>Increased the estimated average PRA burden by 2 hours per billion of assets to reflect the anticipated engagement contemplated in the Statement, which contemplates one such engagement per specified CIDI over the three-year filing period.</w:t>
      </w:r>
      <w:r w:rsidRPr="002E7426">
        <w:rPr>
          <w:rFonts w:ascii="Times New Roman" w:hAnsi="Times New Roman"/>
          <w:iCs/>
          <w:szCs w:val="24"/>
          <w:vertAlign w:val="superscript"/>
        </w:rPr>
        <w:footnoteReference w:id="7"/>
      </w:r>
      <w:r w:rsidRPr="002E7426">
        <w:rPr>
          <w:rFonts w:ascii="Times New Roman" w:hAnsi="Times New Roman"/>
          <w:iCs/>
          <w:szCs w:val="24"/>
        </w:rPr>
        <w:t xml:space="preserve"> </w:t>
      </w:r>
    </w:p>
    <w:p w:rsidRPr="002E7426" w:rsidR="002E7426" w:rsidP="002D0E60" w:rsidRDefault="002E7426" w14:paraId="486E35F6" w14:textId="77777777">
      <w:pPr>
        <w:widowControl/>
        <w:numPr>
          <w:ilvl w:val="1"/>
          <w:numId w:val="20"/>
        </w:numPr>
        <w:spacing w:after="120"/>
        <w:ind w:left="1440"/>
        <w:rPr>
          <w:rFonts w:ascii="Times New Roman" w:hAnsi="Times New Roman"/>
          <w:iCs/>
          <w:szCs w:val="24"/>
        </w:rPr>
      </w:pPr>
      <w:r w:rsidRPr="002E7426">
        <w:rPr>
          <w:rFonts w:ascii="Times New Roman" w:hAnsi="Times New Roman"/>
          <w:iCs/>
          <w:szCs w:val="24"/>
        </w:rPr>
        <w:t>Reduced the estimated average burdens for GSIB specified CIDIs by four percent to reflect expected exemptions tailored to each GSIB specified CIDI. The four percent reduction was estimated by dividing the total number of such exemptions across all GSIB specified CIDIs (8) by the total number of required content items across all GSIB specified CIDIs (198).</w:t>
      </w:r>
    </w:p>
    <w:p w:rsidRPr="002D0E60" w:rsidR="002E7426" w:rsidP="002D0E60" w:rsidRDefault="002E7426" w14:paraId="25CB65D9" w14:textId="1096E216">
      <w:pPr>
        <w:widowControl/>
        <w:numPr>
          <w:ilvl w:val="1"/>
          <w:numId w:val="20"/>
        </w:numPr>
        <w:spacing w:after="120"/>
        <w:ind w:left="1440"/>
        <w:rPr>
          <w:rFonts w:ascii="Times New Roman" w:hAnsi="Times New Roman"/>
          <w:iCs/>
          <w:szCs w:val="24"/>
        </w:rPr>
      </w:pPr>
      <w:r w:rsidRPr="002E7426">
        <w:rPr>
          <w:rFonts w:ascii="Times New Roman" w:hAnsi="Times New Roman"/>
          <w:iCs/>
          <w:szCs w:val="24"/>
        </w:rPr>
        <w:t>Further reduced the estimated average burdens for non-GSIB specified CIDIs by 20 percent to reflect expected exemptions tailored to each non-GSIB specified CIDI. The 20 percent reduction was estimated by dividing the total number of such exemptions across all non-GSIB specified CIDIs (97) by the total number of required content items across all non-GSIB specified CIDIs (484).</w:t>
      </w:r>
    </w:p>
    <w:p w:rsidRPr="002E7426" w:rsidR="002E7426" w:rsidP="00457F56" w:rsidRDefault="002E7426" w14:paraId="070EFBAB" w14:textId="77777777">
      <w:pPr>
        <w:tabs>
          <w:tab w:val="left" w:pos="-1440"/>
        </w:tabs>
        <w:ind w:left="1080"/>
        <w:outlineLvl w:val="0"/>
        <w:rPr>
          <w:rFonts w:ascii="Times New Roman" w:hAnsi="Times New Roman"/>
          <w:iCs/>
          <w:szCs w:val="24"/>
        </w:rPr>
      </w:pPr>
      <w:r w:rsidRPr="002E7426">
        <w:rPr>
          <w:rFonts w:ascii="Times New Roman" w:hAnsi="Times New Roman"/>
          <w:iCs/>
          <w:szCs w:val="24"/>
        </w:rPr>
        <w:t>Based on the above methodology, FDIC estimates that the burden hours per submission would be 57.6 hours per billion dollars for Resolution Plan Updates by GSIB specified CIDIs.</w:t>
      </w:r>
      <w:r w:rsidRPr="002E7426">
        <w:rPr>
          <w:rFonts w:ascii="Times New Roman" w:hAnsi="Times New Roman"/>
          <w:iCs/>
          <w:szCs w:val="24"/>
          <w:vertAlign w:val="superscript"/>
        </w:rPr>
        <w:footnoteReference w:id="8"/>
      </w:r>
      <w:r w:rsidRPr="002E7426">
        <w:rPr>
          <w:rFonts w:ascii="Times New Roman" w:hAnsi="Times New Roman"/>
          <w:iCs/>
          <w:szCs w:val="24"/>
        </w:rPr>
        <w:t xml:space="preserve"> Using assets reported on Call Reports for the nine GSIB specified CIDIs, we estimate a total burden of 591,840 hours for Resolution Plan Updates by GSIB specified CIDIs, or an average of 65,760 hours per submission.</w:t>
      </w:r>
      <w:r w:rsidRPr="002E7426">
        <w:rPr>
          <w:rFonts w:ascii="Times New Roman" w:hAnsi="Times New Roman"/>
          <w:iCs/>
          <w:szCs w:val="24"/>
          <w:vertAlign w:val="superscript"/>
        </w:rPr>
        <w:footnoteReference w:id="9"/>
      </w:r>
    </w:p>
    <w:p w:rsidRPr="002E7426" w:rsidR="002E7426" w:rsidP="002D0E60" w:rsidRDefault="002E7426" w14:paraId="64D98DAF"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 xml:space="preserve">Using the same methodology, FDIC estimates that the burden hours per submission to be 48 </w:t>
      </w:r>
      <w:r w:rsidRPr="00457F56">
        <w:rPr>
          <w:rFonts w:ascii="Times New Roman" w:hAnsi="Times New Roman"/>
        </w:rPr>
        <w:t>hours</w:t>
      </w:r>
      <w:r w:rsidRPr="002E7426">
        <w:rPr>
          <w:rFonts w:ascii="Times New Roman" w:hAnsi="Times New Roman"/>
          <w:iCs/>
          <w:szCs w:val="24"/>
        </w:rPr>
        <w:t xml:space="preserve"> per billion dollars for non-GSIB specified CIDIs.</w:t>
      </w:r>
      <w:r w:rsidRPr="002E7426">
        <w:rPr>
          <w:rFonts w:ascii="Times New Roman" w:hAnsi="Times New Roman"/>
          <w:iCs/>
          <w:szCs w:val="24"/>
          <w:vertAlign w:val="superscript"/>
        </w:rPr>
        <w:footnoteReference w:id="10"/>
      </w:r>
      <w:r w:rsidRPr="002E7426">
        <w:rPr>
          <w:rFonts w:ascii="Times New Roman" w:hAnsi="Times New Roman"/>
          <w:iCs/>
          <w:szCs w:val="24"/>
        </w:rPr>
        <w:t xml:space="preserve"> Using the assets reported on the latest Call Report for the 22 non-GSIB specified CIDIs, we estimate a total burden of 249,840 hours for Resolution Plan Updates by non-GSIB specified </w:t>
      </w:r>
      <w:r w:rsidRPr="002E7426">
        <w:rPr>
          <w:rFonts w:ascii="Times New Roman" w:hAnsi="Times New Roman"/>
          <w:iCs/>
          <w:szCs w:val="24"/>
        </w:rPr>
        <w:lastRenderedPageBreak/>
        <w:t>CIDIs, or an average of 11,356 hours per submission.</w:t>
      </w:r>
      <w:r w:rsidRPr="002E7426">
        <w:rPr>
          <w:rFonts w:ascii="Times New Roman" w:hAnsi="Times New Roman"/>
          <w:iCs/>
          <w:szCs w:val="24"/>
          <w:vertAlign w:val="superscript"/>
        </w:rPr>
        <w:footnoteReference w:id="11"/>
      </w:r>
    </w:p>
    <w:p w:rsidRPr="002E7426" w:rsidR="002E7426" w:rsidP="002D0E60" w:rsidRDefault="002E7426" w14:paraId="091D661E"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 xml:space="preserve">Under the modified approach described in the Statement, each respondent is expected to prepare a </w:t>
      </w:r>
      <w:r w:rsidRPr="00457F56">
        <w:rPr>
          <w:rFonts w:ascii="Times New Roman" w:hAnsi="Times New Roman"/>
        </w:rPr>
        <w:t>single</w:t>
      </w:r>
      <w:r w:rsidRPr="002E7426">
        <w:rPr>
          <w:rFonts w:ascii="Times New Roman" w:hAnsi="Times New Roman"/>
          <w:iCs/>
          <w:szCs w:val="24"/>
        </w:rPr>
        <w:t xml:space="preserve"> submission in the upcoming three-year renewal cycle, resulting in a response rate of one in three years (or 1/3 per year). Because the OMB’s PRA renewal system limits annual responses to values greater than or equal to one, however, FDIC uses an annual rate of one response by both GSIB specified CIDIs and non-GSIB specified CIDIs (rather than 1/3). To estimate the annual hourly burden incurred by a respondent, we divide the estimated burden hours per submission by three to arrive at the estimated burden hours per year. Thus, FDIC estimates that Resolution Plan Updates by GSIB specified CIDIs will incur 21,920 hours per year</w:t>
      </w:r>
      <w:r w:rsidRPr="002E7426">
        <w:rPr>
          <w:rFonts w:ascii="Times New Roman" w:hAnsi="Times New Roman"/>
          <w:iCs/>
          <w:szCs w:val="24"/>
          <w:vertAlign w:val="superscript"/>
        </w:rPr>
        <w:footnoteReference w:id="12"/>
      </w:r>
      <w:r w:rsidRPr="002E7426">
        <w:rPr>
          <w:rFonts w:ascii="Times New Roman" w:hAnsi="Times New Roman"/>
          <w:iCs/>
          <w:szCs w:val="24"/>
        </w:rPr>
        <w:t xml:space="preserve"> and Resolution Plan Updates by non-GSIB specified CIDIs will incur 3,785.5 hours per year.</w:t>
      </w:r>
      <w:r w:rsidRPr="002E7426">
        <w:rPr>
          <w:rFonts w:ascii="Times New Roman" w:hAnsi="Times New Roman"/>
          <w:iCs/>
          <w:szCs w:val="24"/>
          <w:vertAlign w:val="superscript"/>
        </w:rPr>
        <w:footnoteReference w:id="13"/>
      </w:r>
      <w:r w:rsidRPr="002E7426">
        <w:rPr>
          <w:rFonts w:ascii="Times New Roman" w:hAnsi="Times New Roman"/>
          <w:iCs/>
          <w:szCs w:val="24"/>
        </w:rPr>
        <w:t xml:space="preserve"> </w:t>
      </w:r>
    </w:p>
    <w:p w:rsidRPr="002E7426" w:rsidR="002E7426" w:rsidP="002D0E60" w:rsidRDefault="002E7426" w14:paraId="47E343D2" w14:textId="77777777">
      <w:pPr>
        <w:widowControl/>
        <w:spacing w:after="120"/>
        <w:ind w:left="360" w:firstLine="720"/>
        <w:rPr>
          <w:rFonts w:ascii="Times New Roman" w:hAnsi="Times New Roman"/>
          <w:b/>
          <w:iCs/>
          <w:szCs w:val="24"/>
        </w:rPr>
      </w:pPr>
      <w:r w:rsidRPr="002E7426">
        <w:rPr>
          <w:rFonts w:ascii="Times New Roman" w:hAnsi="Times New Roman"/>
          <w:b/>
          <w:iCs/>
          <w:szCs w:val="24"/>
        </w:rPr>
        <w:t>Resolution Plans by New Filers:</w:t>
      </w:r>
    </w:p>
    <w:p w:rsidRPr="002E7426" w:rsidR="002E7426" w:rsidP="002D0E60" w:rsidRDefault="002E7426" w14:paraId="74ADAE98"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Of the set of potential respondents, the FDIC estimates that two Specified CIDIs will each submit a new Resolution Plan (i.e., submit a plan for the first time).</w:t>
      </w:r>
      <w:r w:rsidRPr="002E7426">
        <w:rPr>
          <w:rFonts w:ascii="Times New Roman" w:hAnsi="Times New Roman"/>
          <w:iCs/>
          <w:szCs w:val="24"/>
          <w:vertAlign w:val="superscript"/>
        </w:rPr>
        <w:footnoteReference w:id="14"/>
      </w:r>
      <w:r w:rsidRPr="002E7426">
        <w:rPr>
          <w:rFonts w:ascii="Times New Roman" w:hAnsi="Times New Roman"/>
          <w:iCs/>
          <w:szCs w:val="24"/>
        </w:rPr>
        <w:t xml:space="preserve"> To estimate the burden imposed by the Rule under the modified approach described in the Statement, FDIC started with the methodology used in the 2018 ICR. That methodology assumed that IDIs that cross the $50 billion threshold will incur approximately 7,200 hours to prepare and submit their first resolution plan. This estimate is substantially higher than a comparative CIDI completing an annual update due to the higher costs of preparing a resolution plan for the first time.</w:t>
      </w:r>
      <w:r w:rsidRPr="002E7426">
        <w:rPr>
          <w:rFonts w:ascii="Times New Roman" w:hAnsi="Times New Roman"/>
          <w:iCs/>
          <w:szCs w:val="24"/>
          <w:vertAlign w:val="superscript"/>
        </w:rPr>
        <w:footnoteReference w:id="15"/>
      </w:r>
      <w:r w:rsidRPr="002E7426">
        <w:rPr>
          <w:rFonts w:ascii="Times New Roman" w:hAnsi="Times New Roman"/>
          <w:iCs/>
          <w:szCs w:val="24"/>
        </w:rPr>
        <w:t xml:space="preserve"> Given that, under modified approach described in the Statement, the total asset threshold is $100 billion in assets rather than $50 billion in assets, as was the case in the 2018 ICR, and the submission moratorium on CIDIs with less than $100 billion in total assets remains in place, the FDIC believes that 14,400 hours (7,200 hours × 2) is a reasonable and appropriate estimate for the burden of first time submissions under the Rule for purposes of this IC. Furthermore, note that the non-individual streamlined content exemptions and engagement changes described above, taken together, reduce the estimated average burden hours of Resolution Plan Updates by 7.7 percent.</w:t>
      </w:r>
      <w:r w:rsidRPr="002E7426">
        <w:rPr>
          <w:rFonts w:ascii="Times New Roman" w:hAnsi="Times New Roman"/>
          <w:iCs/>
          <w:szCs w:val="24"/>
          <w:vertAlign w:val="superscript"/>
        </w:rPr>
        <w:footnoteReference w:id="16"/>
      </w:r>
      <w:r w:rsidRPr="002E7426">
        <w:rPr>
          <w:rFonts w:ascii="Times New Roman" w:hAnsi="Times New Roman"/>
          <w:iCs/>
          <w:szCs w:val="24"/>
        </w:rPr>
        <w:t xml:space="preserve"> The FDIC believes that these changes would also reduce the burden of first time submissions by the same percentage. Thus, FDIC estimates that that each first time Resolution Plan submission will take 13,292 hours to prepare.</w:t>
      </w:r>
      <w:r w:rsidRPr="002E7426">
        <w:rPr>
          <w:rFonts w:ascii="Times New Roman" w:hAnsi="Times New Roman"/>
          <w:iCs/>
          <w:szCs w:val="24"/>
          <w:vertAlign w:val="superscript"/>
        </w:rPr>
        <w:footnoteReference w:id="17"/>
      </w:r>
    </w:p>
    <w:p w:rsidRPr="002E7426" w:rsidR="002E7426" w:rsidP="002D0E60" w:rsidRDefault="002E7426" w14:paraId="460FFF38"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 xml:space="preserve">As </w:t>
      </w:r>
      <w:r w:rsidRPr="00457F56">
        <w:rPr>
          <w:rFonts w:ascii="Times New Roman" w:hAnsi="Times New Roman"/>
        </w:rPr>
        <w:t>stated</w:t>
      </w:r>
      <w:r w:rsidRPr="002E7426">
        <w:rPr>
          <w:rFonts w:ascii="Times New Roman" w:hAnsi="Times New Roman"/>
          <w:iCs/>
          <w:szCs w:val="24"/>
        </w:rPr>
        <w:t xml:space="preserve"> above, each respondent is expected to prepare a single submission in the upcoming three-year cycle, resulting in a response rate equal to 1/3 per year. Because </w:t>
      </w:r>
      <w:r w:rsidRPr="002E7426">
        <w:rPr>
          <w:rFonts w:ascii="Times New Roman" w:hAnsi="Times New Roman"/>
          <w:iCs/>
          <w:szCs w:val="24"/>
        </w:rPr>
        <w:lastRenderedPageBreak/>
        <w:t>the OMB’s PRA renewal system limits annual responses to values greater than or equal to one, however, FDIC uses an annual rate of one response by New Filers.</w:t>
      </w:r>
      <w:r w:rsidRPr="002E7426">
        <w:rPr>
          <w:rFonts w:ascii="Times New Roman" w:hAnsi="Times New Roman"/>
          <w:b/>
          <w:iCs/>
          <w:szCs w:val="24"/>
        </w:rPr>
        <w:t xml:space="preserve"> </w:t>
      </w:r>
      <w:r w:rsidRPr="002E7426">
        <w:rPr>
          <w:rFonts w:ascii="Times New Roman" w:hAnsi="Times New Roman"/>
          <w:iCs/>
          <w:szCs w:val="24"/>
        </w:rPr>
        <w:t>To estimate the annual hourly burden incurred by a respondent, FDIC divides the estimated burden hours per submission by three to arrive at the estimated burden hours per year. Thus, FDIC estimates that Resolution Plans by New Filers will incur 4,430.7 hours per year.</w:t>
      </w:r>
      <w:r w:rsidRPr="002E7426">
        <w:rPr>
          <w:rFonts w:ascii="Times New Roman" w:hAnsi="Times New Roman"/>
          <w:b/>
          <w:iCs/>
          <w:szCs w:val="24"/>
          <w:vertAlign w:val="superscript"/>
        </w:rPr>
        <w:footnoteReference w:id="18"/>
      </w:r>
      <w:r w:rsidRPr="002E7426">
        <w:rPr>
          <w:rFonts w:ascii="Times New Roman" w:hAnsi="Times New Roman"/>
          <w:b/>
          <w:iCs/>
          <w:szCs w:val="24"/>
        </w:rPr>
        <w:t xml:space="preserve"> </w:t>
      </w:r>
    </w:p>
    <w:p w:rsidRPr="002E7426" w:rsidR="002E7426" w:rsidP="002D0E60" w:rsidRDefault="002E7426" w14:paraId="6EBEE6E0" w14:textId="77777777">
      <w:pPr>
        <w:widowControl/>
        <w:spacing w:after="120"/>
        <w:ind w:left="360" w:firstLine="720"/>
        <w:rPr>
          <w:rFonts w:ascii="Times New Roman" w:hAnsi="Times New Roman"/>
          <w:b/>
          <w:iCs/>
          <w:szCs w:val="24"/>
        </w:rPr>
      </w:pPr>
      <w:r w:rsidRPr="002E7426">
        <w:rPr>
          <w:rFonts w:ascii="Times New Roman" w:hAnsi="Times New Roman"/>
          <w:b/>
          <w:iCs/>
          <w:szCs w:val="24"/>
        </w:rPr>
        <w:t>Notice of Material Change:</w:t>
      </w:r>
    </w:p>
    <w:p w:rsidRPr="002E7426" w:rsidR="002E7426" w:rsidP="002D0E60" w:rsidRDefault="002E7426" w14:paraId="2CAC0FEB"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According to the Rule, a CIDI shall file with the FDIC a notice no later than 45 days after any event, occurrence, change in conditions or circumstances or other change that results in, or could reasonably be foreseen to have, a material effect on the resolution plan of the CIDI.</w:t>
      </w:r>
      <w:r w:rsidRPr="002E7426">
        <w:rPr>
          <w:rFonts w:ascii="Times New Roman" w:hAnsi="Times New Roman"/>
          <w:iCs/>
          <w:szCs w:val="24"/>
          <w:vertAlign w:val="superscript"/>
        </w:rPr>
        <w:footnoteReference w:id="19"/>
      </w:r>
      <w:r w:rsidRPr="002E7426">
        <w:rPr>
          <w:rFonts w:ascii="Times New Roman" w:hAnsi="Times New Roman"/>
          <w:iCs/>
          <w:szCs w:val="24"/>
        </w:rPr>
        <w:t xml:space="preserve"> The 2018 ICR </w:t>
      </w:r>
      <w:r w:rsidRPr="00457F56">
        <w:rPr>
          <w:rFonts w:ascii="Times New Roman" w:hAnsi="Times New Roman"/>
        </w:rPr>
        <w:t>estimated</w:t>
      </w:r>
      <w:r w:rsidRPr="002E7426">
        <w:rPr>
          <w:rFonts w:ascii="Times New Roman" w:hAnsi="Times New Roman"/>
          <w:iCs/>
          <w:szCs w:val="24"/>
        </w:rPr>
        <w:t xml:space="preserve"> one annual respondent, two annual responses per respondent, and 120 hours of burden per response, for this Notice of Material Change.  The FDIC believes that two annual respondents each with one annual response per respondent is a more reasonable and appropriate estimate, and this estimate reflects that change. Thus FDIC estimates two annual respondents, one annual response per respondent, and 120 hours of burden per response for the line item Notice of Material Change.  </w:t>
      </w:r>
    </w:p>
    <w:p w:rsidRPr="002E7426" w:rsidR="002E7426" w:rsidP="002D0E60" w:rsidRDefault="002E7426" w14:paraId="5FEB7D9D" w14:textId="77777777">
      <w:pPr>
        <w:widowControl/>
        <w:spacing w:after="120"/>
        <w:ind w:left="360" w:firstLine="720"/>
        <w:rPr>
          <w:rFonts w:ascii="Times New Roman" w:hAnsi="Times New Roman"/>
          <w:b/>
          <w:iCs/>
          <w:szCs w:val="24"/>
        </w:rPr>
      </w:pPr>
      <w:r w:rsidRPr="002E7426">
        <w:rPr>
          <w:rFonts w:ascii="Times New Roman" w:hAnsi="Times New Roman"/>
          <w:b/>
          <w:iCs/>
          <w:szCs w:val="24"/>
        </w:rPr>
        <w:t>Exemption Request:</w:t>
      </w:r>
    </w:p>
    <w:p w:rsidRPr="002E7426" w:rsidR="002E7426" w:rsidP="002D0E60" w:rsidRDefault="002E7426" w14:paraId="683EE8AB" w14:textId="77777777">
      <w:pPr>
        <w:tabs>
          <w:tab w:val="left" w:pos="-1440"/>
        </w:tabs>
        <w:spacing w:after="120"/>
        <w:ind w:left="1080"/>
        <w:outlineLvl w:val="0"/>
        <w:rPr>
          <w:rFonts w:ascii="Times New Roman" w:hAnsi="Times New Roman"/>
          <w:iCs/>
          <w:szCs w:val="24"/>
        </w:rPr>
      </w:pPr>
      <w:r w:rsidRPr="002E7426">
        <w:rPr>
          <w:rFonts w:ascii="Times New Roman" w:hAnsi="Times New Roman"/>
          <w:iCs/>
          <w:szCs w:val="24"/>
        </w:rPr>
        <w:t>As described above, the Rule and the Statement permit a specified CIDI to seek exemptions from the informational requirements of the Rule beyond those described in the Statement or in the letter from the FDIC to the specified CIDI.  Such a request should be in writing and include a “description of why the information would not be useful or material to the FDIC . . . .”</w:t>
      </w:r>
      <w:r w:rsidRPr="002E7426">
        <w:rPr>
          <w:rFonts w:ascii="Times New Roman" w:hAnsi="Times New Roman"/>
          <w:iCs/>
          <w:szCs w:val="24"/>
          <w:vertAlign w:val="superscript"/>
        </w:rPr>
        <w:footnoteReference w:id="20"/>
      </w:r>
      <w:r w:rsidRPr="002E7426">
        <w:rPr>
          <w:rFonts w:ascii="Times New Roman" w:hAnsi="Times New Roman"/>
          <w:iCs/>
          <w:szCs w:val="24"/>
        </w:rPr>
        <w:t xml:space="preserve">  Since the FDIC does not have access to information that would enable it to estimate how many institutions will seek to submit an exemption request or how long it would take to prepare such a request, the FDIC uses placeholder estimates of one such exemption request and one burden hour to complete it.</w:t>
      </w:r>
      <w:r w:rsidRPr="002E7426">
        <w:rPr>
          <w:rFonts w:ascii="Times New Roman" w:hAnsi="Times New Roman"/>
          <w:iCs/>
          <w:szCs w:val="24"/>
          <w:vertAlign w:val="superscript"/>
        </w:rPr>
        <w:footnoteReference w:id="21"/>
      </w:r>
      <w:r w:rsidRPr="002E7426">
        <w:rPr>
          <w:rFonts w:ascii="Times New Roman" w:hAnsi="Times New Roman"/>
          <w:iCs/>
          <w:szCs w:val="24"/>
        </w:rPr>
        <w:t xml:space="preserve"> Thus FDIC estimates one annual respondent, one annual response per respondent, and one hour of burden per response for the line item Exemption Request.</w:t>
      </w:r>
    </w:p>
    <w:p w:rsidRPr="004A3BFA" w:rsidR="004A3BFA" w:rsidP="002D0E60" w:rsidRDefault="004A3BFA" w14:paraId="78CEFB68" w14:textId="77777777">
      <w:pPr>
        <w:keepNext/>
        <w:keepLines/>
        <w:widowControl/>
        <w:spacing w:before="40"/>
        <w:ind w:left="360" w:firstLine="720"/>
        <w:outlineLvl w:val="1"/>
        <w:rPr>
          <w:rFonts w:ascii="Times New Roman" w:hAnsi="Times New Roman"/>
          <w:b/>
          <w:szCs w:val="24"/>
        </w:rPr>
      </w:pPr>
      <w:r w:rsidRPr="004A3BFA">
        <w:rPr>
          <w:rFonts w:ascii="Times New Roman" w:hAnsi="Times New Roman"/>
          <w:b/>
          <w:szCs w:val="24"/>
        </w:rPr>
        <w:t>Summary of Annual Burdens</w:t>
      </w:r>
    </w:p>
    <w:p w:rsidRPr="004A3BFA" w:rsidR="004A3BFA" w:rsidP="004A3BFA" w:rsidRDefault="004A3BFA" w14:paraId="378FC25D" w14:textId="77777777">
      <w:pPr>
        <w:widowControl/>
        <w:rPr>
          <w:rFonts w:ascii="Times New Roman" w:hAnsi="Times New Roman"/>
          <w:szCs w:val="24"/>
        </w:rPr>
      </w:pPr>
    </w:p>
    <w:p w:rsidR="002D0E60" w:rsidP="00457F56" w:rsidRDefault="004A3BFA" w14:paraId="21202DBF" w14:textId="3576D231">
      <w:pPr>
        <w:tabs>
          <w:tab w:val="left" w:pos="-1440"/>
        </w:tabs>
        <w:ind w:left="1080"/>
        <w:outlineLvl w:val="0"/>
        <w:rPr>
          <w:rFonts w:ascii="Times New Roman" w:hAnsi="Times New Roman"/>
          <w:szCs w:val="24"/>
        </w:rPr>
      </w:pPr>
      <w:r w:rsidRPr="004A3BFA">
        <w:rPr>
          <w:rFonts w:ascii="Times New Roman" w:hAnsi="Times New Roman"/>
          <w:szCs w:val="24"/>
        </w:rPr>
        <w:t xml:space="preserve">The estimated annual burden for each line item, in hours, is the product of the estimated annual number of </w:t>
      </w:r>
      <w:r w:rsidRPr="004A3BFA">
        <w:rPr>
          <w:rFonts w:ascii="Times New Roman" w:hAnsi="Times New Roman"/>
        </w:rPr>
        <w:t>respondents</w:t>
      </w:r>
      <w:r w:rsidRPr="004A3BFA">
        <w:rPr>
          <w:rFonts w:ascii="Times New Roman" w:hAnsi="Times New Roman"/>
          <w:szCs w:val="24"/>
        </w:rPr>
        <w:t>, annual number of responses per respondent, and time per response, as summarized in Table 1 below. The total estimated annual burden for this IC is 289,663.4 hours, which is a decrease of 283,128 hours from the 2018 ICR.  The increase is driven by the modified approach to implementing the Rule as outlined in the Statement.</w:t>
      </w:r>
    </w:p>
    <w:p w:rsidR="002D0E60" w:rsidRDefault="002D0E60" w14:paraId="2A6A5FC5" w14:textId="77777777">
      <w:pPr>
        <w:widowControl/>
        <w:rPr>
          <w:rFonts w:ascii="Times New Roman" w:hAnsi="Times New Roman"/>
          <w:szCs w:val="24"/>
        </w:rPr>
      </w:pPr>
      <w:r>
        <w:rPr>
          <w:rFonts w:ascii="Times New Roman" w:hAnsi="Times New Roman"/>
          <w:szCs w:val="24"/>
        </w:rPr>
        <w:lastRenderedPageBreak/>
        <w:br w:type="page"/>
      </w:r>
    </w:p>
    <w:p w:rsidRPr="004A3BFA" w:rsidR="004A3BFA" w:rsidP="00457F56" w:rsidRDefault="004A3BFA" w14:paraId="17D3DA9F" w14:textId="77777777">
      <w:pPr>
        <w:tabs>
          <w:tab w:val="left" w:pos="-1440"/>
        </w:tabs>
        <w:ind w:left="1080"/>
        <w:outlineLvl w:val="0"/>
        <w:rPr>
          <w:rFonts w:ascii="Times New Roman" w:hAnsi="Times New Roman"/>
          <w:szCs w:val="24"/>
        </w:rPr>
      </w:pPr>
    </w:p>
    <w:p w:rsidRPr="004A3BFA" w:rsidR="004A3BFA" w:rsidP="004A3BFA" w:rsidRDefault="004A3BFA" w14:paraId="6A87C88F" w14:textId="77777777">
      <w:pPr>
        <w:widowControl/>
        <w:rPr>
          <w:rFonts w:ascii="Times New Roman" w:hAnsi="Times New Roman"/>
          <w:szCs w:val="24"/>
        </w:rPr>
      </w:pPr>
    </w:p>
    <w:tbl>
      <w:tblPr>
        <w:tblW w:w="9350" w:type="dxa"/>
        <w:jc w:val="center"/>
        <w:tblLook w:val="04A0" w:firstRow="1" w:lastRow="0" w:firstColumn="1" w:lastColumn="0" w:noHBand="0" w:noVBand="1"/>
      </w:tblPr>
      <w:tblGrid>
        <w:gridCol w:w="2245"/>
        <w:gridCol w:w="1800"/>
        <w:gridCol w:w="1350"/>
        <w:gridCol w:w="1170"/>
        <w:gridCol w:w="1080"/>
        <w:gridCol w:w="900"/>
        <w:gridCol w:w="805"/>
      </w:tblGrid>
      <w:tr w:rsidRPr="004A3BFA" w:rsidR="004A3BFA" w:rsidTr="00882A7D" w14:paraId="2A781285" w14:textId="77777777">
        <w:trPr>
          <w:trHeight w:val="320"/>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4A3BFA" w:rsidR="004A3BFA" w:rsidP="004A3BFA" w:rsidRDefault="004A3BFA" w14:paraId="7625FD6C" w14:textId="77777777">
            <w:pPr>
              <w:widowControl/>
              <w:jc w:val="center"/>
              <w:rPr>
                <w:rFonts w:ascii="Times New Roman" w:hAnsi="Times New Roman"/>
                <w:b/>
                <w:bCs/>
                <w:color w:val="000000"/>
                <w:sz w:val="20"/>
              </w:rPr>
            </w:pPr>
            <w:r w:rsidRPr="004A3BFA">
              <w:rPr>
                <w:rFonts w:ascii="Times New Roman" w:hAnsi="Times New Roman"/>
                <w:b/>
                <w:bCs/>
                <w:color w:val="000000"/>
                <w:sz w:val="20"/>
              </w:rPr>
              <w:t>Table 1.  Summary of Estimated Annual Implementation Burdens (OMB No. 3064-0185)</w:t>
            </w:r>
          </w:p>
        </w:tc>
      </w:tr>
      <w:tr w:rsidRPr="004A3BFA" w:rsidR="004A3BFA" w:rsidTr="00882A7D" w14:paraId="0275B8D6" w14:textId="77777777">
        <w:trPr>
          <w:trHeight w:val="775"/>
          <w:jc w:val="center"/>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3BFA" w:rsidR="004A3BFA" w:rsidP="004A3BFA" w:rsidRDefault="004A3BFA" w14:paraId="5B6B3C93" w14:textId="77777777">
            <w:pPr>
              <w:widowControl/>
              <w:rPr>
                <w:rFonts w:ascii="Times New Roman" w:hAnsi="Times New Roman"/>
                <w:color w:val="000000"/>
                <w:sz w:val="16"/>
                <w:szCs w:val="18"/>
              </w:rPr>
            </w:pPr>
            <w:r w:rsidRPr="004A3BFA">
              <w:rPr>
                <w:rFonts w:ascii="Times New Roman" w:hAnsi="Times New Roman"/>
                <w:color w:val="000000"/>
                <w:sz w:val="16"/>
                <w:szCs w:val="18"/>
              </w:rPr>
              <w:t>IC Description</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3BFFBF73"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Type of Burden (Obligation to Respond)</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5D6075C5"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Frequency of Response</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5892DBFC"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150E2F16"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Number of Responses / Respondent</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5C311EFB"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Time per Response (Hours)</w:t>
            </w:r>
          </w:p>
        </w:tc>
        <w:tc>
          <w:tcPr>
            <w:tcW w:w="805" w:type="dxa"/>
            <w:tcBorders>
              <w:top w:val="single" w:color="auto" w:sz="4" w:space="0"/>
              <w:left w:val="nil"/>
              <w:bottom w:val="single" w:color="auto" w:sz="4" w:space="0"/>
              <w:right w:val="single" w:color="auto" w:sz="4" w:space="0"/>
            </w:tcBorders>
            <w:shd w:val="clear" w:color="auto" w:fill="auto"/>
            <w:vAlign w:val="center"/>
            <w:hideMark/>
          </w:tcPr>
          <w:p w:rsidRPr="004A3BFA" w:rsidR="004A3BFA" w:rsidP="004A3BFA" w:rsidRDefault="004A3BFA" w14:paraId="637E61AB" w14:textId="77777777">
            <w:pPr>
              <w:widowControl/>
              <w:jc w:val="center"/>
              <w:rPr>
                <w:rFonts w:ascii="Times New Roman" w:hAnsi="Times New Roman"/>
                <w:bCs/>
                <w:color w:val="000000"/>
                <w:sz w:val="16"/>
                <w:szCs w:val="18"/>
              </w:rPr>
            </w:pPr>
            <w:r w:rsidRPr="004A3BFA">
              <w:rPr>
                <w:rFonts w:ascii="Times New Roman" w:hAnsi="Times New Roman"/>
                <w:bCs/>
                <w:color w:val="000000"/>
                <w:sz w:val="16"/>
                <w:szCs w:val="18"/>
              </w:rPr>
              <w:t>Annual Burden  (Hours)</w:t>
            </w:r>
          </w:p>
        </w:tc>
      </w:tr>
      <w:tr w:rsidRPr="004A3BFA" w:rsidR="004A3BFA" w:rsidTr="00882A7D" w14:paraId="4D4BD37B" w14:textId="77777777">
        <w:trPr>
          <w:trHeight w:val="70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4A3BFA" w:rsidR="004A3BFA" w:rsidP="004A3BFA" w:rsidRDefault="004A3BFA" w14:paraId="7940A9CD" w14:textId="77777777">
            <w:pPr>
              <w:widowControl/>
              <w:rPr>
                <w:rFonts w:ascii="Times New Roman" w:hAnsi="Times New Roman"/>
                <w:color w:val="000000"/>
                <w:sz w:val="18"/>
                <w:szCs w:val="18"/>
              </w:rPr>
            </w:pPr>
            <w:r w:rsidRPr="004A3BFA">
              <w:rPr>
                <w:rFonts w:ascii="Times New Roman" w:hAnsi="Times New Roman"/>
                <w:sz w:val="18"/>
                <w:szCs w:val="18"/>
              </w:rPr>
              <w:t xml:space="preserve">Resolution Plan Updates by </w:t>
            </w:r>
            <w:r w:rsidRPr="004A3BFA">
              <w:rPr>
                <w:rFonts w:ascii="Times New Roman" w:hAnsi="Times New Roman"/>
                <w:snapToGrid w:val="0"/>
                <w:sz w:val="18"/>
                <w:szCs w:val="18"/>
              </w:rPr>
              <w:t>GSIB specified CIDIs</w:t>
            </w:r>
          </w:p>
        </w:tc>
        <w:tc>
          <w:tcPr>
            <w:tcW w:w="1800" w:type="dxa"/>
            <w:tcBorders>
              <w:top w:val="nil"/>
              <w:left w:val="nil"/>
              <w:bottom w:val="single" w:color="auto" w:sz="4" w:space="0"/>
              <w:right w:val="single" w:color="auto" w:sz="4" w:space="0"/>
            </w:tcBorders>
            <w:shd w:val="clear" w:color="auto" w:fill="auto"/>
            <w:noWrap/>
            <w:vAlign w:val="center"/>
            <w:hideMark/>
          </w:tcPr>
          <w:p w:rsidRPr="004A3BFA" w:rsidR="004A3BFA" w:rsidP="004A3BFA" w:rsidRDefault="004A3BFA" w14:paraId="40BF294B"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Reporting (Mandatory)</w:t>
            </w:r>
          </w:p>
        </w:tc>
        <w:tc>
          <w:tcPr>
            <w:tcW w:w="135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009FEA8E"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 xml:space="preserve">Annual </w:t>
            </w:r>
            <w:r w:rsidRPr="004A3BFA">
              <w:rPr>
                <w:rFonts w:ascii="Times New Roman" w:hAnsi="Times New Roman"/>
                <w:color w:val="000000"/>
                <w:sz w:val="18"/>
                <w:szCs w:val="18"/>
              </w:rPr>
              <w:br/>
              <w:t>(3 year cycle)</w:t>
            </w:r>
          </w:p>
        </w:tc>
        <w:tc>
          <w:tcPr>
            <w:tcW w:w="117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11F607EE"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9</w:t>
            </w:r>
          </w:p>
        </w:tc>
        <w:tc>
          <w:tcPr>
            <w:tcW w:w="1080" w:type="dxa"/>
            <w:tcBorders>
              <w:top w:val="nil"/>
              <w:left w:val="nil"/>
              <w:bottom w:val="single" w:color="auto" w:sz="4" w:space="0"/>
              <w:right w:val="single" w:color="auto" w:sz="4" w:space="0"/>
            </w:tcBorders>
            <w:shd w:val="clear" w:color="auto" w:fill="auto"/>
            <w:noWrap/>
            <w:vAlign w:val="center"/>
            <w:hideMark/>
          </w:tcPr>
          <w:p w:rsidRPr="004A3BFA" w:rsidR="004A3BFA" w:rsidP="004A3BFA" w:rsidRDefault="004A3BFA" w14:paraId="269AEDBC"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4A3BFA" w:rsidR="004A3BFA" w:rsidP="004A3BFA" w:rsidRDefault="004A3BFA" w14:paraId="209F1416"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21,920</w:t>
            </w:r>
          </w:p>
        </w:tc>
        <w:tc>
          <w:tcPr>
            <w:tcW w:w="805"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11D25677"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197,280</w:t>
            </w:r>
          </w:p>
        </w:tc>
      </w:tr>
      <w:tr w:rsidRPr="004A3BFA" w:rsidR="004A3BFA" w:rsidTr="00882A7D" w14:paraId="75245928" w14:textId="77777777">
        <w:trPr>
          <w:trHeight w:val="706"/>
          <w:jc w:val="center"/>
        </w:trPr>
        <w:tc>
          <w:tcPr>
            <w:tcW w:w="2245" w:type="dxa"/>
            <w:tcBorders>
              <w:top w:val="nil"/>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70FCF95F" w14:textId="77777777">
            <w:pPr>
              <w:widowControl/>
              <w:rPr>
                <w:rFonts w:ascii="Times New Roman" w:hAnsi="Times New Roman"/>
                <w:sz w:val="18"/>
                <w:szCs w:val="18"/>
              </w:rPr>
            </w:pPr>
            <w:r w:rsidRPr="004A3BFA">
              <w:rPr>
                <w:rFonts w:ascii="Times New Roman" w:hAnsi="Times New Roman"/>
                <w:sz w:val="18"/>
                <w:szCs w:val="18"/>
              </w:rPr>
              <w:t>Resolution Plan Updates non-GSIB specified CIDIs</w:t>
            </w:r>
          </w:p>
        </w:tc>
        <w:tc>
          <w:tcPr>
            <w:tcW w:w="18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33F7B862"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Reporting (Mandatory)</w:t>
            </w:r>
          </w:p>
        </w:tc>
        <w:tc>
          <w:tcPr>
            <w:tcW w:w="135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41695FA4"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 xml:space="preserve">Annual </w:t>
            </w:r>
            <w:r w:rsidRPr="004A3BFA">
              <w:rPr>
                <w:rFonts w:ascii="Times New Roman" w:hAnsi="Times New Roman"/>
                <w:color w:val="000000"/>
                <w:sz w:val="18"/>
                <w:szCs w:val="18"/>
              </w:rPr>
              <w:br/>
              <w:t>(3 year cycle)</w:t>
            </w:r>
          </w:p>
        </w:tc>
        <w:tc>
          <w:tcPr>
            <w:tcW w:w="117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028700D5"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22</w:t>
            </w:r>
          </w:p>
        </w:tc>
        <w:tc>
          <w:tcPr>
            <w:tcW w:w="108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10378E39"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9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3E57E5F2"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3785.5</w:t>
            </w:r>
          </w:p>
        </w:tc>
        <w:tc>
          <w:tcPr>
            <w:tcW w:w="805"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4D1D3919"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83,281</w:t>
            </w:r>
          </w:p>
        </w:tc>
      </w:tr>
      <w:tr w:rsidRPr="004A3BFA" w:rsidR="004A3BFA" w:rsidTr="00882A7D" w14:paraId="3A5B3A42" w14:textId="77777777">
        <w:trPr>
          <w:trHeight w:val="706"/>
          <w:jc w:val="center"/>
        </w:trPr>
        <w:tc>
          <w:tcPr>
            <w:tcW w:w="2245" w:type="dxa"/>
            <w:tcBorders>
              <w:top w:val="nil"/>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0E7D5503" w14:textId="77777777">
            <w:pPr>
              <w:widowControl/>
              <w:rPr>
                <w:rFonts w:ascii="Times New Roman" w:hAnsi="Times New Roman"/>
                <w:sz w:val="18"/>
                <w:szCs w:val="18"/>
              </w:rPr>
            </w:pPr>
            <w:r w:rsidRPr="004A3BFA">
              <w:rPr>
                <w:rFonts w:ascii="Times New Roman" w:hAnsi="Times New Roman"/>
                <w:sz w:val="18"/>
                <w:szCs w:val="18"/>
              </w:rPr>
              <w:t>Resolution Plans by New Filers</w:t>
            </w:r>
          </w:p>
        </w:tc>
        <w:tc>
          <w:tcPr>
            <w:tcW w:w="18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793302C4"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Reporting (Mandatory)</w:t>
            </w:r>
          </w:p>
        </w:tc>
        <w:tc>
          <w:tcPr>
            <w:tcW w:w="135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34FE1FA0"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 xml:space="preserve">Annual </w:t>
            </w:r>
            <w:r w:rsidRPr="004A3BFA">
              <w:rPr>
                <w:rFonts w:ascii="Times New Roman" w:hAnsi="Times New Roman"/>
                <w:color w:val="000000"/>
                <w:sz w:val="18"/>
                <w:szCs w:val="18"/>
              </w:rPr>
              <w:br/>
              <w:t>(3 year cycle)</w:t>
            </w:r>
          </w:p>
        </w:tc>
        <w:tc>
          <w:tcPr>
            <w:tcW w:w="117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141011DF"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2</w:t>
            </w:r>
          </w:p>
        </w:tc>
        <w:tc>
          <w:tcPr>
            <w:tcW w:w="108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478A5C32"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9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21FFCF3F"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4430.7</w:t>
            </w:r>
          </w:p>
        </w:tc>
        <w:tc>
          <w:tcPr>
            <w:tcW w:w="805"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6DBE58A2"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8,861.4</w:t>
            </w:r>
          </w:p>
        </w:tc>
      </w:tr>
      <w:tr w:rsidRPr="004A3BFA" w:rsidR="004A3BFA" w:rsidTr="00882A7D" w14:paraId="7055762A" w14:textId="77777777">
        <w:trPr>
          <w:trHeight w:val="706"/>
          <w:jc w:val="center"/>
        </w:trPr>
        <w:tc>
          <w:tcPr>
            <w:tcW w:w="2245" w:type="dxa"/>
            <w:tcBorders>
              <w:top w:val="nil"/>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58D6D61C" w14:textId="77777777">
            <w:pPr>
              <w:widowControl/>
              <w:rPr>
                <w:rFonts w:ascii="Times New Roman" w:hAnsi="Times New Roman"/>
                <w:sz w:val="18"/>
                <w:szCs w:val="18"/>
              </w:rPr>
            </w:pPr>
            <w:r w:rsidRPr="004A3BFA">
              <w:rPr>
                <w:rFonts w:ascii="Times New Roman" w:hAnsi="Times New Roman"/>
                <w:sz w:val="18"/>
                <w:szCs w:val="18"/>
              </w:rPr>
              <w:t>Notice of Material Change</w:t>
            </w:r>
          </w:p>
        </w:tc>
        <w:tc>
          <w:tcPr>
            <w:tcW w:w="18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44E0CBBC"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Reporting (Mandatory)</w:t>
            </w:r>
          </w:p>
        </w:tc>
        <w:tc>
          <w:tcPr>
            <w:tcW w:w="135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7EF4C3C9"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On occasion</w:t>
            </w:r>
          </w:p>
        </w:tc>
        <w:tc>
          <w:tcPr>
            <w:tcW w:w="117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0F07E3B8"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2</w:t>
            </w:r>
          </w:p>
        </w:tc>
        <w:tc>
          <w:tcPr>
            <w:tcW w:w="108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3CB7BA53"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9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6F73C9A2"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120</w:t>
            </w:r>
          </w:p>
        </w:tc>
        <w:tc>
          <w:tcPr>
            <w:tcW w:w="805"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480B30A1"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240</w:t>
            </w:r>
          </w:p>
        </w:tc>
      </w:tr>
      <w:tr w:rsidRPr="004A3BFA" w:rsidR="004A3BFA" w:rsidTr="00882A7D" w14:paraId="5203574F" w14:textId="77777777">
        <w:trPr>
          <w:trHeight w:val="706"/>
          <w:jc w:val="center"/>
        </w:trPr>
        <w:tc>
          <w:tcPr>
            <w:tcW w:w="2245" w:type="dxa"/>
            <w:tcBorders>
              <w:top w:val="nil"/>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19A315C2" w14:textId="77777777">
            <w:pPr>
              <w:widowControl/>
              <w:rPr>
                <w:rFonts w:ascii="Times New Roman" w:hAnsi="Times New Roman"/>
                <w:sz w:val="18"/>
                <w:szCs w:val="18"/>
              </w:rPr>
            </w:pPr>
            <w:r w:rsidRPr="004A3BFA">
              <w:rPr>
                <w:rFonts w:ascii="Times New Roman" w:hAnsi="Times New Roman"/>
                <w:sz w:val="18"/>
                <w:szCs w:val="18"/>
              </w:rPr>
              <w:t>Exemption Request</w:t>
            </w:r>
          </w:p>
        </w:tc>
        <w:tc>
          <w:tcPr>
            <w:tcW w:w="18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2086678E"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 xml:space="preserve">Reporting </w:t>
            </w:r>
            <w:r w:rsidRPr="004A3BFA">
              <w:rPr>
                <w:rFonts w:ascii="Times New Roman" w:hAnsi="Times New Roman"/>
                <w:color w:val="000000"/>
                <w:sz w:val="18"/>
                <w:szCs w:val="18"/>
              </w:rPr>
              <w:br/>
              <w:t>(Required to obtain benefit)</w:t>
            </w:r>
          </w:p>
        </w:tc>
        <w:tc>
          <w:tcPr>
            <w:tcW w:w="135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5F3F6F47" w14:textId="77777777">
            <w:pPr>
              <w:widowControl/>
              <w:jc w:val="center"/>
              <w:rPr>
                <w:rFonts w:ascii="Times New Roman" w:hAnsi="Times New Roman"/>
                <w:color w:val="000000"/>
                <w:sz w:val="18"/>
                <w:szCs w:val="18"/>
              </w:rPr>
            </w:pPr>
            <w:r w:rsidRPr="004A3BFA">
              <w:rPr>
                <w:rFonts w:ascii="Times New Roman" w:hAnsi="Times New Roman"/>
                <w:color w:val="000000"/>
                <w:sz w:val="18"/>
                <w:szCs w:val="18"/>
              </w:rPr>
              <w:t>On occasion</w:t>
            </w:r>
          </w:p>
        </w:tc>
        <w:tc>
          <w:tcPr>
            <w:tcW w:w="117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1F9CD594"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108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5EBA5FFD"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900"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2F0142DB"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c>
          <w:tcPr>
            <w:tcW w:w="805" w:type="dxa"/>
            <w:tcBorders>
              <w:top w:val="nil"/>
              <w:left w:val="nil"/>
              <w:bottom w:val="single" w:color="auto" w:sz="4" w:space="0"/>
              <w:right w:val="single" w:color="auto" w:sz="4" w:space="0"/>
            </w:tcBorders>
            <w:shd w:val="clear" w:color="auto" w:fill="auto"/>
            <w:noWrap/>
            <w:vAlign w:val="center"/>
          </w:tcPr>
          <w:p w:rsidRPr="004A3BFA" w:rsidR="004A3BFA" w:rsidP="004A3BFA" w:rsidRDefault="004A3BFA" w14:paraId="5E6E8C25" w14:textId="77777777">
            <w:pPr>
              <w:widowControl/>
              <w:jc w:val="right"/>
              <w:rPr>
                <w:rFonts w:ascii="Times New Roman" w:hAnsi="Times New Roman"/>
                <w:color w:val="000000"/>
                <w:sz w:val="18"/>
                <w:szCs w:val="18"/>
              </w:rPr>
            </w:pPr>
            <w:r w:rsidRPr="004A3BFA">
              <w:rPr>
                <w:rFonts w:ascii="Times New Roman" w:hAnsi="Times New Roman"/>
                <w:color w:val="000000"/>
                <w:sz w:val="18"/>
                <w:szCs w:val="18"/>
              </w:rPr>
              <w:t>1</w:t>
            </w:r>
          </w:p>
        </w:tc>
      </w:tr>
      <w:tr w:rsidRPr="004A3BFA" w:rsidR="004A3BFA" w:rsidTr="00882A7D" w14:paraId="632A9242" w14:textId="77777777">
        <w:trPr>
          <w:trHeight w:val="303"/>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653952CE" w14:textId="77777777">
            <w:pPr>
              <w:widowControl/>
              <w:jc w:val="right"/>
              <w:rPr>
                <w:rFonts w:ascii="Times New Roman" w:hAnsi="Times New Roman"/>
                <w:b/>
                <w:color w:val="000000"/>
                <w:sz w:val="16"/>
                <w:szCs w:val="16"/>
              </w:rPr>
            </w:pPr>
            <w:r w:rsidRPr="004A3BFA">
              <w:rPr>
                <w:rFonts w:ascii="Times New Roman" w:hAnsi="Times New Roman"/>
                <w:b/>
                <w:color w:val="000000"/>
                <w:sz w:val="16"/>
                <w:szCs w:val="16"/>
              </w:rPr>
              <w:t xml:space="preserve">Total Annual Burden Hours:    </w:t>
            </w:r>
            <w:bookmarkStart w:name="OLE_LINK8" w:id="1"/>
            <w:bookmarkStart w:name="OLE_LINK9" w:id="2"/>
            <w:r w:rsidRPr="004A3BFA">
              <w:rPr>
                <w:rFonts w:ascii="Times New Roman" w:hAnsi="Times New Roman"/>
                <w:b/>
                <w:color w:val="000000"/>
                <w:sz w:val="16"/>
                <w:szCs w:val="16"/>
              </w:rPr>
              <w:t>289,663.4 hours</w:t>
            </w:r>
            <w:bookmarkEnd w:id="1"/>
            <w:bookmarkEnd w:id="2"/>
          </w:p>
        </w:tc>
      </w:tr>
      <w:tr w:rsidRPr="004A3BFA" w:rsidR="004A3BFA" w:rsidTr="00882A7D" w14:paraId="0DF7E8F8" w14:textId="77777777">
        <w:trPr>
          <w:trHeight w:val="303"/>
          <w:jc w:val="center"/>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4A3BFA" w:rsidR="004A3BFA" w:rsidP="004A3BFA" w:rsidRDefault="004A3BFA" w14:paraId="7339DD9E" w14:textId="77777777">
            <w:pPr>
              <w:widowControl/>
              <w:rPr>
                <w:rFonts w:ascii="Times New Roman" w:hAnsi="Times New Roman"/>
                <w:color w:val="000000"/>
                <w:sz w:val="16"/>
                <w:szCs w:val="16"/>
              </w:rPr>
            </w:pPr>
            <w:r w:rsidRPr="004A3BFA">
              <w:rPr>
                <w:rFonts w:ascii="Times New Roman" w:hAnsi="Times New Roman"/>
                <w:color w:val="000000"/>
                <w:sz w:val="16"/>
                <w:szCs w:val="16"/>
              </w:rPr>
              <w:t xml:space="preserve">Source: FDIC. </w:t>
            </w:r>
          </w:p>
        </w:tc>
      </w:tr>
    </w:tbl>
    <w:p w:rsidR="008D5DF3" w:rsidP="00490EEF" w:rsidRDefault="008D5DF3" w14:paraId="5F0593D6" w14:textId="16CF11BB">
      <w:pPr>
        <w:tabs>
          <w:tab w:val="left" w:pos="-1440"/>
        </w:tabs>
        <w:ind w:left="720" w:hanging="720"/>
        <w:outlineLvl w:val="0"/>
        <w:rPr>
          <w:rFonts w:ascii="Times New Roman" w:hAnsi="Times New Roman"/>
          <w:szCs w:val="24"/>
        </w:rPr>
      </w:pPr>
    </w:p>
    <w:p w:rsidRPr="00457F56" w:rsidR="00457F56" w:rsidP="002D0E60" w:rsidRDefault="00457F56" w14:paraId="28E730BA" w14:textId="77777777">
      <w:pPr>
        <w:pStyle w:val="Heading2"/>
        <w:spacing w:before="0"/>
        <w:ind w:left="360" w:firstLine="720"/>
        <w:rPr>
          <w:rFonts w:ascii="Times New Roman" w:hAnsi="Times New Roman" w:cs="Times New Roman"/>
          <w:sz w:val="24"/>
          <w:szCs w:val="24"/>
        </w:rPr>
      </w:pPr>
      <w:r w:rsidRPr="00457F56">
        <w:rPr>
          <w:rFonts w:ascii="Times New Roman" w:hAnsi="Times New Roman" w:cs="Times New Roman"/>
          <w:sz w:val="24"/>
          <w:szCs w:val="24"/>
        </w:rPr>
        <w:t>Hourly Burden Cost Estimate</w:t>
      </w:r>
    </w:p>
    <w:p w:rsidRPr="00457F56" w:rsidR="00457F56" w:rsidP="00457F56" w:rsidRDefault="00457F56" w14:paraId="48450EF6" w14:textId="77777777">
      <w:pPr>
        <w:tabs>
          <w:tab w:val="center" w:pos="4680"/>
          <w:tab w:val="left" w:pos="5110"/>
        </w:tabs>
        <w:rPr>
          <w:rFonts w:ascii="Times New Roman" w:hAnsi="Times New Roman"/>
          <w:b/>
          <w:szCs w:val="24"/>
        </w:rPr>
      </w:pPr>
    </w:p>
    <w:p w:rsidRPr="00457F56" w:rsidR="00457F56" w:rsidP="002D0E60" w:rsidRDefault="00457F56" w14:paraId="1C5BC079" w14:textId="58D6B892">
      <w:pPr>
        <w:tabs>
          <w:tab w:val="left" w:pos="-1440"/>
        </w:tabs>
        <w:spacing w:after="120"/>
        <w:ind w:left="1080"/>
        <w:outlineLvl w:val="0"/>
        <w:rPr>
          <w:rFonts w:ascii="Times New Roman" w:hAnsi="Times New Roman"/>
          <w:szCs w:val="24"/>
        </w:rPr>
      </w:pPr>
      <w:r w:rsidRPr="00457F56">
        <w:rPr>
          <w:rFonts w:ascii="Times New Roman" w:hAnsi="Times New Roman"/>
          <w:szCs w:val="24"/>
        </w:rPr>
        <w:t>To estimate the weighted average hourly cost of compensation, FDIC uses the 75</w:t>
      </w:r>
      <w:r w:rsidRPr="00457F56">
        <w:rPr>
          <w:rFonts w:ascii="Times New Roman" w:hAnsi="Times New Roman"/>
          <w:szCs w:val="24"/>
          <w:vertAlign w:val="superscript"/>
        </w:rPr>
        <w:t>th</w:t>
      </w:r>
      <w:r w:rsidRPr="00457F56">
        <w:rPr>
          <w:rFonts w:ascii="Times New Roman" w:hAnsi="Times New Roman"/>
          <w:szCs w:val="24"/>
        </w:rPr>
        <w:t xml:space="preserve"> percentile </w:t>
      </w:r>
      <w:r w:rsidRPr="00457F56">
        <w:rPr>
          <w:rFonts w:ascii="Times New Roman" w:hAnsi="Times New Roman"/>
        </w:rPr>
        <w:t>hourly</w:t>
      </w:r>
      <w:r w:rsidRPr="00457F56">
        <w:rPr>
          <w:rFonts w:ascii="Times New Roman" w:hAnsi="Times New Roman"/>
          <w:szCs w:val="24"/>
        </w:rPr>
        <w:t xml:space="preserve"> wages reported by the BLS National Industry-Specific Occupational Employment and Wage Estimates for the relevant occupations in the Depository Credit Intermediation sector, as of May 2020.</w:t>
      </w:r>
      <w:r w:rsidRPr="00457F56">
        <w:rPr>
          <w:rStyle w:val="FootnoteReference"/>
          <w:rFonts w:ascii="Times New Roman" w:hAnsi="Times New Roman"/>
          <w:szCs w:val="24"/>
        </w:rPr>
        <w:footnoteReference w:id="22"/>
      </w:r>
      <w:r w:rsidRPr="00457F56">
        <w:rPr>
          <w:rFonts w:ascii="Times New Roman" w:hAnsi="Times New Roman"/>
          <w:szCs w:val="24"/>
        </w:rPr>
        <w:t xml:space="preserve"> </w:t>
      </w:r>
    </w:p>
    <w:p w:rsidRPr="002D0E60" w:rsidR="00457F56" w:rsidP="002D0E60" w:rsidRDefault="00457F56" w14:paraId="0A4B632B" w14:textId="315CA60E">
      <w:pPr>
        <w:tabs>
          <w:tab w:val="left" w:pos="-1440"/>
        </w:tabs>
        <w:spacing w:after="120"/>
        <w:ind w:left="1080"/>
        <w:outlineLvl w:val="0"/>
        <w:rPr>
          <w:rFonts w:ascii="Times New Roman" w:hAnsi="Times New Roman"/>
          <w:szCs w:val="24"/>
        </w:rPr>
      </w:pPr>
      <w:r w:rsidRPr="00457F56">
        <w:rPr>
          <w:rFonts w:ascii="Times New Roman" w:hAnsi="Times New Roman"/>
          <w:szCs w:val="24"/>
        </w:rPr>
        <w:t xml:space="preserve">The reported hourly wage rates do not include non-monetary compensation. According to the March 2021 Employer Cost of Employee Compensation data, compensation rates for health and other benefits are 33.3 percent of total compensation. To account for non-monetary </w:t>
      </w:r>
      <w:r w:rsidRPr="00457F56">
        <w:rPr>
          <w:rFonts w:ascii="Times New Roman" w:hAnsi="Times New Roman"/>
        </w:rPr>
        <w:t>compensation</w:t>
      </w:r>
      <w:r w:rsidRPr="00457F56">
        <w:rPr>
          <w:rFonts w:ascii="Times New Roman" w:hAnsi="Times New Roman"/>
          <w:szCs w:val="24"/>
        </w:rPr>
        <w:t>, FDIC divides the hourly wage rates reported by BLS by (1 – 0.333).</w:t>
      </w:r>
      <w:r w:rsidRPr="00457F56">
        <w:rPr>
          <w:rStyle w:val="FootnoteReference"/>
          <w:rFonts w:ascii="Times New Roman" w:hAnsi="Times New Roman"/>
          <w:szCs w:val="24"/>
          <w:vertAlign w:val="superscript"/>
        </w:rPr>
        <w:footnoteReference w:id="23"/>
      </w:r>
      <w:r w:rsidRPr="00457F56">
        <w:rPr>
          <w:rFonts w:ascii="Times New Roman" w:hAnsi="Times New Roman"/>
          <w:szCs w:val="24"/>
        </w:rPr>
        <w:t xml:space="preserve"> FDIC also adjusts the hourly wage by 3.31 percent based on changes in the Consumer Price Index for Urban Consumers (CPI-U) from May 2020 to March 2021 to account for inflation and ensure that the wage information is contemporaneous with the non-monetary compensation statistic.</w:t>
      </w:r>
      <w:r w:rsidRPr="00457F56">
        <w:rPr>
          <w:rStyle w:val="FootnoteReference"/>
          <w:rFonts w:ascii="Times New Roman" w:hAnsi="Times New Roman"/>
          <w:szCs w:val="24"/>
          <w:vertAlign w:val="superscript"/>
        </w:rPr>
        <w:footnoteReference w:id="24"/>
      </w:r>
      <w:r w:rsidRPr="00457F56">
        <w:rPr>
          <w:rFonts w:ascii="Times New Roman" w:hAnsi="Times New Roman"/>
          <w:szCs w:val="24"/>
        </w:rPr>
        <w:t xml:space="preserve"> </w:t>
      </w:r>
    </w:p>
    <w:p w:rsidRPr="00457F56" w:rsidR="00457F56" w:rsidP="002D0E60" w:rsidRDefault="00457F56" w14:paraId="0928253E" w14:textId="487AC537">
      <w:pPr>
        <w:tabs>
          <w:tab w:val="left" w:pos="-1440"/>
        </w:tabs>
        <w:spacing w:after="120"/>
        <w:ind w:left="1080"/>
        <w:outlineLvl w:val="0"/>
        <w:rPr>
          <w:rFonts w:ascii="Times New Roman" w:hAnsi="Times New Roman"/>
          <w:szCs w:val="24"/>
        </w:rPr>
      </w:pPr>
      <w:r w:rsidRPr="00457F56">
        <w:rPr>
          <w:rFonts w:ascii="Times New Roman" w:hAnsi="Times New Roman"/>
          <w:szCs w:val="24"/>
        </w:rPr>
        <w:t xml:space="preserve">After </w:t>
      </w:r>
      <w:r>
        <w:rPr>
          <w:rFonts w:ascii="Times New Roman" w:hAnsi="Times New Roman"/>
          <w:szCs w:val="24"/>
        </w:rPr>
        <w:t>calculating these adjustments, FDIC</w:t>
      </w:r>
      <w:r w:rsidRPr="00457F56">
        <w:rPr>
          <w:rFonts w:ascii="Times New Roman" w:hAnsi="Times New Roman"/>
          <w:szCs w:val="24"/>
        </w:rPr>
        <w:t xml:space="preserve"> weight</w:t>
      </w:r>
      <w:r>
        <w:rPr>
          <w:rFonts w:ascii="Times New Roman" w:hAnsi="Times New Roman"/>
          <w:szCs w:val="24"/>
        </w:rPr>
        <w:t>s</w:t>
      </w:r>
      <w:r w:rsidRPr="00457F56">
        <w:rPr>
          <w:rFonts w:ascii="Times New Roman" w:hAnsi="Times New Roman"/>
          <w:szCs w:val="24"/>
        </w:rPr>
        <w:t xml:space="preserve"> the total hourly compensation for the occupation</w:t>
      </w:r>
      <w:r>
        <w:rPr>
          <w:rFonts w:ascii="Times New Roman" w:hAnsi="Times New Roman"/>
          <w:szCs w:val="24"/>
        </w:rPr>
        <w:t>s shown in the table, using the</w:t>
      </w:r>
      <w:r w:rsidRPr="00457F56">
        <w:rPr>
          <w:rFonts w:ascii="Times New Roman" w:hAnsi="Times New Roman"/>
          <w:szCs w:val="24"/>
        </w:rPr>
        <w:t xml:space="preserve"> estimated allocation of labor for each IC </w:t>
      </w:r>
      <w:r>
        <w:rPr>
          <w:rFonts w:ascii="Times New Roman" w:hAnsi="Times New Roman"/>
          <w:szCs w:val="24"/>
        </w:rPr>
        <w:lastRenderedPageBreak/>
        <w:t xml:space="preserve">reflected below </w:t>
      </w:r>
      <w:r w:rsidRPr="00457F56">
        <w:rPr>
          <w:rFonts w:ascii="Times New Roman" w:hAnsi="Times New Roman"/>
        </w:rPr>
        <w:t>to</w:t>
      </w:r>
      <w:r w:rsidRPr="00457F56">
        <w:rPr>
          <w:rFonts w:ascii="Times New Roman" w:hAnsi="Times New Roman"/>
          <w:szCs w:val="24"/>
        </w:rPr>
        <w:t xml:space="preserve"> find the estimated hourly cost of complying with this ICR.</w:t>
      </w:r>
      <w:r w:rsidRPr="00457F56">
        <w:rPr>
          <w:rStyle w:val="FootnoteReference"/>
          <w:rFonts w:ascii="Times New Roman" w:hAnsi="Times New Roman"/>
          <w:szCs w:val="24"/>
          <w:vertAlign w:val="superscript"/>
        </w:rPr>
        <w:footnoteReference w:id="25"/>
      </w:r>
      <w:r w:rsidRPr="00457F56">
        <w:rPr>
          <w:rFonts w:ascii="Times New Roman" w:hAnsi="Times New Roman"/>
          <w:color w:val="FF0000"/>
          <w:szCs w:val="24"/>
        </w:rPr>
        <w:t xml:space="preserve"> </w:t>
      </w:r>
    </w:p>
    <w:p w:rsidRPr="00457F56" w:rsidR="00457F56" w:rsidP="00457F56" w:rsidRDefault="00457F56" w14:paraId="64296CF9" w14:textId="77777777">
      <w:pPr>
        <w:rPr>
          <w:rStyle w:val="normaltextrun"/>
          <w:rFonts w:ascii="Times New Roman" w:hAnsi="Times New Roman"/>
          <w:b/>
          <w:sz w:val="20"/>
        </w:rPr>
      </w:pPr>
    </w:p>
    <w:tbl>
      <w:tblPr>
        <w:tblStyle w:val="TableGrid"/>
        <w:tblW w:w="0" w:type="auto"/>
        <w:tblLook w:val="04A0" w:firstRow="1" w:lastRow="0" w:firstColumn="1" w:lastColumn="0" w:noHBand="0" w:noVBand="1"/>
      </w:tblPr>
      <w:tblGrid>
        <w:gridCol w:w="3415"/>
        <w:gridCol w:w="2070"/>
        <w:gridCol w:w="1350"/>
        <w:gridCol w:w="2515"/>
      </w:tblGrid>
      <w:tr w:rsidRPr="00457F56" w:rsidR="00457F56" w:rsidTr="00882A7D" w14:paraId="40E288D4" w14:textId="77777777">
        <w:tc>
          <w:tcPr>
            <w:tcW w:w="9350" w:type="dxa"/>
            <w:gridSpan w:val="4"/>
            <w:vAlign w:val="center"/>
          </w:tcPr>
          <w:p w:rsidRPr="00457F56" w:rsidR="00457F56" w:rsidP="00882A7D" w:rsidRDefault="00457F56" w14:paraId="2446882A" w14:textId="77777777">
            <w:pPr>
              <w:keepNext/>
              <w:tabs>
                <w:tab w:val="center" w:pos="4680"/>
                <w:tab w:val="left" w:pos="5110"/>
              </w:tabs>
              <w:jc w:val="center"/>
              <w:rPr>
                <w:rFonts w:ascii="Times New Roman" w:hAnsi="Times New Roman"/>
                <w:b/>
                <w:sz w:val="20"/>
              </w:rPr>
            </w:pPr>
            <w:r w:rsidRPr="00457F56">
              <w:rPr>
                <w:rStyle w:val="normaltextrun"/>
                <w:rFonts w:ascii="Times New Roman" w:hAnsi="Times New Roman"/>
                <w:b/>
                <w:sz w:val="20"/>
              </w:rPr>
              <w:t>Table 2. Summary of Hourly Burden Cost Estimate (OMB No. 3064-0185)</w:t>
            </w:r>
          </w:p>
        </w:tc>
      </w:tr>
      <w:tr w:rsidRPr="00457F56" w:rsidR="00457F56" w:rsidTr="00882A7D" w14:paraId="6FF00B7B" w14:textId="77777777">
        <w:tc>
          <w:tcPr>
            <w:tcW w:w="3415" w:type="dxa"/>
            <w:vAlign w:val="center"/>
          </w:tcPr>
          <w:p w:rsidRPr="00457F56" w:rsidR="00457F56" w:rsidP="00882A7D" w:rsidRDefault="00457F56" w14:paraId="4DA7F120" w14:textId="77777777">
            <w:pPr>
              <w:keepNext/>
              <w:tabs>
                <w:tab w:val="center" w:pos="4680"/>
                <w:tab w:val="left" w:pos="5110"/>
              </w:tabs>
              <w:jc w:val="center"/>
              <w:rPr>
                <w:rStyle w:val="normaltextrun"/>
                <w:rFonts w:ascii="Times New Roman" w:hAnsi="Times New Roman"/>
                <w:b/>
                <w:sz w:val="20"/>
              </w:rPr>
            </w:pPr>
            <w:r w:rsidRPr="00457F56">
              <w:rPr>
                <w:rFonts w:ascii="Times New Roman" w:hAnsi="Times New Roman"/>
                <w:color w:val="000000"/>
                <w:sz w:val="20"/>
              </w:rPr>
              <w:t>Estimated Category of Personnel Responsible for Complying with the PRA Burden</w:t>
            </w:r>
          </w:p>
        </w:tc>
        <w:tc>
          <w:tcPr>
            <w:tcW w:w="2070" w:type="dxa"/>
            <w:vAlign w:val="center"/>
          </w:tcPr>
          <w:p w:rsidRPr="00457F56" w:rsidR="00457F56" w:rsidP="00882A7D" w:rsidRDefault="00457F56" w14:paraId="3EDA36BC" w14:textId="77777777">
            <w:pPr>
              <w:keepNext/>
              <w:tabs>
                <w:tab w:val="center" w:pos="4680"/>
                <w:tab w:val="left" w:pos="5110"/>
              </w:tabs>
              <w:jc w:val="center"/>
              <w:rPr>
                <w:rStyle w:val="normaltextrun"/>
                <w:rFonts w:ascii="Times New Roman" w:hAnsi="Times New Roman"/>
                <w:b/>
                <w:sz w:val="20"/>
              </w:rPr>
            </w:pPr>
            <w:r w:rsidRPr="00457F56">
              <w:rPr>
                <w:rFonts w:ascii="Times New Roman" w:hAnsi="Times New Roman"/>
                <w:color w:val="000000"/>
                <w:sz w:val="20"/>
              </w:rPr>
              <w:t>Total Estimated Hourly Compensation</w:t>
            </w:r>
          </w:p>
        </w:tc>
        <w:tc>
          <w:tcPr>
            <w:tcW w:w="1350" w:type="dxa"/>
            <w:vAlign w:val="center"/>
          </w:tcPr>
          <w:p w:rsidRPr="00457F56" w:rsidR="00457F56" w:rsidP="00882A7D" w:rsidRDefault="00457F56" w14:paraId="5472A988" w14:textId="77777777">
            <w:pPr>
              <w:keepNext/>
              <w:tabs>
                <w:tab w:val="center" w:pos="4680"/>
                <w:tab w:val="left" w:pos="5110"/>
              </w:tabs>
              <w:jc w:val="center"/>
              <w:rPr>
                <w:rStyle w:val="normaltextrun"/>
                <w:rFonts w:ascii="Times New Roman" w:hAnsi="Times New Roman"/>
                <w:b/>
                <w:sz w:val="20"/>
              </w:rPr>
            </w:pPr>
            <w:r w:rsidRPr="00457F56">
              <w:rPr>
                <w:rFonts w:ascii="Times New Roman" w:hAnsi="Times New Roman"/>
                <w:color w:val="000000"/>
                <w:sz w:val="20"/>
              </w:rPr>
              <w:t>Estimated Weights</w:t>
            </w:r>
          </w:p>
        </w:tc>
        <w:tc>
          <w:tcPr>
            <w:tcW w:w="2515" w:type="dxa"/>
            <w:vAlign w:val="center"/>
          </w:tcPr>
          <w:p w:rsidRPr="00457F56" w:rsidR="00457F56" w:rsidP="00882A7D" w:rsidRDefault="00457F56" w14:paraId="4DDE9B13" w14:textId="77777777">
            <w:pPr>
              <w:keepNext/>
              <w:tabs>
                <w:tab w:val="center" w:pos="4680"/>
                <w:tab w:val="left" w:pos="5110"/>
              </w:tabs>
              <w:jc w:val="center"/>
              <w:rPr>
                <w:rStyle w:val="normaltextrun"/>
                <w:rFonts w:ascii="Times New Roman" w:hAnsi="Times New Roman"/>
                <w:b/>
                <w:sz w:val="20"/>
              </w:rPr>
            </w:pPr>
            <w:r w:rsidRPr="00457F56">
              <w:rPr>
                <w:rFonts w:ascii="Times New Roman" w:hAnsi="Times New Roman"/>
                <w:color w:val="000000"/>
                <w:sz w:val="20"/>
              </w:rPr>
              <w:t>Estimated Total Weighted Labor Cost Component</w:t>
            </w:r>
          </w:p>
        </w:tc>
      </w:tr>
      <w:tr w:rsidRPr="00457F56" w:rsidR="00457F56" w:rsidTr="00882A7D" w14:paraId="70ECD37B" w14:textId="77777777">
        <w:tc>
          <w:tcPr>
            <w:tcW w:w="3415" w:type="dxa"/>
            <w:vAlign w:val="center"/>
          </w:tcPr>
          <w:p w:rsidRPr="00457F56" w:rsidR="00457F56" w:rsidP="00882A7D" w:rsidRDefault="00457F56" w14:paraId="66F556E2"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Executives and Managers</w:t>
            </w:r>
            <w:r w:rsidRPr="00457F56">
              <w:rPr>
                <w:rStyle w:val="FootnoteReference"/>
                <w:rFonts w:ascii="Times New Roman" w:hAnsi="Times New Roman"/>
                <w:color w:val="000000"/>
                <w:sz w:val="20"/>
              </w:rPr>
              <w:footnoteReference w:id="26"/>
            </w:r>
          </w:p>
        </w:tc>
        <w:tc>
          <w:tcPr>
            <w:tcW w:w="2070" w:type="dxa"/>
          </w:tcPr>
          <w:p w:rsidRPr="00457F56" w:rsidR="00457F56" w:rsidP="00882A7D" w:rsidRDefault="00457F56" w14:paraId="6D12F6D6"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$127.80 </w:t>
            </w:r>
          </w:p>
        </w:tc>
        <w:tc>
          <w:tcPr>
            <w:tcW w:w="1350" w:type="dxa"/>
            <w:vAlign w:val="center"/>
          </w:tcPr>
          <w:p w:rsidRPr="00457F56" w:rsidR="00457F56" w:rsidP="00882A7D" w:rsidRDefault="00457F56" w14:paraId="0B946EAD"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25%</w:t>
            </w:r>
          </w:p>
        </w:tc>
        <w:tc>
          <w:tcPr>
            <w:tcW w:w="2515" w:type="dxa"/>
          </w:tcPr>
          <w:p w:rsidRPr="00457F56" w:rsidR="00457F56" w:rsidP="00882A7D" w:rsidRDefault="00457F56" w14:paraId="58668AEF"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$31.95 </w:t>
            </w:r>
          </w:p>
        </w:tc>
      </w:tr>
      <w:tr w:rsidRPr="00457F56" w:rsidR="00457F56" w:rsidTr="00882A7D" w14:paraId="54145F13" w14:textId="77777777">
        <w:tc>
          <w:tcPr>
            <w:tcW w:w="3415" w:type="dxa"/>
            <w:vAlign w:val="center"/>
          </w:tcPr>
          <w:p w:rsidRPr="00457F56" w:rsidR="00457F56" w:rsidP="00882A7D" w:rsidRDefault="00457F56" w14:paraId="4879FBA9"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Lawyers</w:t>
            </w:r>
            <w:r w:rsidRPr="00457F56">
              <w:rPr>
                <w:rStyle w:val="FootnoteReference"/>
                <w:rFonts w:ascii="Times New Roman" w:hAnsi="Times New Roman"/>
                <w:color w:val="000000"/>
                <w:sz w:val="20"/>
              </w:rPr>
              <w:footnoteReference w:id="27"/>
            </w:r>
          </w:p>
        </w:tc>
        <w:tc>
          <w:tcPr>
            <w:tcW w:w="2070" w:type="dxa"/>
          </w:tcPr>
          <w:p w:rsidRPr="00457F56" w:rsidR="00457F56" w:rsidP="00882A7D" w:rsidRDefault="00457F56" w14:paraId="0AB8647B"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$152.86 </w:t>
            </w:r>
          </w:p>
        </w:tc>
        <w:tc>
          <w:tcPr>
            <w:tcW w:w="1350" w:type="dxa"/>
            <w:vAlign w:val="center"/>
          </w:tcPr>
          <w:p w:rsidRPr="00457F56" w:rsidR="00457F56" w:rsidP="00882A7D" w:rsidRDefault="00457F56" w14:paraId="5EF36D3E"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0%</w:t>
            </w:r>
          </w:p>
        </w:tc>
        <w:tc>
          <w:tcPr>
            <w:tcW w:w="2515" w:type="dxa"/>
          </w:tcPr>
          <w:p w:rsidRPr="00457F56" w:rsidR="00457F56" w:rsidP="00882A7D" w:rsidRDefault="00457F56" w14:paraId="3BB2C3F5"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$0.00 </w:t>
            </w:r>
          </w:p>
        </w:tc>
      </w:tr>
      <w:tr w:rsidRPr="00457F56" w:rsidR="00457F56" w:rsidTr="00882A7D" w14:paraId="069623EC" w14:textId="77777777">
        <w:tc>
          <w:tcPr>
            <w:tcW w:w="3415" w:type="dxa"/>
            <w:vAlign w:val="center"/>
          </w:tcPr>
          <w:p w:rsidRPr="00457F56" w:rsidR="00457F56" w:rsidP="00882A7D" w:rsidRDefault="00457F56" w14:paraId="2C904A46"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Compliance Officer</w:t>
            </w:r>
            <w:r w:rsidRPr="00457F56">
              <w:rPr>
                <w:rStyle w:val="FootnoteReference"/>
                <w:rFonts w:ascii="Times New Roman" w:hAnsi="Times New Roman"/>
                <w:color w:val="000000"/>
                <w:sz w:val="20"/>
              </w:rPr>
              <w:footnoteReference w:id="28"/>
            </w:r>
          </w:p>
        </w:tc>
        <w:tc>
          <w:tcPr>
            <w:tcW w:w="2070" w:type="dxa"/>
          </w:tcPr>
          <w:p w:rsidRPr="00457F56" w:rsidR="00457F56" w:rsidP="00882A7D" w:rsidRDefault="00457F56" w14:paraId="367E2843"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$67.64 </w:t>
            </w:r>
          </w:p>
        </w:tc>
        <w:tc>
          <w:tcPr>
            <w:tcW w:w="1350" w:type="dxa"/>
            <w:vAlign w:val="center"/>
          </w:tcPr>
          <w:p w:rsidRPr="00457F56" w:rsidR="00457F56" w:rsidP="00882A7D" w:rsidRDefault="00457F56" w14:paraId="20DB5B19"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0%</w:t>
            </w:r>
          </w:p>
        </w:tc>
        <w:tc>
          <w:tcPr>
            <w:tcW w:w="2515" w:type="dxa"/>
          </w:tcPr>
          <w:p w:rsidRPr="00457F56" w:rsidR="00457F56" w:rsidP="00882A7D" w:rsidRDefault="00457F56" w14:paraId="1A428FDF"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$0.00 </w:t>
            </w:r>
          </w:p>
        </w:tc>
      </w:tr>
      <w:tr w:rsidRPr="00457F56" w:rsidR="00457F56" w:rsidTr="00882A7D" w14:paraId="5D5C3CB6" w14:textId="77777777">
        <w:tc>
          <w:tcPr>
            <w:tcW w:w="3415" w:type="dxa"/>
            <w:vAlign w:val="center"/>
          </w:tcPr>
          <w:p w:rsidRPr="00457F56" w:rsidR="00457F56" w:rsidP="00882A7D" w:rsidRDefault="00457F56" w14:paraId="48ECDA45"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IT Specialists</w:t>
            </w:r>
            <w:r w:rsidRPr="00457F56">
              <w:rPr>
                <w:rStyle w:val="FootnoteReference"/>
                <w:rFonts w:ascii="Times New Roman" w:hAnsi="Times New Roman"/>
                <w:color w:val="000000"/>
                <w:sz w:val="20"/>
              </w:rPr>
              <w:footnoteReference w:id="29"/>
            </w:r>
          </w:p>
        </w:tc>
        <w:tc>
          <w:tcPr>
            <w:tcW w:w="2070" w:type="dxa"/>
          </w:tcPr>
          <w:p w:rsidRPr="00457F56" w:rsidR="00457F56" w:rsidP="00882A7D" w:rsidRDefault="00457F56" w14:paraId="417E521F"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$94.28 </w:t>
            </w:r>
          </w:p>
        </w:tc>
        <w:tc>
          <w:tcPr>
            <w:tcW w:w="1350" w:type="dxa"/>
            <w:vAlign w:val="center"/>
          </w:tcPr>
          <w:p w:rsidRPr="00457F56" w:rsidR="00457F56" w:rsidP="00882A7D" w:rsidRDefault="00457F56" w14:paraId="26214CED"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0%</w:t>
            </w:r>
          </w:p>
        </w:tc>
        <w:tc>
          <w:tcPr>
            <w:tcW w:w="2515" w:type="dxa"/>
          </w:tcPr>
          <w:p w:rsidRPr="00457F56" w:rsidR="00457F56" w:rsidP="00882A7D" w:rsidRDefault="00457F56" w14:paraId="6690D585"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$0.00 </w:t>
            </w:r>
          </w:p>
        </w:tc>
      </w:tr>
      <w:tr w:rsidRPr="00457F56" w:rsidR="00457F56" w:rsidTr="00882A7D" w14:paraId="6B59A59D" w14:textId="77777777">
        <w:tc>
          <w:tcPr>
            <w:tcW w:w="3415" w:type="dxa"/>
            <w:vAlign w:val="center"/>
          </w:tcPr>
          <w:p w:rsidRPr="00457F56" w:rsidR="00457F56" w:rsidP="00882A7D" w:rsidRDefault="00457F56" w14:paraId="3691F373"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Financial Analysts</w:t>
            </w:r>
            <w:r w:rsidRPr="00457F56">
              <w:rPr>
                <w:rStyle w:val="FootnoteReference"/>
                <w:rFonts w:ascii="Times New Roman" w:hAnsi="Times New Roman"/>
                <w:color w:val="000000"/>
                <w:sz w:val="20"/>
              </w:rPr>
              <w:footnoteReference w:id="30"/>
            </w:r>
          </w:p>
        </w:tc>
        <w:tc>
          <w:tcPr>
            <w:tcW w:w="2070" w:type="dxa"/>
          </w:tcPr>
          <w:p w:rsidRPr="00457F56" w:rsidR="00457F56" w:rsidP="00882A7D" w:rsidRDefault="00457F56" w14:paraId="18355ABF"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$82.31 </w:t>
            </w:r>
          </w:p>
        </w:tc>
        <w:tc>
          <w:tcPr>
            <w:tcW w:w="1350" w:type="dxa"/>
            <w:vAlign w:val="center"/>
          </w:tcPr>
          <w:p w:rsidRPr="00457F56" w:rsidR="00457F56" w:rsidP="00882A7D" w:rsidRDefault="00457F56" w14:paraId="51E70E4D"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75%</w:t>
            </w:r>
          </w:p>
        </w:tc>
        <w:tc>
          <w:tcPr>
            <w:tcW w:w="2515" w:type="dxa"/>
          </w:tcPr>
          <w:p w:rsidRPr="00457F56" w:rsidR="00457F56" w:rsidP="00882A7D" w:rsidRDefault="00457F56" w14:paraId="281C93AA"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$61.73 </w:t>
            </w:r>
          </w:p>
        </w:tc>
      </w:tr>
      <w:tr w:rsidRPr="00457F56" w:rsidR="00457F56" w:rsidTr="00882A7D" w14:paraId="283942FF" w14:textId="77777777">
        <w:tc>
          <w:tcPr>
            <w:tcW w:w="3415" w:type="dxa"/>
            <w:vAlign w:val="center"/>
          </w:tcPr>
          <w:p w:rsidRPr="00457F56" w:rsidR="00457F56" w:rsidP="00882A7D" w:rsidRDefault="00457F56" w14:paraId="69337577"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Clerical</w:t>
            </w:r>
            <w:r w:rsidRPr="00457F56">
              <w:rPr>
                <w:rStyle w:val="FootnoteReference"/>
                <w:rFonts w:ascii="Times New Roman" w:hAnsi="Times New Roman"/>
                <w:color w:val="000000"/>
                <w:sz w:val="20"/>
              </w:rPr>
              <w:footnoteReference w:id="31"/>
            </w:r>
          </w:p>
        </w:tc>
        <w:tc>
          <w:tcPr>
            <w:tcW w:w="2070" w:type="dxa"/>
          </w:tcPr>
          <w:p w:rsidRPr="00457F56" w:rsidR="00457F56" w:rsidP="00882A7D" w:rsidRDefault="00457F56" w14:paraId="762E32C4"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$34.73 </w:t>
            </w:r>
          </w:p>
        </w:tc>
        <w:tc>
          <w:tcPr>
            <w:tcW w:w="1350" w:type="dxa"/>
            <w:vAlign w:val="center"/>
          </w:tcPr>
          <w:p w:rsidRPr="00457F56" w:rsidR="00457F56" w:rsidP="00882A7D" w:rsidRDefault="00457F56" w14:paraId="655E6F8E"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0%</w:t>
            </w:r>
          </w:p>
        </w:tc>
        <w:tc>
          <w:tcPr>
            <w:tcW w:w="2515" w:type="dxa"/>
          </w:tcPr>
          <w:p w:rsidRPr="00457F56" w:rsidR="00457F56" w:rsidP="00882A7D" w:rsidRDefault="00457F56" w14:paraId="72EA7938"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$0.00 </w:t>
            </w:r>
          </w:p>
        </w:tc>
      </w:tr>
      <w:tr w:rsidRPr="00457F56" w:rsidR="00457F56" w:rsidTr="00882A7D" w14:paraId="5D292455" w14:textId="77777777">
        <w:tc>
          <w:tcPr>
            <w:tcW w:w="5485" w:type="dxa"/>
            <w:gridSpan w:val="2"/>
            <w:vAlign w:val="center"/>
          </w:tcPr>
          <w:p w:rsidRPr="00457F56" w:rsidR="00457F56" w:rsidP="00882A7D" w:rsidRDefault="00457F56" w14:paraId="37CBE89C" w14:textId="77777777">
            <w:pPr>
              <w:keepNext/>
              <w:tabs>
                <w:tab w:val="center" w:pos="4680"/>
                <w:tab w:val="left" w:pos="5110"/>
              </w:tabs>
              <w:rPr>
                <w:rStyle w:val="normaltextrun"/>
                <w:rFonts w:ascii="Times New Roman" w:hAnsi="Times New Roman"/>
                <w:b/>
                <w:sz w:val="20"/>
              </w:rPr>
            </w:pPr>
            <w:r w:rsidRPr="00457F56">
              <w:rPr>
                <w:rFonts w:ascii="Times New Roman" w:hAnsi="Times New Roman"/>
                <w:color w:val="000000"/>
                <w:sz w:val="20"/>
              </w:rPr>
              <w:t>Total Estimated Weighted Average Hourly Compensation Rate </w:t>
            </w:r>
          </w:p>
        </w:tc>
        <w:tc>
          <w:tcPr>
            <w:tcW w:w="1350" w:type="dxa"/>
            <w:vAlign w:val="center"/>
          </w:tcPr>
          <w:p w:rsidRPr="00457F56" w:rsidR="00457F56" w:rsidP="00882A7D" w:rsidRDefault="00457F56" w14:paraId="24A77673"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color w:val="000000"/>
                <w:sz w:val="20"/>
              </w:rPr>
              <w:t>100%</w:t>
            </w:r>
          </w:p>
        </w:tc>
        <w:tc>
          <w:tcPr>
            <w:tcW w:w="2515" w:type="dxa"/>
          </w:tcPr>
          <w:p w:rsidRPr="00457F56" w:rsidR="00457F56" w:rsidP="00882A7D" w:rsidRDefault="00457F56" w14:paraId="4777E215" w14:textId="77777777">
            <w:pPr>
              <w:keepNext/>
              <w:tabs>
                <w:tab w:val="center" w:pos="4680"/>
                <w:tab w:val="left" w:pos="5110"/>
              </w:tabs>
              <w:jc w:val="right"/>
              <w:rPr>
                <w:rStyle w:val="normaltextrun"/>
                <w:rFonts w:ascii="Times New Roman" w:hAnsi="Times New Roman"/>
                <w:b/>
                <w:sz w:val="20"/>
              </w:rPr>
            </w:pPr>
            <w:r w:rsidRPr="00457F56">
              <w:rPr>
                <w:rFonts w:ascii="Times New Roman" w:hAnsi="Times New Roman"/>
                <w:sz w:val="20"/>
              </w:rPr>
              <w:t xml:space="preserve">$93.68 </w:t>
            </w:r>
          </w:p>
        </w:tc>
      </w:tr>
      <w:tr w:rsidRPr="00457F56" w:rsidR="00457F56" w:rsidTr="00882A7D" w14:paraId="21511E3E" w14:textId="77777777">
        <w:tc>
          <w:tcPr>
            <w:tcW w:w="9350" w:type="dxa"/>
            <w:gridSpan w:val="4"/>
            <w:vAlign w:val="center"/>
          </w:tcPr>
          <w:p w:rsidRPr="00457F56" w:rsidR="00457F56" w:rsidP="00882A7D" w:rsidRDefault="00457F56" w14:paraId="0E63AF84" w14:textId="77777777">
            <w:pPr>
              <w:keepNext/>
              <w:tabs>
                <w:tab w:val="center" w:pos="4680"/>
                <w:tab w:val="left" w:pos="5110"/>
              </w:tabs>
              <w:rPr>
                <w:rFonts w:ascii="Times New Roman" w:hAnsi="Times New Roman"/>
                <w:color w:val="000000"/>
                <w:sz w:val="16"/>
                <w:szCs w:val="16"/>
              </w:rPr>
            </w:pPr>
            <w:r w:rsidRPr="00457F56">
              <w:rPr>
                <w:rStyle w:val="normaltextrun"/>
                <w:rFonts w:ascii="Times New Roman" w:hAnsi="Times New Roman"/>
                <w:sz w:val="16"/>
                <w:szCs w:val="16"/>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tc>
      </w:tr>
    </w:tbl>
    <w:p w:rsidRPr="00457F56" w:rsidR="00457F56" w:rsidP="00457F56" w:rsidRDefault="00457F56" w14:paraId="4001E858" w14:textId="77777777">
      <w:pPr>
        <w:tabs>
          <w:tab w:val="center" w:pos="4680"/>
          <w:tab w:val="left" w:pos="5110"/>
        </w:tabs>
        <w:rPr>
          <w:rFonts w:ascii="Times New Roman" w:hAnsi="Times New Roman"/>
          <w:sz w:val="20"/>
        </w:rPr>
      </w:pPr>
    </w:p>
    <w:p w:rsidRPr="00457F56" w:rsidR="00457F56" w:rsidP="002D0E60" w:rsidRDefault="00457F56" w14:paraId="243B5E2C" w14:textId="77777777">
      <w:pPr>
        <w:pStyle w:val="Heading2"/>
        <w:spacing w:before="0" w:after="120"/>
        <w:ind w:left="360" w:firstLine="720"/>
        <w:rPr>
          <w:rFonts w:ascii="Times New Roman" w:hAnsi="Times New Roman" w:cs="Times New Roman"/>
          <w:sz w:val="24"/>
          <w:szCs w:val="24"/>
        </w:rPr>
      </w:pPr>
      <w:r w:rsidRPr="00457F56">
        <w:rPr>
          <w:rFonts w:ascii="Times New Roman" w:hAnsi="Times New Roman" w:cs="Times New Roman"/>
          <w:sz w:val="24"/>
          <w:szCs w:val="24"/>
        </w:rPr>
        <w:t>Total Estimated Cost Burden</w:t>
      </w:r>
    </w:p>
    <w:p w:rsidRPr="00457F56" w:rsidR="00457F56" w:rsidP="002D0E60" w:rsidRDefault="00457F56" w14:paraId="3BA0DB5C" w14:textId="1C496172">
      <w:pPr>
        <w:tabs>
          <w:tab w:val="left" w:pos="-1440"/>
        </w:tabs>
        <w:ind w:left="1080"/>
        <w:outlineLvl w:val="0"/>
        <w:rPr>
          <w:rFonts w:ascii="Times New Roman" w:hAnsi="Times New Roman"/>
          <w:szCs w:val="24"/>
        </w:rPr>
      </w:pPr>
      <w:r w:rsidRPr="00457F56">
        <w:rPr>
          <w:rFonts w:ascii="Times New Roman" w:hAnsi="Times New Roman"/>
          <w:szCs w:val="24"/>
        </w:rPr>
        <w:t xml:space="preserve">The total annual cost burden is estimated as: 289,663.4 hours per year </w:t>
      </w:r>
      <w:r>
        <w:rPr>
          <w:rFonts w:ascii="Times New Roman" w:hAnsi="Times New Roman"/>
          <w:szCs w:val="24"/>
        </w:rPr>
        <w:t>multiplied by</w:t>
      </w:r>
      <w:r w:rsidRPr="00457F56">
        <w:rPr>
          <w:rFonts w:ascii="Times New Roman" w:hAnsi="Times New Roman"/>
          <w:szCs w:val="24"/>
        </w:rPr>
        <w:t xml:space="preserve"> $93.68 per</w:t>
      </w:r>
      <w:r>
        <w:rPr>
          <w:rFonts w:ascii="Times New Roman" w:hAnsi="Times New Roman"/>
          <w:szCs w:val="24"/>
        </w:rPr>
        <w:t xml:space="preserve"> hour </w:t>
      </w:r>
      <w:r w:rsidRPr="00457F56">
        <w:rPr>
          <w:rFonts w:ascii="Times New Roman" w:hAnsi="Times New Roman"/>
        </w:rPr>
        <w:t>which</w:t>
      </w:r>
      <w:r>
        <w:rPr>
          <w:rFonts w:ascii="Times New Roman" w:hAnsi="Times New Roman"/>
          <w:szCs w:val="24"/>
        </w:rPr>
        <w:t xml:space="preserve"> results in </w:t>
      </w:r>
      <w:r w:rsidRPr="00457F56">
        <w:rPr>
          <w:rFonts w:ascii="Times New Roman" w:hAnsi="Times New Roman"/>
          <w:szCs w:val="24"/>
        </w:rPr>
        <w:t>$27,136,391 per year.</w:t>
      </w:r>
    </w:p>
    <w:p w:rsidRPr="00A658D8" w:rsidR="008D5DF3" w:rsidP="00FD6C9D" w:rsidRDefault="008D5DF3" w14:paraId="288FF6A8" w14:textId="05703B26">
      <w:pPr>
        <w:rPr>
          <w:rFonts w:ascii="Times New Roman" w:hAnsi="Times New Roman"/>
          <w:szCs w:val="24"/>
        </w:rPr>
      </w:pPr>
    </w:p>
    <w:p w:rsidRPr="00A658D8" w:rsidR="008D5DF3" w:rsidP="00A658D8" w:rsidRDefault="00DC4739" w14:paraId="35F65A75" w14:textId="77777777">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Capital, Start-up, Operating, and Maintenance Costs</w:t>
      </w:r>
    </w:p>
    <w:p w:rsidRPr="00A658D8" w:rsidR="008D5DF3" w:rsidP="00A658D8" w:rsidRDefault="008D5DF3" w14:paraId="46F902A9" w14:textId="77777777">
      <w:pPr>
        <w:ind w:left="1080"/>
        <w:rPr>
          <w:rFonts w:ascii="Times New Roman" w:hAnsi="Times New Roman"/>
          <w:szCs w:val="24"/>
        </w:rPr>
      </w:pPr>
      <w:r w:rsidRPr="00A658D8">
        <w:rPr>
          <w:rFonts w:ascii="Times New Roman" w:hAnsi="Times New Roman"/>
          <w:szCs w:val="24"/>
        </w:rPr>
        <w:t>None.</w:t>
      </w:r>
    </w:p>
    <w:p w:rsidRPr="00A658D8" w:rsidR="00A658D8" w:rsidP="00850D6B" w:rsidRDefault="00A658D8" w14:paraId="59E7E429" w14:textId="77777777">
      <w:pPr>
        <w:outlineLvl w:val="0"/>
        <w:rPr>
          <w:rFonts w:ascii="Times New Roman" w:hAnsi="Times New Roman"/>
          <w:szCs w:val="24"/>
        </w:rPr>
      </w:pPr>
    </w:p>
    <w:p w:rsidRPr="00A658D8" w:rsidR="008D5DF3" w:rsidP="00A658D8" w:rsidRDefault="008D5DF3" w14:paraId="3028DFC6"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Estimate</w:t>
      </w:r>
      <w:r w:rsidR="00DC4739">
        <w:rPr>
          <w:rFonts w:ascii="Times New Roman" w:hAnsi="Times New Roman"/>
          <w:sz w:val="24"/>
          <w:szCs w:val="24"/>
          <w:u w:val="single"/>
        </w:rPr>
        <w:t>d Annualized Cost</w:t>
      </w:r>
      <w:r w:rsidRPr="00A658D8">
        <w:rPr>
          <w:rFonts w:ascii="Times New Roman" w:hAnsi="Times New Roman"/>
          <w:sz w:val="24"/>
          <w:szCs w:val="24"/>
          <w:u w:val="single"/>
        </w:rPr>
        <w:t xml:space="preserve"> to </w:t>
      </w:r>
      <w:r w:rsidR="00DC4739">
        <w:rPr>
          <w:rFonts w:ascii="Times New Roman" w:hAnsi="Times New Roman"/>
          <w:sz w:val="24"/>
          <w:szCs w:val="24"/>
          <w:u w:val="single"/>
        </w:rPr>
        <w:t>the Federal Government</w:t>
      </w:r>
    </w:p>
    <w:p w:rsidRPr="00A658D8" w:rsidR="008D5DF3" w:rsidP="00A658D8" w:rsidRDefault="008D5DF3" w14:paraId="2B1D7178" w14:textId="77777777">
      <w:pPr>
        <w:ind w:left="1080"/>
        <w:outlineLvl w:val="0"/>
        <w:rPr>
          <w:rFonts w:ascii="Times New Roman" w:hAnsi="Times New Roman"/>
          <w:szCs w:val="24"/>
        </w:rPr>
      </w:pPr>
      <w:r w:rsidRPr="00A658D8">
        <w:rPr>
          <w:rFonts w:ascii="Times New Roman" w:hAnsi="Times New Roman"/>
          <w:szCs w:val="24"/>
        </w:rPr>
        <w:t>None.</w:t>
      </w:r>
    </w:p>
    <w:p w:rsidRPr="00A658D8" w:rsidR="008D5DF3" w:rsidP="00850D6B" w:rsidRDefault="008D5DF3" w14:paraId="2396C776" w14:textId="77777777">
      <w:pPr>
        <w:rPr>
          <w:rFonts w:ascii="Times New Roman" w:hAnsi="Times New Roman"/>
          <w:szCs w:val="24"/>
        </w:rPr>
      </w:pPr>
    </w:p>
    <w:p w:rsidRPr="00DC4739" w:rsidR="008D5DF3" w:rsidP="00A658D8" w:rsidRDefault="00DC4739" w14:paraId="6A6EBC8D" w14:textId="77777777">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Reason for Change in Burden</w:t>
      </w:r>
    </w:p>
    <w:p w:rsidRPr="00DC4739" w:rsidR="008D5DF3" w:rsidP="00DC4739" w:rsidRDefault="00DC4739" w14:paraId="35446063" w14:textId="0B72919E">
      <w:pPr>
        <w:ind w:left="1080"/>
        <w:rPr>
          <w:rFonts w:ascii="Times New Roman" w:hAnsi="Times New Roman"/>
          <w:szCs w:val="24"/>
        </w:rPr>
      </w:pPr>
      <w:r w:rsidRPr="00DC4739">
        <w:rPr>
          <w:rFonts w:ascii="Times New Roman" w:hAnsi="Times New Roman"/>
          <w:szCs w:val="24"/>
        </w:rPr>
        <w:t xml:space="preserve">The annual burden for this information collection is estimated to be </w:t>
      </w:r>
      <w:r w:rsidR="00774164">
        <w:rPr>
          <w:rFonts w:ascii="Times New Roman" w:hAnsi="Times New Roman"/>
          <w:szCs w:val="24"/>
        </w:rPr>
        <w:t xml:space="preserve">289,663.4 </w:t>
      </w:r>
      <w:r w:rsidRPr="00DC4739">
        <w:rPr>
          <w:rFonts w:ascii="Times New Roman" w:hAnsi="Times New Roman"/>
          <w:szCs w:val="24"/>
        </w:rPr>
        <w:t xml:space="preserve">hours. This represents </w:t>
      </w:r>
      <w:r w:rsidR="00774164">
        <w:rPr>
          <w:rFonts w:ascii="Times New Roman" w:hAnsi="Times New Roman"/>
          <w:szCs w:val="24"/>
        </w:rPr>
        <w:t xml:space="preserve">a decrease of 283,127.6 </w:t>
      </w:r>
      <w:r w:rsidRPr="00DC4739">
        <w:rPr>
          <w:rFonts w:ascii="Times New Roman" w:hAnsi="Times New Roman"/>
          <w:szCs w:val="24"/>
        </w:rPr>
        <w:t xml:space="preserve">hours from the current burden estimate of </w:t>
      </w:r>
      <w:r w:rsidR="00774164">
        <w:rPr>
          <w:rFonts w:ascii="Times New Roman" w:hAnsi="Times New Roman"/>
          <w:szCs w:val="24"/>
        </w:rPr>
        <w:t xml:space="preserve">572,791 </w:t>
      </w:r>
      <w:r w:rsidRPr="00DC4739">
        <w:rPr>
          <w:rFonts w:ascii="Times New Roman" w:hAnsi="Times New Roman"/>
          <w:szCs w:val="24"/>
        </w:rPr>
        <w:t xml:space="preserve">hours.  </w:t>
      </w:r>
      <w:r w:rsidR="00DD05CA">
        <w:rPr>
          <w:rFonts w:ascii="Times New Roman" w:hAnsi="Times New Roman"/>
          <w:szCs w:val="24"/>
        </w:rPr>
        <w:t xml:space="preserve">This decrease is due to the </w:t>
      </w:r>
      <w:r w:rsidR="002D322F">
        <w:rPr>
          <w:rFonts w:ascii="Times New Roman" w:hAnsi="Times New Roman"/>
          <w:szCs w:val="24"/>
        </w:rPr>
        <w:t xml:space="preserve">expected </w:t>
      </w:r>
      <w:r w:rsidR="00DD05CA">
        <w:rPr>
          <w:rFonts w:ascii="Times New Roman" w:hAnsi="Times New Roman"/>
          <w:szCs w:val="24"/>
        </w:rPr>
        <w:t xml:space="preserve">exemptions </w:t>
      </w:r>
      <w:r w:rsidR="008D73BF">
        <w:rPr>
          <w:rFonts w:ascii="Times New Roman" w:hAnsi="Times New Roman"/>
          <w:szCs w:val="24"/>
        </w:rPr>
        <w:t>to be granted</w:t>
      </w:r>
      <w:r w:rsidR="00DD05CA">
        <w:rPr>
          <w:rFonts w:ascii="Times New Roman" w:hAnsi="Times New Roman"/>
          <w:szCs w:val="24"/>
        </w:rPr>
        <w:t xml:space="preserve"> by the FDIC with respect to certain of the Rule’s information requirements and the extension of the reporting period from biannual to triennial.  </w:t>
      </w:r>
      <w:r w:rsidRPr="00DC4739">
        <w:rPr>
          <w:rFonts w:ascii="Times New Roman" w:hAnsi="Times New Roman"/>
          <w:szCs w:val="24"/>
        </w:rPr>
        <w:t xml:space="preserve">Because </w:t>
      </w:r>
      <w:r w:rsidR="00504EB7">
        <w:rPr>
          <w:rFonts w:ascii="Times New Roman" w:hAnsi="Times New Roman"/>
          <w:szCs w:val="24"/>
        </w:rPr>
        <w:t xml:space="preserve">the FDIC anticipates that </w:t>
      </w:r>
      <w:r w:rsidRPr="00DC4739">
        <w:rPr>
          <w:rFonts w:ascii="Times New Roman" w:hAnsi="Times New Roman"/>
          <w:szCs w:val="24"/>
        </w:rPr>
        <w:t xml:space="preserve">submissions </w:t>
      </w:r>
      <w:r w:rsidR="00504EB7">
        <w:rPr>
          <w:rFonts w:ascii="Times New Roman" w:hAnsi="Times New Roman"/>
          <w:szCs w:val="24"/>
        </w:rPr>
        <w:t xml:space="preserve">will be </w:t>
      </w:r>
      <w:r w:rsidRPr="00DC4739">
        <w:rPr>
          <w:rFonts w:ascii="Times New Roman" w:hAnsi="Times New Roman"/>
          <w:szCs w:val="24"/>
        </w:rPr>
        <w:t xml:space="preserve">required no more frequently than </w:t>
      </w:r>
      <w:r w:rsidR="00504EB7">
        <w:rPr>
          <w:rFonts w:ascii="Times New Roman" w:hAnsi="Times New Roman"/>
          <w:szCs w:val="24"/>
        </w:rPr>
        <w:t>tri</w:t>
      </w:r>
      <w:r w:rsidRPr="00DC4739" w:rsidR="00504EB7">
        <w:rPr>
          <w:rFonts w:ascii="Times New Roman" w:hAnsi="Times New Roman"/>
          <w:szCs w:val="24"/>
        </w:rPr>
        <w:t>ennially</w:t>
      </w:r>
      <w:r w:rsidRPr="00DC4739">
        <w:rPr>
          <w:rFonts w:ascii="Times New Roman" w:hAnsi="Times New Roman"/>
          <w:szCs w:val="24"/>
        </w:rPr>
        <w:t xml:space="preserve">, the burden associated with the Annual Update has been </w:t>
      </w:r>
      <w:r w:rsidR="00504EB7">
        <w:rPr>
          <w:rFonts w:ascii="Times New Roman" w:hAnsi="Times New Roman"/>
          <w:szCs w:val="24"/>
        </w:rPr>
        <w:t xml:space="preserve">divided by three </w:t>
      </w:r>
      <w:r w:rsidRPr="00DC4739">
        <w:rPr>
          <w:rFonts w:ascii="Times New Roman" w:hAnsi="Times New Roman"/>
          <w:szCs w:val="24"/>
        </w:rPr>
        <w:t xml:space="preserve">to represent </w:t>
      </w:r>
      <w:r w:rsidR="00504EB7">
        <w:rPr>
          <w:rFonts w:ascii="Times New Roman" w:hAnsi="Times New Roman"/>
          <w:szCs w:val="24"/>
        </w:rPr>
        <w:t xml:space="preserve">one </w:t>
      </w:r>
      <w:r w:rsidRPr="00DC4739">
        <w:rPr>
          <w:rFonts w:ascii="Times New Roman" w:hAnsi="Times New Roman"/>
          <w:szCs w:val="24"/>
        </w:rPr>
        <w:t xml:space="preserve">Annual </w:t>
      </w:r>
      <w:r w:rsidRPr="00DC4739">
        <w:rPr>
          <w:rFonts w:ascii="Times New Roman" w:hAnsi="Times New Roman"/>
          <w:szCs w:val="24"/>
        </w:rPr>
        <w:lastRenderedPageBreak/>
        <w:t>Update filings over the three-year period contemplated by this notice and renewal.</w:t>
      </w:r>
      <w:r w:rsidRPr="00DC4739" w:rsidR="008D5DF3">
        <w:rPr>
          <w:rFonts w:ascii="Times New Roman" w:hAnsi="Times New Roman"/>
          <w:szCs w:val="24"/>
        </w:rPr>
        <w:t xml:space="preserve"> </w:t>
      </w:r>
    </w:p>
    <w:p w:rsidRPr="00A658D8" w:rsidR="008D5DF3" w:rsidP="00850D6B" w:rsidRDefault="008D5DF3" w14:paraId="1B3296C6" w14:textId="77777777">
      <w:pPr>
        <w:rPr>
          <w:rFonts w:ascii="Times New Roman" w:hAnsi="Times New Roman"/>
          <w:szCs w:val="24"/>
        </w:rPr>
      </w:pPr>
    </w:p>
    <w:p w:rsidRPr="00DC4739" w:rsidR="008D5DF3" w:rsidP="00DC4739" w:rsidRDefault="00DC4739" w14:paraId="7ECEF77A" w14:textId="77777777">
      <w:pPr>
        <w:pStyle w:val="ListParagraph"/>
        <w:numPr>
          <w:ilvl w:val="1"/>
          <w:numId w:val="18"/>
        </w:numPr>
        <w:tabs>
          <w:tab w:val="left" w:pos="-1440"/>
        </w:tabs>
        <w:outlineLvl w:val="0"/>
        <w:rPr>
          <w:rFonts w:ascii="Times New Roman" w:hAnsi="Times New Roman"/>
          <w:sz w:val="24"/>
          <w:szCs w:val="24"/>
        </w:rPr>
      </w:pPr>
      <w:r w:rsidRPr="00DC4739">
        <w:rPr>
          <w:rFonts w:ascii="Times New Roman" w:hAnsi="Times New Roman"/>
          <w:sz w:val="24"/>
          <w:szCs w:val="24"/>
          <w:u w:val="single"/>
        </w:rPr>
        <w:t>Publication</w:t>
      </w:r>
    </w:p>
    <w:p w:rsidRPr="00A658D8" w:rsidR="008D5DF3" w:rsidP="00A658D8" w:rsidRDefault="008D5DF3" w14:paraId="64F90372" w14:textId="77777777">
      <w:pPr>
        <w:ind w:left="1080"/>
        <w:outlineLvl w:val="0"/>
        <w:rPr>
          <w:rFonts w:ascii="Times New Roman" w:hAnsi="Times New Roman"/>
          <w:szCs w:val="24"/>
        </w:rPr>
      </w:pPr>
      <w:r w:rsidRPr="00A658D8">
        <w:rPr>
          <w:rFonts w:ascii="Times New Roman" w:hAnsi="Times New Roman"/>
          <w:szCs w:val="24"/>
        </w:rPr>
        <w:t>No publication for statistical use is contemplated.</w:t>
      </w:r>
    </w:p>
    <w:p w:rsidRPr="00A658D8" w:rsidR="008D5DF3" w:rsidP="00850D6B" w:rsidRDefault="008D5DF3" w14:paraId="40061DA2" w14:textId="77777777">
      <w:pPr>
        <w:rPr>
          <w:rFonts w:ascii="Times New Roman" w:hAnsi="Times New Roman"/>
          <w:szCs w:val="24"/>
        </w:rPr>
      </w:pPr>
    </w:p>
    <w:p w:rsidRPr="00A658D8" w:rsidR="008D5DF3" w:rsidP="00A658D8" w:rsidRDefault="008D5DF3" w14:paraId="45AB94EF"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Display of </w:t>
      </w:r>
      <w:r w:rsidR="00DC4739">
        <w:rPr>
          <w:rFonts w:ascii="Times New Roman" w:hAnsi="Times New Roman"/>
          <w:sz w:val="24"/>
          <w:szCs w:val="24"/>
          <w:u w:val="single"/>
        </w:rPr>
        <w:t>Expiration D</w:t>
      </w:r>
      <w:r w:rsidRPr="00A658D8">
        <w:rPr>
          <w:rFonts w:ascii="Times New Roman" w:hAnsi="Times New Roman"/>
          <w:sz w:val="24"/>
          <w:szCs w:val="24"/>
          <w:u w:val="single"/>
        </w:rPr>
        <w:t>ate</w:t>
      </w:r>
    </w:p>
    <w:p w:rsidRPr="00A658D8" w:rsidR="008D5DF3" w:rsidP="00A658D8" w:rsidRDefault="008D5DF3" w14:paraId="627D80CB" w14:textId="77777777">
      <w:pPr>
        <w:ind w:left="1080"/>
        <w:outlineLvl w:val="0"/>
        <w:rPr>
          <w:rFonts w:ascii="Times New Roman" w:hAnsi="Times New Roman"/>
          <w:szCs w:val="24"/>
        </w:rPr>
      </w:pPr>
      <w:r w:rsidRPr="00A658D8">
        <w:rPr>
          <w:rFonts w:ascii="Times New Roman" w:hAnsi="Times New Roman"/>
          <w:szCs w:val="24"/>
        </w:rPr>
        <w:t>Not applicable.</w:t>
      </w:r>
    </w:p>
    <w:p w:rsidRPr="00A658D8" w:rsidR="00A658D8" w:rsidP="00850D6B" w:rsidRDefault="00A658D8" w14:paraId="03C2E223" w14:textId="77777777">
      <w:pPr>
        <w:outlineLvl w:val="0"/>
        <w:rPr>
          <w:rFonts w:ascii="Times New Roman" w:hAnsi="Times New Roman"/>
          <w:szCs w:val="24"/>
        </w:rPr>
      </w:pPr>
    </w:p>
    <w:p w:rsidRPr="00A658D8" w:rsidR="008D5DF3" w:rsidP="00A658D8" w:rsidRDefault="008D5DF3" w14:paraId="666A0BE4" w14:textId="77777777">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Exceptions to </w:t>
      </w:r>
      <w:r w:rsidR="00DC4739">
        <w:rPr>
          <w:rFonts w:ascii="Times New Roman" w:hAnsi="Times New Roman"/>
          <w:sz w:val="24"/>
          <w:szCs w:val="24"/>
          <w:u w:val="single"/>
        </w:rPr>
        <w:t>Certification S</w:t>
      </w:r>
      <w:r w:rsidRPr="00A658D8">
        <w:rPr>
          <w:rFonts w:ascii="Times New Roman" w:hAnsi="Times New Roman"/>
          <w:sz w:val="24"/>
          <w:szCs w:val="24"/>
          <w:u w:val="single"/>
        </w:rPr>
        <w:t>tatement</w:t>
      </w:r>
    </w:p>
    <w:p w:rsidRPr="00A658D8" w:rsidR="008D5DF3" w:rsidP="00A658D8" w:rsidRDefault="00DC4739" w14:paraId="0D5705FE" w14:textId="77777777">
      <w:pPr>
        <w:ind w:left="1080"/>
        <w:outlineLvl w:val="0"/>
        <w:rPr>
          <w:rFonts w:ascii="Times New Roman" w:hAnsi="Times New Roman"/>
          <w:szCs w:val="24"/>
        </w:rPr>
      </w:pPr>
      <w:r>
        <w:rPr>
          <w:rFonts w:ascii="Times New Roman" w:hAnsi="Times New Roman"/>
          <w:szCs w:val="24"/>
        </w:rPr>
        <w:t>None.</w:t>
      </w:r>
    </w:p>
    <w:p w:rsidRPr="00A658D8" w:rsidR="008D5DF3" w:rsidP="00850D6B" w:rsidRDefault="008D5DF3" w14:paraId="5E8DA4C8" w14:textId="77777777">
      <w:pPr>
        <w:outlineLvl w:val="0"/>
        <w:rPr>
          <w:rFonts w:ascii="Times New Roman" w:hAnsi="Times New Roman"/>
          <w:szCs w:val="24"/>
        </w:rPr>
      </w:pPr>
    </w:p>
    <w:p w:rsidRPr="00A658D8" w:rsidR="00A658D8" w:rsidP="00A658D8" w:rsidRDefault="00DC4739" w14:paraId="7AF77FBE" w14:textId="77777777">
      <w:pPr>
        <w:widowControl/>
        <w:numPr>
          <w:ilvl w:val="0"/>
          <w:numId w:val="18"/>
        </w:numPr>
        <w:rPr>
          <w:rFonts w:ascii="Times New Roman" w:hAnsi="Times New Roman"/>
          <w:szCs w:val="24"/>
        </w:rPr>
      </w:pPr>
      <w:r>
        <w:rPr>
          <w:rFonts w:ascii="Times New Roman" w:hAnsi="Times New Roman"/>
          <w:szCs w:val="24"/>
          <w:u w:val="single"/>
        </w:rPr>
        <w:t>STATISTICAL METHODS</w:t>
      </w:r>
    </w:p>
    <w:p w:rsidRPr="00A658D8" w:rsidR="00A658D8" w:rsidP="00850D6B" w:rsidRDefault="00A658D8" w14:paraId="03EC9C3B" w14:textId="77777777">
      <w:pPr>
        <w:outlineLvl w:val="0"/>
        <w:rPr>
          <w:rFonts w:ascii="Times New Roman" w:hAnsi="Times New Roman"/>
          <w:szCs w:val="24"/>
        </w:rPr>
      </w:pPr>
    </w:p>
    <w:p w:rsidRPr="00A658D8" w:rsidR="008D5DF3" w:rsidP="00DC4739" w:rsidRDefault="008D5DF3" w14:paraId="27322ED2" w14:textId="77777777">
      <w:pPr>
        <w:ind w:firstLine="360"/>
        <w:rPr>
          <w:rFonts w:ascii="Times New Roman" w:hAnsi="Times New Roman"/>
          <w:szCs w:val="24"/>
        </w:rPr>
      </w:pPr>
      <w:r w:rsidRPr="00A658D8">
        <w:rPr>
          <w:rFonts w:ascii="Times New Roman" w:hAnsi="Times New Roman"/>
          <w:szCs w:val="24"/>
        </w:rPr>
        <w:t>Not applicable.</w:t>
      </w:r>
    </w:p>
    <w:sectPr w:rsidRPr="00A658D8" w:rsidR="008D5DF3" w:rsidSect="00E67FC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FF87" w14:textId="77777777" w:rsidR="008B2F52" w:rsidRDefault="008B2F52">
      <w:r>
        <w:separator/>
      </w:r>
    </w:p>
  </w:endnote>
  <w:endnote w:type="continuationSeparator" w:id="0">
    <w:p w14:paraId="6F33DD01" w14:textId="77777777" w:rsidR="008B2F52" w:rsidRDefault="008B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7E7B" w14:textId="77777777" w:rsidR="008D5DF3" w:rsidRDefault="008D5DF3"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531B4" w14:textId="77777777" w:rsidR="008D5DF3" w:rsidRDefault="008D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658F" w14:textId="680E76A0" w:rsidR="008D5DF3" w:rsidRPr="00D44A17" w:rsidRDefault="008D5DF3"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741B4D">
      <w:rPr>
        <w:rStyle w:val="PageNumber"/>
        <w:rFonts w:ascii="Times New Roman" w:hAnsi="Times New Roman"/>
        <w:noProof/>
      </w:rPr>
      <w:t>3</w:t>
    </w:r>
    <w:r w:rsidRPr="00D44A17">
      <w:rPr>
        <w:rStyle w:val="PageNumber"/>
        <w:rFonts w:ascii="Times New Roman" w:hAnsi="Times New Roman"/>
      </w:rPr>
      <w:fldChar w:fldCharType="end"/>
    </w:r>
  </w:p>
  <w:p w14:paraId="1C3FEA41" w14:textId="77777777" w:rsidR="008D5DF3" w:rsidRDefault="008D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9448" w14:textId="77777777" w:rsidR="00741B4D" w:rsidRDefault="0074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E358F" w14:textId="77777777" w:rsidR="008B2F52" w:rsidRDefault="008B2F52">
      <w:r>
        <w:separator/>
      </w:r>
    </w:p>
  </w:footnote>
  <w:footnote w:type="continuationSeparator" w:id="0">
    <w:p w14:paraId="763EE165" w14:textId="77777777" w:rsidR="008B2F52" w:rsidRDefault="008B2F52">
      <w:r>
        <w:continuationSeparator/>
      </w:r>
    </w:p>
  </w:footnote>
  <w:footnote w:id="1">
    <w:p w14:paraId="5070D2E5" w14:textId="77777777" w:rsidR="002E7426" w:rsidRPr="002E7426" w:rsidRDefault="002E7426" w:rsidP="002E7426">
      <w:pPr>
        <w:pStyle w:val="FootnoteText"/>
        <w:rPr>
          <w:rFonts w:ascii="Times New Roman" w:hAnsi="Times New Roman"/>
        </w:rPr>
      </w:pPr>
      <w:r w:rsidRPr="002D0E60">
        <w:rPr>
          <w:rStyle w:val="FootnoteReference"/>
          <w:rFonts w:ascii="Times New Roman" w:hAnsi="Times New Roman"/>
          <w:vertAlign w:val="superscript"/>
        </w:rPr>
        <w:footnoteRef/>
      </w:r>
      <w:r w:rsidRPr="002E7426">
        <w:rPr>
          <w:rFonts w:ascii="Times New Roman" w:hAnsi="Times New Roman"/>
        </w:rPr>
        <w:t xml:space="preserve"> FDIC Call Report Data, March 31, 2021. </w:t>
      </w:r>
    </w:p>
  </w:footnote>
  <w:footnote w:id="2">
    <w:p w14:paraId="13576ED0"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2E7426">
        <w:rPr>
          <w:rFonts w:ascii="Times New Roman" w:hAnsi="Times New Roman"/>
        </w:rPr>
        <w:t xml:space="preserve"> </w:t>
      </w:r>
      <w:r w:rsidRPr="002E7426">
        <w:rPr>
          <w:rFonts w:ascii="Times New Roman" w:hAnsi="Times New Roman"/>
          <w:i/>
        </w:rPr>
        <w:t>See</w:t>
      </w:r>
      <w:r w:rsidRPr="002E7426">
        <w:rPr>
          <w:rFonts w:ascii="Times New Roman" w:hAnsi="Times New Roman"/>
        </w:rPr>
        <w:t xml:space="preserve"> FRB Order No. 2021-04 (May 14, 2021), available at https://www.federalreserve.gov/newsevents/pressreleases/files/orders20210514a1.pdf , last accessed on July 16, 2021.</w:t>
      </w:r>
    </w:p>
  </w:footnote>
  <w:footnote w:id="3">
    <w:p w14:paraId="1C42F051"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BB3596">
        <w:rPr>
          <w:rFonts w:ascii="Times New Roman" w:hAnsi="Times New Roman"/>
          <w:vertAlign w:val="superscript"/>
        </w:rPr>
        <w:t xml:space="preserve"> </w:t>
      </w:r>
      <w:r w:rsidRPr="002E7426">
        <w:rPr>
          <w:rFonts w:ascii="Times New Roman" w:hAnsi="Times New Roman"/>
          <w:i/>
        </w:rPr>
        <w:t>See</w:t>
      </w:r>
      <w:r w:rsidRPr="002E7426">
        <w:rPr>
          <w:rFonts w:ascii="Times New Roman" w:hAnsi="Times New Roman"/>
        </w:rPr>
        <w:t xml:space="preserve"> First Citizens BancShares, Inc., “First Citizens, CIT Receive FDIC Approval of Proposed Merger,” July 14, 2021, available at https://www.globenewswire.com/news-release/2021/07/14/2262762/0/en/First-Citizens-CIT-Receive-FDIC-Approval-of-Proposed-Merger.html, last accessed on July 16, 2021.</w:t>
      </w:r>
    </w:p>
  </w:footnote>
  <w:footnote w:id="4">
    <w:p w14:paraId="4F0A033B"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BB3596">
        <w:rPr>
          <w:rFonts w:ascii="Times New Roman" w:hAnsi="Times New Roman"/>
          <w:vertAlign w:val="superscript"/>
        </w:rPr>
        <w:t xml:space="preserve"> </w:t>
      </w:r>
      <w:r w:rsidRPr="002E7426">
        <w:rPr>
          <w:rFonts w:ascii="Times New Roman" w:hAnsi="Times New Roman"/>
        </w:rPr>
        <w:t>Based on FDIC Call Report Data, March 31, 2021.</w:t>
      </w:r>
    </w:p>
  </w:footnote>
  <w:footnote w:id="5">
    <w:p w14:paraId="4E2AC3ED"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2E7426">
        <w:rPr>
          <w:rFonts w:ascii="Times New Roman" w:hAnsi="Times New Roman"/>
        </w:rPr>
        <w:t xml:space="preserve"> </w:t>
      </w:r>
      <w:r w:rsidRPr="002E7426">
        <w:rPr>
          <w:rFonts w:ascii="Times New Roman" w:hAnsi="Times New Roman"/>
          <w:i/>
        </w:rPr>
        <w:t>See</w:t>
      </w:r>
      <w:r w:rsidRPr="002E7426">
        <w:rPr>
          <w:rFonts w:ascii="Times New Roman" w:hAnsi="Times New Roman"/>
        </w:rPr>
        <w:t xml:space="preserve"> Statement, at page 9.</w:t>
      </w:r>
    </w:p>
  </w:footnote>
  <w:footnote w:id="6">
    <w:p w14:paraId="59AB3E9A"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2E7426">
        <w:rPr>
          <w:rFonts w:ascii="Times New Roman" w:hAnsi="Times New Roman"/>
        </w:rPr>
        <w:t xml:space="preserve"> </w:t>
      </w:r>
      <w:r w:rsidRPr="002E7426">
        <w:rPr>
          <w:rFonts w:ascii="Times New Roman" w:hAnsi="Times New Roman"/>
          <w:i/>
        </w:rPr>
        <w:t>Id.</w:t>
      </w:r>
    </w:p>
  </w:footnote>
  <w:footnote w:id="7">
    <w:p w14:paraId="198D7C2E"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BB3596">
        <w:rPr>
          <w:rFonts w:ascii="Times New Roman" w:hAnsi="Times New Roman"/>
          <w:vertAlign w:val="superscript"/>
        </w:rPr>
        <w:t xml:space="preserve"> </w:t>
      </w:r>
      <w:r w:rsidRPr="002E7426">
        <w:rPr>
          <w:rFonts w:ascii="Times New Roman" w:hAnsi="Times New Roman"/>
        </w:rPr>
        <w:t>Id. at page 10</w:t>
      </w:r>
    </w:p>
  </w:footnote>
  <w:footnote w:id="8">
    <w:p w14:paraId="63E1A934"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BB3596">
        <w:rPr>
          <w:rFonts w:ascii="Times New Roman" w:hAnsi="Times New Roman"/>
          <w:vertAlign w:val="superscript"/>
        </w:rPr>
        <w:t xml:space="preserve"> </w:t>
      </w:r>
      <w:r w:rsidRPr="002E7426">
        <w:rPr>
          <w:rFonts w:ascii="Times New Roman" w:hAnsi="Times New Roman"/>
        </w:rPr>
        <w:t>57.6 hours = (65 hours – 5 hours – 2 hours + 2 hours) × (100 percent - 4 percent )</w:t>
      </w:r>
    </w:p>
  </w:footnote>
  <w:footnote w:id="9">
    <w:p w14:paraId="63252E71" w14:textId="77777777" w:rsidR="002E7426" w:rsidRPr="002E7426" w:rsidRDefault="002E7426" w:rsidP="002E7426">
      <w:pPr>
        <w:pStyle w:val="FootnoteText"/>
        <w:rPr>
          <w:rFonts w:ascii="Times New Roman" w:hAnsi="Times New Roman"/>
        </w:rPr>
      </w:pPr>
      <w:r w:rsidRPr="00BB3596">
        <w:rPr>
          <w:rStyle w:val="FootnoteReference"/>
          <w:rFonts w:ascii="Times New Roman" w:hAnsi="Times New Roman"/>
          <w:vertAlign w:val="superscript"/>
        </w:rPr>
        <w:footnoteRef/>
      </w:r>
      <w:r w:rsidRPr="00BB3596">
        <w:rPr>
          <w:rFonts w:ascii="Times New Roman" w:hAnsi="Times New Roman"/>
          <w:vertAlign w:val="superscript"/>
        </w:rPr>
        <w:t xml:space="preserve"> </w:t>
      </w:r>
      <w:r w:rsidRPr="002E7426">
        <w:rPr>
          <w:rFonts w:ascii="Times New Roman" w:hAnsi="Times New Roman"/>
        </w:rPr>
        <w:t>65,760 hours per submission = 591,840 hours for nine submissions / 9 submissions.  591,840 hours = 57.6 hours per submission per billion dollars in asset × $10,275 billion in assets, as reported in the March 31, 2021 Call Report</w:t>
      </w:r>
    </w:p>
  </w:footnote>
  <w:footnote w:id="10">
    <w:p w14:paraId="24739D3D"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2E7426">
        <w:rPr>
          <w:rFonts w:ascii="Times New Roman" w:hAnsi="Times New Roman"/>
        </w:rPr>
        <w:t xml:space="preserve"> 48 hours = (65 hours – 5 hours – 2 hours + 2 hours) × (100 percent - 20 percent)</w:t>
      </w:r>
    </w:p>
  </w:footnote>
  <w:footnote w:id="11">
    <w:p w14:paraId="0263EE21"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F6404A">
        <w:rPr>
          <w:rFonts w:ascii="Times New Roman" w:hAnsi="Times New Roman"/>
          <w:vertAlign w:val="superscript"/>
        </w:rPr>
        <w:t xml:space="preserve"> </w:t>
      </w:r>
      <w:r w:rsidRPr="002E7426">
        <w:rPr>
          <w:rFonts w:ascii="Times New Roman" w:hAnsi="Times New Roman"/>
        </w:rPr>
        <w:t>11,356 hours per submission = 249,840 hours for twenty-two submissions / 22 submissions.  249,840 hours = 48 hours per submission per billion dollars in asset × $5,205 billion in assets, as reported in the March 31, 2021 Call Report. We adjust the assets of one non-GSIB specified CIDI to include the assets of the IDI that merged with it.</w:t>
      </w:r>
    </w:p>
  </w:footnote>
  <w:footnote w:id="12">
    <w:p w14:paraId="4EB3079C"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F6404A">
        <w:rPr>
          <w:rFonts w:ascii="Times New Roman" w:hAnsi="Times New Roman"/>
          <w:vertAlign w:val="superscript"/>
        </w:rPr>
        <w:t xml:space="preserve"> </w:t>
      </w:r>
      <w:r w:rsidRPr="002E7426">
        <w:rPr>
          <w:rFonts w:ascii="Times New Roman" w:hAnsi="Times New Roman"/>
        </w:rPr>
        <w:t>21,920 hours per year = 65,760 hours per submission / 3 years per submission.</w:t>
      </w:r>
    </w:p>
  </w:footnote>
  <w:footnote w:id="13">
    <w:p w14:paraId="4537B82D"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2E7426">
        <w:rPr>
          <w:rFonts w:ascii="Times New Roman" w:hAnsi="Times New Roman"/>
        </w:rPr>
        <w:t xml:space="preserve"> 3,785 hours per year = 11,356 hours per submission / 3 years per submission.</w:t>
      </w:r>
    </w:p>
  </w:footnote>
  <w:footnote w:id="14">
    <w:p w14:paraId="05A1724A"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2E7426">
        <w:rPr>
          <w:rFonts w:ascii="Times New Roman" w:hAnsi="Times New Roman"/>
        </w:rPr>
        <w:t xml:space="preserve"> Based on FDIC Call Report Data, March 31, 2021, one specified CIDI has not previously submitted a plan and two CIDIs will merge to become a specified CIDI.</w:t>
      </w:r>
    </w:p>
  </w:footnote>
  <w:footnote w:id="15">
    <w:p w14:paraId="1DAA2F7E" w14:textId="77777777" w:rsidR="002E7426" w:rsidRPr="002E7426" w:rsidRDefault="002E7426" w:rsidP="002E7426">
      <w:pPr>
        <w:pStyle w:val="FootnoteText"/>
        <w:rPr>
          <w:rFonts w:ascii="Times New Roman" w:hAnsi="Times New Roman"/>
        </w:rPr>
      </w:pPr>
      <w:r w:rsidRPr="00F6404A">
        <w:rPr>
          <w:rStyle w:val="FootnoteReference"/>
          <w:rFonts w:ascii="Times New Roman" w:hAnsi="Times New Roman"/>
          <w:vertAlign w:val="superscript"/>
        </w:rPr>
        <w:footnoteRef/>
      </w:r>
      <w:r w:rsidRPr="00F6404A">
        <w:rPr>
          <w:rFonts w:ascii="Times New Roman" w:hAnsi="Times New Roman"/>
          <w:vertAlign w:val="superscript"/>
        </w:rPr>
        <w:t xml:space="preserve"> </w:t>
      </w:r>
      <w:r w:rsidRPr="002E7426">
        <w:rPr>
          <w:rFonts w:ascii="Times New Roman" w:hAnsi="Times New Roman"/>
        </w:rPr>
        <w:t>For example, using the 65 hours per billion dollars parameter, a CIDI with $50 billion in assets is estimated to incur 3,250 hours to prepare and submit a Resolution Plan Update.</w:t>
      </w:r>
    </w:p>
  </w:footnote>
  <w:footnote w:id="16">
    <w:p w14:paraId="24ECA780" w14:textId="77777777" w:rsidR="002E7426" w:rsidRPr="002E7426" w:rsidRDefault="002E7426" w:rsidP="002E7426">
      <w:pPr>
        <w:pStyle w:val="FootnoteText"/>
        <w:rPr>
          <w:rFonts w:ascii="Times New Roman" w:hAnsi="Times New Roman"/>
        </w:rPr>
      </w:pPr>
      <w:r w:rsidRPr="002D0E60">
        <w:rPr>
          <w:rStyle w:val="FootnoteReference"/>
          <w:rFonts w:ascii="Times New Roman" w:hAnsi="Times New Roman"/>
          <w:vertAlign w:val="superscript"/>
        </w:rPr>
        <w:footnoteRef/>
      </w:r>
      <w:r w:rsidRPr="002E7426">
        <w:rPr>
          <w:rFonts w:ascii="Times New Roman" w:hAnsi="Times New Roman"/>
        </w:rPr>
        <w:t xml:space="preserve"> 7.7 percent = 5 hours / 65 hours * 100 percent.</w:t>
      </w:r>
    </w:p>
  </w:footnote>
  <w:footnote w:id="17">
    <w:p w14:paraId="25E2B238" w14:textId="77777777" w:rsidR="002E7426" w:rsidRPr="002E7426" w:rsidRDefault="002E7426" w:rsidP="002E7426">
      <w:pPr>
        <w:pStyle w:val="FootnoteText"/>
        <w:rPr>
          <w:rFonts w:ascii="Times New Roman" w:hAnsi="Times New Roman"/>
        </w:rPr>
      </w:pPr>
      <w:r w:rsidRPr="002D0E60">
        <w:rPr>
          <w:rStyle w:val="FootnoteReference"/>
          <w:rFonts w:ascii="Times New Roman" w:hAnsi="Times New Roman"/>
          <w:vertAlign w:val="superscript"/>
        </w:rPr>
        <w:footnoteRef/>
      </w:r>
      <w:r w:rsidRPr="002E7426">
        <w:rPr>
          <w:rFonts w:ascii="Times New Roman" w:hAnsi="Times New Roman"/>
        </w:rPr>
        <w:t xml:space="preserve"> 13,292 hours  = 14,400 × (100 percent - 7.7 percent) )</w:t>
      </w:r>
    </w:p>
  </w:footnote>
  <w:footnote w:id="18">
    <w:p w14:paraId="04DBC439" w14:textId="77777777" w:rsidR="002E7426" w:rsidRPr="002E7426" w:rsidRDefault="002E7426" w:rsidP="002E7426">
      <w:pPr>
        <w:pStyle w:val="FootnoteText"/>
        <w:rPr>
          <w:rFonts w:ascii="Times New Roman" w:hAnsi="Times New Roman"/>
        </w:rPr>
      </w:pPr>
      <w:r w:rsidRPr="002D0E60">
        <w:rPr>
          <w:rStyle w:val="FootnoteReference"/>
          <w:rFonts w:ascii="Times New Roman" w:hAnsi="Times New Roman"/>
          <w:vertAlign w:val="superscript"/>
        </w:rPr>
        <w:footnoteRef/>
      </w:r>
      <w:r w:rsidRPr="002D0E60">
        <w:rPr>
          <w:rFonts w:ascii="Times New Roman" w:hAnsi="Times New Roman"/>
          <w:vertAlign w:val="superscript"/>
        </w:rPr>
        <w:t xml:space="preserve"> </w:t>
      </w:r>
      <w:r w:rsidRPr="002E7426">
        <w:rPr>
          <w:rFonts w:ascii="Times New Roman" w:hAnsi="Times New Roman"/>
        </w:rPr>
        <w:t>4,430.7 hours per year = 13,292 hours per submission / 3 years per submission.</w:t>
      </w:r>
    </w:p>
  </w:footnote>
  <w:footnote w:id="19">
    <w:p w14:paraId="7E0362D2" w14:textId="77777777" w:rsidR="002E7426" w:rsidRPr="002E7426" w:rsidRDefault="002E7426" w:rsidP="002E7426">
      <w:pPr>
        <w:pStyle w:val="FootnoteText"/>
        <w:rPr>
          <w:rFonts w:ascii="Times New Roman" w:hAnsi="Times New Roman"/>
        </w:rPr>
      </w:pPr>
      <w:r w:rsidRPr="002D0E60">
        <w:rPr>
          <w:rStyle w:val="FootnoteReference"/>
          <w:rFonts w:ascii="Times New Roman" w:hAnsi="Times New Roman"/>
          <w:vertAlign w:val="superscript"/>
        </w:rPr>
        <w:footnoteRef/>
      </w:r>
      <w:r w:rsidRPr="002D0E60">
        <w:rPr>
          <w:rFonts w:ascii="Times New Roman" w:hAnsi="Times New Roman"/>
          <w:vertAlign w:val="superscript"/>
        </w:rPr>
        <w:t xml:space="preserve"> </w:t>
      </w:r>
      <w:r w:rsidRPr="002E7426">
        <w:rPr>
          <w:rFonts w:ascii="Times New Roman" w:hAnsi="Times New Roman"/>
          <w:i/>
        </w:rPr>
        <w:t>See</w:t>
      </w:r>
      <w:r w:rsidRPr="002E7426">
        <w:rPr>
          <w:rFonts w:ascii="Times New Roman" w:hAnsi="Times New Roman"/>
        </w:rPr>
        <w:t xml:space="preserve"> 12 CFR 360.10(c)(1)(v).</w:t>
      </w:r>
    </w:p>
  </w:footnote>
  <w:footnote w:id="20">
    <w:p w14:paraId="62F30142" w14:textId="77777777" w:rsidR="002E7426" w:rsidRPr="002E7426" w:rsidRDefault="002E7426" w:rsidP="002E7426">
      <w:pPr>
        <w:pStyle w:val="FootnoteText"/>
        <w:rPr>
          <w:rFonts w:ascii="Times New Roman" w:hAnsi="Times New Roman"/>
          <w:sz w:val="18"/>
          <w:szCs w:val="18"/>
        </w:rPr>
      </w:pPr>
      <w:r w:rsidRPr="002D0E60">
        <w:rPr>
          <w:rStyle w:val="FootnoteReference"/>
          <w:rFonts w:ascii="Times New Roman" w:hAnsi="Times New Roman"/>
          <w:sz w:val="18"/>
          <w:szCs w:val="18"/>
          <w:vertAlign w:val="superscript"/>
        </w:rPr>
        <w:footnoteRef/>
      </w:r>
      <w:r w:rsidRPr="002E7426">
        <w:rPr>
          <w:rFonts w:ascii="Times New Roman" w:hAnsi="Times New Roman"/>
          <w:sz w:val="18"/>
          <w:szCs w:val="18"/>
        </w:rPr>
        <w:t xml:space="preserve"> </w:t>
      </w:r>
      <w:r w:rsidRPr="002E7426">
        <w:rPr>
          <w:rFonts w:ascii="Times New Roman" w:hAnsi="Times New Roman"/>
          <w:i/>
          <w:sz w:val="18"/>
          <w:szCs w:val="18"/>
        </w:rPr>
        <w:t xml:space="preserve">See </w:t>
      </w:r>
      <w:r w:rsidRPr="002E7426">
        <w:rPr>
          <w:rFonts w:ascii="Times New Roman" w:hAnsi="Times New Roman"/>
          <w:sz w:val="18"/>
          <w:szCs w:val="18"/>
        </w:rPr>
        <w:t>Statement at page 10.</w:t>
      </w:r>
    </w:p>
  </w:footnote>
  <w:footnote w:id="21">
    <w:p w14:paraId="1F841B44" w14:textId="77777777" w:rsidR="002E7426" w:rsidRPr="002E7426" w:rsidRDefault="002E7426" w:rsidP="002E7426">
      <w:pPr>
        <w:pStyle w:val="FootnoteText"/>
        <w:rPr>
          <w:rFonts w:ascii="Times New Roman" w:hAnsi="Times New Roman"/>
          <w:sz w:val="18"/>
          <w:szCs w:val="18"/>
        </w:rPr>
      </w:pPr>
      <w:r w:rsidRPr="002D0E60">
        <w:rPr>
          <w:rStyle w:val="FootnoteReference"/>
          <w:rFonts w:ascii="Times New Roman" w:hAnsi="Times New Roman"/>
          <w:sz w:val="18"/>
          <w:szCs w:val="18"/>
          <w:vertAlign w:val="superscript"/>
        </w:rPr>
        <w:footnoteRef/>
      </w:r>
      <w:r w:rsidRPr="002D0E60">
        <w:rPr>
          <w:rFonts w:ascii="Times New Roman" w:hAnsi="Times New Roman"/>
          <w:sz w:val="18"/>
          <w:szCs w:val="18"/>
          <w:vertAlign w:val="superscript"/>
        </w:rPr>
        <w:t xml:space="preserve"> </w:t>
      </w:r>
      <w:r w:rsidRPr="002E7426">
        <w:rPr>
          <w:rFonts w:ascii="Times New Roman" w:hAnsi="Times New Roman"/>
          <w:sz w:val="18"/>
          <w:szCs w:val="18"/>
        </w:rPr>
        <w:t>The SMEs considered basing an estimate for a § 360.10 exemption request on the estimate of 20 burden hours recently used for an exemption request under § 360.9.  The SMEs ultimately determined that the exemption requests under the two provisions were unlikely to be analogous, however, and that the breadth and variability of § 360.10 exemption requests made it impracticable for the FDIC to develop a meaningful estimate without additional information that is not currently available.</w:t>
      </w:r>
    </w:p>
  </w:footnote>
  <w:footnote w:id="22">
    <w:p w14:paraId="250C3E1A" w14:textId="77777777" w:rsidR="00457F56" w:rsidRPr="00457F56" w:rsidRDefault="00457F56" w:rsidP="00457F56">
      <w:pPr>
        <w:pStyle w:val="FootnoteText"/>
        <w:rPr>
          <w:rFonts w:ascii="Times New Roman" w:hAnsi="Times New Roman"/>
        </w:rPr>
      </w:pPr>
      <w:r w:rsidRPr="00457F56">
        <w:rPr>
          <w:rStyle w:val="FootnoteReference"/>
          <w:rFonts w:ascii="Times New Roman" w:hAnsi="Times New Roman"/>
          <w:vertAlign w:val="superscript"/>
        </w:rPr>
        <w:footnoteRef/>
      </w:r>
      <w:r w:rsidRPr="00457F56">
        <w:rPr>
          <w:rFonts w:ascii="Times New Roman" w:hAnsi="Times New Roman"/>
        </w:rPr>
        <w:t xml:space="preserve"> </w:t>
      </w:r>
      <w:r w:rsidRPr="00457F56">
        <w:rPr>
          <w:rFonts w:ascii="Times New Roman" w:hAnsi="Times New Roman"/>
          <w:color w:val="000000"/>
        </w:rPr>
        <w:t>BLS: "National Industry-Specific Occupational Employment and Wage Estimates: Industry: Credit Intermediation and Related Activities (5221 And 5223 only)" (May 2020).</w:t>
      </w:r>
    </w:p>
  </w:footnote>
  <w:footnote w:id="23">
    <w:p w14:paraId="61B73194" w14:textId="77777777" w:rsidR="00457F56" w:rsidRPr="00457F56" w:rsidRDefault="00457F56" w:rsidP="00457F56">
      <w:pPr>
        <w:pStyle w:val="FootnoteText"/>
        <w:rPr>
          <w:rFonts w:ascii="Times New Roman" w:hAnsi="Times New Roman"/>
        </w:rPr>
      </w:pPr>
      <w:r w:rsidRPr="00457F56">
        <w:rPr>
          <w:rStyle w:val="FootnoteReference"/>
          <w:rFonts w:ascii="Times New Roman" w:hAnsi="Times New Roman"/>
          <w:vertAlign w:val="superscript"/>
        </w:rPr>
        <w:footnoteRef/>
      </w:r>
      <w:r w:rsidRPr="00457F56">
        <w:rPr>
          <w:rFonts w:ascii="Times New Roman" w:hAnsi="Times New Roman"/>
        </w:rPr>
        <w:t xml:space="preserve"> </w:t>
      </w:r>
      <w:r w:rsidRPr="00457F56">
        <w:rPr>
          <w:rFonts w:ascii="Times New Roman" w:hAnsi="Times New Roman"/>
          <w:color w:val="000000"/>
        </w:rPr>
        <w:t>BLS: Employer Cost of Employee Compensation (March 2021).</w:t>
      </w:r>
    </w:p>
  </w:footnote>
  <w:footnote w:id="24">
    <w:p w14:paraId="4BF5D534" w14:textId="77777777" w:rsidR="00457F56" w:rsidRPr="00457F56" w:rsidRDefault="00457F56" w:rsidP="00457F56">
      <w:pPr>
        <w:pStyle w:val="FootnoteText"/>
        <w:rPr>
          <w:rFonts w:ascii="Times New Roman" w:hAnsi="Times New Roman"/>
        </w:rPr>
      </w:pPr>
      <w:r w:rsidRPr="00457F56">
        <w:rPr>
          <w:rStyle w:val="FootnoteReference"/>
          <w:rFonts w:ascii="Times New Roman" w:hAnsi="Times New Roman"/>
          <w:vertAlign w:val="superscript"/>
        </w:rPr>
        <w:footnoteRef/>
      </w:r>
      <w:r w:rsidRPr="00457F56">
        <w:rPr>
          <w:rFonts w:ascii="Times New Roman" w:hAnsi="Times New Roman"/>
        </w:rPr>
        <w:t xml:space="preserve"> </w:t>
      </w:r>
      <w:r w:rsidRPr="00457F56">
        <w:rPr>
          <w:rFonts w:ascii="Times New Roman" w:hAnsi="Times New Roman"/>
          <w:color w:val="000000"/>
        </w:rPr>
        <w:t>BLS: Consumer Price Index (March 2021).</w:t>
      </w:r>
    </w:p>
  </w:footnote>
  <w:footnote w:id="25">
    <w:p w14:paraId="31010EF2"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rPr>
        <w:t xml:space="preserve"> In the 2018 ICR, the burden hours for completing the IC are distributed between executives and financial analysts at a ratio of 1 to 3 for the two occupations, respectively. The SMEs believe that this ratio continues to be reasonable and appropriate for all the line items in this IC.</w:t>
      </w:r>
    </w:p>
  </w:footnote>
  <w:footnote w:id="26">
    <w:p w14:paraId="10A738B4"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rPr>
        <w:t xml:space="preserve"> Occupation (SOC Code): Management Occupations (110000).</w:t>
      </w:r>
    </w:p>
  </w:footnote>
  <w:footnote w:id="27">
    <w:p w14:paraId="7A36FC3F"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rPr>
        <w:t xml:space="preserve"> Occupation (SOC Code): Legal Occupations (230000).</w:t>
      </w:r>
    </w:p>
  </w:footnote>
  <w:footnote w:id="28">
    <w:p w14:paraId="2A77F932"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rPr>
        <w:t xml:space="preserve"> Occupation (SOC Code): Compliance Officers (131040). </w:t>
      </w:r>
    </w:p>
  </w:footnote>
  <w:footnote w:id="29">
    <w:p w14:paraId="579FB3D3"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rPr>
        <w:t xml:space="preserve"> Occupation (SOC Code): Computer and Mathematical Occupations (150000).</w:t>
      </w:r>
    </w:p>
  </w:footnote>
  <w:footnote w:id="30">
    <w:p w14:paraId="24C29C7E"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vertAlign w:val="superscript"/>
        </w:rPr>
        <w:t xml:space="preserve"> </w:t>
      </w:r>
      <w:r w:rsidRPr="002D322F">
        <w:rPr>
          <w:rFonts w:ascii="Times New Roman" w:hAnsi="Times New Roman"/>
        </w:rPr>
        <w:t>Occupation (SOC Code): Financial and Investment Analysts, Financial Risk Specialists, and Financial Specialists, All Other (132098).</w:t>
      </w:r>
    </w:p>
  </w:footnote>
  <w:footnote w:id="31">
    <w:p w14:paraId="58FA4465" w14:textId="77777777" w:rsidR="00457F56" w:rsidRPr="002D322F" w:rsidRDefault="00457F56" w:rsidP="00457F56">
      <w:pPr>
        <w:pStyle w:val="FootnoteText"/>
        <w:rPr>
          <w:rFonts w:ascii="Times New Roman" w:hAnsi="Times New Roman"/>
        </w:rPr>
      </w:pPr>
      <w:r w:rsidRPr="002D322F">
        <w:rPr>
          <w:rStyle w:val="FootnoteReference"/>
          <w:rFonts w:ascii="Times New Roman" w:hAnsi="Times New Roman"/>
          <w:vertAlign w:val="superscript"/>
        </w:rPr>
        <w:footnoteRef/>
      </w:r>
      <w:r w:rsidRPr="002D322F">
        <w:rPr>
          <w:rFonts w:ascii="Times New Roman" w:hAnsi="Times New Roman"/>
          <w:vertAlign w:val="superscript"/>
        </w:rPr>
        <w:t xml:space="preserve"> </w:t>
      </w:r>
      <w:r w:rsidRPr="002D322F">
        <w:rPr>
          <w:rFonts w:ascii="Times New Roman" w:hAnsi="Times New Roman"/>
        </w:rPr>
        <w:t xml:space="preserve">Occupation (SOC Code): Office and Administrative Support Occupations (430000).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9B2D" w14:textId="77777777" w:rsidR="00741B4D" w:rsidRDefault="0074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CA06" w14:textId="77777777" w:rsidR="00741B4D" w:rsidRDefault="00741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5444" w14:textId="77777777" w:rsidR="00741B4D" w:rsidRDefault="0074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15:restartNumberingAfterBreak="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9F7457"/>
    <w:multiLevelType w:val="hybridMultilevel"/>
    <w:tmpl w:val="DCD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B23B60"/>
    <w:multiLevelType w:val="hybridMultilevel"/>
    <w:tmpl w:val="C1EC2CBC"/>
    <w:lvl w:ilvl="0" w:tplc="0409000F">
      <w:start w:val="1"/>
      <w:numFmt w:val="decimal"/>
      <w:lvlText w:val="%1."/>
      <w:lvlJc w:val="left"/>
      <w:pPr>
        <w:ind w:left="3326" w:hanging="360"/>
      </w:pPr>
      <w:rPr>
        <w:rFonts w:hint="default"/>
      </w:rPr>
    </w:lvl>
    <w:lvl w:ilvl="1" w:tplc="04090019">
      <w:start w:val="1"/>
      <w:numFmt w:val="lowerLetter"/>
      <w:lvlText w:val="%2."/>
      <w:lvlJc w:val="left"/>
      <w:pPr>
        <w:ind w:left="4046" w:hanging="360"/>
      </w:pPr>
    </w:lvl>
    <w:lvl w:ilvl="2" w:tplc="0409001B" w:tentative="1">
      <w:start w:val="1"/>
      <w:numFmt w:val="lowerRoman"/>
      <w:lvlText w:val="%3."/>
      <w:lvlJc w:val="right"/>
      <w:pPr>
        <w:ind w:left="4766" w:hanging="180"/>
      </w:pPr>
    </w:lvl>
    <w:lvl w:ilvl="3" w:tplc="0409000F" w:tentative="1">
      <w:start w:val="1"/>
      <w:numFmt w:val="decimal"/>
      <w:lvlText w:val="%4."/>
      <w:lvlJc w:val="left"/>
      <w:pPr>
        <w:ind w:left="5486" w:hanging="360"/>
      </w:pPr>
    </w:lvl>
    <w:lvl w:ilvl="4" w:tplc="04090019" w:tentative="1">
      <w:start w:val="1"/>
      <w:numFmt w:val="lowerLetter"/>
      <w:lvlText w:val="%5."/>
      <w:lvlJc w:val="left"/>
      <w:pPr>
        <w:ind w:left="6206" w:hanging="360"/>
      </w:pPr>
    </w:lvl>
    <w:lvl w:ilvl="5" w:tplc="0409001B" w:tentative="1">
      <w:start w:val="1"/>
      <w:numFmt w:val="lowerRoman"/>
      <w:lvlText w:val="%6."/>
      <w:lvlJc w:val="right"/>
      <w:pPr>
        <w:ind w:left="6926" w:hanging="180"/>
      </w:pPr>
    </w:lvl>
    <w:lvl w:ilvl="6" w:tplc="0409000F" w:tentative="1">
      <w:start w:val="1"/>
      <w:numFmt w:val="decimal"/>
      <w:lvlText w:val="%7."/>
      <w:lvlJc w:val="left"/>
      <w:pPr>
        <w:ind w:left="7646" w:hanging="360"/>
      </w:pPr>
    </w:lvl>
    <w:lvl w:ilvl="7" w:tplc="04090019" w:tentative="1">
      <w:start w:val="1"/>
      <w:numFmt w:val="lowerLetter"/>
      <w:lvlText w:val="%8."/>
      <w:lvlJc w:val="left"/>
      <w:pPr>
        <w:ind w:left="8366" w:hanging="360"/>
      </w:pPr>
    </w:lvl>
    <w:lvl w:ilvl="8" w:tplc="0409001B" w:tentative="1">
      <w:start w:val="1"/>
      <w:numFmt w:val="lowerRoman"/>
      <w:lvlText w:val="%9."/>
      <w:lvlJc w:val="right"/>
      <w:pPr>
        <w:ind w:left="9086" w:hanging="180"/>
      </w:pPr>
    </w:lvl>
  </w:abstractNum>
  <w:abstractNum w:abstractNumId="6"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3594C"/>
    <w:multiLevelType w:val="hybridMultilevel"/>
    <w:tmpl w:val="647AFC4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61A1F1C"/>
    <w:multiLevelType w:val="hybridMultilevel"/>
    <w:tmpl w:val="1CC28CA4"/>
    <w:lvl w:ilvl="0" w:tplc="56FC57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4"/>
  </w:num>
  <w:num w:numId="4">
    <w:abstractNumId w:val="2"/>
  </w:num>
  <w:num w:numId="5">
    <w:abstractNumId w:val="17"/>
  </w:num>
  <w:num w:numId="6">
    <w:abstractNumId w:val="10"/>
  </w:num>
  <w:num w:numId="7">
    <w:abstractNumId w:val="6"/>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18"/>
  </w:num>
  <w:num w:numId="16">
    <w:abstractNumId w:val="7"/>
  </w:num>
  <w:num w:numId="17">
    <w:abstractNumId w:val="3"/>
  </w:num>
  <w:num w:numId="18">
    <w:abstractNumId w:val="8"/>
  </w:num>
  <w:num w:numId="19">
    <w:abstractNumId w:val="0"/>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9"/>
    <w:rsid w:val="00004251"/>
    <w:rsid w:val="00015F7E"/>
    <w:rsid w:val="00024493"/>
    <w:rsid w:val="0002477D"/>
    <w:rsid w:val="000260FD"/>
    <w:rsid w:val="00040171"/>
    <w:rsid w:val="00040EDD"/>
    <w:rsid w:val="00053B9D"/>
    <w:rsid w:val="00072A1E"/>
    <w:rsid w:val="000841A0"/>
    <w:rsid w:val="0008718C"/>
    <w:rsid w:val="00094D94"/>
    <w:rsid w:val="00096502"/>
    <w:rsid w:val="0009732C"/>
    <w:rsid w:val="000B6DF0"/>
    <w:rsid w:val="000C6A72"/>
    <w:rsid w:val="000C7953"/>
    <w:rsid w:val="000D71BF"/>
    <w:rsid w:val="000E0ACC"/>
    <w:rsid w:val="000E3D1D"/>
    <w:rsid w:val="000E739A"/>
    <w:rsid w:val="000F0705"/>
    <w:rsid w:val="000F0AD0"/>
    <w:rsid w:val="000F39F2"/>
    <w:rsid w:val="000F4771"/>
    <w:rsid w:val="000F6328"/>
    <w:rsid w:val="001067D8"/>
    <w:rsid w:val="00112142"/>
    <w:rsid w:val="0011233B"/>
    <w:rsid w:val="00124A8A"/>
    <w:rsid w:val="00126C08"/>
    <w:rsid w:val="00127D85"/>
    <w:rsid w:val="00140D33"/>
    <w:rsid w:val="00155060"/>
    <w:rsid w:val="00176A39"/>
    <w:rsid w:val="0018255F"/>
    <w:rsid w:val="00185D39"/>
    <w:rsid w:val="001870F5"/>
    <w:rsid w:val="00190528"/>
    <w:rsid w:val="001B096A"/>
    <w:rsid w:val="001B3324"/>
    <w:rsid w:val="001B3A0E"/>
    <w:rsid w:val="001B4368"/>
    <w:rsid w:val="001C665A"/>
    <w:rsid w:val="001D77CC"/>
    <w:rsid w:val="001E69B5"/>
    <w:rsid w:val="001F20B1"/>
    <w:rsid w:val="002170A9"/>
    <w:rsid w:val="00224DA9"/>
    <w:rsid w:val="00226BAF"/>
    <w:rsid w:val="00227FA9"/>
    <w:rsid w:val="002301EF"/>
    <w:rsid w:val="00232C01"/>
    <w:rsid w:val="00234E23"/>
    <w:rsid w:val="00256276"/>
    <w:rsid w:val="00256905"/>
    <w:rsid w:val="002614B3"/>
    <w:rsid w:val="00262DF4"/>
    <w:rsid w:val="0028762A"/>
    <w:rsid w:val="00287A09"/>
    <w:rsid w:val="00290B4E"/>
    <w:rsid w:val="0029200F"/>
    <w:rsid w:val="00292F82"/>
    <w:rsid w:val="002A404B"/>
    <w:rsid w:val="002B051E"/>
    <w:rsid w:val="002B408A"/>
    <w:rsid w:val="002C48F4"/>
    <w:rsid w:val="002C53C5"/>
    <w:rsid w:val="002C757A"/>
    <w:rsid w:val="002D0E60"/>
    <w:rsid w:val="002D322F"/>
    <w:rsid w:val="002E7426"/>
    <w:rsid w:val="002F3E29"/>
    <w:rsid w:val="002F5062"/>
    <w:rsid w:val="00310CE0"/>
    <w:rsid w:val="0031284F"/>
    <w:rsid w:val="00312ECF"/>
    <w:rsid w:val="00315751"/>
    <w:rsid w:val="003175D7"/>
    <w:rsid w:val="00317C12"/>
    <w:rsid w:val="003357F5"/>
    <w:rsid w:val="003362F9"/>
    <w:rsid w:val="00345464"/>
    <w:rsid w:val="00350F70"/>
    <w:rsid w:val="00377909"/>
    <w:rsid w:val="003826B0"/>
    <w:rsid w:val="00382A5D"/>
    <w:rsid w:val="00392208"/>
    <w:rsid w:val="00392C22"/>
    <w:rsid w:val="003B2E1B"/>
    <w:rsid w:val="003C41D9"/>
    <w:rsid w:val="003E6C02"/>
    <w:rsid w:val="003E7DCF"/>
    <w:rsid w:val="003F29AE"/>
    <w:rsid w:val="003F3502"/>
    <w:rsid w:val="0041183F"/>
    <w:rsid w:val="00420F7B"/>
    <w:rsid w:val="0043250F"/>
    <w:rsid w:val="004329EE"/>
    <w:rsid w:val="004513D4"/>
    <w:rsid w:val="0045298C"/>
    <w:rsid w:val="004545FE"/>
    <w:rsid w:val="00457F56"/>
    <w:rsid w:val="004600FF"/>
    <w:rsid w:val="00464D95"/>
    <w:rsid w:val="00465614"/>
    <w:rsid w:val="004762BF"/>
    <w:rsid w:val="00484606"/>
    <w:rsid w:val="004849F9"/>
    <w:rsid w:val="004901EF"/>
    <w:rsid w:val="00490EEF"/>
    <w:rsid w:val="0049101F"/>
    <w:rsid w:val="004955DD"/>
    <w:rsid w:val="004A3BFA"/>
    <w:rsid w:val="004A5C84"/>
    <w:rsid w:val="004A605B"/>
    <w:rsid w:val="004B0ADA"/>
    <w:rsid w:val="004B4DB0"/>
    <w:rsid w:val="004D18A2"/>
    <w:rsid w:val="004D49AE"/>
    <w:rsid w:val="004D5F88"/>
    <w:rsid w:val="004E118F"/>
    <w:rsid w:val="004E2BE7"/>
    <w:rsid w:val="004E3361"/>
    <w:rsid w:val="004E3939"/>
    <w:rsid w:val="004E3E52"/>
    <w:rsid w:val="004F1101"/>
    <w:rsid w:val="00503353"/>
    <w:rsid w:val="00504EB7"/>
    <w:rsid w:val="005102F8"/>
    <w:rsid w:val="0051073D"/>
    <w:rsid w:val="00531257"/>
    <w:rsid w:val="00541136"/>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199"/>
    <w:rsid w:val="005E1E82"/>
    <w:rsid w:val="005F3A57"/>
    <w:rsid w:val="00600057"/>
    <w:rsid w:val="00603617"/>
    <w:rsid w:val="006057E5"/>
    <w:rsid w:val="0061243E"/>
    <w:rsid w:val="00615C5F"/>
    <w:rsid w:val="006266B0"/>
    <w:rsid w:val="006312DA"/>
    <w:rsid w:val="006352DD"/>
    <w:rsid w:val="00635583"/>
    <w:rsid w:val="00650B31"/>
    <w:rsid w:val="006610B6"/>
    <w:rsid w:val="00677966"/>
    <w:rsid w:val="00677F6F"/>
    <w:rsid w:val="00681014"/>
    <w:rsid w:val="006846D8"/>
    <w:rsid w:val="006853BE"/>
    <w:rsid w:val="006914A9"/>
    <w:rsid w:val="006915D9"/>
    <w:rsid w:val="006917AE"/>
    <w:rsid w:val="006A2529"/>
    <w:rsid w:val="006C2B19"/>
    <w:rsid w:val="006D02C2"/>
    <w:rsid w:val="006D1B84"/>
    <w:rsid w:val="006D43C5"/>
    <w:rsid w:val="006E6279"/>
    <w:rsid w:val="0070054A"/>
    <w:rsid w:val="00702457"/>
    <w:rsid w:val="007142B0"/>
    <w:rsid w:val="0072471D"/>
    <w:rsid w:val="00734B23"/>
    <w:rsid w:val="00741B4D"/>
    <w:rsid w:val="00745F2F"/>
    <w:rsid w:val="007703D4"/>
    <w:rsid w:val="00774164"/>
    <w:rsid w:val="00780279"/>
    <w:rsid w:val="00782DF2"/>
    <w:rsid w:val="00787035"/>
    <w:rsid w:val="007903FB"/>
    <w:rsid w:val="00792888"/>
    <w:rsid w:val="007A5D30"/>
    <w:rsid w:val="007C0AB8"/>
    <w:rsid w:val="007C0BCC"/>
    <w:rsid w:val="007C7882"/>
    <w:rsid w:val="007D2D64"/>
    <w:rsid w:val="007D405E"/>
    <w:rsid w:val="007D4B8C"/>
    <w:rsid w:val="007D701B"/>
    <w:rsid w:val="007F1558"/>
    <w:rsid w:val="007F574F"/>
    <w:rsid w:val="00812C0C"/>
    <w:rsid w:val="00813F52"/>
    <w:rsid w:val="00815BA0"/>
    <w:rsid w:val="00815BF3"/>
    <w:rsid w:val="008258B0"/>
    <w:rsid w:val="008262BC"/>
    <w:rsid w:val="00832F4D"/>
    <w:rsid w:val="008334D8"/>
    <w:rsid w:val="008424FE"/>
    <w:rsid w:val="00850D6B"/>
    <w:rsid w:val="00853CE9"/>
    <w:rsid w:val="00855435"/>
    <w:rsid w:val="00855657"/>
    <w:rsid w:val="00861894"/>
    <w:rsid w:val="00892D77"/>
    <w:rsid w:val="008945FE"/>
    <w:rsid w:val="0089610B"/>
    <w:rsid w:val="008A7570"/>
    <w:rsid w:val="008B2F52"/>
    <w:rsid w:val="008D08B8"/>
    <w:rsid w:val="008D1F22"/>
    <w:rsid w:val="008D4DFA"/>
    <w:rsid w:val="008D5DF3"/>
    <w:rsid w:val="008D6920"/>
    <w:rsid w:val="008D73BF"/>
    <w:rsid w:val="008D7F91"/>
    <w:rsid w:val="008F65F9"/>
    <w:rsid w:val="008F7601"/>
    <w:rsid w:val="009005D0"/>
    <w:rsid w:val="00901670"/>
    <w:rsid w:val="00905047"/>
    <w:rsid w:val="00921AC7"/>
    <w:rsid w:val="00934FDA"/>
    <w:rsid w:val="00946D60"/>
    <w:rsid w:val="00950FE9"/>
    <w:rsid w:val="00957F5B"/>
    <w:rsid w:val="00964127"/>
    <w:rsid w:val="00970EE1"/>
    <w:rsid w:val="00980B27"/>
    <w:rsid w:val="00982C52"/>
    <w:rsid w:val="00984A05"/>
    <w:rsid w:val="009873A8"/>
    <w:rsid w:val="009E334E"/>
    <w:rsid w:val="009E3EF8"/>
    <w:rsid w:val="009F3F7C"/>
    <w:rsid w:val="00A05524"/>
    <w:rsid w:val="00A118AA"/>
    <w:rsid w:val="00A26F7E"/>
    <w:rsid w:val="00A30089"/>
    <w:rsid w:val="00A35263"/>
    <w:rsid w:val="00A42208"/>
    <w:rsid w:val="00A5661D"/>
    <w:rsid w:val="00A658D8"/>
    <w:rsid w:val="00A7066E"/>
    <w:rsid w:val="00A76A56"/>
    <w:rsid w:val="00A87D23"/>
    <w:rsid w:val="00A92C99"/>
    <w:rsid w:val="00A95005"/>
    <w:rsid w:val="00AA4AD0"/>
    <w:rsid w:val="00AA773B"/>
    <w:rsid w:val="00AC662C"/>
    <w:rsid w:val="00AD0380"/>
    <w:rsid w:val="00AE10C8"/>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6D61"/>
    <w:rsid w:val="00B72A05"/>
    <w:rsid w:val="00B84FE3"/>
    <w:rsid w:val="00BA4483"/>
    <w:rsid w:val="00BB10F6"/>
    <w:rsid w:val="00BB3596"/>
    <w:rsid w:val="00BD26F2"/>
    <w:rsid w:val="00BD6331"/>
    <w:rsid w:val="00BE162F"/>
    <w:rsid w:val="00BE5CFB"/>
    <w:rsid w:val="00BF3DBF"/>
    <w:rsid w:val="00BF6EB1"/>
    <w:rsid w:val="00C06211"/>
    <w:rsid w:val="00C26121"/>
    <w:rsid w:val="00C27F84"/>
    <w:rsid w:val="00C31329"/>
    <w:rsid w:val="00C40BE8"/>
    <w:rsid w:val="00C85B53"/>
    <w:rsid w:val="00C872FF"/>
    <w:rsid w:val="00CA41B1"/>
    <w:rsid w:val="00CC7F5B"/>
    <w:rsid w:val="00CE1B4B"/>
    <w:rsid w:val="00CE41FF"/>
    <w:rsid w:val="00CF316A"/>
    <w:rsid w:val="00CF4B0A"/>
    <w:rsid w:val="00CF5845"/>
    <w:rsid w:val="00D0065D"/>
    <w:rsid w:val="00D03D50"/>
    <w:rsid w:val="00D04E0C"/>
    <w:rsid w:val="00D07187"/>
    <w:rsid w:val="00D15997"/>
    <w:rsid w:val="00D16271"/>
    <w:rsid w:val="00D2791C"/>
    <w:rsid w:val="00D30EFA"/>
    <w:rsid w:val="00D31E49"/>
    <w:rsid w:val="00D44A17"/>
    <w:rsid w:val="00D5680A"/>
    <w:rsid w:val="00D62E18"/>
    <w:rsid w:val="00D63E61"/>
    <w:rsid w:val="00D75ABD"/>
    <w:rsid w:val="00D76413"/>
    <w:rsid w:val="00D83E34"/>
    <w:rsid w:val="00D855D3"/>
    <w:rsid w:val="00D87272"/>
    <w:rsid w:val="00DA5D4F"/>
    <w:rsid w:val="00DA617B"/>
    <w:rsid w:val="00DA7769"/>
    <w:rsid w:val="00DB42F5"/>
    <w:rsid w:val="00DB63AD"/>
    <w:rsid w:val="00DB73FE"/>
    <w:rsid w:val="00DC4739"/>
    <w:rsid w:val="00DD05CA"/>
    <w:rsid w:val="00DD30D3"/>
    <w:rsid w:val="00DD59A9"/>
    <w:rsid w:val="00DE7404"/>
    <w:rsid w:val="00E00061"/>
    <w:rsid w:val="00E04B07"/>
    <w:rsid w:val="00E1180C"/>
    <w:rsid w:val="00E129E6"/>
    <w:rsid w:val="00E13B07"/>
    <w:rsid w:val="00E1513D"/>
    <w:rsid w:val="00E16125"/>
    <w:rsid w:val="00E1693B"/>
    <w:rsid w:val="00E277DB"/>
    <w:rsid w:val="00E27BD7"/>
    <w:rsid w:val="00E32813"/>
    <w:rsid w:val="00E370B8"/>
    <w:rsid w:val="00E439F7"/>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D4BE7"/>
    <w:rsid w:val="00ED6060"/>
    <w:rsid w:val="00EE574F"/>
    <w:rsid w:val="00EF1FAE"/>
    <w:rsid w:val="00EF3127"/>
    <w:rsid w:val="00EF7930"/>
    <w:rsid w:val="00EF7C3C"/>
    <w:rsid w:val="00F0437F"/>
    <w:rsid w:val="00F1200B"/>
    <w:rsid w:val="00F1641D"/>
    <w:rsid w:val="00F34F78"/>
    <w:rsid w:val="00F5332D"/>
    <w:rsid w:val="00F61FD3"/>
    <w:rsid w:val="00F6404A"/>
    <w:rsid w:val="00F66314"/>
    <w:rsid w:val="00F66734"/>
    <w:rsid w:val="00F71FF3"/>
    <w:rsid w:val="00F733E3"/>
    <w:rsid w:val="00F8634C"/>
    <w:rsid w:val="00F86D4E"/>
    <w:rsid w:val="00FB642E"/>
    <w:rsid w:val="00FC7D00"/>
    <w:rsid w:val="00FD51E1"/>
    <w:rsid w:val="00FD6C9D"/>
    <w:rsid w:val="00FE151E"/>
    <w:rsid w:val="00FE25C4"/>
    <w:rsid w:val="00FE5BE2"/>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50EA080"/>
  <w15:docId w15:val="{83709C27-1CD1-476C-83B6-E3351586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36"/>
    <w:pPr>
      <w:widowControl w:val="0"/>
    </w:pPr>
    <w:rPr>
      <w:rFonts w:ascii="Courier" w:hAnsi="Courier"/>
      <w:sz w:val="24"/>
      <w:szCs w:val="20"/>
    </w:rPr>
  </w:style>
  <w:style w:type="paragraph" w:styleId="Heading2">
    <w:name w:val="heading 2"/>
    <w:basedOn w:val="Normal"/>
    <w:next w:val="Normal"/>
    <w:link w:val="Heading2Char"/>
    <w:uiPriority w:val="9"/>
    <w:unhideWhenUsed/>
    <w:qFormat/>
    <w:locked/>
    <w:rsid w:val="00457F56"/>
    <w:pPr>
      <w:keepNext/>
      <w:keepLines/>
      <w:widowControl/>
      <w:spacing w:before="40"/>
      <w:outlineLvl w:val="1"/>
    </w:pPr>
    <w:rPr>
      <w:rFonts w:ascii="Source Sans Pro" w:eastAsiaTheme="majorEastAsia" w:hAnsi="Source Sans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basedOn w:val="DefaultParagraphFont"/>
    <w:uiPriority w:val="99"/>
    <w:qFormat/>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
    <w:basedOn w:val="Normal"/>
    <w:link w:val="FootnoteTextChar"/>
    <w:uiPriority w:val="99"/>
    <w:qFormat/>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3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 w:type="paragraph" w:styleId="Revision">
    <w:name w:val="Revision"/>
    <w:hidden/>
    <w:uiPriority w:val="99"/>
    <w:semiHidden/>
    <w:rsid w:val="005E1199"/>
    <w:rPr>
      <w:rFonts w:ascii="Courier" w:hAnsi="Courier"/>
      <w:sz w:val="24"/>
      <w:szCs w:val="20"/>
    </w:rPr>
  </w:style>
  <w:style w:type="character" w:customStyle="1" w:styleId="ms-rtethemefontface-1">
    <w:name w:val="ms-rtethemefontface-1"/>
    <w:basedOn w:val="DefaultParagraphFont"/>
    <w:rsid w:val="004A3BFA"/>
  </w:style>
  <w:style w:type="character" w:customStyle="1" w:styleId="Hyperlink1">
    <w:name w:val="Hyperlink1"/>
    <w:basedOn w:val="DefaultParagraphFont"/>
    <w:uiPriority w:val="99"/>
    <w:unhideWhenUsed/>
    <w:rsid w:val="004A3BFA"/>
    <w:rPr>
      <w:color w:val="0563C1"/>
      <w:u w:val="single"/>
    </w:rPr>
  </w:style>
  <w:style w:type="character" w:styleId="Hyperlink">
    <w:name w:val="Hyperlink"/>
    <w:basedOn w:val="DefaultParagraphFont"/>
    <w:uiPriority w:val="99"/>
    <w:semiHidden/>
    <w:unhideWhenUsed/>
    <w:rsid w:val="004A3BFA"/>
    <w:rPr>
      <w:color w:val="0000FF" w:themeColor="hyperlink"/>
      <w:u w:val="single"/>
    </w:rPr>
  </w:style>
  <w:style w:type="character" w:customStyle="1" w:styleId="Heading2Char">
    <w:name w:val="Heading 2 Char"/>
    <w:basedOn w:val="DefaultParagraphFont"/>
    <w:link w:val="Heading2"/>
    <w:uiPriority w:val="9"/>
    <w:rsid w:val="00457F56"/>
    <w:rPr>
      <w:rFonts w:ascii="Source Sans Pro" w:eastAsiaTheme="majorEastAsia" w:hAnsi="Source Sans Pro" w:cstheme="majorBidi"/>
      <w:b/>
      <w:sz w:val="20"/>
      <w:szCs w:val="26"/>
    </w:rPr>
  </w:style>
  <w:style w:type="character" w:customStyle="1" w:styleId="normaltextrun">
    <w:name w:val="normaltextrun"/>
    <w:basedOn w:val="DefaultParagraphFont"/>
    <w:rsid w:val="0045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4133">
      <w:marLeft w:val="0"/>
      <w:marRight w:val="0"/>
      <w:marTop w:val="0"/>
      <w:marBottom w:val="0"/>
      <w:divBdr>
        <w:top w:val="none" w:sz="0" w:space="0" w:color="auto"/>
        <w:left w:val="none" w:sz="0" w:space="0" w:color="auto"/>
        <w:bottom w:val="none" w:sz="0" w:space="0" w:color="auto"/>
        <w:right w:val="none" w:sz="0" w:space="0" w:color="auto"/>
      </w:divBdr>
    </w:div>
    <w:div w:id="27534134">
      <w:marLeft w:val="0"/>
      <w:marRight w:val="0"/>
      <w:marTop w:val="0"/>
      <w:marBottom w:val="0"/>
      <w:divBdr>
        <w:top w:val="none" w:sz="0" w:space="0" w:color="auto"/>
        <w:left w:val="none" w:sz="0" w:space="0" w:color="auto"/>
        <w:bottom w:val="none" w:sz="0" w:space="0" w:color="auto"/>
        <w:right w:val="none" w:sz="0" w:space="0" w:color="auto"/>
      </w:divBdr>
    </w:div>
    <w:div w:id="27534135">
      <w:marLeft w:val="0"/>
      <w:marRight w:val="0"/>
      <w:marTop w:val="0"/>
      <w:marBottom w:val="0"/>
      <w:divBdr>
        <w:top w:val="none" w:sz="0" w:space="0" w:color="auto"/>
        <w:left w:val="none" w:sz="0" w:space="0" w:color="auto"/>
        <w:bottom w:val="none" w:sz="0" w:space="0" w:color="auto"/>
        <w:right w:val="none" w:sz="0" w:space="0" w:color="auto"/>
      </w:divBdr>
      <w:divsChild>
        <w:div w:id="27534132">
          <w:marLeft w:val="0"/>
          <w:marRight w:val="0"/>
          <w:marTop w:val="0"/>
          <w:marBottom w:val="0"/>
          <w:divBdr>
            <w:top w:val="none" w:sz="0" w:space="0" w:color="auto"/>
            <w:left w:val="none" w:sz="0" w:space="0" w:color="auto"/>
            <w:bottom w:val="none" w:sz="0" w:space="0" w:color="auto"/>
            <w:right w:val="none" w:sz="0" w:space="0" w:color="auto"/>
          </w:divBdr>
        </w:div>
      </w:divsChild>
    </w:div>
    <w:div w:id="27534136">
      <w:marLeft w:val="0"/>
      <w:marRight w:val="0"/>
      <w:marTop w:val="0"/>
      <w:marBottom w:val="0"/>
      <w:divBdr>
        <w:top w:val="none" w:sz="0" w:space="0" w:color="auto"/>
        <w:left w:val="none" w:sz="0" w:space="0" w:color="auto"/>
        <w:bottom w:val="none" w:sz="0" w:space="0" w:color="auto"/>
        <w:right w:val="none" w:sz="0" w:space="0" w:color="auto"/>
      </w:divBdr>
    </w:div>
    <w:div w:id="27534137">
      <w:marLeft w:val="0"/>
      <w:marRight w:val="0"/>
      <w:marTop w:val="0"/>
      <w:marBottom w:val="0"/>
      <w:divBdr>
        <w:top w:val="none" w:sz="0" w:space="0" w:color="auto"/>
        <w:left w:val="none" w:sz="0" w:space="0" w:color="auto"/>
        <w:bottom w:val="none" w:sz="0" w:space="0" w:color="auto"/>
        <w:right w:val="none" w:sz="0" w:space="0" w:color="auto"/>
      </w:divBdr>
    </w:div>
    <w:div w:id="27534138">
      <w:marLeft w:val="0"/>
      <w:marRight w:val="0"/>
      <w:marTop w:val="0"/>
      <w:marBottom w:val="0"/>
      <w:divBdr>
        <w:top w:val="none" w:sz="0" w:space="0" w:color="auto"/>
        <w:left w:val="none" w:sz="0" w:space="0" w:color="auto"/>
        <w:bottom w:val="none" w:sz="0" w:space="0" w:color="auto"/>
        <w:right w:val="none" w:sz="0" w:space="0" w:color="auto"/>
      </w:divBdr>
    </w:div>
    <w:div w:id="27534139">
      <w:marLeft w:val="0"/>
      <w:marRight w:val="0"/>
      <w:marTop w:val="0"/>
      <w:marBottom w:val="0"/>
      <w:divBdr>
        <w:top w:val="none" w:sz="0" w:space="0" w:color="auto"/>
        <w:left w:val="none" w:sz="0" w:space="0" w:color="auto"/>
        <w:bottom w:val="none" w:sz="0" w:space="0" w:color="auto"/>
        <w:right w:val="none" w:sz="0" w:space="0" w:color="auto"/>
      </w:divBdr>
    </w:div>
    <w:div w:id="27534140">
      <w:marLeft w:val="0"/>
      <w:marRight w:val="0"/>
      <w:marTop w:val="0"/>
      <w:marBottom w:val="0"/>
      <w:divBdr>
        <w:top w:val="none" w:sz="0" w:space="0" w:color="auto"/>
        <w:left w:val="none" w:sz="0" w:space="0" w:color="auto"/>
        <w:bottom w:val="none" w:sz="0" w:space="0" w:color="auto"/>
        <w:right w:val="none" w:sz="0" w:space="0" w:color="auto"/>
      </w:divBdr>
    </w:div>
    <w:div w:id="27534141">
      <w:marLeft w:val="0"/>
      <w:marRight w:val="0"/>
      <w:marTop w:val="0"/>
      <w:marBottom w:val="0"/>
      <w:divBdr>
        <w:top w:val="none" w:sz="0" w:space="0" w:color="auto"/>
        <w:left w:val="none" w:sz="0" w:space="0" w:color="auto"/>
        <w:bottom w:val="none" w:sz="0" w:space="0" w:color="auto"/>
        <w:right w:val="none" w:sz="0" w:space="0" w:color="auto"/>
      </w:divBdr>
    </w:div>
    <w:div w:id="27534142">
      <w:marLeft w:val="0"/>
      <w:marRight w:val="0"/>
      <w:marTop w:val="0"/>
      <w:marBottom w:val="0"/>
      <w:divBdr>
        <w:top w:val="none" w:sz="0" w:space="0" w:color="auto"/>
        <w:left w:val="none" w:sz="0" w:space="0" w:color="auto"/>
        <w:bottom w:val="none" w:sz="0" w:space="0" w:color="auto"/>
        <w:right w:val="none" w:sz="0" w:space="0" w:color="auto"/>
      </w:divBdr>
    </w:div>
    <w:div w:id="27534143">
      <w:marLeft w:val="0"/>
      <w:marRight w:val="0"/>
      <w:marTop w:val="0"/>
      <w:marBottom w:val="0"/>
      <w:divBdr>
        <w:top w:val="none" w:sz="0" w:space="0" w:color="auto"/>
        <w:left w:val="none" w:sz="0" w:space="0" w:color="auto"/>
        <w:bottom w:val="none" w:sz="0" w:space="0" w:color="auto"/>
        <w:right w:val="none" w:sz="0" w:space="0" w:color="auto"/>
      </w:divBdr>
    </w:div>
    <w:div w:id="14520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FBE4-DC43-4002-BDCC-EA40EB1C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3259</Words>
  <Characters>17416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Cabeza, Manuel E.</dc:creator>
  <cp:lastModifiedBy>Cabeza, Manuel E.</cp:lastModifiedBy>
  <cp:revision>10</cp:revision>
  <dcterms:created xsi:type="dcterms:W3CDTF">2021-12-20T15:44:00Z</dcterms:created>
  <dcterms:modified xsi:type="dcterms:W3CDTF">2021-12-21T14:42:00Z</dcterms:modified>
</cp:coreProperties>
</file>