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5A25" w:rsidR="000F5A25" w:rsidP="000F5A25" w:rsidRDefault="000F5A25" w14:paraId="538E0D63" w14:textId="77777777">
      <w:pPr>
        <w:pStyle w:val="Title"/>
        <w:rPr>
          <w:rFonts w:ascii="Times New Roman" w:hAnsi="Times New Roman"/>
          <w:sz w:val="28"/>
          <w:szCs w:val="28"/>
          <w:u w:val="none"/>
        </w:rPr>
      </w:pPr>
      <w:r w:rsidRPr="000F5A25">
        <w:rPr>
          <w:rFonts w:ascii="Times New Roman" w:hAnsi="Times New Roman"/>
          <w:sz w:val="28"/>
          <w:szCs w:val="28"/>
          <w:u w:val="none"/>
        </w:rPr>
        <w:t>Supporting Statement</w:t>
      </w:r>
      <w:r w:rsidR="00687561">
        <w:rPr>
          <w:rFonts w:ascii="Times New Roman" w:hAnsi="Times New Roman"/>
          <w:sz w:val="28"/>
          <w:szCs w:val="28"/>
          <w:u w:val="none"/>
        </w:rPr>
        <w:t xml:space="preserve"> for Information Collection</w:t>
      </w:r>
    </w:p>
    <w:p w:rsidRPr="000F5A25" w:rsidR="000F5A25" w:rsidP="000F5A25" w:rsidRDefault="00687561" w14:paraId="0BA46A62" w14:textId="77777777">
      <w:pPr>
        <w:pStyle w:val="Title"/>
        <w:rPr>
          <w:rFonts w:ascii="Times New Roman" w:hAnsi="Times New Roman"/>
          <w:sz w:val="28"/>
          <w:szCs w:val="28"/>
          <w:u w:val="none"/>
        </w:rPr>
      </w:pPr>
      <w:r>
        <w:rPr>
          <w:rFonts w:ascii="Times New Roman" w:hAnsi="Times New Roman"/>
          <w:sz w:val="28"/>
          <w:szCs w:val="28"/>
          <w:u w:val="none"/>
        </w:rPr>
        <w:t xml:space="preserve">OMB Control No. </w:t>
      </w:r>
      <w:r w:rsidRPr="000F5A25" w:rsidR="000F5A25">
        <w:rPr>
          <w:rFonts w:ascii="Times New Roman" w:hAnsi="Times New Roman"/>
          <w:sz w:val="28"/>
          <w:szCs w:val="28"/>
          <w:u w:val="none"/>
        </w:rPr>
        <w:t xml:space="preserve"> </w:t>
      </w:r>
      <w:r w:rsidR="000F5A25">
        <w:rPr>
          <w:rFonts w:ascii="Times New Roman" w:hAnsi="Times New Roman"/>
          <w:sz w:val="28"/>
          <w:szCs w:val="28"/>
          <w:u w:val="none"/>
        </w:rPr>
        <w:t>3090-</w:t>
      </w:r>
      <w:r w:rsidRPr="000F5A25" w:rsidR="000F5A25">
        <w:rPr>
          <w:rFonts w:ascii="Times New Roman" w:hAnsi="Times New Roman"/>
          <w:sz w:val="28"/>
          <w:szCs w:val="28"/>
          <w:u w:val="none"/>
        </w:rPr>
        <w:t>0</w:t>
      </w:r>
      <w:r w:rsidR="000F5A25">
        <w:rPr>
          <w:rFonts w:ascii="Times New Roman" w:hAnsi="Times New Roman"/>
          <w:sz w:val="28"/>
          <w:szCs w:val="28"/>
          <w:u w:val="none"/>
        </w:rPr>
        <w:t>317</w:t>
      </w:r>
    </w:p>
    <w:p w:rsidR="000F5A25" w:rsidP="000F5A25" w:rsidRDefault="000F5A25" w14:paraId="3D91D5CB" w14:textId="77777777">
      <w:pPr>
        <w:pStyle w:val="Heading1"/>
        <w:spacing w:before="0"/>
        <w:ind w:left="1980" w:right="0"/>
        <w:jc w:val="left"/>
      </w:pPr>
      <w:r>
        <w:t xml:space="preserve">          </w:t>
      </w:r>
      <w:r w:rsidR="004041AC">
        <w:t>N</w:t>
      </w:r>
      <w:r w:rsidR="00A832B8">
        <w:t xml:space="preserve">otarized Document Submittal </w:t>
      </w:r>
      <w:r w:rsidR="004041AC">
        <w:t xml:space="preserve">System </w:t>
      </w:r>
    </w:p>
    <w:p w:rsidRPr="000F5A25" w:rsidR="00631DC9" w:rsidP="000F5A25" w:rsidRDefault="000F5A25" w14:paraId="1EC39C53" w14:textId="77777777">
      <w:pPr>
        <w:pStyle w:val="Heading1"/>
        <w:spacing w:before="0"/>
        <w:ind w:left="1980" w:right="0"/>
        <w:jc w:val="left"/>
      </w:pPr>
      <w:r>
        <w:t xml:space="preserve">          </w:t>
      </w:r>
      <w:r w:rsidR="0087608C">
        <w:t>f</w:t>
      </w:r>
      <w:r w:rsidR="00A832B8">
        <w:t xml:space="preserve">or </w:t>
      </w:r>
      <w:r w:rsidR="004041AC">
        <w:t>Award</w:t>
      </w:r>
      <w:r>
        <w:t xml:space="preserve"> Management Registration</w:t>
      </w:r>
    </w:p>
    <w:p w:rsidR="00631DC9" w:rsidRDefault="00631DC9" w14:paraId="5150CBE2" w14:textId="77777777">
      <w:pPr>
        <w:pStyle w:val="BodyText"/>
        <w:spacing w:before="3"/>
        <w:rPr>
          <w:b/>
        </w:rPr>
      </w:pPr>
    </w:p>
    <w:p w:rsidR="00631DC9" w:rsidRDefault="004041AC" w14:paraId="23AA6BA1" w14:textId="77777777">
      <w:pPr>
        <w:pStyle w:val="Heading2"/>
        <w:numPr>
          <w:ilvl w:val="0"/>
          <w:numId w:val="6"/>
        </w:numPr>
        <w:tabs>
          <w:tab w:val="left" w:pos="454"/>
        </w:tabs>
        <w:ind w:hanging="353"/>
      </w:pPr>
      <w:r>
        <w:t>Justification.</w:t>
      </w:r>
    </w:p>
    <w:p w:rsidR="00631DC9" w:rsidRDefault="00631DC9" w14:paraId="5BEFC0C0" w14:textId="77777777">
      <w:pPr>
        <w:pStyle w:val="BodyText"/>
        <w:spacing w:before="6"/>
        <w:rPr>
          <w:b/>
          <w:sz w:val="25"/>
        </w:rPr>
      </w:pPr>
    </w:p>
    <w:p w:rsidRPr="003E77CB" w:rsidR="00631DC9" w:rsidRDefault="003E77CB" w14:paraId="17C2679C" w14:textId="77777777">
      <w:pPr>
        <w:pStyle w:val="ListParagraph"/>
        <w:numPr>
          <w:ilvl w:val="1"/>
          <w:numId w:val="6"/>
        </w:numPr>
        <w:tabs>
          <w:tab w:val="left" w:pos="400"/>
        </w:tabs>
        <w:ind w:hanging="360"/>
        <w:rPr>
          <w:b/>
          <w:sz w:val="24"/>
          <w:szCs w:val="24"/>
        </w:rPr>
      </w:pPr>
      <w:r w:rsidRPr="003E77CB">
        <w:rPr>
          <w:b/>
          <w:sz w:val="24"/>
          <w:szCs w:val="24"/>
        </w:rPr>
        <w:t>Administrative requirements</w:t>
      </w:r>
      <w:r w:rsidRPr="003E77CB">
        <w:rPr>
          <w:sz w:val="24"/>
          <w:szCs w:val="24"/>
        </w:rPr>
        <w:t>.</w:t>
      </w:r>
    </w:p>
    <w:p w:rsidR="00631DC9" w:rsidRDefault="00631DC9" w14:paraId="180D87B1" w14:textId="77777777">
      <w:pPr>
        <w:pStyle w:val="BodyText"/>
        <w:spacing w:before="6"/>
        <w:rPr>
          <w:b/>
          <w:sz w:val="25"/>
        </w:rPr>
      </w:pPr>
    </w:p>
    <w:p w:rsidR="003D144B" w:rsidP="003D144B" w:rsidRDefault="003D144B" w14:paraId="3AC1CE5C" w14:textId="0F316A8F">
      <w:pPr>
        <w:pBdr>
          <w:top w:val="nil"/>
          <w:left w:val="nil"/>
          <w:bottom w:val="nil"/>
          <w:right w:val="nil"/>
          <w:between w:val="nil"/>
        </w:pBdr>
        <w:spacing w:line="273" w:lineRule="auto"/>
        <w:ind w:left="220" w:right="262"/>
        <w:rPr>
          <w:color w:val="151515"/>
          <w:sz w:val="24"/>
          <w:szCs w:val="24"/>
        </w:rPr>
      </w:pPr>
      <w:r w:rsidRPr="00B85D54">
        <w:rPr>
          <w:color w:val="151515"/>
          <w:sz w:val="24"/>
          <w:szCs w:val="24"/>
        </w:rPr>
        <w:t>The Federal Acquisition Regulation and Code of Federal Regulation prescribe the policies and procedures requiring registration in the System for Award Management database.  Federal Acquisition Regulation (FAR) Subpart 4.11 prescribes policies and procedures for requiring registration in the System for Award Management (SAM) database to: (1) Increase visibility of vendor sources (including their geographical locations) for specific supplies and services; and (2) establish a common source of vendor data for the Government. The Code of Federal Regulations (CFR) at 2 CFR §25.200 prescribes policies and procedures for requiring recipient registration in the System for Award Management (SAM) database.</w:t>
      </w:r>
    </w:p>
    <w:p w:rsidR="002A32C8" w:rsidRDefault="002A32C8" w14:paraId="2CE14ECA" w14:textId="77777777">
      <w:pPr>
        <w:pStyle w:val="BodyText"/>
        <w:spacing w:line="273" w:lineRule="auto"/>
        <w:ind w:left="220" w:right="262"/>
        <w:rPr>
          <w:color w:val="151515"/>
        </w:rPr>
      </w:pPr>
    </w:p>
    <w:p w:rsidR="00631DC9" w:rsidP="002A32C8" w:rsidRDefault="003D144B" w14:paraId="5A985E84" w14:textId="67D0B24C">
      <w:pPr>
        <w:pStyle w:val="BodyText"/>
        <w:spacing w:line="273" w:lineRule="auto"/>
        <w:ind w:left="220" w:right="262"/>
      </w:pPr>
      <w:r>
        <w:t>GSA established an Information Collection Request (ICR) to collect additional information to support increased validation of entities registered in the System for Award Management (SAM).  This additional information is contained in a notarized letter in which an officer or other signatory authority of the entity formally appoints the administrator for the entity when an administrator is not available to perform that function for that entity. The original, signed letter is submitted electronically to the Federal Service Desk</w:t>
      </w:r>
      <w:r w:rsidR="008D1867">
        <w:t xml:space="preserve"> (FSD)</w:t>
      </w:r>
      <w:r>
        <w:t xml:space="preserve"> for SAM when an administrator needs to be appointed for an existing entity.</w:t>
      </w:r>
    </w:p>
    <w:p w:rsidR="00631DC9" w:rsidRDefault="00631DC9" w14:paraId="226EE491" w14:textId="77777777">
      <w:pPr>
        <w:pStyle w:val="BodyText"/>
        <w:spacing w:before="5"/>
        <w:rPr>
          <w:sz w:val="27"/>
        </w:rPr>
      </w:pPr>
    </w:p>
    <w:p w:rsidR="00631DC9" w:rsidP="002A32C8" w:rsidRDefault="00244C51" w14:paraId="134356C3" w14:textId="65F6BD73">
      <w:pPr>
        <w:pStyle w:val="BodyText"/>
        <w:spacing w:line="261" w:lineRule="auto"/>
        <w:ind w:left="235" w:right="113" w:firstLine="15"/>
      </w:pPr>
      <w:r>
        <w:rPr>
          <w:color w:val="141414"/>
        </w:rPr>
        <w:t>GSA is actively pursuing technical alternatives to</w:t>
      </w:r>
      <w:r w:rsidR="00BE50EC">
        <w:rPr>
          <w:color w:val="141414"/>
        </w:rPr>
        <w:t xml:space="preserve"> </w:t>
      </w:r>
      <w:r>
        <w:rPr>
          <w:color w:val="141414"/>
        </w:rPr>
        <w:t>the collection of this information</w:t>
      </w:r>
      <w:r w:rsidR="00BE50EC">
        <w:rPr>
          <w:color w:val="141414"/>
        </w:rPr>
        <w:t xml:space="preserve"> for all non-federal entities. </w:t>
      </w:r>
      <w:r>
        <w:rPr>
          <w:color w:val="141414"/>
        </w:rPr>
        <w:t xml:space="preserve"> </w:t>
      </w:r>
      <w:r w:rsidR="00BE50EC">
        <w:rPr>
          <w:color w:val="141414"/>
        </w:rPr>
        <w:t>GSA seeks to refine the requirement and adopt a risk-based approach</w:t>
      </w:r>
      <w:r>
        <w:rPr>
          <w:color w:val="141414"/>
        </w:rPr>
        <w:t>. In the</w:t>
      </w:r>
      <w:r w:rsidR="00BE50EC">
        <w:rPr>
          <w:color w:val="141414"/>
        </w:rPr>
        <w:t xml:space="preserve"> interim</w:t>
      </w:r>
      <w:r>
        <w:rPr>
          <w:color w:val="141414"/>
        </w:rPr>
        <w:t>, t</w:t>
      </w:r>
      <w:r w:rsidR="004041AC">
        <w:rPr>
          <w:color w:val="141414"/>
        </w:rPr>
        <w:t xml:space="preserve">he collection of </w:t>
      </w:r>
      <w:r>
        <w:rPr>
          <w:color w:val="141414"/>
        </w:rPr>
        <w:t xml:space="preserve">the notarized letter </w:t>
      </w:r>
      <w:r w:rsidR="004041AC">
        <w:rPr>
          <w:color w:val="141414"/>
        </w:rPr>
        <w:t>information is essential to GSA's acqu</w:t>
      </w:r>
      <w:r w:rsidR="004041AC">
        <w:rPr>
          <w:color w:val="303030"/>
        </w:rPr>
        <w:t>i</w:t>
      </w:r>
      <w:r w:rsidR="004041AC">
        <w:rPr>
          <w:color w:val="141414"/>
        </w:rPr>
        <w:t>sition mission to meet the needs of all federal agencies, as well as the needs of the grant commun</w:t>
      </w:r>
      <w:r w:rsidR="004041AC">
        <w:rPr>
          <w:color w:val="303030"/>
        </w:rPr>
        <w:t>i</w:t>
      </w:r>
      <w:r w:rsidR="008A13E3">
        <w:rPr>
          <w:color w:val="141414"/>
        </w:rPr>
        <w:t xml:space="preserve">ty.  </w:t>
      </w:r>
      <w:r w:rsidR="004041AC">
        <w:rPr>
          <w:color w:val="151515"/>
        </w:rPr>
        <w:t>A key element of GSA's mission is to provide efficient and effecti</w:t>
      </w:r>
      <w:r w:rsidR="002A32C8">
        <w:rPr>
          <w:color w:val="151515"/>
        </w:rPr>
        <w:t>ve acquisition solutions across</w:t>
      </w:r>
      <w:r w:rsidR="008A13E3">
        <w:rPr>
          <w:color w:val="151515"/>
        </w:rPr>
        <w:t xml:space="preserve"> the Federal Government.  </w:t>
      </w:r>
      <w:r w:rsidR="004041AC">
        <w:rPr>
          <w:color w:val="151515"/>
        </w:rPr>
        <w:t xml:space="preserve">SAM is essential to the </w:t>
      </w:r>
      <w:r w:rsidR="002A32C8">
        <w:rPr>
          <w:color w:val="151515"/>
        </w:rPr>
        <w:t xml:space="preserve">accomplishment of that mission.  </w:t>
      </w:r>
      <w:r w:rsidR="004041AC">
        <w:rPr>
          <w:color w:val="151515"/>
        </w:rPr>
        <w:t>In addition to federal contracts, federal assistance programs also rely upon the integrity and secu</w:t>
      </w:r>
      <w:r w:rsidR="002A32C8">
        <w:rPr>
          <w:color w:val="151515"/>
        </w:rPr>
        <w:t xml:space="preserve">rity of the information in SAM.  </w:t>
      </w:r>
      <w:r w:rsidR="004041AC">
        <w:rPr>
          <w:color w:val="151515"/>
        </w:rPr>
        <w:t xml:space="preserve">Without assurances that </w:t>
      </w:r>
      <w:r w:rsidR="002A32C8">
        <w:rPr>
          <w:color w:val="151515"/>
        </w:rPr>
        <w:t xml:space="preserve">the information in SAM is protected </w:t>
      </w:r>
      <w:r w:rsidR="003D144B">
        <w:rPr>
          <w:color w:val="151515"/>
        </w:rPr>
        <w:t>and</w:t>
      </w:r>
      <w:r w:rsidR="0091727D">
        <w:rPr>
          <w:color w:val="151515"/>
        </w:rPr>
        <w:t xml:space="preserve"> </w:t>
      </w:r>
      <w:r w:rsidR="002A73BC">
        <w:rPr>
          <w:color w:val="151515"/>
        </w:rPr>
        <w:t xml:space="preserve">is </w:t>
      </w:r>
      <w:r w:rsidR="004041AC">
        <w:rPr>
          <w:color w:val="151515"/>
        </w:rPr>
        <w:t xml:space="preserve">at minimal risk of compromise, GSA </w:t>
      </w:r>
      <w:r w:rsidR="006B6F68">
        <w:rPr>
          <w:color w:val="151515"/>
        </w:rPr>
        <w:t xml:space="preserve">would </w:t>
      </w:r>
      <w:r w:rsidR="004041AC">
        <w:rPr>
          <w:color w:val="151515"/>
        </w:rPr>
        <w:t>risk losing the confidence of the federal acquisition and ass</w:t>
      </w:r>
      <w:r w:rsidR="004041AC">
        <w:rPr>
          <w:color w:val="3A3A3A"/>
        </w:rPr>
        <w:t>i</w:t>
      </w:r>
      <w:r w:rsidR="002A32C8">
        <w:rPr>
          <w:color w:val="151515"/>
        </w:rPr>
        <w:t>stance communities</w:t>
      </w:r>
      <w:r w:rsidR="006B6F68">
        <w:rPr>
          <w:color w:val="151515"/>
        </w:rPr>
        <w:t xml:space="preserve"> which </w:t>
      </w:r>
      <w:r w:rsidR="00B85D54">
        <w:rPr>
          <w:color w:val="151515"/>
        </w:rPr>
        <w:t>it</w:t>
      </w:r>
      <w:r w:rsidR="006B6F68">
        <w:rPr>
          <w:color w:val="151515"/>
        </w:rPr>
        <w:t xml:space="preserve"> serves</w:t>
      </w:r>
      <w:r w:rsidR="002A32C8">
        <w:rPr>
          <w:color w:val="151515"/>
        </w:rPr>
        <w:t xml:space="preserve">.  </w:t>
      </w:r>
      <w:r w:rsidR="004041AC">
        <w:rPr>
          <w:color w:val="151515"/>
        </w:rPr>
        <w:t>As a result, some entities may prefer not to do business with the Federal Government.</w:t>
      </w:r>
    </w:p>
    <w:p w:rsidRPr="002A32C8" w:rsidR="002A32C8" w:rsidP="002A32C8" w:rsidRDefault="002A32C8" w14:paraId="19642047" w14:textId="77777777">
      <w:pPr>
        <w:pStyle w:val="BodyText"/>
        <w:spacing w:line="261" w:lineRule="auto"/>
        <w:ind w:left="235" w:right="113" w:firstLine="15"/>
      </w:pPr>
    </w:p>
    <w:p w:rsidR="00631DC9" w:rsidRDefault="004041AC" w14:paraId="3137086E" w14:textId="77777777">
      <w:pPr>
        <w:pStyle w:val="Heading2"/>
        <w:numPr>
          <w:ilvl w:val="1"/>
          <w:numId w:val="6"/>
        </w:numPr>
        <w:tabs>
          <w:tab w:val="left" w:pos="340"/>
        </w:tabs>
        <w:ind w:left="340" w:hanging="240"/>
      </w:pPr>
      <w:r>
        <w:t xml:space="preserve">Use of Information </w:t>
      </w:r>
    </w:p>
    <w:p w:rsidR="00631DC9" w:rsidRDefault="00631DC9" w14:paraId="274B2620" w14:textId="77777777">
      <w:pPr>
        <w:pStyle w:val="BodyText"/>
        <w:spacing w:before="9"/>
        <w:rPr>
          <w:b/>
          <w:sz w:val="26"/>
        </w:rPr>
      </w:pPr>
    </w:p>
    <w:p w:rsidR="00631DC9" w:rsidP="0046673B" w:rsidRDefault="004041AC" w14:paraId="09025C04" w14:textId="77777777">
      <w:pPr>
        <w:pStyle w:val="BodyText"/>
        <w:spacing w:line="273" w:lineRule="auto"/>
        <w:ind w:left="270" w:right="334"/>
      </w:pPr>
      <w:r>
        <w:t xml:space="preserve">The information required for SAM registration for federal contracts and federal assistance </w:t>
      </w:r>
      <w:r>
        <w:rPr>
          <w:color w:val="151515"/>
        </w:rPr>
        <w:t xml:space="preserve">includes completing up to four modules in SAM: Core Data, Assertions, Representations and </w:t>
      </w:r>
      <w:r>
        <w:rPr>
          <w:color w:val="151515"/>
        </w:rPr>
        <w:lastRenderedPageBreak/>
        <w:t>Certifications, and Points of Contact sections to provide, among other things:</w:t>
      </w:r>
    </w:p>
    <w:p w:rsidR="00631DC9" w:rsidRDefault="004041AC" w14:paraId="3A90B662" w14:textId="77777777">
      <w:pPr>
        <w:pStyle w:val="ListParagraph"/>
        <w:numPr>
          <w:ilvl w:val="2"/>
          <w:numId w:val="6"/>
        </w:numPr>
        <w:tabs>
          <w:tab w:val="left" w:pos="819"/>
          <w:tab w:val="left" w:pos="820"/>
        </w:tabs>
        <w:spacing w:before="1"/>
        <w:rPr>
          <w:sz w:val="24"/>
        </w:rPr>
      </w:pPr>
      <w:r>
        <w:rPr>
          <w:color w:val="151515"/>
          <w:sz w:val="24"/>
        </w:rPr>
        <w:t>the registering entity's legal business name;</w:t>
      </w:r>
    </w:p>
    <w:p w:rsidR="00631DC9" w:rsidRDefault="004041AC" w14:paraId="5CB19887" w14:textId="77777777">
      <w:pPr>
        <w:pStyle w:val="ListParagraph"/>
        <w:numPr>
          <w:ilvl w:val="2"/>
          <w:numId w:val="6"/>
        </w:numPr>
        <w:tabs>
          <w:tab w:val="left" w:pos="819"/>
          <w:tab w:val="left" w:pos="820"/>
        </w:tabs>
        <w:spacing w:before="23"/>
        <w:ind w:hanging="345"/>
        <w:rPr>
          <w:sz w:val="24"/>
        </w:rPr>
      </w:pPr>
      <w:r>
        <w:rPr>
          <w:color w:val="151515"/>
          <w:sz w:val="24"/>
        </w:rPr>
        <w:t>the registering entity's physical address;</w:t>
      </w:r>
    </w:p>
    <w:p w:rsidR="00631DC9" w:rsidRDefault="004041AC" w14:paraId="24356576" w14:textId="77777777">
      <w:pPr>
        <w:pStyle w:val="ListParagraph"/>
        <w:numPr>
          <w:ilvl w:val="2"/>
          <w:numId w:val="6"/>
        </w:numPr>
        <w:tabs>
          <w:tab w:val="left" w:pos="819"/>
          <w:tab w:val="left" w:pos="820"/>
        </w:tabs>
        <w:spacing w:before="23"/>
        <w:rPr>
          <w:sz w:val="24"/>
        </w:rPr>
      </w:pPr>
      <w:r>
        <w:rPr>
          <w:color w:val="151515"/>
          <w:sz w:val="24"/>
        </w:rPr>
        <w:t>Data Universal Numbering System (DUNS) number from Dun &amp; Bradstreet;</w:t>
      </w:r>
    </w:p>
    <w:p w:rsidR="00631DC9" w:rsidRDefault="004041AC" w14:paraId="2F82215B" w14:textId="77777777">
      <w:pPr>
        <w:pStyle w:val="ListParagraph"/>
        <w:numPr>
          <w:ilvl w:val="2"/>
          <w:numId w:val="6"/>
        </w:numPr>
        <w:tabs>
          <w:tab w:val="left" w:pos="819"/>
          <w:tab w:val="left" w:pos="820"/>
        </w:tabs>
        <w:spacing w:before="38"/>
        <w:ind w:hanging="345"/>
        <w:rPr>
          <w:sz w:val="24"/>
        </w:rPr>
      </w:pPr>
      <w:r>
        <w:rPr>
          <w:color w:val="151515"/>
          <w:sz w:val="24"/>
        </w:rPr>
        <w:t>Taxpayer Identification Number (TIN);</w:t>
      </w:r>
    </w:p>
    <w:p w:rsidR="00631DC9" w:rsidRDefault="004041AC" w14:paraId="2E467075" w14:textId="77777777">
      <w:pPr>
        <w:pStyle w:val="ListParagraph"/>
        <w:numPr>
          <w:ilvl w:val="2"/>
          <w:numId w:val="6"/>
        </w:numPr>
        <w:tabs>
          <w:tab w:val="left" w:pos="819"/>
          <w:tab w:val="left" w:pos="820"/>
        </w:tabs>
        <w:spacing w:before="38"/>
        <w:rPr>
          <w:sz w:val="24"/>
        </w:rPr>
      </w:pPr>
      <w:r>
        <w:rPr>
          <w:color w:val="151515"/>
          <w:sz w:val="24"/>
        </w:rPr>
        <w:t>Electronic Funds Transfer information;</w:t>
      </w:r>
    </w:p>
    <w:p w:rsidR="00631DC9" w:rsidRDefault="004041AC" w14:paraId="5F550E85" w14:textId="77777777">
      <w:pPr>
        <w:pStyle w:val="ListParagraph"/>
        <w:numPr>
          <w:ilvl w:val="2"/>
          <w:numId w:val="6"/>
        </w:numPr>
        <w:tabs>
          <w:tab w:val="left" w:pos="819"/>
          <w:tab w:val="left" w:pos="820"/>
        </w:tabs>
        <w:spacing w:before="23" w:line="261" w:lineRule="auto"/>
        <w:ind w:right="646" w:hanging="345"/>
        <w:rPr>
          <w:sz w:val="24"/>
        </w:rPr>
      </w:pPr>
      <w:r>
        <w:rPr>
          <w:color w:val="151515"/>
          <w:sz w:val="24"/>
        </w:rPr>
        <w:t>Commercial and Government Entity (CAGE) Code assigned by the Department of Defense's Defense Logistics Agency (DLA);</w:t>
      </w:r>
    </w:p>
    <w:p w:rsidR="00631DC9" w:rsidRDefault="004041AC" w14:paraId="5D1AF23C" w14:textId="77777777">
      <w:pPr>
        <w:pStyle w:val="ListParagraph"/>
        <w:numPr>
          <w:ilvl w:val="2"/>
          <w:numId w:val="6"/>
        </w:numPr>
        <w:tabs>
          <w:tab w:val="left" w:pos="819"/>
          <w:tab w:val="left" w:pos="820"/>
        </w:tabs>
        <w:spacing w:before="29"/>
        <w:ind w:hanging="345"/>
        <w:rPr>
          <w:sz w:val="24"/>
        </w:rPr>
      </w:pPr>
      <w:r>
        <w:rPr>
          <w:color w:val="151515"/>
          <w:sz w:val="24"/>
        </w:rPr>
        <w:t>the entity size;</w:t>
      </w:r>
    </w:p>
    <w:p w:rsidR="00631DC9" w:rsidRDefault="004041AC" w14:paraId="6DCBD38B" w14:textId="77777777">
      <w:pPr>
        <w:pStyle w:val="ListParagraph"/>
        <w:numPr>
          <w:ilvl w:val="2"/>
          <w:numId w:val="6"/>
        </w:numPr>
        <w:tabs>
          <w:tab w:val="left" w:pos="819"/>
          <w:tab w:val="left" w:pos="820"/>
        </w:tabs>
        <w:spacing w:before="38"/>
        <w:ind w:hanging="345"/>
        <w:rPr>
          <w:sz w:val="24"/>
        </w:rPr>
      </w:pPr>
      <w:r>
        <w:rPr>
          <w:color w:val="151515"/>
          <w:sz w:val="24"/>
        </w:rPr>
        <w:t>type of organization; and</w:t>
      </w:r>
    </w:p>
    <w:p w:rsidR="00631DC9" w:rsidRDefault="004041AC" w14:paraId="3F7F5CFA" w14:textId="77777777">
      <w:pPr>
        <w:pStyle w:val="ListParagraph"/>
        <w:numPr>
          <w:ilvl w:val="2"/>
          <w:numId w:val="6"/>
        </w:numPr>
        <w:tabs>
          <w:tab w:val="left" w:pos="819"/>
          <w:tab w:val="left" w:pos="820"/>
        </w:tabs>
        <w:spacing w:before="23"/>
        <w:rPr>
          <w:sz w:val="24"/>
        </w:rPr>
      </w:pPr>
      <w:r>
        <w:rPr>
          <w:color w:val="151515"/>
          <w:sz w:val="24"/>
        </w:rPr>
        <w:t>point of contact information.</w:t>
      </w:r>
    </w:p>
    <w:p w:rsidR="00631DC9" w:rsidRDefault="00631DC9" w14:paraId="141EC8CD" w14:textId="77777777">
      <w:pPr>
        <w:pStyle w:val="BodyText"/>
        <w:spacing w:before="6"/>
        <w:rPr>
          <w:sz w:val="25"/>
        </w:rPr>
      </w:pPr>
    </w:p>
    <w:p w:rsidR="00631DC9" w:rsidRDefault="004041AC" w14:paraId="7C0A1C1D" w14:textId="77777777">
      <w:pPr>
        <w:pStyle w:val="BodyText"/>
        <w:spacing w:line="273" w:lineRule="auto"/>
        <w:ind w:left="100" w:right="304"/>
      </w:pPr>
      <w:r>
        <w:rPr>
          <w:color w:val="151515"/>
        </w:rPr>
        <w:t xml:space="preserve">Prior to becoming active, an entity's SAM registration must pass certain validations with Dun &amp; Bradstreet (D&amp;B), the Internal Revenue Service (IRS), and CAGE assignment (for new entity registrations) or </w:t>
      </w:r>
      <w:r w:rsidR="00BE50EC">
        <w:rPr>
          <w:color w:val="151515"/>
        </w:rPr>
        <w:t xml:space="preserve">CAGE </w:t>
      </w:r>
      <w:r>
        <w:rPr>
          <w:color w:val="151515"/>
        </w:rPr>
        <w:t xml:space="preserve">validation with the DLA (for updates to existing entity registrations). The use of </w:t>
      </w:r>
      <w:r w:rsidR="00ED2CC1">
        <w:rPr>
          <w:color w:val="151515"/>
        </w:rPr>
        <w:t xml:space="preserve">the notarized letter is </w:t>
      </w:r>
      <w:r>
        <w:rPr>
          <w:color w:val="151515"/>
        </w:rPr>
        <w:t>an added control to validate the user's role as Entity Administrator to deter fraud.</w:t>
      </w:r>
    </w:p>
    <w:p w:rsidR="00631DC9" w:rsidRDefault="00631DC9" w14:paraId="2AE574DB" w14:textId="77777777">
      <w:pPr>
        <w:pStyle w:val="BodyText"/>
        <w:spacing w:before="6"/>
        <w:rPr>
          <w:sz w:val="27"/>
        </w:rPr>
      </w:pPr>
    </w:p>
    <w:p w:rsidRPr="00245CD0" w:rsidR="00631DC9" w:rsidRDefault="00245CD0" w14:paraId="3FC0B3D3" w14:textId="77777777">
      <w:pPr>
        <w:pStyle w:val="Heading2"/>
        <w:numPr>
          <w:ilvl w:val="1"/>
          <w:numId w:val="6"/>
        </w:numPr>
        <w:tabs>
          <w:tab w:val="left" w:pos="400"/>
        </w:tabs>
        <w:ind w:left="400"/>
      </w:pPr>
      <w:r w:rsidRPr="00245CD0">
        <w:t>Consideration of information technology.</w:t>
      </w:r>
    </w:p>
    <w:p w:rsidR="00631DC9" w:rsidRDefault="00631DC9" w14:paraId="5EBF7D51" w14:textId="77777777">
      <w:pPr>
        <w:pStyle w:val="BodyText"/>
        <w:spacing w:before="6"/>
        <w:rPr>
          <w:b/>
          <w:sz w:val="25"/>
        </w:rPr>
      </w:pPr>
    </w:p>
    <w:p w:rsidR="00631DC9" w:rsidP="005360A1" w:rsidRDefault="004041AC" w14:paraId="73377A31" w14:textId="77777777">
      <w:pPr>
        <w:pStyle w:val="BodyText"/>
        <w:spacing w:line="273" w:lineRule="auto"/>
        <w:ind w:left="100" w:right="387"/>
        <w:rPr>
          <w:color w:val="141414"/>
        </w:rPr>
      </w:pPr>
      <w:r>
        <w:t xml:space="preserve">GSA uses improved information technology to the maximum extent practicable. SAM is an Internet-based platform easily accessed from any computer enabling the registrant to submit the information electronically. </w:t>
      </w:r>
      <w:r>
        <w:rPr>
          <w:color w:val="141414"/>
        </w:rPr>
        <w:t>GSA's preferred alternative to submitting a hardcopy of the notarized document is a technological solution, but any technological solution will take t</w:t>
      </w:r>
      <w:r w:rsidR="005360A1">
        <w:rPr>
          <w:color w:val="141414"/>
        </w:rPr>
        <w:t>ime and resources to implement.</w:t>
      </w:r>
    </w:p>
    <w:p w:rsidR="005360A1" w:rsidP="005360A1" w:rsidRDefault="005360A1" w14:paraId="3257ADFA" w14:textId="77777777">
      <w:pPr>
        <w:pStyle w:val="BodyText"/>
        <w:spacing w:line="273" w:lineRule="auto"/>
        <w:ind w:right="387"/>
        <w:rPr>
          <w:color w:val="141414"/>
        </w:rPr>
      </w:pPr>
    </w:p>
    <w:p w:rsidR="003E77CB" w:rsidP="0046673B" w:rsidRDefault="005360A1" w14:paraId="68BA132E" w14:textId="77777777">
      <w:pPr>
        <w:pStyle w:val="BodyText"/>
        <w:spacing w:before="1" w:line="273" w:lineRule="auto"/>
        <w:ind w:left="90" w:right="302"/>
        <w:rPr>
          <w:color w:val="141414"/>
        </w:rPr>
      </w:pPr>
      <w:r>
        <w:rPr>
          <w:color w:val="141414"/>
        </w:rPr>
        <w:t>The</w:t>
      </w:r>
      <w:r w:rsidR="00713183">
        <w:rPr>
          <w:color w:val="141414"/>
        </w:rPr>
        <w:t xml:space="preserve">refore, in the interim, GSA </w:t>
      </w:r>
      <w:r>
        <w:rPr>
          <w:color w:val="141414"/>
        </w:rPr>
        <w:t xml:space="preserve">decided that the best and least burdensome alternative would be to use a notarized document to validate the identity of the </w:t>
      </w:r>
      <w:r w:rsidR="00BE50EC">
        <w:rPr>
          <w:color w:val="141414"/>
        </w:rPr>
        <w:t>appointed Entity Administrator</w:t>
      </w:r>
      <w:r>
        <w:rPr>
          <w:color w:val="141414"/>
        </w:rPr>
        <w:t>. Notarized documents are usually affixed with a seal of authenticity, are admissible in Federal court, and are widely used in all manner of situations for identify verification.</w:t>
      </w:r>
    </w:p>
    <w:p w:rsidR="003E77CB" w:rsidP="005360A1" w:rsidRDefault="003E77CB" w14:paraId="457EB0DD" w14:textId="77777777">
      <w:pPr>
        <w:pStyle w:val="BodyText"/>
        <w:spacing w:before="1" w:line="273" w:lineRule="auto"/>
        <w:ind w:right="302"/>
        <w:rPr>
          <w:color w:val="141414"/>
        </w:rPr>
      </w:pPr>
    </w:p>
    <w:p w:rsidR="003E77CB" w:rsidP="00526AAE" w:rsidRDefault="00526AAE" w14:paraId="2853F05E" w14:textId="77777777">
      <w:pPr>
        <w:pStyle w:val="Heading2"/>
        <w:tabs>
          <w:tab w:val="left" w:pos="400"/>
        </w:tabs>
        <w:spacing w:before="1"/>
        <w:ind w:left="160" w:firstLine="0"/>
      </w:pPr>
      <w:r>
        <w:t xml:space="preserve">4.  </w:t>
      </w:r>
      <w:r w:rsidR="003E77CB">
        <w:t>Efforts to Identify Duplication</w:t>
      </w:r>
    </w:p>
    <w:p w:rsidR="003E77CB" w:rsidP="003E77CB" w:rsidRDefault="003E77CB" w14:paraId="37391712" w14:textId="77777777">
      <w:pPr>
        <w:pStyle w:val="BodyText"/>
        <w:spacing w:before="6"/>
        <w:rPr>
          <w:b/>
          <w:sz w:val="25"/>
        </w:rPr>
      </w:pPr>
    </w:p>
    <w:p w:rsidR="003E77CB" w:rsidP="003E77CB" w:rsidRDefault="003E77CB" w14:paraId="2436EDF9" w14:textId="77777777">
      <w:pPr>
        <w:pStyle w:val="BodyText"/>
        <w:spacing w:line="247" w:lineRule="auto"/>
        <w:ind w:left="100" w:right="740"/>
        <w:rPr>
          <w:color w:val="141414"/>
        </w:rPr>
      </w:pPr>
      <w:r>
        <w:rPr>
          <w:color w:val="141414"/>
        </w:rPr>
        <w:t xml:space="preserve">Two existing OMB ICRs cover the information collected to register in SAM (OMB No. 9000-0159 and No. 3090-0290). However, neither the instructions for registration at </w:t>
      </w:r>
      <w:hyperlink r:id="rId7">
        <w:r>
          <w:rPr>
            <w:color w:val="141414"/>
          </w:rPr>
          <w:t>www.sam</w:t>
        </w:r>
        <w:r>
          <w:rPr>
            <w:color w:val="303030"/>
          </w:rPr>
          <w:t>.</w:t>
        </w:r>
        <w:r>
          <w:rPr>
            <w:color w:val="141414"/>
          </w:rPr>
          <w:t>gov</w:t>
        </w:r>
      </w:hyperlink>
      <w:r>
        <w:rPr>
          <w:color w:val="141414"/>
        </w:rPr>
        <w:t xml:space="preserve"> nor the two OMB clearances anticipated the identified fraudulent behavior.</w:t>
      </w:r>
    </w:p>
    <w:p w:rsidR="00713183" w:rsidP="003E77CB" w:rsidRDefault="00713183" w14:paraId="6A543A87" w14:textId="77777777">
      <w:pPr>
        <w:pStyle w:val="BodyText"/>
        <w:spacing w:line="247" w:lineRule="auto"/>
        <w:ind w:left="100" w:right="740"/>
      </w:pPr>
    </w:p>
    <w:p w:rsidR="003E77CB" w:rsidP="003E77CB" w:rsidRDefault="003E77CB" w14:paraId="3C563B6A" w14:textId="77777777">
      <w:pPr>
        <w:pStyle w:val="BodyText"/>
        <w:spacing w:line="247" w:lineRule="auto"/>
        <w:ind w:left="100" w:right="116"/>
      </w:pPr>
      <w:r>
        <w:rPr>
          <w:color w:val="141414"/>
        </w:rPr>
        <w:t>Consequently, neither currently require</w:t>
      </w:r>
      <w:r w:rsidR="00A72FA8">
        <w:rPr>
          <w:color w:val="141414"/>
        </w:rPr>
        <w:t>s</w:t>
      </w:r>
      <w:r>
        <w:rPr>
          <w:color w:val="141414"/>
        </w:rPr>
        <w:t xml:space="preserve"> the submission of a notarized letter to validate the Entity Administrator's identity for a new entity registration nor for re-registration.</w:t>
      </w:r>
    </w:p>
    <w:p w:rsidR="00631DC9" w:rsidRDefault="004041AC" w14:paraId="53321A56" w14:textId="77777777">
      <w:pPr>
        <w:pStyle w:val="BodyText"/>
        <w:spacing w:line="247" w:lineRule="auto"/>
        <w:ind w:left="100" w:right="342"/>
      </w:pPr>
      <w:r>
        <w:rPr>
          <w:color w:val="151515"/>
        </w:rPr>
        <w:t>GSA considered other alternatives to deter this type of fraudulent behavior using SAM data in the future, including the following:</w:t>
      </w:r>
    </w:p>
    <w:p w:rsidR="00631DC9" w:rsidRDefault="00631DC9" w14:paraId="4429445C" w14:textId="77777777">
      <w:pPr>
        <w:pStyle w:val="BodyText"/>
        <w:spacing w:before="5"/>
        <w:rPr>
          <w:sz w:val="27"/>
        </w:rPr>
      </w:pPr>
    </w:p>
    <w:p w:rsidR="00631DC9" w:rsidP="00F66797" w:rsidRDefault="004041AC" w14:paraId="7E306592" w14:textId="77777777">
      <w:pPr>
        <w:pStyle w:val="ListParagraph"/>
        <w:numPr>
          <w:ilvl w:val="0"/>
          <w:numId w:val="8"/>
        </w:numPr>
        <w:tabs>
          <w:tab w:val="left" w:pos="820"/>
        </w:tabs>
        <w:rPr>
          <w:sz w:val="24"/>
        </w:rPr>
      </w:pPr>
      <w:r>
        <w:rPr>
          <w:color w:val="151515"/>
          <w:sz w:val="24"/>
        </w:rPr>
        <w:lastRenderedPageBreak/>
        <w:t>Take no additional user identity verification action;</w:t>
      </w:r>
    </w:p>
    <w:p w:rsidR="00631DC9" w:rsidP="00F66797" w:rsidRDefault="004041AC" w14:paraId="21B57E50" w14:textId="77777777">
      <w:pPr>
        <w:pStyle w:val="ListParagraph"/>
        <w:numPr>
          <w:ilvl w:val="0"/>
          <w:numId w:val="8"/>
        </w:numPr>
        <w:tabs>
          <w:tab w:val="left" w:pos="820"/>
        </w:tabs>
        <w:spacing w:before="53"/>
        <w:rPr>
          <w:sz w:val="24"/>
        </w:rPr>
      </w:pPr>
      <w:r>
        <w:rPr>
          <w:color w:val="151515"/>
          <w:sz w:val="24"/>
        </w:rPr>
        <w:t>Notify only the known, impacted entities of the fraudulent activity;</w:t>
      </w:r>
    </w:p>
    <w:p w:rsidR="00631DC9" w:rsidP="00F66797" w:rsidRDefault="004041AC" w14:paraId="4ABB88AC" w14:textId="77777777">
      <w:pPr>
        <w:pStyle w:val="ListParagraph"/>
        <w:numPr>
          <w:ilvl w:val="0"/>
          <w:numId w:val="8"/>
        </w:numPr>
        <w:tabs>
          <w:tab w:val="left" w:pos="820"/>
        </w:tabs>
        <w:spacing w:before="53" w:line="288" w:lineRule="auto"/>
        <w:ind w:right="334"/>
        <w:rPr>
          <w:sz w:val="24"/>
        </w:rPr>
      </w:pPr>
      <w:r>
        <w:rPr>
          <w:color w:val="151515"/>
          <w:sz w:val="24"/>
        </w:rPr>
        <w:t>Request entity confirmation of any recent changes to bank account information in their registration;</w:t>
      </w:r>
    </w:p>
    <w:p w:rsidR="00631DC9" w:rsidP="00F66797" w:rsidRDefault="004041AC" w14:paraId="1776FE83" w14:textId="77777777">
      <w:pPr>
        <w:pStyle w:val="ListParagraph"/>
        <w:numPr>
          <w:ilvl w:val="0"/>
          <w:numId w:val="8"/>
        </w:numPr>
        <w:tabs>
          <w:tab w:val="left" w:pos="820"/>
        </w:tabs>
        <w:spacing w:line="288" w:lineRule="auto"/>
        <w:ind w:right="540"/>
        <w:rPr>
          <w:sz w:val="24"/>
        </w:rPr>
      </w:pPr>
      <w:r>
        <w:rPr>
          <w:color w:val="151515"/>
          <w:sz w:val="24"/>
        </w:rPr>
        <w:t>Require electronic submission of notarized letters for known, impacted entities, new entity registrations, and updates/annual re-certifications of existing registrations; and</w:t>
      </w:r>
    </w:p>
    <w:p w:rsidR="00631DC9" w:rsidP="00F66797" w:rsidRDefault="004041AC" w14:paraId="4B0E9AC4" w14:textId="77777777">
      <w:pPr>
        <w:pStyle w:val="ListParagraph"/>
        <w:numPr>
          <w:ilvl w:val="0"/>
          <w:numId w:val="8"/>
        </w:numPr>
        <w:tabs>
          <w:tab w:val="left" w:pos="820"/>
        </w:tabs>
        <w:rPr>
          <w:sz w:val="24"/>
        </w:rPr>
      </w:pPr>
      <w:r>
        <w:rPr>
          <w:color w:val="151515"/>
          <w:sz w:val="24"/>
        </w:rPr>
        <w:t>Implement technical user identity verification process in SAM.</w:t>
      </w:r>
    </w:p>
    <w:p w:rsidR="00631DC9" w:rsidRDefault="00631DC9" w14:paraId="0A542D5E" w14:textId="77777777">
      <w:pPr>
        <w:pStyle w:val="BodyText"/>
        <w:spacing w:before="8"/>
        <w:rPr>
          <w:sz w:val="30"/>
        </w:rPr>
      </w:pPr>
    </w:p>
    <w:p w:rsidR="00631DC9" w:rsidRDefault="004041AC" w14:paraId="5A5D32A8" w14:textId="69FA61D8">
      <w:pPr>
        <w:pStyle w:val="BodyText"/>
        <w:spacing w:line="247" w:lineRule="auto"/>
        <w:ind w:left="100" w:right="176"/>
      </w:pPr>
      <w:r>
        <w:rPr>
          <w:color w:val="151515"/>
        </w:rPr>
        <w:t xml:space="preserve">The first alternative was immediately eliminated given the severity and impact of the fraudulent activity. The second and third alternatives were </w:t>
      </w:r>
      <w:r w:rsidR="00D470E9">
        <w:rPr>
          <w:color w:val="151515"/>
        </w:rPr>
        <w:t xml:space="preserve">taken, but being </w:t>
      </w:r>
      <w:r>
        <w:rPr>
          <w:color w:val="151515"/>
        </w:rPr>
        <w:t>of limited scope</w:t>
      </w:r>
      <w:r w:rsidR="00D470E9">
        <w:rPr>
          <w:color w:val="151515"/>
        </w:rPr>
        <w:t>,</w:t>
      </w:r>
      <w:r>
        <w:rPr>
          <w:color w:val="151515"/>
        </w:rPr>
        <w:t xml:space="preserve"> did not fully mitigate the risk of future fraudulent activity. The fourth alternative raised concerns about potential manipulation of the document. </w:t>
      </w:r>
      <w:r w:rsidRPr="00B85D54" w:rsidR="00042986">
        <w:rPr>
          <w:color w:val="151515"/>
        </w:rPr>
        <w:t>The fifth alternative is an emerging technology that doesn’t have process maturity to fully integrate in SAM at this time.</w:t>
      </w:r>
      <w:r w:rsidR="00042986">
        <w:rPr>
          <w:color w:val="151515"/>
        </w:rPr>
        <w:t xml:space="preserve">  </w:t>
      </w:r>
      <w:r>
        <w:rPr>
          <w:color w:val="151515"/>
        </w:rPr>
        <w:t>Also, alternatives two, three, and four were considered insufficient to verify the identity of the Entity Administrator.</w:t>
      </w:r>
    </w:p>
    <w:p w:rsidR="00631DC9" w:rsidRDefault="00631DC9" w14:paraId="446D4A1F" w14:textId="77777777">
      <w:pPr>
        <w:pStyle w:val="BodyText"/>
        <w:spacing w:before="9"/>
      </w:pPr>
    </w:p>
    <w:p w:rsidRPr="00FD791D" w:rsidR="00631DC9" w:rsidP="00C07B98" w:rsidRDefault="00C07B98" w14:paraId="2FC1611A" w14:textId="77777777">
      <w:pPr>
        <w:pStyle w:val="Heading2"/>
        <w:tabs>
          <w:tab w:val="left" w:pos="400"/>
        </w:tabs>
        <w:ind w:left="160" w:firstLine="0"/>
      </w:pPr>
      <w:r>
        <w:t xml:space="preserve">5.  </w:t>
      </w:r>
      <w:r w:rsidRPr="00FD791D" w:rsidR="00FD791D">
        <w:t>If the collection of information impacts small businesses or other entities, describe methods used to minimize burden.</w:t>
      </w:r>
    </w:p>
    <w:p w:rsidR="00631DC9" w:rsidRDefault="00631DC9" w14:paraId="28B6F41E" w14:textId="77777777">
      <w:pPr>
        <w:pStyle w:val="BodyText"/>
        <w:spacing w:before="6"/>
        <w:rPr>
          <w:b/>
          <w:sz w:val="25"/>
        </w:rPr>
      </w:pPr>
    </w:p>
    <w:p w:rsidR="00FD791D" w:rsidP="0046673B" w:rsidRDefault="004041AC" w14:paraId="0DBFFC4B" w14:textId="77777777">
      <w:pPr>
        <w:pStyle w:val="BodyText"/>
        <w:spacing w:before="61"/>
        <w:ind w:left="180"/>
      </w:pPr>
      <w:r>
        <w:t xml:space="preserve">The burden applied to small businesses pursuing federal contracts and federal assistance awards is the minimum consistent with applicable laws, executive orders, regulations and prudent business practices. </w:t>
      </w:r>
      <w:r w:rsidR="00D470E9">
        <w:rPr>
          <w:color w:val="151515"/>
        </w:rPr>
        <w:t xml:space="preserve">Simple, easy to follow templates have been posted for entity use. </w:t>
      </w:r>
      <w:r>
        <w:t xml:space="preserve">The requirement for a notarized letter </w:t>
      </w:r>
      <w:r>
        <w:rPr>
          <w:color w:val="151515"/>
        </w:rPr>
        <w:t xml:space="preserve">to validate the identity of the </w:t>
      </w:r>
      <w:r w:rsidR="00D470E9">
        <w:rPr>
          <w:color w:val="151515"/>
        </w:rPr>
        <w:t>Entity Administrator</w:t>
      </w:r>
      <w:r>
        <w:rPr>
          <w:color w:val="151515"/>
        </w:rPr>
        <w:t xml:space="preserve"> registering or </w:t>
      </w:r>
      <w:r>
        <w:rPr>
          <w:color w:val="2A2A2A"/>
        </w:rPr>
        <w:t xml:space="preserve">recertifying </w:t>
      </w:r>
      <w:r w:rsidR="00D470E9">
        <w:rPr>
          <w:color w:val="2A2A2A"/>
        </w:rPr>
        <w:t xml:space="preserve">the entity </w:t>
      </w:r>
      <w:r>
        <w:rPr>
          <w:color w:val="151515"/>
        </w:rPr>
        <w:t xml:space="preserve">in SAM should be minimal. A document can be notarized, usually, for free </w:t>
      </w:r>
      <w:hyperlink r:id="rId8">
        <w:r>
          <w:t>at an entity’s bank. Other financial services</w:t>
        </w:r>
      </w:hyperlink>
      <w:r>
        <w:t xml:space="preserve"> firms, such as </w:t>
      </w:r>
      <w:hyperlink r:id="rId9">
        <w:r>
          <w:t>credit unions</w:t>
        </w:r>
      </w:hyperlink>
      <w:r>
        <w:t xml:space="preserve">, </w:t>
      </w:r>
      <w:hyperlink r:id="rId10">
        <w:r>
          <w:t>thrifts</w:t>
        </w:r>
      </w:hyperlink>
      <w:r>
        <w:t xml:space="preserve">, </w:t>
      </w:r>
      <w:hyperlink r:id="rId11">
        <w:r>
          <w:t>real estate</w:t>
        </w:r>
      </w:hyperlink>
      <w:r>
        <w:t xml:space="preserve"> firms or insurance company offices also commonly have notaries available. As with banks, such firms usually provide notary service at no charge, provided that an entity is a client or customer</w:t>
      </w:r>
      <w:r w:rsidR="00FD791D">
        <w:t xml:space="preserve"> of the firm. If a third-party provides notary service, then there is usually a nominal fee.</w:t>
      </w:r>
    </w:p>
    <w:p w:rsidR="00631DC9" w:rsidP="003E77CB" w:rsidRDefault="00631DC9" w14:paraId="193E711C" w14:textId="77777777">
      <w:pPr>
        <w:pStyle w:val="BodyText"/>
        <w:spacing w:line="247" w:lineRule="auto"/>
        <w:ind w:left="100" w:right="95"/>
      </w:pPr>
    </w:p>
    <w:p w:rsidRPr="00C07B98" w:rsidR="0046673B" w:rsidP="0046673B" w:rsidRDefault="0046673B" w14:paraId="0B860AEE" w14:textId="77777777">
      <w:pPr>
        <w:pStyle w:val="Heading2"/>
        <w:tabs>
          <w:tab w:val="left" w:pos="400"/>
        </w:tabs>
        <w:ind w:left="160" w:firstLine="0"/>
      </w:pPr>
      <w:r w:rsidRPr="0046673B">
        <w:t>6.</w:t>
      </w:r>
      <w:r>
        <w:rPr>
          <w:rFonts w:ascii="Courier New" w:hAnsi="Courier New" w:cs="Courier New"/>
          <w:b w:val="0"/>
        </w:rPr>
        <w:t xml:space="preserve"> </w:t>
      </w:r>
      <w:r w:rsidRPr="00C07B98">
        <w:t>Describe consequence to Federal program or policy activities if the collection is not conducted or is conducted less frequently.</w:t>
      </w:r>
    </w:p>
    <w:p w:rsidR="0046673B" w:rsidP="0046673B" w:rsidRDefault="0046673B" w14:paraId="305DF214" w14:textId="77777777">
      <w:pPr>
        <w:pStyle w:val="BodyText"/>
        <w:spacing w:before="5"/>
        <w:rPr>
          <w:b/>
          <w:sz w:val="25"/>
        </w:rPr>
      </w:pPr>
    </w:p>
    <w:p w:rsidR="0046673B" w:rsidP="0046673B" w:rsidRDefault="0046673B" w14:paraId="1F1CA3C9" w14:textId="46396C84">
      <w:pPr>
        <w:pStyle w:val="BodyText"/>
        <w:spacing w:before="1" w:line="247" w:lineRule="auto"/>
        <w:ind w:left="100"/>
      </w:pPr>
      <w:r>
        <w:t xml:space="preserve">Collection of notarized </w:t>
      </w:r>
      <w:r w:rsidR="00042986">
        <w:t>letter</w:t>
      </w:r>
      <w:r w:rsidRPr="00B85D54" w:rsidR="00042986">
        <w:t>s</w:t>
      </w:r>
      <w:r>
        <w:t xml:space="preserve"> from </w:t>
      </w:r>
      <w:r>
        <w:rPr>
          <w:color w:val="151515"/>
        </w:rPr>
        <w:t xml:space="preserve">entities registered and registering </w:t>
      </w:r>
      <w:r>
        <w:t xml:space="preserve">enables the entities to update and renew their registration information in SAM. By collecting the information, Federal agencies will continue to be able to award new Federal contracts and grants to </w:t>
      </w:r>
      <w:r>
        <w:rPr>
          <w:color w:val="151515"/>
        </w:rPr>
        <w:t xml:space="preserve">registered and registering </w:t>
      </w:r>
      <w:r>
        <w:t>entities. Without collecting this information, critical Federal contracts and grants impacting government-wide programs would be in jeopardy of not being awarded.</w:t>
      </w:r>
    </w:p>
    <w:p w:rsidR="001C778B" w:rsidP="003E77CB" w:rsidRDefault="001C778B" w14:paraId="28C42A8A" w14:textId="77777777">
      <w:pPr>
        <w:pStyle w:val="BodyText"/>
        <w:spacing w:line="247" w:lineRule="auto"/>
        <w:ind w:left="100" w:right="95"/>
      </w:pPr>
    </w:p>
    <w:p w:rsidR="0046673B" w:rsidP="0046673B" w:rsidRDefault="0046673B" w14:paraId="08A0C5C8" w14:textId="77777777">
      <w:pPr>
        <w:pStyle w:val="Heading2"/>
        <w:tabs>
          <w:tab w:val="left" w:pos="460"/>
        </w:tabs>
        <w:rPr>
          <w:b w:val="0"/>
        </w:rPr>
      </w:pPr>
      <w:r>
        <w:t>7.  Special Circumstances for Collection</w:t>
      </w:r>
      <w:r>
        <w:rPr>
          <w:b w:val="0"/>
        </w:rPr>
        <w:t>.</w:t>
      </w:r>
    </w:p>
    <w:p w:rsidR="0046673B" w:rsidP="0046673B" w:rsidRDefault="0046673B" w14:paraId="1AD02E60" w14:textId="77777777">
      <w:pPr>
        <w:pStyle w:val="BodyText"/>
        <w:spacing w:before="6"/>
        <w:rPr>
          <w:sz w:val="25"/>
        </w:rPr>
      </w:pPr>
    </w:p>
    <w:p w:rsidR="0046673B" w:rsidP="0046673B" w:rsidRDefault="0046673B" w14:paraId="3F8FCC80" w14:textId="77777777">
      <w:pPr>
        <w:pStyle w:val="BodyText"/>
        <w:spacing w:line="247" w:lineRule="auto"/>
        <w:ind w:left="100" w:right="169"/>
      </w:pPr>
      <w:r>
        <w:t xml:space="preserve">GSA has taken several actions to reduce the risk of this happening going forward.  Actions include expiring suspect SAM registrations and requiring authentic entities to re-register; advising entities showing a recent bank account change to verify their registration information; and implementing measures to better verify the identity of entities registering in SAM. As an </w:t>
      </w:r>
      <w:r>
        <w:lastRenderedPageBreak/>
        <w:t>immediate measure until a long-term solution is identified, GSA will require a notarized letter to help ensure the credibility of those registering in the system.</w:t>
      </w:r>
    </w:p>
    <w:p w:rsidR="0046673B" w:rsidP="00540137" w:rsidRDefault="00540137" w14:paraId="0AA52A1D" w14:textId="77777777">
      <w:pPr>
        <w:pStyle w:val="BodyText"/>
        <w:spacing w:before="225" w:line="247" w:lineRule="auto"/>
        <w:ind w:left="90" w:right="136" w:hanging="90"/>
      </w:pPr>
      <w:r>
        <w:t xml:space="preserve"> </w:t>
      </w:r>
      <w:r w:rsidR="0046673B">
        <w:t xml:space="preserve">The Entity Administrator or authorized representative of an active registrant with a change to the bank account information associated with the entity’s registration in SAM made within the past year will </w:t>
      </w:r>
      <w:r w:rsidR="00D470E9">
        <w:t xml:space="preserve">also </w:t>
      </w:r>
      <w:r w:rsidR="0046673B">
        <w:t>be requested to check SAM and confirm this change. Incorrect bank information in SAM could result in misdirected payments for Federal awards.</w:t>
      </w:r>
    </w:p>
    <w:p w:rsidR="0046673B" w:rsidP="0046673B" w:rsidRDefault="0046673B" w14:paraId="7D4D4551" w14:textId="77777777">
      <w:pPr>
        <w:pStyle w:val="BodyText"/>
        <w:spacing w:before="9"/>
      </w:pPr>
    </w:p>
    <w:p w:rsidR="0046673B" w:rsidP="0046673B" w:rsidRDefault="0046673B" w14:paraId="186929C4" w14:textId="77777777">
      <w:pPr>
        <w:pStyle w:val="BodyText"/>
        <w:ind w:left="100"/>
      </w:pPr>
      <w:r>
        <w:t>Within thirty (30) calendar days</w:t>
      </w:r>
      <w:r w:rsidR="00D470E9">
        <w:t xml:space="preserve"> of notification</w:t>
      </w:r>
      <w:r>
        <w:t xml:space="preserve">, the entity </w:t>
      </w:r>
      <w:r w:rsidR="00D470E9">
        <w:t xml:space="preserve">with a change to the bank account information in the past year </w:t>
      </w:r>
      <w:r>
        <w:t>must provide a notarized letter attesting to two things:</w:t>
      </w:r>
    </w:p>
    <w:p w:rsidR="0046673B" w:rsidP="0046673B" w:rsidRDefault="0046673B" w14:paraId="15740911" w14:textId="77777777">
      <w:pPr>
        <w:pStyle w:val="BodyText"/>
        <w:spacing w:before="6"/>
        <w:rPr>
          <w:sz w:val="25"/>
        </w:rPr>
      </w:pPr>
    </w:p>
    <w:p w:rsidR="0046673B" w:rsidP="0046673B" w:rsidRDefault="0046673B" w14:paraId="1F8C81E2" w14:textId="77777777">
      <w:pPr>
        <w:pStyle w:val="ListParagraph"/>
        <w:numPr>
          <w:ilvl w:val="0"/>
          <w:numId w:val="4"/>
        </w:numPr>
        <w:tabs>
          <w:tab w:val="left" w:pos="820"/>
        </w:tabs>
        <w:spacing w:line="288" w:lineRule="auto"/>
        <w:ind w:right="166"/>
        <w:rPr>
          <w:sz w:val="24"/>
        </w:rPr>
      </w:pPr>
      <w:r>
        <w:rPr>
          <w:sz w:val="24"/>
        </w:rPr>
        <w:t>Identify the authorized Entity Administrator for [Legal Business Name / DUNS / CAGE] in accordance with the instructions at: [insert link to FSD FAQ]</w:t>
      </w:r>
    </w:p>
    <w:p w:rsidR="0046673B" w:rsidP="0046673B" w:rsidRDefault="0046673B" w14:paraId="6C5F711F" w14:textId="77777777">
      <w:pPr>
        <w:pStyle w:val="ListParagraph"/>
        <w:numPr>
          <w:ilvl w:val="0"/>
          <w:numId w:val="4"/>
        </w:numPr>
        <w:tabs>
          <w:tab w:val="left" w:pos="820"/>
        </w:tabs>
        <w:spacing w:line="288" w:lineRule="auto"/>
        <w:ind w:right="133"/>
        <w:rPr>
          <w:sz w:val="24"/>
        </w:rPr>
      </w:pPr>
      <w:r>
        <w:rPr>
          <w:sz w:val="24"/>
        </w:rPr>
        <w:t>Confirm that the information on the current entity registration Financial Information page is correct.</w:t>
      </w:r>
    </w:p>
    <w:p w:rsidR="0046673B" w:rsidP="0046673B" w:rsidRDefault="0046673B" w14:paraId="2483B10B" w14:textId="77777777">
      <w:pPr>
        <w:pStyle w:val="BodyText"/>
        <w:spacing w:before="10"/>
        <w:rPr>
          <w:sz w:val="20"/>
        </w:rPr>
      </w:pPr>
    </w:p>
    <w:p w:rsidR="0046673B" w:rsidP="0046673B" w:rsidRDefault="00042986" w14:paraId="068CAB63" w14:textId="7AD8AF77">
      <w:pPr>
        <w:pStyle w:val="BodyText"/>
        <w:spacing w:before="9"/>
        <w:rPr>
          <w:color w:val="000000"/>
        </w:rPr>
      </w:pPr>
      <w:r w:rsidRPr="00B85D54">
        <w:rPr>
          <w:color w:val="000000"/>
        </w:rPr>
        <w:t xml:space="preserve">The entity must </w:t>
      </w:r>
      <w:r w:rsidRPr="00B85D54">
        <w:t xml:space="preserve">submit an electronic copy of </w:t>
      </w:r>
      <w:r w:rsidRPr="00B85D54">
        <w:rPr>
          <w:color w:val="000000"/>
        </w:rPr>
        <w:t xml:space="preserve">the </w:t>
      </w:r>
      <w:r w:rsidRPr="00B85D54" w:rsidR="00361FC0">
        <w:t xml:space="preserve">notarized </w:t>
      </w:r>
      <w:r w:rsidRPr="00B85D54" w:rsidR="00361FC0">
        <w:rPr>
          <w:color w:val="000000"/>
        </w:rPr>
        <w:t>letter</w:t>
      </w:r>
      <w:r w:rsidRPr="00B85D54">
        <w:rPr>
          <w:color w:val="000000"/>
        </w:rPr>
        <w:t xml:space="preserve"> signed by the notary to the Federal Service Desk within thirty (30) calendar days of the GSA notification.  If the entity does not </w:t>
      </w:r>
      <w:r w:rsidRPr="00B85D54">
        <w:t>submit the</w:t>
      </w:r>
      <w:r w:rsidRPr="00B85D54">
        <w:rPr>
          <w:color w:val="000000"/>
        </w:rPr>
        <w:t xml:space="preserve"> signed notarized letter within that time, GSA will expire the entity’s registration.</w:t>
      </w:r>
    </w:p>
    <w:p w:rsidR="00042986" w:rsidP="0046673B" w:rsidRDefault="00042986" w14:paraId="2325F681" w14:textId="77777777">
      <w:pPr>
        <w:pStyle w:val="BodyText"/>
        <w:spacing w:before="9"/>
      </w:pPr>
    </w:p>
    <w:p w:rsidR="0046673B" w:rsidP="0046673B" w:rsidRDefault="0046673B" w14:paraId="5D97BC38" w14:textId="77777777">
      <w:pPr>
        <w:pStyle w:val="Heading2"/>
        <w:tabs>
          <w:tab w:val="left" w:pos="460"/>
        </w:tabs>
        <w:spacing w:before="1"/>
      </w:pPr>
      <w:r>
        <w:t>8.  Efforts to consult with persons outside the agency.</w:t>
      </w:r>
    </w:p>
    <w:p w:rsidR="0046673B" w:rsidP="0046673B" w:rsidRDefault="0046673B" w14:paraId="211CA695" w14:textId="77777777">
      <w:pPr>
        <w:pStyle w:val="BodyText"/>
        <w:spacing w:before="6"/>
        <w:rPr>
          <w:b/>
          <w:sz w:val="25"/>
        </w:rPr>
      </w:pPr>
    </w:p>
    <w:p w:rsidR="0046673B" w:rsidP="0084567D" w:rsidRDefault="00393261" w14:paraId="09BB1218" w14:textId="5AAA37F3">
      <w:pPr>
        <w:pStyle w:val="BodyText"/>
        <w:ind w:right="115"/>
      </w:pPr>
      <w:r w:rsidRPr="005C2698">
        <w:t xml:space="preserve"> </w:t>
      </w:r>
      <w:r w:rsidRPr="005C2698" w:rsidR="005C2698">
        <w:t xml:space="preserve">A </w:t>
      </w:r>
      <w:r w:rsidR="005C2698">
        <w:t xml:space="preserve">60-day </w:t>
      </w:r>
      <w:r w:rsidRPr="005C2698" w:rsidR="005C2698">
        <w:t xml:space="preserve">notice </w:t>
      </w:r>
      <w:r w:rsidR="005C2698">
        <w:t xml:space="preserve">was </w:t>
      </w:r>
      <w:r w:rsidRPr="005C2698" w:rsidR="005C2698">
        <w:t xml:space="preserve">published in the </w:t>
      </w:r>
      <w:r w:rsidRPr="005C2698" w:rsidR="005C2698">
        <w:rPr>
          <w:i/>
        </w:rPr>
        <w:t>Federal Register</w:t>
      </w:r>
      <w:r w:rsidRPr="005C2698" w:rsidR="005C2698">
        <w:t xml:space="preserve"> at 8</w:t>
      </w:r>
      <w:r w:rsidR="0084567D">
        <w:t>6</w:t>
      </w:r>
      <w:r w:rsidRPr="005C2698" w:rsidR="005C2698">
        <w:t xml:space="preserve"> FR </w:t>
      </w:r>
      <w:r w:rsidR="0084567D">
        <w:t>47110</w:t>
      </w:r>
      <w:r w:rsidRPr="005C2698" w:rsidR="005C2698">
        <w:t xml:space="preserve"> on </w:t>
      </w:r>
      <w:r w:rsidR="0084567D">
        <w:t>August 23, 2021</w:t>
      </w:r>
      <w:r w:rsidRPr="005C2698" w:rsidR="005C2698">
        <w:t xml:space="preserve">. </w:t>
      </w:r>
      <w:r w:rsidR="0084567D">
        <w:t>No</w:t>
      </w:r>
      <w:r w:rsidRPr="005C2698" w:rsidR="005C2698">
        <w:t xml:space="preserve"> comments were received.</w:t>
      </w:r>
      <w:r w:rsidR="006713F4">
        <w:t xml:space="preserve"> A 30-day notice was published in the </w:t>
      </w:r>
      <w:r w:rsidRPr="006713F4" w:rsidR="006713F4">
        <w:rPr>
          <w:i/>
        </w:rPr>
        <w:t xml:space="preserve">Federal Register </w:t>
      </w:r>
      <w:r w:rsidR="006713F4">
        <w:t>at 8</w:t>
      </w:r>
      <w:r w:rsidR="0084567D">
        <w:t>6</w:t>
      </w:r>
      <w:r w:rsidR="00E46495">
        <w:t xml:space="preserve"> FR </w:t>
      </w:r>
      <w:r w:rsidR="00367804">
        <w:t xml:space="preserve">62168 </w:t>
      </w:r>
      <w:r w:rsidR="00E46495">
        <w:t xml:space="preserve">on </w:t>
      </w:r>
      <w:r w:rsidR="0084567D">
        <w:t xml:space="preserve">November </w:t>
      </w:r>
      <w:r w:rsidR="00367804">
        <w:t>9</w:t>
      </w:r>
      <w:r w:rsidR="0084567D">
        <w:t>, 2021</w:t>
      </w:r>
      <w:r w:rsidR="00E46495">
        <w:t xml:space="preserve">. </w:t>
      </w:r>
    </w:p>
    <w:p w:rsidR="0046673B" w:rsidP="0046673B" w:rsidRDefault="0046673B" w14:paraId="68B1CE1A" w14:textId="77777777">
      <w:pPr>
        <w:pStyle w:val="BodyText"/>
        <w:spacing w:before="2"/>
        <w:rPr>
          <w:sz w:val="28"/>
        </w:rPr>
      </w:pPr>
    </w:p>
    <w:p w:rsidR="0084567D" w:rsidP="0046673B" w:rsidRDefault="0046673B" w14:paraId="610664F9" w14:textId="77777777">
      <w:pPr>
        <w:pStyle w:val="Heading2"/>
        <w:tabs>
          <w:tab w:val="left" w:pos="400"/>
        </w:tabs>
        <w:spacing w:line="247" w:lineRule="auto"/>
        <w:ind w:right="1078"/>
      </w:pPr>
      <w:r>
        <w:t xml:space="preserve">9.  Explanation of any payment or gift to respondents, other than remuneration of </w:t>
      </w:r>
    </w:p>
    <w:p w:rsidR="0046673B" w:rsidP="0046673B" w:rsidRDefault="0046673B" w14:paraId="083C9BCF" w14:textId="65FAC938">
      <w:pPr>
        <w:pStyle w:val="Heading2"/>
        <w:tabs>
          <w:tab w:val="left" w:pos="400"/>
        </w:tabs>
        <w:spacing w:line="247" w:lineRule="auto"/>
        <w:ind w:right="1078"/>
        <w:rPr>
          <w:b w:val="0"/>
        </w:rPr>
      </w:pPr>
      <w:r>
        <w:t>awardees</w:t>
      </w:r>
      <w:r>
        <w:rPr>
          <w:b w:val="0"/>
        </w:rPr>
        <w:t>.</w:t>
      </w:r>
    </w:p>
    <w:p w:rsidR="0046673B" w:rsidP="0046673B" w:rsidRDefault="0046673B" w14:paraId="1831F7F1" w14:textId="77777777">
      <w:pPr>
        <w:pStyle w:val="BodyText"/>
        <w:spacing w:before="10"/>
      </w:pPr>
    </w:p>
    <w:p w:rsidR="0046673B" w:rsidP="0046673B" w:rsidRDefault="0046673B" w14:paraId="5001A4AD" w14:textId="77777777">
      <w:pPr>
        <w:pStyle w:val="BodyText"/>
        <w:ind w:left="100"/>
        <w:jc w:val="both"/>
      </w:pPr>
      <w:r>
        <w:t>No payment or gift will be provided to participants.</w:t>
      </w:r>
    </w:p>
    <w:p w:rsidR="0046673B" w:rsidP="0046673B" w:rsidRDefault="0046673B" w14:paraId="6A176FAA" w14:textId="77777777">
      <w:pPr>
        <w:pStyle w:val="BodyText"/>
        <w:spacing w:before="6"/>
        <w:rPr>
          <w:sz w:val="25"/>
        </w:rPr>
      </w:pPr>
    </w:p>
    <w:p w:rsidR="0046673B" w:rsidP="0046673B" w:rsidRDefault="0046673B" w14:paraId="2023BF66" w14:textId="77777777">
      <w:pPr>
        <w:pStyle w:val="Heading2"/>
        <w:tabs>
          <w:tab w:val="left" w:pos="520"/>
        </w:tabs>
      </w:pPr>
      <w:r>
        <w:t>10.  Assurance of confidentiality provided to respondents.</w:t>
      </w:r>
    </w:p>
    <w:p w:rsidR="0046673B" w:rsidP="0046673B" w:rsidRDefault="0046673B" w14:paraId="16728273" w14:textId="77777777">
      <w:pPr>
        <w:pStyle w:val="BodyText"/>
        <w:spacing w:before="6"/>
        <w:rPr>
          <w:b/>
          <w:sz w:val="25"/>
        </w:rPr>
      </w:pPr>
    </w:p>
    <w:p w:rsidR="0046673B" w:rsidP="0046673B" w:rsidRDefault="0046673B" w14:paraId="420339D0" w14:textId="77777777">
      <w:pPr>
        <w:pStyle w:val="BodyText"/>
        <w:spacing w:line="247" w:lineRule="auto"/>
        <w:ind w:left="100" w:right="103"/>
        <w:jc w:val="both"/>
      </w:pPr>
      <w:r>
        <w:t>The information is disclosed only to the extent consistent with prudent business practices and current regulations. All sensitive entity information in SAM is restricted solely to authenticated users of SAM</w:t>
      </w:r>
      <w:r w:rsidR="007B6F60">
        <w:t xml:space="preserve"> with appropriate data access</w:t>
      </w:r>
      <w:r>
        <w:t>.</w:t>
      </w:r>
    </w:p>
    <w:p w:rsidR="0046673B" w:rsidP="0046673B" w:rsidRDefault="0046673B" w14:paraId="10CDB7B5" w14:textId="77777777">
      <w:pPr>
        <w:pStyle w:val="BodyText"/>
        <w:spacing w:before="10"/>
      </w:pPr>
    </w:p>
    <w:p w:rsidR="0046673B" w:rsidP="0046673B" w:rsidRDefault="0046673B" w14:paraId="3F0D57BF" w14:textId="77777777">
      <w:pPr>
        <w:pStyle w:val="Heading2"/>
        <w:tabs>
          <w:tab w:val="left" w:pos="580"/>
        </w:tabs>
      </w:pPr>
      <w:r>
        <w:t xml:space="preserve">11.  </w:t>
      </w:r>
      <w:r w:rsidRPr="00597F34">
        <w:t>Additional justification for questions of a sensitive nature.</w:t>
      </w:r>
    </w:p>
    <w:p w:rsidR="0046673B" w:rsidP="0046673B" w:rsidRDefault="0046673B" w14:paraId="7DEC0EAD" w14:textId="77777777">
      <w:pPr>
        <w:pStyle w:val="BodyText"/>
        <w:spacing w:before="6"/>
        <w:rPr>
          <w:b/>
          <w:sz w:val="25"/>
        </w:rPr>
      </w:pPr>
    </w:p>
    <w:p w:rsidR="0046673B" w:rsidP="0046673B" w:rsidRDefault="0046673B" w14:paraId="63FC104F" w14:textId="77777777">
      <w:pPr>
        <w:pStyle w:val="BodyText"/>
        <w:spacing w:line="247" w:lineRule="auto"/>
        <w:ind w:left="100" w:right="1069"/>
      </w:pPr>
      <w:r>
        <w:t>No sensitive questions are involved. The notarized letter addresses the following:</w:t>
      </w:r>
    </w:p>
    <w:p w:rsidR="0046673B" w:rsidP="0046673B" w:rsidRDefault="0046673B" w14:paraId="580AA481" w14:textId="77777777">
      <w:pPr>
        <w:pStyle w:val="BodyText"/>
        <w:spacing w:before="9"/>
      </w:pPr>
    </w:p>
    <w:p w:rsidR="0046673B" w:rsidP="0046673B" w:rsidRDefault="0046673B" w14:paraId="2B55C1BB" w14:textId="77777777">
      <w:pPr>
        <w:pStyle w:val="ListParagraph"/>
        <w:numPr>
          <w:ilvl w:val="0"/>
          <w:numId w:val="2"/>
        </w:numPr>
        <w:tabs>
          <w:tab w:val="left" w:pos="819"/>
          <w:tab w:val="left" w:pos="820"/>
        </w:tabs>
        <w:rPr>
          <w:sz w:val="24"/>
        </w:rPr>
      </w:pPr>
      <w:r>
        <w:rPr>
          <w:sz w:val="24"/>
        </w:rPr>
        <w:t>Be on company/organization letterhead</w:t>
      </w:r>
      <w:r w:rsidR="007B6F60">
        <w:rPr>
          <w:sz w:val="24"/>
        </w:rPr>
        <w:t xml:space="preserve"> or contain the entity legal business name and physical address at the top of the letter if the entity does not have letterhead</w:t>
      </w:r>
    </w:p>
    <w:p w:rsidR="0046673B" w:rsidP="0046673B" w:rsidRDefault="0046673B" w14:paraId="13F5E6BF" w14:textId="77777777">
      <w:pPr>
        <w:pStyle w:val="ListParagraph"/>
        <w:numPr>
          <w:ilvl w:val="0"/>
          <w:numId w:val="2"/>
        </w:numPr>
        <w:tabs>
          <w:tab w:val="left" w:pos="819"/>
          <w:tab w:val="left" w:pos="820"/>
        </w:tabs>
        <w:spacing w:before="8"/>
        <w:rPr>
          <w:sz w:val="24"/>
        </w:rPr>
      </w:pPr>
      <w:r>
        <w:rPr>
          <w:sz w:val="24"/>
        </w:rPr>
        <w:t>Be signed by</w:t>
      </w:r>
      <w:r w:rsidRPr="007B6F60">
        <w:rPr>
          <w:sz w:val="24"/>
          <w:szCs w:val="24"/>
        </w:rPr>
        <w:t xml:space="preserve"> </w:t>
      </w:r>
      <w:r w:rsidRPr="007B6F60" w:rsidR="007B6F60">
        <w:rPr>
          <w:sz w:val="24"/>
          <w:szCs w:val="24"/>
        </w:rPr>
        <w:t>a</w:t>
      </w:r>
      <w:r w:rsidRPr="007B6F60" w:rsidR="007B6F60">
        <w:rPr>
          <w:rFonts w:ascii="Times" w:hAnsi="Times"/>
          <w:sz w:val="24"/>
          <w:szCs w:val="24"/>
        </w:rPr>
        <w:t>n entity executive, officer, partner, or other authorized signatory</w:t>
      </w:r>
      <w:r w:rsidR="007B6F60">
        <w:rPr>
          <w:rFonts w:ascii="Times" w:hAnsi="Times"/>
          <w:sz w:val="24"/>
          <w:szCs w:val="24"/>
        </w:rPr>
        <w:t xml:space="preserve"> in the presence of a notary</w:t>
      </w:r>
    </w:p>
    <w:p w:rsidR="0046673B" w:rsidP="0046673B" w:rsidRDefault="0046673B" w14:paraId="5BA1EF9F" w14:textId="77777777">
      <w:pPr>
        <w:pStyle w:val="ListParagraph"/>
        <w:numPr>
          <w:ilvl w:val="0"/>
          <w:numId w:val="2"/>
        </w:numPr>
        <w:tabs>
          <w:tab w:val="left" w:pos="819"/>
          <w:tab w:val="left" w:pos="820"/>
        </w:tabs>
        <w:spacing w:before="8"/>
        <w:rPr>
          <w:sz w:val="24"/>
        </w:rPr>
      </w:pPr>
      <w:r>
        <w:rPr>
          <w:sz w:val="24"/>
        </w:rPr>
        <w:lastRenderedPageBreak/>
        <w:t>Contain entity DUNS Number</w:t>
      </w:r>
    </w:p>
    <w:p w:rsidR="0046673B" w:rsidP="0046673B" w:rsidRDefault="0046673B" w14:paraId="6E72967A" w14:textId="77777777">
      <w:pPr>
        <w:pStyle w:val="ListParagraph"/>
        <w:numPr>
          <w:ilvl w:val="0"/>
          <w:numId w:val="2"/>
        </w:numPr>
        <w:tabs>
          <w:tab w:val="left" w:pos="819"/>
          <w:tab w:val="left" w:pos="820"/>
        </w:tabs>
        <w:spacing w:before="8"/>
        <w:rPr>
          <w:sz w:val="24"/>
        </w:rPr>
      </w:pPr>
      <w:r>
        <w:rPr>
          <w:sz w:val="24"/>
        </w:rPr>
        <w:t>Contain entity Legal Business Name (as associated with the DUNS Number)</w:t>
      </w:r>
    </w:p>
    <w:p w:rsidR="0046673B" w:rsidP="0046673B" w:rsidRDefault="0046673B" w14:paraId="3D03BFDB" w14:textId="77777777">
      <w:pPr>
        <w:pStyle w:val="ListParagraph"/>
        <w:numPr>
          <w:ilvl w:val="0"/>
          <w:numId w:val="2"/>
        </w:numPr>
        <w:tabs>
          <w:tab w:val="left" w:pos="819"/>
          <w:tab w:val="left" w:pos="820"/>
        </w:tabs>
        <w:spacing w:before="8"/>
        <w:rPr>
          <w:sz w:val="24"/>
        </w:rPr>
      </w:pPr>
      <w:r>
        <w:rPr>
          <w:sz w:val="24"/>
        </w:rPr>
        <w:t>Contain entity physical address (as associated with the DUNS Number)</w:t>
      </w:r>
    </w:p>
    <w:p w:rsidR="0046673B" w:rsidP="0046673B" w:rsidRDefault="0046673B" w14:paraId="53E40003" w14:textId="62026B30">
      <w:pPr>
        <w:pStyle w:val="ListParagraph"/>
        <w:numPr>
          <w:ilvl w:val="0"/>
          <w:numId w:val="2"/>
        </w:numPr>
        <w:tabs>
          <w:tab w:val="left" w:pos="819"/>
          <w:tab w:val="left" w:pos="820"/>
        </w:tabs>
        <w:spacing w:before="8"/>
        <w:rPr>
          <w:sz w:val="24"/>
        </w:rPr>
      </w:pPr>
      <w:r>
        <w:rPr>
          <w:sz w:val="24"/>
        </w:rPr>
        <w:t xml:space="preserve">Contain the </w:t>
      </w:r>
      <w:r w:rsidR="007B6F60">
        <w:rPr>
          <w:sz w:val="24"/>
        </w:rPr>
        <w:t>appointed</w:t>
      </w:r>
      <w:r>
        <w:rPr>
          <w:sz w:val="24"/>
        </w:rPr>
        <w:t xml:space="preserve"> Entity Administrator’s name, phone </w:t>
      </w:r>
      <w:r w:rsidR="00042986">
        <w:rPr>
          <w:sz w:val="24"/>
        </w:rPr>
        <w:t>number, and</w:t>
      </w:r>
      <w:r>
        <w:rPr>
          <w:sz w:val="24"/>
        </w:rPr>
        <w:t xml:space="preserve"> email address</w:t>
      </w:r>
    </w:p>
    <w:p w:rsidRPr="00126209" w:rsidR="000745ED" w:rsidP="000745ED" w:rsidRDefault="0046673B" w14:paraId="6CE1498E" w14:textId="77777777">
      <w:pPr>
        <w:pStyle w:val="ListParagraph"/>
        <w:numPr>
          <w:ilvl w:val="0"/>
          <w:numId w:val="2"/>
        </w:numPr>
        <w:tabs>
          <w:tab w:val="left" w:pos="819"/>
          <w:tab w:val="left" w:pos="820"/>
        </w:tabs>
        <w:spacing w:before="8" w:line="247" w:lineRule="auto"/>
        <w:ind w:left="460" w:right="979" w:firstLine="0"/>
        <w:rPr>
          <w:sz w:val="24"/>
          <w:szCs w:val="24"/>
        </w:rPr>
      </w:pPr>
      <w:r w:rsidRPr="000745ED">
        <w:rPr>
          <w:sz w:val="24"/>
        </w:rPr>
        <w:t xml:space="preserve">Contain </w:t>
      </w:r>
      <w:r w:rsidRPr="000745ED" w:rsidR="007B6F60">
        <w:rPr>
          <w:sz w:val="24"/>
        </w:rPr>
        <w:t>a statement designating the Entity Administrator</w:t>
      </w:r>
      <w:r w:rsidRPr="000745ED" w:rsidR="000745ED">
        <w:rPr>
          <w:sz w:val="24"/>
        </w:rPr>
        <w:t xml:space="preserve"> (</w:t>
      </w:r>
      <w:r w:rsidRPr="00126209" w:rsidR="007B6F60">
        <w:rPr>
          <w:sz w:val="24"/>
          <w:szCs w:val="24"/>
        </w:rPr>
        <w:t xml:space="preserve">I, </w:t>
      </w:r>
      <w:r w:rsidRPr="00126209" w:rsidR="007B6F60">
        <w:rPr>
          <w:b/>
          <w:sz w:val="24"/>
          <w:szCs w:val="24"/>
        </w:rPr>
        <w:t>[Insert Name and Title of Signatory]</w:t>
      </w:r>
      <w:r w:rsidRPr="00126209" w:rsidR="007B6F60">
        <w:rPr>
          <w:sz w:val="24"/>
          <w:szCs w:val="24"/>
        </w:rPr>
        <w:t>, the below signed individual, hereby confirm that the appointed Entity Administrator is an authorized officer, agent, or representative of the Entity. This letter authorizes the appointed Entity Administrator to manage the Entity's registration record, its associated users, and their roles to the Entity, in the System for Award Management (SAM)</w:t>
      </w:r>
      <w:r w:rsidRPr="00126209" w:rsidR="00E73135">
        <w:rPr>
          <w:sz w:val="24"/>
          <w:szCs w:val="24"/>
        </w:rPr>
        <w:t>)</w:t>
      </w:r>
      <w:r w:rsidRPr="00126209" w:rsidR="007B6F60">
        <w:rPr>
          <w:sz w:val="24"/>
          <w:szCs w:val="24"/>
        </w:rPr>
        <w:t xml:space="preserve">. </w:t>
      </w:r>
    </w:p>
    <w:p w:rsidRPr="00126209" w:rsidR="000745ED" w:rsidP="00F66797" w:rsidRDefault="000745ED" w14:paraId="19CFBDF5" w14:textId="77777777">
      <w:pPr>
        <w:numPr>
          <w:ilvl w:val="0"/>
          <w:numId w:val="2"/>
        </w:numPr>
        <w:rPr>
          <w:sz w:val="24"/>
          <w:szCs w:val="24"/>
        </w:rPr>
      </w:pPr>
      <w:r w:rsidRPr="00126209">
        <w:rPr>
          <w:sz w:val="24"/>
          <w:szCs w:val="24"/>
        </w:rPr>
        <w:t xml:space="preserve">Contain a statement indicating the entity’s account administration preference. This is either “Self-Administration (For the purpose of registering with the United States Government through the online System for Award Management (SAM), I do not authorize any third party to act on behalf of the Entity listed above. I have checked the Self-Administration Confirmation box to indicate that the designated Entity Administrator is not a third-party agent.) or Third-Party Agent Administration (For the purpose of registering with the United States Government through the online System for Award Management (SAM), I do hereby authorize </w:t>
      </w:r>
      <w:r w:rsidRPr="00126209">
        <w:rPr>
          <w:b/>
          <w:sz w:val="24"/>
          <w:szCs w:val="24"/>
        </w:rPr>
        <w:t>[insert full name, phone number, address, and email address of the Third-Party Agent]</w:t>
      </w:r>
      <w:r w:rsidRPr="00126209">
        <w:rPr>
          <w:sz w:val="24"/>
          <w:szCs w:val="24"/>
        </w:rPr>
        <w:t xml:space="preserve"> (Designated Third-Party Agent) to act on behalf of the Entity listed above. This authorization permits the Designated Third-Party Agent to conduct all normal, common business functions within SAM while binding the signatory to all actions conducted and representations made as a result of authorization granted herein. I have checked the Third-Party Agent Designation box and completed the above information to indicate that the designated Entity Administrator is a third-party agent.)</w:t>
      </w:r>
    </w:p>
    <w:p w:rsidR="00F46F2B" w:rsidP="00F46F2B" w:rsidRDefault="00F46F2B" w14:paraId="51B70CBC" w14:textId="77777777">
      <w:pPr>
        <w:pStyle w:val="BodyText"/>
        <w:spacing w:before="10"/>
      </w:pPr>
    </w:p>
    <w:p w:rsidR="0045409E" w:rsidP="0084567D" w:rsidRDefault="00F46F2B" w14:paraId="689553C3" w14:textId="77777777">
      <w:pPr>
        <w:pStyle w:val="Heading2"/>
        <w:spacing w:line="496" w:lineRule="auto"/>
        <w:ind w:left="0" w:right="2232" w:firstLine="0"/>
      </w:pPr>
      <w:r>
        <w:t>12 &amp; 13.  Estimated total annual public hours and cost burden.</w:t>
      </w:r>
    </w:p>
    <w:p w:rsidRPr="0045409E" w:rsidR="0045409E" w:rsidP="0045409E" w:rsidRDefault="0045409E" w14:paraId="1D95CFDF" w14:textId="2E957525">
      <w:pPr>
        <w:pStyle w:val="BodyText"/>
        <w:ind w:left="720"/>
        <w:contextualSpacing/>
      </w:pPr>
      <w:r w:rsidRPr="0045409E">
        <w:t>Respondents</w:t>
      </w:r>
      <w:r w:rsidR="00032E97">
        <w:t>……………………………………………….</w:t>
      </w:r>
      <w:r w:rsidRPr="0045409E">
        <w:t>686,400</w:t>
      </w:r>
      <w:r w:rsidR="00032E97">
        <w:t xml:space="preserve"> (57,200 X 12)</w:t>
      </w:r>
    </w:p>
    <w:p w:rsidRPr="0045409E" w:rsidR="0045409E" w:rsidP="0045409E" w:rsidRDefault="0045409E" w14:paraId="1A08EB9A" w14:textId="1DA70288">
      <w:pPr>
        <w:pStyle w:val="BodyText"/>
        <w:ind w:left="720"/>
        <w:contextualSpacing/>
      </w:pPr>
      <w:r w:rsidRPr="0045409E">
        <w:t>Responses Per Respondent</w:t>
      </w:r>
      <w:r w:rsidR="00032E97">
        <w:t>………………………………...</w:t>
      </w:r>
      <w:r w:rsidR="00032E97">
        <w:rPr>
          <w:u w:val="single"/>
        </w:rPr>
        <w:softHyphen/>
      </w:r>
      <w:r w:rsidR="00032E97">
        <w:rPr>
          <w:u w:val="single"/>
        </w:rPr>
        <w:softHyphen/>
        <w:t xml:space="preserve">       </w:t>
      </w:r>
      <w:r w:rsidRPr="00032E97" w:rsidR="00032E97">
        <w:rPr>
          <w:u w:val="single"/>
        </w:rPr>
        <w:t xml:space="preserve">x </w:t>
      </w:r>
      <w:r w:rsidRPr="00032E97">
        <w:rPr>
          <w:u w:val="single"/>
        </w:rPr>
        <w:t>1</w:t>
      </w:r>
    </w:p>
    <w:p w:rsidRPr="0045409E" w:rsidR="0045409E" w:rsidP="0045409E" w:rsidRDefault="0045409E" w14:paraId="21E691C1" w14:textId="25D74429">
      <w:pPr>
        <w:pStyle w:val="BodyText"/>
        <w:ind w:left="720"/>
        <w:contextualSpacing/>
      </w:pPr>
      <w:r w:rsidRPr="0045409E">
        <w:t>Total Annual Responses</w:t>
      </w:r>
      <w:r w:rsidR="00032E97">
        <w:t>…………………………………..</w:t>
      </w:r>
      <w:r w:rsidRPr="0045409E">
        <w:t>686,400</w:t>
      </w:r>
    </w:p>
    <w:p w:rsidR="0045409E" w:rsidP="0045409E" w:rsidRDefault="0045409E" w14:paraId="2EF67740" w14:textId="21580882">
      <w:pPr>
        <w:pStyle w:val="BodyText"/>
        <w:ind w:left="720"/>
        <w:contextualSpacing/>
        <w:rPr>
          <w:u w:val="single"/>
        </w:rPr>
      </w:pPr>
      <w:r w:rsidRPr="0045409E">
        <w:t>Hours Per Respons</w:t>
      </w:r>
      <w:r w:rsidR="00032E97">
        <w:t>es………………………………………</w:t>
      </w:r>
      <w:r w:rsidRPr="00032E97" w:rsidR="00032E97">
        <w:rPr>
          <w:u w:val="single"/>
        </w:rPr>
        <w:t xml:space="preserve">x   </w:t>
      </w:r>
      <w:r w:rsidRPr="00032E97">
        <w:rPr>
          <w:u w:val="single"/>
        </w:rPr>
        <w:t>2.25</w:t>
      </w:r>
    </w:p>
    <w:p w:rsidRPr="00032E97" w:rsidR="00032E97" w:rsidP="0045409E" w:rsidRDefault="00032E97" w14:paraId="02625C93" w14:textId="756B72A5">
      <w:pPr>
        <w:pStyle w:val="BodyText"/>
        <w:ind w:left="720"/>
        <w:contextualSpacing/>
      </w:pPr>
      <w:r w:rsidRPr="00032E97">
        <w:t>Total Burden Hours</w:t>
      </w:r>
      <w:r>
        <w:t>……………………………………..1,544,400</w:t>
      </w:r>
    </w:p>
    <w:p w:rsidRPr="006343DF" w:rsidR="0045409E" w:rsidP="0045409E" w:rsidRDefault="0045409E" w14:paraId="40499EC1" w14:textId="77777777">
      <w:pPr>
        <w:pStyle w:val="BodyText"/>
        <w:ind w:left="720"/>
        <w:rPr>
          <w:rFonts w:ascii="Courier New" w:hAnsi="Courier New" w:cs="Courier New"/>
        </w:rPr>
      </w:pPr>
    </w:p>
    <w:p w:rsidR="00032E97" w:rsidP="00032E97" w:rsidRDefault="00032E97" w14:paraId="6570A9F4" w14:textId="5D5EACF7">
      <w:pPr>
        <w:pStyle w:val="BodyText"/>
        <w:spacing w:before="212" w:line="247" w:lineRule="auto"/>
        <w:ind w:left="220" w:right="408"/>
        <w:jc w:val="both"/>
        <w:rPr>
          <w:color w:val="141414"/>
        </w:rPr>
      </w:pPr>
      <w:r>
        <w:rPr>
          <w:color w:val="141414"/>
        </w:rPr>
        <w:t xml:space="preserve">The information collection allows GSA to request the </w:t>
      </w:r>
      <w:r>
        <w:t>notarized letter</w:t>
      </w:r>
      <w:r>
        <w:rPr>
          <w:color w:val="141414"/>
        </w:rPr>
        <w:t xml:space="preserve"> and apply this approach to new registrants (an average of 7,200 per month) and to existing SAM registrants (an average of 50,000 re-register per month). </w:t>
      </w:r>
    </w:p>
    <w:p w:rsidR="00032E97" w:rsidP="00032E97" w:rsidRDefault="00032E97" w14:paraId="2E34E656" w14:textId="77777777">
      <w:pPr>
        <w:pStyle w:val="BodyText"/>
        <w:spacing w:before="90" w:line="247" w:lineRule="auto"/>
        <w:ind w:left="216" w:right="259"/>
        <w:jc w:val="both"/>
        <w:rPr>
          <w:color w:val="141414"/>
        </w:rPr>
      </w:pPr>
    </w:p>
    <w:p w:rsidR="00032E97" w:rsidP="00032E97" w:rsidRDefault="00032E97" w14:paraId="3E752BE9" w14:textId="77777777">
      <w:pPr>
        <w:pStyle w:val="BodyText"/>
        <w:spacing w:before="90" w:line="247" w:lineRule="auto"/>
        <w:ind w:left="220" w:right="261"/>
      </w:pPr>
      <w:r>
        <w:rPr>
          <w:color w:val="151515"/>
        </w:rPr>
        <w:t>Entities registered and registering in SAM are</w:t>
      </w:r>
      <w:r>
        <w:t xml:space="preserve"> provided the template for the requirements of the notarized letter. It is estimated that the Entity Administrator will take on average 0.5 hour to create the letter and 0.25 hour to submit an electronic copy of the letter to FSD.  GSA proposes that an Entity Administrator equivalent to a GS-5, Step 5 Administrative Support person within the Government would perform these tasks.  The estimated hourly rate of $24.70 (Base + Locality + Fringe) was used for the calculation.</w:t>
      </w:r>
    </w:p>
    <w:p w:rsidR="00032E97" w:rsidP="00032E97" w:rsidRDefault="00032E97" w14:paraId="7219E624" w14:textId="77777777">
      <w:pPr>
        <w:pStyle w:val="Heading2"/>
        <w:spacing w:line="496" w:lineRule="auto"/>
        <w:ind w:left="0" w:right="2232" w:firstLine="0"/>
        <w:rPr>
          <w:b w:val="0"/>
          <w:sz w:val="26"/>
        </w:rPr>
      </w:pPr>
    </w:p>
    <w:p w:rsidR="0045409E" w:rsidP="00032E97" w:rsidRDefault="00933B59" w14:paraId="2615727E" w14:textId="30226C1A">
      <w:pPr>
        <w:pStyle w:val="Heading2"/>
        <w:spacing w:line="496" w:lineRule="auto"/>
        <w:ind w:left="0" w:right="2232" w:firstLine="0"/>
        <w:rPr>
          <w:b w:val="0"/>
          <w:sz w:val="26"/>
        </w:rPr>
      </w:pPr>
      <w:r>
        <w:lastRenderedPageBreak/>
        <w:pict w14:anchorId="3E2251E0">
          <v:shapetype id="_x0000_t202" coordsize="21600,21600" o:spt="202" path="m,l,21600r21600,l21600,xe">
            <v:stroke joinstyle="miter"/>
            <v:path gradientshapeok="t" o:connecttype="rect"/>
          </v:shapetype>
          <v:shape id="_x0000_s1028" style="position:absolute;margin-left:66.75pt;margin-top:14.2pt;width:492.15pt;height:338.25pt;z-index:251657728;mso-position-horizontal-relative:page" filled="f" stroked="f" type="#_x0000_t202">
            <v:textbox inset="0,0,0,0">
              <w:txbxContent>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725"/>
                    <w:gridCol w:w="810"/>
                    <w:gridCol w:w="1830"/>
                    <w:gridCol w:w="1110"/>
                    <w:gridCol w:w="1260"/>
                    <w:gridCol w:w="1095"/>
                    <w:gridCol w:w="1740"/>
                  </w:tblGrid>
                  <w:tr w:rsidR="0046673B" w14:paraId="0F573A7A" w14:textId="77777777">
                    <w:trPr>
                      <w:trHeight w:val="540" w:hRule="exact"/>
                    </w:trPr>
                    <w:tc>
                      <w:tcPr>
                        <w:tcW w:w="1725" w:type="dxa"/>
                      </w:tcPr>
                      <w:p w:rsidR="0046673B" w:rsidRDefault="0046673B" w14:paraId="177E8F4F" w14:textId="77777777">
                        <w:pPr>
                          <w:pStyle w:val="TableParagraph"/>
                          <w:rPr>
                            <w:b/>
                            <w:sz w:val="20"/>
                          </w:rPr>
                        </w:pPr>
                        <w:r>
                          <w:rPr>
                            <w:b/>
                            <w:sz w:val="20"/>
                          </w:rPr>
                          <w:t>Task</w:t>
                        </w:r>
                      </w:p>
                    </w:tc>
                    <w:tc>
                      <w:tcPr>
                        <w:tcW w:w="810" w:type="dxa"/>
                      </w:tcPr>
                      <w:p w:rsidR="0046673B" w:rsidRDefault="0046673B" w14:paraId="6D4C7C0C" w14:textId="77777777">
                        <w:pPr>
                          <w:pStyle w:val="TableParagraph"/>
                          <w:rPr>
                            <w:b/>
                            <w:sz w:val="20"/>
                          </w:rPr>
                        </w:pPr>
                        <w:r>
                          <w:rPr>
                            <w:b/>
                            <w:sz w:val="20"/>
                          </w:rPr>
                          <w:t>Hours</w:t>
                        </w:r>
                      </w:p>
                    </w:tc>
                    <w:tc>
                      <w:tcPr>
                        <w:tcW w:w="1830" w:type="dxa"/>
                      </w:tcPr>
                      <w:p w:rsidR="0046673B" w:rsidRDefault="0046673B" w14:paraId="2A3FDAF6" w14:textId="77777777">
                        <w:pPr>
                          <w:pStyle w:val="TableParagraph"/>
                          <w:rPr>
                            <w:b/>
                            <w:sz w:val="20"/>
                          </w:rPr>
                        </w:pPr>
                        <w:r>
                          <w:rPr>
                            <w:b/>
                            <w:sz w:val="20"/>
                          </w:rPr>
                          <w:t>Performed by</w:t>
                        </w:r>
                      </w:p>
                    </w:tc>
                    <w:tc>
                      <w:tcPr>
                        <w:tcW w:w="1110" w:type="dxa"/>
                      </w:tcPr>
                      <w:p w:rsidR="0046673B" w:rsidRDefault="0046673B" w14:paraId="6EBFD9EB" w14:textId="77777777">
                        <w:pPr>
                          <w:pStyle w:val="TableParagraph"/>
                          <w:spacing w:before="3" w:line="240" w:lineRule="exact"/>
                          <w:ind w:right="429"/>
                          <w:rPr>
                            <w:b/>
                            <w:sz w:val="20"/>
                          </w:rPr>
                        </w:pPr>
                        <w:r>
                          <w:rPr>
                            <w:b/>
                            <w:sz w:val="20"/>
                          </w:rPr>
                          <w:t>Hourly Rate</w:t>
                        </w:r>
                      </w:p>
                    </w:tc>
                    <w:tc>
                      <w:tcPr>
                        <w:tcW w:w="1260" w:type="dxa"/>
                      </w:tcPr>
                      <w:p w:rsidR="0046673B" w:rsidRDefault="0046673B" w14:paraId="5118024F" w14:textId="77777777">
                        <w:pPr>
                          <w:pStyle w:val="TableParagraph"/>
                          <w:spacing w:before="3" w:line="240" w:lineRule="exact"/>
                          <w:ind w:right="270"/>
                          <w:rPr>
                            <w:b/>
                            <w:sz w:val="20"/>
                          </w:rPr>
                        </w:pPr>
                        <w:r>
                          <w:rPr>
                            <w:b/>
                            <w:sz w:val="20"/>
                          </w:rPr>
                          <w:t>Monthly Frequency</w:t>
                        </w:r>
                      </w:p>
                    </w:tc>
                    <w:tc>
                      <w:tcPr>
                        <w:tcW w:w="1095" w:type="dxa"/>
                      </w:tcPr>
                      <w:p w:rsidR="0046673B" w:rsidRDefault="0046673B" w14:paraId="211D66F2" w14:textId="77777777">
                        <w:pPr>
                          <w:pStyle w:val="TableParagraph"/>
                          <w:spacing w:before="3" w:line="240" w:lineRule="exact"/>
                          <w:ind w:right="122"/>
                          <w:rPr>
                            <w:b/>
                            <w:sz w:val="20"/>
                          </w:rPr>
                        </w:pPr>
                        <w:r>
                          <w:rPr>
                            <w:b/>
                            <w:sz w:val="20"/>
                          </w:rPr>
                          <w:t>Duration in Months</w:t>
                        </w:r>
                      </w:p>
                    </w:tc>
                    <w:tc>
                      <w:tcPr>
                        <w:tcW w:w="1740" w:type="dxa"/>
                      </w:tcPr>
                      <w:p w:rsidR="0046673B" w:rsidRDefault="0046673B" w14:paraId="00030804" w14:textId="77777777">
                        <w:pPr>
                          <w:pStyle w:val="TableParagraph"/>
                          <w:rPr>
                            <w:b/>
                            <w:sz w:val="20"/>
                          </w:rPr>
                        </w:pPr>
                        <w:r>
                          <w:rPr>
                            <w:b/>
                            <w:sz w:val="20"/>
                          </w:rPr>
                          <w:t>Total</w:t>
                        </w:r>
                      </w:p>
                    </w:tc>
                  </w:tr>
                  <w:tr w:rsidR="0046673B" w14:paraId="5491BE8B" w14:textId="77777777">
                    <w:trPr>
                      <w:trHeight w:val="495" w:hRule="exact"/>
                    </w:trPr>
                    <w:tc>
                      <w:tcPr>
                        <w:tcW w:w="1725" w:type="dxa"/>
                      </w:tcPr>
                      <w:p w:rsidR="0046673B" w:rsidRDefault="0046673B" w14:paraId="206B1691" w14:textId="77777777">
                        <w:pPr>
                          <w:pStyle w:val="TableParagraph"/>
                          <w:rPr>
                            <w:b/>
                            <w:sz w:val="20"/>
                          </w:rPr>
                        </w:pPr>
                        <w:r>
                          <w:rPr>
                            <w:b/>
                            <w:sz w:val="20"/>
                          </w:rPr>
                          <w:t>ENTITY COSTS</w:t>
                        </w:r>
                      </w:p>
                    </w:tc>
                    <w:tc>
                      <w:tcPr>
                        <w:tcW w:w="810" w:type="dxa"/>
                      </w:tcPr>
                      <w:p w:rsidR="0046673B" w:rsidRDefault="0046673B" w14:paraId="474D7B79" w14:textId="77777777"/>
                    </w:tc>
                    <w:tc>
                      <w:tcPr>
                        <w:tcW w:w="1830" w:type="dxa"/>
                      </w:tcPr>
                      <w:p w:rsidR="0046673B" w:rsidRDefault="0046673B" w14:paraId="0286BB66" w14:textId="77777777">
                        <w:pPr>
                          <w:pStyle w:val="TableParagraph"/>
                          <w:spacing w:before="3" w:line="240" w:lineRule="exact"/>
                          <w:ind w:right="213"/>
                          <w:rPr>
                            <w:b/>
                            <w:sz w:val="20"/>
                          </w:rPr>
                        </w:pPr>
                        <w:r>
                          <w:rPr>
                            <w:b/>
                            <w:sz w:val="20"/>
                          </w:rPr>
                          <w:t>See letter content below</w:t>
                        </w:r>
                      </w:p>
                    </w:tc>
                    <w:tc>
                      <w:tcPr>
                        <w:tcW w:w="1110" w:type="dxa"/>
                      </w:tcPr>
                      <w:p w:rsidR="0046673B" w:rsidRDefault="0046673B" w14:paraId="05CFD92D" w14:textId="77777777"/>
                    </w:tc>
                    <w:tc>
                      <w:tcPr>
                        <w:tcW w:w="1260" w:type="dxa"/>
                      </w:tcPr>
                      <w:p w:rsidR="0046673B" w:rsidRDefault="0046673B" w14:paraId="11CB51C5" w14:textId="77777777"/>
                    </w:tc>
                    <w:tc>
                      <w:tcPr>
                        <w:tcW w:w="1095" w:type="dxa"/>
                      </w:tcPr>
                      <w:p w:rsidR="0046673B" w:rsidRDefault="0046673B" w14:paraId="400CA270" w14:textId="77777777"/>
                    </w:tc>
                    <w:tc>
                      <w:tcPr>
                        <w:tcW w:w="1740" w:type="dxa"/>
                      </w:tcPr>
                      <w:p w:rsidR="0046673B" w:rsidRDefault="0046673B" w14:paraId="3FC06FE7" w14:textId="77777777"/>
                    </w:tc>
                  </w:tr>
                  <w:tr w:rsidR="0046673B" w14:paraId="307FCDAE" w14:textId="77777777">
                    <w:trPr>
                      <w:trHeight w:val="1035" w:hRule="exact"/>
                    </w:trPr>
                    <w:tc>
                      <w:tcPr>
                        <w:tcW w:w="1725" w:type="dxa"/>
                      </w:tcPr>
                      <w:p w:rsidR="0046673B" w:rsidRDefault="0046673B" w14:paraId="7647BB3A" w14:textId="77777777">
                        <w:pPr>
                          <w:pStyle w:val="TableParagraph"/>
                          <w:rPr>
                            <w:b/>
                            <w:sz w:val="20"/>
                          </w:rPr>
                        </w:pPr>
                        <w:r>
                          <w:rPr>
                            <w:b/>
                            <w:sz w:val="20"/>
                          </w:rPr>
                          <w:t>Create letter</w:t>
                        </w:r>
                      </w:p>
                    </w:tc>
                    <w:tc>
                      <w:tcPr>
                        <w:tcW w:w="810" w:type="dxa"/>
                      </w:tcPr>
                      <w:p w:rsidR="0046673B" w:rsidRDefault="0046673B" w14:paraId="38E68D04" w14:textId="77777777">
                        <w:pPr>
                          <w:pStyle w:val="TableParagraph"/>
                          <w:rPr>
                            <w:b/>
                            <w:sz w:val="20"/>
                          </w:rPr>
                        </w:pPr>
                        <w:r>
                          <w:rPr>
                            <w:b/>
                            <w:sz w:val="20"/>
                          </w:rPr>
                          <w:t>0.5</w:t>
                        </w:r>
                      </w:p>
                    </w:tc>
                    <w:tc>
                      <w:tcPr>
                        <w:tcW w:w="1830" w:type="dxa"/>
                      </w:tcPr>
                      <w:p w:rsidR="0046673B" w:rsidRDefault="0046673B" w14:paraId="7FBCB07C" w14:textId="77777777">
                        <w:pPr>
                          <w:pStyle w:val="TableParagraph"/>
                          <w:spacing w:before="3" w:line="240" w:lineRule="exact"/>
                          <w:ind w:right="541"/>
                          <w:rPr>
                            <w:b/>
                            <w:sz w:val="20"/>
                          </w:rPr>
                        </w:pPr>
                        <w:r>
                          <w:rPr>
                            <w:b/>
                            <w:sz w:val="20"/>
                          </w:rPr>
                          <w:t>Entity Administrator</w:t>
                        </w:r>
                      </w:p>
                    </w:tc>
                    <w:tc>
                      <w:tcPr>
                        <w:tcW w:w="1110" w:type="dxa"/>
                      </w:tcPr>
                      <w:p w:rsidR="0046673B" w:rsidRDefault="0046673B" w14:paraId="04CB83AE" w14:textId="77777777">
                        <w:pPr>
                          <w:pStyle w:val="TableParagraph"/>
                          <w:rPr>
                            <w:b/>
                            <w:sz w:val="20"/>
                          </w:rPr>
                        </w:pPr>
                        <w:r>
                          <w:rPr>
                            <w:b/>
                            <w:sz w:val="20"/>
                          </w:rPr>
                          <w:t>$24.70</w:t>
                        </w:r>
                      </w:p>
                    </w:tc>
                    <w:tc>
                      <w:tcPr>
                        <w:tcW w:w="1260" w:type="dxa"/>
                      </w:tcPr>
                      <w:p w:rsidR="0046673B" w:rsidRDefault="0046673B" w14:paraId="0E875CCA" w14:textId="77777777">
                        <w:pPr>
                          <w:pStyle w:val="TableParagraph"/>
                          <w:rPr>
                            <w:b/>
                            <w:sz w:val="20"/>
                          </w:rPr>
                        </w:pPr>
                        <w:r>
                          <w:rPr>
                            <w:b/>
                            <w:sz w:val="20"/>
                          </w:rPr>
                          <w:t>57200</w:t>
                        </w:r>
                      </w:p>
                    </w:tc>
                    <w:tc>
                      <w:tcPr>
                        <w:tcW w:w="1095" w:type="dxa"/>
                      </w:tcPr>
                      <w:p w:rsidR="0046673B" w:rsidRDefault="002D092C" w14:paraId="79FF7C28" w14:textId="77777777">
                        <w:pPr>
                          <w:pStyle w:val="TableParagraph"/>
                          <w:rPr>
                            <w:b/>
                            <w:sz w:val="20"/>
                          </w:rPr>
                        </w:pPr>
                        <w:r>
                          <w:rPr>
                            <w:b/>
                            <w:sz w:val="20"/>
                          </w:rPr>
                          <w:t>12</w:t>
                        </w:r>
                      </w:p>
                    </w:tc>
                    <w:tc>
                      <w:tcPr>
                        <w:tcW w:w="1740" w:type="dxa"/>
                      </w:tcPr>
                      <w:p w:rsidR="0046673B" w:rsidP="00261AD2" w:rsidRDefault="0046673B" w14:paraId="594B155F" w14:textId="77777777">
                        <w:pPr>
                          <w:pStyle w:val="TableParagraph"/>
                          <w:rPr>
                            <w:b/>
                            <w:sz w:val="20"/>
                          </w:rPr>
                        </w:pPr>
                        <w:r>
                          <w:rPr>
                            <w:b/>
                            <w:sz w:val="20"/>
                          </w:rPr>
                          <w:t>$</w:t>
                        </w:r>
                        <w:r w:rsidR="00261AD2">
                          <w:rPr>
                            <w:b/>
                            <w:sz w:val="20"/>
                          </w:rPr>
                          <w:t>8,477,040</w:t>
                        </w:r>
                        <w:r>
                          <w:rPr>
                            <w:b/>
                            <w:sz w:val="20"/>
                          </w:rPr>
                          <w:t>.00</w:t>
                        </w:r>
                      </w:p>
                    </w:tc>
                  </w:tr>
                  <w:tr w:rsidR="0046673B" w14:paraId="5D981109" w14:textId="77777777">
                    <w:trPr>
                      <w:trHeight w:val="1215" w:hRule="exact"/>
                    </w:trPr>
                    <w:tc>
                      <w:tcPr>
                        <w:tcW w:w="1725" w:type="dxa"/>
                      </w:tcPr>
                      <w:p w:rsidR="0046673B" w:rsidRDefault="0046673B" w14:paraId="320262D4" w14:textId="77777777">
                        <w:pPr>
                          <w:pStyle w:val="TableParagraph"/>
                          <w:spacing w:before="3" w:line="240" w:lineRule="exact"/>
                          <w:ind w:right="219"/>
                          <w:jc w:val="both"/>
                          <w:rPr>
                            <w:b/>
                            <w:sz w:val="20"/>
                          </w:rPr>
                        </w:pPr>
                        <w:r>
                          <w:rPr>
                            <w:b/>
                            <w:sz w:val="20"/>
                          </w:rPr>
                          <w:t>CEO or President signs and notary stamps letter</w:t>
                        </w:r>
                      </w:p>
                      <w:p w:rsidR="0046673B" w:rsidRDefault="0046673B" w14:paraId="209637F5" w14:textId="77777777">
                        <w:pPr>
                          <w:pStyle w:val="TableParagraph"/>
                          <w:spacing w:before="1"/>
                          <w:jc w:val="both"/>
                          <w:rPr>
                            <w:b/>
                            <w:sz w:val="20"/>
                          </w:rPr>
                        </w:pPr>
                        <w:r>
                          <w:rPr>
                            <w:b/>
                            <w:sz w:val="20"/>
                          </w:rPr>
                          <w:t>(In-house Notary)</w:t>
                        </w:r>
                      </w:p>
                    </w:tc>
                    <w:tc>
                      <w:tcPr>
                        <w:tcW w:w="810" w:type="dxa"/>
                      </w:tcPr>
                      <w:p w:rsidR="0046673B" w:rsidRDefault="0046673B" w14:paraId="3DED7CC8" w14:textId="77777777">
                        <w:pPr>
                          <w:pStyle w:val="TableParagraph"/>
                          <w:rPr>
                            <w:b/>
                            <w:sz w:val="20"/>
                          </w:rPr>
                        </w:pPr>
                        <w:r>
                          <w:rPr>
                            <w:b/>
                            <w:sz w:val="20"/>
                          </w:rPr>
                          <w:t>0.5</w:t>
                        </w:r>
                      </w:p>
                    </w:tc>
                    <w:tc>
                      <w:tcPr>
                        <w:tcW w:w="1830" w:type="dxa"/>
                      </w:tcPr>
                      <w:p w:rsidR="0046673B" w:rsidRDefault="0046673B" w14:paraId="5AD8E922" w14:textId="77777777">
                        <w:pPr>
                          <w:pStyle w:val="TableParagraph"/>
                          <w:spacing w:before="3" w:line="240" w:lineRule="exact"/>
                          <w:ind w:right="253"/>
                          <w:rPr>
                            <w:b/>
                            <w:sz w:val="20"/>
                          </w:rPr>
                        </w:pPr>
                        <w:r>
                          <w:rPr>
                            <w:b/>
                            <w:sz w:val="20"/>
                          </w:rPr>
                          <w:t>CEO, President or Authorized Signatory - including legal review</w:t>
                        </w:r>
                      </w:p>
                    </w:tc>
                    <w:tc>
                      <w:tcPr>
                        <w:tcW w:w="1110" w:type="dxa"/>
                      </w:tcPr>
                      <w:p w:rsidR="0046673B" w:rsidRDefault="0046673B" w14:paraId="4E74AD72" w14:textId="77777777">
                        <w:pPr>
                          <w:pStyle w:val="TableParagraph"/>
                          <w:rPr>
                            <w:b/>
                            <w:sz w:val="20"/>
                          </w:rPr>
                        </w:pPr>
                        <w:r>
                          <w:rPr>
                            <w:b/>
                            <w:sz w:val="20"/>
                          </w:rPr>
                          <w:t>$150.00</w:t>
                        </w:r>
                      </w:p>
                    </w:tc>
                    <w:tc>
                      <w:tcPr>
                        <w:tcW w:w="1260" w:type="dxa"/>
                      </w:tcPr>
                      <w:p w:rsidR="0046673B" w:rsidRDefault="0046673B" w14:paraId="6D2EBE0F" w14:textId="77777777">
                        <w:pPr>
                          <w:pStyle w:val="TableParagraph"/>
                          <w:rPr>
                            <w:b/>
                            <w:sz w:val="20"/>
                          </w:rPr>
                        </w:pPr>
                        <w:r>
                          <w:rPr>
                            <w:b/>
                            <w:sz w:val="20"/>
                          </w:rPr>
                          <w:t>32200</w:t>
                        </w:r>
                      </w:p>
                    </w:tc>
                    <w:tc>
                      <w:tcPr>
                        <w:tcW w:w="1095" w:type="dxa"/>
                      </w:tcPr>
                      <w:p w:rsidR="0046673B" w:rsidRDefault="002D092C" w14:paraId="353E48E0" w14:textId="77777777">
                        <w:pPr>
                          <w:pStyle w:val="TableParagraph"/>
                          <w:rPr>
                            <w:b/>
                            <w:sz w:val="20"/>
                          </w:rPr>
                        </w:pPr>
                        <w:r>
                          <w:rPr>
                            <w:b/>
                            <w:sz w:val="20"/>
                          </w:rPr>
                          <w:t>12</w:t>
                        </w:r>
                      </w:p>
                    </w:tc>
                    <w:tc>
                      <w:tcPr>
                        <w:tcW w:w="1740" w:type="dxa"/>
                      </w:tcPr>
                      <w:p w:rsidR="0046673B" w:rsidP="00261AD2" w:rsidRDefault="0046673B" w14:paraId="317E83EE" w14:textId="77777777">
                        <w:pPr>
                          <w:pStyle w:val="TableParagraph"/>
                          <w:rPr>
                            <w:b/>
                            <w:sz w:val="20"/>
                          </w:rPr>
                        </w:pPr>
                        <w:r>
                          <w:rPr>
                            <w:b/>
                            <w:sz w:val="20"/>
                          </w:rPr>
                          <w:t>$</w:t>
                        </w:r>
                        <w:r w:rsidR="00261AD2">
                          <w:rPr>
                            <w:b/>
                            <w:sz w:val="20"/>
                          </w:rPr>
                          <w:t>28,980,000</w:t>
                        </w:r>
                        <w:r>
                          <w:rPr>
                            <w:b/>
                            <w:sz w:val="20"/>
                          </w:rPr>
                          <w:t>.00</w:t>
                        </w:r>
                      </w:p>
                    </w:tc>
                  </w:tr>
                  <w:tr w:rsidR="0046673B" w14:paraId="4BF898B3" w14:textId="77777777">
                    <w:trPr>
                      <w:trHeight w:val="1215" w:hRule="exact"/>
                    </w:trPr>
                    <w:tc>
                      <w:tcPr>
                        <w:tcW w:w="1725" w:type="dxa"/>
                      </w:tcPr>
                      <w:p w:rsidR="0046673B" w:rsidRDefault="0046673B" w14:paraId="2DD25C5D" w14:textId="77777777">
                        <w:pPr>
                          <w:pStyle w:val="TableParagraph"/>
                          <w:spacing w:before="3" w:line="240" w:lineRule="exact"/>
                          <w:ind w:right="171"/>
                          <w:rPr>
                            <w:b/>
                            <w:sz w:val="20"/>
                          </w:rPr>
                        </w:pPr>
                        <w:r>
                          <w:rPr>
                            <w:b/>
                            <w:sz w:val="20"/>
                          </w:rPr>
                          <w:t>CEO or President signs and notary stamps letter (External Notary)</w:t>
                        </w:r>
                      </w:p>
                    </w:tc>
                    <w:tc>
                      <w:tcPr>
                        <w:tcW w:w="810" w:type="dxa"/>
                      </w:tcPr>
                      <w:p w:rsidR="0046673B" w:rsidRDefault="0046673B" w14:paraId="7A2E2A4F" w14:textId="77777777">
                        <w:pPr>
                          <w:pStyle w:val="TableParagraph"/>
                          <w:rPr>
                            <w:b/>
                            <w:sz w:val="20"/>
                          </w:rPr>
                        </w:pPr>
                        <w:r>
                          <w:rPr>
                            <w:b/>
                            <w:sz w:val="20"/>
                          </w:rPr>
                          <w:t>1</w:t>
                        </w:r>
                      </w:p>
                    </w:tc>
                    <w:tc>
                      <w:tcPr>
                        <w:tcW w:w="1830" w:type="dxa"/>
                      </w:tcPr>
                      <w:p w:rsidR="0046673B" w:rsidRDefault="0046673B" w14:paraId="581A0053" w14:textId="77777777">
                        <w:pPr>
                          <w:pStyle w:val="TableParagraph"/>
                          <w:spacing w:before="3" w:line="240" w:lineRule="exact"/>
                          <w:ind w:right="253"/>
                          <w:rPr>
                            <w:b/>
                            <w:sz w:val="20"/>
                          </w:rPr>
                        </w:pPr>
                        <w:r>
                          <w:rPr>
                            <w:b/>
                            <w:sz w:val="20"/>
                          </w:rPr>
                          <w:t>CEO, President or Authorized Signatory - including legal review</w:t>
                        </w:r>
                      </w:p>
                    </w:tc>
                    <w:tc>
                      <w:tcPr>
                        <w:tcW w:w="1110" w:type="dxa"/>
                      </w:tcPr>
                      <w:p w:rsidR="0046673B" w:rsidRDefault="0046673B" w14:paraId="788B5215" w14:textId="77777777">
                        <w:pPr>
                          <w:pStyle w:val="TableParagraph"/>
                          <w:rPr>
                            <w:b/>
                            <w:sz w:val="20"/>
                          </w:rPr>
                        </w:pPr>
                        <w:r>
                          <w:rPr>
                            <w:b/>
                            <w:sz w:val="20"/>
                          </w:rPr>
                          <w:t>$100.00</w:t>
                        </w:r>
                      </w:p>
                    </w:tc>
                    <w:tc>
                      <w:tcPr>
                        <w:tcW w:w="1260" w:type="dxa"/>
                      </w:tcPr>
                      <w:p w:rsidR="0046673B" w:rsidRDefault="0046673B" w14:paraId="13D8D8FB" w14:textId="77777777">
                        <w:pPr>
                          <w:pStyle w:val="TableParagraph"/>
                          <w:rPr>
                            <w:b/>
                            <w:sz w:val="20"/>
                          </w:rPr>
                        </w:pPr>
                        <w:r>
                          <w:rPr>
                            <w:b/>
                            <w:sz w:val="20"/>
                          </w:rPr>
                          <w:t>25000</w:t>
                        </w:r>
                      </w:p>
                    </w:tc>
                    <w:tc>
                      <w:tcPr>
                        <w:tcW w:w="1095" w:type="dxa"/>
                      </w:tcPr>
                      <w:p w:rsidR="0046673B" w:rsidRDefault="002D092C" w14:paraId="0108D7A6" w14:textId="77777777">
                        <w:pPr>
                          <w:pStyle w:val="TableParagraph"/>
                          <w:rPr>
                            <w:b/>
                            <w:sz w:val="20"/>
                          </w:rPr>
                        </w:pPr>
                        <w:r>
                          <w:rPr>
                            <w:b/>
                            <w:sz w:val="20"/>
                          </w:rPr>
                          <w:t>12</w:t>
                        </w:r>
                      </w:p>
                    </w:tc>
                    <w:tc>
                      <w:tcPr>
                        <w:tcW w:w="1740" w:type="dxa"/>
                      </w:tcPr>
                      <w:p w:rsidR="0046673B" w:rsidP="00935C86" w:rsidRDefault="0046673B" w14:paraId="4B45B333" w14:textId="77777777">
                        <w:pPr>
                          <w:pStyle w:val="TableParagraph"/>
                          <w:rPr>
                            <w:b/>
                            <w:sz w:val="20"/>
                          </w:rPr>
                        </w:pPr>
                        <w:r>
                          <w:rPr>
                            <w:b/>
                            <w:sz w:val="20"/>
                          </w:rPr>
                          <w:t>$</w:t>
                        </w:r>
                        <w:r w:rsidR="00935C86">
                          <w:rPr>
                            <w:b/>
                            <w:sz w:val="20"/>
                          </w:rPr>
                          <w:t>30</w:t>
                        </w:r>
                        <w:r>
                          <w:rPr>
                            <w:b/>
                            <w:sz w:val="20"/>
                          </w:rPr>
                          <w:t>,000,000.00</w:t>
                        </w:r>
                      </w:p>
                    </w:tc>
                  </w:tr>
                  <w:tr w:rsidR="0046673B" w:rsidTr="00756991" w14:paraId="72B790EA" w14:textId="77777777">
                    <w:trPr>
                      <w:trHeight w:val="828" w:hRule="exact"/>
                    </w:trPr>
                    <w:tc>
                      <w:tcPr>
                        <w:tcW w:w="1725" w:type="dxa"/>
                      </w:tcPr>
                      <w:p w:rsidR="0046673B" w:rsidRDefault="00756991" w14:paraId="1B06E2EC" w14:textId="3B030FD0">
                        <w:pPr>
                          <w:pStyle w:val="TableParagraph"/>
                          <w:spacing w:before="3" w:line="240" w:lineRule="exact"/>
                          <w:ind w:right="144"/>
                          <w:rPr>
                            <w:b/>
                            <w:sz w:val="20"/>
                          </w:rPr>
                        </w:pPr>
                        <w:r w:rsidRPr="00B85D54">
                          <w:rPr>
                            <w:b/>
                            <w:sz w:val="20"/>
                          </w:rPr>
                          <w:t>Scan and email</w:t>
                        </w:r>
                        <w:r w:rsidRPr="00B85D54" w:rsidR="0046673B">
                          <w:rPr>
                            <w:b/>
                            <w:sz w:val="20"/>
                          </w:rPr>
                          <w:t xml:space="preserve"> copy of Notarized Letter</w:t>
                        </w:r>
                      </w:p>
                    </w:tc>
                    <w:tc>
                      <w:tcPr>
                        <w:tcW w:w="810" w:type="dxa"/>
                      </w:tcPr>
                      <w:p w:rsidR="0046673B" w:rsidRDefault="0046673B" w14:paraId="723C2DAE" w14:textId="77777777">
                        <w:pPr>
                          <w:pStyle w:val="TableParagraph"/>
                          <w:rPr>
                            <w:b/>
                            <w:sz w:val="20"/>
                          </w:rPr>
                        </w:pPr>
                        <w:r>
                          <w:rPr>
                            <w:b/>
                            <w:sz w:val="20"/>
                          </w:rPr>
                          <w:t>0.25</w:t>
                        </w:r>
                      </w:p>
                    </w:tc>
                    <w:tc>
                      <w:tcPr>
                        <w:tcW w:w="1830" w:type="dxa"/>
                      </w:tcPr>
                      <w:p w:rsidR="0046673B" w:rsidRDefault="0046673B" w14:paraId="09B16406" w14:textId="77777777">
                        <w:pPr>
                          <w:pStyle w:val="TableParagraph"/>
                          <w:spacing w:before="3" w:line="240" w:lineRule="exact"/>
                          <w:ind w:right="541"/>
                          <w:rPr>
                            <w:b/>
                            <w:sz w:val="20"/>
                          </w:rPr>
                        </w:pPr>
                        <w:r>
                          <w:rPr>
                            <w:b/>
                            <w:sz w:val="20"/>
                          </w:rPr>
                          <w:t>Entity Administrator</w:t>
                        </w:r>
                      </w:p>
                    </w:tc>
                    <w:tc>
                      <w:tcPr>
                        <w:tcW w:w="1110" w:type="dxa"/>
                      </w:tcPr>
                      <w:p w:rsidR="0046673B" w:rsidRDefault="0046673B" w14:paraId="7556FEBC" w14:textId="77777777">
                        <w:pPr>
                          <w:pStyle w:val="TableParagraph"/>
                          <w:rPr>
                            <w:b/>
                            <w:sz w:val="20"/>
                          </w:rPr>
                        </w:pPr>
                        <w:r>
                          <w:rPr>
                            <w:b/>
                            <w:sz w:val="20"/>
                          </w:rPr>
                          <w:t>$24.70</w:t>
                        </w:r>
                      </w:p>
                    </w:tc>
                    <w:tc>
                      <w:tcPr>
                        <w:tcW w:w="1260" w:type="dxa"/>
                      </w:tcPr>
                      <w:p w:rsidR="0046673B" w:rsidRDefault="0046673B" w14:paraId="25777A38" w14:textId="77777777">
                        <w:pPr>
                          <w:pStyle w:val="TableParagraph"/>
                          <w:rPr>
                            <w:b/>
                            <w:sz w:val="20"/>
                          </w:rPr>
                        </w:pPr>
                        <w:r>
                          <w:rPr>
                            <w:b/>
                            <w:sz w:val="20"/>
                          </w:rPr>
                          <w:t>57200</w:t>
                        </w:r>
                      </w:p>
                    </w:tc>
                    <w:tc>
                      <w:tcPr>
                        <w:tcW w:w="1095" w:type="dxa"/>
                      </w:tcPr>
                      <w:p w:rsidR="0046673B" w:rsidRDefault="002D092C" w14:paraId="73987D00" w14:textId="77777777">
                        <w:pPr>
                          <w:pStyle w:val="TableParagraph"/>
                          <w:rPr>
                            <w:b/>
                            <w:sz w:val="20"/>
                          </w:rPr>
                        </w:pPr>
                        <w:r>
                          <w:rPr>
                            <w:b/>
                            <w:sz w:val="20"/>
                          </w:rPr>
                          <w:t>12</w:t>
                        </w:r>
                      </w:p>
                    </w:tc>
                    <w:tc>
                      <w:tcPr>
                        <w:tcW w:w="1740" w:type="dxa"/>
                      </w:tcPr>
                      <w:p w:rsidR="0046673B" w:rsidP="00935C86" w:rsidRDefault="0046673B" w14:paraId="3C004DDB" w14:textId="77777777">
                        <w:pPr>
                          <w:pStyle w:val="TableParagraph"/>
                          <w:rPr>
                            <w:b/>
                            <w:sz w:val="20"/>
                          </w:rPr>
                        </w:pPr>
                        <w:r>
                          <w:rPr>
                            <w:b/>
                            <w:sz w:val="20"/>
                          </w:rPr>
                          <w:t>$</w:t>
                        </w:r>
                        <w:r w:rsidR="00935C86">
                          <w:rPr>
                            <w:b/>
                            <w:sz w:val="20"/>
                          </w:rPr>
                          <w:t>4,238,520</w:t>
                        </w:r>
                        <w:r>
                          <w:rPr>
                            <w:b/>
                            <w:sz w:val="20"/>
                          </w:rPr>
                          <w:t>.00</w:t>
                        </w:r>
                      </w:p>
                    </w:tc>
                  </w:tr>
                  <w:tr w:rsidR="0046673B" w14:paraId="42D1A5A6" w14:textId="77777777">
                    <w:trPr>
                      <w:trHeight w:val="315" w:hRule="exact"/>
                    </w:trPr>
                    <w:tc>
                      <w:tcPr>
                        <w:tcW w:w="1725" w:type="dxa"/>
                      </w:tcPr>
                      <w:p w:rsidR="0046673B" w:rsidRDefault="0046673B" w14:paraId="073F505B" w14:textId="77777777">
                        <w:pPr>
                          <w:pStyle w:val="TableParagraph"/>
                          <w:rPr>
                            <w:b/>
                            <w:sz w:val="20"/>
                          </w:rPr>
                        </w:pPr>
                        <w:r>
                          <w:rPr>
                            <w:b/>
                            <w:sz w:val="20"/>
                          </w:rPr>
                          <w:t>Notary fee</w:t>
                        </w:r>
                      </w:p>
                    </w:tc>
                    <w:tc>
                      <w:tcPr>
                        <w:tcW w:w="810" w:type="dxa"/>
                      </w:tcPr>
                      <w:p w:rsidR="0046673B" w:rsidRDefault="0046673B" w14:paraId="22FA638A" w14:textId="77777777"/>
                    </w:tc>
                    <w:tc>
                      <w:tcPr>
                        <w:tcW w:w="1830" w:type="dxa"/>
                      </w:tcPr>
                      <w:p w:rsidR="0046673B" w:rsidRDefault="0046673B" w14:paraId="7AC96C9C" w14:textId="77777777">
                        <w:pPr>
                          <w:pStyle w:val="TableParagraph"/>
                          <w:rPr>
                            <w:b/>
                            <w:sz w:val="20"/>
                          </w:rPr>
                        </w:pPr>
                        <w:r>
                          <w:rPr>
                            <w:b/>
                            <w:sz w:val="20"/>
                          </w:rPr>
                          <w:t>External Notary</w:t>
                        </w:r>
                      </w:p>
                    </w:tc>
                    <w:tc>
                      <w:tcPr>
                        <w:tcW w:w="1110" w:type="dxa"/>
                      </w:tcPr>
                      <w:p w:rsidR="0046673B" w:rsidRDefault="0046673B" w14:paraId="1C58A7D1" w14:textId="77777777">
                        <w:pPr>
                          <w:pStyle w:val="TableParagraph"/>
                          <w:rPr>
                            <w:b/>
                            <w:sz w:val="20"/>
                          </w:rPr>
                        </w:pPr>
                        <w:r>
                          <w:rPr>
                            <w:b/>
                            <w:sz w:val="20"/>
                          </w:rPr>
                          <w:t>$5.00</w:t>
                        </w:r>
                      </w:p>
                    </w:tc>
                    <w:tc>
                      <w:tcPr>
                        <w:tcW w:w="1260" w:type="dxa"/>
                      </w:tcPr>
                      <w:p w:rsidR="0046673B" w:rsidRDefault="0046673B" w14:paraId="102ABC3E" w14:textId="77777777">
                        <w:pPr>
                          <w:pStyle w:val="TableParagraph"/>
                          <w:rPr>
                            <w:b/>
                            <w:sz w:val="20"/>
                          </w:rPr>
                        </w:pPr>
                        <w:r>
                          <w:rPr>
                            <w:b/>
                            <w:sz w:val="20"/>
                          </w:rPr>
                          <w:t>25000</w:t>
                        </w:r>
                      </w:p>
                    </w:tc>
                    <w:tc>
                      <w:tcPr>
                        <w:tcW w:w="1095" w:type="dxa"/>
                      </w:tcPr>
                      <w:p w:rsidR="0046673B" w:rsidRDefault="002D092C" w14:paraId="52845CA8" w14:textId="77777777">
                        <w:pPr>
                          <w:pStyle w:val="TableParagraph"/>
                          <w:rPr>
                            <w:b/>
                            <w:sz w:val="20"/>
                          </w:rPr>
                        </w:pPr>
                        <w:r>
                          <w:rPr>
                            <w:b/>
                            <w:sz w:val="20"/>
                          </w:rPr>
                          <w:t>12</w:t>
                        </w:r>
                      </w:p>
                    </w:tc>
                    <w:tc>
                      <w:tcPr>
                        <w:tcW w:w="1740" w:type="dxa"/>
                      </w:tcPr>
                      <w:p w:rsidR="0046673B" w:rsidP="00935C86" w:rsidRDefault="0046673B" w14:paraId="3AE37378" w14:textId="77777777">
                        <w:pPr>
                          <w:pStyle w:val="TableParagraph"/>
                          <w:rPr>
                            <w:b/>
                            <w:sz w:val="20"/>
                          </w:rPr>
                        </w:pPr>
                        <w:r>
                          <w:rPr>
                            <w:b/>
                            <w:sz w:val="20"/>
                          </w:rPr>
                          <w:t>$</w:t>
                        </w:r>
                        <w:r w:rsidR="00935C86">
                          <w:rPr>
                            <w:b/>
                            <w:sz w:val="20"/>
                          </w:rPr>
                          <w:t>1,500</w:t>
                        </w:r>
                        <w:r>
                          <w:rPr>
                            <w:b/>
                            <w:sz w:val="20"/>
                          </w:rPr>
                          <w:t>,000.00</w:t>
                        </w:r>
                      </w:p>
                    </w:tc>
                  </w:tr>
                  <w:tr w:rsidR="0046673B" w14:paraId="5815375D" w14:textId="77777777">
                    <w:trPr>
                      <w:trHeight w:val="315" w:hRule="exact"/>
                    </w:trPr>
                    <w:tc>
                      <w:tcPr>
                        <w:tcW w:w="1725" w:type="dxa"/>
                      </w:tcPr>
                      <w:p w:rsidR="0046673B" w:rsidRDefault="0046673B" w14:paraId="7FCCB016" w14:textId="77777777"/>
                    </w:tc>
                    <w:tc>
                      <w:tcPr>
                        <w:tcW w:w="810" w:type="dxa"/>
                      </w:tcPr>
                      <w:p w:rsidR="0046673B" w:rsidRDefault="0046673B" w14:paraId="6A8C3393" w14:textId="77777777"/>
                    </w:tc>
                    <w:tc>
                      <w:tcPr>
                        <w:tcW w:w="1830" w:type="dxa"/>
                      </w:tcPr>
                      <w:p w:rsidR="0046673B" w:rsidRDefault="0046673B" w14:paraId="1FA38AB6" w14:textId="77777777"/>
                    </w:tc>
                    <w:tc>
                      <w:tcPr>
                        <w:tcW w:w="1110" w:type="dxa"/>
                      </w:tcPr>
                      <w:p w:rsidR="0046673B" w:rsidRDefault="0046673B" w14:paraId="600D28B4" w14:textId="77777777"/>
                    </w:tc>
                    <w:tc>
                      <w:tcPr>
                        <w:tcW w:w="1260" w:type="dxa"/>
                      </w:tcPr>
                      <w:p w:rsidR="0046673B" w:rsidRDefault="0046673B" w14:paraId="73DF7141" w14:textId="77777777"/>
                    </w:tc>
                    <w:tc>
                      <w:tcPr>
                        <w:tcW w:w="1095" w:type="dxa"/>
                      </w:tcPr>
                      <w:p w:rsidR="0046673B" w:rsidRDefault="0046673B" w14:paraId="5E08D215" w14:textId="77777777"/>
                    </w:tc>
                    <w:tc>
                      <w:tcPr>
                        <w:tcW w:w="1740" w:type="dxa"/>
                      </w:tcPr>
                      <w:p w:rsidR="0046673B" w:rsidRDefault="0046673B" w14:paraId="1370590E" w14:textId="77777777"/>
                    </w:tc>
                  </w:tr>
                  <w:tr w:rsidR="0046673B" w14:paraId="744F9727" w14:textId="77777777">
                    <w:trPr>
                      <w:trHeight w:val="315" w:hRule="exact"/>
                    </w:trPr>
                    <w:tc>
                      <w:tcPr>
                        <w:tcW w:w="1725" w:type="dxa"/>
                      </w:tcPr>
                      <w:p w:rsidR="0046673B" w:rsidRDefault="0046673B" w14:paraId="16D015C1" w14:textId="77777777"/>
                      <w:p w:rsidR="00032E97" w:rsidRDefault="00032E97" w14:paraId="5CA93C69" w14:textId="77777777"/>
                      <w:p w:rsidR="00032E97" w:rsidRDefault="00032E97" w14:paraId="40F9DD5A" w14:textId="47DF4D67"/>
                    </w:tc>
                    <w:tc>
                      <w:tcPr>
                        <w:tcW w:w="810" w:type="dxa"/>
                      </w:tcPr>
                      <w:p w:rsidR="0046673B" w:rsidRDefault="0046673B" w14:paraId="4CAD951E" w14:textId="77777777"/>
                    </w:tc>
                    <w:tc>
                      <w:tcPr>
                        <w:tcW w:w="1830" w:type="dxa"/>
                      </w:tcPr>
                      <w:p w:rsidR="0046673B" w:rsidRDefault="0046673B" w14:paraId="3A3E8E6B" w14:textId="77777777"/>
                    </w:tc>
                    <w:tc>
                      <w:tcPr>
                        <w:tcW w:w="1110" w:type="dxa"/>
                      </w:tcPr>
                      <w:p w:rsidR="0046673B" w:rsidRDefault="0046673B" w14:paraId="0CEA75A4" w14:textId="77777777"/>
                    </w:tc>
                    <w:tc>
                      <w:tcPr>
                        <w:tcW w:w="1260" w:type="dxa"/>
                      </w:tcPr>
                      <w:p w:rsidR="0046673B" w:rsidRDefault="0046673B" w14:paraId="19AFD518" w14:textId="77777777"/>
                    </w:tc>
                    <w:tc>
                      <w:tcPr>
                        <w:tcW w:w="1095" w:type="dxa"/>
                      </w:tcPr>
                      <w:p w:rsidR="0046673B" w:rsidRDefault="0046673B" w14:paraId="098EBC42" w14:textId="77777777"/>
                    </w:tc>
                    <w:tc>
                      <w:tcPr>
                        <w:tcW w:w="1740" w:type="dxa"/>
                      </w:tcPr>
                      <w:p w:rsidR="0046673B" w:rsidRDefault="0046673B" w14:paraId="43D8EED7" w14:textId="77777777"/>
                    </w:tc>
                  </w:tr>
                  <w:tr w:rsidR="0046673B" w14:paraId="69314083" w14:textId="77777777">
                    <w:trPr>
                      <w:trHeight w:val="495" w:hRule="exact"/>
                    </w:trPr>
                    <w:tc>
                      <w:tcPr>
                        <w:tcW w:w="1725" w:type="dxa"/>
                      </w:tcPr>
                      <w:p w:rsidR="0046673B" w:rsidRDefault="0046673B" w14:paraId="2C66A656" w14:textId="77777777">
                        <w:pPr>
                          <w:pStyle w:val="TableParagraph"/>
                          <w:spacing w:before="3" w:line="240" w:lineRule="exact"/>
                          <w:ind w:right="223"/>
                          <w:rPr>
                            <w:b/>
                            <w:sz w:val="20"/>
                          </w:rPr>
                        </w:pPr>
                        <w:r>
                          <w:rPr>
                            <w:b/>
                            <w:sz w:val="20"/>
                          </w:rPr>
                          <w:t>Total Cost to the Public</w:t>
                        </w:r>
                      </w:p>
                    </w:tc>
                    <w:tc>
                      <w:tcPr>
                        <w:tcW w:w="810" w:type="dxa"/>
                      </w:tcPr>
                      <w:p w:rsidR="0046673B" w:rsidRDefault="0046673B" w14:paraId="7907EBC2" w14:textId="77777777"/>
                    </w:tc>
                    <w:tc>
                      <w:tcPr>
                        <w:tcW w:w="1830" w:type="dxa"/>
                      </w:tcPr>
                      <w:p w:rsidR="0046673B" w:rsidRDefault="0046673B" w14:paraId="3FEC6C5C" w14:textId="77777777"/>
                    </w:tc>
                    <w:tc>
                      <w:tcPr>
                        <w:tcW w:w="1110" w:type="dxa"/>
                      </w:tcPr>
                      <w:p w:rsidR="0046673B" w:rsidRDefault="0046673B" w14:paraId="6C05DB10" w14:textId="77777777"/>
                    </w:tc>
                    <w:tc>
                      <w:tcPr>
                        <w:tcW w:w="1260" w:type="dxa"/>
                      </w:tcPr>
                      <w:p w:rsidR="0046673B" w:rsidRDefault="0046673B" w14:paraId="37B1E641" w14:textId="77777777"/>
                    </w:tc>
                    <w:tc>
                      <w:tcPr>
                        <w:tcW w:w="1095" w:type="dxa"/>
                      </w:tcPr>
                      <w:p w:rsidR="0046673B" w:rsidRDefault="0046673B" w14:paraId="3EDB25C1" w14:textId="77777777"/>
                    </w:tc>
                    <w:tc>
                      <w:tcPr>
                        <w:tcW w:w="1740" w:type="dxa"/>
                      </w:tcPr>
                      <w:p w:rsidR="0046673B" w:rsidP="00A63916" w:rsidRDefault="0046673B" w14:paraId="7844244B" w14:textId="77777777">
                        <w:pPr>
                          <w:pStyle w:val="TableParagraph"/>
                          <w:rPr>
                            <w:b/>
                            <w:sz w:val="20"/>
                          </w:rPr>
                        </w:pPr>
                        <w:r>
                          <w:rPr>
                            <w:b/>
                            <w:sz w:val="20"/>
                          </w:rPr>
                          <w:t>$</w:t>
                        </w:r>
                        <w:r w:rsidR="00A63916">
                          <w:rPr>
                            <w:b/>
                            <w:sz w:val="20"/>
                          </w:rPr>
                          <w:t>73,195,560</w:t>
                        </w:r>
                        <w:r>
                          <w:rPr>
                            <w:b/>
                            <w:sz w:val="20"/>
                          </w:rPr>
                          <w:t>.00</w:t>
                        </w:r>
                      </w:p>
                    </w:tc>
                  </w:tr>
                </w:tbl>
                <w:p w:rsidR="0046673B" w:rsidP="0046673B" w:rsidRDefault="0046673B" w14:paraId="2184D7C1" w14:textId="77777777">
                  <w:pPr>
                    <w:pStyle w:val="BodyText"/>
                  </w:pPr>
                </w:p>
              </w:txbxContent>
            </v:textbox>
            <w10:wrap anchorx="page"/>
          </v:shape>
        </w:pict>
      </w:r>
    </w:p>
    <w:p w:rsidR="0084567D" w:rsidP="0046673B" w:rsidRDefault="0084567D" w14:paraId="10C4EA93" w14:textId="77777777">
      <w:pPr>
        <w:pStyle w:val="BodyText"/>
        <w:rPr>
          <w:b/>
          <w:sz w:val="26"/>
        </w:rPr>
      </w:pPr>
    </w:p>
    <w:p w:rsidR="0046673B" w:rsidP="0046673B" w:rsidRDefault="0046673B" w14:paraId="7A87664C" w14:textId="77777777">
      <w:pPr>
        <w:pStyle w:val="BodyText"/>
        <w:rPr>
          <w:b/>
          <w:sz w:val="26"/>
        </w:rPr>
      </w:pPr>
    </w:p>
    <w:p w:rsidR="0046673B" w:rsidP="0046673B" w:rsidRDefault="0046673B" w14:paraId="376C6CA4" w14:textId="77777777">
      <w:pPr>
        <w:pStyle w:val="BodyText"/>
        <w:rPr>
          <w:b/>
          <w:sz w:val="26"/>
        </w:rPr>
      </w:pPr>
    </w:p>
    <w:p w:rsidR="0046673B" w:rsidP="0046673B" w:rsidRDefault="0046673B" w14:paraId="5590B34F" w14:textId="77777777">
      <w:pPr>
        <w:pStyle w:val="BodyText"/>
        <w:rPr>
          <w:b/>
          <w:sz w:val="26"/>
        </w:rPr>
      </w:pPr>
    </w:p>
    <w:p w:rsidR="0046673B" w:rsidP="0046673B" w:rsidRDefault="0046673B" w14:paraId="2B3BAE79" w14:textId="77777777">
      <w:pPr>
        <w:pStyle w:val="BodyText"/>
        <w:rPr>
          <w:b/>
          <w:sz w:val="26"/>
        </w:rPr>
      </w:pPr>
    </w:p>
    <w:p w:rsidR="0046673B" w:rsidP="0046673B" w:rsidRDefault="0046673B" w14:paraId="2BA12A74" w14:textId="77777777">
      <w:pPr>
        <w:pStyle w:val="BodyText"/>
        <w:rPr>
          <w:b/>
          <w:sz w:val="26"/>
        </w:rPr>
      </w:pPr>
    </w:p>
    <w:p w:rsidR="0046673B" w:rsidP="0046673B" w:rsidRDefault="0046673B" w14:paraId="60E67D74" w14:textId="77777777">
      <w:pPr>
        <w:pStyle w:val="BodyText"/>
        <w:rPr>
          <w:b/>
          <w:sz w:val="26"/>
        </w:rPr>
      </w:pPr>
    </w:p>
    <w:p w:rsidR="0046673B" w:rsidP="0046673B" w:rsidRDefault="0046673B" w14:paraId="0567B8C4" w14:textId="77777777">
      <w:pPr>
        <w:pStyle w:val="BodyText"/>
        <w:rPr>
          <w:b/>
          <w:sz w:val="26"/>
        </w:rPr>
      </w:pPr>
    </w:p>
    <w:p w:rsidR="0046673B" w:rsidP="0046673B" w:rsidRDefault="0046673B" w14:paraId="7727E0B6" w14:textId="77777777">
      <w:pPr>
        <w:pStyle w:val="BodyText"/>
        <w:rPr>
          <w:b/>
          <w:sz w:val="26"/>
        </w:rPr>
      </w:pPr>
    </w:p>
    <w:p w:rsidR="0046673B" w:rsidP="0046673B" w:rsidRDefault="0046673B" w14:paraId="4FE49815" w14:textId="77777777">
      <w:pPr>
        <w:pStyle w:val="BodyText"/>
        <w:rPr>
          <w:b/>
          <w:sz w:val="26"/>
        </w:rPr>
      </w:pPr>
    </w:p>
    <w:p w:rsidR="0046673B" w:rsidP="0046673B" w:rsidRDefault="0046673B" w14:paraId="0FAB421C" w14:textId="77777777">
      <w:pPr>
        <w:pStyle w:val="BodyText"/>
        <w:rPr>
          <w:b/>
          <w:sz w:val="26"/>
        </w:rPr>
      </w:pPr>
    </w:p>
    <w:p w:rsidR="0046673B" w:rsidP="0046673B" w:rsidRDefault="0046673B" w14:paraId="3813F5E7" w14:textId="77777777">
      <w:pPr>
        <w:pStyle w:val="BodyText"/>
        <w:rPr>
          <w:b/>
          <w:sz w:val="26"/>
        </w:rPr>
      </w:pPr>
    </w:p>
    <w:p w:rsidR="0046673B" w:rsidP="0046673B" w:rsidRDefault="0046673B" w14:paraId="70CD6E90" w14:textId="77777777">
      <w:pPr>
        <w:pStyle w:val="BodyText"/>
        <w:rPr>
          <w:b/>
          <w:sz w:val="26"/>
        </w:rPr>
      </w:pPr>
    </w:p>
    <w:p w:rsidR="0046673B" w:rsidP="0046673B" w:rsidRDefault="0046673B" w14:paraId="14178DBD" w14:textId="77777777">
      <w:pPr>
        <w:pStyle w:val="BodyText"/>
        <w:rPr>
          <w:b/>
          <w:sz w:val="26"/>
        </w:rPr>
      </w:pPr>
    </w:p>
    <w:p w:rsidR="0046673B" w:rsidP="0046673B" w:rsidRDefault="0046673B" w14:paraId="66A55636" w14:textId="77777777">
      <w:pPr>
        <w:pStyle w:val="BodyText"/>
        <w:rPr>
          <w:b/>
          <w:sz w:val="26"/>
        </w:rPr>
      </w:pPr>
    </w:p>
    <w:p w:rsidR="0046673B" w:rsidP="0046673B" w:rsidRDefault="0046673B" w14:paraId="6FE94B8D" w14:textId="77777777">
      <w:pPr>
        <w:pStyle w:val="BodyText"/>
        <w:rPr>
          <w:b/>
          <w:sz w:val="26"/>
        </w:rPr>
      </w:pPr>
    </w:p>
    <w:p w:rsidR="00032E97" w:rsidP="0046673B" w:rsidRDefault="00032E97" w14:paraId="1464A714" w14:textId="77777777">
      <w:pPr>
        <w:pStyle w:val="BodyText"/>
        <w:spacing w:before="212" w:line="247" w:lineRule="auto"/>
        <w:ind w:left="220" w:right="408"/>
        <w:jc w:val="both"/>
        <w:rPr>
          <w:color w:val="141414"/>
        </w:rPr>
      </w:pPr>
    </w:p>
    <w:p w:rsidR="00032E97" w:rsidP="0046673B" w:rsidRDefault="00032E97" w14:paraId="2E6A6168" w14:textId="77777777">
      <w:pPr>
        <w:pStyle w:val="BodyText"/>
        <w:spacing w:before="212" w:line="247" w:lineRule="auto"/>
        <w:ind w:left="220" w:right="408"/>
        <w:jc w:val="both"/>
        <w:rPr>
          <w:color w:val="141414"/>
        </w:rPr>
      </w:pPr>
    </w:p>
    <w:p w:rsidR="00032E97" w:rsidP="0046673B" w:rsidRDefault="00032E97" w14:paraId="037E4AD2" w14:textId="77777777">
      <w:pPr>
        <w:pStyle w:val="BodyText"/>
        <w:spacing w:before="212" w:line="247" w:lineRule="auto"/>
        <w:ind w:left="220" w:right="408"/>
        <w:jc w:val="both"/>
        <w:rPr>
          <w:color w:val="141414"/>
        </w:rPr>
      </w:pPr>
    </w:p>
    <w:p w:rsidR="00032E97" w:rsidP="0046673B" w:rsidRDefault="00032E97" w14:paraId="3B7891D2" w14:textId="77777777">
      <w:pPr>
        <w:pStyle w:val="BodyText"/>
        <w:spacing w:before="212" w:line="247" w:lineRule="auto"/>
        <w:ind w:left="220" w:right="408"/>
        <w:jc w:val="both"/>
        <w:rPr>
          <w:color w:val="141414"/>
        </w:rPr>
      </w:pPr>
    </w:p>
    <w:p w:rsidR="005C078B" w:rsidP="005F4D1C" w:rsidRDefault="005C078B" w14:paraId="14CE057C" w14:textId="77777777">
      <w:pPr>
        <w:pStyle w:val="BodyText"/>
        <w:spacing w:before="90" w:line="247" w:lineRule="auto"/>
        <w:ind w:left="216" w:right="259"/>
      </w:pPr>
    </w:p>
    <w:p w:rsidR="005C078B" w:rsidP="005C078B" w:rsidRDefault="005C078B" w14:paraId="3EB52271" w14:textId="2E5BD554">
      <w:pPr>
        <w:pStyle w:val="BodyText"/>
        <w:spacing w:line="247" w:lineRule="auto"/>
        <w:ind w:left="220" w:right="260"/>
      </w:pPr>
      <w:r>
        <w:t xml:space="preserve">Based on historical data of the ratio of small entities to other than small entities registering in SAM, GSA approximates 32,200 of the 57,200 new and existing entities (re-registrants) will have in-house resources to notarize documents. GSA proposes that the entities with in-house notaries will typically be large businesses where the projected salary of the </w:t>
      </w:r>
      <w:r w:rsidR="00F11B8D">
        <w:t xml:space="preserve">executive or </w:t>
      </w:r>
      <w:r w:rsidR="005F4D1C">
        <w:t>officer responsible</w:t>
      </w:r>
      <w:r>
        <w:t xml:space="preserve"> for signing the notarized letter is on average approximately $150 per hour.  The projected time for signature and notarizing the letter internally is 0.5 hour.</w:t>
      </w:r>
    </w:p>
    <w:p w:rsidR="005C078B" w:rsidP="005C078B" w:rsidRDefault="005C078B" w14:paraId="45F70BF6" w14:textId="77777777">
      <w:pPr>
        <w:pStyle w:val="BodyText"/>
        <w:spacing w:line="247" w:lineRule="auto"/>
        <w:ind w:left="220" w:right="260"/>
      </w:pPr>
    </w:p>
    <w:p w:rsidR="005C078B" w:rsidP="005C078B" w:rsidRDefault="005C078B" w14:paraId="3192BE13" w14:textId="3399EED9">
      <w:pPr>
        <w:pStyle w:val="BodyText"/>
        <w:spacing w:line="247" w:lineRule="auto"/>
        <w:ind w:left="220" w:right="247"/>
      </w:pPr>
      <w:r>
        <w:t xml:space="preserve">The other remaining 25,000 new and existing entities (re-registrants) per month are estimated to be small entities where the projected salary of the </w:t>
      </w:r>
      <w:r w:rsidR="00F11B8D">
        <w:t>executive or officer</w:t>
      </w:r>
      <w:r>
        <w:t xml:space="preserve"> responsible signing the notarize</w:t>
      </w:r>
      <w:r w:rsidR="00DD253D">
        <w:t>d</w:t>
      </w:r>
      <w:r>
        <w:t xml:space="preserve"> letter is on average approximately $100 per hour. These entities will more than likely have to obtain notary services from an outside source. The projected time for signature and notarizing the letter externally is 1 hour. The estimate includes a nominal fee ($5.00) usually charged by third party notaries.</w:t>
      </w:r>
    </w:p>
    <w:p w:rsidR="00032E97" w:rsidP="005C078B" w:rsidRDefault="00032E97" w14:paraId="336CC6A9" w14:textId="6F0E1456">
      <w:pPr>
        <w:pStyle w:val="BodyText"/>
        <w:spacing w:line="247" w:lineRule="auto"/>
        <w:ind w:left="220" w:right="247"/>
      </w:pPr>
    </w:p>
    <w:p w:rsidR="00032E97" w:rsidP="005C078B" w:rsidRDefault="00032E97" w14:paraId="0A2F2A5F" w14:textId="4E792D31">
      <w:pPr>
        <w:pStyle w:val="BodyText"/>
        <w:spacing w:line="247" w:lineRule="auto"/>
        <w:ind w:left="220" w:right="247"/>
      </w:pPr>
    </w:p>
    <w:p w:rsidR="00032E97" w:rsidP="005C078B" w:rsidRDefault="00032E97" w14:paraId="19C790DD" w14:textId="180D1C85">
      <w:pPr>
        <w:pStyle w:val="BodyText"/>
        <w:spacing w:line="247" w:lineRule="auto"/>
        <w:ind w:left="220" w:right="247"/>
      </w:pPr>
    </w:p>
    <w:p w:rsidR="00032E97" w:rsidP="005C078B" w:rsidRDefault="00032E97" w14:paraId="4A0BD090" w14:textId="77777777">
      <w:pPr>
        <w:pStyle w:val="BodyText"/>
        <w:spacing w:line="247" w:lineRule="auto"/>
        <w:ind w:left="220" w:right="247"/>
      </w:pPr>
    </w:p>
    <w:p w:rsidR="005C078B" w:rsidP="005C078B" w:rsidRDefault="005C078B" w14:paraId="6592B358" w14:textId="77777777">
      <w:pPr>
        <w:pStyle w:val="Heading2"/>
        <w:numPr>
          <w:ilvl w:val="0"/>
          <w:numId w:val="1"/>
        </w:numPr>
        <w:tabs>
          <w:tab w:val="left" w:pos="700"/>
        </w:tabs>
        <w:spacing w:before="226" w:after="8"/>
        <w:jc w:val="left"/>
        <w:rPr>
          <w:b w:val="0"/>
        </w:rPr>
      </w:pPr>
      <w:r>
        <w:lastRenderedPageBreak/>
        <w:t>Estimated annual cost to the Government</w:t>
      </w:r>
      <w:r>
        <w:rPr>
          <w:b w:val="0"/>
        </w:rPr>
        <w:t>.</w:t>
      </w:r>
    </w:p>
    <w:tbl>
      <w:tblPr>
        <w:tblW w:w="9570"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545"/>
        <w:gridCol w:w="598"/>
        <w:gridCol w:w="1350"/>
        <w:gridCol w:w="990"/>
        <w:gridCol w:w="1170"/>
        <w:gridCol w:w="990"/>
        <w:gridCol w:w="1472"/>
        <w:gridCol w:w="1455"/>
      </w:tblGrid>
      <w:tr w:rsidR="005C078B" w:rsidTr="00756991" w14:paraId="21E477A1" w14:textId="77777777">
        <w:trPr>
          <w:trHeight w:val="735" w:hRule="exact"/>
        </w:trPr>
        <w:tc>
          <w:tcPr>
            <w:tcW w:w="1545" w:type="dxa"/>
          </w:tcPr>
          <w:p w:rsidR="005C078B" w:rsidP="009C404A" w:rsidRDefault="005C078B" w14:paraId="47F72C02" w14:textId="77777777">
            <w:pPr>
              <w:pStyle w:val="TableParagraph"/>
              <w:spacing w:before="3" w:line="240" w:lineRule="exact"/>
              <w:ind w:right="194"/>
              <w:rPr>
                <w:b/>
                <w:sz w:val="20"/>
              </w:rPr>
            </w:pPr>
            <w:r>
              <w:rPr>
                <w:b/>
                <w:sz w:val="20"/>
              </w:rPr>
              <w:t>GOVERNMENT COSTS</w:t>
            </w:r>
          </w:p>
        </w:tc>
        <w:tc>
          <w:tcPr>
            <w:tcW w:w="598" w:type="dxa"/>
          </w:tcPr>
          <w:p w:rsidRPr="003D144B" w:rsidR="005C078B" w:rsidP="009C404A" w:rsidRDefault="005C078B" w14:paraId="706017EC" w14:textId="77777777">
            <w:pPr>
              <w:pStyle w:val="TableParagraph"/>
              <w:rPr>
                <w:b/>
                <w:bCs/>
                <w:sz w:val="20"/>
              </w:rPr>
            </w:pPr>
            <w:r w:rsidRPr="003D144B">
              <w:rPr>
                <w:b/>
                <w:bCs/>
                <w:sz w:val="20"/>
              </w:rPr>
              <w:t>Hours</w:t>
            </w:r>
          </w:p>
        </w:tc>
        <w:tc>
          <w:tcPr>
            <w:tcW w:w="1350" w:type="dxa"/>
          </w:tcPr>
          <w:p w:rsidR="005C078B" w:rsidP="009C404A" w:rsidRDefault="005C078B" w14:paraId="3182B8B7" w14:textId="77777777">
            <w:pPr>
              <w:pStyle w:val="TableParagraph"/>
              <w:spacing w:before="3" w:line="240" w:lineRule="exact"/>
              <w:ind w:right="94"/>
              <w:rPr>
                <w:b/>
                <w:sz w:val="20"/>
              </w:rPr>
            </w:pPr>
            <w:r>
              <w:rPr>
                <w:b/>
                <w:sz w:val="20"/>
              </w:rPr>
              <w:t>Performed by</w:t>
            </w:r>
          </w:p>
        </w:tc>
        <w:tc>
          <w:tcPr>
            <w:tcW w:w="990" w:type="dxa"/>
          </w:tcPr>
          <w:p w:rsidR="005C078B" w:rsidP="009C404A" w:rsidRDefault="005C078B" w14:paraId="7EF5013E" w14:textId="77777777">
            <w:pPr>
              <w:pStyle w:val="TableParagraph"/>
              <w:spacing w:before="3" w:line="240" w:lineRule="exact"/>
              <w:ind w:right="279"/>
              <w:rPr>
                <w:b/>
                <w:sz w:val="20"/>
              </w:rPr>
            </w:pPr>
            <w:r>
              <w:rPr>
                <w:b/>
                <w:sz w:val="20"/>
              </w:rPr>
              <w:t>Hourly Rate</w:t>
            </w:r>
          </w:p>
        </w:tc>
        <w:tc>
          <w:tcPr>
            <w:tcW w:w="1170" w:type="dxa"/>
          </w:tcPr>
          <w:p w:rsidR="005C078B" w:rsidP="009C404A" w:rsidRDefault="005C078B" w14:paraId="183DB3A4" w14:textId="77777777">
            <w:pPr>
              <w:pStyle w:val="TableParagraph"/>
              <w:spacing w:before="3" w:line="240" w:lineRule="exact"/>
              <w:ind w:right="180"/>
              <w:rPr>
                <w:b/>
                <w:sz w:val="20"/>
              </w:rPr>
            </w:pPr>
            <w:r>
              <w:rPr>
                <w:b/>
                <w:sz w:val="20"/>
              </w:rPr>
              <w:t>Monthly Frequency</w:t>
            </w:r>
          </w:p>
        </w:tc>
        <w:tc>
          <w:tcPr>
            <w:tcW w:w="990" w:type="dxa"/>
          </w:tcPr>
          <w:p w:rsidR="005C078B" w:rsidP="009C404A" w:rsidRDefault="005C078B" w14:paraId="122167D5" w14:textId="77777777">
            <w:pPr>
              <w:pStyle w:val="TableParagraph"/>
              <w:spacing w:before="3" w:line="240" w:lineRule="exact"/>
              <w:ind w:right="128"/>
              <w:rPr>
                <w:b/>
                <w:sz w:val="20"/>
              </w:rPr>
            </w:pPr>
            <w:r>
              <w:rPr>
                <w:b/>
                <w:sz w:val="20"/>
              </w:rPr>
              <w:t>Duration in Months</w:t>
            </w:r>
          </w:p>
        </w:tc>
        <w:tc>
          <w:tcPr>
            <w:tcW w:w="1472" w:type="dxa"/>
          </w:tcPr>
          <w:p w:rsidR="005C078B" w:rsidP="009C404A" w:rsidRDefault="005C078B" w14:paraId="26991446" w14:textId="77777777">
            <w:pPr>
              <w:pStyle w:val="TableParagraph"/>
              <w:rPr>
                <w:b/>
                <w:sz w:val="20"/>
              </w:rPr>
            </w:pPr>
            <w:r>
              <w:rPr>
                <w:b/>
                <w:sz w:val="20"/>
              </w:rPr>
              <w:t>Total</w:t>
            </w:r>
          </w:p>
        </w:tc>
        <w:tc>
          <w:tcPr>
            <w:tcW w:w="1455" w:type="dxa"/>
          </w:tcPr>
          <w:p w:rsidR="005C078B" w:rsidP="009C404A" w:rsidRDefault="005C078B" w14:paraId="59AB7641" w14:textId="77777777"/>
        </w:tc>
      </w:tr>
      <w:tr w:rsidR="005C078B" w:rsidTr="00756991" w14:paraId="241B287E" w14:textId="77777777">
        <w:trPr>
          <w:trHeight w:val="975" w:hRule="exact"/>
        </w:trPr>
        <w:tc>
          <w:tcPr>
            <w:tcW w:w="1545" w:type="dxa"/>
          </w:tcPr>
          <w:p w:rsidR="005C078B" w:rsidP="009C404A" w:rsidRDefault="005C078B" w14:paraId="54CE1110" w14:textId="77777777">
            <w:pPr>
              <w:pStyle w:val="TableParagraph"/>
              <w:spacing w:before="3" w:line="240" w:lineRule="exact"/>
              <w:ind w:right="186"/>
              <w:rPr>
                <w:sz w:val="20"/>
              </w:rPr>
            </w:pPr>
            <w:r>
              <w:rPr>
                <w:sz w:val="20"/>
              </w:rPr>
              <w:t>Helpdesk Support provided by GSA contractor</w:t>
            </w:r>
          </w:p>
        </w:tc>
        <w:tc>
          <w:tcPr>
            <w:tcW w:w="598" w:type="dxa"/>
          </w:tcPr>
          <w:p w:rsidR="005C078B" w:rsidP="009C404A" w:rsidRDefault="005C078B" w14:paraId="007167C9" w14:textId="77777777"/>
        </w:tc>
        <w:tc>
          <w:tcPr>
            <w:tcW w:w="1350" w:type="dxa"/>
          </w:tcPr>
          <w:p w:rsidR="005C078B" w:rsidP="009C404A" w:rsidRDefault="005C078B" w14:paraId="19A73CC0" w14:textId="77777777"/>
        </w:tc>
        <w:tc>
          <w:tcPr>
            <w:tcW w:w="990" w:type="dxa"/>
          </w:tcPr>
          <w:p w:rsidR="005C078B" w:rsidP="009C404A" w:rsidRDefault="005C078B" w14:paraId="3FD2441A" w14:textId="77777777"/>
        </w:tc>
        <w:tc>
          <w:tcPr>
            <w:tcW w:w="1170" w:type="dxa"/>
          </w:tcPr>
          <w:p w:rsidR="005C078B" w:rsidP="009C404A" w:rsidRDefault="005C078B" w14:paraId="008B8130" w14:textId="77777777"/>
        </w:tc>
        <w:tc>
          <w:tcPr>
            <w:tcW w:w="990" w:type="dxa"/>
          </w:tcPr>
          <w:p w:rsidR="005C078B" w:rsidP="009C404A" w:rsidRDefault="006A7ABD" w14:paraId="02E7C13E" w14:textId="77777777">
            <w:pPr>
              <w:pStyle w:val="TableParagraph"/>
              <w:rPr>
                <w:sz w:val="20"/>
              </w:rPr>
            </w:pPr>
            <w:r>
              <w:rPr>
                <w:sz w:val="20"/>
              </w:rPr>
              <w:t>12</w:t>
            </w:r>
          </w:p>
        </w:tc>
        <w:tc>
          <w:tcPr>
            <w:tcW w:w="1472" w:type="dxa"/>
          </w:tcPr>
          <w:p w:rsidR="005C078B" w:rsidP="006A7ABD" w:rsidRDefault="005C078B" w14:paraId="0FED20D9" w14:textId="77777777">
            <w:pPr>
              <w:pStyle w:val="TableParagraph"/>
              <w:rPr>
                <w:sz w:val="20"/>
              </w:rPr>
            </w:pPr>
            <w:r>
              <w:rPr>
                <w:sz w:val="20"/>
              </w:rPr>
              <w:t>$</w:t>
            </w:r>
            <w:r w:rsidR="006A7ABD">
              <w:rPr>
                <w:sz w:val="20"/>
              </w:rPr>
              <w:t>9,700,548</w:t>
            </w:r>
            <w:r>
              <w:rPr>
                <w:sz w:val="20"/>
              </w:rPr>
              <w:t>.00</w:t>
            </w:r>
          </w:p>
        </w:tc>
        <w:tc>
          <w:tcPr>
            <w:tcW w:w="1455" w:type="dxa"/>
          </w:tcPr>
          <w:p w:rsidR="005C078B" w:rsidP="009C404A" w:rsidRDefault="005C078B" w14:paraId="1711E216" w14:textId="77777777">
            <w:pPr>
              <w:pStyle w:val="TableParagraph"/>
              <w:spacing w:before="3" w:line="240" w:lineRule="exact"/>
              <w:ind w:right="471"/>
              <w:jc w:val="both"/>
              <w:rPr>
                <w:sz w:val="20"/>
              </w:rPr>
            </w:pPr>
            <w:r>
              <w:rPr>
                <w:sz w:val="20"/>
              </w:rPr>
              <w:t>Contractor estimated costs for 6 months</w:t>
            </w:r>
          </w:p>
        </w:tc>
      </w:tr>
      <w:tr w:rsidR="005C078B" w:rsidTr="00756991" w14:paraId="041C9E48" w14:textId="77777777">
        <w:trPr>
          <w:trHeight w:val="975" w:hRule="exact"/>
        </w:trPr>
        <w:tc>
          <w:tcPr>
            <w:tcW w:w="1545" w:type="dxa"/>
          </w:tcPr>
          <w:p w:rsidR="005C078B" w:rsidP="009C404A" w:rsidRDefault="005C078B" w14:paraId="40ED3856" w14:textId="77777777">
            <w:pPr>
              <w:pStyle w:val="TableParagraph"/>
              <w:spacing w:before="3" w:line="240" w:lineRule="exact"/>
              <w:ind w:right="92"/>
              <w:rPr>
                <w:sz w:val="20"/>
              </w:rPr>
            </w:pPr>
            <w:r>
              <w:rPr>
                <w:sz w:val="20"/>
              </w:rPr>
              <w:t>GSA Staff support to handle Tier 3 Helpdesk tickets</w:t>
            </w:r>
          </w:p>
        </w:tc>
        <w:tc>
          <w:tcPr>
            <w:tcW w:w="598" w:type="dxa"/>
          </w:tcPr>
          <w:p w:rsidR="005C078B" w:rsidP="009C404A" w:rsidRDefault="005C078B" w14:paraId="6797132B" w14:textId="77777777">
            <w:pPr>
              <w:pStyle w:val="TableParagraph"/>
              <w:rPr>
                <w:sz w:val="20"/>
              </w:rPr>
            </w:pPr>
            <w:r>
              <w:rPr>
                <w:sz w:val="20"/>
              </w:rPr>
              <w:t>0.25</w:t>
            </w:r>
          </w:p>
        </w:tc>
        <w:tc>
          <w:tcPr>
            <w:tcW w:w="1350" w:type="dxa"/>
          </w:tcPr>
          <w:p w:rsidR="005C078B" w:rsidP="00756991" w:rsidRDefault="005C078B" w14:paraId="5DAA9F37" w14:textId="06DD172F">
            <w:pPr>
              <w:pStyle w:val="TableParagraph"/>
              <w:spacing w:line="242" w:lineRule="exact"/>
              <w:rPr>
                <w:sz w:val="20"/>
              </w:rPr>
            </w:pPr>
            <w:r>
              <w:rPr>
                <w:sz w:val="20"/>
              </w:rPr>
              <w:t>GS 12 Step</w:t>
            </w:r>
            <w:r w:rsidR="00756991">
              <w:rPr>
                <w:sz w:val="20"/>
              </w:rPr>
              <w:t xml:space="preserve"> </w:t>
            </w:r>
            <w:r>
              <w:rPr>
                <w:sz w:val="20"/>
              </w:rPr>
              <w:t>5</w:t>
            </w:r>
          </w:p>
        </w:tc>
        <w:tc>
          <w:tcPr>
            <w:tcW w:w="990" w:type="dxa"/>
          </w:tcPr>
          <w:p w:rsidR="005C078B" w:rsidP="009C404A" w:rsidRDefault="005C078B" w14:paraId="75AADAE4" w14:textId="77777777">
            <w:pPr>
              <w:pStyle w:val="TableParagraph"/>
              <w:rPr>
                <w:sz w:val="20"/>
              </w:rPr>
            </w:pPr>
            <w:r>
              <w:rPr>
                <w:sz w:val="20"/>
              </w:rPr>
              <w:t>$38.20</w:t>
            </w:r>
          </w:p>
        </w:tc>
        <w:tc>
          <w:tcPr>
            <w:tcW w:w="1170" w:type="dxa"/>
          </w:tcPr>
          <w:p w:rsidR="005C078B" w:rsidP="009C404A" w:rsidRDefault="005C078B" w14:paraId="369C5BD5" w14:textId="77777777">
            <w:pPr>
              <w:pStyle w:val="TableParagraph"/>
              <w:rPr>
                <w:sz w:val="20"/>
              </w:rPr>
            </w:pPr>
            <w:r>
              <w:rPr>
                <w:sz w:val="20"/>
              </w:rPr>
              <w:t>1716</w:t>
            </w:r>
          </w:p>
        </w:tc>
        <w:tc>
          <w:tcPr>
            <w:tcW w:w="990" w:type="dxa"/>
          </w:tcPr>
          <w:p w:rsidR="005C078B" w:rsidP="009C404A" w:rsidRDefault="006A7ABD" w14:paraId="277BCFB9" w14:textId="77777777">
            <w:pPr>
              <w:pStyle w:val="TableParagraph"/>
              <w:rPr>
                <w:sz w:val="20"/>
              </w:rPr>
            </w:pPr>
            <w:r>
              <w:rPr>
                <w:sz w:val="20"/>
              </w:rPr>
              <w:t>12</w:t>
            </w:r>
          </w:p>
        </w:tc>
        <w:tc>
          <w:tcPr>
            <w:tcW w:w="1472" w:type="dxa"/>
          </w:tcPr>
          <w:p w:rsidR="005C078B" w:rsidP="00630B83" w:rsidRDefault="005C078B" w14:paraId="53DCC1C6" w14:textId="77777777">
            <w:pPr>
              <w:pStyle w:val="TableParagraph"/>
              <w:rPr>
                <w:sz w:val="20"/>
              </w:rPr>
            </w:pPr>
            <w:r>
              <w:rPr>
                <w:sz w:val="20"/>
              </w:rPr>
              <w:t>$</w:t>
            </w:r>
            <w:r w:rsidR="006A7ABD">
              <w:rPr>
                <w:sz w:val="20"/>
              </w:rPr>
              <w:t>1</w:t>
            </w:r>
            <w:r>
              <w:rPr>
                <w:sz w:val="20"/>
              </w:rPr>
              <w:t>9</w:t>
            </w:r>
            <w:r w:rsidR="00630B83">
              <w:rPr>
                <w:sz w:val="20"/>
              </w:rPr>
              <w:t>6</w:t>
            </w:r>
            <w:r>
              <w:rPr>
                <w:sz w:val="20"/>
              </w:rPr>
              <w:t>,</w:t>
            </w:r>
            <w:r w:rsidR="00630B83">
              <w:rPr>
                <w:sz w:val="20"/>
              </w:rPr>
              <w:t>653</w:t>
            </w:r>
            <w:r>
              <w:rPr>
                <w:sz w:val="20"/>
              </w:rPr>
              <w:t>.</w:t>
            </w:r>
            <w:r w:rsidR="00630B83">
              <w:rPr>
                <w:sz w:val="20"/>
              </w:rPr>
              <w:t>6</w:t>
            </w:r>
            <w:r>
              <w:rPr>
                <w:sz w:val="20"/>
              </w:rPr>
              <w:t>0</w:t>
            </w:r>
          </w:p>
        </w:tc>
        <w:tc>
          <w:tcPr>
            <w:tcW w:w="1455" w:type="dxa"/>
          </w:tcPr>
          <w:p w:rsidR="005C078B" w:rsidP="009C404A" w:rsidRDefault="005C078B" w14:paraId="5702B367" w14:textId="77777777">
            <w:pPr>
              <w:pStyle w:val="TableParagraph"/>
              <w:spacing w:line="242" w:lineRule="exact"/>
              <w:rPr>
                <w:sz w:val="20"/>
              </w:rPr>
            </w:pPr>
            <w:r>
              <w:rPr>
                <w:sz w:val="20"/>
              </w:rPr>
              <w:t>3% escalated</w:t>
            </w:r>
          </w:p>
          <w:p w:rsidR="005C078B" w:rsidP="009C404A" w:rsidRDefault="005C078B" w14:paraId="1DA95488" w14:textId="77777777">
            <w:pPr>
              <w:pStyle w:val="TableParagraph"/>
              <w:spacing w:before="0" w:line="242" w:lineRule="exact"/>
              <w:rPr>
                <w:sz w:val="20"/>
              </w:rPr>
            </w:pPr>
            <w:r>
              <w:rPr>
                <w:sz w:val="20"/>
              </w:rPr>
              <w:t>to Tier 3</w:t>
            </w:r>
          </w:p>
        </w:tc>
      </w:tr>
      <w:tr w:rsidR="005C078B" w:rsidTr="00756991" w14:paraId="4DE2AD42" w14:textId="77777777">
        <w:trPr>
          <w:trHeight w:val="975" w:hRule="exact"/>
        </w:trPr>
        <w:tc>
          <w:tcPr>
            <w:tcW w:w="1545" w:type="dxa"/>
          </w:tcPr>
          <w:p w:rsidR="005C078B" w:rsidP="009C404A" w:rsidRDefault="005C078B" w14:paraId="58F0DE76" w14:textId="77777777">
            <w:pPr>
              <w:pStyle w:val="TableParagraph"/>
              <w:spacing w:before="3" w:line="240" w:lineRule="exact"/>
              <w:ind w:right="279"/>
              <w:rPr>
                <w:sz w:val="20"/>
              </w:rPr>
            </w:pPr>
            <w:r>
              <w:rPr>
                <w:sz w:val="20"/>
              </w:rPr>
              <w:t>Development Costs for SAM</w:t>
            </w:r>
          </w:p>
        </w:tc>
        <w:tc>
          <w:tcPr>
            <w:tcW w:w="598" w:type="dxa"/>
          </w:tcPr>
          <w:p w:rsidR="005C078B" w:rsidP="009C404A" w:rsidRDefault="005C078B" w14:paraId="2B933873" w14:textId="77777777"/>
        </w:tc>
        <w:tc>
          <w:tcPr>
            <w:tcW w:w="1350" w:type="dxa"/>
          </w:tcPr>
          <w:p w:rsidR="005C078B" w:rsidP="009C404A" w:rsidRDefault="005C078B" w14:paraId="49E9569D" w14:textId="77777777"/>
        </w:tc>
        <w:tc>
          <w:tcPr>
            <w:tcW w:w="990" w:type="dxa"/>
          </w:tcPr>
          <w:p w:rsidR="005C078B" w:rsidP="009C404A" w:rsidRDefault="005C078B" w14:paraId="17AC9FC7" w14:textId="77777777"/>
        </w:tc>
        <w:tc>
          <w:tcPr>
            <w:tcW w:w="1170" w:type="dxa"/>
          </w:tcPr>
          <w:p w:rsidR="005C078B" w:rsidP="009C404A" w:rsidRDefault="005C078B" w14:paraId="547A477E" w14:textId="77777777"/>
        </w:tc>
        <w:tc>
          <w:tcPr>
            <w:tcW w:w="990" w:type="dxa"/>
          </w:tcPr>
          <w:p w:rsidR="005C078B" w:rsidP="009C404A" w:rsidRDefault="005C078B" w14:paraId="7215A16F" w14:textId="77777777"/>
        </w:tc>
        <w:tc>
          <w:tcPr>
            <w:tcW w:w="1472" w:type="dxa"/>
          </w:tcPr>
          <w:p w:rsidR="005C078B" w:rsidP="009C404A" w:rsidRDefault="005C078B" w14:paraId="42DF1869" w14:textId="77777777">
            <w:pPr>
              <w:pStyle w:val="TableParagraph"/>
              <w:rPr>
                <w:sz w:val="20"/>
              </w:rPr>
            </w:pPr>
            <w:r>
              <w:rPr>
                <w:sz w:val="20"/>
              </w:rPr>
              <w:t>$0.00</w:t>
            </w:r>
          </w:p>
        </w:tc>
        <w:tc>
          <w:tcPr>
            <w:tcW w:w="1455" w:type="dxa"/>
          </w:tcPr>
          <w:p w:rsidR="005C078B" w:rsidP="009C404A" w:rsidRDefault="005C078B" w14:paraId="03B83C01" w14:textId="77777777">
            <w:pPr>
              <w:pStyle w:val="TableParagraph"/>
              <w:spacing w:before="3" w:line="240" w:lineRule="exact"/>
              <w:ind w:right="127"/>
              <w:rPr>
                <w:sz w:val="20"/>
              </w:rPr>
            </w:pPr>
            <w:r>
              <w:rPr>
                <w:sz w:val="20"/>
              </w:rPr>
              <w:t>System changes so far are included in contract.</w:t>
            </w:r>
          </w:p>
        </w:tc>
      </w:tr>
      <w:tr w:rsidR="005C078B" w:rsidTr="00756991" w14:paraId="13FFB877" w14:textId="77777777">
        <w:trPr>
          <w:trHeight w:val="315" w:hRule="exact"/>
        </w:trPr>
        <w:tc>
          <w:tcPr>
            <w:tcW w:w="1545" w:type="dxa"/>
          </w:tcPr>
          <w:p w:rsidR="005C078B" w:rsidP="009C404A" w:rsidRDefault="005C078B" w14:paraId="0C1D8DFA" w14:textId="77777777">
            <w:pPr>
              <w:pStyle w:val="TableParagraph"/>
              <w:rPr>
                <w:sz w:val="20"/>
              </w:rPr>
            </w:pPr>
            <w:r>
              <w:rPr>
                <w:sz w:val="20"/>
              </w:rPr>
              <w:t>TOTAL</w:t>
            </w:r>
          </w:p>
        </w:tc>
        <w:tc>
          <w:tcPr>
            <w:tcW w:w="598" w:type="dxa"/>
          </w:tcPr>
          <w:p w:rsidR="005C078B" w:rsidP="009C404A" w:rsidRDefault="005C078B" w14:paraId="64DC70DB" w14:textId="77777777"/>
        </w:tc>
        <w:tc>
          <w:tcPr>
            <w:tcW w:w="1350" w:type="dxa"/>
          </w:tcPr>
          <w:p w:rsidR="005C078B" w:rsidP="009C404A" w:rsidRDefault="005C078B" w14:paraId="77E274DF" w14:textId="77777777"/>
        </w:tc>
        <w:tc>
          <w:tcPr>
            <w:tcW w:w="990" w:type="dxa"/>
          </w:tcPr>
          <w:p w:rsidR="005C078B" w:rsidP="009C404A" w:rsidRDefault="005C078B" w14:paraId="45AA7DC1" w14:textId="77777777"/>
        </w:tc>
        <w:tc>
          <w:tcPr>
            <w:tcW w:w="1170" w:type="dxa"/>
          </w:tcPr>
          <w:p w:rsidR="005C078B" w:rsidP="009C404A" w:rsidRDefault="005C078B" w14:paraId="38A740F0" w14:textId="77777777"/>
        </w:tc>
        <w:tc>
          <w:tcPr>
            <w:tcW w:w="990" w:type="dxa"/>
          </w:tcPr>
          <w:p w:rsidR="005C078B" w:rsidP="009C404A" w:rsidRDefault="005C078B" w14:paraId="0372F947" w14:textId="77777777"/>
        </w:tc>
        <w:tc>
          <w:tcPr>
            <w:tcW w:w="1472" w:type="dxa"/>
          </w:tcPr>
          <w:p w:rsidR="005C078B" w:rsidP="00630B83" w:rsidRDefault="005C078B" w14:paraId="6CD1D435" w14:textId="77777777">
            <w:pPr>
              <w:pStyle w:val="TableParagraph"/>
              <w:rPr>
                <w:sz w:val="20"/>
              </w:rPr>
            </w:pPr>
            <w:r>
              <w:rPr>
                <w:sz w:val="20"/>
              </w:rPr>
              <w:t>$</w:t>
            </w:r>
            <w:r w:rsidR="00630B83">
              <w:rPr>
                <w:sz w:val="20"/>
              </w:rPr>
              <w:t>9,897,201.60</w:t>
            </w:r>
          </w:p>
        </w:tc>
        <w:tc>
          <w:tcPr>
            <w:tcW w:w="1455" w:type="dxa"/>
          </w:tcPr>
          <w:p w:rsidR="005C078B" w:rsidP="009C404A" w:rsidRDefault="005C078B" w14:paraId="48C6F708" w14:textId="77777777"/>
        </w:tc>
      </w:tr>
    </w:tbl>
    <w:p w:rsidR="005C078B" w:rsidP="005C078B" w:rsidRDefault="005C078B" w14:paraId="54545671" w14:textId="77777777">
      <w:pPr>
        <w:pStyle w:val="BodyText"/>
        <w:spacing w:before="9"/>
      </w:pPr>
    </w:p>
    <w:p w:rsidR="005C078B" w:rsidP="005C078B" w:rsidRDefault="005C078B" w14:paraId="42850325" w14:textId="0189B46D">
      <w:pPr>
        <w:pStyle w:val="BodyText"/>
        <w:spacing w:before="61" w:line="247" w:lineRule="auto"/>
        <w:ind w:left="100" w:right="99"/>
        <w:jc w:val="both"/>
      </w:pPr>
      <w:r>
        <w:t>The Federal Support Desk (FSD) for SAM is supported by a contractor that</w:t>
      </w:r>
      <w:r>
        <w:rPr>
          <w:spacing w:val="45"/>
        </w:rPr>
        <w:t xml:space="preserve"> </w:t>
      </w:r>
      <w:r>
        <w:t>will</w:t>
      </w:r>
      <w:r>
        <w:rPr>
          <w:spacing w:val="45"/>
        </w:rPr>
        <w:t xml:space="preserve"> </w:t>
      </w:r>
      <w:r>
        <w:t>answer</w:t>
      </w:r>
      <w:r>
        <w:rPr>
          <w:spacing w:val="45"/>
        </w:rPr>
        <w:t xml:space="preserve"> </w:t>
      </w:r>
      <w:r>
        <w:t>question</w:t>
      </w:r>
      <w:r>
        <w:rPr>
          <w:spacing w:val="45"/>
        </w:rPr>
        <w:t xml:space="preserve"> </w:t>
      </w:r>
      <w:r>
        <w:t>about</w:t>
      </w:r>
      <w:r>
        <w:rPr>
          <w:spacing w:val="45"/>
        </w:rPr>
        <w:t xml:space="preserve"> </w:t>
      </w:r>
      <w:r>
        <w:t>the</w:t>
      </w:r>
      <w:r>
        <w:rPr>
          <w:spacing w:val="45"/>
        </w:rPr>
        <w:t xml:space="preserve"> </w:t>
      </w:r>
      <w:r>
        <w:t>notarized</w:t>
      </w:r>
      <w:r>
        <w:rPr>
          <w:spacing w:val="45"/>
        </w:rPr>
        <w:t xml:space="preserve"> </w:t>
      </w:r>
      <w:r>
        <w:t>letter</w:t>
      </w:r>
      <w:r>
        <w:rPr>
          <w:spacing w:val="45"/>
        </w:rPr>
        <w:t xml:space="preserve"> </w:t>
      </w:r>
      <w:r>
        <w:t>process</w:t>
      </w:r>
      <w:r>
        <w:rPr>
          <w:spacing w:val="45"/>
        </w:rPr>
        <w:t xml:space="preserve"> </w:t>
      </w:r>
      <w:r>
        <w:t>and</w:t>
      </w:r>
      <w:r>
        <w:rPr>
          <w:spacing w:val="45"/>
        </w:rPr>
        <w:t xml:space="preserve"> </w:t>
      </w:r>
      <w:r>
        <w:t>provide</w:t>
      </w:r>
      <w:r>
        <w:rPr>
          <w:spacing w:val="45"/>
        </w:rPr>
        <w:t xml:space="preserve"> </w:t>
      </w:r>
      <w:r>
        <w:t>free</w:t>
      </w:r>
      <w:r>
        <w:rPr>
          <w:spacing w:val="45"/>
        </w:rPr>
        <w:t xml:space="preserve"> </w:t>
      </w:r>
      <w:r>
        <w:t>assistance</w:t>
      </w:r>
      <w:r>
        <w:rPr>
          <w:spacing w:val="30"/>
        </w:rPr>
        <w:t xml:space="preserve"> </w:t>
      </w:r>
      <w:r>
        <w:t>with entity registration. Tier 3 help desk tickets (the most complex calls) that may require additional support to address challenges faced by registrants will be addressed by a Government employee. It is estimated that 1,716 of the 57,200 entities registered and registering will meet the criteria for Tier 3 support. The cost of $38.20 per hour is based on GS-12, step 5 salary for the Washington-Baltimore-Arlington, DC-MD-VA-WV-PA metropolitan area.</w:t>
      </w:r>
      <w:r w:rsidR="00AB0D96">
        <w:t xml:space="preserve"> The cost per response is estimated at $1,279.62.</w:t>
      </w:r>
    </w:p>
    <w:p w:rsidR="005C078B" w:rsidP="005C078B" w:rsidRDefault="005C078B" w14:paraId="03D670F8" w14:textId="77777777">
      <w:pPr>
        <w:pStyle w:val="BodyText"/>
        <w:spacing w:before="10"/>
      </w:pPr>
    </w:p>
    <w:p w:rsidR="005C078B" w:rsidP="005C078B" w:rsidRDefault="005C078B" w14:paraId="54B89B5B" w14:textId="77777777">
      <w:pPr>
        <w:pStyle w:val="Heading2"/>
        <w:numPr>
          <w:ilvl w:val="0"/>
          <w:numId w:val="1"/>
        </w:numPr>
        <w:tabs>
          <w:tab w:val="left" w:pos="580"/>
        </w:tabs>
        <w:ind w:left="580"/>
        <w:jc w:val="both"/>
        <w:rPr>
          <w:b w:val="0"/>
        </w:rPr>
      </w:pPr>
      <w:r>
        <w:t>Explanation for Program Changes or Adjustments</w:t>
      </w:r>
      <w:r>
        <w:rPr>
          <w:b w:val="0"/>
        </w:rPr>
        <w:t>.</w:t>
      </w:r>
    </w:p>
    <w:p w:rsidR="00FF693A" w:rsidP="00FF693A" w:rsidRDefault="00FF693A" w14:paraId="492CD3EA" w14:textId="77777777">
      <w:pPr>
        <w:rPr>
          <w:rFonts w:ascii="Courier New" w:hAnsi="Courier New" w:cs="Courier New"/>
          <w:szCs w:val="24"/>
        </w:rPr>
      </w:pPr>
    </w:p>
    <w:p w:rsidRPr="00933B59" w:rsidR="00032E97" w:rsidP="00032E97" w:rsidRDefault="00FF693A" w14:paraId="22D38319" w14:textId="22F1AA86">
      <w:pPr>
        <w:widowControl/>
        <w:shd w:val="clear" w:color="auto" w:fill="FFFFFF"/>
        <w:autoSpaceDE/>
        <w:autoSpaceDN/>
        <w:rPr>
          <w:color w:val="222222"/>
          <w:sz w:val="24"/>
          <w:szCs w:val="24"/>
        </w:rPr>
      </w:pPr>
      <w:r w:rsidRPr="00933B59">
        <w:rPr>
          <w:sz w:val="24"/>
          <w:szCs w:val="24"/>
        </w:rPr>
        <w:t xml:space="preserve">This is an extension of a currently approved public information collection.  </w:t>
      </w:r>
      <w:r w:rsidRPr="00933B59" w:rsidR="00032E97">
        <w:rPr>
          <w:color w:val="222222"/>
          <w:sz w:val="24"/>
          <w:szCs w:val="24"/>
        </w:rPr>
        <w:t>References to mailing the notarized letter was removed, as it is no longer required.  The letters are now</w:t>
      </w:r>
      <w:r w:rsidR="00933B59">
        <w:rPr>
          <w:color w:val="222222"/>
          <w:sz w:val="24"/>
          <w:szCs w:val="24"/>
        </w:rPr>
        <w:t xml:space="preserve"> all</w:t>
      </w:r>
      <w:r w:rsidRPr="00933B59" w:rsidR="00032E97">
        <w:rPr>
          <w:color w:val="222222"/>
          <w:sz w:val="24"/>
          <w:szCs w:val="24"/>
        </w:rPr>
        <w:t xml:space="preserve"> submitted electronically.  </w:t>
      </w:r>
      <w:r w:rsidRPr="00933B59" w:rsidR="00933B59">
        <w:rPr>
          <w:color w:val="222222"/>
          <w:sz w:val="24"/>
          <w:szCs w:val="24"/>
        </w:rPr>
        <w:t xml:space="preserve">The increase in respondents is due to </w:t>
      </w:r>
      <w:r w:rsidRPr="00933B59" w:rsidR="00933B59">
        <w:rPr>
          <w:color w:val="000000"/>
          <w:sz w:val="24"/>
          <w:szCs w:val="24"/>
          <w:shd w:val="clear" w:color="auto" w:fill="FFFFFF"/>
        </w:rPr>
        <w:t>a rise in the total monthly average of processed</w:t>
      </w:r>
      <w:r w:rsidRPr="00933B59" w:rsidR="00933B59">
        <w:rPr>
          <w:color w:val="000000"/>
          <w:sz w:val="24"/>
          <w:szCs w:val="24"/>
          <w:shd w:val="clear" w:color="auto" w:fill="FFFFFF"/>
        </w:rPr>
        <w:t xml:space="preserve"> notarized letters</w:t>
      </w:r>
      <w:r w:rsidRPr="00933B59" w:rsidR="00933B59">
        <w:rPr>
          <w:color w:val="000000"/>
          <w:sz w:val="24"/>
          <w:szCs w:val="24"/>
          <w:shd w:val="clear" w:color="auto" w:fill="FFFFFF"/>
        </w:rPr>
        <w:t xml:space="preserve"> </w:t>
      </w:r>
      <w:r w:rsidRPr="00933B59" w:rsidR="00933B59">
        <w:rPr>
          <w:color w:val="000000"/>
          <w:sz w:val="24"/>
          <w:szCs w:val="24"/>
          <w:shd w:val="clear" w:color="auto" w:fill="FFFFFF"/>
        </w:rPr>
        <w:t xml:space="preserve">from </w:t>
      </w:r>
      <w:r w:rsidRPr="00933B59" w:rsidR="00933B59">
        <w:rPr>
          <w:color w:val="000000"/>
          <w:sz w:val="24"/>
          <w:szCs w:val="24"/>
          <w:shd w:val="clear" w:color="auto" w:fill="FFFFFF"/>
        </w:rPr>
        <w:t>the</w:t>
      </w:r>
      <w:r w:rsidRPr="00933B59" w:rsidR="00933B59">
        <w:rPr>
          <w:color w:val="000000"/>
          <w:sz w:val="24"/>
          <w:szCs w:val="24"/>
          <w:shd w:val="clear" w:color="auto" w:fill="FFFFFF"/>
        </w:rPr>
        <w:t xml:space="preserve"> previous volumes</w:t>
      </w:r>
      <w:r w:rsidRPr="00933B59" w:rsidR="00933B59">
        <w:rPr>
          <w:color w:val="000000"/>
          <w:sz w:val="24"/>
          <w:szCs w:val="24"/>
          <w:shd w:val="clear" w:color="auto" w:fill="FFFFFF"/>
        </w:rPr>
        <w:t xml:space="preserve"> recorded in 2018.</w:t>
      </w:r>
      <w:r w:rsidRPr="00933B59" w:rsidR="00933B59">
        <w:rPr>
          <w:color w:val="000000"/>
          <w:sz w:val="24"/>
          <w:szCs w:val="24"/>
          <w:shd w:val="clear" w:color="auto" w:fill="FFFFFF"/>
        </w:rPr>
        <w:t>  </w:t>
      </w:r>
    </w:p>
    <w:p w:rsidR="0084567D" w:rsidP="0084567D" w:rsidRDefault="0084567D" w14:paraId="5B4F6B7E" w14:textId="77777777">
      <w:pPr>
        <w:ind w:left="90"/>
      </w:pPr>
    </w:p>
    <w:p w:rsidR="005C078B" w:rsidP="005C078B" w:rsidRDefault="005C078B" w14:paraId="7AD06CC9" w14:textId="77777777">
      <w:pPr>
        <w:pStyle w:val="Heading2"/>
        <w:tabs>
          <w:tab w:val="left" w:pos="580"/>
        </w:tabs>
      </w:pPr>
      <w:r>
        <w:t>16.  Plans for Tabulation and Publication and Project Time Schedule</w:t>
      </w:r>
    </w:p>
    <w:p w:rsidR="005C078B" w:rsidP="005C078B" w:rsidRDefault="005C078B" w14:paraId="28EA53F5" w14:textId="77777777">
      <w:pPr>
        <w:pStyle w:val="BodyText"/>
        <w:spacing w:before="5"/>
        <w:rPr>
          <w:b/>
          <w:sz w:val="25"/>
        </w:rPr>
      </w:pPr>
    </w:p>
    <w:p w:rsidR="005C078B" w:rsidP="005C078B" w:rsidRDefault="005C078B" w14:paraId="40A39813" w14:textId="77777777">
      <w:pPr>
        <w:pStyle w:val="BodyText"/>
        <w:spacing w:before="1"/>
        <w:ind w:left="100"/>
        <w:jc w:val="both"/>
      </w:pPr>
      <w:r>
        <w:t>Results will not be tabulated or published.</w:t>
      </w:r>
    </w:p>
    <w:p w:rsidR="005C078B" w:rsidP="005C078B" w:rsidRDefault="005C078B" w14:paraId="5F0DE1F9" w14:textId="77777777">
      <w:pPr>
        <w:pStyle w:val="BodyText"/>
        <w:spacing w:before="6"/>
        <w:rPr>
          <w:sz w:val="25"/>
        </w:rPr>
      </w:pPr>
    </w:p>
    <w:p w:rsidR="005C078B" w:rsidP="00FF693A" w:rsidRDefault="00FF693A" w14:paraId="32A2FBD4" w14:textId="77777777">
      <w:pPr>
        <w:pStyle w:val="Heading2"/>
        <w:tabs>
          <w:tab w:val="left" w:pos="580"/>
        </w:tabs>
        <w:rPr>
          <w:b w:val="0"/>
        </w:rPr>
      </w:pPr>
      <w:r>
        <w:t xml:space="preserve">17.  </w:t>
      </w:r>
      <w:r w:rsidR="005C078B">
        <w:t>Reasons the Display of OMB Expiration Date is Inappropriate</w:t>
      </w:r>
      <w:r w:rsidR="005C078B">
        <w:rPr>
          <w:b w:val="0"/>
        </w:rPr>
        <w:t>.</w:t>
      </w:r>
    </w:p>
    <w:p w:rsidR="005C078B" w:rsidP="005C078B" w:rsidRDefault="005C078B" w14:paraId="31A3BCD9" w14:textId="77777777">
      <w:pPr>
        <w:pStyle w:val="BodyText"/>
        <w:spacing w:before="5"/>
        <w:rPr>
          <w:sz w:val="25"/>
        </w:rPr>
      </w:pPr>
    </w:p>
    <w:p w:rsidR="005C078B" w:rsidP="005C078B" w:rsidRDefault="005C078B" w14:paraId="71909996" w14:textId="77777777">
      <w:pPr>
        <w:pStyle w:val="BodyText"/>
        <w:spacing w:before="1"/>
        <w:ind w:left="100"/>
        <w:jc w:val="both"/>
      </w:pPr>
      <w:r>
        <w:t>We are not requesting an exemption.</w:t>
      </w:r>
    </w:p>
    <w:p w:rsidR="005C078B" w:rsidP="005C078B" w:rsidRDefault="005C078B" w14:paraId="5360F7A4" w14:textId="77777777">
      <w:pPr>
        <w:pStyle w:val="BodyText"/>
        <w:spacing w:before="6"/>
        <w:rPr>
          <w:sz w:val="25"/>
        </w:rPr>
      </w:pPr>
    </w:p>
    <w:p w:rsidR="005C078B" w:rsidP="00FF693A" w:rsidRDefault="00FF693A" w14:paraId="4A093B00" w14:textId="77777777">
      <w:pPr>
        <w:pStyle w:val="Heading2"/>
        <w:tabs>
          <w:tab w:val="left" w:pos="580"/>
        </w:tabs>
        <w:rPr>
          <w:b w:val="0"/>
        </w:rPr>
      </w:pPr>
      <w:r>
        <w:t xml:space="preserve">18.  </w:t>
      </w:r>
      <w:r w:rsidR="005C078B">
        <w:t>Explanation of exception to certification statement</w:t>
      </w:r>
      <w:r w:rsidR="005C078B">
        <w:rPr>
          <w:b w:val="0"/>
        </w:rPr>
        <w:t>.</w:t>
      </w:r>
    </w:p>
    <w:p w:rsidR="005C078B" w:rsidP="005C078B" w:rsidRDefault="005C078B" w14:paraId="5F294278" w14:textId="77777777">
      <w:pPr>
        <w:pStyle w:val="BodyText"/>
        <w:spacing w:before="5"/>
        <w:rPr>
          <w:sz w:val="25"/>
        </w:rPr>
      </w:pPr>
    </w:p>
    <w:p w:rsidR="005C078B" w:rsidP="005C078B" w:rsidRDefault="005C078B" w14:paraId="4CE7DCC5" w14:textId="77777777">
      <w:pPr>
        <w:pStyle w:val="BodyText"/>
        <w:spacing w:before="1"/>
        <w:ind w:left="100"/>
        <w:jc w:val="both"/>
      </w:pPr>
      <w:r>
        <w:t>We are not requesting an exemption to the provision at 5 CFR 1320.9.</w:t>
      </w:r>
    </w:p>
    <w:p w:rsidR="005C078B" w:rsidP="005C078B" w:rsidRDefault="005C078B" w14:paraId="760D4FF9" w14:textId="77777777">
      <w:pPr>
        <w:pStyle w:val="BodyText"/>
        <w:spacing w:before="6"/>
        <w:rPr>
          <w:sz w:val="25"/>
        </w:rPr>
      </w:pPr>
    </w:p>
    <w:p w:rsidR="005C078B" w:rsidP="005C078B" w:rsidRDefault="005C078B" w14:paraId="77C1FE90" w14:textId="77777777">
      <w:pPr>
        <w:pStyle w:val="Heading2"/>
        <w:numPr>
          <w:ilvl w:val="0"/>
          <w:numId w:val="6"/>
        </w:numPr>
        <w:tabs>
          <w:tab w:val="left" w:pos="501"/>
        </w:tabs>
        <w:ind w:left="500" w:hanging="400"/>
        <w:jc w:val="both"/>
      </w:pPr>
      <w:r>
        <w:t>Collections of Information Employing Statistical Methods.</w:t>
      </w:r>
    </w:p>
    <w:p w:rsidR="005C078B" w:rsidP="005C078B" w:rsidRDefault="005C078B" w14:paraId="684FC4EF" w14:textId="77777777">
      <w:pPr>
        <w:pStyle w:val="BodyText"/>
        <w:spacing w:before="5"/>
        <w:rPr>
          <w:b/>
          <w:sz w:val="25"/>
        </w:rPr>
      </w:pPr>
    </w:p>
    <w:p w:rsidR="00631DC9" w:rsidP="006655A7" w:rsidRDefault="005C078B" w14:paraId="5742F0F2" w14:textId="77777777">
      <w:pPr>
        <w:pStyle w:val="BodyText"/>
        <w:spacing w:before="1"/>
        <w:ind w:left="100"/>
      </w:pPr>
      <w:r>
        <w:t xml:space="preserve">Statistical methods are not used </w:t>
      </w:r>
      <w:r w:rsidR="0088708D">
        <w:t>in this information collection</w:t>
      </w:r>
      <w:r w:rsidR="006655A7">
        <w:t>.</w:t>
      </w:r>
    </w:p>
    <w:sectPr w:rsidR="00631DC9">
      <w:footerReference w:type="default" r:id="rId12"/>
      <w:pgSz w:w="12240" w:h="15840"/>
      <w:pgMar w:top="1380" w:right="1340" w:bottom="1560" w:left="1340" w:header="0" w:footer="1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C4298" w14:textId="77777777" w:rsidR="00B362B7" w:rsidRDefault="00B362B7">
      <w:r>
        <w:separator/>
      </w:r>
    </w:p>
  </w:endnote>
  <w:endnote w:type="continuationSeparator" w:id="0">
    <w:p w14:paraId="2CC6DC8F" w14:textId="77777777" w:rsidR="00B362B7" w:rsidRDefault="00B3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1024" w14:textId="77777777" w:rsidR="00631DC9" w:rsidRDefault="00631DC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AFDE4" w14:textId="77777777" w:rsidR="00B362B7" w:rsidRDefault="00B362B7">
      <w:r>
        <w:separator/>
      </w:r>
    </w:p>
  </w:footnote>
  <w:footnote w:type="continuationSeparator" w:id="0">
    <w:p w14:paraId="7A082FA2" w14:textId="77777777" w:rsidR="00B362B7" w:rsidRDefault="00B36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AF1"/>
    <w:multiLevelType w:val="hybridMultilevel"/>
    <w:tmpl w:val="E0A4B780"/>
    <w:lvl w:ilvl="0" w:tplc="53B6DD60">
      <w:start w:val="1"/>
      <w:numFmt w:val="lowerLetter"/>
      <w:lvlText w:val="%1."/>
      <w:lvlJc w:val="left"/>
      <w:pPr>
        <w:ind w:left="820" w:hanging="360"/>
      </w:pPr>
      <w:rPr>
        <w:rFonts w:ascii="Times New Roman" w:eastAsia="Times New Roman" w:hAnsi="Times New Roman" w:cs="Times New Roman" w:hint="default"/>
        <w:w w:val="100"/>
        <w:sz w:val="24"/>
        <w:szCs w:val="24"/>
      </w:rPr>
    </w:lvl>
    <w:lvl w:ilvl="1" w:tplc="6CFED308">
      <w:numFmt w:val="bullet"/>
      <w:lvlText w:val="•"/>
      <w:lvlJc w:val="left"/>
      <w:pPr>
        <w:ind w:left="1688" w:hanging="360"/>
      </w:pPr>
      <w:rPr>
        <w:rFonts w:hint="default"/>
      </w:rPr>
    </w:lvl>
    <w:lvl w:ilvl="2" w:tplc="7E52B58E">
      <w:numFmt w:val="bullet"/>
      <w:lvlText w:val="•"/>
      <w:lvlJc w:val="left"/>
      <w:pPr>
        <w:ind w:left="2556" w:hanging="360"/>
      </w:pPr>
      <w:rPr>
        <w:rFonts w:hint="default"/>
      </w:rPr>
    </w:lvl>
    <w:lvl w:ilvl="3" w:tplc="9898908E">
      <w:numFmt w:val="bullet"/>
      <w:lvlText w:val="•"/>
      <w:lvlJc w:val="left"/>
      <w:pPr>
        <w:ind w:left="3424" w:hanging="360"/>
      </w:pPr>
      <w:rPr>
        <w:rFonts w:hint="default"/>
      </w:rPr>
    </w:lvl>
    <w:lvl w:ilvl="4" w:tplc="01F684B0">
      <w:numFmt w:val="bullet"/>
      <w:lvlText w:val="•"/>
      <w:lvlJc w:val="left"/>
      <w:pPr>
        <w:ind w:left="4292" w:hanging="360"/>
      </w:pPr>
      <w:rPr>
        <w:rFonts w:hint="default"/>
      </w:rPr>
    </w:lvl>
    <w:lvl w:ilvl="5" w:tplc="E2208F36">
      <w:numFmt w:val="bullet"/>
      <w:lvlText w:val="•"/>
      <w:lvlJc w:val="left"/>
      <w:pPr>
        <w:ind w:left="5160" w:hanging="360"/>
      </w:pPr>
      <w:rPr>
        <w:rFonts w:hint="default"/>
      </w:rPr>
    </w:lvl>
    <w:lvl w:ilvl="6" w:tplc="80F823AE">
      <w:numFmt w:val="bullet"/>
      <w:lvlText w:val="•"/>
      <w:lvlJc w:val="left"/>
      <w:pPr>
        <w:ind w:left="6028" w:hanging="360"/>
      </w:pPr>
      <w:rPr>
        <w:rFonts w:hint="default"/>
      </w:rPr>
    </w:lvl>
    <w:lvl w:ilvl="7" w:tplc="4DBC9C80">
      <w:numFmt w:val="bullet"/>
      <w:lvlText w:val="•"/>
      <w:lvlJc w:val="left"/>
      <w:pPr>
        <w:ind w:left="6896" w:hanging="360"/>
      </w:pPr>
      <w:rPr>
        <w:rFonts w:hint="default"/>
      </w:rPr>
    </w:lvl>
    <w:lvl w:ilvl="8" w:tplc="4CCED0BC">
      <w:numFmt w:val="bullet"/>
      <w:lvlText w:val="•"/>
      <w:lvlJc w:val="left"/>
      <w:pPr>
        <w:ind w:left="7764" w:hanging="360"/>
      </w:pPr>
      <w:rPr>
        <w:rFonts w:hint="default"/>
      </w:rPr>
    </w:lvl>
  </w:abstractNum>
  <w:abstractNum w:abstractNumId="1" w15:restartNumberingAfterBreak="0">
    <w:nsid w:val="08C34BBA"/>
    <w:multiLevelType w:val="hybridMultilevel"/>
    <w:tmpl w:val="C79AE410"/>
    <w:lvl w:ilvl="0" w:tplc="EF7AB35A">
      <w:numFmt w:val="bullet"/>
      <w:lvlText w:val="●"/>
      <w:lvlJc w:val="left"/>
      <w:pPr>
        <w:ind w:left="820" w:hanging="360"/>
      </w:pPr>
      <w:rPr>
        <w:rFonts w:ascii="Arial" w:eastAsia="Arial" w:hAnsi="Arial" w:cs="Arial" w:hint="default"/>
        <w:color w:val="343C46"/>
        <w:w w:val="100"/>
        <w:sz w:val="20"/>
        <w:szCs w:val="20"/>
      </w:rPr>
    </w:lvl>
    <w:lvl w:ilvl="1" w:tplc="186ADAD6">
      <w:numFmt w:val="bullet"/>
      <w:lvlText w:val="•"/>
      <w:lvlJc w:val="left"/>
      <w:pPr>
        <w:ind w:left="1694" w:hanging="360"/>
      </w:pPr>
      <w:rPr>
        <w:rFonts w:hint="default"/>
      </w:rPr>
    </w:lvl>
    <w:lvl w:ilvl="2" w:tplc="E1AC0C00">
      <w:numFmt w:val="bullet"/>
      <w:lvlText w:val="•"/>
      <w:lvlJc w:val="left"/>
      <w:pPr>
        <w:ind w:left="2568" w:hanging="360"/>
      </w:pPr>
      <w:rPr>
        <w:rFonts w:hint="default"/>
      </w:rPr>
    </w:lvl>
    <w:lvl w:ilvl="3" w:tplc="BADE5370">
      <w:numFmt w:val="bullet"/>
      <w:lvlText w:val="•"/>
      <w:lvlJc w:val="left"/>
      <w:pPr>
        <w:ind w:left="3442" w:hanging="360"/>
      </w:pPr>
      <w:rPr>
        <w:rFonts w:hint="default"/>
      </w:rPr>
    </w:lvl>
    <w:lvl w:ilvl="4" w:tplc="74BCCBEC">
      <w:numFmt w:val="bullet"/>
      <w:lvlText w:val="•"/>
      <w:lvlJc w:val="left"/>
      <w:pPr>
        <w:ind w:left="4316" w:hanging="360"/>
      </w:pPr>
      <w:rPr>
        <w:rFonts w:hint="default"/>
      </w:rPr>
    </w:lvl>
    <w:lvl w:ilvl="5" w:tplc="95487678">
      <w:numFmt w:val="bullet"/>
      <w:lvlText w:val="•"/>
      <w:lvlJc w:val="left"/>
      <w:pPr>
        <w:ind w:left="5190" w:hanging="360"/>
      </w:pPr>
      <w:rPr>
        <w:rFonts w:hint="default"/>
      </w:rPr>
    </w:lvl>
    <w:lvl w:ilvl="6" w:tplc="515825EE">
      <w:numFmt w:val="bullet"/>
      <w:lvlText w:val="•"/>
      <w:lvlJc w:val="left"/>
      <w:pPr>
        <w:ind w:left="6064" w:hanging="360"/>
      </w:pPr>
      <w:rPr>
        <w:rFonts w:hint="default"/>
      </w:rPr>
    </w:lvl>
    <w:lvl w:ilvl="7" w:tplc="880C98F0">
      <w:numFmt w:val="bullet"/>
      <w:lvlText w:val="•"/>
      <w:lvlJc w:val="left"/>
      <w:pPr>
        <w:ind w:left="6938" w:hanging="360"/>
      </w:pPr>
      <w:rPr>
        <w:rFonts w:hint="default"/>
      </w:rPr>
    </w:lvl>
    <w:lvl w:ilvl="8" w:tplc="9CFABBCC">
      <w:numFmt w:val="bullet"/>
      <w:lvlText w:val="•"/>
      <w:lvlJc w:val="left"/>
      <w:pPr>
        <w:ind w:left="7812" w:hanging="360"/>
      </w:pPr>
      <w:rPr>
        <w:rFonts w:hint="default"/>
      </w:rPr>
    </w:lvl>
  </w:abstractNum>
  <w:abstractNum w:abstractNumId="2" w15:restartNumberingAfterBreak="0">
    <w:nsid w:val="14E95B73"/>
    <w:multiLevelType w:val="hybridMultilevel"/>
    <w:tmpl w:val="28B27DA6"/>
    <w:lvl w:ilvl="0" w:tplc="BD866F46">
      <w:start w:val="1"/>
      <w:numFmt w:val="lowerLetter"/>
      <w:lvlText w:val="%1."/>
      <w:lvlJc w:val="left"/>
      <w:pPr>
        <w:ind w:left="820" w:hanging="360"/>
      </w:pPr>
      <w:rPr>
        <w:rFonts w:hint="default"/>
        <w:w w:val="100"/>
      </w:rPr>
    </w:lvl>
    <w:lvl w:ilvl="1" w:tplc="3BEE7448">
      <w:numFmt w:val="bullet"/>
      <w:lvlText w:val="•"/>
      <w:lvlJc w:val="left"/>
      <w:pPr>
        <w:ind w:left="1694" w:hanging="360"/>
      </w:pPr>
      <w:rPr>
        <w:rFonts w:hint="default"/>
      </w:rPr>
    </w:lvl>
    <w:lvl w:ilvl="2" w:tplc="52F62AE4">
      <w:numFmt w:val="bullet"/>
      <w:lvlText w:val="•"/>
      <w:lvlJc w:val="left"/>
      <w:pPr>
        <w:ind w:left="2568" w:hanging="360"/>
      </w:pPr>
      <w:rPr>
        <w:rFonts w:hint="default"/>
      </w:rPr>
    </w:lvl>
    <w:lvl w:ilvl="3" w:tplc="D29411C6">
      <w:numFmt w:val="bullet"/>
      <w:lvlText w:val="•"/>
      <w:lvlJc w:val="left"/>
      <w:pPr>
        <w:ind w:left="3442" w:hanging="360"/>
      </w:pPr>
      <w:rPr>
        <w:rFonts w:hint="default"/>
      </w:rPr>
    </w:lvl>
    <w:lvl w:ilvl="4" w:tplc="5D46C560">
      <w:numFmt w:val="bullet"/>
      <w:lvlText w:val="•"/>
      <w:lvlJc w:val="left"/>
      <w:pPr>
        <w:ind w:left="4316" w:hanging="360"/>
      </w:pPr>
      <w:rPr>
        <w:rFonts w:hint="default"/>
      </w:rPr>
    </w:lvl>
    <w:lvl w:ilvl="5" w:tplc="93EC41BC">
      <w:numFmt w:val="bullet"/>
      <w:lvlText w:val="•"/>
      <w:lvlJc w:val="left"/>
      <w:pPr>
        <w:ind w:left="5190" w:hanging="360"/>
      </w:pPr>
      <w:rPr>
        <w:rFonts w:hint="default"/>
      </w:rPr>
    </w:lvl>
    <w:lvl w:ilvl="6" w:tplc="3C6C5470">
      <w:numFmt w:val="bullet"/>
      <w:lvlText w:val="•"/>
      <w:lvlJc w:val="left"/>
      <w:pPr>
        <w:ind w:left="6064" w:hanging="360"/>
      </w:pPr>
      <w:rPr>
        <w:rFonts w:hint="default"/>
      </w:rPr>
    </w:lvl>
    <w:lvl w:ilvl="7" w:tplc="C1FA49FE">
      <w:numFmt w:val="bullet"/>
      <w:lvlText w:val="•"/>
      <w:lvlJc w:val="left"/>
      <w:pPr>
        <w:ind w:left="6938" w:hanging="360"/>
      </w:pPr>
      <w:rPr>
        <w:rFonts w:hint="default"/>
      </w:rPr>
    </w:lvl>
    <w:lvl w:ilvl="8" w:tplc="E8A6EB68">
      <w:numFmt w:val="bullet"/>
      <w:lvlText w:val="•"/>
      <w:lvlJc w:val="left"/>
      <w:pPr>
        <w:ind w:left="7812" w:hanging="360"/>
      </w:pPr>
      <w:rPr>
        <w:rFonts w:hint="default"/>
      </w:rPr>
    </w:lvl>
  </w:abstractNum>
  <w:abstractNum w:abstractNumId="3" w15:restartNumberingAfterBreak="0">
    <w:nsid w:val="23AD49C8"/>
    <w:multiLevelType w:val="hybridMultilevel"/>
    <w:tmpl w:val="649C3E40"/>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2E0A7953"/>
    <w:multiLevelType w:val="hybridMultilevel"/>
    <w:tmpl w:val="4CCA654A"/>
    <w:lvl w:ilvl="0" w:tplc="62388E40">
      <w:start w:val="1"/>
      <w:numFmt w:val="upperLetter"/>
      <w:lvlText w:val="%1."/>
      <w:lvlJc w:val="left"/>
      <w:pPr>
        <w:ind w:left="453" w:hanging="354"/>
      </w:pPr>
      <w:rPr>
        <w:rFonts w:ascii="Times New Roman" w:eastAsia="Times New Roman" w:hAnsi="Times New Roman" w:cs="Times New Roman" w:hint="default"/>
        <w:b/>
        <w:bCs/>
        <w:w w:val="100"/>
        <w:sz w:val="24"/>
        <w:szCs w:val="24"/>
      </w:rPr>
    </w:lvl>
    <w:lvl w:ilvl="1" w:tplc="98E0401E">
      <w:start w:val="1"/>
      <w:numFmt w:val="decimal"/>
      <w:lvlText w:val="%2."/>
      <w:lvlJc w:val="left"/>
      <w:pPr>
        <w:ind w:left="460" w:hanging="300"/>
      </w:pPr>
      <w:rPr>
        <w:rFonts w:hint="default"/>
        <w:b/>
        <w:bCs/>
        <w:w w:val="100"/>
      </w:rPr>
    </w:lvl>
    <w:lvl w:ilvl="2" w:tplc="2DC09DCC">
      <w:numFmt w:val="bullet"/>
      <w:lvlText w:val="•"/>
      <w:lvlJc w:val="left"/>
      <w:pPr>
        <w:ind w:left="820" w:hanging="360"/>
      </w:pPr>
      <w:rPr>
        <w:rFonts w:ascii="Arial" w:eastAsia="Arial" w:hAnsi="Arial" w:cs="Arial" w:hint="default"/>
        <w:color w:val="151515"/>
        <w:w w:val="100"/>
        <w:sz w:val="23"/>
        <w:szCs w:val="23"/>
      </w:rPr>
    </w:lvl>
    <w:lvl w:ilvl="3" w:tplc="41BE82D4">
      <w:numFmt w:val="bullet"/>
      <w:lvlText w:val="•"/>
      <w:lvlJc w:val="left"/>
      <w:pPr>
        <w:ind w:left="2726" w:hanging="360"/>
      </w:pPr>
      <w:rPr>
        <w:rFonts w:hint="default"/>
      </w:rPr>
    </w:lvl>
    <w:lvl w:ilvl="4" w:tplc="836A1D7C">
      <w:numFmt w:val="bullet"/>
      <w:lvlText w:val="•"/>
      <w:lvlJc w:val="left"/>
      <w:pPr>
        <w:ind w:left="3680" w:hanging="360"/>
      </w:pPr>
      <w:rPr>
        <w:rFonts w:hint="default"/>
      </w:rPr>
    </w:lvl>
    <w:lvl w:ilvl="5" w:tplc="94AAE7F4">
      <w:numFmt w:val="bullet"/>
      <w:lvlText w:val="•"/>
      <w:lvlJc w:val="left"/>
      <w:pPr>
        <w:ind w:left="4633" w:hanging="360"/>
      </w:pPr>
      <w:rPr>
        <w:rFonts w:hint="default"/>
      </w:rPr>
    </w:lvl>
    <w:lvl w:ilvl="6" w:tplc="06A8D71C">
      <w:numFmt w:val="bullet"/>
      <w:lvlText w:val="•"/>
      <w:lvlJc w:val="left"/>
      <w:pPr>
        <w:ind w:left="5586" w:hanging="360"/>
      </w:pPr>
      <w:rPr>
        <w:rFonts w:hint="default"/>
      </w:rPr>
    </w:lvl>
    <w:lvl w:ilvl="7" w:tplc="E892EC9A">
      <w:numFmt w:val="bullet"/>
      <w:lvlText w:val="•"/>
      <w:lvlJc w:val="left"/>
      <w:pPr>
        <w:ind w:left="6540" w:hanging="360"/>
      </w:pPr>
      <w:rPr>
        <w:rFonts w:hint="default"/>
      </w:rPr>
    </w:lvl>
    <w:lvl w:ilvl="8" w:tplc="5D7E1E28">
      <w:numFmt w:val="bullet"/>
      <w:lvlText w:val="•"/>
      <w:lvlJc w:val="left"/>
      <w:pPr>
        <w:ind w:left="7493" w:hanging="360"/>
      </w:pPr>
      <w:rPr>
        <w:rFonts w:hint="default"/>
      </w:rPr>
    </w:lvl>
  </w:abstractNum>
  <w:abstractNum w:abstractNumId="5" w15:restartNumberingAfterBreak="0">
    <w:nsid w:val="370D3873"/>
    <w:multiLevelType w:val="hybridMultilevel"/>
    <w:tmpl w:val="C2607890"/>
    <w:lvl w:ilvl="0" w:tplc="98E0401E">
      <w:start w:val="1"/>
      <w:numFmt w:val="decimal"/>
      <w:lvlText w:val="%1."/>
      <w:lvlJc w:val="left"/>
      <w:pPr>
        <w:ind w:left="460" w:hanging="300"/>
      </w:pPr>
      <w:rPr>
        <w:rFonts w:hint="default"/>
        <w:b/>
        <w:bCs/>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F03E5"/>
    <w:multiLevelType w:val="hybridMultilevel"/>
    <w:tmpl w:val="35A41AE4"/>
    <w:lvl w:ilvl="0" w:tplc="E74A81FA">
      <w:start w:val="1"/>
      <w:numFmt w:val="lowerLetter"/>
      <w:lvlText w:val="%1."/>
      <w:lvlJc w:val="left"/>
      <w:pPr>
        <w:ind w:left="820" w:hanging="360"/>
      </w:pPr>
      <w:rPr>
        <w:rFonts w:ascii="Times New Roman" w:eastAsia="Times New Roman" w:hAnsi="Times New Roman" w:cs="Times New Roman" w:hint="default"/>
        <w:w w:val="100"/>
        <w:sz w:val="24"/>
        <w:szCs w:val="24"/>
      </w:rPr>
    </w:lvl>
    <w:lvl w:ilvl="1" w:tplc="CD640702">
      <w:numFmt w:val="bullet"/>
      <w:lvlText w:val="•"/>
      <w:lvlJc w:val="left"/>
      <w:pPr>
        <w:ind w:left="1694" w:hanging="360"/>
      </w:pPr>
      <w:rPr>
        <w:rFonts w:hint="default"/>
      </w:rPr>
    </w:lvl>
    <w:lvl w:ilvl="2" w:tplc="293A1938">
      <w:numFmt w:val="bullet"/>
      <w:lvlText w:val="•"/>
      <w:lvlJc w:val="left"/>
      <w:pPr>
        <w:ind w:left="2568" w:hanging="360"/>
      </w:pPr>
      <w:rPr>
        <w:rFonts w:hint="default"/>
      </w:rPr>
    </w:lvl>
    <w:lvl w:ilvl="3" w:tplc="01128998">
      <w:numFmt w:val="bullet"/>
      <w:lvlText w:val="•"/>
      <w:lvlJc w:val="left"/>
      <w:pPr>
        <w:ind w:left="3442" w:hanging="360"/>
      </w:pPr>
      <w:rPr>
        <w:rFonts w:hint="default"/>
      </w:rPr>
    </w:lvl>
    <w:lvl w:ilvl="4" w:tplc="06381566">
      <w:numFmt w:val="bullet"/>
      <w:lvlText w:val="•"/>
      <w:lvlJc w:val="left"/>
      <w:pPr>
        <w:ind w:left="4316" w:hanging="360"/>
      </w:pPr>
      <w:rPr>
        <w:rFonts w:hint="default"/>
      </w:rPr>
    </w:lvl>
    <w:lvl w:ilvl="5" w:tplc="70CCC488">
      <w:numFmt w:val="bullet"/>
      <w:lvlText w:val="•"/>
      <w:lvlJc w:val="left"/>
      <w:pPr>
        <w:ind w:left="5190" w:hanging="360"/>
      </w:pPr>
      <w:rPr>
        <w:rFonts w:hint="default"/>
      </w:rPr>
    </w:lvl>
    <w:lvl w:ilvl="6" w:tplc="22BE3C5A">
      <w:numFmt w:val="bullet"/>
      <w:lvlText w:val="•"/>
      <w:lvlJc w:val="left"/>
      <w:pPr>
        <w:ind w:left="6064" w:hanging="360"/>
      </w:pPr>
      <w:rPr>
        <w:rFonts w:hint="default"/>
      </w:rPr>
    </w:lvl>
    <w:lvl w:ilvl="7" w:tplc="91BAF930">
      <w:numFmt w:val="bullet"/>
      <w:lvlText w:val="•"/>
      <w:lvlJc w:val="left"/>
      <w:pPr>
        <w:ind w:left="6938" w:hanging="360"/>
      </w:pPr>
      <w:rPr>
        <w:rFonts w:hint="default"/>
      </w:rPr>
    </w:lvl>
    <w:lvl w:ilvl="8" w:tplc="40405A06">
      <w:numFmt w:val="bullet"/>
      <w:lvlText w:val="•"/>
      <w:lvlJc w:val="left"/>
      <w:pPr>
        <w:ind w:left="7812" w:hanging="360"/>
      </w:pPr>
      <w:rPr>
        <w:rFonts w:hint="default"/>
      </w:rPr>
    </w:lvl>
  </w:abstractNum>
  <w:abstractNum w:abstractNumId="7" w15:restartNumberingAfterBreak="0">
    <w:nsid w:val="6FA0169E"/>
    <w:multiLevelType w:val="hybridMultilevel"/>
    <w:tmpl w:val="C4B86656"/>
    <w:lvl w:ilvl="0" w:tplc="4E1E6632">
      <w:start w:val="14"/>
      <w:numFmt w:val="decimal"/>
      <w:lvlText w:val="%1."/>
      <w:lvlJc w:val="left"/>
      <w:pPr>
        <w:ind w:left="700" w:hanging="480"/>
        <w:jc w:val="right"/>
      </w:pPr>
      <w:rPr>
        <w:rFonts w:ascii="Times New Roman" w:eastAsia="Times New Roman" w:hAnsi="Times New Roman" w:cs="Times New Roman" w:hint="default"/>
        <w:b/>
        <w:bCs/>
        <w:w w:val="100"/>
        <w:sz w:val="24"/>
        <w:szCs w:val="24"/>
      </w:rPr>
    </w:lvl>
    <w:lvl w:ilvl="1" w:tplc="F7B22372">
      <w:numFmt w:val="bullet"/>
      <w:lvlText w:val="•"/>
      <w:lvlJc w:val="left"/>
      <w:pPr>
        <w:ind w:left="1612" w:hanging="480"/>
      </w:pPr>
      <w:rPr>
        <w:rFonts w:hint="default"/>
      </w:rPr>
    </w:lvl>
    <w:lvl w:ilvl="2" w:tplc="2AB01794">
      <w:numFmt w:val="bullet"/>
      <w:lvlText w:val="•"/>
      <w:lvlJc w:val="left"/>
      <w:pPr>
        <w:ind w:left="2524" w:hanging="480"/>
      </w:pPr>
      <w:rPr>
        <w:rFonts w:hint="default"/>
      </w:rPr>
    </w:lvl>
    <w:lvl w:ilvl="3" w:tplc="01440E8C">
      <w:numFmt w:val="bullet"/>
      <w:lvlText w:val="•"/>
      <w:lvlJc w:val="left"/>
      <w:pPr>
        <w:ind w:left="3436" w:hanging="480"/>
      </w:pPr>
      <w:rPr>
        <w:rFonts w:hint="default"/>
      </w:rPr>
    </w:lvl>
    <w:lvl w:ilvl="4" w:tplc="56184A34">
      <w:numFmt w:val="bullet"/>
      <w:lvlText w:val="•"/>
      <w:lvlJc w:val="left"/>
      <w:pPr>
        <w:ind w:left="4348" w:hanging="480"/>
      </w:pPr>
      <w:rPr>
        <w:rFonts w:hint="default"/>
      </w:rPr>
    </w:lvl>
    <w:lvl w:ilvl="5" w:tplc="44BAECB0">
      <w:numFmt w:val="bullet"/>
      <w:lvlText w:val="•"/>
      <w:lvlJc w:val="left"/>
      <w:pPr>
        <w:ind w:left="5260" w:hanging="480"/>
      </w:pPr>
      <w:rPr>
        <w:rFonts w:hint="default"/>
      </w:rPr>
    </w:lvl>
    <w:lvl w:ilvl="6" w:tplc="D36437C0">
      <w:numFmt w:val="bullet"/>
      <w:lvlText w:val="•"/>
      <w:lvlJc w:val="left"/>
      <w:pPr>
        <w:ind w:left="6172" w:hanging="480"/>
      </w:pPr>
      <w:rPr>
        <w:rFonts w:hint="default"/>
      </w:rPr>
    </w:lvl>
    <w:lvl w:ilvl="7" w:tplc="1D20DC12">
      <w:numFmt w:val="bullet"/>
      <w:lvlText w:val="•"/>
      <w:lvlJc w:val="left"/>
      <w:pPr>
        <w:ind w:left="7084" w:hanging="480"/>
      </w:pPr>
      <w:rPr>
        <w:rFonts w:hint="default"/>
      </w:rPr>
    </w:lvl>
    <w:lvl w:ilvl="8" w:tplc="21E24F7E">
      <w:numFmt w:val="bullet"/>
      <w:lvlText w:val="•"/>
      <w:lvlJc w:val="left"/>
      <w:pPr>
        <w:ind w:left="7996" w:hanging="480"/>
      </w:pPr>
      <w:rPr>
        <w:rFonts w:hint="default"/>
      </w:rPr>
    </w:lvl>
  </w:abstractNum>
  <w:num w:numId="1">
    <w:abstractNumId w:val="7"/>
  </w:num>
  <w:num w:numId="2">
    <w:abstractNumId w:val="1"/>
  </w:num>
  <w:num w:numId="3">
    <w:abstractNumId w:val="2"/>
  </w:num>
  <w:num w:numId="4">
    <w:abstractNumId w:val="6"/>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oNotTrackMove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1DC9"/>
    <w:rsid w:val="00032E97"/>
    <w:rsid w:val="00042986"/>
    <w:rsid w:val="0005222D"/>
    <w:rsid w:val="000745ED"/>
    <w:rsid w:val="00085E1C"/>
    <w:rsid w:val="000A524A"/>
    <w:rsid w:val="000D119E"/>
    <w:rsid w:val="000F5A25"/>
    <w:rsid w:val="000F6E65"/>
    <w:rsid w:val="00126209"/>
    <w:rsid w:val="00141AF7"/>
    <w:rsid w:val="00142D3B"/>
    <w:rsid w:val="001B7FB0"/>
    <w:rsid w:val="001C778B"/>
    <w:rsid w:val="001E1606"/>
    <w:rsid w:val="001F7052"/>
    <w:rsid w:val="00244C51"/>
    <w:rsid w:val="00245CD0"/>
    <w:rsid w:val="00247ABE"/>
    <w:rsid w:val="00261AD2"/>
    <w:rsid w:val="002775FB"/>
    <w:rsid w:val="002926E7"/>
    <w:rsid w:val="002A32C8"/>
    <w:rsid w:val="002A73BC"/>
    <w:rsid w:val="002B4800"/>
    <w:rsid w:val="002B6FF6"/>
    <w:rsid w:val="002D092C"/>
    <w:rsid w:val="0030776F"/>
    <w:rsid w:val="003169D6"/>
    <w:rsid w:val="003243C7"/>
    <w:rsid w:val="00361FC0"/>
    <w:rsid w:val="00367804"/>
    <w:rsid w:val="00393261"/>
    <w:rsid w:val="003C1A4B"/>
    <w:rsid w:val="003D144B"/>
    <w:rsid w:val="003E77CB"/>
    <w:rsid w:val="00401B27"/>
    <w:rsid w:val="004041AC"/>
    <w:rsid w:val="00417CC1"/>
    <w:rsid w:val="00433581"/>
    <w:rsid w:val="004467DC"/>
    <w:rsid w:val="0045409E"/>
    <w:rsid w:val="0046673B"/>
    <w:rsid w:val="0046799D"/>
    <w:rsid w:val="00472D0F"/>
    <w:rsid w:val="00487FBC"/>
    <w:rsid w:val="00496DDE"/>
    <w:rsid w:val="004D125D"/>
    <w:rsid w:val="004D3FBA"/>
    <w:rsid w:val="004D6E27"/>
    <w:rsid w:val="004E103E"/>
    <w:rsid w:val="00526AAE"/>
    <w:rsid w:val="005360A1"/>
    <w:rsid w:val="00540137"/>
    <w:rsid w:val="0055758A"/>
    <w:rsid w:val="00571BFA"/>
    <w:rsid w:val="005971AF"/>
    <w:rsid w:val="00597F34"/>
    <w:rsid w:val="005B0C13"/>
    <w:rsid w:val="005C04D9"/>
    <w:rsid w:val="005C078B"/>
    <w:rsid w:val="005C2698"/>
    <w:rsid w:val="005C7AFD"/>
    <w:rsid w:val="005F4D1C"/>
    <w:rsid w:val="00630B83"/>
    <w:rsid w:val="00631DC9"/>
    <w:rsid w:val="00632CAD"/>
    <w:rsid w:val="00650A91"/>
    <w:rsid w:val="006655A7"/>
    <w:rsid w:val="006713F4"/>
    <w:rsid w:val="00672A83"/>
    <w:rsid w:val="00682A86"/>
    <w:rsid w:val="00687561"/>
    <w:rsid w:val="006A7ABD"/>
    <w:rsid w:val="006B6F68"/>
    <w:rsid w:val="006D2B5E"/>
    <w:rsid w:val="006E3E3E"/>
    <w:rsid w:val="00713183"/>
    <w:rsid w:val="00756991"/>
    <w:rsid w:val="007738C2"/>
    <w:rsid w:val="007B6F60"/>
    <w:rsid w:val="007D27CF"/>
    <w:rsid w:val="007D5BC2"/>
    <w:rsid w:val="007D6510"/>
    <w:rsid w:val="008052BC"/>
    <w:rsid w:val="00822AA2"/>
    <w:rsid w:val="0084567D"/>
    <w:rsid w:val="00875879"/>
    <w:rsid w:val="0087608C"/>
    <w:rsid w:val="00880D48"/>
    <w:rsid w:val="00883611"/>
    <w:rsid w:val="00886C6E"/>
    <w:rsid w:val="0088708D"/>
    <w:rsid w:val="008928BC"/>
    <w:rsid w:val="008A13E3"/>
    <w:rsid w:val="008D1867"/>
    <w:rsid w:val="008D3F37"/>
    <w:rsid w:val="008F0D3B"/>
    <w:rsid w:val="008F2CE8"/>
    <w:rsid w:val="008F3AFE"/>
    <w:rsid w:val="00907799"/>
    <w:rsid w:val="0091727D"/>
    <w:rsid w:val="00933B59"/>
    <w:rsid w:val="00933D39"/>
    <w:rsid w:val="00935795"/>
    <w:rsid w:val="00935C86"/>
    <w:rsid w:val="009478FF"/>
    <w:rsid w:val="00963DB1"/>
    <w:rsid w:val="009C404A"/>
    <w:rsid w:val="009D59BC"/>
    <w:rsid w:val="00A02F65"/>
    <w:rsid w:val="00A562FB"/>
    <w:rsid w:val="00A57DCC"/>
    <w:rsid w:val="00A63916"/>
    <w:rsid w:val="00A65C3B"/>
    <w:rsid w:val="00A72FA8"/>
    <w:rsid w:val="00A74E45"/>
    <w:rsid w:val="00A832B8"/>
    <w:rsid w:val="00A91324"/>
    <w:rsid w:val="00AB0D96"/>
    <w:rsid w:val="00AD3EA4"/>
    <w:rsid w:val="00AF0CE1"/>
    <w:rsid w:val="00B050C7"/>
    <w:rsid w:val="00B362B7"/>
    <w:rsid w:val="00B7120E"/>
    <w:rsid w:val="00B80612"/>
    <w:rsid w:val="00B84041"/>
    <w:rsid w:val="00B85D54"/>
    <w:rsid w:val="00B86B7F"/>
    <w:rsid w:val="00B94700"/>
    <w:rsid w:val="00BA784A"/>
    <w:rsid w:val="00BB4AA3"/>
    <w:rsid w:val="00BC7553"/>
    <w:rsid w:val="00BE50EC"/>
    <w:rsid w:val="00BF3109"/>
    <w:rsid w:val="00BF6F59"/>
    <w:rsid w:val="00C07B98"/>
    <w:rsid w:val="00C1648A"/>
    <w:rsid w:val="00C2655C"/>
    <w:rsid w:val="00C32E59"/>
    <w:rsid w:val="00C36323"/>
    <w:rsid w:val="00C62D96"/>
    <w:rsid w:val="00C75E26"/>
    <w:rsid w:val="00C8366A"/>
    <w:rsid w:val="00CA4421"/>
    <w:rsid w:val="00CB025A"/>
    <w:rsid w:val="00CB6D47"/>
    <w:rsid w:val="00CB76B7"/>
    <w:rsid w:val="00CC40A1"/>
    <w:rsid w:val="00D21C4A"/>
    <w:rsid w:val="00D24E3E"/>
    <w:rsid w:val="00D470E9"/>
    <w:rsid w:val="00D62967"/>
    <w:rsid w:val="00D83052"/>
    <w:rsid w:val="00DB5310"/>
    <w:rsid w:val="00DD253D"/>
    <w:rsid w:val="00E23B62"/>
    <w:rsid w:val="00E46495"/>
    <w:rsid w:val="00E709D2"/>
    <w:rsid w:val="00E73135"/>
    <w:rsid w:val="00E975B5"/>
    <w:rsid w:val="00EA7EF9"/>
    <w:rsid w:val="00EB574B"/>
    <w:rsid w:val="00ED2CC1"/>
    <w:rsid w:val="00EE3331"/>
    <w:rsid w:val="00EF789D"/>
    <w:rsid w:val="00F11B8D"/>
    <w:rsid w:val="00F222AB"/>
    <w:rsid w:val="00F24DE9"/>
    <w:rsid w:val="00F46F2B"/>
    <w:rsid w:val="00F66797"/>
    <w:rsid w:val="00FD791D"/>
    <w:rsid w:val="00FE6DFF"/>
    <w:rsid w:val="00FF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58A5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pPr>
      <w:spacing w:before="1"/>
      <w:ind w:left="769" w:right="654"/>
      <w:jc w:val="center"/>
      <w:outlineLvl w:val="0"/>
    </w:pPr>
    <w:rPr>
      <w:b/>
      <w:bCs/>
      <w:sz w:val="28"/>
      <w:szCs w:val="28"/>
    </w:rPr>
  </w:style>
  <w:style w:type="paragraph" w:styleId="Heading2">
    <w:name w:val="heading 2"/>
    <w:basedOn w:val="Normal"/>
    <w:uiPriority w:val="1"/>
    <w:qFormat/>
    <w:pPr>
      <w:ind w:left="580" w:hanging="4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4"/>
      <w:ind w:left="90"/>
    </w:pPr>
    <w:rPr>
      <w:rFonts w:ascii="Calibri" w:eastAsia="Calibri" w:hAnsi="Calibri" w:cs="Calibri"/>
    </w:rPr>
  </w:style>
  <w:style w:type="paragraph" w:styleId="Title">
    <w:name w:val="Title"/>
    <w:basedOn w:val="Normal"/>
    <w:link w:val="TitleChar"/>
    <w:qFormat/>
    <w:rsid w:val="000F5A25"/>
    <w:pPr>
      <w:widowControl/>
      <w:autoSpaceDE/>
      <w:autoSpaceDN/>
      <w:jc w:val="center"/>
    </w:pPr>
    <w:rPr>
      <w:rFonts w:ascii="Courier New" w:hAnsi="Courier New"/>
      <w:b/>
      <w:sz w:val="24"/>
      <w:szCs w:val="20"/>
      <w:u w:val="single"/>
    </w:rPr>
  </w:style>
  <w:style w:type="character" w:customStyle="1" w:styleId="TitleChar">
    <w:name w:val="Title Char"/>
    <w:link w:val="Title"/>
    <w:rsid w:val="000F5A25"/>
    <w:rPr>
      <w:rFonts w:ascii="Courier New" w:eastAsia="Times New Roman" w:hAnsi="Courier New"/>
      <w:b/>
      <w:sz w:val="24"/>
      <w:u w:val="single"/>
    </w:rPr>
  </w:style>
  <w:style w:type="paragraph" w:styleId="Header">
    <w:name w:val="header"/>
    <w:basedOn w:val="Normal"/>
    <w:link w:val="HeaderChar"/>
    <w:uiPriority w:val="99"/>
    <w:unhideWhenUsed/>
    <w:rsid w:val="00142D3B"/>
    <w:pPr>
      <w:tabs>
        <w:tab w:val="center" w:pos="4680"/>
        <w:tab w:val="right" w:pos="9360"/>
      </w:tabs>
    </w:pPr>
  </w:style>
  <w:style w:type="character" w:customStyle="1" w:styleId="HeaderChar">
    <w:name w:val="Header Char"/>
    <w:link w:val="Header"/>
    <w:uiPriority w:val="99"/>
    <w:rsid w:val="00142D3B"/>
    <w:rPr>
      <w:rFonts w:ascii="Times New Roman" w:eastAsia="Times New Roman" w:hAnsi="Times New Roman"/>
      <w:sz w:val="22"/>
      <w:szCs w:val="22"/>
    </w:rPr>
  </w:style>
  <w:style w:type="paragraph" w:styleId="Footer">
    <w:name w:val="footer"/>
    <w:basedOn w:val="Normal"/>
    <w:link w:val="FooterChar"/>
    <w:uiPriority w:val="99"/>
    <w:unhideWhenUsed/>
    <w:rsid w:val="00142D3B"/>
    <w:pPr>
      <w:tabs>
        <w:tab w:val="center" w:pos="4680"/>
        <w:tab w:val="right" w:pos="9360"/>
      </w:tabs>
    </w:pPr>
  </w:style>
  <w:style w:type="character" w:customStyle="1" w:styleId="FooterChar">
    <w:name w:val="Footer Char"/>
    <w:link w:val="Footer"/>
    <w:uiPriority w:val="99"/>
    <w:rsid w:val="00142D3B"/>
    <w:rPr>
      <w:rFonts w:ascii="Times New Roman" w:eastAsia="Times New Roman" w:hAnsi="Times New Roman"/>
      <w:sz w:val="22"/>
      <w:szCs w:val="22"/>
    </w:rPr>
  </w:style>
  <w:style w:type="paragraph" w:styleId="BalloonText">
    <w:name w:val="Balloon Text"/>
    <w:basedOn w:val="Normal"/>
    <w:link w:val="BalloonTextChar"/>
    <w:uiPriority w:val="99"/>
    <w:semiHidden/>
    <w:unhideWhenUsed/>
    <w:rsid w:val="00D470E9"/>
    <w:rPr>
      <w:rFonts w:ascii="Tahoma" w:hAnsi="Tahoma" w:cs="Tahoma"/>
      <w:sz w:val="16"/>
      <w:szCs w:val="16"/>
    </w:rPr>
  </w:style>
  <w:style w:type="character" w:customStyle="1" w:styleId="BalloonTextChar">
    <w:name w:val="Balloon Text Char"/>
    <w:link w:val="BalloonText"/>
    <w:uiPriority w:val="99"/>
    <w:semiHidden/>
    <w:rsid w:val="00D470E9"/>
    <w:rPr>
      <w:rFonts w:ascii="Tahoma" w:eastAsia="Times New Roman" w:hAnsi="Tahoma" w:cs="Tahoma"/>
      <w:sz w:val="16"/>
      <w:szCs w:val="16"/>
    </w:rPr>
  </w:style>
  <w:style w:type="character" w:styleId="CommentReference">
    <w:name w:val="annotation reference"/>
    <w:uiPriority w:val="99"/>
    <w:semiHidden/>
    <w:unhideWhenUsed/>
    <w:rsid w:val="00DD253D"/>
    <w:rPr>
      <w:sz w:val="16"/>
      <w:szCs w:val="16"/>
    </w:rPr>
  </w:style>
  <w:style w:type="paragraph" w:styleId="CommentText">
    <w:name w:val="annotation text"/>
    <w:basedOn w:val="Normal"/>
    <w:link w:val="CommentTextChar"/>
    <w:uiPriority w:val="99"/>
    <w:semiHidden/>
    <w:unhideWhenUsed/>
    <w:rsid w:val="00DD253D"/>
    <w:rPr>
      <w:sz w:val="20"/>
      <w:szCs w:val="20"/>
    </w:rPr>
  </w:style>
  <w:style w:type="character" w:customStyle="1" w:styleId="CommentTextChar">
    <w:name w:val="Comment Text Char"/>
    <w:link w:val="CommentText"/>
    <w:uiPriority w:val="99"/>
    <w:semiHidden/>
    <w:rsid w:val="00DD25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D253D"/>
    <w:rPr>
      <w:b/>
      <w:bCs/>
    </w:rPr>
  </w:style>
  <w:style w:type="character" w:customStyle="1" w:styleId="CommentSubjectChar">
    <w:name w:val="Comment Subject Char"/>
    <w:link w:val="CommentSubject"/>
    <w:uiPriority w:val="99"/>
    <w:semiHidden/>
    <w:rsid w:val="00DD253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76375">
      <w:bodyDiv w:val="1"/>
      <w:marLeft w:val="0"/>
      <w:marRight w:val="0"/>
      <w:marTop w:val="0"/>
      <w:marBottom w:val="0"/>
      <w:divBdr>
        <w:top w:val="none" w:sz="0" w:space="0" w:color="auto"/>
        <w:left w:val="none" w:sz="0" w:space="0" w:color="auto"/>
        <w:bottom w:val="none" w:sz="0" w:space="0" w:color="auto"/>
        <w:right w:val="none" w:sz="0" w:space="0" w:color="auto"/>
      </w:divBdr>
      <w:divsChild>
        <w:div w:id="495415267">
          <w:marLeft w:val="0"/>
          <w:marRight w:val="0"/>
          <w:marTop w:val="0"/>
          <w:marBottom w:val="0"/>
          <w:divBdr>
            <w:top w:val="none" w:sz="0" w:space="0" w:color="auto"/>
            <w:left w:val="none" w:sz="0" w:space="0" w:color="auto"/>
            <w:bottom w:val="none" w:sz="0" w:space="0" w:color="auto"/>
            <w:right w:val="none" w:sz="0" w:space="0" w:color="auto"/>
          </w:divBdr>
        </w:div>
      </w:divsChild>
    </w:div>
    <w:div w:id="292751974">
      <w:bodyDiv w:val="1"/>
      <w:marLeft w:val="0"/>
      <w:marRight w:val="0"/>
      <w:marTop w:val="0"/>
      <w:marBottom w:val="0"/>
      <w:divBdr>
        <w:top w:val="none" w:sz="0" w:space="0" w:color="auto"/>
        <w:left w:val="none" w:sz="0" w:space="0" w:color="auto"/>
        <w:bottom w:val="none" w:sz="0" w:space="0" w:color="auto"/>
        <w:right w:val="none" w:sz="0" w:space="0" w:color="auto"/>
      </w:divBdr>
    </w:div>
    <w:div w:id="542138684">
      <w:bodyDiv w:val="1"/>
      <w:marLeft w:val="0"/>
      <w:marRight w:val="0"/>
      <w:marTop w:val="0"/>
      <w:marBottom w:val="0"/>
      <w:divBdr>
        <w:top w:val="none" w:sz="0" w:space="0" w:color="auto"/>
        <w:left w:val="none" w:sz="0" w:space="0" w:color="auto"/>
        <w:bottom w:val="none" w:sz="0" w:space="0" w:color="auto"/>
        <w:right w:val="none" w:sz="0" w:space="0" w:color="auto"/>
      </w:divBdr>
    </w:div>
    <w:div w:id="206637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ask/answers/030315/what-financial-services-sector.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m.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r/realestate.asp" TargetMode="External"/><Relationship Id="rId5" Type="http://schemas.openxmlformats.org/officeDocument/2006/relationships/footnotes" Target="footnotes.xml"/><Relationship Id="rId10" Type="http://schemas.openxmlformats.org/officeDocument/2006/relationships/hyperlink" Target="https://www.investopedia.com/terms/t/thrift.asp" TargetMode="External"/><Relationship Id="rId4" Type="http://schemas.openxmlformats.org/officeDocument/2006/relationships/webSettings" Target="webSettings.xml"/><Relationship Id="rId9" Type="http://schemas.openxmlformats.org/officeDocument/2006/relationships/hyperlink" Target="https://www.investopedia.com/terms/c/creditunion.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16838</CharactersWithSpaces>
  <SharedDoc>false</SharedDoc>
  <HLinks>
    <vt:vector size="36" baseType="variant">
      <vt:variant>
        <vt:i4>6225998</vt:i4>
      </vt:variant>
      <vt:variant>
        <vt:i4>15</vt:i4>
      </vt:variant>
      <vt:variant>
        <vt:i4>0</vt:i4>
      </vt:variant>
      <vt:variant>
        <vt:i4>5</vt:i4>
      </vt:variant>
      <vt:variant>
        <vt:lpwstr>http://login.gov/</vt:lpwstr>
      </vt:variant>
      <vt:variant>
        <vt:lpwstr/>
      </vt:variant>
      <vt:variant>
        <vt:i4>6291510</vt:i4>
      </vt:variant>
      <vt:variant>
        <vt:i4>12</vt:i4>
      </vt:variant>
      <vt:variant>
        <vt:i4>0</vt:i4>
      </vt:variant>
      <vt:variant>
        <vt:i4>5</vt:i4>
      </vt:variant>
      <vt:variant>
        <vt:lpwstr>https://www.investopedia.com/terms/r/realestate.asp</vt:lpwstr>
      </vt:variant>
      <vt:variant>
        <vt:lpwstr/>
      </vt:variant>
      <vt:variant>
        <vt:i4>7340093</vt:i4>
      </vt:variant>
      <vt:variant>
        <vt:i4>9</vt:i4>
      </vt:variant>
      <vt:variant>
        <vt:i4>0</vt:i4>
      </vt:variant>
      <vt:variant>
        <vt:i4>5</vt:i4>
      </vt:variant>
      <vt:variant>
        <vt:lpwstr>https://www.investopedia.com/terms/t/thrift.asp</vt:lpwstr>
      </vt:variant>
      <vt:variant>
        <vt:lpwstr/>
      </vt:variant>
      <vt:variant>
        <vt:i4>5636119</vt:i4>
      </vt:variant>
      <vt:variant>
        <vt:i4>6</vt:i4>
      </vt:variant>
      <vt:variant>
        <vt:i4>0</vt:i4>
      </vt:variant>
      <vt:variant>
        <vt:i4>5</vt:i4>
      </vt:variant>
      <vt:variant>
        <vt:lpwstr>https://www.investopedia.com/terms/c/creditunion.asp</vt:lpwstr>
      </vt:variant>
      <vt:variant>
        <vt:lpwstr/>
      </vt:variant>
      <vt:variant>
        <vt:i4>7405617</vt:i4>
      </vt:variant>
      <vt:variant>
        <vt:i4>3</vt:i4>
      </vt:variant>
      <vt:variant>
        <vt:i4>0</vt:i4>
      </vt:variant>
      <vt:variant>
        <vt:i4>5</vt:i4>
      </vt:variant>
      <vt:variant>
        <vt:lpwstr>https://www.investopedia.com/ask/answers/030315/what-financial-services-sector.asp</vt:lpwstr>
      </vt:variant>
      <vt:variant>
        <vt:lpwstr/>
      </vt: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2021-11-03T11:56:00Z</dcterms:created>
  <dcterms:modified xsi:type="dcterms:W3CDTF">2021-11-09T18:12:00Z</dcterms:modified>
</cp:coreProperties>
</file>