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147A7" w:rsidR="00622112" w:rsidP="003333BC" w:rsidRDefault="00622112" w14:paraId="74AF73AE" w14:textId="77777777">
      <w:pPr>
        <w:tabs>
          <w:tab w:val="left" w:pos="-720"/>
        </w:tabs>
        <w:suppressAutoHyphens/>
        <w:jc w:val="center"/>
        <w:rPr>
          <w:rFonts w:ascii="Times New Roman" w:hAnsi="Times New Roman"/>
          <w:b/>
          <w:sz w:val="22"/>
          <w:szCs w:val="22"/>
        </w:rPr>
      </w:pPr>
    </w:p>
    <w:p w:rsidRPr="00B147A7" w:rsidR="00622112" w:rsidP="0019711E" w:rsidRDefault="00622112" w14:paraId="09F5D70C" w14:textId="77777777">
      <w:pPr>
        <w:tabs>
          <w:tab w:val="left" w:pos="-720"/>
          <w:tab w:val="left" w:pos="540"/>
        </w:tabs>
        <w:suppressAutoHyphens/>
        <w:rPr>
          <w:rFonts w:ascii="Times New Roman" w:hAnsi="Times New Roman"/>
          <w:sz w:val="22"/>
          <w:szCs w:val="22"/>
        </w:rPr>
      </w:pPr>
    </w:p>
    <w:p w:rsidRPr="00191DF8" w:rsidR="00545D15" w:rsidP="00545D15" w:rsidRDefault="00545D15" w14:paraId="37478C26" w14:textId="4A689AF1">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Pr="00191DF8" w:rsidR="00B02D60">
        <w:rPr>
          <w:rFonts w:ascii="Times New Roman" w:hAnsi="Times New Roman"/>
          <w:b/>
          <w:sz w:val="22"/>
          <w:szCs w:val="22"/>
        </w:rPr>
        <w:t xml:space="preserve"> </w:t>
      </w:r>
      <w:r w:rsidRPr="00191DF8" w:rsidR="008B6FEC">
        <w:rPr>
          <w:rFonts w:ascii="Times New Roman" w:hAnsi="Times New Roman"/>
          <w:b/>
          <w:sz w:val="22"/>
          <w:szCs w:val="22"/>
        </w:rPr>
        <w:t>Justification</w:t>
      </w:r>
      <w:r w:rsidRPr="00191DF8">
        <w:rPr>
          <w:rFonts w:ascii="Times New Roman" w:hAnsi="Times New Roman"/>
          <w:b/>
          <w:sz w:val="22"/>
          <w:szCs w:val="22"/>
        </w:rPr>
        <w:t>:</w:t>
      </w:r>
      <w:r w:rsidRPr="00191DF8" w:rsidR="00B02D60">
        <w:rPr>
          <w:rFonts w:ascii="Times New Roman" w:hAnsi="Times New Roman"/>
          <w:b/>
          <w:sz w:val="22"/>
          <w:szCs w:val="22"/>
        </w:rPr>
        <w:t xml:space="preserve"> </w:t>
      </w:r>
      <w:r w:rsidR="000719DC">
        <w:rPr>
          <w:rFonts w:ascii="Times New Roman" w:hAnsi="Times New Roman"/>
          <w:b/>
          <w:sz w:val="22"/>
          <w:szCs w:val="22"/>
        </w:rPr>
        <w:t xml:space="preserve">Notice of Funding Opportunity: </w:t>
      </w:r>
      <w:r w:rsidR="00AF4DCC">
        <w:rPr>
          <w:rFonts w:ascii="Times New Roman" w:hAnsi="Times New Roman"/>
          <w:b/>
          <w:sz w:val="22"/>
          <w:szCs w:val="22"/>
        </w:rPr>
        <w:t>Native American Basic L</w:t>
      </w:r>
      <w:r w:rsidRPr="00AF4DCC" w:rsidR="00AF4DCC">
        <w:rPr>
          <w:rFonts w:ascii="Times New Roman" w:hAnsi="Times New Roman"/>
          <w:b/>
          <w:sz w:val="22"/>
          <w:szCs w:val="22"/>
        </w:rPr>
        <w:t>ibrary</w:t>
      </w:r>
      <w:r w:rsidRPr="00191DF8">
        <w:rPr>
          <w:rFonts w:ascii="Times New Roman" w:hAnsi="Times New Roman"/>
          <w:b/>
          <w:sz w:val="22"/>
          <w:szCs w:val="22"/>
        </w:rPr>
        <w:t>, OMB Control Number 3137-</w:t>
      </w:r>
      <w:r w:rsidR="00A94852">
        <w:rPr>
          <w:rFonts w:ascii="Times New Roman" w:hAnsi="Times New Roman"/>
          <w:b/>
          <w:sz w:val="22"/>
          <w:szCs w:val="22"/>
        </w:rPr>
        <w:t>0093</w:t>
      </w:r>
    </w:p>
    <w:p w:rsidRPr="00B147A7" w:rsidR="008B6FEC" w:rsidP="0019711E" w:rsidRDefault="008B6FEC" w14:paraId="4ED86EC3" w14:textId="77777777">
      <w:pPr>
        <w:tabs>
          <w:tab w:val="left" w:pos="-720"/>
          <w:tab w:val="left" w:pos="0"/>
          <w:tab w:val="left" w:pos="540"/>
        </w:tabs>
        <w:suppressAutoHyphens/>
        <w:ind w:left="720" w:hanging="720"/>
        <w:rPr>
          <w:rFonts w:ascii="Times New Roman" w:hAnsi="Times New Roman"/>
          <w:sz w:val="22"/>
          <w:szCs w:val="22"/>
        </w:rPr>
      </w:pPr>
    </w:p>
    <w:p w:rsidRPr="00191DF8" w:rsidR="00B97879" w:rsidP="0019711E" w:rsidRDefault="00B97879" w14:paraId="69BDE125" w14:textId="506EEE29">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rsidRPr="00B147A7" w:rsidR="00B97879" w:rsidP="00191DF8" w:rsidRDefault="00B97879" w14:paraId="630950DB" w14:textId="77777777">
      <w:pPr>
        <w:tabs>
          <w:tab w:val="left" w:pos="-720"/>
          <w:tab w:val="left" w:pos="0"/>
          <w:tab w:val="left" w:pos="540"/>
        </w:tabs>
        <w:suppressAutoHyphens/>
        <w:ind w:left="360"/>
        <w:rPr>
          <w:rFonts w:ascii="Times New Roman" w:hAnsi="Times New Roman"/>
          <w:b/>
          <w:sz w:val="22"/>
          <w:szCs w:val="22"/>
        </w:rPr>
      </w:pPr>
    </w:p>
    <w:p w:rsidRPr="00B147A7" w:rsidR="000719DC" w:rsidP="000719DC" w:rsidRDefault="000719DC" w14:paraId="77881F50" w14:textId="08809DE6">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Pr="001E7630" w:rsidR="001E7630">
        <w:rPr>
          <w:rFonts w:ascii="Times New Roman" w:hAnsi="Times New Roman"/>
          <w:sz w:val="22"/>
          <w:szCs w:val="22"/>
        </w:rPr>
        <w:t>Native American Basic Library</w:t>
      </w:r>
      <w:r w:rsidRPr="000719DC">
        <w:rPr>
          <w:rFonts w:ascii="Times New Roman" w:hAnsi="Times New Roman"/>
          <w:sz w:val="22"/>
          <w:szCs w:val="22"/>
        </w:rPr>
        <w:t xml:space="preserve"> </w:t>
      </w:r>
      <w:r w:rsidR="001E7630">
        <w:rPr>
          <w:rFonts w:ascii="Times New Roman" w:hAnsi="Times New Roman"/>
          <w:sz w:val="22"/>
          <w:szCs w:val="22"/>
        </w:rPr>
        <w:t xml:space="preserve">grant programs </w:t>
      </w:r>
      <w:r w:rsidR="000B7AE6">
        <w:rPr>
          <w:rFonts w:ascii="Times New Roman" w:hAnsi="Times New Roman"/>
          <w:sz w:val="22"/>
          <w:szCs w:val="22"/>
        </w:rPr>
        <w:t xml:space="preserve">separating them from other </w:t>
      </w:r>
      <w:r w:rsidRPr="00191DF8">
        <w:rPr>
          <w:rFonts w:ascii="Times New Roman" w:hAnsi="Times New Roman"/>
          <w:sz w:val="22"/>
          <w:szCs w:val="22"/>
        </w:rPr>
        <w:t>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The information coll</w:t>
      </w:r>
      <w:r w:rsidR="00A74D0D">
        <w:rPr>
          <w:rFonts w:ascii="Times New Roman" w:hAnsi="Times New Roman"/>
          <w:sz w:val="22"/>
          <w:szCs w:val="22"/>
        </w:rPr>
        <w:t>ections in this package includes</w:t>
      </w:r>
      <w:r w:rsidRPr="00B147A7" w:rsidR="000B7AE6">
        <w:rPr>
          <w:rFonts w:ascii="Times New Roman" w:hAnsi="Times New Roman"/>
          <w:sz w:val="22"/>
          <w:szCs w:val="22"/>
        </w:rPr>
        <w:t xml:space="preserve"> </w:t>
      </w:r>
      <w:r w:rsidRPr="00B147A7">
        <w:rPr>
          <w:rFonts w:ascii="Times New Roman" w:hAnsi="Times New Roman"/>
          <w:sz w:val="22"/>
          <w:szCs w:val="22"/>
        </w:rPr>
        <w:t>the Notices of Funding Opportunit</w:t>
      </w:r>
      <w:r w:rsidR="00A74D0D">
        <w:rPr>
          <w:rFonts w:ascii="Times New Roman" w:hAnsi="Times New Roman"/>
          <w:sz w:val="22"/>
          <w:szCs w:val="22"/>
        </w:rPr>
        <w:t>y</w:t>
      </w:r>
      <w:r w:rsidRPr="00B147A7">
        <w:rPr>
          <w:rFonts w:ascii="Times New Roman" w:hAnsi="Times New Roman"/>
          <w:sz w:val="22"/>
          <w:szCs w:val="22"/>
        </w:rPr>
        <w:t xml:space="preserve">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p>
    <w:p w:rsidRPr="00B147A7" w:rsidR="000719DC" w:rsidP="000719DC" w:rsidRDefault="000719DC" w14:paraId="3C2631E1" w14:textId="77777777">
      <w:pPr>
        <w:tabs>
          <w:tab w:val="left" w:pos="-720"/>
          <w:tab w:val="left" w:pos="0"/>
          <w:tab w:val="left" w:pos="540"/>
        </w:tabs>
        <w:suppressAutoHyphens/>
        <w:rPr>
          <w:rFonts w:ascii="Times New Roman" w:hAnsi="Times New Roman"/>
          <w:sz w:val="22"/>
          <w:szCs w:val="22"/>
        </w:rPr>
      </w:pPr>
    </w:p>
    <w:p w:rsidRPr="001E7630" w:rsidR="001E7630" w:rsidP="00A74D0D" w:rsidRDefault="000719DC" w14:paraId="5AF74719" w14:textId="49363B86">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p>
    <w:p w:rsidRPr="00B313BA" w:rsidR="00B313BA" w:rsidP="00B313BA" w:rsidRDefault="00B313BA" w14:paraId="45A4E191" w14:textId="77777777">
      <w:pPr>
        <w:tabs>
          <w:tab w:val="left" w:pos="-720"/>
          <w:tab w:val="left" w:pos="540"/>
        </w:tabs>
        <w:suppressAutoHyphens/>
        <w:ind w:left="360"/>
        <w:rPr>
          <w:rFonts w:ascii="Times New Roman" w:hAnsi="Times New Roman"/>
          <w:sz w:val="22"/>
          <w:szCs w:val="22"/>
        </w:rPr>
      </w:pPr>
    </w:p>
    <w:p w:rsidRPr="00B147A7" w:rsidR="0019711E" w:rsidP="0019711E" w:rsidRDefault="0019711E" w14:paraId="4E0D7296" w14:textId="23E16853">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Pr="00B147A7" w:rsidR="0069348D">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Pr="00B147A7" w:rsidR="0069348D">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Pr="00B147A7" w:rsidR="0084327D">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Pr="00B147A7" w:rsidR="0069348D">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Pr="00B147A7" w:rsidR="00B02D60">
        <w:rPr>
          <w:rFonts w:ascii="Times New Roman" w:hAnsi="Times New Roman"/>
          <w:color w:val="000000"/>
          <w:sz w:val="22"/>
          <w:szCs w:val="22"/>
        </w:rPr>
        <w:t xml:space="preserve"> </w:t>
      </w:r>
      <w:r w:rsidRPr="00B147A7" w:rsidR="003A17CB">
        <w:rPr>
          <w:rFonts w:ascii="Times New Roman" w:hAnsi="Times New Roman"/>
          <w:color w:val="000000"/>
          <w:sz w:val="22"/>
          <w:szCs w:val="22"/>
        </w:rPr>
        <w:t xml:space="preserve">Beginning </w:t>
      </w:r>
      <w:r w:rsidRPr="00B147A7" w:rsidR="0069348D">
        <w:rPr>
          <w:rFonts w:ascii="Times New Roman" w:hAnsi="Times New Roman"/>
          <w:color w:val="000000"/>
          <w:sz w:val="22"/>
          <w:szCs w:val="22"/>
        </w:rPr>
        <w:t xml:space="preserve">in </w:t>
      </w:r>
      <w:r w:rsidRPr="00B147A7" w:rsidR="003A17CB">
        <w:rPr>
          <w:rFonts w:ascii="Times New Roman" w:hAnsi="Times New Roman"/>
          <w:color w:val="000000"/>
          <w:sz w:val="22"/>
          <w:szCs w:val="22"/>
        </w:rPr>
        <w:t>FY2013</w:t>
      </w:r>
      <w:r w:rsidRPr="00B147A7" w:rsidR="0069348D">
        <w:rPr>
          <w:rFonts w:ascii="Times New Roman" w:hAnsi="Times New Roman"/>
          <w:color w:val="000000"/>
          <w:sz w:val="22"/>
          <w:szCs w:val="22"/>
        </w:rPr>
        <w:t xml:space="preserve">, </w:t>
      </w:r>
      <w:r w:rsidRPr="00B147A7" w:rsidR="003A17CB">
        <w:rPr>
          <w:rFonts w:ascii="Times New Roman" w:hAnsi="Times New Roman"/>
          <w:color w:val="000000"/>
          <w:sz w:val="22"/>
          <w:szCs w:val="22"/>
        </w:rPr>
        <w:t xml:space="preserve">IMLS </w:t>
      </w:r>
      <w:r w:rsidRPr="00B147A7" w:rsidR="004666E9">
        <w:rPr>
          <w:rFonts w:ascii="Times New Roman" w:hAnsi="Times New Roman"/>
          <w:color w:val="000000"/>
          <w:sz w:val="22"/>
          <w:szCs w:val="22"/>
        </w:rPr>
        <w:t>complied</w:t>
      </w:r>
      <w:r w:rsidRPr="00B147A7" w:rsidR="00147735">
        <w:rPr>
          <w:rFonts w:ascii="Times New Roman" w:hAnsi="Times New Roman"/>
          <w:color w:val="000000"/>
          <w:sz w:val="22"/>
          <w:szCs w:val="22"/>
        </w:rPr>
        <w:t xml:space="preserve"> with the Plain Writing Act of 2010 to provide “clear government communication that the public can understand and use.”</w:t>
      </w:r>
      <w:r w:rsidRPr="00B147A7" w:rsidR="00B02D60">
        <w:rPr>
          <w:rFonts w:ascii="Times New Roman" w:hAnsi="Times New Roman"/>
          <w:color w:val="000000"/>
          <w:sz w:val="22"/>
          <w:szCs w:val="22"/>
        </w:rPr>
        <w:t xml:space="preserve"> </w:t>
      </w:r>
      <w:r w:rsidRPr="00B147A7" w:rsidR="00147735">
        <w:rPr>
          <w:rFonts w:ascii="Times New Roman" w:hAnsi="Times New Roman"/>
          <w:sz w:val="22"/>
          <w:szCs w:val="22"/>
        </w:rPr>
        <w:t xml:space="preserve">We at the Institute of Museum and Library Services are committed to writing new documents in plain language, using the </w:t>
      </w:r>
      <w:hyperlink w:history="1" r:id="rId11">
        <w:r w:rsidRPr="00B147A7" w:rsidR="00147735">
          <w:rPr>
            <w:rStyle w:val="Hyperlink"/>
            <w:rFonts w:ascii="Times New Roman" w:hAnsi="Times New Roman"/>
            <w:sz w:val="22"/>
            <w:szCs w:val="22"/>
          </w:rPr>
          <w:t>Federal Plain Language Guidelines</w:t>
        </w:r>
      </w:hyperlink>
      <w:r w:rsidRPr="00B147A7" w:rsidR="00147735">
        <w:rPr>
          <w:rFonts w:ascii="Times New Roman" w:hAnsi="Times New Roman"/>
          <w:sz w:val="22"/>
          <w:szCs w:val="22"/>
        </w:rPr>
        <w:t>.</w:t>
      </w:r>
    </w:p>
    <w:p w:rsidRPr="00B147A7" w:rsidR="001606AA" w:rsidP="0019711E" w:rsidRDefault="001606AA" w14:paraId="74F1B556" w14:textId="77777777">
      <w:pPr>
        <w:tabs>
          <w:tab w:val="left" w:pos="-720"/>
          <w:tab w:val="left" w:pos="540"/>
        </w:tabs>
        <w:suppressAutoHyphens/>
        <w:rPr>
          <w:rFonts w:ascii="Times New Roman" w:hAnsi="Times New Roman"/>
          <w:color w:val="000000"/>
          <w:sz w:val="22"/>
          <w:szCs w:val="22"/>
        </w:rPr>
      </w:pPr>
    </w:p>
    <w:p w:rsidRPr="00191DF8" w:rsidR="006C44B4" w:rsidP="0019711E" w:rsidRDefault="006C44B4" w14:paraId="72E7860A" w14:textId="041ECAAC">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rsidRPr="00B147A7" w:rsidR="006C44B4" w:rsidP="00191DF8" w:rsidRDefault="006C44B4" w14:paraId="26C59EE9" w14:textId="77777777">
      <w:pPr>
        <w:tabs>
          <w:tab w:val="left" w:pos="540"/>
        </w:tabs>
        <w:ind w:left="360"/>
        <w:rPr>
          <w:rFonts w:ascii="Times New Roman" w:hAnsi="Times New Roman"/>
          <w:color w:val="000000"/>
          <w:sz w:val="22"/>
          <w:szCs w:val="22"/>
        </w:rPr>
      </w:pPr>
    </w:p>
    <w:p w:rsidRPr="00B147A7" w:rsidR="001606AA" w:rsidP="00191DF8" w:rsidRDefault="001606AA" w14:paraId="77C6A411" w14:textId="6D23D1E6">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It is also used by the agency for strategic planning, performance analysis, and to provide information to the Administration and to Congress.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Pr="00B147A7" w:rsidR="0069348D">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Pr="00755663" w:rsidR="00755663">
        <w:rPr>
          <w:rFonts w:ascii="Times New Roman" w:hAnsi="Times New Roman"/>
          <w:sz w:val="22"/>
          <w:szCs w:val="22"/>
        </w:rPr>
        <w:t xml:space="preserve"> </w:t>
      </w:r>
      <w:r w:rsidRPr="00755663" w:rsidR="00755663">
        <w:rPr>
          <w:rFonts w:ascii="Times New Roman" w:hAnsi="Times New Roman"/>
          <w:color w:val="000000"/>
          <w:sz w:val="22"/>
          <w:szCs w:val="22"/>
        </w:rPr>
        <w:t>IMLS intends to make final grant reports available via its website and so informs grantees.</w:t>
      </w:r>
    </w:p>
    <w:p w:rsidRPr="00B147A7" w:rsidR="001606AA" w:rsidP="0019711E" w:rsidRDefault="001606AA" w14:paraId="1A911BE3" w14:textId="77777777">
      <w:pPr>
        <w:tabs>
          <w:tab w:val="left" w:pos="540"/>
        </w:tabs>
        <w:rPr>
          <w:rFonts w:ascii="Times New Roman" w:hAnsi="Times New Roman"/>
          <w:color w:val="000000"/>
          <w:sz w:val="22"/>
          <w:szCs w:val="22"/>
        </w:rPr>
      </w:pPr>
    </w:p>
    <w:p w:rsidRPr="00191DF8" w:rsidR="006C44B4" w:rsidP="005805EC" w:rsidRDefault="006C44B4" w14:paraId="2152EE4A" w14:textId="7EAF9BE3">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rsidRPr="00B147A7" w:rsidR="006C44B4" w:rsidP="00191DF8" w:rsidRDefault="006C44B4" w14:paraId="50D65CB4" w14:textId="2244552F">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rsidRPr="00B147A7" w:rsidR="005805EC" w:rsidP="00191DF8" w:rsidRDefault="007923F4" w14:paraId="4BE782BF" w14:textId="5210DC0C">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Pr="00B147A7" w:rsidR="006F7939">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A74D0D">
        <w:rPr>
          <w:rFonts w:ascii="Times New Roman" w:hAnsi="Times New Roman"/>
          <w:sz w:val="22"/>
          <w:szCs w:val="22"/>
        </w:rPr>
        <w:t>Native American Basic L</w:t>
      </w:r>
      <w:r w:rsidRPr="00E11CE7" w:rsidR="00444079">
        <w:rPr>
          <w:rFonts w:ascii="Times New Roman" w:hAnsi="Times New Roman"/>
          <w:sz w:val="22"/>
          <w:szCs w:val="22"/>
        </w:rPr>
        <w:t>ibrary</w:t>
      </w:r>
      <w:r w:rsidR="00AD33A9">
        <w:rPr>
          <w:rFonts w:ascii="Times New Roman" w:hAnsi="Times New Roman"/>
          <w:color w:val="000000"/>
          <w:sz w:val="22"/>
          <w:szCs w:val="22"/>
        </w:rPr>
        <w:t xml:space="preserve"> </w:t>
      </w:r>
      <w:r w:rsidR="000E4F57">
        <w:rPr>
          <w:rFonts w:ascii="Times New Roman" w:hAnsi="Times New Roman"/>
          <w:color w:val="000000"/>
          <w:sz w:val="22"/>
          <w:szCs w:val="22"/>
        </w:rPr>
        <w:t>Notice of Funding Opportunit</w:t>
      </w:r>
      <w:r w:rsidR="00A74D0D">
        <w:rPr>
          <w:rFonts w:ascii="Times New Roman" w:hAnsi="Times New Roman"/>
          <w:color w:val="000000"/>
          <w:sz w:val="22"/>
          <w:szCs w:val="22"/>
        </w:rPr>
        <w:t>y</w:t>
      </w:r>
      <w:r w:rsidRPr="00B147A7" w:rsidR="006F7939">
        <w:rPr>
          <w:rFonts w:ascii="Times New Roman" w:hAnsi="Times New Roman"/>
          <w:color w:val="000000"/>
          <w:sz w:val="22"/>
          <w:szCs w:val="22"/>
        </w:rPr>
        <w:t xml:space="preserve">, and application instructions online. </w:t>
      </w:r>
      <w:r w:rsidR="000E4F57">
        <w:rPr>
          <w:rFonts w:ascii="Times New Roman" w:hAnsi="Times New Roman"/>
          <w:color w:val="000000"/>
          <w:sz w:val="22"/>
          <w:szCs w:val="22"/>
        </w:rPr>
        <w:t xml:space="preserve"> </w:t>
      </w:r>
      <w:r w:rsidRPr="00B147A7" w:rsidR="006F7939">
        <w:rPr>
          <w:rFonts w:ascii="Times New Roman" w:hAnsi="Times New Roman"/>
          <w:color w:val="000000"/>
          <w:sz w:val="22"/>
          <w:szCs w:val="22"/>
        </w:rPr>
        <w:t>IMLS requires all applicants to apply for IMLS awards online through Grants.gov</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p>
    <w:p w:rsidRPr="00B147A7" w:rsidR="005805EC" w:rsidP="005805EC" w:rsidRDefault="005805EC" w14:paraId="0B8FA478" w14:textId="77777777">
      <w:pPr>
        <w:rPr>
          <w:rFonts w:ascii="Times New Roman" w:hAnsi="Times New Roman"/>
          <w:color w:val="000000"/>
          <w:sz w:val="22"/>
          <w:szCs w:val="22"/>
        </w:rPr>
      </w:pPr>
    </w:p>
    <w:p w:rsidRPr="00B147A7" w:rsidR="006C44B4" w:rsidP="0019711E" w:rsidRDefault="006C44B4" w14:paraId="705BD93E" w14:textId="56EC63DC">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rsidRPr="00B147A7" w:rsidR="006C44B4" w:rsidP="00191DF8" w:rsidRDefault="006C44B4" w14:paraId="2C1B3F3F" w14:textId="77777777">
      <w:pPr>
        <w:tabs>
          <w:tab w:val="left" w:pos="540"/>
        </w:tabs>
        <w:ind w:left="360"/>
        <w:rPr>
          <w:rFonts w:ascii="Times New Roman" w:hAnsi="Times New Roman"/>
          <w:color w:val="000000"/>
          <w:sz w:val="22"/>
          <w:szCs w:val="22"/>
        </w:rPr>
      </w:pPr>
    </w:p>
    <w:p w:rsidRPr="00B147A7" w:rsidR="001606AA" w:rsidP="00191DF8" w:rsidRDefault="00714684" w14:paraId="20A54339" w14:textId="161F2A21">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Pr="00B147A7" w:rsidR="001606AA">
        <w:rPr>
          <w:rFonts w:ascii="Times New Roman" w:hAnsi="Times New Roman"/>
          <w:color w:val="000000"/>
          <w:sz w:val="22"/>
          <w:szCs w:val="22"/>
        </w:rPr>
        <w:t xml:space="preserve">ll IMLS grant application </w:t>
      </w:r>
      <w:r w:rsidRPr="00B147A7" w:rsidR="0069348D">
        <w:rPr>
          <w:rFonts w:ascii="Times New Roman" w:hAnsi="Times New Roman"/>
          <w:color w:val="000000"/>
          <w:sz w:val="22"/>
          <w:szCs w:val="22"/>
        </w:rPr>
        <w:t>Notices of Funding Opportunities</w:t>
      </w:r>
      <w:r w:rsidRPr="00B147A7" w:rsidR="001606AA">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Pr="00B147A7" w:rsidR="001606AA">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Pr="00B147A7" w:rsidR="008D741A">
        <w:rPr>
          <w:rFonts w:ascii="Times New Roman" w:hAnsi="Times New Roman"/>
          <w:color w:val="000000"/>
          <w:sz w:val="22"/>
          <w:szCs w:val="22"/>
        </w:rPr>
        <w:t xml:space="preserve">Administration </w:t>
      </w:r>
      <w:r w:rsidRPr="00B147A7" w:rsidR="001606AA">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Pr="00B147A7" w:rsidR="007923F4">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Pr="00B147A7" w:rsidR="00B02D60">
        <w:rPr>
          <w:rFonts w:ascii="Times New Roman" w:hAnsi="Times New Roman"/>
          <w:color w:val="000000"/>
          <w:sz w:val="22"/>
          <w:szCs w:val="22"/>
        </w:rPr>
        <w:t xml:space="preserve"> </w:t>
      </w:r>
    </w:p>
    <w:p w:rsidRPr="00B147A7" w:rsidR="006F7920" w:rsidP="006F7920" w:rsidRDefault="006F7920" w14:paraId="7F109AF3" w14:textId="77777777">
      <w:pPr>
        <w:tabs>
          <w:tab w:val="left" w:pos="540"/>
        </w:tabs>
        <w:rPr>
          <w:rFonts w:ascii="Times New Roman" w:hAnsi="Times New Roman"/>
          <w:color w:val="000000"/>
          <w:sz w:val="22"/>
          <w:szCs w:val="22"/>
        </w:rPr>
      </w:pPr>
    </w:p>
    <w:p w:rsidRPr="00191DF8" w:rsidR="006C44B4" w:rsidP="0019711E" w:rsidRDefault="006C44B4" w14:paraId="2A8F02FE" w14:textId="5036AC4F">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lastRenderedPageBreak/>
        <w:t>Method Used to Minimize Burden on Small Businesses</w:t>
      </w:r>
    </w:p>
    <w:p w:rsidRPr="00B147A7" w:rsidR="006C44B4" w:rsidP="00191DF8" w:rsidRDefault="006C44B4" w14:paraId="51B755C4"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6C44B4" w14:paraId="3B1553CA" w14:textId="78E9A8E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Pr="00B147A7" w:rsidR="001606AA">
        <w:rPr>
          <w:rFonts w:ascii="Times New Roman" w:hAnsi="Times New Roman"/>
          <w:color w:val="000000"/>
          <w:sz w:val="22"/>
          <w:szCs w:val="22"/>
        </w:rPr>
        <w:t>No small businesses are impacted, but some applicants for IMLS funding are small non-profit organizations.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Every effort has been made to streamline processes and instructions and to simplify the application and reporting processes.</w:t>
      </w:r>
      <w:r w:rsidRPr="00B147A7" w:rsidR="00B02D60">
        <w:rPr>
          <w:rFonts w:ascii="Times New Roman" w:hAnsi="Times New Roman"/>
          <w:color w:val="000000"/>
          <w:sz w:val="22"/>
          <w:szCs w:val="22"/>
        </w:rPr>
        <w:t xml:space="preserve"> </w:t>
      </w:r>
      <w:r w:rsidRPr="00B147A7" w:rsidR="001606AA">
        <w:rPr>
          <w:rFonts w:ascii="Times New Roman" w:hAnsi="Times New Roman"/>
          <w:color w:val="000000"/>
          <w:sz w:val="22"/>
          <w:szCs w:val="22"/>
        </w:rPr>
        <w:t>The agency’s internal clearance process ensures that no undue burden is placed on any applicant for IMLS funding.</w:t>
      </w:r>
      <w:r w:rsidRPr="00B147A7" w:rsidR="00B02D60">
        <w:rPr>
          <w:rFonts w:ascii="Times New Roman" w:hAnsi="Times New Roman"/>
          <w:color w:val="000000"/>
          <w:sz w:val="22"/>
          <w:szCs w:val="22"/>
        </w:rPr>
        <w:t xml:space="preserve"> </w:t>
      </w:r>
    </w:p>
    <w:p w:rsidRPr="00B147A7" w:rsidR="001606AA" w:rsidP="0019711E" w:rsidRDefault="001606AA" w14:paraId="3C3C3B6F" w14:textId="77777777">
      <w:pPr>
        <w:tabs>
          <w:tab w:val="left" w:pos="-720"/>
          <w:tab w:val="left" w:pos="0"/>
          <w:tab w:val="left" w:pos="540"/>
        </w:tabs>
        <w:suppressAutoHyphens/>
        <w:rPr>
          <w:rFonts w:ascii="Times New Roman" w:hAnsi="Times New Roman"/>
          <w:color w:val="000000"/>
          <w:sz w:val="22"/>
          <w:szCs w:val="22"/>
        </w:rPr>
      </w:pPr>
    </w:p>
    <w:p w:rsidRPr="00191DF8" w:rsidR="006C44B4" w:rsidP="0019711E" w:rsidRDefault="006C44B4" w14:paraId="46DB814F" w14:textId="54F58975">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rsidRPr="00B147A7" w:rsidR="006C44B4" w:rsidP="00191DF8" w:rsidRDefault="006C44B4" w14:paraId="1BF70BAD" w14:textId="7777777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6DC0DD00" w14:textId="007E2B9F">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Pr="00B147A7" w:rsidR="007923F4">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Pr="00B147A7" w:rsidR="007923F4">
        <w:rPr>
          <w:rFonts w:ascii="Times New Roman" w:hAnsi="Times New Roman"/>
          <w:color w:val="000000"/>
          <w:sz w:val="22"/>
          <w:szCs w:val="22"/>
        </w:rPr>
        <w:t>s</w:t>
      </w:r>
      <w:r w:rsidRPr="00B147A7">
        <w:rPr>
          <w:rFonts w:ascii="Times New Roman" w:hAnsi="Times New Roman"/>
          <w:color w:val="000000"/>
          <w:sz w:val="22"/>
          <w:szCs w:val="22"/>
        </w:rPr>
        <w:t>.</w:t>
      </w:r>
      <w:r w:rsidRPr="00B147A7" w:rsidR="00B02D60">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Pr="00652111" w:rsid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rsidRPr="00B147A7" w:rsidR="001606AA" w:rsidP="0019711E" w:rsidRDefault="001606AA" w14:paraId="1AEB3460" w14:textId="77777777">
      <w:pPr>
        <w:tabs>
          <w:tab w:val="left" w:pos="540"/>
        </w:tabs>
        <w:rPr>
          <w:rFonts w:ascii="Times New Roman" w:hAnsi="Times New Roman"/>
          <w:color w:val="000000"/>
          <w:sz w:val="22"/>
          <w:szCs w:val="22"/>
        </w:rPr>
      </w:pPr>
    </w:p>
    <w:p w:rsidRPr="00191DF8" w:rsidR="006C44B4" w:rsidP="0019711E" w:rsidRDefault="006C44B4" w14:paraId="1E53CA12" w14:textId="07AE8E4B">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rsidRPr="00B147A7" w:rsidR="00922220" w:rsidP="00191DF8" w:rsidRDefault="00922220" w14:paraId="4190DB22" w14:textId="2313A987">
      <w:pPr>
        <w:tabs>
          <w:tab w:val="left" w:pos="-720"/>
          <w:tab w:val="left" w:pos="0"/>
          <w:tab w:val="left" w:pos="540"/>
        </w:tabs>
        <w:suppressAutoHyphens/>
        <w:ind w:left="360"/>
        <w:rPr>
          <w:rFonts w:ascii="Times New Roman" w:hAnsi="Times New Roman"/>
          <w:color w:val="000000"/>
          <w:sz w:val="22"/>
          <w:szCs w:val="22"/>
        </w:rPr>
      </w:pPr>
    </w:p>
    <w:p w:rsidRPr="00B147A7" w:rsidR="001606AA" w:rsidP="00191DF8" w:rsidRDefault="001606AA" w14:paraId="4C450597" w14:textId="36877555">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Pr="00B147A7" w:rsidR="008D741A">
        <w:rPr>
          <w:rFonts w:ascii="Times New Roman" w:hAnsi="Times New Roman"/>
          <w:color w:val="000000"/>
          <w:sz w:val="22"/>
          <w:szCs w:val="22"/>
        </w:rPr>
        <w:t>applies</w:t>
      </w:r>
      <w:r w:rsidRPr="00B147A7">
        <w:rPr>
          <w:rFonts w:ascii="Times New Roman" w:hAnsi="Times New Roman"/>
          <w:color w:val="000000"/>
          <w:sz w:val="22"/>
          <w:szCs w:val="22"/>
        </w:rPr>
        <w:t>.</w:t>
      </w:r>
    </w:p>
    <w:p w:rsidRPr="00B147A7" w:rsidR="001606AA" w:rsidP="0019711E" w:rsidRDefault="001606AA" w14:paraId="0EF44CF9" w14:textId="77777777">
      <w:pPr>
        <w:tabs>
          <w:tab w:val="left" w:pos="540"/>
        </w:tabs>
        <w:rPr>
          <w:rFonts w:ascii="Times New Roman" w:hAnsi="Times New Roman"/>
          <w:color w:val="000000"/>
          <w:sz w:val="22"/>
          <w:szCs w:val="22"/>
        </w:rPr>
      </w:pPr>
    </w:p>
    <w:p w:rsidRPr="00191DF8" w:rsidR="006C44B4" w:rsidP="00FA59BB" w:rsidRDefault="006C44B4" w14:paraId="59C2E681" w14:textId="2B8DE3A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rsidRPr="00B147A7" w:rsidR="006C44B4" w:rsidP="00191DF8" w:rsidRDefault="006C44B4" w14:paraId="658D4036" w14:textId="77777777">
      <w:pPr>
        <w:tabs>
          <w:tab w:val="left" w:pos="540"/>
        </w:tabs>
        <w:ind w:left="360"/>
        <w:rPr>
          <w:rFonts w:ascii="Times New Roman" w:hAnsi="Times New Roman"/>
          <w:color w:val="000000"/>
          <w:sz w:val="22"/>
          <w:szCs w:val="22"/>
        </w:rPr>
      </w:pPr>
    </w:p>
    <w:p w:rsidRPr="00B147A7" w:rsidR="001606AA" w:rsidP="00191DF8" w:rsidRDefault="001606AA" w14:paraId="4D399B23" w14:textId="64F286C5">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w:t>
      </w:r>
      <w:r w:rsidR="00A74D0D">
        <w:rPr>
          <w:rFonts w:ascii="Times New Roman" w:hAnsi="Times New Roman"/>
          <w:color w:val="000000"/>
          <w:sz w:val="22"/>
          <w:szCs w:val="22"/>
        </w:rPr>
        <w:t>Federal Register N</w:t>
      </w:r>
      <w:r w:rsidRPr="00B147A7">
        <w:rPr>
          <w:rFonts w:ascii="Times New Roman" w:hAnsi="Times New Roman"/>
          <w:color w:val="000000"/>
          <w:sz w:val="22"/>
          <w:szCs w:val="22"/>
        </w:rPr>
        <w:t xml:space="preserve">otice </w:t>
      </w:r>
      <w:r w:rsidR="00A74D0D">
        <w:rPr>
          <w:rFonts w:ascii="Times New Roman" w:hAnsi="Times New Roman"/>
          <w:color w:val="000000"/>
          <w:sz w:val="22"/>
          <w:szCs w:val="22"/>
        </w:rPr>
        <w:t>for the Native American Basic Grant Program</w:t>
      </w:r>
      <w:r w:rsidR="00591FF3">
        <w:rPr>
          <w:rFonts w:ascii="Times New Roman" w:hAnsi="Times New Roman"/>
          <w:color w:val="000000"/>
          <w:sz w:val="22"/>
          <w:szCs w:val="22"/>
        </w:rPr>
        <w:t xml:space="preserve"> (3137-00</w:t>
      </w:r>
      <w:r w:rsidR="00A94852">
        <w:rPr>
          <w:rFonts w:ascii="Times New Roman" w:hAnsi="Times New Roman"/>
          <w:color w:val="000000"/>
          <w:sz w:val="22"/>
          <w:szCs w:val="22"/>
        </w:rPr>
        <w:t>93</w:t>
      </w:r>
      <w:r w:rsidR="00591FF3">
        <w:rPr>
          <w:rFonts w:ascii="Times New Roman" w:hAnsi="Times New Roman"/>
          <w:color w:val="000000"/>
          <w:sz w:val="22"/>
          <w:szCs w:val="22"/>
        </w:rPr>
        <w:t xml:space="preserve">) </w:t>
      </w:r>
      <w:r w:rsidRPr="00B147A7" w:rsidR="00591FF3">
        <w:rPr>
          <w:rFonts w:ascii="Times New Roman" w:hAnsi="Times New Roman"/>
          <w:color w:val="000000"/>
          <w:sz w:val="22"/>
          <w:szCs w:val="22"/>
        </w:rPr>
        <w:t>w</w:t>
      </w:r>
      <w:r w:rsidR="00591FF3">
        <w:rPr>
          <w:rFonts w:ascii="Times New Roman" w:hAnsi="Times New Roman"/>
          <w:color w:val="000000"/>
          <w:sz w:val="22"/>
          <w:szCs w:val="22"/>
        </w:rPr>
        <w:t>as</w:t>
      </w:r>
      <w:r w:rsidRPr="00B147A7" w:rsidR="00591FF3">
        <w:rPr>
          <w:rFonts w:ascii="Times New Roman" w:hAnsi="Times New Roman"/>
          <w:color w:val="000000"/>
          <w:sz w:val="22"/>
          <w:szCs w:val="22"/>
        </w:rPr>
        <w:t xml:space="preserve"> </w:t>
      </w:r>
      <w:r w:rsidRPr="00B147A7">
        <w:rPr>
          <w:rFonts w:ascii="Times New Roman" w:hAnsi="Times New Roman"/>
          <w:color w:val="000000"/>
          <w:sz w:val="22"/>
          <w:szCs w:val="22"/>
        </w:rPr>
        <w:t>publish</w:t>
      </w:r>
      <w:r w:rsidR="00A94852">
        <w:rPr>
          <w:rFonts w:ascii="Times New Roman" w:hAnsi="Times New Roman"/>
          <w:color w:val="000000"/>
          <w:sz w:val="22"/>
          <w:szCs w:val="22"/>
        </w:rPr>
        <w:t>ed in the Federal Register 83 FR 15643 April 11, 2018.  No public comments were</w:t>
      </w:r>
      <w:r w:rsidRPr="00B147A7" w:rsidR="00531497">
        <w:rPr>
          <w:rFonts w:ascii="Times New Roman" w:hAnsi="Times New Roman"/>
          <w:color w:val="000000"/>
          <w:sz w:val="22"/>
          <w:szCs w:val="22"/>
        </w:rPr>
        <w:t xml:space="preserve"> </w:t>
      </w:r>
      <w:r w:rsidRPr="00B147A7">
        <w:rPr>
          <w:rFonts w:ascii="Times New Roman" w:hAnsi="Times New Roman"/>
          <w:color w:val="000000"/>
          <w:sz w:val="22"/>
          <w:szCs w:val="22"/>
        </w:rPr>
        <w:t>received.</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A 30-day notice requesting comment was published in the Federal Register</w:t>
      </w:r>
      <w:r w:rsidR="00A94852">
        <w:rPr>
          <w:rFonts w:ascii="Times New Roman" w:hAnsi="Times New Roman"/>
          <w:color w:val="000000"/>
          <w:sz w:val="22"/>
          <w:szCs w:val="22"/>
        </w:rPr>
        <w:t xml:space="preserve"> 83 FR 36627, July 28, 2018</w:t>
      </w:r>
      <w:r w:rsidRPr="0092360C">
        <w:rPr>
          <w:rFonts w:ascii="Times New Roman" w:hAnsi="Times New Roman"/>
          <w:color w:val="000000"/>
          <w:sz w:val="22"/>
          <w:szCs w:val="22"/>
        </w:rPr>
        <w:t>.</w:t>
      </w:r>
      <w:r w:rsidRPr="0092360C" w:rsidR="00B02D60">
        <w:rPr>
          <w:rFonts w:ascii="Times New Roman" w:hAnsi="Times New Roman"/>
          <w:color w:val="000000"/>
          <w:sz w:val="22"/>
          <w:szCs w:val="22"/>
        </w:rPr>
        <w:t xml:space="preserve"> </w:t>
      </w:r>
    </w:p>
    <w:p w:rsidRPr="00B147A7" w:rsidR="001606AA" w:rsidP="0019711E" w:rsidRDefault="001606AA" w14:paraId="36016DC6" w14:textId="77777777">
      <w:pPr>
        <w:tabs>
          <w:tab w:val="left" w:pos="540"/>
        </w:tabs>
        <w:rPr>
          <w:rFonts w:ascii="Times New Roman" w:hAnsi="Times New Roman"/>
          <w:color w:val="000000"/>
          <w:sz w:val="22"/>
          <w:szCs w:val="22"/>
        </w:rPr>
      </w:pPr>
    </w:p>
    <w:p w:rsidRPr="00B147A7" w:rsidR="001606AA" w:rsidP="008B1CD0" w:rsidRDefault="001606AA" w14:paraId="6FDD1985" w14:textId="001DACF4">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Pr="00B147A7" w:rsidR="008D741A">
        <w:rPr>
          <w:rFonts w:ascii="Times New Roman" w:hAnsi="Times New Roman"/>
          <w:color w:val="000000"/>
          <w:sz w:val="22"/>
          <w:szCs w:val="22"/>
        </w:rPr>
        <w:t>website</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Pr="00B147A7" w:rsidR="00577ED3">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Pr="00B147A7" w:rsidR="006B47D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throughout the year, including regular meetings with the Chiefs of State Library Administrative Agencies, semiannual information meetings hosted for </w:t>
      </w:r>
      <w:r w:rsidRPr="00B147A7" w:rsidR="00577ED3">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rsidRPr="00B147A7" w:rsidR="001606AA" w:rsidP="0019711E" w:rsidRDefault="001606AA" w14:paraId="1029064B" w14:textId="77777777">
      <w:pPr>
        <w:tabs>
          <w:tab w:val="left" w:pos="-720"/>
          <w:tab w:val="left" w:pos="0"/>
          <w:tab w:val="left" w:pos="540"/>
        </w:tabs>
        <w:suppressAutoHyphens/>
        <w:ind w:left="720" w:hanging="720"/>
        <w:rPr>
          <w:rFonts w:ascii="Times New Roman" w:hAnsi="Times New Roman"/>
          <w:color w:val="000000"/>
          <w:sz w:val="22"/>
          <w:szCs w:val="22"/>
        </w:rPr>
      </w:pPr>
    </w:p>
    <w:p w:rsidRPr="00B147A7" w:rsidR="001606AA" w:rsidP="008B1CD0" w:rsidRDefault="001606AA" w14:paraId="10E33235" w14:textId="297DEF88">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Pr="00B147A7" w:rsidR="006B47D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Pr="00B147A7" w:rsidR="00B02D60">
        <w:rPr>
          <w:rFonts w:ascii="Times New Roman" w:hAnsi="Times New Roman"/>
          <w:color w:val="000000"/>
          <w:sz w:val="22"/>
          <w:szCs w:val="22"/>
        </w:rPr>
        <w:t xml:space="preserve"> </w:t>
      </w:r>
    </w:p>
    <w:p w:rsidRPr="00B147A7" w:rsidR="001606AA" w:rsidP="00FA59BB" w:rsidRDefault="001606AA" w14:paraId="7709CF40" w14:textId="77777777">
      <w:pPr>
        <w:tabs>
          <w:tab w:val="left" w:pos="-720"/>
          <w:tab w:val="left" w:pos="0"/>
          <w:tab w:val="left" w:pos="540"/>
        </w:tabs>
        <w:suppressAutoHyphens/>
        <w:ind w:left="900" w:hanging="540"/>
        <w:rPr>
          <w:rFonts w:ascii="Times New Roman" w:hAnsi="Times New Roman"/>
          <w:color w:val="000000"/>
          <w:sz w:val="22"/>
          <w:szCs w:val="22"/>
        </w:rPr>
      </w:pPr>
    </w:p>
    <w:p w:rsidRPr="00B147A7" w:rsidR="001606AA" w:rsidP="008B1CD0" w:rsidRDefault="001606AA" w14:paraId="4E60CCB3" w14:textId="4DC52493">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Pr="00B147A7" w:rsidR="0069348D">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Pr="00B147A7" w:rsidR="008B1CD0">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Pr="00B147A7" w:rsidR="00B02D60">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rsidRPr="00B147A7" w:rsidR="001606AA" w:rsidP="00FA59BB" w:rsidRDefault="001606AA" w14:paraId="7299D201" w14:textId="77777777">
      <w:pPr>
        <w:tabs>
          <w:tab w:val="left" w:pos="-720"/>
          <w:tab w:val="left" w:pos="540"/>
        </w:tabs>
        <w:suppressAutoHyphens/>
        <w:ind w:left="900" w:hanging="540"/>
        <w:rPr>
          <w:rFonts w:ascii="Times New Roman" w:hAnsi="Times New Roman"/>
          <w:color w:val="000000"/>
          <w:sz w:val="22"/>
          <w:szCs w:val="22"/>
        </w:rPr>
      </w:pPr>
    </w:p>
    <w:p w:rsidRPr="00B147A7" w:rsidR="006C44B4" w:rsidP="0019711E" w:rsidRDefault="006C44B4" w14:paraId="3E27D49E" w14:textId="5EF5212D">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rsidRPr="00B147A7" w:rsidR="006C44B4" w:rsidP="00191DF8" w:rsidRDefault="006C44B4" w14:paraId="63CE394C" w14:textId="77777777">
      <w:pPr>
        <w:tabs>
          <w:tab w:val="left" w:pos="540"/>
        </w:tabs>
        <w:ind w:left="360"/>
        <w:rPr>
          <w:rFonts w:ascii="Times New Roman" w:hAnsi="Times New Roman"/>
          <w:color w:val="000000"/>
          <w:sz w:val="22"/>
          <w:szCs w:val="22"/>
        </w:rPr>
      </w:pPr>
    </w:p>
    <w:p w:rsidRPr="00B147A7" w:rsidR="001606AA" w:rsidP="00191DF8" w:rsidRDefault="001606AA" w14:paraId="121A6E8C"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rsidRPr="00B147A7" w:rsidR="001606AA" w:rsidP="0019711E" w:rsidRDefault="001606AA" w14:paraId="1B0F9FD8" w14:textId="77777777">
      <w:pPr>
        <w:tabs>
          <w:tab w:val="left" w:pos="540"/>
        </w:tabs>
        <w:rPr>
          <w:rFonts w:ascii="Times New Roman" w:hAnsi="Times New Roman"/>
          <w:color w:val="000000"/>
          <w:sz w:val="22"/>
          <w:szCs w:val="22"/>
        </w:rPr>
      </w:pPr>
    </w:p>
    <w:p w:rsidRPr="00191DF8" w:rsidR="006C44B4" w:rsidP="0019711E" w:rsidRDefault="006C44B4" w14:paraId="6CAB3F0C"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rsidRPr="00B147A7" w:rsidR="001606AA" w:rsidP="00191DF8" w:rsidRDefault="006C44B4" w14:paraId="4173D0AC" w14:textId="09BB840A">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Pr="007E4AC6" w:rsidR="007E4AC6">
        <w:rPr>
          <w:rFonts w:ascii="Times New Roman" w:hAnsi="Times New Roman"/>
          <w:sz w:val="22"/>
          <w:szCs w:val="22"/>
        </w:rPr>
        <w:t xml:space="preserve"> </w:t>
      </w:r>
      <w:r w:rsidRPr="00591F85" w:rsidR="007E4AC6">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rsidRPr="00B147A7" w:rsidR="001606AA" w:rsidP="0019711E" w:rsidRDefault="001606AA" w14:paraId="131940F6" w14:textId="77777777">
      <w:pPr>
        <w:tabs>
          <w:tab w:val="left" w:pos="540"/>
        </w:tabs>
        <w:ind w:left="360"/>
        <w:rPr>
          <w:rFonts w:ascii="Times New Roman" w:hAnsi="Times New Roman"/>
          <w:color w:val="000000"/>
          <w:sz w:val="22"/>
          <w:szCs w:val="22"/>
        </w:rPr>
      </w:pPr>
    </w:p>
    <w:p w:rsidRPr="00B147A7" w:rsidR="006C44B4" w:rsidP="0019711E" w:rsidRDefault="006C44B4" w14:paraId="01C7FF25" w14:textId="48D0587A">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rsidRPr="00B147A7" w:rsidR="006C44B4" w:rsidP="00191DF8" w:rsidRDefault="006C44B4" w14:paraId="6C530A63" w14:textId="77777777">
      <w:pPr>
        <w:tabs>
          <w:tab w:val="left" w:pos="540"/>
        </w:tabs>
        <w:ind w:left="360"/>
        <w:rPr>
          <w:rFonts w:ascii="Times New Roman" w:hAnsi="Times New Roman"/>
          <w:color w:val="000000"/>
          <w:sz w:val="22"/>
          <w:szCs w:val="22"/>
        </w:rPr>
      </w:pPr>
    </w:p>
    <w:p w:rsidRPr="00B147A7" w:rsidR="001606AA" w:rsidP="00191DF8" w:rsidRDefault="00631C12" w14:paraId="4ADDD51D" w14:textId="79C52AB4">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rsidRPr="00B147A7" w:rsidR="006E47F0" w:rsidP="006E47F0" w:rsidRDefault="006E47F0" w14:paraId="3B4598C5" w14:textId="77777777">
      <w:pPr>
        <w:tabs>
          <w:tab w:val="left" w:pos="540"/>
        </w:tabs>
        <w:rPr>
          <w:rFonts w:ascii="Times New Roman" w:hAnsi="Times New Roman"/>
          <w:color w:val="000000"/>
          <w:sz w:val="22"/>
          <w:szCs w:val="22"/>
        </w:rPr>
      </w:pPr>
    </w:p>
    <w:p w:rsidRPr="00191DF8" w:rsidR="006C44B4" w:rsidP="006E47F0" w:rsidRDefault="006C44B4" w14:paraId="765F3DB7" w14:textId="7A8247A6">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rsidRPr="00191DF8" w:rsidR="006C44B4" w:rsidP="00191DF8" w:rsidRDefault="006C44B4" w14:paraId="0ED89A7D" w14:textId="77777777">
      <w:pPr>
        <w:tabs>
          <w:tab w:val="left" w:pos="540"/>
        </w:tabs>
        <w:ind w:left="360"/>
        <w:rPr>
          <w:rFonts w:ascii="Times New Roman" w:hAnsi="Times New Roman"/>
          <w:sz w:val="22"/>
          <w:szCs w:val="22"/>
        </w:rPr>
      </w:pPr>
    </w:p>
    <w:p w:rsidRPr="00191DF8" w:rsidR="006E47F0" w:rsidP="00191DF8" w:rsidRDefault="006E47F0" w14:paraId="7802923B" w14:textId="61ED6BC4">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Pr="00191DF8" w:rsidR="00631C12">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E11CE7">
        <w:rPr>
          <w:rFonts w:ascii="Times New Roman" w:hAnsi="Times New Roman"/>
          <w:sz w:val="22"/>
          <w:szCs w:val="22"/>
        </w:rPr>
        <w:t>233</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Pr="00191DF8" w:rsidR="003B24D2">
        <w:rPr>
          <w:rFonts w:ascii="Times New Roman" w:hAnsi="Times New Roman"/>
          <w:sz w:val="22"/>
          <w:szCs w:val="22"/>
        </w:rPr>
        <w:t>201</w:t>
      </w:r>
      <w:r w:rsidR="00A74D0D">
        <w:rPr>
          <w:rFonts w:ascii="Times New Roman" w:hAnsi="Times New Roman"/>
          <w:sz w:val="22"/>
          <w:szCs w:val="22"/>
        </w:rPr>
        <w:t>7</w:t>
      </w:r>
      <w:r w:rsidRPr="00191DF8">
        <w:rPr>
          <w:rFonts w:ascii="Times New Roman" w:hAnsi="Times New Roman"/>
          <w:sz w:val="22"/>
          <w:szCs w:val="22"/>
        </w:rPr>
        <w:t>, the most recent year for which data is available.</w:t>
      </w:r>
      <w:r w:rsidRPr="00191DF8" w:rsidR="00B02D60">
        <w:rPr>
          <w:rFonts w:ascii="Times New Roman" w:hAnsi="Times New Roman"/>
          <w:sz w:val="22"/>
          <w:szCs w:val="22"/>
        </w:rPr>
        <w:t xml:space="preserve"> </w:t>
      </w:r>
      <w:r w:rsidRPr="00191DF8">
        <w:rPr>
          <w:rFonts w:ascii="Times New Roman" w:hAnsi="Times New Roman"/>
          <w:sz w:val="22"/>
          <w:szCs w:val="22"/>
        </w:rPr>
        <w:t>The number of annual burden hours is</w:t>
      </w:r>
      <w:r w:rsidRPr="00191DF8" w:rsidR="00631C12">
        <w:rPr>
          <w:rFonts w:ascii="Times New Roman" w:hAnsi="Times New Roman"/>
          <w:sz w:val="22"/>
          <w:szCs w:val="22"/>
        </w:rPr>
        <w:t xml:space="preserve"> estimated to be</w:t>
      </w:r>
      <w:r w:rsidRPr="00191DF8">
        <w:rPr>
          <w:rFonts w:ascii="Times New Roman" w:hAnsi="Times New Roman"/>
          <w:sz w:val="22"/>
          <w:szCs w:val="22"/>
        </w:rPr>
        <w:t xml:space="preserve"> </w:t>
      </w:r>
      <w:r w:rsidR="00A74D0D">
        <w:rPr>
          <w:rFonts w:ascii="Times New Roman" w:hAnsi="Times New Roman"/>
          <w:sz w:val="22"/>
          <w:szCs w:val="22"/>
        </w:rPr>
        <w:t>2330</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Pr="00191DF8" w:rsidR="007A2E94">
        <w:rPr>
          <w:rFonts w:ascii="Times New Roman" w:hAnsi="Times New Roman"/>
          <w:sz w:val="22"/>
          <w:szCs w:val="22"/>
        </w:rPr>
        <w:t>needed</w:t>
      </w:r>
      <w:r w:rsidRPr="00191DF8" w:rsidR="00577ED3">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Pr="00191DF8" w:rsidR="00B02D60">
        <w:rPr>
          <w:rFonts w:ascii="Times New Roman" w:hAnsi="Times New Roman"/>
          <w:sz w:val="22"/>
          <w:szCs w:val="22"/>
        </w:rPr>
        <w:t xml:space="preserve"> </w:t>
      </w:r>
    </w:p>
    <w:p w:rsidRPr="00191DF8" w:rsidR="006E47F0" w:rsidP="006E47F0" w:rsidRDefault="006E47F0" w14:paraId="7BACB282" w14:textId="77777777">
      <w:pPr>
        <w:tabs>
          <w:tab w:val="left" w:pos="540"/>
        </w:tabs>
        <w:rPr>
          <w:rFonts w:ascii="Times New Roman" w:hAnsi="Times New Roman"/>
          <w:sz w:val="22"/>
          <w:szCs w:val="22"/>
        </w:rPr>
      </w:pPr>
    </w:p>
    <w:p w:rsidRPr="00191DF8" w:rsidR="006C44B4" w:rsidP="0095195E" w:rsidRDefault="00F64812" w14:paraId="14E51EA8" w14:textId="4662DC3F">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Pr="00191DF8" w:rsidR="006C44B4">
        <w:rPr>
          <w:rFonts w:ascii="Times New Roman" w:hAnsi="Times New Roman"/>
          <w:b/>
          <w:sz w:val="22"/>
          <w:szCs w:val="22"/>
        </w:rPr>
        <w:t xml:space="preserve"> of Cost Burden to Respondents </w:t>
      </w:r>
    </w:p>
    <w:p w:rsidRPr="00191DF8" w:rsidR="006C44B4" w:rsidP="00191DF8" w:rsidRDefault="006C44B4" w14:paraId="2EFB2E14" w14:textId="77777777">
      <w:pPr>
        <w:tabs>
          <w:tab w:val="left" w:pos="540"/>
        </w:tabs>
        <w:ind w:left="360"/>
        <w:rPr>
          <w:rFonts w:ascii="Times New Roman" w:hAnsi="Times New Roman"/>
          <w:sz w:val="22"/>
          <w:szCs w:val="22"/>
        </w:rPr>
      </w:pPr>
    </w:p>
    <w:p w:rsidR="00A74D0D" w:rsidP="0095195E" w:rsidRDefault="006E47F0" w14:paraId="1DA010F5" w14:textId="581286BE">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A74D0D">
        <w:rPr>
          <w:rFonts w:ascii="Times New Roman" w:hAnsi="Times New Roman"/>
          <w:sz w:val="22"/>
          <w:szCs w:val="22"/>
        </w:rPr>
        <w:t>66,010</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4529CB">
        <w:rPr>
          <w:rFonts w:ascii="Times New Roman" w:hAnsi="Times New Roman"/>
          <w:sz w:val="22"/>
          <w:szCs w:val="22"/>
        </w:rPr>
        <w:t>8.</w:t>
      </w:r>
      <w:r w:rsidR="00766F6D">
        <w:rPr>
          <w:rFonts w:ascii="Times New Roman" w:hAnsi="Times New Roman"/>
          <w:sz w:val="22"/>
          <w:szCs w:val="22"/>
        </w:rPr>
        <w:t>3</w:t>
      </w:r>
      <w:r w:rsidR="004529CB">
        <w:rPr>
          <w:rFonts w:ascii="Times New Roman" w:hAnsi="Times New Roman"/>
          <w:sz w:val="22"/>
          <w:szCs w:val="22"/>
        </w:rPr>
        <w:t>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mean hourly wage of a librarians</w:t>
      </w:r>
      <w:r w:rsidRPr="00191DF8">
        <w:rPr>
          <w:rFonts w:ascii="Times New Roman" w:hAnsi="Times New Roman"/>
          <w:sz w:val="22"/>
          <w:szCs w:val="22"/>
        </w:rPr>
        <w:t>.</w:t>
      </w:r>
      <w:r w:rsidRPr="00191DF8" w:rsidR="00B02D60">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is</w:t>
      </w:r>
      <w:r w:rsidR="00A74D0D">
        <w:rPr>
          <w:rFonts w:ascii="Times New Roman" w:hAnsi="Times New Roman"/>
          <w:sz w:val="22"/>
          <w:szCs w:val="22"/>
        </w:rPr>
        <w:t xml:space="preserve"> 10</w:t>
      </w:r>
      <w:r w:rsidR="00B81EB7">
        <w:rPr>
          <w:rFonts w:ascii="Times New Roman" w:hAnsi="Times New Roman"/>
          <w:sz w:val="22"/>
          <w:szCs w:val="22"/>
        </w:rPr>
        <w:t xml:space="preserve"> </w:t>
      </w:r>
      <w:r w:rsidR="00A74D0D">
        <w:rPr>
          <w:rFonts w:ascii="Times New Roman" w:hAnsi="Times New Roman"/>
          <w:sz w:val="22"/>
          <w:szCs w:val="22"/>
        </w:rPr>
        <w:t>hours for the Native American Basic Grant Program.</w:t>
      </w:r>
    </w:p>
    <w:p w:rsidR="00A74D0D" w:rsidP="0095195E" w:rsidRDefault="00A74D0D" w14:paraId="31A162F8" w14:textId="77777777">
      <w:pPr>
        <w:tabs>
          <w:tab w:val="left" w:pos="540"/>
        </w:tabs>
        <w:ind w:left="360"/>
        <w:rPr>
          <w:rFonts w:ascii="Times New Roman" w:hAnsi="Times New Roman"/>
          <w:sz w:val="22"/>
          <w:szCs w:val="22"/>
        </w:rPr>
      </w:pPr>
    </w:p>
    <w:p w:rsidRPr="00191DF8" w:rsidR="0095195E" w:rsidP="0095195E" w:rsidRDefault="006E47F0" w14:paraId="191747C7" w14:textId="20B74366">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rsidRPr="00191DF8" w:rsidR="0095195E" w:rsidP="0095195E" w:rsidRDefault="0095195E" w14:paraId="2D294F1F" w14:textId="77777777">
      <w:pPr>
        <w:tabs>
          <w:tab w:val="left" w:pos="540"/>
        </w:tabs>
        <w:ind w:left="360"/>
        <w:rPr>
          <w:rFonts w:ascii="Times New Roman" w:hAnsi="Times New Roman"/>
          <w:sz w:val="22"/>
          <w:szCs w:val="22"/>
        </w:rPr>
      </w:pPr>
    </w:p>
    <w:p w:rsidRPr="00191DF8" w:rsidR="0095195E" w:rsidP="0095195E" w:rsidRDefault="006E47F0" w14:paraId="24CD2A16" w14:textId="6D171C1B">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Pr="00191DF8" w:rsidR="006B47D7">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rsidRPr="00191DF8" w:rsidR="0095195E" w:rsidP="0095195E" w:rsidRDefault="0095195E" w14:paraId="6DD44EF4" w14:textId="77777777">
      <w:pPr>
        <w:tabs>
          <w:tab w:val="left" w:pos="540"/>
        </w:tabs>
        <w:rPr>
          <w:rFonts w:ascii="Times New Roman" w:hAnsi="Times New Roman"/>
          <w:sz w:val="22"/>
          <w:szCs w:val="22"/>
        </w:rPr>
      </w:pPr>
    </w:p>
    <w:p w:rsidRPr="00591F85" w:rsidR="00033238" w:rsidP="00033238" w:rsidRDefault="00033238" w14:paraId="5ADC250A" w14:textId="77777777">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rsidR="00033238" w:rsidP="00191DF8" w:rsidRDefault="00033238" w14:paraId="702E6E36" w14:textId="77777777">
      <w:pPr>
        <w:tabs>
          <w:tab w:val="left" w:pos="540"/>
        </w:tabs>
        <w:ind w:left="360"/>
        <w:rPr>
          <w:rFonts w:ascii="Times New Roman" w:hAnsi="Times New Roman"/>
          <w:sz w:val="22"/>
          <w:szCs w:val="22"/>
        </w:rPr>
      </w:pPr>
    </w:p>
    <w:p w:rsidR="00191DF8" w:rsidP="00191DF8" w:rsidRDefault="00191DF8" w14:paraId="6545A3ED" w14:textId="2C7CC08E">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E11CE7">
        <w:rPr>
          <w:rFonts w:ascii="Times New Roman" w:hAnsi="Times New Roman"/>
          <w:sz w:val="22"/>
          <w:szCs w:val="22"/>
        </w:rPr>
        <w:t>1</w:t>
      </w:r>
      <w:r w:rsidR="00766F6D">
        <w:rPr>
          <w:rFonts w:ascii="Times New Roman" w:hAnsi="Times New Roman"/>
          <w:sz w:val="22"/>
          <w:szCs w:val="22"/>
        </w:rPr>
        <w:t>3,73</w:t>
      </w:r>
      <w:r w:rsidR="00A74D0D">
        <w:rPr>
          <w:rFonts w:ascii="Times New Roman" w:hAnsi="Times New Roman"/>
          <w:sz w:val="22"/>
          <w:szCs w:val="22"/>
        </w:rPr>
        <w:t>4</w:t>
      </w:r>
      <w:r w:rsidRPr="00EE319A">
        <w:rPr>
          <w:rFonts w:ascii="Times New Roman" w:hAnsi="Times New Roman"/>
          <w:sz w:val="22"/>
          <w:szCs w:val="22"/>
        </w:rPr>
        <w:t xml:space="preserve">.  </w:t>
      </w:r>
      <w:r w:rsidR="00723FBE">
        <w:rPr>
          <w:rFonts w:ascii="Times New Roman" w:hAnsi="Times New Roman"/>
          <w:sz w:val="22"/>
          <w:szCs w:val="22"/>
        </w:rPr>
        <w:t>T</w:t>
      </w:r>
      <w:r w:rsidRPr="00EE319A">
        <w:rPr>
          <w:rFonts w:ascii="Times New Roman" w:hAnsi="Times New Roman"/>
          <w:sz w:val="22"/>
          <w:szCs w:val="22"/>
        </w:rPr>
        <w:t xml:space="preserve">he agency has </w:t>
      </w:r>
      <w:r w:rsidR="00781871">
        <w:rPr>
          <w:rFonts w:ascii="Times New Roman" w:hAnsi="Times New Roman"/>
          <w:sz w:val="22"/>
          <w:szCs w:val="22"/>
        </w:rPr>
        <w:t>received</w:t>
      </w:r>
      <w:r w:rsidRPr="00EE319A" w:rsidR="00781871">
        <w:rPr>
          <w:rFonts w:ascii="Times New Roman" w:hAnsi="Times New Roman"/>
          <w:sz w:val="22"/>
          <w:szCs w:val="22"/>
        </w:rPr>
        <w:t xml:space="preserve"> </w:t>
      </w:r>
      <w:r w:rsidR="00E11CE7">
        <w:rPr>
          <w:rFonts w:ascii="Times New Roman" w:hAnsi="Times New Roman"/>
          <w:sz w:val="22"/>
          <w:szCs w:val="22"/>
        </w:rPr>
        <w:t>2</w:t>
      </w:r>
      <w:r w:rsidR="00A74D0D">
        <w:rPr>
          <w:rFonts w:ascii="Times New Roman" w:hAnsi="Times New Roman"/>
          <w:sz w:val="22"/>
          <w:szCs w:val="22"/>
        </w:rPr>
        <w:t>33</w:t>
      </w:r>
      <w:r w:rsidRPr="00022C34" w:rsidR="002033D4">
        <w:rPr>
          <w:rFonts w:ascii="Times New Roman" w:hAnsi="Times New Roman"/>
          <w:sz w:val="22"/>
          <w:szCs w:val="22"/>
        </w:rPr>
        <w:t xml:space="preserve"> </w:t>
      </w:r>
      <w:r w:rsidR="00022C34">
        <w:rPr>
          <w:rFonts w:ascii="Times New Roman" w:hAnsi="Times New Roman"/>
          <w:sz w:val="22"/>
          <w:szCs w:val="22"/>
        </w:rPr>
        <w:t>total</w:t>
      </w:r>
      <w:r w:rsidRPr="00EE319A">
        <w:rPr>
          <w:rFonts w:ascii="Times New Roman" w:hAnsi="Times New Roman"/>
          <w:sz w:val="22"/>
          <w:szCs w:val="22"/>
        </w:rPr>
        <w:t xml:space="preserve"> </w:t>
      </w:r>
      <w:r w:rsidR="00022C34">
        <w:rPr>
          <w:rFonts w:ascii="Times New Roman" w:hAnsi="Times New Roman"/>
          <w:sz w:val="22"/>
          <w:szCs w:val="22"/>
        </w:rPr>
        <w:t>applications</w:t>
      </w:r>
      <w:r w:rsidR="002C2A2C">
        <w:rPr>
          <w:rFonts w:ascii="Times New Roman" w:hAnsi="Times New Roman"/>
          <w:sz w:val="22"/>
          <w:szCs w:val="22"/>
        </w:rPr>
        <w:t>.</w:t>
      </w:r>
      <w:r w:rsidRPr="00EE319A">
        <w:rPr>
          <w:rFonts w:ascii="Times New Roman" w:hAnsi="Times New Roman"/>
          <w:sz w:val="22"/>
          <w:szCs w:val="22"/>
        </w:rPr>
        <w:t xml:space="preserve"> Approximately </w:t>
      </w:r>
      <w:r w:rsidR="00766F6D">
        <w:rPr>
          <w:rFonts w:ascii="Times New Roman" w:hAnsi="Times New Roman"/>
          <w:sz w:val="22"/>
          <w:szCs w:val="22"/>
        </w:rPr>
        <w:t>33</w:t>
      </w:r>
      <w:r w:rsidR="00A74D0D">
        <w:rPr>
          <w:rFonts w:ascii="Times New Roman" w:hAnsi="Times New Roman"/>
          <w:sz w:val="22"/>
          <w:szCs w:val="22"/>
        </w:rPr>
        <w:t>4</w:t>
      </w:r>
      <w:r w:rsidRPr="00EE319A" w:rsidR="002C2A2C">
        <w:rPr>
          <w:rFonts w:ascii="Times New Roman" w:hAnsi="Times New Roman"/>
          <w:sz w:val="22"/>
          <w:szCs w:val="22"/>
        </w:rPr>
        <w:t xml:space="preserve"> </w:t>
      </w:r>
      <w:r w:rsidRPr="00EE319A">
        <w:rPr>
          <w:rFonts w:ascii="Times New Roman" w:hAnsi="Times New Roman"/>
          <w:sz w:val="22"/>
          <w:szCs w:val="22"/>
        </w:rPr>
        <w:t xml:space="preserve">hours </w:t>
      </w:r>
      <w:r w:rsidR="00022C34">
        <w:rPr>
          <w:rFonts w:ascii="Times New Roman" w:hAnsi="Times New Roman"/>
          <w:sz w:val="22"/>
          <w:szCs w:val="22"/>
        </w:rPr>
        <w:t xml:space="preserve">(varies from 1 to </w:t>
      </w:r>
      <w:r w:rsidR="00207661">
        <w:rPr>
          <w:rFonts w:ascii="Times New Roman" w:hAnsi="Times New Roman"/>
          <w:sz w:val="22"/>
          <w:szCs w:val="22"/>
        </w:rPr>
        <w:t>3</w:t>
      </w:r>
      <w:r w:rsidR="00022C34">
        <w:rPr>
          <w:rFonts w:ascii="Times New Roman" w:hAnsi="Times New Roman"/>
          <w:sz w:val="22"/>
          <w:szCs w:val="22"/>
        </w:rPr>
        <w:t>.5</w:t>
      </w:r>
      <w:r w:rsidR="00C24184">
        <w:rPr>
          <w:rFonts w:ascii="Times New Roman" w:hAnsi="Times New Roman"/>
          <w:sz w:val="22"/>
          <w:szCs w:val="22"/>
        </w:rPr>
        <w:t>/hour average</w:t>
      </w:r>
      <w:r w:rsidR="00022C34">
        <w:rPr>
          <w:rFonts w:ascii="Times New Roman" w:hAnsi="Times New Roman"/>
          <w:sz w:val="22"/>
          <w:szCs w:val="22"/>
        </w:rPr>
        <w:t xml:space="preserve"> time to process one </w:t>
      </w:r>
      <w:r w:rsidR="003B24D2">
        <w:rPr>
          <w:rFonts w:ascii="Times New Roman" w:hAnsi="Times New Roman"/>
          <w:sz w:val="22"/>
          <w:szCs w:val="22"/>
        </w:rPr>
        <w:t xml:space="preserve">complete </w:t>
      </w:r>
      <w:r w:rsidR="00F52FD1">
        <w:rPr>
          <w:rFonts w:ascii="Times New Roman" w:hAnsi="Times New Roman"/>
          <w:sz w:val="22"/>
          <w:szCs w:val="22"/>
        </w:rPr>
        <w:t>application)</w:t>
      </w:r>
      <w:r w:rsidR="00022C34">
        <w:rPr>
          <w:rFonts w:ascii="Times New Roman" w:hAnsi="Times New Roman"/>
          <w:sz w:val="22"/>
          <w:szCs w:val="22"/>
        </w:rPr>
        <w:t xml:space="preserve"> </w:t>
      </w:r>
      <w:r w:rsidRPr="00EE319A">
        <w:rPr>
          <w:rFonts w:ascii="Times New Roman" w:hAnsi="Times New Roman"/>
          <w:sz w:val="22"/>
          <w:szCs w:val="22"/>
        </w:rPr>
        <w:t>are spent by IMLS staff reviewing and processing each response at an average wage of $</w:t>
      </w:r>
      <w:r w:rsidR="00B506A6">
        <w:rPr>
          <w:rFonts w:ascii="Times New Roman" w:hAnsi="Times New Roman"/>
          <w:sz w:val="22"/>
          <w:szCs w:val="22"/>
        </w:rPr>
        <w:t>41.12</w:t>
      </w:r>
      <w:r w:rsidRPr="00EE319A">
        <w:rPr>
          <w:rFonts w:ascii="Times New Roman" w:hAnsi="Times New Roman"/>
          <w:sz w:val="22"/>
          <w:szCs w:val="22"/>
        </w:rPr>
        <w:t xml:space="preserve">. </w:t>
      </w:r>
    </w:p>
    <w:p w:rsidRPr="00191DF8" w:rsidR="00E94341" w:rsidP="00E94341" w:rsidRDefault="00E94341" w14:paraId="7FDC008F" w14:textId="77777777">
      <w:pPr>
        <w:tabs>
          <w:tab w:val="left" w:pos="540"/>
        </w:tabs>
        <w:rPr>
          <w:rFonts w:ascii="Times New Roman" w:hAnsi="Times New Roman"/>
          <w:sz w:val="22"/>
          <w:szCs w:val="22"/>
        </w:rPr>
      </w:pPr>
    </w:p>
    <w:p w:rsidRPr="00191DF8" w:rsidR="006C44B4" w:rsidP="009C2FCE" w:rsidRDefault="006C44B4" w14:paraId="43032A3D" w14:textId="1509D37A">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rsidRPr="00B147A7" w:rsidR="006C44B4" w:rsidP="00191DF8" w:rsidRDefault="006C44B4" w14:paraId="0B4B3783" w14:textId="77777777">
      <w:pPr>
        <w:tabs>
          <w:tab w:val="left" w:pos="540"/>
        </w:tabs>
        <w:ind w:left="360"/>
        <w:rPr>
          <w:rFonts w:ascii="Times New Roman" w:hAnsi="Times New Roman"/>
          <w:color w:val="000000"/>
          <w:sz w:val="22"/>
          <w:szCs w:val="22"/>
        </w:rPr>
      </w:pPr>
    </w:p>
    <w:p w:rsidRPr="00191DF8" w:rsidR="009C2FCE" w:rsidP="009C2FCE" w:rsidRDefault="00781871" w14:paraId="51061C67" w14:textId="328A346D">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Pr="00191DF8" w:rsidR="009C2FCE">
        <w:rPr>
          <w:rFonts w:ascii="Times New Roman" w:hAnsi="Times New Roman"/>
          <w:sz w:val="22"/>
          <w:szCs w:val="22"/>
        </w:rPr>
        <w:t xml:space="preserve"> </w:t>
      </w:r>
    </w:p>
    <w:p w:rsidRPr="00191DF8" w:rsidR="009C2FCE" w:rsidP="009C2FCE" w:rsidRDefault="009C2FCE" w14:paraId="727C8B48" w14:textId="77777777">
      <w:pPr>
        <w:tabs>
          <w:tab w:val="left" w:pos="540"/>
        </w:tabs>
        <w:ind w:left="360"/>
        <w:rPr>
          <w:rFonts w:ascii="Times New Roman" w:hAnsi="Times New Roman"/>
          <w:sz w:val="22"/>
          <w:szCs w:val="22"/>
        </w:rPr>
      </w:pPr>
    </w:p>
    <w:p w:rsidRPr="00B147A7" w:rsidR="006C44B4" w:rsidP="009C2FCE" w:rsidRDefault="00182146" w14:paraId="373004AD" w14:textId="254234C1">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rsidRPr="00B147A7" w:rsidR="006C44B4" w:rsidP="00191DF8" w:rsidRDefault="006C44B4" w14:paraId="7E0B4295" w14:textId="77777777">
      <w:pPr>
        <w:tabs>
          <w:tab w:val="left" w:pos="540"/>
        </w:tabs>
        <w:ind w:left="360"/>
        <w:rPr>
          <w:rFonts w:ascii="Times New Roman" w:hAnsi="Times New Roman"/>
          <w:color w:val="000000"/>
          <w:sz w:val="22"/>
          <w:szCs w:val="22"/>
        </w:rPr>
      </w:pPr>
    </w:p>
    <w:p w:rsidRPr="00B147A7" w:rsidR="001606AA" w:rsidP="00191DF8" w:rsidRDefault="001606AA" w14:paraId="2EF850A1" w14:textId="77777777">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1606AA" w:rsidP="006F7920" w:rsidRDefault="001606AA" w14:paraId="4114EE11" w14:textId="77777777">
      <w:pPr>
        <w:tabs>
          <w:tab w:val="left" w:pos="540"/>
        </w:tabs>
        <w:ind w:left="360"/>
        <w:rPr>
          <w:rFonts w:ascii="Times New Roman" w:hAnsi="Times New Roman"/>
          <w:color w:val="000000"/>
          <w:sz w:val="22"/>
          <w:szCs w:val="22"/>
        </w:rPr>
      </w:pPr>
    </w:p>
    <w:p w:rsidRPr="00191DF8" w:rsidR="006C44B4" w:rsidP="006F7920" w:rsidRDefault="006C44B4" w14:paraId="295D129E" w14:textId="77777777">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rsidRPr="00B147A7" w:rsidR="006C44B4" w:rsidP="00191DF8" w:rsidRDefault="006C44B4" w14:paraId="3BF093E5" w14:textId="77777777">
      <w:pPr>
        <w:tabs>
          <w:tab w:val="left" w:pos="540"/>
        </w:tabs>
        <w:ind w:left="360"/>
        <w:rPr>
          <w:rFonts w:ascii="Times New Roman" w:hAnsi="Times New Roman"/>
          <w:b/>
          <w:color w:val="000000"/>
          <w:sz w:val="22"/>
          <w:szCs w:val="22"/>
        </w:rPr>
      </w:pPr>
    </w:p>
    <w:p w:rsidRPr="00B147A7" w:rsidR="001606AA" w:rsidP="00191DF8" w:rsidRDefault="001606AA" w14:paraId="5AFDD199" w14:textId="729FF25D">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rsidRPr="00B147A7" w:rsidR="001606AA" w:rsidP="006F7920" w:rsidRDefault="001606AA" w14:paraId="565EC91A" w14:textId="77777777">
      <w:pPr>
        <w:tabs>
          <w:tab w:val="left" w:pos="540"/>
        </w:tabs>
        <w:ind w:left="360"/>
        <w:rPr>
          <w:rFonts w:ascii="Times New Roman" w:hAnsi="Times New Roman"/>
          <w:color w:val="000000"/>
          <w:sz w:val="22"/>
          <w:szCs w:val="22"/>
        </w:rPr>
      </w:pPr>
    </w:p>
    <w:p w:rsidRPr="00191DF8" w:rsidR="006C44B4" w:rsidP="006F7920" w:rsidRDefault="006C44B4" w14:paraId="5D453275" w14:textId="77777777">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rsidRPr="00B147A7" w:rsidR="006C44B4" w:rsidP="00191DF8" w:rsidRDefault="006C44B4" w14:paraId="2280E813" w14:textId="77777777">
      <w:pPr>
        <w:tabs>
          <w:tab w:val="left" w:pos="540"/>
        </w:tabs>
        <w:ind w:left="360"/>
        <w:rPr>
          <w:rFonts w:ascii="Times New Roman" w:hAnsi="Times New Roman"/>
          <w:color w:val="000000"/>
          <w:sz w:val="22"/>
          <w:szCs w:val="22"/>
        </w:rPr>
      </w:pPr>
    </w:p>
    <w:p w:rsidRPr="00B147A7" w:rsidR="001606AA" w:rsidP="00191DF8" w:rsidRDefault="001606AA" w14:paraId="0D55C137" w14:textId="42ADA392">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rsidRPr="00B147A7" w:rsidR="00622112" w:rsidP="0019711E" w:rsidRDefault="00622112" w14:paraId="2DE21B7F" w14:textId="77777777">
      <w:pPr>
        <w:tabs>
          <w:tab w:val="left" w:pos="540"/>
          <w:tab w:val="left" w:pos="2160"/>
        </w:tabs>
        <w:suppressAutoHyphens/>
        <w:spacing w:line="480" w:lineRule="auto"/>
        <w:rPr>
          <w:rFonts w:ascii="Times New Roman" w:hAnsi="Times New Roman"/>
          <w:color w:val="000000"/>
          <w:sz w:val="22"/>
          <w:szCs w:val="22"/>
        </w:rPr>
      </w:pPr>
    </w:p>
    <w:sectPr w:rsidRPr="00B147A7" w:rsidR="00622112"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03994" w14:textId="77777777" w:rsidR="009C7BFA" w:rsidRDefault="009C7BFA">
      <w:pPr>
        <w:spacing w:line="20" w:lineRule="exact"/>
      </w:pPr>
    </w:p>
  </w:endnote>
  <w:endnote w:type="continuationSeparator" w:id="0">
    <w:p w14:paraId="7E441F04" w14:textId="77777777" w:rsidR="009C7BFA" w:rsidRDefault="009C7BFA">
      <w:r>
        <w:t xml:space="preserve"> </w:t>
      </w:r>
    </w:p>
  </w:endnote>
  <w:endnote w:type="continuationNotice" w:id="1">
    <w:p w14:paraId="04A479EA" w14:textId="77777777" w:rsidR="009C7BFA" w:rsidRDefault="009C7B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1A812" w14:textId="77777777" w:rsidR="009C7BFA" w:rsidRDefault="009C7BFA">
      <w:r>
        <w:separator/>
      </w:r>
    </w:p>
  </w:footnote>
  <w:footnote w:type="continuationSeparator" w:id="0">
    <w:p w14:paraId="0D66DDCF" w14:textId="77777777" w:rsidR="009C7BFA" w:rsidRDefault="009C7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33D4"/>
    <w:rsid w:val="00207661"/>
    <w:rsid w:val="0021181C"/>
    <w:rsid w:val="00223FCB"/>
    <w:rsid w:val="00235E59"/>
    <w:rsid w:val="00264D1F"/>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6397"/>
    <w:rsid w:val="003F3A24"/>
    <w:rsid w:val="003F4DAE"/>
    <w:rsid w:val="003F6D48"/>
    <w:rsid w:val="00403835"/>
    <w:rsid w:val="00411237"/>
    <w:rsid w:val="00414FE6"/>
    <w:rsid w:val="0042622F"/>
    <w:rsid w:val="004267BE"/>
    <w:rsid w:val="004403F2"/>
    <w:rsid w:val="004418F6"/>
    <w:rsid w:val="00444079"/>
    <w:rsid w:val="004508B9"/>
    <w:rsid w:val="004529CB"/>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55591"/>
    <w:rsid w:val="00561997"/>
    <w:rsid w:val="00577ED3"/>
    <w:rsid w:val="005805EC"/>
    <w:rsid w:val="00582557"/>
    <w:rsid w:val="00583E02"/>
    <w:rsid w:val="00591FF3"/>
    <w:rsid w:val="00594FB3"/>
    <w:rsid w:val="005A4E98"/>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4327D"/>
    <w:rsid w:val="00876E72"/>
    <w:rsid w:val="0088000F"/>
    <w:rsid w:val="00884012"/>
    <w:rsid w:val="008A27EC"/>
    <w:rsid w:val="008B0BA5"/>
    <w:rsid w:val="008B1CD0"/>
    <w:rsid w:val="008B6FEC"/>
    <w:rsid w:val="008B7F04"/>
    <w:rsid w:val="008C5B7D"/>
    <w:rsid w:val="008D53A4"/>
    <w:rsid w:val="008D741A"/>
    <w:rsid w:val="008E430F"/>
    <w:rsid w:val="008F4937"/>
    <w:rsid w:val="00902A79"/>
    <w:rsid w:val="00922220"/>
    <w:rsid w:val="0092360C"/>
    <w:rsid w:val="009253CA"/>
    <w:rsid w:val="00935FD2"/>
    <w:rsid w:val="00950127"/>
    <w:rsid w:val="0095195E"/>
    <w:rsid w:val="00964B4D"/>
    <w:rsid w:val="00990C69"/>
    <w:rsid w:val="00990E8B"/>
    <w:rsid w:val="009A424D"/>
    <w:rsid w:val="009A58B5"/>
    <w:rsid w:val="009B2BCC"/>
    <w:rsid w:val="009B4AEE"/>
    <w:rsid w:val="009B5BAC"/>
    <w:rsid w:val="009B7CEF"/>
    <w:rsid w:val="009C2FCE"/>
    <w:rsid w:val="009C7BFA"/>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74D0D"/>
    <w:rsid w:val="00A92A07"/>
    <w:rsid w:val="00A93A1F"/>
    <w:rsid w:val="00A94852"/>
    <w:rsid w:val="00A971FF"/>
    <w:rsid w:val="00AC08D6"/>
    <w:rsid w:val="00AC4960"/>
    <w:rsid w:val="00AC612C"/>
    <w:rsid w:val="00AC6A2C"/>
    <w:rsid w:val="00AD0C4A"/>
    <w:rsid w:val="00AD33A9"/>
    <w:rsid w:val="00AF4DCC"/>
    <w:rsid w:val="00B0114A"/>
    <w:rsid w:val="00B02D60"/>
    <w:rsid w:val="00B11E8E"/>
    <w:rsid w:val="00B147A7"/>
    <w:rsid w:val="00B17D60"/>
    <w:rsid w:val="00B210E7"/>
    <w:rsid w:val="00B22930"/>
    <w:rsid w:val="00B24DA4"/>
    <w:rsid w:val="00B313BA"/>
    <w:rsid w:val="00B41522"/>
    <w:rsid w:val="00B45DF5"/>
    <w:rsid w:val="00B506A6"/>
    <w:rsid w:val="00B67C00"/>
    <w:rsid w:val="00B738F0"/>
    <w:rsid w:val="00B81EB7"/>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85D81"/>
    <w:rsid w:val="00DA7CB2"/>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F2FBA"/>
    <w:rsid w:val="00EF4C52"/>
    <w:rsid w:val="00F05DBD"/>
    <w:rsid w:val="00F07E7C"/>
    <w:rsid w:val="00F1093C"/>
    <w:rsid w:val="00F11A24"/>
    <w:rsid w:val="00F1701C"/>
    <w:rsid w:val="00F2130B"/>
    <w:rsid w:val="00F27ECE"/>
    <w:rsid w:val="00F3685C"/>
    <w:rsid w:val="00F52FD1"/>
    <w:rsid w:val="00F6161D"/>
    <w:rsid w:val="00F621F0"/>
    <w:rsid w:val="00F64812"/>
    <w:rsid w:val="00F77851"/>
    <w:rsid w:val="00F91796"/>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inlanguage.gov/howto/guidelines/FederalPLGuidelines/TOC.cf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customXml/itemProps3.xml><?xml version="1.0" encoding="utf-8"?>
<ds:datastoreItem xmlns:ds="http://schemas.openxmlformats.org/officeDocument/2006/customXml" ds:itemID="{EE9F34C4-9D75-48D1-A190-5887D0413728}">
  <ds:schemaRefs>
    <ds:schemaRef ds:uri="http://www.w3.org/XML/1998/namespace"/>
    <ds:schemaRef ds:uri="http://schemas.microsoft.com/office/2006/documentManagement/types"/>
    <ds:schemaRef ds:uri="http://purl.org/dc/elements/1.1/"/>
    <ds:schemaRef ds:uri="http://schemas.openxmlformats.org/package/2006/metadata/core-properties"/>
    <ds:schemaRef ds:uri="c2a11cf1-abf9-4d2d-a6e3-e7bef8c89609"/>
    <ds:schemaRef ds:uri="http://schemas.microsoft.com/office/2006/metadata/properties"/>
    <ds:schemaRef ds:uri="http://purl.org/dc/terms/"/>
    <ds:schemaRef ds:uri="http://schemas.microsoft.com/office/infopath/2007/PartnerControls"/>
    <ds:schemaRef ds:uri="a42abfcf-437c-4ce1-b5c2-14af7889cdd1"/>
    <ds:schemaRef ds:uri="http://purl.org/dc/dcmitype/"/>
  </ds:schemaRefs>
</ds:datastoreItem>
</file>

<file path=customXml/itemProps4.xml><?xml version="1.0" encoding="utf-8"?>
<ds:datastoreItem xmlns:ds="http://schemas.openxmlformats.org/officeDocument/2006/customXml" ds:itemID="{240BBA34-6F7A-445B-963A-7167A1C0F8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2</cp:revision>
  <cp:lastPrinted>2015-05-13T14:49:00Z</cp:lastPrinted>
  <dcterms:created xsi:type="dcterms:W3CDTF">2020-12-15T17:38:00Z</dcterms:created>
  <dcterms:modified xsi:type="dcterms:W3CDTF">2020-12-15T17:38:00Z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